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BD3435F" w14:textId="38AD0DD7" w:rsidR="00EE31AA" w:rsidRPr="001F224B" w:rsidRDefault="00EE31AA" w:rsidP="00EE31AA">
      <w:pPr>
        <w:tabs>
          <w:tab w:val="left" w:pos="6930"/>
        </w:tabs>
        <w:spacing w:line="230" w:lineRule="auto"/>
        <w:ind w:right="-23"/>
        <w:rPr>
          <w:b/>
          <w:sz w:val="40"/>
          <w:szCs w:val="40"/>
        </w:rPr>
      </w:pPr>
      <w:bookmarkStart w:id="0" w:name="_GoBack"/>
      <w:bookmarkEnd w:id="0"/>
      <w:r w:rsidRPr="001F224B">
        <w:rPr>
          <w:b/>
          <w:sz w:val="40"/>
          <w:szCs w:val="40"/>
        </w:rPr>
        <w:t>TÜRKİYE KALKINMA VE YATIRIM BANKASI A.Ş.</w:t>
      </w:r>
    </w:p>
    <w:p w14:paraId="12CC5E4B" w14:textId="77777777" w:rsidR="00EE31AA" w:rsidRPr="001F224B" w:rsidRDefault="00EE31AA" w:rsidP="00EE31AA">
      <w:pPr>
        <w:tabs>
          <w:tab w:val="left" w:pos="6930"/>
          <w:tab w:val="right" w:pos="8880"/>
        </w:tabs>
        <w:spacing w:line="230" w:lineRule="auto"/>
        <w:ind w:right="-23"/>
        <w:jc w:val="center"/>
        <w:rPr>
          <w:b/>
          <w:sz w:val="10"/>
          <w:szCs w:val="10"/>
        </w:rPr>
      </w:pPr>
    </w:p>
    <w:p w14:paraId="454A215D" w14:textId="71E11BCF" w:rsidR="00EE31AA" w:rsidRPr="001F224B" w:rsidRDefault="002B614D" w:rsidP="00EE31AA">
      <w:pPr>
        <w:tabs>
          <w:tab w:val="left" w:pos="6930"/>
          <w:tab w:val="right" w:pos="8880"/>
        </w:tabs>
        <w:spacing w:line="230" w:lineRule="auto"/>
        <w:ind w:right="-23"/>
        <w:rPr>
          <w:b/>
          <w:sz w:val="32"/>
          <w:szCs w:val="32"/>
        </w:rPr>
      </w:pPr>
      <w:r w:rsidRPr="001F224B">
        <w:rPr>
          <w:b/>
          <w:sz w:val="32"/>
          <w:szCs w:val="32"/>
        </w:rPr>
        <w:t>3</w:t>
      </w:r>
      <w:r w:rsidR="00BB65EB" w:rsidRPr="001F224B">
        <w:rPr>
          <w:b/>
          <w:sz w:val="32"/>
          <w:szCs w:val="32"/>
        </w:rPr>
        <w:t>0</w:t>
      </w:r>
      <w:r w:rsidRPr="001F224B">
        <w:rPr>
          <w:b/>
          <w:sz w:val="32"/>
          <w:szCs w:val="32"/>
        </w:rPr>
        <w:t xml:space="preserve"> </w:t>
      </w:r>
      <w:r w:rsidR="00BB65EB" w:rsidRPr="001F224B">
        <w:rPr>
          <w:b/>
          <w:sz w:val="32"/>
          <w:szCs w:val="32"/>
        </w:rPr>
        <w:t>Haziran</w:t>
      </w:r>
      <w:r w:rsidR="00EE31AA" w:rsidRPr="001F224B">
        <w:rPr>
          <w:b/>
          <w:sz w:val="32"/>
          <w:szCs w:val="32"/>
        </w:rPr>
        <w:t xml:space="preserve"> 202</w:t>
      </w:r>
      <w:r w:rsidR="00F40B88" w:rsidRPr="001F224B">
        <w:rPr>
          <w:b/>
          <w:sz w:val="32"/>
          <w:szCs w:val="32"/>
        </w:rPr>
        <w:t>5</w:t>
      </w:r>
      <w:r w:rsidR="00EE31AA" w:rsidRPr="001F224B">
        <w:rPr>
          <w:b/>
          <w:sz w:val="32"/>
          <w:szCs w:val="32"/>
        </w:rPr>
        <w:t xml:space="preserve"> Tarihinde Sona Eren</w:t>
      </w:r>
    </w:p>
    <w:p w14:paraId="47EEB684" w14:textId="4CF55488" w:rsidR="00EE31AA" w:rsidRPr="001F224B" w:rsidRDefault="00261C4E" w:rsidP="00EE31AA">
      <w:pPr>
        <w:tabs>
          <w:tab w:val="left" w:pos="6930"/>
          <w:tab w:val="right" w:pos="8880"/>
        </w:tabs>
        <w:spacing w:line="230" w:lineRule="auto"/>
        <w:ind w:right="-23"/>
        <w:rPr>
          <w:b/>
          <w:sz w:val="32"/>
          <w:szCs w:val="32"/>
        </w:rPr>
      </w:pPr>
      <w:r w:rsidRPr="001F224B">
        <w:rPr>
          <w:b/>
          <w:sz w:val="32"/>
          <w:szCs w:val="32"/>
        </w:rPr>
        <w:t xml:space="preserve">Ara </w:t>
      </w:r>
      <w:r w:rsidR="00EE31AA" w:rsidRPr="001F224B">
        <w:rPr>
          <w:b/>
          <w:sz w:val="32"/>
          <w:szCs w:val="32"/>
        </w:rPr>
        <w:t>Hesap Dönemine Ait</w:t>
      </w:r>
    </w:p>
    <w:p w14:paraId="2BDCB59A" w14:textId="446D4973" w:rsidR="00EE31AA" w:rsidRPr="001F224B" w:rsidRDefault="00EE31AA" w:rsidP="00EE31AA">
      <w:pPr>
        <w:tabs>
          <w:tab w:val="left" w:pos="6930"/>
          <w:tab w:val="right" w:pos="8880"/>
        </w:tabs>
        <w:spacing w:line="230" w:lineRule="auto"/>
        <w:ind w:right="-23"/>
        <w:rPr>
          <w:b/>
          <w:sz w:val="32"/>
          <w:szCs w:val="32"/>
        </w:rPr>
      </w:pPr>
      <w:r w:rsidRPr="001F224B">
        <w:rPr>
          <w:b/>
          <w:sz w:val="32"/>
          <w:szCs w:val="32"/>
        </w:rPr>
        <w:t xml:space="preserve">Konsolide Finansal Tablolar ve </w:t>
      </w:r>
    </w:p>
    <w:p w14:paraId="4D2FB201" w14:textId="19C5EF9A" w:rsidR="00EE31AA" w:rsidRPr="001F224B" w:rsidRDefault="00F40B88" w:rsidP="00EE31AA">
      <w:pPr>
        <w:tabs>
          <w:tab w:val="left" w:pos="6930"/>
          <w:tab w:val="right" w:pos="8880"/>
        </w:tabs>
        <w:spacing w:line="230" w:lineRule="auto"/>
        <w:ind w:right="-23"/>
        <w:rPr>
          <w:b/>
          <w:sz w:val="32"/>
          <w:szCs w:val="32"/>
        </w:rPr>
        <w:sectPr w:rsidR="00EE31AA" w:rsidRPr="001F224B" w:rsidSect="00EE31AA">
          <w:footerReference w:type="default" r:id="rId58"/>
          <w:headerReference w:type="first" r:id="rId59"/>
          <w:type w:val="continuous"/>
          <w:pgSz w:w="11907" w:h="16840" w:code="9"/>
          <w:pgMar w:top="2268" w:right="2835" w:bottom="12134" w:left="2835" w:header="737" w:footer="680" w:gutter="0"/>
          <w:pgNumType w:start="1"/>
          <w:cols w:space="708"/>
          <w:titlePg/>
          <w:docGrid w:linePitch="326"/>
        </w:sectPr>
      </w:pPr>
      <w:r w:rsidRPr="001F224B">
        <w:rPr>
          <w:b/>
          <w:sz w:val="32"/>
          <w:szCs w:val="32"/>
        </w:rPr>
        <w:t xml:space="preserve">Sınırlı </w:t>
      </w:r>
      <w:r w:rsidR="00EE31AA" w:rsidRPr="001F224B">
        <w:rPr>
          <w:b/>
          <w:sz w:val="32"/>
          <w:szCs w:val="32"/>
        </w:rPr>
        <w:t>Denetim Raporu</w:t>
      </w:r>
    </w:p>
    <w:p w14:paraId="6D40FB48" w14:textId="1283D18D" w:rsidR="00B97A49" w:rsidRPr="001F224B" w:rsidRDefault="00B97A49" w:rsidP="002F096D">
      <w:pPr>
        <w:tabs>
          <w:tab w:val="left" w:pos="6930"/>
          <w:tab w:val="right" w:pos="8880"/>
        </w:tabs>
        <w:spacing w:line="230" w:lineRule="auto"/>
        <w:ind w:right="-284"/>
        <w:rPr>
          <w:i/>
          <w:iCs/>
          <w:sz w:val="22"/>
          <w:szCs w:val="22"/>
        </w:rPr>
        <w:sectPr w:rsidR="00B97A49" w:rsidRPr="001F224B" w:rsidSect="002F096D">
          <w:footerReference w:type="default" r:id="rId60"/>
          <w:headerReference w:type="first" r:id="rId61"/>
          <w:type w:val="continuous"/>
          <w:pgSz w:w="11907" w:h="16840" w:code="9"/>
          <w:pgMar w:top="2268" w:right="2835" w:bottom="12134" w:left="2835" w:header="737" w:footer="680" w:gutter="0"/>
          <w:pgNumType w:start="1"/>
          <w:cols w:space="708"/>
          <w:titlePg/>
          <w:docGrid w:linePitch="326"/>
        </w:sectPr>
      </w:pPr>
    </w:p>
    <w:p w14:paraId="65757B09" w14:textId="77777777" w:rsidR="00650A8A" w:rsidRPr="001F224B" w:rsidRDefault="00650A8A" w:rsidP="00650A8A">
      <w:pPr>
        <w:autoSpaceDE w:val="0"/>
        <w:autoSpaceDN w:val="0"/>
        <w:adjustRightInd w:val="0"/>
        <w:ind w:right="-426"/>
        <w:rPr>
          <w:rFonts w:ascii="Arial" w:hAnsi="Arial" w:cs="Arial"/>
          <w:b/>
          <w:noProof/>
          <w:sz w:val="20"/>
          <w:szCs w:val="20"/>
        </w:rPr>
      </w:pPr>
      <w:r w:rsidRPr="001F224B">
        <w:rPr>
          <w:rFonts w:ascii="Arial" w:hAnsi="Arial" w:cs="Arial"/>
          <w:b/>
          <w:noProof/>
          <w:sz w:val="20"/>
          <w:szCs w:val="20"/>
        </w:rPr>
        <w:lastRenderedPageBreak/>
        <w:t>ARA DÖNEM KONSOLİDE FİNANSAL BİLGİLERE İLİŞKİN SINIRLI DENETİM RAPORU</w:t>
      </w:r>
    </w:p>
    <w:p w14:paraId="66FDF73C" w14:textId="77777777" w:rsidR="00650A8A" w:rsidRPr="001F224B" w:rsidRDefault="00650A8A" w:rsidP="00650A8A">
      <w:pPr>
        <w:autoSpaceDE w:val="0"/>
        <w:autoSpaceDN w:val="0"/>
        <w:adjustRightInd w:val="0"/>
        <w:ind w:right="-426"/>
        <w:rPr>
          <w:rFonts w:ascii="Arial" w:hAnsi="Arial" w:cs="Arial"/>
          <w:b/>
          <w:noProof/>
          <w:sz w:val="20"/>
          <w:szCs w:val="20"/>
        </w:rPr>
      </w:pPr>
    </w:p>
    <w:p w14:paraId="3802B960" w14:textId="77777777" w:rsidR="00650A8A" w:rsidRPr="001F224B" w:rsidRDefault="00650A8A" w:rsidP="00650A8A">
      <w:pPr>
        <w:autoSpaceDE w:val="0"/>
        <w:autoSpaceDN w:val="0"/>
        <w:adjustRightInd w:val="0"/>
        <w:jc w:val="both"/>
        <w:rPr>
          <w:rFonts w:ascii="Arial" w:hAnsi="Arial" w:cs="Arial"/>
          <w:noProof/>
          <w:sz w:val="20"/>
          <w:szCs w:val="20"/>
        </w:rPr>
      </w:pPr>
      <w:r w:rsidRPr="001F224B">
        <w:rPr>
          <w:rFonts w:ascii="Arial" w:hAnsi="Arial" w:cs="Arial"/>
          <w:noProof/>
          <w:sz w:val="20"/>
          <w:szCs w:val="20"/>
        </w:rPr>
        <w:t>Türkiye Kalkınma ve Yatırım Bankası Anonim Şirketi Yönetim Kurulu’na</w:t>
      </w:r>
    </w:p>
    <w:p w14:paraId="5B8E6606" w14:textId="77777777" w:rsidR="00650A8A" w:rsidRPr="001F224B" w:rsidRDefault="00650A8A" w:rsidP="00650A8A">
      <w:pPr>
        <w:autoSpaceDE w:val="0"/>
        <w:autoSpaceDN w:val="0"/>
        <w:adjustRightInd w:val="0"/>
        <w:ind w:right="-426"/>
        <w:rPr>
          <w:rFonts w:ascii="Arial" w:hAnsi="Arial" w:cs="Arial"/>
          <w:i/>
          <w:sz w:val="20"/>
          <w:szCs w:val="20"/>
        </w:rPr>
      </w:pPr>
    </w:p>
    <w:p w14:paraId="00ECDF55" w14:textId="77777777" w:rsidR="00650A8A" w:rsidRPr="001F224B" w:rsidRDefault="00650A8A" w:rsidP="00650A8A">
      <w:pPr>
        <w:autoSpaceDE w:val="0"/>
        <w:autoSpaceDN w:val="0"/>
        <w:adjustRightInd w:val="0"/>
        <w:ind w:right="-426"/>
        <w:rPr>
          <w:rFonts w:ascii="Arial" w:hAnsi="Arial" w:cs="Arial"/>
          <w:i/>
          <w:sz w:val="20"/>
          <w:szCs w:val="20"/>
        </w:rPr>
      </w:pPr>
      <w:r w:rsidRPr="001F224B">
        <w:rPr>
          <w:rFonts w:ascii="Arial" w:hAnsi="Arial" w:cs="Arial"/>
          <w:i/>
          <w:sz w:val="20"/>
          <w:szCs w:val="20"/>
        </w:rPr>
        <w:t>Giriş</w:t>
      </w:r>
    </w:p>
    <w:p w14:paraId="1A40699E" w14:textId="77777777" w:rsidR="00650A8A" w:rsidRPr="001F224B" w:rsidRDefault="00650A8A" w:rsidP="00650A8A">
      <w:pPr>
        <w:autoSpaceDE w:val="0"/>
        <w:autoSpaceDN w:val="0"/>
        <w:adjustRightInd w:val="0"/>
        <w:ind w:right="-426"/>
        <w:rPr>
          <w:rFonts w:ascii="Arial" w:hAnsi="Arial" w:cs="Arial"/>
          <w:i/>
          <w:sz w:val="20"/>
          <w:szCs w:val="20"/>
        </w:rPr>
      </w:pPr>
    </w:p>
    <w:p w14:paraId="34208C8C" w14:textId="5669744F" w:rsidR="00650A8A" w:rsidRPr="001F224B" w:rsidRDefault="00650A8A" w:rsidP="00650A8A">
      <w:pPr>
        <w:autoSpaceDE w:val="0"/>
        <w:autoSpaceDN w:val="0"/>
        <w:adjustRightInd w:val="0"/>
        <w:jc w:val="both"/>
        <w:rPr>
          <w:rFonts w:ascii="Arial" w:hAnsi="Arial" w:cs="Arial"/>
          <w:sz w:val="20"/>
          <w:szCs w:val="20"/>
        </w:rPr>
      </w:pPr>
      <w:r w:rsidRPr="001F224B">
        <w:rPr>
          <w:rFonts w:ascii="Arial" w:hAnsi="Arial" w:cs="Arial"/>
          <w:noProof/>
          <w:sz w:val="20"/>
          <w:szCs w:val="20"/>
        </w:rPr>
        <w:t>Türkiye Kalkınma ve Yatırım Bankası Anonim Şirketi'nin</w:t>
      </w:r>
      <w:r w:rsidRPr="001F224B">
        <w:rPr>
          <w:rFonts w:ascii="Arial" w:hAnsi="Arial" w:cs="Arial"/>
          <w:sz w:val="20"/>
          <w:szCs w:val="20"/>
        </w:rPr>
        <w:t xml:space="preserve"> (“Banka”) ve konsolidasyona tabi ortaklıklarının (hep birlikte “Grup” olarak anılacaktır) 3</w:t>
      </w:r>
      <w:r w:rsidR="00C3485F" w:rsidRPr="001F224B">
        <w:rPr>
          <w:rFonts w:ascii="Arial" w:hAnsi="Arial" w:cs="Arial"/>
          <w:sz w:val="20"/>
          <w:szCs w:val="20"/>
        </w:rPr>
        <w:t>0 Haziran</w:t>
      </w:r>
      <w:r w:rsidRPr="001F224B">
        <w:rPr>
          <w:rFonts w:ascii="Arial" w:hAnsi="Arial" w:cs="Arial"/>
          <w:sz w:val="20"/>
          <w:szCs w:val="20"/>
        </w:rPr>
        <w:t xml:space="preserve"> 2025 tarihli ilişikteki konsolide finansal durum tablosu ile aynı tarihte sona eren </w:t>
      </w:r>
      <w:r w:rsidR="00C3485F" w:rsidRPr="001F224B">
        <w:rPr>
          <w:rFonts w:ascii="Arial" w:hAnsi="Arial" w:cs="Arial"/>
          <w:sz w:val="20"/>
          <w:szCs w:val="20"/>
        </w:rPr>
        <w:t>altı</w:t>
      </w:r>
      <w:r w:rsidRPr="001F224B">
        <w:rPr>
          <w:rFonts w:ascii="Arial" w:hAnsi="Arial" w:cs="Arial"/>
          <w:sz w:val="20"/>
          <w:szCs w:val="20"/>
        </w:rPr>
        <w:t xml:space="preserve">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konsolide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w:t>
      </w:r>
      <w:r w:rsidRPr="001F224B">
        <w:rPr>
          <w:rFonts w:ascii="Arial" w:hAnsi="Arial" w:cs="Arial"/>
          <w:noProof/>
          <w:sz w:val="20"/>
          <w:szCs w:val="20"/>
        </w:rPr>
        <w:t>(“TMS”)</w:t>
      </w:r>
      <w:r w:rsidRPr="001F224B">
        <w:rPr>
          <w:rFonts w:ascii="Arial" w:hAnsi="Arial" w:cs="Arial"/>
          <w:sz w:val="20"/>
          <w:szCs w:val="20"/>
        </w:rPr>
        <w:t xml:space="preserve">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finansal bilgilere ilişkin bir sonuç bildirmektir.</w:t>
      </w:r>
    </w:p>
    <w:p w14:paraId="5FBC9409" w14:textId="77777777" w:rsidR="00650A8A" w:rsidRPr="001F224B" w:rsidRDefault="00650A8A" w:rsidP="00650A8A">
      <w:pPr>
        <w:autoSpaceDE w:val="0"/>
        <w:autoSpaceDN w:val="0"/>
        <w:adjustRightInd w:val="0"/>
        <w:ind w:right="-426"/>
        <w:rPr>
          <w:rFonts w:ascii="Arial" w:hAnsi="Arial" w:cs="Arial"/>
          <w:i/>
          <w:sz w:val="20"/>
          <w:szCs w:val="20"/>
        </w:rPr>
      </w:pPr>
    </w:p>
    <w:p w14:paraId="6088162A" w14:textId="77777777" w:rsidR="00650A8A" w:rsidRPr="001F224B" w:rsidRDefault="00650A8A" w:rsidP="00650A8A">
      <w:pPr>
        <w:autoSpaceDE w:val="0"/>
        <w:autoSpaceDN w:val="0"/>
        <w:adjustRightInd w:val="0"/>
        <w:ind w:right="-426"/>
        <w:rPr>
          <w:rFonts w:ascii="Arial" w:hAnsi="Arial" w:cs="Arial"/>
          <w:i/>
          <w:sz w:val="20"/>
          <w:szCs w:val="20"/>
        </w:rPr>
      </w:pPr>
      <w:r w:rsidRPr="001F224B">
        <w:rPr>
          <w:rFonts w:ascii="Arial" w:hAnsi="Arial" w:cs="Arial"/>
          <w:i/>
          <w:sz w:val="20"/>
          <w:szCs w:val="20"/>
        </w:rPr>
        <w:t>Sınırlı Denetimin Kapsamı</w:t>
      </w:r>
    </w:p>
    <w:p w14:paraId="5FC73933" w14:textId="77777777" w:rsidR="00650A8A" w:rsidRPr="001F224B" w:rsidRDefault="00650A8A" w:rsidP="00650A8A">
      <w:pPr>
        <w:autoSpaceDE w:val="0"/>
        <w:autoSpaceDN w:val="0"/>
        <w:adjustRightInd w:val="0"/>
        <w:ind w:right="-2"/>
        <w:jc w:val="both"/>
        <w:rPr>
          <w:rFonts w:ascii="Arial" w:hAnsi="Arial" w:cs="Arial"/>
          <w:sz w:val="20"/>
          <w:szCs w:val="20"/>
        </w:rPr>
      </w:pPr>
    </w:p>
    <w:p w14:paraId="78EA4199" w14:textId="77777777" w:rsidR="00650A8A" w:rsidRPr="001F224B" w:rsidRDefault="00650A8A" w:rsidP="00650A8A">
      <w:pPr>
        <w:autoSpaceDE w:val="0"/>
        <w:autoSpaceDN w:val="0"/>
        <w:adjustRightInd w:val="0"/>
        <w:ind w:right="-2"/>
        <w:jc w:val="both"/>
        <w:rPr>
          <w:rFonts w:ascii="Arial" w:hAnsi="Arial" w:cs="Arial"/>
          <w:sz w:val="20"/>
          <w:szCs w:val="20"/>
        </w:rPr>
      </w:pPr>
      <w:r w:rsidRPr="001F224B">
        <w:rPr>
          <w:rFonts w:ascii="Arial" w:hAnsi="Arial" w:cs="Arial"/>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DE3963F" w14:textId="77777777" w:rsidR="00650A8A" w:rsidRPr="001F224B" w:rsidRDefault="00650A8A" w:rsidP="00650A8A">
      <w:pPr>
        <w:autoSpaceDE w:val="0"/>
        <w:autoSpaceDN w:val="0"/>
        <w:adjustRightInd w:val="0"/>
        <w:ind w:right="-2"/>
        <w:jc w:val="both"/>
        <w:rPr>
          <w:rFonts w:ascii="Arial" w:hAnsi="Arial" w:cs="Arial"/>
          <w:sz w:val="20"/>
          <w:szCs w:val="20"/>
        </w:rPr>
      </w:pPr>
    </w:p>
    <w:p w14:paraId="04371182" w14:textId="77777777" w:rsidR="00CA5498" w:rsidRPr="001F224B" w:rsidRDefault="00CA5498" w:rsidP="00407D2D">
      <w:pPr>
        <w:widowControl w:val="0"/>
        <w:autoSpaceDE w:val="0"/>
        <w:autoSpaceDN w:val="0"/>
        <w:adjustRightInd w:val="0"/>
        <w:ind w:right="-23" w:hanging="10"/>
        <w:jc w:val="both"/>
        <w:rPr>
          <w:rFonts w:eastAsia="Calibri"/>
          <w:sz w:val="20"/>
          <w:szCs w:val="20"/>
        </w:rPr>
        <w:sectPr w:rsidR="00CA5498" w:rsidRPr="001F224B" w:rsidSect="00CA5498">
          <w:headerReference w:type="default" r:id="rId62"/>
          <w:footerReference w:type="default" r:id="rId63"/>
          <w:pgSz w:w="11906" w:h="16838" w:code="9"/>
          <w:pgMar w:top="3402" w:right="1418" w:bottom="1418" w:left="1418" w:header="709" w:footer="737" w:gutter="0"/>
          <w:cols w:space="708"/>
          <w:docGrid w:linePitch="360"/>
        </w:sectPr>
      </w:pPr>
    </w:p>
    <w:p w14:paraId="44921DCF" w14:textId="77777777" w:rsidR="00650A8A" w:rsidRPr="001F224B" w:rsidRDefault="00650A8A" w:rsidP="00650A8A">
      <w:pPr>
        <w:autoSpaceDE w:val="0"/>
        <w:autoSpaceDN w:val="0"/>
        <w:adjustRightInd w:val="0"/>
        <w:ind w:right="-427"/>
        <w:rPr>
          <w:rFonts w:ascii="Arial" w:hAnsi="Arial" w:cs="Arial"/>
          <w:i/>
          <w:sz w:val="20"/>
          <w:szCs w:val="20"/>
        </w:rPr>
      </w:pPr>
      <w:r w:rsidRPr="001F224B">
        <w:rPr>
          <w:rFonts w:ascii="Arial" w:hAnsi="Arial" w:cs="Arial"/>
          <w:i/>
          <w:sz w:val="20"/>
          <w:szCs w:val="20"/>
        </w:rPr>
        <w:lastRenderedPageBreak/>
        <w:t>Sonuç</w:t>
      </w:r>
    </w:p>
    <w:p w14:paraId="348E57EE" w14:textId="77777777" w:rsidR="00650A8A" w:rsidRPr="001F224B" w:rsidRDefault="00650A8A" w:rsidP="00650A8A">
      <w:pPr>
        <w:autoSpaceDE w:val="0"/>
        <w:autoSpaceDN w:val="0"/>
        <w:adjustRightInd w:val="0"/>
        <w:ind w:right="-427"/>
        <w:rPr>
          <w:rFonts w:ascii="Arial" w:hAnsi="Arial" w:cs="Arial"/>
          <w:i/>
          <w:sz w:val="20"/>
          <w:szCs w:val="20"/>
        </w:rPr>
      </w:pPr>
    </w:p>
    <w:p w14:paraId="53D0151C" w14:textId="0F9DCF4F" w:rsidR="00650A8A" w:rsidRPr="001F224B" w:rsidRDefault="00650A8A" w:rsidP="00650A8A">
      <w:pPr>
        <w:autoSpaceDE w:val="0"/>
        <w:autoSpaceDN w:val="0"/>
        <w:adjustRightInd w:val="0"/>
        <w:ind w:right="28"/>
        <w:jc w:val="both"/>
        <w:rPr>
          <w:rFonts w:ascii="Arial" w:hAnsi="Arial" w:cs="Arial"/>
          <w:sz w:val="20"/>
          <w:szCs w:val="20"/>
        </w:rPr>
      </w:pPr>
      <w:r w:rsidRPr="001F224B">
        <w:rPr>
          <w:rFonts w:ascii="Arial" w:hAnsi="Arial" w:cs="Arial"/>
          <w:sz w:val="20"/>
          <w:szCs w:val="20"/>
        </w:rPr>
        <w:t>Sınırlı denetimimize göre, ilişikteki ara dönem konsolide finansal bilgilerin</w:t>
      </w:r>
      <w:r w:rsidRPr="001F224B">
        <w:rPr>
          <w:rFonts w:ascii="Arial" w:hAnsi="Arial" w:cs="Arial"/>
          <w:noProof/>
          <w:sz w:val="20"/>
          <w:szCs w:val="20"/>
        </w:rPr>
        <w:t xml:space="preserve"> Grup’un</w:t>
      </w:r>
      <w:r w:rsidRPr="001F224B">
        <w:rPr>
          <w:rFonts w:ascii="Arial" w:hAnsi="Arial" w:cs="Arial"/>
          <w:sz w:val="20"/>
          <w:szCs w:val="20"/>
        </w:rPr>
        <w:t xml:space="preserve"> 3</w:t>
      </w:r>
      <w:r w:rsidR="00C3485F" w:rsidRPr="001F224B">
        <w:rPr>
          <w:rFonts w:ascii="Arial" w:hAnsi="Arial" w:cs="Arial"/>
          <w:sz w:val="20"/>
          <w:szCs w:val="20"/>
        </w:rPr>
        <w:t>0 Haziran</w:t>
      </w:r>
      <w:r w:rsidRPr="001F224B">
        <w:rPr>
          <w:rFonts w:ascii="Arial" w:hAnsi="Arial" w:cs="Arial"/>
          <w:sz w:val="20"/>
          <w:szCs w:val="20"/>
        </w:rPr>
        <w:t xml:space="preserve"> 2025 tarihi itibarıyla konsolide finansal durumunun ve aynı tarihte sona eren </w:t>
      </w:r>
      <w:r w:rsidR="00C3485F" w:rsidRPr="001F224B">
        <w:rPr>
          <w:rFonts w:ascii="Arial" w:hAnsi="Arial" w:cs="Arial"/>
          <w:sz w:val="20"/>
          <w:szCs w:val="20"/>
        </w:rPr>
        <w:t>altı</w:t>
      </w:r>
      <w:r w:rsidRPr="001F224B">
        <w:rPr>
          <w:rFonts w:ascii="Arial" w:hAnsi="Arial" w:cs="Arial"/>
          <w:sz w:val="20"/>
          <w:szCs w:val="20"/>
        </w:rPr>
        <w:t xml:space="preserve">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70C6B03B" w14:textId="77777777" w:rsidR="00650A8A" w:rsidRPr="001F224B" w:rsidRDefault="00650A8A" w:rsidP="00650A8A">
      <w:pPr>
        <w:tabs>
          <w:tab w:val="left" w:pos="8210"/>
        </w:tabs>
        <w:autoSpaceDE w:val="0"/>
        <w:autoSpaceDN w:val="0"/>
        <w:adjustRightInd w:val="0"/>
        <w:ind w:right="28"/>
        <w:rPr>
          <w:rFonts w:ascii="Arial" w:hAnsi="Arial" w:cs="Arial"/>
          <w:i/>
          <w:sz w:val="20"/>
          <w:szCs w:val="20"/>
        </w:rPr>
      </w:pPr>
    </w:p>
    <w:p w14:paraId="1163B834" w14:textId="77777777" w:rsidR="00650A8A" w:rsidRPr="001F224B" w:rsidRDefault="00650A8A" w:rsidP="00650A8A">
      <w:pPr>
        <w:tabs>
          <w:tab w:val="left" w:pos="8210"/>
        </w:tabs>
        <w:autoSpaceDE w:val="0"/>
        <w:autoSpaceDN w:val="0"/>
        <w:adjustRightInd w:val="0"/>
        <w:ind w:right="28"/>
        <w:rPr>
          <w:rFonts w:ascii="Arial" w:hAnsi="Arial" w:cs="Arial"/>
          <w:i/>
          <w:sz w:val="20"/>
          <w:szCs w:val="20"/>
        </w:rPr>
      </w:pPr>
      <w:r w:rsidRPr="001F224B">
        <w:rPr>
          <w:rFonts w:ascii="Arial" w:hAnsi="Arial" w:cs="Arial"/>
          <w:i/>
          <w:sz w:val="20"/>
          <w:szCs w:val="20"/>
        </w:rPr>
        <w:t>Mevzuattan Kaynaklanan Diğer Yükümlülüklere İlişkin Rapor</w:t>
      </w:r>
    </w:p>
    <w:p w14:paraId="399E649A" w14:textId="77777777" w:rsidR="00650A8A" w:rsidRPr="001F224B" w:rsidRDefault="00650A8A" w:rsidP="00650A8A">
      <w:pPr>
        <w:shd w:val="clear" w:color="auto" w:fill="FFFFFF"/>
        <w:ind w:right="28"/>
        <w:jc w:val="both"/>
        <w:rPr>
          <w:rFonts w:ascii="Arial" w:hAnsi="Arial" w:cs="Arial"/>
          <w:sz w:val="20"/>
          <w:szCs w:val="20"/>
        </w:rPr>
      </w:pPr>
    </w:p>
    <w:p w14:paraId="0C864D40" w14:textId="77777777" w:rsidR="00650A8A" w:rsidRPr="001F224B" w:rsidRDefault="00650A8A" w:rsidP="00650A8A">
      <w:pPr>
        <w:shd w:val="clear" w:color="auto" w:fill="FFFFFF"/>
        <w:ind w:right="28"/>
        <w:jc w:val="both"/>
        <w:rPr>
          <w:rFonts w:ascii="Arial" w:hAnsi="Arial" w:cs="Arial"/>
          <w:sz w:val="20"/>
          <w:szCs w:val="20"/>
        </w:rPr>
      </w:pPr>
      <w:r w:rsidRPr="001F224B">
        <w:rPr>
          <w:rFonts w:ascii="Arial" w:hAnsi="Arial" w:cs="Arial"/>
          <w:sz w:val="20"/>
          <w:szCs w:val="20"/>
        </w:rPr>
        <w:t>Sınırlı denetimimiz sonucunda, ilişikte yedinci bölümde yer verilen ara dönem faaliyet raporunda yer alan konsolide finansal bilgilerin sınırlı denetimden geçmiş ara dönem konsolide finansal tablolar ve açıklayıcı notlarda verilen bilgiler ile, tüm önemli yönleriyle, tutarlı olmadığına dair herhangi bir hususa rastlanmamıştır.</w:t>
      </w:r>
    </w:p>
    <w:p w14:paraId="174E59E8" w14:textId="77777777" w:rsidR="00650A8A" w:rsidRPr="001F224B" w:rsidRDefault="00650A8A" w:rsidP="00650A8A">
      <w:pPr>
        <w:shd w:val="clear" w:color="auto" w:fill="FFFFFF"/>
        <w:ind w:right="-427"/>
        <w:jc w:val="both"/>
        <w:rPr>
          <w:rFonts w:ascii="Arial" w:hAnsi="Arial" w:cs="Arial"/>
          <w:sz w:val="20"/>
          <w:szCs w:val="20"/>
        </w:rPr>
      </w:pPr>
    </w:p>
    <w:p w14:paraId="33DBE1F6" w14:textId="77777777" w:rsidR="00650A8A" w:rsidRPr="001F224B" w:rsidRDefault="00650A8A" w:rsidP="00650A8A">
      <w:pPr>
        <w:shd w:val="clear" w:color="auto" w:fill="FFFFFF"/>
        <w:ind w:right="-427"/>
        <w:jc w:val="both"/>
        <w:rPr>
          <w:rFonts w:ascii="Arial" w:hAnsi="Arial" w:cs="Arial"/>
          <w:sz w:val="20"/>
          <w:szCs w:val="20"/>
        </w:rPr>
      </w:pPr>
    </w:p>
    <w:p w14:paraId="15787B8D" w14:textId="77777777" w:rsidR="00650A8A" w:rsidRPr="001F224B" w:rsidRDefault="00650A8A" w:rsidP="00650A8A">
      <w:pPr>
        <w:shd w:val="clear" w:color="auto" w:fill="FFFFFF"/>
        <w:ind w:right="-427"/>
        <w:jc w:val="both"/>
        <w:rPr>
          <w:rFonts w:ascii="Arial" w:hAnsi="Arial" w:cs="Arial"/>
          <w:sz w:val="20"/>
          <w:szCs w:val="20"/>
        </w:rPr>
      </w:pPr>
    </w:p>
    <w:p w14:paraId="4A289A40" w14:textId="77777777" w:rsidR="00650A8A" w:rsidRPr="001F224B" w:rsidRDefault="00650A8A" w:rsidP="00650A8A">
      <w:pPr>
        <w:autoSpaceDE w:val="0"/>
        <w:autoSpaceDN w:val="0"/>
        <w:adjustRightInd w:val="0"/>
        <w:ind w:right="-427"/>
        <w:jc w:val="both"/>
        <w:rPr>
          <w:rFonts w:ascii="Arial" w:hAnsi="Arial" w:cs="Arial"/>
          <w:noProof/>
          <w:sz w:val="20"/>
          <w:szCs w:val="20"/>
        </w:rPr>
      </w:pPr>
      <w:r w:rsidRPr="001F224B">
        <w:rPr>
          <w:rFonts w:ascii="Arial" w:hAnsi="Arial" w:cs="Arial"/>
          <w:noProof/>
          <w:sz w:val="20"/>
          <w:szCs w:val="20"/>
        </w:rPr>
        <w:t>Güney Bağımsız Denetim ve Serbest Muhasebeci Mali Müşavirlik Anonim Şirketi</w:t>
      </w:r>
    </w:p>
    <w:p w14:paraId="12B274C6" w14:textId="77777777" w:rsidR="00650A8A" w:rsidRPr="001F224B" w:rsidRDefault="00650A8A" w:rsidP="00650A8A">
      <w:pPr>
        <w:autoSpaceDE w:val="0"/>
        <w:autoSpaceDN w:val="0"/>
        <w:adjustRightInd w:val="0"/>
        <w:ind w:right="-427"/>
        <w:jc w:val="both"/>
        <w:rPr>
          <w:rFonts w:ascii="Arial" w:hAnsi="Arial" w:cs="Arial"/>
          <w:noProof/>
          <w:sz w:val="20"/>
          <w:szCs w:val="20"/>
        </w:rPr>
      </w:pPr>
      <w:r w:rsidRPr="001F224B">
        <w:rPr>
          <w:rFonts w:ascii="Arial" w:hAnsi="Arial" w:cs="Arial"/>
          <w:noProof/>
          <w:sz w:val="20"/>
          <w:szCs w:val="20"/>
        </w:rPr>
        <w:t>A member firm of Ernst &amp; Young Global Limited</w:t>
      </w:r>
    </w:p>
    <w:p w14:paraId="63369C81" w14:textId="77777777" w:rsidR="00650A8A" w:rsidRPr="001F224B" w:rsidRDefault="00650A8A" w:rsidP="00650A8A">
      <w:pPr>
        <w:autoSpaceDE w:val="0"/>
        <w:autoSpaceDN w:val="0"/>
        <w:adjustRightInd w:val="0"/>
        <w:ind w:right="-427"/>
        <w:jc w:val="both"/>
        <w:rPr>
          <w:rFonts w:ascii="Arial" w:hAnsi="Arial" w:cs="Arial"/>
          <w:noProof/>
          <w:sz w:val="20"/>
          <w:szCs w:val="20"/>
        </w:rPr>
      </w:pPr>
    </w:p>
    <w:p w14:paraId="411EF321" w14:textId="77777777" w:rsidR="00650A8A" w:rsidRPr="001F224B" w:rsidRDefault="00650A8A" w:rsidP="00650A8A">
      <w:pPr>
        <w:autoSpaceDE w:val="0"/>
        <w:autoSpaceDN w:val="0"/>
        <w:adjustRightInd w:val="0"/>
        <w:ind w:right="-427"/>
        <w:jc w:val="both"/>
        <w:rPr>
          <w:rFonts w:ascii="Arial" w:hAnsi="Arial" w:cs="Arial"/>
          <w:noProof/>
          <w:sz w:val="20"/>
          <w:szCs w:val="20"/>
        </w:rPr>
      </w:pPr>
    </w:p>
    <w:p w14:paraId="5B6212E7" w14:textId="77777777" w:rsidR="00650A8A" w:rsidRPr="001F224B" w:rsidRDefault="00650A8A" w:rsidP="00650A8A">
      <w:pPr>
        <w:autoSpaceDE w:val="0"/>
        <w:autoSpaceDN w:val="0"/>
        <w:adjustRightInd w:val="0"/>
        <w:ind w:right="-427"/>
        <w:jc w:val="both"/>
        <w:rPr>
          <w:rFonts w:ascii="Arial" w:hAnsi="Arial" w:cs="Arial"/>
          <w:noProof/>
          <w:sz w:val="20"/>
          <w:szCs w:val="20"/>
        </w:rPr>
      </w:pPr>
    </w:p>
    <w:p w14:paraId="5C7C008F" w14:textId="77777777" w:rsidR="00650A8A" w:rsidRPr="001F224B" w:rsidRDefault="00650A8A" w:rsidP="00650A8A">
      <w:pPr>
        <w:autoSpaceDE w:val="0"/>
        <w:autoSpaceDN w:val="0"/>
        <w:adjustRightInd w:val="0"/>
        <w:ind w:right="-427"/>
        <w:jc w:val="both"/>
        <w:rPr>
          <w:rFonts w:ascii="Arial" w:hAnsi="Arial" w:cs="Arial"/>
          <w:noProof/>
          <w:sz w:val="20"/>
          <w:szCs w:val="20"/>
        </w:rPr>
      </w:pPr>
    </w:p>
    <w:p w14:paraId="1C2E4338" w14:textId="77777777" w:rsidR="00650A8A" w:rsidRPr="001F224B" w:rsidRDefault="00650A8A" w:rsidP="00650A8A">
      <w:pPr>
        <w:autoSpaceDE w:val="0"/>
        <w:autoSpaceDN w:val="0"/>
        <w:adjustRightInd w:val="0"/>
        <w:ind w:right="-427"/>
        <w:jc w:val="both"/>
        <w:rPr>
          <w:rFonts w:ascii="Arial" w:hAnsi="Arial" w:cs="Arial"/>
          <w:noProof/>
          <w:sz w:val="20"/>
          <w:szCs w:val="20"/>
        </w:rPr>
      </w:pPr>
    </w:p>
    <w:p w14:paraId="35D589F2" w14:textId="77777777" w:rsidR="00650A8A" w:rsidRPr="001F224B" w:rsidRDefault="00650A8A" w:rsidP="00650A8A">
      <w:pPr>
        <w:autoSpaceDE w:val="0"/>
        <w:autoSpaceDN w:val="0"/>
        <w:adjustRightInd w:val="0"/>
        <w:ind w:right="-427"/>
        <w:jc w:val="both"/>
        <w:rPr>
          <w:rFonts w:ascii="Arial" w:hAnsi="Arial" w:cs="Arial"/>
          <w:noProof/>
          <w:sz w:val="20"/>
          <w:szCs w:val="20"/>
        </w:rPr>
      </w:pPr>
    </w:p>
    <w:p w14:paraId="5C19D125" w14:textId="77777777" w:rsidR="00650A8A" w:rsidRPr="001F224B" w:rsidRDefault="00650A8A" w:rsidP="00650A8A">
      <w:pPr>
        <w:autoSpaceDE w:val="0"/>
        <w:autoSpaceDN w:val="0"/>
        <w:adjustRightInd w:val="0"/>
        <w:ind w:right="283"/>
        <w:jc w:val="both"/>
        <w:rPr>
          <w:rFonts w:ascii="Arial" w:hAnsi="Arial" w:cs="Arial"/>
          <w:noProof/>
          <w:sz w:val="20"/>
          <w:szCs w:val="20"/>
        </w:rPr>
      </w:pPr>
    </w:p>
    <w:p w14:paraId="6579562D" w14:textId="77777777" w:rsidR="00650A8A" w:rsidRPr="001F224B" w:rsidRDefault="00650A8A" w:rsidP="00650A8A">
      <w:pPr>
        <w:autoSpaceDE w:val="0"/>
        <w:autoSpaceDN w:val="0"/>
        <w:adjustRightInd w:val="0"/>
        <w:ind w:right="283"/>
        <w:jc w:val="both"/>
        <w:rPr>
          <w:rFonts w:ascii="Arial" w:hAnsi="Arial" w:cs="Arial"/>
          <w:iCs/>
          <w:sz w:val="20"/>
          <w:szCs w:val="20"/>
        </w:rPr>
      </w:pPr>
      <w:r w:rsidRPr="001F224B">
        <w:rPr>
          <w:rFonts w:ascii="Arial" w:hAnsi="Arial" w:cs="Arial"/>
          <w:iCs/>
          <w:sz w:val="20"/>
          <w:szCs w:val="20"/>
        </w:rPr>
        <w:t>Aykut Üşenti, SMMM</w:t>
      </w:r>
    </w:p>
    <w:p w14:paraId="7AEBDF1A" w14:textId="77777777" w:rsidR="00650A8A" w:rsidRPr="001F224B" w:rsidRDefault="00650A8A" w:rsidP="00650A8A">
      <w:pPr>
        <w:autoSpaceDE w:val="0"/>
        <w:autoSpaceDN w:val="0"/>
        <w:adjustRightInd w:val="0"/>
        <w:ind w:right="283"/>
        <w:jc w:val="both"/>
        <w:rPr>
          <w:rFonts w:ascii="Arial" w:hAnsi="Arial" w:cs="Arial"/>
          <w:noProof/>
          <w:sz w:val="20"/>
          <w:szCs w:val="20"/>
        </w:rPr>
      </w:pPr>
      <w:r w:rsidRPr="001F224B">
        <w:rPr>
          <w:rFonts w:ascii="Arial" w:hAnsi="Arial" w:cs="Arial"/>
          <w:noProof/>
          <w:sz w:val="20"/>
          <w:szCs w:val="20"/>
        </w:rPr>
        <w:t>Sorumlu Denetçi</w:t>
      </w:r>
    </w:p>
    <w:p w14:paraId="45DAD1B8" w14:textId="77777777" w:rsidR="00650A8A" w:rsidRPr="001F224B" w:rsidRDefault="00650A8A" w:rsidP="00650A8A">
      <w:pPr>
        <w:autoSpaceDE w:val="0"/>
        <w:autoSpaceDN w:val="0"/>
        <w:adjustRightInd w:val="0"/>
        <w:ind w:right="283"/>
        <w:jc w:val="both"/>
        <w:rPr>
          <w:rFonts w:ascii="Arial" w:hAnsi="Arial" w:cs="Arial"/>
          <w:noProof/>
          <w:sz w:val="20"/>
          <w:szCs w:val="20"/>
        </w:rPr>
      </w:pPr>
    </w:p>
    <w:p w14:paraId="76AC619F" w14:textId="77777777" w:rsidR="00650A8A" w:rsidRPr="001F224B" w:rsidRDefault="00650A8A" w:rsidP="00650A8A">
      <w:pPr>
        <w:autoSpaceDE w:val="0"/>
        <w:autoSpaceDN w:val="0"/>
        <w:adjustRightInd w:val="0"/>
        <w:ind w:right="283"/>
        <w:jc w:val="both"/>
        <w:rPr>
          <w:rFonts w:ascii="Arial" w:hAnsi="Arial" w:cs="Arial"/>
          <w:noProof/>
          <w:sz w:val="20"/>
          <w:szCs w:val="20"/>
        </w:rPr>
      </w:pPr>
    </w:p>
    <w:p w14:paraId="403A2A19" w14:textId="2D40BBCD" w:rsidR="00B95ACB" w:rsidRPr="001F224B" w:rsidRDefault="00B95ACB" w:rsidP="00B95ACB">
      <w:pPr>
        <w:pStyle w:val="NoSpacing"/>
        <w:ind w:right="283"/>
        <w:rPr>
          <w:rFonts w:ascii="Arial" w:hAnsi="Arial" w:cs="Arial"/>
          <w:noProof/>
          <w:sz w:val="20"/>
          <w:szCs w:val="20"/>
        </w:rPr>
      </w:pPr>
      <w:r w:rsidRPr="001F224B">
        <w:rPr>
          <w:rFonts w:ascii="Arial" w:hAnsi="Arial" w:cs="Arial"/>
          <w:noProof/>
          <w:sz w:val="20"/>
          <w:szCs w:val="20"/>
        </w:rPr>
        <w:t>2</w:t>
      </w:r>
      <w:r w:rsidR="00C3485F" w:rsidRPr="001F224B">
        <w:rPr>
          <w:rFonts w:ascii="Arial" w:hAnsi="Arial" w:cs="Arial"/>
          <w:noProof/>
          <w:sz w:val="20"/>
          <w:szCs w:val="20"/>
        </w:rPr>
        <w:t>4</w:t>
      </w:r>
      <w:r w:rsidRPr="001F224B">
        <w:rPr>
          <w:rFonts w:ascii="Arial" w:hAnsi="Arial" w:cs="Arial"/>
          <w:noProof/>
          <w:sz w:val="20"/>
          <w:szCs w:val="20"/>
        </w:rPr>
        <w:t xml:space="preserve"> </w:t>
      </w:r>
      <w:r w:rsidR="00C3485F" w:rsidRPr="001F224B">
        <w:rPr>
          <w:rFonts w:ascii="Arial" w:hAnsi="Arial" w:cs="Arial"/>
          <w:noProof/>
          <w:sz w:val="20"/>
          <w:szCs w:val="20"/>
        </w:rPr>
        <w:t xml:space="preserve">Temmuz </w:t>
      </w:r>
      <w:r w:rsidRPr="001F224B">
        <w:rPr>
          <w:rFonts w:ascii="Arial" w:hAnsi="Arial" w:cs="Arial"/>
          <w:noProof/>
          <w:sz w:val="20"/>
          <w:szCs w:val="20"/>
        </w:rPr>
        <w:t>2025</w:t>
      </w:r>
    </w:p>
    <w:p w14:paraId="3F1602B0" w14:textId="77777777" w:rsidR="00650A8A" w:rsidRPr="001F224B" w:rsidRDefault="00650A8A" w:rsidP="00650A8A">
      <w:pPr>
        <w:ind w:right="283"/>
        <w:rPr>
          <w:rFonts w:ascii="Arial" w:hAnsi="Arial" w:cs="Arial"/>
          <w:sz w:val="20"/>
          <w:szCs w:val="20"/>
        </w:rPr>
      </w:pPr>
      <w:r w:rsidRPr="001F224B">
        <w:rPr>
          <w:rFonts w:ascii="Arial" w:hAnsi="Arial" w:cs="Arial"/>
          <w:noProof/>
          <w:sz w:val="20"/>
          <w:szCs w:val="20"/>
        </w:rPr>
        <w:t>İstanbul, Türkiye</w:t>
      </w:r>
    </w:p>
    <w:p w14:paraId="4A71E983" w14:textId="77777777" w:rsidR="00650A8A" w:rsidRPr="001F224B" w:rsidRDefault="00650A8A" w:rsidP="00650A8A">
      <w:pPr>
        <w:ind w:left="-142" w:right="-188"/>
        <w:rPr>
          <w:b/>
          <w:bCs/>
          <w:sz w:val="22"/>
          <w:szCs w:val="22"/>
        </w:rPr>
      </w:pPr>
    </w:p>
    <w:p w14:paraId="40745647" w14:textId="1B614D88" w:rsidR="00CA5498" w:rsidRPr="001F224B" w:rsidRDefault="00CA5498" w:rsidP="00CA5498">
      <w:pPr>
        <w:rPr>
          <w:rFonts w:eastAsia="Calibri"/>
          <w:sz w:val="20"/>
          <w:szCs w:val="20"/>
        </w:rPr>
        <w:sectPr w:rsidR="00CA5498" w:rsidRPr="001F224B" w:rsidSect="00EB03B1">
          <w:headerReference w:type="default" r:id="rId64"/>
          <w:pgSz w:w="11906" w:h="16838" w:code="9"/>
          <w:pgMar w:top="3119" w:right="1418" w:bottom="1418" w:left="1418" w:header="709" w:footer="709" w:gutter="0"/>
          <w:cols w:space="708"/>
          <w:docGrid w:linePitch="360"/>
        </w:sectPr>
      </w:pPr>
    </w:p>
    <w:p w14:paraId="6E517D93" w14:textId="6CB46BE6" w:rsidR="0011642C" w:rsidRPr="001F224B" w:rsidRDefault="00CA5498" w:rsidP="00BC53D1">
      <w:pPr>
        <w:widowControl w:val="0"/>
        <w:autoSpaceDE w:val="0"/>
        <w:adjustRightInd w:val="0"/>
        <w:spacing w:line="230" w:lineRule="auto"/>
        <w:ind w:right="-23" w:hanging="10"/>
        <w:jc w:val="both"/>
        <w:rPr>
          <w:b/>
          <w:sz w:val="20"/>
          <w:szCs w:val="20"/>
        </w:rPr>
      </w:pPr>
      <w:r w:rsidRPr="001F224B">
        <w:rPr>
          <w:rFonts w:eastAsia="Calibri"/>
          <w:sz w:val="20"/>
          <w:szCs w:val="20"/>
        </w:rPr>
        <w:lastRenderedPageBreak/>
        <w:tab/>
      </w:r>
    </w:p>
    <w:p w14:paraId="6060336E" w14:textId="77777777" w:rsidR="00BC53D1" w:rsidRPr="001F224B" w:rsidRDefault="00BC53D1" w:rsidP="00BC53D1">
      <w:pPr>
        <w:widowControl w:val="0"/>
        <w:autoSpaceDE w:val="0"/>
        <w:adjustRightInd w:val="0"/>
        <w:spacing w:line="230" w:lineRule="auto"/>
        <w:ind w:right="-23" w:hanging="10"/>
        <w:jc w:val="both"/>
        <w:rPr>
          <w:b/>
          <w:bCs/>
          <w:sz w:val="22"/>
          <w:szCs w:val="22"/>
        </w:rPr>
      </w:pPr>
    </w:p>
    <w:p w14:paraId="1D39ABE2" w14:textId="1BCB3705" w:rsidR="00413894" w:rsidRPr="001F224B" w:rsidRDefault="00413894" w:rsidP="0008230E">
      <w:pPr>
        <w:ind w:left="-142" w:right="-188"/>
        <w:jc w:val="center"/>
        <w:rPr>
          <w:b/>
          <w:bCs/>
          <w:sz w:val="22"/>
          <w:szCs w:val="22"/>
        </w:rPr>
      </w:pPr>
      <w:r w:rsidRPr="001F224B">
        <w:rPr>
          <w:b/>
          <w:bCs/>
          <w:sz w:val="22"/>
          <w:szCs w:val="22"/>
        </w:rPr>
        <w:t xml:space="preserve">TÜRKİYE KALKINMA VE YATIRIM BANKASI A.Ş.’NİN </w:t>
      </w:r>
      <w:r w:rsidR="00CE31B9" w:rsidRPr="001F224B">
        <w:rPr>
          <w:b/>
          <w:bCs/>
          <w:sz w:val="22"/>
          <w:szCs w:val="22"/>
        </w:rPr>
        <w:t>30 HAZİRAN</w:t>
      </w:r>
      <w:r w:rsidRPr="001F224B">
        <w:rPr>
          <w:b/>
          <w:bCs/>
          <w:sz w:val="22"/>
          <w:szCs w:val="22"/>
        </w:rPr>
        <w:t xml:space="preserve"> 2025</w:t>
      </w:r>
    </w:p>
    <w:p w14:paraId="4883B5D2" w14:textId="70284BBF" w:rsidR="00413894" w:rsidRPr="001F224B" w:rsidRDefault="00413894" w:rsidP="0008230E">
      <w:pPr>
        <w:ind w:left="-142" w:right="-188"/>
        <w:jc w:val="center"/>
        <w:rPr>
          <w:b/>
          <w:bCs/>
          <w:sz w:val="22"/>
          <w:szCs w:val="22"/>
        </w:rPr>
      </w:pPr>
      <w:r w:rsidRPr="001F224B">
        <w:rPr>
          <w:b/>
          <w:bCs/>
          <w:sz w:val="22"/>
          <w:szCs w:val="22"/>
        </w:rPr>
        <w:t xml:space="preserve"> TARİHİ İTİBARIYLA HAZIRLANAN </w:t>
      </w:r>
      <w:r w:rsidR="00440696" w:rsidRPr="001F224B">
        <w:rPr>
          <w:b/>
          <w:bCs/>
          <w:sz w:val="22"/>
          <w:szCs w:val="22"/>
        </w:rPr>
        <w:t>ALTI</w:t>
      </w:r>
      <w:r w:rsidRPr="001F224B">
        <w:rPr>
          <w:b/>
          <w:bCs/>
          <w:sz w:val="22"/>
          <w:szCs w:val="22"/>
        </w:rPr>
        <w:t xml:space="preserve"> AYLIK KONSOLİDE FİNANSAL RAPORU</w:t>
      </w:r>
    </w:p>
    <w:p w14:paraId="7FE32662" w14:textId="77777777" w:rsidR="00413894" w:rsidRPr="001F224B" w:rsidRDefault="00413894" w:rsidP="0008230E">
      <w:pPr>
        <w:jc w:val="center"/>
        <w:rPr>
          <w:b/>
          <w:bCs/>
          <w:sz w:val="16"/>
          <w:szCs w:val="16"/>
        </w:rPr>
      </w:pPr>
    </w:p>
    <w:p w14:paraId="4844696C" w14:textId="77777777" w:rsidR="00413894" w:rsidRPr="001F224B" w:rsidRDefault="00413894" w:rsidP="0008230E">
      <w:pPr>
        <w:jc w:val="both"/>
        <w:rPr>
          <w:b/>
          <w:bCs/>
          <w:sz w:val="22"/>
          <w:szCs w:val="22"/>
        </w:rPr>
      </w:pPr>
    </w:p>
    <w:tbl>
      <w:tblPr>
        <w:tblW w:w="0" w:type="auto"/>
        <w:tblInd w:w="108" w:type="dxa"/>
        <w:tblLook w:val="04A0" w:firstRow="1" w:lastRow="0" w:firstColumn="1" w:lastColumn="0" w:noHBand="0" w:noVBand="1"/>
      </w:tblPr>
      <w:tblGrid>
        <w:gridCol w:w="2951"/>
        <w:gridCol w:w="4990"/>
      </w:tblGrid>
      <w:tr w:rsidR="00413894" w:rsidRPr="001F224B" w14:paraId="180461B7" w14:textId="77777777" w:rsidTr="0008230E">
        <w:trPr>
          <w:trHeight w:val="461"/>
        </w:trPr>
        <w:tc>
          <w:tcPr>
            <w:tcW w:w="2951" w:type="dxa"/>
          </w:tcPr>
          <w:p w14:paraId="038D3CC3" w14:textId="77777777" w:rsidR="00413894" w:rsidRPr="001F224B" w:rsidRDefault="00413894" w:rsidP="00413894">
            <w:pPr>
              <w:jc w:val="both"/>
              <w:rPr>
                <w:b/>
                <w:bCs/>
                <w:sz w:val="22"/>
                <w:szCs w:val="22"/>
              </w:rPr>
            </w:pPr>
            <w:r w:rsidRPr="001F224B">
              <w:rPr>
                <w:sz w:val="22"/>
                <w:szCs w:val="22"/>
              </w:rPr>
              <w:t>Yönetim Merkezinin Adresi</w:t>
            </w:r>
          </w:p>
        </w:tc>
        <w:tc>
          <w:tcPr>
            <w:tcW w:w="4990" w:type="dxa"/>
          </w:tcPr>
          <w:p w14:paraId="5C60C73A" w14:textId="77777777" w:rsidR="00413894" w:rsidRPr="001F224B" w:rsidRDefault="00413894" w:rsidP="00413894">
            <w:pPr>
              <w:rPr>
                <w:sz w:val="22"/>
                <w:szCs w:val="22"/>
              </w:rPr>
            </w:pPr>
            <w:r w:rsidRPr="001F224B">
              <w:rPr>
                <w:sz w:val="22"/>
                <w:szCs w:val="22"/>
              </w:rPr>
              <w:t xml:space="preserve">İnkılap Mahallesi </w:t>
            </w:r>
          </w:p>
          <w:p w14:paraId="07C7D35E" w14:textId="77777777" w:rsidR="00413894" w:rsidRPr="001F224B" w:rsidRDefault="00413894" w:rsidP="00413894">
            <w:pPr>
              <w:rPr>
                <w:b/>
                <w:bCs/>
                <w:sz w:val="22"/>
                <w:szCs w:val="22"/>
              </w:rPr>
            </w:pPr>
            <w:r w:rsidRPr="001F224B">
              <w:rPr>
                <w:sz w:val="22"/>
                <w:szCs w:val="22"/>
              </w:rPr>
              <w:t>Dr.Adnan Büyükdeniz Cad. No:10</w:t>
            </w:r>
          </w:p>
        </w:tc>
      </w:tr>
      <w:tr w:rsidR="00413894" w:rsidRPr="001F224B" w14:paraId="09CE1687" w14:textId="77777777" w:rsidTr="0008230E">
        <w:trPr>
          <w:trHeight w:val="230"/>
        </w:trPr>
        <w:tc>
          <w:tcPr>
            <w:tcW w:w="2951" w:type="dxa"/>
          </w:tcPr>
          <w:p w14:paraId="7B257588" w14:textId="77777777" w:rsidR="00413894" w:rsidRPr="001F224B" w:rsidRDefault="00413894" w:rsidP="00413894">
            <w:pPr>
              <w:jc w:val="both"/>
              <w:rPr>
                <w:b/>
                <w:bCs/>
                <w:sz w:val="22"/>
                <w:szCs w:val="22"/>
              </w:rPr>
            </w:pPr>
          </w:p>
        </w:tc>
        <w:tc>
          <w:tcPr>
            <w:tcW w:w="4990" w:type="dxa"/>
          </w:tcPr>
          <w:p w14:paraId="671ACA41" w14:textId="77777777" w:rsidR="00413894" w:rsidRPr="001F224B" w:rsidRDefault="00413894" w:rsidP="00413894">
            <w:pPr>
              <w:rPr>
                <w:b/>
                <w:bCs/>
                <w:sz w:val="22"/>
                <w:szCs w:val="22"/>
              </w:rPr>
            </w:pPr>
            <w:r w:rsidRPr="001F224B">
              <w:rPr>
                <w:sz w:val="22"/>
                <w:szCs w:val="22"/>
              </w:rPr>
              <w:t>Ümraniye / İSTANBUL</w:t>
            </w:r>
          </w:p>
        </w:tc>
      </w:tr>
      <w:tr w:rsidR="00413894" w:rsidRPr="001F224B" w14:paraId="7C5B4989" w14:textId="77777777" w:rsidTr="0008230E">
        <w:trPr>
          <w:trHeight w:val="230"/>
        </w:trPr>
        <w:tc>
          <w:tcPr>
            <w:tcW w:w="2951" w:type="dxa"/>
          </w:tcPr>
          <w:p w14:paraId="4242F6A2" w14:textId="77777777" w:rsidR="00413894" w:rsidRPr="001F224B" w:rsidRDefault="00413894" w:rsidP="00413894">
            <w:pPr>
              <w:jc w:val="both"/>
              <w:rPr>
                <w:bCs/>
                <w:sz w:val="22"/>
                <w:szCs w:val="22"/>
              </w:rPr>
            </w:pPr>
            <w:r w:rsidRPr="001F224B">
              <w:rPr>
                <w:bCs/>
                <w:sz w:val="22"/>
                <w:szCs w:val="22"/>
              </w:rPr>
              <w:t>Telefon ve Faks Numaraları</w:t>
            </w:r>
          </w:p>
        </w:tc>
        <w:tc>
          <w:tcPr>
            <w:tcW w:w="4990" w:type="dxa"/>
          </w:tcPr>
          <w:p w14:paraId="1DFC8A88" w14:textId="77777777" w:rsidR="00413894" w:rsidRPr="001F224B" w:rsidRDefault="00413894" w:rsidP="00413894">
            <w:pPr>
              <w:rPr>
                <w:b/>
                <w:bCs/>
                <w:sz w:val="22"/>
                <w:szCs w:val="22"/>
              </w:rPr>
            </w:pPr>
            <w:r w:rsidRPr="001F224B">
              <w:rPr>
                <w:sz w:val="22"/>
                <w:szCs w:val="22"/>
              </w:rPr>
              <w:t>Tel: 0 216 636 87 00</w:t>
            </w:r>
          </w:p>
        </w:tc>
      </w:tr>
      <w:tr w:rsidR="00413894" w:rsidRPr="001F224B" w14:paraId="1058C061" w14:textId="77777777" w:rsidTr="0008230E">
        <w:trPr>
          <w:trHeight w:val="230"/>
        </w:trPr>
        <w:tc>
          <w:tcPr>
            <w:tcW w:w="2951" w:type="dxa"/>
          </w:tcPr>
          <w:p w14:paraId="55210D92" w14:textId="77777777" w:rsidR="00413894" w:rsidRPr="001F224B" w:rsidRDefault="00413894" w:rsidP="00413894">
            <w:pPr>
              <w:jc w:val="both"/>
              <w:rPr>
                <w:b/>
                <w:bCs/>
                <w:sz w:val="22"/>
                <w:szCs w:val="22"/>
              </w:rPr>
            </w:pPr>
          </w:p>
        </w:tc>
        <w:tc>
          <w:tcPr>
            <w:tcW w:w="4990" w:type="dxa"/>
          </w:tcPr>
          <w:p w14:paraId="70127D2B" w14:textId="77777777" w:rsidR="00413894" w:rsidRPr="001F224B" w:rsidRDefault="00413894" w:rsidP="00413894">
            <w:pPr>
              <w:rPr>
                <w:b/>
                <w:bCs/>
                <w:sz w:val="22"/>
                <w:szCs w:val="22"/>
              </w:rPr>
            </w:pPr>
            <w:r w:rsidRPr="001F224B">
              <w:rPr>
                <w:sz w:val="22"/>
                <w:szCs w:val="22"/>
              </w:rPr>
              <w:t>Faks: 0 216 636 89 28</w:t>
            </w:r>
          </w:p>
        </w:tc>
      </w:tr>
      <w:tr w:rsidR="00413894" w:rsidRPr="001F224B" w14:paraId="46FAEB1C" w14:textId="77777777" w:rsidTr="0008230E">
        <w:trPr>
          <w:trHeight w:val="472"/>
        </w:trPr>
        <w:tc>
          <w:tcPr>
            <w:tcW w:w="2951" w:type="dxa"/>
          </w:tcPr>
          <w:p w14:paraId="37D8F020" w14:textId="77777777" w:rsidR="00413894" w:rsidRPr="001F224B" w:rsidRDefault="00413894" w:rsidP="00413894">
            <w:pPr>
              <w:jc w:val="both"/>
              <w:rPr>
                <w:bCs/>
                <w:sz w:val="22"/>
                <w:szCs w:val="22"/>
              </w:rPr>
            </w:pPr>
            <w:r w:rsidRPr="001F224B">
              <w:rPr>
                <w:bCs/>
                <w:sz w:val="22"/>
                <w:szCs w:val="22"/>
              </w:rPr>
              <w:t>İnternet Sayfası Adresi</w:t>
            </w:r>
          </w:p>
          <w:p w14:paraId="1880DFE2" w14:textId="77777777" w:rsidR="00413894" w:rsidRPr="001F224B" w:rsidRDefault="00413894" w:rsidP="00413894">
            <w:pPr>
              <w:jc w:val="both"/>
              <w:rPr>
                <w:b/>
                <w:bCs/>
                <w:sz w:val="22"/>
                <w:szCs w:val="22"/>
              </w:rPr>
            </w:pPr>
            <w:r w:rsidRPr="001F224B">
              <w:rPr>
                <w:bCs/>
                <w:sz w:val="22"/>
                <w:szCs w:val="22"/>
              </w:rPr>
              <w:t>Elektronik Posta Adresi</w:t>
            </w:r>
          </w:p>
        </w:tc>
        <w:tc>
          <w:tcPr>
            <w:tcW w:w="4990" w:type="dxa"/>
          </w:tcPr>
          <w:p w14:paraId="231995EE" w14:textId="77777777" w:rsidR="00413894" w:rsidRPr="001F224B" w:rsidRDefault="00413894" w:rsidP="00413894">
            <w:pPr>
              <w:tabs>
                <w:tab w:val="right" w:pos="4759"/>
              </w:tabs>
              <w:rPr>
                <w:sz w:val="22"/>
                <w:szCs w:val="22"/>
              </w:rPr>
            </w:pPr>
            <w:r w:rsidRPr="001F224B">
              <w:rPr>
                <w:sz w:val="22"/>
                <w:szCs w:val="22"/>
              </w:rPr>
              <w:t>http://www.kalkinma.com.tr</w:t>
            </w:r>
            <w:r w:rsidRPr="001F224B">
              <w:rPr>
                <w:sz w:val="22"/>
                <w:szCs w:val="22"/>
              </w:rPr>
              <w:tab/>
            </w:r>
          </w:p>
          <w:p w14:paraId="2799811D" w14:textId="77777777" w:rsidR="00413894" w:rsidRPr="001F224B" w:rsidRDefault="00413894" w:rsidP="00413894">
            <w:pPr>
              <w:rPr>
                <w:bCs/>
                <w:sz w:val="22"/>
                <w:szCs w:val="22"/>
              </w:rPr>
            </w:pPr>
            <w:r w:rsidRPr="001F224B">
              <w:rPr>
                <w:bCs/>
                <w:sz w:val="22"/>
                <w:szCs w:val="22"/>
              </w:rPr>
              <w:t>muhasebe@kalkinma.com.tr</w:t>
            </w:r>
          </w:p>
        </w:tc>
      </w:tr>
      <w:tr w:rsidR="00413894" w:rsidRPr="001F224B" w14:paraId="4CEFE656" w14:textId="77777777" w:rsidTr="0008230E">
        <w:trPr>
          <w:trHeight w:val="230"/>
        </w:trPr>
        <w:tc>
          <w:tcPr>
            <w:tcW w:w="2951" w:type="dxa"/>
            <w:vAlign w:val="bottom"/>
          </w:tcPr>
          <w:p w14:paraId="231A6625" w14:textId="77777777" w:rsidR="00413894" w:rsidRPr="001F224B" w:rsidRDefault="00413894" w:rsidP="00413894">
            <w:pPr>
              <w:jc w:val="both"/>
              <w:rPr>
                <w:b/>
                <w:bCs/>
                <w:sz w:val="22"/>
                <w:szCs w:val="22"/>
              </w:rPr>
            </w:pPr>
          </w:p>
        </w:tc>
        <w:tc>
          <w:tcPr>
            <w:tcW w:w="4990" w:type="dxa"/>
          </w:tcPr>
          <w:p w14:paraId="46CD4C2B" w14:textId="77777777" w:rsidR="00413894" w:rsidRPr="001F224B" w:rsidRDefault="00413894" w:rsidP="00413894">
            <w:pPr>
              <w:rPr>
                <w:b/>
                <w:bCs/>
                <w:sz w:val="22"/>
                <w:szCs w:val="22"/>
              </w:rPr>
            </w:pPr>
          </w:p>
        </w:tc>
      </w:tr>
    </w:tbl>
    <w:p w14:paraId="2A644D7B" w14:textId="55A80E7E" w:rsidR="00413894" w:rsidRPr="001F224B" w:rsidRDefault="00413894" w:rsidP="0008230E">
      <w:pPr>
        <w:tabs>
          <w:tab w:val="left" w:pos="0"/>
          <w:tab w:val="left" w:pos="567"/>
          <w:tab w:val="left" w:pos="720"/>
        </w:tabs>
        <w:ind w:right="-472"/>
        <w:jc w:val="both"/>
        <w:rPr>
          <w:sz w:val="22"/>
          <w:szCs w:val="22"/>
        </w:rPr>
      </w:pPr>
      <w:r w:rsidRPr="001F224B">
        <w:rPr>
          <w:sz w:val="22"/>
          <w:szCs w:val="22"/>
        </w:rPr>
        <w:t xml:space="preserve">Bankacılık Düzenleme ve Denetleme Kurumu tarafından düzenlenen Bankalarca Kamuya Açıklanacak Finansal Tablolar ile Bunlara İlişkin Açıklama ve Dipnotlar Hakkında Tebliğe göre hazırlanan </w:t>
      </w:r>
      <w:r w:rsidR="00502965" w:rsidRPr="001F224B">
        <w:rPr>
          <w:sz w:val="22"/>
          <w:szCs w:val="22"/>
        </w:rPr>
        <w:t>altı</w:t>
      </w:r>
      <w:r w:rsidRPr="001F224B">
        <w:rPr>
          <w:sz w:val="22"/>
          <w:szCs w:val="22"/>
        </w:rPr>
        <w:t xml:space="preserve"> aylık konsolide finansal rapor aşağıda yer alan bölümlerden oluşmaktadır:</w:t>
      </w:r>
    </w:p>
    <w:p w14:paraId="64FD3229" w14:textId="77777777" w:rsidR="00413894" w:rsidRPr="001F224B" w:rsidRDefault="00413894" w:rsidP="0008230E">
      <w:pPr>
        <w:pStyle w:val="BodyText"/>
        <w:rPr>
          <w:sz w:val="12"/>
          <w:szCs w:val="12"/>
        </w:rPr>
      </w:pPr>
    </w:p>
    <w:p w14:paraId="607A3DDD" w14:textId="77777777" w:rsidR="00413894" w:rsidRPr="001F224B" w:rsidRDefault="00413894" w:rsidP="00413894">
      <w:pPr>
        <w:numPr>
          <w:ilvl w:val="0"/>
          <w:numId w:val="2"/>
        </w:numPr>
        <w:jc w:val="both"/>
        <w:rPr>
          <w:sz w:val="22"/>
          <w:szCs w:val="22"/>
        </w:rPr>
      </w:pPr>
      <w:r w:rsidRPr="001F224B">
        <w:rPr>
          <w:sz w:val="22"/>
          <w:szCs w:val="22"/>
        </w:rPr>
        <w:t>ANA ORTAKLIK BANKA HAKKINDA GENEL BİLGİLER</w:t>
      </w:r>
    </w:p>
    <w:p w14:paraId="4CA42180" w14:textId="77777777" w:rsidR="00413894" w:rsidRPr="001F224B" w:rsidRDefault="00413894" w:rsidP="00413894">
      <w:pPr>
        <w:numPr>
          <w:ilvl w:val="0"/>
          <w:numId w:val="2"/>
        </w:numPr>
        <w:jc w:val="both"/>
        <w:rPr>
          <w:sz w:val="22"/>
          <w:szCs w:val="22"/>
        </w:rPr>
      </w:pPr>
      <w:r w:rsidRPr="001F224B">
        <w:rPr>
          <w:sz w:val="22"/>
          <w:szCs w:val="22"/>
        </w:rPr>
        <w:t>ANA ORTAKLIK BANKA’NIN KONSOLİDE FİNANSAL TABLOLARI</w:t>
      </w:r>
    </w:p>
    <w:p w14:paraId="4FA5F9A6" w14:textId="77777777" w:rsidR="00413894" w:rsidRPr="001F224B" w:rsidRDefault="00413894" w:rsidP="00413894">
      <w:pPr>
        <w:numPr>
          <w:ilvl w:val="0"/>
          <w:numId w:val="2"/>
        </w:numPr>
        <w:ind w:right="-472"/>
        <w:jc w:val="both"/>
        <w:rPr>
          <w:sz w:val="22"/>
          <w:szCs w:val="22"/>
        </w:rPr>
      </w:pPr>
      <w:r w:rsidRPr="001F224B">
        <w:rPr>
          <w:sz w:val="22"/>
          <w:szCs w:val="22"/>
        </w:rPr>
        <w:t>İLGİLİ DÖNEMDE UYGULANAN MUHASEBE POLİTİKALARINA İLİŞKİN AÇIKLAMALAR</w:t>
      </w:r>
    </w:p>
    <w:p w14:paraId="2D674074" w14:textId="77777777" w:rsidR="00413894" w:rsidRPr="001F224B" w:rsidRDefault="00413894" w:rsidP="00413894">
      <w:pPr>
        <w:numPr>
          <w:ilvl w:val="0"/>
          <w:numId w:val="2"/>
        </w:numPr>
        <w:jc w:val="both"/>
        <w:rPr>
          <w:sz w:val="22"/>
          <w:szCs w:val="22"/>
        </w:rPr>
      </w:pPr>
      <w:r w:rsidRPr="001F224B">
        <w:rPr>
          <w:sz w:val="22"/>
          <w:szCs w:val="22"/>
        </w:rPr>
        <w:t>KONSOLİDASYON KAPSAMINDAKİ GRUBUN MALİ BÜNYESİNE VE RİSK YÖNETİMİNE İLİŞKİN BİLGİLER</w:t>
      </w:r>
    </w:p>
    <w:p w14:paraId="6D20723D" w14:textId="77777777" w:rsidR="00413894" w:rsidRPr="001F224B" w:rsidRDefault="00413894" w:rsidP="00413894">
      <w:pPr>
        <w:numPr>
          <w:ilvl w:val="0"/>
          <w:numId w:val="2"/>
        </w:numPr>
        <w:jc w:val="both"/>
        <w:rPr>
          <w:sz w:val="22"/>
          <w:szCs w:val="22"/>
        </w:rPr>
      </w:pPr>
      <w:r w:rsidRPr="001F224B">
        <w:rPr>
          <w:sz w:val="22"/>
          <w:szCs w:val="22"/>
        </w:rPr>
        <w:t>KONSOLİDE FİNANSAL TABLOLARA İLİŞKİN AÇIKLAMA VE DİPNOTLAR</w:t>
      </w:r>
    </w:p>
    <w:p w14:paraId="10CB6EAC" w14:textId="77777777" w:rsidR="00413894" w:rsidRPr="001F224B" w:rsidRDefault="00413894" w:rsidP="00413894">
      <w:pPr>
        <w:numPr>
          <w:ilvl w:val="0"/>
          <w:numId w:val="2"/>
        </w:numPr>
        <w:jc w:val="both"/>
        <w:rPr>
          <w:sz w:val="22"/>
          <w:szCs w:val="22"/>
        </w:rPr>
      </w:pPr>
      <w:r w:rsidRPr="001F224B">
        <w:rPr>
          <w:sz w:val="22"/>
          <w:szCs w:val="22"/>
        </w:rPr>
        <w:t>SINIRLI DENETİM RAPORU</w:t>
      </w:r>
    </w:p>
    <w:p w14:paraId="67616E29" w14:textId="77777777" w:rsidR="00413894" w:rsidRPr="001F224B" w:rsidRDefault="00413894" w:rsidP="00413894">
      <w:pPr>
        <w:numPr>
          <w:ilvl w:val="0"/>
          <w:numId w:val="2"/>
        </w:numPr>
        <w:jc w:val="both"/>
        <w:rPr>
          <w:sz w:val="22"/>
          <w:szCs w:val="22"/>
        </w:rPr>
      </w:pPr>
      <w:r w:rsidRPr="001F224B">
        <w:rPr>
          <w:sz w:val="22"/>
          <w:szCs w:val="22"/>
        </w:rPr>
        <w:t>KONSOLİDE ARA DÖNEM FAALİYET RAPORU</w:t>
      </w:r>
    </w:p>
    <w:p w14:paraId="1FCC0525" w14:textId="77777777" w:rsidR="00413894" w:rsidRPr="001F224B" w:rsidRDefault="00413894" w:rsidP="0008230E">
      <w:pPr>
        <w:ind w:left="540"/>
        <w:jc w:val="both"/>
        <w:rPr>
          <w:sz w:val="10"/>
          <w:szCs w:val="10"/>
        </w:rPr>
      </w:pPr>
    </w:p>
    <w:p w14:paraId="70EE25A5" w14:textId="77777777" w:rsidR="00413894" w:rsidRPr="001F224B" w:rsidRDefault="00413894" w:rsidP="0008230E">
      <w:pPr>
        <w:jc w:val="both"/>
        <w:rPr>
          <w:sz w:val="12"/>
          <w:szCs w:val="12"/>
        </w:rPr>
      </w:pPr>
    </w:p>
    <w:p w14:paraId="7B271689" w14:textId="77777777" w:rsidR="00413894" w:rsidRPr="001F224B" w:rsidRDefault="00413894" w:rsidP="0008230E">
      <w:pPr>
        <w:ind w:right="-472"/>
        <w:jc w:val="both"/>
        <w:rPr>
          <w:sz w:val="22"/>
          <w:szCs w:val="22"/>
        </w:rPr>
      </w:pPr>
      <w:r w:rsidRPr="001F224B">
        <w:rPr>
          <w:sz w:val="22"/>
          <w:szCs w:val="22"/>
        </w:rPr>
        <w:t>Bu konsolide finansal rapor çerçevesinde finansal tabloları konsolide edilen bağlı ortaklıklarımız aşağıdadır:</w:t>
      </w:r>
    </w:p>
    <w:p w14:paraId="25987FAE" w14:textId="77777777" w:rsidR="00413894" w:rsidRPr="001F224B" w:rsidRDefault="00413894" w:rsidP="0008230E">
      <w:pPr>
        <w:ind w:right="-472"/>
        <w:jc w:val="both"/>
        <w:rPr>
          <w:sz w:val="8"/>
          <w:szCs w:val="8"/>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413894" w:rsidRPr="001F224B" w14:paraId="182DB36F" w14:textId="77777777" w:rsidTr="0008230E">
        <w:tc>
          <w:tcPr>
            <w:tcW w:w="9016" w:type="dxa"/>
            <w:tcBorders>
              <w:bottom w:val="single" w:sz="4" w:space="0" w:color="000000"/>
            </w:tcBorders>
          </w:tcPr>
          <w:p w14:paraId="6666FE11" w14:textId="77777777" w:rsidR="00413894" w:rsidRPr="001F224B" w:rsidRDefault="00413894" w:rsidP="00413894">
            <w:pPr>
              <w:pStyle w:val="BodyText"/>
              <w:rPr>
                <w:sz w:val="22"/>
                <w:szCs w:val="22"/>
              </w:rPr>
            </w:pPr>
            <w:r w:rsidRPr="001F224B">
              <w:rPr>
                <w:b/>
                <w:sz w:val="20"/>
                <w:szCs w:val="20"/>
              </w:rPr>
              <w:t>Bağlı ortaklıklar</w:t>
            </w:r>
          </w:p>
        </w:tc>
      </w:tr>
      <w:tr w:rsidR="00413894" w:rsidRPr="001F224B" w14:paraId="3B43BBC1" w14:textId="77777777" w:rsidTr="0008230E">
        <w:tblPrEx>
          <w:tblBorders>
            <w:left w:val="single" w:sz="4" w:space="0" w:color="000000"/>
            <w:right w:val="single" w:sz="4" w:space="0" w:color="000000"/>
          </w:tblBorders>
        </w:tblPrEx>
        <w:trPr>
          <w:trHeight w:val="653"/>
        </w:trPr>
        <w:tc>
          <w:tcPr>
            <w:tcW w:w="9016" w:type="dxa"/>
            <w:tcBorders>
              <w:top w:val="single" w:sz="4" w:space="0" w:color="000000"/>
              <w:left w:val="nil"/>
              <w:bottom w:val="nil"/>
              <w:right w:val="nil"/>
            </w:tcBorders>
          </w:tcPr>
          <w:p w14:paraId="2C497A53" w14:textId="77777777" w:rsidR="00413894" w:rsidRPr="001F224B" w:rsidRDefault="00413894" w:rsidP="00413894">
            <w:pPr>
              <w:pStyle w:val="TableParagraph"/>
              <w:ind w:left="-1"/>
              <w:jc w:val="both"/>
              <w:rPr>
                <w:lang w:eastAsia="tr-TR"/>
              </w:rPr>
            </w:pPr>
            <w:r w:rsidRPr="001F224B">
              <w:rPr>
                <w:lang w:eastAsia="tr-TR"/>
              </w:rPr>
              <w:t>Kalkınma Girişim Sermayesi Portföy Yönetimi A.Ş.</w:t>
            </w:r>
          </w:p>
          <w:p w14:paraId="19E68331" w14:textId="77777777" w:rsidR="00413894" w:rsidRPr="001F224B" w:rsidRDefault="00413894" w:rsidP="00413894">
            <w:pPr>
              <w:pStyle w:val="TableParagraph"/>
              <w:ind w:left="-1"/>
              <w:jc w:val="both"/>
            </w:pPr>
            <w:r w:rsidRPr="001F224B">
              <w:t>Kalkınma Yatırım Varlık Kiralama A.Ş.</w:t>
            </w:r>
          </w:p>
        </w:tc>
      </w:tr>
    </w:tbl>
    <w:p w14:paraId="3086A37F" w14:textId="57050FA7" w:rsidR="00413894" w:rsidRPr="001F224B" w:rsidRDefault="00413894" w:rsidP="0008230E">
      <w:pPr>
        <w:tabs>
          <w:tab w:val="left" w:pos="0"/>
          <w:tab w:val="left" w:pos="567"/>
          <w:tab w:val="left" w:pos="720"/>
        </w:tabs>
        <w:ind w:right="-188"/>
        <w:jc w:val="both"/>
        <w:rPr>
          <w:sz w:val="22"/>
          <w:szCs w:val="22"/>
        </w:rPr>
      </w:pPr>
      <w:r w:rsidRPr="001F224B">
        <w:rPr>
          <w:sz w:val="22"/>
          <w:szCs w:val="22"/>
        </w:rPr>
        <w:t xml:space="preserve">Bu raporda yer alan </w:t>
      </w:r>
      <w:r w:rsidR="0016722E" w:rsidRPr="001F224B">
        <w:rPr>
          <w:sz w:val="22"/>
          <w:szCs w:val="22"/>
        </w:rPr>
        <w:t>altı</w:t>
      </w:r>
      <w:r w:rsidRPr="001F224B">
        <w:rPr>
          <w:sz w:val="22"/>
          <w:szCs w:val="22"/>
        </w:rPr>
        <w:t xml:space="preserve"> aylık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 kayıtlarına uygun olarak, aksi belirtilmediği müddetçe </w:t>
      </w:r>
      <w:r w:rsidRPr="001F224B">
        <w:rPr>
          <w:b/>
          <w:bCs/>
          <w:sz w:val="22"/>
          <w:szCs w:val="22"/>
        </w:rPr>
        <w:t>bin Türk Lirası</w:t>
      </w:r>
      <w:r w:rsidRPr="001F224B">
        <w:rPr>
          <w:sz w:val="22"/>
          <w:szCs w:val="22"/>
        </w:rPr>
        <w:t xml:space="preserve"> cinsinden hazırlanmış olup sınırlı bağımsız denetime tabi tutulmuş ve ilişikte sunulmuştur.</w:t>
      </w:r>
    </w:p>
    <w:p w14:paraId="383B0472" w14:textId="77777777" w:rsidR="00413894" w:rsidRPr="001F224B" w:rsidRDefault="00413894" w:rsidP="0008230E">
      <w:pPr>
        <w:pStyle w:val="BodyText"/>
        <w:rPr>
          <w:sz w:val="28"/>
          <w:szCs w:val="28"/>
        </w:rPr>
      </w:pPr>
    </w:p>
    <w:p w14:paraId="4B2663ED" w14:textId="77777777" w:rsidR="00413894" w:rsidRPr="001F224B" w:rsidRDefault="00413894" w:rsidP="0008230E">
      <w:pPr>
        <w:pStyle w:val="BodyText"/>
        <w:rPr>
          <w:sz w:val="28"/>
          <w:szCs w:val="28"/>
        </w:rPr>
      </w:pPr>
    </w:p>
    <w:p w14:paraId="1AD46520" w14:textId="77777777" w:rsidR="00413894" w:rsidRPr="001F224B" w:rsidRDefault="00413894" w:rsidP="0008230E">
      <w:pPr>
        <w:pStyle w:val="BodyText"/>
        <w:rPr>
          <w:sz w:val="28"/>
          <w:szCs w:val="28"/>
        </w:rPr>
      </w:pPr>
    </w:p>
    <w:tbl>
      <w:tblPr>
        <w:tblStyle w:val="TableGrid"/>
        <w:tblW w:w="9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9"/>
        <w:gridCol w:w="2613"/>
        <w:gridCol w:w="2299"/>
        <w:gridCol w:w="2299"/>
      </w:tblGrid>
      <w:tr w:rsidR="00413894" w:rsidRPr="001F224B" w14:paraId="7C2D0A99" w14:textId="77777777" w:rsidTr="00BB65EB">
        <w:trPr>
          <w:trHeight w:val="811"/>
        </w:trPr>
        <w:tc>
          <w:tcPr>
            <w:tcW w:w="2299" w:type="dxa"/>
          </w:tcPr>
          <w:p w14:paraId="613830EC" w14:textId="77777777" w:rsidR="00413894" w:rsidRPr="001F224B" w:rsidRDefault="00413894" w:rsidP="00413894">
            <w:pPr>
              <w:pStyle w:val="BodyText"/>
              <w:jc w:val="center"/>
              <w:rPr>
                <w:sz w:val="20"/>
                <w:szCs w:val="20"/>
              </w:rPr>
            </w:pPr>
            <w:bookmarkStart w:id="1" w:name="_Hlk132026348"/>
            <w:r w:rsidRPr="001F224B">
              <w:rPr>
                <w:b/>
                <w:bCs/>
                <w:kern w:val="32"/>
                <w:sz w:val="20"/>
                <w:szCs w:val="20"/>
              </w:rPr>
              <w:t>Dr. Raci KAYA</w:t>
            </w:r>
          </w:p>
          <w:p w14:paraId="43B9C5B2" w14:textId="77777777" w:rsidR="00413894" w:rsidRPr="001F224B" w:rsidRDefault="00413894" w:rsidP="00413894">
            <w:pPr>
              <w:pStyle w:val="BodyText"/>
              <w:jc w:val="center"/>
              <w:rPr>
                <w:sz w:val="20"/>
                <w:szCs w:val="20"/>
              </w:rPr>
            </w:pPr>
            <w:r w:rsidRPr="001F224B">
              <w:rPr>
                <w:b/>
                <w:sz w:val="20"/>
                <w:szCs w:val="20"/>
              </w:rPr>
              <w:t>Yönetim Kurulu Başkanı</w:t>
            </w:r>
          </w:p>
        </w:tc>
        <w:tc>
          <w:tcPr>
            <w:tcW w:w="2613" w:type="dxa"/>
          </w:tcPr>
          <w:p w14:paraId="48E21016" w14:textId="77777777" w:rsidR="00413894" w:rsidRPr="001F224B" w:rsidRDefault="00413894" w:rsidP="00413894">
            <w:pPr>
              <w:pStyle w:val="BodyText"/>
              <w:jc w:val="center"/>
              <w:rPr>
                <w:b/>
                <w:bCs/>
                <w:sz w:val="20"/>
                <w:szCs w:val="20"/>
              </w:rPr>
            </w:pPr>
            <w:r w:rsidRPr="001F224B">
              <w:rPr>
                <w:b/>
                <w:bCs/>
                <w:sz w:val="20"/>
                <w:szCs w:val="20"/>
              </w:rPr>
              <w:t>İbrahim H. ÖZTOP</w:t>
            </w:r>
          </w:p>
          <w:p w14:paraId="238FEE57" w14:textId="77777777" w:rsidR="00413894" w:rsidRPr="001F224B" w:rsidRDefault="00413894" w:rsidP="00413894">
            <w:pPr>
              <w:pStyle w:val="BodyText"/>
              <w:jc w:val="center"/>
              <w:rPr>
                <w:b/>
                <w:sz w:val="20"/>
                <w:szCs w:val="20"/>
              </w:rPr>
            </w:pPr>
            <w:r w:rsidRPr="001F224B">
              <w:rPr>
                <w:b/>
                <w:bCs/>
                <w:sz w:val="20"/>
                <w:szCs w:val="20"/>
              </w:rPr>
              <w:t>Genel Müdür ve Yönetim</w:t>
            </w:r>
          </w:p>
          <w:p w14:paraId="63B74AFB" w14:textId="77777777" w:rsidR="00413894" w:rsidRPr="001F224B" w:rsidRDefault="00413894" w:rsidP="00413894">
            <w:pPr>
              <w:pStyle w:val="BodyText"/>
              <w:jc w:val="center"/>
              <w:rPr>
                <w:sz w:val="20"/>
                <w:szCs w:val="20"/>
              </w:rPr>
            </w:pPr>
            <w:r w:rsidRPr="001F224B">
              <w:rPr>
                <w:b/>
                <w:bCs/>
                <w:sz w:val="20"/>
                <w:szCs w:val="20"/>
              </w:rPr>
              <w:t>Kurulu Üyesi</w:t>
            </w:r>
          </w:p>
        </w:tc>
        <w:tc>
          <w:tcPr>
            <w:tcW w:w="2299" w:type="dxa"/>
          </w:tcPr>
          <w:p w14:paraId="09C4750D" w14:textId="77777777" w:rsidR="00413894" w:rsidRPr="001F224B" w:rsidRDefault="00413894" w:rsidP="00413894">
            <w:pPr>
              <w:pStyle w:val="BodyText"/>
              <w:jc w:val="center"/>
              <w:rPr>
                <w:b/>
                <w:bCs/>
                <w:sz w:val="20"/>
                <w:szCs w:val="20"/>
              </w:rPr>
            </w:pPr>
            <w:r w:rsidRPr="001F224B">
              <w:rPr>
                <w:b/>
                <w:bCs/>
                <w:sz w:val="20"/>
                <w:szCs w:val="20"/>
              </w:rPr>
              <w:t>Erdal ERDEM</w:t>
            </w:r>
          </w:p>
          <w:p w14:paraId="50CB1C7C" w14:textId="77777777" w:rsidR="00413894" w:rsidRPr="001F224B" w:rsidRDefault="00413894" w:rsidP="00413894">
            <w:pPr>
              <w:pStyle w:val="BodyText"/>
              <w:jc w:val="center"/>
              <w:rPr>
                <w:sz w:val="20"/>
                <w:szCs w:val="20"/>
              </w:rPr>
            </w:pPr>
            <w:r w:rsidRPr="001F224B">
              <w:rPr>
                <w:b/>
                <w:bCs/>
                <w:sz w:val="20"/>
                <w:szCs w:val="20"/>
              </w:rPr>
              <w:t>Denetim Komitesi</w:t>
            </w:r>
            <w:r w:rsidRPr="001F224B">
              <w:rPr>
                <w:b/>
                <w:sz w:val="20"/>
                <w:szCs w:val="20"/>
              </w:rPr>
              <w:t xml:space="preserve">                Başkanı</w:t>
            </w:r>
          </w:p>
        </w:tc>
        <w:tc>
          <w:tcPr>
            <w:tcW w:w="2299" w:type="dxa"/>
          </w:tcPr>
          <w:p w14:paraId="1B1093B2" w14:textId="77777777" w:rsidR="00413894" w:rsidRPr="001F224B" w:rsidRDefault="00413894" w:rsidP="00413894">
            <w:pPr>
              <w:pStyle w:val="BodyText"/>
              <w:jc w:val="center"/>
              <w:rPr>
                <w:b/>
                <w:bCs/>
                <w:sz w:val="20"/>
                <w:szCs w:val="20"/>
              </w:rPr>
            </w:pPr>
            <w:r w:rsidRPr="001F224B">
              <w:rPr>
                <w:b/>
                <w:bCs/>
                <w:sz w:val="20"/>
                <w:szCs w:val="20"/>
              </w:rPr>
              <w:t>Zeynep BOĞA</w:t>
            </w:r>
          </w:p>
          <w:p w14:paraId="65FED48D" w14:textId="77777777" w:rsidR="00413894" w:rsidRPr="001F224B" w:rsidRDefault="00413894" w:rsidP="00413894">
            <w:pPr>
              <w:pStyle w:val="BodyText"/>
              <w:jc w:val="center"/>
              <w:rPr>
                <w:sz w:val="20"/>
                <w:szCs w:val="20"/>
              </w:rPr>
            </w:pPr>
            <w:r w:rsidRPr="001F224B">
              <w:rPr>
                <w:b/>
                <w:bCs/>
                <w:sz w:val="20"/>
                <w:szCs w:val="20"/>
              </w:rPr>
              <w:t>Denetim Komitesi</w:t>
            </w:r>
            <w:r w:rsidRPr="001F224B">
              <w:rPr>
                <w:b/>
                <w:sz w:val="20"/>
                <w:szCs w:val="20"/>
              </w:rPr>
              <w:t xml:space="preserve"> Başkan Vekili</w:t>
            </w:r>
          </w:p>
        </w:tc>
      </w:tr>
      <w:bookmarkEnd w:id="1"/>
    </w:tbl>
    <w:p w14:paraId="66FC8691" w14:textId="77777777" w:rsidR="00413894" w:rsidRPr="001F224B" w:rsidRDefault="00413894" w:rsidP="0008230E">
      <w:pPr>
        <w:tabs>
          <w:tab w:val="left" w:pos="0"/>
          <w:tab w:val="left" w:pos="567"/>
          <w:tab w:val="left" w:pos="720"/>
        </w:tabs>
        <w:jc w:val="both"/>
        <w:rPr>
          <w:sz w:val="20"/>
          <w:szCs w:val="20"/>
        </w:rPr>
      </w:pPr>
    </w:p>
    <w:p w14:paraId="00C3539A" w14:textId="77777777" w:rsidR="00413894" w:rsidRPr="001F224B" w:rsidRDefault="00413894" w:rsidP="0008230E">
      <w:pPr>
        <w:tabs>
          <w:tab w:val="left" w:pos="0"/>
          <w:tab w:val="left" w:pos="567"/>
          <w:tab w:val="left" w:pos="720"/>
        </w:tabs>
        <w:jc w:val="both"/>
        <w:rPr>
          <w:sz w:val="20"/>
          <w:szCs w:val="20"/>
        </w:rPr>
      </w:pPr>
    </w:p>
    <w:p w14:paraId="606AF623" w14:textId="77777777" w:rsidR="00413894" w:rsidRPr="001F224B" w:rsidRDefault="00413894" w:rsidP="0008230E">
      <w:pPr>
        <w:tabs>
          <w:tab w:val="left" w:pos="0"/>
          <w:tab w:val="left" w:pos="567"/>
          <w:tab w:val="left" w:pos="720"/>
        </w:tabs>
        <w:jc w:val="both"/>
        <w:rPr>
          <w:sz w:val="20"/>
          <w:szCs w:val="20"/>
        </w:rPr>
      </w:pPr>
    </w:p>
    <w:p w14:paraId="02718997" w14:textId="77777777" w:rsidR="00413894" w:rsidRPr="001F224B" w:rsidRDefault="00413894" w:rsidP="0008230E">
      <w:pPr>
        <w:tabs>
          <w:tab w:val="left" w:pos="0"/>
          <w:tab w:val="left" w:pos="567"/>
          <w:tab w:val="left" w:pos="720"/>
        </w:tabs>
        <w:jc w:val="both"/>
        <w:rPr>
          <w:sz w:val="20"/>
          <w:szCs w:val="20"/>
        </w:rPr>
      </w:pPr>
    </w:p>
    <w:tbl>
      <w:tblPr>
        <w:tblStyle w:val="TableGrid"/>
        <w:tblW w:w="9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6"/>
        <w:gridCol w:w="2523"/>
        <w:gridCol w:w="2346"/>
        <w:gridCol w:w="2346"/>
      </w:tblGrid>
      <w:tr w:rsidR="00413894" w:rsidRPr="001F224B" w14:paraId="0D424017" w14:textId="77777777" w:rsidTr="00BB65EB">
        <w:trPr>
          <w:trHeight w:val="1010"/>
        </w:trPr>
        <w:tc>
          <w:tcPr>
            <w:tcW w:w="2346" w:type="dxa"/>
          </w:tcPr>
          <w:p w14:paraId="58B821DF" w14:textId="77777777" w:rsidR="00413894" w:rsidRPr="001F224B" w:rsidRDefault="00413894" w:rsidP="00413894">
            <w:pPr>
              <w:pStyle w:val="BodyText"/>
              <w:jc w:val="center"/>
              <w:rPr>
                <w:sz w:val="20"/>
                <w:szCs w:val="20"/>
              </w:rPr>
            </w:pPr>
            <w:r w:rsidRPr="001F224B">
              <w:rPr>
                <w:b/>
                <w:bCs/>
                <w:kern w:val="32"/>
                <w:sz w:val="20"/>
                <w:szCs w:val="20"/>
              </w:rPr>
              <w:t>Kerem DÖNMEZ</w:t>
            </w:r>
          </w:p>
          <w:p w14:paraId="2AF854D0" w14:textId="77777777" w:rsidR="00413894" w:rsidRPr="001F224B" w:rsidRDefault="00413894" w:rsidP="00413894">
            <w:pPr>
              <w:pStyle w:val="BodyText"/>
              <w:jc w:val="center"/>
              <w:rPr>
                <w:sz w:val="20"/>
                <w:szCs w:val="20"/>
              </w:rPr>
            </w:pPr>
            <w:r w:rsidRPr="001F224B">
              <w:rPr>
                <w:b/>
                <w:bCs/>
                <w:sz w:val="20"/>
                <w:szCs w:val="20"/>
              </w:rPr>
              <w:t>Denetim Komitesi</w:t>
            </w:r>
            <w:r w:rsidRPr="001F224B">
              <w:rPr>
                <w:b/>
                <w:sz w:val="20"/>
                <w:szCs w:val="20"/>
              </w:rPr>
              <w:t xml:space="preserve"> Üyesi</w:t>
            </w:r>
          </w:p>
        </w:tc>
        <w:tc>
          <w:tcPr>
            <w:tcW w:w="2523" w:type="dxa"/>
          </w:tcPr>
          <w:p w14:paraId="42BD81F9" w14:textId="77777777" w:rsidR="00413894" w:rsidRPr="001F224B" w:rsidRDefault="00BB65EB" w:rsidP="00413894">
            <w:pPr>
              <w:pStyle w:val="BodyText"/>
              <w:jc w:val="center"/>
              <w:rPr>
                <w:b/>
                <w:bCs/>
                <w:sz w:val="20"/>
                <w:szCs w:val="20"/>
              </w:rPr>
            </w:pPr>
            <w:r w:rsidRPr="001F224B">
              <w:rPr>
                <w:b/>
                <w:bCs/>
                <w:sz w:val="20"/>
                <w:szCs w:val="20"/>
              </w:rPr>
              <w:t>Halil İbrahim AZAL</w:t>
            </w:r>
          </w:p>
          <w:p w14:paraId="20031498" w14:textId="1CC14DB7" w:rsidR="00BB65EB" w:rsidRPr="001F224B" w:rsidRDefault="00BB65EB" w:rsidP="00413894">
            <w:pPr>
              <w:pStyle w:val="BodyText"/>
              <w:jc w:val="center"/>
              <w:rPr>
                <w:b/>
                <w:bCs/>
                <w:sz w:val="20"/>
                <w:szCs w:val="20"/>
              </w:rPr>
            </w:pPr>
            <w:r w:rsidRPr="001F224B">
              <w:rPr>
                <w:b/>
                <w:bCs/>
                <w:sz w:val="20"/>
                <w:szCs w:val="20"/>
              </w:rPr>
              <w:t>Denetim Komitesi Üyesi</w:t>
            </w:r>
          </w:p>
        </w:tc>
        <w:tc>
          <w:tcPr>
            <w:tcW w:w="2346" w:type="dxa"/>
          </w:tcPr>
          <w:p w14:paraId="3139CE48" w14:textId="594CACEE" w:rsidR="00413894" w:rsidRPr="001F224B" w:rsidRDefault="00BB65EB" w:rsidP="00413894">
            <w:pPr>
              <w:tabs>
                <w:tab w:val="left" w:pos="0"/>
                <w:tab w:val="left" w:pos="567"/>
                <w:tab w:val="left" w:pos="720"/>
              </w:tabs>
              <w:ind w:right="-411"/>
              <w:rPr>
                <w:b/>
                <w:bCs/>
                <w:kern w:val="32"/>
                <w:sz w:val="20"/>
                <w:szCs w:val="20"/>
              </w:rPr>
            </w:pPr>
            <w:r w:rsidRPr="001F224B">
              <w:rPr>
                <w:b/>
                <w:bCs/>
                <w:kern w:val="32"/>
                <w:sz w:val="20"/>
                <w:szCs w:val="20"/>
              </w:rPr>
              <w:t xml:space="preserve">   </w:t>
            </w:r>
            <w:r w:rsidR="00413894" w:rsidRPr="001F224B">
              <w:rPr>
                <w:b/>
                <w:bCs/>
                <w:kern w:val="32"/>
                <w:sz w:val="20"/>
                <w:szCs w:val="20"/>
              </w:rPr>
              <w:t>Nuri Yasin KÜLAHÇI</w:t>
            </w:r>
          </w:p>
          <w:p w14:paraId="11AB6970" w14:textId="77777777" w:rsidR="00413894" w:rsidRPr="001F224B" w:rsidRDefault="00413894" w:rsidP="00413894">
            <w:pPr>
              <w:pStyle w:val="BodyText"/>
              <w:ind w:right="-128"/>
              <w:jc w:val="center"/>
              <w:rPr>
                <w:b/>
                <w:sz w:val="20"/>
                <w:szCs w:val="20"/>
              </w:rPr>
            </w:pPr>
            <w:r w:rsidRPr="001F224B">
              <w:rPr>
                <w:b/>
                <w:sz w:val="20"/>
                <w:szCs w:val="20"/>
              </w:rPr>
              <w:t xml:space="preserve">Genel Müdür </w:t>
            </w:r>
          </w:p>
          <w:p w14:paraId="77F8B9E3" w14:textId="77777777" w:rsidR="00413894" w:rsidRPr="001F224B" w:rsidRDefault="00413894" w:rsidP="00413894">
            <w:pPr>
              <w:pStyle w:val="BodyText"/>
              <w:ind w:right="-128"/>
              <w:jc w:val="center"/>
              <w:rPr>
                <w:sz w:val="20"/>
                <w:szCs w:val="20"/>
              </w:rPr>
            </w:pPr>
            <w:r w:rsidRPr="001F224B">
              <w:rPr>
                <w:b/>
                <w:sz w:val="20"/>
                <w:szCs w:val="20"/>
              </w:rPr>
              <w:t xml:space="preserve">Yardımcısı        </w:t>
            </w:r>
          </w:p>
        </w:tc>
        <w:tc>
          <w:tcPr>
            <w:tcW w:w="2346" w:type="dxa"/>
          </w:tcPr>
          <w:p w14:paraId="1C002F41" w14:textId="77777777" w:rsidR="00413894" w:rsidRPr="001F224B" w:rsidRDefault="00413894" w:rsidP="00413894">
            <w:pPr>
              <w:tabs>
                <w:tab w:val="left" w:pos="0"/>
                <w:tab w:val="left" w:pos="567"/>
                <w:tab w:val="left" w:pos="720"/>
              </w:tabs>
              <w:jc w:val="center"/>
              <w:rPr>
                <w:b/>
                <w:bCs/>
                <w:kern w:val="32"/>
                <w:sz w:val="20"/>
                <w:szCs w:val="20"/>
              </w:rPr>
            </w:pPr>
            <w:r w:rsidRPr="001F224B">
              <w:rPr>
                <w:b/>
                <w:bCs/>
                <w:kern w:val="32"/>
                <w:sz w:val="20"/>
                <w:szCs w:val="20"/>
              </w:rPr>
              <w:t>Aydın TOSUN</w:t>
            </w:r>
          </w:p>
          <w:p w14:paraId="4E2198C5" w14:textId="77777777" w:rsidR="00413894" w:rsidRPr="001F224B" w:rsidRDefault="00413894" w:rsidP="00413894">
            <w:pPr>
              <w:pStyle w:val="BodyText"/>
              <w:ind w:right="-146"/>
              <w:rPr>
                <w:b/>
                <w:sz w:val="20"/>
                <w:szCs w:val="20"/>
              </w:rPr>
            </w:pPr>
            <w:r w:rsidRPr="001F224B">
              <w:rPr>
                <w:b/>
                <w:sz w:val="20"/>
                <w:szCs w:val="20"/>
              </w:rPr>
              <w:t xml:space="preserve">             Mali İşler</w:t>
            </w:r>
          </w:p>
          <w:p w14:paraId="79EE9455" w14:textId="77777777" w:rsidR="00413894" w:rsidRPr="001F224B" w:rsidRDefault="00413894" w:rsidP="00664B3C">
            <w:pPr>
              <w:pStyle w:val="BodyText"/>
              <w:ind w:right="-146" w:hanging="232"/>
              <w:jc w:val="center"/>
              <w:rPr>
                <w:b/>
                <w:sz w:val="20"/>
                <w:szCs w:val="20"/>
              </w:rPr>
            </w:pPr>
            <w:r w:rsidRPr="001F224B">
              <w:rPr>
                <w:b/>
                <w:sz w:val="20"/>
                <w:szCs w:val="20"/>
              </w:rPr>
              <w:t>Daire Başkanı</w:t>
            </w:r>
          </w:p>
          <w:p w14:paraId="50BD67C1" w14:textId="77777777" w:rsidR="00413894" w:rsidRPr="001F224B" w:rsidRDefault="00413894" w:rsidP="00413894">
            <w:pPr>
              <w:pStyle w:val="BodyText"/>
              <w:ind w:right="-1256"/>
              <w:jc w:val="center"/>
              <w:rPr>
                <w:sz w:val="20"/>
                <w:szCs w:val="20"/>
              </w:rPr>
            </w:pPr>
          </w:p>
        </w:tc>
      </w:tr>
    </w:tbl>
    <w:p w14:paraId="41A17830" w14:textId="77777777" w:rsidR="00413894" w:rsidRPr="001F224B" w:rsidRDefault="00413894" w:rsidP="0008230E">
      <w:pPr>
        <w:spacing w:before="240"/>
        <w:outlineLvl w:val="0"/>
        <w:rPr>
          <w:b/>
          <w:bCs/>
          <w:kern w:val="32"/>
          <w:sz w:val="28"/>
          <w:szCs w:val="28"/>
        </w:rPr>
      </w:pPr>
    </w:p>
    <w:p w14:paraId="6A8CAE5D" w14:textId="77777777" w:rsidR="00413894" w:rsidRPr="001F224B" w:rsidRDefault="00413894" w:rsidP="0008230E">
      <w:pPr>
        <w:spacing w:before="240"/>
        <w:outlineLvl w:val="0"/>
        <w:rPr>
          <w:b/>
          <w:bCs/>
          <w:kern w:val="32"/>
          <w:sz w:val="22"/>
          <w:szCs w:val="22"/>
        </w:rPr>
      </w:pPr>
      <w:r w:rsidRPr="001F224B">
        <w:rPr>
          <w:b/>
          <w:bCs/>
          <w:kern w:val="32"/>
          <w:sz w:val="22"/>
          <w:szCs w:val="22"/>
        </w:rPr>
        <w:t>Bu finansal rapor ile ilgili olarak soruların iletilebileceği yetkili personele ilişkin bilgiler:</w:t>
      </w:r>
    </w:p>
    <w:p w14:paraId="320A1953" w14:textId="77777777" w:rsidR="00413894" w:rsidRPr="001F224B" w:rsidRDefault="00413894" w:rsidP="0008230E">
      <w:pPr>
        <w:rPr>
          <w:sz w:val="4"/>
          <w:szCs w:val="4"/>
        </w:rPr>
      </w:pPr>
    </w:p>
    <w:p w14:paraId="487A6270" w14:textId="77777777" w:rsidR="00413894" w:rsidRPr="001F224B" w:rsidRDefault="00413894" w:rsidP="0008230E">
      <w:pPr>
        <w:jc w:val="both"/>
        <w:rPr>
          <w:sz w:val="22"/>
          <w:szCs w:val="22"/>
        </w:rPr>
      </w:pPr>
      <w:r w:rsidRPr="001F224B">
        <w:rPr>
          <w:sz w:val="22"/>
          <w:szCs w:val="22"/>
        </w:rPr>
        <w:t>Adı Soyadı/Unvanı</w:t>
      </w:r>
      <w:r w:rsidRPr="001F224B">
        <w:rPr>
          <w:sz w:val="22"/>
          <w:szCs w:val="22"/>
        </w:rPr>
        <w:tab/>
        <w:t>: Zeynep KOÇ / Mali İşler / Yönetici</w:t>
      </w:r>
    </w:p>
    <w:p w14:paraId="1A1F4200" w14:textId="77777777" w:rsidR="00413894" w:rsidRPr="001F224B" w:rsidRDefault="00413894" w:rsidP="00413894">
      <w:pPr>
        <w:jc w:val="both"/>
        <w:rPr>
          <w:sz w:val="22"/>
          <w:szCs w:val="22"/>
        </w:rPr>
      </w:pPr>
      <w:r w:rsidRPr="001F224B">
        <w:rPr>
          <w:sz w:val="22"/>
          <w:szCs w:val="22"/>
        </w:rPr>
        <w:t>Tel No</w:t>
      </w:r>
      <w:r w:rsidRPr="001F224B">
        <w:rPr>
          <w:sz w:val="22"/>
          <w:szCs w:val="22"/>
        </w:rPr>
        <w:tab/>
      </w:r>
      <w:r w:rsidRPr="001F224B">
        <w:rPr>
          <w:sz w:val="22"/>
          <w:szCs w:val="22"/>
        </w:rPr>
        <w:tab/>
      </w:r>
      <w:r w:rsidRPr="001F224B">
        <w:rPr>
          <w:sz w:val="22"/>
          <w:szCs w:val="22"/>
        </w:rPr>
        <w:tab/>
        <w:t>: 0 216 636 88 89</w:t>
      </w:r>
    </w:p>
    <w:tbl>
      <w:tblPr>
        <w:tblStyle w:val="TableGrid"/>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65"/>
        <w:gridCol w:w="7799"/>
        <w:gridCol w:w="220"/>
        <w:gridCol w:w="845"/>
        <w:gridCol w:w="10"/>
      </w:tblGrid>
      <w:tr w:rsidR="000835D4" w:rsidRPr="001F224B" w14:paraId="1F50611E" w14:textId="77777777" w:rsidTr="00091F5D">
        <w:trPr>
          <w:gridAfter w:val="1"/>
          <w:wAfter w:w="10" w:type="dxa"/>
        </w:trPr>
        <w:tc>
          <w:tcPr>
            <w:tcW w:w="847" w:type="dxa"/>
          </w:tcPr>
          <w:p w14:paraId="77AA5157" w14:textId="77777777" w:rsidR="000835D4" w:rsidRPr="001F224B" w:rsidRDefault="000835D4" w:rsidP="000835D4">
            <w:pPr>
              <w:pStyle w:val="Title"/>
              <w:ind w:right="-154"/>
              <w:jc w:val="left"/>
            </w:pPr>
          </w:p>
          <w:p w14:paraId="73DF451C" w14:textId="77777777" w:rsidR="000835D4" w:rsidRPr="001F224B" w:rsidRDefault="000835D4" w:rsidP="000835D4">
            <w:pPr>
              <w:pStyle w:val="Title"/>
              <w:ind w:right="-154"/>
              <w:jc w:val="left"/>
            </w:pPr>
          </w:p>
          <w:p w14:paraId="168BF44E" w14:textId="5BFF8006" w:rsidR="000835D4" w:rsidRPr="001F224B" w:rsidRDefault="000835D4" w:rsidP="000835D4">
            <w:pPr>
              <w:pStyle w:val="Title"/>
              <w:ind w:right="-154"/>
              <w:jc w:val="left"/>
              <w:rPr>
                <w:rFonts w:ascii="Times New Roman" w:hAnsi="Times New Roman"/>
                <w:sz w:val="24"/>
                <w:szCs w:val="24"/>
              </w:rPr>
            </w:pPr>
            <w:r w:rsidRPr="001F224B">
              <w:br w:type="page"/>
            </w:r>
          </w:p>
        </w:tc>
        <w:tc>
          <w:tcPr>
            <w:tcW w:w="8084" w:type="dxa"/>
            <w:gridSpan w:val="3"/>
            <w:vAlign w:val="bottom"/>
          </w:tcPr>
          <w:p w14:paraId="2B4BEF7D" w14:textId="77777777" w:rsidR="000835D4" w:rsidRPr="001F224B" w:rsidRDefault="000835D4" w:rsidP="000835D4">
            <w:pPr>
              <w:pStyle w:val="Title"/>
              <w:rPr>
                <w:rFonts w:ascii="Times New Roman" w:hAnsi="Times New Roman"/>
                <w:sz w:val="20"/>
                <w:szCs w:val="20"/>
              </w:rPr>
            </w:pPr>
          </w:p>
          <w:p w14:paraId="1B2F4962" w14:textId="77777777" w:rsidR="000835D4" w:rsidRPr="001F224B" w:rsidRDefault="000835D4" w:rsidP="000835D4">
            <w:pPr>
              <w:pStyle w:val="Title"/>
              <w:rPr>
                <w:rFonts w:ascii="Times New Roman" w:hAnsi="Times New Roman"/>
                <w:sz w:val="20"/>
                <w:szCs w:val="20"/>
              </w:rPr>
            </w:pPr>
          </w:p>
          <w:p w14:paraId="001EE635" w14:textId="77777777" w:rsidR="000835D4" w:rsidRPr="001F224B" w:rsidRDefault="000835D4" w:rsidP="000835D4">
            <w:pPr>
              <w:pStyle w:val="Title"/>
              <w:rPr>
                <w:rFonts w:ascii="Times New Roman" w:hAnsi="Times New Roman"/>
                <w:sz w:val="20"/>
                <w:szCs w:val="20"/>
              </w:rPr>
            </w:pPr>
          </w:p>
          <w:p w14:paraId="3C723C2C" w14:textId="77777777" w:rsidR="000835D4" w:rsidRPr="001F224B" w:rsidRDefault="000835D4" w:rsidP="000835D4">
            <w:pPr>
              <w:pStyle w:val="Title"/>
              <w:rPr>
                <w:rFonts w:ascii="Times New Roman" w:hAnsi="Times New Roman"/>
                <w:sz w:val="20"/>
                <w:szCs w:val="20"/>
              </w:rPr>
            </w:pPr>
          </w:p>
          <w:p w14:paraId="2835E067" w14:textId="057B3151" w:rsidR="000835D4" w:rsidRPr="001F224B" w:rsidRDefault="000835D4" w:rsidP="000835D4">
            <w:pPr>
              <w:pStyle w:val="Title"/>
              <w:rPr>
                <w:rFonts w:ascii="Times New Roman" w:hAnsi="Times New Roman"/>
                <w:sz w:val="20"/>
                <w:szCs w:val="20"/>
              </w:rPr>
            </w:pPr>
            <w:r w:rsidRPr="001F224B">
              <w:rPr>
                <w:rFonts w:ascii="Times New Roman" w:hAnsi="Times New Roman"/>
                <w:sz w:val="20"/>
                <w:szCs w:val="20"/>
              </w:rPr>
              <w:t>BİRİNCİ BÖLÜM</w:t>
            </w:r>
          </w:p>
        </w:tc>
        <w:tc>
          <w:tcPr>
            <w:tcW w:w="845" w:type="dxa"/>
          </w:tcPr>
          <w:p w14:paraId="35EEA583" w14:textId="77777777" w:rsidR="000835D4" w:rsidRPr="001F224B" w:rsidRDefault="000835D4" w:rsidP="000835D4">
            <w:pPr>
              <w:pStyle w:val="Title"/>
              <w:jc w:val="left"/>
              <w:rPr>
                <w:rFonts w:ascii="Times New Roman" w:hAnsi="Times New Roman"/>
                <w:sz w:val="24"/>
                <w:szCs w:val="24"/>
              </w:rPr>
            </w:pPr>
          </w:p>
        </w:tc>
      </w:tr>
      <w:tr w:rsidR="000835D4" w:rsidRPr="001F224B" w14:paraId="387E0DC9" w14:textId="77777777" w:rsidTr="00091F5D">
        <w:trPr>
          <w:gridAfter w:val="1"/>
          <w:wAfter w:w="10" w:type="dxa"/>
        </w:trPr>
        <w:tc>
          <w:tcPr>
            <w:tcW w:w="847" w:type="dxa"/>
          </w:tcPr>
          <w:p w14:paraId="69AA7D29" w14:textId="77777777" w:rsidR="000835D4" w:rsidRPr="001F224B" w:rsidRDefault="000835D4" w:rsidP="000835D4">
            <w:pPr>
              <w:pStyle w:val="Title"/>
              <w:ind w:right="-154"/>
              <w:jc w:val="left"/>
              <w:rPr>
                <w:rFonts w:ascii="Times New Roman" w:hAnsi="Times New Roman"/>
                <w:sz w:val="24"/>
                <w:szCs w:val="24"/>
              </w:rPr>
            </w:pPr>
          </w:p>
        </w:tc>
        <w:tc>
          <w:tcPr>
            <w:tcW w:w="8084" w:type="dxa"/>
            <w:gridSpan w:val="3"/>
            <w:vAlign w:val="bottom"/>
          </w:tcPr>
          <w:p w14:paraId="4C906FC0" w14:textId="20D261DE" w:rsidR="000835D4" w:rsidRPr="001F224B" w:rsidRDefault="000835D4" w:rsidP="000835D4">
            <w:pPr>
              <w:jc w:val="center"/>
            </w:pPr>
            <w:r w:rsidRPr="001F224B">
              <w:rPr>
                <w:b/>
                <w:bCs/>
                <w:sz w:val="20"/>
                <w:szCs w:val="20"/>
              </w:rPr>
              <w:t>Genel Bilgiler</w:t>
            </w:r>
          </w:p>
        </w:tc>
        <w:tc>
          <w:tcPr>
            <w:tcW w:w="845" w:type="dxa"/>
          </w:tcPr>
          <w:p w14:paraId="5C1BFB21" w14:textId="77777777" w:rsidR="000835D4" w:rsidRPr="001F224B" w:rsidRDefault="000835D4" w:rsidP="000835D4">
            <w:pPr>
              <w:pStyle w:val="Title"/>
              <w:jc w:val="left"/>
              <w:rPr>
                <w:rFonts w:ascii="Times New Roman" w:hAnsi="Times New Roman"/>
                <w:sz w:val="24"/>
                <w:szCs w:val="24"/>
              </w:rPr>
            </w:pPr>
          </w:p>
        </w:tc>
      </w:tr>
      <w:tr w:rsidR="00A44F0C" w:rsidRPr="001F224B" w14:paraId="208E3A36" w14:textId="77777777" w:rsidTr="00091F5D">
        <w:trPr>
          <w:gridAfter w:val="1"/>
          <w:wAfter w:w="10" w:type="dxa"/>
        </w:trPr>
        <w:tc>
          <w:tcPr>
            <w:tcW w:w="847" w:type="dxa"/>
          </w:tcPr>
          <w:p w14:paraId="56E3A7F8" w14:textId="77777777" w:rsidR="00A44F0C" w:rsidRPr="001F224B" w:rsidRDefault="00A44F0C" w:rsidP="00C5005F">
            <w:pPr>
              <w:pStyle w:val="Title"/>
              <w:ind w:right="-154"/>
              <w:jc w:val="left"/>
              <w:rPr>
                <w:rFonts w:ascii="Times New Roman" w:hAnsi="Times New Roman"/>
                <w:sz w:val="24"/>
                <w:szCs w:val="24"/>
              </w:rPr>
            </w:pPr>
          </w:p>
        </w:tc>
        <w:tc>
          <w:tcPr>
            <w:tcW w:w="8084" w:type="dxa"/>
            <w:gridSpan w:val="3"/>
          </w:tcPr>
          <w:p w14:paraId="76AFA7A9" w14:textId="77777777" w:rsidR="00A44F0C" w:rsidRPr="001F224B" w:rsidRDefault="00A44F0C" w:rsidP="00C5005F">
            <w:pPr>
              <w:pStyle w:val="Title"/>
              <w:jc w:val="left"/>
              <w:rPr>
                <w:rFonts w:ascii="Times New Roman" w:hAnsi="Times New Roman"/>
                <w:sz w:val="24"/>
                <w:szCs w:val="24"/>
              </w:rPr>
            </w:pPr>
          </w:p>
        </w:tc>
        <w:tc>
          <w:tcPr>
            <w:tcW w:w="845" w:type="dxa"/>
          </w:tcPr>
          <w:p w14:paraId="4BC0050A" w14:textId="77777777" w:rsidR="00A44F0C" w:rsidRPr="001F224B" w:rsidRDefault="00A44F0C" w:rsidP="00C5005F">
            <w:pPr>
              <w:pStyle w:val="Title"/>
              <w:jc w:val="left"/>
              <w:rPr>
                <w:rFonts w:ascii="Times New Roman" w:hAnsi="Times New Roman"/>
                <w:sz w:val="24"/>
                <w:szCs w:val="24"/>
              </w:rPr>
            </w:pPr>
          </w:p>
        </w:tc>
      </w:tr>
      <w:tr w:rsidR="007B3BD9" w:rsidRPr="001F224B" w14:paraId="3B0C55F9" w14:textId="77777777" w:rsidTr="00091F5D">
        <w:trPr>
          <w:gridAfter w:val="1"/>
          <w:wAfter w:w="10" w:type="dxa"/>
        </w:trPr>
        <w:tc>
          <w:tcPr>
            <w:tcW w:w="847" w:type="dxa"/>
          </w:tcPr>
          <w:p w14:paraId="0B5BDA79"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w:t>
            </w:r>
          </w:p>
        </w:tc>
        <w:tc>
          <w:tcPr>
            <w:tcW w:w="8084" w:type="dxa"/>
            <w:gridSpan w:val="3"/>
            <w:vAlign w:val="bottom"/>
          </w:tcPr>
          <w:p w14:paraId="5DD917EA" w14:textId="5EC8EC3A"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Ana Ortaklık Banka’nın kuruluş tarihi, başlangıç statüsü, anılan statüde meydana gelen değişiklikleri ihtiva eden tarihçesi</w:t>
            </w:r>
          </w:p>
        </w:tc>
        <w:tc>
          <w:tcPr>
            <w:tcW w:w="845" w:type="dxa"/>
            <w:vAlign w:val="bottom"/>
          </w:tcPr>
          <w:p w14:paraId="6C77628B"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1</w:t>
            </w:r>
          </w:p>
        </w:tc>
      </w:tr>
      <w:tr w:rsidR="007B3BD9" w:rsidRPr="001F224B" w14:paraId="45DB6445" w14:textId="77777777" w:rsidTr="00091F5D">
        <w:trPr>
          <w:gridAfter w:val="1"/>
          <w:wAfter w:w="10" w:type="dxa"/>
        </w:trPr>
        <w:tc>
          <w:tcPr>
            <w:tcW w:w="847" w:type="dxa"/>
          </w:tcPr>
          <w:p w14:paraId="634B0573"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II.</w:t>
            </w:r>
          </w:p>
        </w:tc>
        <w:tc>
          <w:tcPr>
            <w:tcW w:w="8084" w:type="dxa"/>
            <w:gridSpan w:val="3"/>
            <w:vAlign w:val="bottom"/>
          </w:tcPr>
          <w:p w14:paraId="501CFE5E" w14:textId="7CB550B5"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845" w:type="dxa"/>
            <w:vAlign w:val="bottom"/>
          </w:tcPr>
          <w:p w14:paraId="03574414" w14:textId="3D27DCF5"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1</w:t>
            </w:r>
          </w:p>
        </w:tc>
      </w:tr>
      <w:tr w:rsidR="007B3BD9" w:rsidRPr="001F224B" w14:paraId="1ACDDEA4" w14:textId="77777777" w:rsidTr="00091F5D">
        <w:trPr>
          <w:gridAfter w:val="1"/>
          <w:wAfter w:w="10" w:type="dxa"/>
        </w:trPr>
        <w:tc>
          <w:tcPr>
            <w:tcW w:w="847" w:type="dxa"/>
          </w:tcPr>
          <w:p w14:paraId="0CA27CF7"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III.</w:t>
            </w:r>
          </w:p>
        </w:tc>
        <w:tc>
          <w:tcPr>
            <w:tcW w:w="8084" w:type="dxa"/>
            <w:gridSpan w:val="3"/>
            <w:vAlign w:val="bottom"/>
          </w:tcPr>
          <w:p w14:paraId="50A0D7A9" w14:textId="622CAE5F"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Ana Ortaklık Banka’nın yönetim kurulu başkan ve üyeleri, denetim komitesi üyeleri ile genel müdür ve yardımcılarının varsa Ana Ortaklık Banka’da sahip oldukları paylara ve sorumluluk alanlarına ilişkin açıklamalar</w:t>
            </w:r>
          </w:p>
        </w:tc>
        <w:tc>
          <w:tcPr>
            <w:tcW w:w="845" w:type="dxa"/>
            <w:vAlign w:val="bottom"/>
          </w:tcPr>
          <w:p w14:paraId="457E569F" w14:textId="7E3A4AD4"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2</w:t>
            </w:r>
          </w:p>
        </w:tc>
      </w:tr>
      <w:tr w:rsidR="007B3BD9" w:rsidRPr="001F224B" w14:paraId="11CB1297" w14:textId="77777777" w:rsidTr="00091F5D">
        <w:trPr>
          <w:gridAfter w:val="1"/>
          <w:wAfter w:w="10" w:type="dxa"/>
        </w:trPr>
        <w:tc>
          <w:tcPr>
            <w:tcW w:w="847" w:type="dxa"/>
            <w:vAlign w:val="bottom"/>
          </w:tcPr>
          <w:p w14:paraId="66E2FAFD"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IV.</w:t>
            </w:r>
          </w:p>
        </w:tc>
        <w:tc>
          <w:tcPr>
            <w:tcW w:w="8084" w:type="dxa"/>
            <w:gridSpan w:val="3"/>
            <w:vAlign w:val="bottom"/>
          </w:tcPr>
          <w:p w14:paraId="2CC3ABB4" w14:textId="606BE013"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Ana Ortaklık Banka’da nitelikli pay sahibi olan kişi ve kuruluşlara ilişkin açıklamalar</w:t>
            </w:r>
          </w:p>
        </w:tc>
        <w:tc>
          <w:tcPr>
            <w:tcW w:w="845" w:type="dxa"/>
          </w:tcPr>
          <w:p w14:paraId="699EF287"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3</w:t>
            </w:r>
          </w:p>
        </w:tc>
      </w:tr>
      <w:tr w:rsidR="007B3BD9" w:rsidRPr="001F224B" w14:paraId="20189541" w14:textId="77777777" w:rsidTr="00091F5D">
        <w:trPr>
          <w:gridAfter w:val="1"/>
          <w:wAfter w:w="10" w:type="dxa"/>
        </w:trPr>
        <w:tc>
          <w:tcPr>
            <w:tcW w:w="847" w:type="dxa"/>
            <w:vAlign w:val="bottom"/>
          </w:tcPr>
          <w:p w14:paraId="3694F3C3"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w:t>
            </w:r>
          </w:p>
        </w:tc>
        <w:tc>
          <w:tcPr>
            <w:tcW w:w="8084" w:type="dxa"/>
            <w:gridSpan w:val="3"/>
            <w:vAlign w:val="bottom"/>
          </w:tcPr>
          <w:p w14:paraId="0B584F91" w14:textId="424F7BAA"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Ana Ortaklık Banka’nın hizmet türü ve faaliyet alanlarını içeren özet bilgi</w:t>
            </w:r>
          </w:p>
        </w:tc>
        <w:tc>
          <w:tcPr>
            <w:tcW w:w="845" w:type="dxa"/>
          </w:tcPr>
          <w:p w14:paraId="55F12B57"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3</w:t>
            </w:r>
          </w:p>
        </w:tc>
      </w:tr>
      <w:tr w:rsidR="007B3BD9" w:rsidRPr="001F224B" w14:paraId="67C5D562" w14:textId="77777777" w:rsidTr="00091F5D">
        <w:trPr>
          <w:gridAfter w:val="1"/>
          <w:wAfter w:w="10" w:type="dxa"/>
        </w:trPr>
        <w:tc>
          <w:tcPr>
            <w:tcW w:w="847" w:type="dxa"/>
          </w:tcPr>
          <w:p w14:paraId="6A22A09F"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VI.</w:t>
            </w:r>
          </w:p>
        </w:tc>
        <w:tc>
          <w:tcPr>
            <w:tcW w:w="8084" w:type="dxa"/>
            <w:gridSpan w:val="3"/>
            <w:vAlign w:val="bottom"/>
          </w:tcPr>
          <w:p w14:paraId="4D78F4F0" w14:textId="296232BC"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845" w:type="dxa"/>
            <w:vAlign w:val="bottom"/>
          </w:tcPr>
          <w:p w14:paraId="34597AB9"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3</w:t>
            </w:r>
          </w:p>
        </w:tc>
      </w:tr>
      <w:tr w:rsidR="007B3BD9" w:rsidRPr="001F224B" w14:paraId="563C4D60" w14:textId="77777777" w:rsidTr="00091F5D">
        <w:trPr>
          <w:gridAfter w:val="1"/>
          <w:wAfter w:w="10" w:type="dxa"/>
        </w:trPr>
        <w:tc>
          <w:tcPr>
            <w:tcW w:w="847" w:type="dxa"/>
          </w:tcPr>
          <w:p w14:paraId="2B980A10"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VII.</w:t>
            </w:r>
          </w:p>
        </w:tc>
        <w:tc>
          <w:tcPr>
            <w:tcW w:w="8084" w:type="dxa"/>
            <w:gridSpan w:val="3"/>
          </w:tcPr>
          <w:p w14:paraId="02C6CC27" w14:textId="5600F883"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 xml:space="preserve">Ana Ortaklık Banka ile bağlı ortaklıkları arasında özkaynakların derhal transfer edilmesinin veya borçların geri ödenmesinin önünde mevcut veya muhtemel, fiili veya hukuki engeller </w:t>
            </w:r>
          </w:p>
        </w:tc>
        <w:tc>
          <w:tcPr>
            <w:tcW w:w="845" w:type="dxa"/>
            <w:vAlign w:val="bottom"/>
          </w:tcPr>
          <w:p w14:paraId="1F929A75"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3</w:t>
            </w:r>
          </w:p>
        </w:tc>
      </w:tr>
      <w:tr w:rsidR="00F23B14" w:rsidRPr="001F224B" w14:paraId="509A8379" w14:textId="77777777" w:rsidTr="00091F5D">
        <w:trPr>
          <w:gridAfter w:val="1"/>
          <w:wAfter w:w="10" w:type="dxa"/>
        </w:trPr>
        <w:tc>
          <w:tcPr>
            <w:tcW w:w="847" w:type="dxa"/>
          </w:tcPr>
          <w:p w14:paraId="627148AB" w14:textId="77777777" w:rsidR="00F23B14" w:rsidRPr="001F224B" w:rsidRDefault="00F23B14" w:rsidP="00F23B14">
            <w:pPr>
              <w:pStyle w:val="Title"/>
              <w:ind w:right="-154"/>
              <w:jc w:val="left"/>
              <w:rPr>
                <w:rFonts w:ascii="Times New Roman" w:hAnsi="Times New Roman"/>
                <w:sz w:val="20"/>
                <w:szCs w:val="20"/>
              </w:rPr>
            </w:pPr>
          </w:p>
        </w:tc>
        <w:tc>
          <w:tcPr>
            <w:tcW w:w="8084" w:type="dxa"/>
            <w:gridSpan w:val="3"/>
          </w:tcPr>
          <w:p w14:paraId="2EFDBE6F" w14:textId="77777777" w:rsidR="00F23B14" w:rsidRPr="001F224B" w:rsidRDefault="00F23B14" w:rsidP="00F23B14">
            <w:pPr>
              <w:pStyle w:val="Title"/>
              <w:jc w:val="left"/>
              <w:rPr>
                <w:rFonts w:ascii="Times New Roman" w:hAnsi="Times New Roman"/>
                <w:b w:val="0"/>
                <w:sz w:val="20"/>
                <w:szCs w:val="20"/>
              </w:rPr>
            </w:pPr>
          </w:p>
        </w:tc>
        <w:tc>
          <w:tcPr>
            <w:tcW w:w="845" w:type="dxa"/>
            <w:vAlign w:val="bottom"/>
          </w:tcPr>
          <w:p w14:paraId="577F7AE5" w14:textId="77777777" w:rsidR="00F23B14" w:rsidRPr="001F224B" w:rsidRDefault="00F23B14" w:rsidP="00F23B14">
            <w:pPr>
              <w:pStyle w:val="Title"/>
              <w:jc w:val="right"/>
              <w:rPr>
                <w:rFonts w:ascii="Times New Roman" w:hAnsi="Times New Roman"/>
                <w:b w:val="0"/>
                <w:sz w:val="20"/>
                <w:szCs w:val="20"/>
              </w:rPr>
            </w:pPr>
          </w:p>
        </w:tc>
      </w:tr>
      <w:tr w:rsidR="00F23B14" w:rsidRPr="001F224B" w14:paraId="35CAF3F7" w14:textId="77777777" w:rsidTr="00091F5D">
        <w:trPr>
          <w:gridAfter w:val="1"/>
          <w:wAfter w:w="10" w:type="dxa"/>
        </w:trPr>
        <w:tc>
          <w:tcPr>
            <w:tcW w:w="847" w:type="dxa"/>
            <w:vAlign w:val="bottom"/>
          </w:tcPr>
          <w:p w14:paraId="52B2A275" w14:textId="77777777" w:rsidR="00F23B14" w:rsidRPr="001F224B" w:rsidRDefault="00F23B14" w:rsidP="00F23B14">
            <w:pPr>
              <w:pStyle w:val="Title"/>
              <w:ind w:right="-154"/>
              <w:jc w:val="left"/>
              <w:rPr>
                <w:rFonts w:ascii="Times New Roman" w:hAnsi="Times New Roman"/>
                <w:sz w:val="20"/>
                <w:szCs w:val="20"/>
              </w:rPr>
            </w:pPr>
          </w:p>
        </w:tc>
        <w:tc>
          <w:tcPr>
            <w:tcW w:w="8084" w:type="dxa"/>
            <w:gridSpan w:val="3"/>
            <w:vAlign w:val="bottom"/>
          </w:tcPr>
          <w:p w14:paraId="2A0F32C1" w14:textId="77777777" w:rsidR="00F23B14" w:rsidRPr="001F224B" w:rsidRDefault="00F23B14" w:rsidP="00F23B14">
            <w:pPr>
              <w:jc w:val="center"/>
              <w:rPr>
                <w:b/>
                <w:bCs/>
                <w:sz w:val="20"/>
                <w:szCs w:val="20"/>
              </w:rPr>
            </w:pPr>
            <w:r w:rsidRPr="001F224B">
              <w:rPr>
                <w:b/>
                <w:bCs/>
                <w:sz w:val="20"/>
                <w:szCs w:val="20"/>
              </w:rPr>
              <w:t>İKİNCİ BÖLÜM</w:t>
            </w:r>
          </w:p>
        </w:tc>
        <w:tc>
          <w:tcPr>
            <w:tcW w:w="845" w:type="dxa"/>
          </w:tcPr>
          <w:p w14:paraId="241ADE32" w14:textId="77777777" w:rsidR="00F23B14" w:rsidRPr="001F224B" w:rsidRDefault="00F23B14" w:rsidP="00F23B14">
            <w:pPr>
              <w:pStyle w:val="Title"/>
              <w:jc w:val="right"/>
              <w:rPr>
                <w:rFonts w:ascii="Times New Roman" w:hAnsi="Times New Roman"/>
                <w:b w:val="0"/>
                <w:sz w:val="20"/>
                <w:szCs w:val="20"/>
              </w:rPr>
            </w:pPr>
          </w:p>
        </w:tc>
      </w:tr>
      <w:tr w:rsidR="00F23B14" w:rsidRPr="001F224B" w14:paraId="17AF5912" w14:textId="77777777" w:rsidTr="00091F5D">
        <w:trPr>
          <w:gridAfter w:val="1"/>
          <w:wAfter w:w="10" w:type="dxa"/>
        </w:trPr>
        <w:tc>
          <w:tcPr>
            <w:tcW w:w="847" w:type="dxa"/>
            <w:vAlign w:val="bottom"/>
          </w:tcPr>
          <w:p w14:paraId="45FE0F5D" w14:textId="77777777" w:rsidR="00F23B14" w:rsidRPr="001F224B" w:rsidRDefault="00F23B14" w:rsidP="00F23B14">
            <w:pPr>
              <w:pStyle w:val="Title"/>
              <w:ind w:right="-154"/>
              <w:jc w:val="left"/>
              <w:rPr>
                <w:rFonts w:ascii="Times New Roman" w:hAnsi="Times New Roman"/>
                <w:sz w:val="20"/>
                <w:szCs w:val="20"/>
              </w:rPr>
            </w:pPr>
          </w:p>
        </w:tc>
        <w:tc>
          <w:tcPr>
            <w:tcW w:w="8084" w:type="dxa"/>
            <w:gridSpan w:val="3"/>
            <w:vAlign w:val="bottom"/>
          </w:tcPr>
          <w:p w14:paraId="3EA04B4F" w14:textId="52F19DAD" w:rsidR="00F23B14" w:rsidRPr="001F224B" w:rsidRDefault="003C694D" w:rsidP="00F23B14">
            <w:pPr>
              <w:jc w:val="center"/>
            </w:pPr>
            <w:r w:rsidRPr="001F224B">
              <w:rPr>
                <w:b/>
                <w:bCs/>
                <w:sz w:val="20"/>
                <w:szCs w:val="20"/>
              </w:rPr>
              <w:t xml:space="preserve">Konsolide </w:t>
            </w:r>
            <w:r w:rsidR="00F23B14" w:rsidRPr="001F224B">
              <w:rPr>
                <w:b/>
                <w:bCs/>
                <w:sz w:val="20"/>
                <w:szCs w:val="20"/>
              </w:rPr>
              <w:t>Finansal Tablolar</w:t>
            </w:r>
          </w:p>
        </w:tc>
        <w:tc>
          <w:tcPr>
            <w:tcW w:w="845" w:type="dxa"/>
          </w:tcPr>
          <w:p w14:paraId="2675FE73" w14:textId="77777777" w:rsidR="00F23B14" w:rsidRPr="001F224B" w:rsidRDefault="00F23B14" w:rsidP="00F23B14">
            <w:pPr>
              <w:pStyle w:val="Title"/>
              <w:jc w:val="right"/>
              <w:rPr>
                <w:rFonts w:ascii="Times New Roman" w:hAnsi="Times New Roman"/>
                <w:b w:val="0"/>
                <w:sz w:val="20"/>
                <w:szCs w:val="20"/>
              </w:rPr>
            </w:pPr>
          </w:p>
        </w:tc>
      </w:tr>
      <w:tr w:rsidR="00F23B14" w:rsidRPr="001F224B" w14:paraId="35BE1225" w14:textId="77777777" w:rsidTr="00091F5D">
        <w:trPr>
          <w:gridAfter w:val="1"/>
          <w:wAfter w:w="10" w:type="dxa"/>
        </w:trPr>
        <w:tc>
          <w:tcPr>
            <w:tcW w:w="847" w:type="dxa"/>
            <w:vAlign w:val="bottom"/>
          </w:tcPr>
          <w:p w14:paraId="3CF8D278" w14:textId="77777777" w:rsidR="00F23B14" w:rsidRPr="001F224B" w:rsidRDefault="00F23B14" w:rsidP="00F23B14">
            <w:pPr>
              <w:pStyle w:val="Title"/>
              <w:ind w:right="-154"/>
              <w:jc w:val="left"/>
              <w:rPr>
                <w:rFonts w:ascii="Times New Roman" w:hAnsi="Times New Roman"/>
                <w:sz w:val="20"/>
                <w:szCs w:val="20"/>
              </w:rPr>
            </w:pPr>
          </w:p>
        </w:tc>
        <w:tc>
          <w:tcPr>
            <w:tcW w:w="8084" w:type="dxa"/>
            <w:gridSpan w:val="3"/>
          </w:tcPr>
          <w:p w14:paraId="30AF11A6" w14:textId="77777777" w:rsidR="00F23B14" w:rsidRPr="001F224B" w:rsidRDefault="00F23B14" w:rsidP="00F23B14">
            <w:pPr>
              <w:pStyle w:val="Title"/>
              <w:jc w:val="left"/>
              <w:rPr>
                <w:rFonts w:ascii="Times New Roman" w:hAnsi="Times New Roman"/>
                <w:b w:val="0"/>
                <w:sz w:val="20"/>
                <w:szCs w:val="20"/>
              </w:rPr>
            </w:pPr>
          </w:p>
        </w:tc>
        <w:tc>
          <w:tcPr>
            <w:tcW w:w="845" w:type="dxa"/>
          </w:tcPr>
          <w:p w14:paraId="4744CECB" w14:textId="77777777" w:rsidR="00F23B14" w:rsidRPr="001F224B" w:rsidRDefault="00F23B14" w:rsidP="00F23B14">
            <w:pPr>
              <w:pStyle w:val="Title"/>
              <w:jc w:val="right"/>
              <w:rPr>
                <w:rFonts w:ascii="Times New Roman" w:hAnsi="Times New Roman"/>
                <w:b w:val="0"/>
                <w:sz w:val="20"/>
                <w:szCs w:val="20"/>
              </w:rPr>
            </w:pPr>
          </w:p>
        </w:tc>
      </w:tr>
      <w:tr w:rsidR="007B3BD9" w:rsidRPr="001F224B" w14:paraId="08382DAB" w14:textId="77777777" w:rsidTr="00091F5D">
        <w:trPr>
          <w:gridAfter w:val="1"/>
          <w:wAfter w:w="10" w:type="dxa"/>
        </w:trPr>
        <w:tc>
          <w:tcPr>
            <w:tcW w:w="847" w:type="dxa"/>
            <w:vAlign w:val="bottom"/>
          </w:tcPr>
          <w:p w14:paraId="57CAEB75"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w:t>
            </w:r>
          </w:p>
        </w:tc>
        <w:tc>
          <w:tcPr>
            <w:tcW w:w="8084" w:type="dxa"/>
            <w:gridSpan w:val="3"/>
            <w:vAlign w:val="bottom"/>
          </w:tcPr>
          <w:p w14:paraId="1EB7D56D" w14:textId="498188C3"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bilanço (Finansal durum tablosu)</w:t>
            </w:r>
          </w:p>
        </w:tc>
        <w:tc>
          <w:tcPr>
            <w:tcW w:w="845" w:type="dxa"/>
          </w:tcPr>
          <w:p w14:paraId="0D837BFC"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5-6</w:t>
            </w:r>
          </w:p>
        </w:tc>
      </w:tr>
      <w:tr w:rsidR="007B3BD9" w:rsidRPr="001F224B" w14:paraId="6550731A" w14:textId="77777777" w:rsidTr="00091F5D">
        <w:trPr>
          <w:gridAfter w:val="1"/>
          <w:wAfter w:w="10" w:type="dxa"/>
        </w:trPr>
        <w:tc>
          <w:tcPr>
            <w:tcW w:w="847" w:type="dxa"/>
            <w:vAlign w:val="bottom"/>
          </w:tcPr>
          <w:p w14:paraId="6E3CB8A8"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II.</w:t>
            </w:r>
          </w:p>
        </w:tc>
        <w:tc>
          <w:tcPr>
            <w:tcW w:w="8084" w:type="dxa"/>
            <w:gridSpan w:val="3"/>
            <w:vAlign w:val="bottom"/>
          </w:tcPr>
          <w:p w14:paraId="2A85066F" w14:textId="065CEC3A"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nazım hesap tablosu</w:t>
            </w:r>
          </w:p>
        </w:tc>
        <w:tc>
          <w:tcPr>
            <w:tcW w:w="845" w:type="dxa"/>
          </w:tcPr>
          <w:p w14:paraId="4C549E79"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7</w:t>
            </w:r>
          </w:p>
        </w:tc>
      </w:tr>
      <w:tr w:rsidR="007B3BD9" w:rsidRPr="001F224B" w14:paraId="68EF907B" w14:textId="77777777" w:rsidTr="00091F5D">
        <w:trPr>
          <w:gridAfter w:val="1"/>
          <w:wAfter w:w="10" w:type="dxa"/>
        </w:trPr>
        <w:tc>
          <w:tcPr>
            <w:tcW w:w="847" w:type="dxa"/>
            <w:vAlign w:val="bottom"/>
          </w:tcPr>
          <w:p w14:paraId="5A5CA2E8"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III.</w:t>
            </w:r>
          </w:p>
        </w:tc>
        <w:tc>
          <w:tcPr>
            <w:tcW w:w="8084" w:type="dxa"/>
            <w:gridSpan w:val="3"/>
            <w:vAlign w:val="bottom"/>
          </w:tcPr>
          <w:p w14:paraId="2EE27ECA" w14:textId="4A49DF8B"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kar veya zarar tablosu</w:t>
            </w:r>
          </w:p>
        </w:tc>
        <w:tc>
          <w:tcPr>
            <w:tcW w:w="845" w:type="dxa"/>
          </w:tcPr>
          <w:p w14:paraId="4226E36C"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8</w:t>
            </w:r>
          </w:p>
        </w:tc>
      </w:tr>
      <w:tr w:rsidR="007B3BD9" w:rsidRPr="001F224B" w14:paraId="27DBC105" w14:textId="77777777" w:rsidTr="00091F5D">
        <w:trPr>
          <w:gridAfter w:val="1"/>
          <w:wAfter w:w="10" w:type="dxa"/>
        </w:trPr>
        <w:tc>
          <w:tcPr>
            <w:tcW w:w="847" w:type="dxa"/>
            <w:vAlign w:val="bottom"/>
          </w:tcPr>
          <w:p w14:paraId="4986AE40"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IV.</w:t>
            </w:r>
          </w:p>
        </w:tc>
        <w:tc>
          <w:tcPr>
            <w:tcW w:w="8084" w:type="dxa"/>
            <w:gridSpan w:val="3"/>
            <w:vAlign w:val="bottom"/>
          </w:tcPr>
          <w:p w14:paraId="4ED7B8D9" w14:textId="33883087"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kar veya zarar ve diğer kapsamlı gelir tablosu</w:t>
            </w:r>
          </w:p>
        </w:tc>
        <w:tc>
          <w:tcPr>
            <w:tcW w:w="845" w:type="dxa"/>
          </w:tcPr>
          <w:p w14:paraId="44DB3061"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9</w:t>
            </w:r>
          </w:p>
        </w:tc>
      </w:tr>
      <w:tr w:rsidR="007B3BD9" w:rsidRPr="001F224B" w14:paraId="2BCDEE2D" w14:textId="77777777" w:rsidTr="00091F5D">
        <w:trPr>
          <w:gridAfter w:val="1"/>
          <w:wAfter w:w="10" w:type="dxa"/>
        </w:trPr>
        <w:tc>
          <w:tcPr>
            <w:tcW w:w="847" w:type="dxa"/>
            <w:vAlign w:val="bottom"/>
          </w:tcPr>
          <w:p w14:paraId="3488B71B"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w:t>
            </w:r>
          </w:p>
        </w:tc>
        <w:tc>
          <w:tcPr>
            <w:tcW w:w="8084" w:type="dxa"/>
            <w:gridSpan w:val="3"/>
            <w:vAlign w:val="bottom"/>
          </w:tcPr>
          <w:p w14:paraId="7BE55BEC" w14:textId="31437B5E"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özkaynaklar değişim tablosu</w:t>
            </w:r>
          </w:p>
        </w:tc>
        <w:tc>
          <w:tcPr>
            <w:tcW w:w="845" w:type="dxa"/>
          </w:tcPr>
          <w:p w14:paraId="29047A20"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10</w:t>
            </w:r>
          </w:p>
        </w:tc>
      </w:tr>
      <w:tr w:rsidR="007B3BD9" w:rsidRPr="001F224B" w14:paraId="5E83E618" w14:textId="77777777" w:rsidTr="00091F5D">
        <w:trPr>
          <w:gridAfter w:val="1"/>
          <w:wAfter w:w="10" w:type="dxa"/>
        </w:trPr>
        <w:tc>
          <w:tcPr>
            <w:tcW w:w="847" w:type="dxa"/>
            <w:vAlign w:val="bottom"/>
          </w:tcPr>
          <w:p w14:paraId="1636F1F1"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VI.</w:t>
            </w:r>
          </w:p>
        </w:tc>
        <w:tc>
          <w:tcPr>
            <w:tcW w:w="8084" w:type="dxa"/>
            <w:gridSpan w:val="3"/>
            <w:vAlign w:val="bottom"/>
          </w:tcPr>
          <w:p w14:paraId="54EC69DD" w14:textId="3848C132"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nakit akış tablosu</w:t>
            </w:r>
          </w:p>
        </w:tc>
        <w:tc>
          <w:tcPr>
            <w:tcW w:w="845" w:type="dxa"/>
          </w:tcPr>
          <w:p w14:paraId="0CA62FC9" w14:textId="77777777"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11</w:t>
            </w:r>
          </w:p>
        </w:tc>
      </w:tr>
      <w:tr w:rsidR="00652105" w:rsidRPr="001F224B" w14:paraId="0CFD06DD" w14:textId="77777777" w:rsidTr="00091F5D">
        <w:trPr>
          <w:gridAfter w:val="1"/>
          <w:wAfter w:w="10" w:type="dxa"/>
        </w:trPr>
        <w:tc>
          <w:tcPr>
            <w:tcW w:w="847" w:type="dxa"/>
          </w:tcPr>
          <w:p w14:paraId="3884C6E8" w14:textId="77777777" w:rsidR="00652105" w:rsidRPr="001F224B" w:rsidRDefault="00652105" w:rsidP="00D02689">
            <w:pPr>
              <w:pStyle w:val="Title"/>
              <w:ind w:right="-154"/>
              <w:jc w:val="left"/>
              <w:rPr>
                <w:rFonts w:ascii="Times New Roman" w:hAnsi="Times New Roman"/>
                <w:sz w:val="20"/>
                <w:szCs w:val="20"/>
              </w:rPr>
            </w:pPr>
          </w:p>
          <w:p w14:paraId="58CF82C1" w14:textId="77777777" w:rsidR="007E5C3A" w:rsidRPr="001F224B" w:rsidRDefault="007E5C3A" w:rsidP="00D02689">
            <w:pPr>
              <w:pStyle w:val="Title"/>
              <w:ind w:right="-154"/>
              <w:jc w:val="left"/>
              <w:rPr>
                <w:rFonts w:ascii="Times New Roman" w:hAnsi="Times New Roman"/>
                <w:sz w:val="20"/>
                <w:szCs w:val="20"/>
              </w:rPr>
            </w:pPr>
          </w:p>
        </w:tc>
        <w:tc>
          <w:tcPr>
            <w:tcW w:w="8084" w:type="dxa"/>
            <w:gridSpan w:val="3"/>
            <w:vAlign w:val="bottom"/>
          </w:tcPr>
          <w:p w14:paraId="2BD8031A" w14:textId="77777777" w:rsidR="00652105" w:rsidRPr="001F224B" w:rsidRDefault="00652105" w:rsidP="00D02689">
            <w:pPr>
              <w:jc w:val="center"/>
              <w:rPr>
                <w:b/>
                <w:bCs/>
                <w:kern w:val="28"/>
                <w:sz w:val="20"/>
                <w:szCs w:val="20"/>
              </w:rPr>
            </w:pPr>
            <w:r w:rsidRPr="001F224B">
              <w:rPr>
                <w:b/>
                <w:bCs/>
                <w:kern w:val="28"/>
                <w:sz w:val="20"/>
                <w:szCs w:val="20"/>
              </w:rPr>
              <w:t>ÜÇÜNCÜ BÖLÜM</w:t>
            </w:r>
          </w:p>
        </w:tc>
        <w:tc>
          <w:tcPr>
            <w:tcW w:w="845" w:type="dxa"/>
          </w:tcPr>
          <w:p w14:paraId="18FBBFE2" w14:textId="6918542E" w:rsidR="00652105" w:rsidRPr="001F224B" w:rsidRDefault="00652105" w:rsidP="00D02689">
            <w:pPr>
              <w:pStyle w:val="Title"/>
              <w:jc w:val="right"/>
              <w:rPr>
                <w:rFonts w:ascii="Times New Roman" w:hAnsi="Times New Roman"/>
                <w:b w:val="0"/>
                <w:bCs w:val="0"/>
                <w:sz w:val="20"/>
                <w:szCs w:val="20"/>
              </w:rPr>
            </w:pPr>
          </w:p>
        </w:tc>
      </w:tr>
      <w:tr w:rsidR="00D02689" w:rsidRPr="001F224B" w14:paraId="0F0CCD90" w14:textId="77777777" w:rsidTr="00091F5D">
        <w:trPr>
          <w:gridAfter w:val="1"/>
          <w:wAfter w:w="10" w:type="dxa"/>
        </w:trPr>
        <w:tc>
          <w:tcPr>
            <w:tcW w:w="847" w:type="dxa"/>
          </w:tcPr>
          <w:p w14:paraId="61FD03E1" w14:textId="77777777" w:rsidR="00D02689" w:rsidRPr="001F224B" w:rsidRDefault="00D02689" w:rsidP="00D02689">
            <w:pPr>
              <w:pStyle w:val="Title"/>
              <w:ind w:right="-154"/>
              <w:jc w:val="left"/>
              <w:rPr>
                <w:rFonts w:ascii="Times New Roman" w:hAnsi="Times New Roman"/>
                <w:sz w:val="20"/>
                <w:szCs w:val="20"/>
              </w:rPr>
            </w:pPr>
          </w:p>
        </w:tc>
        <w:tc>
          <w:tcPr>
            <w:tcW w:w="8084" w:type="dxa"/>
            <w:gridSpan w:val="3"/>
            <w:vAlign w:val="bottom"/>
          </w:tcPr>
          <w:p w14:paraId="428AC666" w14:textId="77777777" w:rsidR="00D02689" w:rsidRPr="001F224B" w:rsidRDefault="00D02689" w:rsidP="00D02689">
            <w:pPr>
              <w:jc w:val="center"/>
              <w:rPr>
                <w:b/>
                <w:bCs/>
                <w:sz w:val="20"/>
                <w:szCs w:val="20"/>
              </w:rPr>
            </w:pPr>
            <w:r w:rsidRPr="001F224B">
              <w:rPr>
                <w:b/>
                <w:bCs/>
                <w:sz w:val="20"/>
                <w:szCs w:val="20"/>
              </w:rPr>
              <w:t>Muhasebe Politikaları</w:t>
            </w:r>
          </w:p>
        </w:tc>
        <w:tc>
          <w:tcPr>
            <w:tcW w:w="845" w:type="dxa"/>
          </w:tcPr>
          <w:p w14:paraId="60EA13F7" w14:textId="77777777" w:rsidR="00D02689" w:rsidRPr="001F224B" w:rsidRDefault="00D02689" w:rsidP="00D02689">
            <w:pPr>
              <w:pStyle w:val="Title"/>
              <w:jc w:val="right"/>
              <w:rPr>
                <w:rFonts w:ascii="Times New Roman" w:hAnsi="Times New Roman"/>
                <w:b w:val="0"/>
                <w:sz w:val="20"/>
                <w:szCs w:val="20"/>
              </w:rPr>
            </w:pPr>
          </w:p>
        </w:tc>
      </w:tr>
      <w:tr w:rsidR="00D02689" w:rsidRPr="001F224B" w14:paraId="337F5C0B" w14:textId="77777777" w:rsidTr="00091F5D">
        <w:trPr>
          <w:gridAfter w:val="1"/>
          <w:wAfter w:w="10" w:type="dxa"/>
        </w:trPr>
        <w:tc>
          <w:tcPr>
            <w:tcW w:w="847" w:type="dxa"/>
          </w:tcPr>
          <w:p w14:paraId="7936D730" w14:textId="77777777" w:rsidR="00D02689" w:rsidRPr="001F224B" w:rsidRDefault="00D02689" w:rsidP="00D02689">
            <w:pPr>
              <w:pStyle w:val="Title"/>
              <w:ind w:right="-154"/>
              <w:jc w:val="left"/>
              <w:rPr>
                <w:rFonts w:ascii="Times New Roman" w:hAnsi="Times New Roman"/>
                <w:sz w:val="20"/>
                <w:szCs w:val="20"/>
              </w:rPr>
            </w:pPr>
          </w:p>
        </w:tc>
        <w:tc>
          <w:tcPr>
            <w:tcW w:w="8084" w:type="dxa"/>
            <w:gridSpan w:val="3"/>
            <w:vAlign w:val="bottom"/>
          </w:tcPr>
          <w:p w14:paraId="47EA5063" w14:textId="77777777" w:rsidR="00D02689" w:rsidRPr="001F224B" w:rsidRDefault="00D02689" w:rsidP="00D02689">
            <w:pPr>
              <w:jc w:val="center"/>
              <w:rPr>
                <w:b/>
                <w:bCs/>
                <w:sz w:val="20"/>
                <w:szCs w:val="20"/>
              </w:rPr>
            </w:pPr>
          </w:p>
        </w:tc>
        <w:tc>
          <w:tcPr>
            <w:tcW w:w="845" w:type="dxa"/>
          </w:tcPr>
          <w:p w14:paraId="031ABADD" w14:textId="77777777" w:rsidR="00D02689" w:rsidRPr="001F224B" w:rsidRDefault="00D02689" w:rsidP="00D02689">
            <w:pPr>
              <w:pStyle w:val="Title"/>
              <w:jc w:val="right"/>
              <w:rPr>
                <w:rFonts w:ascii="Times New Roman" w:hAnsi="Times New Roman"/>
                <w:b w:val="0"/>
                <w:sz w:val="20"/>
                <w:szCs w:val="20"/>
              </w:rPr>
            </w:pPr>
          </w:p>
        </w:tc>
      </w:tr>
      <w:tr w:rsidR="007B3BD9" w:rsidRPr="001F224B" w14:paraId="22128B54" w14:textId="77777777" w:rsidTr="00091F5D">
        <w:trPr>
          <w:gridAfter w:val="1"/>
          <w:wAfter w:w="10" w:type="dxa"/>
        </w:trPr>
        <w:tc>
          <w:tcPr>
            <w:tcW w:w="847" w:type="dxa"/>
            <w:vAlign w:val="bottom"/>
          </w:tcPr>
          <w:p w14:paraId="37FAEED6"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w:t>
            </w:r>
          </w:p>
        </w:tc>
        <w:tc>
          <w:tcPr>
            <w:tcW w:w="8084" w:type="dxa"/>
            <w:gridSpan w:val="3"/>
            <w:vAlign w:val="bottom"/>
          </w:tcPr>
          <w:p w14:paraId="30A9543F" w14:textId="08ADA4B7"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Sunum esaslarına ilişkin açıklamalar</w:t>
            </w:r>
          </w:p>
        </w:tc>
        <w:tc>
          <w:tcPr>
            <w:tcW w:w="845" w:type="dxa"/>
          </w:tcPr>
          <w:p w14:paraId="6B11B9D2" w14:textId="47666D0D"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1</w:t>
            </w:r>
            <w:r w:rsidR="0089116F" w:rsidRPr="001F224B">
              <w:rPr>
                <w:rFonts w:ascii="Times New Roman" w:hAnsi="Times New Roman"/>
                <w:b w:val="0"/>
                <w:sz w:val="20"/>
                <w:szCs w:val="20"/>
              </w:rPr>
              <w:t>2</w:t>
            </w:r>
          </w:p>
        </w:tc>
      </w:tr>
      <w:tr w:rsidR="007B3BD9" w:rsidRPr="001F224B" w14:paraId="68EE5481" w14:textId="77777777" w:rsidTr="00091F5D">
        <w:trPr>
          <w:gridAfter w:val="1"/>
          <w:wAfter w:w="10" w:type="dxa"/>
        </w:trPr>
        <w:tc>
          <w:tcPr>
            <w:tcW w:w="847" w:type="dxa"/>
            <w:vAlign w:val="bottom"/>
          </w:tcPr>
          <w:p w14:paraId="3C77C77E"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II.</w:t>
            </w:r>
          </w:p>
        </w:tc>
        <w:tc>
          <w:tcPr>
            <w:tcW w:w="8084" w:type="dxa"/>
            <w:gridSpan w:val="3"/>
            <w:vAlign w:val="bottom"/>
          </w:tcPr>
          <w:p w14:paraId="5A2D0C88" w14:textId="4CA755A7"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Konsolide finansal tabloların hazırlanmasında kullanılan değerleme esasları</w:t>
            </w:r>
          </w:p>
        </w:tc>
        <w:tc>
          <w:tcPr>
            <w:tcW w:w="845" w:type="dxa"/>
          </w:tcPr>
          <w:p w14:paraId="0D469C7E" w14:textId="25ABB496"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1</w:t>
            </w:r>
            <w:r w:rsidR="0089116F" w:rsidRPr="001F224B">
              <w:rPr>
                <w:rFonts w:ascii="Times New Roman" w:hAnsi="Times New Roman"/>
                <w:b w:val="0"/>
                <w:sz w:val="20"/>
                <w:szCs w:val="20"/>
              </w:rPr>
              <w:t>3</w:t>
            </w:r>
          </w:p>
        </w:tc>
      </w:tr>
      <w:tr w:rsidR="007B3BD9" w:rsidRPr="001F224B" w14:paraId="169089C8" w14:textId="77777777" w:rsidTr="00091F5D">
        <w:trPr>
          <w:gridAfter w:val="1"/>
          <w:wAfter w:w="10" w:type="dxa"/>
        </w:trPr>
        <w:tc>
          <w:tcPr>
            <w:tcW w:w="847" w:type="dxa"/>
            <w:vAlign w:val="bottom"/>
          </w:tcPr>
          <w:p w14:paraId="1A2CC4B0" w14:textId="77777777"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III.</w:t>
            </w:r>
          </w:p>
        </w:tc>
        <w:tc>
          <w:tcPr>
            <w:tcW w:w="8084" w:type="dxa"/>
            <w:gridSpan w:val="3"/>
            <w:vAlign w:val="bottom"/>
          </w:tcPr>
          <w:p w14:paraId="42825606" w14:textId="3C356F23"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Finansal araçların kullanım stratejisi ve yabancı para cinsinden işlemlere ilişkin açıklamalar</w:t>
            </w:r>
          </w:p>
        </w:tc>
        <w:tc>
          <w:tcPr>
            <w:tcW w:w="845" w:type="dxa"/>
          </w:tcPr>
          <w:p w14:paraId="1D2B05F7" w14:textId="6EFB406E" w:rsidR="007B3BD9" w:rsidRPr="001F224B" w:rsidRDefault="007B3BD9" w:rsidP="007B3BD9">
            <w:pPr>
              <w:pStyle w:val="Title"/>
              <w:tabs>
                <w:tab w:val="left" w:pos="258"/>
                <w:tab w:val="right" w:pos="485"/>
              </w:tabs>
              <w:jc w:val="right"/>
              <w:rPr>
                <w:rFonts w:ascii="Times New Roman" w:hAnsi="Times New Roman"/>
                <w:b w:val="0"/>
                <w:sz w:val="20"/>
                <w:szCs w:val="20"/>
              </w:rPr>
            </w:pPr>
            <w:r w:rsidRPr="001F224B">
              <w:rPr>
                <w:rFonts w:ascii="Times New Roman" w:hAnsi="Times New Roman"/>
                <w:b w:val="0"/>
                <w:sz w:val="20"/>
                <w:szCs w:val="20"/>
              </w:rPr>
              <w:t xml:space="preserve">   1</w:t>
            </w:r>
            <w:r w:rsidR="0089116F" w:rsidRPr="001F224B">
              <w:rPr>
                <w:rFonts w:ascii="Times New Roman" w:hAnsi="Times New Roman"/>
                <w:b w:val="0"/>
                <w:sz w:val="20"/>
                <w:szCs w:val="20"/>
              </w:rPr>
              <w:t>3</w:t>
            </w:r>
            <w:r w:rsidRPr="001F224B">
              <w:rPr>
                <w:rFonts w:ascii="Times New Roman" w:hAnsi="Times New Roman"/>
                <w:b w:val="0"/>
                <w:sz w:val="20"/>
                <w:szCs w:val="20"/>
              </w:rPr>
              <w:t>-1</w:t>
            </w:r>
            <w:r w:rsidR="0089116F" w:rsidRPr="001F224B">
              <w:rPr>
                <w:rFonts w:ascii="Times New Roman" w:hAnsi="Times New Roman"/>
                <w:b w:val="0"/>
                <w:sz w:val="20"/>
                <w:szCs w:val="20"/>
              </w:rPr>
              <w:t>4</w:t>
            </w:r>
          </w:p>
        </w:tc>
      </w:tr>
      <w:tr w:rsidR="007B3BD9" w:rsidRPr="001F224B" w14:paraId="439AB49C" w14:textId="77777777" w:rsidTr="00091F5D">
        <w:trPr>
          <w:gridAfter w:val="1"/>
          <w:wAfter w:w="10" w:type="dxa"/>
        </w:trPr>
        <w:tc>
          <w:tcPr>
            <w:tcW w:w="847" w:type="dxa"/>
            <w:vAlign w:val="bottom"/>
          </w:tcPr>
          <w:p w14:paraId="7E7B7D8B" w14:textId="7682BFB2"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IV.</w:t>
            </w:r>
          </w:p>
        </w:tc>
        <w:tc>
          <w:tcPr>
            <w:tcW w:w="8084" w:type="dxa"/>
            <w:gridSpan w:val="3"/>
            <w:vAlign w:val="bottom"/>
          </w:tcPr>
          <w:p w14:paraId="628C29B1" w14:textId="2ACCF104"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Konsolide edilen ortaklıklara ilişkin açıklamalar</w:t>
            </w:r>
          </w:p>
        </w:tc>
        <w:tc>
          <w:tcPr>
            <w:tcW w:w="845" w:type="dxa"/>
          </w:tcPr>
          <w:p w14:paraId="3628503B" w14:textId="31F39FD7" w:rsidR="007B3BD9" w:rsidRPr="001F224B" w:rsidRDefault="007B3BD9" w:rsidP="007B3BD9">
            <w:pPr>
              <w:pStyle w:val="Title"/>
              <w:tabs>
                <w:tab w:val="left" w:pos="258"/>
                <w:tab w:val="right" w:pos="485"/>
              </w:tabs>
              <w:jc w:val="right"/>
              <w:rPr>
                <w:rFonts w:ascii="Times New Roman" w:hAnsi="Times New Roman"/>
                <w:b w:val="0"/>
                <w:sz w:val="20"/>
                <w:szCs w:val="20"/>
              </w:rPr>
            </w:pPr>
            <w:r w:rsidRPr="001F224B">
              <w:rPr>
                <w:rFonts w:ascii="Times New Roman" w:hAnsi="Times New Roman"/>
                <w:b w:val="0"/>
                <w:sz w:val="20"/>
                <w:szCs w:val="20"/>
              </w:rPr>
              <w:t>1</w:t>
            </w:r>
            <w:r w:rsidR="0089116F" w:rsidRPr="001F224B">
              <w:rPr>
                <w:rFonts w:ascii="Times New Roman" w:hAnsi="Times New Roman"/>
                <w:b w:val="0"/>
                <w:sz w:val="20"/>
                <w:szCs w:val="20"/>
              </w:rPr>
              <w:t>4</w:t>
            </w:r>
          </w:p>
        </w:tc>
      </w:tr>
      <w:tr w:rsidR="007B3BD9" w:rsidRPr="001F224B" w14:paraId="57727FCA" w14:textId="77777777" w:rsidTr="00091F5D">
        <w:trPr>
          <w:gridAfter w:val="1"/>
          <w:wAfter w:w="10" w:type="dxa"/>
        </w:trPr>
        <w:tc>
          <w:tcPr>
            <w:tcW w:w="847" w:type="dxa"/>
            <w:vAlign w:val="bottom"/>
          </w:tcPr>
          <w:p w14:paraId="42028836" w14:textId="1A8A87AA"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w:t>
            </w:r>
          </w:p>
        </w:tc>
        <w:tc>
          <w:tcPr>
            <w:tcW w:w="8084" w:type="dxa"/>
            <w:gridSpan w:val="3"/>
            <w:vAlign w:val="bottom"/>
          </w:tcPr>
          <w:p w14:paraId="76304F30" w14:textId="25BAD0BB"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Konsolidasyon kapsamında bulunmayan iştirakler, bağlı ortaklıklar ve birlikte kontrol edilen ortaklıkların konsolide finansal tablolarda gösterimi</w:t>
            </w:r>
          </w:p>
        </w:tc>
        <w:tc>
          <w:tcPr>
            <w:tcW w:w="845" w:type="dxa"/>
          </w:tcPr>
          <w:p w14:paraId="365AE0E5" w14:textId="052E06EE" w:rsidR="007B3BD9" w:rsidRPr="001F224B" w:rsidRDefault="007B3BD9" w:rsidP="007B3BD9">
            <w:pPr>
              <w:pStyle w:val="Title"/>
              <w:tabs>
                <w:tab w:val="left" w:pos="258"/>
                <w:tab w:val="right" w:pos="485"/>
              </w:tabs>
              <w:jc w:val="right"/>
              <w:rPr>
                <w:rFonts w:ascii="Times New Roman" w:hAnsi="Times New Roman"/>
                <w:b w:val="0"/>
                <w:sz w:val="20"/>
                <w:szCs w:val="20"/>
              </w:rPr>
            </w:pPr>
            <w:r w:rsidRPr="001F224B">
              <w:rPr>
                <w:rFonts w:ascii="Times New Roman" w:hAnsi="Times New Roman"/>
                <w:b w:val="0"/>
                <w:sz w:val="20"/>
                <w:szCs w:val="20"/>
              </w:rPr>
              <w:t>1</w:t>
            </w:r>
            <w:r w:rsidR="0089116F" w:rsidRPr="001F224B">
              <w:rPr>
                <w:rFonts w:ascii="Times New Roman" w:hAnsi="Times New Roman"/>
                <w:b w:val="0"/>
                <w:sz w:val="20"/>
                <w:szCs w:val="20"/>
              </w:rPr>
              <w:t>5</w:t>
            </w:r>
          </w:p>
        </w:tc>
      </w:tr>
      <w:tr w:rsidR="007B3BD9" w:rsidRPr="001F224B" w14:paraId="5D89D6E1" w14:textId="77777777" w:rsidTr="00091F5D">
        <w:trPr>
          <w:gridAfter w:val="1"/>
          <w:wAfter w:w="10" w:type="dxa"/>
        </w:trPr>
        <w:tc>
          <w:tcPr>
            <w:tcW w:w="847" w:type="dxa"/>
            <w:vAlign w:val="bottom"/>
          </w:tcPr>
          <w:p w14:paraId="5E9D56FA" w14:textId="74C2F4E0"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VI.</w:t>
            </w:r>
          </w:p>
        </w:tc>
        <w:tc>
          <w:tcPr>
            <w:tcW w:w="8084" w:type="dxa"/>
            <w:gridSpan w:val="3"/>
            <w:vAlign w:val="bottom"/>
          </w:tcPr>
          <w:p w14:paraId="551E928E" w14:textId="426F723A"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Vadeli işlem ve opsiyon sözleşmeleri ile türev ürünlere ilişkin açıklamalar</w:t>
            </w:r>
          </w:p>
        </w:tc>
        <w:tc>
          <w:tcPr>
            <w:tcW w:w="845" w:type="dxa"/>
          </w:tcPr>
          <w:p w14:paraId="10E93458" w14:textId="7DEBE777" w:rsidR="007B3BD9" w:rsidRPr="001F224B" w:rsidRDefault="00E17C75" w:rsidP="00E17C75">
            <w:pPr>
              <w:pStyle w:val="Title"/>
              <w:ind w:left="-389" w:right="-30"/>
              <w:rPr>
                <w:rFonts w:ascii="Times New Roman" w:hAnsi="Times New Roman"/>
                <w:b w:val="0"/>
                <w:sz w:val="20"/>
                <w:szCs w:val="20"/>
              </w:rPr>
            </w:pPr>
            <w:r w:rsidRPr="001F224B">
              <w:rPr>
                <w:rFonts w:ascii="Times New Roman" w:hAnsi="Times New Roman"/>
                <w:b w:val="0"/>
                <w:sz w:val="20"/>
                <w:szCs w:val="20"/>
              </w:rPr>
              <w:t xml:space="preserve">                </w:t>
            </w:r>
            <w:r w:rsidR="007B3BD9" w:rsidRPr="001F224B">
              <w:rPr>
                <w:rFonts w:ascii="Times New Roman" w:hAnsi="Times New Roman"/>
                <w:b w:val="0"/>
                <w:sz w:val="20"/>
                <w:szCs w:val="20"/>
              </w:rPr>
              <w:t>1</w:t>
            </w:r>
            <w:r w:rsidR="0089116F" w:rsidRPr="001F224B">
              <w:rPr>
                <w:rFonts w:ascii="Times New Roman" w:hAnsi="Times New Roman"/>
                <w:b w:val="0"/>
                <w:sz w:val="20"/>
                <w:szCs w:val="20"/>
              </w:rPr>
              <w:t>5</w:t>
            </w:r>
            <w:r w:rsidR="007B3BD9" w:rsidRPr="001F224B">
              <w:rPr>
                <w:rFonts w:ascii="Times New Roman" w:hAnsi="Times New Roman"/>
                <w:b w:val="0"/>
                <w:sz w:val="20"/>
                <w:szCs w:val="20"/>
              </w:rPr>
              <w:t xml:space="preserve">   </w:t>
            </w:r>
          </w:p>
        </w:tc>
      </w:tr>
      <w:tr w:rsidR="007B3BD9" w:rsidRPr="001F224B" w14:paraId="19BC4EC9" w14:textId="77777777" w:rsidTr="00091F5D">
        <w:trPr>
          <w:gridAfter w:val="1"/>
          <w:wAfter w:w="10" w:type="dxa"/>
        </w:trPr>
        <w:tc>
          <w:tcPr>
            <w:tcW w:w="847" w:type="dxa"/>
            <w:vAlign w:val="bottom"/>
          </w:tcPr>
          <w:p w14:paraId="0C055773" w14:textId="6739858E"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VII.</w:t>
            </w:r>
          </w:p>
        </w:tc>
        <w:tc>
          <w:tcPr>
            <w:tcW w:w="8084" w:type="dxa"/>
            <w:gridSpan w:val="3"/>
            <w:vAlign w:val="bottom"/>
          </w:tcPr>
          <w:p w14:paraId="43F884DC" w14:textId="22B0A5C0"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Faiz gelir ve giderine ilişkin açıklamalar</w:t>
            </w:r>
          </w:p>
        </w:tc>
        <w:tc>
          <w:tcPr>
            <w:tcW w:w="845" w:type="dxa"/>
          </w:tcPr>
          <w:p w14:paraId="300DBA99" w14:textId="76F6B19B"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1</w:t>
            </w:r>
            <w:r w:rsidR="0089116F" w:rsidRPr="001F224B">
              <w:rPr>
                <w:rFonts w:ascii="Times New Roman" w:hAnsi="Times New Roman"/>
                <w:b w:val="0"/>
                <w:sz w:val="20"/>
                <w:szCs w:val="20"/>
              </w:rPr>
              <w:t>5</w:t>
            </w:r>
          </w:p>
        </w:tc>
      </w:tr>
      <w:tr w:rsidR="007B3BD9" w:rsidRPr="001F224B" w14:paraId="415C4D79" w14:textId="77777777" w:rsidTr="00091F5D">
        <w:trPr>
          <w:gridAfter w:val="1"/>
          <w:wAfter w:w="10" w:type="dxa"/>
        </w:trPr>
        <w:tc>
          <w:tcPr>
            <w:tcW w:w="847" w:type="dxa"/>
            <w:vAlign w:val="bottom"/>
          </w:tcPr>
          <w:p w14:paraId="68272845" w14:textId="4DCE5CAE"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VIII.</w:t>
            </w:r>
          </w:p>
        </w:tc>
        <w:tc>
          <w:tcPr>
            <w:tcW w:w="8084" w:type="dxa"/>
            <w:gridSpan w:val="3"/>
            <w:vAlign w:val="bottom"/>
          </w:tcPr>
          <w:p w14:paraId="4140C232" w14:textId="657EE3A2"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Ücret ve komisyon gelir ve giderlerine ilişkin açıklamalar</w:t>
            </w:r>
          </w:p>
        </w:tc>
        <w:tc>
          <w:tcPr>
            <w:tcW w:w="845" w:type="dxa"/>
          </w:tcPr>
          <w:p w14:paraId="6C66DDEA" w14:textId="706E70E2"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1</w:t>
            </w:r>
            <w:r w:rsidR="0089116F" w:rsidRPr="001F224B">
              <w:rPr>
                <w:rFonts w:ascii="Times New Roman" w:hAnsi="Times New Roman"/>
                <w:b w:val="0"/>
                <w:sz w:val="20"/>
                <w:szCs w:val="20"/>
              </w:rPr>
              <w:t>5</w:t>
            </w:r>
          </w:p>
        </w:tc>
      </w:tr>
      <w:tr w:rsidR="007B3BD9" w:rsidRPr="001F224B" w14:paraId="3342FA55" w14:textId="77777777" w:rsidTr="00091F5D">
        <w:trPr>
          <w:gridAfter w:val="1"/>
          <w:wAfter w:w="10" w:type="dxa"/>
        </w:trPr>
        <w:tc>
          <w:tcPr>
            <w:tcW w:w="847" w:type="dxa"/>
            <w:vAlign w:val="bottom"/>
          </w:tcPr>
          <w:p w14:paraId="0D14F15A" w14:textId="370A4338"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IX</w:t>
            </w:r>
            <w:r w:rsidRPr="001F224B" w:rsidDel="0047645D">
              <w:rPr>
                <w:rFonts w:ascii="Times New Roman" w:hAnsi="Times New Roman"/>
                <w:sz w:val="20"/>
                <w:szCs w:val="20"/>
              </w:rPr>
              <w:t xml:space="preserve"> </w:t>
            </w:r>
            <w:r w:rsidRPr="001F224B">
              <w:rPr>
                <w:rFonts w:ascii="Times New Roman" w:hAnsi="Times New Roman"/>
                <w:sz w:val="20"/>
                <w:szCs w:val="20"/>
              </w:rPr>
              <w:t>.</w:t>
            </w:r>
          </w:p>
        </w:tc>
        <w:tc>
          <w:tcPr>
            <w:tcW w:w="8084" w:type="dxa"/>
            <w:gridSpan w:val="3"/>
            <w:vAlign w:val="bottom"/>
          </w:tcPr>
          <w:p w14:paraId="777BCDBA" w14:textId="386F9262"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Finansal varlıklara ilişkin açıklamalar</w:t>
            </w:r>
          </w:p>
        </w:tc>
        <w:tc>
          <w:tcPr>
            <w:tcW w:w="845" w:type="dxa"/>
          </w:tcPr>
          <w:p w14:paraId="63905613" w14:textId="61872282" w:rsidR="007B3BD9" w:rsidRPr="001F224B" w:rsidRDefault="007B3BD9" w:rsidP="007B3BD9">
            <w:pPr>
              <w:pStyle w:val="Title"/>
              <w:tabs>
                <w:tab w:val="right" w:pos="629"/>
              </w:tabs>
              <w:jc w:val="left"/>
              <w:rPr>
                <w:rFonts w:ascii="Times New Roman" w:hAnsi="Times New Roman"/>
                <w:b w:val="0"/>
                <w:sz w:val="20"/>
                <w:szCs w:val="20"/>
              </w:rPr>
            </w:pPr>
            <w:r w:rsidRPr="001F224B">
              <w:rPr>
                <w:rFonts w:ascii="Times New Roman" w:hAnsi="Times New Roman"/>
                <w:b w:val="0"/>
                <w:sz w:val="20"/>
                <w:szCs w:val="20"/>
              </w:rPr>
              <w:tab/>
            </w:r>
            <w:r w:rsidR="0089116F" w:rsidRPr="001F224B">
              <w:rPr>
                <w:rFonts w:ascii="Times New Roman" w:hAnsi="Times New Roman"/>
                <w:b w:val="0"/>
                <w:sz w:val="20"/>
                <w:szCs w:val="20"/>
              </w:rPr>
              <w:t>16-19</w:t>
            </w:r>
          </w:p>
        </w:tc>
      </w:tr>
      <w:tr w:rsidR="007B3BD9" w:rsidRPr="001F224B" w14:paraId="0002FB0D" w14:textId="77777777" w:rsidTr="00091F5D">
        <w:trPr>
          <w:gridAfter w:val="1"/>
          <w:wAfter w:w="10" w:type="dxa"/>
        </w:trPr>
        <w:tc>
          <w:tcPr>
            <w:tcW w:w="847" w:type="dxa"/>
            <w:vAlign w:val="bottom"/>
          </w:tcPr>
          <w:p w14:paraId="2B8A6A25" w14:textId="3231F599"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w:t>
            </w:r>
          </w:p>
        </w:tc>
        <w:tc>
          <w:tcPr>
            <w:tcW w:w="8084" w:type="dxa"/>
            <w:gridSpan w:val="3"/>
            <w:vAlign w:val="bottom"/>
          </w:tcPr>
          <w:p w14:paraId="7816CA0E" w14:textId="265F6D28"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Finansal varlıklarda değer düşüklüğüne ilişkin açıklamalar</w:t>
            </w:r>
          </w:p>
        </w:tc>
        <w:tc>
          <w:tcPr>
            <w:tcW w:w="845" w:type="dxa"/>
          </w:tcPr>
          <w:p w14:paraId="1D527945" w14:textId="6368192C" w:rsidR="007B3BD9" w:rsidRPr="001F224B" w:rsidRDefault="0089116F" w:rsidP="007B3BD9">
            <w:pPr>
              <w:pStyle w:val="Title"/>
              <w:jc w:val="right"/>
              <w:rPr>
                <w:rFonts w:ascii="Times New Roman" w:hAnsi="Times New Roman"/>
                <w:b w:val="0"/>
                <w:sz w:val="20"/>
                <w:szCs w:val="20"/>
              </w:rPr>
            </w:pPr>
            <w:r w:rsidRPr="001F224B">
              <w:rPr>
                <w:rFonts w:ascii="Times New Roman" w:hAnsi="Times New Roman"/>
                <w:b w:val="0"/>
                <w:sz w:val="20"/>
                <w:szCs w:val="20"/>
              </w:rPr>
              <w:t>19-22</w:t>
            </w:r>
          </w:p>
        </w:tc>
      </w:tr>
      <w:tr w:rsidR="007B3BD9" w:rsidRPr="001F224B" w14:paraId="0AD7BA2E" w14:textId="77777777" w:rsidTr="00091F5D">
        <w:trPr>
          <w:gridAfter w:val="1"/>
          <w:wAfter w:w="10" w:type="dxa"/>
        </w:trPr>
        <w:tc>
          <w:tcPr>
            <w:tcW w:w="847" w:type="dxa"/>
            <w:vAlign w:val="bottom"/>
          </w:tcPr>
          <w:p w14:paraId="0D65D0EE" w14:textId="0EBDCAD5"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XI.</w:t>
            </w:r>
          </w:p>
        </w:tc>
        <w:tc>
          <w:tcPr>
            <w:tcW w:w="8084" w:type="dxa"/>
            <w:gridSpan w:val="3"/>
            <w:vAlign w:val="bottom"/>
          </w:tcPr>
          <w:p w14:paraId="160CFE93" w14:textId="21893C4B"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Finansal araçların netleştirilmesine ilişkin açıklamalar</w:t>
            </w:r>
          </w:p>
        </w:tc>
        <w:tc>
          <w:tcPr>
            <w:tcW w:w="845" w:type="dxa"/>
          </w:tcPr>
          <w:p w14:paraId="0B8F12FA" w14:textId="1AA040E8"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2</w:t>
            </w:r>
            <w:r w:rsidR="0089116F" w:rsidRPr="001F224B">
              <w:rPr>
                <w:rFonts w:ascii="Times New Roman" w:hAnsi="Times New Roman"/>
                <w:b w:val="0"/>
                <w:sz w:val="20"/>
                <w:szCs w:val="20"/>
              </w:rPr>
              <w:t>3</w:t>
            </w:r>
          </w:p>
        </w:tc>
      </w:tr>
      <w:tr w:rsidR="007B3BD9" w:rsidRPr="001F224B" w14:paraId="1BCB1F40" w14:textId="77777777" w:rsidTr="00091F5D">
        <w:trPr>
          <w:gridAfter w:val="1"/>
          <w:wAfter w:w="10" w:type="dxa"/>
        </w:trPr>
        <w:tc>
          <w:tcPr>
            <w:tcW w:w="847" w:type="dxa"/>
          </w:tcPr>
          <w:p w14:paraId="110E3F22" w14:textId="6BA3F301"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XII.</w:t>
            </w:r>
          </w:p>
        </w:tc>
        <w:tc>
          <w:tcPr>
            <w:tcW w:w="8084" w:type="dxa"/>
            <w:gridSpan w:val="3"/>
            <w:vAlign w:val="bottom"/>
          </w:tcPr>
          <w:p w14:paraId="6A98B0F6" w14:textId="6D55768C" w:rsidR="007B3BD9" w:rsidRPr="001F224B" w:rsidRDefault="007B3BD9" w:rsidP="007B3BD9">
            <w:pPr>
              <w:pStyle w:val="Title"/>
              <w:jc w:val="both"/>
              <w:rPr>
                <w:rFonts w:ascii="Times New Roman" w:hAnsi="Times New Roman"/>
                <w:b w:val="0"/>
                <w:sz w:val="20"/>
                <w:szCs w:val="20"/>
              </w:rPr>
            </w:pPr>
            <w:r w:rsidRPr="001F224B">
              <w:rPr>
                <w:rFonts w:ascii="Times New Roman" w:hAnsi="Times New Roman"/>
                <w:b w:val="0"/>
                <w:sz w:val="20"/>
                <w:szCs w:val="20"/>
              </w:rPr>
              <w:t>Satış ve geri alış anlaşmaları ve menkul değerlerin ödünç verilmesi işlemlerine ilişkin açıklamalar</w:t>
            </w:r>
          </w:p>
        </w:tc>
        <w:tc>
          <w:tcPr>
            <w:tcW w:w="845" w:type="dxa"/>
          </w:tcPr>
          <w:p w14:paraId="7EC9B900" w14:textId="023B8405"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2</w:t>
            </w:r>
            <w:r w:rsidR="0089116F" w:rsidRPr="001F224B">
              <w:rPr>
                <w:rFonts w:ascii="Times New Roman" w:hAnsi="Times New Roman"/>
                <w:b w:val="0"/>
                <w:sz w:val="20"/>
                <w:szCs w:val="20"/>
              </w:rPr>
              <w:t>3</w:t>
            </w:r>
          </w:p>
        </w:tc>
      </w:tr>
      <w:tr w:rsidR="007B3BD9" w:rsidRPr="001F224B" w14:paraId="24A4CB71" w14:textId="77777777" w:rsidTr="00091F5D">
        <w:trPr>
          <w:gridAfter w:val="1"/>
          <w:wAfter w:w="10" w:type="dxa"/>
        </w:trPr>
        <w:tc>
          <w:tcPr>
            <w:tcW w:w="847" w:type="dxa"/>
          </w:tcPr>
          <w:p w14:paraId="5A7AA39A" w14:textId="25A7CDA4"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XIII.</w:t>
            </w:r>
          </w:p>
        </w:tc>
        <w:tc>
          <w:tcPr>
            <w:tcW w:w="8084" w:type="dxa"/>
            <w:gridSpan w:val="3"/>
            <w:vAlign w:val="bottom"/>
          </w:tcPr>
          <w:p w14:paraId="2DE3447B" w14:textId="76E4C5FA" w:rsidR="007B3BD9" w:rsidRPr="001F224B" w:rsidRDefault="007B3BD9" w:rsidP="007B3BD9">
            <w:pPr>
              <w:jc w:val="both"/>
              <w:rPr>
                <w:sz w:val="20"/>
                <w:szCs w:val="20"/>
              </w:rPr>
            </w:pPr>
            <w:r w:rsidRPr="001F224B">
              <w:rPr>
                <w:sz w:val="20"/>
                <w:szCs w:val="20"/>
              </w:rPr>
              <w:t>Satış amaçlı elde tutulan ve durdurulan faaliyetlere ilişkin duran varlıklar ile bunlara ilişkin borçlar hakkında açıklamalar</w:t>
            </w:r>
          </w:p>
        </w:tc>
        <w:tc>
          <w:tcPr>
            <w:tcW w:w="845" w:type="dxa"/>
            <w:vAlign w:val="bottom"/>
          </w:tcPr>
          <w:p w14:paraId="02C6EDFE" w14:textId="1D6ECFAA"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2</w:t>
            </w:r>
            <w:r w:rsidR="0089116F" w:rsidRPr="001F224B">
              <w:rPr>
                <w:rFonts w:ascii="Times New Roman" w:hAnsi="Times New Roman"/>
                <w:b w:val="0"/>
                <w:sz w:val="20"/>
                <w:szCs w:val="20"/>
              </w:rPr>
              <w:t>3</w:t>
            </w:r>
          </w:p>
        </w:tc>
      </w:tr>
      <w:tr w:rsidR="007B3BD9" w:rsidRPr="001F224B" w14:paraId="1B0C6DA5" w14:textId="77777777" w:rsidTr="00091F5D">
        <w:trPr>
          <w:gridAfter w:val="1"/>
          <w:wAfter w:w="10" w:type="dxa"/>
        </w:trPr>
        <w:tc>
          <w:tcPr>
            <w:tcW w:w="847" w:type="dxa"/>
            <w:vAlign w:val="bottom"/>
          </w:tcPr>
          <w:p w14:paraId="611D814C" w14:textId="0E89E323"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XIV.</w:t>
            </w:r>
          </w:p>
        </w:tc>
        <w:tc>
          <w:tcPr>
            <w:tcW w:w="8084" w:type="dxa"/>
            <w:gridSpan w:val="3"/>
            <w:vAlign w:val="bottom"/>
          </w:tcPr>
          <w:p w14:paraId="43F629E2" w14:textId="33565FDB" w:rsidR="007B3BD9" w:rsidRPr="001F224B" w:rsidRDefault="007B3BD9" w:rsidP="007B3BD9">
            <w:pPr>
              <w:jc w:val="both"/>
              <w:rPr>
                <w:sz w:val="20"/>
                <w:szCs w:val="20"/>
              </w:rPr>
            </w:pPr>
            <w:r w:rsidRPr="001F224B">
              <w:rPr>
                <w:sz w:val="20"/>
                <w:szCs w:val="20"/>
              </w:rPr>
              <w:t>Şerefiye ve diğer maddi olmayan duran varlıklara ilişkin açıklamalar</w:t>
            </w:r>
          </w:p>
        </w:tc>
        <w:tc>
          <w:tcPr>
            <w:tcW w:w="845" w:type="dxa"/>
          </w:tcPr>
          <w:p w14:paraId="55B1A4CF" w14:textId="5BD52EC6"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2</w:t>
            </w:r>
            <w:r w:rsidR="0089116F" w:rsidRPr="001F224B">
              <w:rPr>
                <w:rFonts w:ascii="Times New Roman" w:hAnsi="Times New Roman"/>
                <w:b w:val="0"/>
                <w:sz w:val="20"/>
                <w:szCs w:val="20"/>
              </w:rPr>
              <w:t>4</w:t>
            </w:r>
          </w:p>
        </w:tc>
      </w:tr>
      <w:tr w:rsidR="007B3BD9" w:rsidRPr="001F224B" w14:paraId="30CAAD4C" w14:textId="77777777" w:rsidTr="00091F5D">
        <w:trPr>
          <w:gridAfter w:val="1"/>
          <w:wAfter w:w="10" w:type="dxa"/>
        </w:trPr>
        <w:tc>
          <w:tcPr>
            <w:tcW w:w="847" w:type="dxa"/>
            <w:vAlign w:val="bottom"/>
          </w:tcPr>
          <w:p w14:paraId="46D7219E" w14:textId="2ECF696E"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XV.</w:t>
            </w:r>
          </w:p>
        </w:tc>
        <w:tc>
          <w:tcPr>
            <w:tcW w:w="8084" w:type="dxa"/>
            <w:gridSpan w:val="3"/>
            <w:vAlign w:val="bottom"/>
          </w:tcPr>
          <w:p w14:paraId="46317999" w14:textId="3245DC0D" w:rsidR="007B3BD9" w:rsidRPr="001F224B" w:rsidRDefault="007B3BD9" w:rsidP="007B3BD9">
            <w:pPr>
              <w:jc w:val="both"/>
              <w:rPr>
                <w:sz w:val="20"/>
                <w:szCs w:val="20"/>
              </w:rPr>
            </w:pPr>
            <w:r w:rsidRPr="001F224B">
              <w:rPr>
                <w:sz w:val="20"/>
                <w:szCs w:val="20"/>
              </w:rPr>
              <w:t>Maddi duran varlıklara ilişkin açıklamalar</w:t>
            </w:r>
          </w:p>
        </w:tc>
        <w:tc>
          <w:tcPr>
            <w:tcW w:w="845" w:type="dxa"/>
          </w:tcPr>
          <w:p w14:paraId="7312BC32" w14:textId="1F4A6535"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2</w:t>
            </w:r>
            <w:r w:rsidR="0089116F" w:rsidRPr="001F224B">
              <w:rPr>
                <w:rFonts w:ascii="Times New Roman" w:hAnsi="Times New Roman"/>
                <w:b w:val="0"/>
                <w:sz w:val="20"/>
                <w:szCs w:val="20"/>
              </w:rPr>
              <w:t>4</w:t>
            </w:r>
          </w:p>
        </w:tc>
      </w:tr>
      <w:tr w:rsidR="007B3BD9" w:rsidRPr="001F224B" w14:paraId="4F953C79" w14:textId="77777777" w:rsidTr="00091F5D">
        <w:trPr>
          <w:gridAfter w:val="1"/>
          <w:wAfter w:w="10" w:type="dxa"/>
        </w:trPr>
        <w:tc>
          <w:tcPr>
            <w:tcW w:w="847" w:type="dxa"/>
            <w:vAlign w:val="bottom"/>
          </w:tcPr>
          <w:p w14:paraId="6A66FC12" w14:textId="10D6EA3C"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XVI.</w:t>
            </w:r>
          </w:p>
        </w:tc>
        <w:tc>
          <w:tcPr>
            <w:tcW w:w="8084" w:type="dxa"/>
            <w:gridSpan w:val="3"/>
            <w:vAlign w:val="bottom"/>
          </w:tcPr>
          <w:p w14:paraId="0BE138FA" w14:textId="51EADFAA" w:rsidR="007B3BD9" w:rsidRPr="001F224B" w:rsidRDefault="007B3BD9" w:rsidP="007B3BD9">
            <w:pPr>
              <w:jc w:val="both"/>
              <w:rPr>
                <w:sz w:val="20"/>
                <w:szCs w:val="20"/>
              </w:rPr>
            </w:pPr>
            <w:r w:rsidRPr="001F224B">
              <w:rPr>
                <w:sz w:val="20"/>
                <w:szCs w:val="20"/>
              </w:rPr>
              <w:t>Kiralama işlemlerine ilişkin açıklamalar</w:t>
            </w:r>
          </w:p>
        </w:tc>
        <w:tc>
          <w:tcPr>
            <w:tcW w:w="845" w:type="dxa"/>
          </w:tcPr>
          <w:p w14:paraId="5A537AA7" w14:textId="227D5565"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2</w:t>
            </w:r>
            <w:r w:rsidR="0089116F" w:rsidRPr="001F224B">
              <w:rPr>
                <w:rFonts w:ascii="Times New Roman" w:hAnsi="Times New Roman"/>
                <w:b w:val="0"/>
                <w:sz w:val="20"/>
                <w:szCs w:val="20"/>
              </w:rPr>
              <w:t>5</w:t>
            </w:r>
          </w:p>
        </w:tc>
      </w:tr>
      <w:tr w:rsidR="007B3BD9" w:rsidRPr="001F224B" w14:paraId="5344BCFB" w14:textId="77777777" w:rsidTr="00091F5D">
        <w:trPr>
          <w:gridAfter w:val="1"/>
          <w:wAfter w:w="10" w:type="dxa"/>
        </w:trPr>
        <w:tc>
          <w:tcPr>
            <w:tcW w:w="847" w:type="dxa"/>
            <w:vAlign w:val="bottom"/>
          </w:tcPr>
          <w:p w14:paraId="2B3DC5B3" w14:textId="0A035586"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XVII.</w:t>
            </w:r>
          </w:p>
        </w:tc>
        <w:tc>
          <w:tcPr>
            <w:tcW w:w="8084" w:type="dxa"/>
            <w:gridSpan w:val="3"/>
            <w:vAlign w:val="bottom"/>
          </w:tcPr>
          <w:p w14:paraId="7BD63266" w14:textId="43A443C7" w:rsidR="007B3BD9" w:rsidRPr="001F224B" w:rsidRDefault="007B3BD9" w:rsidP="007B3BD9">
            <w:pPr>
              <w:jc w:val="both"/>
              <w:rPr>
                <w:sz w:val="20"/>
                <w:szCs w:val="20"/>
              </w:rPr>
            </w:pPr>
            <w:r w:rsidRPr="001F224B">
              <w:rPr>
                <w:sz w:val="20"/>
                <w:szCs w:val="20"/>
              </w:rPr>
              <w:t>Karşılıklar ve koşullu yükümlülüklere ilişkin açıklamalar</w:t>
            </w:r>
          </w:p>
        </w:tc>
        <w:tc>
          <w:tcPr>
            <w:tcW w:w="845" w:type="dxa"/>
          </w:tcPr>
          <w:p w14:paraId="6358731B" w14:textId="0DC05095"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2</w:t>
            </w:r>
            <w:r w:rsidR="0089116F" w:rsidRPr="001F224B">
              <w:rPr>
                <w:rFonts w:ascii="Times New Roman" w:hAnsi="Times New Roman"/>
                <w:b w:val="0"/>
                <w:sz w:val="20"/>
                <w:szCs w:val="20"/>
              </w:rPr>
              <w:t>5</w:t>
            </w:r>
          </w:p>
        </w:tc>
      </w:tr>
      <w:tr w:rsidR="007B3BD9" w:rsidRPr="001F224B" w14:paraId="599372A9" w14:textId="77777777" w:rsidTr="00091F5D">
        <w:trPr>
          <w:gridAfter w:val="1"/>
          <w:wAfter w:w="10" w:type="dxa"/>
        </w:trPr>
        <w:tc>
          <w:tcPr>
            <w:tcW w:w="847" w:type="dxa"/>
            <w:vAlign w:val="bottom"/>
          </w:tcPr>
          <w:p w14:paraId="0F12D1C9" w14:textId="5284B3D4"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XVIII.</w:t>
            </w:r>
          </w:p>
        </w:tc>
        <w:tc>
          <w:tcPr>
            <w:tcW w:w="8084" w:type="dxa"/>
            <w:gridSpan w:val="3"/>
            <w:vAlign w:val="bottom"/>
          </w:tcPr>
          <w:p w14:paraId="6006D55F" w14:textId="2C8A2C89" w:rsidR="007B3BD9" w:rsidRPr="001F224B" w:rsidRDefault="007B3BD9" w:rsidP="007B3BD9">
            <w:pPr>
              <w:jc w:val="both"/>
              <w:rPr>
                <w:sz w:val="20"/>
                <w:szCs w:val="20"/>
              </w:rPr>
            </w:pPr>
            <w:r w:rsidRPr="001F224B">
              <w:rPr>
                <w:sz w:val="20"/>
                <w:szCs w:val="20"/>
              </w:rPr>
              <w:t>Çalışanların haklarına ilişkin yükümlülüklere ilişkin açıklamalar</w:t>
            </w:r>
          </w:p>
        </w:tc>
        <w:tc>
          <w:tcPr>
            <w:tcW w:w="845" w:type="dxa"/>
          </w:tcPr>
          <w:p w14:paraId="0134970D" w14:textId="4C4B3D7A"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2</w:t>
            </w:r>
            <w:r w:rsidR="0089116F" w:rsidRPr="001F224B">
              <w:rPr>
                <w:rFonts w:ascii="Times New Roman" w:hAnsi="Times New Roman"/>
                <w:b w:val="0"/>
                <w:sz w:val="20"/>
                <w:szCs w:val="20"/>
              </w:rPr>
              <w:t>6</w:t>
            </w:r>
          </w:p>
        </w:tc>
      </w:tr>
      <w:tr w:rsidR="007B3BD9" w:rsidRPr="001F224B" w14:paraId="04CE6206" w14:textId="77777777" w:rsidTr="00091F5D">
        <w:trPr>
          <w:gridAfter w:val="1"/>
          <w:wAfter w:w="10" w:type="dxa"/>
        </w:trPr>
        <w:tc>
          <w:tcPr>
            <w:tcW w:w="847" w:type="dxa"/>
            <w:vAlign w:val="bottom"/>
          </w:tcPr>
          <w:p w14:paraId="08A2AC4B" w14:textId="583FB03F"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XIX.</w:t>
            </w:r>
          </w:p>
        </w:tc>
        <w:tc>
          <w:tcPr>
            <w:tcW w:w="8084" w:type="dxa"/>
            <w:gridSpan w:val="3"/>
            <w:vAlign w:val="bottom"/>
          </w:tcPr>
          <w:p w14:paraId="63B87197" w14:textId="370AF938" w:rsidR="007B3BD9" w:rsidRPr="001F224B" w:rsidRDefault="007B3BD9" w:rsidP="007B3BD9">
            <w:pPr>
              <w:jc w:val="both"/>
              <w:rPr>
                <w:sz w:val="20"/>
                <w:szCs w:val="20"/>
              </w:rPr>
            </w:pPr>
            <w:r w:rsidRPr="001F224B">
              <w:rPr>
                <w:sz w:val="20"/>
                <w:szCs w:val="20"/>
              </w:rPr>
              <w:t>Vergi uygulamalarına ilişkin açıklamalar</w:t>
            </w:r>
          </w:p>
        </w:tc>
        <w:tc>
          <w:tcPr>
            <w:tcW w:w="845" w:type="dxa"/>
          </w:tcPr>
          <w:p w14:paraId="35EA9E79" w14:textId="120A2179"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w:t>
            </w:r>
            <w:r w:rsidR="0089116F" w:rsidRPr="001F224B">
              <w:rPr>
                <w:rFonts w:ascii="Times New Roman" w:hAnsi="Times New Roman"/>
                <w:b w:val="0"/>
                <w:sz w:val="20"/>
                <w:szCs w:val="20"/>
              </w:rPr>
              <w:t>26-29</w:t>
            </w:r>
          </w:p>
        </w:tc>
      </w:tr>
      <w:tr w:rsidR="007B3BD9" w:rsidRPr="001F224B" w14:paraId="698DC059" w14:textId="77777777" w:rsidTr="00091F5D">
        <w:trPr>
          <w:gridAfter w:val="1"/>
          <w:wAfter w:w="10" w:type="dxa"/>
        </w:trPr>
        <w:tc>
          <w:tcPr>
            <w:tcW w:w="847" w:type="dxa"/>
            <w:vAlign w:val="bottom"/>
          </w:tcPr>
          <w:p w14:paraId="7C934064" w14:textId="6106598B"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w:t>
            </w:r>
          </w:p>
        </w:tc>
        <w:tc>
          <w:tcPr>
            <w:tcW w:w="8084" w:type="dxa"/>
            <w:gridSpan w:val="3"/>
            <w:vAlign w:val="bottom"/>
          </w:tcPr>
          <w:p w14:paraId="381A2FB8" w14:textId="304F90CF" w:rsidR="007B3BD9" w:rsidRPr="001F224B" w:rsidRDefault="007B3BD9" w:rsidP="007B3BD9">
            <w:pPr>
              <w:jc w:val="both"/>
              <w:rPr>
                <w:sz w:val="20"/>
                <w:szCs w:val="20"/>
              </w:rPr>
            </w:pPr>
            <w:r w:rsidRPr="001F224B">
              <w:rPr>
                <w:sz w:val="20"/>
                <w:szCs w:val="20"/>
              </w:rPr>
              <w:t>Borçlanmalara ilişkin ilave açıklamalar</w:t>
            </w:r>
          </w:p>
        </w:tc>
        <w:tc>
          <w:tcPr>
            <w:tcW w:w="845" w:type="dxa"/>
          </w:tcPr>
          <w:p w14:paraId="5FA57531" w14:textId="1F3C0C1D" w:rsidR="007B3BD9" w:rsidRPr="001F224B" w:rsidRDefault="0089116F" w:rsidP="007B3BD9">
            <w:pPr>
              <w:pStyle w:val="Title"/>
              <w:jc w:val="right"/>
              <w:rPr>
                <w:rFonts w:ascii="Times New Roman" w:hAnsi="Times New Roman"/>
                <w:b w:val="0"/>
                <w:sz w:val="20"/>
                <w:szCs w:val="20"/>
              </w:rPr>
            </w:pPr>
            <w:r w:rsidRPr="001F224B">
              <w:rPr>
                <w:rFonts w:ascii="Times New Roman" w:hAnsi="Times New Roman"/>
                <w:b w:val="0"/>
                <w:sz w:val="20"/>
                <w:szCs w:val="20"/>
              </w:rPr>
              <w:t>29</w:t>
            </w:r>
          </w:p>
        </w:tc>
      </w:tr>
      <w:tr w:rsidR="007B3BD9" w:rsidRPr="001F224B" w14:paraId="135D171E" w14:textId="77777777" w:rsidTr="00091F5D">
        <w:trPr>
          <w:gridAfter w:val="1"/>
          <w:wAfter w:w="10" w:type="dxa"/>
        </w:trPr>
        <w:tc>
          <w:tcPr>
            <w:tcW w:w="847" w:type="dxa"/>
            <w:vAlign w:val="bottom"/>
          </w:tcPr>
          <w:p w14:paraId="7E191794" w14:textId="40619804"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XXI.</w:t>
            </w:r>
          </w:p>
        </w:tc>
        <w:tc>
          <w:tcPr>
            <w:tcW w:w="8084" w:type="dxa"/>
            <w:gridSpan w:val="3"/>
            <w:vAlign w:val="bottom"/>
          </w:tcPr>
          <w:p w14:paraId="23AA95A2" w14:textId="17F1CF0B" w:rsidR="007B3BD9" w:rsidRPr="001F224B" w:rsidRDefault="007B3BD9" w:rsidP="007B3BD9">
            <w:pPr>
              <w:jc w:val="both"/>
              <w:rPr>
                <w:sz w:val="20"/>
                <w:szCs w:val="20"/>
              </w:rPr>
            </w:pPr>
            <w:r w:rsidRPr="001F224B">
              <w:rPr>
                <w:sz w:val="20"/>
                <w:szCs w:val="20"/>
              </w:rPr>
              <w:t>İhraç edilen hisse senetlerine ilişkin açıklamalar</w:t>
            </w:r>
          </w:p>
        </w:tc>
        <w:tc>
          <w:tcPr>
            <w:tcW w:w="845" w:type="dxa"/>
          </w:tcPr>
          <w:p w14:paraId="623B2DE8" w14:textId="5EFDEC33"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30</w:t>
            </w:r>
          </w:p>
        </w:tc>
      </w:tr>
      <w:tr w:rsidR="007B3BD9" w:rsidRPr="001F224B" w14:paraId="404EC291" w14:textId="77777777" w:rsidTr="00091F5D">
        <w:trPr>
          <w:gridAfter w:val="1"/>
          <w:wAfter w:w="10" w:type="dxa"/>
        </w:trPr>
        <w:tc>
          <w:tcPr>
            <w:tcW w:w="847" w:type="dxa"/>
            <w:vAlign w:val="bottom"/>
          </w:tcPr>
          <w:p w14:paraId="754C9AB5" w14:textId="2B098092"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XXII.</w:t>
            </w:r>
          </w:p>
        </w:tc>
        <w:tc>
          <w:tcPr>
            <w:tcW w:w="8084" w:type="dxa"/>
            <w:gridSpan w:val="3"/>
            <w:vAlign w:val="bottom"/>
          </w:tcPr>
          <w:p w14:paraId="16D81688" w14:textId="53AFD5D6" w:rsidR="007B3BD9" w:rsidRPr="001F224B" w:rsidRDefault="007B3BD9" w:rsidP="007B3BD9">
            <w:pPr>
              <w:jc w:val="both"/>
              <w:rPr>
                <w:sz w:val="20"/>
                <w:szCs w:val="20"/>
              </w:rPr>
            </w:pPr>
            <w:r w:rsidRPr="001F224B">
              <w:rPr>
                <w:sz w:val="20"/>
                <w:szCs w:val="20"/>
              </w:rPr>
              <w:t>Aval ve kabullere ilişkin açıklamalar</w:t>
            </w:r>
          </w:p>
        </w:tc>
        <w:tc>
          <w:tcPr>
            <w:tcW w:w="845" w:type="dxa"/>
          </w:tcPr>
          <w:p w14:paraId="7AE50DC9" w14:textId="030B23CA"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30</w:t>
            </w:r>
          </w:p>
        </w:tc>
      </w:tr>
      <w:tr w:rsidR="007B3BD9" w:rsidRPr="001F224B" w14:paraId="60574312" w14:textId="77777777" w:rsidTr="00091F5D">
        <w:trPr>
          <w:gridAfter w:val="1"/>
          <w:wAfter w:w="10" w:type="dxa"/>
        </w:trPr>
        <w:tc>
          <w:tcPr>
            <w:tcW w:w="847" w:type="dxa"/>
            <w:vAlign w:val="bottom"/>
          </w:tcPr>
          <w:p w14:paraId="288B19E8" w14:textId="2A3CABDD"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XXIII.</w:t>
            </w:r>
          </w:p>
        </w:tc>
        <w:tc>
          <w:tcPr>
            <w:tcW w:w="8084" w:type="dxa"/>
            <w:gridSpan w:val="3"/>
            <w:vAlign w:val="bottom"/>
          </w:tcPr>
          <w:p w14:paraId="7B6D9BF7" w14:textId="167A783C" w:rsidR="007B3BD9" w:rsidRPr="001F224B" w:rsidRDefault="007B3BD9" w:rsidP="007B3BD9">
            <w:pPr>
              <w:jc w:val="both"/>
              <w:rPr>
                <w:sz w:val="20"/>
                <w:szCs w:val="20"/>
              </w:rPr>
            </w:pPr>
            <w:r w:rsidRPr="001F224B">
              <w:rPr>
                <w:sz w:val="20"/>
                <w:szCs w:val="20"/>
              </w:rPr>
              <w:t>Devlet teşviklerine ilişkin açıklamalar</w:t>
            </w:r>
          </w:p>
        </w:tc>
        <w:tc>
          <w:tcPr>
            <w:tcW w:w="845" w:type="dxa"/>
          </w:tcPr>
          <w:p w14:paraId="370545E5" w14:textId="285A716D"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 xml:space="preserve">     30</w:t>
            </w:r>
          </w:p>
        </w:tc>
      </w:tr>
      <w:tr w:rsidR="007B3BD9" w:rsidRPr="001F224B" w14:paraId="79056CE6" w14:textId="77777777" w:rsidTr="00091F5D">
        <w:trPr>
          <w:gridAfter w:val="1"/>
          <w:wAfter w:w="10" w:type="dxa"/>
        </w:trPr>
        <w:tc>
          <w:tcPr>
            <w:tcW w:w="847" w:type="dxa"/>
            <w:vAlign w:val="bottom"/>
          </w:tcPr>
          <w:p w14:paraId="137FC45B" w14:textId="1A7335AA"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XXIV.</w:t>
            </w:r>
          </w:p>
        </w:tc>
        <w:tc>
          <w:tcPr>
            <w:tcW w:w="8084" w:type="dxa"/>
            <w:gridSpan w:val="3"/>
            <w:vAlign w:val="bottom"/>
          </w:tcPr>
          <w:p w14:paraId="279C9E18" w14:textId="43385184" w:rsidR="007B3BD9" w:rsidRPr="001F224B" w:rsidRDefault="007B3BD9" w:rsidP="007B3BD9">
            <w:pPr>
              <w:jc w:val="both"/>
              <w:rPr>
                <w:sz w:val="20"/>
                <w:szCs w:val="20"/>
              </w:rPr>
            </w:pPr>
            <w:r w:rsidRPr="001F224B">
              <w:rPr>
                <w:sz w:val="20"/>
                <w:szCs w:val="20"/>
              </w:rPr>
              <w:t>Hisse başına kazanç</w:t>
            </w:r>
          </w:p>
        </w:tc>
        <w:tc>
          <w:tcPr>
            <w:tcW w:w="845" w:type="dxa"/>
          </w:tcPr>
          <w:p w14:paraId="3E69B9B0" w14:textId="5DC444E6"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30</w:t>
            </w:r>
          </w:p>
        </w:tc>
      </w:tr>
      <w:tr w:rsidR="007B3BD9" w:rsidRPr="001F224B" w14:paraId="7A18891E" w14:textId="77777777" w:rsidTr="00091F5D">
        <w:trPr>
          <w:gridAfter w:val="1"/>
          <w:wAfter w:w="10" w:type="dxa"/>
        </w:trPr>
        <w:tc>
          <w:tcPr>
            <w:tcW w:w="847" w:type="dxa"/>
            <w:vAlign w:val="bottom"/>
          </w:tcPr>
          <w:p w14:paraId="2C939BC6" w14:textId="330C52CF"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XXV.</w:t>
            </w:r>
          </w:p>
        </w:tc>
        <w:tc>
          <w:tcPr>
            <w:tcW w:w="8084" w:type="dxa"/>
            <w:gridSpan w:val="3"/>
            <w:vAlign w:val="bottom"/>
          </w:tcPr>
          <w:p w14:paraId="35CBC290" w14:textId="170A5DC4" w:rsidR="007B3BD9" w:rsidRPr="001F224B" w:rsidRDefault="007B3BD9" w:rsidP="007B3BD9">
            <w:pPr>
              <w:jc w:val="both"/>
              <w:rPr>
                <w:sz w:val="20"/>
                <w:szCs w:val="20"/>
              </w:rPr>
            </w:pPr>
            <w:r w:rsidRPr="001F224B">
              <w:rPr>
                <w:sz w:val="20"/>
                <w:szCs w:val="20"/>
              </w:rPr>
              <w:t>İlişkili taraflar</w:t>
            </w:r>
          </w:p>
        </w:tc>
        <w:tc>
          <w:tcPr>
            <w:tcW w:w="845" w:type="dxa"/>
          </w:tcPr>
          <w:p w14:paraId="64F3DAAA" w14:textId="17891D06"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3</w:t>
            </w:r>
            <w:r w:rsidR="0089116F" w:rsidRPr="001F224B">
              <w:rPr>
                <w:rFonts w:ascii="Times New Roman" w:hAnsi="Times New Roman"/>
                <w:b w:val="0"/>
                <w:sz w:val="20"/>
                <w:szCs w:val="20"/>
              </w:rPr>
              <w:t>0</w:t>
            </w:r>
          </w:p>
        </w:tc>
      </w:tr>
      <w:tr w:rsidR="007B3BD9" w:rsidRPr="001F224B" w14:paraId="14C29DEB" w14:textId="77777777" w:rsidTr="00091F5D">
        <w:trPr>
          <w:gridAfter w:val="1"/>
          <w:wAfter w:w="10" w:type="dxa"/>
        </w:trPr>
        <w:tc>
          <w:tcPr>
            <w:tcW w:w="847" w:type="dxa"/>
            <w:vAlign w:val="bottom"/>
          </w:tcPr>
          <w:p w14:paraId="0EB5046D" w14:textId="62FEE46E" w:rsidR="007B3BD9" w:rsidRPr="001F224B" w:rsidRDefault="007B3BD9" w:rsidP="007B3BD9">
            <w:pPr>
              <w:pStyle w:val="Title"/>
              <w:ind w:right="-154"/>
              <w:jc w:val="left"/>
              <w:rPr>
                <w:rFonts w:ascii="Times New Roman" w:hAnsi="Times New Roman"/>
                <w:sz w:val="20"/>
                <w:szCs w:val="20"/>
              </w:rPr>
            </w:pPr>
            <w:r w:rsidRPr="001F224B">
              <w:rPr>
                <w:rFonts w:ascii="Times New Roman" w:hAnsi="Times New Roman"/>
                <w:sz w:val="20"/>
                <w:szCs w:val="20"/>
              </w:rPr>
              <w:t>XXVI.</w:t>
            </w:r>
          </w:p>
        </w:tc>
        <w:tc>
          <w:tcPr>
            <w:tcW w:w="8084" w:type="dxa"/>
            <w:gridSpan w:val="3"/>
            <w:vAlign w:val="bottom"/>
          </w:tcPr>
          <w:p w14:paraId="517778E0" w14:textId="5C400D58" w:rsidR="007B3BD9" w:rsidRPr="001F224B" w:rsidRDefault="007B3BD9" w:rsidP="007B3BD9">
            <w:pPr>
              <w:jc w:val="both"/>
              <w:rPr>
                <w:sz w:val="20"/>
                <w:szCs w:val="20"/>
              </w:rPr>
            </w:pPr>
            <w:r w:rsidRPr="001F224B">
              <w:rPr>
                <w:sz w:val="20"/>
                <w:szCs w:val="20"/>
              </w:rPr>
              <w:t>Raporlamanın bölümlemeye göre yapılmasına ilişkin açıklamalar</w:t>
            </w:r>
          </w:p>
        </w:tc>
        <w:tc>
          <w:tcPr>
            <w:tcW w:w="845" w:type="dxa"/>
          </w:tcPr>
          <w:p w14:paraId="6F651AD0" w14:textId="03E614B7" w:rsidR="007B3BD9" w:rsidRPr="001F224B" w:rsidRDefault="0089116F" w:rsidP="007B3BD9">
            <w:pPr>
              <w:pStyle w:val="Title"/>
              <w:jc w:val="right"/>
              <w:rPr>
                <w:rFonts w:ascii="Times New Roman" w:hAnsi="Times New Roman"/>
                <w:b w:val="0"/>
                <w:sz w:val="20"/>
                <w:szCs w:val="20"/>
              </w:rPr>
            </w:pPr>
            <w:r w:rsidRPr="001F224B">
              <w:rPr>
                <w:rFonts w:ascii="Times New Roman" w:hAnsi="Times New Roman"/>
                <w:b w:val="0"/>
                <w:sz w:val="20"/>
                <w:szCs w:val="20"/>
              </w:rPr>
              <w:t>30-31</w:t>
            </w:r>
          </w:p>
        </w:tc>
      </w:tr>
      <w:tr w:rsidR="00F65D18" w:rsidRPr="001F224B" w14:paraId="6BBEF6A7" w14:textId="77777777" w:rsidTr="00091F5D">
        <w:trPr>
          <w:gridAfter w:val="1"/>
          <w:wAfter w:w="10" w:type="dxa"/>
        </w:trPr>
        <w:tc>
          <w:tcPr>
            <w:tcW w:w="847" w:type="dxa"/>
            <w:vAlign w:val="bottom"/>
          </w:tcPr>
          <w:p w14:paraId="0930F9B2" w14:textId="77777777" w:rsidR="00F65D18" w:rsidRPr="001F224B" w:rsidRDefault="00F65D18" w:rsidP="00F65D18">
            <w:pPr>
              <w:pStyle w:val="Title"/>
              <w:ind w:right="-154"/>
              <w:jc w:val="left"/>
              <w:rPr>
                <w:rFonts w:ascii="Times New Roman" w:hAnsi="Times New Roman"/>
                <w:sz w:val="20"/>
                <w:szCs w:val="20"/>
              </w:rPr>
            </w:pPr>
          </w:p>
        </w:tc>
        <w:tc>
          <w:tcPr>
            <w:tcW w:w="8084" w:type="dxa"/>
            <w:gridSpan w:val="3"/>
            <w:vAlign w:val="bottom"/>
          </w:tcPr>
          <w:p w14:paraId="36E7D36B" w14:textId="77777777" w:rsidR="00F65D18" w:rsidRPr="001F224B" w:rsidRDefault="00F65D18" w:rsidP="00F65D18">
            <w:pPr>
              <w:jc w:val="both"/>
              <w:rPr>
                <w:sz w:val="20"/>
                <w:szCs w:val="20"/>
              </w:rPr>
            </w:pPr>
          </w:p>
        </w:tc>
        <w:tc>
          <w:tcPr>
            <w:tcW w:w="845" w:type="dxa"/>
          </w:tcPr>
          <w:p w14:paraId="76A67AB9" w14:textId="77777777" w:rsidR="00F65D18" w:rsidRPr="001F224B" w:rsidRDefault="00F65D18" w:rsidP="00F65D18">
            <w:pPr>
              <w:pStyle w:val="Title"/>
              <w:rPr>
                <w:rFonts w:ascii="Times New Roman" w:hAnsi="Times New Roman"/>
                <w:b w:val="0"/>
                <w:sz w:val="20"/>
                <w:szCs w:val="20"/>
              </w:rPr>
            </w:pPr>
          </w:p>
        </w:tc>
      </w:tr>
      <w:tr w:rsidR="00F23B14" w:rsidRPr="001F224B" w14:paraId="6E46E7E5" w14:textId="77777777" w:rsidTr="00091F5D">
        <w:tc>
          <w:tcPr>
            <w:tcW w:w="912" w:type="dxa"/>
            <w:gridSpan w:val="2"/>
          </w:tcPr>
          <w:p w14:paraId="386D336B" w14:textId="77777777" w:rsidR="00F23B14" w:rsidRPr="001F224B" w:rsidRDefault="00F23B14" w:rsidP="0050215C">
            <w:pPr>
              <w:pStyle w:val="Title"/>
              <w:ind w:right="-137"/>
              <w:jc w:val="left"/>
              <w:rPr>
                <w:rFonts w:ascii="Times New Roman" w:hAnsi="Times New Roman"/>
                <w:sz w:val="20"/>
                <w:szCs w:val="20"/>
              </w:rPr>
            </w:pPr>
          </w:p>
        </w:tc>
        <w:tc>
          <w:tcPr>
            <w:tcW w:w="7799" w:type="dxa"/>
            <w:vAlign w:val="bottom"/>
          </w:tcPr>
          <w:p w14:paraId="505A6823" w14:textId="77777777" w:rsidR="00CD0EE6" w:rsidRPr="001F224B" w:rsidRDefault="00CD0EE6" w:rsidP="0050215C">
            <w:pPr>
              <w:jc w:val="center"/>
              <w:rPr>
                <w:b/>
                <w:bCs/>
                <w:sz w:val="20"/>
                <w:szCs w:val="20"/>
              </w:rPr>
            </w:pPr>
          </w:p>
          <w:p w14:paraId="3759DF81" w14:textId="77777777" w:rsidR="00F23B14" w:rsidRPr="001F224B" w:rsidRDefault="00617206" w:rsidP="0050215C">
            <w:pPr>
              <w:jc w:val="center"/>
              <w:rPr>
                <w:b/>
                <w:bCs/>
                <w:sz w:val="20"/>
                <w:szCs w:val="20"/>
              </w:rPr>
            </w:pPr>
            <w:r w:rsidRPr="001F224B">
              <w:rPr>
                <w:b/>
                <w:bCs/>
                <w:sz w:val="20"/>
                <w:szCs w:val="20"/>
              </w:rPr>
              <w:t>DÖ</w:t>
            </w:r>
            <w:r w:rsidR="00F23B14" w:rsidRPr="001F224B">
              <w:rPr>
                <w:b/>
                <w:bCs/>
                <w:sz w:val="20"/>
                <w:szCs w:val="20"/>
              </w:rPr>
              <w:t>RDÜNCÜ BÖLÜM</w:t>
            </w:r>
          </w:p>
        </w:tc>
        <w:tc>
          <w:tcPr>
            <w:tcW w:w="1075" w:type="dxa"/>
            <w:gridSpan w:val="3"/>
          </w:tcPr>
          <w:p w14:paraId="0DE03B12" w14:textId="77777777" w:rsidR="00F23B14" w:rsidRPr="001F224B" w:rsidRDefault="00F23B14" w:rsidP="0050215C">
            <w:pPr>
              <w:pStyle w:val="Title"/>
              <w:jc w:val="right"/>
              <w:rPr>
                <w:rFonts w:ascii="Times New Roman" w:hAnsi="Times New Roman"/>
                <w:b w:val="0"/>
                <w:sz w:val="20"/>
                <w:szCs w:val="20"/>
              </w:rPr>
            </w:pPr>
          </w:p>
        </w:tc>
      </w:tr>
      <w:tr w:rsidR="00F23B14" w:rsidRPr="001F224B" w14:paraId="0D3DA7BC" w14:textId="77777777" w:rsidTr="00091F5D">
        <w:tc>
          <w:tcPr>
            <w:tcW w:w="912" w:type="dxa"/>
            <w:gridSpan w:val="2"/>
          </w:tcPr>
          <w:p w14:paraId="313B2B89" w14:textId="77777777" w:rsidR="00F23B14" w:rsidRPr="001F224B" w:rsidRDefault="00F23B14" w:rsidP="0050215C">
            <w:pPr>
              <w:pStyle w:val="Title"/>
              <w:ind w:right="-137"/>
              <w:jc w:val="left"/>
              <w:rPr>
                <w:rFonts w:ascii="Times New Roman" w:hAnsi="Times New Roman"/>
                <w:sz w:val="20"/>
                <w:szCs w:val="20"/>
              </w:rPr>
            </w:pPr>
          </w:p>
        </w:tc>
        <w:tc>
          <w:tcPr>
            <w:tcW w:w="7799" w:type="dxa"/>
            <w:vAlign w:val="bottom"/>
          </w:tcPr>
          <w:p w14:paraId="4601FD9D" w14:textId="42B590DB" w:rsidR="00F23B14" w:rsidRPr="001F224B" w:rsidRDefault="00CD1B0D" w:rsidP="0050215C">
            <w:pPr>
              <w:jc w:val="center"/>
            </w:pPr>
            <w:r w:rsidRPr="001F224B">
              <w:rPr>
                <w:b/>
                <w:bCs/>
                <w:sz w:val="20"/>
                <w:szCs w:val="20"/>
              </w:rPr>
              <w:t xml:space="preserve">Konsolide </w:t>
            </w:r>
            <w:r w:rsidR="00F23B14" w:rsidRPr="001F224B">
              <w:rPr>
                <w:b/>
                <w:bCs/>
                <w:sz w:val="20"/>
                <w:szCs w:val="20"/>
              </w:rPr>
              <w:t>Mali Bünye ve Risk Yönetimine İlişkin Bilgiler</w:t>
            </w:r>
          </w:p>
        </w:tc>
        <w:tc>
          <w:tcPr>
            <w:tcW w:w="1075" w:type="dxa"/>
            <w:gridSpan w:val="3"/>
          </w:tcPr>
          <w:p w14:paraId="556B3784" w14:textId="77777777" w:rsidR="00F23B14" w:rsidRPr="001F224B" w:rsidRDefault="00F23B14" w:rsidP="0050215C">
            <w:pPr>
              <w:pStyle w:val="Title"/>
              <w:jc w:val="right"/>
              <w:rPr>
                <w:rFonts w:ascii="Times New Roman" w:hAnsi="Times New Roman"/>
                <w:b w:val="0"/>
                <w:sz w:val="20"/>
                <w:szCs w:val="20"/>
              </w:rPr>
            </w:pPr>
          </w:p>
        </w:tc>
      </w:tr>
      <w:tr w:rsidR="00F23B14" w:rsidRPr="001F224B" w14:paraId="0851D14E" w14:textId="77777777" w:rsidTr="00091F5D">
        <w:tc>
          <w:tcPr>
            <w:tcW w:w="912" w:type="dxa"/>
            <w:gridSpan w:val="2"/>
          </w:tcPr>
          <w:p w14:paraId="1158968A" w14:textId="77777777" w:rsidR="00F23B14" w:rsidRPr="001F224B" w:rsidRDefault="00F23B14" w:rsidP="0050215C">
            <w:pPr>
              <w:pStyle w:val="Title"/>
              <w:ind w:right="-137"/>
              <w:jc w:val="left"/>
              <w:rPr>
                <w:rFonts w:ascii="Times New Roman" w:hAnsi="Times New Roman"/>
                <w:sz w:val="20"/>
                <w:szCs w:val="20"/>
              </w:rPr>
            </w:pPr>
          </w:p>
        </w:tc>
        <w:tc>
          <w:tcPr>
            <w:tcW w:w="7799" w:type="dxa"/>
          </w:tcPr>
          <w:p w14:paraId="0E93EB4D" w14:textId="77777777" w:rsidR="00F23B14" w:rsidRPr="001F224B" w:rsidRDefault="00F23B14" w:rsidP="0050215C">
            <w:pPr>
              <w:rPr>
                <w:sz w:val="20"/>
                <w:szCs w:val="20"/>
              </w:rPr>
            </w:pPr>
          </w:p>
        </w:tc>
        <w:tc>
          <w:tcPr>
            <w:tcW w:w="1075" w:type="dxa"/>
            <w:gridSpan w:val="3"/>
          </w:tcPr>
          <w:p w14:paraId="5BB6A12B" w14:textId="77777777" w:rsidR="00F23B14" w:rsidRPr="001F224B" w:rsidRDefault="00F23B14" w:rsidP="0050215C">
            <w:pPr>
              <w:pStyle w:val="Title"/>
              <w:jc w:val="right"/>
              <w:rPr>
                <w:rFonts w:ascii="Times New Roman" w:hAnsi="Times New Roman"/>
                <w:b w:val="0"/>
                <w:sz w:val="20"/>
                <w:szCs w:val="20"/>
              </w:rPr>
            </w:pPr>
          </w:p>
        </w:tc>
      </w:tr>
      <w:tr w:rsidR="007B3BD9" w:rsidRPr="001F224B" w14:paraId="3AA3B6BA" w14:textId="77777777" w:rsidTr="00091F5D">
        <w:tc>
          <w:tcPr>
            <w:tcW w:w="912" w:type="dxa"/>
            <w:gridSpan w:val="2"/>
          </w:tcPr>
          <w:p w14:paraId="45D75947" w14:textId="28D0F3F0"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w:t>
            </w:r>
          </w:p>
        </w:tc>
        <w:tc>
          <w:tcPr>
            <w:tcW w:w="7799" w:type="dxa"/>
            <w:vAlign w:val="bottom"/>
          </w:tcPr>
          <w:p w14:paraId="7188DE9E" w14:textId="3F6432C2" w:rsidR="007B3BD9" w:rsidRPr="001F224B" w:rsidRDefault="00ED7D85" w:rsidP="007B3BD9">
            <w:pPr>
              <w:rPr>
                <w:sz w:val="20"/>
                <w:szCs w:val="20"/>
              </w:rPr>
            </w:pPr>
            <w:r w:rsidRPr="001F224B">
              <w:rPr>
                <w:sz w:val="20"/>
                <w:szCs w:val="20"/>
              </w:rPr>
              <w:t>Konsolide özkaynak kalemlerine ilişkin açıklamalar</w:t>
            </w:r>
          </w:p>
        </w:tc>
        <w:tc>
          <w:tcPr>
            <w:tcW w:w="1075" w:type="dxa"/>
            <w:gridSpan w:val="3"/>
          </w:tcPr>
          <w:p w14:paraId="2AD14DD5" w14:textId="3BF17554" w:rsidR="007B3BD9" w:rsidRPr="001F224B" w:rsidRDefault="007B3BD9" w:rsidP="007B3BD9">
            <w:pPr>
              <w:pStyle w:val="Title"/>
              <w:ind w:left="-163"/>
              <w:jc w:val="right"/>
              <w:rPr>
                <w:rFonts w:ascii="Times New Roman" w:hAnsi="Times New Roman"/>
                <w:b w:val="0"/>
                <w:sz w:val="20"/>
                <w:szCs w:val="20"/>
              </w:rPr>
            </w:pPr>
            <w:r w:rsidRPr="001F224B">
              <w:rPr>
                <w:rFonts w:ascii="Times New Roman" w:hAnsi="Times New Roman"/>
                <w:b w:val="0"/>
                <w:sz w:val="20"/>
                <w:szCs w:val="20"/>
              </w:rPr>
              <w:t xml:space="preserve"> 3</w:t>
            </w:r>
            <w:r w:rsidR="00ED7D85" w:rsidRPr="001F224B">
              <w:rPr>
                <w:rFonts w:ascii="Times New Roman" w:hAnsi="Times New Roman"/>
                <w:b w:val="0"/>
                <w:sz w:val="20"/>
                <w:szCs w:val="20"/>
              </w:rPr>
              <w:t>2</w:t>
            </w:r>
            <w:r w:rsidRPr="001F224B">
              <w:rPr>
                <w:rFonts w:ascii="Times New Roman" w:hAnsi="Times New Roman"/>
                <w:b w:val="0"/>
                <w:sz w:val="20"/>
                <w:szCs w:val="20"/>
              </w:rPr>
              <w:t>-4</w:t>
            </w:r>
            <w:r w:rsidR="00ED7D85" w:rsidRPr="001F224B">
              <w:rPr>
                <w:rFonts w:ascii="Times New Roman" w:hAnsi="Times New Roman"/>
                <w:b w:val="0"/>
                <w:sz w:val="20"/>
                <w:szCs w:val="20"/>
              </w:rPr>
              <w:t>2</w:t>
            </w:r>
          </w:p>
        </w:tc>
      </w:tr>
      <w:tr w:rsidR="007B3BD9" w:rsidRPr="001F224B" w14:paraId="393FB5A4" w14:textId="77777777" w:rsidTr="00091F5D">
        <w:tc>
          <w:tcPr>
            <w:tcW w:w="912" w:type="dxa"/>
            <w:gridSpan w:val="2"/>
          </w:tcPr>
          <w:p w14:paraId="20C20C35" w14:textId="4B2F33BC"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bCs w:val="0"/>
                <w:kern w:val="0"/>
                <w:sz w:val="20"/>
                <w:szCs w:val="20"/>
              </w:rPr>
              <w:t>II.</w:t>
            </w:r>
          </w:p>
        </w:tc>
        <w:tc>
          <w:tcPr>
            <w:tcW w:w="7799" w:type="dxa"/>
            <w:vAlign w:val="bottom"/>
          </w:tcPr>
          <w:p w14:paraId="4F5B0C6B" w14:textId="1556DB6D" w:rsidR="007B3BD9" w:rsidRPr="001F224B" w:rsidRDefault="00ED7D85" w:rsidP="00ED7D85">
            <w:pPr>
              <w:tabs>
                <w:tab w:val="left" w:pos="567"/>
              </w:tabs>
              <w:rPr>
                <w:sz w:val="20"/>
                <w:szCs w:val="20"/>
              </w:rPr>
            </w:pPr>
            <w:r w:rsidRPr="001F224B">
              <w:rPr>
                <w:sz w:val="20"/>
                <w:szCs w:val="20"/>
              </w:rPr>
              <w:t>Konsolide kur riskine ilişkin açıklamalar</w:t>
            </w:r>
          </w:p>
        </w:tc>
        <w:tc>
          <w:tcPr>
            <w:tcW w:w="1075" w:type="dxa"/>
            <w:gridSpan w:val="3"/>
          </w:tcPr>
          <w:p w14:paraId="72F8436E" w14:textId="64CC4801" w:rsidR="007B3BD9" w:rsidRPr="001F224B" w:rsidRDefault="007B3BD9" w:rsidP="007B3BD9">
            <w:pPr>
              <w:pStyle w:val="Title"/>
              <w:jc w:val="right"/>
              <w:rPr>
                <w:rFonts w:ascii="Times New Roman" w:hAnsi="Times New Roman"/>
                <w:b w:val="0"/>
                <w:sz w:val="20"/>
                <w:szCs w:val="20"/>
              </w:rPr>
            </w:pPr>
            <w:r w:rsidRPr="001F224B">
              <w:rPr>
                <w:rFonts w:ascii="Times New Roman" w:hAnsi="Times New Roman"/>
                <w:b w:val="0"/>
                <w:sz w:val="20"/>
                <w:szCs w:val="20"/>
              </w:rPr>
              <w:t>4</w:t>
            </w:r>
            <w:r w:rsidR="00ED7D85" w:rsidRPr="001F224B">
              <w:rPr>
                <w:rFonts w:ascii="Times New Roman" w:hAnsi="Times New Roman"/>
                <w:b w:val="0"/>
                <w:sz w:val="20"/>
                <w:szCs w:val="20"/>
              </w:rPr>
              <w:t>3</w:t>
            </w:r>
            <w:r w:rsidRPr="001F224B">
              <w:rPr>
                <w:rFonts w:ascii="Times New Roman" w:hAnsi="Times New Roman"/>
                <w:b w:val="0"/>
                <w:sz w:val="20"/>
                <w:szCs w:val="20"/>
              </w:rPr>
              <w:t>-</w:t>
            </w:r>
            <w:r w:rsidR="00ED7D85" w:rsidRPr="001F224B">
              <w:rPr>
                <w:rFonts w:ascii="Times New Roman" w:hAnsi="Times New Roman"/>
                <w:b w:val="0"/>
                <w:sz w:val="20"/>
                <w:szCs w:val="20"/>
              </w:rPr>
              <w:t>44</w:t>
            </w:r>
          </w:p>
        </w:tc>
      </w:tr>
      <w:tr w:rsidR="007B3BD9" w:rsidRPr="001F224B" w14:paraId="456672CE" w14:textId="77777777" w:rsidTr="00091F5D">
        <w:trPr>
          <w:trHeight w:val="20"/>
        </w:trPr>
        <w:tc>
          <w:tcPr>
            <w:tcW w:w="912" w:type="dxa"/>
            <w:gridSpan w:val="2"/>
          </w:tcPr>
          <w:p w14:paraId="5C2836F5" w14:textId="7AD0265A"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III.</w:t>
            </w:r>
          </w:p>
        </w:tc>
        <w:tc>
          <w:tcPr>
            <w:tcW w:w="7799" w:type="dxa"/>
            <w:vAlign w:val="bottom"/>
          </w:tcPr>
          <w:p w14:paraId="0DD141CE" w14:textId="524F9B33" w:rsidR="007B3BD9" w:rsidRPr="001F224B" w:rsidRDefault="00ED7D85" w:rsidP="00ED7D85">
            <w:pPr>
              <w:pStyle w:val="Heading2"/>
              <w:numPr>
                <w:ilvl w:val="0"/>
                <w:numId w:val="0"/>
              </w:numPr>
              <w:tabs>
                <w:tab w:val="left" w:pos="567"/>
              </w:tabs>
              <w:spacing w:before="0"/>
              <w:jc w:val="both"/>
              <w:rPr>
                <w:rFonts w:ascii="Times New Roman" w:hAnsi="Times New Roman"/>
                <w:b w:val="0"/>
                <w:bCs w:val="0"/>
                <w:i w:val="0"/>
                <w:iCs w:val="0"/>
                <w:sz w:val="20"/>
                <w:szCs w:val="20"/>
              </w:rPr>
            </w:pPr>
            <w:r w:rsidRPr="001F224B">
              <w:rPr>
                <w:rFonts w:ascii="Times New Roman" w:hAnsi="Times New Roman"/>
                <w:b w:val="0"/>
                <w:bCs w:val="0"/>
                <w:i w:val="0"/>
                <w:iCs w:val="0"/>
                <w:sz w:val="20"/>
                <w:szCs w:val="20"/>
              </w:rPr>
              <w:t>Konsolide faiz oranı riskine ilişkin açıklamalar</w:t>
            </w:r>
          </w:p>
        </w:tc>
        <w:tc>
          <w:tcPr>
            <w:tcW w:w="1075" w:type="dxa"/>
            <w:gridSpan w:val="3"/>
          </w:tcPr>
          <w:p w14:paraId="2FD6256C" w14:textId="11AE5BD6" w:rsidR="007B3BD9" w:rsidRPr="001F224B" w:rsidRDefault="00ED7D85" w:rsidP="007B3BD9">
            <w:pPr>
              <w:pStyle w:val="Title"/>
              <w:jc w:val="right"/>
              <w:rPr>
                <w:rFonts w:ascii="Times New Roman" w:hAnsi="Times New Roman"/>
                <w:b w:val="0"/>
                <w:sz w:val="20"/>
                <w:szCs w:val="20"/>
              </w:rPr>
            </w:pPr>
            <w:r w:rsidRPr="001F224B">
              <w:rPr>
                <w:rFonts w:ascii="Times New Roman" w:hAnsi="Times New Roman"/>
                <w:b w:val="0"/>
                <w:sz w:val="20"/>
                <w:szCs w:val="20"/>
              </w:rPr>
              <w:t>45</w:t>
            </w:r>
            <w:r w:rsidR="007B3BD9" w:rsidRPr="001F224B">
              <w:rPr>
                <w:rFonts w:ascii="Times New Roman" w:hAnsi="Times New Roman"/>
                <w:b w:val="0"/>
                <w:sz w:val="20"/>
                <w:szCs w:val="20"/>
              </w:rPr>
              <w:t>-</w:t>
            </w:r>
            <w:r w:rsidRPr="001F224B">
              <w:rPr>
                <w:rFonts w:ascii="Times New Roman" w:hAnsi="Times New Roman"/>
                <w:b w:val="0"/>
                <w:sz w:val="20"/>
                <w:szCs w:val="20"/>
              </w:rPr>
              <w:t>48</w:t>
            </w:r>
          </w:p>
        </w:tc>
      </w:tr>
      <w:tr w:rsidR="007B3BD9" w:rsidRPr="001F224B" w14:paraId="150A026B" w14:textId="77777777" w:rsidTr="00091F5D">
        <w:tc>
          <w:tcPr>
            <w:tcW w:w="912" w:type="dxa"/>
            <w:gridSpan w:val="2"/>
          </w:tcPr>
          <w:p w14:paraId="064F291F" w14:textId="1CBD967E"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IV.</w:t>
            </w:r>
          </w:p>
        </w:tc>
        <w:tc>
          <w:tcPr>
            <w:tcW w:w="7799" w:type="dxa"/>
            <w:vAlign w:val="bottom"/>
          </w:tcPr>
          <w:p w14:paraId="25E94D66" w14:textId="523F9A66" w:rsidR="007B3BD9" w:rsidRPr="001F224B" w:rsidRDefault="00ED7D85" w:rsidP="007B3BD9">
            <w:pPr>
              <w:rPr>
                <w:sz w:val="20"/>
                <w:szCs w:val="20"/>
              </w:rPr>
            </w:pPr>
            <w:r w:rsidRPr="001F224B">
              <w:rPr>
                <w:sz w:val="20"/>
                <w:szCs w:val="20"/>
              </w:rPr>
              <w:t>Konsolide hisse senedi pozisyon riskine ilişkin açıklamalar</w:t>
            </w:r>
          </w:p>
        </w:tc>
        <w:tc>
          <w:tcPr>
            <w:tcW w:w="1075" w:type="dxa"/>
            <w:gridSpan w:val="3"/>
          </w:tcPr>
          <w:p w14:paraId="024B124F" w14:textId="1A5EE1E9" w:rsidR="007B3BD9" w:rsidRPr="001F224B" w:rsidRDefault="00ED7D85" w:rsidP="007B3BD9">
            <w:pPr>
              <w:pStyle w:val="Title"/>
              <w:jc w:val="right"/>
              <w:rPr>
                <w:rFonts w:ascii="Times New Roman" w:hAnsi="Times New Roman"/>
                <w:b w:val="0"/>
                <w:sz w:val="20"/>
                <w:szCs w:val="20"/>
              </w:rPr>
            </w:pPr>
            <w:r w:rsidRPr="001F224B">
              <w:rPr>
                <w:rFonts w:ascii="Times New Roman" w:hAnsi="Times New Roman"/>
                <w:b w:val="0"/>
                <w:sz w:val="20"/>
                <w:szCs w:val="20"/>
              </w:rPr>
              <w:t>49</w:t>
            </w:r>
          </w:p>
        </w:tc>
      </w:tr>
      <w:tr w:rsidR="007B3BD9" w:rsidRPr="001F224B" w14:paraId="4B567C6B" w14:textId="77777777" w:rsidTr="00091F5D">
        <w:tc>
          <w:tcPr>
            <w:tcW w:w="912" w:type="dxa"/>
            <w:gridSpan w:val="2"/>
          </w:tcPr>
          <w:p w14:paraId="3C0B92AC" w14:textId="02367295" w:rsidR="007B3BD9" w:rsidRPr="001F224B" w:rsidRDefault="007B3BD9" w:rsidP="007B3BD9">
            <w:pPr>
              <w:pStyle w:val="Title"/>
              <w:ind w:right="-137"/>
              <w:jc w:val="left"/>
              <w:rPr>
                <w:rFonts w:ascii="Times New Roman" w:hAnsi="Times New Roman"/>
                <w:b w:val="0"/>
                <w:bCs w:val="0"/>
                <w:kern w:val="0"/>
                <w:sz w:val="20"/>
                <w:szCs w:val="20"/>
              </w:rPr>
            </w:pPr>
            <w:r w:rsidRPr="001F224B">
              <w:rPr>
                <w:rFonts w:ascii="Times New Roman" w:hAnsi="Times New Roman"/>
                <w:sz w:val="20"/>
                <w:szCs w:val="20"/>
              </w:rPr>
              <w:t>V.</w:t>
            </w:r>
          </w:p>
        </w:tc>
        <w:tc>
          <w:tcPr>
            <w:tcW w:w="7799" w:type="dxa"/>
            <w:vAlign w:val="bottom"/>
          </w:tcPr>
          <w:p w14:paraId="2306AC20" w14:textId="13969309" w:rsidR="007B3BD9" w:rsidRPr="001F224B" w:rsidRDefault="00ED7D85" w:rsidP="007B3BD9">
            <w:pPr>
              <w:rPr>
                <w:sz w:val="20"/>
                <w:szCs w:val="20"/>
              </w:rPr>
            </w:pPr>
            <w:r w:rsidRPr="001F224B">
              <w:rPr>
                <w:sz w:val="20"/>
                <w:szCs w:val="20"/>
              </w:rPr>
              <w:t>Konsolide likidite riski yönetimi, likidite karşılama oranı ve net istikrarlı fonlama oranına ilişkin açıklamalar</w:t>
            </w:r>
          </w:p>
        </w:tc>
        <w:tc>
          <w:tcPr>
            <w:tcW w:w="1075" w:type="dxa"/>
            <w:gridSpan w:val="3"/>
          </w:tcPr>
          <w:p w14:paraId="520600B8" w14:textId="79863F6C" w:rsidR="007B3BD9" w:rsidRPr="001F224B" w:rsidRDefault="00ED7D85" w:rsidP="007B3BD9">
            <w:pPr>
              <w:pStyle w:val="Title"/>
              <w:jc w:val="right"/>
              <w:rPr>
                <w:rFonts w:ascii="Times New Roman" w:hAnsi="Times New Roman"/>
                <w:b w:val="0"/>
                <w:sz w:val="20"/>
                <w:szCs w:val="20"/>
              </w:rPr>
            </w:pPr>
            <w:r w:rsidRPr="001F224B">
              <w:rPr>
                <w:rFonts w:ascii="Times New Roman" w:hAnsi="Times New Roman"/>
                <w:b w:val="0"/>
                <w:sz w:val="20"/>
                <w:szCs w:val="20"/>
              </w:rPr>
              <w:t>49-56</w:t>
            </w:r>
          </w:p>
        </w:tc>
      </w:tr>
      <w:tr w:rsidR="007B3BD9" w:rsidRPr="001F224B" w14:paraId="2CEE1E0F" w14:textId="77777777" w:rsidTr="00091F5D">
        <w:tc>
          <w:tcPr>
            <w:tcW w:w="912" w:type="dxa"/>
            <w:gridSpan w:val="2"/>
          </w:tcPr>
          <w:p w14:paraId="4FEFEC16" w14:textId="6685FE43"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VI.</w:t>
            </w:r>
          </w:p>
        </w:tc>
        <w:tc>
          <w:tcPr>
            <w:tcW w:w="7799" w:type="dxa"/>
            <w:vAlign w:val="bottom"/>
          </w:tcPr>
          <w:p w14:paraId="4240F251" w14:textId="2D0B437C" w:rsidR="007B3BD9" w:rsidRPr="001F224B" w:rsidRDefault="00ED7D85" w:rsidP="007B3BD9">
            <w:pPr>
              <w:rPr>
                <w:sz w:val="20"/>
                <w:szCs w:val="20"/>
              </w:rPr>
            </w:pPr>
            <w:r w:rsidRPr="001F224B">
              <w:rPr>
                <w:sz w:val="20"/>
                <w:szCs w:val="20"/>
              </w:rPr>
              <w:t>Konsolide kaldıraç oranına ilişkin açıklamalar</w:t>
            </w:r>
          </w:p>
        </w:tc>
        <w:tc>
          <w:tcPr>
            <w:tcW w:w="1075" w:type="dxa"/>
            <w:gridSpan w:val="3"/>
          </w:tcPr>
          <w:p w14:paraId="509CDD99" w14:textId="1C796127" w:rsidR="007B3BD9" w:rsidRPr="001F224B" w:rsidRDefault="00ED7D85" w:rsidP="007B3BD9">
            <w:pPr>
              <w:pStyle w:val="Title"/>
              <w:jc w:val="right"/>
              <w:rPr>
                <w:rFonts w:ascii="Times New Roman" w:hAnsi="Times New Roman"/>
                <w:b w:val="0"/>
                <w:sz w:val="20"/>
                <w:szCs w:val="20"/>
              </w:rPr>
            </w:pPr>
            <w:r w:rsidRPr="001F224B">
              <w:rPr>
                <w:rFonts w:ascii="Times New Roman" w:hAnsi="Times New Roman"/>
                <w:b w:val="0"/>
                <w:sz w:val="20"/>
                <w:szCs w:val="20"/>
              </w:rPr>
              <w:t>57</w:t>
            </w:r>
          </w:p>
        </w:tc>
      </w:tr>
      <w:tr w:rsidR="007B3BD9" w:rsidRPr="001F224B" w14:paraId="4A785C98" w14:textId="77777777" w:rsidTr="00091F5D">
        <w:tc>
          <w:tcPr>
            <w:tcW w:w="912" w:type="dxa"/>
            <w:gridSpan w:val="2"/>
          </w:tcPr>
          <w:p w14:paraId="14B7369B" w14:textId="40D8037A"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VII.</w:t>
            </w:r>
          </w:p>
        </w:tc>
        <w:tc>
          <w:tcPr>
            <w:tcW w:w="7799" w:type="dxa"/>
            <w:vAlign w:val="bottom"/>
          </w:tcPr>
          <w:p w14:paraId="53B687BD" w14:textId="4D495608" w:rsidR="007B3BD9" w:rsidRPr="001F224B" w:rsidRDefault="00ED7D85" w:rsidP="007B3BD9">
            <w:pPr>
              <w:rPr>
                <w:sz w:val="20"/>
                <w:szCs w:val="20"/>
              </w:rPr>
            </w:pPr>
            <w:r w:rsidRPr="001F224B">
              <w:rPr>
                <w:sz w:val="20"/>
                <w:szCs w:val="20"/>
              </w:rPr>
              <w:t>Konsolide risk   yönetimine ilişkin açıklamalar</w:t>
            </w:r>
          </w:p>
        </w:tc>
        <w:tc>
          <w:tcPr>
            <w:tcW w:w="1075" w:type="dxa"/>
            <w:gridSpan w:val="3"/>
          </w:tcPr>
          <w:p w14:paraId="1C8236AD" w14:textId="73D7334A" w:rsidR="007B3BD9" w:rsidRPr="001F224B" w:rsidRDefault="00ED7D85" w:rsidP="007B3BD9">
            <w:pPr>
              <w:pStyle w:val="Title"/>
              <w:jc w:val="right"/>
              <w:rPr>
                <w:rFonts w:ascii="Times New Roman" w:hAnsi="Times New Roman"/>
                <w:b w:val="0"/>
                <w:sz w:val="20"/>
                <w:szCs w:val="20"/>
              </w:rPr>
            </w:pPr>
            <w:r w:rsidRPr="001F224B">
              <w:rPr>
                <w:rFonts w:ascii="Times New Roman" w:hAnsi="Times New Roman"/>
                <w:b w:val="0"/>
                <w:sz w:val="20"/>
                <w:szCs w:val="20"/>
              </w:rPr>
              <w:t>58</w:t>
            </w:r>
            <w:r w:rsidR="00C57879" w:rsidRPr="001F224B">
              <w:rPr>
                <w:rFonts w:ascii="Times New Roman" w:hAnsi="Times New Roman"/>
                <w:b w:val="0"/>
                <w:sz w:val="20"/>
                <w:szCs w:val="20"/>
              </w:rPr>
              <w:t>-69</w:t>
            </w:r>
          </w:p>
        </w:tc>
      </w:tr>
      <w:tr w:rsidR="008848C5" w:rsidRPr="001F224B" w14:paraId="2E3E5260" w14:textId="77777777" w:rsidTr="00091F5D">
        <w:tc>
          <w:tcPr>
            <w:tcW w:w="912" w:type="dxa"/>
            <w:gridSpan w:val="2"/>
          </w:tcPr>
          <w:p w14:paraId="391C4445" w14:textId="77777777" w:rsidR="008848C5" w:rsidRPr="001F224B" w:rsidRDefault="008848C5" w:rsidP="008848C5">
            <w:pPr>
              <w:pStyle w:val="Title"/>
              <w:ind w:right="-137"/>
              <w:jc w:val="both"/>
              <w:rPr>
                <w:rFonts w:ascii="Times New Roman" w:hAnsi="Times New Roman"/>
                <w:sz w:val="20"/>
                <w:szCs w:val="20"/>
              </w:rPr>
            </w:pPr>
          </w:p>
          <w:p w14:paraId="264B89FD" w14:textId="60730F3B" w:rsidR="00EE6EBF" w:rsidRPr="001F224B" w:rsidRDefault="00EE6EBF" w:rsidP="008848C5">
            <w:pPr>
              <w:pStyle w:val="Title"/>
              <w:ind w:right="-137"/>
              <w:jc w:val="both"/>
              <w:rPr>
                <w:rFonts w:ascii="Times New Roman" w:hAnsi="Times New Roman"/>
                <w:sz w:val="20"/>
                <w:szCs w:val="20"/>
              </w:rPr>
            </w:pPr>
          </w:p>
        </w:tc>
        <w:tc>
          <w:tcPr>
            <w:tcW w:w="7799" w:type="dxa"/>
            <w:vAlign w:val="bottom"/>
          </w:tcPr>
          <w:p w14:paraId="3AF96A7B" w14:textId="7A6F1F0B" w:rsidR="008848C5" w:rsidRPr="001F224B" w:rsidRDefault="008848C5" w:rsidP="00D47997">
            <w:pPr>
              <w:pStyle w:val="Heading1"/>
              <w:numPr>
                <w:ilvl w:val="0"/>
                <w:numId w:val="0"/>
              </w:numPr>
              <w:spacing w:before="0"/>
              <w:jc w:val="center"/>
              <w:rPr>
                <w:rFonts w:ascii="Times New Roman" w:hAnsi="Times New Roman"/>
                <w:sz w:val="20"/>
                <w:szCs w:val="20"/>
              </w:rPr>
            </w:pPr>
          </w:p>
          <w:p w14:paraId="0D76B3AC" w14:textId="77777777" w:rsidR="008848C5" w:rsidRPr="001F224B" w:rsidRDefault="008848C5" w:rsidP="00D47997">
            <w:pPr>
              <w:pStyle w:val="Heading1"/>
              <w:numPr>
                <w:ilvl w:val="0"/>
                <w:numId w:val="0"/>
              </w:numPr>
              <w:spacing w:before="0"/>
              <w:jc w:val="center"/>
              <w:rPr>
                <w:rFonts w:ascii="Times New Roman" w:hAnsi="Times New Roman"/>
                <w:sz w:val="20"/>
                <w:szCs w:val="20"/>
              </w:rPr>
            </w:pPr>
          </w:p>
          <w:p w14:paraId="1DD78FCC" w14:textId="77777777" w:rsidR="008848C5" w:rsidRPr="001F224B" w:rsidRDefault="008848C5" w:rsidP="00D47997">
            <w:pPr>
              <w:pStyle w:val="Heading1"/>
              <w:numPr>
                <w:ilvl w:val="0"/>
                <w:numId w:val="0"/>
              </w:numPr>
              <w:spacing w:before="0"/>
              <w:jc w:val="center"/>
              <w:rPr>
                <w:rFonts w:ascii="Times New Roman" w:hAnsi="Times New Roman"/>
                <w:sz w:val="20"/>
                <w:szCs w:val="20"/>
              </w:rPr>
            </w:pPr>
            <w:r w:rsidRPr="001F224B">
              <w:rPr>
                <w:rFonts w:ascii="Times New Roman" w:hAnsi="Times New Roman"/>
                <w:sz w:val="20"/>
                <w:szCs w:val="20"/>
              </w:rPr>
              <w:t>BEŞİNCİ BÖLÜM</w:t>
            </w:r>
          </w:p>
        </w:tc>
        <w:tc>
          <w:tcPr>
            <w:tcW w:w="1075" w:type="dxa"/>
            <w:gridSpan w:val="3"/>
          </w:tcPr>
          <w:p w14:paraId="71B4556E" w14:textId="77777777" w:rsidR="008848C5" w:rsidRPr="001F224B" w:rsidRDefault="008848C5" w:rsidP="009B5F1A">
            <w:pPr>
              <w:pStyle w:val="Title"/>
              <w:jc w:val="right"/>
              <w:rPr>
                <w:rFonts w:ascii="Times New Roman" w:hAnsi="Times New Roman"/>
                <w:b w:val="0"/>
                <w:sz w:val="20"/>
                <w:szCs w:val="20"/>
              </w:rPr>
            </w:pPr>
          </w:p>
        </w:tc>
      </w:tr>
      <w:tr w:rsidR="008848C5" w:rsidRPr="001F224B" w14:paraId="6BCD6F20" w14:textId="77777777" w:rsidTr="00091F5D">
        <w:tc>
          <w:tcPr>
            <w:tcW w:w="912" w:type="dxa"/>
            <w:gridSpan w:val="2"/>
          </w:tcPr>
          <w:p w14:paraId="27EAF8A1" w14:textId="77777777" w:rsidR="008848C5" w:rsidRPr="001F224B" w:rsidRDefault="008848C5" w:rsidP="008848C5">
            <w:pPr>
              <w:pStyle w:val="Title"/>
              <w:ind w:right="-137"/>
              <w:jc w:val="both"/>
              <w:rPr>
                <w:rFonts w:ascii="Times New Roman" w:hAnsi="Times New Roman"/>
                <w:b w:val="0"/>
                <w:sz w:val="20"/>
                <w:szCs w:val="20"/>
              </w:rPr>
            </w:pPr>
          </w:p>
        </w:tc>
        <w:tc>
          <w:tcPr>
            <w:tcW w:w="7799" w:type="dxa"/>
            <w:vAlign w:val="bottom"/>
          </w:tcPr>
          <w:p w14:paraId="7C510476" w14:textId="5AC41ABC" w:rsidR="008848C5" w:rsidRPr="001F224B" w:rsidRDefault="00CD1B0D" w:rsidP="008848C5">
            <w:pPr>
              <w:jc w:val="center"/>
              <w:rPr>
                <w:b/>
                <w:sz w:val="20"/>
                <w:szCs w:val="20"/>
              </w:rPr>
            </w:pPr>
            <w:r w:rsidRPr="001F224B">
              <w:rPr>
                <w:b/>
                <w:bCs/>
                <w:sz w:val="20"/>
                <w:szCs w:val="20"/>
              </w:rPr>
              <w:t xml:space="preserve">Konsolide </w:t>
            </w:r>
            <w:r w:rsidR="008848C5" w:rsidRPr="001F224B">
              <w:rPr>
                <w:b/>
                <w:bCs/>
                <w:sz w:val="20"/>
                <w:szCs w:val="20"/>
              </w:rPr>
              <w:t>Finansal Tablolara İlişkin Açıklama ve Dipnotlar</w:t>
            </w:r>
          </w:p>
        </w:tc>
        <w:tc>
          <w:tcPr>
            <w:tcW w:w="1075" w:type="dxa"/>
            <w:gridSpan w:val="3"/>
          </w:tcPr>
          <w:p w14:paraId="4B252A1D" w14:textId="77777777" w:rsidR="008848C5" w:rsidRPr="001F224B" w:rsidRDefault="008848C5" w:rsidP="008848C5">
            <w:pPr>
              <w:pStyle w:val="Title"/>
              <w:jc w:val="right"/>
              <w:rPr>
                <w:rFonts w:ascii="Times New Roman" w:hAnsi="Times New Roman"/>
                <w:b w:val="0"/>
                <w:sz w:val="20"/>
                <w:szCs w:val="20"/>
              </w:rPr>
            </w:pPr>
          </w:p>
        </w:tc>
      </w:tr>
      <w:tr w:rsidR="008848C5" w:rsidRPr="001F224B" w14:paraId="38E80D3E" w14:textId="77777777" w:rsidTr="00091F5D">
        <w:tc>
          <w:tcPr>
            <w:tcW w:w="912" w:type="dxa"/>
            <w:gridSpan w:val="2"/>
          </w:tcPr>
          <w:p w14:paraId="432D219A" w14:textId="77777777" w:rsidR="008848C5" w:rsidRPr="001F224B" w:rsidRDefault="008848C5" w:rsidP="008848C5">
            <w:pPr>
              <w:pStyle w:val="Title"/>
              <w:ind w:right="-137"/>
              <w:jc w:val="both"/>
              <w:rPr>
                <w:rFonts w:ascii="Times New Roman" w:hAnsi="Times New Roman"/>
                <w:b w:val="0"/>
                <w:sz w:val="20"/>
                <w:szCs w:val="20"/>
              </w:rPr>
            </w:pPr>
          </w:p>
        </w:tc>
        <w:tc>
          <w:tcPr>
            <w:tcW w:w="7799" w:type="dxa"/>
          </w:tcPr>
          <w:p w14:paraId="356ED7E7" w14:textId="77777777" w:rsidR="008848C5" w:rsidRPr="001F224B" w:rsidRDefault="008848C5" w:rsidP="008848C5">
            <w:pPr>
              <w:pStyle w:val="Title"/>
              <w:jc w:val="left"/>
              <w:rPr>
                <w:rFonts w:ascii="Times New Roman" w:hAnsi="Times New Roman"/>
                <w:b w:val="0"/>
                <w:sz w:val="20"/>
                <w:szCs w:val="20"/>
              </w:rPr>
            </w:pPr>
          </w:p>
        </w:tc>
        <w:tc>
          <w:tcPr>
            <w:tcW w:w="1075" w:type="dxa"/>
            <w:gridSpan w:val="3"/>
          </w:tcPr>
          <w:p w14:paraId="785D9347" w14:textId="77777777" w:rsidR="008848C5" w:rsidRPr="001F224B" w:rsidRDefault="008848C5" w:rsidP="008848C5">
            <w:pPr>
              <w:pStyle w:val="Title"/>
              <w:jc w:val="right"/>
              <w:rPr>
                <w:rFonts w:ascii="Times New Roman" w:hAnsi="Times New Roman"/>
                <w:b w:val="0"/>
                <w:sz w:val="20"/>
                <w:szCs w:val="20"/>
              </w:rPr>
            </w:pPr>
          </w:p>
        </w:tc>
      </w:tr>
      <w:tr w:rsidR="007B3BD9" w:rsidRPr="001F224B" w14:paraId="03B76F3C" w14:textId="77777777" w:rsidTr="00091F5D">
        <w:tc>
          <w:tcPr>
            <w:tcW w:w="912" w:type="dxa"/>
            <w:gridSpan w:val="2"/>
            <w:vAlign w:val="bottom"/>
          </w:tcPr>
          <w:p w14:paraId="3950E681" w14:textId="06D65EA9"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w:t>
            </w:r>
          </w:p>
        </w:tc>
        <w:tc>
          <w:tcPr>
            <w:tcW w:w="7799" w:type="dxa"/>
            <w:vAlign w:val="bottom"/>
          </w:tcPr>
          <w:p w14:paraId="6FA7BAAD" w14:textId="4E1B3D8D"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bilançonun aktif hesaplarına ilişkin açıklama ve dipnotlar</w:t>
            </w:r>
          </w:p>
        </w:tc>
        <w:tc>
          <w:tcPr>
            <w:tcW w:w="1075" w:type="dxa"/>
            <w:gridSpan w:val="3"/>
          </w:tcPr>
          <w:p w14:paraId="10B17A8F" w14:textId="75D99B81"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70-82</w:t>
            </w:r>
          </w:p>
        </w:tc>
      </w:tr>
      <w:tr w:rsidR="007B3BD9" w:rsidRPr="001F224B" w14:paraId="617B4905" w14:textId="77777777" w:rsidTr="00091F5D">
        <w:tc>
          <w:tcPr>
            <w:tcW w:w="912" w:type="dxa"/>
            <w:gridSpan w:val="2"/>
            <w:vAlign w:val="bottom"/>
          </w:tcPr>
          <w:p w14:paraId="2F32F583" w14:textId="6D0A1724"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II.</w:t>
            </w:r>
          </w:p>
        </w:tc>
        <w:tc>
          <w:tcPr>
            <w:tcW w:w="7799" w:type="dxa"/>
            <w:vAlign w:val="bottom"/>
          </w:tcPr>
          <w:p w14:paraId="51017C94" w14:textId="7728E80C"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bilançonun pasif hesaplarına ilişkin açıklama ve dipnotlar</w:t>
            </w:r>
          </w:p>
        </w:tc>
        <w:tc>
          <w:tcPr>
            <w:tcW w:w="1075" w:type="dxa"/>
            <w:gridSpan w:val="3"/>
          </w:tcPr>
          <w:p w14:paraId="41151960" w14:textId="0C2D6F33"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83-88</w:t>
            </w:r>
          </w:p>
        </w:tc>
      </w:tr>
      <w:tr w:rsidR="007B3BD9" w:rsidRPr="001F224B" w14:paraId="0D610F4D" w14:textId="77777777" w:rsidTr="00091F5D">
        <w:tc>
          <w:tcPr>
            <w:tcW w:w="912" w:type="dxa"/>
            <w:gridSpan w:val="2"/>
            <w:vAlign w:val="bottom"/>
          </w:tcPr>
          <w:p w14:paraId="51AD3A27" w14:textId="60D33879"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III.</w:t>
            </w:r>
          </w:p>
        </w:tc>
        <w:tc>
          <w:tcPr>
            <w:tcW w:w="7799" w:type="dxa"/>
            <w:vAlign w:val="bottom"/>
          </w:tcPr>
          <w:p w14:paraId="7D9CD53D" w14:textId="79A1478B"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nazım hesaplara ilişkin açıklama ve dipnotlar</w:t>
            </w:r>
          </w:p>
        </w:tc>
        <w:tc>
          <w:tcPr>
            <w:tcW w:w="1075" w:type="dxa"/>
            <w:gridSpan w:val="3"/>
          </w:tcPr>
          <w:p w14:paraId="04AD74A8" w14:textId="2DCD11C3"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89-</w:t>
            </w:r>
            <w:r w:rsidR="00E11DC4" w:rsidRPr="001F224B">
              <w:rPr>
                <w:rFonts w:ascii="Times New Roman" w:hAnsi="Times New Roman"/>
                <w:b w:val="0"/>
                <w:sz w:val="20"/>
                <w:szCs w:val="20"/>
              </w:rPr>
              <w:t>90</w:t>
            </w:r>
          </w:p>
        </w:tc>
      </w:tr>
      <w:tr w:rsidR="007B3BD9" w:rsidRPr="001F224B" w14:paraId="51126FF7" w14:textId="77777777" w:rsidTr="00091F5D">
        <w:tc>
          <w:tcPr>
            <w:tcW w:w="912" w:type="dxa"/>
            <w:gridSpan w:val="2"/>
            <w:vAlign w:val="bottom"/>
          </w:tcPr>
          <w:p w14:paraId="5F94AE46" w14:textId="756749F9"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IV.</w:t>
            </w:r>
          </w:p>
        </w:tc>
        <w:tc>
          <w:tcPr>
            <w:tcW w:w="7799" w:type="dxa"/>
            <w:vAlign w:val="bottom"/>
          </w:tcPr>
          <w:p w14:paraId="65EEA133" w14:textId="0406FE06"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Konsolide kar veya zarar tablosuna ilişkin açıklama ve dipnotlar</w:t>
            </w:r>
          </w:p>
        </w:tc>
        <w:tc>
          <w:tcPr>
            <w:tcW w:w="1075" w:type="dxa"/>
            <w:gridSpan w:val="3"/>
          </w:tcPr>
          <w:p w14:paraId="0EAAFF57" w14:textId="4BA91108"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91-95</w:t>
            </w:r>
          </w:p>
        </w:tc>
      </w:tr>
      <w:tr w:rsidR="007B3BD9" w:rsidRPr="001F224B" w14:paraId="0B20FE61" w14:textId="77777777" w:rsidTr="00091F5D">
        <w:tc>
          <w:tcPr>
            <w:tcW w:w="912" w:type="dxa"/>
            <w:gridSpan w:val="2"/>
            <w:vAlign w:val="bottom"/>
          </w:tcPr>
          <w:p w14:paraId="2FB3A693" w14:textId="76A5F892"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bCs w:val="0"/>
                <w:kern w:val="0"/>
                <w:sz w:val="20"/>
                <w:szCs w:val="20"/>
              </w:rPr>
              <w:t>V.</w:t>
            </w:r>
          </w:p>
        </w:tc>
        <w:tc>
          <w:tcPr>
            <w:tcW w:w="7799" w:type="dxa"/>
            <w:vAlign w:val="bottom"/>
          </w:tcPr>
          <w:p w14:paraId="1A0A2308" w14:textId="46C7B91C" w:rsidR="007B3BD9" w:rsidRPr="001F224B" w:rsidRDefault="007B3BD9" w:rsidP="007B3BD9">
            <w:pPr>
              <w:pStyle w:val="Title"/>
              <w:jc w:val="left"/>
              <w:rPr>
                <w:rFonts w:ascii="Times New Roman" w:hAnsi="Times New Roman"/>
                <w:b w:val="0"/>
                <w:sz w:val="20"/>
                <w:szCs w:val="20"/>
              </w:rPr>
            </w:pPr>
            <w:r w:rsidRPr="001F224B">
              <w:rPr>
                <w:rFonts w:ascii="Times New Roman" w:hAnsi="Times New Roman"/>
                <w:b w:val="0"/>
                <w:sz w:val="20"/>
                <w:szCs w:val="20"/>
              </w:rPr>
              <w:t>Ana Ortaklık Banka’nın dahil olduğu risk grubuna ilişkin açıklamalar</w:t>
            </w:r>
          </w:p>
        </w:tc>
        <w:tc>
          <w:tcPr>
            <w:tcW w:w="1075" w:type="dxa"/>
            <w:gridSpan w:val="3"/>
          </w:tcPr>
          <w:p w14:paraId="11EEA447" w14:textId="7070A47B"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96</w:t>
            </w:r>
          </w:p>
        </w:tc>
      </w:tr>
      <w:tr w:rsidR="00FB4E3F" w:rsidRPr="001F224B" w14:paraId="7BFE8E14" w14:textId="77777777" w:rsidTr="00091F5D">
        <w:trPr>
          <w:trHeight w:val="328"/>
        </w:trPr>
        <w:tc>
          <w:tcPr>
            <w:tcW w:w="912" w:type="dxa"/>
            <w:gridSpan w:val="2"/>
            <w:vAlign w:val="bottom"/>
          </w:tcPr>
          <w:p w14:paraId="16F83AE8" w14:textId="77777777" w:rsidR="00FB4E3F" w:rsidRPr="001F224B" w:rsidRDefault="00FB4E3F" w:rsidP="00FB4E3F">
            <w:pPr>
              <w:pStyle w:val="Title"/>
              <w:ind w:right="-137"/>
              <w:jc w:val="left"/>
              <w:rPr>
                <w:rFonts w:ascii="Times New Roman" w:hAnsi="Times New Roman"/>
                <w:sz w:val="20"/>
                <w:szCs w:val="20"/>
              </w:rPr>
            </w:pPr>
          </w:p>
        </w:tc>
        <w:tc>
          <w:tcPr>
            <w:tcW w:w="7799" w:type="dxa"/>
            <w:vAlign w:val="bottom"/>
          </w:tcPr>
          <w:p w14:paraId="4BF8A1F5" w14:textId="77777777" w:rsidR="00FB4E3F" w:rsidRPr="001F224B" w:rsidRDefault="00FB4E3F" w:rsidP="00FB4E3F">
            <w:pPr>
              <w:jc w:val="center"/>
              <w:rPr>
                <w:b/>
                <w:sz w:val="20"/>
                <w:szCs w:val="20"/>
              </w:rPr>
            </w:pPr>
          </w:p>
          <w:p w14:paraId="1C6A1F61" w14:textId="77777777" w:rsidR="00FB4E3F" w:rsidRPr="001F224B" w:rsidRDefault="00FB4E3F" w:rsidP="00FB4E3F">
            <w:pPr>
              <w:jc w:val="center"/>
              <w:rPr>
                <w:b/>
                <w:sz w:val="20"/>
                <w:szCs w:val="20"/>
              </w:rPr>
            </w:pPr>
          </w:p>
          <w:p w14:paraId="2E428AE1" w14:textId="77777777" w:rsidR="00FB4E3F" w:rsidRPr="001F224B" w:rsidRDefault="00FB4E3F" w:rsidP="00FB4E3F">
            <w:pPr>
              <w:jc w:val="center"/>
              <w:rPr>
                <w:b/>
                <w:sz w:val="20"/>
                <w:szCs w:val="20"/>
              </w:rPr>
            </w:pPr>
            <w:r w:rsidRPr="001F224B">
              <w:rPr>
                <w:b/>
                <w:sz w:val="20"/>
                <w:szCs w:val="20"/>
              </w:rPr>
              <w:t>ALTINCI BÖLÜM</w:t>
            </w:r>
          </w:p>
          <w:p w14:paraId="49D6ADE2" w14:textId="77777777" w:rsidR="00FB4E3F" w:rsidRPr="001F224B" w:rsidRDefault="00FB4E3F" w:rsidP="00FB4E3F">
            <w:pPr>
              <w:jc w:val="center"/>
              <w:rPr>
                <w:b/>
                <w:sz w:val="20"/>
                <w:szCs w:val="20"/>
              </w:rPr>
            </w:pPr>
            <w:r w:rsidRPr="001F224B">
              <w:rPr>
                <w:b/>
                <w:sz w:val="20"/>
                <w:szCs w:val="20"/>
              </w:rPr>
              <w:t>Diğer Açıklamalar</w:t>
            </w:r>
          </w:p>
          <w:p w14:paraId="4BD99044" w14:textId="77777777" w:rsidR="00FB4E3F" w:rsidRPr="001F224B" w:rsidRDefault="00FB4E3F" w:rsidP="00FB4E3F">
            <w:pPr>
              <w:jc w:val="center"/>
              <w:rPr>
                <w:b/>
                <w:sz w:val="20"/>
                <w:szCs w:val="20"/>
              </w:rPr>
            </w:pPr>
          </w:p>
        </w:tc>
        <w:tc>
          <w:tcPr>
            <w:tcW w:w="1075" w:type="dxa"/>
            <w:gridSpan w:val="3"/>
          </w:tcPr>
          <w:p w14:paraId="74806062" w14:textId="77777777" w:rsidR="00FB4E3F" w:rsidRPr="001F224B" w:rsidRDefault="00FB4E3F" w:rsidP="00FB4E3F">
            <w:pPr>
              <w:pStyle w:val="Title"/>
              <w:jc w:val="right"/>
              <w:rPr>
                <w:rFonts w:ascii="Times New Roman" w:hAnsi="Times New Roman"/>
                <w:b w:val="0"/>
                <w:sz w:val="20"/>
                <w:szCs w:val="20"/>
              </w:rPr>
            </w:pPr>
          </w:p>
        </w:tc>
      </w:tr>
      <w:tr w:rsidR="007B3BD9" w:rsidRPr="001F224B" w14:paraId="4D998827" w14:textId="77777777" w:rsidTr="00091F5D">
        <w:tc>
          <w:tcPr>
            <w:tcW w:w="912" w:type="dxa"/>
            <w:gridSpan w:val="2"/>
            <w:vAlign w:val="bottom"/>
          </w:tcPr>
          <w:p w14:paraId="6F9D867B" w14:textId="17802EEB"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w:t>
            </w:r>
          </w:p>
        </w:tc>
        <w:tc>
          <w:tcPr>
            <w:tcW w:w="7799" w:type="dxa"/>
            <w:vAlign w:val="bottom"/>
          </w:tcPr>
          <w:p w14:paraId="093D0836" w14:textId="7B81F78F" w:rsidR="007B3BD9" w:rsidRPr="001F224B" w:rsidRDefault="007B3BD9" w:rsidP="007B3BD9">
            <w:pPr>
              <w:rPr>
                <w:bCs/>
                <w:sz w:val="20"/>
                <w:szCs w:val="20"/>
              </w:rPr>
            </w:pPr>
            <w:r w:rsidRPr="001F224B">
              <w:rPr>
                <w:sz w:val="20"/>
                <w:szCs w:val="20"/>
              </w:rPr>
              <w:t>Sınırlı denetim raporuna ilişkin olarak açıklanması gereken hususlar</w:t>
            </w:r>
          </w:p>
        </w:tc>
        <w:tc>
          <w:tcPr>
            <w:tcW w:w="1075" w:type="dxa"/>
            <w:gridSpan w:val="3"/>
          </w:tcPr>
          <w:p w14:paraId="0570A5E9" w14:textId="37E3318A"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97</w:t>
            </w:r>
          </w:p>
        </w:tc>
      </w:tr>
      <w:tr w:rsidR="007B3BD9" w:rsidRPr="001F224B" w14:paraId="363962C4" w14:textId="77777777" w:rsidTr="00091F5D">
        <w:tc>
          <w:tcPr>
            <w:tcW w:w="912" w:type="dxa"/>
            <w:gridSpan w:val="2"/>
            <w:vAlign w:val="bottom"/>
          </w:tcPr>
          <w:p w14:paraId="160915F7" w14:textId="3CD061AC"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II.</w:t>
            </w:r>
          </w:p>
        </w:tc>
        <w:tc>
          <w:tcPr>
            <w:tcW w:w="7799" w:type="dxa"/>
            <w:vAlign w:val="bottom"/>
          </w:tcPr>
          <w:p w14:paraId="759C5761" w14:textId="46014980" w:rsidR="007B3BD9" w:rsidRPr="001F224B" w:rsidRDefault="007B3BD9" w:rsidP="007B3BD9">
            <w:pPr>
              <w:rPr>
                <w:bCs/>
                <w:sz w:val="20"/>
                <w:szCs w:val="20"/>
              </w:rPr>
            </w:pPr>
            <w:r w:rsidRPr="001F224B">
              <w:rPr>
                <w:sz w:val="20"/>
                <w:szCs w:val="20"/>
              </w:rPr>
              <w:t>Bilanço sonrası hususlara ilişkin açıklama ve dipnotlar</w:t>
            </w:r>
          </w:p>
        </w:tc>
        <w:tc>
          <w:tcPr>
            <w:tcW w:w="1075" w:type="dxa"/>
            <w:gridSpan w:val="3"/>
          </w:tcPr>
          <w:p w14:paraId="09D11C5A" w14:textId="5B647BC8"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97</w:t>
            </w:r>
          </w:p>
        </w:tc>
      </w:tr>
      <w:tr w:rsidR="00FB4E3F" w:rsidRPr="001F224B" w14:paraId="3E446E36" w14:textId="77777777" w:rsidTr="00091F5D">
        <w:trPr>
          <w:trHeight w:val="805"/>
        </w:trPr>
        <w:tc>
          <w:tcPr>
            <w:tcW w:w="912" w:type="dxa"/>
            <w:gridSpan w:val="2"/>
            <w:vAlign w:val="bottom"/>
          </w:tcPr>
          <w:p w14:paraId="2A1EC7E3" w14:textId="77777777" w:rsidR="00FB4E3F" w:rsidRPr="001F224B" w:rsidRDefault="00FB4E3F" w:rsidP="00FB4E3F">
            <w:pPr>
              <w:pStyle w:val="Title"/>
              <w:ind w:right="-137"/>
              <w:jc w:val="left"/>
              <w:rPr>
                <w:rFonts w:ascii="Times New Roman" w:hAnsi="Times New Roman"/>
                <w:sz w:val="20"/>
                <w:szCs w:val="20"/>
              </w:rPr>
            </w:pPr>
          </w:p>
        </w:tc>
        <w:tc>
          <w:tcPr>
            <w:tcW w:w="7799" w:type="dxa"/>
            <w:vAlign w:val="bottom"/>
          </w:tcPr>
          <w:p w14:paraId="79E7288D" w14:textId="77777777" w:rsidR="00FB4E3F" w:rsidRPr="001F224B" w:rsidRDefault="00FB4E3F" w:rsidP="00FB4E3F">
            <w:pPr>
              <w:jc w:val="center"/>
              <w:rPr>
                <w:sz w:val="20"/>
                <w:szCs w:val="20"/>
              </w:rPr>
            </w:pPr>
            <w:r w:rsidRPr="001F224B">
              <w:rPr>
                <w:b/>
                <w:sz w:val="20"/>
                <w:szCs w:val="20"/>
              </w:rPr>
              <w:t>YEDİNCİ BÖLÜM</w:t>
            </w:r>
          </w:p>
        </w:tc>
        <w:tc>
          <w:tcPr>
            <w:tcW w:w="1075" w:type="dxa"/>
            <w:gridSpan w:val="3"/>
          </w:tcPr>
          <w:p w14:paraId="340BA84D" w14:textId="77777777" w:rsidR="00FB4E3F" w:rsidRPr="001F224B" w:rsidRDefault="00FB4E3F" w:rsidP="00FB4E3F">
            <w:pPr>
              <w:pStyle w:val="Title"/>
              <w:jc w:val="right"/>
              <w:rPr>
                <w:rFonts w:ascii="Times New Roman" w:hAnsi="Times New Roman"/>
                <w:b w:val="0"/>
                <w:sz w:val="20"/>
                <w:szCs w:val="20"/>
              </w:rPr>
            </w:pPr>
          </w:p>
        </w:tc>
      </w:tr>
      <w:tr w:rsidR="00FB4E3F" w:rsidRPr="001F224B" w14:paraId="33ABEF52" w14:textId="77777777" w:rsidTr="00091F5D">
        <w:tc>
          <w:tcPr>
            <w:tcW w:w="912" w:type="dxa"/>
            <w:gridSpan w:val="2"/>
            <w:vAlign w:val="bottom"/>
          </w:tcPr>
          <w:p w14:paraId="6244D818" w14:textId="77777777" w:rsidR="00FB4E3F" w:rsidRPr="001F224B" w:rsidRDefault="00FB4E3F" w:rsidP="00FB4E3F">
            <w:pPr>
              <w:pStyle w:val="Title"/>
              <w:ind w:right="-137"/>
              <w:jc w:val="left"/>
              <w:rPr>
                <w:rFonts w:ascii="Times New Roman" w:hAnsi="Times New Roman"/>
                <w:sz w:val="20"/>
                <w:szCs w:val="20"/>
              </w:rPr>
            </w:pPr>
          </w:p>
        </w:tc>
        <w:tc>
          <w:tcPr>
            <w:tcW w:w="7799" w:type="dxa"/>
            <w:vAlign w:val="bottom"/>
          </w:tcPr>
          <w:p w14:paraId="0622FFB1" w14:textId="7793D95E" w:rsidR="00FB4E3F" w:rsidRPr="001F224B" w:rsidRDefault="00943AF7" w:rsidP="00FB4E3F">
            <w:pPr>
              <w:jc w:val="center"/>
              <w:rPr>
                <w:sz w:val="20"/>
                <w:szCs w:val="20"/>
              </w:rPr>
            </w:pPr>
            <w:r w:rsidRPr="001F224B">
              <w:rPr>
                <w:b/>
                <w:sz w:val="20"/>
                <w:szCs w:val="20"/>
              </w:rPr>
              <w:t>Konsolide Ara Dönem Faaliyet</w:t>
            </w:r>
            <w:r w:rsidR="00C72BBF" w:rsidRPr="001F224B">
              <w:rPr>
                <w:b/>
                <w:sz w:val="20"/>
                <w:szCs w:val="20"/>
              </w:rPr>
              <w:t xml:space="preserve"> Raporu</w:t>
            </w:r>
          </w:p>
        </w:tc>
        <w:tc>
          <w:tcPr>
            <w:tcW w:w="1075" w:type="dxa"/>
            <w:gridSpan w:val="3"/>
          </w:tcPr>
          <w:p w14:paraId="07B7DD28" w14:textId="77777777" w:rsidR="00FB4E3F" w:rsidRPr="001F224B" w:rsidRDefault="00FB4E3F" w:rsidP="00FB4E3F">
            <w:pPr>
              <w:pStyle w:val="Title"/>
              <w:jc w:val="right"/>
              <w:rPr>
                <w:rFonts w:ascii="Times New Roman" w:hAnsi="Times New Roman"/>
                <w:b w:val="0"/>
                <w:sz w:val="20"/>
                <w:szCs w:val="20"/>
              </w:rPr>
            </w:pPr>
          </w:p>
        </w:tc>
      </w:tr>
      <w:tr w:rsidR="00FB4E3F" w:rsidRPr="001F224B" w14:paraId="6F3A8768" w14:textId="77777777" w:rsidTr="00091F5D">
        <w:tc>
          <w:tcPr>
            <w:tcW w:w="912" w:type="dxa"/>
            <w:gridSpan w:val="2"/>
            <w:vAlign w:val="bottom"/>
          </w:tcPr>
          <w:p w14:paraId="2C6AA343" w14:textId="77777777" w:rsidR="00FB4E3F" w:rsidRPr="001F224B" w:rsidRDefault="00FB4E3F" w:rsidP="00FB4E3F">
            <w:pPr>
              <w:pStyle w:val="Title"/>
              <w:ind w:right="-137"/>
              <w:jc w:val="left"/>
              <w:rPr>
                <w:rFonts w:ascii="Times New Roman" w:hAnsi="Times New Roman"/>
                <w:sz w:val="20"/>
                <w:szCs w:val="20"/>
              </w:rPr>
            </w:pPr>
          </w:p>
        </w:tc>
        <w:tc>
          <w:tcPr>
            <w:tcW w:w="7799" w:type="dxa"/>
            <w:vAlign w:val="bottom"/>
          </w:tcPr>
          <w:p w14:paraId="1206109E" w14:textId="77777777" w:rsidR="00FB4E3F" w:rsidRPr="001F224B" w:rsidRDefault="00FB4E3F" w:rsidP="00FB4E3F">
            <w:pPr>
              <w:rPr>
                <w:sz w:val="20"/>
                <w:szCs w:val="20"/>
              </w:rPr>
            </w:pPr>
          </w:p>
        </w:tc>
        <w:tc>
          <w:tcPr>
            <w:tcW w:w="1075" w:type="dxa"/>
            <w:gridSpan w:val="3"/>
          </w:tcPr>
          <w:p w14:paraId="0DB8379F" w14:textId="77777777" w:rsidR="00FB4E3F" w:rsidRPr="001F224B" w:rsidRDefault="00FB4E3F" w:rsidP="00FB4E3F">
            <w:pPr>
              <w:pStyle w:val="Title"/>
              <w:jc w:val="right"/>
              <w:rPr>
                <w:rFonts w:ascii="Times New Roman" w:hAnsi="Times New Roman"/>
                <w:b w:val="0"/>
                <w:sz w:val="20"/>
                <w:szCs w:val="20"/>
              </w:rPr>
            </w:pPr>
          </w:p>
        </w:tc>
      </w:tr>
      <w:tr w:rsidR="007B3BD9" w:rsidRPr="001F224B" w14:paraId="4F3FA400" w14:textId="77777777" w:rsidTr="00091F5D">
        <w:tc>
          <w:tcPr>
            <w:tcW w:w="912" w:type="dxa"/>
            <w:gridSpan w:val="2"/>
          </w:tcPr>
          <w:p w14:paraId="336986E9" w14:textId="77780345"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w:t>
            </w:r>
          </w:p>
        </w:tc>
        <w:tc>
          <w:tcPr>
            <w:tcW w:w="7799" w:type="dxa"/>
            <w:vAlign w:val="bottom"/>
          </w:tcPr>
          <w:p w14:paraId="7269624C" w14:textId="0B3E2931" w:rsidR="007B3BD9" w:rsidRPr="001F224B" w:rsidRDefault="007B3BD9" w:rsidP="007B3BD9">
            <w:pPr>
              <w:rPr>
                <w:sz w:val="20"/>
                <w:szCs w:val="20"/>
              </w:rPr>
            </w:pPr>
            <w:r w:rsidRPr="001F224B">
              <w:rPr>
                <w:sz w:val="20"/>
                <w:szCs w:val="20"/>
              </w:rPr>
              <w:t>Yönetim Kurulu Başkanı’nın değerlendirmesi</w:t>
            </w:r>
          </w:p>
        </w:tc>
        <w:tc>
          <w:tcPr>
            <w:tcW w:w="1075" w:type="dxa"/>
            <w:gridSpan w:val="3"/>
          </w:tcPr>
          <w:p w14:paraId="4FECECA7" w14:textId="04246BEE"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98</w:t>
            </w:r>
          </w:p>
        </w:tc>
      </w:tr>
      <w:tr w:rsidR="007B3BD9" w:rsidRPr="001F224B" w14:paraId="034F83BC" w14:textId="77777777" w:rsidTr="00091F5D">
        <w:tc>
          <w:tcPr>
            <w:tcW w:w="912" w:type="dxa"/>
            <w:gridSpan w:val="2"/>
          </w:tcPr>
          <w:p w14:paraId="57836BF7" w14:textId="37FB1DA6"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II.</w:t>
            </w:r>
          </w:p>
        </w:tc>
        <w:tc>
          <w:tcPr>
            <w:tcW w:w="7799" w:type="dxa"/>
            <w:vAlign w:val="bottom"/>
          </w:tcPr>
          <w:p w14:paraId="67D1C602" w14:textId="0D65CF13" w:rsidR="007B3BD9" w:rsidRPr="001F224B" w:rsidRDefault="007B3BD9" w:rsidP="007B3BD9">
            <w:pPr>
              <w:rPr>
                <w:sz w:val="20"/>
                <w:szCs w:val="20"/>
              </w:rPr>
            </w:pPr>
            <w:r w:rsidRPr="001F224B">
              <w:rPr>
                <w:sz w:val="20"/>
                <w:szCs w:val="20"/>
              </w:rPr>
              <w:t>Genel Müdür ve Yönetim Kurulu Üyesi’nin değerlendirmesi</w:t>
            </w:r>
          </w:p>
        </w:tc>
        <w:tc>
          <w:tcPr>
            <w:tcW w:w="1075" w:type="dxa"/>
            <w:gridSpan w:val="3"/>
          </w:tcPr>
          <w:p w14:paraId="75A62E6A" w14:textId="1DA31BD8"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99</w:t>
            </w:r>
            <w:r w:rsidR="00EA130F" w:rsidRPr="001F224B">
              <w:rPr>
                <w:rFonts w:ascii="Times New Roman" w:hAnsi="Times New Roman"/>
                <w:b w:val="0"/>
                <w:sz w:val="20"/>
                <w:szCs w:val="20"/>
              </w:rPr>
              <w:t>-</w:t>
            </w:r>
            <w:r w:rsidRPr="001F224B">
              <w:rPr>
                <w:rFonts w:ascii="Times New Roman" w:hAnsi="Times New Roman"/>
                <w:b w:val="0"/>
                <w:sz w:val="20"/>
                <w:szCs w:val="20"/>
              </w:rPr>
              <w:t>100</w:t>
            </w:r>
          </w:p>
        </w:tc>
      </w:tr>
      <w:tr w:rsidR="007B3BD9" w:rsidRPr="001F224B" w14:paraId="32FCD7C5" w14:textId="77777777" w:rsidTr="00091F5D">
        <w:tc>
          <w:tcPr>
            <w:tcW w:w="912" w:type="dxa"/>
            <w:gridSpan w:val="2"/>
          </w:tcPr>
          <w:p w14:paraId="7526687B" w14:textId="15C5B7AA"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III.</w:t>
            </w:r>
          </w:p>
        </w:tc>
        <w:tc>
          <w:tcPr>
            <w:tcW w:w="7799" w:type="dxa"/>
            <w:vAlign w:val="bottom"/>
          </w:tcPr>
          <w:p w14:paraId="5D83384F" w14:textId="5D23AB3B" w:rsidR="007B3BD9" w:rsidRPr="001F224B" w:rsidRDefault="007B3BD9" w:rsidP="007B3BD9">
            <w:pPr>
              <w:rPr>
                <w:sz w:val="20"/>
                <w:szCs w:val="20"/>
              </w:rPr>
            </w:pPr>
            <w:r w:rsidRPr="001F224B">
              <w:rPr>
                <w:sz w:val="20"/>
                <w:szCs w:val="20"/>
              </w:rPr>
              <w:t>Konsolidasyona Tabi Bağlı Ortaklık ve İştiraklere İlişkin Bilgiler</w:t>
            </w:r>
          </w:p>
        </w:tc>
        <w:tc>
          <w:tcPr>
            <w:tcW w:w="1075" w:type="dxa"/>
            <w:gridSpan w:val="3"/>
          </w:tcPr>
          <w:p w14:paraId="0E1411D5" w14:textId="4A40A6AB"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101</w:t>
            </w:r>
          </w:p>
        </w:tc>
      </w:tr>
      <w:tr w:rsidR="007B3BD9" w:rsidRPr="001F224B" w14:paraId="4321DAD2" w14:textId="77777777" w:rsidTr="00091F5D">
        <w:tc>
          <w:tcPr>
            <w:tcW w:w="912" w:type="dxa"/>
            <w:gridSpan w:val="2"/>
          </w:tcPr>
          <w:p w14:paraId="48C8F2B9" w14:textId="3C6CD24C"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IV.</w:t>
            </w:r>
          </w:p>
        </w:tc>
        <w:tc>
          <w:tcPr>
            <w:tcW w:w="7799" w:type="dxa"/>
            <w:vAlign w:val="bottom"/>
          </w:tcPr>
          <w:p w14:paraId="60147268" w14:textId="35CC7B9C" w:rsidR="007B3BD9" w:rsidRPr="001F224B" w:rsidRDefault="007B3BD9" w:rsidP="007B3BD9">
            <w:pPr>
              <w:rPr>
                <w:sz w:val="20"/>
                <w:szCs w:val="20"/>
              </w:rPr>
            </w:pPr>
            <w:r w:rsidRPr="001F224B">
              <w:rPr>
                <w:sz w:val="20"/>
                <w:szCs w:val="20"/>
              </w:rPr>
              <w:t>Özet finansal bilgiler ve rasyolar</w:t>
            </w:r>
          </w:p>
        </w:tc>
        <w:tc>
          <w:tcPr>
            <w:tcW w:w="1075" w:type="dxa"/>
            <w:gridSpan w:val="3"/>
          </w:tcPr>
          <w:p w14:paraId="0B75D966" w14:textId="0850993C"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102</w:t>
            </w:r>
          </w:p>
        </w:tc>
      </w:tr>
      <w:tr w:rsidR="007B3BD9" w:rsidRPr="001F224B" w14:paraId="2119F78B" w14:textId="77777777" w:rsidTr="00091F5D">
        <w:tc>
          <w:tcPr>
            <w:tcW w:w="912" w:type="dxa"/>
            <w:gridSpan w:val="2"/>
          </w:tcPr>
          <w:p w14:paraId="5B1D6987" w14:textId="00AEECE3" w:rsidR="007B3BD9" w:rsidRPr="001F224B" w:rsidRDefault="007B3BD9" w:rsidP="007B3BD9">
            <w:pPr>
              <w:pStyle w:val="Title"/>
              <w:ind w:right="-137"/>
              <w:jc w:val="left"/>
              <w:rPr>
                <w:rFonts w:ascii="Times New Roman" w:hAnsi="Times New Roman"/>
                <w:sz w:val="20"/>
                <w:szCs w:val="20"/>
              </w:rPr>
            </w:pPr>
            <w:r w:rsidRPr="001F224B">
              <w:rPr>
                <w:rFonts w:ascii="Times New Roman" w:hAnsi="Times New Roman"/>
                <w:sz w:val="20"/>
                <w:szCs w:val="20"/>
              </w:rPr>
              <w:t>V.</w:t>
            </w:r>
          </w:p>
        </w:tc>
        <w:tc>
          <w:tcPr>
            <w:tcW w:w="7799" w:type="dxa"/>
            <w:vAlign w:val="bottom"/>
          </w:tcPr>
          <w:p w14:paraId="12664353" w14:textId="51C27271" w:rsidR="007B3BD9" w:rsidRPr="001F224B" w:rsidRDefault="007B3BD9" w:rsidP="007B3BD9">
            <w:pPr>
              <w:rPr>
                <w:sz w:val="20"/>
                <w:szCs w:val="20"/>
              </w:rPr>
            </w:pPr>
            <w:r w:rsidRPr="001F224B">
              <w:rPr>
                <w:sz w:val="20"/>
                <w:szCs w:val="20"/>
              </w:rPr>
              <w:t>Banka yönetimi</w:t>
            </w:r>
          </w:p>
        </w:tc>
        <w:tc>
          <w:tcPr>
            <w:tcW w:w="1075" w:type="dxa"/>
            <w:gridSpan w:val="3"/>
          </w:tcPr>
          <w:p w14:paraId="7831947A" w14:textId="50795F1E" w:rsidR="007B3BD9" w:rsidRPr="001F224B" w:rsidRDefault="00C57879" w:rsidP="007B3BD9">
            <w:pPr>
              <w:pStyle w:val="Title"/>
              <w:jc w:val="right"/>
              <w:rPr>
                <w:rFonts w:ascii="Times New Roman" w:hAnsi="Times New Roman"/>
                <w:b w:val="0"/>
                <w:sz w:val="20"/>
                <w:szCs w:val="20"/>
              </w:rPr>
            </w:pPr>
            <w:r w:rsidRPr="001F224B">
              <w:rPr>
                <w:rFonts w:ascii="Times New Roman" w:hAnsi="Times New Roman"/>
                <w:b w:val="0"/>
                <w:sz w:val="20"/>
                <w:szCs w:val="20"/>
              </w:rPr>
              <w:t>102</w:t>
            </w:r>
            <w:r w:rsidR="00EA130F" w:rsidRPr="001F224B">
              <w:rPr>
                <w:rFonts w:ascii="Times New Roman" w:hAnsi="Times New Roman"/>
                <w:b w:val="0"/>
                <w:sz w:val="20"/>
                <w:szCs w:val="20"/>
              </w:rPr>
              <w:t>-</w:t>
            </w:r>
            <w:r w:rsidRPr="001F224B">
              <w:rPr>
                <w:rFonts w:ascii="Times New Roman" w:hAnsi="Times New Roman"/>
                <w:b w:val="0"/>
                <w:sz w:val="20"/>
                <w:szCs w:val="20"/>
              </w:rPr>
              <w:t>103</w:t>
            </w:r>
          </w:p>
        </w:tc>
      </w:tr>
      <w:tr w:rsidR="00CE29A2" w:rsidRPr="001F224B" w14:paraId="77DD4B10" w14:textId="77777777" w:rsidTr="00091F5D">
        <w:tc>
          <w:tcPr>
            <w:tcW w:w="912" w:type="dxa"/>
            <w:gridSpan w:val="2"/>
          </w:tcPr>
          <w:p w14:paraId="09034400" w14:textId="2BAD38D0" w:rsidR="00CE29A2" w:rsidRPr="001F224B" w:rsidRDefault="00CE29A2" w:rsidP="00CE29A2">
            <w:pPr>
              <w:pStyle w:val="Title"/>
              <w:ind w:right="-137"/>
              <w:jc w:val="left"/>
              <w:rPr>
                <w:rFonts w:ascii="Times New Roman" w:hAnsi="Times New Roman"/>
                <w:sz w:val="20"/>
                <w:szCs w:val="20"/>
              </w:rPr>
            </w:pPr>
            <w:r w:rsidRPr="001F224B">
              <w:rPr>
                <w:rFonts w:ascii="Times New Roman" w:hAnsi="Times New Roman"/>
                <w:sz w:val="20"/>
                <w:szCs w:val="20"/>
              </w:rPr>
              <w:t>VI.</w:t>
            </w:r>
          </w:p>
        </w:tc>
        <w:tc>
          <w:tcPr>
            <w:tcW w:w="7799" w:type="dxa"/>
            <w:vAlign w:val="bottom"/>
          </w:tcPr>
          <w:p w14:paraId="5D546108" w14:textId="2F6947C0" w:rsidR="00CE29A2" w:rsidRPr="001F224B" w:rsidRDefault="00CE29A2" w:rsidP="00CE29A2">
            <w:pPr>
              <w:rPr>
                <w:sz w:val="20"/>
                <w:szCs w:val="20"/>
              </w:rPr>
            </w:pPr>
            <w:r w:rsidRPr="001F224B">
              <w:rPr>
                <w:sz w:val="20"/>
                <w:szCs w:val="20"/>
              </w:rPr>
              <w:t>Sermaye ve ortaklık yapısı</w:t>
            </w:r>
          </w:p>
        </w:tc>
        <w:tc>
          <w:tcPr>
            <w:tcW w:w="1075" w:type="dxa"/>
            <w:gridSpan w:val="3"/>
          </w:tcPr>
          <w:p w14:paraId="091B501E" w14:textId="5016DD55" w:rsidR="00CE29A2" w:rsidRPr="001F224B" w:rsidRDefault="00C57879" w:rsidP="00CE29A2">
            <w:pPr>
              <w:pStyle w:val="Title"/>
              <w:jc w:val="right"/>
              <w:rPr>
                <w:rFonts w:ascii="Times New Roman" w:hAnsi="Times New Roman"/>
                <w:b w:val="0"/>
                <w:sz w:val="20"/>
                <w:szCs w:val="20"/>
              </w:rPr>
            </w:pPr>
            <w:r w:rsidRPr="001F224B">
              <w:rPr>
                <w:rFonts w:ascii="Times New Roman" w:hAnsi="Times New Roman"/>
                <w:b w:val="0"/>
                <w:sz w:val="20"/>
                <w:szCs w:val="20"/>
              </w:rPr>
              <w:t>103</w:t>
            </w:r>
          </w:p>
        </w:tc>
      </w:tr>
      <w:tr w:rsidR="00CE29A2" w:rsidRPr="001F224B" w14:paraId="0C74D843" w14:textId="77777777" w:rsidTr="00091F5D">
        <w:tc>
          <w:tcPr>
            <w:tcW w:w="912" w:type="dxa"/>
            <w:gridSpan w:val="2"/>
          </w:tcPr>
          <w:p w14:paraId="137CB5A8" w14:textId="74F24F76" w:rsidR="00CE29A2" w:rsidRPr="001F224B" w:rsidRDefault="00CE29A2" w:rsidP="00CE29A2">
            <w:pPr>
              <w:pStyle w:val="Title"/>
              <w:ind w:right="-137"/>
              <w:jc w:val="left"/>
              <w:rPr>
                <w:rFonts w:ascii="Times New Roman" w:hAnsi="Times New Roman"/>
                <w:sz w:val="20"/>
                <w:szCs w:val="20"/>
              </w:rPr>
            </w:pPr>
            <w:r w:rsidRPr="001F224B">
              <w:rPr>
                <w:rFonts w:ascii="Times New Roman" w:hAnsi="Times New Roman"/>
                <w:sz w:val="20"/>
                <w:szCs w:val="20"/>
              </w:rPr>
              <w:t>VII.</w:t>
            </w:r>
          </w:p>
        </w:tc>
        <w:tc>
          <w:tcPr>
            <w:tcW w:w="7799" w:type="dxa"/>
            <w:vAlign w:val="bottom"/>
          </w:tcPr>
          <w:p w14:paraId="3251A568" w14:textId="2083EFA3" w:rsidR="00CE29A2" w:rsidRPr="001F224B" w:rsidRDefault="00CE29A2" w:rsidP="00CE29A2">
            <w:pPr>
              <w:rPr>
                <w:sz w:val="20"/>
                <w:szCs w:val="20"/>
              </w:rPr>
            </w:pPr>
            <w:r w:rsidRPr="001F224B">
              <w:rPr>
                <w:sz w:val="20"/>
                <w:szCs w:val="20"/>
              </w:rPr>
              <w:t>Banka’nın 2025 yılı I</w:t>
            </w:r>
            <w:r w:rsidR="001909BA" w:rsidRPr="001F224B">
              <w:rPr>
                <w:sz w:val="20"/>
                <w:szCs w:val="20"/>
              </w:rPr>
              <w:t>I</w:t>
            </w:r>
            <w:r w:rsidRPr="001F224B">
              <w:rPr>
                <w:sz w:val="20"/>
                <w:szCs w:val="20"/>
              </w:rPr>
              <w:t>. dönem faaliyetleri</w:t>
            </w:r>
          </w:p>
        </w:tc>
        <w:tc>
          <w:tcPr>
            <w:tcW w:w="1075" w:type="dxa"/>
            <w:gridSpan w:val="3"/>
          </w:tcPr>
          <w:p w14:paraId="0143432D" w14:textId="23787428" w:rsidR="00CE29A2" w:rsidRPr="001F224B" w:rsidRDefault="00C57879" w:rsidP="00CE29A2">
            <w:pPr>
              <w:pStyle w:val="Title"/>
              <w:jc w:val="right"/>
              <w:rPr>
                <w:rFonts w:ascii="Times New Roman" w:hAnsi="Times New Roman"/>
                <w:b w:val="0"/>
                <w:sz w:val="20"/>
                <w:szCs w:val="20"/>
              </w:rPr>
            </w:pPr>
            <w:r w:rsidRPr="001F224B">
              <w:rPr>
                <w:rFonts w:ascii="Times New Roman" w:hAnsi="Times New Roman"/>
                <w:b w:val="0"/>
                <w:sz w:val="20"/>
                <w:szCs w:val="20"/>
              </w:rPr>
              <w:t>103</w:t>
            </w:r>
            <w:r w:rsidR="00CE29A2" w:rsidRPr="001F224B">
              <w:rPr>
                <w:rFonts w:ascii="Times New Roman" w:hAnsi="Times New Roman"/>
                <w:b w:val="0"/>
                <w:sz w:val="20"/>
                <w:szCs w:val="20"/>
              </w:rPr>
              <w:t>-</w:t>
            </w:r>
            <w:r w:rsidRPr="001F224B">
              <w:rPr>
                <w:rFonts w:ascii="Times New Roman" w:hAnsi="Times New Roman"/>
                <w:b w:val="0"/>
                <w:sz w:val="20"/>
                <w:szCs w:val="20"/>
              </w:rPr>
              <w:t>106</w:t>
            </w:r>
          </w:p>
        </w:tc>
      </w:tr>
      <w:tr w:rsidR="00CE29A2" w:rsidRPr="001F224B" w14:paraId="6C50C1C7" w14:textId="77777777" w:rsidTr="00091F5D">
        <w:tc>
          <w:tcPr>
            <w:tcW w:w="912" w:type="dxa"/>
            <w:gridSpan w:val="2"/>
          </w:tcPr>
          <w:p w14:paraId="192879B6" w14:textId="7AA50DAD" w:rsidR="00CE29A2" w:rsidRPr="001F224B" w:rsidRDefault="00CE29A2" w:rsidP="00CE29A2">
            <w:pPr>
              <w:pStyle w:val="Title"/>
              <w:ind w:right="-137"/>
              <w:jc w:val="left"/>
              <w:rPr>
                <w:rFonts w:ascii="Times New Roman" w:hAnsi="Times New Roman"/>
                <w:sz w:val="20"/>
                <w:szCs w:val="20"/>
              </w:rPr>
            </w:pPr>
            <w:r w:rsidRPr="001F224B">
              <w:rPr>
                <w:rFonts w:ascii="Times New Roman" w:hAnsi="Times New Roman"/>
                <w:sz w:val="20"/>
                <w:szCs w:val="20"/>
              </w:rPr>
              <w:t>VIII.</w:t>
            </w:r>
          </w:p>
        </w:tc>
        <w:tc>
          <w:tcPr>
            <w:tcW w:w="7799" w:type="dxa"/>
            <w:vAlign w:val="bottom"/>
          </w:tcPr>
          <w:p w14:paraId="40D1EEE5" w14:textId="04E61475" w:rsidR="00CE29A2" w:rsidRPr="001F224B" w:rsidRDefault="00CE29A2" w:rsidP="00CE29A2">
            <w:pPr>
              <w:rPr>
                <w:sz w:val="20"/>
                <w:szCs w:val="20"/>
              </w:rPr>
            </w:pPr>
            <w:r w:rsidRPr="001F224B">
              <w:rPr>
                <w:sz w:val="20"/>
                <w:szCs w:val="20"/>
              </w:rPr>
              <w:t xml:space="preserve">Kurumsal </w:t>
            </w:r>
            <w:r w:rsidR="00AF5402" w:rsidRPr="001F224B">
              <w:rPr>
                <w:sz w:val="20"/>
                <w:szCs w:val="20"/>
              </w:rPr>
              <w:t>y</w:t>
            </w:r>
            <w:r w:rsidRPr="001F224B">
              <w:rPr>
                <w:sz w:val="20"/>
                <w:szCs w:val="20"/>
              </w:rPr>
              <w:t xml:space="preserve">önetim </w:t>
            </w:r>
            <w:r w:rsidR="00AF5402" w:rsidRPr="001F224B">
              <w:rPr>
                <w:sz w:val="20"/>
                <w:szCs w:val="20"/>
              </w:rPr>
              <w:t>i</w:t>
            </w:r>
            <w:r w:rsidRPr="001F224B">
              <w:rPr>
                <w:sz w:val="20"/>
                <w:szCs w:val="20"/>
              </w:rPr>
              <w:t xml:space="preserve">lkeleri </w:t>
            </w:r>
            <w:r w:rsidR="00AF5402" w:rsidRPr="001F224B">
              <w:rPr>
                <w:sz w:val="20"/>
                <w:szCs w:val="20"/>
              </w:rPr>
              <w:t>u</w:t>
            </w:r>
            <w:r w:rsidRPr="001F224B">
              <w:rPr>
                <w:sz w:val="20"/>
                <w:szCs w:val="20"/>
              </w:rPr>
              <w:t xml:space="preserve">yum </w:t>
            </w:r>
            <w:r w:rsidR="00AF5402" w:rsidRPr="001F224B">
              <w:rPr>
                <w:sz w:val="20"/>
                <w:szCs w:val="20"/>
              </w:rPr>
              <w:t>r</w:t>
            </w:r>
            <w:r w:rsidRPr="001F224B">
              <w:rPr>
                <w:sz w:val="20"/>
                <w:szCs w:val="20"/>
              </w:rPr>
              <w:t>aporu</w:t>
            </w:r>
          </w:p>
        </w:tc>
        <w:tc>
          <w:tcPr>
            <w:tcW w:w="1075" w:type="dxa"/>
            <w:gridSpan w:val="3"/>
          </w:tcPr>
          <w:p w14:paraId="50C68E5F" w14:textId="6F63E065" w:rsidR="00CE29A2" w:rsidRPr="001F224B" w:rsidRDefault="00C57879" w:rsidP="00C57879">
            <w:pPr>
              <w:pStyle w:val="Title"/>
              <w:ind w:right="-247"/>
              <w:jc w:val="left"/>
              <w:rPr>
                <w:rFonts w:ascii="Times New Roman" w:hAnsi="Times New Roman"/>
                <w:b w:val="0"/>
                <w:sz w:val="20"/>
                <w:szCs w:val="20"/>
              </w:rPr>
            </w:pPr>
            <w:r w:rsidRPr="001F224B">
              <w:rPr>
                <w:rFonts w:ascii="Times New Roman" w:hAnsi="Times New Roman"/>
                <w:b w:val="0"/>
                <w:sz w:val="20"/>
                <w:szCs w:val="20"/>
              </w:rPr>
              <w:t xml:space="preserve">    106</w:t>
            </w:r>
            <w:r w:rsidR="00CE29A2" w:rsidRPr="001F224B">
              <w:rPr>
                <w:rFonts w:ascii="Times New Roman" w:hAnsi="Times New Roman"/>
                <w:b w:val="0"/>
                <w:sz w:val="20"/>
                <w:szCs w:val="20"/>
              </w:rPr>
              <w:t>-</w:t>
            </w:r>
            <w:r w:rsidRPr="001F224B">
              <w:rPr>
                <w:rFonts w:ascii="Times New Roman" w:hAnsi="Times New Roman"/>
                <w:b w:val="0"/>
                <w:sz w:val="20"/>
                <w:szCs w:val="20"/>
              </w:rPr>
              <w:t>107</w:t>
            </w:r>
          </w:p>
        </w:tc>
      </w:tr>
    </w:tbl>
    <w:p w14:paraId="7EF40873" w14:textId="7B6BECF1" w:rsidR="004F3D00" w:rsidRPr="001F224B" w:rsidRDefault="004F3D00" w:rsidP="004F3D00">
      <w:pPr>
        <w:tabs>
          <w:tab w:val="left" w:pos="567"/>
        </w:tabs>
        <w:rPr>
          <w:sz w:val="20"/>
          <w:szCs w:val="20"/>
        </w:rPr>
        <w:sectPr w:rsidR="004F3D00" w:rsidRPr="001F224B" w:rsidSect="006D5D87">
          <w:headerReference w:type="default" r:id="rId65"/>
          <w:footerReference w:type="default" r:id="rId66"/>
          <w:headerReference w:type="first" r:id="rId67"/>
          <w:footerReference w:type="first" r:id="rId68"/>
          <w:pgSz w:w="11907" w:h="16840" w:code="9"/>
          <w:pgMar w:top="539" w:right="964" w:bottom="567" w:left="1134" w:header="680" w:footer="680" w:gutter="0"/>
          <w:pgNumType w:start="1"/>
          <w:cols w:space="708"/>
          <w:titlePg/>
          <w:docGrid w:linePitch="326"/>
        </w:sectPr>
      </w:pPr>
      <w:r w:rsidRPr="001F224B">
        <w:rPr>
          <w:b/>
          <w:bCs/>
          <w:sz w:val="20"/>
          <w:szCs w:val="20"/>
        </w:rPr>
        <w:t xml:space="preserve"> </w:t>
      </w:r>
    </w:p>
    <w:p w14:paraId="5863521C" w14:textId="77777777" w:rsidR="00267DF1" w:rsidRPr="001F224B" w:rsidRDefault="00791788" w:rsidP="0070039B">
      <w:pPr>
        <w:tabs>
          <w:tab w:val="left" w:pos="567"/>
        </w:tabs>
        <w:spacing w:afterLines="60" w:after="144"/>
        <w:rPr>
          <w:b/>
          <w:bCs/>
          <w:sz w:val="22"/>
          <w:szCs w:val="22"/>
        </w:rPr>
      </w:pPr>
      <w:r w:rsidRPr="001F224B">
        <w:rPr>
          <w:b/>
          <w:bCs/>
          <w:sz w:val="22"/>
          <w:szCs w:val="22"/>
        </w:rPr>
        <w:t>BİR</w:t>
      </w:r>
      <w:r w:rsidR="00267DF1" w:rsidRPr="001F224B">
        <w:rPr>
          <w:b/>
          <w:bCs/>
          <w:sz w:val="22"/>
          <w:szCs w:val="22"/>
        </w:rPr>
        <w:t>İNCİ BÖLÜM</w:t>
      </w:r>
    </w:p>
    <w:p w14:paraId="7551E4D8" w14:textId="77777777" w:rsidR="00267DF1" w:rsidRPr="001F224B" w:rsidRDefault="00267DF1" w:rsidP="0070039B">
      <w:pPr>
        <w:spacing w:afterLines="60" w:after="144"/>
        <w:rPr>
          <w:b/>
          <w:bCs/>
          <w:sz w:val="22"/>
          <w:szCs w:val="22"/>
        </w:rPr>
      </w:pPr>
      <w:r w:rsidRPr="001F224B">
        <w:rPr>
          <w:b/>
          <w:bCs/>
          <w:sz w:val="22"/>
          <w:szCs w:val="22"/>
        </w:rPr>
        <w:t>GENEL BİLGİLER</w:t>
      </w:r>
    </w:p>
    <w:p w14:paraId="61C52927" w14:textId="347E9863" w:rsidR="00267DF1" w:rsidRPr="001F224B" w:rsidRDefault="00075416" w:rsidP="00DE7F91">
      <w:pPr>
        <w:pStyle w:val="ListParagraph"/>
        <w:numPr>
          <w:ilvl w:val="0"/>
          <w:numId w:val="14"/>
        </w:numPr>
        <w:tabs>
          <w:tab w:val="left" w:pos="567"/>
        </w:tabs>
        <w:ind w:left="567"/>
        <w:jc w:val="both"/>
        <w:rPr>
          <w:b/>
          <w:bCs/>
          <w:sz w:val="22"/>
          <w:szCs w:val="22"/>
        </w:rPr>
      </w:pPr>
      <w:r w:rsidRPr="001F224B">
        <w:rPr>
          <w:b/>
          <w:bCs/>
          <w:sz w:val="22"/>
          <w:szCs w:val="22"/>
        </w:rPr>
        <w:t xml:space="preserve">Ana Ortaklık </w:t>
      </w:r>
      <w:r w:rsidR="00267DF1" w:rsidRPr="001F224B">
        <w:rPr>
          <w:b/>
          <w:bCs/>
          <w:sz w:val="22"/>
          <w:szCs w:val="22"/>
        </w:rPr>
        <w:t>Banka</w:t>
      </w:r>
      <w:r w:rsidR="001A0C54" w:rsidRPr="001F224B">
        <w:rPr>
          <w:b/>
          <w:bCs/>
          <w:sz w:val="22"/>
          <w:szCs w:val="22"/>
        </w:rPr>
        <w:t>’</w:t>
      </w:r>
      <w:r w:rsidR="00267DF1" w:rsidRPr="001F224B">
        <w:rPr>
          <w:b/>
          <w:bCs/>
          <w:sz w:val="22"/>
          <w:szCs w:val="22"/>
        </w:rPr>
        <w:t>nın kuruluş tarihi, başlangıç statüsü, anılan statüde meydana gelen değişiklikleri ihtiva eden tarihçesi</w:t>
      </w:r>
    </w:p>
    <w:p w14:paraId="63C8B294" w14:textId="77777777" w:rsidR="00267DF1" w:rsidRPr="001F224B" w:rsidRDefault="00955DEE" w:rsidP="005514FC">
      <w:pPr>
        <w:spacing w:before="120"/>
        <w:ind w:left="567"/>
        <w:jc w:val="both"/>
        <w:rPr>
          <w:sz w:val="22"/>
          <w:szCs w:val="22"/>
        </w:rPr>
      </w:pPr>
      <w:r w:rsidRPr="001F224B">
        <w:rPr>
          <w:sz w:val="22"/>
          <w:szCs w:val="22"/>
        </w:rPr>
        <w:t xml:space="preserve">Ana Ortaklık </w:t>
      </w:r>
      <w:r w:rsidR="00267DF1" w:rsidRPr="001F224B">
        <w:rPr>
          <w:sz w:val="22"/>
          <w:szCs w:val="22"/>
        </w:rPr>
        <w:t>Banka, 27 Kasım 1975 tarihinde 13 Sayılı Kanun Hükmünde Kararname gereğince Sanayi ve Teknoloji Bakanlığı’nın ilgili kuruluşu olarak “Devlet Sanayi ve İşçi Yatırım Bankası A.Ş.” unvanı ile kurulmuştur. Banka</w:t>
      </w:r>
      <w:r w:rsidR="001A0C54" w:rsidRPr="001F224B">
        <w:rPr>
          <w:sz w:val="22"/>
          <w:szCs w:val="22"/>
        </w:rPr>
        <w:t>’</w:t>
      </w:r>
      <w:r w:rsidR="00267DF1" w:rsidRPr="001F224B">
        <w:rPr>
          <w:sz w:val="22"/>
          <w:szCs w:val="22"/>
        </w:rPr>
        <w:t>nın statüsünde 14</w:t>
      </w:r>
      <w:r w:rsidR="004E3A0A" w:rsidRPr="001F224B">
        <w:rPr>
          <w:sz w:val="22"/>
          <w:szCs w:val="22"/>
        </w:rPr>
        <w:t xml:space="preserve"> Kasım </w:t>
      </w:r>
      <w:r w:rsidR="00267DF1" w:rsidRPr="001F224B">
        <w:rPr>
          <w:sz w:val="22"/>
          <w:szCs w:val="22"/>
        </w:rPr>
        <w:t xml:space="preserve">1983 tarihli ve 165 Sayılı Kanun Hükmünde Kararname ile bazı tadilatlar yapılmıştır. </w:t>
      </w:r>
    </w:p>
    <w:p w14:paraId="2577C9CF" w14:textId="7C2713A0" w:rsidR="00267DF1" w:rsidRPr="001F224B" w:rsidRDefault="00267DF1" w:rsidP="005514FC">
      <w:pPr>
        <w:tabs>
          <w:tab w:val="left" w:pos="2772"/>
        </w:tabs>
        <w:spacing w:before="120"/>
        <w:ind w:left="567"/>
        <w:jc w:val="both"/>
        <w:rPr>
          <w:sz w:val="22"/>
          <w:szCs w:val="22"/>
        </w:rPr>
      </w:pPr>
      <w:r w:rsidRPr="001F224B">
        <w:rPr>
          <w:sz w:val="22"/>
          <w:szCs w:val="22"/>
        </w:rPr>
        <w:t xml:space="preserve">15 Temmuz 1988 tarihinde 329 Sayılı Kanun Hükmünde Kararname çerçevesinde hizmet yelpazesindeki gelişmelere paralel olarak </w:t>
      </w:r>
      <w:r w:rsidR="00BC7C4B" w:rsidRPr="001F224B">
        <w:rPr>
          <w:sz w:val="22"/>
          <w:szCs w:val="22"/>
        </w:rPr>
        <w:t xml:space="preserve">T.C. </w:t>
      </w:r>
      <w:r w:rsidRPr="001F224B">
        <w:rPr>
          <w:sz w:val="22"/>
          <w:szCs w:val="22"/>
        </w:rPr>
        <w:t>Başbakanlık ile ilişkilendirilerek, unvanı Türkiye Kalkınma Bankası A.Ş. olarak değiştirilmiştir. 20 Ocak 1989 tarihli ve 89/T-2 sayılı Yüksek Planlama Kurulu Kararı ile T.C. Turizm Bankası A.Ş.’</w:t>
      </w:r>
      <w:r w:rsidR="00BA2DDE" w:rsidRPr="001F224B">
        <w:rPr>
          <w:sz w:val="22"/>
          <w:szCs w:val="22"/>
        </w:rPr>
        <w:t>y</w:t>
      </w:r>
      <w:r w:rsidRPr="001F224B">
        <w:rPr>
          <w:sz w:val="22"/>
          <w:szCs w:val="22"/>
        </w:rPr>
        <w:t>i tüm aktif ve pasifleriyle birlikte bünyesine alarak, sanayi sektörü yanında, turizm sektöründeki yatırımlara da finansman desteği sağlayan bir kalkınma ve yatır</w:t>
      </w:r>
      <w:r w:rsidR="004E3A0A" w:rsidRPr="001F224B">
        <w:rPr>
          <w:sz w:val="22"/>
          <w:szCs w:val="22"/>
        </w:rPr>
        <w:t xml:space="preserve">ım bankası haline gelmiştir. 12 Şubat </w:t>
      </w:r>
      <w:r w:rsidRPr="001F224B">
        <w:rPr>
          <w:sz w:val="22"/>
          <w:szCs w:val="22"/>
        </w:rPr>
        <w:t>1990 tarihli ve 401 sayılı Kanun Hükmünde Kararname ile de Banka statüsünün bazı maddeleri değiştirilmiştir.</w:t>
      </w:r>
    </w:p>
    <w:p w14:paraId="7F85CF34" w14:textId="77777777" w:rsidR="00396776" w:rsidRPr="001F224B" w:rsidRDefault="00267DF1" w:rsidP="005514FC">
      <w:pPr>
        <w:spacing w:before="120"/>
        <w:ind w:left="567"/>
        <w:jc w:val="both"/>
        <w:rPr>
          <w:sz w:val="22"/>
          <w:szCs w:val="22"/>
        </w:rPr>
      </w:pPr>
      <w:r w:rsidRPr="001F224B">
        <w:rPr>
          <w:sz w:val="22"/>
          <w:szCs w:val="22"/>
        </w:rPr>
        <w:t>14</w:t>
      </w:r>
      <w:r w:rsidR="004E3A0A" w:rsidRPr="001F224B">
        <w:rPr>
          <w:sz w:val="22"/>
          <w:szCs w:val="22"/>
        </w:rPr>
        <w:t xml:space="preserve"> Ekim </w:t>
      </w:r>
      <w:r w:rsidRPr="001F224B">
        <w:rPr>
          <w:sz w:val="22"/>
          <w:szCs w:val="22"/>
        </w:rPr>
        <w:t xml:space="preserve">1999 tarihli ve 4456 sayılı Kanunla, 13, 165, 329 ve 401 sayılı Kanun Hükmünde Kararnameler yürürlükten kaldırılarak, </w:t>
      </w:r>
      <w:r w:rsidR="00E936B0" w:rsidRPr="001F224B">
        <w:rPr>
          <w:sz w:val="22"/>
          <w:szCs w:val="22"/>
        </w:rPr>
        <w:t xml:space="preserve">Ana Ortaklık </w:t>
      </w:r>
      <w:r w:rsidRPr="001F224B">
        <w:rPr>
          <w:sz w:val="22"/>
          <w:szCs w:val="22"/>
        </w:rPr>
        <w:t>Banka</w:t>
      </w:r>
      <w:r w:rsidR="001A0C54" w:rsidRPr="001F224B">
        <w:rPr>
          <w:sz w:val="22"/>
          <w:szCs w:val="22"/>
        </w:rPr>
        <w:t>’</w:t>
      </w:r>
      <w:r w:rsidRPr="001F224B">
        <w:rPr>
          <w:sz w:val="22"/>
          <w:szCs w:val="22"/>
        </w:rPr>
        <w:t xml:space="preserve">nın kuruluş ve faaliyet esasları yeniden düzenlenmiştir. </w:t>
      </w:r>
    </w:p>
    <w:p w14:paraId="4B6B0942" w14:textId="77777777" w:rsidR="00267DF1" w:rsidRPr="001F224B" w:rsidRDefault="00396776" w:rsidP="005514FC">
      <w:pPr>
        <w:spacing w:before="120"/>
        <w:ind w:left="567"/>
        <w:jc w:val="both"/>
        <w:rPr>
          <w:sz w:val="22"/>
          <w:szCs w:val="22"/>
        </w:rPr>
      </w:pPr>
      <w:r w:rsidRPr="001F224B">
        <w:rPr>
          <w:sz w:val="22"/>
          <w:szCs w:val="22"/>
        </w:rPr>
        <w:t xml:space="preserve">24 </w:t>
      </w:r>
      <w:r w:rsidR="00206EED" w:rsidRPr="001F224B">
        <w:rPr>
          <w:sz w:val="22"/>
          <w:szCs w:val="22"/>
        </w:rPr>
        <w:t>Ekim</w:t>
      </w:r>
      <w:r w:rsidRPr="001F224B">
        <w:rPr>
          <w:sz w:val="22"/>
          <w:szCs w:val="22"/>
        </w:rPr>
        <w:t xml:space="preserve"> 2018 tarih ve 7147 Sayılı Türkiye Kalkınma ve Yatırım Bankası A.Ş. Hakkında Kanun yürürlüğe girerek 14 Ekim 1999 tarih ve 4456 sayılı Kanun yürürlükten kaldırılmıştır. </w:t>
      </w:r>
      <w:r w:rsidR="00F953A4" w:rsidRPr="001F224B">
        <w:rPr>
          <w:sz w:val="22"/>
          <w:szCs w:val="22"/>
        </w:rPr>
        <w:t>7147 Sayılı</w:t>
      </w:r>
      <w:r w:rsidRPr="001F224B">
        <w:rPr>
          <w:sz w:val="22"/>
          <w:szCs w:val="22"/>
        </w:rPr>
        <w:t xml:space="preserve"> Kanun ile </w:t>
      </w:r>
      <w:r w:rsidR="00E936B0" w:rsidRPr="001F224B">
        <w:rPr>
          <w:sz w:val="22"/>
          <w:szCs w:val="22"/>
        </w:rPr>
        <w:t xml:space="preserve">Ana Ortaklık </w:t>
      </w:r>
      <w:r w:rsidRPr="001F224B">
        <w:rPr>
          <w:sz w:val="22"/>
          <w:szCs w:val="22"/>
        </w:rPr>
        <w:t>Banka</w:t>
      </w:r>
      <w:r w:rsidR="002C10B1" w:rsidRPr="001F224B">
        <w:rPr>
          <w:sz w:val="22"/>
          <w:szCs w:val="22"/>
        </w:rPr>
        <w:t>’</w:t>
      </w:r>
      <w:r w:rsidRPr="001F224B">
        <w:rPr>
          <w:sz w:val="22"/>
          <w:szCs w:val="22"/>
        </w:rPr>
        <w:t>nın ismi Türkiye Kalkınma ve Yatırım Bankası A.Ş</w:t>
      </w:r>
      <w:r w:rsidR="004068EA" w:rsidRPr="001F224B">
        <w:rPr>
          <w:sz w:val="22"/>
          <w:szCs w:val="22"/>
        </w:rPr>
        <w:t>.</w:t>
      </w:r>
      <w:r w:rsidRPr="001F224B">
        <w:rPr>
          <w:sz w:val="22"/>
          <w:szCs w:val="22"/>
        </w:rPr>
        <w:t xml:space="preserve"> olarak değiştirilmiştir.</w:t>
      </w:r>
    </w:p>
    <w:p w14:paraId="644EFD1F" w14:textId="69C13797" w:rsidR="00267DF1" w:rsidRPr="001F224B" w:rsidRDefault="00955DEE" w:rsidP="00DE7F91">
      <w:pPr>
        <w:numPr>
          <w:ilvl w:val="0"/>
          <w:numId w:val="14"/>
        </w:numPr>
        <w:spacing w:before="120"/>
        <w:ind w:left="567" w:hanging="283"/>
        <w:jc w:val="both"/>
        <w:rPr>
          <w:b/>
          <w:bCs/>
          <w:sz w:val="22"/>
          <w:szCs w:val="22"/>
        </w:rPr>
      </w:pPr>
      <w:r w:rsidRPr="001F224B">
        <w:rPr>
          <w:b/>
          <w:bCs/>
          <w:sz w:val="22"/>
          <w:szCs w:val="22"/>
        </w:rPr>
        <w:t xml:space="preserve">Ana Ortaklık </w:t>
      </w:r>
      <w:r w:rsidR="00267DF1" w:rsidRPr="001F224B">
        <w:rPr>
          <w:b/>
          <w:bCs/>
          <w:sz w:val="22"/>
          <w:szCs w:val="22"/>
        </w:rPr>
        <w:t>Banka</w:t>
      </w:r>
      <w:r w:rsidR="001A0C54" w:rsidRPr="001F224B">
        <w:rPr>
          <w:b/>
          <w:bCs/>
          <w:sz w:val="22"/>
          <w:szCs w:val="22"/>
        </w:rPr>
        <w:t>’</w:t>
      </w:r>
      <w:r w:rsidR="00267DF1" w:rsidRPr="001F224B">
        <w:rPr>
          <w:b/>
          <w:bCs/>
          <w:sz w:val="22"/>
          <w:szCs w:val="22"/>
        </w:rPr>
        <w:t>nın sermaye yapısı, yönetim ve denetimini doğrudan veya dolaylı olarak tek başına veya birlikte elinde bulunduran ortakları, varsa bu hususlarda yıl içindeki değişiklikler ile dahil olduğu gruba ilişkin açıklama</w:t>
      </w:r>
    </w:p>
    <w:p w14:paraId="5B40A5C4" w14:textId="41B33C46" w:rsidR="004D73A5" w:rsidRPr="001F224B" w:rsidRDefault="004D73A5" w:rsidP="004D73A5">
      <w:pPr>
        <w:pStyle w:val="ListParagraph"/>
        <w:spacing w:before="120" w:after="120"/>
        <w:ind w:left="567"/>
        <w:jc w:val="both"/>
        <w:rPr>
          <w:sz w:val="22"/>
          <w:szCs w:val="22"/>
        </w:rPr>
      </w:pPr>
      <w:r w:rsidRPr="001F224B">
        <w:rPr>
          <w:sz w:val="22"/>
          <w:szCs w:val="22"/>
        </w:rPr>
        <w:t xml:space="preserve">Kayıtlı sermaye sistemine tabi olan </w:t>
      </w:r>
      <w:r w:rsidR="00664B3C" w:rsidRPr="001F224B">
        <w:rPr>
          <w:sz w:val="22"/>
          <w:szCs w:val="22"/>
        </w:rPr>
        <w:t xml:space="preserve">Ana Ortaklık </w:t>
      </w:r>
      <w:r w:rsidRPr="001F224B">
        <w:rPr>
          <w:sz w:val="22"/>
          <w:szCs w:val="22"/>
        </w:rPr>
        <w:t xml:space="preserve">Banka’nın kayıtlı sermaye tavanı 10.000.000 TL’dir. </w:t>
      </w:r>
      <w:r w:rsidR="00664B3C" w:rsidRPr="001F224B">
        <w:rPr>
          <w:sz w:val="22"/>
          <w:szCs w:val="22"/>
        </w:rPr>
        <w:t xml:space="preserve">Ana Ortaklık </w:t>
      </w:r>
      <w:r w:rsidRPr="001F224B">
        <w:rPr>
          <w:sz w:val="22"/>
          <w:szCs w:val="22"/>
        </w:rPr>
        <w:t xml:space="preserve">Banka’nın çıkarılmış sermayesi, tamamen ödenmiş 10.000.000 TL olup, her biri 0,01 TL itibari değerde nama yazılı 1 trilyon adet paya bölünmüştür. </w:t>
      </w:r>
      <w:r w:rsidR="00664B3C" w:rsidRPr="001F224B">
        <w:rPr>
          <w:sz w:val="22"/>
          <w:szCs w:val="22"/>
        </w:rPr>
        <w:t xml:space="preserve">Ana Ortaklık </w:t>
      </w:r>
      <w:r w:rsidRPr="001F224B">
        <w:rPr>
          <w:sz w:val="22"/>
          <w:szCs w:val="22"/>
        </w:rPr>
        <w:t>Banka’nın ortakları ve bu ortakların ödenmiş sermayedeki payları aşağıda gösterilmiştir:</w:t>
      </w:r>
    </w:p>
    <w:tbl>
      <w:tblPr>
        <w:tblW w:w="9214" w:type="dxa"/>
        <w:tblInd w:w="567" w:type="dxa"/>
        <w:tblLook w:val="04A0" w:firstRow="1" w:lastRow="0" w:firstColumn="1" w:lastColumn="0" w:noHBand="0" w:noVBand="1"/>
      </w:tblPr>
      <w:tblGrid>
        <w:gridCol w:w="2704"/>
        <w:gridCol w:w="1644"/>
        <w:gridCol w:w="1701"/>
        <w:gridCol w:w="1644"/>
        <w:gridCol w:w="1521"/>
      </w:tblGrid>
      <w:tr w:rsidR="009F1E84" w:rsidRPr="001F224B" w14:paraId="50A463C8" w14:textId="77777777" w:rsidTr="00B00C5C">
        <w:tc>
          <w:tcPr>
            <w:tcW w:w="2704" w:type="dxa"/>
            <w:tcBorders>
              <w:bottom w:val="single" w:sz="4" w:space="0" w:color="auto"/>
            </w:tcBorders>
            <w:vAlign w:val="bottom"/>
          </w:tcPr>
          <w:p w14:paraId="3D88DC43" w14:textId="77777777" w:rsidR="009F1E84" w:rsidRPr="001F224B" w:rsidRDefault="009F1E84" w:rsidP="00B00C5C">
            <w:pPr>
              <w:rPr>
                <w:b/>
                <w:bCs/>
                <w:sz w:val="22"/>
                <w:szCs w:val="22"/>
              </w:rPr>
            </w:pPr>
            <w:r w:rsidRPr="001F224B">
              <w:rPr>
                <w:b/>
                <w:bCs/>
                <w:sz w:val="22"/>
                <w:szCs w:val="22"/>
              </w:rPr>
              <w:t>Ortaklar</w:t>
            </w:r>
          </w:p>
        </w:tc>
        <w:tc>
          <w:tcPr>
            <w:tcW w:w="1644" w:type="dxa"/>
            <w:tcBorders>
              <w:bottom w:val="single" w:sz="4" w:space="0" w:color="auto"/>
            </w:tcBorders>
            <w:vAlign w:val="bottom"/>
          </w:tcPr>
          <w:p w14:paraId="4676C8C3" w14:textId="77777777" w:rsidR="009F1E84" w:rsidRPr="001F224B" w:rsidRDefault="009F1E84" w:rsidP="00B00C5C">
            <w:pPr>
              <w:jc w:val="right"/>
              <w:rPr>
                <w:b/>
                <w:bCs/>
                <w:sz w:val="22"/>
                <w:szCs w:val="22"/>
              </w:rPr>
            </w:pPr>
            <w:r w:rsidRPr="001F224B">
              <w:rPr>
                <w:b/>
                <w:bCs/>
                <w:sz w:val="22"/>
                <w:szCs w:val="22"/>
              </w:rPr>
              <w:t xml:space="preserve">Sermaye </w:t>
            </w:r>
          </w:p>
          <w:p w14:paraId="5600B32F" w14:textId="77777777" w:rsidR="009F1E84" w:rsidRPr="001F224B" w:rsidRDefault="009F1E84" w:rsidP="00B00C5C">
            <w:pPr>
              <w:jc w:val="right"/>
              <w:rPr>
                <w:b/>
                <w:bCs/>
                <w:sz w:val="22"/>
                <w:szCs w:val="22"/>
              </w:rPr>
            </w:pPr>
            <w:r w:rsidRPr="001F224B">
              <w:rPr>
                <w:b/>
                <w:bCs/>
                <w:sz w:val="22"/>
                <w:szCs w:val="22"/>
              </w:rPr>
              <w:t xml:space="preserve">Payı </w:t>
            </w:r>
          </w:p>
          <w:p w14:paraId="73E703D0" w14:textId="77777777" w:rsidR="009F1E84" w:rsidRPr="001F224B" w:rsidRDefault="009F1E84" w:rsidP="00B00C5C">
            <w:pPr>
              <w:jc w:val="right"/>
              <w:rPr>
                <w:b/>
                <w:bCs/>
                <w:sz w:val="22"/>
                <w:szCs w:val="22"/>
              </w:rPr>
            </w:pPr>
            <w:r w:rsidRPr="001F224B">
              <w:rPr>
                <w:b/>
                <w:bCs/>
                <w:sz w:val="22"/>
                <w:szCs w:val="22"/>
              </w:rPr>
              <w:t>(Bin TL)</w:t>
            </w:r>
          </w:p>
        </w:tc>
        <w:tc>
          <w:tcPr>
            <w:tcW w:w="1701" w:type="dxa"/>
            <w:tcBorders>
              <w:bottom w:val="single" w:sz="4" w:space="0" w:color="auto"/>
            </w:tcBorders>
            <w:vAlign w:val="bottom"/>
          </w:tcPr>
          <w:p w14:paraId="008A386E" w14:textId="77777777" w:rsidR="009F1E84" w:rsidRPr="001F224B" w:rsidRDefault="009F1E84" w:rsidP="00B00C5C">
            <w:pPr>
              <w:jc w:val="right"/>
              <w:rPr>
                <w:b/>
                <w:bCs/>
                <w:sz w:val="22"/>
                <w:szCs w:val="22"/>
              </w:rPr>
            </w:pPr>
            <w:r w:rsidRPr="001F224B">
              <w:rPr>
                <w:b/>
                <w:bCs/>
                <w:sz w:val="22"/>
                <w:szCs w:val="22"/>
              </w:rPr>
              <w:t xml:space="preserve">Sermaye </w:t>
            </w:r>
          </w:p>
          <w:p w14:paraId="51A37CCC" w14:textId="77777777" w:rsidR="009F1E84" w:rsidRPr="001F224B" w:rsidRDefault="009F1E84" w:rsidP="00B00C5C">
            <w:pPr>
              <w:jc w:val="right"/>
              <w:rPr>
                <w:b/>
                <w:bCs/>
                <w:sz w:val="22"/>
                <w:szCs w:val="22"/>
              </w:rPr>
            </w:pPr>
            <w:r w:rsidRPr="001F224B">
              <w:rPr>
                <w:b/>
                <w:bCs/>
                <w:sz w:val="22"/>
                <w:szCs w:val="22"/>
              </w:rPr>
              <w:t>Oranı</w:t>
            </w:r>
          </w:p>
          <w:p w14:paraId="07F777BB" w14:textId="77777777" w:rsidR="009F1E84" w:rsidRPr="001F224B" w:rsidRDefault="009F1E84" w:rsidP="00B00C5C">
            <w:pPr>
              <w:jc w:val="right"/>
              <w:rPr>
                <w:b/>
                <w:bCs/>
                <w:sz w:val="22"/>
                <w:szCs w:val="22"/>
              </w:rPr>
            </w:pPr>
            <w:r w:rsidRPr="001F224B">
              <w:rPr>
                <w:b/>
                <w:bCs/>
                <w:sz w:val="22"/>
                <w:szCs w:val="22"/>
              </w:rPr>
              <w:t xml:space="preserve"> (%)</w:t>
            </w:r>
          </w:p>
        </w:tc>
        <w:tc>
          <w:tcPr>
            <w:tcW w:w="1644" w:type="dxa"/>
            <w:tcBorders>
              <w:bottom w:val="single" w:sz="4" w:space="0" w:color="auto"/>
            </w:tcBorders>
            <w:vAlign w:val="bottom"/>
          </w:tcPr>
          <w:p w14:paraId="3BB8E2CD" w14:textId="77777777" w:rsidR="009F1E84" w:rsidRPr="001F224B" w:rsidRDefault="009F1E84" w:rsidP="00B00C5C">
            <w:pPr>
              <w:jc w:val="right"/>
              <w:rPr>
                <w:b/>
                <w:bCs/>
                <w:sz w:val="22"/>
                <w:szCs w:val="22"/>
              </w:rPr>
            </w:pPr>
            <w:r w:rsidRPr="001F224B">
              <w:rPr>
                <w:b/>
                <w:bCs/>
                <w:sz w:val="22"/>
                <w:szCs w:val="22"/>
              </w:rPr>
              <w:t xml:space="preserve">Ödenmiş Sermaye </w:t>
            </w:r>
          </w:p>
          <w:p w14:paraId="3EE1B035" w14:textId="77777777" w:rsidR="009F1E84" w:rsidRPr="001F224B" w:rsidRDefault="009F1E84" w:rsidP="00B00C5C">
            <w:pPr>
              <w:jc w:val="right"/>
              <w:rPr>
                <w:b/>
                <w:bCs/>
                <w:sz w:val="22"/>
                <w:szCs w:val="22"/>
              </w:rPr>
            </w:pPr>
            <w:r w:rsidRPr="001F224B">
              <w:rPr>
                <w:b/>
                <w:bCs/>
                <w:sz w:val="22"/>
                <w:szCs w:val="22"/>
              </w:rPr>
              <w:t>(Bin TL)</w:t>
            </w:r>
          </w:p>
        </w:tc>
        <w:tc>
          <w:tcPr>
            <w:tcW w:w="1521" w:type="dxa"/>
            <w:tcBorders>
              <w:bottom w:val="single" w:sz="4" w:space="0" w:color="auto"/>
            </w:tcBorders>
            <w:vAlign w:val="bottom"/>
          </w:tcPr>
          <w:p w14:paraId="7331C402" w14:textId="77777777" w:rsidR="009F1E84" w:rsidRPr="001F224B" w:rsidRDefault="009F1E84" w:rsidP="00B00C5C">
            <w:pPr>
              <w:jc w:val="right"/>
              <w:rPr>
                <w:b/>
                <w:bCs/>
                <w:sz w:val="22"/>
                <w:szCs w:val="22"/>
              </w:rPr>
            </w:pPr>
            <w:r w:rsidRPr="001F224B">
              <w:rPr>
                <w:b/>
                <w:bCs/>
                <w:sz w:val="22"/>
                <w:szCs w:val="22"/>
              </w:rPr>
              <w:t xml:space="preserve">Ödenmemiş Sermaye </w:t>
            </w:r>
          </w:p>
          <w:p w14:paraId="57396A00" w14:textId="77777777" w:rsidR="009F1E84" w:rsidRPr="001F224B" w:rsidRDefault="009F1E84" w:rsidP="00B00C5C">
            <w:pPr>
              <w:jc w:val="right"/>
              <w:rPr>
                <w:b/>
                <w:bCs/>
                <w:sz w:val="22"/>
                <w:szCs w:val="22"/>
              </w:rPr>
            </w:pPr>
            <w:r w:rsidRPr="001F224B">
              <w:rPr>
                <w:b/>
                <w:bCs/>
                <w:sz w:val="22"/>
                <w:szCs w:val="22"/>
              </w:rPr>
              <w:t>(Bin TL)</w:t>
            </w:r>
          </w:p>
        </w:tc>
      </w:tr>
      <w:tr w:rsidR="00BB65EB" w:rsidRPr="001F224B" w14:paraId="17CC207D" w14:textId="77777777" w:rsidTr="00B00C5C">
        <w:tc>
          <w:tcPr>
            <w:tcW w:w="2704" w:type="dxa"/>
            <w:tcBorders>
              <w:top w:val="single" w:sz="4" w:space="0" w:color="auto"/>
            </w:tcBorders>
          </w:tcPr>
          <w:p w14:paraId="4D94CB11" w14:textId="77777777" w:rsidR="00BB65EB" w:rsidRPr="001F224B" w:rsidRDefault="00BB65EB" w:rsidP="00BB65EB">
            <w:pPr>
              <w:pStyle w:val="NoSpacing"/>
              <w:rPr>
                <w:b/>
                <w:bCs/>
                <w:sz w:val="22"/>
                <w:szCs w:val="22"/>
              </w:rPr>
            </w:pPr>
            <w:r w:rsidRPr="001F224B">
              <w:rPr>
                <w:sz w:val="22"/>
                <w:szCs w:val="22"/>
              </w:rPr>
              <w:t>T.C. Hazine ve Maliye Bakanlığı</w:t>
            </w:r>
          </w:p>
        </w:tc>
        <w:tc>
          <w:tcPr>
            <w:tcW w:w="1644" w:type="dxa"/>
            <w:tcBorders>
              <w:top w:val="single" w:sz="4" w:space="0" w:color="auto"/>
            </w:tcBorders>
            <w:vAlign w:val="bottom"/>
          </w:tcPr>
          <w:p w14:paraId="603F3C17" w14:textId="1BB74147" w:rsidR="00BB65EB" w:rsidRPr="001F224B" w:rsidRDefault="00BB65EB" w:rsidP="00BB65EB">
            <w:pPr>
              <w:jc w:val="right"/>
              <w:rPr>
                <w:bCs/>
                <w:sz w:val="22"/>
                <w:szCs w:val="22"/>
              </w:rPr>
            </w:pPr>
            <w:r w:rsidRPr="001F224B">
              <w:rPr>
                <w:bCs/>
                <w:sz w:val="22"/>
                <w:szCs w:val="22"/>
              </w:rPr>
              <w:t>9.908.153</w:t>
            </w:r>
          </w:p>
        </w:tc>
        <w:tc>
          <w:tcPr>
            <w:tcW w:w="1701" w:type="dxa"/>
            <w:tcBorders>
              <w:top w:val="single" w:sz="4" w:space="0" w:color="auto"/>
            </w:tcBorders>
            <w:vAlign w:val="bottom"/>
          </w:tcPr>
          <w:p w14:paraId="74F1344A" w14:textId="7B2ED520" w:rsidR="00BB65EB" w:rsidRPr="001F224B" w:rsidRDefault="00BB65EB" w:rsidP="00BB65EB">
            <w:pPr>
              <w:jc w:val="right"/>
              <w:rPr>
                <w:bCs/>
                <w:sz w:val="22"/>
                <w:szCs w:val="22"/>
              </w:rPr>
            </w:pPr>
            <w:r w:rsidRPr="001F224B">
              <w:rPr>
                <w:bCs/>
                <w:sz w:val="22"/>
                <w:szCs w:val="22"/>
              </w:rPr>
              <w:t>99,08</w:t>
            </w:r>
          </w:p>
        </w:tc>
        <w:tc>
          <w:tcPr>
            <w:tcW w:w="1644" w:type="dxa"/>
            <w:tcBorders>
              <w:top w:val="single" w:sz="4" w:space="0" w:color="auto"/>
            </w:tcBorders>
            <w:vAlign w:val="bottom"/>
          </w:tcPr>
          <w:p w14:paraId="646FF756" w14:textId="49A0A036" w:rsidR="00BB65EB" w:rsidRPr="001F224B" w:rsidRDefault="00BB65EB" w:rsidP="00BB65EB">
            <w:pPr>
              <w:jc w:val="right"/>
              <w:rPr>
                <w:bCs/>
                <w:sz w:val="22"/>
                <w:szCs w:val="22"/>
              </w:rPr>
            </w:pPr>
            <w:r w:rsidRPr="001F224B">
              <w:rPr>
                <w:bCs/>
                <w:sz w:val="22"/>
                <w:szCs w:val="22"/>
              </w:rPr>
              <w:t>9.908.153</w:t>
            </w:r>
          </w:p>
        </w:tc>
        <w:tc>
          <w:tcPr>
            <w:tcW w:w="1521" w:type="dxa"/>
            <w:tcBorders>
              <w:top w:val="single" w:sz="4" w:space="0" w:color="auto"/>
            </w:tcBorders>
            <w:vAlign w:val="bottom"/>
          </w:tcPr>
          <w:p w14:paraId="36709335" w14:textId="54B4908B" w:rsidR="00BB65EB" w:rsidRPr="001F224B" w:rsidRDefault="00BB65EB" w:rsidP="00BB65EB">
            <w:pPr>
              <w:jc w:val="right"/>
              <w:rPr>
                <w:bCs/>
                <w:sz w:val="22"/>
                <w:szCs w:val="22"/>
              </w:rPr>
            </w:pPr>
            <w:r w:rsidRPr="001F224B">
              <w:rPr>
                <w:bCs/>
                <w:sz w:val="22"/>
                <w:szCs w:val="22"/>
              </w:rPr>
              <w:t>-</w:t>
            </w:r>
          </w:p>
        </w:tc>
      </w:tr>
      <w:tr w:rsidR="00BB65EB" w:rsidRPr="001F224B" w14:paraId="11E3084C" w14:textId="77777777" w:rsidTr="00B00C5C">
        <w:tc>
          <w:tcPr>
            <w:tcW w:w="2704" w:type="dxa"/>
            <w:tcBorders>
              <w:bottom w:val="single" w:sz="4" w:space="0" w:color="auto"/>
            </w:tcBorders>
          </w:tcPr>
          <w:p w14:paraId="0D0712C9" w14:textId="77777777" w:rsidR="00BB65EB" w:rsidRPr="001F224B" w:rsidRDefault="00BB65EB" w:rsidP="00BB65EB">
            <w:pPr>
              <w:jc w:val="both"/>
              <w:rPr>
                <w:bCs/>
                <w:sz w:val="22"/>
                <w:szCs w:val="22"/>
              </w:rPr>
            </w:pPr>
            <w:r w:rsidRPr="001F224B">
              <w:rPr>
                <w:bCs/>
                <w:sz w:val="22"/>
                <w:szCs w:val="22"/>
              </w:rPr>
              <w:t xml:space="preserve">Diğer Ortaklar </w:t>
            </w:r>
            <w:r w:rsidRPr="001F224B">
              <w:rPr>
                <w:bCs/>
                <w:sz w:val="22"/>
                <w:szCs w:val="22"/>
                <w:vertAlign w:val="superscript"/>
              </w:rPr>
              <w:t>(*)</w:t>
            </w:r>
          </w:p>
        </w:tc>
        <w:tc>
          <w:tcPr>
            <w:tcW w:w="1644" w:type="dxa"/>
            <w:tcBorders>
              <w:bottom w:val="single" w:sz="4" w:space="0" w:color="auto"/>
            </w:tcBorders>
            <w:vAlign w:val="bottom"/>
          </w:tcPr>
          <w:p w14:paraId="63686569" w14:textId="3755CE5F" w:rsidR="00BB65EB" w:rsidRPr="001F224B" w:rsidRDefault="00BB65EB" w:rsidP="00BB65EB">
            <w:pPr>
              <w:jc w:val="right"/>
              <w:rPr>
                <w:bCs/>
                <w:sz w:val="22"/>
                <w:szCs w:val="22"/>
              </w:rPr>
            </w:pPr>
            <w:r w:rsidRPr="001F224B">
              <w:rPr>
                <w:bCs/>
                <w:sz w:val="22"/>
                <w:szCs w:val="22"/>
              </w:rPr>
              <w:t>91.847</w:t>
            </w:r>
          </w:p>
        </w:tc>
        <w:tc>
          <w:tcPr>
            <w:tcW w:w="1701" w:type="dxa"/>
            <w:tcBorders>
              <w:bottom w:val="single" w:sz="4" w:space="0" w:color="auto"/>
            </w:tcBorders>
            <w:vAlign w:val="bottom"/>
          </w:tcPr>
          <w:p w14:paraId="3707566B" w14:textId="742EC6F2" w:rsidR="00BB65EB" w:rsidRPr="001F224B" w:rsidRDefault="00BB65EB" w:rsidP="00BB65EB">
            <w:pPr>
              <w:jc w:val="right"/>
              <w:rPr>
                <w:bCs/>
                <w:sz w:val="22"/>
                <w:szCs w:val="22"/>
              </w:rPr>
            </w:pPr>
            <w:r w:rsidRPr="001F224B">
              <w:rPr>
                <w:bCs/>
                <w:sz w:val="22"/>
                <w:szCs w:val="22"/>
              </w:rPr>
              <w:t>0,92</w:t>
            </w:r>
          </w:p>
        </w:tc>
        <w:tc>
          <w:tcPr>
            <w:tcW w:w="1644" w:type="dxa"/>
            <w:tcBorders>
              <w:bottom w:val="single" w:sz="4" w:space="0" w:color="auto"/>
            </w:tcBorders>
            <w:vAlign w:val="bottom"/>
          </w:tcPr>
          <w:p w14:paraId="2F8B2894" w14:textId="4569CC7E" w:rsidR="00BB65EB" w:rsidRPr="001F224B" w:rsidRDefault="00BB65EB" w:rsidP="00BB65EB">
            <w:pPr>
              <w:jc w:val="right"/>
              <w:rPr>
                <w:bCs/>
                <w:sz w:val="22"/>
                <w:szCs w:val="22"/>
              </w:rPr>
            </w:pPr>
            <w:r w:rsidRPr="001F224B">
              <w:rPr>
                <w:bCs/>
                <w:sz w:val="22"/>
                <w:szCs w:val="22"/>
              </w:rPr>
              <w:t>91.847</w:t>
            </w:r>
          </w:p>
        </w:tc>
        <w:tc>
          <w:tcPr>
            <w:tcW w:w="1521" w:type="dxa"/>
            <w:tcBorders>
              <w:bottom w:val="single" w:sz="4" w:space="0" w:color="auto"/>
            </w:tcBorders>
            <w:vAlign w:val="bottom"/>
          </w:tcPr>
          <w:p w14:paraId="08A08A37" w14:textId="7B11D417" w:rsidR="00BB65EB" w:rsidRPr="001F224B" w:rsidRDefault="00BB65EB" w:rsidP="00BB65EB">
            <w:pPr>
              <w:jc w:val="right"/>
              <w:rPr>
                <w:bCs/>
                <w:sz w:val="22"/>
                <w:szCs w:val="22"/>
              </w:rPr>
            </w:pPr>
            <w:r w:rsidRPr="001F224B">
              <w:rPr>
                <w:bCs/>
                <w:sz w:val="22"/>
                <w:szCs w:val="22"/>
              </w:rPr>
              <w:t>-</w:t>
            </w:r>
          </w:p>
        </w:tc>
      </w:tr>
      <w:tr w:rsidR="00BB65EB" w:rsidRPr="001F224B" w14:paraId="1F8427A9" w14:textId="77777777" w:rsidTr="00B00C5C">
        <w:tc>
          <w:tcPr>
            <w:tcW w:w="2704" w:type="dxa"/>
            <w:tcBorders>
              <w:top w:val="single" w:sz="4" w:space="0" w:color="auto"/>
              <w:bottom w:val="single" w:sz="4" w:space="0" w:color="auto"/>
            </w:tcBorders>
          </w:tcPr>
          <w:p w14:paraId="4DC1F472" w14:textId="77777777" w:rsidR="00BB65EB" w:rsidRPr="001F224B" w:rsidRDefault="00BB65EB" w:rsidP="00BB65EB">
            <w:pPr>
              <w:jc w:val="both"/>
              <w:rPr>
                <w:b/>
                <w:bCs/>
                <w:sz w:val="22"/>
                <w:szCs w:val="22"/>
              </w:rPr>
            </w:pPr>
            <w:r w:rsidRPr="001F224B">
              <w:rPr>
                <w:b/>
                <w:bCs/>
                <w:sz w:val="22"/>
                <w:szCs w:val="22"/>
              </w:rPr>
              <w:t>Toplam</w:t>
            </w:r>
          </w:p>
        </w:tc>
        <w:tc>
          <w:tcPr>
            <w:tcW w:w="1644" w:type="dxa"/>
            <w:tcBorders>
              <w:top w:val="single" w:sz="4" w:space="0" w:color="auto"/>
              <w:bottom w:val="single" w:sz="4" w:space="0" w:color="auto"/>
            </w:tcBorders>
            <w:vAlign w:val="bottom"/>
          </w:tcPr>
          <w:p w14:paraId="24CB9308" w14:textId="59542935" w:rsidR="00BB65EB" w:rsidRPr="001F224B" w:rsidRDefault="00BB65EB" w:rsidP="00BB65EB">
            <w:pPr>
              <w:jc w:val="right"/>
              <w:rPr>
                <w:b/>
                <w:bCs/>
                <w:sz w:val="22"/>
                <w:szCs w:val="22"/>
              </w:rPr>
            </w:pPr>
            <w:r w:rsidRPr="001F224B">
              <w:rPr>
                <w:b/>
                <w:bCs/>
                <w:sz w:val="22"/>
                <w:szCs w:val="22"/>
              </w:rPr>
              <w:t>10.000.000</w:t>
            </w:r>
          </w:p>
        </w:tc>
        <w:tc>
          <w:tcPr>
            <w:tcW w:w="1701" w:type="dxa"/>
            <w:tcBorders>
              <w:top w:val="single" w:sz="4" w:space="0" w:color="auto"/>
              <w:bottom w:val="single" w:sz="4" w:space="0" w:color="auto"/>
            </w:tcBorders>
            <w:vAlign w:val="bottom"/>
          </w:tcPr>
          <w:p w14:paraId="30D456AD" w14:textId="65ABC848" w:rsidR="00BB65EB" w:rsidRPr="001F224B" w:rsidRDefault="00BB65EB" w:rsidP="00BB65EB">
            <w:pPr>
              <w:jc w:val="right"/>
              <w:rPr>
                <w:b/>
                <w:bCs/>
                <w:sz w:val="22"/>
                <w:szCs w:val="22"/>
              </w:rPr>
            </w:pPr>
            <w:r w:rsidRPr="001F224B">
              <w:rPr>
                <w:b/>
                <w:bCs/>
                <w:sz w:val="22"/>
                <w:szCs w:val="22"/>
              </w:rPr>
              <w:t>100,00</w:t>
            </w:r>
          </w:p>
        </w:tc>
        <w:tc>
          <w:tcPr>
            <w:tcW w:w="1644" w:type="dxa"/>
            <w:tcBorders>
              <w:top w:val="single" w:sz="4" w:space="0" w:color="auto"/>
              <w:bottom w:val="single" w:sz="4" w:space="0" w:color="auto"/>
            </w:tcBorders>
            <w:vAlign w:val="bottom"/>
          </w:tcPr>
          <w:p w14:paraId="5D0DEA3C" w14:textId="480081F3" w:rsidR="00BB65EB" w:rsidRPr="001F224B" w:rsidRDefault="00BB65EB" w:rsidP="00BB65EB">
            <w:pPr>
              <w:jc w:val="right"/>
              <w:rPr>
                <w:b/>
                <w:bCs/>
                <w:sz w:val="22"/>
                <w:szCs w:val="22"/>
              </w:rPr>
            </w:pPr>
            <w:r w:rsidRPr="001F224B">
              <w:rPr>
                <w:b/>
                <w:bCs/>
                <w:sz w:val="22"/>
                <w:szCs w:val="22"/>
              </w:rPr>
              <w:t>10.000.000</w:t>
            </w:r>
          </w:p>
        </w:tc>
        <w:tc>
          <w:tcPr>
            <w:tcW w:w="1521" w:type="dxa"/>
            <w:tcBorders>
              <w:top w:val="single" w:sz="4" w:space="0" w:color="auto"/>
              <w:bottom w:val="single" w:sz="4" w:space="0" w:color="auto"/>
            </w:tcBorders>
            <w:vAlign w:val="bottom"/>
          </w:tcPr>
          <w:p w14:paraId="79DFF342" w14:textId="5F69989C" w:rsidR="00BB65EB" w:rsidRPr="001F224B" w:rsidRDefault="00BB65EB" w:rsidP="00BB65EB">
            <w:pPr>
              <w:jc w:val="right"/>
              <w:rPr>
                <w:b/>
                <w:bCs/>
                <w:sz w:val="22"/>
                <w:szCs w:val="22"/>
              </w:rPr>
            </w:pPr>
            <w:r w:rsidRPr="001F224B">
              <w:rPr>
                <w:b/>
                <w:bCs/>
                <w:sz w:val="22"/>
                <w:szCs w:val="22"/>
              </w:rPr>
              <w:t>-</w:t>
            </w:r>
          </w:p>
        </w:tc>
      </w:tr>
    </w:tbl>
    <w:p w14:paraId="2BF23B76" w14:textId="77777777" w:rsidR="009F1E84" w:rsidRPr="001F224B" w:rsidRDefault="009F1E84" w:rsidP="009F1E84">
      <w:pPr>
        <w:tabs>
          <w:tab w:val="left" w:pos="3000"/>
        </w:tabs>
        <w:spacing w:before="60" w:after="120"/>
        <w:ind w:left="567"/>
        <w:jc w:val="both"/>
        <w:rPr>
          <w:sz w:val="18"/>
          <w:szCs w:val="18"/>
        </w:rPr>
      </w:pPr>
      <w:r w:rsidRPr="001F224B">
        <w:rPr>
          <w:sz w:val="18"/>
          <w:szCs w:val="18"/>
          <w:vertAlign w:val="superscript"/>
        </w:rPr>
        <w:t>(*)</w:t>
      </w:r>
      <w:r w:rsidRPr="001F224B">
        <w:rPr>
          <w:sz w:val="18"/>
          <w:szCs w:val="18"/>
        </w:rPr>
        <w:t xml:space="preserve"> Tüm gerçek ve tüzel kişileri kapsamakta ve bu ortaklara ait hisse senetleri Borsa İstanbul’da işlem görmekte olduğundan ortak sayısı bilinmemektedir.</w:t>
      </w:r>
    </w:p>
    <w:p w14:paraId="52AA113C" w14:textId="65C71650" w:rsidR="009F1E84" w:rsidRPr="001F224B" w:rsidRDefault="009F1E84" w:rsidP="00604594">
      <w:pPr>
        <w:spacing w:before="120" w:after="120"/>
        <w:rPr>
          <w:b/>
          <w:bCs/>
          <w:sz w:val="22"/>
          <w:szCs w:val="22"/>
        </w:rPr>
        <w:sectPr w:rsidR="009F1E84" w:rsidRPr="001F224B" w:rsidSect="00FE2B9B">
          <w:headerReference w:type="default" r:id="rId69"/>
          <w:footerReference w:type="even" r:id="rId70"/>
          <w:footerReference w:type="default" r:id="rId71"/>
          <w:headerReference w:type="first" r:id="rId72"/>
          <w:footerReference w:type="first" r:id="rId73"/>
          <w:pgSz w:w="11907" w:h="16840" w:code="9"/>
          <w:pgMar w:top="680" w:right="964" w:bottom="567" w:left="1134" w:header="624" w:footer="397" w:gutter="0"/>
          <w:pgNumType w:start="1"/>
          <w:cols w:space="708"/>
          <w:titlePg/>
          <w:docGrid w:linePitch="326"/>
        </w:sectPr>
      </w:pPr>
    </w:p>
    <w:p w14:paraId="6164168B" w14:textId="77777777" w:rsidR="0070039B" w:rsidRPr="001F224B" w:rsidRDefault="0070039B" w:rsidP="000608C7">
      <w:pPr>
        <w:tabs>
          <w:tab w:val="left" w:pos="567"/>
        </w:tabs>
        <w:spacing w:afterLines="50" w:after="120" w:line="230" w:lineRule="auto"/>
        <w:rPr>
          <w:b/>
          <w:bCs/>
          <w:sz w:val="22"/>
          <w:szCs w:val="22"/>
        </w:rPr>
      </w:pPr>
      <w:r w:rsidRPr="001F224B">
        <w:rPr>
          <w:b/>
          <w:bCs/>
          <w:sz w:val="22"/>
          <w:szCs w:val="22"/>
        </w:rPr>
        <w:t>BİRİNCİ BÖLÜM (Devamı)</w:t>
      </w:r>
    </w:p>
    <w:p w14:paraId="57C1B3FA" w14:textId="77777777" w:rsidR="00DF2F83" w:rsidRPr="001F224B" w:rsidRDefault="0070039B" w:rsidP="000608C7">
      <w:pPr>
        <w:tabs>
          <w:tab w:val="left" w:pos="567"/>
        </w:tabs>
        <w:spacing w:afterLines="50" w:after="120" w:line="230" w:lineRule="auto"/>
        <w:rPr>
          <w:b/>
          <w:bCs/>
          <w:sz w:val="22"/>
          <w:szCs w:val="22"/>
        </w:rPr>
      </w:pPr>
      <w:r w:rsidRPr="001F224B">
        <w:rPr>
          <w:b/>
          <w:bCs/>
          <w:sz w:val="22"/>
          <w:szCs w:val="22"/>
        </w:rPr>
        <w:t>GENEL BİLGİLER (D</w:t>
      </w:r>
      <w:r w:rsidR="00DF2F83" w:rsidRPr="001F224B">
        <w:rPr>
          <w:b/>
          <w:bCs/>
          <w:sz w:val="22"/>
          <w:szCs w:val="22"/>
        </w:rPr>
        <w:t>evamı)</w:t>
      </w:r>
    </w:p>
    <w:p w14:paraId="3D2263B9" w14:textId="3F02CEB8" w:rsidR="00267DF1" w:rsidRPr="001F224B" w:rsidRDefault="00865CEA" w:rsidP="000608C7">
      <w:pPr>
        <w:numPr>
          <w:ilvl w:val="0"/>
          <w:numId w:val="14"/>
        </w:numPr>
        <w:spacing w:line="230" w:lineRule="auto"/>
        <w:ind w:left="567" w:hanging="283"/>
        <w:jc w:val="both"/>
        <w:rPr>
          <w:b/>
          <w:bCs/>
          <w:sz w:val="22"/>
          <w:szCs w:val="22"/>
        </w:rPr>
      </w:pPr>
      <w:r w:rsidRPr="001F224B">
        <w:rPr>
          <w:b/>
          <w:bCs/>
          <w:sz w:val="22"/>
          <w:szCs w:val="22"/>
        </w:rPr>
        <w:t xml:space="preserve">Ana Ortaklık </w:t>
      </w:r>
      <w:r w:rsidR="00267DF1" w:rsidRPr="001F224B">
        <w:rPr>
          <w:b/>
          <w:bCs/>
          <w:sz w:val="22"/>
          <w:szCs w:val="22"/>
        </w:rPr>
        <w:t>Banka</w:t>
      </w:r>
      <w:r w:rsidR="001A0C54" w:rsidRPr="001F224B">
        <w:rPr>
          <w:b/>
          <w:bCs/>
          <w:sz w:val="22"/>
          <w:szCs w:val="22"/>
        </w:rPr>
        <w:t>’</w:t>
      </w:r>
      <w:r w:rsidR="00267DF1" w:rsidRPr="001F224B">
        <w:rPr>
          <w:b/>
          <w:bCs/>
          <w:sz w:val="22"/>
          <w:szCs w:val="22"/>
        </w:rPr>
        <w:t xml:space="preserve">nın, yönetim kurulu başkan ve üyeleri, denetim kurulu üyeleri ile genel müdür ve yardımcılarının varsa </w:t>
      </w:r>
      <w:r w:rsidRPr="001F224B">
        <w:rPr>
          <w:b/>
          <w:bCs/>
          <w:sz w:val="22"/>
          <w:szCs w:val="22"/>
        </w:rPr>
        <w:t>Ana Ortaklık Banka’da</w:t>
      </w:r>
      <w:r w:rsidRPr="001F224B" w:rsidDel="00865CEA">
        <w:rPr>
          <w:b/>
          <w:bCs/>
          <w:sz w:val="22"/>
          <w:szCs w:val="22"/>
        </w:rPr>
        <w:t xml:space="preserve"> </w:t>
      </w:r>
      <w:r w:rsidR="00267DF1" w:rsidRPr="001F224B">
        <w:rPr>
          <w:b/>
          <w:bCs/>
          <w:sz w:val="22"/>
          <w:szCs w:val="22"/>
        </w:rPr>
        <w:t xml:space="preserve"> sahip oldukları paylara</w:t>
      </w:r>
      <w:r w:rsidR="00BA21F4" w:rsidRPr="001F224B">
        <w:rPr>
          <w:b/>
          <w:bCs/>
          <w:sz w:val="22"/>
          <w:szCs w:val="22"/>
        </w:rPr>
        <w:t xml:space="preserve"> ve sorumluluk alanlarına</w:t>
      </w:r>
      <w:r w:rsidR="00267DF1" w:rsidRPr="001F224B">
        <w:rPr>
          <w:b/>
          <w:bCs/>
          <w:sz w:val="22"/>
          <w:szCs w:val="22"/>
        </w:rPr>
        <w:t xml:space="preserve"> ilişkin açıklamalar</w:t>
      </w:r>
    </w:p>
    <w:p w14:paraId="42BAB7EA" w14:textId="66442535" w:rsidR="00915FD0" w:rsidRPr="001F224B" w:rsidRDefault="00915FD0" w:rsidP="000608C7">
      <w:pPr>
        <w:tabs>
          <w:tab w:val="left" w:pos="567"/>
        </w:tabs>
        <w:spacing w:before="120" w:line="230" w:lineRule="auto"/>
        <w:ind w:firstLine="567"/>
        <w:jc w:val="both"/>
        <w:rPr>
          <w:b/>
          <w:bCs/>
          <w:sz w:val="22"/>
          <w:szCs w:val="22"/>
        </w:rPr>
      </w:pPr>
      <w:r w:rsidRPr="001F224B">
        <w:rPr>
          <w:b/>
          <w:bCs/>
          <w:sz w:val="22"/>
          <w:szCs w:val="22"/>
        </w:rPr>
        <w:t>Yönetim Kurulu Başkan ve Üyeleri</w:t>
      </w:r>
      <w:r w:rsidR="00E51913" w:rsidRPr="001F224B">
        <w:rPr>
          <w:b/>
          <w:bCs/>
          <w:sz w:val="22"/>
          <w:szCs w:val="22"/>
          <w:vertAlign w:val="superscript"/>
        </w:rPr>
        <w:t>(*)</w:t>
      </w:r>
      <w:r w:rsidRPr="001F224B">
        <w:rPr>
          <w:b/>
          <w:bCs/>
          <w:sz w:val="22"/>
          <w:szCs w:val="22"/>
        </w:rPr>
        <w:t xml:space="preserve">: </w:t>
      </w:r>
    </w:p>
    <w:tbl>
      <w:tblPr>
        <w:tblStyle w:val="TableGrid"/>
        <w:tblW w:w="9467" w:type="dxa"/>
        <w:tblInd w:w="562" w:type="dxa"/>
        <w:tblLayout w:type="fixed"/>
        <w:tblLook w:val="04A0" w:firstRow="1" w:lastRow="0" w:firstColumn="1" w:lastColumn="0" w:noHBand="0" w:noVBand="1"/>
      </w:tblPr>
      <w:tblGrid>
        <w:gridCol w:w="2403"/>
        <w:gridCol w:w="3267"/>
        <w:gridCol w:w="1282"/>
        <w:gridCol w:w="1270"/>
        <w:gridCol w:w="1245"/>
      </w:tblGrid>
      <w:tr w:rsidR="00604E90" w:rsidRPr="001F224B" w14:paraId="7C57DF7B" w14:textId="77777777" w:rsidTr="00EB22A7">
        <w:trPr>
          <w:trHeight w:val="161"/>
        </w:trPr>
        <w:tc>
          <w:tcPr>
            <w:tcW w:w="2403" w:type="dxa"/>
            <w:vAlign w:val="bottom"/>
          </w:tcPr>
          <w:p w14:paraId="1B0CF12E" w14:textId="77777777" w:rsidR="00604E90" w:rsidRPr="001F224B" w:rsidRDefault="00604E90" w:rsidP="00EB22A7">
            <w:pPr>
              <w:tabs>
                <w:tab w:val="left" w:pos="567"/>
              </w:tabs>
              <w:spacing w:line="230" w:lineRule="auto"/>
              <w:jc w:val="center"/>
              <w:rPr>
                <w:b/>
                <w:bCs/>
                <w:sz w:val="18"/>
                <w:szCs w:val="18"/>
              </w:rPr>
            </w:pPr>
            <w:r w:rsidRPr="001F224B">
              <w:rPr>
                <w:b/>
                <w:bCs/>
                <w:sz w:val="18"/>
                <w:szCs w:val="18"/>
              </w:rPr>
              <w:t>Adı Soyadı</w:t>
            </w:r>
          </w:p>
        </w:tc>
        <w:tc>
          <w:tcPr>
            <w:tcW w:w="3267" w:type="dxa"/>
            <w:vAlign w:val="bottom"/>
          </w:tcPr>
          <w:p w14:paraId="5A8D31EC" w14:textId="77777777" w:rsidR="00604E90" w:rsidRPr="001F224B" w:rsidRDefault="00604E90" w:rsidP="00EB22A7">
            <w:pPr>
              <w:tabs>
                <w:tab w:val="left" w:pos="567"/>
              </w:tabs>
              <w:spacing w:line="230" w:lineRule="auto"/>
              <w:jc w:val="center"/>
              <w:rPr>
                <w:b/>
                <w:bCs/>
                <w:sz w:val="18"/>
                <w:szCs w:val="18"/>
              </w:rPr>
            </w:pPr>
            <w:r w:rsidRPr="001F224B">
              <w:rPr>
                <w:b/>
                <w:bCs/>
                <w:sz w:val="18"/>
                <w:szCs w:val="18"/>
              </w:rPr>
              <w:t>Görevi</w:t>
            </w:r>
          </w:p>
        </w:tc>
        <w:tc>
          <w:tcPr>
            <w:tcW w:w="1282" w:type="dxa"/>
            <w:vAlign w:val="bottom"/>
          </w:tcPr>
          <w:p w14:paraId="75C11E1F" w14:textId="77777777" w:rsidR="00604E90" w:rsidRPr="001F224B" w:rsidRDefault="00604E90" w:rsidP="00EB22A7">
            <w:pPr>
              <w:tabs>
                <w:tab w:val="left" w:pos="567"/>
              </w:tabs>
              <w:spacing w:line="230" w:lineRule="auto"/>
              <w:jc w:val="center"/>
              <w:rPr>
                <w:b/>
                <w:bCs/>
                <w:sz w:val="18"/>
                <w:szCs w:val="18"/>
              </w:rPr>
            </w:pPr>
            <w:r w:rsidRPr="001F224B">
              <w:rPr>
                <w:b/>
                <w:bCs/>
                <w:sz w:val="18"/>
                <w:szCs w:val="18"/>
              </w:rPr>
              <w:t>Göreve Atanma Tarihi</w:t>
            </w:r>
          </w:p>
        </w:tc>
        <w:tc>
          <w:tcPr>
            <w:tcW w:w="1270" w:type="dxa"/>
            <w:vAlign w:val="bottom"/>
          </w:tcPr>
          <w:p w14:paraId="0CAD80FA" w14:textId="77777777" w:rsidR="00604E90" w:rsidRPr="001F224B" w:rsidRDefault="00604E90" w:rsidP="00EB22A7">
            <w:pPr>
              <w:tabs>
                <w:tab w:val="left" w:pos="567"/>
              </w:tabs>
              <w:spacing w:line="230" w:lineRule="auto"/>
              <w:jc w:val="center"/>
              <w:rPr>
                <w:b/>
                <w:bCs/>
                <w:sz w:val="18"/>
                <w:szCs w:val="18"/>
              </w:rPr>
            </w:pPr>
            <w:r w:rsidRPr="001F224B">
              <w:rPr>
                <w:b/>
                <w:bCs/>
                <w:sz w:val="18"/>
                <w:szCs w:val="18"/>
              </w:rPr>
              <w:t>Öğrenim Durumu</w:t>
            </w:r>
          </w:p>
        </w:tc>
        <w:tc>
          <w:tcPr>
            <w:tcW w:w="1245" w:type="dxa"/>
            <w:vAlign w:val="bottom"/>
          </w:tcPr>
          <w:p w14:paraId="7739B814" w14:textId="77777777" w:rsidR="00604E90" w:rsidRPr="001F224B" w:rsidRDefault="00604E90" w:rsidP="00EB22A7">
            <w:pPr>
              <w:tabs>
                <w:tab w:val="left" w:pos="567"/>
              </w:tabs>
              <w:spacing w:line="230" w:lineRule="auto"/>
              <w:jc w:val="center"/>
              <w:rPr>
                <w:b/>
                <w:bCs/>
                <w:sz w:val="18"/>
                <w:szCs w:val="18"/>
              </w:rPr>
            </w:pPr>
            <w:r w:rsidRPr="001F224B">
              <w:rPr>
                <w:b/>
                <w:bCs/>
                <w:sz w:val="18"/>
                <w:szCs w:val="18"/>
              </w:rPr>
              <w:t>Bankacılık ve İşletmecilik Dallarında İş Tecrübesi (Yıl)</w:t>
            </w:r>
          </w:p>
        </w:tc>
      </w:tr>
      <w:tr w:rsidR="00604E90" w:rsidRPr="001F224B" w14:paraId="4D5CB8F8" w14:textId="77777777" w:rsidTr="00EB22A7">
        <w:trPr>
          <w:trHeight w:val="125"/>
        </w:trPr>
        <w:tc>
          <w:tcPr>
            <w:tcW w:w="2403" w:type="dxa"/>
            <w:shd w:val="clear" w:color="auto" w:fill="auto"/>
            <w:vAlign w:val="center"/>
          </w:tcPr>
          <w:p w14:paraId="52257A94" w14:textId="77777777" w:rsidR="00604E90" w:rsidRPr="001F224B" w:rsidRDefault="00604E90" w:rsidP="00EB22A7">
            <w:pPr>
              <w:spacing w:line="230" w:lineRule="auto"/>
              <w:ind w:right="-137"/>
              <w:rPr>
                <w:sz w:val="18"/>
                <w:szCs w:val="18"/>
              </w:rPr>
            </w:pPr>
            <w:r w:rsidRPr="001F224B">
              <w:rPr>
                <w:sz w:val="18"/>
                <w:szCs w:val="18"/>
              </w:rPr>
              <w:t>Dr. Raci KAYA</w:t>
            </w:r>
          </w:p>
        </w:tc>
        <w:tc>
          <w:tcPr>
            <w:tcW w:w="3267" w:type="dxa"/>
            <w:shd w:val="clear" w:color="auto" w:fill="auto"/>
            <w:vAlign w:val="center"/>
          </w:tcPr>
          <w:p w14:paraId="02DC5437" w14:textId="77777777" w:rsidR="00604E90" w:rsidRPr="001F224B" w:rsidRDefault="00604E90" w:rsidP="00EB22A7">
            <w:pPr>
              <w:tabs>
                <w:tab w:val="left" w:pos="567"/>
              </w:tabs>
              <w:spacing w:line="230" w:lineRule="auto"/>
              <w:rPr>
                <w:b/>
                <w:bCs/>
                <w:sz w:val="18"/>
                <w:szCs w:val="18"/>
              </w:rPr>
            </w:pPr>
            <w:r w:rsidRPr="001F224B">
              <w:rPr>
                <w:sz w:val="18"/>
                <w:szCs w:val="18"/>
              </w:rPr>
              <w:t>Yönetim Kurulu Başkanı</w:t>
            </w:r>
          </w:p>
        </w:tc>
        <w:tc>
          <w:tcPr>
            <w:tcW w:w="1282" w:type="dxa"/>
            <w:shd w:val="clear" w:color="auto" w:fill="auto"/>
            <w:vAlign w:val="center"/>
          </w:tcPr>
          <w:p w14:paraId="59976A4A" w14:textId="77777777" w:rsidR="00604E90" w:rsidRPr="001F224B" w:rsidRDefault="00604E90" w:rsidP="00EB22A7">
            <w:pPr>
              <w:tabs>
                <w:tab w:val="left" w:pos="567"/>
              </w:tabs>
              <w:spacing w:line="230" w:lineRule="auto"/>
              <w:jc w:val="center"/>
              <w:rPr>
                <w:sz w:val="18"/>
                <w:szCs w:val="18"/>
              </w:rPr>
            </w:pPr>
            <w:r w:rsidRPr="001F224B">
              <w:rPr>
                <w:sz w:val="18"/>
                <w:szCs w:val="18"/>
              </w:rPr>
              <w:t>09.11.2020</w:t>
            </w:r>
          </w:p>
        </w:tc>
        <w:tc>
          <w:tcPr>
            <w:tcW w:w="1270" w:type="dxa"/>
            <w:shd w:val="clear" w:color="auto" w:fill="auto"/>
            <w:vAlign w:val="center"/>
          </w:tcPr>
          <w:p w14:paraId="20D58E73" w14:textId="77777777" w:rsidR="00604E90" w:rsidRPr="001F224B" w:rsidRDefault="00604E90" w:rsidP="00EB22A7">
            <w:pPr>
              <w:tabs>
                <w:tab w:val="left" w:pos="567"/>
              </w:tabs>
              <w:spacing w:line="230" w:lineRule="auto"/>
              <w:jc w:val="both"/>
              <w:rPr>
                <w:sz w:val="18"/>
                <w:szCs w:val="18"/>
              </w:rPr>
            </w:pPr>
            <w:r w:rsidRPr="001F224B">
              <w:rPr>
                <w:sz w:val="18"/>
                <w:szCs w:val="18"/>
              </w:rPr>
              <w:t>Doktora</w:t>
            </w:r>
          </w:p>
        </w:tc>
        <w:tc>
          <w:tcPr>
            <w:tcW w:w="1245" w:type="dxa"/>
            <w:shd w:val="clear" w:color="auto" w:fill="auto"/>
            <w:vAlign w:val="center"/>
          </w:tcPr>
          <w:p w14:paraId="3BC69C08" w14:textId="77777777" w:rsidR="00604E90" w:rsidRPr="001F224B" w:rsidRDefault="00604E90" w:rsidP="00EB22A7">
            <w:pPr>
              <w:tabs>
                <w:tab w:val="left" w:pos="567"/>
              </w:tabs>
              <w:spacing w:line="230" w:lineRule="auto"/>
              <w:jc w:val="center"/>
              <w:rPr>
                <w:sz w:val="18"/>
                <w:szCs w:val="18"/>
              </w:rPr>
            </w:pPr>
            <w:r w:rsidRPr="001F224B">
              <w:rPr>
                <w:sz w:val="18"/>
                <w:szCs w:val="18"/>
              </w:rPr>
              <w:t>35</w:t>
            </w:r>
          </w:p>
        </w:tc>
      </w:tr>
      <w:tr w:rsidR="00604E90" w:rsidRPr="001F224B" w14:paraId="3075835D" w14:textId="77777777" w:rsidTr="00EB22A7">
        <w:trPr>
          <w:trHeight w:val="125"/>
        </w:trPr>
        <w:tc>
          <w:tcPr>
            <w:tcW w:w="2403" w:type="dxa"/>
            <w:vAlign w:val="center"/>
          </w:tcPr>
          <w:p w14:paraId="7930E8AB" w14:textId="77777777" w:rsidR="00604E90" w:rsidRPr="001F224B" w:rsidRDefault="00604E90" w:rsidP="00EB22A7">
            <w:pPr>
              <w:spacing w:line="230" w:lineRule="auto"/>
              <w:rPr>
                <w:sz w:val="18"/>
                <w:szCs w:val="18"/>
              </w:rPr>
            </w:pPr>
            <w:r w:rsidRPr="001F224B">
              <w:rPr>
                <w:color w:val="000000"/>
                <w:sz w:val="18"/>
                <w:szCs w:val="18"/>
              </w:rPr>
              <w:t>Halil İbrahim AZAL</w:t>
            </w:r>
            <w:r w:rsidRPr="001F224B">
              <w:rPr>
                <w:color w:val="000000"/>
                <w:sz w:val="18"/>
                <w:szCs w:val="18"/>
                <w:vertAlign w:val="superscript"/>
              </w:rPr>
              <w:t>(*)</w:t>
            </w:r>
          </w:p>
        </w:tc>
        <w:tc>
          <w:tcPr>
            <w:tcW w:w="3267" w:type="dxa"/>
            <w:vAlign w:val="center"/>
          </w:tcPr>
          <w:p w14:paraId="645ADB82" w14:textId="77777777" w:rsidR="00604E90" w:rsidRPr="001F224B" w:rsidRDefault="00604E90" w:rsidP="00EB22A7">
            <w:pPr>
              <w:tabs>
                <w:tab w:val="left" w:pos="567"/>
              </w:tabs>
              <w:spacing w:line="230" w:lineRule="auto"/>
              <w:rPr>
                <w:b/>
                <w:bCs/>
                <w:sz w:val="18"/>
                <w:szCs w:val="18"/>
              </w:rPr>
            </w:pPr>
            <w:r w:rsidRPr="001F224B">
              <w:rPr>
                <w:sz w:val="18"/>
                <w:szCs w:val="18"/>
              </w:rPr>
              <w:t>Yönetim Kurulu Başkan Vekili</w:t>
            </w:r>
          </w:p>
        </w:tc>
        <w:tc>
          <w:tcPr>
            <w:tcW w:w="1282" w:type="dxa"/>
            <w:vAlign w:val="center"/>
          </w:tcPr>
          <w:p w14:paraId="0CA3FFF1" w14:textId="77777777" w:rsidR="00604E90" w:rsidRPr="001F224B" w:rsidRDefault="00604E90" w:rsidP="00EB22A7">
            <w:pPr>
              <w:tabs>
                <w:tab w:val="left" w:pos="567"/>
              </w:tabs>
              <w:spacing w:line="230" w:lineRule="auto"/>
              <w:jc w:val="center"/>
              <w:rPr>
                <w:sz w:val="18"/>
                <w:szCs w:val="18"/>
              </w:rPr>
            </w:pPr>
            <w:r w:rsidRPr="001F224B">
              <w:rPr>
                <w:sz w:val="18"/>
                <w:szCs w:val="18"/>
              </w:rPr>
              <w:t>22.04.2025</w:t>
            </w:r>
          </w:p>
        </w:tc>
        <w:tc>
          <w:tcPr>
            <w:tcW w:w="1270" w:type="dxa"/>
            <w:vAlign w:val="center"/>
          </w:tcPr>
          <w:p w14:paraId="0A9E81BE" w14:textId="77777777" w:rsidR="00604E90" w:rsidRPr="001F224B" w:rsidRDefault="00604E90" w:rsidP="00EB22A7">
            <w:pPr>
              <w:tabs>
                <w:tab w:val="left" w:pos="567"/>
              </w:tabs>
              <w:spacing w:line="230" w:lineRule="auto"/>
              <w:jc w:val="both"/>
              <w:rPr>
                <w:sz w:val="18"/>
                <w:szCs w:val="18"/>
              </w:rPr>
            </w:pPr>
            <w:r w:rsidRPr="001F224B">
              <w:rPr>
                <w:color w:val="000000"/>
                <w:sz w:val="18"/>
                <w:szCs w:val="18"/>
              </w:rPr>
              <w:t>Yüksek Lisans</w:t>
            </w:r>
          </w:p>
        </w:tc>
        <w:tc>
          <w:tcPr>
            <w:tcW w:w="1245" w:type="dxa"/>
            <w:vAlign w:val="center"/>
          </w:tcPr>
          <w:p w14:paraId="7DE40A8B" w14:textId="77777777" w:rsidR="00604E90" w:rsidRPr="001F224B" w:rsidRDefault="00604E90" w:rsidP="00EB22A7">
            <w:pPr>
              <w:tabs>
                <w:tab w:val="left" w:pos="567"/>
              </w:tabs>
              <w:spacing w:line="230" w:lineRule="auto"/>
              <w:jc w:val="center"/>
              <w:rPr>
                <w:sz w:val="18"/>
                <w:szCs w:val="18"/>
              </w:rPr>
            </w:pPr>
            <w:r w:rsidRPr="001F224B">
              <w:rPr>
                <w:sz w:val="18"/>
                <w:szCs w:val="18"/>
              </w:rPr>
              <w:t>19</w:t>
            </w:r>
          </w:p>
        </w:tc>
      </w:tr>
      <w:tr w:rsidR="00604E90" w:rsidRPr="001F224B" w14:paraId="55B83397" w14:textId="77777777" w:rsidTr="00EB22A7">
        <w:trPr>
          <w:trHeight w:val="125"/>
        </w:trPr>
        <w:tc>
          <w:tcPr>
            <w:tcW w:w="2403" w:type="dxa"/>
            <w:noWrap/>
            <w:vAlign w:val="center"/>
            <w:hideMark/>
          </w:tcPr>
          <w:p w14:paraId="273D4CD8" w14:textId="77777777" w:rsidR="00604E90" w:rsidRPr="001F224B" w:rsidRDefault="00604E90" w:rsidP="00EB22A7">
            <w:pPr>
              <w:spacing w:line="230" w:lineRule="auto"/>
              <w:rPr>
                <w:color w:val="000000"/>
                <w:sz w:val="18"/>
                <w:szCs w:val="18"/>
              </w:rPr>
            </w:pPr>
            <w:r w:rsidRPr="001F224B">
              <w:rPr>
                <w:color w:val="000000"/>
                <w:sz w:val="18"/>
                <w:szCs w:val="18"/>
              </w:rPr>
              <w:t>İbrahim H. ÖZTOP</w:t>
            </w:r>
          </w:p>
        </w:tc>
        <w:tc>
          <w:tcPr>
            <w:tcW w:w="3267" w:type="dxa"/>
            <w:noWrap/>
            <w:vAlign w:val="center"/>
            <w:hideMark/>
          </w:tcPr>
          <w:p w14:paraId="75B9CDF0" w14:textId="77777777" w:rsidR="00604E90" w:rsidRPr="001F224B" w:rsidRDefault="00604E90" w:rsidP="00EB22A7">
            <w:pPr>
              <w:spacing w:line="230" w:lineRule="auto"/>
              <w:rPr>
                <w:color w:val="000000"/>
                <w:sz w:val="18"/>
                <w:szCs w:val="18"/>
              </w:rPr>
            </w:pPr>
            <w:r w:rsidRPr="001F224B">
              <w:rPr>
                <w:color w:val="000000"/>
                <w:sz w:val="18"/>
                <w:szCs w:val="18"/>
              </w:rPr>
              <w:t>Yönetim Kurulu Üyesi ve Genel Müdür</w:t>
            </w:r>
          </w:p>
        </w:tc>
        <w:tc>
          <w:tcPr>
            <w:tcW w:w="1282" w:type="dxa"/>
            <w:noWrap/>
            <w:vAlign w:val="center"/>
            <w:hideMark/>
          </w:tcPr>
          <w:p w14:paraId="741E575C" w14:textId="77777777" w:rsidR="00604E90" w:rsidRPr="001F224B" w:rsidRDefault="00604E90" w:rsidP="00EB22A7">
            <w:pPr>
              <w:spacing w:line="230" w:lineRule="auto"/>
              <w:jc w:val="center"/>
              <w:rPr>
                <w:sz w:val="18"/>
                <w:szCs w:val="18"/>
              </w:rPr>
            </w:pPr>
            <w:r w:rsidRPr="001F224B">
              <w:rPr>
                <w:sz w:val="18"/>
                <w:szCs w:val="18"/>
              </w:rPr>
              <w:t>13.12.2018</w:t>
            </w:r>
          </w:p>
        </w:tc>
        <w:tc>
          <w:tcPr>
            <w:tcW w:w="1270" w:type="dxa"/>
            <w:noWrap/>
            <w:vAlign w:val="center"/>
            <w:hideMark/>
          </w:tcPr>
          <w:p w14:paraId="4B0A6945" w14:textId="77777777" w:rsidR="00604E90" w:rsidRPr="001F224B" w:rsidRDefault="00604E90" w:rsidP="00EB22A7">
            <w:pPr>
              <w:spacing w:line="230" w:lineRule="auto"/>
              <w:jc w:val="both"/>
              <w:rPr>
                <w:color w:val="000000"/>
                <w:sz w:val="18"/>
                <w:szCs w:val="18"/>
              </w:rPr>
            </w:pPr>
            <w:r w:rsidRPr="001F224B">
              <w:rPr>
                <w:color w:val="000000"/>
                <w:sz w:val="18"/>
                <w:szCs w:val="18"/>
              </w:rPr>
              <w:t>Yüksek Lisans</w:t>
            </w:r>
          </w:p>
        </w:tc>
        <w:tc>
          <w:tcPr>
            <w:tcW w:w="1245" w:type="dxa"/>
            <w:noWrap/>
            <w:vAlign w:val="center"/>
            <w:hideMark/>
          </w:tcPr>
          <w:p w14:paraId="697557DA" w14:textId="77777777" w:rsidR="00604E90" w:rsidRPr="001F224B" w:rsidRDefault="00604E90" w:rsidP="00EB22A7">
            <w:pPr>
              <w:spacing w:line="230" w:lineRule="auto"/>
              <w:jc w:val="center"/>
              <w:rPr>
                <w:color w:val="000000"/>
                <w:sz w:val="18"/>
                <w:szCs w:val="18"/>
              </w:rPr>
            </w:pPr>
            <w:r w:rsidRPr="001F224B">
              <w:rPr>
                <w:color w:val="000000"/>
                <w:sz w:val="18"/>
                <w:szCs w:val="18"/>
              </w:rPr>
              <w:t>29</w:t>
            </w:r>
          </w:p>
        </w:tc>
      </w:tr>
      <w:tr w:rsidR="00604E90" w:rsidRPr="001F224B" w14:paraId="71AA616F" w14:textId="77777777" w:rsidTr="00EB22A7">
        <w:trPr>
          <w:trHeight w:val="125"/>
        </w:trPr>
        <w:tc>
          <w:tcPr>
            <w:tcW w:w="2403" w:type="dxa"/>
            <w:vAlign w:val="center"/>
          </w:tcPr>
          <w:p w14:paraId="16A00931" w14:textId="77777777" w:rsidR="00604E90" w:rsidRPr="001F224B" w:rsidRDefault="00604E90" w:rsidP="00EB22A7">
            <w:pPr>
              <w:spacing w:line="230" w:lineRule="auto"/>
              <w:rPr>
                <w:sz w:val="18"/>
                <w:szCs w:val="18"/>
              </w:rPr>
            </w:pPr>
            <w:r w:rsidRPr="001F224B">
              <w:rPr>
                <w:sz w:val="18"/>
                <w:szCs w:val="18"/>
              </w:rPr>
              <w:t>Erdal ERDEM</w:t>
            </w:r>
          </w:p>
        </w:tc>
        <w:tc>
          <w:tcPr>
            <w:tcW w:w="3267" w:type="dxa"/>
            <w:vAlign w:val="center"/>
          </w:tcPr>
          <w:p w14:paraId="148D4E68" w14:textId="77777777" w:rsidR="00604E90" w:rsidRPr="001F224B" w:rsidRDefault="00604E90" w:rsidP="00EB22A7">
            <w:pPr>
              <w:spacing w:line="230" w:lineRule="auto"/>
              <w:rPr>
                <w:sz w:val="18"/>
                <w:szCs w:val="18"/>
              </w:rPr>
            </w:pPr>
            <w:r w:rsidRPr="001F224B">
              <w:rPr>
                <w:sz w:val="18"/>
                <w:szCs w:val="18"/>
              </w:rPr>
              <w:t xml:space="preserve">Yönetim Kurulu Üyesi </w:t>
            </w:r>
          </w:p>
        </w:tc>
        <w:tc>
          <w:tcPr>
            <w:tcW w:w="1282" w:type="dxa"/>
            <w:vAlign w:val="center"/>
          </w:tcPr>
          <w:p w14:paraId="0C05A8B4" w14:textId="77777777" w:rsidR="00604E90" w:rsidRPr="001F224B" w:rsidRDefault="00604E90" w:rsidP="00EB22A7">
            <w:pPr>
              <w:spacing w:line="230" w:lineRule="auto"/>
              <w:jc w:val="center"/>
              <w:rPr>
                <w:sz w:val="18"/>
                <w:szCs w:val="18"/>
              </w:rPr>
            </w:pPr>
            <w:r w:rsidRPr="001F224B">
              <w:rPr>
                <w:sz w:val="18"/>
                <w:szCs w:val="18"/>
              </w:rPr>
              <w:t>10.07.2020</w:t>
            </w:r>
          </w:p>
        </w:tc>
        <w:tc>
          <w:tcPr>
            <w:tcW w:w="1270" w:type="dxa"/>
            <w:vAlign w:val="center"/>
          </w:tcPr>
          <w:p w14:paraId="5025A85A" w14:textId="77777777" w:rsidR="00604E90" w:rsidRPr="001F224B" w:rsidRDefault="00604E90" w:rsidP="00EB22A7">
            <w:pPr>
              <w:spacing w:line="230" w:lineRule="auto"/>
              <w:jc w:val="both"/>
              <w:rPr>
                <w:sz w:val="18"/>
                <w:szCs w:val="18"/>
              </w:rPr>
            </w:pPr>
            <w:r w:rsidRPr="001F224B">
              <w:rPr>
                <w:sz w:val="18"/>
                <w:szCs w:val="18"/>
              </w:rPr>
              <w:t>Lisans</w:t>
            </w:r>
          </w:p>
        </w:tc>
        <w:tc>
          <w:tcPr>
            <w:tcW w:w="1245" w:type="dxa"/>
            <w:vAlign w:val="center"/>
          </w:tcPr>
          <w:p w14:paraId="4FB86FEB" w14:textId="77777777" w:rsidR="00604E90" w:rsidRPr="001F224B" w:rsidRDefault="00604E90" w:rsidP="00EB22A7">
            <w:pPr>
              <w:spacing w:line="230" w:lineRule="auto"/>
              <w:jc w:val="center"/>
              <w:rPr>
                <w:sz w:val="18"/>
                <w:szCs w:val="18"/>
              </w:rPr>
            </w:pPr>
            <w:r w:rsidRPr="001F224B">
              <w:rPr>
                <w:sz w:val="18"/>
                <w:szCs w:val="18"/>
              </w:rPr>
              <w:t>29</w:t>
            </w:r>
          </w:p>
        </w:tc>
      </w:tr>
      <w:tr w:rsidR="00604E90" w:rsidRPr="001F224B" w14:paraId="0B91C32D" w14:textId="77777777" w:rsidTr="00EB22A7">
        <w:trPr>
          <w:trHeight w:val="125"/>
        </w:trPr>
        <w:tc>
          <w:tcPr>
            <w:tcW w:w="2403" w:type="dxa"/>
            <w:vAlign w:val="center"/>
          </w:tcPr>
          <w:p w14:paraId="3068E213" w14:textId="77777777" w:rsidR="00604E90" w:rsidRPr="001F224B" w:rsidRDefault="00604E90" w:rsidP="00EB22A7">
            <w:pPr>
              <w:spacing w:line="230" w:lineRule="auto"/>
              <w:rPr>
                <w:sz w:val="18"/>
                <w:szCs w:val="18"/>
              </w:rPr>
            </w:pPr>
            <w:r w:rsidRPr="001F224B">
              <w:rPr>
                <w:sz w:val="18"/>
                <w:szCs w:val="18"/>
              </w:rPr>
              <w:t>Zeynep BOĞA</w:t>
            </w:r>
          </w:p>
        </w:tc>
        <w:tc>
          <w:tcPr>
            <w:tcW w:w="3267" w:type="dxa"/>
            <w:vAlign w:val="center"/>
          </w:tcPr>
          <w:p w14:paraId="42B5CB65" w14:textId="77777777" w:rsidR="00604E90" w:rsidRPr="001F224B" w:rsidRDefault="00604E90" w:rsidP="00EB22A7">
            <w:pPr>
              <w:spacing w:line="230" w:lineRule="auto"/>
              <w:rPr>
                <w:sz w:val="18"/>
                <w:szCs w:val="18"/>
              </w:rPr>
            </w:pPr>
            <w:r w:rsidRPr="001F224B">
              <w:rPr>
                <w:sz w:val="18"/>
                <w:szCs w:val="18"/>
              </w:rPr>
              <w:t xml:space="preserve">Yönetim Kurulu Üyesi </w:t>
            </w:r>
          </w:p>
        </w:tc>
        <w:tc>
          <w:tcPr>
            <w:tcW w:w="1282" w:type="dxa"/>
            <w:vAlign w:val="center"/>
          </w:tcPr>
          <w:p w14:paraId="5348A906" w14:textId="77777777" w:rsidR="00604E90" w:rsidRPr="001F224B" w:rsidRDefault="00604E90" w:rsidP="00EB22A7">
            <w:pPr>
              <w:spacing w:line="230" w:lineRule="auto"/>
              <w:jc w:val="center"/>
              <w:rPr>
                <w:sz w:val="18"/>
                <w:szCs w:val="18"/>
              </w:rPr>
            </w:pPr>
            <w:r w:rsidRPr="001F224B">
              <w:rPr>
                <w:sz w:val="18"/>
                <w:szCs w:val="18"/>
              </w:rPr>
              <w:t>04.08.2023</w:t>
            </w:r>
          </w:p>
        </w:tc>
        <w:tc>
          <w:tcPr>
            <w:tcW w:w="1270" w:type="dxa"/>
            <w:vAlign w:val="center"/>
          </w:tcPr>
          <w:p w14:paraId="25892206" w14:textId="77777777" w:rsidR="00604E90" w:rsidRPr="001F224B" w:rsidRDefault="00604E90" w:rsidP="00EB22A7">
            <w:pPr>
              <w:spacing w:line="230" w:lineRule="auto"/>
              <w:jc w:val="both"/>
              <w:rPr>
                <w:sz w:val="18"/>
                <w:szCs w:val="18"/>
              </w:rPr>
            </w:pPr>
            <w:r w:rsidRPr="001F224B">
              <w:rPr>
                <w:sz w:val="18"/>
                <w:szCs w:val="18"/>
              </w:rPr>
              <w:t>Yüksek Lisans</w:t>
            </w:r>
          </w:p>
        </w:tc>
        <w:tc>
          <w:tcPr>
            <w:tcW w:w="1245" w:type="dxa"/>
            <w:vAlign w:val="center"/>
          </w:tcPr>
          <w:p w14:paraId="18EB07AA" w14:textId="77777777" w:rsidR="00604E90" w:rsidRPr="001F224B" w:rsidRDefault="00604E90" w:rsidP="00EB22A7">
            <w:pPr>
              <w:spacing w:line="230" w:lineRule="auto"/>
              <w:jc w:val="center"/>
              <w:rPr>
                <w:sz w:val="18"/>
                <w:szCs w:val="18"/>
              </w:rPr>
            </w:pPr>
            <w:r w:rsidRPr="001F224B">
              <w:rPr>
                <w:sz w:val="18"/>
                <w:szCs w:val="18"/>
              </w:rPr>
              <w:t>20</w:t>
            </w:r>
          </w:p>
        </w:tc>
      </w:tr>
      <w:tr w:rsidR="00604E90" w:rsidRPr="001F224B" w14:paraId="6F126C99" w14:textId="77777777" w:rsidTr="00EB22A7">
        <w:trPr>
          <w:trHeight w:val="125"/>
        </w:trPr>
        <w:tc>
          <w:tcPr>
            <w:tcW w:w="2403" w:type="dxa"/>
            <w:vAlign w:val="center"/>
          </w:tcPr>
          <w:p w14:paraId="71F95496" w14:textId="77777777" w:rsidR="00604E90" w:rsidRPr="001F224B" w:rsidRDefault="00604E90" w:rsidP="00EB22A7">
            <w:pPr>
              <w:spacing w:line="230" w:lineRule="auto"/>
              <w:rPr>
                <w:sz w:val="18"/>
                <w:szCs w:val="18"/>
              </w:rPr>
            </w:pPr>
            <w:r w:rsidRPr="001F224B">
              <w:rPr>
                <w:sz w:val="18"/>
                <w:szCs w:val="18"/>
              </w:rPr>
              <w:t>Zekeriya ÇOŞTU</w:t>
            </w:r>
          </w:p>
        </w:tc>
        <w:tc>
          <w:tcPr>
            <w:tcW w:w="3267" w:type="dxa"/>
            <w:vAlign w:val="center"/>
          </w:tcPr>
          <w:p w14:paraId="052EE406" w14:textId="77777777" w:rsidR="00604E90" w:rsidRPr="001F224B" w:rsidRDefault="00604E90" w:rsidP="00EB22A7">
            <w:pPr>
              <w:spacing w:line="230" w:lineRule="auto"/>
              <w:rPr>
                <w:sz w:val="18"/>
                <w:szCs w:val="18"/>
              </w:rPr>
            </w:pPr>
            <w:r w:rsidRPr="001F224B">
              <w:rPr>
                <w:sz w:val="18"/>
                <w:szCs w:val="18"/>
              </w:rPr>
              <w:t xml:space="preserve">Yönetim Kurulu Üyesi </w:t>
            </w:r>
          </w:p>
        </w:tc>
        <w:tc>
          <w:tcPr>
            <w:tcW w:w="1282" w:type="dxa"/>
            <w:vAlign w:val="center"/>
          </w:tcPr>
          <w:p w14:paraId="72EE7273" w14:textId="77777777" w:rsidR="00604E90" w:rsidRPr="001F224B" w:rsidRDefault="00604E90" w:rsidP="00EB22A7">
            <w:pPr>
              <w:spacing w:line="230" w:lineRule="auto"/>
              <w:jc w:val="center"/>
              <w:rPr>
                <w:sz w:val="18"/>
                <w:szCs w:val="18"/>
              </w:rPr>
            </w:pPr>
            <w:r w:rsidRPr="001F224B">
              <w:rPr>
                <w:sz w:val="18"/>
                <w:szCs w:val="18"/>
              </w:rPr>
              <w:t>04.08.2023</w:t>
            </w:r>
          </w:p>
        </w:tc>
        <w:tc>
          <w:tcPr>
            <w:tcW w:w="1270" w:type="dxa"/>
            <w:vAlign w:val="center"/>
          </w:tcPr>
          <w:p w14:paraId="40A98F6D" w14:textId="77777777" w:rsidR="00604E90" w:rsidRPr="001F224B" w:rsidRDefault="00604E90" w:rsidP="00EB22A7">
            <w:pPr>
              <w:spacing w:line="230" w:lineRule="auto"/>
              <w:jc w:val="both"/>
              <w:rPr>
                <w:sz w:val="18"/>
                <w:szCs w:val="18"/>
              </w:rPr>
            </w:pPr>
            <w:r w:rsidRPr="001F224B">
              <w:rPr>
                <w:sz w:val="18"/>
                <w:szCs w:val="18"/>
              </w:rPr>
              <w:t>Yüksek Lisans</w:t>
            </w:r>
          </w:p>
        </w:tc>
        <w:tc>
          <w:tcPr>
            <w:tcW w:w="1245" w:type="dxa"/>
            <w:vAlign w:val="center"/>
          </w:tcPr>
          <w:p w14:paraId="43F026EF" w14:textId="77777777" w:rsidR="00604E90" w:rsidRPr="001F224B" w:rsidRDefault="00604E90" w:rsidP="00EB22A7">
            <w:pPr>
              <w:spacing w:line="230" w:lineRule="auto"/>
              <w:jc w:val="center"/>
              <w:rPr>
                <w:sz w:val="18"/>
                <w:szCs w:val="18"/>
              </w:rPr>
            </w:pPr>
            <w:r w:rsidRPr="001F224B">
              <w:rPr>
                <w:sz w:val="18"/>
                <w:szCs w:val="18"/>
              </w:rPr>
              <w:t>17</w:t>
            </w:r>
          </w:p>
        </w:tc>
      </w:tr>
      <w:tr w:rsidR="00604E90" w:rsidRPr="001F224B" w14:paraId="4D90EF59" w14:textId="77777777" w:rsidTr="00EB22A7">
        <w:trPr>
          <w:trHeight w:val="125"/>
        </w:trPr>
        <w:tc>
          <w:tcPr>
            <w:tcW w:w="2403" w:type="dxa"/>
            <w:vAlign w:val="center"/>
          </w:tcPr>
          <w:p w14:paraId="30DD1841" w14:textId="77777777" w:rsidR="00604E90" w:rsidRPr="001F224B" w:rsidRDefault="00604E90" w:rsidP="00EB22A7">
            <w:pPr>
              <w:spacing w:line="230" w:lineRule="auto"/>
              <w:rPr>
                <w:sz w:val="18"/>
                <w:szCs w:val="18"/>
              </w:rPr>
            </w:pPr>
            <w:r w:rsidRPr="001F224B">
              <w:rPr>
                <w:sz w:val="18"/>
                <w:szCs w:val="18"/>
              </w:rPr>
              <w:t>Kerem DÖNMEZ</w:t>
            </w:r>
          </w:p>
        </w:tc>
        <w:tc>
          <w:tcPr>
            <w:tcW w:w="3267" w:type="dxa"/>
            <w:vAlign w:val="center"/>
          </w:tcPr>
          <w:p w14:paraId="2CF83408" w14:textId="77777777" w:rsidR="00604E90" w:rsidRPr="001F224B" w:rsidRDefault="00604E90" w:rsidP="00EB22A7">
            <w:pPr>
              <w:spacing w:line="230" w:lineRule="auto"/>
              <w:rPr>
                <w:sz w:val="18"/>
                <w:szCs w:val="18"/>
              </w:rPr>
            </w:pPr>
            <w:r w:rsidRPr="001F224B">
              <w:rPr>
                <w:sz w:val="18"/>
                <w:szCs w:val="18"/>
              </w:rPr>
              <w:t>Yönetim Kurulu Üyesi</w:t>
            </w:r>
          </w:p>
        </w:tc>
        <w:tc>
          <w:tcPr>
            <w:tcW w:w="1282" w:type="dxa"/>
            <w:vAlign w:val="center"/>
          </w:tcPr>
          <w:p w14:paraId="48F0D625" w14:textId="77777777" w:rsidR="00604E90" w:rsidRPr="001F224B" w:rsidRDefault="00604E90" w:rsidP="00EB22A7">
            <w:pPr>
              <w:spacing w:line="230" w:lineRule="auto"/>
              <w:jc w:val="center"/>
              <w:rPr>
                <w:sz w:val="18"/>
                <w:szCs w:val="18"/>
              </w:rPr>
            </w:pPr>
            <w:r w:rsidRPr="001F224B">
              <w:rPr>
                <w:sz w:val="18"/>
                <w:szCs w:val="18"/>
              </w:rPr>
              <w:t>04.08.2023</w:t>
            </w:r>
          </w:p>
        </w:tc>
        <w:tc>
          <w:tcPr>
            <w:tcW w:w="1270" w:type="dxa"/>
            <w:vAlign w:val="center"/>
          </w:tcPr>
          <w:p w14:paraId="5A542EF8" w14:textId="77777777" w:rsidR="00604E90" w:rsidRPr="001F224B" w:rsidRDefault="00604E90" w:rsidP="00EB22A7">
            <w:pPr>
              <w:spacing w:line="230" w:lineRule="auto"/>
              <w:jc w:val="both"/>
              <w:rPr>
                <w:sz w:val="18"/>
                <w:szCs w:val="18"/>
              </w:rPr>
            </w:pPr>
            <w:r w:rsidRPr="001F224B">
              <w:rPr>
                <w:sz w:val="18"/>
                <w:szCs w:val="18"/>
              </w:rPr>
              <w:t>Yüksek Lisans</w:t>
            </w:r>
          </w:p>
        </w:tc>
        <w:tc>
          <w:tcPr>
            <w:tcW w:w="1245" w:type="dxa"/>
            <w:vAlign w:val="center"/>
          </w:tcPr>
          <w:p w14:paraId="6A9ABEA7" w14:textId="77777777" w:rsidR="00604E90" w:rsidRPr="001F224B" w:rsidRDefault="00604E90" w:rsidP="00EB22A7">
            <w:pPr>
              <w:spacing w:line="230" w:lineRule="auto"/>
              <w:jc w:val="center"/>
              <w:rPr>
                <w:sz w:val="18"/>
                <w:szCs w:val="18"/>
              </w:rPr>
            </w:pPr>
            <w:r w:rsidRPr="001F224B">
              <w:rPr>
                <w:sz w:val="18"/>
                <w:szCs w:val="18"/>
              </w:rPr>
              <w:t>17</w:t>
            </w:r>
          </w:p>
        </w:tc>
      </w:tr>
    </w:tbl>
    <w:p w14:paraId="35F15FC7" w14:textId="77777777" w:rsidR="00604E90" w:rsidRPr="001F224B" w:rsidRDefault="00604E90" w:rsidP="00604E90">
      <w:pPr>
        <w:tabs>
          <w:tab w:val="left" w:pos="567"/>
        </w:tabs>
        <w:spacing w:before="60" w:line="230" w:lineRule="auto"/>
        <w:ind w:left="567" w:right="-256"/>
        <w:jc w:val="both"/>
        <w:rPr>
          <w:sz w:val="14"/>
          <w:szCs w:val="14"/>
        </w:rPr>
      </w:pPr>
      <w:r w:rsidRPr="001F224B">
        <w:rPr>
          <w:sz w:val="14"/>
          <w:szCs w:val="14"/>
        </w:rPr>
        <w:t>(*)Banka’nın 2024 yılı Olağan Genel Kurul toplantısı 22 Nisan 2025 tarihinde gerçekleştirilmiştir. Ömer KARADEMİR’in Yönetim Kurulu üyeliği sona ermiş olup, Halil İbrahim AZAL Yönetim Kurulu Üyesi olarak seçilmiştir.</w:t>
      </w:r>
    </w:p>
    <w:p w14:paraId="3EAAC385" w14:textId="77777777" w:rsidR="005D7E24" w:rsidRPr="001F224B" w:rsidRDefault="005D7E24" w:rsidP="005D7E24">
      <w:pPr>
        <w:spacing w:before="60" w:after="60" w:line="230" w:lineRule="auto"/>
        <w:ind w:left="567"/>
        <w:jc w:val="both"/>
        <w:rPr>
          <w:b/>
          <w:bCs/>
          <w:sz w:val="22"/>
          <w:szCs w:val="22"/>
        </w:rPr>
      </w:pPr>
      <w:r w:rsidRPr="001F224B">
        <w:rPr>
          <w:b/>
          <w:bCs/>
          <w:sz w:val="22"/>
          <w:szCs w:val="22"/>
        </w:rPr>
        <w:t>Genel Müdür, Genel Müdür Yardımcıları</w:t>
      </w:r>
      <w:r w:rsidRPr="001F224B">
        <w:rPr>
          <w:b/>
          <w:bCs/>
          <w:sz w:val="22"/>
          <w:szCs w:val="22"/>
          <w:vertAlign w:val="superscript"/>
        </w:rPr>
        <w:t>(*)</w:t>
      </w:r>
      <w:r w:rsidRPr="001F224B">
        <w:rPr>
          <w:b/>
          <w:bCs/>
          <w:sz w:val="22"/>
          <w:szCs w:val="22"/>
        </w:rPr>
        <w:t>:</w:t>
      </w:r>
    </w:p>
    <w:tbl>
      <w:tblPr>
        <w:tblW w:w="947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3"/>
        <w:gridCol w:w="3394"/>
        <w:gridCol w:w="1264"/>
        <w:gridCol w:w="1120"/>
        <w:gridCol w:w="1274"/>
      </w:tblGrid>
      <w:tr w:rsidR="005D7E24" w:rsidRPr="001F224B" w14:paraId="0D20F392" w14:textId="77777777" w:rsidTr="00E07745">
        <w:trPr>
          <w:trHeight w:val="147"/>
        </w:trPr>
        <w:tc>
          <w:tcPr>
            <w:tcW w:w="2423" w:type="dxa"/>
            <w:tcMar>
              <w:top w:w="0" w:type="dxa"/>
              <w:left w:w="108" w:type="dxa"/>
              <w:bottom w:w="0" w:type="dxa"/>
              <w:right w:w="108" w:type="dxa"/>
            </w:tcMar>
            <w:vAlign w:val="bottom"/>
            <w:hideMark/>
          </w:tcPr>
          <w:p w14:paraId="381B8D2C" w14:textId="77777777" w:rsidR="005D7E24" w:rsidRPr="001F224B" w:rsidRDefault="005D7E24" w:rsidP="00E07745">
            <w:pPr>
              <w:spacing w:line="230" w:lineRule="auto"/>
              <w:jc w:val="center"/>
              <w:rPr>
                <w:b/>
                <w:bCs/>
                <w:sz w:val="18"/>
                <w:szCs w:val="18"/>
              </w:rPr>
            </w:pPr>
            <w:r w:rsidRPr="001F224B">
              <w:rPr>
                <w:b/>
                <w:bCs/>
                <w:sz w:val="18"/>
                <w:szCs w:val="18"/>
              </w:rPr>
              <w:t>Adı Soyadı</w:t>
            </w:r>
          </w:p>
        </w:tc>
        <w:tc>
          <w:tcPr>
            <w:tcW w:w="3394" w:type="dxa"/>
            <w:tcMar>
              <w:top w:w="0" w:type="dxa"/>
              <w:left w:w="108" w:type="dxa"/>
              <w:bottom w:w="0" w:type="dxa"/>
              <w:right w:w="108" w:type="dxa"/>
            </w:tcMar>
            <w:vAlign w:val="bottom"/>
            <w:hideMark/>
          </w:tcPr>
          <w:p w14:paraId="1403B23F" w14:textId="77777777" w:rsidR="005D7E24" w:rsidRPr="001F224B" w:rsidRDefault="005D7E24" w:rsidP="00E07745">
            <w:pPr>
              <w:spacing w:line="230" w:lineRule="auto"/>
              <w:jc w:val="center"/>
              <w:rPr>
                <w:b/>
                <w:bCs/>
                <w:sz w:val="18"/>
                <w:szCs w:val="18"/>
              </w:rPr>
            </w:pPr>
            <w:r w:rsidRPr="001F224B">
              <w:rPr>
                <w:b/>
                <w:bCs/>
                <w:sz w:val="18"/>
                <w:szCs w:val="18"/>
              </w:rPr>
              <w:t>Görevi</w:t>
            </w:r>
          </w:p>
        </w:tc>
        <w:tc>
          <w:tcPr>
            <w:tcW w:w="1264" w:type="dxa"/>
            <w:tcMar>
              <w:top w:w="0" w:type="dxa"/>
              <w:left w:w="108" w:type="dxa"/>
              <w:bottom w:w="0" w:type="dxa"/>
              <w:right w:w="108" w:type="dxa"/>
            </w:tcMar>
            <w:vAlign w:val="bottom"/>
            <w:hideMark/>
          </w:tcPr>
          <w:p w14:paraId="6CD9C585" w14:textId="77777777" w:rsidR="005D7E24" w:rsidRPr="001F224B" w:rsidRDefault="005D7E24" w:rsidP="00E07745">
            <w:pPr>
              <w:spacing w:line="230" w:lineRule="auto"/>
              <w:jc w:val="center"/>
              <w:rPr>
                <w:b/>
                <w:bCs/>
                <w:sz w:val="18"/>
                <w:szCs w:val="18"/>
              </w:rPr>
            </w:pPr>
            <w:r w:rsidRPr="001F224B">
              <w:rPr>
                <w:b/>
                <w:bCs/>
                <w:sz w:val="18"/>
                <w:szCs w:val="18"/>
              </w:rPr>
              <w:t>Göreve Atanma Tarihi</w:t>
            </w:r>
          </w:p>
        </w:tc>
        <w:tc>
          <w:tcPr>
            <w:tcW w:w="1120" w:type="dxa"/>
            <w:tcMar>
              <w:top w:w="0" w:type="dxa"/>
              <w:left w:w="108" w:type="dxa"/>
              <w:bottom w:w="0" w:type="dxa"/>
              <w:right w:w="108" w:type="dxa"/>
            </w:tcMar>
            <w:vAlign w:val="bottom"/>
            <w:hideMark/>
          </w:tcPr>
          <w:p w14:paraId="797B66B7" w14:textId="77777777" w:rsidR="005D7E24" w:rsidRPr="001F224B" w:rsidRDefault="005D7E24" w:rsidP="00E07745">
            <w:pPr>
              <w:spacing w:line="230" w:lineRule="auto"/>
              <w:jc w:val="center"/>
              <w:rPr>
                <w:b/>
                <w:bCs/>
                <w:sz w:val="18"/>
                <w:szCs w:val="18"/>
              </w:rPr>
            </w:pPr>
            <w:r w:rsidRPr="001F224B">
              <w:rPr>
                <w:b/>
                <w:bCs/>
                <w:sz w:val="18"/>
                <w:szCs w:val="18"/>
              </w:rPr>
              <w:t>Öğrenim Durumu</w:t>
            </w:r>
          </w:p>
        </w:tc>
        <w:tc>
          <w:tcPr>
            <w:tcW w:w="1274" w:type="dxa"/>
            <w:tcMar>
              <w:top w:w="0" w:type="dxa"/>
              <w:left w:w="108" w:type="dxa"/>
              <w:bottom w:w="0" w:type="dxa"/>
              <w:right w:w="108" w:type="dxa"/>
            </w:tcMar>
            <w:vAlign w:val="bottom"/>
            <w:hideMark/>
          </w:tcPr>
          <w:p w14:paraId="0E206DCC" w14:textId="77777777" w:rsidR="005D7E24" w:rsidRPr="001F224B" w:rsidRDefault="005D7E24" w:rsidP="00E07745">
            <w:pPr>
              <w:spacing w:line="230" w:lineRule="auto"/>
              <w:ind w:left="-45"/>
              <w:jc w:val="center"/>
              <w:rPr>
                <w:b/>
                <w:bCs/>
                <w:sz w:val="18"/>
                <w:szCs w:val="18"/>
              </w:rPr>
            </w:pPr>
            <w:r w:rsidRPr="001F224B">
              <w:rPr>
                <w:b/>
                <w:bCs/>
                <w:sz w:val="18"/>
                <w:szCs w:val="18"/>
              </w:rPr>
              <w:t>Bankacılık ve İşletmecilik Dallarında İş Tecrübesi (Yıl)</w:t>
            </w:r>
          </w:p>
        </w:tc>
      </w:tr>
      <w:tr w:rsidR="005D7E24" w:rsidRPr="001F224B" w14:paraId="7382D04A" w14:textId="77777777" w:rsidTr="00E07745">
        <w:trPr>
          <w:trHeight w:val="189"/>
        </w:trPr>
        <w:tc>
          <w:tcPr>
            <w:tcW w:w="2423" w:type="dxa"/>
            <w:tcMar>
              <w:top w:w="0" w:type="dxa"/>
              <w:left w:w="108" w:type="dxa"/>
              <w:bottom w:w="0" w:type="dxa"/>
              <w:right w:w="108" w:type="dxa"/>
            </w:tcMar>
            <w:vAlign w:val="center"/>
            <w:hideMark/>
          </w:tcPr>
          <w:p w14:paraId="442CCDF4" w14:textId="77777777" w:rsidR="005D7E24" w:rsidRPr="001F224B" w:rsidRDefault="005D7E24" w:rsidP="00E07745">
            <w:pPr>
              <w:spacing w:line="230" w:lineRule="auto"/>
              <w:rPr>
                <w:sz w:val="18"/>
                <w:szCs w:val="18"/>
              </w:rPr>
            </w:pPr>
            <w:r w:rsidRPr="001F224B">
              <w:rPr>
                <w:sz w:val="18"/>
                <w:szCs w:val="18"/>
              </w:rPr>
              <w:t>İbrahim H. ÖZTOP</w:t>
            </w:r>
          </w:p>
        </w:tc>
        <w:tc>
          <w:tcPr>
            <w:tcW w:w="3394" w:type="dxa"/>
            <w:tcMar>
              <w:top w:w="0" w:type="dxa"/>
              <w:left w:w="108" w:type="dxa"/>
              <w:bottom w:w="0" w:type="dxa"/>
              <w:right w:w="108" w:type="dxa"/>
            </w:tcMar>
            <w:vAlign w:val="center"/>
            <w:hideMark/>
          </w:tcPr>
          <w:p w14:paraId="05E5E009" w14:textId="77777777" w:rsidR="005D7E24" w:rsidRPr="001F224B" w:rsidRDefault="005D7E24" w:rsidP="00E07745">
            <w:pPr>
              <w:spacing w:line="230" w:lineRule="auto"/>
              <w:rPr>
                <w:b/>
                <w:bCs/>
                <w:sz w:val="18"/>
                <w:szCs w:val="18"/>
              </w:rPr>
            </w:pPr>
            <w:r w:rsidRPr="001F224B">
              <w:rPr>
                <w:sz w:val="18"/>
                <w:szCs w:val="18"/>
              </w:rPr>
              <w:t>Genel Müdür / Bilgi Güvenliği, Hukuk Müşavirliği, Özel Kalem Müdürlüğü ve Diğer Tüm Birimler</w:t>
            </w:r>
          </w:p>
        </w:tc>
        <w:tc>
          <w:tcPr>
            <w:tcW w:w="1264" w:type="dxa"/>
            <w:tcMar>
              <w:top w:w="0" w:type="dxa"/>
              <w:left w:w="108" w:type="dxa"/>
              <w:bottom w:w="0" w:type="dxa"/>
              <w:right w:w="108" w:type="dxa"/>
            </w:tcMar>
            <w:vAlign w:val="center"/>
            <w:hideMark/>
          </w:tcPr>
          <w:p w14:paraId="5ED07D4E" w14:textId="77777777" w:rsidR="005D7E24" w:rsidRPr="001F224B" w:rsidRDefault="005D7E24" w:rsidP="00E07745">
            <w:pPr>
              <w:spacing w:line="230" w:lineRule="auto"/>
              <w:rPr>
                <w:color w:val="000000"/>
                <w:sz w:val="18"/>
                <w:szCs w:val="18"/>
              </w:rPr>
            </w:pPr>
            <w:r w:rsidRPr="001F224B">
              <w:rPr>
                <w:color w:val="000000"/>
                <w:sz w:val="18"/>
                <w:szCs w:val="18"/>
              </w:rPr>
              <w:t>16.08.2018</w:t>
            </w:r>
          </w:p>
        </w:tc>
        <w:tc>
          <w:tcPr>
            <w:tcW w:w="1120" w:type="dxa"/>
            <w:tcMar>
              <w:top w:w="0" w:type="dxa"/>
              <w:left w:w="108" w:type="dxa"/>
              <w:bottom w:w="0" w:type="dxa"/>
              <w:right w:w="108" w:type="dxa"/>
            </w:tcMar>
            <w:vAlign w:val="center"/>
            <w:hideMark/>
          </w:tcPr>
          <w:p w14:paraId="7F63F079" w14:textId="77777777" w:rsidR="005D7E24" w:rsidRPr="001F224B" w:rsidRDefault="005D7E24" w:rsidP="00E07745">
            <w:pPr>
              <w:spacing w:line="230" w:lineRule="auto"/>
              <w:rPr>
                <w:color w:val="000000"/>
                <w:sz w:val="18"/>
                <w:szCs w:val="18"/>
              </w:rPr>
            </w:pPr>
            <w:r w:rsidRPr="001F224B">
              <w:rPr>
                <w:color w:val="000000"/>
                <w:sz w:val="18"/>
                <w:szCs w:val="18"/>
              </w:rPr>
              <w:t>Yüksek Lisans</w:t>
            </w:r>
          </w:p>
        </w:tc>
        <w:tc>
          <w:tcPr>
            <w:tcW w:w="1274" w:type="dxa"/>
            <w:tcMar>
              <w:top w:w="0" w:type="dxa"/>
              <w:left w:w="108" w:type="dxa"/>
              <w:bottom w:w="0" w:type="dxa"/>
              <w:right w:w="108" w:type="dxa"/>
            </w:tcMar>
            <w:vAlign w:val="center"/>
            <w:hideMark/>
          </w:tcPr>
          <w:p w14:paraId="380D5BAD" w14:textId="77777777" w:rsidR="005D7E24" w:rsidRPr="001F224B" w:rsidRDefault="005D7E24" w:rsidP="00E07745">
            <w:pPr>
              <w:spacing w:line="230" w:lineRule="auto"/>
              <w:jc w:val="center"/>
              <w:rPr>
                <w:color w:val="000000"/>
                <w:sz w:val="18"/>
                <w:szCs w:val="18"/>
              </w:rPr>
            </w:pPr>
            <w:r w:rsidRPr="001F224B">
              <w:rPr>
                <w:color w:val="000000"/>
                <w:sz w:val="18"/>
                <w:szCs w:val="18"/>
              </w:rPr>
              <w:t>29</w:t>
            </w:r>
          </w:p>
        </w:tc>
      </w:tr>
      <w:tr w:rsidR="005D7E24" w:rsidRPr="001F224B" w14:paraId="66A74424" w14:textId="77777777" w:rsidTr="00E07745">
        <w:trPr>
          <w:trHeight w:val="189"/>
        </w:trPr>
        <w:tc>
          <w:tcPr>
            <w:tcW w:w="2423" w:type="dxa"/>
            <w:tcMar>
              <w:top w:w="0" w:type="dxa"/>
              <w:left w:w="108" w:type="dxa"/>
              <w:bottom w:w="0" w:type="dxa"/>
              <w:right w:w="108" w:type="dxa"/>
            </w:tcMar>
            <w:vAlign w:val="center"/>
          </w:tcPr>
          <w:p w14:paraId="7C7D9BEB" w14:textId="77777777" w:rsidR="005D7E24" w:rsidRPr="001F224B" w:rsidRDefault="005D7E24" w:rsidP="00E07745">
            <w:pPr>
              <w:spacing w:line="230" w:lineRule="auto"/>
              <w:rPr>
                <w:sz w:val="18"/>
                <w:szCs w:val="18"/>
              </w:rPr>
            </w:pPr>
            <w:r w:rsidRPr="001F224B">
              <w:rPr>
                <w:sz w:val="18"/>
                <w:szCs w:val="18"/>
              </w:rPr>
              <w:t xml:space="preserve">Satı BALCI </w:t>
            </w:r>
          </w:p>
        </w:tc>
        <w:tc>
          <w:tcPr>
            <w:tcW w:w="3394" w:type="dxa"/>
            <w:tcMar>
              <w:top w:w="0" w:type="dxa"/>
              <w:left w:w="108" w:type="dxa"/>
              <w:bottom w:w="0" w:type="dxa"/>
              <w:right w:w="108" w:type="dxa"/>
            </w:tcMar>
            <w:vAlign w:val="center"/>
          </w:tcPr>
          <w:p w14:paraId="79D37C15" w14:textId="77777777" w:rsidR="005D7E24" w:rsidRPr="001F224B" w:rsidRDefault="005D7E24" w:rsidP="00E07745">
            <w:pPr>
              <w:spacing w:line="230" w:lineRule="auto"/>
              <w:rPr>
                <w:sz w:val="18"/>
                <w:szCs w:val="18"/>
              </w:rPr>
            </w:pPr>
            <w:r w:rsidRPr="001F224B">
              <w:rPr>
                <w:sz w:val="18"/>
                <w:szCs w:val="18"/>
              </w:rPr>
              <w:t>GMY / İştirakler ve Kurumsal İlişkiler, Kredi Portföy Yönetimi ve İzleme, Kredi Operasyon, Hazine ve Sermaye Piyasası İşlemleri Operasyon, Türkiye Kalkınma Fonu, Kredi Tahsis</w:t>
            </w:r>
            <w:r w:rsidRPr="001F224B">
              <w:rPr>
                <w:sz w:val="18"/>
                <w:szCs w:val="18"/>
                <w:vertAlign w:val="superscript"/>
              </w:rPr>
              <w:t>(*)</w:t>
            </w:r>
          </w:p>
        </w:tc>
        <w:tc>
          <w:tcPr>
            <w:tcW w:w="1264" w:type="dxa"/>
            <w:tcMar>
              <w:top w:w="0" w:type="dxa"/>
              <w:left w:w="108" w:type="dxa"/>
              <w:bottom w:w="0" w:type="dxa"/>
              <w:right w:w="108" w:type="dxa"/>
            </w:tcMar>
            <w:vAlign w:val="center"/>
          </w:tcPr>
          <w:p w14:paraId="414C1941" w14:textId="77777777" w:rsidR="005D7E24" w:rsidRPr="001F224B" w:rsidRDefault="005D7E24" w:rsidP="00E07745">
            <w:pPr>
              <w:spacing w:line="230" w:lineRule="auto"/>
              <w:rPr>
                <w:color w:val="000000"/>
                <w:sz w:val="18"/>
                <w:szCs w:val="18"/>
              </w:rPr>
            </w:pPr>
            <w:r w:rsidRPr="001F224B">
              <w:rPr>
                <w:color w:val="000000"/>
                <w:sz w:val="18"/>
                <w:szCs w:val="18"/>
              </w:rPr>
              <w:t>07.11.2017</w:t>
            </w:r>
          </w:p>
        </w:tc>
        <w:tc>
          <w:tcPr>
            <w:tcW w:w="1120" w:type="dxa"/>
            <w:tcMar>
              <w:top w:w="0" w:type="dxa"/>
              <w:left w:w="108" w:type="dxa"/>
              <w:bottom w:w="0" w:type="dxa"/>
              <w:right w:w="108" w:type="dxa"/>
            </w:tcMar>
            <w:vAlign w:val="center"/>
          </w:tcPr>
          <w:p w14:paraId="1F71B48C" w14:textId="77777777" w:rsidR="005D7E24" w:rsidRPr="001F224B" w:rsidRDefault="005D7E24" w:rsidP="00E07745">
            <w:pPr>
              <w:spacing w:line="230" w:lineRule="auto"/>
              <w:rPr>
                <w:color w:val="000000"/>
                <w:sz w:val="18"/>
                <w:szCs w:val="18"/>
              </w:rPr>
            </w:pPr>
            <w:r w:rsidRPr="001F224B">
              <w:rPr>
                <w:color w:val="000000"/>
                <w:sz w:val="18"/>
                <w:szCs w:val="18"/>
              </w:rPr>
              <w:t>Lisans</w:t>
            </w:r>
          </w:p>
        </w:tc>
        <w:tc>
          <w:tcPr>
            <w:tcW w:w="1274" w:type="dxa"/>
            <w:tcMar>
              <w:top w:w="0" w:type="dxa"/>
              <w:left w:w="108" w:type="dxa"/>
              <w:bottom w:w="0" w:type="dxa"/>
              <w:right w:w="108" w:type="dxa"/>
            </w:tcMar>
            <w:vAlign w:val="center"/>
          </w:tcPr>
          <w:p w14:paraId="682821D8" w14:textId="77777777" w:rsidR="005D7E24" w:rsidRPr="001F224B" w:rsidRDefault="005D7E24" w:rsidP="00E07745">
            <w:pPr>
              <w:spacing w:line="230" w:lineRule="auto"/>
              <w:jc w:val="center"/>
              <w:rPr>
                <w:color w:val="000000"/>
                <w:sz w:val="18"/>
                <w:szCs w:val="18"/>
              </w:rPr>
            </w:pPr>
            <w:r w:rsidRPr="001F224B">
              <w:rPr>
                <w:color w:val="000000"/>
                <w:sz w:val="18"/>
                <w:szCs w:val="18"/>
              </w:rPr>
              <w:t>36</w:t>
            </w:r>
          </w:p>
        </w:tc>
      </w:tr>
      <w:tr w:rsidR="005D7E24" w:rsidRPr="001F224B" w14:paraId="421BDF53" w14:textId="77777777" w:rsidTr="00E07745">
        <w:trPr>
          <w:trHeight w:val="189"/>
        </w:trPr>
        <w:tc>
          <w:tcPr>
            <w:tcW w:w="2423" w:type="dxa"/>
            <w:tcMar>
              <w:top w:w="0" w:type="dxa"/>
              <w:left w:w="108" w:type="dxa"/>
              <w:bottom w:w="0" w:type="dxa"/>
              <w:right w:w="108" w:type="dxa"/>
            </w:tcMar>
            <w:vAlign w:val="center"/>
          </w:tcPr>
          <w:p w14:paraId="39EE0FC4" w14:textId="77777777" w:rsidR="005D7E24" w:rsidRPr="001F224B" w:rsidRDefault="005D7E24" w:rsidP="00E07745">
            <w:pPr>
              <w:spacing w:line="230" w:lineRule="auto"/>
              <w:rPr>
                <w:sz w:val="18"/>
                <w:szCs w:val="18"/>
              </w:rPr>
            </w:pPr>
            <w:r w:rsidRPr="001F224B">
              <w:rPr>
                <w:sz w:val="18"/>
                <w:szCs w:val="18"/>
              </w:rPr>
              <w:t>Seçil KIZILKAYA YILDIZ</w:t>
            </w:r>
          </w:p>
        </w:tc>
        <w:tc>
          <w:tcPr>
            <w:tcW w:w="3394" w:type="dxa"/>
            <w:tcMar>
              <w:top w:w="0" w:type="dxa"/>
              <w:left w:w="108" w:type="dxa"/>
              <w:bottom w:w="0" w:type="dxa"/>
              <w:right w:w="108" w:type="dxa"/>
            </w:tcMar>
            <w:vAlign w:val="center"/>
          </w:tcPr>
          <w:p w14:paraId="7CDFA140" w14:textId="77777777" w:rsidR="005D7E24" w:rsidRPr="001F224B" w:rsidRDefault="005D7E24" w:rsidP="00E07745">
            <w:pPr>
              <w:tabs>
                <w:tab w:val="left" w:pos="3416"/>
              </w:tabs>
              <w:spacing w:line="230" w:lineRule="auto"/>
              <w:ind w:left="22"/>
              <w:rPr>
                <w:sz w:val="18"/>
                <w:szCs w:val="18"/>
              </w:rPr>
            </w:pPr>
            <w:r w:rsidRPr="001F224B">
              <w:rPr>
                <w:sz w:val="18"/>
                <w:szCs w:val="18"/>
              </w:rPr>
              <w:t>GMY / Finansal Analiz ve Değerleme, Mühendislik, Ekonomik Araştırmalar, Sektörel Araştırmalar, Birleşme ve Satın Alma Danışmanlığı, Sermaye Piyasaları Danışmanlığı, Finansal Danışmanlık, Sürdürülebilirlik ve Çevresel Sosyal Etki Yönetimi</w:t>
            </w:r>
          </w:p>
        </w:tc>
        <w:tc>
          <w:tcPr>
            <w:tcW w:w="1264" w:type="dxa"/>
            <w:tcMar>
              <w:top w:w="0" w:type="dxa"/>
              <w:left w:w="108" w:type="dxa"/>
              <w:bottom w:w="0" w:type="dxa"/>
              <w:right w:w="108" w:type="dxa"/>
            </w:tcMar>
            <w:vAlign w:val="center"/>
          </w:tcPr>
          <w:p w14:paraId="2A3A064B" w14:textId="77777777" w:rsidR="005D7E24" w:rsidRPr="001F224B" w:rsidRDefault="005D7E24" w:rsidP="00E07745">
            <w:pPr>
              <w:spacing w:line="230" w:lineRule="auto"/>
              <w:rPr>
                <w:color w:val="000000"/>
                <w:sz w:val="18"/>
                <w:szCs w:val="18"/>
              </w:rPr>
            </w:pPr>
            <w:r w:rsidRPr="001F224B">
              <w:rPr>
                <w:color w:val="000000"/>
                <w:sz w:val="18"/>
                <w:szCs w:val="18"/>
              </w:rPr>
              <w:t>08.03.2019</w:t>
            </w:r>
          </w:p>
        </w:tc>
        <w:tc>
          <w:tcPr>
            <w:tcW w:w="1120" w:type="dxa"/>
            <w:tcMar>
              <w:top w:w="0" w:type="dxa"/>
              <w:left w:w="108" w:type="dxa"/>
              <w:bottom w:w="0" w:type="dxa"/>
              <w:right w:w="108" w:type="dxa"/>
            </w:tcMar>
            <w:vAlign w:val="center"/>
          </w:tcPr>
          <w:p w14:paraId="0F103069" w14:textId="77777777" w:rsidR="005D7E24" w:rsidRPr="001F224B" w:rsidRDefault="005D7E24" w:rsidP="00E07745">
            <w:pPr>
              <w:spacing w:line="230" w:lineRule="auto"/>
              <w:rPr>
                <w:color w:val="000000"/>
                <w:sz w:val="18"/>
                <w:szCs w:val="18"/>
              </w:rPr>
            </w:pPr>
            <w:r w:rsidRPr="001F224B">
              <w:rPr>
                <w:color w:val="000000"/>
                <w:sz w:val="18"/>
                <w:szCs w:val="18"/>
              </w:rPr>
              <w:t>Lisans</w:t>
            </w:r>
          </w:p>
        </w:tc>
        <w:tc>
          <w:tcPr>
            <w:tcW w:w="1274" w:type="dxa"/>
            <w:tcMar>
              <w:top w:w="0" w:type="dxa"/>
              <w:left w:w="108" w:type="dxa"/>
              <w:bottom w:w="0" w:type="dxa"/>
              <w:right w:w="108" w:type="dxa"/>
            </w:tcMar>
            <w:vAlign w:val="center"/>
          </w:tcPr>
          <w:p w14:paraId="7B1DD25B" w14:textId="77777777" w:rsidR="005D7E24" w:rsidRPr="001F224B" w:rsidRDefault="005D7E24" w:rsidP="00E07745">
            <w:pPr>
              <w:spacing w:line="230" w:lineRule="auto"/>
              <w:jc w:val="center"/>
              <w:rPr>
                <w:color w:val="000000"/>
                <w:sz w:val="18"/>
                <w:szCs w:val="18"/>
              </w:rPr>
            </w:pPr>
            <w:r w:rsidRPr="001F224B">
              <w:rPr>
                <w:color w:val="000000"/>
                <w:sz w:val="18"/>
                <w:szCs w:val="18"/>
              </w:rPr>
              <w:t>26</w:t>
            </w:r>
          </w:p>
        </w:tc>
      </w:tr>
      <w:tr w:rsidR="005D7E24" w:rsidRPr="001F224B" w14:paraId="32A36D5C" w14:textId="77777777" w:rsidTr="00E07745">
        <w:trPr>
          <w:trHeight w:val="189"/>
        </w:trPr>
        <w:tc>
          <w:tcPr>
            <w:tcW w:w="2423" w:type="dxa"/>
            <w:tcMar>
              <w:top w:w="0" w:type="dxa"/>
              <w:left w:w="108" w:type="dxa"/>
              <w:bottom w:w="0" w:type="dxa"/>
              <w:right w:w="108" w:type="dxa"/>
            </w:tcMar>
            <w:vAlign w:val="center"/>
          </w:tcPr>
          <w:p w14:paraId="42534D24" w14:textId="77777777" w:rsidR="005D7E24" w:rsidRPr="001F224B" w:rsidRDefault="005D7E24" w:rsidP="00E07745">
            <w:pPr>
              <w:spacing w:line="230" w:lineRule="auto"/>
              <w:rPr>
                <w:sz w:val="18"/>
                <w:szCs w:val="18"/>
              </w:rPr>
            </w:pPr>
            <w:r w:rsidRPr="001F224B">
              <w:rPr>
                <w:sz w:val="18"/>
                <w:szCs w:val="18"/>
              </w:rPr>
              <w:t>Emine Özlem CİNEMRE</w:t>
            </w:r>
          </w:p>
        </w:tc>
        <w:tc>
          <w:tcPr>
            <w:tcW w:w="3394" w:type="dxa"/>
            <w:tcMar>
              <w:top w:w="0" w:type="dxa"/>
              <w:left w:w="108" w:type="dxa"/>
              <w:bottom w:w="0" w:type="dxa"/>
              <w:right w:w="108" w:type="dxa"/>
            </w:tcMar>
            <w:vAlign w:val="center"/>
          </w:tcPr>
          <w:p w14:paraId="10C33DB1" w14:textId="77777777" w:rsidR="005D7E24" w:rsidRPr="001F224B" w:rsidRDefault="005D7E24" w:rsidP="00E07745">
            <w:pPr>
              <w:spacing w:line="230" w:lineRule="auto"/>
              <w:rPr>
                <w:sz w:val="18"/>
                <w:szCs w:val="18"/>
              </w:rPr>
            </w:pPr>
            <w:r w:rsidRPr="001F224B">
              <w:rPr>
                <w:sz w:val="18"/>
                <w:szCs w:val="18"/>
              </w:rPr>
              <w:t>GMY / Hazine, Kalkınma Finansmanı</w:t>
            </w:r>
          </w:p>
          <w:p w14:paraId="2D225A16" w14:textId="77777777" w:rsidR="005D7E24" w:rsidRPr="001F224B" w:rsidRDefault="005D7E24" w:rsidP="00E07745">
            <w:pPr>
              <w:spacing w:line="230" w:lineRule="auto"/>
              <w:rPr>
                <w:sz w:val="18"/>
                <w:szCs w:val="18"/>
              </w:rPr>
            </w:pPr>
            <w:r w:rsidRPr="001F224B">
              <w:rPr>
                <w:sz w:val="18"/>
                <w:szCs w:val="18"/>
              </w:rPr>
              <w:t>ve Finansal Kurumlar, Kalkınma İşbirliği ve Toptan Bankacılık</w:t>
            </w:r>
          </w:p>
        </w:tc>
        <w:tc>
          <w:tcPr>
            <w:tcW w:w="1264" w:type="dxa"/>
            <w:tcMar>
              <w:top w:w="0" w:type="dxa"/>
              <w:left w:w="108" w:type="dxa"/>
              <w:bottom w:w="0" w:type="dxa"/>
              <w:right w:w="108" w:type="dxa"/>
            </w:tcMar>
            <w:vAlign w:val="center"/>
          </w:tcPr>
          <w:p w14:paraId="19E6CCF8" w14:textId="77777777" w:rsidR="005D7E24" w:rsidRPr="001F224B" w:rsidRDefault="005D7E24" w:rsidP="00E07745">
            <w:pPr>
              <w:spacing w:line="230" w:lineRule="auto"/>
              <w:rPr>
                <w:sz w:val="18"/>
                <w:szCs w:val="18"/>
              </w:rPr>
            </w:pPr>
            <w:r w:rsidRPr="001F224B">
              <w:rPr>
                <w:sz w:val="18"/>
                <w:szCs w:val="18"/>
              </w:rPr>
              <w:t>20.05.2019</w:t>
            </w:r>
          </w:p>
        </w:tc>
        <w:tc>
          <w:tcPr>
            <w:tcW w:w="1120" w:type="dxa"/>
            <w:tcMar>
              <w:top w:w="0" w:type="dxa"/>
              <w:left w:w="108" w:type="dxa"/>
              <w:bottom w:w="0" w:type="dxa"/>
              <w:right w:w="108" w:type="dxa"/>
            </w:tcMar>
            <w:vAlign w:val="center"/>
          </w:tcPr>
          <w:p w14:paraId="46520ACE" w14:textId="77777777" w:rsidR="005D7E24" w:rsidRPr="001F224B" w:rsidRDefault="005D7E24" w:rsidP="00E07745">
            <w:pPr>
              <w:spacing w:line="230" w:lineRule="auto"/>
              <w:rPr>
                <w:sz w:val="18"/>
                <w:szCs w:val="18"/>
              </w:rPr>
            </w:pPr>
            <w:r w:rsidRPr="001F224B">
              <w:rPr>
                <w:sz w:val="18"/>
                <w:szCs w:val="18"/>
              </w:rPr>
              <w:t>Yüksek Lisans</w:t>
            </w:r>
          </w:p>
        </w:tc>
        <w:tc>
          <w:tcPr>
            <w:tcW w:w="1274" w:type="dxa"/>
            <w:tcMar>
              <w:top w:w="0" w:type="dxa"/>
              <w:left w:w="108" w:type="dxa"/>
              <w:bottom w:w="0" w:type="dxa"/>
              <w:right w:w="108" w:type="dxa"/>
            </w:tcMar>
            <w:vAlign w:val="center"/>
          </w:tcPr>
          <w:p w14:paraId="547549F7" w14:textId="77777777" w:rsidR="005D7E24" w:rsidRPr="001F224B" w:rsidRDefault="005D7E24" w:rsidP="00E07745">
            <w:pPr>
              <w:spacing w:line="230" w:lineRule="auto"/>
              <w:jc w:val="center"/>
              <w:rPr>
                <w:sz w:val="18"/>
                <w:szCs w:val="18"/>
              </w:rPr>
            </w:pPr>
            <w:r w:rsidRPr="001F224B">
              <w:rPr>
                <w:sz w:val="18"/>
                <w:szCs w:val="18"/>
              </w:rPr>
              <w:t>37</w:t>
            </w:r>
          </w:p>
        </w:tc>
      </w:tr>
      <w:tr w:rsidR="005D7E24" w:rsidRPr="001F224B" w14:paraId="27645EBF" w14:textId="77777777" w:rsidTr="00E07745">
        <w:trPr>
          <w:trHeight w:val="189"/>
        </w:trPr>
        <w:tc>
          <w:tcPr>
            <w:tcW w:w="2423" w:type="dxa"/>
            <w:tcMar>
              <w:top w:w="0" w:type="dxa"/>
              <w:left w:w="108" w:type="dxa"/>
              <w:bottom w:w="0" w:type="dxa"/>
              <w:right w:w="108" w:type="dxa"/>
            </w:tcMar>
            <w:vAlign w:val="center"/>
          </w:tcPr>
          <w:p w14:paraId="42A73A17" w14:textId="77777777" w:rsidR="005D7E24" w:rsidRPr="001F224B" w:rsidRDefault="005D7E24" w:rsidP="00E07745">
            <w:pPr>
              <w:spacing w:line="230" w:lineRule="auto"/>
              <w:rPr>
                <w:sz w:val="18"/>
                <w:szCs w:val="18"/>
              </w:rPr>
            </w:pPr>
            <w:r w:rsidRPr="001F224B">
              <w:rPr>
                <w:sz w:val="18"/>
                <w:szCs w:val="18"/>
              </w:rPr>
              <w:t>Ali YUNUSLAR</w:t>
            </w:r>
          </w:p>
        </w:tc>
        <w:tc>
          <w:tcPr>
            <w:tcW w:w="3394" w:type="dxa"/>
            <w:tcMar>
              <w:top w:w="0" w:type="dxa"/>
              <w:left w:w="108" w:type="dxa"/>
              <w:bottom w:w="0" w:type="dxa"/>
              <w:right w:w="108" w:type="dxa"/>
            </w:tcMar>
            <w:vAlign w:val="center"/>
          </w:tcPr>
          <w:p w14:paraId="246C4BC4" w14:textId="77777777" w:rsidR="005D7E24" w:rsidRPr="001F224B" w:rsidRDefault="005D7E24" w:rsidP="00E07745">
            <w:pPr>
              <w:spacing w:line="230" w:lineRule="auto"/>
              <w:rPr>
                <w:sz w:val="18"/>
                <w:szCs w:val="18"/>
              </w:rPr>
            </w:pPr>
            <w:r w:rsidRPr="001F224B">
              <w:rPr>
                <w:sz w:val="18"/>
                <w:szCs w:val="18"/>
              </w:rPr>
              <w:t>GMY / BT Uygulama Geliştirme, BT Sistem ve Altyapı, Kurumsal Mimari ve Proje Yönetimi</w:t>
            </w:r>
          </w:p>
        </w:tc>
        <w:tc>
          <w:tcPr>
            <w:tcW w:w="1264" w:type="dxa"/>
            <w:tcMar>
              <w:top w:w="0" w:type="dxa"/>
              <w:left w:w="108" w:type="dxa"/>
              <w:bottom w:w="0" w:type="dxa"/>
              <w:right w:w="108" w:type="dxa"/>
            </w:tcMar>
            <w:vAlign w:val="center"/>
          </w:tcPr>
          <w:p w14:paraId="69A355A6" w14:textId="77777777" w:rsidR="005D7E24" w:rsidRPr="001F224B" w:rsidRDefault="005D7E24" w:rsidP="00E07745">
            <w:pPr>
              <w:spacing w:line="230" w:lineRule="auto"/>
              <w:rPr>
                <w:sz w:val="18"/>
                <w:szCs w:val="18"/>
              </w:rPr>
            </w:pPr>
            <w:r w:rsidRPr="001F224B">
              <w:rPr>
                <w:sz w:val="18"/>
                <w:szCs w:val="18"/>
              </w:rPr>
              <w:t>08.02.2022</w:t>
            </w:r>
          </w:p>
        </w:tc>
        <w:tc>
          <w:tcPr>
            <w:tcW w:w="1120" w:type="dxa"/>
            <w:tcMar>
              <w:top w:w="0" w:type="dxa"/>
              <w:left w:w="108" w:type="dxa"/>
              <w:bottom w:w="0" w:type="dxa"/>
              <w:right w:w="108" w:type="dxa"/>
            </w:tcMar>
            <w:vAlign w:val="center"/>
          </w:tcPr>
          <w:p w14:paraId="3A19AB07" w14:textId="77777777" w:rsidR="005D7E24" w:rsidRPr="001F224B" w:rsidRDefault="005D7E24" w:rsidP="00E07745">
            <w:pPr>
              <w:spacing w:line="230" w:lineRule="auto"/>
              <w:rPr>
                <w:sz w:val="18"/>
                <w:szCs w:val="18"/>
              </w:rPr>
            </w:pPr>
            <w:r w:rsidRPr="001F224B">
              <w:rPr>
                <w:sz w:val="18"/>
                <w:szCs w:val="18"/>
              </w:rPr>
              <w:t>Yüksek Lisans</w:t>
            </w:r>
          </w:p>
        </w:tc>
        <w:tc>
          <w:tcPr>
            <w:tcW w:w="1274" w:type="dxa"/>
            <w:tcMar>
              <w:top w:w="0" w:type="dxa"/>
              <w:left w:w="108" w:type="dxa"/>
              <w:bottom w:w="0" w:type="dxa"/>
              <w:right w:w="108" w:type="dxa"/>
            </w:tcMar>
            <w:vAlign w:val="center"/>
          </w:tcPr>
          <w:p w14:paraId="05C310B3" w14:textId="77777777" w:rsidR="005D7E24" w:rsidRPr="001F224B" w:rsidRDefault="005D7E24" w:rsidP="00E07745">
            <w:pPr>
              <w:spacing w:line="230" w:lineRule="auto"/>
              <w:jc w:val="center"/>
              <w:rPr>
                <w:sz w:val="18"/>
                <w:szCs w:val="18"/>
              </w:rPr>
            </w:pPr>
            <w:r w:rsidRPr="001F224B">
              <w:rPr>
                <w:sz w:val="18"/>
                <w:szCs w:val="18"/>
              </w:rPr>
              <w:t>24</w:t>
            </w:r>
          </w:p>
        </w:tc>
      </w:tr>
      <w:tr w:rsidR="005D7E24" w:rsidRPr="001F224B" w14:paraId="2AD7DBD6" w14:textId="77777777" w:rsidTr="00E07745">
        <w:trPr>
          <w:trHeight w:val="189"/>
        </w:trPr>
        <w:tc>
          <w:tcPr>
            <w:tcW w:w="2423" w:type="dxa"/>
            <w:tcMar>
              <w:top w:w="0" w:type="dxa"/>
              <w:left w:w="108" w:type="dxa"/>
              <w:bottom w:w="0" w:type="dxa"/>
              <w:right w:w="108" w:type="dxa"/>
            </w:tcMar>
            <w:vAlign w:val="center"/>
          </w:tcPr>
          <w:p w14:paraId="5093964F" w14:textId="77777777" w:rsidR="005D7E24" w:rsidRPr="001F224B" w:rsidRDefault="005D7E24" w:rsidP="00E07745">
            <w:pPr>
              <w:spacing w:line="230" w:lineRule="auto"/>
              <w:rPr>
                <w:sz w:val="18"/>
                <w:szCs w:val="18"/>
              </w:rPr>
            </w:pPr>
            <w:r w:rsidRPr="001F224B">
              <w:rPr>
                <w:sz w:val="18"/>
                <w:szCs w:val="18"/>
              </w:rPr>
              <w:t>Yeşim ŞİMŞEK</w:t>
            </w:r>
            <w:r w:rsidRPr="001F224B">
              <w:rPr>
                <w:sz w:val="18"/>
                <w:szCs w:val="18"/>
                <w:vertAlign w:val="superscript"/>
              </w:rPr>
              <w:t>(**)</w:t>
            </w:r>
          </w:p>
        </w:tc>
        <w:tc>
          <w:tcPr>
            <w:tcW w:w="3394" w:type="dxa"/>
            <w:tcMar>
              <w:top w:w="0" w:type="dxa"/>
              <w:left w:w="108" w:type="dxa"/>
              <w:bottom w:w="0" w:type="dxa"/>
              <w:right w:w="108" w:type="dxa"/>
            </w:tcMar>
            <w:vAlign w:val="center"/>
          </w:tcPr>
          <w:p w14:paraId="48FA3522" w14:textId="77777777" w:rsidR="005D7E24" w:rsidRPr="001F224B" w:rsidRDefault="005D7E24" w:rsidP="00E07745">
            <w:pPr>
              <w:spacing w:line="230" w:lineRule="auto"/>
              <w:rPr>
                <w:sz w:val="18"/>
                <w:szCs w:val="18"/>
              </w:rPr>
            </w:pPr>
            <w:r w:rsidRPr="001F224B">
              <w:rPr>
                <w:sz w:val="18"/>
                <w:szCs w:val="18"/>
              </w:rPr>
              <w:t>GMY / Kurumsal Bankacılık ve Proje Finansmanı, Kurumsal Bankacılık Satış</w:t>
            </w:r>
          </w:p>
        </w:tc>
        <w:tc>
          <w:tcPr>
            <w:tcW w:w="1264" w:type="dxa"/>
            <w:tcMar>
              <w:top w:w="0" w:type="dxa"/>
              <w:left w:w="108" w:type="dxa"/>
              <w:bottom w:w="0" w:type="dxa"/>
              <w:right w:w="108" w:type="dxa"/>
            </w:tcMar>
            <w:vAlign w:val="center"/>
          </w:tcPr>
          <w:p w14:paraId="41D52A6D" w14:textId="77777777" w:rsidR="005D7E24" w:rsidRPr="001F224B" w:rsidRDefault="005D7E24" w:rsidP="00E07745">
            <w:pPr>
              <w:spacing w:line="230" w:lineRule="auto"/>
              <w:rPr>
                <w:sz w:val="18"/>
                <w:szCs w:val="18"/>
              </w:rPr>
            </w:pPr>
            <w:r w:rsidRPr="001F224B">
              <w:rPr>
                <w:sz w:val="18"/>
                <w:szCs w:val="18"/>
              </w:rPr>
              <w:t>06.06.2022</w:t>
            </w:r>
          </w:p>
        </w:tc>
        <w:tc>
          <w:tcPr>
            <w:tcW w:w="1120" w:type="dxa"/>
            <w:tcMar>
              <w:top w:w="0" w:type="dxa"/>
              <w:left w:w="108" w:type="dxa"/>
              <w:bottom w:w="0" w:type="dxa"/>
              <w:right w:w="108" w:type="dxa"/>
            </w:tcMar>
            <w:vAlign w:val="center"/>
          </w:tcPr>
          <w:p w14:paraId="29C95F9B" w14:textId="77777777" w:rsidR="005D7E24" w:rsidRPr="001F224B" w:rsidRDefault="005D7E24" w:rsidP="00E07745">
            <w:pPr>
              <w:spacing w:line="230" w:lineRule="auto"/>
              <w:rPr>
                <w:sz w:val="18"/>
                <w:szCs w:val="18"/>
              </w:rPr>
            </w:pPr>
            <w:r w:rsidRPr="001F224B">
              <w:rPr>
                <w:sz w:val="18"/>
                <w:szCs w:val="18"/>
              </w:rPr>
              <w:t>Lisans</w:t>
            </w:r>
          </w:p>
        </w:tc>
        <w:tc>
          <w:tcPr>
            <w:tcW w:w="1274" w:type="dxa"/>
            <w:tcMar>
              <w:top w:w="0" w:type="dxa"/>
              <w:left w:w="108" w:type="dxa"/>
              <w:bottom w:w="0" w:type="dxa"/>
              <w:right w:w="108" w:type="dxa"/>
            </w:tcMar>
            <w:vAlign w:val="center"/>
          </w:tcPr>
          <w:p w14:paraId="2D658624" w14:textId="77777777" w:rsidR="005D7E24" w:rsidRPr="001F224B" w:rsidRDefault="005D7E24" w:rsidP="00E07745">
            <w:pPr>
              <w:spacing w:line="230" w:lineRule="auto"/>
              <w:jc w:val="center"/>
              <w:rPr>
                <w:sz w:val="18"/>
                <w:szCs w:val="18"/>
              </w:rPr>
            </w:pPr>
            <w:r w:rsidRPr="001F224B">
              <w:rPr>
                <w:sz w:val="18"/>
                <w:szCs w:val="18"/>
              </w:rPr>
              <w:t>35</w:t>
            </w:r>
          </w:p>
        </w:tc>
      </w:tr>
      <w:tr w:rsidR="005D7E24" w:rsidRPr="001F224B" w14:paraId="0703F7FB" w14:textId="77777777" w:rsidTr="00E07745">
        <w:trPr>
          <w:trHeight w:val="189"/>
        </w:trPr>
        <w:tc>
          <w:tcPr>
            <w:tcW w:w="2423" w:type="dxa"/>
            <w:tcMar>
              <w:top w:w="0" w:type="dxa"/>
              <w:left w:w="108" w:type="dxa"/>
              <w:bottom w:w="0" w:type="dxa"/>
              <w:right w:w="108" w:type="dxa"/>
            </w:tcMar>
            <w:vAlign w:val="center"/>
          </w:tcPr>
          <w:p w14:paraId="36196288" w14:textId="77777777" w:rsidR="005D7E24" w:rsidRPr="001F224B" w:rsidRDefault="005D7E24" w:rsidP="00E07745">
            <w:pPr>
              <w:spacing w:line="230" w:lineRule="auto"/>
              <w:rPr>
                <w:sz w:val="18"/>
                <w:szCs w:val="18"/>
              </w:rPr>
            </w:pPr>
            <w:r w:rsidRPr="001F224B">
              <w:rPr>
                <w:sz w:val="18"/>
                <w:szCs w:val="18"/>
              </w:rPr>
              <w:t>Nuri Yasin KÜLAHÇI</w:t>
            </w:r>
          </w:p>
        </w:tc>
        <w:tc>
          <w:tcPr>
            <w:tcW w:w="3394" w:type="dxa"/>
            <w:tcMar>
              <w:top w:w="0" w:type="dxa"/>
              <w:left w:w="108" w:type="dxa"/>
              <w:bottom w:w="0" w:type="dxa"/>
              <w:right w:w="108" w:type="dxa"/>
            </w:tcMar>
            <w:vAlign w:val="center"/>
          </w:tcPr>
          <w:p w14:paraId="06E5C151" w14:textId="77777777" w:rsidR="005D7E24" w:rsidRPr="001F224B" w:rsidRDefault="005D7E24" w:rsidP="00E07745">
            <w:pPr>
              <w:spacing w:line="230" w:lineRule="auto"/>
              <w:rPr>
                <w:sz w:val="18"/>
                <w:szCs w:val="18"/>
              </w:rPr>
            </w:pPr>
            <w:r w:rsidRPr="001F224B">
              <w:rPr>
                <w:sz w:val="18"/>
                <w:szCs w:val="18"/>
              </w:rPr>
              <w:t>GMY / İnsan Kaynakları, Destek Hizmetleri, Mali İşler, Strateji ve Organizasyon, Bütçe ve Maliyet Yönetimi, Kurumsal İletişim</w:t>
            </w:r>
          </w:p>
        </w:tc>
        <w:tc>
          <w:tcPr>
            <w:tcW w:w="1264" w:type="dxa"/>
            <w:tcMar>
              <w:top w:w="0" w:type="dxa"/>
              <w:left w:w="108" w:type="dxa"/>
              <w:bottom w:w="0" w:type="dxa"/>
              <w:right w:w="108" w:type="dxa"/>
            </w:tcMar>
            <w:vAlign w:val="center"/>
          </w:tcPr>
          <w:p w14:paraId="373605F6" w14:textId="77777777" w:rsidR="005D7E24" w:rsidRPr="001F224B" w:rsidRDefault="005D7E24" w:rsidP="00E07745">
            <w:pPr>
              <w:spacing w:line="230" w:lineRule="auto"/>
              <w:rPr>
                <w:sz w:val="18"/>
                <w:szCs w:val="18"/>
              </w:rPr>
            </w:pPr>
            <w:r w:rsidRPr="001F224B">
              <w:rPr>
                <w:color w:val="000000"/>
                <w:sz w:val="18"/>
                <w:szCs w:val="18"/>
              </w:rPr>
              <w:t>18.10.2022</w:t>
            </w:r>
          </w:p>
        </w:tc>
        <w:tc>
          <w:tcPr>
            <w:tcW w:w="1120" w:type="dxa"/>
            <w:tcMar>
              <w:top w:w="0" w:type="dxa"/>
              <w:left w:w="108" w:type="dxa"/>
              <w:bottom w:w="0" w:type="dxa"/>
              <w:right w:w="108" w:type="dxa"/>
            </w:tcMar>
            <w:vAlign w:val="center"/>
          </w:tcPr>
          <w:p w14:paraId="2E8F776C" w14:textId="77777777" w:rsidR="005D7E24" w:rsidRPr="001F224B" w:rsidRDefault="005D7E24" w:rsidP="00E07745">
            <w:pPr>
              <w:spacing w:line="230" w:lineRule="auto"/>
              <w:rPr>
                <w:sz w:val="18"/>
                <w:szCs w:val="18"/>
              </w:rPr>
            </w:pPr>
            <w:r w:rsidRPr="001F224B">
              <w:rPr>
                <w:color w:val="000000"/>
                <w:sz w:val="18"/>
                <w:szCs w:val="18"/>
              </w:rPr>
              <w:t>Yüksek Lisans</w:t>
            </w:r>
          </w:p>
        </w:tc>
        <w:tc>
          <w:tcPr>
            <w:tcW w:w="1274" w:type="dxa"/>
            <w:tcMar>
              <w:top w:w="0" w:type="dxa"/>
              <w:left w:w="108" w:type="dxa"/>
              <w:bottom w:w="0" w:type="dxa"/>
              <w:right w:w="108" w:type="dxa"/>
            </w:tcMar>
            <w:vAlign w:val="center"/>
          </w:tcPr>
          <w:p w14:paraId="50E547E5" w14:textId="77777777" w:rsidR="005D7E24" w:rsidRPr="001F224B" w:rsidRDefault="005D7E24" w:rsidP="00E07745">
            <w:pPr>
              <w:spacing w:line="230" w:lineRule="auto"/>
              <w:jc w:val="center"/>
              <w:rPr>
                <w:sz w:val="18"/>
                <w:szCs w:val="18"/>
              </w:rPr>
            </w:pPr>
            <w:r w:rsidRPr="001F224B">
              <w:rPr>
                <w:color w:val="000000"/>
                <w:sz w:val="18"/>
                <w:szCs w:val="18"/>
              </w:rPr>
              <w:t>20</w:t>
            </w:r>
          </w:p>
        </w:tc>
      </w:tr>
    </w:tbl>
    <w:p w14:paraId="3E4D1F37" w14:textId="77777777" w:rsidR="005D7E24" w:rsidRPr="001F224B" w:rsidRDefault="005D7E24" w:rsidP="005D7E24">
      <w:pPr>
        <w:tabs>
          <w:tab w:val="left" w:pos="567"/>
        </w:tabs>
        <w:spacing w:line="230" w:lineRule="auto"/>
        <w:ind w:left="567" w:right="-255"/>
        <w:jc w:val="both"/>
        <w:rPr>
          <w:bCs/>
          <w:sz w:val="4"/>
          <w:szCs w:val="4"/>
        </w:rPr>
      </w:pPr>
    </w:p>
    <w:p w14:paraId="2FB36250" w14:textId="2CDC477C" w:rsidR="005D7E24" w:rsidRPr="001F224B" w:rsidRDefault="005D7E24" w:rsidP="005D7E24">
      <w:pPr>
        <w:tabs>
          <w:tab w:val="left" w:pos="567"/>
        </w:tabs>
        <w:spacing w:after="60" w:line="230" w:lineRule="auto"/>
        <w:ind w:left="567"/>
        <w:jc w:val="both"/>
        <w:rPr>
          <w:sz w:val="14"/>
          <w:szCs w:val="14"/>
        </w:rPr>
      </w:pPr>
      <w:r w:rsidRPr="001F224B">
        <w:rPr>
          <w:sz w:val="14"/>
          <w:szCs w:val="14"/>
        </w:rPr>
        <w:t>(*) Genel Müdür Yardımcısı Muzaffer Gökhan SONGÜL 16 Mayıs 2025 tarihi itibarıyla Banka</w:t>
      </w:r>
      <w:r w:rsidR="00A57D47" w:rsidRPr="001F224B">
        <w:rPr>
          <w:sz w:val="14"/>
          <w:szCs w:val="14"/>
        </w:rPr>
        <w:t>’dan</w:t>
      </w:r>
      <w:r w:rsidRPr="001F224B">
        <w:rPr>
          <w:sz w:val="14"/>
          <w:szCs w:val="14"/>
        </w:rPr>
        <w:t xml:space="preserve"> ayrılmıştır. Kredi Tahsis Biriminden sorumlu Genel Müdür Yardımcılığı görevini Satı Balcı'nın vekaleten yürütmesine karar verilmiştir.</w:t>
      </w:r>
      <w:r w:rsidRPr="001F224B">
        <w:rPr>
          <w:sz w:val="14"/>
          <w:szCs w:val="14"/>
        </w:rPr>
        <w:tab/>
      </w:r>
    </w:p>
    <w:p w14:paraId="0FCF6F08" w14:textId="2C75B1B7" w:rsidR="005D7E24" w:rsidRPr="001F224B" w:rsidRDefault="005D7E24" w:rsidP="005D7E24">
      <w:pPr>
        <w:tabs>
          <w:tab w:val="left" w:pos="567"/>
        </w:tabs>
        <w:spacing w:after="60" w:line="230" w:lineRule="auto"/>
        <w:ind w:left="567"/>
        <w:jc w:val="both"/>
        <w:rPr>
          <w:sz w:val="14"/>
          <w:szCs w:val="14"/>
        </w:rPr>
      </w:pPr>
      <w:r w:rsidRPr="001F224B">
        <w:rPr>
          <w:sz w:val="14"/>
          <w:szCs w:val="14"/>
        </w:rPr>
        <w:t>(**) Genel Müdür Yardımcısı Yeşim ŞİMŞEK 1 Temmuz 2025 tarihi itibarıyla Banka</w:t>
      </w:r>
      <w:r w:rsidR="00A57D47" w:rsidRPr="001F224B">
        <w:rPr>
          <w:sz w:val="14"/>
          <w:szCs w:val="14"/>
        </w:rPr>
        <w:t>’dan</w:t>
      </w:r>
      <w:r w:rsidRPr="001F224B">
        <w:rPr>
          <w:sz w:val="14"/>
          <w:szCs w:val="14"/>
        </w:rPr>
        <w:t xml:space="preserve"> ayrılmıştır.</w:t>
      </w:r>
      <w:r w:rsidRPr="001F224B">
        <w:rPr>
          <w:sz w:val="14"/>
          <w:szCs w:val="14"/>
        </w:rPr>
        <w:tab/>
      </w:r>
    </w:p>
    <w:p w14:paraId="0CCE2CEC" w14:textId="77777777" w:rsidR="00B773D0" w:rsidRPr="001F224B" w:rsidRDefault="00B773D0" w:rsidP="00B773D0">
      <w:pPr>
        <w:tabs>
          <w:tab w:val="left" w:pos="567"/>
        </w:tabs>
        <w:spacing w:line="230" w:lineRule="auto"/>
        <w:ind w:left="567" w:right="-255"/>
        <w:jc w:val="both"/>
        <w:rPr>
          <w:bCs/>
          <w:sz w:val="4"/>
          <w:szCs w:val="4"/>
        </w:rPr>
      </w:pPr>
    </w:p>
    <w:p w14:paraId="1813D908" w14:textId="21CC06A7" w:rsidR="00915FD0" w:rsidRPr="001F224B" w:rsidRDefault="00915FD0" w:rsidP="000608C7">
      <w:pPr>
        <w:tabs>
          <w:tab w:val="left" w:pos="567"/>
        </w:tabs>
        <w:spacing w:line="230" w:lineRule="auto"/>
        <w:ind w:left="567"/>
        <w:jc w:val="both"/>
        <w:rPr>
          <w:sz w:val="22"/>
          <w:szCs w:val="22"/>
        </w:rPr>
      </w:pPr>
      <w:r w:rsidRPr="001F224B">
        <w:rPr>
          <w:b/>
          <w:bCs/>
          <w:sz w:val="22"/>
          <w:szCs w:val="22"/>
        </w:rPr>
        <w:t>Teftiş Kurulu Başkanı</w:t>
      </w:r>
      <w:r w:rsidRPr="001F224B">
        <w:rPr>
          <w:b/>
          <w:sz w:val="22"/>
          <w:szCs w:val="22"/>
        </w:rPr>
        <w:t>:</w:t>
      </w:r>
    </w:p>
    <w:tbl>
      <w:tblPr>
        <w:tblStyle w:val="TableGrid"/>
        <w:tblW w:w="9493" w:type="dxa"/>
        <w:tblInd w:w="562" w:type="dxa"/>
        <w:tblLook w:val="04A0" w:firstRow="1" w:lastRow="0" w:firstColumn="1" w:lastColumn="0" w:noHBand="0" w:noVBand="1"/>
      </w:tblPr>
      <w:tblGrid>
        <w:gridCol w:w="2597"/>
        <w:gridCol w:w="2133"/>
        <w:gridCol w:w="1298"/>
        <w:gridCol w:w="1442"/>
        <w:gridCol w:w="2023"/>
      </w:tblGrid>
      <w:tr w:rsidR="00915FD0" w:rsidRPr="001F224B" w14:paraId="2933E72D" w14:textId="77777777" w:rsidTr="00604E90">
        <w:trPr>
          <w:trHeight w:val="400"/>
        </w:trPr>
        <w:tc>
          <w:tcPr>
            <w:tcW w:w="2597" w:type="dxa"/>
            <w:tcBorders>
              <w:bottom w:val="single" w:sz="4" w:space="0" w:color="000000"/>
            </w:tcBorders>
            <w:vAlign w:val="bottom"/>
          </w:tcPr>
          <w:p w14:paraId="4C79CFC3" w14:textId="77777777" w:rsidR="00915FD0" w:rsidRPr="001F224B" w:rsidRDefault="00915FD0" w:rsidP="000608C7">
            <w:pPr>
              <w:tabs>
                <w:tab w:val="left" w:pos="567"/>
              </w:tabs>
              <w:spacing w:line="230" w:lineRule="auto"/>
              <w:jc w:val="center"/>
              <w:rPr>
                <w:rFonts w:asciiTheme="majorBidi" w:hAnsiTheme="majorBidi" w:cstheme="majorBidi"/>
                <w:b/>
                <w:bCs/>
                <w:sz w:val="20"/>
                <w:szCs w:val="20"/>
              </w:rPr>
            </w:pPr>
            <w:r w:rsidRPr="001F224B">
              <w:rPr>
                <w:rFonts w:asciiTheme="majorBidi" w:hAnsiTheme="majorBidi" w:cstheme="majorBidi"/>
                <w:b/>
                <w:bCs/>
                <w:sz w:val="20"/>
                <w:szCs w:val="20"/>
              </w:rPr>
              <w:t>Adı Soyadı</w:t>
            </w:r>
          </w:p>
        </w:tc>
        <w:tc>
          <w:tcPr>
            <w:tcW w:w="2133" w:type="dxa"/>
            <w:tcBorders>
              <w:bottom w:val="single" w:sz="4" w:space="0" w:color="000000"/>
            </w:tcBorders>
            <w:vAlign w:val="bottom"/>
          </w:tcPr>
          <w:p w14:paraId="78244D18" w14:textId="77777777" w:rsidR="00915FD0" w:rsidRPr="001F224B" w:rsidRDefault="00915FD0" w:rsidP="000608C7">
            <w:pPr>
              <w:tabs>
                <w:tab w:val="left" w:pos="567"/>
              </w:tabs>
              <w:spacing w:line="230" w:lineRule="auto"/>
              <w:jc w:val="center"/>
              <w:rPr>
                <w:rFonts w:asciiTheme="majorBidi" w:hAnsiTheme="majorBidi" w:cstheme="majorBidi"/>
                <w:b/>
                <w:bCs/>
                <w:sz w:val="20"/>
                <w:szCs w:val="20"/>
              </w:rPr>
            </w:pPr>
            <w:r w:rsidRPr="001F224B">
              <w:rPr>
                <w:rFonts w:asciiTheme="majorBidi" w:hAnsiTheme="majorBidi" w:cstheme="majorBidi"/>
                <w:b/>
                <w:bCs/>
                <w:sz w:val="20"/>
                <w:szCs w:val="20"/>
              </w:rPr>
              <w:t>Görevi</w:t>
            </w:r>
          </w:p>
        </w:tc>
        <w:tc>
          <w:tcPr>
            <w:tcW w:w="1298" w:type="dxa"/>
            <w:tcBorders>
              <w:bottom w:val="single" w:sz="4" w:space="0" w:color="000000"/>
            </w:tcBorders>
            <w:vAlign w:val="bottom"/>
          </w:tcPr>
          <w:p w14:paraId="23AE8915" w14:textId="77777777" w:rsidR="00915FD0" w:rsidRPr="001F224B" w:rsidRDefault="00915FD0" w:rsidP="000608C7">
            <w:pPr>
              <w:tabs>
                <w:tab w:val="left" w:pos="567"/>
              </w:tabs>
              <w:spacing w:line="230" w:lineRule="auto"/>
              <w:jc w:val="center"/>
              <w:rPr>
                <w:rFonts w:asciiTheme="majorBidi" w:hAnsiTheme="majorBidi" w:cstheme="majorBidi"/>
                <w:b/>
                <w:bCs/>
                <w:sz w:val="20"/>
                <w:szCs w:val="20"/>
              </w:rPr>
            </w:pPr>
            <w:r w:rsidRPr="001F224B">
              <w:rPr>
                <w:rFonts w:asciiTheme="majorBidi" w:hAnsiTheme="majorBidi" w:cstheme="majorBidi"/>
                <w:b/>
                <w:bCs/>
                <w:sz w:val="20"/>
                <w:szCs w:val="20"/>
              </w:rPr>
              <w:t>Göreve Atanma Tarihi</w:t>
            </w:r>
          </w:p>
        </w:tc>
        <w:tc>
          <w:tcPr>
            <w:tcW w:w="1442" w:type="dxa"/>
            <w:tcBorders>
              <w:bottom w:val="single" w:sz="4" w:space="0" w:color="000000"/>
            </w:tcBorders>
            <w:vAlign w:val="bottom"/>
          </w:tcPr>
          <w:p w14:paraId="79CDABBD" w14:textId="77777777" w:rsidR="00915FD0" w:rsidRPr="001F224B" w:rsidRDefault="00915FD0" w:rsidP="000608C7">
            <w:pPr>
              <w:tabs>
                <w:tab w:val="left" w:pos="567"/>
              </w:tabs>
              <w:spacing w:line="230" w:lineRule="auto"/>
              <w:jc w:val="center"/>
              <w:rPr>
                <w:rFonts w:asciiTheme="majorBidi" w:hAnsiTheme="majorBidi" w:cstheme="majorBidi"/>
                <w:b/>
                <w:bCs/>
                <w:sz w:val="20"/>
                <w:szCs w:val="20"/>
              </w:rPr>
            </w:pPr>
            <w:r w:rsidRPr="001F224B">
              <w:rPr>
                <w:rFonts w:asciiTheme="majorBidi" w:hAnsiTheme="majorBidi" w:cstheme="majorBidi"/>
                <w:b/>
                <w:bCs/>
                <w:sz w:val="20"/>
                <w:szCs w:val="20"/>
              </w:rPr>
              <w:t>Öğrenim Durumu</w:t>
            </w:r>
          </w:p>
        </w:tc>
        <w:tc>
          <w:tcPr>
            <w:tcW w:w="2023" w:type="dxa"/>
            <w:tcBorders>
              <w:bottom w:val="single" w:sz="4" w:space="0" w:color="000000"/>
            </w:tcBorders>
            <w:vAlign w:val="bottom"/>
          </w:tcPr>
          <w:p w14:paraId="62426BF1" w14:textId="77777777" w:rsidR="00915FD0" w:rsidRPr="001F224B" w:rsidRDefault="00915FD0" w:rsidP="000608C7">
            <w:pPr>
              <w:tabs>
                <w:tab w:val="left" w:pos="567"/>
              </w:tabs>
              <w:spacing w:line="230" w:lineRule="auto"/>
              <w:jc w:val="center"/>
              <w:rPr>
                <w:rFonts w:asciiTheme="majorBidi" w:hAnsiTheme="majorBidi" w:cstheme="majorBidi"/>
                <w:b/>
                <w:bCs/>
                <w:sz w:val="18"/>
                <w:szCs w:val="18"/>
              </w:rPr>
            </w:pPr>
            <w:r w:rsidRPr="001F224B">
              <w:rPr>
                <w:rFonts w:asciiTheme="majorBidi" w:hAnsiTheme="majorBidi" w:cstheme="majorBidi"/>
                <w:b/>
                <w:bCs/>
                <w:sz w:val="18"/>
                <w:szCs w:val="18"/>
              </w:rPr>
              <w:t>Bankacılık ve İşletmecilik Dallarında İş Tecrübesi (Yıl)</w:t>
            </w:r>
          </w:p>
        </w:tc>
      </w:tr>
      <w:tr w:rsidR="00915FD0" w:rsidRPr="001F224B" w14:paraId="14333A7C" w14:textId="77777777" w:rsidTr="00604E90">
        <w:trPr>
          <w:trHeight w:val="173"/>
        </w:trPr>
        <w:tc>
          <w:tcPr>
            <w:tcW w:w="2597" w:type="dxa"/>
            <w:tcBorders>
              <w:bottom w:val="single" w:sz="4" w:space="0" w:color="auto"/>
            </w:tcBorders>
            <w:vAlign w:val="center"/>
          </w:tcPr>
          <w:p w14:paraId="47386F08" w14:textId="77777777" w:rsidR="00915FD0" w:rsidRPr="001F224B" w:rsidRDefault="00915FD0" w:rsidP="000608C7">
            <w:pPr>
              <w:spacing w:line="230" w:lineRule="auto"/>
              <w:rPr>
                <w:rFonts w:asciiTheme="majorBidi" w:hAnsiTheme="majorBidi" w:cstheme="majorBidi"/>
                <w:sz w:val="20"/>
                <w:szCs w:val="20"/>
              </w:rPr>
            </w:pPr>
            <w:r w:rsidRPr="001F224B">
              <w:rPr>
                <w:rFonts w:asciiTheme="majorBidi" w:hAnsiTheme="majorBidi" w:cstheme="majorBidi"/>
                <w:bCs/>
                <w:sz w:val="20"/>
                <w:szCs w:val="20"/>
              </w:rPr>
              <w:t>Dr. Kaan Ramazan ÇAKALI</w:t>
            </w:r>
          </w:p>
        </w:tc>
        <w:tc>
          <w:tcPr>
            <w:tcW w:w="2133" w:type="dxa"/>
            <w:tcBorders>
              <w:bottom w:val="single" w:sz="4" w:space="0" w:color="auto"/>
            </w:tcBorders>
            <w:vAlign w:val="center"/>
          </w:tcPr>
          <w:p w14:paraId="5B085CE6" w14:textId="77777777" w:rsidR="00915FD0" w:rsidRPr="001F224B" w:rsidRDefault="00915FD0" w:rsidP="000608C7">
            <w:pPr>
              <w:tabs>
                <w:tab w:val="left" w:pos="567"/>
              </w:tabs>
              <w:spacing w:line="230" w:lineRule="auto"/>
              <w:jc w:val="both"/>
              <w:rPr>
                <w:rFonts w:asciiTheme="majorBidi" w:hAnsiTheme="majorBidi" w:cstheme="majorBidi"/>
                <w:b/>
                <w:bCs/>
                <w:sz w:val="20"/>
                <w:szCs w:val="20"/>
              </w:rPr>
            </w:pPr>
            <w:r w:rsidRPr="001F224B">
              <w:rPr>
                <w:rFonts w:asciiTheme="majorBidi" w:hAnsiTheme="majorBidi" w:cstheme="majorBidi"/>
                <w:sz w:val="20"/>
                <w:szCs w:val="20"/>
              </w:rPr>
              <w:t>Teftiş Kurulu Başkanı</w:t>
            </w:r>
          </w:p>
        </w:tc>
        <w:tc>
          <w:tcPr>
            <w:tcW w:w="1298" w:type="dxa"/>
            <w:tcBorders>
              <w:bottom w:val="single" w:sz="4" w:space="0" w:color="auto"/>
            </w:tcBorders>
            <w:vAlign w:val="center"/>
          </w:tcPr>
          <w:p w14:paraId="6AE0B8F8" w14:textId="77777777" w:rsidR="00915FD0" w:rsidRPr="001F224B" w:rsidRDefault="00915FD0" w:rsidP="000608C7">
            <w:pPr>
              <w:spacing w:line="230" w:lineRule="auto"/>
              <w:jc w:val="center"/>
              <w:rPr>
                <w:color w:val="000000"/>
                <w:sz w:val="20"/>
                <w:szCs w:val="20"/>
              </w:rPr>
            </w:pPr>
            <w:r w:rsidRPr="001F224B">
              <w:rPr>
                <w:color w:val="000000"/>
                <w:sz w:val="20"/>
                <w:szCs w:val="20"/>
              </w:rPr>
              <w:t>27.05.2019</w:t>
            </w:r>
          </w:p>
        </w:tc>
        <w:tc>
          <w:tcPr>
            <w:tcW w:w="1442" w:type="dxa"/>
            <w:tcBorders>
              <w:bottom w:val="single" w:sz="4" w:space="0" w:color="auto"/>
            </w:tcBorders>
            <w:vAlign w:val="center"/>
          </w:tcPr>
          <w:p w14:paraId="4A2504FE" w14:textId="77777777" w:rsidR="00915FD0" w:rsidRPr="001F224B" w:rsidRDefault="00915FD0" w:rsidP="000608C7">
            <w:pPr>
              <w:spacing w:line="230" w:lineRule="auto"/>
              <w:jc w:val="center"/>
              <w:rPr>
                <w:color w:val="000000"/>
                <w:sz w:val="20"/>
                <w:szCs w:val="20"/>
              </w:rPr>
            </w:pPr>
            <w:r w:rsidRPr="001F224B">
              <w:rPr>
                <w:color w:val="000000"/>
                <w:sz w:val="20"/>
                <w:szCs w:val="20"/>
              </w:rPr>
              <w:t>Doktora</w:t>
            </w:r>
          </w:p>
        </w:tc>
        <w:tc>
          <w:tcPr>
            <w:tcW w:w="2023" w:type="dxa"/>
            <w:tcBorders>
              <w:bottom w:val="single" w:sz="4" w:space="0" w:color="auto"/>
            </w:tcBorders>
            <w:vAlign w:val="center"/>
          </w:tcPr>
          <w:p w14:paraId="093D6AB4" w14:textId="6982B228" w:rsidR="00915FD0" w:rsidRPr="001F224B" w:rsidRDefault="00915FD0" w:rsidP="000608C7">
            <w:pPr>
              <w:spacing w:line="230" w:lineRule="auto"/>
              <w:jc w:val="center"/>
              <w:rPr>
                <w:color w:val="000000"/>
                <w:sz w:val="20"/>
                <w:szCs w:val="20"/>
              </w:rPr>
            </w:pPr>
            <w:r w:rsidRPr="001F224B">
              <w:rPr>
                <w:color w:val="000000"/>
                <w:sz w:val="20"/>
                <w:szCs w:val="20"/>
              </w:rPr>
              <w:t>2</w:t>
            </w:r>
            <w:r w:rsidR="00604E90" w:rsidRPr="001F224B">
              <w:rPr>
                <w:color w:val="000000"/>
                <w:sz w:val="20"/>
                <w:szCs w:val="20"/>
              </w:rPr>
              <w:t>2</w:t>
            </w:r>
          </w:p>
        </w:tc>
      </w:tr>
    </w:tbl>
    <w:p w14:paraId="218A1CFA" w14:textId="20B8F2EC" w:rsidR="000608C7" w:rsidRPr="001F224B" w:rsidRDefault="00776C32" w:rsidP="000608C7">
      <w:pPr>
        <w:tabs>
          <w:tab w:val="left" w:pos="567"/>
        </w:tabs>
        <w:spacing w:before="120" w:line="230" w:lineRule="auto"/>
        <w:ind w:left="567" w:right="28"/>
        <w:jc w:val="both"/>
        <w:rPr>
          <w:sz w:val="22"/>
          <w:szCs w:val="22"/>
        </w:rPr>
      </w:pPr>
      <w:r w:rsidRPr="001F224B">
        <w:rPr>
          <w:sz w:val="22"/>
          <w:szCs w:val="22"/>
        </w:rPr>
        <w:t>Yukarıda belirtilen kişilerin Banka’da hisselerin halka açık olmayan kısmında sahip oldukları pay bulunmamaktadır.</w:t>
      </w:r>
      <w:r w:rsidR="000608C7" w:rsidRPr="001F224B">
        <w:rPr>
          <w:sz w:val="22"/>
          <w:szCs w:val="22"/>
        </w:rPr>
        <w:br w:type="page"/>
      </w:r>
    </w:p>
    <w:p w14:paraId="6E524E28" w14:textId="27A1DA58" w:rsidR="00867102" w:rsidRPr="001F224B" w:rsidRDefault="00867102" w:rsidP="00867102">
      <w:pPr>
        <w:tabs>
          <w:tab w:val="left" w:pos="567"/>
        </w:tabs>
        <w:spacing w:afterLines="60" w:after="144"/>
        <w:rPr>
          <w:b/>
          <w:bCs/>
          <w:sz w:val="22"/>
          <w:szCs w:val="22"/>
        </w:rPr>
      </w:pPr>
      <w:r w:rsidRPr="001F224B">
        <w:rPr>
          <w:b/>
          <w:bCs/>
          <w:sz w:val="22"/>
          <w:szCs w:val="22"/>
        </w:rPr>
        <w:t>BİRİNCİ BÖLÜM (Devamı)</w:t>
      </w:r>
    </w:p>
    <w:p w14:paraId="668D5628" w14:textId="77777777" w:rsidR="00867102" w:rsidRPr="001F224B" w:rsidRDefault="00867102" w:rsidP="00867102">
      <w:pPr>
        <w:tabs>
          <w:tab w:val="left" w:pos="567"/>
        </w:tabs>
        <w:spacing w:afterLines="60" w:after="144"/>
        <w:rPr>
          <w:b/>
          <w:bCs/>
          <w:sz w:val="22"/>
          <w:szCs w:val="22"/>
        </w:rPr>
      </w:pPr>
      <w:r w:rsidRPr="001F224B">
        <w:rPr>
          <w:b/>
          <w:bCs/>
          <w:sz w:val="22"/>
          <w:szCs w:val="22"/>
        </w:rPr>
        <w:t>GENEL BİLGİLER (Devamı)</w:t>
      </w:r>
      <w:r w:rsidRPr="001F224B">
        <w:rPr>
          <w:b/>
          <w:bCs/>
          <w:sz w:val="22"/>
          <w:szCs w:val="22"/>
        </w:rPr>
        <w:tab/>
      </w:r>
    </w:p>
    <w:p w14:paraId="04B924CF" w14:textId="77A8E374" w:rsidR="00267DF1" w:rsidRPr="001F224B" w:rsidRDefault="00267DF1" w:rsidP="00604594">
      <w:pPr>
        <w:tabs>
          <w:tab w:val="left" w:pos="567"/>
        </w:tabs>
        <w:spacing w:before="120" w:after="120"/>
        <w:jc w:val="both"/>
        <w:rPr>
          <w:b/>
          <w:bCs/>
          <w:sz w:val="22"/>
          <w:szCs w:val="22"/>
        </w:rPr>
      </w:pPr>
      <w:r w:rsidRPr="001F224B">
        <w:rPr>
          <w:b/>
          <w:bCs/>
          <w:sz w:val="22"/>
          <w:szCs w:val="22"/>
        </w:rPr>
        <w:t>IV</w:t>
      </w:r>
      <w:r w:rsidR="007703E1" w:rsidRPr="001F224B">
        <w:rPr>
          <w:b/>
          <w:bCs/>
          <w:sz w:val="22"/>
          <w:szCs w:val="22"/>
        </w:rPr>
        <w:t>.</w:t>
      </w:r>
      <w:r w:rsidR="00733021" w:rsidRPr="001F224B">
        <w:rPr>
          <w:b/>
          <w:bCs/>
          <w:sz w:val="22"/>
          <w:szCs w:val="22"/>
        </w:rPr>
        <w:tab/>
      </w:r>
      <w:r w:rsidR="00865CEA" w:rsidRPr="001F224B">
        <w:rPr>
          <w:b/>
          <w:bCs/>
          <w:sz w:val="22"/>
          <w:szCs w:val="22"/>
        </w:rPr>
        <w:t xml:space="preserve">Ana Ortaklık </w:t>
      </w:r>
      <w:r w:rsidRPr="001F224B">
        <w:rPr>
          <w:b/>
          <w:bCs/>
          <w:sz w:val="22"/>
          <w:szCs w:val="22"/>
        </w:rPr>
        <w:t>Banka</w:t>
      </w:r>
      <w:r w:rsidR="001A0C54" w:rsidRPr="001F224B">
        <w:rPr>
          <w:b/>
          <w:bCs/>
          <w:sz w:val="22"/>
          <w:szCs w:val="22"/>
        </w:rPr>
        <w:t>’</w:t>
      </w:r>
      <w:r w:rsidRPr="001F224B">
        <w:rPr>
          <w:b/>
          <w:bCs/>
          <w:sz w:val="22"/>
          <w:szCs w:val="22"/>
        </w:rPr>
        <w:t>da nitelikli pay sahibi olan kişi ve kuruluşlara ilişkin açıklamalar</w:t>
      </w:r>
    </w:p>
    <w:p w14:paraId="4DC5C661" w14:textId="77777777" w:rsidR="00B36D66" w:rsidRPr="001F224B" w:rsidRDefault="00E936B0" w:rsidP="00604594">
      <w:pPr>
        <w:spacing w:before="120"/>
        <w:ind w:firstLine="567"/>
        <w:jc w:val="both"/>
        <w:rPr>
          <w:sz w:val="22"/>
          <w:szCs w:val="22"/>
        </w:rPr>
      </w:pPr>
      <w:r w:rsidRPr="001F224B">
        <w:rPr>
          <w:sz w:val="22"/>
          <w:szCs w:val="22"/>
        </w:rPr>
        <w:t xml:space="preserve">Ana Ortaklık </w:t>
      </w:r>
      <w:r w:rsidR="00267DF1" w:rsidRPr="001F224B">
        <w:rPr>
          <w:sz w:val="22"/>
          <w:szCs w:val="22"/>
        </w:rPr>
        <w:t>Banka</w:t>
      </w:r>
      <w:r w:rsidR="00B11A5F" w:rsidRPr="001F224B">
        <w:rPr>
          <w:sz w:val="22"/>
          <w:szCs w:val="22"/>
        </w:rPr>
        <w:t>’</w:t>
      </w:r>
      <w:r w:rsidR="00267DF1" w:rsidRPr="001F224B">
        <w:rPr>
          <w:sz w:val="22"/>
          <w:szCs w:val="22"/>
        </w:rPr>
        <w:t xml:space="preserve">nın %99,08’i </w:t>
      </w:r>
      <w:r w:rsidR="00E15456" w:rsidRPr="001F224B">
        <w:rPr>
          <w:sz w:val="22"/>
          <w:szCs w:val="22"/>
        </w:rPr>
        <w:t xml:space="preserve">T.C. </w:t>
      </w:r>
      <w:r w:rsidR="00267DF1" w:rsidRPr="001F224B">
        <w:rPr>
          <w:sz w:val="22"/>
          <w:szCs w:val="22"/>
        </w:rPr>
        <w:t>Hazine</w:t>
      </w:r>
      <w:r w:rsidR="00BC1DB6" w:rsidRPr="001F224B">
        <w:rPr>
          <w:sz w:val="22"/>
          <w:szCs w:val="22"/>
        </w:rPr>
        <w:t xml:space="preserve"> v</w:t>
      </w:r>
      <w:r w:rsidR="009F544A" w:rsidRPr="001F224B">
        <w:rPr>
          <w:sz w:val="22"/>
          <w:szCs w:val="22"/>
        </w:rPr>
        <w:t>e Maliye</w:t>
      </w:r>
      <w:r w:rsidR="00267DF1" w:rsidRPr="001F224B">
        <w:rPr>
          <w:sz w:val="22"/>
          <w:szCs w:val="22"/>
        </w:rPr>
        <w:t xml:space="preserve"> </w:t>
      </w:r>
      <w:r w:rsidR="0039379E" w:rsidRPr="001F224B">
        <w:rPr>
          <w:sz w:val="22"/>
          <w:szCs w:val="22"/>
        </w:rPr>
        <w:t>Bakanlığı</w:t>
      </w:r>
      <w:r w:rsidR="00623904" w:rsidRPr="001F224B">
        <w:rPr>
          <w:sz w:val="22"/>
          <w:szCs w:val="22"/>
        </w:rPr>
        <w:t>’</w:t>
      </w:r>
      <w:r w:rsidR="00267DF1" w:rsidRPr="001F224B">
        <w:rPr>
          <w:sz w:val="22"/>
          <w:szCs w:val="22"/>
        </w:rPr>
        <w:t>na aittir.</w:t>
      </w:r>
    </w:p>
    <w:p w14:paraId="37586562" w14:textId="252AE303" w:rsidR="00267DF1" w:rsidRPr="001F224B" w:rsidRDefault="00267DF1" w:rsidP="00604594">
      <w:pPr>
        <w:tabs>
          <w:tab w:val="left" w:pos="567"/>
        </w:tabs>
        <w:spacing w:before="120"/>
        <w:jc w:val="both"/>
        <w:rPr>
          <w:b/>
          <w:bCs/>
          <w:sz w:val="22"/>
          <w:szCs w:val="22"/>
        </w:rPr>
      </w:pPr>
      <w:r w:rsidRPr="001F224B">
        <w:rPr>
          <w:b/>
          <w:bCs/>
          <w:sz w:val="22"/>
          <w:szCs w:val="22"/>
        </w:rPr>
        <w:t>V</w:t>
      </w:r>
      <w:r w:rsidR="007703E1" w:rsidRPr="001F224B">
        <w:rPr>
          <w:b/>
          <w:bCs/>
          <w:sz w:val="22"/>
          <w:szCs w:val="22"/>
        </w:rPr>
        <w:t>.</w:t>
      </w:r>
      <w:r w:rsidR="00733021" w:rsidRPr="001F224B">
        <w:rPr>
          <w:b/>
          <w:bCs/>
          <w:sz w:val="22"/>
          <w:szCs w:val="22"/>
        </w:rPr>
        <w:tab/>
      </w:r>
      <w:r w:rsidR="00865CEA" w:rsidRPr="001F224B">
        <w:rPr>
          <w:b/>
          <w:bCs/>
          <w:sz w:val="22"/>
          <w:szCs w:val="22"/>
        </w:rPr>
        <w:t xml:space="preserve">Ana Ortaklık </w:t>
      </w:r>
      <w:r w:rsidRPr="001F224B">
        <w:rPr>
          <w:b/>
          <w:bCs/>
          <w:sz w:val="22"/>
          <w:szCs w:val="22"/>
        </w:rPr>
        <w:t>Banka</w:t>
      </w:r>
      <w:r w:rsidR="001A0C54" w:rsidRPr="001F224B">
        <w:rPr>
          <w:b/>
          <w:bCs/>
          <w:sz w:val="22"/>
          <w:szCs w:val="22"/>
        </w:rPr>
        <w:t>’</w:t>
      </w:r>
      <w:r w:rsidRPr="001F224B">
        <w:rPr>
          <w:b/>
          <w:bCs/>
          <w:sz w:val="22"/>
          <w:szCs w:val="22"/>
        </w:rPr>
        <w:t>nın hi</w:t>
      </w:r>
      <w:r w:rsidR="00424137" w:rsidRPr="001F224B">
        <w:rPr>
          <w:b/>
          <w:bCs/>
          <w:sz w:val="22"/>
          <w:szCs w:val="22"/>
        </w:rPr>
        <w:t>zmet türü ve faaliyet alanlarını içeren</w:t>
      </w:r>
      <w:r w:rsidRPr="001F224B">
        <w:rPr>
          <w:b/>
          <w:bCs/>
          <w:sz w:val="22"/>
          <w:szCs w:val="22"/>
        </w:rPr>
        <w:t xml:space="preserve"> özet bilgi</w:t>
      </w:r>
    </w:p>
    <w:p w14:paraId="2608807B" w14:textId="0469D27D" w:rsidR="00CB55DF" w:rsidRPr="001F224B" w:rsidRDefault="00267DF1" w:rsidP="00CB55DF">
      <w:pPr>
        <w:spacing w:before="120"/>
        <w:ind w:left="567"/>
        <w:jc w:val="both"/>
        <w:rPr>
          <w:sz w:val="22"/>
          <w:szCs w:val="22"/>
        </w:rPr>
      </w:pPr>
      <w:r w:rsidRPr="001F224B">
        <w:rPr>
          <w:sz w:val="22"/>
          <w:szCs w:val="22"/>
        </w:rPr>
        <w:t>Bir kalkınma ve yatırı</w:t>
      </w:r>
      <w:r w:rsidR="003447A1" w:rsidRPr="001F224B">
        <w:rPr>
          <w:sz w:val="22"/>
          <w:szCs w:val="22"/>
        </w:rPr>
        <w:t>m bankası olan Türkiye Kalkınma</w:t>
      </w:r>
      <w:r w:rsidR="002074E8" w:rsidRPr="001F224B">
        <w:rPr>
          <w:sz w:val="22"/>
          <w:szCs w:val="22"/>
        </w:rPr>
        <w:t xml:space="preserve"> </w:t>
      </w:r>
      <w:r w:rsidR="003447A1" w:rsidRPr="001F224B">
        <w:rPr>
          <w:sz w:val="22"/>
          <w:szCs w:val="22"/>
        </w:rPr>
        <w:t xml:space="preserve">ve Yatırım </w:t>
      </w:r>
      <w:r w:rsidRPr="001F224B">
        <w:rPr>
          <w:sz w:val="22"/>
          <w:szCs w:val="22"/>
        </w:rPr>
        <w:t xml:space="preserve">Bankası A.Ş.’nin faaliyet alanı; </w:t>
      </w:r>
      <w:r w:rsidR="007B5C3E" w:rsidRPr="001F224B">
        <w:rPr>
          <w:sz w:val="22"/>
          <w:szCs w:val="22"/>
        </w:rPr>
        <w:t xml:space="preserve">çağdaş kalkınma ve yatırım bankacılığı araçlarını kullanarak, ülkemizin kalkınma hedefleri doğrultusunda, sürdürülebilir büyümeye yönelik yatırımların ve projelerin desteklenmesi, sermaye ve fon kaynaklarının etkin kullanımının sağlanması, yurt içi, yurt dışı ve uluslararası ortak yatırımların finanse edilmesi ile </w:t>
      </w:r>
      <w:r w:rsidR="002C10B1" w:rsidRPr="001F224B">
        <w:rPr>
          <w:sz w:val="22"/>
          <w:szCs w:val="22"/>
        </w:rPr>
        <w:t xml:space="preserve">kar </w:t>
      </w:r>
      <w:r w:rsidR="007B5C3E" w:rsidRPr="001F224B">
        <w:rPr>
          <w:sz w:val="22"/>
          <w:szCs w:val="22"/>
        </w:rPr>
        <w:t>ortaklığı veya kiralama esaslı kredi işlemleri d</w:t>
      </w:r>
      <w:r w:rsidR="002C10B1" w:rsidRPr="001F224B">
        <w:rPr>
          <w:sz w:val="22"/>
          <w:szCs w:val="22"/>
        </w:rPr>
        <w:t>a</w:t>
      </w:r>
      <w:r w:rsidR="007B5C3E" w:rsidRPr="001F224B">
        <w:rPr>
          <w:sz w:val="22"/>
          <w:szCs w:val="22"/>
        </w:rPr>
        <w:t>hil, tüm kalkınma ve yatırım bankacılığı işlevlerinin rekabetçi, dinamik ve etkin bir şekilde yerine getirebilmesini sağlamaktır.</w:t>
      </w:r>
      <w:r w:rsidR="00CB55DF" w:rsidRPr="001F224B">
        <w:rPr>
          <w:sz w:val="22"/>
          <w:szCs w:val="22"/>
        </w:rPr>
        <w:t xml:space="preserve"> </w:t>
      </w:r>
      <w:r w:rsidR="0058423B" w:rsidRPr="001F224B">
        <w:rPr>
          <w:sz w:val="22"/>
          <w:szCs w:val="22"/>
        </w:rPr>
        <w:t>30 Haziran</w:t>
      </w:r>
      <w:r w:rsidR="00FC6F08" w:rsidRPr="001F224B">
        <w:rPr>
          <w:sz w:val="22"/>
          <w:szCs w:val="22"/>
        </w:rPr>
        <w:t xml:space="preserve"> 2025</w:t>
      </w:r>
      <w:r w:rsidR="00CB55DF" w:rsidRPr="001F224B">
        <w:rPr>
          <w:sz w:val="22"/>
          <w:szCs w:val="22"/>
        </w:rPr>
        <w:t xml:space="preserve"> tarihi itibarıyla Banka’nın Ankara’da faaliyet gösteren 1 şubesi bulunmaktadır.</w:t>
      </w:r>
    </w:p>
    <w:p w14:paraId="1C7E11F3" w14:textId="00F1CAE8" w:rsidR="000B0319" w:rsidRPr="001F224B" w:rsidRDefault="00A6792A" w:rsidP="00296090">
      <w:pPr>
        <w:spacing w:before="120"/>
        <w:ind w:left="567" w:hanging="567"/>
        <w:jc w:val="both"/>
        <w:rPr>
          <w:b/>
          <w:bCs/>
          <w:sz w:val="22"/>
          <w:szCs w:val="22"/>
        </w:rPr>
      </w:pPr>
      <w:r w:rsidRPr="001F224B">
        <w:rPr>
          <w:b/>
          <w:bCs/>
          <w:sz w:val="22"/>
          <w:szCs w:val="22"/>
        </w:rPr>
        <w:t>V</w:t>
      </w:r>
      <w:r w:rsidR="000B0319" w:rsidRPr="001F224B">
        <w:rPr>
          <w:b/>
          <w:bCs/>
          <w:sz w:val="22"/>
          <w:szCs w:val="22"/>
        </w:rPr>
        <w:t>I</w:t>
      </w:r>
      <w:r w:rsidR="007703E1" w:rsidRPr="001F224B">
        <w:rPr>
          <w:b/>
          <w:bCs/>
          <w:sz w:val="22"/>
          <w:szCs w:val="22"/>
        </w:rPr>
        <w:t>.</w:t>
      </w:r>
      <w:r w:rsidR="000B0319" w:rsidRPr="001F224B">
        <w:rPr>
          <w:b/>
          <w:bCs/>
          <w:sz w:val="22"/>
          <w:szCs w:val="22"/>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0A4A4D17" w14:textId="77777777" w:rsidR="004357B4" w:rsidRPr="001F224B" w:rsidRDefault="00CA69FB" w:rsidP="004357B4">
      <w:pPr>
        <w:spacing w:before="120"/>
        <w:ind w:left="567"/>
        <w:jc w:val="both"/>
        <w:rPr>
          <w:iCs/>
          <w:sz w:val="22"/>
          <w:szCs w:val="22"/>
        </w:rPr>
      </w:pPr>
      <w:r w:rsidRPr="001F224B">
        <w:rPr>
          <w:sz w:val="22"/>
          <w:szCs w:val="22"/>
        </w:rPr>
        <w:t xml:space="preserve">Ana Ortaklık </w:t>
      </w:r>
      <w:r w:rsidR="0049717E" w:rsidRPr="001F224B">
        <w:rPr>
          <w:sz w:val="22"/>
          <w:szCs w:val="22"/>
        </w:rPr>
        <w:t xml:space="preserve">Banka, </w:t>
      </w:r>
      <w:r w:rsidR="004357B4" w:rsidRPr="001F224B">
        <w:rPr>
          <w:iCs/>
          <w:sz w:val="22"/>
          <w:szCs w:val="22"/>
        </w:rPr>
        <w:t xml:space="preserve">28 Mayıs 2020 tarihinde 50 TL nominal sermaye ile kurulan ve </w:t>
      </w:r>
      <w:r w:rsidR="004357B4" w:rsidRPr="001F224B">
        <w:rPr>
          <w:sz w:val="22"/>
          <w:szCs w:val="22"/>
        </w:rPr>
        <w:t xml:space="preserve">17 Haziran 2025 tarihinde </w:t>
      </w:r>
      <w:r w:rsidR="004357B4" w:rsidRPr="001F224B">
        <w:rPr>
          <w:iCs/>
          <w:sz w:val="22"/>
          <w:szCs w:val="22"/>
        </w:rPr>
        <w:t xml:space="preserve">250 TL’ye çıkarılan nominal sermayesi ile Kalkınma Yatırım Varlık Kiralama Anonim Şirketi’ne ve 17 Kasım 2020 tarihinde 1.800 TL nominal sermaye ile kurulan ve </w:t>
      </w:r>
      <w:r w:rsidR="004357B4" w:rsidRPr="001F224B">
        <w:rPr>
          <w:sz w:val="22"/>
          <w:szCs w:val="22"/>
        </w:rPr>
        <w:t xml:space="preserve">19 Ağustos 2024 tarihinde </w:t>
      </w:r>
      <w:r w:rsidR="004357B4" w:rsidRPr="001F224B">
        <w:rPr>
          <w:iCs/>
          <w:sz w:val="22"/>
          <w:szCs w:val="22"/>
        </w:rPr>
        <w:t>50.000 TL’ye çıkarılan nominal sermayesi ile Kalkınma Girişim Sermayesi Portföy Yönetimi Anonim Şirketi'ne %100 oranında iştirak etmiştir.</w:t>
      </w:r>
    </w:p>
    <w:p w14:paraId="6B799921" w14:textId="0E025382" w:rsidR="0049717E" w:rsidRPr="001F224B" w:rsidRDefault="0049717E" w:rsidP="004357B4">
      <w:pPr>
        <w:spacing w:before="120"/>
        <w:ind w:left="567"/>
        <w:jc w:val="both"/>
        <w:rPr>
          <w:sz w:val="22"/>
          <w:szCs w:val="22"/>
        </w:rPr>
      </w:pPr>
      <w:r w:rsidRPr="001F224B">
        <w:rPr>
          <w:sz w:val="22"/>
          <w:szCs w:val="22"/>
        </w:rPr>
        <w:t xml:space="preserve">Kalkınma Girişim Sermayesi Portföy Yönetimi Anonim Şirketi </w:t>
      </w:r>
      <w:r w:rsidRPr="001F224B">
        <w:rPr>
          <w:rStyle w:val="CommentReference"/>
          <w:sz w:val="22"/>
          <w:szCs w:val="22"/>
        </w:rPr>
        <w:t>v</w:t>
      </w:r>
      <w:r w:rsidRPr="001F224B">
        <w:rPr>
          <w:sz w:val="22"/>
          <w:szCs w:val="22"/>
        </w:rPr>
        <w:t>e Kalkınma Yatırım Varlık Kiralama Anonim Şirketi Bankaların Konsolide Finansal Tablolarının Düzenlenmesine İlişkin Tebliğ ve Türkiye Muhasebe Standartları gereği konsolide finansal tablolarda tam konsolidasyon yöntemi ile konsolide edilmektedir.</w:t>
      </w:r>
    </w:p>
    <w:p w14:paraId="56D9F73A" w14:textId="02EE4F21" w:rsidR="00E34CF5" w:rsidRPr="001F224B" w:rsidRDefault="00E34CF5" w:rsidP="00424137">
      <w:pPr>
        <w:pStyle w:val="BodyText"/>
        <w:tabs>
          <w:tab w:val="clear" w:pos="720"/>
        </w:tabs>
        <w:spacing w:before="118" w:line="249" w:lineRule="auto"/>
        <w:ind w:left="567" w:right="28"/>
        <w:rPr>
          <w:sz w:val="22"/>
          <w:szCs w:val="22"/>
        </w:rPr>
      </w:pPr>
      <w:r w:rsidRPr="001F224B">
        <w:rPr>
          <w:sz w:val="22"/>
          <w:szCs w:val="22"/>
        </w:rPr>
        <w:t>24 Ekim 2018 tarih ve 7147 Sayılı Türkiye Kalkınma ve Yatırım Bankası A.Ş. Hakkında Kanun’un 6’ncı maddesinin 4’üncü fıkrası uyarınca Banka, kurucusu olduğu Türkiye Kalkınma Fonu’nda sahip olduğu paylar nedeniyle 5411 sayılı Bankacılık Kanunu ve ilgili mevzuatta yer alan Konsolide Denetim ve Konsolide Finansal Raporlama ile ilgili hükümlere tabi değildir.</w:t>
      </w:r>
    </w:p>
    <w:p w14:paraId="4982882A" w14:textId="0A566C45" w:rsidR="00F07C47" w:rsidRPr="001F224B" w:rsidRDefault="00085CA2" w:rsidP="006C0F89">
      <w:pPr>
        <w:tabs>
          <w:tab w:val="left" w:pos="567"/>
        </w:tabs>
        <w:spacing w:before="120"/>
        <w:ind w:left="567" w:right="28"/>
        <w:jc w:val="both"/>
        <w:rPr>
          <w:sz w:val="22"/>
          <w:szCs w:val="22"/>
        </w:rPr>
      </w:pPr>
      <w:r w:rsidRPr="001F224B">
        <w:rPr>
          <w:sz w:val="22"/>
          <w:szCs w:val="22"/>
        </w:rPr>
        <w:t>Ana Ortaklık Banka’nın iştirak</w:t>
      </w:r>
      <w:r w:rsidR="00AF4992" w:rsidRPr="001F224B">
        <w:rPr>
          <w:sz w:val="22"/>
          <w:szCs w:val="22"/>
        </w:rPr>
        <w:t>i</w:t>
      </w:r>
      <w:r w:rsidR="00C530B8" w:rsidRPr="001F224B">
        <w:rPr>
          <w:sz w:val="22"/>
          <w:szCs w:val="22"/>
        </w:rPr>
        <w:t xml:space="preserve"> mali kuruluş olma</w:t>
      </w:r>
      <w:r w:rsidR="00AF4992" w:rsidRPr="001F224B">
        <w:rPr>
          <w:sz w:val="22"/>
          <w:szCs w:val="22"/>
        </w:rPr>
        <w:t>dığı</w:t>
      </w:r>
      <w:r w:rsidRPr="001F224B">
        <w:rPr>
          <w:sz w:val="22"/>
          <w:szCs w:val="22"/>
        </w:rPr>
        <w:t xml:space="preserve"> için</w:t>
      </w:r>
      <w:r w:rsidR="00C530B8" w:rsidRPr="001F224B">
        <w:rPr>
          <w:sz w:val="22"/>
          <w:szCs w:val="22"/>
        </w:rPr>
        <w:t xml:space="preserve"> Bankaların Konsolide Finansal Tabloların Düzenlenmesine İlişkin Tebliğ kapsamında konsolide finansal tablolarda </w:t>
      </w:r>
      <w:r w:rsidR="00496164" w:rsidRPr="001F224B">
        <w:rPr>
          <w:sz w:val="22"/>
          <w:szCs w:val="22"/>
        </w:rPr>
        <w:t xml:space="preserve">özkaynak metoduyla </w:t>
      </w:r>
      <w:r w:rsidR="00C530B8" w:rsidRPr="001F224B">
        <w:rPr>
          <w:sz w:val="22"/>
          <w:szCs w:val="22"/>
        </w:rPr>
        <w:t>konsolide edilmemektedir.</w:t>
      </w:r>
    </w:p>
    <w:p w14:paraId="2FAE9D0F" w14:textId="5701D2A3" w:rsidR="000B0319" w:rsidRPr="001F224B" w:rsidRDefault="000B0319" w:rsidP="000608C7">
      <w:pPr>
        <w:spacing w:before="120"/>
        <w:ind w:left="567" w:hanging="567"/>
        <w:jc w:val="both"/>
        <w:rPr>
          <w:b/>
          <w:bCs/>
          <w:sz w:val="22"/>
          <w:szCs w:val="22"/>
        </w:rPr>
      </w:pPr>
      <w:r w:rsidRPr="001F224B">
        <w:rPr>
          <w:b/>
          <w:bCs/>
          <w:sz w:val="22"/>
          <w:szCs w:val="22"/>
        </w:rPr>
        <w:t>VII</w:t>
      </w:r>
      <w:r w:rsidR="007703E1" w:rsidRPr="001F224B">
        <w:rPr>
          <w:b/>
          <w:bCs/>
          <w:sz w:val="22"/>
          <w:szCs w:val="22"/>
        </w:rPr>
        <w:t>.</w:t>
      </w:r>
      <w:r w:rsidRPr="001F224B">
        <w:rPr>
          <w:b/>
          <w:bCs/>
          <w:sz w:val="22"/>
          <w:szCs w:val="22"/>
        </w:rPr>
        <w:tab/>
      </w:r>
      <w:r w:rsidR="00D14469" w:rsidRPr="001F224B">
        <w:rPr>
          <w:b/>
          <w:bCs/>
          <w:sz w:val="22"/>
          <w:szCs w:val="22"/>
        </w:rPr>
        <w:t xml:space="preserve">Ana Ortaklık </w:t>
      </w:r>
      <w:r w:rsidRPr="001F224B">
        <w:rPr>
          <w:b/>
          <w:bCs/>
          <w:sz w:val="22"/>
          <w:szCs w:val="22"/>
        </w:rPr>
        <w:t>Banka ile bağlı ortaklıkları arasında özkaynakların derhal transfer edilmesinin veya borçların geri ödenmesinin önünde mevcut veya muhtemel, fiili veya hukuki engeller</w:t>
      </w:r>
    </w:p>
    <w:p w14:paraId="0C3F5FEA" w14:textId="77777777" w:rsidR="00CA69FB" w:rsidRPr="001F224B" w:rsidRDefault="00CA69FB" w:rsidP="00CA69FB">
      <w:pPr>
        <w:spacing w:before="60"/>
        <w:ind w:left="567"/>
        <w:jc w:val="both"/>
        <w:rPr>
          <w:sz w:val="22"/>
          <w:szCs w:val="22"/>
        </w:rPr>
      </w:pPr>
      <w:r w:rsidRPr="001F224B">
        <w:rPr>
          <w:iCs/>
          <w:sz w:val="22"/>
          <w:szCs w:val="22"/>
        </w:rPr>
        <w:t>Bulunmamaktadır.</w:t>
      </w:r>
    </w:p>
    <w:p w14:paraId="58EB4047" w14:textId="77777777" w:rsidR="00175C0D" w:rsidRPr="001F224B" w:rsidRDefault="00175C0D" w:rsidP="00604594">
      <w:pPr>
        <w:rPr>
          <w:sz w:val="22"/>
          <w:szCs w:val="22"/>
        </w:rPr>
        <w:sectPr w:rsidR="00175C0D" w:rsidRPr="001F224B" w:rsidSect="004802A7">
          <w:headerReference w:type="default" r:id="rId74"/>
          <w:footerReference w:type="default" r:id="rId75"/>
          <w:footerReference w:type="first" r:id="rId76"/>
          <w:pgSz w:w="11907" w:h="16840" w:code="9"/>
          <w:pgMar w:top="680" w:right="964" w:bottom="567" w:left="1134" w:header="624" w:footer="227" w:gutter="0"/>
          <w:cols w:space="708"/>
          <w:titlePg/>
          <w:docGrid w:linePitch="326"/>
        </w:sectPr>
      </w:pPr>
    </w:p>
    <w:p w14:paraId="540DC0B4" w14:textId="77777777" w:rsidR="00CD0EE6" w:rsidRPr="001F224B" w:rsidRDefault="00CD0EE6" w:rsidP="0070039B">
      <w:pPr>
        <w:tabs>
          <w:tab w:val="left" w:pos="567"/>
        </w:tabs>
        <w:spacing w:afterLines="60" w:after="144"/>
        <w:rPr>
          <w:b/>
          <w:bCs/>
          <w:sz w:val="22"/>
          <w:szCs w:val="22"/>
        </w:rPr>
      </w:pPr>
    </w:p>
    <w:p w14:paraId="2EA69C39" w14:textId="77777777" w:rsidR="006A1A7F" w:rsidRPr="001F224B" w:rsidRDefault="006A1A7F" w:rsidP="0070039B">
      <w:pPr>
        <w:tabs>
          <w:tab w:val="left" w:pos="567"/>
        </w:tabs>
        <w:spacing w:afterLines="60" w:after="144"/>
        <w:rPr>
          <w:b/>
          <w:bCs/>
          <w:sz w:val="22"/>
          <w:szCs w:val="22"/>
        </w:rPr>
      </w:pPr>
      <w:r w:rsidRPr="001F224B">
        <w:rPr>
          <w:b/>
          <w:bCs/>
          <w:sz w:val="22"/>
          <w:szCs w:val="22"/>
        </w:rPr>
        <w:t>İKİNCİ BÖLÜM</w:t>
      </w:r>
    </w:p>
    <w:p w14:paraId="48C40096" w14:textId="6EA53949" w:rsidR="006A1A7F" w:rsidRPr="001F224B" w:rsidRDefault="003C694D" w:rsidP="0070039B">
      <w:pPr>
        <w:tabs>
          <w:tab w:val="left" w:pos="567"/>
        </w:tabs>
        <w:spacing w:afterLines="60" w:after="144"/>
        <w:rPr>
          <w:b/>
          <w:bCs/>
          <w:sz w:val="22"/>
          <w:szCs w:val="22"/>
        </w:rPr>
      </w:pPr>
      <w:r w:rsidRPr="001F224B">
        <w:rPr>
          <w:b/>
          <w:bCs/>
          <w:sz w:val="22"/>
          <w:szCs w:val="22"/>
        </w:rPr>
        <w:t xml:space="preserve">KONSOLİDE </w:t>
      </w:r>
      <w:r w:rsidR="006A1A7F" w:rsidRPr="001F224B">
        <w:rPr>
          <w:b/>
          <w:bCs/>
          <w:sz w:val="22"/>
          <w:szCs w:val="22"/>
        </w:rPr>
        <w:t>FİNANSAL TABLOLAR</w:t>
      </w:r>
    </w:p>
    <w:tbl>
      <w:tblPr>
        <w:tblW w:w="0" w:type="auto"/>
        <w:tblInd w:w="108" w:type="dxa"/>
        <w:tblLook w:val="04A0" w:firstRow="1" w:lastRow="0" w:firstColumn="1" w:lastColumn="0" w:noHBand="0" w:noVBand="1"/>
      </w:tblPr>
      <w:tblGrid>
        <w:gridCol w:w="674"/>
        <w:gridCol w:w="9027"/>
      </w:tblGrid>
      <w:tr w:rsidR="000B0319" w:rsidRPr="001F224B" w14:paraId="63D43325" w14:textId="77777777" w:rsidTr="00290655">
        <w:trPr>
          <w:trHeight w:val="283"/>
        </w:trPr>
        <w:tc>
          <w:tcPr>
            <w:tcW w:w="674" w:type="dxa"/>
            <w:vAlign w:val="bottom"/>
          </w:tcPr>
          <w:p w14:paraId="22575814" w14:textId="77777777" w:rsidR="000B0319" w:rsidRPr="001F224B" w:rsidRDefault="000B0319" w:rsidP="009D7F6C">
            <w:pPr>
              <w:pStyle w:val="1tipi"/>
              <w:tabs>
                <w:tab w:val="clear" w:pos="1134"/>
              </w:tabs>
              <w:jc w:val="left"/>
              <w:rPr>
                <w:rFonts w:ascii="Times New Roman" w:hAnsi="Times New Roman" w:cs="Times New Roman"/>
                <w:b/>
                <w:sz w:val="22"/>
                <w:szCs w:val="22"/>
                <w:lang w:val="tr-TR"/>
              </w:rPr>
            </w:pPr>
            <w:r w:rsidRPr="001F224B">
              <w:rPr>
                <w:rFonts w:ascii="Times New Roman" w:hAnsi="Times New Roman" w:cs="Times New Roman"/>
                <w:b/>
                <w:sz w:val="22"/>
                <w:szCs w:val="22"/>
                <w:lang w:val="tr-TR"/>
              </w:rPr>
              <w:t>I</w:t>
            </w:r>
            <w:r w:rsidR="00B80767" w:rsidRPr="001F224B">
              <w:rPr>
                <w:rFonts w:ascii="Times New Roman" w:hAnsi="Times New Roman" w:cs="Times New Roman"/>
                <w:b/>
                <w:sz w:val="22"/>
                <w:szCs w:val="22"/>
                <w:lang w:val="tr-TR"/>
              </w:rPr>
              <w:t>.</w:t>
            </w:r>
          </w:p>
        </w:tc>
        <w:tc>
          <w:tcPr>
            <w:tcW w:w="9027" w:type="dxa"/>
            <w:vAlign w:val="bottom"/>
          </w:tcPr>
          <w:p w14:paraId="0BDACC17" w14:textId="09F01779" w:rsidR="000B0319" w:rsidRPr="001F224B" w:rsidRDefault="00202669" w:rsidP="009D7F6C">
            <w:pPr>
              <w:pStyle w:val="1tipi"/>
              <w:tabs>
                <w:tab w:val="clear" w:pos="1134"/>
              </w:tabs>
              <w:jc w:val="left"/>
              <w:rPr>
                <w:rFonts w:ascii="Times New Roman" w:hAnsi="Times New Roman" w:cs="Times New Roman"/>
                <w:sz w:val="22"/>
                <w:szCs w:val="22"/>
                <w:lang w:val="tr-TR"/>
              </w:rPr>
            </w:pPr>
            <w:r w:rsidRPr="001F224B">
              <w:rPr>
                <w:rFonts w:ascii="Times New Roman" w:hAnsi="Times New Roman" w:cs="Times New Roman"/>
                <w:sz w:val="22"/>
                <w:szCs w:val="22"/>
                <w:lang w:val="tr-TR"/>
              </w:rPr>
              <w:t>Konsolide b</w:t>
            </w:r>
            <w:r w:rsidR="000B0319" w:rsidRPr="001F224B">
              <w:rPr>
                <w:rFonts w:ascii="Times New Roman" w:hAnsi="Times New Roman" w:cs="Times New Roman"/>
                <w:sz w:val="22"/>
                <w:szCs w:val="22"/>
                <w:lang w:val="tr-TR"/>
              </w:rPr>
              <w:t>ilanço</w:t>
            </w:r>
            <w:r w:rsidR="00931929" w:rsidRPr="001F224B">
              <w:rPr>
                <w:rFonts w:ascii="Times New Roman" w:hAnsi="Times New Roman" w:cs="Times New Roman"/>
                <w:sz w:val="22"/>
                <w:szCs w:val="22"/>
                <w:lang w:val="tr-TR"/>
              </w:rPr>
              <w:t xml:space="preserve"> (Finansal durum t</w:t>
            </w:r>
            <w:r w:rsidR="00D45585" w:rsidRPr="001F224B">
              <w:rPr>
                <w:rFonts w:ascii="Times New Roman" w:hAnsi="Times New Roman" w:cs="Times New Roman"/>
                <w:sz w:val="22"/>
                <w:szCs w:val="22"/>
                <w:lang w:val="tr-TR"/>
              </w:rPr>
              <w:t>ablosu)</w:t>
            </w:r>
          </w:p>
        </w:tc>
      </w:tr>
      <w:tr w:rsidR="000B0319" w:rsidRPr="001F224B" w14:paraId="54E28504" w14:textId="77777777" w:rsidTr="00290655">
        <w:trPr>
          <w:trHeight w:val="283"/>
        </w:trPr>
        <w:tc>
          <w:tcPr>
            <w:tcW w:w="674" w:type="dxa"/>
            <w:vAlign w:val="bottom"/>
          </w:tcPr>
          <w:p w14:paraId="5EBAF366" w14:textId="77777777" w:rsidR="000B0319" w:rsidRPr="001F224B" w:rsidRDefault="000B0319" w:rsidP="009D7F6C">
            <w:pPr>
              <w:pStyle w:val="1tipi"/>
              <w:tabs>
                <w:tab w:val="clear" w:pos="1134"/>
              </w:tabs>
              <w:jc w:val="left"/>
              <w:rPr>
                <w:rFonts w:ascii="Times New Roman" w:hAnsi="Times New Roman" w:cs="Times New Roman"/>
                <w:b/>
                <w:sz w:val="22"/>
                <w:szCs w:val="22"/>
                <w:lang w:val="tr-TR"/>
              </w:rPr>
            </w:pPr>
            <w:r w:rsidRPr="001F224B">
              <w:rPr>
                <w:rFonts w:ascii="Times New Roman" w:hAnsi="Times New Roman" w:cs="Times New Roman"/>
                <w:b/>
                <w:sz w:val="22"/>
                <w:szCs w:val="22"/>
                <w:lang w:val="tr-TR"/>
              </w:rPr>
              <w:t>II</w:t>
            </w:r>
            <w:r w:rsidR="00B80767" w:rsidRPr="001F224B">
              <w:rPr>
                <w:rFonts w:ascii="Times New Roman" w:hAnsi="Times New Roman" w:cs="Times New Roman"/>
                <w:b/>
                <w:sz w:val="22"/>
                <w:szCs w:val="22"/>
                <w:lang w:val="tr-TR"/>
              </w:rPr>
              <w:t>.</w:t>
            </w:r>
          </w:p>
        </w:tc>
        <w:tc>
          <w:tcPr>
            <w:tcW w:w="9027" w:type="dxa"/>
            <w:vAlign w:val="bottom"/>
          </w:tcPr>
          <w:p w14:paraId="45186B8B" w14:textId="2C301F78" w:rsidR="000B0319" w:rsidRPr="001F224B" w:rsidRDefault="00202669" w:rsidP="009D7F6C">
            <w:pPr>
              <w:pStyle w:val="1tipi"/>
              <w:tabs>
                <w:tab w:val="clear" w:pos="1134"/>
              </w:tabs>
              <w:jc w:val="left"/>
              <w:rPr>
                <w:rFonts w:ascii="Times New Roman" w:hAnsi="Times New Roman" w:cs="Times New Roman"/>
                <w:sz w:val="22"/>
                <w:szCs w:val="22"/>
                <w:lang w:val="tr-TR"/>
              </w:rPr>
            </w:pPr>
            <w:r w:rsidRPr="001F224B">
              <w:rPr>
                <w:rFonts w:ascii="Times New Roman" w:hAnsi="Times New Roman" w:cs="Times New Roman"/>
                <w:sz w:val="22"/>
                <w:szCs w:val="22"/>
                <w:lang w:val="tr-TR"/>
              </w:rPr>
              <w:t>Konsolide n</w:t>
            </w:r>
            <w:r w:rsidR="000B0319" w:rsidRPr="001F224B">
              <w:rPr>
                <w:rFonts w:ascii="Times New Roman" w:hAnsi="Times New Roman" w:cs="Times New Roman"/>
                <w:sz w:val="22"/>
                <w:szCs w:val="22"/>
                <w:lang w:val="tr-TR"/>
              </w:rPr>
              <w:t>azım hesaplar tablosu</w:t>
            </w:r>
          </w:p>
        </w:tc>
      </w:tr>
      <w:tr w:rsidR="000B0319" w:rsidRPr="001F224B" w14:paraId="14D067C7" w14:textId="77777777" w:rsidTr="00290655">
        <w:trPr>
          <w:trHeight w:val="283"/>
        </w:trPr>
        <w:tc>
          <w:tcPr>
            <w:tcW w:w="674" w:type="dxa"/>
            <w:vAlign w:val="bottom"/>
          </w:tcPr>
          <w:p w14:paraId="1115DC46" w14:textId="77777777" w:rsidR="000B0319" w:rsidRPr="001F224B" w:rsidRDefault="000B0319" w:rsidP="009D7F6C">
            <w:pPr>
              <w:pStyle w:val="1tipi"/>
              <w:tabs>
                <w:tab w:val="clear" w:pos="1134"/>
              </w:tabs>
              <w:jc w:val="left"/>
              <w:rPr>
                <w:rFonts w:ascii="Times New Roman" w:hAnsi="Times New Roman" w:cs="Times New Roman"/>
                <w:b/>
                <w:sz w:val="22"/>
                <w:szCs w:val="22"/>
                <w:lang w:val="tr-TR"/>
              </w:rPr>
            </w:pPr>
            <w:r w:rsidRPr="001F224B">
              <w:rPr>
                <w:rFonts w:ascii="Times New Roman" w:hAnsi="Times New Roman" w:cs="Times New Roman"/>
                <w:b/>
                <w:sz w:val="22"/>
                <w:szCs w:val="22"/>
                <w:lang w:val="tr-TR"/>
              </w:rPr>
              <w:t>III</w:t>
            </w:r>
            <w:r w:rsidR="00B80767" w:rsidRPr="001F224B">
              <w:rPr>
                <w:rFonts w:ascii="Times New Roman" w:hAnsi="Times New Roman" w:cs="Times New Roman"/>
                <w:b/>
                <w:sz w:val="22"/>
                <w:szCs w:val="22"/>
                <w:lang w:val="tr-TR"/>
              </w:rPr>
              <w:t>.</w:t>
            </w:r>
          </w:p>
        </w:tc>
        <w:tc>
          <w:tcPr>
            <w:tcW w:w="9027" w:type="dxa"/>
            <w:vAlign w:val="bottom"/>
          </w:tcPr>
          <w:p w14:paraId="0EB01989" w14:textId="4D3409BF" w:rsidR="000B0319" w:rsidRPr="001F224B" w:rsidRDefault="00202669" w:rsidP="009D7F6C">
            <w:pPr>
              <w:pStyle w:val="1tipi"/>
              <w:tabs>
                <w:tab w:val="clear" w:pos="1134"/>
              </w:tabs>
              <w:jc w:val="left"/>
              <w:rPr>
                <w:rFonts w:ascii="Times New Roman" w:hAnsi="Times New Roman" w:cs="Times New Roman"/>
                <w:sz w:val="22"/>
                <w:szCs w:val="22"/>
                <w:lang w:val="tr-TR"/>
              </w:rPr>
            </w:pPr>
            <w:r w:rsidRPr="001F224B">
              <w:rPr>
                <w:rFonts w:ascii="Times New Roman" w:hAnsi="Times New Roman" w:cs="Times New Roman"/>
                <w:sz w:val="22"/>
                <w:szCs w:val="22"/>
                <w:lang w:val="tr-TR"/>
              </w:rPr>
              <w:t>Konsolide k</w:t>
            </w:r>
            <w:r w:rsidR="006369AC" w:rsidRPr="001F224B">
              <w:rPr>
                <w:rFonts w:ascii="Times New Roman" w:hAnsi="Times New Roman" w:cs="Times New Roman"/>
                <w:sz w:val="22"/>
                <w:szCs w:val="22"/>
                <w:lang w:val="tr-TR"/>
              </w:rPr>
              <w:t xml:space="preserve">ar veya zarar </w:t>
            </w:r>
            <w:r w:rsidR="000B0319" w:rsidRPr="001F224B">
              <w:rPr>
                <w:rFonts w:ascii="Times New Roman" w:hAnsi="Times New Roman" w:cs="Times New Roman"/>
                <w:sz w:val="22"/>
                <w:szCs w:val="22"/>
                <w:lang w:val="tr-TR"/>
              </w:rPr>
              <w:t>tablosu</w:t>
            </w:r>
          </w:p>
        </w:tc>
      </w:tr>
      <w:tr w:rsidR="000B0319" w:rsidRPr="001F224B" w14:paraId="20776480" w14:textId="77777777" w:rsidTr="00290655">
        <w:trPr>
          <w:trHeight w:val="283"/>
        </w:trPr>
        <w:tc>
          <w:tcPr>
            <w:tcW w:w="674" w:type="dxa"/>
            <w:vAlign w:val="bottom"/>
          </w:tcPr>
          <w:p w14:paraId="1A29E9F4" w14:textId="77777777" w:rsidR="000B0319" w:rsidRPr="001F224B" w:rsidRDefault="000B0319" w:rsidP="009D7F6C">
            <w:pPr>
              <w:pStyle w:val="1tipi"/>
              <w:tabs>
                <w:tab w:val="clear" w:pos="1134"/>
              </w:tabs>
              <w:jc w:val="left"/>
              <w:rPr>
                <w:rFonts w:ascii="Times New Roman" w:hAnsi="Times New Roman" w:cs="Times New Roman"/>
                <w:b/>
                <w:sz w:val="22"/>
                <w:szCs w:val="22"/>
                <w:lang w:val="tr-TR"/>
              </w:rPr>
            </w:pPr>
            <w:r w:rsidRPr="001F224B">
              <w:rPr>
                <w:rFonts w:ascii="Times New Roman" w:hAnsi="Times New Roman" w:cs="Times New Roman"/>
                <w:b/>
                <w:sz w:val="22"/>
                <w:szCs w:val="22"/>
                <w:lang w:val="tr-TR"/>
              </w:rPr>
              <w:t>IV</w:t>
            </w:r>
            <w:r w:rsidR="00B80767" w:rsidRPr="001F224B">
              <w:rPr>
                <w:rFonts w:ascii="Times New Roman" w:hAnsi="Times New Roman" w:cs="Times New Roman"/>
                <w:b/>
                <w:sz w:val="22"/>
                <w:szCs w:val="22"/>
                <w:lang w:val="tr-TR"/>
              </w:rPr>
              <w:t>.</w:t>
            </w:r>
          </w:p>
        </w:tc>
        <w:tc>
          <w:tcPr>
            <w:tcW w:w="9027" w:type="dxa"/>
            <w:vAlign w:val="bottom"/>
          </w:tcPr>
          <w:p w14:paraId="5500F302" w14:textId="6066C558" w:rsidR="000B0319" w:rsidRPr="001F224B" w:rsidRDefault="00202669" w:rsidP="009D7F6C">
            <w:pPr>
              <w:pStyle w:val="1tipi"/>
              <w:tabs>
                <w:tab w:val="clear" w:pos="1134"/>
              </w:tabs>
              <w:jc w:val="left"/>
              <w:rPr>
                <w:rFonts w:ascii="Times New Roman" w:hAnsi="Times New Roman" w:cs="Times New Roman"/>
                <w:sz w:val="22"/>
                <w:szCs w:val="22"/>
                <w:lang w:val="tr-TR"/>
              </w:rPr>
            </w:pPr>
            <w:r w:rsidRPr="001F224B">
              <w:rPr>
                <w:rFonts w:ascii="Times New Roman" w:hAnsi="Times New Roman" w:cs="Times New Roman"/>
                <w:sz w:val="22"/>
                <w:szCs w:val="22"/>
                <w:lang w:val="tr-TR"/>
              </w:rPr>
              <w:t>Konsolide k</w:t>
            </w:r>
            <w:r w:rsidR="006369AC" w:rsidRPr="001F224B">
              <w:rPr>
                <w:rFonts w:ascii="Times New Roman" w:hAnsi="Times New Roman" w:cs="Times New Roman"/>
                <w:sz w:val="22"/>
                <w:szCs w:val="22"/>
                <w:lang w:val="tr-TR"/>
              </w:rPr>
              <w:t>ar veya zarar ve diğer kapsamlı gelir</w:t>
            </w:r>
            <w:r w:rsidR="000B0319" w:rsidRPr="001F224B">
              <w:rPr>
                <w:rFonts w:ascii="Times New Roman" w:hAnsi="Times New Roman" w:cs="Times New Roman"/>
                <w:sz w:val="22"/>
                <w:szCs w:val="22"/>
                <w:lang w:val="tr-TR"/>
              </w:rPr>
              <w:t xml:space="preserve"> tablo</w:t>
            </w:r>
            <w:r w:rsidR="006369AC" w:rsidRPr="001F224B">
              <w:rPr>
                <w:rFonts w:ascii="Times New Roman" w:hAnsi="Times New Roman" w:cs="Times New Roman"/>
                <w:sz w:val="22"/>
                <w:szCs w:val="22"/>
                <w:lang w:val="tr-TR"/>
              </w:rPr>
              <w:t>su</w:t>
            </w:r>
          </w:p>
        </w:tc>
      </w:tr>
      <w:tr w:rsidR="000B0319" w:rsidRPr="001F224B" w14:paraId="518CBEE6" w14:textId="77777777" w:rsidTr="00290655">
        <w:trPr>
          <w:trHeight w:val="283"/>
        </w:trPr>
        <w:tc>
          <w:tcPr>
            <w:tcW w:w="674" w:type="dxa"/>
            <w:vAlign w:val="bottom"/>
          </w:tcPr>
          <w:p w14:paraId="1F575500" w14:textId="77777777" w:rsidR="000B0319" w:rsidRPr="001F224B" w:rsidRDefault="000B0319" w:rsidP="009D7F6C">
            <w:pPr>
              <w:pStyle w:val="1tipi"/>
              <w:tabs>
                <w:tab w:val="clear" w:pos="1134"/>
              </w:tabs>
              <w:jc w:val="left"/>
              <w:rPr>
                <w:rFonts w:ascii="Times New Roman" w:hAnsi="Times New Roman" w:cs="Times New Roman"/>
                <w:b/>
                <w:sz w:val="22"/>
                <w:szCs w:val="22"/>
                <w:lang w:val="tr-TR"/>
              </w:rPr>
            </w:pPr>
            <w:r w:rsidRPr="001F224B">
              <w:rPr>
                <w:rFonts w:ascii="Times New Roman" w:hAnsi="Times New Roman" w:cs="Times New Roman"/>
                <w:b/>
                <w:sz w:val="22"/>
                <w:szCs w:val="22"/>
                <w:lang w:val="tr-TR"/>
              </w:rPr>
              <w:t>V</w:t>
            </w:r>
            <w:r w:rsidR="00B80767" w:rsidRPr="001F224B">
              <w:rPr>
                <w:rFonts w:ascii="Times New Roman" w:hAnsi="Times New Roman" w:cs="Times New Roman"/>
                <w:b/>
                <w:sz w:val="22"/>
                <w:szCs w:val="22"/>
                <w:lang w:val="tr-TR"/>
              </w:rPr>
              <w:t>.</w:t>
            </w:r>
          </w:p>
        </w:tc>
        <w:tc>
          <w:tcPr>
            <w:tcW w:w="9027" w:type="dxa"/>
            <w:vAlign w:val="bottom"/>
          </w:tcPr>
          <w:p w14:paraId="746493F3" w14:textId="61AD9C74" w:rsidR="000B0319" w:rsidRPr="001F224B" w:rsidRDefault="00202669" w:rsidP="009D7F6C">
            <w:pPr>
              <w:pStyle w:val="1tipi"/>
              <w:tabs>
                <w:tab w:val="clear" w:pos="1134"/>
              </w:tabs>
              <w:jc w:val="left"/>
              <w:rPr>
                <w:rFonts w:ascii="Times New Roman" w:hAnsi="Times New Roman" w:cs="Times New Roman"/>
                <w:sz w:val="22"/>
                <w:szCs w:val="22"/>
                <w:lang w:val="tr-TR"/>
              </w:rPr>
            </w:pPr>
            <w:r w:rsidRPr="001F224B">
              <w:rPr>
                <w:rFonts w:ascii="Times New Roman" w:hAnsi="Times New Roman" w:cs="Times New Roman"/>
                <w:sz w:val="22"/>
                <w:szCs w:val="22"/>
                <w:lang w:val="tr-TR"/>
              </w:rPr>
              <w:t>Konsolide ö</w:t>
            </w:r>
            <w:r w:rsidR="000B0319" w:rsidRPr="001F224B">
              <w:rPr>
                <w:rFonts w:ascii="Times New Roman" w:hAnsi="Times New Roman" w:cs="Times New Roman"/>
                <w:sz w:val="22"/>
                <w:szCs w:val="22"/>
                <w:lang w:val="tr-TR"/>
              </w:rPr>
              <w:t>zkaynak</w:t>
            </w:r>
            <w:r w:rsidR="00617206" w:rsidRPr="001F224B">
              <w:rPr>
                <w:rFonts w:ascii="Times New Roman" w:hAnsi="Times New Roman" w:cs="Times New Roman"/>
                <w:sz w:val="22"/>
                <w:szCs w:val="22"/>
                <w:lang w:val="tr-TR"/>
              </w:rPr>
              <w:t>lar</w:t>
            </w:r>
            <w:r w:rsidR="000B0319" w:rsidRPr="001F224B">
              <w:rPr>
                <w:rFonts w:ascii="Times New Roman" w:hAnsi="Times New Roman" w:cs="Times New Roman"/>
                <w:sz w:val="22"/>
                <w:szCs w:val="22"/>
                <w:lang w:val="tr-TR"/>
              </w:rPr>
              <w:t xml:space="preserve"> değişim tablosu</w:t>
            </w:r>
          </w:p>
        </w:tc>
      </w:tr>
      <w:tr w:rsidR="000B0319" w:rsidRPr="001F224B" w14:paraId="1A4F229C" w14:textId="77777777" w:rsidTr="00290655">
        <w:trPr>
          <w:trHeight w:val="283"/>
        </w:trPr>
        <w:tc>
          <w:tcPr>
            <w:tcW w:w="674" w:type="dxa"/>
            <w:vAlign w:val="bottom"/>
          </w:tcPr>
          <w:p w14:paraId="1F844D81" w14:textId="77777777" w:rsidR="000B0319" w:rsidRPr="001F224B" w:rsidRDefault="000B0319" w:rsidP="009D7F6C">
            <w:pPr>
              <w:pStyle w:val="1tipi"/>
              <w:tabs>
                <w:tab w:val="clear" w:pos="1134"/>
              </w:tabs>
              <w:jc w:val="left"/>
              <w:rPr>
                <w:rFonts w:ascii="Times New Roman" w:hAnsi="Times New Roman" w:cs="Times New Roman"/>
                <w:b/>
                <w:sz w:val="22"/>
                <w:szCs w:val="22"/>
                <w:lang w:val="tr-TR"/>
              </w:rPr>
            </w:pPr>
            <w:r w:rsidRPr="001F224B">
              <w:rPr>
                <w:rFonts w:ascii="Times New Roman" w:hAnsi="Times New Roman" w:cs="Times New Roman"/>
                <w:b/>
                <w:sz w:val="22"/>
                <w:szCs w:val="22"/>
                <w:lang w:val="tr-TR"/>
              </w:rPr>
              <w:t>VI</w:t>
            </w:r>
            <w:r w:rsidR="00B80767" w:rsidRPr="001F224B">
              <w:rPr>
                <w:rFonts w:ascii="Times New Roman" w:hAnsi="Times New Roman" w:cs="Times New Roman"/>
                <w:b/>
                <w:sz w:val="22"/>
                <w:szCs w:val="22"/>
                <w:lang w:val="tr-TR"/>
              </w:rPr>
              <w:t>.</w:t>
            </w:r>
          </w:p>
        </w:tc>
        <w:tc>
          <w:tcPr>
            <w:tcW w:w="9027" w:type="dxa"/>
            <w:vAlign w:val="bottom"/>
          </w:tcPr>
          <w:p w14:paraId="319E206F" w14:textId="5C580606" w:rsidR="000B0319" w:rsidRPr="001F224B" w:rsidRDefault="00202669" w:rsidP="009D7F6C">
            <w:pPr>
              <w:pStyle w:val="1tipi"/>
              <w:tabs>
                <w:tab w:val="clear" w:pos="1134"/>
              </w:tabs>
              <w:jc w:val="left"/>
              <w:rPr>
                <w:rFonts w:ascii="Times New Roman" w:hAnsi="Times New Roman" w:cs="Times New Roman"/>
                <w:sz w:val="22"/>
                <w:szCs w:val="22"/>
                <w:lang w:val="tr-TR"/>
              </w:rPr>
            </w:pPr>
            <w:r w:rsidRPr="001F224B">
              <w:rPr>
                <w:rFonts w:ascii="Times New Roman" w:hAnsi="Times New Roman" w:cs="Times New Roman"/>
                <w:sz w:val="22"/>
                <w:szCs w:val="22"/>
                <w:lang w:val="tr-TR"/>
              </w:rPr>
              <w:t>Konsolide n</w:t>
            </w:r>
            <w:r w:rsidR="000B0319" w:rsidRPr="001F224B">
              <w:rPr>
                <w:rFonts w:ascii="Times New Roman" w:hAnsi="Times New Roman" w:cs="Times New Roman"/>
                <w:sz w:val="22"/>
                <w:szCs w:val="22"/>
                <w:lang w:val="tr-TR"/>
              </w:rPr>
              <w:t>akit akış tablosu</w:t>
            </w:r>
          </w:p>
        </w:tc>
      </w:tr>
      <w:tr w:rsidR="00A1696E" w:rsidRPr="001F224B" w14:paraId="12C88A69" w14:textId="77777777" w:rsidTr="00290655">
        <w:trPr>
          <w:trHeight w:val="283"/>
        </w:trPr>
        <w:tc>
          <w:tcPr>
            <w:tcW w:w="674" w:type="dxa"/>
            <w:vAlign w:val="bottom"/>
          </w:tcPr>
          <w:p w14:paraId="56A2156A" w14:textId="23736271" w:rsidR="00A1696E" w:rsidRPr="001F224B" w:rsidRDefault="00A1696E" w:rsidP="00A1696E">
            <w:pPr>
              <w:pStyle w:val="1tipi"/>
              <w:tabs>
                <w:tab w:val="clear" w:pos="1134"/>
              </w:tabs>
              <w:jc w:val="left"/>
              <w:rPr>
                <w:rFonts w:ascii="Times New Roman" w:hAnsi="Times New Roman" w:cs="Times New Roman"/>
                <w:b/>
                <w:sz w:val="22"/>
                <w:szCs w:val="22"/>
                <w:lang w:val="tr-TR"/>
              </w:rPr>
            </w:pPr>
          </w:p>
        </w:tc>
        <w:tc>
          <w:tcPr>
            <w:tcW w:w="9027" w:type="dxa"/>
            <w:vAlign w:val="bottom"/>
          </w:tcPr>
          <w:p w14:paraId="231C612C" w14:textId="128F5978" w:rsidR="00A1696E" w:rsidRPr="001F224B" w:rsidRDefault="00A1696E" w:rsidP="00A1696E">
            <w:pPr>
              <w:pStyle w:val="1tipi"/>
              <w:tabs>
                <w:tab w:val="clear" w:pos="1134"/>
              </w:tabs>
              <w:jc w:val="left"/>
              <w:rPr>
                <w:rFonts w:ascii="Times New Roman" w:hAnsi="Times New Roman" w:cs="Times New Roman"/>
                <w:sz w:val="22"/>
                <w:szCs w:val="22"/>
                <w:lang w:val="tr-TR"/>
              </w:rPr>
            </w:pPr>
          </w:p>
        </w:tc>
      </w:tr>
      <w:tr w:rsidR="00A1696E" w:rsidRPr="001F224B" w14:paraId="71FA89DB" w14:textId="77777777" w:rsidTr="00290655">
        <w:trPr>
          <w:trHeight w:val="283"/>
        </w:trPr>
        <w:tc>
          <w:tcPr>
            <w:tcW w:w="674" w:type="dxa"/>
            <w:vAlign w:val="bottom"/>
          </w:tcPr>
          <w:p w14:paraId="68EF7DCE" w14:textId="31079E01" w:rsidR="00A1696E" w:rsidRPr="001F224B" w:rsidRDefault="00A1696E" w:rsidP="00A1696E">
            <w:pPr>
              <w:pStyle w:val="1tipi"/>
              <w:tabs>
                <w:tab w:val="clear" w:pos="1134"/>
              </w:tabs>
              <w:jc w:val="left"/>
              <w:rPr>
                <w:rFonts w:ascii="Times New Roman" w:hAnsi="Times New Roman" w:cs="Times New Roman"/>
                <w:b/>
                <w:sz w:val="22"/>
                <w:szCs w:val="22"/>
                <w:lang w:val="tr-TR"/>
              </w:rPr>
            </w:pPr>
          </w:p>
        </w:tc>
        <w:tc>
          <w:tcPr>
            <w:tcW w:w="9027" w:type="dxa"/>
            <w:vAlign w:val="bottom"/>
          </w:tcPr>
          <w:p w14:paraId="46BA3E73" w14:textId="2E891AB8" w:rsidR="00A1696E" w:rsidRPr="001F224B" w:rsidRDefault="00A1696E" w:rsidP="00A1696E">
            <w:pPr>
              <w:pStyle w:val="1tipi"/>
              <w:tabs>
                <w:tab w:val="clear" w:pos="1134"/>
              </w:tabs>
              <w:jc w:val="left"/>
              <w:rPr>
                <w:rFonts w:ascii="Times New Roman" w:hAnsi="Times New Roman" w:cs="Times New Roman"/>
                <w:sz w:val="22"/>
                <w:szCs w:val="22"/>
                <w:lang w:val="tr-TR"/>
              </w:rPr>
            </w:pPr>
          </w:p>
        </w:tc>
      </w:tr>
    </w:tbl>
    <w:p w14:paraId="33878CB9" w14:textId="77777777" w:rsidR="000B0319" w:rsidRPr="001F224B" w:rsidRDefault="000B0319" w:rsidP="000B0319">
      <w:pPr>
        <w:pStyle w:val="1tipi"/>
        <w:tabs>
          <w:tab w:val="clear" w:pos="1134"/>
        </w:tabs>
        <w:rPr>
          <w:rFonts w:ascii="Times New Roman" w:hAnsi="Times New Roman" w:cs="Times New Roman"/>
          <w:sz w:val="22"/>
          <w:szCs w:val="22"/>
          <w:lang w:val="tr-TR"/>
        </w:rPr>
      </w:pPr>
      <w:r w:rsidRPr="001F224B">
        <w:rPr>
          <w:rFonts w:ascii="Times New Roman" w:hAnsi="Times New Roman" w:cs="Times New Roman"/>
          <w:sz w:val="18"/>
          <w:szCs w:val="18"/>
          <w:lang w:val="tr-TR"/>
        </w:rPr>
        <w:t xml:space="preserve">   </w:t>
      </w:r>
      <w:r w:rsidR="00301B99" w:rsidRPr="001F224B">
        <w:rPr>
          <w:rFonts w:ascii="Times New Roman" w:hAnsi="Times New Roman" w:cs="Times New Roman"/>
          <w:sz w:val="18"/>
          <w:szCs w:val="18"/>
          <w:lang w:val="tr-TR"/>
        </w:rPr>
        <w:t xml:space="preserve">  </w:t>
      </w:r>
    </w:p>
    <w:p w14:paraId="722E59EA" w14:textId="77777777" w:rsidR="000B0319" w:rsidRPr="001F224B" w:rsidRDefault="000B0319" w:rsidP="001B56B8">
      <w:pPr>
        <w:pStyle w:val="1tipi"/>
        <w:tabs>
          <w:tab w:val="clear" w:pos="1134"/>
        </w:tabs>
        <w:rPr>
          <w:rFonts w:ascii="Times New Roman" w:hAnsi="Times New Roman" w:cs="Times New Roman"/>
          <w:sz w:val="18"/>
          <w:szCs w:val="18"/>
          <w:lang w:val="tr-TR"/>
        </w:rPr>
      </w:pPr>
    </w:p>
    <w:p w14:paraId="773C5580" w14:textId="77777777" w:rsidR="000B0319" w:rsidRPr="001F224B" w:rsidRDefault="000B0319" w:rsidP="001B56B8">
      <w:pPr>
        <w:pStyle w:val="1tipi"/>
        <w:tabs>
          <w:tab w:val="clear" w:pos="1134"/>
        </w:tabs>
        <w:rPr>
          <w:rFonts w:ascii="Times New Roman" w:hAnsi="Times New Roman" w:cs="Times New Roman"/>
          <w:sz w:val="18"/>
          <w:szCs w:val="18"/>
          <w:lang w:val="tr-TR"/>
        </w:rPr>
      </w:pPr>
    </w:p>
    <w:p w14:paraId="60A8F421" w14:textId="77777777" w:rsidR="000B0319" w:rsidRPr="001F224B" w:rsidRDefault="000B0319" w:rsidP="001B56B8">
      <w:pPr>
        <w:pStyle w:val="1tipi"/>
        <w:tabs>
          <w:tab w:val="clear" w:pos="1134"/>
        </w:tabs>
        <w:rPr>
          <w:rFonts w:ascii="Times New Roman" w:hAnsi="Times New Roman" w:cs="Times New Roman"/>
          <w:sz w:val="18"/>
          <w:szCs w:val="18"/>
          <w:lang w:val="tr-TR"/>
        </w:rPr>
      </w:pPr>
    </w:p>
    <w:p w14:paraId="4CAA6DBB" w14:textId="77777777" w:rsidR="000B0319" w:rsidRPr="001F224B" w:rsidRDefault="000B0319" w:rsidP="001B56B8">
      <w:pPr>
        <w:pStyle w:val="1tipi"/>
        <w:tabs>
          <w:tab w:val="clear" w:pos="1134"/>
        </w:tabs>
        <w:rPr>
          <w:rFonts w:ascii="Times New Roman" w:hAnsi="Times New Roman" w:cs="Times New Roman"/>
          <w:sz w:val="18"/>
          <w:szCs w:val="18"/>
          <w:lang w:val="tr-TR"/>
        </w:rPr>
      </w:pPr>
    </w:p>
    <w:p w14:paraId="41406D4F" w14:textId="77777777" w:rsidR="00310FE3" w:rsidRPr="001F224B" w:rsidRDefault="00310FE3" w:rsidP="000D2CBA">
      <w:pPr>
        <w:rPr>
          <w:b/>
          <w:bCs/>
          <w:sz w:val="22"/>
          <w:szCs w:val="22"/>
        </w:rPr>
      </w:pPr>
    </w:p>
    <w:p w14:paraId="5FAE4963" w14:textId="77777777" w:rsidR="00310FE3" w:rsidRPr="001F224B" w:rsidRDefault="00310FE3" w:rsidP="00310FE3">
      <w:pPr>
        <w:rPr>
          <w:sz w:val="22"/>
          <w:szCs w:val="22"/>
        </w:rPr>
      </w:pPr>
    </w:p>
    <w:p w14:paraId="3C424510" w14:textId="77777777" w:rsidR="00310FE3" w:rsidRPr="001F224B" w:rsidRDefault="00310FE3" w:rsidP="00310FE3">
      <w:pPr>
        <w:rPr>
          <w:sz w:val="22"/>
          <w:szCs w:val="22"/>
        </w:rPr>
      </w:pPr>
    </w:p>
    <w:p w14:paraId="55605871" w14:textId="77777777" w:rsidR="00310FE3" w:rsidRPr="001F224B" w:rsidRDefault="00310FE3" w:rsidP="00310FE3">
      <w:pPr>
        <w:rPr>
          <w:sz w:val="22"/>
          <w:szCs w:val="22"/>
        </w:rPr>
      </w:pPr>
    </w:p>
    <w:p w14:paraId="6C2DDAE3" w14:textId="77777777" w:rsidR="00310FE3" w:rsidRPr="001F224B" w:rsidRDefault="00310FE3" w:rsidP="00310FE3">
      <w:pPr>
        <w:rPr>
          <w:sz w:val="22"/>
          <w:szCs w:val="22"/>
        </w:rPr>
      </w:pPr>
    </w:p>
    <w:p w14:paraId="36332FA0" w14:textId="77777777" w:rsidR="00310FE3" w:rsidRPr="001F224B" w:rsidRDefault="00310FE3" w:rsidP="00310FE3">
      <w:pPr>
        <w:rPr>
          <w:sz w:val="22"/>
          <w:szCs w:val="22"/>
        </w:rPr>
      </w:pPr>
    </w:p>
    <w:p w14:paraId="64B6DC06" w14:textId="77777777" w:rsidR="00310FE3" w:rsidRPr="001F224B" w:rsidRDefault="00310FE3" w:rsidP="00310FE3">
      <w:pPr>
        <w:rPr>
          <w:sz w:val="22"/>
          <w:szCs w:val="22"/>
        </w:rPr>
      </w:pPr>
    </w:p>
    <w:p w14:paraId="5623B648" w14:textId="77777777" w:rsidR="00310FE3" w:rsidRPr="001F224B" w:rsidRDefault="00310FE3" w:rsidP="00310FE3">
      <w:pPr>
        <w:rPr>
          <w:sz w:val="22"/>
          <w:szCs w:val="22"/>
        </w:rPr>
      </w:pPr>
    </w:p>
    <w:p w14:paraId="3314DBC6" w14:textId="77777777" w:rsidR="00310FE3" w:rsidRPr="001F224B" w:rsidRDefault="00310FE3" w:rsidP="00310FE3">
      <w:pPr>
        <w:rPr>
          <w:sz w:val="22"/>
          <w:szCs w:val="22"/>
        </w:rPr>
      </w:pPr>
    </w:p>
    <w:p w14:paraId="423FF8D2" w14:textId="77777777" w:rsidR="00310FE3" w:rsidRPr="001F224B" w:rsidRDefault="00310FE3" w:rsidP="00310FE3">
      <w:pPr>
        <w:rPr>
          <w:sz w:val="22"/>
          <w:szCs w:val="22"/>
        </w:rPr>
      </w:pPr>
    </w:p>
    <w:p w14:paraId="2B396B7A" w14:textId="77777777" w:rsidR="00310FE3" w:rsidRPr="001F224B" w:rsidRDefault="00310FE3" w:rsidP="00310FE3">
      <w:pPr>
        <w:rPr>
          <w:sz w:val="22"/>
          <w:szCs w:val="22"/>
        </w:rPr>
      </w:pPr>
    </w:p>
    <w:p w14:paraId="54DD0355" w14:textId="77777777" w:rsidR="00310FE3" w:rsidRPr="001F224B" w:rsidRDefault="00310FE3" w:rsidP="00310FE3">
      <w:pPr>
        <w:rPr>
          <w:sz w:val="22"/>
          <w:szCs w:val="22"/>
        </w:rPr>
      </w:pPr>
    </w:p>
    <w:p w14:paraId="3DD5AFD1" w14:textId="77777777" w:rsidR="00310FE3" w:rsidRPr="001F224B" w:rsidRDefault="00310FE3" w:rsidP="00310FE3">
      <w:pPr>
        <w:rPr>
          <w:sz w:val="22"/>
          <w:szCs w:val="22"/>
        </w:rPr>
      </w:pPr>
    </w:p>
    <w:p w14:paraId="49C6B9E5" w14:textId="77777777" w:rsidR="00310FE3" w:rsidRPr="001F224B" w:rsidRDefault="00310FE3" w:rsidP="00310FE3">
      <w:pPr>
        <w:rPr>
          <w:sz w:val="22"/>
          <w:szCs w:val="22"/>
        </w:rPr>
      </w:pPr>
    </w:p>
    <w:p w14:paraId="67D65F47" w14:textId="77777777" w:rsidR="00310FE3" w:rsidRPr="001F224B" w:rsidRDefault="00310FE3" w:rsidP="00310FE3">
      <w:pPr>
        <w:rPr>
          <w:sz w:val="22"/>
          <w:szCs w:val="22"/>
        </w:rPr>
      </w:pPr>
    </w:p>
    <w:p w14:paraId="261225E0" w14:textId="77777777" w:rsidR="00310FE3" w:rsidRPr="001F224B" w:rsidRDefault="00310FE3" w:rsidP="00310FE3">
      <w:pPr>
        <w:rPr>
          <w:sz w:val="22"/>
          <w:szCs w:val="22"/>
        </w:rPr>
      </w:pPr>
    </w:p>
    <w:p w14:paraId="2143B840" w14:textId="77777777" w:rsidR="00310FE3" w:rsidRPr="001F224B" w:rsidRDefault="00310FE3" w:rsidP="00310FE3">
      <w:pPr>
        <w:rPr>
          <w:sz w:val="22"/>
          <w:szCs w:val="22"/>
        </w:rPr>
      </w:pPr>
    </w:p>
    <w:p w14:paraId="3E0039BB" w14:textId="77777777" w:rsidR="00310FE3" w:rsidRPr="001F224B" w:rsidRDefault="00310FE3" w:rsidP="00310FE3">
      <w:pPr>
        <w:rPr>
          <w:sz w:val="22"/>
          <w:szCs w:val="22"/>
        </w:rPr>
      </w:pPr>
    </w:p>
    <w:p w14:paraId="29B3838A" w14:textId="77777777" w:rsidR="00310FE3" w:rsidRPr="001F224B" w:rsidRDefault="00310FE3" w:rsidP="00310FE3">
      <w:pPr>
        <w:rPr>
          <w:sz w:val="22"/>
          <w:szCs w:val="22"/>
        </w:rPr>
      </w:pPr>
    </w:p>
    <w:p w14:paraId="66CA1F58" w14:textId="77777777" w:rsidR="00310FE3" w:rsidRPr="001F224B" w:rsidRDefault="00310FE3" w:rsidP="00310FE3">
      <w:pPr>
        <w:rPr>
          <w:sz w:val="22"/>
          <w:szCs w:val="22"/>
        </w:rPr>
      </w:pPr>
    </w:p>
    <w:p w14:paraId="7321677B" w14:textId="77777777" w:rsidR="00310FE3" w:rsidRPr="001F224B" w:rsidRDefault="00310FE3" w:rsidP="00310FE3">
      <w:pPr>
        <w:rPr>
          <w:sz w:val="22"/>
          <w:szCs w:val="22"/>
        </w:rPr>
      </w:pPr>
    </w:p>
    <w:p w14:paraId="638BC4D4" w14:textId="77777777" w:rsidR="00310FE3" w:rsidRPr="001F224B" w:rsidRDefault="00310FE3" w:rsidP="00310FE3">
      <w:pPr>
        <w:rPr>
          <w:sz w:val="22"/>
          <w:szCs w:val="22"/>
        </w:rPr>
      </w:pPr>
    </w:p>
    <w:p w14:paraId="040AEFA2" w14:textId="77777777" w:rsidR="00310FE3" w:rsidRPr="001F224B" w:rsidRDefault="00310FE3" w:rsidP="00310FE3">
      <w:pPr>
        <w:rPr>
          <w:sz w:val="22"/>
          <w:szCs w:val="22"/>
        </w:rPr>
      </w:pPr>
    </w:p>
    <w:p w14:paraId="3297BB92" w14:textId="77777777" w:rsidR="00310FE3" w:rsidRPr="001F224B" w:rsidRDefault="00310FE3" w:rsidP="00310FE3">
      <w:pPr>
        <w:rPr>
          <w:sz w:val="22"/>
          <w:szCs w:val="22"/>
        </w:rPr>
      </w:pPr>
    </w:p>
    <w:p w14:paraId="02039FD8" w14:textId="77777777" w:rsidR="00310FE3" w:rsidRPr="001F224B" w:rsidRDefault="00310FE3" w:rsidP="00310FE3">
      <w:pPr>
        <w:rPr>
          <w:sz w:val="22"/>
          <w:szCs w:val="22"/>
        </w:rPr>
      </w:pPr>
    </w:p>
    <w:p w14:paraId="6017BFBD" w14:textId="77777777" w:rsidR="00310FE3" w:rsidRPr="001F224B" w:rsidRDefault="00310FE3" w:rsidP="00310FE3">
      <w:pPr>
        <w:rPr>
          <w:sz w:val="22"/>
          <w:szCs w:val="22"/>
        </w:rPr>
      </w:pPr>
    </w:p>
    <w:p w14:paraId="0A239E31" w14:textId="77777777" w:rsidR="00EF0C71" w:rsidRPr="001F224B" w:rsidRDefault="00EF0C71" w:rsidP="00310FE3">
      <w:pPr>
        <w:tabs>
          <w:tab w:val="center" w:pos="4904"/>
        </w:tabs>
        <w:rPr>
          <w:sz w:val="22"/>
          <w:szCs w:val="22"/>
        </w:rPr>
      </w:pPr>
    </w:p>
    <w:p w14:paraId="137870D4" w14:textId="77777777" w:rsidR="00532FA8" w:rsidRPr="001F224B" w:rsidRDefault="00310FE3" w:rsidP="00310FE3">
      <w:pPr>
        <w:tabs>
          <w:tab w:val="center" w:pos="4904"/>
        </w:tabs>
        <w:rPr>
          <w:sz w:val="22"/>
          <w:szCs w:val="22"/>
        </w:rPr>
        <w:sectPr w:rsidR="00532FA8" w:rsidRPr="001F224B" w:rsidSect="006813AA">
          <w:headerReference w:type="first" r:id="rId77"/>
          <w:footerReference w:type="first" r:id="rId78"/>
          <w:pgSz w:w="11907" w:h="16840" w:code="9"/>
          <w:pgMar w:top="680" w:right="964" w:bottom="567" w:left="1134" w:header="624" w:footer="397" w:gutter="0"/>
          <w:pgNumType w:start="4"/>
          <w:cols w:space="708"/>
          <w:titlePg/>
          <w:docGrid w:linePitch="326"/>
        </w:sectPr>
      </w:pPr>
      <w:r w:rsidRPr="001F224B">
        <w:rPr>
          <w:sz w:val="22"/>
          <w:szCs w:val="22"/>
        </w:rPr>
        <w:tab/>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567"/>
        <w:gridCol w:w="767"/>
        <w:gridCol w:w="792"/>
        <w:gridCol w:w="709"/>
        <w:gridCol w:w="753"/>
        <w:gridCol w:w="756"/>
        <w:gridCol w:w="759"/>
      </w:tblGrid>
      <w:tr w:rsidR="000E13AE" w:rsidRPr="001F224B" w14:paraId="04F9B8BC" w14:textId="77777777" w:rsidTr="009D3D08">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8D433E" w14:textId="77777777" w:rsidR="000E13AE" w:rsidRPr="001F224B" w:rsidRDefault="00E936B0" w:rsidP="00DE7F91">
            <w:pPr>
              <w:pStyle w:val="ListParagraph"/>
              <w:numPr>
                <w:ilvl w:val="0"/>
                <w:numId w:val="15"/>
              </w:numPr>
              <w:ind w:left="408" w:hanging="284"/>
              <w:contextualSpacing/>
              <w:rPr>
                <w:rFonts w:eastAsia="Arial Unicode MS"/>
                <w:b/>
                <w:bCs/>
                <w:sz w:val="13"/>
                <w:szCs w:val="13"/>
              </w:rPr>
            </w:pPr>
            <w:r w:rsidRPr="001F224B">
              <w:rPr>
                <w:rFonts w:eastAsia="Arial Unicode MS"/>
                <w:b/>
                <w:bCs/>
                <w:sz w:val="13"/>
                <w:szCs w:val="13"/>
              </w:rPr>
              <w:t xml:space="preserve">KONSOLİDE </w:t>
            </w:r>
            <w:r w:rsidR="000E13AE" w:rsidRPr="001F224B">
              <w:rPr>
                <w:rFonts w:eastAsia="Arial Unicode MS"/>
                <w:b/>
                <w:bCs/>
                <w:sz w:val="13"/>
                <w:szCs w:val="13"/>
              </w:rPr>
              <w:t>BİLANÇO (FİNANSAL DURUM TABLOSU)</w:t>
            </w:r>
          </w:p>
        </w:tc>
        <w:tc>
          <w:tcPr>
            <w:tcW w:w="567" w:type="dxa"/>
            <w:tcBorders>
              <w:top w:val="single" w:sz="4" w:space="0" w:color="auto"/>
              <w:left w:val="single" w:sz="4" w:space="0" w:color="auto"/>
              <w:right w:val="single" w:sz="4" w:space="0" w:color="auto"/>
            </w:tcBorders>
            <w:vAlign w:val="bottom"/>
          </w:tcPr>
          <w:p w14:paraId="5C596D46" w14:textId="77777777" w:rsidR="000E13AE" w:rsidRPr="001F224B" w:rsidRDefault="000E13AE" w:rsidP="00EF0C71">
            <w:pPr>
              <w:jc w:val="center"/>
              <w:rPr>
                <w:rFonts w:eastAsia="Arial Unicode MS"/>
                <w:b/>
                <w:bCs/>
                <w:sz w:val="13"/>
                <w:szCs w:val="13"/>
              </w:rPr>
            </w:pPr>
            <w:r w:rsidRPr="001F224B">
              <w:rPr>
                <w:rFonts w:eastAsia="Arial Unicode MS"/>
                <w:b/>
                <w:bCs/>
                <w:sz w:val="13"/>
                <w:szCs w:val="13"/>
              </w:rPr>
              <w:t>Dipnot</w:t>
            </w:r>
          </w:p>
        </w:tc>
        <w:tc>
          <w:tcPr>
            <w:tcW w:w="2268"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AEBAFBD" w14:textId="002EC84C" w:rsidR="00A1696E" w:rsidRPr="001F224B" w:rsidRDefault="00A75198" w:rsidP="00A1696E">
            <w:pPr>
              <w:jc w:val="center"/>
              <w:rPr>
                <w:b/>
                <w:bCs/>
                <w:sz w:val="13"/>
                <w:szCs w:val="13"/>
              </w:rPr>
            </w:pPr>
            <w:r w:rsidRPr="001F224B">
              <w:rPr>
                <w:b/>
                <w:bCs/>
                <w:sz w:val="13"/>
                <w:szCs w:val="13"/>
              </w:rPr>
              <w:t>Sınırlı</w:t>
            </w:r>
            <w:r w:rsidR="00A1696E" w:rsidRPr="001F224B">
              <w:rPr>
                <w:b/>
                <w:bCs/>
                <w:sz w:val="13"/>
                <w:szCs w:val="13"/>
              </w:rPr>
              <w:t xml:space="preserve"> Denetimden Geçmiş </w:t>
            </w:r>
          </w:p>
          <w:p w14:paraId="0E85572E" w14:textId="77777777" w:rsidR="00E43030" w:rsidRPr="001F224B" w:rsidRDefault="00E43030" w:rsidP="00E43030">
            <w:pPr>
              <w:jc w:val="center"/>
              <w:rPr>
                <w:b/>
                <w:bCs/>
                <w:sz w:val="13"/>
                <w:szCs w:val="13"/>
              </w:rPr>
            </w:pPr>
            <w:r w:rsidRPr="001F224B">
              <w:rPr>
                <w:b/>
                <w:bCs/>
                <w:sz w:val="13"/>
                <w:szCs w:val="13"/>
              </w:rPr>
              <w:t>Cari Dönem</w:t>
            </w:r>
          </w:p>
          <w:p w14:paraId="29E96660" w14:textId="0A039D71" w:rsidR="000E13AE" w:rsidRPr="001F224B" w:rsidRDefault="00A1696E" w:rsidP="00E43030">
            <w:pPr>
              <w:jc w:val="center"/>
              <w:rPr>
                <w:b/>
                <w:bCs/>
                <w:sz w:val="13"/>
                <w:szCs w:val="13"/>
              </w:rPr>
            </w:pPr>
            <w:r w:rsidRPr="001F224B">
              <w:rPr>
                <w:b/>
                <w:bCs/>
                <w:sz w:val="13"/>
                <w:szCs w:val="13"/>
              </w:rPr>
              <w:t>3</w:t>
            </w:r>
            <w:r w:rsidR="00DD0D88" w:rsidRPr="001F224B">
              <w:rPr>
                <w:b/>
                <w:bCs/>
                <w:sz w:val="13"/>
                <w:szCs w:val="13"/>
              </w:rPr>
              <w:t>0</w:t>
            </w:r>
            <w:r w:rsidRPr="001F224B">
              <w:rPr>
                <w:b/>
                <w:bCs/>
                <w:sz w:val="13"/>
                <w:szCs w:val="13"/>
              </w:rPr>
              <w:t xml:space="preserve"> </w:t>
            </w:r>
            <w:r w:rsidR="00DD0D88" w:rsidRPr="001F224B">
              <w:rPr>
                <w:b/>
                <w:bCs/>
                <w:sz w:val="13"/>
                <w:szCs w:val="13"/>
              </w:rPr>
              <w:t>Haziran</w:t>
            </w:r>
            <w:r w:rsidRPr="001F224B">
              <w:rPr>
                <w:b/>
                <w:bCs/>
                <w:sz w:val="13"/>
                <w:szCs w:val="13"/>
              </w:rPr>
              <w:t xml:space="preserve"> </w:t>
            </w:r>
            <w:r w:rsidR="00F11692" w:rsidRPr="001F224B">
              <w:rPr>
                <w:b/>
                <w:bCs/>
                <w:sz w:val="13"/>
                <w:szCs w:val="13"/>
              </w:rPr>
              <w:t>202</w:t>
            </w:r>
            <w:r w:rsidR="00A75198" w:rsidRPr="001F224B">
              <w:rPr>
                <w:b/>
                <w:bCs/>
                <w:sz w:val="13"/>
                <w:szCs w:val="13"/>
              </w:rPr>
              <w:t>5</w:t>
            </w:r>
          </w:p>
        </w:tc>
        <w:tc>
          <w:tcPr>
            <w:tcW w:w="2268" w:type="dxa"/>
            <w:gridSpan w:val="3"/>
            <w:vMerge w:val="restart"/>
            <w:tcBorders>
              <w:top w:val="single" w:sz="4" w:space="0" w:color="auto"/>
              <w:left w:val="single" w:sz="4" w:space="0" w:color="auto"/>
              <w:right w:val="single" w:sz="4" w:space="0" w:color="auto"/>
            </w:tcBorders>
          </w:tcPr>
          <w:p w14:paraId="7A09271F" w14:textId="77777777" w:rsidR="000E13AE" w:rsidRPr="001F224B" w:rsidRDefault="000E13AE" w:rsidP="000E13AE">
            <w:pPr>
              <w:jc w:val="center"/>
              <w:rPr>
                <w:b/>
                <w:bCs/>
                <w:sz w:val="13"/>
                <w:szCs w:val="13"/>
              </w:rPr>
            </w:pPr>
            <w:r w:rsidRPr="001F224B">
              <w:rPr>
                <w:b/>
                <w:bCs/>
                <w:sz w:val="13"/>
                <w:szCs w:val="13"/>
              </w:rPr>
              <w:t xml:space="preserve">Bağımsız Denetimden Geçmiş </w:t>
            </w:r>
          </w:p>
          <w:p w14:paraId="4C2EBD95" w14:textId="77777777" w:rsidR="000E13AE" w:rsidRPr="001F224B" w:rsidRDefault="00940F84" w:rsidP="000E13AE">
            <w:pPr>
              <w:jc w:val="center"/>
              <w:rPr>
                <w:b/>
                <w:bCs/>
                <w:sz w:val="13"/>
                <w:szCs w:val="13"/>
              </w:rPr>
            </w:pPr>
            <w:r w:rsidRPr="001F224B">
              <w:rPr>
                <w:b/>
                <w:bCs/>
                <w:sz w:val="13"/>
                <w:szCs w:val="13"/>
              </w:rPr>
              <w:t>Önceki</w:t>
            </w:r>
            <w:r w:rsidR="000E13AE" w:rsidRPr="001F224B">
              <w:rPr>
                <w:b/>
                <w:bCs/>
                <w:sz w:val="13"/>
                <w:szCs w:val="13"/>
              </w:rPr>
              <w:t xml:space="preserve"> Dönem</w:t>
            </w:r>
          </w:p>
          <w:p w14:paraId="382BD791" w14:textId="2C1B135F" w:rsidR="000E13AE" w:rsidRPr="001F224B" w:rsidRDefault="009A2734" w:rsidP="000E13AE">
            <w:pPr>
              <w:jc w:val="center"/>
              <w:rPr>
                <w:b/>
                <w:bCs/>
                <w:sz w:val="13"/>
                <w:szCs w:val="13"/>
              </w:rPr>
            </w:pPr>
            <w:r w:rsidRPr="001F224B">
              <w:rPr>
                <w:b/>
                <w:bCs/>
                <w:sz w:val="13"/>
                <w:szCs w:val="13"/>
              </w:rPr>
              <w:t>31 Aralık 202</w:t>
            </w:r>
            <w:r w:rsidR="00A75198" w:rsidRPr="001F224B">
              <w:rPr>
                <w:b/>
                <w:bCs/>
                <w:sz w:val="13"/>
                <w:szCs w:val="13"/>
              </w:rPr>
              <w:t>4</w:t>
            </w:r>
          </w:p>
        </w:tc>
      </w:tr>
      <w:tr w:rsidR="000E13AE" w:rsidRPr="001F224B" w14:paraId="09627EE1" w14:textId="77777777" w:rsidTr="009D3D08">
        <w:tc>
          <w:tcPr>
            <w:tcW w:w="426" w:type="dxa"/>
            <w:tcBorders>
              <w:left w:val="single" w:sz="4" w:space="0" w:color="auto"/>
            </w:tcBorders>
            <w:noWrap/>
            <w:tcMar>
              <w:top w:w="18" w:type="dxa"/>
              <w:left w:w="18" w:type="dxa"/>
              <w:bottom w:w="0" w:type="dxa"/>
              <w:right w:w="18" w:type="dxa"/>
            </w:tcMar>
            <w:vAlign w:val="bottom"/>
          </w:tcPr>
          <w:p w14:paraId="7B30BCB7" w14:textId="77777777" w:rsidR="000E13AE" w:rsidRPr="001F224B" w:rsidRDefault="000E13AE" w:rsidP="00EF0C71">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17C4B012" w14:textId="77777777" w:rsidR="000E13AE" w:rsidRPr="001F224B" w:rsidRDefault="000E13AE" w:rsidP="00EF0C71">
            <w:pPr>
              <w:ind w:hanging="558"/>
              <w:rPr>
                <w:rFonts w:eastAsia="Arial Unicode MS"/>
                <w:b/>
                <w:bCs/>
                <w:sz w:val="13"/>
                <w:szCs w:val="13"/>
              </w:rPr>
            </w:pPr>
          </w:p>
        </w:tc>
        <w:tc>
          <w:tcPr>
            <w:tcW w:w="567" w:type="dxa"/>
            <w:tcBorders>
              <w:left w:val="single" w:sz="4" w:space="0" w:color="auto"/>
              <w:right w:val="single" w:sz="4" w:space="0" w:color="auto"/>
            </w:tcBorders>
            <w:noWrap/>
            <w:tcMar>
              <w:top w:w="18" w:type="dxa"/>
              <w:left w:w="18" w:type="dxa"/>
              <w:bottom w:w="0" w:type="dxa"/>
              <w:right w:w="18" w:type="dxa"/>
            </w:tcMar>
            <w:vAlign w:val="bottom"/>
          </w:tcPr>
          <w:p w14:paraId="6FA3521E" w14:textId="6C9FCCA2" w:rsidR="000E13AE" w:rsidRPr="001F224B" w:rsidRDefault="00064CED" w:rsidP="000E13AE">
            <w:pPr>
              <w:jc w:val="center"/>
              <w:rPr>
                <w:rFonts w:eastAsia="Arial Unicode MS"/>
                <w:b/>
                <w:bCs/>
                <w:sz w:val="13"/>
                <w:szCs w:val="13"/>
              </w:rPr>
            </w:pPr>
            <w:r w:rsidRPr="001F224B">
              <w:rPr>
                <w:rFonts w:eastAsia="Arial Unicode MS"/>
                <w:b/>
                <w:bCs/>
                <w:sz w:val="13"/>
                <w:szCs w:val="13"/>
              </w:rPr>
              <w:t>(Beşinci</w:t>
            </w:r>
          </w:p>
        </w:tc>
        <w:tc>
          <w:tcPr>
            <w:tcW w:w="2268"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922FD9" w14:textId="77777777" w:rsidR="000E13AE" w:rsidRPr="001F224B" w:rsidRDefault="000E13AE" w:rsidP="00EF0C71">
            <w:pPr>
              <w:rPr>
                <w:rFonts w:eastAsia="Arial Unicode MS"/>
                <w:b/>
                <w:bCs/>
                <w:sz w:val="13"/>
                <w:szCs w:val="13"/>
              </w:rPr>
            </w:pPr>
          </w:p>
        </w:tc>
        <w:tc>
          <w:tcPr>
            <w:tcW w:w="2268" w:type="dxa"/>
            <w:gridSpan w:val="3"/>
            <w:vMerge/>
            <w:tcBorders>
              <w:left w:val="single" w:sz="4" w:space="0" w:color="auto"/>
              <w:bottom w:val="single" w:sz="4" w:space="0" w:color="auto"/>
              <w:right w:val="single" w:sz="4" w:space="0" w:color="auto"/>
            </w:tcBorders>
          </w:tcPr>
          <w:p w14:paraId="6E4287D9" w14:textId="77777777" w:rsidR="000E13AE" w:rsidRPr="001F224B" w:rsidRDefault="000E13AE" w:rsidP="00EF0C71">
            <w:pPr>
              <w:rPr>
                <w:rFonts w:eastAsia="Arial Unicode MS"/>
                <w:b/>
                <w:bCs/>
                <w:sz w:val="13"/>
                <w:szCs w:val="13"/>
              </w:rPr>
            </w:pPr>
          </w:p>
        </w:tc>
      </w:tr>
      <w:tr w:rsidR="000E13AE" w:rsidRPr="001F224B" w14:paraId="6AFEA439" w14:textId="77777777" w:rsidTr="008B0A3B">
        <w:tc>
          <w:tcPr>
            <w:tcW w:w="426" w:type="dxa"/>
            <w:tcBorders>
              <w:left w:val="single" w:sz="4" w:space="0" w:color="auto"/>
              <w:bottom w:val="single" w:sz="4" w:space="0" w:color="auto"/>
            </w:tcBorders>
            <w:noWrap/>
            <w:tcMar>
              <w:top w:w="18" w:type="dxa"/>
              <w:left w:w="18" w:type="dxa"/>
              <w:bottom w:w="0" w:type="dxa"/>
              <w:right w:w="18" w:type="dxa"/>
            </w:tcMar>
            <w:vAlign w:val="bottom"/>
          </w:tcPr>
          <w:p w14:paraId="22AA38B5" w14:textId="77777777" w:rsidR="000E13AE" w:rsidRPr="001F224B" w:rsidRDefault="000E13AE" w:rsidP="000E13AE">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774E4FB7" w14:textId="77777777" w:rsidR="000E13AE" w:rsidRPr="001F224B" w:rsidRDefault="000E13AE" w:rsidP="000E13AE">
            <w:pPr>
              <w:rPr>
                <w:rFonts w:eastAsia="Arial Unicode MS"/>
                <w:b/>
                <w:bCs/>
                <w:sz w:val="13"/>
                <w:szCs w:val="13"/>
              </w:rPr>
            </w:pPr>
            <w:r w:rsidRPr="001F224B">
              <w:rPr>
                <w:b/>
                <w:bCs/>
                <w:sz w:val="13"/>
                <w:szCs w:val="13"/>
              </w:rPr>
              <w:t>VARLIKLAR</w:t>
            </w:r>
          </w:p>
        </w:tc>
        <w:tc>
          <w:tcPr>
            <w:tcW w:w="56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12552920" w14:textId="77777777" w:rsidR="000E13AE" w:rsidRPr="001F224B" w:rsidRDefault="000E13AE" w:rsidP="000E13AE">
            <w:pPr>
              <w:jc w:val="center"/>
              <w:rPr>
                <w:rFonts w:eastAsia="Arial Unicode MS"/>
                <w:b/>
                <w:bCs/>
                <w:sz w:val="13"/>
                <w:szCs w:val="13"/>
              </w:rPr>
            </w:pPr>
            <w:r w:rsidRPr="001F224B">
              <w:rPr>
                <w:rFonts w:eastAsia="Arial Unicode MS"/>
                <w:b/>
                <w:bCs/>
                <w:sz w:val="13"/>
                <w:szCs w:val="13"/>
              </w:rPr>
              <w:t>Bölüm I)</w:t>
            </w:r>
          </w:p>
        </w:tc>
        <w:tc>
          <w:tcPr>
            <w:tcW w:w="7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8177E06" w14:textId="77777777" w:rsidR="000E13AE" w:rsidRPr="001F224B" w:rsidRDefault="000E13AE" w:rsidP="000E13AE">
            <w:pPr>
              <w:jc w:val="center"/>
              <w:rPr>
                <w:rFonts w:eastAsia="Arial Unicode MS"/>
                <w:b/>
                <w:bCs/>
                <w:sz w:val="13"/>
                <w:szCs w:val="13"/>
              </w:rPr>
            </w:pPr>
            <w:r w:rsidRPr="001F224B">
              <w:rPr>
                <w:b/>
                <w:bCs/>
                <w:sz w:val="13"/>
                <w:szCs w:val="13"/>
              </w:rPr>
              <w:t>TP</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84A9E5E" w14:textId="77777777" w:rsidR="000E13AE" w:rsidRPr="001F224B" w:rsidRDefault="000E13AE" w:rsidP="000E13AE">
            <w:pPr>
              <w:jc w:val="center"/>
              <w:rPr>
                <w:rFonts w:eastAsia="Arial Unicode MS"/>
                <w:b/>
                <w:bCs/>
                <w:sz w:val="13"/>
                <w:szCs w:val="13"/>
              </w:rPr>
            </w:pPr>
            <w:r w:rsidRPr="001F224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1AA7576" w14:textId="77777777" w:rsidR="000E13AE" w:rsidRPr="001F224B" w:rsidRDefault="000E13AE" w:rsidP="000E13AE">
            <w:pPr>
              <w:jc w:val="center"/>
              <w:rPr>
                <w:rFonts w:eastAsia="Arial Unicode MS"/>
                <w:b/>
                <w:bCs/>
                <w:sz w:val="13"/>
                <w:szCs w:val="13"/>
              </w:rPr>
            </w:pPr>
            <w:r w:rsidRPr="001F224B">
              <w:rPr>
                <w:b/>
                <w:bCs/>
                <w:sz w:val="13"/>
                <w:szCs w:val="13"/>
              </w:rPr>
              <w:t>Toplam</w:t>
            </w:r>
          </w:p>
        </w:tc>
        <w:tc>
          <w:tcPr>
            <w:tcW w:w="753" w:type="dxa"/>
            <w:tcBorders>
              <w:top w:val="single" w:sz="4" w:space="0" w:color="auto"/>
              <w:left w:val="single" w:sz="4" w:space="0" w:color="auto"/>
              <w:bottom w:val="single" w:sz="4" w:space="0" w:color="auto"/>
              <w:right w:val="single" w:sz="4" w:space="0" w:color="auto"/>
            </w:tcBorders>
            <w:vAlign w:val="bottom"/>
          </w:tcPr>
          <w:p w14:paraId="5368E644" w14:textId="77777777" w:rsidR="000E13AE" w:rsidRPr="001F224B" w:rsidRDefault="000E13AE" w:rsidP="000E13AE">
            <w:pPr>
              <w:jc w:val="center"/>
              <w:rPr>
                <w:b/>
                <w:bCs/>
                <w:sz w:val="13"/>
                <w:szCs w:val="13"/>
              </w:rPr>
            </w:pPr>
            <w:r w:rsidRPr="001F224B">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7A569398" w14:textId="77777777" w:rsidR="000E13AE" w:rsidRPr="001F224B" w:rsidRDefault="000E13AE" w:rsidP="000E13AE">
            <w:pPr>
              <w:jc w:val="center"/>
              <w:rPr>
                <w:b/>
                <w:bCs/>
                <w:sz w:val="13"/>
                <w:szCs w:val="13"/>
              </w:rPr>
            </w:pPr>
            <w:r w:rsidRPr="001F224B">
              <w:rPr>
                <w:b/>
                <w:bCs/>
                <w:sz w:val="13"/>
                <w:szCs w:val="13"/>
              </w:rPr>
              <w:t>YP</w:t>
            </w:r>
          </w:p>
        </w:tc>
        <w:tc>
          <w:tcPr>
            <w:tcW w:w="759" w:type="dxa"/>
            <w:tcBorders>
              <w:top w:val="single" w:sz="4" w:space="0" w:color="auto"/>
              <w:left w:val="single" w:sz="4" w:space="0" w:color="auto"/>
              <w:bottom w:val="single" w:sz="4" w:space="0" w:color="auto"/>
              <w:right w:val="single" w:sz="4" w:space="0" w:color="auto"/>
            </w:tcBorders>
            <w:vAlign w:val="bottom"/>
          </w:tcPr>
          <w:p w14:paraId="666926B4" w14:textId="77777777" w:rsidR="000E13AE" w:rsidRPr="001F224B" w:rsidRDefault="000E13AE" w:rsidP="000E13AE">
            <w:pPr>
              <w:jc w:val="center"/>
              <w:rPr>
                <w:b/>
                <w:bCs/>
                <w:sz w:val="13"/>
                <w:szCs w:val="13"/>
              </w:rPr>
            </w:pPr>
            <w:r w:rsidRPr="001F224B">
              <w:rPr>
                <w:b/>
                <w:bCs/>
                <w:sz w:val="13"/>
                <w:szCs w:val="13"/>
              </w:rPr>
              <w:t>Toplam</w:t>
            </w:r>
          </w:p>
        </w:tc>
      </w:tr>
      <w:tr w:rsidR="004A4AFA" w:rsidRPr="001F224B" w14:paraId="76F5D7D0" w14:textId="77777777" w:rsidTr="00653F8F">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5EF20EF" w14:textId="77777777" w:rsidR="004A4AFA" w:rsidRPr="001F224B" w:rsidRDefault="004A4AFA" w:rsidP="004A4AFA">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01CF3EFB" w14:textId="77777777" w:rsidR="004A4AFA" w:rsidRPr="001F224B" w:rsidRDefault="004A4AFA" w:rsidP="004A4AFA">
            <w:pPr>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6AFC19C" w14:textId="77777777" w:rsidR="004A4AFA" w:rsidRPr="001F224B" w:rsidRDefault="004A4AFA" w:rsidP="004A4AFA">
            <w:pPr>
              <w:jc w:val="center"/>
              <w:rPr>
                <w:rFonts w:eastAsia="Arial Unicode MS"/>
                <w:b/>
                <w:sz w:val="13"/>
                <w:szCs w:val="13"/>
              </w:rPr>
            </w:pPr>
          </w:p>
        </w:tc>
        <w:tc>
          <w:tcPr>
            <w:tcW w:w="767" w:type="dxa"/>
            <w:tcBorders>
              <w:top w:val="single" w:sz="4" w:space="0" w:color="auto"/>
              <w:left w:val="nil"/>
              <w:right w:val="single" w:sz="4" w:space="0" w:color="auto"/>
            </w:tcBorders>
            <w:noWrap/>
            <w:tcMar>
              <w:top w:w="18" w:type="dxa"/>
              <w:left w:w="18" w:type="dxa"/>
              <w:bottom w:w="0" w:type="dxa"/>
              <w:right w:w="18" w:type="dxa"/>
            </w:tcMar>
          </w:tcPr>
          <w:p w14:paraId="1FA32769" w14:textId="77777777" w:rsidR="004A4AFA" w:rsidRPr="001F224B" w:rsidRDefault="004A4AFA" w:rsidP="004A4AFA">
            <w:pPr>
              <w:jc w:val="right"/>
              <w:rPr>
                <w:rFonts w:eastAsia="Arial Unicode MS"/>
                <w:b/>
                <w:sz w:val="13"/>
                <w:szCs w:val="13"/>
              </w:rPr>
            </w:pPr>
          </w:p>
        </w:tc>
        <w:tc>
          <w:tcPr>
            <w:tcW w:w="792" w:type="dxa"/>
            <w:tcBorders>
              <w:top w:val="single" w:sz="4" w:space="0" w:color="auto"/>
              <w:left w:val="single" w:sz="4" w:space="0" w:color="auto"/>
              <w:right w:val="single" w:sz="4" w:space="0" w:color="auto"/>
            </w:tcBorders>
            <w:noWrap/>
            <w:tcMar>
              <w:top w:w="18" w:type="dxa"/>
              <w:left w:w="18" w:type="dxa"/>
              <w:bottom w:w="0" w:type="dxa"/>
              <w:right w:w="18" w:type="dxa"/>
            </w:tcMar>
          </w:tcPr>
          <w:p w14:paraId="512BB848" w14:textId="77777777" w:rsidR="004A4AFA" w:rsidRPr="001F224B" w:rsidRDefault="004A4AFA" w:rsidP="004A4AFA">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tcPr>
          <w:p w14:paraId="15498840" w14:textId="77777777" w:rsidR="004A4AFA" w:rsidRPr="001F224B" w:rsidRDefault="004A4AFA" w:rsidP="004A4AFA">
            <w:pPr>
              <w:jc w:val="right"/>
              <w:rPr>
                <w:rFonts w:eastAsia="Arial Unicode MS"/>
                <w:b/>
                <w:sz w:val="13"/>
                <w:szCs w:val="13"/>
              </w:rPr>
            </w:pPr>
          </w:p>
        </w:tc>
        <w:tc>
          <w:tcPr>
            <w:tcW w:w="753" w:type="dxa"/>
            <w:tcBorders>
              <w:top w:val="single" w:sz="4" w:space="0" w:color="auto"/>
              <w:left w:val="nil"/>
              <w:right w:val="single" w:sz="4" w:space="0" w:color="auto"/>
            </w:tcBorders>
          </w:tcPr>
          <w:p w14:paraId="40FCB234" w14:textId="77777777" w:rsidR="004A4AFA" w:rsidRPr="001F224B" w:rsidRDefault="004A4AFA" w:rsidP="004A4AFA">
            <w:pPr>
              <w:jc w:val="right"/>
              <w:rPr>
                <w:rFonts w:eastAsia="Arial Unicode MS"/>
                <w:b/>
                <w:sz w:val="13"/>
                <w:szCs w:val="13"/>
              </w:rPr>
            </w:pPr>
          </w:p>
        </w:tc>
        <w:tc>
          <w:tcPr>
            <w:tcW w:w="756" w:type="dxa"/>
            <w:tcBorders>
              <w:top w:val="single" w:sz="4" w:space="0" w:color="auto"/>
              <w:left w:val="nil"/>
              <w:right w:val="single" w:sz="4" w:space="0" w:color="auto"/>
            </w:tcBorders>
          </w:tcPr>
          <w:p w14:paraId="394D3C26" w14:textId="77777777" w:rsidR="004A4AFA" w:rsidRPr="001F224B" w:rsidRDefault="004A4AFA" w:rsidP="004A4AFA">
            <w:pPr>
              <w:jc w:val="right"/>
              <w:rPr>
                <w:rFonts w:eastAsia="Arial Unicode MS"/>
                <w:b/>
                <w:sz w:val="13"/>
                <w:szCs w:val="13"/>
              </w:rPr>
            </w:pPr>
          </w:p>
        </w:tc>
        <w:tc>
          <w:tcPr>
            <w:tcW w:w="759" w:type="dxa"/>
            <w:tcBorders>
              <w:top w:val="single" w:sz="4" w:space="0" w:color="auto"/>
              <w:left w:val="nil"/>
              <w:right w:val="single" w:sz="4" w:space="0" w:color="auto"/>
            </w:tcBorders>
          </w:tcPr>
          <w:p w14:paraId="63094DAD" w14:textId="77777777" w:rsidR="004A4AFA" w:rsidRPr="001F224B" w:rsidRDefault="004A4AFA" w:rsidP="004A4AFA">
            <w:pPr>
              <w:jc w:val="right"/>
              <w:rPr>
                <w:rFonts w:eastAsia="Arial Unicode MS"/>
                <w:b/>
                <w:sz w:val="13"/>
                <w:szCs w:val="13"/>
              </w:rPr>
            </w:pPr>
          </w:p>
        </w:tc>
      </w:tr>
      <w:tr w:rsidR="00DC2481" w:rsidRPr="001F224B" w14:paraId="19E9EA70" w14:textId="77777777" w:rsidTr="00D91D7B">
        <w:tc>
          <w:tcPr>
            <w:tcW w:w="426" w:type="dxa"/>
            <w:tcBorders>
              <w:left w:val="single" w:sz="4" w:space="0" w:color="auto"/>
              <w:bottom w:val="nil"/>
              <w:right w:val="nil"/>
            </w:tcBorders>
            <w:noWrap/>
            <w:tcMar>
              <w:top w:w="18" w:type="dxa"/>
              <w:left w:w="18" w:type="dxa"/>
              <w:bottom w:w="0" w:type="dxa"/>
              <w:right w:w="18" w:type="dxa"/>
            </w:tcMar>
          </w:tcPr>
          <w:p w14:paraId="50652AF7" w14:textId="77777777" w:rsidR="00DC2481" w:rsidRPr="001F224B" w:rsidRDefault="00DC2481" w:rsidP="00DC2481">
            <w:pPr>
              <w:rPr>
                <w:rFonts w:eastAsia="Arial Unicode MS"/>
                <w:b/>
                <w:sz w:val="13"/>
                <w:szCs w:val="13"/>
              </w:rPr>
            </w:pPr>
            <w:r w:rsidRPr="001F224B">
              <w:rP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542E2EDB" w14:textId="77777777" w:rsidR="00DC2481" w:rsidRPr="001F224B" w:rsidRDefault="00DC2481" w:rsidP="00DC2481">
            <w:pPr>
              <w:rPr>
                <w:rFonts w:eastAsia="Arial Unicode MS"/>
                <w:b/>
                <w:sz w:val="13"/>
                <w:szCs w:val="13"/>
              </w:rPr>
            </w:pPr>
            <w:r w:rsidRPr="001F224B">
              <w:rPr>
                <w:b/>
                <w:bCs/>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0AC85B55" w14:textId="77777777" w:rsidR="00DC2481" w:rsidRPr="001F224B" w:rsidRDefault="00DC2481" w:rsidP="00DC2481">
            <w:pPr>
              <w:jc w:val="center"/>
              <w:rPr>
                <w:rFonts w:eastAsia="Arial Unicode MS"/>
                <w:b/>
                <w:sz w:val="13"/>
                <w:szCs w:val="13"/>
              </w:rPr>
            </w:pPr>
            <w:r w:rsidRPr="001F224B">
              <w:rPr>
                <w:b/>
                <w:bCs/>
                <w:sz w:val="13"/>
                <w:szCs w:val="13"/>
              </w:rPr>
              <w:t>(1)</w:t>
            </w:r>
          </w:p>
        </w:tc>
        <w:tc>
          <w:tcPr>
            <w:tcW w:w="767" w:type="dxa"/>
            <w:tcBorders>
              <w:left w:val="single" w:sz="4" w:space="0" w:color="auto"/>
              <w:bottom w:val="nil"/>
              <w:right w:val="single" w:sz="4" w:space="0" w:color="auto"/>
            </w:tcBorders>
            <w:shd w:val="clear" w:color="auto" w:fill="auto"/>
            <w:noWrap/>
            <w:tcMar>
              <w:top w:w="18" w:type="dxa"/>
              <w:left w:w="18" w:type="dxa"/>
              <w:bottom w:w="0" w:type="dxa"/>
              <w:right w:w="18" w:type="dxa"/>
            </w:tcMar>
          </w:tcPr>
          <w:p w14:paraId="43648234" w14:textId="314F6A61" w:rsidR="00DC2481" w:rsidRPr="001F224B" w:rsidRDefault="00DC2481" w:rsidP="00DC2481">
            <w:pPr>
              <w:jc w:val="right"/>
              <w:rPr>
                <w:b/>
                <w:bCs/>
                <w:sz w:val="13"/>
                <w:szCs w:val="13"/>
              </w:rPr>
            </w:pPr>
            <w:r w:rsidRPr="001F224B">
              <w:rPr>
                <w:b/>
                <w:bCs/>
                <w:sz w:val="13"/>
                <w:szCs w:val="13"/>
              </w:rPr>
              <w:t>34.426.326</w:t>
            </w:r>
          </w:p>
        </w:tc>
        <w:tc>
          <w:tcPr>
            <w:tcW w:w="792" w:type="dxa"/>
            <w:tcBorders>
              <w:left w:val="single" w:sz="4" w:space="0" w:color="auto"/>
              <w:bottom w:val="nil"/>
              <w:right w:val="single" w:sz="4" w:space="0" w:color="auto"/>
            </w:tcBorders>
            <w:shd w:val="clear" w:color="auto" w:fill="auto"/>
            <w:noWrap/>
            <w:tcMar>
              <w:top w:w="18" w:type="dxa"/>
              <w:left w:w="18" w:type="dxa"/>
              <w:bottom w:w="0" w:type="dxa"/>
              <w:right w:w="18" w:type="dxa"/>
            </w:tcMar>
          </w:tcPr>
          <w:p w14:paraId="01E3D2D2" w14:textId="72AD294E" w:rsidR="00DC2481" w:rsidRPr="001F224B" w:rsidRDefault="00DC2481" w:rsidP="00DC2481">
            <w:pPr>
              <w:jc w:val="right"/>
              <w:rPr>
                <w:b/>
                <w:bCs/>
                <w:sz w:val="13"/>
                <w:szCs w:val="13"/>
              </w:rPr>
            </w:pPr>
            <w:r w:rsidRPr="001F224B">
              <w:rPr>
                <w:b/>
                <w:bCs/>
                <w:sz w:val="13"/>
                <w:szCs w:val="13"/>
              </w:rPr>
              <w:t>31.028.588</w:t>
            </w:r>
          </w:p>
        </w:tc>
        <w:tc>
          <w:tcPr>
            <w:tcW w:w="709" w:type="dxa"/>
            <w:tcBorders>
              <w:left w:val="single" w:sz="4" w:space="0" w:color="auto"/>
              <w:bottom w:val="nil"/>
              <w:right w:val="single" w:sz="4" w:space="0" w:color="auto"/>
            </w:tcBorders>
            <w:shd w:val="clear" w:color="auto" w:fill="auto"/>
            <w:noWrap/>
            <w:tcMar>
              <w:top w:w="18" w:type="dxa"/>
              <w:left w:w="18" w:type="dxa"/>
              <w:bottom w:w="0" w:type="dxa"/>
              <w:right w:w="18" w:type="dxa"/>
            </w:tcMar>
          </w:tcPr>
          <w:p w14:paraId="1C1B722C" w14:textId="16177970" w:rsidR="00DC2481" w:rsidRPr="001F224B" w:rsidRDefault="00DC2481" w:rsidP="00DC2481">
            <w:pPr>
              <w:jc w:val="right"/>
              <w:rPr>
                <w:b/>
                <w:bCs/>
                <w:sz w:val="13"/>
                <w:szCs w:val="13"/>
              </w:rPr>
            </w:pPr>
            <w:r w:rsidRPr="001F224B">
              <w:rPr>
                <w:b/>
                <w:bCs/>
                <w:sz w:val="13"/>
                <w:szCs w:val="13"/>
              </w:rPr>
              <w:t>65.454.914</w:t>
            </w:r>
          </w:p>
        </w:tc>
        <w:tc>
          <w:tcPr>
            <w:tcW w:w="753" w:type="dxa"/>
            <w:tcBorders>
              <w:top w:val="nil"/>
              <w:left w:val="single" w:sz="4" w:space="0" w:color="auto"/>
              <w:bottom w:val="nil"/>
              <w:right w:val="single" w:sz="4" w:space="0" w:color="auto"/>
            </w:tcBorders>
            <w:shd w:val="clear" w:color="auto" w:fill="auto"/>
          </w:tcPr>
          <w:p w14:paraId="63F7B815" w14:textId="495A10EB" w:rsidR="00DC2481" w:rsidRPr="001F224B" w:rsidRDefault="00DC2481" w:rsidP="00DC2481">
            <w:pPr>
              <w:jc w:val="right"/>
              <w:rPr>
                <w:b/>
                <w:bCs/>
                <w:color w:val="000000"/>
                <w:sz w:val="13"/>
                <w:szCs w:val="13"/>
              </w:rPr>
            </w:pPr>
            <w:r w:rsidRPr="001F224B">
              <w:rPr>
                <w:b/>
                <w:bCs/>
                <w:sz w:val="13"/>
                <w:szCs w:val="13"/>
              </w:rPr>
              <w:t>25.339.691</w:t>
            </w:r>
          </w:p>
        </w:tc>
        <w:tc>
          <w:tcPr>
            <w:tcW w:w="756" w:type="dxa"/>
            <w:tcBorders>
              <w:top w:val="nil"/>
              <w:left w:val="single" w:sz="4" w:space="0" w:color="auto"/>
              <w:bottom w:val="nil"/>
              <w:right w:val="single" w:sz="4" w:space="0" w:color="auto"/>
            </w:tcBorders>
            <w:shd w:val="clear" w:color="auto" w:fill="auto"/>
          </w:tcPr>
          <w:p w14:paraId="315DF404" w14:textId="23BA24BD" w:rsidR="00DC2481" w:rsidRPr="001F224B" w:rsidRDefault="00DC2481" w:rsidP="00DC2481">
            <w:pPr>
              <w:jc w:val="right"/>
              <w:rPr>
                <w:b/>
                <w:bCs/>
                <w:color w:val="000000"/>
                <w:sz w:val="13"/>
                <w:szCs w:val="13"/>
              </w:rPr>
            </w:pPr>
            <w:r w:rsidRPr="001F224B">
              <w:rPr>
                <w:b/>
                <w:bCs/>
                <w:sz w:val="13"/>
                <w:szCs w:val="13"/>
              </w:rPr>
              <w:t>23.655.695</w:t>
            </w:r>
          </w:p>
        </w:tc>
        <w:tc>
          <w:tcPr>
            <w:tcW w:w="759" w:type="dxa"/>
            <w:tcBorders>
              <w:top w:val="nil"/>
              <w:left w:val="single" w:sz="4" w:space="0" w:color="auto"/>
              <w:bottom w:val="nil"/>
              <w:right w:val="single" w:sz="4" w:space="0" w:color="auto"/>
            </w:tcBorders>
            <w:shd w:val="clear" w:color="auto" w:fill="auto"/>
          </w:tcPr>
          <w:p w14:paraId="7C6716FD" w14:textId="699C9416" w:rsidR="00DC2481" w:rsidRPr="001F224B" w:rsidRDefault="00DC2481" w:rsidP="00DC2481">
            <w:pPr>
              <w:jc w:val="right"/>
              <w:rPr>
                <w:b/>
                <w:bCs/>
                <w:color w:val="000000"/>
                <w:sz w:val="13"/>
                <w:szCs w:val="13"/>
              </w:rPr>
            </w:pPr>
            <w:r w:rsidRPr="001F224B">
              <w:rPr>
                <w:b/>
                <w:bCs/>
                <w:sz w:val="13"/>
                <w:szCs w:val="13"/>
              </w:rPr>
              <w:t>48.995.386</w:t>
            </w:r>
          </w:p>
        </w:tc>
      </w:tr>
      <w:tr w:rsidR="00DC2481" w:rsidRPr="001F224B" w14:paraId="07A75448" w14:textId="77777777" w:rsidTr="00D91D7B">
        <w:tc>
          <w:tcPr>
            <w:tcW w:w="426" w:type="dxa"/>
            <w:tcBorders>
              <w:top w:val="nil"/>
              <w:left w:val="single" w:sz="4" w:space="0" w:color="auto"/>
              <w:bottom w:val="nil"/>
              <w:right w:val="nil"/>
            </w:tcBorders>
            <w:noWrap/>
            <w:tcMar>
              <w:top w:w="18" w:type="dxa"/>
              <w:left w:w="18" w:type="dxa"/>
              <w:bottom w:w="0" w:type="dxa"/>
              <w:right w:w="18" w:type="dxa"/>
            </w:tcMar>
            <w:vAlign w:val="center"/>
          </w:tcPr>
          <w:p w14:paraId="3DD38E59" w14:textId="77777777" w:rsidR="00DC2481" w:rsidRPr="001F224B" w:rsidRDefault="00DC2481" w:rsidP="00DC2481">
            <w:pPr>
              <w:rPr>
                <w:rFonts w:eastAsia="Arial Unicode MS"/>
                <w:b/>
                <w:sz w:val="13"/>
                <w:szCs w:val="13"/>
              </w:rPr>
            </w:pPr>
            <w:r w:rsidRPr="001F224B">
              <w:rPr>
                <w:b/>
                <w:bCs/>
                <w:sz w:val="13"/>
                <w:szCs w:val="13"/>
              </w:rPr>
              <w:t>1.1</w:t>
            </w:r>
          </w:p>
        </w:tc>
        <w:tc>
          <w:tcPr>
            <w:tcW w:w="4819" w:type="dxa"/>
            <w:tcBorders>
              <w:top w:val="nil"/>
              <w:left w:val="nil"/>
              <w:bottom w:val="nil"/>
              <w:right w:val="nil"/>
            </w:tcBorders>
            <w:noWrap/>
            <w:tcMar>
              <w:top w:w="18" w:type="dxa"/>
              <w:left w:w="18" w:type="dxa"/>
              <w:bottom w:w="0" w:type="dxa"/>
              <w:right w:w="18" w:type="dxa"/>
            </w:tcMar>
            <w:vAlign w:val="center"/>
          </w:tcPr>
          <w:p w14:paraId="7808C6FE" w14:textId="77777777" w:rsidR="00DC2481" w:rsidRPr="001F224B" w:rsidRDefault="00DC2481" w:rsidP="00DC2481">
            <w:pPr>
              <w:rPr>
                <w:rFonts w:eastAsia="Arial Unicode MS"/>
                <w:b/>
                <w:sz w:val="13"/>
                <w:szCs w:val="13"/>
              </w:rPr>
            </w:pPr>
            <w:r w:rsidRPr="001F224B">
              <w:rPr>
                <w:b/>
                <w:bCs/>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03C6F63D"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E12E4C" w14:textId="4830B2B9" w:rsidR="00DC2481" w:rsidRPr="001F224B" w:rsidRDefault="00DC2481" w:rsidP="00DC2481">
            <w:pPr>
              <w:jc w:val="right"/>
              <w:rPr>
                <w:b/>
                <w:bCs/>
                <w:sz w:val="13"/>
                <w:szCs w:val="13"/>
              </w:rPr>
            </w:pPr>
            <w:r w:rsidRPr="001F224B">
              <w:rPr>
                <w:b/>
                <w:bCs/>
                <w:sz w:val="13"/>
                <w:szCs w:val="13"/>
              </w:rPr>
              <w:t>27.846.981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B9CC90" w14:textId="6FF2F3A1" w:rsidR="00DC2481" w:rsidRPr="001F224B" w:rsidRDefault="00DC2481" w:rsidP="00DC2481">
            <w:pPr>
              <w:jc w:val="right"/>
              <w:rPr>
                <w:b/>
                <w:bCs/>
                <w:sz w:val="13"/>
                <w:szCs w:val="13"/>
              </w:rPr>
            </w:pPr>
            <w:r w:rsidRPr="001F224B">
              <w:rPr>
                <w:b/>
                <w:bCs/>
                <w:sz w:val="13"/>
                <w:szCs w:val="13"/>
              </w:rPr>
              <w:t>8.783.904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E97792" w14:textId="09D3CB54" w:rsidR="00DC2481" w:rsidRPr="001F224B" w:rsidRDefault="00DC2481" w:rsidP="00DC2481">
            <w:pPr>
              <w:jc w:val="right"/>
              <w:rPr>
                <w:b/>
                <w:bCs/>
                <w:sz w:val="13"/>
                <w:szCs w:val="13"/>
              </w:rPr>
            </w:pPr>
            <w:r w:rsidRPr="001F224B">
              <w:rPr>
                <w:b/>
                <w:bCs/>
                <w:sz w:val="13"/>
                <w:szCs w:val="13"/>
              </w:rPr>
              <w:t>36.630.885</w:t>
            </w:r>
          </w:p>
        </w:tc>
        <w:tc>
          <w:tcPr>
            <w:tcW w:w="753" w:type="dxa"/>
            <w:tcBorders>
              <w:top w:val="nil"/>
              <w:left w:val="single" w:sz="4" w:space="0" w:color="auto"/>
              <w:bottom w:val="nil"/>
              <w:right w:val="single" w:sz="4" w:space="0" w:color="auto"/>
            </w:tcBorders>
            <w:shd w:val="clear" w:color="auto" w:fill="auto"/>
          </w:tcPr>
          <w:p w14:paraId="6C9D02EA" w14:textId="49CA3EE0" w:rsidR="00DC2481" w:rsidRPr="001F224B" w:rsidRDefault="00DC2481" w:rsidP="00DC2481">
            <w:pPr>
              <w:jc w:val="right"/>
              <w:rPr>
                <w:b/>
                <w:bCs/>
                <w:color w:val="000000"/>
                <w:sz w:val="13"/>
                <w:szCs w:val="13"/>
              </w:rPr>
            </w:pPr>
            <w:r w:rsidRPr="001F224B">
              <w:rPr>
                <w:b/>
                <w:bCs/>
                <w:sz w:val="13"/>
                <w:szCs w:val="13"/>
              </w:rPr>
              <w:t>20.977.201</w:t>
            </w:r>
          </w:p>
        </w:tc>
        <w:tc>
          <w:tcPr>
            <w:tcW w:w="756" w:type="dxa"/>
            <w:tcBorders>
              <w:top w:val="nil"/>
              <w:left w:val="single" w:sz="4" w:space="0" w:color="auto"/>
              <w:bottom w:val="nil"/>
              <w:right w:val="single" w:sz="4" w:space="0" w:color="auto"/>
            </w:tcBorders>
            <w:shd w:val="clear" w:color="auto" w:fill="auto"/>
          </w:tcPr>
          <w:p w14:paraId="5E85B3E8" w14:textId="5F116BE9" w:rsidR="00DC2481" w:rsidRPr="001F224B" w:rsidRDefault="00DC2481" w:rsidP="00DC2481">
            <w:pPr>
              <w:jc w:val="right"/>
              <w:rPr>
                <w:b/>
                <w:bCs/>
                <w:color w:val="000000"/>
                <w:sz w:val="13"/>
                <w:szCs w:val="13"/>
              </w:rPr>
            </w:pPr>
            <w:r w:rsidRPr="001F224B">
              <w:rPr>
                <w:b/>
                <w:bCs/>
                <w:sz w:val="13"/>
                <w:szCs w:val="13"/>
              </w:rPr>
              <w:t>1.659.543</w:t>
            </w:r>
          </w:p>
        </w:tc>
        <w:tc>
          <w:tcPr>
            <w:tcW w:w="759" w:type="dxa"/>
            <w:tcBorders>
              <w:top w:val="nil"/>
              <w:left w:val="single" w:sz="4" w:space="0" w:color="auto"/>
              <w:bottom w:val="nil"/>
              <w:right w:val="single" w:sz="4" w:space="0" w:color="auto"/>
            </w:tcBorders>
            <w:shd w:val="clear" w:color="auto" w:fill="auto"/>
          </w:tcPr>
          <w:p w14:paraId="4A53B082" w14:textId="6C0EF1BF" w:rsidR="00DC2481" w:rsidRPr="001F224B" w:rsidRDefault="00DC2481" w:rsidP="00DC2481">
            <w:pPr>
              <w:jc w:val="right"/>
              <w:rPr>
                <w:b/>
                <w:bCs/>
                <w:color w:val="000000"/>
                <w:sz w:val="13"/>
                <w:szCs w:val="13"/>
              </w:rPr>
            </w:pPr>
            <w:r w:rsidRPr="001F224B">
              <w:rPr>
                <w:b/>
                <w:bCs/>
                <w:sz w:val="13"/>
                <w:szCs w:val="13"/>
              </w:rPr>
              <w:t>22.636.744</w:t>
            </w:r>
          </w:p>
        </w:tc>
      </w:tr>
      <w:tr w:rsidR="00DC2481" w:rsidRPr="001F224B" w14:paraId="40B4A14C" w14:textId="77777777" w:rsidTr="00D91D7B">
        <w:tc>
          <w:tcPr>
            <w:tcW w:w="426" w:type="dxa"/>
            <w:tcBorders>
              <w:top w:val="nil"/>
              <w:left w:val="single" w:sz="4" w:space="0" w:color="auto"/>
              <w:bottom w:val="nil"/>
              <w:right w:val="nil"/>
            </w:tcBorders>
            <w:noWrap/>
            <w:tcMar>
              <w:top w:w="18" w:type="dxa"/>
              <w:left w:w="18" w:type="dxa"/>
              <w:bottom w:w="0" w:type="dxa"/>
              <w:right w:w="18" w:type="dxa"/>
            </w:tcMar>
            <w:vAlign w:val="center"/>
          </w:tcPr>
          <w:p w14:paraId="3958F498" w14:textId="77777777" w:rsidR="00DC2481" w:rsidRPr="001F224B" w:rsidRDefault="00DC2481" w:rsidP="00DC2481">
            <w:pPr>
              <w:rPr>
                <w:rFonts w:eastAsia="Arial Unicode MS"/>
                <w:sz w:val="13"/>
                <w:szCs w:val="13"/>
              </w:rPr>
            </w:pPr>
            <w:r w:rsidRPr="001F224B">
              <w:rPr>
                <w:sz w:val="13"/>
                <w:szCs w:val="13"/>
              </w:rPr>
              <w:t>1.1.1</w:t>
            </w:r>
          </w:p>
        </w:tc>
        <w:tc>
          <w:tcPr>
            <w:tcW w:w="4819" w:type="dxa"/>
            <w:tcBorders>
              <w:top w:val="nil"/>
              <w:left w:val="nil"/>
              <w:bottom w:val="nil"/>
              <w:right w:val="nil"/>
            </w:tcBorders>
            <w:noWrap/>
            <w:tcMar>
              <w:top w:w="18" w:type="dxa"/>
              <w:left w:w="18" w:type="dxa"/>
              <w:bottom w:w="0" w:type="dxa"/>
              <w:right w:w="18" w:type="dxa"/>
            </w:tcMar>
            <w:vAlign w:val="center"/>
          </w:tcPr>
          <w:p w14:paraId="24AC4C07" w14:textId="77777777" w:rsidR="00DC2481" w:rsidRPr="001F224B" w:rsidRDefault="00DC2481" w:rsidP="00DC2481">
            <w:pPr>
              <w:rPr>
                <w:rFonts w:eastAsia="Arial Unicode MS"/>
                <w:sz w:val="13"/>
                <w:szCs w:val="13"/>
              </w:rPr>
            </w:pPr>
            <w:r w:rsidRPr="001F224B">
              <w:rPr>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00ED7619"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0D8507C" w14:textId="3DA3E6F9" w:rsidR="00DC2481" w:rsidRPr="001F224B" w:rsidRDefault="00DC2481" w:rsidP="00DC2481">
            <w:pPr>
              <w:jc w:val="right"/>
              <w:rPr>
                <w:sz w:val="13"/>
                <w:szCs w:val="13"/>
              </w:rPr>
            </w:pPr>
            <w:r w:rsidRPr="001F224B">
              <w:rPr>
                <w:sz w:val="13"/>
                <w:szCs w:val="13"/>
              </w:rPr>
              <w:t>1.675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946FC0" w14:textId="68CC18C3" w:rsidR="00DC2481" w:rsidRPr="001F224B" w:rsidRDefault="00DC2481" w:rsidP="00DC2481">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9001C3" w14:textId="518ED326" w:rsidR="00DC2481" w:rsidRPr="001F224B" w:rsidRDefault="00DC2481" w:rsidP="00DC2481">
            <w:pPr>
              <w:jc w:val="right"/>
              <w:rPr>
                <w:sz w:val="13"/>
                <w:szCs w:val="13"/>
              </w:rPr>
            </w:pPr>
            <w:r w:rsidRPr="001F224B">
              <w:rPr>
                <w:sz w:val="13"/>
                <w:szCs w:val="13"/>
              </w:rPr>
              <w:t>1.675</w:t>
            </w:r>
          </w:p>
        </w:tc>
        <w:tc>
          <w:tcPr>
            <w:tcW w:w="753" w:type="dxa"/>
            <w:tcBorders>
              <w:top w:val="nil"/>
              <w:left w:val="nil"/>
              <w:bottom w:val="nil"/>
              <w:right w:val="single" w:sz="4" w:space="0" w:color="auto"/>
            </w:tcBorders>
            <w:shd w:val="clear" w:color="auto" w:fill="auto"/>
          </w:tcPr>
          <w:p w14:paraId="61A07260" w14:textId="5270D209" w:rsidR="00DC2481" w:rsidRPr="001F224B" w:rsidRDefault="00DC2481" w:rsidP="00DC2481">
            <w:pPr>
              <w:jc w:val="right"/>
              <w:rPr>
                <w:color w:val="000000"/>
                <w:sz w:val="13"/>
                <w:szCs w:val="13"/>
              </w:rPr>
            </w:pPr>
            <w:r w:rsidRPr="001F224B">
              <w:rPr>
                <w:sz w:val="13"/>
                <w:szCs w:val="13"/>
              </w:rPr>
              <w:t>1.842</w:t>
            </w:r>
          </w:p>
        </w:tc>
        <w:tc>
          <w:tcPr>
            <w:tcW w:w="756" w:type="dxa"/>
            <w:tcBorders>
              <w:top w:val="nil"/>
              <w:left w:val="single" w:sz="4" w:space="0" w:color="auto"/>
              <w:bottom w:val="nil"/>
              <w:right w:val="single" w:sz="4" w:space="0" w:color="auto"/>
            </w:tcBorders>
            <w:shd w:val="clear" w:color="auto" w:fill="auto"/>
          </w:tcPr>
          <w:p w14:paraId="6350B33A" w14:textId="41E2A4E2" w:rsidR="00DC2481" w:rsidRPr="001F224B" w:rsidRDefault="00DC2481" w:rsidP="00DC2481">
            <w:pPr>
              <w:jc w:val="right"/>
              <w:rPr>
                <w:color w:val="000000"/>
                <w:sz w:val="13"/>
                <w:szCs w:val="13"/>
              </w:rPr>
            </w:pPr>
            <w:r w:rsidRPr="001F224B">
              <w:rPr>
                <w:sz w:val="13"/>
                <w:szCs w:val="13"/>
              </w:rPr>
              <w:t>-</w:t>
            </w:r>
          </w:p>
        </w:tc>
        <w:tc>
          <w:tcPr>
            <w:tcW w:w="759" w:type="dxa"/>
            <w:tcBorders>
              <w:top w:val="nil"/>
              <w:left w:val="single" w:sz="4" w:space="0" w:color="auto"/>
              <w:bottom w:val="nil"/>
              <w:right w:val="single" w:sz="4" w:space="0" w:color="auto"/>
            </w:tcBorders>
            <w:shd w:val="clear" w:color="auto" w:fill="auto"/>
          </w:tcPr>
          <w:p w14:paraId="29F8968E" w14:textId="532C5BCD" w:rsidR="00DC2481" w:rsidRPr="001F224B" w:rsidRDefault="00DC2481" w:rsidP="00DC2481">
            <w:pPr>
              <w:jc w:val="right"/>
              <w:rPr>
                <w:color w:val="000000"/>
                <w:sz w:val="13"/>
                <w:szCs w:val="13"/>
              </w:rPr>
            </w:pPr>
            <w:r w:rsidRPr="001F224B">
              <w:rPr>
                <w:sz w:val="13"/>
                <w:szCs w:val="13"/>
              </w:rPr>
              <w:t>1.842</w:t>
            </w:r>
          </w:p>
        </w:tc>
      </w:tr>
      <w:tr w:rsidR="00DC2481" w:rsidRPr="001F224B" w14:paraId="322FC556" w14:textId="77777777" w:rsidTr="00D91D7B">
        <w:tc>
          <w:tcPr>
            <w:tcW w:w="426" w:type="dxa"/>
            <w:tcBorders>
              <w:top w:val="nil"/>
              <w:left w:val="single" w:sz="4" w:space="0" w:color="auto"/>
              <w:bottom w:val="nil"/>
              <w:right w:val="nil"/>
            </w:tcBorders>
            <w:noWrap/>
            <w:tcMar>
              <w:top w:w="18" w:type="dxa"/>
              <w:left w:w="18" w:type="dxa"/>
              <w:bottom w:w="0" w:type="dxa"/>
              <w:right w:w="18" w:type="dxa"/>
            </w:tcMar>
            <w:vAlign w:val="center"/>
          </w:tcPr>
          <w:p w14:paraId="4924DE9C" w14:textId="55CA7594" w:rsidR="00DC2481" w:rsidRPr="001F224B" w:rsidRDefault="00DC2481" w:rsidP="00DC2481">
            <w:pPr>
              <w:rPr>
                <w:sz w:val="13"/>
                <w:szCs w:val="13"/>
              </w:rPr>
            </w:pPr>
            <w:r w:rsidRPr="001F224B">
              <w:rPr>
                <w:sz w:val="13"/>
                <w:szCs w:val="13"/>
              </w:rPr>
              <w:t>1.1.2</w:t>
            </w:r>
          </w:p>
        </w:tc>
        <w:tc>
          <w:tcPr>
            <w:tcW w:w="4819" w:type="dxa"/>
            <w:tcBorders>
              <w:top w:val="nil"/>
              <w:left w:val="nil"/>
              <w:bottom w:val="nil"/>
              <w:right w:val="nil"/>
            </w:tcBorders>
            <w:noWrap/>
            <w:tcMar>
              <w:top w:w="18" w:type="dxa"/>
              <w:left w:w="18" w:type="dxa"/>
              <w:bottom w:w="0" w:type="dxa"/>
              <w:right w:w="18" w:type="dxa"/>
            </w:tcMar>
            <w:vAlign w:val="center"/>
          </w:tcPr>
          <w:p w14:paraId="267CE8FB" w14:textId="530DA441" w:rsidR="00DC2481" w:rsidRPr="001F224B" w:rsidRDefault="00DC2481" w:rsidP="00DC2481">
            <w:pPr>
              <w:rPr>
                <w:sz w:val="13"/>
                <w:szCs w:val="13"/>
              </w:rPr>
            </w:pPr>
            <w:r w:rsidRPr="001F224B">
              <w:rPr>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2102A4A6" w14:textId="77777777" w:rsidR="00DC2481" w:rsidRPr="001F224B" w:rsidRDefault="00DC2481" w:rsidP="00DC2481">
            <w:pPr>
              <w:jc w:val="center"/>
              <w:rPr>
                <w:sz w:val="13"/>
                <w:szCs w:val="13"/>
              </w:rPr>
            </w:pP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73485F" w14:textId="1D48A942" w:rsidR="00DC2481" w:rsidRPr="001F224B" w:rsidRDefault="00DC2481" w:rsidP="00DC2481">
            <w:pPr>
              <w:jc w:val="right"/>
              <w:rPr>
                <w:sz w:val="13"/>
                <w:szCs w:val="13"/>
              </w:rPr>
            </w:pPr>
            <w:r w:rsidRPr="001F224B">
              <w:rPr>
                <w:sz w:val="13"/>
                <w:szCs w:val="13"/>
              </w:rPr>
              <w:t>7.957.028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AC5D12" w14:textId="0763763F" w:rsidR="00DC2481" w:rsidRPr="001F224B" w:rsidRDefault="00DC2481" w:rsidP="00DC2481">
            <w:pPr>
              <w:jc w:val="right"/>
              <w:rPr>
                <w:sz w:val="13"/>
                <w:szCs w:val="13"/>
              </w:rPr>
            </w:pPr>
            <w:r w:rsidRPr="001F224B">
              <w:rPr>
                <w:sz w:val="13"/>
                <w:szCs w:val="13"/>
              </w:rPr>
              <w:t>8.783.904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7B5F6B" w14:textId="00ECF8E0" w:rsidR="00DC2481" w:rsidRPr="001F224B" w:rsidRDefault="00DC2481" w:rsidP="00DC2481">
            <w:pPr>
              <w:jc w:val="right"/>
              <w:rPr>
                <w:sz w:val="13"/>
                <w:szCs w:val="13"/>
              </w:rPr>
            </w:pPr>
            <w:r w:rsidRPr="001F224B">
              <w:rPr>
                <w:sz w:val="13"/>
                <w:szCs w:val="13"/>
              </w:rPr>
              <w:t>16.740.932</w:t>
            </w:r>
          </w:p>
        </w:tc>
        <w:tc>
          <w:tcPr>
            <w:tcW w:w="753" w:type="dxa"/>
            <w:tcBorders>
              <w:top w:val="nil"/>
              <w:left w:val="nil"/>
              <w:bottom w:val="nil"/>
              <w:right w:val="single" w:sz="4" w:space="0" w:color="auto"/>
            </w:tcBorders>
            <w:shd w:val="clear" w:color="auto" w:fill="auto"/>
          </w:tcPr>
          <w:p w14:paraId="05086A96" w14:textId="65251A04" w:rsidR="00DC2481" w:rsidRPr="001F224B" w:rsidRDefault="00DC2481" w:rsidP="00DC2481">
            <w:pPr>
              <w:jc w:val="right"/>
              <w:rPr>
                <w:color w:val="000000"/>
                <w:sz w:val="13"/>
                <w:szCs w:val="13"/>
              </w:rPr>
            </w:pPr>
            <w:r w:rsidRPr="001F224B">
              <w:rPr>
                <w:sz w:val="13"/>
                <w:szCs w:val="13"/>
              </w:rPr>
              <w:t>11.058.573</w:t>
            </w:r>
          </w:p>
        </w:tc>
        <w:tc>
          <w:tcPr>
            <w:tcW w:w="756" w:type="dxa"/>
            <w:tcBorders>
              <w:top w:val="nil"/>
              <w:left w:val="single" w:sz="4" w:space="0" w:color="auto"/>
              <w:bottom w:val="nil"/>
              <w:right w:val="single" w:sz="4" w:space="0" w:color="auto"/>
            </w:tcBorders>
            <w:shd w:val="clear" w:color="auto" w:fill="auto"/>
          </w:tcPr>
          <w:p w14:paraId="2EEDA062" w14:textId="23EFCDF2" w:rsidR="00DC2481" w:rsidRPr="001F224B" w:rsidRDefault="00DC2481" w:rsidP="00DC2481">
            <w:pPr>
              <w:jc w:val="right"/>
              <w:rPr>
                <w:color w:val="000000"/>
                <w:sz w:val="13"/>
                <w:szCs w:val="13"/>
              </w:rPr>
            </w:pPr>
            <w:r w:rsidRPr="001F224B">
              <w:rPr>
                <w:sz w:val="13"/>
                <w:szCs w:val="13"/>
              </w:rPr>
              <w:t>1.659.543</w:t>
            </w:r>
          </w:p>
        </w:tc>
        <w:tc>
          <w:tcPr>
            <w:tcW w:w="759" w:type="dxa"/>
            <w:tcBorders>
              <w:top w:val="nil"/>
              <w:left w:val="single" w:sz="4" w:space="0" w:color="auto"/>
              <w:bottom w:val="nil"/>
              <w:right w:val="single" w:sz="4" w:space="0" w:color="auto"/>
            </w:tcBorders>
            <w:shd w:val="clear" w:color="auto" w:fill="auto"/>
          </w:tcPr>
          <w:p w14:paraId="6D2EA9AA" w14:textId="7583DA3F" w:rsidR="00DC2481" w:rsidRPr="001F224B" w:rsidRDefault="00DC2481" w:rsidP="00DC2481">
            <w:pPr>
              <w:jc w:val="right"/>
              <w:rPr>
                <w:color w:val="000000"/>
                <w:sz w:val="13"/>
                <w:szCs w:val="13"/>
              </w:rPr>
            </w:pPr>
            <w:r w:rsidRPr="001F224B">
              <w:rPr>
                <w:sz w:val="13"/>
                <w:szCs w:val="13"/>
              </w:rPr>
              <w:t>12.718.116</w:t>
            </w:r>
          </w:p>
        </w:tc>
      </w:tr>
      <w:tr w:rsidR="00DC2481" w:rsidRPr="001F224B" w14:paraId="72669B50"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732DDBB9" w14:textId="77777777" w:rsidR="00DC2481" w:rsidRPr="001F224B" w:rsidRDefault="00DC2481" w:rsidP="00DC2481">
            <w:pPr>
              <w:rPr>
                <w:rFonts w:eastAsia="Arial Unicode MS"/>
                <w:sz w:val="13"/>
                <w:szCs w:val="13"/>
              </w:rPr>
            </w:pPr>
            <w:r w:rsidRPr="001F224B">
              <w:rPr>
                <w:sz w:val="13"/>
                <w:szCs w:val="13"/>
              </w:rPr>
              <w:t>1.1.3</w:t>
            </w:r>
          </w:p>
        </w:tc>
        <w:tc>
          <w:tcPr>
            <w:tcW w:w="4819" w:type="dxa"/>
            <w:tcBorders>
              <w:top w:val="nil"/>
              <w:left w:val="nil"/>
              <w:bottom w:val="nil"/>
              <w:right w:val="nil"/>
            </w:tcBorders>
            <w:noWrap/>
            <w:tcMar>
              <w:top w:w="18" w:type="dxa"/>
              <w:left w:w="18" w:type="dxa"/>
              <w:bottom w:w="0" w:type="dxa"/>
              <w:right w:w="18" w:type="dxa"/>
            </w:tcMar>
            <w:vAlign w:val="bottom"/>
          </w:tcPr>
          <w:p w14:paraId="41533CCC" w14:textId="77777777" w:rsidR="00DC2481" w:rsidRPr="001F224B" w:rsidRDefault="00DC2481" w:rsidP="00DC2481">
            <w:pPr>
              <w:rPr>
                <w:rFonts w:eastAsia="Arial Unicode MS"/>
                <w:sz w:val="13"/>
                <w:szCs w:val="13"/>
              </w:rPr>
            </w:pPr>
            <w:r w:rsidRPr="001F224B">
              <w:rPr>
                <w:sz w:val="13"/>
                <w:szCs w:val="13"/>
              </w:rPr>
              <w:t>Para Piyasalarından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5029DD"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B62CF43" w14:textId="0D4F337A" w:rsidR="00DC2481" w:rsidRPr="001F224B" w:rsidRDefault="00DC2481" w:rsidP="00DC2481">
            <w:pPr>
              <w:jc w:val="right"/>
              <w:rPr>
                <w:sz w:val="13"/>
                <w:szCs w:val="13"/>
              </w:rPr>
            </w:pPr>
            <w:r w:rsidRPr="001F224B">
              <w:rPr>
                <w:sz w:val="13"/>
                <w:szCs w:val="13"/>
              </w:rPr>
              <w:t>19.895.386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8B61E39" w14:textId="18318E71" w:rsidR="00DC2481" w:rsidRPr="001F224B" w:rsidRDefault="00DC2481" w:rsidP="00DC2481">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DB2454E" w14:textId="2A12ABA0" w:rsidR="00DC2481" w:rsidRPr="001F224B" w:rsidRDefault="00DC2481" w:rsidP="00DC2481">
            <w:pPr>
              <w:jc w:val="right"/>
              <w:rPr>
                <w:sz w:val="13"/>
                <w:szCs w:val="13"/>
              </w:rPr>
            </w:pPr>
            <w:r w:rsidRPr="001F224B">
              <w:rPr>
                <w:sz w:val="13"/>
                <w:szCs w:val="13"/>
              </w:rPr>
              <w:t>19.895.386</w:t>
            </w:r>
          </w:p>
        </w:tc>
        <w:tc>
          <w:tcPr>
            <w:tcW w:w="753" w:type="dxa"/>
            <w:tcBorders>
              <w:top w:val="nil"/>
              <w:left w:val="nil"/>
              <w:bottom w:val="nil"/>
              <w:right w:val="single" w:sz="4" w:space="0" w:color="auto"/>
            </w:tcBorders>
            <w:shd w:val="clear" w:color="auto" w:fill="auto"/>
          </w:tcPr>
          <w:p w14:paraId="0B197796" w14:textId="08BAA396" w:rsidR="00DC2481" w:rsidRPr="001F224B" w:rsidRDefault="00DC2481" w:rsidP="00DC2481">
            <w:pPr>
              <w:jc w:val="right"/>
              <w:rPr>
                <w:color w:val="000000"/>
                <w:sz w:val="13"/>
                <w:szCs w:val="13"/>
              </w:rPr>
            </w:pPr>
            <w:r w:rsidRPr="001F224B">
              <w:rPr>
                <w:sz w:val="13"/>
                <w:szCs w:val="13"/>
              </w:rPr>
              <w:t>9.921.861</w:t>
            </w:r>
          </w:p>
        </w:tc>
        <w:tc>
          <w:tcPr>
            <w:tcW w:w="756" w:type="dxa"/>
            <w:tcBorders>
              <w:top w:val="nil"/>
              <w:left w:val="single" w:sz="4" w:space="0" w:color="auto"/>
              <w:bottom w:val="nil"/>
              <w:right w:val="single" w:sz="4" w:space="0" w:color="auto"/>
            </w:tcBorders>
            <w:shd w:val="clear" w:color="auto" w:fill="auto"/>
          </w:tcPr>
          <w:p w14:paraId="6B0D7C72" w14:textId="7373D9A6" w:rsidR="00DC2481" w:rsidRPr="001F224B" w:rsidRDefault="00DC2481" w:rsidP="00DC2481">
            <w:pPr>
              <w:jc w:val="right"/>
              <w:rPr>
                <w:color w:val="000000"/>
                <w:sz w:val="13"/>
                <w:szCs w:val="13"/>
              </w:rPr>
            </w:pPr>
            <w:r w:rsidRPr="001F224B">
              <w:rPr>
                <w:sz w:val="13"/>
                <w:szCs w:val="13"/>
              </w:rPr>
              <w:t>-</w:t>
            </w:r>
          </w:p>
        </w:tc>
        <w:tc>
          <w:tcPr>
            <w:tcW w:w="759" w:type="dxa"/>
            <w:tcBorders>
              <w:top w:val="nil"/>
              <w:left w:val="single" w:sz="4" w:space="0" w:color="auto"/>
              <w:bottom w:val="nil"/>
              <w:right w:val="single" w:sz="4" w:space="0" w:color="auto"/>
            </w:tcBorders>
            <w:shd w:val="clear" w:color="auto" w:fill="auto"/>
          </w:tcPr>
          <w:p w14:paraId="7F6C2223" w14:textId="291F6710" w:rsidR="00DC2481" w:rsidRPr="001F224B" w:rsidRDefault="00DC2481" w:rsidP="00DC2481">
            <w:pPr>
              <w:jc w:val="right"/>
              <w:rPr>
                <w:color w:val="000000"/>
                <w:sz w:val="13"/>
                <w:szCs w:val="13"/>
              </w:rPr>
            </w:pPr>
            <w:r w:rsidRPr="001F224B">
              <w:rPr>
                <w:sz w:val="13"/>
                <w:szCs w:val="13"/>
              </w:rPr>
              <w:t>9.921.861</w:t>
            </w:r>
          </w:p>
        </w:tc>
      </w:tr>
      <w:tr w:rsidR="00DC2481" w:rsidRPr="001F224B" w14:paraId="170AE6B2"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65613CFA" w14:textId="77777777" w:rsidR="00DC2481" w:rsidRPr="001F224B" w:rsidRDefault="00DC2481" w:rsidP="00DC2481">
            <w:pPr>
              <w:rPr>
                <w:sz w:val="13"/>
                <w:szCs w:val="13"/>
              </w:rPr>
            </w:pPr>
            <w:r w:rsidRPr="001F224B">
              <w:rPr>
                <w:sz w:val="13"/>
                <w:szCs w:val="13"/>
              </w:rPr>
              <w:t>1.1.4</w:t>
            </w:r>
          </w:p>
        </w:tc>
        <w:tc>
          <w:tcPr>
            <w:tcW w:w="4819" w:type="dxa"/>
            <w:tcBorders>
              <w:top w:val="nil"/>
              <w:left w:val="nil"/>
              <w:bottom w:val="nil"/>
              <w:right w:val="nil"/>
            </w:tcBorders>
            <w:noWrap/>
            <w:tcMar>
              <w:top w:w="18" w:type="dxa"/>
              <w:left w:w="18" w:type="dxa"/>
              <w:bottom w:w="0" w:type="dxa"/>
              <w:right w:w="18" w:type="dxa"/>
            </w:tcMar>
            <w:vAlign w:val="bottom"/>
          </w:tcPr>
          <w:p w14:paraId="5E6D38D5" w14:textId="77777777" w:rsidR="00DC2481" w:rsidRPr="001F224B" w:rsidRDefault="00DC2481" w:rsidP="00DC2481">
            <w:pPr>
              <w:rPr>
                <w:sz w:val="13"/>
                <w:szCs w:val="13"/>
              </w:rPr>
            </w:pPr>
            <w:r w:rsidRPr="001F224B">
              <w:rPr>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2A2071" w14:textId="77777777" w:rsidR="00DC2481" w:rsidRPr="001F224B" w:rsidRDefault="00DC2481" w:rsidP="00DC2481">
            <w:pPr>
              <w:jc w:val="center"/>
              <w:rPr>
                <w:sz w:val="13"/>
                <w:szCs w:val="13"/>
              </w:rPr>
            </w:pP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2B5975" w14:textId="4785159C" w:rsidR="00DC2481" w:rsidRPr="001F224B" w:rsidRDefault="00DC2481" w:rsidP="00DC2481">
            <w:pPr>
              <w:jc w:val="right"/>
              <w:rPr>
                <w:sz w:val="13"/>
                <w:szCs w:val="13"/>
              </w:rPr>
            </w:pPr>
            <w:r w:rsidRPr="001F224B">
              <w:rPr>
                <w:sz w:val="13"/>
                <w:szCs w:val="13"/>
              </w:rPr>
              <w:t>(7.108)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139F24" w14:textId="65A33731" w:rsidR="00DC2481" w:rsidRPr="001F224B" w:rsidRDefault="00DC2481" w:rsidP="00DC2481">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CD066A" w14:textId="358E3E7D" w:rsidR="00DC2481" w:rsidRPr="001F224B" w:rsidRDefault="00DC2481" w:rsidP="00DC2481">
            <w:pPr>
              <w:jc w:val="right"/>
              <w:rPr>
                <w:sz w:val="13"/>
                <w:szCs w:val="13"/>
              </w:rPr>
            </w:pPr>
            <w:r w:rsidRPr="001F224B">
              <w:rPr>
                <w:sz w:val="13"/>
                <w:szCs w:val="13"/>
              </w:rPr>
              <w:t>(7.108)</w:t>
            </w:r>
          </w:p>
        </w:tc>
        <w:tc>
          <w:tcPr>
            <w:tcW w:w="753" w:type="dxa"/>
            <w:tcBorders>
              <w:top w:val="nil"/>
              <w:left w:val="nil"/>
              <w:bottom w:val="nil"/>
              <w:right w:val="single" w:sz="4" w:space="0" w:color="auto"/>
            </w:tcBorders>
            <w:shd w:val="clear" w:color="auto" w:fill="auto"/>
          </w:tcPr>
          <w:p w14:paraId="237BDE49" w14:textId="04CAF9B2" w:rsidR="00DC2481" w:rsidRPr="001F224B" w:rsidRDefault="00DC2481" w:rsidP="00DC2481">
            <w:pPr>
              <w:jc w:val="right"/>
              <w:rPr>
                <w:color w:val="000000"/>
                <w:sz w:val="13"/>
                <w:szCs w:val="13"/>
              </w:rPr>
            </w:pPr>
            <w:r w:rsidRPr="001F224B">
              <w:rPr>
                <w:sz w:val="13"/>
                <w:szCs w:val="13"/>
              </w:rPr>
              <w:t>(5.075)</w:t>
            </w:r>
          </w:p>
        </w:tc>
        <w:tc>
          <w:tcPr>
            <w:tcW w:w="756" w:type="dxa"/>
            <w:tcBorders>
              <w:top w:val="nil"/>
              <w:left w:val="single" w:sz="4" w:space="0" w:color="auto"/>
              <w:bottom w:val="nil"/>
              <w:right w:val="single" w:sz="4" w:space="0" w:color="auto"/>
            </w:tcBorders>
            <w:shd w:val="clear" w:color="auto" w:fill="auto"/>
          </w:tcPr>
          <w:p w14:paraId="620B5ED3" w14:textId="376A99E0" w:rsidR="00DC2481" w:rsidRPr="001F224B" w:rsidRDefault="00DC2481" w:rsidP="00DC2481">
            <w:pPr>
              <w:jc w:val="right"/>
              <w:rPr>
                <w:color w:val="000000"/>
                <w:sz w:val="13"/>
                <w:szCs w:val="13"/>
              </w:rPr>
            </w:pPr>
            <w:r w:rsidRPr="001F224B">
              <w:rPr>
                <w:sz w:val="13"/>
                <w:szCs w:val="13"/>
              </w:rPr>
              <w:t>-</w:t>
            </w:r>
          </w:p>
        </w:tc>
        <w:tc>
          <w:tcPr>
            <w:tcW w:w="759" w:type="dxa"/>
            <w:tcBorders>
              <w:top w:val="nil"/>
              <w:left w:val="single" w:sz="4" w:space="0" w:color="auto"/>
              <w:bottom w:val="nil"/>
              <w:right w:val="single" w:sz="4" w:space="0" w:color="auto"/>
            </w:tcBorders>
            <w:shd w:val="clear" w:color="auto" w:fill="auto"/>
          </w:tcPr>
          <w:p w14:paraId="6941A95B" w14:textId="3C7DC403" w:rsidR="00DC2481" w:rsidRPr="001F224B" w:rsidRDefault="00DC2481" w:rsidP="00DC2481">
            <w:pPr>
              <w:jc w:val="right"/>
              <w:rPr>
                <w:color w:val="000000"/>
                <w:sz w:val="13"/>
                <w:szCs w:val="13"/>
              </w:rPr>
            </w:pPr>
            <w:r w:rsidRPr="001F224B">
              <w:rPr>
                <w:sz w:val="13"/>
                <w:szCs w:val="13"/>
              </w:rPr>
              <w:t>(5.075)</w:t>
            </w:r>
          </w:p>
        </w:tc>
      </w:tr>
      <w:tr w:rsidR="00DC2481" w:rsidRPr="001F224B" w14:paraId="7BED8490"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1840FDF4" w14:textId="77777777" w:rsidR="00DC2481" w:rsidRPr="001F224B" w:rsidRDefault="00DC2481" w:rsidP="00DC2481">
            <w:pPr>
              <w:rPr>
                <w:rFonts w:eastAsia="Arial Unicode MS"/>
                <w:b/>
                <w:sz w:val="13"/>
                <w:szCs w:val="13"/>
              </w:rPr>
            </w:pPr>
            <w:r w:rsidRPr="001F224B">
              <w:rPr>
                <w:b/>
                <w:bCs/>
                <w:sz w:val="13"/>
                <w:szCs w:val="13"/>
              </w:rPr>
              <w:t>1.2</w:t>
            </w:r>
          </w:p>
        </w:tc>
        <w:tc>
          <w:tcPr>
            <w:tcW w:w="4819" w:type="dxa"/>
            <w:tcBorders>
              <w:top w:val="nil"/>
              <w:left w:val="nil"/>
              <w:bottom w:val="nil"/>
              <w:right w:val="nil"/>
            </w:tcBorders>
            <w:noWrap/>
            <w:tcMar>
              <w:top w:w="18" w:type="dxa"/>
              <w:left w:w="18" w:type="dxa"/>
              <w:bottom w:w="0" w:type="dxa"/>
              <w:right w:w="18" w:type="dxa"/>
            </w:tcMar>
            <w:vAlign w:val="bottom"/>
          </w:tcPr>
          <w:p w14:paraId="105B3177" w14:textId="77777777" w:rsidR="00DC2481" w:rsidRPr="001F224B" w:rsidRDefault="00DC2481" w:rsidP="00DC2481">
            <w:pPr>
              <w:rPr>
                <w:rFonts w:eastAsia="Arial Unicode MS"/>
                <w:b/>
                <w:sz w:val="13"/>
                <w:szCs w:val="13"/>
              </w:rPr>
            </w:pPr>
            <w:r w:rsidRPr="001F224B">
              <w:rPr>
                <w:b/>
                <w:bCs/>
                <w:sz w:val="13"/>
                <w:szCs w:val="13"/>
              </w:rPr>
              <w:t xml:space="preserve">Gerçeğe Uygun Değer Farkı Kar Zarara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5856213"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101D16" w14:textId="3A9831C8" w:rsidR="00DC2481" w:rsidRPr="001F224B" w:rsidRDefault="00DC2481" w:rsidP="00DC2481">
            <w:pPr>
              <w:jc w:val="right"/>
              <w:rPr>
                <w:b/>
                <w:bCs/>
                <w:sz w:val="13"/>
                <w:szCs w:val="13"/>
              </w:rPr>
            </w:pPr>
            <w:r w:rsidRPr="001F224B">
              <w:rPr>
                <w:b/>
                <w:bCs/>
                <w:sz w:val="13"/>
                <w:szCs w:val="13"/>
              </w:rPr>
              <w:t>532.202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38B8F2" w14:textId="413AE02C" w:rsidR="00DC2481" w:rsidRPr="001F224B" w:rsidRDefault="00DC2481" w:rsidP="00DC2481">
            <w:pPr>
              <w:jc w:val="right"/>
              <w:rPr>
                <w:b/>
                <w:bCs/>
                <w:sz w:val="13"/>
                <w:szCs w:val="13"/>
              </w:rPr>
            </w:pPr>
            <w:r w:rsidRPr="001F224B">
              <w:rPr>
                <w:b/>
                <w:bCs/>
                <w:sz w:val="13"/>
                <w:szCs w:val="13"/>
              </w:rPr>
              <w:t>336.723</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1C0198" w14:textId="215A6BD0" w:rsidR="00DC2481" w:rsidRPr="001F224B" w:rsidRDefault="00DC2481" w:rsidP="00DC2481">
            <w:pPr>
              <w:jc w:val="right"/>
              <w:rPr>
                <w:b/>
                <w:bCs/>
                <w:sz w:val="13"/>
                <w:szCs w:val="13"/>
              </w:rPr>
            </w:pPr>
            <w:r w:rsidRPr="001F224B">
              <w:rPr>
                <w:b/>
                <w:bCs/>
                <w:sz w:val="13"/>
                <w:szCs w:val="13"/>
              </w:rPr>
              <w:t>868.925</w:t>
            </w:r>
          </w:p>
        </w:tc>
        <w:tc>
          <w:tcPr>
            <w:tcW w:w="753" w:type="dxa"/>
            <w:tcBorders>
              <w:top w:val="nil"/>
              <w:left w:val="single" w:sz="4" w:space="0" w:color="auto"/>
              <w:bottom w:val="nil"/>
              <w:right w:val="single" w:sz="4" w:space="0" w:color="auto"/>
            </w:tcBorders>
            <w:shd w:val="clear" w:color="auto" w:fill="auto"/>
          </w:tcPr>
          <w:p w14:paraId="2675EA5B" w14:textId="7E9766EB" w:rsidR="00DC2481" w:rsidRPr="001F224B" w:rsidRDefault="00DC2481" w:rsidP="00DC2481">
            <w:pPr>
              <w:jc w:val="right"/>
              <w:rPr>
                <w:b/>
                <w:bCs/>
                <w:color w:val="000000"/>
                <w:sz w:val="13"/>
                <w:szCs w:val="13"/>
              </w:rPr>
            </w:pPr>
            <w:r w:rsidRPr="001F224B">
              <w:rPr>
                <w:b/>
                <w:bCs/>
                <w:sz w:val="13"/>
                <w:szCs w:val="13"/>
              </w:rPr>
              <w:t>416.293</w:t>
            </w:r>
          </w:p>
        </w:tc>
        <w:tc>
          <w:tcPr>
            <w:tcW w:w="756" w:type="dxa"/>
            <w:tcBorders>
              <w:top w:val="nil"/>
              <w:left w:val="single" w:sz="4" w:space="0" w:color="auto"/>
              <w:bottom w:val="nil"/>
              <w:right w:val="single" w:sz="4" w:space="0" w:color="auto"/>
            </w:tcBorders>
            <w:shd w:val="clear" w:color="auto" w:fill="auto"/>
          </w:tcPr>
          <w:p w14:paraId="14AC5923" w14:textId="6B201193" w:rsidR="00DC2481" w:rsidRPr="001F224B" w:rsidRDefault="00DC2481" w:rsidP="00DC2481">
            <w:pPr>
              <w:jc w:val="right"/>
              <w:rPr>
                <w:b/>
                <w:bCs/>
                <w:color w:val="000000"/>
                <w:sz w:val="13"/>
                <w:szCs w:val="13"/>
              </w:rPr>
            </w:pPr>
            <w:r w:rsidRPr="001F224B">
              <w:rPr>
                <w:b/>
                <w:bCs/>
                <w:sz w:val="13"/>
                <w:szCs w:val="13"/>
              </w:rPr>
              <w:t>280.704</w:t>
            </w:r>
          </w:p>
        </w:tc>
        <w:tc>
          <w:tcPr>
            <w:tcW w:w="759" w:type="dxa"/>
            <w:tcBorders>
              <w:top w:val="nil"/>
              <w:left w:val="single" w:sz="4" w:space="0" w:color="auto"/>
              <w:bottom w:val="nil"/>
              <w:right w:val="single" w:sz="4" w:space="0" w:color="auto"/>
            </w:tcBorders>
            <w:shd w:val="clear" w:color="auto" w:fill="auto"/>
          </w:tcPr>
          <w:p w14:paraId="32E45068" w14:textId="20405FE4" w:rsidR="00DC2481" w:rsidRPr="001F224B" w:rsidRDefault="00DC2481" w:rsidP="00DC2481">
            <w:pPr>
              <w:jc w:val="right"/>
              <w:rPr>
                <w:b/>
                <w:bCs/>
                <w:color w:val="000000"/>
                <w:sz w:val="13"/>
                <w:szCs w:val="13"/>
              </w:rPr>
            </w:pPr>
            <w:r w:rsidRPr="001F224B">
              <w:rPr>
                <w:b/>
                <w:bCs/>
                <w:sz w:val="13"/>
                <w:szCs w:val="13"/>
              </w:rPr>
              <w:t>696.997</w:t>
            </w:r>
          </w:p>
        </w:tc>
      </w:tr>
      <w:tr w:rsidR="00DC2481" w:rsidRPr="001F224B" w14:paraId="0865361D" w14:textId="77777777" w:rsidTr="009A4E12">
        <w:tc>
          <w:tcPr>
            <w:tcW w:w="426" w:type="dxa"/>
            <w:tcBorders>
              <w:top w:val="nil"/>
              <w:left w:val="single" w:sz="4" w:space="0" w:color="auto"/>
              <w:bottom w:val="nil"/>
              <w:right w:val="nil"/>
            </w:tcBorders>
            <w:noWrap/>
            <w:tcMar>
              <w:top w:w="18" w:type="dxa"/>
              <w:left w:w="18" w:type="dxa"/>
              <w:bottom w:w="0" w:type="dxa"/>
              <w:right w:w="18" w:type="dxa"/>
            </w:tcMar>
          </w:tcPr>
          <w:p w14:paraId="62037FE5" w14:textId="77777777" w:rsidR="00DC2481" w:rsidRPr="001F224B" w:rsidRDefault="00DC2481" w:rsidP="00DC2481">
            <w:pPr>
              <w:rPr>
                <w:rFonts w:eastAsia="Arial Unicode MS"/>
                <w:sz w:val="13"/>
                <w:szCs w:val="13"/>
              </w:rPr>
            </w:pPr>
            <w:r w:rsidRPr="001F224B">
              <w:rPr>
                <w:sz w:val="13"/>
                <w:szCs w:val="13"/>
              </w:rPr>
              <w:t>1.2.1</w:t>
            </w:r>
          </w:p>
        </w:tc>
        <w:tc>
          <w:tcPr>
            <w:tcW w:w="4819" w:type="dxa"/>
            <w:tcBorders>
              <w:top w:val="nil"/>
              <w:left w:val="nil"/>
              <w:bottom w:val="nil"/>
              <w:right w:val="nil"/>
            </w:tcBorders>
            <w:noWrap/>
            <w:tcMar>
              <w:top w:w="18" w:type="dxa"/>
              <w:left w:w="18" w:type="dxa"/>
              <w:bottom w:w="0" w:type="dxa"/>
              <w:right w:w="18" w:type="dxa"/>
            </w:tcMar>
            <w:vAlign w:val="bottom"/>
          </w:tcPr>
          <w:p w14:paraId="3B4E7080" w14:textId="77777777" w:rsidR="00DC2481" w:rsidRPr="001F224B" w:rsidRDefault="00DC2481" w:rsidP="00DC2481">
            <w:pPr>
              <w:rPr>
                <w:rFonts w:eastAsia="Arial Unicode MS"/>
                <w:sz w:val="13"/>
                <w:szCs w:val="13"/>
              </w:rPr>
            </w:pPr>
            <w:r w:rsidRPr="001F224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3E9F16"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69FEDC" w14:textId="76237A42" w:rsidR="00DC2481" w:rsidRPr="001F224B" w:rsidRDefault="00DC2481" w:rsidP="00DC2481">
            <w:pPr>
              <w:jc w:val="right"/>
              <w:rPr>
                <w:sz w:val="13"/>
                <w:szCs w:val="13"/>
              </w:rPr>
            </w:pPr>
            <w:r w:rsidRPr="001F224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631F07" w14:textId="4F23EBBC" w:rsidR="00DC2481" w:rsidRPr="001F224B" w:rsidRDefault="00DC2481" w:rsidP="00DC2481">
            <w:pPr>
              <w:jc w:val="right"/>
              <w:rPr>
                <w:sz w:val="13"/>
                <w:szCs w:val="13"/>
              </w:rPr>
            </w:pPr>
            <w:r w:rsidRPr="001F224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AA38F7" w14:textId="0F783FE5" w:rsidR="00DC2481" w:rsidRPr="001F224B" w:rsidRDefault="00DC2481" w:rsidP="00DC2481">
            <w:pPr>
              <w:jc w:val="right"/>
              <w:rPr>
                <w:sz w:val="13"/>
                <w:szCs w:val="13"/>
              </w:rPr>
            </w:pPr>
            <w:r w:rsidRPr="001F224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Pr>
          <w:p w14:paraId="6F584B5F" w14:textId="2AE8D1B0" w:rsidR="00DC2481" w:rsidRPr="001F224B" w:rsidRDefault="00DC2481" w:rsidP="00DC2481">
            <w:pPr>
              <w:jc w:val="right"/>
              <w:rPr>
                <w:sz w:val="13"/>
                <w:szCs w:val="13"/>
              </w:rPr>
            </w:pPr>
            <w:r w:rsidRPr="001F224B">
              <w:rPr>
                <w:color w:val="000000"/>
                <w:sz w:val="13"/>
                <w:szCs w:val="13"/>
              </w:rPr>
              <w:t xml:space="preserve"> - </w:t>
            </w:r>
          </w:p>
        </w:tc>
        <w:tc>
          <w:tcPr>
            <w:tcW w:w="756" w:type="dxa"/>
            <w:tcBorders>
              <w:top w:val="nil"/>
              <w:left w:val="nil"/>
              <w:bottom w:val="nil"/>
              <w:right w:val="single" w:sz="4" w:space="0" w:color="auto"/>
            </w:tcBorders>
            <w:shd w:val="clear" w:color="auto" w:fill="auto"/>
          </w:tcPr>
          <w:p w14:paraId="29506E3B" w14:textId="4C895702" w:rsidR="00DC2481" w:rsidRPr="001F224B" w:rsidRDefault="00DC2481" w:rsidP="00DC2481">
            <w:pPr>
              <w:jc w:val="right"/>
              <w:rPr>
                <w:sz w:val="13"/>
                <w:szCs w:val="13"/>
              </w:rPr>
            </w:pPr>
            <w:r w:rsidRPr="001F224B">
              <w:rPr>
                <w:color w:val="000000"/>
                <w:sz w:val="13"/>
                <w:szCs w:val="13"/>
              </w:rPr>
              <w:t xml:space="preserve"> - </w:t>
            </w:r>
          </w:p>
        </w:tc>
        <w:tc>
          <w:tcPr>
            <w:tcW w:w="759" w:type="dxa"/>
            <w:tcBorders>
              <w:top w:val="nil"/>
              <w:left w:val="nil"/>
              <w:bottom w:val="nil"/>
              <w:right w:val="single" w:sz="4" w:space="0" w:color="auto"/>
            </w:tcBorders>
            <w:shd w:val="clear" w:color="auto" w:fill="auto"/>
          </w:tcPr>
          <w:p w14:paraId="0DA18482" w14:textId="49A33D94" w:rsidR="00DC2481" w:rsidRPr="001F224B" w:rsidRDefault="00DC2481" w:rsidP="00DC2481">
            <w:pPr>
              <w:jc w:val="right"/>
              <w:rPr>
                <w:sz w:val="13"/>
                <w:szCs w:val="13"/>
              </w:rPr>
            </w:pPr>
            <w:r w:rsidRPr="001F224B">
              <w:rPr>
                <w:color w:val="000000"/>
                <w:sz w:val="13"/>
                <w:szCs w:val="13"/>
              </w:rPr>
              <w:t xml:space="preserve"> - </w:t>
            </w:r>
          </w:p>
        </w:tc>
      </w:tr>
      <w:tr w:rsidR="00DC2481" w:rsidRPr="001F224B" w14:paraId="47CF96E7"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2DD9A392" w14:textId="77777777" w:rsidR="00DC2481" w:rsidRPr="001F224B" w:rsidRDefault="00DC2481" w:rsidP="00DC2481">
            <w:pPr>
              <w:rPr>
                <w:rFonts w:eastAsia="Arial Unicode MS"/>
                <w:sz w:val="13"/>
                <w:szCs w:val="13"/>
              </w:rPr>
            </w:pPr>
            <w:r w:rsidRPr="001F224B">
              <w:rPr>
                <w:sz w:val="13"/>
                <w:szCs w:val="13"/>
              </w:rPr>
              <w:t>1.2.2</w:t>
            </w:r>
          </w:p>
        </w:tc>
        <w:tc>
          <w:tcPr>
            <w:tcW w:w="4819" w:type="dxa"/>
            <w:tcBorders>
              <w:top w:val="nil"/>
              <w:left w:val="nil"/>
              <w:bottom w:val="nil"/>
              <w:right w:val="nil"/>
            </w:tcBorders>
            <w:noWrap/>
            <w:tcMar>
              <w:top w:w="18" w:type="dxa"/>
              <w:left w:w="18" w:type="dxa"/>
              <w:bottom w:w="0" w:type="dxa"/>
              <w:right w:w="18" w:type="dxa"/>
            </w:tcMar>
            <w:vAlign w:val="bottom"/>
          </w:tcPr>
          <w:p w14:paraId="1164D1E3" w14:textId="77777777" w:rsidR="00DC2481" w:rsidRPr="001F224B" w:rsidRDefault="00DC2481" w:rsidP="00DC2481">
            <w:pPr>
              <w:rPr>
                <w:rFonts w:eastAsia="Arial Unicode MS"/>
                <w:sz w:val="13"/>
                <w:szCs w:val="13"/>
              </w:rPr>
            </w:pPr>
            <w:r w:rsidRPr="001F224B">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D4ADA1"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15F438" w14:textId="29B83BDD" w:rsidR="00DC2481" w:rsidRPr="001F224B" w:rsidRDefault="00DC2481" w:rsidP="00DC2481">
            <w:pPr>
              <w:jc w:val="right"/>
              <w:rPr>
                <w:sz w:val="13"/>
                <w:szCs w:val="13"/>
              </w:rPr>
            </w:pPr>
            <w:r w:rsidRPr="001F224B">
              <w:rPr>
                <w:sz w:val="13"/>
                <w:szCs w:val="13"/>
              </w:rPr>
              <w:t>532.202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246F669" w14:textId="16EF9221" w:rsidR="00DC2481" w:rsidRPr="001F224B" w:rsidRDefault="00DC2481" w:rsidP="00DC2481">
            <w:pPr>
              <w:jc w:val="right"/>
              <w:rPr>
                <w:sz w:val="13"/>
                <w:szCs w:val="13"/>
              </w:rPr>
            </w:pPr>
            <w:r w:rsidRPr="001F224B">
              <w:rPr>
                <w:sz w:val="13"/>
                <w:szCs w:val="13"/>
              </w:rPr>
              <w:t>336.723</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76813E8" w14:textId="5EC96FD0" w:rsidR="00DC2481" w:rsidRPr="001F224B" w:rsidRDefault="00DC2481" w:rsidP="00DC2481">
            <w:pPr>
              <w:jc w:val="right"/>
              <w:rPr>
                <w:sz w:val="13"/>
                <w:szCs w:val="13"/>
              </w:rPr>
            </w:pPr>
            <w:r w:rsidRPr="001F224B">
              <w:rPr>
                <w:sz w:val="13"/>
                <w:szCs w:val="13"/>
              </w:rPr>
              <w:t>868.925</w:t>
            </w:r>
          </w:p>
        </w:tc>
        <w:tc>
          <w:tcPr>
            <w:tcW w:w="753" w:type="dxa"/>
            <w:tcBorders>
              <w:top w:val="nil"/>
              <w:left w:val="single" w:sz="4" w:space="0" w:color="auto"/>
              <w:bottom w:val="nil"/>
              <w:right w:val="single" w:sz="4" w:space="0" w:color="auto"/>
            </w:tcBorders>
            <w:shd w:val="clear" w:color="auto" w:fill="auto"/>
          </w:tcPr>
          <w:p w14:paraId="5ED06533" w14:textId="0354CDE3" w:rsidR="00DC2481" w:rsidRPr="001F224B" w:rsidRDefault="00DC2481" w:rsidP="00DC2481">
            <w:pPr>
              <w:jc w:val="right"/>
              <w:rPr>
                <w:sz w:val="13"/>
                <w:szCs w:val="13"/>
              </w:rPr>
            </w:pPr>
            <w:r w:rsidRPr="001F224B">
              <w:rPr>
                <w:sz w:val="13"/>
                <w:szCs w:val="13"/>
              </w:rPr>
              <w:t>416.293</w:t>
            </w:r>
          </w:p>
        </w:tc>
        <w:tc>
          <w:tcPr>
            <w:tcW w:w="756" w:type="dxa"/>
            <w:tcBorders>
              <w:top w:val="nil"/>
              <w:left w:val="single" w:sz="4" w:space="0" w:color="auto"/>
              <w:bottom w:val="nil"/>
              <w:right w:val="single" w:sz="4" w:space="0" w:color="auto"/>
            </w:tcBorders>
            <w:shd w:val="clear" w:color="auto" w:fill="auto"/>
          </w:tcPr>
          <w:p w14:paraId="7BC73F06" w14:textId="17DC6CBC" w:rsidR="00DC2481" w:rsidRPr="001F224B" w:rsidRDefault="00DC2481" w:rsidP="00DC2481">
            <w:pPr>
              <w:jc w:val="right"/>
              <w:rPr>
                <w:sz w:val="13"/>
                <w:szCs w:val="13"/>
              </w:rPr>
            </w:pPr>
            <w:r w:rsidRPr="001F224B">
              <w:rPr>
                <w:sz w:val="13"/>
                <w:szCs w:val="13"/>
              </w:rPr>
              <w:t>280.704</w:t>
            </w:r>
          </w:p>
        </w:tc>
        <w:tc>
          <w:tcPr>
            <w:tcW w:w="759" w:type="dxa"/>
            <w:tcBorders>
              <w:top w:val="nil"/>
              <w:left w:val="single" w:sz="4" w:space="0" w:color="auto"/>
              <w:bottom w:val="nil"/>
              <w:right w:val="single" w:sz="4" w:space="0" w:color="auto"/>
            </w:tcBorders>
            <w:shd w:val="clear" w:color="auto" w:fill="auto"/>
          </w:tcPr>
          <w:p w14:paraId="25C9BFCB" w14:textId="1737BD9A" w:rsidR="00DC2481" w:rsidRPr="001F224B" w:rsidRDefault="00DC2481" w:rsidP="00DC2481">
            <w:pPr>
              <w:jc w:val="right"/>
              <w:rPr>
                <w:sz w:val="13"/>
                <w:szCs w:val="13"/>
              </w:rPr>
            </w:pPr>
            <w:r w:rsidRPr="001F224B">
              <w:rPr>
                <w:sz w:val="13"/>
                <w:szCs w:val="13"/>
              </w:rPr>
              <w:t>696.997</w:t>
            </w:r>
          </w:p>
        </w:tc>
      </w:tr>
      <w:tr w:rsidR="00DC2481" w:rsidRPr="001F224B" w14:paraId="37723454" w14:textId="77777777" w:rsidTr="003243E7">
        <w:tc>
          <w:tcPr>
            <w:tcW w:w="426" w:type="dxa"/>
            <w:tcBorders>
              <w:top w:val="nil"/>
              <w:left w:val="single" w:sz="4" w:space="0" w:color="auto"/>
              <w:bottom w:val="nil"/>
              <w:right w:val="nil"/>
            </w:tcBorders>
            <w:noWrap/>
            <w:tcMar>
              <w:top w:w="18" w:type="dxa"/>
              <w:left w:w="18" w:type="dxa"/>
              <w:bottom w:w="0" w:type="dxa"/>
              <w:right w:w="18" w:type="dxa"/>
            </w:tcMar>
          </w:tcPr>
          <w:p w14:paraId="01DCF2B0" w14:textId="77777777" w:rsidR="00DC2481" w:rsidRPr="001F224B" w:rsidRDefault="00DC2481" w:rsidP="00DC2481">
            <w:pPr>
              <w:rPr>
                <w:rFonts w:eastAsia="Arial Unicode MS"/>
                <w:sz w:val="13"/>
                <w:szCs w:val="13"/>
              </w:rPr>
            </w:pPr>
            <w:r w:rsidRPr="001F224B">
              <w:rPr>
                <w:sz w:val="13"/>
                <w:szCs w:val="13"/>
              </w:rPr>
              <w:t>1.2.3</w:t>
            </w:r>
          </w:p>
        </w:tc>
        <w:tc>
          <w:tcPr>
            <w:tcW w:w="4819" w:type="dxa"/>
            <w:tcBorders>
              <w:top w:val="nil"/>
              <w:left w:val="nil"/>
              <w:bottom w:val="nil"/>
              <w:right w:val="nil"/>
            </w:tcBorders>
            <w:noWrap/>
            <w:tcMar>
              <w:top w:w="18" w:type="dxa"/>
              <w:left w:w="18" w:type="dxa"/>
              <w:bottom w:w="0" w:type="dxa"/>
              <w:right w:w="18" w:type="dxa"/>
            </w:tcMar>
            <w:vAlign w:val="bottom"/>
          </w:tcPr>
          <w:p w14:paraId="14570A74" w14:textId="77777777" w:rsidR="00DC2481" w:rsidRPr="001F224B" w:rsidRDefault="00DC2481" w:rsidP="00DC2481">
            <w:pPr>
              <w:rPr>
                <w:rFonts w:eastAsia="Arial Unicode MS"/>
                <w:sz w:val="13"/>
                <w:szCs w:val="13"/>
              </w:rPr>
            </w:pPr>
            <w:r w:rsidRPr="001F224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38C6AD"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2AD715" w14:textId="2170194F" w:rsidR="00DC2481" w:rsidRPr="001F224B" w:rsidRDefault="00DC2481" w:rsidP="00DC2481">
            <w:pPr>
              <w:jc w:val="right"/>
              <w:rPr>
                <w:sz w:val="13"/>
                <w:szCs w:val="13"/>
              </w:rPr>
            </w:pPr>
            <w:r w:rsidRPr="001F224B">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89FA40" w14:textId="444B17FE" w:rsidR="00DC2481" w:rsidRPr="001F224B" w:rsidRDefault="00DC2481" w:rsidP="00DC2481">
            <w:pPr>
              <w:jc w:val="right"/>
              <w:rPr>
                <w:sz w:val="13"/>
                <w:szCs w:val="13"/>
              </w:rPr>
            </w:pPr>
            <w:r w:rsidRPr="001F224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5236E0" w14:textId="4092F9DC" w:rsidR="00DC2481" w:rsidRPr="001F224B" w:rsidRDefault="00DC2481" w:rsidP="00DC2481">
            <w:pPr>
              <w:jc w:val="right"/>
              <w:rPr>
                <w:sz w:val="13"/>
                <w:szCs w:val="13"/>
              </w:rPr>
            </w:pPr>
            <w:r w:rsidRPr="001F224B">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Pr>
          <w:p w14:paraId="6610101B" w14:textId="2E008DBB" w:rsidR="00DC2481" w:rsidRPr="001F224B" w:rsidRDefault="00DC2481" w:rsidP="00DC2481">
            <w:pPr>
              <w:jc w:val="right"/>
              <w:rPr>
                <w:sz w:val="13"/>
                <w:szCs w:val="13"/>
              </w:rPr>
            </w:pPr>
            <w:r w:rsidRPr="001F224B">
              <w:rPr>
                <w:color w:val="000000"/>
                <w:sz w:val="13"/>
                <w:szCs w:val="13"/>
              </w:rPr>
              <w:t xml:space="preserve"> - </w:t>
            </w:r>
          </w:p>
        </w:tc>
        <w:tc>
          <w:tcPr>
            <w:tcW w:w="756" w:type="dxa"/>
            <w:tcBorders>
              <w:top w:val="nil"/>
              <w:left w:val="nil"/>
              <w:bottom w:val="nil"/>
              <w:right w:val="single" w:sz="4" w:space="0" w:color="auto"/>
            </w:tcBorders>
            <w:shd w:val="clear" w:color="auto" w:fill="auto"/>
          </w:tcPr>
          <w:p w14:paraId="1146C8C2" w14:textId="425204DD" w:rsidR="00DC2481" w:rsidRPr="001F224B" w:rsidRDefault="00DC2481" w:rsidP="00DC2481">
            <w:pPr>
              <w:jc w:val="right"/>
              <w:rPr>
                <w:sz w:val="13"/>
                <w:szCs w:val="13"/>
              </w:rPr>
            </w:pPr>
            <w:r w:rsidRPr="001F224B">
              <w:rPr>
                <w:color w:val="000000"/>
                <w:sz w:val="13"/>
                <w:szCs w:val="13"/>
              </w:rPr>
              <w:t xml:space="preserve"> - </w:t>
            </w:r>
          </w:p>
        </w:tc>
        <w:tc>
          <w:tcPr>
            <w:tcW w:w="759" w:type="dxa"/>
            <w:tcBorders>
              <w:top w:val="nil"/>
              <w:left w:val="nil"/>
              <w:bottom w:val="nil"/>
              <w:right w:val="single" w:sz="4" w:space="0" w:color="auto"/>
            </w:tcBorders>
            <w:shd w:val="clear" w:color="auto" w:fill="auto"/>
          </w:tcPr>
          <w:p w14:paraId="639071FF" w14:textId="66FF6F8A" w:rsidR="00DC2481" w:rsidRPr="001F224B" w:rsidRDefault="00DC2481" w:rsidP="00DC2481">
            <w:pPr>
              <w:jc w:val="right"/>
              <w:rPr>
                <w:sz w:val="13"/>
                <w:szCs w:val="13"/>
              </w:rPr>
            </w:pPr>
            <w:r w:rsidRPr="001F224B">
              <w:rPr>
                <w:color w:val="000000"/>
                <w:sz w:val="13"/>
                <w:szCs w:val="13"/>
              </w:rPr>
              <w:t xml:space="preserve"> - </w:t>
            </w:r>
          </w:p>
        </w:tc>
      </w:tr>
      <w:tr w:rsidR="00DC2481" w:rsidRPr="001F224B" w14:paraId="454FA4A4"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334E5B8D" w14:textId="77777777" w:rsidR="00DC2481" w:rsidRPr="001F224B" w:rsidRDefault="00DC2481" w:rsidP="00DC2481">
            <w:pPr>
              <w:rPr>
                <w:rFonts w:eastAsia="Arial Unicode MS"/>
                <w:b/>
                <w:sz w:val="13"/>
                <w:szCs w:val="13"/>
              </w:rPr>
            </w:pPr>
            <w:r w:rsidRPr="001F224B">
              <w:rPr>
                <w:b/>
                <w:bCs/>
                <w:sz w:val="13"/>
                <w:szCs w:val="13"/>
              </w:rPr>
              <w:t>1.3</w:t>
            </w:r>
          </w:p>
        </w:tc>
        <w:tc>
          <w:tcPr>
            <w:tcW w:w="4819" w:type="dxa"/>
            <w:tcBorders>
              <w:top w:val="nil"/>
              <w:left w:val="nil"/>
              <w:bottom w:val="nil"/>
              <w:right w:val="nil"/>
            </w:tcBorders>
            <w:noWrap/>
            <w:tcMar>
              <w:top w:w="18" w:type="dxa"/>
              <w:left w:w="18" w:type="dxa"/>
              <w:bottom w:w="0" w:type="dxa"/>
              <w:right w:w="18" w:type="dxa"/>
            </w:tcMar>
            <w:vAlign w:val="bottom"/>
          </w:tcPr>
          <w:p w14:paraId="601AEC50" w14:textId="77777777" w:rsidR="00DC2481" w:rsidRPr="001F224B" w:rsidRDefault="00DC2481" w:rsidP="00DC2481">
            <w:pPr>
              <w:rPr>
                <w:rFonts w:eastAsia="Arial Unicode MS"/>
                <w:b/>
                <w:sz w:val="13"/>
                <w:szCs w:val="13"/>
              </w:rPr>
            </w:pPr>
            <w:r w:rsidRPr="001F224B">
              <w:rPr>
                <w:b/>
                <w:bCs/>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E8ACD5"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3B0CD9" w14:textId="1896540C" w:rsidR="00DC2481" w:rsidRPr="001F224B" w:rsidRDefault="00DC2481" w:rsidP="00DC2481">
            <w:pPr>
              <w:jc w:val="right"/>
              <w:rPr>
                <w:b/>
                <w:bCs/>
                <w:sz w:val="13"/>
                <w:szCs w:val="13"/>
              </w:rPr>
            </w:pPr>
            <w:r w:rsidRPr="001F224B">
              <w:rPr>
                <w:b/>
                <w:bCs/>
                <w:sz w:val="13"/>
                <w:szCs w:val="13"/>
              </w:rPr>
              <w:t>5.983.074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4688D6A" w14:textId="0F92D52C" w:rsidR="00DC2481" w:rsidRPr="001F224B" w:rsidRDefault="00DC2481" w:rsidP="00DC2481">
            <w:pPr>
              <w:jc w:val="right"/>
              <w:rPr>
                <w:b/>
                <w:bCs/>
                <w:sz w:val="13"/>
                <w:szCs w:val="13"/>
              </w:rPr>
            </w:pPr>
            <w:r w:rsidRPr="001F224B">
              <w:rPr>
                <w:b/>
                <w:bCs/>
                <w:sz w:val="13"/>
                <w:szCs w:val="13"/>
              </w:rPr>
              <w:t>21.898.821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05F844" w14:textId="5B17B92D" w:rsidR="00DC2481" w:rsidRPr="001F224B" w:rsidRDefault="00DC2481" w:rsidP="00DC2481">
            <w:pPr>
              <w:jc w:val="right"/>
              <w:rPr>
                <w:b/>
                <w:bCs/>
                <w:sz w:val="13"/>
                <w:szCs w:val="13"/>
              </w:rPr>
            </w:pPr>
            <w:r w:rsidRPr="001F224B">
              <w:rPr>
                <w:b/>
                <w:bCs/>
                <w:sz w:val="13"/>
                <w:szCs w:val="13"/>
              </w:rPr>
              <w:t>27.881.895</w:t>
            </w:r>
          </w:p>
        </w:tc>
        <w:tc>
          <w:tcPr>
            <w:tcW w:w="753" w:type="dxa"/>
            <w:tcBorders>
              <w:top w:val="nil"/>
              <w:left w:val="single" w:sz="4" w:space="0" w:color="auto"/>
              <w:bottom w:val="nil"/>
              <w:right w:val="single" w:sz="4" w:space="0" w:color="auto"/>
            </w:tcBorders>
            <w:shd w:val="clear" w:color="auto" w:fill="auto"/>
          </w:tcPr>
          <w:p w14:paraId="521243F6" w14:textId="3797755A" w:rsidR="00DC2481" w:rsidRPr="001F224B" w:rsidRDefault="00DC2481" w:rsidP="00DC2481">
            <w:pPr>
              <w:jc w:val="right"/>
              <w:rPr>
                <w:b/>
                <w:bCs/>
                <w:color w:val="000000"/>
                <w:sz w:val="13"/>
                <w:szCs w:val="13"/>
              </w:rPr>
            </w:pPr>
            <w:r w:rsidRPr="001F224B">
              <w:rPr>
                <w:b/>
                <w:bCs/>
                <w:sz w:val="13"/>
                <w:szCs w:val="13"/>
              </w:rPr>
              <w:t>3.802.055</w:t>
            </w:r>
          </w:p>
        </w:tc>
        <w:tc>
          <w:tcPr>
            <w:tcW w:w="756" w:type="dxa"/>
            <w:tcBorders>
              <w:top w:val="nil"/>
              <w:left w:val="single" w:sz="4" w:space="0" w:color="auto"/>
              <w:bottom w:val="nil"/>
              <w:right w:val="single" w:sz="4" w:space="0" w:color="auto"/>
            </w:tcBorders>
            <w:shd w:val="clear" w:color="auto" w:fill="auto"/>
          </w:tcPr>
          <w:p w14:paraId="21C60691" w14:textId="1B6F9AB9" w:rsidR="00DC2481" w:rsidRPr="001F224B" w:rsidRDefault="00DC2481" w:rsidP="00DC2481">
            <w:pPr>
              <w:jc w:val="right"/>
              <w:rPr>
                <w:b/>
                <w:bCs/>
                <w:color w:val="000000"/>
                <w:sz w:val="13"/>
                <w:szCs w:val="13"/>
              </w:rPr>
            </w:pPr>
            <w:r w:rsidRPr="001F224B">
              <w:rPr>
                <w:b/>
                <w:bCs/>
                <w:sz w:val="13"/>
                <w:szCs w:val="13"/>
              </w:rPr>
              <w:t>21.715.448</w:t>
            </w:r>
          </w:p>
        </w:tc>
        <w:tc>
          <w:tcPr>
            <w:tcW w:w="759" w:type="dxa"/>
            <w:tcBorders>
              <w:top w:val="nil"/>
              <w:left w:val="single" w:sz="4" w:space="0" w:color="auto"/>
              <w:bottom w:val="nil"/>
              <w:right w:val="single" w:sz="4" w:space="0" w:color="auto"/>
            </w:tcBorders>
            <w:shd w:val="clear" w:color="auto" w:fill="auto"/>
          </w:tcPr>
          <w:p w14:paraId="44F6A61E" w14:textId="52B3BD42" w:rsidR="00DC2481" w:rsidRPr="001F224B" w:rsidRDefault="00DC2481" w:rsidP="00DC2481">
            <w:pPr>
              <w:jc w:val="right"/>
              <w:rPr>
                <w:b/>
                <w:bCs/>
                <w:color w:val="000000"/>
                <w:sz w:val="13"/>
                <w:szCs w:val="13"/>
              </w:rPr>
            </w:pPr>
            <w:r w:rsidRPr="001F224B">
              <w:rPr>
                <w:b/>
                <w:bCs/>
                <w:sz w:val="13"/>
                <w:szCs w:val="13"/>
              </w:rPr>
              <w:t>25.517.503</w:t>
            </w:r>
          </w:p>
        </w:tc>
      </w:tr>
      <w:tr w:rsidR="00DC2481" w:rsidRPr="001F224B" w14:paraId="3602C204"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1B6BF5F5" w14:textId="77777777" w:rsidR="00DC2481" w:rsidRPr="001F224B" w:rsidRDefault="00DC2481" w:rsidP="00DC2481">
            <w:pPr>
              <w:rPr>
                <w:rFonts w:eastAsia="Arial Unicode MS"/>
                <w:sz w:val="13"/>
                <w:szCs w:val="13"/>
              </w:rPr>
            </w:pPr>
            <w:r w:rsidRPr="001F224B">
              <w:rP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17C76B55" w14:textId="77777777" w:rsidR="00DC2481" w:rsidRPr="001F224B" w:rsidRDefault="00DC2481" w:rsidP="00DC2481">
            <w:pPr>
              <w:rPr>
                <w:rFonts w:eastAsia="Arial Unicode MS"/>
                <w:sz w:val="13"/>
                <w:szCs w:val="13"/>
              </w:rPr>
            </w:pPr>
            <w:r w:rsidRPr="001F224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86D5F9D"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F9EBAA" w14:textId="6B16EF2D" w:rsidR="00DC2481" w:rsidRPr="001F224B" w:rsidRDefault="00DC2481" w:rsidP="00DC2481">
            <w:pPr>
              <w:jc w:val="right"/>
              <w:rPr>
                <w:sz w:val="13"/>
                <w:szCs w:val="13"/>
              </w:rPr>
            </w:pPr>
            <w:r w:rsidRPr="001F224B">
              <w:rPr>
                <w:sz w:val="13"/>
                <w:szCs w:val="13"/>
              </w:rPr>
              <w:t>3.887.372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D2CC98" w14:textId="2FA111E4" w:rsidR="00DC2481" w:rsidRPr="001F224B" w:rsidRDefault="00DC2481" w:rsidP="00DC2481">
            <w:pPr>
              <w:jc w:val="right"/>
              <w:rPr>
                <w:sz w:val="13"/>
                <w:szCs w:val="13"/>
              </w:rPr>
            </w:pPr>
            <w:r w:rsidRPr="001F224B">
              <w:rPr>
                <w:sz w:val="13"/>
                <w:szCs w:val="13"/>
              </w:rPr>
              <w:t>6.347.464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FFDC86" w14:textId="71BCB6F9" w:rsidR="00DC2481" w:rsidRPr="001F224B" w:rsidRDefault="00DC2481" w:rsidP="00DC2481">
            <w:pPr>
              <w:jc w:val="right"/>
              <w:rPr>
                <w:sz w:val="13"/>
                <w:szCs w:val="13"/>
              </w:rPr>
            </w:pPr>
            <w:r w:rsidRPr="001F224B">
              <w:rPr>
                <w:sz w:val="13"/>
                <w:szCs w:val="13"/>
              </w:rPr>
              <w:t>10.234.836</w:t>
            </w:r>
          </w:p>
        </w:tc>
        <w:tc>
          <w:tcPr>
            <w:tcW w:w="753" w:type="dxa"/>
            <w:tcBorders>
              <w:top w:val="nil"/>
              <w:left w:val="single" w:sz="4" w:space="0" w:color="auto"/>
              <w:bottom w:val="nil"/>
              <w:right w:val="single" w:sz="4" w:space="0" w:color="auto"/>
            </w:tcBorders>
            <w:shd w:val="clear" w:color="auto" w:fill="auto"/>
          </w:tcPr>
          <w:p w14:paraId="0BBC03E2" w14:textId="7605BE87" w:rsidR="00DC2481" w:rsidRPr="001F224B" w:rsidRDefault="00DC2481" w:rsidP="00DC2481">
            <w:pPr>
              <w:jc w:val="right"/>
              <w:rPr>
                <w:color w:val="000000"/>
                <w:sz w:val="13"/>
                <w:szCs w:val="13"/>
              </w:rPr>
            </w:pPr>
            <w:r w:rsidRPr="001F224B">
              <w:rPr>
                <w:sz w:val="13"/>
                <w:szCs w:val="13"/>
              </w:rPr>
              <w:t>3.201.141</w:t>
            </w:r>
          </w:p>
        </w:tc>
        <w:tc>
          <w:tcPr>
            <w:tcW w:w="756" w:type="dxa"/>
            <w:tcBorders>
              <w:top w:val="nil"/>
              <w:left w:val="single" w:sz="4" w:space="0" w:color="auto"/>
              <w:bottom w:val="nil"/>
              <w:right w:val="single" w:sz="4" w:space="0" w:color="auto"/>
            </w:tcBorders>
            <w:shd w:val="clear" w:color="auto" w:fill="auto"/>
          </w:tcPr>
          <w:p w14:paraId="46EDAAAD" w14:textId="0D26317C" w:rsidR="00DC2481" w:rsidRPr="001F224B" w:rsidRDefault="00DC2481" w:rsidP="00DC2481">
            <w:pPr>
              <w:jc w:val="right"/>
              <w:rPr>
                <w:color w:val="000000"/>
                <w:sz w:val="13"/>
                <w:szCs w:val="13"/>
              </w:rPr>
            </w:pPr>
            <w:r w:rsidRPr="001F224B">
              <w:rPr>
                <w:sz w:val="13"/>
                <w:szCs w:val="13"/>
              </w:rPr>
              <w:t>5.848.330</w:t>
            </w:r>
          </w:p>
        </w:tc>
        <w:tc>
          <w:tcPr>
            <w:tcW w:w="759" w:type="dxa"/>
            <w:tcBorders>
              <w:top w:val="nil"/>
              <w:left w:val="single" w:sz="4" w:space="0" w:color="auto"/>
              <w:bottom w:val="nil"/>
              <w:right w:val="single" w:sz="4" w:space="0" w:color="auto"/>
            </w:tcBorders>
            <w:shd w:val="clear" w:color="auto" w:fill="auto"/>
          </w:tcPr>
          <w:p w14:paraId="26B983D1" w14:textId="2E4EE7BE" w:rsidR="00DC2481" w:rsidRPr="001F224B" w:rsidRDefault="00DC2481" w:rsidP="00DC2481">
            <w:pPr>
              <w:jc w:val="right"/>
              <w:rPr>
                <w:color w:val="000000"/>
                <w:sz w:val="13"/>
                <w:szCs w:val="13"/>
              </w:rPr>
            </w:pPr>
            <w:r w:rsidRPr="001F224B">
              <w:rPr>
                <w:sz w:val="13"/>
                <w:szCs w:val="13"/>
              </w:rPr>
              <w:t>9.049.471</w:t>
            </w:r>
          </w:p>
        </w:tc>
      </w:tr>
      <w:tr w:rsidR="00DC2481" w:rsidRPr="001F224B" w14:paraId="5B069F09"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22D9EC2C" w14:textId="77777777" w:rsidR="00DC2481" w:rsidRPr="001F224B" w:rsidRDefault="00DC2481" w:rsidP="00DC2481">
            <w:pPr>
              <w:rPr>
                <w:rFonts w:eastAsia="Arial Unicode MS"/>
                <w:sz w:val="13"/>
                <w:szCs w:val="13"/>
              </w:rPr>
            </w:pPr>
            <w:r w:rsidRPr="001F224B">
              <w:rP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1D4609DC" w14:textId="77777777" w:rsidR="00DC2481" w:rsidRPr="001F224B" w:rsidRDefault="00DC2481" w:rsidP="00DC2481">
            <w:pPr>
              <w:rPr>
                <w:rFonts w:eastAsia="Arial Unicode MS"/>
                <w:sz w:val="13"/>
                <w:szCs w:val="13"/>
              </w:rPr>
            </w:pPr>
            <w:r w:rsidRPr="001F224B">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F50767"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29C306" w14:textId="5E46362C" w:rsidR="00DC2481" w:rsidRPr="001F224B" w:rsidRDefault="00DC2481" w:rsidP="00DC2481">
            <w:pPr>
              <w:jc w:val="right"/>
              <w:rPr>
                <w:sz w:val="13"/>
                <w:szCs w:val="13"/>
              </w:rPr>
            </w:pPr>
            <w:r w:rsidRPr="001F224B">
              <w:rPr>
                <w:sz w:val="13"/>
                <w:szCs w:val="13"/>
              </w:rPr>
              <w:t>8.813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2B9765" w14:textId="40E1FD1C" w:rsidR="00DC2481" w:rsidRPr="001F224B" w:rsidRDefault="00DC2481" w:rsidP="00DC2481">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5BCBD8" w14:textId="4F7AB3D4" w:rsidR="00DC2481" w:rsidRPr="001F224B" w:rsidRDefault="00DC2481" w:rsidP="00DC2481">
            <w:pPr>
              <w:jc w:val="right"/>
              <w:rPr>
                <w:sz w:val="13"/>
                <w:szCs w:val="13"/>
              </w:rPr>
            </w:pPr>
            <w:r w:rsidRPr="001F224B">
              <w:rPr>
                <w:sz w:val="13"/>
                <w:szCs w:val="13"/>
              </w:rPr>
              <w:t>8.813</w:t>
            </w:r>
          </w:p>
        </w:tc>
        <w:tc>
          <w:tcPr>
            <w:tcW w:w="753" w:type="dxa"/>
            <w:tcBorders>
              <w:top w:val="nil"/>
              <w:left w:val="nil"/>
              <w:bottom w:val="nil"/>
              <w:right w:val="single" w:sz="4" w:space="0" w:color="auto"/>
            </w:tcBorders>
            <w:shd w:val="clear" w:color="auto" w:fill="auto"/>
          </w:tcPr>
          <w:p w14:paraId="79A7E240" w14:textId="0CE4669D" w:rsidR="00DC2481" w:rsidRPr="001F224B" w:rsidRDefault="00DC2481" w:rsidP="00DC2481">
            <w:pPr>
              <w:jc w:val="right"/>
              <w:rPr>
                <w:color w:val="000000"/>
                <w:sz w:val="13"/>
                <w:szCs w:val="13"/>
              </w:rPr>
            </w:pPr>
            <w:r w:rsidRPr="001F224B">
              <w:rPr>
                <w:sz w:val="13"/>
                <w:szCs w:val="13"/>
              </w:rPr>
              <w:t>8.813</w:t>
            </w:r>
          </w:p>
        </w:tc>
        <w:tc>
          <w:tcPr>
            <w:tcW w:w="756" w:type="dxa"/>
            <w:tcBorders>
              <w:top w:val="nil"/>
              <w:left w:val="single" w:sz="4" w:space="0" w:color="auto"/>
              <w:bottom w:val="nil"/>
              <w:right w:val="single" w:sz="4" w:space="0" w:color="auto"/>
            </w:tcBorders>
            <w:shd w:val="clear" w:color="auto" w:fill="auto"/>
          </w:tcPr>
          <w:p w14:paraId="389FA7B6" w14:textId="30008157" w:rsidR="00DC2481" w:rsidRPr="001F224B" w:rsidRDefault="00DC2481" w:rsidP="00DC2481">
            <w:pPr>
              <w:jc w:val="right"/>
              <w:rPr>
                <w:color w:val="000000"/>
                <w:sz w:val="13"/>
                <w:szCs w:val="13"/>
              </w:rPr>
            </w:pPr>
            <w:r w:rsidRPr="001F224B">
              <w:rPr>
                <w:sz w:val="13"/>
                <w:szCs w:val="13"/>
              </w:rPr>
              <w:t>-</w:t>
            </w:r>
          </w:p>
        </w:tc>
        <w:tc>
          <w:tcPr>
            <w:tcW w:w="759" w:type="dxa"/>
            <w:tcBorders>
              <w:top w:val="nil"/>
              <w:left w:val="single" w:sz="4" w:space="0" w:color="auto"/>
              <w:bottom w:val="nil"/>
              <w:right w:val="single" w:sz="4" w:space="0" w:color="auto"/>
            </w:tcBorders>
            <w:shd w:val="clear" w:color="auto" w:fill="auto"/>
          </w:tcPr>
          <w:p w14:paraId="5FF1D1B3" w14:textId="1A1044A2" w:rsidR="00DC2481" w:rsidRPr="001F224B" w:rsidRDefault="00DC2481" w:rsidP="00DC2481">
            <w:pPr>
              <w:jc w:val="right"/>
              <w:rPr>
                <w:color w:val="000000"/>
                <w:sz w:val="13"/>
                <w:szCs w:val="13"/>
              </w:rPr>
            </w:pPr>
            <w:r w:rsidRPr="001F224B">
              <w:rPr>
                <w:sz w:val="13"/>
                <w:szCs w:val="13"/>
              </w:rPr>
              <w:t>8.813</w:t>
            </w:r>
          </w:p>
        </w:tc>
      </w:tr>
      <w:tr w:rsidR="00DC2481" w:rsidRPr="001F224B" w14:paraId="09EC289D"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28100266" w14:textId="77777777" w:rsidR="00DC2481" w:rsidRPr="001F224B" w:rsidRDefault="00DC2481" w:rsidP="00DC2481">
            <w:pPr>
              <w:rPr>
                <w:rFonts w:eastAsia="Arial Unicode MS"/>
                <w:sz w:val="13"/>
                <w:szCs w:val="13"/>
              </w:rPr>
            </w:pPr>
            <w:r w:rsidRPr="001F224B">
              <w:rPr>
                <w:sz w:val="13"/>
                <w:szCs w:val="13"/>
              </w:rPr>
              <w:t>1.3.3</w:t>
            </w:r>
          </w:p>
        </w:tc>
        <w:tc>
          <w:tcPr>
            <w:tcW w:w="4819" w:type="dxa"/>
            <w:tcBorders>
              <w:top w:val="nil"/>
              <w:left w:val="nil"/>
              <w:bottom w:val="nil"/>
              <w:right w:val="nil"/>
            </w:tcBorders>
            <w:noWrap/>
            <w:tcMar>
              <w:top w:w="18" w:type="dxa"/>
              <w:left w:w="18" w:type="dxa"/>
              <w:bottom w:w="0" w:type="dxa"/>
              <w:right w:w="18" w:type="dxa"/>
            </w:tcMar>
            <w:vAlign w:val="bottom"/>
          </w:tcPr>
          <w:p w14:paraId="0938CCA3" w14:textId="77777777" w:rsidR="00DC2481" w:rsidRPr="001F224B" w:rsidRDefault="00DC2481" w:rsidP="00DC2481">
            <w:pPr>
              <w:rPr>
                <w:rFonts w:eastAsia="Arial Unicode MS"/>
                <w:sz w:val="13"/>
                <w:szCs w:val="13"/>
              </w:rPr>
            </w:pPr>
            <w:r w:rsidRPr="001F224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0F4AED"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BA4B66" w14:textId="24ECED61" w:rsidR="00DC2481" w:rsidRPr="001F224B" w:rsidRDefault="00DC2481" w:rsidP="00DC2481">
            <w:pPr>
              <w:jc w:val="right"/>
              <w:rPr>
                <w:sz w:val="13"/>
                <w:szCs w:val="13"/>
              </w:rPr>
            </w:pPr>
            <w:r w:rsidRPr="001F224B">
              <w:rPr>
                <w:sz w:val="13"/>
                <w:szCs w:val="13"/>
              </w:rPr>
              <w:t>2.086.889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EB7812" w14:textId="3CA62BA0" w:rsidR="00DC2481" w:rsidRPr="001F224B" w:rsidRDefault="00DC2481" w:rsidP="00DC2481">
            <w:pPr>
              <w:jc w:val="right"/>
              <w:rPr>
                <w:sz w:val="13"/>
                <w:szCs w:val="13"/>
              </w:rPr>
            </w:pPr>
            <w:r w:rsidRPr="001F224B">
              <w:rPr>
                <w:sz w:val="13"/>
                <w:szCs w:val="13"/>
              </w:rPr>
              <w:t>15.551.357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6A3995" w14:textId="4EC52ECB" w:rsidR="00DC2481" w:rsidRPr="001F224B" w:rsidRDefault="00DC2481" w:rsidP="00DC2481">
            <w:pPr>
              <w:jc w:val="right"/>
              <w:rPr>
                <w:sz w:val="13"/>
                <w:szCs w:val="13"/>
              </w:rPr>
            </w:pPr>
            <w:r w:rsidRPr="001F224B">
              <w:rPr>
                <w:sz w:val="13"/>
                <w:szCs w:val="13"/>
              </w:rPr>
              <w:t>17.638.246</w:t>
            </w:r>
          </w:p>
        </w:tc>
        <w:tc>
          <w:tcPr>
            <w:tcW w:w="753" w:type="dxa"/>
            <w:tcBorders>
              <w:top w:val="nil"/>
              <w:left w:val="single" w:sz="4" w:space="0" w:color="auto"/>
              <w:bottom w:val="nil"/>
              <w:right w:val="single" w:sz="4" w:space="0" w:color="auto"/>
            </w:tcBorders>
            <w:shd w:val="clear" w:color="auto" w:fill="auto"/>
          </w:tcPr>
          <w:p w14:paraId="132FEA77" w14:textId="295001AE" w:rsidR="00DC2481" w:rsidRPr="001F224B" w:rsidRDefault="00DC2481" w:rsidP="00DC2481">
            <w:pPr>
              <w:jc w:val="right"/>
              <w:rPr>
                <w:color w:val="000000"/>
                <w:sz w:val="13"/>
                <w:szCs w:val="13"/>
              </w:rPr>
            </w:pPr>
            <w:r w:rsidRPr="001F224B">
              <w:rPr>
                <w:sz w:val="13"/>
                <w:szCs w:val="13"/>
              </w:rPr>
              <w:t>592.101</w:t>
            </w:r>
          </w:p>
        </w:tc>
        <w:tc>
          <w:tcPr>
            <w:tcW w:w="756" w:type="dxa"/>
            <w:tcBorders>
              <w:top w:val="nil"/>
              <w:left w:val="single" w:sz="4" w:space="0" w:color="auto"/>
              <w:bottom w:val="nil"/>
              <w:right w:val="single" w:sz="4" w:space="0" w:color="auto"/>
            </w:tcBorders>
            <w:shd w:val="clear" w:color="auto" w:fill="auto"/>
          </w:tcPr>
          <w:p w14:paraId="304288E9" w14:textId="7E4DADA2" w:rsidR="00DC2481" w:rsidRPr="001F224B" w:rsidRDefault="00DC2481" w:rsidP="00DC2481">
            <w:pPr>
              <w:jc w:val="right"/>
              <w:rPr>
                <w:color w:val="000000"/>
                <w:sz w:val="13"/>
                <w:szCs w:val="13"/>
              </w:rPr>
            </w:pPr>
            <w:r w:rsidRPr="001F224B">
              <w:rPr>
                <w:sz w:val="13"/>
                <w:szCs w:val="13"/>
              </w:rPr>
              <w:t>15.867.118</w:t>
            </w:r>
          </w:p>
        </w:tc>
        <w:tc>
          <w:tcPr>
            <w:tcW w:w="759" w:type="dxa"/>
            <w:tcBorders>
              <w:top w:val="nil"/>
              <w:left w:val="single" w:sz="4" w:space="0" w:color="auto"/>
              <w:bottom w:val="nil"/>
              <w:right w:val="single" w:sz="4" w:space="0" w:color="auto"/>
            </w:tcBorders>
            <w:shd w:val="clear" w:color="auto" w:fill="auto"/>
          </w:tcPr>
          <w:p w14:paraId="038B1689" w14:textId="16E50A51" w:rsidR="00DC2481" w:rsidRPr="001F224B" w:rsidRDefault="00DC2481" w:rsidP="00DC2481">
            <w:pPr>
              <w:jc w:val="right"/>
              <w:rPr>
                <w:color w:val="000000"/>
                <w:sz w:val="13"/>
                <w:szCs w:val="13"/>
              </w:rPr>
            </w:pPr>
            <w:r w:rsidRPr="001F224B">
              <w:rPr>
                <w:sz w:val="13"/>
                <w:szCs w:val="13"/>
              </w:rPr>
              <w:t>16.459.219</w:t>
            </w:r>
          </w:p>
        </w:tc>
      </w:tr>
      <w:tr w:rsidR="00DC2481" w:rsidRPr="001F224B" w14:paraId="30BE6350"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43DED445" w14:textId="77777777" w:rsidR="00DC2481" w:rsidRPr="001F224B" w:rsidRDefault="00DC2481" w:rsidP="00DC2481">
            <w:pPr>
              <w:rPr>
                <w:rFonts w:eastAsia="Arial Unicode MS"/>
                <w:b/>
                <w:sz w:val="13"/>
                <w:szCs w:val="13"/>
              </w:rPr>
            </w:pPr>
            <w:r w:rsidRPr="001F224B">
              <w:rPr>
                <w:b/>
                <w:bCs/>
                <w:sz w:val="13"/>
                <w:szCs w:val="13"/>
              </w:rPr>
              <w:t>1.4</w:t>
            </w:r>
          </w:p>
        </w:tc>
        <w:tc>
          <w:tcPr>
            <w:tcW w:w="4819" w:type="dxa"/>
            <w:tcBorders>
              <w:top w:val="nil"/>
              <w:left w:val="nil"/>
              <w:bottom w:val="nil"/>
              <w:right w:val="nil"/>
            </w:tcBorders>
            <w:noWrap/>
            <w:tcMar>
              <w:top w:w="18" w:type="dxa"/>
              <w:left w:w="18" w:type="dxa"/>
              <w:bottom w:w="0" w:type="dxa"/>
              <w:right w:w="18" w:type="dxa"/>
            </w:tcMar>
            <w:vAlign w:val="bottom"/>
          </w:tcPr>
          <w:p w14:paraId="56822E9C" w14:textId="77777777" w:rsidR="00DC2481" w:rsidRPr="001F224B" w:rsidRDefault="00DC2481" w:rsidP="00DC2481">
            <w:pPr>
              <w:rPr>
                <w:rFonts w:eastAsia="Arial Unicode MS"/>
                <w:b/>
                <w:sz w:val="13"/>
                <w:szCs w:val="13"/>
              </w:rPr>
            </w:pPr>
            <w:r w:rsidRPr="001F224B">
              <w:rPr>
                <w:b/>
                <w:bCs/>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4304D1" w14:textId="63271DA4" w:rsidR="00DC2481" w:rsidRPr="001F224B" w:rsidRDefault="00DC2481" w:rsidP="00DC2481">
            <w:pPr>
              <w:jc w:val="center"/>
              <w:rPr>
                <w:rFonts w:eastAsia="Arial Unicode MS"/>
                <w:b/>
                <w:bCs/>
                <w:sz w:val="13"/>
                <w:szCs w:val="13"/>
              </w:rPr>
            </w:pPr>
            <w:r w:rsidRPr="001F224B">
              <w:rPr>
                <w:b/>
                <w:bCs/>
                <w:sz w:val="13"/>
                <w:szCs w:val="13"/>
              </w:rPr>
              <w:t>(1,5)</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1CA037" w14:textId="22902A4C" w:rsidR="00DC2481" w:rsidRPr="001F224B" w:rsidRDefault="00DC2481" w:rsidP="00DC2481">
            <w:pPr>
              <w:jc w:val="right"/>
              <w:rPr>
                <w:b/>
                <w:bCs/>
                <w:sz w:val="13"/>
                <w:szCs w:val="13"/>
              </w:rPr>
            </w:pPr>
            <w:r w:rsidRPr="001F224B">
              <w:rPr>
                <w:b/>
                <w:bCs/>
                <w:sz w:val="13"/>
                <w:szCs w:val="13"/>
              </w:rPr>
              <w:t>64.069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63B331A" w14:textId="71A38DAD" w:rsidR="00DC2481" w:rsidRPr="001F224B" w:rsidRDefault="00DC2481" w:rsidP="00DC2481">
            <w:pPr>
              <w:jc w:val="right"/>
              <w:rPr>
                <w:b/>
                <w:bCs/>
                <w:sz w:val="13"/>
                <w:szCs w:val="13"/>
              </w:rPr>
            </w:pPr>
            <w:r w:rsidRPr="001F224B">
              <w:rPr>
                <w:b/>
                <w:bCs/>
                <w:sz w:val="13"/>
                <w:szCs w:val="13"/>
              </w:rPr>
              <w:t>9.140</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8242D1C" w14:textId="66AAC318" w:rsidR="00DC2481" w:rsidRPr="001F224B" w:rsidRDefault="00DC2481" w:rsidP="00DC2481">
            <w:pPr>
              <w:jc w:val="right"/>
              <w:rPr>
                <w:b/>
                <w:bCs/>
                <w:sz w:val="13"/>
                <w:szCs w:val="13"/>
              </w:rPr>
            </w:pPr>
            <w:r w:rsidRPr="001F224B">
              <w:rPr>
                <w:b/>
                <w:bCs/>
                <w:sz w:val="13"/>
                <w:szCs w:val="13"/>
              </w:rPr>
              <w:t>73.209</w:t>
            </w:r>
          </w:p>
        </w:tc>
        <w:tc>
          <w:tcPr>
            <w:tcW w:w="753" w:type="dxa"/>
            <w:tcBorders>
              <w:top w:val="nil"/>
              <w:left w:val="nil"/>
              <w:bottom w:val="nil"/>
              <w:right w:val="single" w:sz="4" w:space="0" w:color="auto"/>
            </w:tcBorders>
            <w:shd w:val="clear" w:color="auto" w:fill="auto"/>
          </w:tcPr>
          <w:p w14:paraId="2EE35BA5" w14:textId="2F717694" w:rsidR="00DC2481" w:rsidRPr="001F224B" w:rsidRDefault="00DC2481" w:rsidP="00DC2481">
            <w:pPr>
              <w:jc w:val="right"/>
              <w:rPr>
                <w:b/>
                <w:bCs/>
                <w:sz w:val="13"/>
                <w:szCs w:val="13"/>
              </w:rPr>
            </w:pPr>
            <w:r w:rsidRPr="001F224B">
              <w:rPr>
                <w:b/>
                <w:bCs/>
                <w:sz w:val="13"/>
                <w:szCs w:val="13"/>
              </w:rPr>
              <w:t>144.142</w:t>
            </w:r>
          </w:p>
        </w:tc>
        <w:tc>
          <w:tcPr>
            <w:tcW w:w="756" w:type="dxa"/>
            <w:tcBorders>
              <w:top w:val="nil"/>
              <w:left w:val="single" w:sz="4" w:space="0" w:color="auto"/>
              <w:bottom w:val="nil"/>
              <w:right w:val="single" w:sz="4" w:space="0" w:color="auto"/>
            </w:tcBorders>
            <w:shd w:val="clear" w:color="auto" w:fill="auto"/>
          </w:tcPr>
          <w:p w14:paraId="633FA5ED" w14:textId="33F3ACD5" w:rsidR="00DC2481" w:rsidRPr="001F224B" w:rsidRDefault="00DC2481" w:rsidP="00DC2481">
            <w:pPr>
              <w:jc w:val="right"/>
              <w:rPr>
                <w:b/>
                <w:bCs/>
                <w:sz w:val="13"/>
                <w:szCs w:val="13"/>
              </w:rPr>
            </w:pPr>
            <w:r w:rsidRPr="001F224B">
              <w:rPr>
                <w:b/>
                <w:bCs/>
                <w:sz w:val="13"/>
                <w:szCs w:val="13"/>
              </w:rPr>
              <w:t>-</w:t>
            </w:r>
          </w:p>
        </w:tc>
        <w:tc>
          <w:tcPr>
            <w:tcW w:w="759" w:type="dxa"/>
            <w:tcBorders>
              <w:top w:val="nil"/>
              <w:left w:val="nil"/>
              <w:bottom w:val="nil"/>
              <w:right w:val="single" w:sz="4" w:space="0" w:color="auto"/>
            </w:tcBorders>
            <w:shd w:val="clear" w:color="auto" w:fill="auto"/>
          </w:tcPr>
          <w:p w14:paraId="1BCD5EE6" w14:textId="225DE49B" w:rsidR="00DC2481" w:rsidRPr="001F224B" w:rsidRDefault="00DC2481" w:rsidP="00DC2481">
            <w:pPr>
              <w:jc w:val="right"/>
              <w:rPr>
                <w:b/>
                <w:bCs/>
                <w:sz w:val="13"/>
                <w:szCs w:val="13"/>
              </w:rPr>
            </w:pPr>
            <w:r w:rsidRPr="001F224B">
              <w:rPr>
                <w:b/>
                <w:bCs/>
                <w:sz w:val="13"/>
                <w:szCs w:val="13"/>
              </w:rPr>
              <w:t>144.142</w:t>
            </w:r>
          </w:p>
        </w:tc>
      </w:tr>
      <w:tr w:rsidR="00DC2481" w:rsidRPr="001F224B" w14:paraId="3350D47D"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12F4D207" w14:textId="77777777" w:rsidR="00DC2481" w:rsidRPr="001F224B" w:rsidRDefault="00DC2481" w:rsidP="00DC2481">
            <w:pPr>
              <w:rPr>
                <w:rFonts w:eastAsia="Arial Unicode MS"/>
                <w:sz w:val="13"/>
                <w:szCs w:val="13"/>
              </w:rPr>
            </w:pPr>
            <w:r w:rsidRPr="001F224B">
              <w:rP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552A017A" w14:textId="77777777" w:rsidR="00DC2481" w:rsidRPr="001F224B" w:rsidRDefault="00DC2481" w:rsidP="00DC2481">
            <w:pPr>
              <w:rPr>
                <w:rFonts w:eastAsia="Arial Unicode MS"/>
                <w:sz w:val="13"/>
                <w:szCs w:val="13"/>
              </w:rPr>
            </w:pPr>
            <w:r w:rsidRPr="001F224B">
              <w:rPr>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87823B"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49BF444" w14:textId="0F4ABF82" w:rsidR="00DC2481" w:rsidRPr="001F224B" w:rsidRDefault="00DC2481" w:rsidP="00DC2481">
            <w:pPr>
              <w:jc w:val="right"/>
              <w:rPr>
                <w:sz w:val="13"/>
                <w:szCs w:val="13"/>
              </w:rPr>
            </w:pPr>
            <w:r w:rsidRPr="001F224B">
              <w:rPr>
                <w:sz w:val="13"/>
                <w:szCs w:val="13"/>
              </w:rPr>
              <w:t>64.069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F69E95" w14:textId="6F484D96" w:rsidR="00DC2481" w:rsidRPr="001F224B" w:rsidRDefault="00DC2481" w:rsidP="00DC2481">
            <w:pPr>
              <w:jc w:val="right"/>
              <w:rPr>
                <w:sz w:val="13"/>
                <w:szCs w:val="13"/>
              </w:rPr>
            </w:pPr>
            <w:r w:rsidRPr="001F224B">
              <w:rPr>
                <w:sz w:val="13"/>
                <w:szCs w:val="13"/>
              </w:rPr>
              <w:t>9.140</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2E97B7" w14:textId="6AAB14B0" w:rsidR="00DC2481" w:rsidRPr="001F224B" w:rsidRDefault="00DC2481" w:rsidP="00DC2481">
            <w:pPr>
              <w:jc w:val="right"/>
              <w:rPr>
                <w:sz w:val="13"/>
                <w:szCs w:val="13"/>
              </w:rPr>
            </w:pPr>
            <w:r w:rsidRPr="001F224B">
              <w:rPr>
                <w:sz w:val="13"/>
                <w:szCs w:val="13"/>
              </w:rPr>
              <w:t>73.209</w:t>
            </w:r>
          </w:p>
        </w:tc>
        <w:tc>
          <w:tcPr>
            <w:tcW w:w="753" w:type="dxa"/>
            <w:tcBorders>
              <w:top w:val="nil"/>
              <w:left w:val="nil"/>
              <w:bottom w:val="nil"/>
              <w:right w:val="single" w:sz="4" w:space="0" w:color="auto"/>
            </w:tcBorders>
            <w:shd w:val="clear" w:color="auto" w:fill="auto"/>
          </w:tcPr>
          <w:p w14:paraId="6B7F1C4C" w14:textId="38E1A61E" w:rsidR="00DC2481" w:rsidRPr="001F224B" w:rsidRDefault="00DC2481" w:rsidP="00DC2481">
            <w:pPr>
              <w:jc w:val="right"/>
              <w:rPr>
                <w:sz w:val="13"/>
                <w:szCs w:val="13"/>
              </w:rPr>
            </w:pPr>
            <w:r w:rsidRPr="001F224B">
              <w:rPr>
                <w:sz w:val="13"/>
                <w:szCs w:val="13"/>
              </w:rPr>
              <w:t>144.142</w:t>
            </w:r>
          </w:p>
        </w:tc>
        <w:tc>
          <w:tcPr>
            <w:tcW w:w="756" w:type="dxa"/>
            <w:tcBorders>
              <w:top w:val="nil"/>
              <w:left w:val="single" w:sz="4" w:space="0" w:color="auto"/>
              <w:bottom w:val="nil"/>
              <w:right w:val="single" w:sz="4" w:space="0" w:color="auto"/>
            </w:tcBorders>
            <w:shd w:val="clear" w:color="auto" w:fill="auto"/>
          </w:tcPr>
          <w:p w14:paraId="066D8121" w14:textId="1EEBEA93" w:rsidR="00DC2481" w:rsidRPr="001F224B" w:rsidRDefault="00DC2481" w:rsidP="00DC2481">
            <w:pPr>
              <w:jc w:val="right"/>
              <w:rPr>
                <w:sz w:val="13"/>
                <w:szCs w:val="13"/>
              </w:rPr>
            </w:pPr>
            <w:r w:rsidRPr="001F224B">
              <w:rPr>
                <w:sz w:val="13"/>
                <w:szCs w:val="13"/>
              </w:rPr>
              <w:t>-</w:t>
            </w:r>
          </w:p>
        </w:tc>
        <w:tc>
          <w:tcPr>
            <w:tcW w:w="759" w:type="dxa"/>
            <w:tcBorders>
              <w:top w:val="nil"/>
              <w:left w:val="nil"/>
              <w:bottom w:val="nil"/>
              <w:right w:val="single" w:sz="4" w:space="0" w:color="auto"/>
            </w:tcBorders>
            <w:shd w:val="clear" w:color="auto" w:fill="auto"/>
          </w:tcPr>
          <w:p w14:paraId="31FF89A9" w14:textId="2A83F176" w:rsidR="00DC2481" w:rsidRPr="001F224B" w:rsidRDefault="00DC2481" w:rsidP="00DC2481">
            <w:pPr>
              <w:jc w:val="right"/>
              <w:rPr>
                <w:sz w:val="13"/>
                <w:szCs w:val="13"/>
              </w:rPr>
            </w:pPr>
            <w:r w:rsidRPr="001F224B">
              <w:rPr>
                <w:sz w:val="13"/>
                <w:szCs w:val="13"/>
              </w:rPr>
              <w:t>144.142</w:t>
            </w:r>
          </w:p>
        </w:tc>
      </w:tr>
      <w:tr w:rsidR="00DC2481" w:rsidRPr="001F224B" w14:paraId="4329B83A" w14:textId="77777777" w:rsidTr="00524F29">
        <w:tc>
          <w:tcPr>
            <w:tcW w:w="426" w:type="dxa"/>
            <w:tcBorders>
              <w:top w:val="nil"/>
              <w:left w:val="single" w:sz="4" w:space="0" w:color="auto"/>
              <w:bottom w:val="nil"/>
              <w:right w:val="nil"/>
            </w:tcBorders>
            <w:noWrap/>
            <w:tcMar>
              <w:top w:w="18" w:type="dxa"/>
              <w:left w:w="18" w:type="dxa"/>
              <w:bottom w:w="0" w:type="dxa"/>
              <w:right w:w="18" w:type="dxa"/>
            </w:tcMar>
          </w:tcPr>
          <w:p w14:paraId="3EF48CD0" w14:textId="77777777" w:rsidR="00DC2481" w:rsidRPr="001F224B" w:rsidRDefault="00DC2481" w:rsidP="00DC2481">
            <w:pPr>
              <w:rPr>
                <w:rFonts w:eastAsia="Arial Unicode MS"/>
                <w:sz w:val="13"/>
                <w:szCs w:val="13"/>
              </w:rPr>
            </w:pPr>
            <w:r w:rsidRPr="001F224B">
              <w:rP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46CAD364" w14:textId="77777777" w:rsidR="00DC2481" w:rsidRPr="001F224B" w:rsidRDefault="00DC2481" w:rsidP="00DC2481">
            <w:pPr>
              <w:rPr>
                <w:rFonts w:eastAsia="Arial Unicode MS"/>
                <w:sz w:val="13"/>
                <w:szCs w:val="13"/>
              </w:rPr>
            </w:pPr>
            <w:r w:rsidRPr="001F224B">
              <w:rPr>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1C7645"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F23831" w14:textId="7975D27E"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6284D8" w14:textId="3A0098D3"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D8F3287" w14:textId="7656887C"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399239CA" w14:textId="11ECCC5E" w:rsidR="00DC2481" w:rsidRPr="001F224B" w:rsidRDefault="00DC2481" w:rsidP="00DC2481">
            <w:pPr>
              <w:jc w:val="right"/>
              <w:rPr>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39BFBE91" w14:textId="07E4B54D" w:rsidR="00DC2481" w:rsidRPr="001F224B" w:rsidRDefault="00DC2481" w:rsidP="00DC2481">
            <w:pPr>
              <w:jc w:val="right"/>
              <w:rPr>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0BFEA5C2" w14:textId="21C8E37D" w:rsidR="00DC2481" w:rsidRPr="001F224B" w:rsidRDefault="00DC2481" w:rsidP="00DC2481">
            <w:pPr>
              <w:jc w:val="right"/>
              <w:rPr>
                <w:sz w:val="13"/>
                <w:szCs w:val="13"/>
              </w:rPr>
            </w:pPr>
            <w:r w:rsidRPr="001F224B">
              <w:rPr>
                <w:color w:val="000000"/>
                <w:sz w:val="13"/>
                <w:szCs w:val="13"/>
              </w:rPr>
              <w:t>-</w:t>
            </w:r>
          </w:p>
        </w:tc>
      </w:tr>
      <w:tr w:rsidR="00DC2481" w:rsidRPr="001F224B" w14:paraId="23C69A2D"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328D5E1D" w14:textId="77777777" w:rsidR="00DC2481" w:rsidRPr="001F224B" w:rsidRDefault="00DC2481" w:rsidP="00DC2481">
            <w:pPr>
              <w:rPr>
                <w:rFonts w:eastAsia="Arial Unicode MS"/>
                <w:b/>
                <w:sz w:val="13"/>
                <w:szCs w:val="13"/>
              </w:rPr>
            </w:pPr>
            <w:r w:rsidRPr="001F224B">
              <w:rPr>
                <w:b/>
                <w:bCs/>
                <w:sz w:val="13"/>
                <w:szCs w:val="13"/>
              </w:rPr>
              <w:t>II.</w:t>
            </w:r>
          </w:p>
        </w:tc>
        <w:tc>
          <w:tcPr>
            <w:tcW w:w="4819" w:type="dxa"/>
            <w:tcBorders>
              <w:top w:val="nil"/>
              <w:left w:val="nil"/>
              <w:bottom w:val="nil"/>
              <w:right w:val="nil"/>
            </w:tcBorders>
            <w:noWrap/>
            <w:tcMar>
              <w:top w:w="18" w:type="dxa"/>
              <w:left w:w="18" w:type="dxa"/>
              <w:bottom w:w="0" w:type="dxa"/>
              <w:right w:w="18" w:type="dxa"/>
            </w:tcMar>
            <w:vAlign w:val="bottom"/>
          </w:tcPr>
          <w:p w14:paraId="74605E97" w14:textId="77777777" w:rsidR="00DC2481" w:rsidRPr="001F224B" w:rsidRDefault="00DC2481" w:rsidP="00DC2481">
            <w:pPr>
              <w:rPr>
                <w:rFonts w:eastAsia="Arial Unicode MS"/>
                <w:b/>
                <w:sz w:val="13"/>
                <w:szCs w:val="13"/>
              </w:rPr>
            </w:pPr>
            <w:r w:rsidRPr="001F224B">
              <w:rPr>
                <w:b/>
                <w:bCs/>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19C1D0" w14:textId="77777777" w:rsidR="00DC2481" w:rsidRPr="001F224B" w:rsidRDefault="00DC2481" w:rsidP="00DC2481">
            <w:pPr>
              <w:jc w:val="center"/>
              <w:rPr>
                <w:rFonts w:eastAsia="Arial Unicode MS"/>
                <w:b/>
                <w:sz w:val="13"/>
                <w:szCs w:val="13"/>
              </w:rPr>
            </w:pPr>
            <w:r w:rsidRPr="001F224B">
              <w:rPr>
                <w:b/>
                <w:bCs/>
                <w:sz w:val="13"/>
                <w:szCs w:val="13"/>
              </w:rPr>
              <w:t>(2)</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2D253F" w14:textId="7DD314DC" w:rsidR="00DC2481" w:rsidRPr="001F224B" w:rsidRDefault="00DC2481" w:rsidP="00DC2481">
            <w:pPr>
              <w:jc w:val="right"/>
              <w:rPr>
                <w:b/>
                <w:bCs/>
                <w:sz w:val="13"/>
                <w:szCs w:val="13"/>
              </w:rPr>
            </w:pPr>
            <w:r w:rsidRPr="001F224B">
              <w:rPr>
                <w:b/>
                <w:bCs/>
                <w:sz w:val="13"/>
                <w:szCs w:val="13"/>
              </w:rPr>
              <w:t>32.259.107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FAD62D" w14:textId="5A586644" w:rsidR="00DC2481" w:rsidRPr="001F224B" w:rsidRDefault="00DC2481" w:rsidP="00DC2481">
            <w:pPr>
              <w:jc w:val="right"/>
              <w:rPr>
                <w:b/>
                <w:bCs/>
                <w:sz w:val="13"/>
                <w:szCs w:val="13"/>
              </w:rPr>
            </w:pPr>
            <w:r w:rsidRPr="001F224B">
              <w:rPr>
                <w:b/>
                <w:bCs/>
                <w:sz w:val="13"/>
                <w:szCs w:val="13"/>
              </w:rPr>
              <w:t>86.366.286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F75297" w14:textId="2E1956FC" w:rsidR="00DC2481" w:rsidRPr="001F224B" w:rsidRDefault="00DC2481" w:rsidP="00DC2481">
            <w:pPr>
              <w:jc w:val="right"/>
              <w:rPr>
                <w:b/>
                <w:bCs/>
                <w:sz w:val="13"/>
                <w:szCs w:val="13"/>
              </w:rPr>
            </w:pPr>
            <w:r w:rsidRPr="001F224B">
              <w:rPr>
                <w:b/>
                <w:bCs/>
                <w:sz w:val="13"/>
                <w:szCs w:val="13"/>
              </w:rPr>
              <w:t>118.625.393</w:t>
            </w:r>
          </w:p>
        </w:tc>
        <w:tc>
          <w:tcPr>
            <w:tcW w:w="753" w:type="dxa"/>
            <w:tcBorders>
              <w:top w:val="nil"/>
              <w:left w:val="single" w:sz="4" w:space="0" w:color="auto"/>
              <w:bottom w:val="nil"/>
              <w:right w:val="single" w:sz="4" w:space="0" w:color="auto"/>
            </w:tcBorders>
            <w:shd w:val="clear" w:color="auto" w:fill="auto"/>
          </w:tcPr>
          <w:p w14:paraId="49284751" w14:textId="550AF272" w:rsidR="00DC2481" w:rsidRPr="001F224B" w:rsidRDefault="00DC2481" w:rsidP="00DC2481">
            <w:pPr>
              <w:jc w:val="right"/>
              <w:rPr>
                <w:b/>
                <w:bCs/>
                <w:sz w:val="13"/>
                <w:szCs w:val="13"/>
              </w:rPr>
            </w:pPr>
            <w:r w:rsidRPr="001F224B">
              <w:rPr>
                <w:b/>
                <w:bCs/>
                <w:sz w:val="13"/>
                <w:szCs w:val="13"/>
              </w:rPr>
              <w:t>30.909.812</w:t>
            </w:r>
          </w:p>
        </w:tc>
        <w:tc>
          <w:tcPr>
            <w:tcW w:w="756" w:type="dxa"/>
            <w:tcBorders>
              <w:top w:val="nil"/>
              <w:left w:val="nil"/>
              <w:bottom w:val="nil"/>
              <w:right w:val="single" w:sz="4" w:space="0" w:color="auto"/>
            </w:tcBorders>
            <w:shd w:val="clear" w:color="auto" w:fill="auto"/>
          </w:tcPr>
          <w:p w14:paraId="2944CDD0" w14:textId="4D8D317A" w:rsidR="00DC2481" w:rsidRPr="001F224B" w:rsidRDefault="00DC2481" w:rsidP="00DC2481">
            <w:pPr>
              <w:jc w:val="right"/>
              <w:rPr>
                <w:b/>
                <w:bCs/>
                <w:sz w:val="13"/>
                <w:szCs w:val="13"/>
              </w:rPr>
            </w:pPr>
            <w:r w:rsidRPr="001F224B">
              <w:rPr>
                <w:b/>
                <w:bCs/>
                <w:sz w:val="13"/>
                <w:szCs w:val="13"/>
              </w:rPr>
              <w:t>72.576.250</w:t>
            </w:r>
          </w:p>
        </w:tc>
        <w:tc>
          <w:tcPr>
            <w:tcW w:w="759" w:type="dxa"/>
            <w:tcBorders>
              <w:top w:val="nil"/>
              <w:left w:val="nil"/>
              <w:bottom w:val="nil"/>
              <w:right w:val="single" w:sz="4" w:space="0" w:color="auto"/>
            </w:tcBorders>
            <w:shd w:val="clear" w:color="auto" w:fill="auto"/>
          </w:tcPr>
          <w:p w14:paraId="4F9860CE" w14:textId="44264D30" w:rsidR="00DC2481" w:rsidRPr="001F224B" w:rsidRDefault="00DC2481" w:rsidP="00DC2481">
            <w:pPr>
              <w:jc w:val="right"/>
              <w:rPr>
                <w:b/>
                <w:bCs/>
                <w:sz w:val="13"/>
                <w:szCs w:val="13"/>
              </w:rPr>
            </w:pPr>
            <w:r w:rsidRPr="001F224B">
              <w:rPr>
                <w:b/>
                <w:bCs/>
                <w:sz w:val="13"/>
                <w:szCs w:val="13"/>
              </w:rPr>
              <w:t>103.486.062</w:t>
            </w:r>
          </w:p>
        </w:tc>
      </w:tr>
      <w:tr w:rsidR="00DC2481" w:rsidRPr="001F224B" w14:paraId="6DC1F4DC"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151573F0" w14:textId="77777777" w:rsidR="00DC2481" w:rsidRPr="001F224B" w:rsidRDefault="00DC2481" w:rsidP="00DC2481">
            <w:pPr>
              <w:rPr>
                <w:rFonts w:eastAsia="Arial Unicode MS"/>
                <w:b/>
                <w:sz w:val="13"/>
                <w:szCs w:val="13"/>
              </w:rPr>
            </w:pPr>
            <w:r w:rsidRPr="001F224B">
              <w:rPr>
                <w:b/>
                <w:bCs/>
                <w:sz w:val="13"/>
                <w:szCs w:val="13"/>
              </w:rPr>
              <w:t>2.1</w:t>
            </w:r>
          </w:p>
        </w:tc>
        <w:tc>
          <w:tcPr>
            <w:tcW w:w="4819" w:type="dxa"/>
            <w:tcBorders>
              <w:top w:val="nil"/>
              <w:left w:val="nil"/>
              <w:bottom w:val="nil"/>
              <w:right w:val="nil"/>
            </w:tcBorders>
            <w:noWrap/>
            <w:tcMar>
              <w:top w:w="18" w:type="dxa"/>
              <w:left w:w="18" w:type="dxa"/>
              <w:bottom w:w="0" w:type="dxa"/>
              <w:right w:w="18" w:type="dxa"/>
            </w:tcMar>
            <w:vAlign w:val="bottom"/>
          </w:tcPr>
          <w:p w14:paraId="730D6B84" w14:textId="77777777" w:rsidR="00DC2481" w:rsidRPr="001F224B" w:rsidRDefault="00DC2481" w:rsidP="00DC2481">
            <w:pPr>
              <w:rPr>
                <w:rFonts w:eastAsia="Arial Unicode MS"/>
                <w:b/>
                <w:sz w:val="13"/>
                <w:szCs w:val="13"/>
              </w:rPr>
            </w:pPr>
            <w:r w:rsidRPr="001F224B">
              <w:rPr>
                <w:b/>
                <w:bCs/>
                <w:sz w:val="13"/>
                <w:szCs w:val="13"/>
              </w:rPr>
              <w:t xml:space="preserve">Krediler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E2A308"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5956250" w14:textId="0CF63BC2" w:rsidR="00DC2481" w:rsidRPr="001F224B" w:rsidRDefault="00DC2481" w:rsidP="00DC2481">
            <w:pPr>
              <w:jc w:val="right"/>
              <w:rPr>
                <w:b/>
                <w:bCs/>
                <w:sz w:val="13"/>
                <w:szCs w:val="13"/>
              </w:rPr>
            </w:pPr>
            <w:r w:rsidRPr="001F224B">
              <w:rPr>
                <w:b/>
                <w:bCs/>
                <w:sz w:val="13"/>
                <w:szCs w:val="13"/>
              </w:rPr>
              <w:t>23.224.307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E9934C" w14:textId="2773F257" w:rsidR="00DC2481" w:rsidRPr="001F224B" w:rsidRDefault="00DC2481" w:rsidP="00DC2481">
            <w:pPr>
              <w:jc w:val="right"/>
              <w:rPr>
                <w:b/>
                <w:bCs/>
                <w:sz w:val="13"/>
                <w:szCs w:val="13"/>
              </w:rPr>
            </w:pPr>
            <w:r w:rsidRPr="001F224B">
              <w:rPr>
                <w:b/>
                <w:bCs/>
                <w:sz w:val="13"/>
                <w:szCs w:val="13"/>
              </w:rPr>
              <w:t>86.122.909</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C4843A" w14:textId="6CCAC182" w:rsidR="00DC2481" w:rsidRPr="001F224B" w:rsidRDefault="00DC2481" w:rsidP="00DC2481">
            <w:pPr>
              <w:jc w:val="right"/>
              <w:rPr>
                <w:b/>
                <w:bCs/>
                <w:sz w:val="13"/>
                <w:szCs w:val="13"/>
              </w:rPr>
            </w:pPr>
            <w:r w:rsidRPr="001F224B">
              <w:rPr>
                <w:b/>
                <w:bCs/>
                <w:sz w:val="13"/>
                <w:szCs w:val="13"/>
              </w:rPr>
              <w:t>109.347.216</w:t>
            </w:r>
          </w:p>
        </w:tc>
        <w:tc>
          <w:tcPr>
            <w:tcW w:w="753" w:type="dxa"/>
            <w:tcBorders>
              <w:top w:val="nil"/>
              <w:left w:val="nil"/>
              <w:bottom w:val="nil"/>
              <w:right w:val="single" w:sz="4" w:space="0" w:color="auto"/>
            </w:tcBorders>
            <w:shd w:val="clear" w:color="auto" w:fill="auto"/>
          </w:tcPr>
          <w:p w14:paraId="7B11990E" w14:textId="26E729BA" w:rsidR="00DC2481" w:rsidRPr="001F224B" w:rsidRDefault="00DC2481" w:rsidP="00DC2481">
            <w:pPr>
              <w:jc w:val="right"/>
              <w:rPr>
                <w:b/>
                <w:bCs/>
                <w:sz w:val="13"/>
                <w:szCs w:val="13"/>
              </w:rPr>
            </w:pPr>
            <w:r w:rsidRPr="001F224B">
              <w:rPr>
                <w:b/>
                <w:bCs/>
                <w:sz w:val="13"/>
                <w:szCs w:val="13"/>
              </w:rPr>
              <w:t>22.773.031</w:t>
            </w:r>
          </w:p>
        </w:tc>
        <w:tc>
          <w:tcPr>
            <w:tcW w:w="756" w:type="dxa"/>
            <w:tcBorders>
              <w:top w:val="nil"/>
              <w:left w:val="single" w:sz="4" w:space="0" w:color="auto"/>
              <w:bottom w:val="nil"/>
              <w:right w:val="nil"/>
            </w:tcBorders>
            <w:shd w:val="clear" w:color="auto" w:fill="auto"/>
          </w:tcPr>
          <w:p w14:paraId="6D29B52E" w14:textId="4B8D2895" w:rsidR="00DC2481" w:rsidRPr="001F224B" w:rsidRDefault="00DC2481" w:rsidP="00DC2481">
            <w:pPr>
              <w:jc w:val="right"/>
              <w:rPr>
                <w:b/>
                <w:bCs/>
                <w:sz w:val="13"/>
                <w:szCs w:val="13"/>
              </w:rPr>
            </w:pPr>
            <w:r w:rsidRPr="001F224B">
              <w:rPr>
                <w:b/>
                <w:bCs/>
                <w:sz w:val="13"/>
                <w:szCs w:val="13"/>
              </w:rPr>
              <w:t>72.039.804</w:t>
            </w:r>
          </w:p>
        </w:tc>
        <w:tc>
          <w:tcPr>
            <w:tcW w:w="759" w:type="dxa"/>
            <w:tcBorders>
              <w:top w:val="nil"/>
              <w:left w:val="single" w:sz="4" w:space="0" w:color="auto"/>
              <w:bottom w:val="nil"/>
              <w:right w:val="single" w:sz="4" w:space="0" w:color="auto"/>
            </w:tcBorders>
            <w:shd w:val="clear" w:color="auto" w:fill="auto"/>
          </w:tcPr>
          <w:p w14:paraId="741892BB" w14:textId="0EF588ED" w:rsidR="00DC2481" w:rsidRPr="001F224B" w:rsidRDefault="00DC2481" w:rsidP="00DC2481">
            <w:pPr>
              <w:jc w:val="right"/>
              <w:rPr>
                <w:b/>
                <w:bCs/>
                <w:sz w:val="13"/>
                <w:szCs w:val="13"/>
              </w:rPr>
            </w:pPr>
            <w:r w:rsidRPr="001F224B">
              <w:rPr>
                <w:b/>
                <w:bCs/>
                <w:sz w:val="13"/>
                <w:szCs w:val="13"/>
              </w:rPr>
              <w:t>94.812.835</w:t>
            </w:r>
          </w:p>
        </w:tc>
      </w:tr>
      <w:tr w:rsidR="00DC2481" w:rsidRPr="001F224B" w14:paraId="32DD562D" w14:textId="77777777" w:rsidTr="008754FB">
        <w:tc>
          <w:tcPr>
            <w:tcW w:w="426" w:type="dxa"/>
            <w:tcBorders>
              <w:top w:val="nil"/>
              <w:left w:val="single" w:sz="4" w:space="0" w:color="auto"/>
              <w:bottom w:val="nil"/>
              <w:right w:val="nil"/>
            </w:tcBorders>
            <w:noWrap/>
            <w:tcMar>
              <w:top w:w="18" w:type="dxa"/>
              <w:left w:w="18" w:type="dxa"/>
              <w:bottom w:w="0" w:type="dxa"/>
              <w:right w:w="18" w:type="dxa"/>
            </w:tcMar>
          </w:tcPr>
          <w:p w14:paraId="44DB8F89" w14:textId="77777777" w:rsidR="00DC2481" w:rsidRPr="001F224B" w:rsidRDefault="00DC2481" w:rsidP="00DC2481">
            <w:pPr>
              <w:rPr>
                <w:rFonts w:eastAsia="Arial Unicode MS"/>
                <w:sz w:val="13"/>
                <w:szCs w:val="13"/>
              </w:rPr>
            </w:pPr>
            <w:r w:rsidRPr="001F224B">
              <w:rPr>
                <w:b/>
                <w:bCs/>
                <w:sz w:val="13"/>
                <w:szCs w:val="13"/>
              </w:rPr>
              <w:t>2.2</w:t>
            </w:r>
          </w:p>
        </w:tc>
        <w:tc>
          <w:tcPr>
            <w:tcW w:w="4819" w:type="dxa"/>
            <w:tcBorders>
              <w:top w:val="nil"/>
              <w:left w:val="nil"/>
              <w:bottom w:val="nil"/>
              <w:right w:val="nil"/>
            </w:tcBorders>
            <w:noWrap/>
            <w:tcMar>
              <w:top w:w="18" w:type="dxa"/>
              <w:left w:w="18" w:type="dxa"/>
              <w:bottom w:w="0" w:type="dxa"/>
              <w:right w:w="18" w:type="dxa"/>
            </w:tcMar>
            <w:vAlign w:val="bottom"/>
          </w:tcPr>
          <w:p w14:paraId="361E5F19" w14:textId="77777777" w:rsidR="00DC2481" w:rsidRPr="001F224B" w:rsidRDefault="00DC2481" w:rsidP="00DC2481">
            <w:pPr>
              <w:rPr>
                <w:rFonts w:eastAsia="Arial Unicode MS"/>
                <w:b/>
                <w:sz w:val="13"/>
                <w:szCs w:val="13"/>
              </w:rPr>
            </w:pPr>
            <w:r w:rsidRPr="001F224B">
              <w:rPr>
                <w:b/>
                <w:bCs/>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633243D"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02100D" w14:textId="1D29D51E" w:rsidR="00DC2481" w:rsidRPr="001F224B" w:rsidRDefault="00DC2481" w:rsidP="00DC2481">
            <w:pPr>
              <w:jc w:val="right"/>
              <w:rPr>
                <w:sz w:val="13"/>
                <w:szCs w:val="13"/>
              </w:rPr>
            </w:pPr>
            <w:r w:rsidRPr="001F224B">
              <w:rPr>
                <w:b/>
                <w:bCs/>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2E9F08" w14:textId="30782034" w:rsidR="00DC2481" w:rsidRPr="001F224B" w:rsidRDefault="00DC2481" w:rsidP="00DC2481">
            <w:pPr>
              <w:jc w:val="right"/>
              <w:rPr>
                <w:sz w:val="13"/>
                <w:szCs w:val="13"/>
              </w:rPr>
            </w:pPr>
            <w:r w:rsidRPr="001F224B">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7EDB8" w14:textId="1F1CD52E" w:rsidR="00DC2481" w:rsidRPr="001F224B" w:rsidRDefault="00DC2481" w:rsidP="00DC2481">
            <w:pPr>
              <w:jc w:val="right"/>
              <w:rPr>
                <w:sz w:val="13"/>
                <w:szCs w:val="13"/>
              </w:rPr>
            </w:pPr>
            <w:r w:rsidRPr="001F224B">
              <w:rPr>
                <w:b/>
                <w:bCs/>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73877066" w14:textId="207F21E3" w:rsidR="00DC2481" w:rsidRPr="001F224B" w:rsidRDefault="00DC2481" w:rsidP="00DC2481">
            <w:pPr>
              <w:jc w:val="right"/>
              <w:rPr>
                <w:b/>
                <w:bCs/>
                <w:sz w:val="13"/>
                <w:szCs w:val="13"/>
              </w:rPr>
            </w:pPr>
            <w:r w:rsidRPr="001F224B">
              <w:rPr>
                <w:b/>
                <w:bCs/>
                <w:sz w:val="13"/>
                <w:szCs w:val="13"/>
              </w:rPr>
              <w:t>-</w:t>
            </w:r>
          </w:p>
        </w:tc>
        <w:tc>
          <w:tcPr>
            <w:tcW w:w="756" w:type="dxa"/>
            <w:tcBorders>
              <w:top w:val="nil"/>
              <w:left w:val="nil"/>
              <w:bottom w:val="nil"/>
              <w:right w:val="single" w:sz="4" w:space="0" w:color="auto"/>
            </w:tcBorders>
            <w:shd w:val="clear" w:color="auto" w:fill="auto"/>
            <w:vAlign w:val="bottom"/>
          </w:tcPr>
          <w:p w14:paraId="2DF000FA" w14:textId="6C35E88B" w:rsidR="00DC2481" w:rsidRPr="001F224B" w:rsidRDefault="00DC2481" w:rsidP="00DC2481">
            <w:pPr>
              <w:jc w:val="right"/>
              <w:rPr>
                <w:b/>
                <w:bCs/>
                <w:sz w:val="13"/>
                <w:szCs w:val="13"/>
              </w:rPr>
            </w:pPr>
            <w:r w:rsidRPr="001F224B">
              <w:rPr>
                <w:b/>
                <w:bCs/>
                <w:sz w:val="13"/>
                <w:szCs w:val="13"/>
              </w:rPr>
              <w:t>-</w:t>
            </w:r>
          </w:p>
        </w:tc>
        <w:tc>
          <w:tcPr>
            <w:tcW w:w="759" w:type="dxa"/>
            <w:tcBorders>
              <w:top w:val="nil"/>
              <w:left w:val="nil"/>
              <w:bottom w:val="nil"/>
              <w:right w:val="single" w:sz="4" w:space="0" w:color="auto"/>
            </w:tcBorders>
            <w:shd w:val="clear" w:color="auto" w:fill="auto"/>
            <w:vAlign w:val="bottom"/>
          </w:tcPr>
          <w:p w14:paraId="6B623D7A" w14:textId="53DE6F4B" w:rsidR="00DC2481" w:rsidRPr="001F224B" w:rsidRDefault="00DC2481" w:rsidP="00DC2481">
            <w:pPr>
              <w:jc w:val="right"/>
              <w:rPr>
                <w:b/>
                <w:bCs/>
                <w:sz w:val="13"/>
                <w:szCs w:val="13"/>
              </w:rPr>
            </w:pPr>
            <w:r w:rsidRPr="001F224B">
              <w:rPr>
                <w:b/>
                <w:bCs/>
                <w:sz w:val="13"/>
                <w:szCs w:val="13"/>
              </w:rPr>
              <w:t>-</w:t>
            </w:r>
          </w:p>
        </w:tc>
      </w:tr>
      <w:tr w:rsidR="00DC2481" w:rsidRPr="001F224B" w14:paraId="05B0823F" w14:textId="77777777" w:rsidTr="008754FB">
        <w:tc>
          <w:tcPr>
            <w:tcW w:w="426" w:type="dxa"/>
            <w:tcBorders>
              <w:top w:val="nil"/>
              <w:left w:val="single" w:sz="4" w:space="0" w:color="auto"/>
              <w:bottom w:val="nil"/>
              <w:right w:val="nil"/>
            </w:tcBorders>
            <w:noWrap/>
            <w:tcMar>
              <w:top w:w="18" w:type="dxa"/>
              <w:left w:w="18" w:type="dxa"/>
              <w:bottom w:w="0" w:type="dxa"/>
              <w:right w:w="18" w:type="dxa"/>
            </w:tcMar>
          </w:tcPr>
          <w:p w14:paraId="703FC2B4" w14:textId="77777777" w:rsidR="00DC2481" w:rsidRPr="001F224B" w:rsidRDefault="00DC2481" w:rsidP="00DC2481">
            <w:pPr>
              <w:rPr>
                <w:rFonts w:eastAsia="Arial Unicode MS"/>
                <w:sz w:val="13"/>
                <w:szCs w:val="13"/>
              </w:rPr>
            </w:pPr>
            <w:r w:rsidRPr="001F224B">
              <w:rPr>
                <w:b/>
                <w:bCs/>
                <w:sz w:val="13"/>
                <w:szCs w:val="13"/>
              </w:rPr>
              <w:t>2.3</w:t>
            </w:r>
          </w:p>
        </w:tc>
        <w:tc>
          <w:tcPr>
            <w:tcW w:w="4819" w:type="dxa"/>
            <w:tcBorders>
              <w:top w:val="nil"/>
              <w:left w:val="nil"/>
              <w:bottom w:val="nil"/>
              <w:right w:val="nil"/>
            </w:tcBorders>
            <w:noWrap/>
            <w:tcMar>
              <w:top w:w="18" w:type="dxa"/>
              <w:left w:w="18" w:type="dxa"/>
              <w:bottom w:w="0" w:type="dxa"/>
              <w:right w:w="18" w:type="dxa"/>
            </w:tcMar>
            <w:vAlign w:val="bottom"/>
          </w:tcPr>
          <w:p w14:paraId="591D62BC" w14:textId="77777777" w:rsidR="00DC2481" w:rsidRPr="001F224B" w:rsidRDefault="00DC2481" w:rsidP="00DC2481">
            <w:pPr>
              <w:rPr>
                <w:rFonts w:eastAsia="Arial Unicode MS"/>
                <w:b/>
                <w:sz w:val="13"/>
                <w:szCs w:val="13"/>
              </w:rPr>
            </w:pPr>
            <w:r w:rsidRPr="001F224B">
              <w:rPr>
                <w:b/>
                <w:bCs/>
                <w:sz w:val="13"/>
                <w:szCs w:val="13"/>
              </w:rPr>
              <w:t>Faktoring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619D23"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D6358F" w14:textId="7B4A7C3F" w:rsidR="00DC2481" w:rsidRPr="001F224B" w:rsidRDefault="00DC2481" w:rsidP="00DC2481">
            <w:pPr>
              <w:jc w:val="right"/>
              <w:rPr>
                <w:sz w:val="13"/>
                <w:szCs w:val="13"/>
              </w:rPr>
            </w:pPr>
            <w:r w:rsidRPr="001F224B">
              <w:rPr>
                <w:b/>
                <w:bCs/>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D193BA" w14:textId="12B79321" w:rsidR="00DC2481" w:rsidRPr="001F224B" w:rsidRDefault="00DC2481" w:rsidP="00DC2481">
            <w:pPr>
              <w:jc w:val="right"/>
              <w:rPr>
                <w:sz w:val="13"/>
                <w:szCs w:val="13"/>
              </w:rPr>
            </w:pPr>
            <w:r w:rsidRPr="001F224B">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1D2C2C" w14:textId="7444D332" w:rsidR="00DC2481" w:rsidRPr="001F224B" w:rsidRDefault="00DC2481" w:rsidP="00DC2481">
            <w:pPr>
              <w:jc w:val="right"/>
              <w:rPr>
                <w:sz w:val="13"/>
                <w:szCs w:val="13"/>
              </w:rPr>
            </w:pPr>
            <w:r w:rsidRPr="001F224B">
              <w:rPr>
                <w:b/>
                <w:bCs/>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3347984" w14:textId="6BD4FD01" w:rsidR="00DC2481" w:rsidRPr="001F224B" w:rsidRDefault="00DC2481" w:rsidP="00DC2481">
            <w:pPr>
              <w:jc w:val="right"/>
              <w:rPr>
                <w:sz w:val="13"/>
                <w:szCs w:val="13"/>
              </w:rPr>
            </w:pPr>
            <w:r w:rsidRPr="001F224B">
              <w:rPr>
                <w:b/>
                <w:bCs/>
                <w:sz w:val="13"/>
                <w:szCs w:val="13"/>
              </w:rPr>
              <w:t>-</w:t>
            </w:r>
          </w:p>
        </w:tc>
        <w:tc>
          <w:tcPr>
            <w:tcW w:w="756" w:type="dxa"/>
            <w:tcBorders>
              <w:top w:val="nil"/>
              <w:left w:val="nil"/>
              <w:bottom w:val="nil"/>
              <w:right w:val="single" w:sz="4" w:space="0" w:color="auto"/>
            </w:tcBorders>
            <w:shd w:val="clear" w:color="auto" w:fill="auto"/>
            <w:vAlign w:val="bottom"/>
          </w:tcPr>
          <w:p w14:paraId="5F267539" w14:textId="09F67473" w:rsidR="00DC2481" w:rsidRPr="001F224B" w:rsidRDefault="00DC2481" w:rsidP="00DC2481">
            <w:pPr>
              <w:jc w:val="right"/>
              <w:rPr>
                <w:sz w:val="13"/>
                <w:szCs w:val="13"/>
              </w:rPr>
            </w:pPr>
            <w:r w:rsidRPr="001F224B">
              <w:rPr>
                <w:b/>
                <w:bCs/>
                <w:sz w:val="13"/>
                <w:szCs w:val="13"/>
              </w:rPr>
              <w:t>-</w:t>
            </w:r>
          </w:p>
        </w:tc>
        <w:tc>
          <w:tcPr>
            <w:tcW w:w="759" w:type="dxa"/>
            <w:tcBorders>
              <w:top w:val="nil"/>
              <w:left w:val="nil"/>
              <w:bottom w:val="nil"/>
              <w:right w:val="single" w:sz="4" w:space="0" w:color="auto"/>
            </w:tcBorders>
            <w:shd w:val="clear" w:color="auto" w:fill="auto"/>
            <w:vAlign w:val="bottom"/>
          </w:tcPr>
          <w:p w14:paraId="616BF55B" w14:textId="39CEC830" w:rsidR="00DC2481" w:rsidRPr="001F224B" w:rsidRDefault="00DC2481" w:rsidP="00DC2481">
            <w:pPr>
              <w:jc w:val="right"/>
              <w:rPr>
                <w:sz w:val="13"/>
                <w:szCs w:val="13"/>
              </w:rPr>
            </w:pPr>
            <w:r w:rsidRPr="001F224B">
              <w:rPr>
                <w:b/>
                <w:bCs/>
                <w:sz w:val="13"/>
                <w:szCs w:val="13"/>
              </w:rPr>
              <w:t>-</w:t>
            </w:r>
          </w:p>
        </w:tc>
      </w:tr>
      <w:tr w:rsidR="00DC2481" w:rsidRPr="001F224B" w14:paraId="185CA6CF"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5F816AB9" w14:textId="77777777" w:rsidR="00DC2481" w:rsidRPr="001F224B" w:rsidRDefault="00DC2481" w:rsidP="00DC2481">
            <w:pPr>
              <w:rPr>
                <w:rFonts w:eastAsia="Arial Unicode MS"/>
                <w:sz w:val="13"/>
                <w:szCs w:val="13"/>
              </w:rPr>
            </w:pPr>
            <w:r w:rsidRPr="001F224B">
              <w:rPr>
                <w:b/>
                <w:bCs/>
                <w:sz w:val="13"/>
                <w:szCs w:val="13"/>
              </w:rPr>
              <w:t>2.4</w:t>
            </w:r>
          </w:p>
        </w:tc>
        <w:tc>
          <w:tcPr>
            <w:tcW w:w="4819" w:type="dxa"/>
            <w:tcBorders>
              <w:top w:val="nil"/>
              <w:left w:val="nil"/>
              <w:bottom w:val="nil"/>
              <w:right w:val="nil"/>
            </w:tcBorders>
            <w:noWrap/>
            <w:tcMar>
              <w:top w:w="18" w:type="dxa"/>
              <w:left w:w="18" w:type="dxa"/>
              <w:bottom w:w="0" w:type="dxa"/>
              <w:right w:w="18" w:type="dxa"/>
            </w:tcMar>
            <w:vAlign w:val="bottom"/>
          </w:tcPr>
          <w:p w14:paraId="02E8321F" w14:textId="77777777" w:rsidR="00DC2481" w:rsidRPr="001F224B" w:rsidRDefault="00DC2481" w:rsidP="00DC2481">
            <w:pPr>
              <w:rPr>
                <w:rFonts w:eastAsia="Arial Unicode MS"/>
                <w:sz w:val="13"/>
                <w:szCs w:val="13"/>
              </w:rPr>
            </w:pPr>
            <w:r w:rsidRPr="001F224B">
              <w:rPr>
                <w:b/>
                <w:bCs/>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D78CDB"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436CE1" w14:textId="583ED6AF" w:rsidR="00DC2481" w:rsidRPr="001F224B" w:rsidRDefault="00DC2481" w:rsidP="00DC2481">
            <w:pPr>
              <w:jc w:val="right"/>
              <w:rPr>
                <w:b/>
                <w:bCs/>
                <w:sz w:val="13"/>
                <w:szCs w:val="13"/>
              </w:rPr>
            </w:pPr>
            <w:r w:rsidRPr="001F224B">
              <w:rPr>
                <w:b/>
                <w:bCs/>
                <w:sz w:val="13"/>
                <w:szCs w:val="13"/>
              </w:rPr>
              <w:t>10.625.222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B4AA83" w14:textId="1EF5A458" w:rsidR="00DC2481" w:rsidRPr="001F224B" w:rsidRDefault="00DC2481" w:rsidP="00DC2481">
            <w:pPr>
              <w:jc w:val="right"/>
              <w:rPr>
                <w:b/>
                <w:bCs/>
                <w:sz w:val="13"/>
                <w:szCs w:val="13"/>
              </w:rPr>
            </w:pPr>
            <w:r w:rsidRPr="001F224B">
              <w:rPr>
                <w:b/>
                <w:bCs/>
                <w:sz w:val="13"/>
                <w:szCs w:val="13"/>
              </w:rPr>
              <w:t>243.377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FE34F6" w14:textId="505CDFC2" w:rsidR="00DC2481" w:rsidRPr="001F224B" w:rsidRDefault="00DC2481" w:rsidP="00DC2481">
            <w:pPr>
              <w:jc w:val="right"/>
              <w:rPr>
                <w:b/>
                <w:bCs/>
                <w:sz w:val="13"/>
                <w:szCs w:val="13"/>
              </w:rPr>
            </w:pPr>
            <w:r w:rsidRPr="001F224B">
              <w:rPr>
                <w:b/>
                <w:bCs/>
                <w:sz w:val="13"/>
                <w:szCs w:val="13"/>
              </w:rPr>
              <w:t>10.868.599</w:t>
            </w:r>
          </w:p>
        </w:tc>
        <w:tc>
          <w:tcPr>
            <w:tcW w:w="753" w:type="dxa"/>
            <w:tcBorders>
              <w:top w:val="nil"/>
              <w:left w:val="single" w:sz="4" w:space="0" w:color="auto"/>
              <w:bottom w:val="nil"/>
              <w:right w:val="single" w:sz="4" w:space="0" w:color="auto"/>
            </w:tcBorders>
            <w:shd w:val="clear" w:color="auto" w:fill="auto"/>
          </w:tcPr>
          <w:p w14:paraId="5142A53F" w14:textId="319F89F9" w:rsidR="00DC2481" w:rsidRPr="001F224B" w:rsidRDefault="00DC2481" w:rsidP="00DC2481">
            <w:pPr>
              <w:jc w:val="right"/>
              <w:rPr>
                <w:b/>
                <w:bCs/>
                <w:sz w:val="13"/>
                <w:szCs w:val="13"/>
              </w:rPr>
            </w:pPr>
            <w:r w:rsidRPr="001F224B">
              <w:rPr>
                <w:b/>
                <w:bCs/>
                <w:sz w:val="13"/>
                <w:szCs w:val="13"/>
              </w:rPr>
              <w:t>9.865.929</w:t>
            </w:r>
          </w:p>
        </w:tc>
        <w:tc>
          <w:tcPr>
            <w:tcW w:w="756" w:type="dxa"/>
            <w:tcBorders>
              <w:top w:val="nil"/>
              <w:left w:val="nil"/>
              <w:bottom w:val="nil"/>
              <w:right w:val="single" w:sz="4" w:space="0" w:color="auto"/>
            </w:tcBorders>
            <w:shd w:val="clear" w:color="auto" w:fill="auto"/>
          </w:tcPr>
          <w:p w14:paraId="04CA409A" w14:textId="61D000FB" w:rsidR="00DC2481" w:rsidRPr="001F224B" w:rsidRDefault="00DC2481" w:rsidP="00DC2481">
            <w:pPr>
              <w:jc w:val="right"/>
              <w:rPr>
                <w:b/>
                <w:bCs/>
                <w:sz w:val="13"/>
                <w:szCs w:val="13"/>
              </w:rPr>
            </w:pPr>
            <w:r w:rsidRPr="001F224B">
              <w:rPr>
                <w:b/>
                <w:bCs/>
                <w:sz w:val="13"/>
                <w:szCs w:val="13"/>
              </w:rPr>
              <w:t>536.446</w:t>
            </w:r>
          </w:p>
        </w:tc>
        <w:tc>
          <w:tcPr>
            <w:tcW w:w="759" w:type="dxa"/>
            <w:tcBorders>
              <w:top w:val="nil"/>
              <w:left w:val="nil"/>
              <w:bottom w:val="nil"/>
              <w:right w:val="single" w:sz="4" w:space="0" w:color="auto"/>
            </w:tcBorders>
            <w:shd w:val="clear" w:color="auto" w:fill="auto"/>
          </w:tcPr>
          <w:p w14:paraId="5E1CF7D6" w14:textId="5945715B" w:rsidR="00DC2481" w:rsidRPr="001F224B" w:rsidRDefault="00DC2481" w:rsidP="00DC2481">
            <w:pPr>
              <w:jc w:val="right"/>
              <w:rPr>
                <w:b/>
                <w:bCs/>
                <w:sz w:val="13"/>
                <w:szCs w:val="13"/>
              </w:rPr>
            </w:pPr>
            <w:r w:rsidRPr="001F224B">
              <w:rPr>
                <w:b/>
                <w:bCs/>
                <w:sz w:val="13"/>
                <w:szCs w:val="13"/>
              </w:rPr>
              <w:t>10.402.375</w:t>
            </w:r>
          </w:p>
        </w:tc>
      </w:tr>
      <w:tr w:rsidR="00DC2481" w:rsidRPr="001F224B" w14:paraId="3478CF35"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3578136A" w14:textId="77777777" w:rsidR="00DC2481" w:rsidRPr="001F224B" w:rsidRDefault="00DC2481" w:rsidP="00DC2481">
            <w:pPr>
              <w:rPr>
                <w:rFonts w:eastAsia="Arial Unicode MS"/>
                <w:b/>
                <w:sz w:val="13"/>
                <w:szCs w:val="13"/>
              </w:rPr>
            </w:pPr>
            <w:r w:rsidRPr="001F224B">
              <w:rPr>
                <w:sz w:val="13"/>
                <w:szCs w:val="13"/>
              </w:rPr>
              <w:t>2.4.1</w:t>
            </w:r>
          </w:p>
        </w:tc>
        <w:tc>
          <w:tcPr>
            <w:tcW w:w="4819" w:type="dxa"/>
            <w:tcBorders>
              <w:top w:val="nil"/>
              <w:left w:val="nil"/>
              <w:bottom w:val="nil"/>
              <w:right w:val="nil"/>
            </w:tcBorders>
            <w:noWrap/>
            <w:tcMar>
              <w:top w:w="18" w:type="dxa"/>
              <w:left w:w="18" w:type="dxa"/>
              <w:bottom w:w="0" w:type="dxa"/>
              <w:right w:w="18" w:type="dxa"/>
            </w:tcMar>
            <w:vAlign w:val="bottom"/>
          </w:tcPr>
          <w:p w14:paraId="5A8D9688" w14:textId="77777777" w:rsidR="00DC2481" w:rsidRPr="001F224B" w:rsidRDefault="00DC2481" w:rsidP="00DC2481">
            <w:pPr>
              <w:rPr>
                <w:rFonts w:eastAsia="Arial Unicode MS"/>
                <w:b/>
                <w:sz w:val="13"/>
                <w:szCs w:val="13"/>
              </w:rPr>
            </w:pPr>
            <w:r w:rsidRPr="001F224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D4D51F"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00C772" w14:textId="3D3A447A" w:rsidR="00DC2481" w:rsidRPr="001F224B" w:rsidRDefault="00DC2481" w:rsidP="00DC2481">
            <w:pPr>
              <w:jc w:val="right"/>
              <w:rPr>
                <w:sz w:val="13"/>
                <w:szCs w:val="13"/>
              </w:rPr>
            </w:pPr>
            <w:r w:rsidRPr="001F224B">
              <w:rPr>
                <w:sz w:val="13"/>
                <w:szCs w:val="13"/>
              </w:rPr>
              <w:t>10.202.336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F061AA" w14:textId="6744F5DC" w:rsidR="00DC2481" w:rsidRPr="001F224B" w:rsidRDefault="00DC2481" w:rsidP="00DC2481">
            <w:pPr>
              <w:jc w:val="right"/>
              <w:rPr>
                <w:sz w:val="13"/>
                <w:szCs w:val="13"/>
              </w:rPr>
            </w:pPr>
            <w:r w:rsidRPr="001F224B">
              <w:rPr>
                <w:sz w:val="13"/>
                <w:szCs w:val="13"/>
              </w:rPr>
              <w:t>243.377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DF9D57" w14:textId="11365060" w:rsidR="00DC2481" w:rsidRPr="001F224B" w:rsidRDefault="00DC2481" w:rsidP="00DC2481">
            <w:pPr>
              <w:jc w:val="right"/>
              <w:rPr>
                <w:sz w:val="13"/>
                <w:szCs w:val="13"/>
              </w:rPr>
            </w:pPr>
            <w:r w:rsidRPr="001F224B">
              <w:rPr>
                <w:sz w:val="13"/>
                <w:szCs w:val="13"/>
              </w:rPr>
              <w:t>10.445.713</w:t>
            </w:r>
          </w:p>
        </w:tc>
        <w:tc>
          <w:tcPr>
            <w:tcW w:w="753" w:type="dxa"/>
            <w:tcBorders>
              <w:top w:val="nil"/>
              <w:left w:val="single" w:sz="4" w:space="0" w:color="auto"/>
              <w:bottom w:val="nil"/>
              <w:right w:val="single" w:sz="4" w:space="0" w:color="auto"/>
            </w:tcBorders>
            <w:shd w:val="clear" w:color="auto" w:fill="auto"/>
          </w:tcPr>
          <w:p w14:paraId="79A3B944" w14:textId="0E1D633D" w:rsidR="00DC2481" w:rsidRPr="001F224B" w:rsidRDefault="00DC2481" w:rsidP="00DC2481">
            <w:pPr>
              <w:jc w:val="right"/>
              <w:rPr>
                <w:sz w:val="13"/>
                <w:szCs w:val="13"/>
              </w:rPr>
            </w:pPr>
            <w:r w:rsidRPr="001F224B">
              <w:rPr>
                <w:sz w:val="13"/>
                <w:szCs w:val="13"/>
              </w:rPr>
              <w:t>9.865.929</w:t>
            </w:r>
          </w:p>
        </w:tc>
        <w:tc>
          <w:tcPr>
            <w:tcW w:w="756" w:type="dxa"/>
            <w:tcBorders>
              <w:top w:val="nil"/>
              <w:left w:val="nil"/>
              <w:bottom w:val="nil"/>
              <w:right w:val="single" w:sz="4" w:space="0" w:color="auto"/>
            </w:tcBorders>
            <w:shd w:val="clear" w:color="auto" w:fill="auto"/>
          </w:tcPr>
          <w:p w14:paraId="19075B6B" w14:textId="53563E54" w:rsidR="00DC2481" w:rsidRPr="001F224B" w:rsidRDefault="00DC2481" w:rsidP="00DC2481">
            <w:pPr>
              <w:jc w:val="right"/>
              <w:rPr>
                <w:sz w:val="13"/>
                <w:szCs w:val="13"/>
              </w:rPr>
            </w:pPr>
            <w:r w:rsidRPr="001F224B">
              <w:rPr>
                <w:sz w:val="13"/>
                <w:szCs w:val="13"/>
              </w:rPr>
              <w:t>536.446</w:t>
            </w:r>
          </w:p>
        </w:tc>
        <w:tc>
          <w:tcPr>
            <w:tcW w:w="759" w:type="dxa"/>
            <w:tcBorders>
              <w:top w:val="nil"/>
              <w:left w:val="nil"/>
              <w:bottom w:val="nil"/>
              <w:right w:val="single" w:sz="4" w:space="0" w:color="auto"/>
            </w:tcBorders>
            <w:shd w:val="clear" w:color="auto" w:fill="auto"/>
          </w:tcPr>
          <w:p w14:paraId="4A4AD922" w14:textId="157ABDFC" w:rsidR="00DC2481" w:rsidRPr="001F224B" w:rsidRDefault="00DC2481" w:rsidP="00DC2481">
            <w:pPr>
              <w:jc w:val="right"/>
              <w:rPr>
                <w:sz w:val="13"/>
                <w:szCs w:val="13"/>
              </w:rPr>
            </w:pPr>
            <w:r w:rsidRPr="001F224B">
              <w:rPr>
                <w:sz w:val="13"/>
                <w:szCs w:val="13"/>
              </w:rPr>
              <w:t>10.402.375</w:t>
            </w:r>
          </w:p>
        </w:tc>
      </w:tr>
      <w:tr w:rsidR="00DC2481" w:rsidRPr="001F224B" w14:paraId="3C6F8BF6" w14:textId="77777777" w:rsidTr="0023338F">
        <w:tc>
          <w:tcPr>
            <w:tcW w:w="426" w:type="dxa"/>
            <w:tcBorders>
              <w:top w:val="nil"/>
              <w:left w:val="single" w:sz="4" w:space="0" w:color="auto"/>
              <w:bottom w:val="nil"/>
              <w:right w:val="nil"/>
            </w:tcBorders>
            <w:noWrap/>
            <w:tcMar>
              <w:top w:w="18" w:type="dxa"/>
              <w:left w:w="18" w:type="dxa"/>
              <w:bottom w:w="0" w:type="dxa"/>
              <w:right w:w="18" w:type="dxa"/>
            </w:tcMar>
          </w:tcPr>
          <w:p w14:paraId="19B206A3" w14:textId="77777777" w:rsidR="00DC2481" w:rsidRPr="001F224B" w:rsidRDefault="00DC2481" w:rsidP="00DC2481">
            <w:pPr>
              <w:rPr>
                <w:rFonts w:eastAsia="Arial Unicode MS"/>
                <w:sz w:val="13"/>
                <w:szCs w:val="13"/>
              </w:rPr>
            </w:pPr>
            <w:r w:rsidRPr="001F224B">
              <w:rPr>
                <w:sz w:val="13"/>
                <w:szCs w:val="13"/>
              </w:rPr>
              <w:t>2.4.2</w:t>
            </w:r>
          </w:p>
        </w:tc>
        <w:tc>
          <w:tcPr>
            <w:tcW w:w="4819" w:type="dxa"/>
            <w:tcBorders>
              <w:top w:val="nil"/>
              <w:left w:val="nil"/>
              <w:bottom w:val="nil"/>
              <w:right w:val="nil"/>
            </w:tcBorders>
            <w:noWrap/>
            <w:tcMar>
              <w:top w:w="18" w:type="dxa"/>
              <w:left w:w="18" w:type="dxa"/>
              <w:bottom w:w="0" w:type="dxa"/>
              <w:right w:w="18" w:type="dxa"/>
            </w:tcMar>
            <w:vAlign w:val="bottom"/>
          </w:tcPr>
          <w:p w14:paraId="5DB561A5" w14:textId="77777777" w:rsidR="00DC2481" w:rsidRPr="001F224B" w:rsidRDefault="00DC2481" w:rsidP="00DC2481">
            <w:pPr>
              <w:rPr>
                <w:rFonts w:eastAsia="Arial Unicode MS"/>
                <w:sz w:val="13"/>
                <w:szCs w:val="13"/>
              </w:rPr>
            </w:pPr>
            <w:r w:rsidRPr="001F224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6FED42"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EDA92F" w14:textId="4914B7E6" w:rsidR="00DC2481" w:rsidRPr="001F224B" w:rsidRDefault="00DC2481" w:rsidP="00DC2481">
            <w:pPr>
              <w:jc w:val="right"/>
              <w:rPr>
                <w:sz w:val="13"/>
                <w:szCs w:val="13"/>
              </w:rPr>
            </w:pPr>
            <w:r w:rsidRPr="001F224B">
              <w:rPr>
                <w:sz w:val="13"/>
                <w:szCs w:val="13"/>
              </w:rPr>
              <w:t>422.886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0505C" w14:textId="469E7239" w:rsidR="00DC2481" w:rsidRPr="001F224B" w:rsidRDefault="00DC2481" w:rsidP="00DC2481">
            <w:pPr>
              <w:jc w:val="right"/>
              <w:rPr>
                <w:sz w:val="13"/>
                <w:szCs w:val="13"/>
              </w:rPr>
            </w:pPr>
            <w:r w:rsidRPr="001F224B">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979CA1" w14:textId="04F941F2" w:rsidR="00DC2481" w:rsidRPr="001F224B" w:rsidRDefault="00DC2481" w:rsidP="00DC2481">
            <w:pPr>
              <w:jc w:val="right"/>
              <w:rPr>
                <w:sz w:val="13"/>
                <w:szCs w:val="13"/>
              </w:rPr>
            </w:pPr>
            <w:r w:rsidRPr="001F224B">
              <w:rPr>
                <w:sz w:val="13"/>
                <w:szCs w:val="13"/>
              </w:rPr>
              <w:t>422.886</w:t>
            </w:r>
          </w:p>
        </w:tc>
        <w:tc>
          <w:tcPr>
            <w:tcW w:w="753" w:type="dxa"/>
            <w:tcBorders>
              <w:top w:val="nil"/>
              <w:left w:val="single" w:sz="4" w:space="0" w:color="auto"/>
              <w:bottom w:val="nil"/>
              <w:right w:val="single" w:sz="4" w:space="0" w:color="auto"/>
            </w:tcBorders>
            <w:shd w:val="clear" w:color="auto" w:fill="auto"/>
            <w:vAlign w:val="bottom"/>
          </w:tcPr>
          <w:p w14:paraId="3E60CA12" w14:textId="79DFE1BC" w:rsidR="00DC2481" w:rsidRPr="001F224B" w:rsidRDefault="00DC2481" w:rsidP="00DC2481">
            <w:pPr>
              <w:jc w:val="right"/>
              <w:rPr>
                <w:sz w:val="13"/>
                <w:szCs w:val="13"/>
              </w:rPr>
            </w:pPr>
            <w:r w:rsidRPr="001F224B">
              <w:rPr>
                <w:b/>
                <w:bCs/>
                <w:sz w:val="13"/>
                <w:szCs w:val="13"/>
              </w:rPr>
              <w:t>-</w:t>
            </w:r>
          </w:p>
        </w:tc>
        <w:tc>
          <w:tcPr>
            <w:tcW w:w="756" w:type="dxa"/>
            <w:tcBorders>
              <w:top w:val="nil"/>
              <w:left w:val="nil"/>
              <w:bottom w:val="nil"/>
              <w:right w:val="single" w:sz="4" w:space="0" w:color="auto"/>
            </w:tcBorders>
            <w:shd w:val="clear" w:color="auto" w:fill="auto"/>
            <w:vAlign w:val="bottom"/>
          </w:tcPr>
          <w:p w14:paraId="2234D880" w14:textId="6C511E63" w:rsidR="00DC2481" w:rsidRPr="001F224B" w:rsidRDefault="00DC2481" w:rsidP="00DC2481">
            <w:pPr>
              <w:jc w:val="right"/>
              <w:rPr>
                <w:sz w:val="13"/>
                <w:szCs w:val="13"/>
              </w:rPr>
            </w:pPr>
            <w:r w:rsidRPr="001F224B">
              <w:rPr>
                <w:b/>
                <w:bCs/>
                <w:sz w:val="13"/>
                <w:szCs w:val="13"/>
              </w:rPr>
              <w:t>-</w:t>
            </w:r>
          </w:p>
        </w:tc>
        <w:tc>
          <w:tcPr>
            <w:tcW w:w="759" w:type="dxa"/>
            <w:tcBorders>
              <w:top w:val="nil"/>
              <w:left w:val="nil"/>
              <w:bottom w:val="nil"/>
              <w:right w:val="single" w:sz="4" w:space="0" w:color="auto"/>
            </w:tcBorders>
            <w:shd w:val="clear" w:color="auto" w:fill="auto"/>
            <w:vAlign w:val="bottom"/>
          </w:tcPr>
          <w:p w14:paraId="606276AC" w14:textId="666BB3B5" w:rsidR="00DC2481" w:rsidRPr="001F224B" w:rsidRDefault="00DC2481" w:rsidP="00DC2481">
            <w:pPr>
              <w:jc w:val="right"/>
              <w:rPr>
                <w:sz w:val="13"/>
                <w:szCs w:val="13"/>
              </w:rPr>
            </w:pPr>
            <w:r w:rsidRPr="001F224B">
              <w:rPr>
                <w:b/>
                <w:bCs/>
                <w:sz w:val="13"/>
                <w:szCs w:val="13"/>
              </w:rPr>
              <w:t>-</w:t>
            </w:r>
          </w:p>
        </w:tc>
      </w:tr>
      <w:tr w:rsidR="00DC2481" w:rsidRPr="001F224B" w14:paraId="66BFB7AA"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1E59304A" w14:textId="77777777" w:rsidR="00DC2481" w:rsidRPr="001F224B" w:rsidRDefault="00DC2481" w:rsidP="00DC2481">
            <w:pPr>
              <w:rPr>
                <w:rFonts w:eastAsia="Arial Unicode MS"/>
                <w:sz w:val="13"/>
                <w:szCs w:val="13"/>
              </w:rPr>
            </w:pPr>
            <w:r w:rsidRPr="001F224B">
              <w:rPr>
                <w:b/>
                <w:bCs/>
                <w:sz w:val="13"/>
                <w:szCs w:val="13"/>
              </w:rPr>
              <w:t xml:space="preserve">2.5 </w:t>
            </w:r>
          </w:p>
        </w:tc>
        <w:tc>
          <w:tcPr>
            <w:tcW w:w="4819" w:type="dxa"/>
            <w:tcBorders>
              <w:top w:val="nil"/>
              <w:left w:val="nil"/>
              <w:bottom w:val="nil"/>
              <w:right w:val="nil"/>
            </w:tcBorders>
            <w:noWrap/>
            <w:tcMar>
              <w:top w:w="18" w:type="dxa"/>
              <w:left w:w="18" w:type="dxa"/>
              <w:bottom w:w="0" w:type="dxa"/>
              <w:right w:w="18" w:type="dxa"/>
            </w:tcMar>
            <w:vAlign w:val="bottom"/>
          </w:tcPr>
          <w:p w14:paraId="5E9E4B24" w14:textId="77777777" w:rsidR="00DC2481" w:rsidRPr="001F224B" w:rsidRDefault="00DC2481" w:rsidP="00DC2481">
            <w:pPr>
              <w:rPr>
                <w:rFonts w:eastAsia="Arial Unicode MS"/>
                <w:b/>
                <w:sz w:val="13"/>
                <w:szCs w:val="13"/>
              </w:rPr>
            </w:pPr>
            <w:r w:rsidRPr="001F224B">
              <w:rPr>
                <w:b/>
                <w:bC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B5901F"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566F29E" w14:textId="0053F874" w:rsidR="00DC2481" w:rsidRPr="001F224B" w:rsidRDefault="00DC2481" w:rsidP="00DC2481">
            <w:pPr>
              <w:jc w:val="right"/>
              <w:rPr>
                <w:b/>
                <w:bCs/>
                <w:sz w:val="13"/>
                <w:szCs w:val="13"/>
              </w:rPr>
            </w:pPr>
            <w:r w:rsidRPr="001F224B">
              <w:rPr>
                <w:b/>
                <w:bCs/>
                <w:sz w:val="13"/>
                <w:szCs w:val="13"/>
              </w:rPr>
              <w:t>(1.590.422)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766CE5" w14:textId="19BAFDC0" w:rsidR="00DC2481" w:rsidRPr="001F224B" w:rsidRDefault="00DC2481" w:rsidP="00DC2481">
            <w:pPr>
              <w:jc w:val="right"/>
              <w:rPr>
                <w:b/>
                <w:bCs/>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3C4A55" w14:textId="36665EDB" w:rsidR="00DC2481" w:rsidRPr="001F224B" w:rsidRDefault="00DC2481" w:rsidP="00DC2481">
            <w:pPr>
              <w:jc w:val="right"/>
              <w:rPr>
                <w:b/>
                <w:bCs/>
                <w:sz w:val="13"/>
                <w:szCs w:val="13"/>
              </w:rPr>
            </w:pPr>
            <w:r w:rsidRPr="001F224B">
              <w:rPr>
                <w:b/>
                <w:bCs/>
                <w:sz w:val="13"/>
                <w:szCs w:val="13"/>
              </w:rPr>
              <w:t>(1.590.422)</w:t>
            </w:r>
          </w:p>
        </w:tc>
        <w:tc>
          <w:tcPr>
            <w:tcW w:w="753" w:type="dxa"/>
            <w:tcBorders>
              <w:top w:val="nil"/>
              <w:left w:val="single" w:sz="4" w:space="0" w:color="auto"/>
              <w:bottom w:val="nil"/>
              <w:right w:val="single" w:sz="4" w:space="0" w:color="auto"/>
            </w:tcBorders>
            <w:shd w:val="clear" w:color="auto" w:fill="auto"/>
          </w:tcPr>
          <w:p w14:paraId="76FC811B" w14:textId="677FDD66" w:rsidR="00DC2481" w:rsidRPr="001F224B" w:rsidRDefault="00DC2481" w:rsidP="00DC2481">
            <w:pPr>
              <w:jc w:val="right"/>
              <w:rPr>
                <w:b/>
                <w:bCs/>
                <w:sz w:val="13"/>
                <w:szCs w:val="13"/>
              </w:rPr>
            </w:pPr>
            <w:r w:rsidRPr="001F224B">
              <w:rPr>
                <w:b/>
                <w:bCs/>
                <w:sz w:val="13"/>
                <w:szCs w:val="13"/>
              </w:rPr>
              <w:t>(1.729.148)</w:t>
            </w:r>
          </w:p>
        </w:tc>
        <w:tc>
          <w:tcPr>
            <w:tcW w:w="756" w:type="dxa"/>
            <w:tcBorders>
              <w:top w:val="nil"/>
              <w:left w:val="nil"/>
              <w:bottom w:val="nil"/>
              <w:right w:val="single" w:sz="4" w:space="0" w:color="auto"/>
            </w:tcBorders>
            <w:shd w:val="clear" w:color="auto" w:fill="auto"/>
          </w:tcPr>
          <w:p w14:paraId="4FF1EE1B" w14:textId="314E1BD8" w:rsidR="00DC2481" w:rsidRPr="001F224B" w:rsidRDefault="00DC2481" w:rsidP="00DC2481">
            <w:pPr>
              <w:jc w:val="right"/>
              <w:rPr>
                <w:color w:val="000000"/>
                <w:sz w:val="13"/>
                <w:szCs w:val="13"/>
              </w:rPr>
            </w:pPr>
            <w:r w:rsidRPr="001F224B">
              <w:rPr>
                <w:b/>
                <w:bCs/>
                <w:color w:val="000000"/>
                <w:sz w:val="13"/>
                <w:szCs w:val="13"/>
              </w:rPr>
              <w:t>-</w:t>
            </w:r>
          </w:p>
        </w:tc>
        <w:tc>
          <w:tcPr>
            <w:tcW w:w="759" w:type="dxa"/>
            <w:tcBorders>
              <w:top w:val="nil"/>
              <w:left w:val="nil"/>
              <w:bottom w:val="nil"/>
              <w:right w:val="single" w:sz="4" w:space="0" w:color="auto"/>
            </w:tcBorders>
            <w:shd w:val="clear" w:color="auto" w:fill="auto"/>
          </w:tcPr>
          <w:p w14:paraId="0F48610C" w14:textId="32AE5AB0" w:rsidR="00DC2481" w:rsidRPr="001F224B" w:rsidRDefault="00DC2481" w:rsidP="00DC2481">
            <w:pPr>
              <w:jc w:val="right"/>
              <w:rPr>
                <w:b/>
                <w:bCs/>
                <w:sz w:val="13"/>
                <w:szCs w:val="13"/>
              </w:rPr>
            </w:pPr>
            <w:r w:rsidRPr="001F224B">
              <w:rPr>
                <w:b/>
                <w:bCs/>
                <w:sz w:val="13"/>
                <w:szCs w:val="13"/>
              </w:rPr>
              <w:t>(1.729.148)</w:t>
            </w:r>
          </w:p>
        </w:tc>
      </w:tr>
      <w:tr w:rsidR="00DC2481" w:rsidRPr="001F224B" w14:paraId="12BFFA77" w14:textId="77777777" w:rsidTr="00787292">
        <w:tc>
          <w:tcPr>
            <w:tcW w:w="426" w:type="dxa"/>
            <w:tcBorders>
              <w:top w:val="nil"/>
              <w:left w:val="single" w:sz="4" w:space="0" w:color="auto"/>
              <w:bottom w:val="nil"/>
              <w:right w:val="nil"/>
            </w:tcBorders>
            <w:noWrap/>
            <w:tcMar>
              <w:top w:w="18" w:type="dxa"/>
              <w:left w:w="18" w:type="dxa"/>
              <w:bottom w:w="0" w:type="dxa"/>
              <w:right w:w="18" w:type="dxa"/>
            </w:tcMar>
          </w:tcPr>
          <w:p w14:paraId="63F5D856" w14:textId="77777777" w:rsidR="00DC2481" w:rsidRPr="001F224B" w:rsidRDefault="00DC2481" w:rsidP="00DC2481">
            <w:pPr>
              <w:rPr>
                <w:rFonts w:eastAsia="Arial Unicode MS"/>
                <w:b/>
                <w:sz w:val="13"/>
                <w:szCs w:val="13"/>
              </w:rPr>
            </w:pPr>
            <w:r w:rsidRPr="001F224B">
              <w:rP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69794470" w14:textId="77777777" w:rsidR="00DC2481" w:rsidRPr="001F224B" w:rsidRDefault="00DC2481" w:rsidP="00DC2481">
            <w:pPr>
              <w:rPr>
                <w:rFonts w:eastAsia="Arial Unicode MS"/>
                <w:b/>
                <w:sz w:val="13"/>
                <w:szCs w:val="13"/>
              </w:rPr>
            </w:pPr>
            <w:r w:rsidRPr="001F224B">
              <w:rPr>
                <w:b/>
                <w:bCs/>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C437DC9" w14:textId="77777777" w:rsidR="00DC2481" w:rsidRPr="001F224B" w:rsidRDefault="00DC2481" w:rsidP="00DC2481">
            <w:pPr>
              <w:jc w:val="center"/>
              <w:rPr>
                <w:rFonts w:eastAsia="Arial Unicode MS"/>
                <w:b/>
                <w:sz w:val="13"/>
                <w:szCs w:val="13"/>
              </w:rPr>
            </w:pPr>
            <w:r w:rsidRPr="001F224B">
              <w:rPr>
                <w:b/>
                <w:bCs/>
                <w:sz w:val="13"/>
                <w:szCs w:val="13"/>
              </w:rPr>
              <w:t>(3)</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3D86F2" w14:textId="4A8B762D" w:rsidR="00DC2481" w:rsidRPr="001F224B" w:rsidRDefault="00DC2481" w:rsidP="00DC2481">
            <w:pPr>
              <w:jc w:val="right"/>
              <w:rPr>
                <w:sz w:val="13"/>
                <w:szCs w:val="13"/>
              </w:rPr>
            </w:pPr>
            <w:r w:rsidRPr="001F224B">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6EE6B9" w14:textId="61180457" w:rsidR="00DC2481" w:rsidRPr="001F224B" w:rsidRDefault="00DC2481" w:rsidP="00DC2481">
            <w:pPr>
              <w:jc w:val="right"/>
              <w:rPr>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964E4D" w14:textId="41E63578" w:rsidR="00DC2481" w:rsidRPr="001F224B" w:rsidRDefault="00DC2481" w:rsidP="00DC2481">
            <w:pPr>
              <w:jc w:val="right"/>
              <w:rPr>
                <w:sz w:val="13"/>
                <w:szCs w:val="13"/>
              </w:rPr>
            </w:pPr>
            <w:r w:rsidRPr="001F224B">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4546CCFE" w14:textId="722BDA80" w:rsidR="00DC2481" w:rsidRPr="001F224B" w:rsidRDefault="00DC2481" w:rsidP="00DC2481">
            <w:pPr>
              <w:jc w:val="right"/>
              <w:rPr>
                <w:b/>
                <w:bCs/>
                <w:sz w:val="13"/>
                <w:szCs w:val="13"/>
              </w:rPr>
            </w:pPr>
            <w:r w:rsidRPr="001F224B">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48331134" w14:textId="646649A8" w:rsidR="00DC2481" w:rsidRPr="001F224B" w:rsidRDefault="00DC2481" w:rsidP="00DC2481">
            <w:pPr>
              <w:jc w:val="right"/>
              <w:rPr>
                <w:b/>
                <w:bCs/>
                <w:color w:val="000000"/>
                <w:sz w:val="13"/>
                <w:szCs w:val="13"/>
              </w:rPr>
            </w:pPr>
            <w:r w:rsidRPr="001F224B">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6A27C511" w14:textId="6F163927" w:rsidR="00DC2481" w:rsidRPr="001F224B" w:rsidRDefault="00DC2481" w:rsidP="00DC2481">
            <w:pPr>
              <w:jc w:val="right"/>
              <w:rPr>
                <w:b/>
                <w:bCs/>
                <w:sz w:val="13"/>
                <w:szCs w:val="13"/>
              </w:rPr>
            </w:pPr>
            <w:r w:rsidRPr="001F224B">
              <w:rPr>
                <w:b/>
                <w:bCs/>
                <w:color w:val="000000"/>
                <w:sz w:val="13"/>
                <w:szCs w:val="13"/>
              </w:rPr>
              <w:t>-</w:t>
            </w:r>
          </w:p>
        </w:tc>
      </w:tr>
      <w:tr w:rsidR="00DC2481" w:rsidRPr="001F224B" w14:paraId="4C9BE638" w14:textId="77777777" w:rsidTr="00787292">
        <w:tc>
          <w:tcPr>
            <w:tcW w:w="426" w:type="dxa"/>
            <w:tcBorders>
              <w:top w:val="nil"/>
              <w:left w:val="single" w:sz="4" w:space="0" w:color="auto"/>
              <w:bottom w:val="nil"/>
              <w:right w:val="nil"/>
            </w:tcBorders>
            <w:noWrap/>
            <w:tcMar>
              <w:top w:w="18" w:type="dxa"/>
              <w:left w:w="18" w:type="dxa"/>
              <w:bottom w:w="0" w:type="dxa"/>
              <w:right w:w="18" w:type="dxa"/>
            </w:tcMar>
          </w:tcPr>
          <w:p w14:paraId="69F8602C" w14:textId="77777777" w:rsidR="00DC2481" w:rsidRPr="001F224B" w:rsidRDefault="00DC2481" w:rsidP="00DC2481">
            <w:pPr>
              <w:rPr>
                <w:rFonts w:eastAsia="Arial Unicode MS"/>
                <w:b/>
                <w:sz w:val="13"/>
                <w:szCs w:val="13"/>
              </w:rPr>
            </w:pPr>
            <w:r w:rsidRPr="001F224B">
              <w:rPr>
                <w:sz w:val="13"/>
                <w:szCs w:val="13"/>
              </w:rPr>
              <w:t>3.1</w:t>
            </w:r>
          </w:p>
        </w:tc>
        <w:tc>
          <w:tcPr>
            <w:tcW w:w="4819" w:type="dxa"/>
            <w:tcBorders>
              <w:top w:val="nil"/>
              <w:left w:val="nil"/>
              <w:bottom w:val="nil"/>
              <w:right w:val="nil"/>
            </w:tcBorders>
            <w:noWrap/>
            <w:tcMar>
              <w:top w:w="18" w:type="dxa"/>
              <w:left w:w="18" w:type="dxa"/>
              <w:bottom w:w="0" w:type="dxa"/>
              <w:right w:w="18" w:type="dxa"/>
            </w:tcMar>
            <w:vAlign w:val="bottom"/>
          </w:tcPr>
          <w:p w14:paraId="788E79FB" w14:textId="77777777" w:rsidR="00DC2481" w:rsidRPr="001F224B" w:rsidRDefault="00DC2481" w:rsidP="00DC2481">
            <w:pPr>
              <w:rPr>
                <w:rFonts w:eastAsia="Arial Unicode MS"/>
                <w:b/>
                <w:sz w:val="13"/>
                <w:szCs w:val="13"/>
              </w:rPr>
            </w:pPr>
            <w:r w:rsidRPr="001F224B">
              <w:rPr>
                <w:sz w:val="13"/>
                <w:szCs w:val="13"/>
              </w:rPr>
              <w:t xml:space="preserve">Satış Amaçlı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A9802"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D64817" w14:textId="4667F6A7"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985926" w14:textId="288C1C78"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A0C285" w14:textId="3340D523"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4A535F9A" w14:textId="608ED518" w:rsidR="00DC2481" w:rsidRPr="001F224B" w:rsidRDefault="00DC2481" w:rsidP="00DC2481">
            <w:pPr>
              <w:jc w:val="right"/>
              <w:rPr>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7B877760" w14:textId="1022FE7A"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16FB9550" w14:textId="12F2D22C" w:rsidR="00DC2481" w:rsidRPr="001F224B" w:rsidRDefault="00DC2481" w:rsidP="00DC2481">
            <w:pPr>
              <w:jc w:val="right"/>
              <w:rPr>
                <w:sz w:val="13"/>
                <w:szCs w:val="13"/>
              </w:rPr>
            </w:pPr>
            <w:r w:rsidRPr="001F224B">
              <w:rPr>
                <w:color w:val="000000"/>
                <w:sz w:val="13"/>
                <w:szCs w:val="13"/>
              </w:rPr>
              <w:t>-</w:t>
            </w:r>
          </w:p>
        </w:tc>
      </w:tr>
      <w:tr w:rsidR="00DC2481" w:rsidRPr="001F224B" w14:paraId="03BE3023" w14:textId="77777777" w:rsidTr="00787292">
        <w:tc>
          <w:tcPr>
            <w:tcW w:w="426" w:type="dxa"/>
            <w:tcBorders>
              <w:top w:val="nil"/>
              <w:left w:val="single" w:sz="4" w:space="0" w:color="auto"/>
              <w:bottom w:val="nil"/>
              <w:right w:val="nil"/>
            </w:tcBorders>
            <w:noWrap/>
            <w:tcMar>
              <w:top w:w="18" w:type="dxa"/>
              <w:left w:w="18" w:type="dxa"/>
              <w:bottom w:w="0" w:type="dxa"/>
              <w:right w:w="18" w:type="dxa"/>
            </w:tcMar>
          </w:tcPr>
          <w:p w14:paraId="13DBC91D" w14:textId="77777777" w:rsidR="00DC2481" w:rsidRPr="001F224B" w:rsidRDefault="00DC2481" w:rsidP="00DC2481">
            <w:pPr>
              <w:rPr>
                <w:rFonts w:eastAsia="Arial Unicode MS"/>
                <w:sz w:val="13"/>
                <w:szCs w:val="13"/>
              </w:rPr>
            </w:pPr>
            <w:r w:rsidRPr="001F224B">
              <w:rPr>
                <w:sz w:val="13"/>
                <w:szCs w:val="13"/>
              </w:rPr>
              <w:t>3.2</w:t>
            </w:r>
          </w:p>
        </w:tc>
        <w:tc>
          <w:tcPr>
            <w:tcW w:w="4819" w:type="dxa"/>
            <w:tcBorders>
              <w:top w:val="nil"/>
              <w:left w:val="nil"/>
              <w:bottom w:val="nil"/>
              <w:right w:val="nil"/>
            </w:tcBorders>
            <w:noWrap/>
            <w:tcMar>
              <w:top w:w="18" w:type="dxa"/>
              <w:left w:w="18" w:type="dxa"/>
              <w:bottom w:w="0" w:type="dxa"/>
              <w:right w:w="18" w:type="dxa"/>
            </w:tcMar>
            <w:vAlign w:val="bottom"/>
          </w:tcPr>
          <w:p w14:paraId="71BF1E0C" w14:textId="77777777" w:rsidR="00DC2481" w:rsidRPr="001F224B" w:rsidRDefault="00DC2481" w:rsidP="00DC2481">
            <w:pPr>
              <w:rPr>
                <w:rFonts w:eastAsia="Arial Unicode MS"/>
                <w:sz w:val="13"/>
                <w:szCs w:val="13"/>
              </w:rPr>
            </w:pPr>
            <w:r w:rsidRPr="001F224B">
              <w:rPr>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F09B42"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811834" w14:textId="231FF448"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8A6BF1" w14:textId="29BD6FC3"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5BC95A" w14:textId="279CEEF9"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04486282" w14:textId="21164B80" w:rsidR="00DC2481" w:rsidRPr="001F224B" w:rsidRDefault="00DC2481" w:rsidP="00DC2481">
            <w:pPr>
              <w:jc w:val="right"/>
              <w:rPr>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67F7BC69" w14:textId="178B374B"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26040846" w14:textId="516EBB52" w:rsidR="00DC2481" w:rsidRPr="001F224B" w:rsidRDefault="00DC2481" w:rsidP="00DC2481">
            <w:pPr>
              <w:jc w:val="right"/>
              <w:rPr>
                <w:sz w:val="13"/>
                <w:szCs w:val="13"/>
              </w:rPr>
            </w:pPr>
            <w:r w:rsidRPr="001F224B">
              <w:rPr>
                <w:color w:val="000000"/>
                <w:sz w:val="13"/>
                <w:szCs w:val="13"/>
              </w:rPr>
              <w:t>-</w:t>
            </w:r>
          </w:p>
        </w:tc>
      </w:tr>
      <w:tr w:rsidR="00DC2481" w:rsidRPr="001F224B" w14:paraId="65B1B038" w14:textId="77777777" w:rsidTr="0023338F">
        <w:tc>
          <w:tcPr>
            <w:tcW w:w="426" w:type="dxa"/>
            <w:tcBorders>
              <w:top w:val="nil"/>
              <w:left w:val="single" w:sz="4" w:space="0" w:color="auto"/>
              <w:bottom w:val="nil"/>
              <w:right w:val="nil"/>
            </w:tcBorders>
            <w:noWrap/>
            <w:tcMar>
              <w:top w:w="18" w:type="dxa"/>
              <w:left w:w="18" w:type="dxa"/>
              <w:bottom w:w="0" w:type="dxa"/>
              <w:right w:w="18" w:type="dxa"/>
            </w:tcMar>
          </w:tcPr>
          <w:p w14:paraId="324965DD" w14:textId="77777777" w:rsidR="00DC2481" w:rsidRPr="001F224B" w:rsidRDefault="00DC2481" w:rsidP="00DC2481">
            <w:pPr>
              <w:rPr>
                <w:rFonts w:eastAsia="Arial Unicode MS"/>
                <w:sz w:val="13"/>
                <w:szCs w:val="13"/>
              </w:rPr>
            </w:pPr>
            <w:r w:rsidRPr="001F224B">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44D59D23" w14:textId="77777777" w:rsidR="00DC2481" w:rsidRPr="001F224B" w:rsidRDefault="00DC2481" w:rsidP="00DC2481">
            <w:pPr>
              <w:rPr>
                <w:rFonts w:eastAsia="Arial Unicode MS"/>
                <w:b/>
                <w:sz w:val="13"/>
                <w:szCs w:val="13"/>
              </w:rPr>
            </w:pPr>
            <w:r w:rsidRPr="001F224B">
              <w:rPr>
                <w:b/>
                <w:bCs/>
                <w:sz w:val="13"/>
                <w:szCs w:val="13"/>
              </w:rPr>
              <w:t>ORTAKLIK YATIRIMLARI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FA16FD" w14:textId="77777777" w:rsidR="00DC2481" w:rsidRPr="001F224B" w:rsidRDefault="00DC2481" w:rsidP="00DC2481">
            <w:pPr>
              <w:jc w:val="center"/>
              <w:rPr>
                <w:rFonts w:eastAsia="Arial Unicode MS"/>
                <w:b/>
                <w:sz w:val="13"/>
                <w:szCs w:val="13"/>
              </w:rPr>
            </w:pPr>
            <w:r w:rsidRPr="001F224B">
              <w:rPr>
                <w:b/>
                <w:bCs/>
                <w:sz w:val="13"/>
                <w:szCs w:val="13"/>
              </w:rPr>
              <w:t>(4)</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50C87F" w14:textId="6E852F8D" w:rsidR="00DC2481" w:rsidRPr="001F224B" w:rsidRDefault="00DC2481" w:rsidP="00DC2481">
            <w:pPr>
              <w:jc w:val="right"/>
              <w:rPr>
                <w:b/>
                <w:bCs/>
                <w:sz w:val="13"/>
                <w:szCs w:val="13"/>
              </w:rPr>
            </w:pPr>
            <w:r w:rsidRPr="001F224B">
              <w:rPr>
                <w:b/>
                <w:bCs/>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2868C8" w14:textId="4190ECA5" w:rsidR="00DC2481" w:rsidRPr="001F224B" w:rsidRDefault="00DC2481" w:rsidP="00DC2481">
            <w:pPr>
              <w:jc w:val="right"/>
              <w:rPr>
                <w:b/>
                <w:bCs/>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48A6C9" w14:textId="6244AFBD" w:rsidR="00DC2481" w:rsidRPr="001F224B" w:rsidRDefault="00DC2481" w:rsidP="00DC2481">
            <w:pPr>
              <w:jc w:val="right"/>
              <w:rPr>
                <w:b/>
                <w:bCs/>
                <w:sz w:val="13"/>
                <w:szCs w:val="13"/>
              </w:rPr>
            </w:pPr>
            <w:r w:rsidRPr="001F224B">
              <w:rPr>
                <w:b/>
                <w:bCs/>
                <w:sz w:val="13"/>
                <w:szCs w:val="13"/>
              </w:rPr>
              <w:t>10.586</w:t>
            </w:r>
          </w:p>
        </w:tc>
        <w:tc>
          <w:tcPr>
            <w:tcW w:w="753" w:type="dxa"/>
            <w:tcBorders>
              <w:top w:val="nil"/>
              <w:left w:val="nil"/>
              <w:bottom w:val="nil"/>
              <w:right w:val="single" w:sz="4" w:space="0" w:color="auto"/>
            </w:tcBorders>
            <w:shd w:val="clear" w:color="auto" w:fill="auto"/>
          </w:tcPr>
          <w:p w14:paraId="53334D9A" w14:textId="654A2735" w:rsidR="00DC2481" w:rsidRPr="001F224B" w:rsidRDefault="00DC2481" w:rsidP="00DC2481">
            <w:pPr>
              <w:jc w:val="right"/>
              <w:rPr>
                <w:b/>
                <w:bCs/>
                <w:color w:val="000000"/>
                <w:sz w:val="13"/>
                <w:szCs w:val="13"/>
              </w:rPr>
            </w:pPr>
            <w:r w:rsidRPr="001F224B">
              <w:rPr>
                <w:b/>
                <w:bCs/>
                <w:sz w:val="13"/>
                <w:szCs w:val="13"/>
              </w:rPr>
              <w:t>10.586</w:t>
            </w:r>
          </w:p>
        </w:tc>
        <w:tc>
          <w:tcPr>
            <w:tcW w:w="756" w:type="dxa"/>
            <w:tcBorders>
              <w:top w:val="nil"/>
              <w:left w:val="single" w:sz="4" w:space="0" w:color="auto"/>
              <w:bottom w:val="nil"/>
              <w:right w:val="single" w:sz="4" w:space="0" w:color="auto"/>
            </w:tcBorders>
            <w:shd w:val="clear" w:color="auto" w:fill="auto"/>
            <w:vAlign w:val="bottom"/>
          </w:tcPr>
          <w:p w14:paraId="7234EBF4" w14:textId="6A222197"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right w:val="single" w:sz="4" w:space="0" w:color="auto"/>
            </w:tcBorders>
            <w:shd w:val="clear" w:color="auto" w:fill="auto"/>
          </w:tcPr>
          <w:p w14:paraId="734CD5C4" w14:textId="65B0C6E6" w:rsidR="00DC2481" w:rsidRPr="001F224B" w:rsidRDefault="00DC2481" w:rsidP="00DC2481">
            <w:pPr>
              <w:jc w:val="right"/>
              <w:rPr>
                <w:b/>
                <w:bCs/>
                <w:color w:val="000000"/>
                <w:sz w:val="13"/>
                <w:szCs w:val="13"/>
              </w:rPr>
            </w:pPr>
            <w:r w:rsidRPr="001F224B">
              <w:rPr>
                <w:b/>
                <w:bCs/>
                <w:sz w:val="13"/>
                <w:szCs w:val="13"/>
              </w:rPr>
              <w:t>10.586</w:t>
            </w:r>
          </w:p>
        </w:tc>
      </w:tr>
      <w:tr w:rsidR="00DC2481" w:rsidRPr="001F224B" w14:paraId="03AABAA5" w14:textId="77777777" w:rsidTr="0023338F">
        <w:trPr>
          <w:trHeight w:val="82"/>
        </w:trPr>
        <w:tc>
          <w:tcPr>
            <w:tcW w:w="426" w:type="dxa"/>
            <w:tcBorders>
              <w:top w:val="nil"/>
              <w:left w:val="single" w:sz="4" w:space="0" w:color="auto"/>
              <w:bottom w:val="nil"/>
              <w:right w:val="nil"/>
            </w:tcBorders>
            <w:noWrap/>
            <w:tcMar>
              <w:top w:w="18" w:type="dxa"/>
              <w:left w:w="18" w:type="dxa"/>
              <w:bottom w:w="0" w:type="dxa"/>
              <w:right w:w="18" w:type="dxa"/>
            </w:tcMar>
          </w:tcPr>
          <w:p w14:paraId="6CC24376" w14:textId="77777777" w:rsidR="00DC2481" w:rsidRPr="001F224B" w:rsidRDefault="00DC2481" w:rsidP="00DC2481">
            <w:pPr>
              <w:rPr>
                <w:rFonts w:eastAsia="Arial Unicode MS"/>
                <w:sz w:val="13"/>
                <w:szCs w:val="13"/>
              </w:rPr>
            </w:pPr>
            <w:r w:rsidRPr="001F224B">
              <w:rPr>
                <w:b/>
                <w:bCs/>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73A2EE04" w14:textId="77777777" w:rsidR="00DC2481" w:rsidRPr="001F224B" w:rsidRDefault="00DC2481" w:rsidP="00DC2481">
            <w:pPr>
              <w:rPr>
                <w:rFonts w:eastAsia="Arial Unicode MS"/>
                <w:b/>
                <w:sz w:val="13"/>
                <w:szCs w:val="13"/>
              </w:rPr>
            </w:pPr>
            <w:r w:rsidRPr="001F224B">
              <w:rPr>
                <w:b/>
                <w:bCs/>
                <w:sz w:val="13"/>
                <w:szCs w:val="13"/>
              </w:rPr>
              <w:t xml:space="preserve">İştirakler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C91FBE0"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7893EC" w14:textId="076F18A1" w:rsidR="00DC2481" w:rsidRPr="001F224B" w:rsidRDefault="00DC2481" w:rsidP="00DC2481">
            <w:pPr>
              <w:jc w:val="right"/>
              <w:rPr>
                <w:b/>
                <w:bCs/>
                <w:sz w:val="13"/>
                <w:szCs w:val="13"/>
              </w:rPr>
            </w:pPr>
            <w:r w:rsidRPr="001F224B">
              <w:rPr>
                <w:b/>
                <w:bCs/>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CF8C85" w14:textId="18779F88" w:rsidR="00DC2481" w:rsidRPr="001F224B" w:rsidRDefault="00DC2481" w:rsidP="00DC2481">
            <w:pPr>
              <w:jc w:val="right"/>
              <w:rPr>
                <w:b/>
                <w:bCs/>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4E7E3E" w14:textId="5D196554" w:rsidR="00DC2481" w:rsidRPr="001F224B" w:rsidRDefault="00DC2481" w:rsidP="00DC2481">
            <w:pPr>
              <w:jc w:val="right"/>
              <w:rPr>
                <w:b/>
                <w:bCs/>
                <w:sz w:val="13"/>
                <w:szCs w:val="13"/>
              </w:rPr>
            </w:pPr>
            <w:r w:rsidRPr="001F224B">
              <w:rPr>
                <w:b/>
                <w:bCs/>
                <w:sz w:val="13"/>
                <w:szCs w:val="13"/>
              </w:rPr>
              <w:t>10.586</w:t>
            </w:r>
          </w:p>
        </w:tc>
        <w:tc>
          <w:tcPr>
            <w:tcW w:w="753" w:type="dxa"/>
            <w:tcBorders>
              <w:top w:val="nil"/>
              <w:left w:val="nil"/>
              <w:bottom w:val="nil"/>
              <w:right w:val="single" w:sz="4" w:space="0" w:color="auto"/>
            </w:tcBorders>
            <w:shd w:val="clear" w:color="auto" w:fill="auto"/>
          </w:tcPr>
          <w:p w14:paraId="1E4DE5A5" w14:textId="15D5D129" w:rsidR="00DC2481" w:rsidRPr="001F224B" w:rsidRDefault="00DC2481" w:rsidP="00DC2481">
            <w:pPr>
              <w:jc w:val="right"/>
              <w:rPr>
                <w:b/>
                <w:bCs/>
                <w:color w:val="000000"/>
                <w:sz w:val="13"/>
                <w:szCs w:val="13"/>
              </w:rPr>
            </w:pPr>
            <w:r w:rsidRPr="001F224B">
              <w:rPr>
                <w:b/>
                <w:bCs/>
                <w:sz w:val="13"/>
                <w:szCs w:val="13"/>
              </w:rPr>
              <w:t>10.586</w:t>
            </w:r>
          </w:p>
        </w:tc>
        <w:tc>
          <w:tcPr>
            <w:tcW w:w="756" w:type="dxa"/>
            <w:tcBorders>
              <w:top w:val="nil"/>
              <w:left w:val="single" w:sz="4" w:space="0" w:color="auto"/>
              <w:bottom w:val="nil"/>
              <w:right w:val="single" w:sz="4" w:space="0" w:color="auto"/>
            </w:tcBorders>
            <w:shd w:val="clear" w:color="auto" w:fill="auto"/>
            <w:vAlign w:val="bottom"/>
          </w:tcPr>
          <w:p w14:paraId="2D6FAB9B" w14:textId="2B3A6A4F"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tcPr>
          <w:p w14:paraId="301729C8" w14:textId="3FE65D05" w:rsidR="00DC2481" w:rsidRPr="001F224B" w:rsidRDefault="00DC2481" w:rsidP="00DC2481">
            <w:pPr>
              <w:jc w:val="right"/>
              <w:rPr>
                <w:b/>
                <w:bCs/>
                <w:color w:val="000000"/>
                <w:sz w:val="13"/>
                <w:szCs w:val="13"/>
              </w:rPr>
            </w:pPr>
            <w:r w:rsidRPr="001F224B">
              <w:rPr>
                <w:b/>
                <w:bCs/>
                <w:sz w:val="13"/>
                <w:szCs w:val="13"/>
              </w:rPr>
              <w:t>10.586</w:t>
            </w:r>
          </w:p>
        </w:tc>
      </w:tr>
      <w:tr w:rsidR="00DC2481" w:rsidRPr="001F224B" w14:paraId="063D6F6E" w14:textId="77777777" w:rsidTr="008B6005">
        <w:tc>
          <w:tcPr>
            <w:tcW w:w="426" w:type="dxa"/>
            <w:tcBorders>
              <w:top w:val="nil"/>
              <w:left w:val="single" w:sz="4" w:space="0" w:color="auto"/>
              <w:bottom w:val="nil"/>
              <w:right w:val="nil"/>
            </w:tcBorders>
            <w:noWrap/>
            <w:tcMar>
              <w:top w:w="18" w:type="dxa"/>
              <w:left w:w="18" w:type="dxa"/>
              <w:bottom w:w="0" w:type="dxa"/>
              <w:right w:w="18" w:type="dxa"/>
            </w:tcMar>
          </w:tcPr>
          <w:p w14:paraId="47C70F60" w14:textId="77777777" w:rsidR="00DC2481" w:rsidRPr="001F224B" w:rsidRDefault="00DC2481" w:rsidP="00DC2481">
            <w:pPr>
              <w:rPr>
                <w:rFonts w:eastAsia="Arial Unicode MS"/>
                <w:b/>
                <w:sz w:val="13"/>
                <w:szCs w:val="13"/>
              </w:rPr>
            </w:pPr>
            <w:r w:rsidRPr="001F224B">
              <w:rPr>
                <w:sz w:val="13"/>
                <w:szCs w:val="13"/>
              </w:rPr>
              <w:t>4.1.1</w:t>
            </w:r>
          </w:p>
        </w:tc>
        <w:tc>
          <w:tcPr>
            <w:tcW w:w="4819" w:type="dxa"/>
            <w:tcBorders>
              <w:top w:val="nil"/>
              <w:left w:val="nil"/>
              <w:bottom w:val="nil"/>
              <w:right w:val="nil"/>
            </w:tcBorders>
            <w:noWrap/>
            <w:tcMar>
              <w:top w:w="18" w:type="dxa"/>
              <w:left w:w="18" w:type="dxa"/>
              <w:bottom w:w="0" w:type="dxa"/>
              <w:right w:w="18" w:type="dxa"/>
            </w:tcMar>
            <w:vAlign w:val="bottom"/>
          </w:tcPr>
          <w:p w14:paraId="3AA5C1FF" w14:textId="77777777" w:rsidR="00DC2481" w:rsidRPr="001F224B" w:rsidRDefault="00DC2481" w:rsidP="00DC2481">
            <w:pPr>
              <w:rPr>
                <w:rFonts w:eastAsia="Arial Unicode MS"/>
                <w:b/>
                <w:sz w:val="13"/>
                <w:szCs w:val="13"/>
              </w:rPr>
            </w:pPr>
            <w:r w:rsidRPr="001F224B">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0319A"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4B8BE0" w14:textId="3F2D09A4"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4213A5" w14:textId="15AE1283"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F8AA22" w14:textId="3CC679CB" w:rsidR="00DC2481" w:rsidRPr="001F224B" w:rsidRDefault="00DC2481" w:rsidP="00DC2481">
            <w:pPr>
              <w:jc w:val="right"/>
              <w:rPr>
                <w:sz w:val="13"/>
                <w:szCs w:val="13"/>
              </w:rPr>
            </w:pPr>
            <w:r w:rsidRPr="001F224B">
              <w:rPr>
                <w:color w:val="000000"/>
                <w:sz w:val="13"/>
                <w:szCs w:val="13"/>
              </w:rPr>
              <w:t>-</w:t>
            </w:r>
          </w:p>
        </w:tc>
        <w:tc>
          <w:tcPr>
            <w:tcW w:w="753" w:type="dxa"/>
            <w:tcBorders>
              <w:top w:val="nil"/>
              <w:left w:val="nil"/>
              <w:bottom w:val="nil"/>
              <w:right w:val="single" w:sz="4" w:space="0" w:color="auto"/>
            </w:tcBorders>
            <w:shd w:val="clear" w:color="auto" w:fill="auto"/>
            <w:vAlign w:val="bottom"/>
          </w:tcPr>
          <w:p w14:paraId="3CA3CAAB" w14:textId="12A2B7BF" w:rsidR="00DC2481" w:rsidRPr="001F224B" w:rsidRDefault="00DC2481" w:rsidP="00DC2481">
            <w:pPr>
              <w:jc w:val="right"/>
              <w:rPr>
                <w:sz w:val="13"/>
                <w:szCs w:val="13"/>
              </w:rPr>
            </w:pPr>
            <w:r w:rsidRPr="001F224B">
              <w:rPr>
                <w:color w:val="000000"/>
                <w:sz w:val="13"/>
                <w:szCs w:val="13"/>
              </w:rPr>
              <w:t>-</w:t>
            </w:r>
          </w:p>
        </w:tc>
        <w:tc>
          <w:tcPr>
            <w:tcW w:w="756" w:type="dxa"/>
            <w:tcBorders>
              <w:top w:val="nil"/>
              <w:left w:val="single" w:sz="4" w:space="0" w:color="auto"/>
              <w:bottom w:val="nil"/>
              <w:right w:val="single" w:sz="4" w:space="0" w:color="auto"/>
            </w:tcBorders>
            <w:shd w:val="clear" w:color="auto" w:fill="auto"/>
            <w:vAlign w:val="bottom"/>
          </w:tcPr>
          <w:p w14:paraId="72A2E6BF" w14:textId="65E63837"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6E7B2B6A" w14:textId="582AF0FD" w:rsidR="00DC2481" w:rsidRPr="001F224B" w:rsidRDefault="00DC2481" w:rsidP="00DC2481">
            <w:pPr>
              <w:jc w:val="right"/>
              <w:rPr>
                <w:sz w:val="13"/>
                <w:szCs w:val="13"/>
              </w:rPr>
            </w:pPr>
            <w:r w:rsidRPr="001F224B">
              <w:rPr>
                <w:color w:val="000000"/>
                <w:sz w:val="13"/>
                <w:szCs w:val="13"/>
              </w:rPr>
              <w:t>-</w:t>
            </w:r>
          </w:p>
        </w:tc>
      </w:tr>
      <w:tr w:rsidR="00DC2481" w:rsidRPr="001F224B" w14:paraId="4917914F" w14:textId="77777777" w:rsidTr="0023338F">
        <w:tc>
          <w:tcPr>
            <w:tcW w:w="426" w:type="dxa"/>
            <w:tcBorders>
              <w:top w:val="nil"/>
              <w:left w:val="single" w:sz="4" w:space="0" w:color="auto"/>
              <w:bottom w:val="nil"/>
              <w:right w:val="nil"/>
            </w:tcBorders>
            <w:noWrap/>
            <w:tcMar>
              <w:top w:w="18" w:type="dxa"/>
              <w:left w:w="18" w:type="dxa"/>
              <w:bottom w:w="0" w:type="dxa"/>
              <w:right w:w="18" w:type="dxa"/>
            </w:tcMar>
          </w:tcPr>
          <w:p w14:paraId="7DE8946A" w14:textId="77777777" w:rsidR="00DC2481" w:rsidRPr="001F224B" w:rsidRDefault="00DC2481" w:rsidP="00DC2481">
            <w:pPr>
              <w:rPr>
                <w:rFonts w:eastAsia="Arial Unicode MS"/>
                <w:sz w:val="13"/>
                <w:szCs w:val="13"/>
              </w:rPr>
            </w:pPr>
            <w:r w:rsidRPr="001F224B">
              <w:rPr>
                <w:sz w:val="13"/>
                <w:szCs w:val="13"/>
              </w:rPr>
              <w:t>4.1.2</w:t>
            </w:r>
          </w:p>
        </w:tc>
        <w:tc>
          <w:tcPr>
            <w:tcW w:w="4819" w:type="dxa"/>
            <w:tcBorders>
              <w:top w:val="nil"/>
              <w:left w:val="nil"/>
              <w:bottom w:val="nil"/>
              <w:right w:val="nil"/>
            </w:tcBorders>
            <w:noWrap/>
            <w:tcMar>
              <w:top w:w="18" w:type="dxa"/>
              <w:left w:w="18" w:type="dxa"/>
              <w:bottom w:w="0" w:type="dxa"/>
              <w:right w:w="18" w:type="dxa"/>
            </w:tcMar>
            <w:vAlign w:val="bottom"/>
          </w:tcPr>
          <w:p w14:paraId="5E92B552" w14:textId="77777777" w:rsidR="00DC2481" w:rsidRPr="001F224B" w:rsidRDefault="00DC2481" w:rsidP="00DC2481">
            <w:pPr>
              <w:rPr>
                <w:rFonts w:eastAsia="Arial Unicode MS"/>
                <w:sz w:val="13"/>
                <w:szCs w:val="13"/>
              </w:rPr>
            </w:pPr>
            <w:r w:rsidRPr="001F224B">
              <w:rPr>
                <w:sz w:val="13"/>
                <w:szCs w:val="13"/>
              </w:rPr>
              <w:t xml:space="preserve">Konsolide Edilmeyenler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3D42ECB9"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803831" w14:textId="0891363F" w:rsidR="00DC2481" w:rsidRPr="001F224B" w:rsidRDefault="00DC2481" w:rsidP="00DC2481">
            <w:pPr>
              <w:jc w:val="right"/>
              <w:rPr>
                <w:sz w:val="13"/>
                <w:szCs w:val="13"/>
              </w:rPr>
            </w:pPr>
            <w:r w:rsidRPr="001F224B">
              <w:rPr>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8987B" w14:textId="49058FF4"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BFE50A5" w14:textId="5B4029F1" w:rsidR="00DC2481" w:rsidRPr="001F224B" w:rsidRDefault="00DC2481" w:rsidP="00DC2481">
            <w:pPr>
              <w:jc w:val="right"/>
              <w:rPr>
                <w:sz w:val="13"/>
                <w:szCs w:val="13"/>
              </w:rPr>
            </w:pPr>
            <w:r w:rsidRPr="001F224B">
              <w:rPr>
                <w:sz w:val="13"/>
                <w:szCs w:val="13"/>
              </w:rPr>
              <w:t>10.586</w:t>
            </w:r>
          </w:p>
        </w:tc>
        <w:tc>
          <w:tcPr>
            <w:tcW w:w="753" w:type="dxa"/>
            <w:tcBorders>
              <w:top w:val="nil"/>
              <w:left w:val="nil"/>
              <w:bottom w:val="nil"/>
              <w:right w:val="single" w:sz="4" w:space="0" w:color="auto"/>
            </w:tcBorders>
            <w:shd w:val="clear" w:color="auto" w:fill="auto"/>
          </w:tcPr>
          <w:p w14:paraId="566898FD" w14:textId="051EFFA5" w:rsidR="00DC2481" w:rsidRPr="001F224B" w:rsidRDefault="00DC2481" w:rsidP="00DC2481">
            <w:pPr>
              <w:jc w:val="right"/>
              <w:rPr>
                <w:color w:val="000000"/>
                <w:sz w:val="13"/>
                <w:szCs w:val="13"/>
              </w:rPr>
            </w:pPr>
            <w:r w:rsidRPr="001F224B">
              <w:rPr>
                <w:sz w:val="13"/>
                <w:szCs w:val="13"/>
              </w:rPr>
              <w:t>10.586</w:t>
            </w:r>
          </w:p>
        </w:tc>
        <w:tc>
          <w:tcPr>
            <w:tcW w:w="756" w:type="dxa"/>
            <w:tcBorders>
              <w:top w:val="nil"/>
              <w:left w:val="single" w:sz="4" w:space="0" w:color="auto"/>
              <w:bottom w:val="nil"/>
              <w:right w:val="single" w:sz="4" w:space="0" w:color="auto"/>
            </w:tcBorders>
            <w:shd w:val="clear" w:color="auto" w:fill="auto"/>
            <w:vAlign w:val="bottom"/>
          </w:tcPr>
          <w:p w14:paraId="05C213F4" w14:textId="30E9A59A"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tcPr>
          <w:p w14:paraId="01843CA7" w14:textId="4E885CAB" w:rsidR="00DC2481" w:rsidRPr="001F224B" w:rsidRDefault="00DC2481" w:rsidP="00DC2481">
            <w:pPr>
              <w:jc w:val="right"/>
              <w:rPr>
                <w:color w:val="000000"/>
                <w:sz w:val="13"/>
                <w:szCs w:val="13"/>
              </w:rPr>
            </w:pPr>
            <w:r w:rsidRPr="001F224B">
              <w:rPr>
                <w:sz w:val="13"/>
                <w:szCs w:val="13"/>
              </w:rPr>
              <w:t>10.586</w:t>
            </w:r>
          </w:p>
        </w:tc>
      </w:tr>
      <w:tr w:rsidR="00DC2481" w:rsidRPr="001F224B" w14:paraId="284AE433" w14:textId="77777777" w:rsidTr="006F056E">
        <w:tc>
          <w:tcPr>
            <w:tcW w:w="426" w:type="dxa"/>
            <w:tcBorders>
              <w:top w:val="nil"/>
              <w:left w:val="single" w:sz="4" w:space="0" w:color="auto"/>
              <w:bottom w:val="nil"/>
              <w:right w:val="nil"/>
            </w:tcBorders>
            <w:noWrap/>
            <w:tcMar>
              <w:top w:w="18" w:type="dxa"/>
              <w:left w:w="18" w:type="dxa"/>
              <w:bottom w:w="0" w:type="dxa"/>
              <w:right w:w="18" w:type="dxa"/>
            </w:tcMar>
          </w:tcPr>
          <w:p w14:paraId="282E57D9" w14:textId="77777777" w:rsidR="00DC2481" w:rsidRPr="001F224B" w:rsidRDefault="00DC2481" w:rsidP="00DC2481">
            <w:pPr>
              <w:rPr>
                <w:rFonts w:eastAsia="Arial Unicode MS"/>
                <w:sz w:val="13"/>
                <w:szCs w:val="13"/>
              </w:rPr>
            </w:pPr>
            <w:r w:rsidRPr="001F224B">
              <w:rPr>
                <w:b/>
                <w:bCs/>
                <w:sz w:val="13"/>
                <w:szCs w:val="13"/>
              </w:rPr>
              <w:t>4.2</w:t>
            </w:r>
          </w:p>
        </w:tc>
        <w:tc>
          <w:tcPr>
            <w:tcW w:w="4819" w:type="dxa"/>
            <w:tcBorders>
              <w:top w:val="nil"/>
              <w:left w:val="nil"/>
              <w:bottom w:val="nil"/>
              <w:right w:val="single" w:sz="4" w:space="0" w:color="auto"/>
            </w:tcBorders>
            <w:noWrap/>
            <w:tcMar>
              <w:top w:w="18" w:type="dxa"/>
              <w:left w:w="18" w:type="dxa"/>
              <w:bottom w:w="0" w:type="dxa"/>
              <w:right w:w="18" w:type="dxa"/>
            </w:tcMar>
            <w:vAlign w:val="bottom"/>
          </w:tcPr>
          <w:p w14:paraId="14ECDE1A" w14:textId="77777777" w:rsidR="00DC2481" w:rsidRPr="001F224B" w:rsidRDefault="00DC2481" w:rsidP="00DC2481">
            <w:pPr>
              <w:rPr>
                <w:rFonts w:eastAsia="Arial Unicode MS"/>
                <w:b/>
                <w:sz w:val="13"/>
                <w:szCs w:val="13"/>
              </w:rPr>
            </w:pPr>
            <w:r w:rsidRPr="001F224B">
              <w:rPr>
                <w:b/>
                <w:bCs/>
                <w:sz w:val="13"/>
                <w:szCs w:val="13"/>
              </w:rPr>
              <w:t xml:space="preserve">Bağlı Ortaklıklar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113CBF"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545928" w14:textId="76F63A9E" w:rsidR="00DC2481" w:rsidRPr="001F224B" w:rsidRDefault="00DC2481" w:rsidP="00DC2481">
            <w:pPr>
              <w:jc w:val="right"/>
              <w:rPr>
                <w:sz w:val="13"/>
                <w:szCs w:val="13"/>
              </w:rPr>
            </w:pPr>
            <w:r w:rsidRPr="001F224B">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ED3157" w14:textId="5F3EC935" w:rsidR="00DC2481" w:rsidRPr="001F224B" w:rsidRDefault="00DC2481" w:rsidP="00DC2481">
            <w:pPr>
              <w:jc w:val="right"/>
              <w:rPr>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8AC055" w14:textId="24E372B1" w:rsidR="00DC2481" w:rsidRPr="001F224B" w:rsidRDefault="00DC2481" w:rsidP="00DC2481">
            <w:pPr>
              <w:jc w:val="right"/>
              <w:rPr>
                <w:sz w:val="13"/>
                <w:szCs w:val="13"/>
              </w:rPr>
            </w:pPr>
            <w:r w:rsidRPr="001F224B">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0013BBF" w14:textId="280DE548" w:rsidR="00DC2481" w:rsidRPr="001F224B" w:rsidRDefault="00DC2481" w:rsidP="00DC2481">
            <w:pPr>
              <w:jc w:val="right"/>
              <w:rPr>
                <w:b/>
                <w:bCs/>
                <w:color w:val="000000"/>
                <w:sz w:val="13"/>
                <w:szCs w:val="13"/>
              </w:rPr>
            </w:pPr>
            <w:r w:rsidRPr="001F224B">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1A5DD113" w14:textId="7FD64747" w:rsidR="00DC2481" w:rsidRPr="001F224B" w:rsidRDefault="00DC2481" w:rsidP="00DC2481">
            <w:pPr>
              <w:jc w:val="right"/>
              <w:rPr>
                <w:b/>
                <w:bCs/>
                <w:color w:val="000000"/>
                <w:sz w:val="13"/>
                <w:szCs w:val="13"/>
              </w:rPr>
            </w:pPr>
            <w:r w:rsidRPr="001F224B">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1C2A92B5" w14:textId="7F7BC031" w:rsidR="00DC2481" w:rsidRPr="001F224B" w:rsidRDefault="00DC2481" w:rsidP="00DC2481">
            <w:pPr>
              <w:jc w:val="right"/>
              <w:rPr>
                <w:b/>
                <w:bCs/>
                <w:color w:val="000000"/>
                <w:sz w:val="13"/>
                <w:szCs w:val="13"/>
              </w:rPr>
            </w:pPr>
            <w:r w:rsidRPr="001F224B">
              <w:rPr>
                <w:b/>
                <w:bCs/>
                <w:color w:val="000000"/>
                <w:sz w:val="13"/>
                <w:szCs w:val="13"/>
              </w:rPr>
              <w:t>-</w:t>
            </w:r>
          </w:p>
        </w:tc>
      </w:tr>
      <w:tr w:rsidR="00DC2481" w:rsidRPr="001F224B" w14:paraId="39065E9C" w14:textId="77777777" w:rsidTr="006F056E">
        <w:tc>
          <w:tcPr>
            <w:tcW w:w="426" w:type="dxa"/>
            <w:tcBorders>
              <w:top w:val="nil"/>
              <w:left w:val="single" w:sz="4" w:space="0" w:color="auto"/>
              <w:bottom w:val="nil"/>
              <w:right w:val="nil"/>
            </w:tcBorders>
            <w:noWrap/>
            <w:tcMar>
              <w:top w:w="18" w:type="dxa"/>
              <w:left w:w="18" w:type="dxa"/>
              <w:bottom w:w="0" w:type="dxa"/>
              <w:right w:w="18" w:type="dxa"/>
            </w:tcMar>
          </w:tcPr>
          <w:p w14:paraId="5C214614" w14:textId="77777777" w:rsidR="00DC2481" w:rsidRPr="001F224B" w:rsidRDefault="00DC2481" w:rsidP="00DC2481">
            <w:pPr>
              <w:rPr>
                <w:rFonts w:eastAsia="Arial Unicode MS"/>
                <w:b/>
                <w:sz w:val="13"/>
                <w:szCs w:val="13"/>
              </w:rPr>
            </w:pPr>
            <w:r w:rsidRPr="001F224B">
              <w:rPr>
                <w:sz w:val="13"/>
                <w:szCs w:val="13"/>
              </w:rPr>
              <w:t>4.2.1</w:t>
            </w:r>
          </w:p>
        </w:tc>
        <w:tc>
          <w:tcPr>
            <w:tcW w:w="4819" w:type="dxa"/>
            <w:tcBorders>
              <w:top w:val="nil"/>
              <w:left w:val="nil"/>
              <w:bottom w:val="nil"/>
              <w:right w:val="nil"/>
            </w:tcBorders>
            <w:noWrap/>
            <w:tcMar>
              <w:top w:w="18" w:type="dxa"/>
              <w:left w:w="18" w:type="dxa"/>
              <w:bottom w:w="0" w:type="dxa"/>
              <w:right w:w="18" w:type="dxa"/>
            </w:tcMar>
            <w:vAlign w:val="bottom"/>
          </w:tcPr>
          <w:p w14:paraId="038A4709" w14:textId="77777777" w:rsidR="00DC2481" w:rsidRPr="001F224B" w:rsidRDefault="00DC2481" w:rsidP="00DC2481">
            <w:pPr>
              <w:rPr>
                <w:rFonts w:eastAsia="Arial Unicode MS"/>
                <w:b/>
                <w:sz w:val="13"/>
                <w:szCs w:val="13"/>
              </w:rPr>
            </w:pPr>
            <w:r w:rsidRPr="001F224B">
              <w:rPr>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D3C89C"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C3E62E" w14:textId="3AAD3A52"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6266ED" w14:textId="67257780"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136160" w14:textId="263206C5"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78B5A19" w14:textId="298AA5A2" w:rsidR="00DC2481" w:rsidRPr="001F224B" w:rsidRDefault="00DC2481" w:rsidP="00DC2481">
            <w:pPr>
              <w:jc w:val="right"/>
              <w:rPr>
                <w:color w:val="000000"/>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580C29BA" w14:textId="0EA629C3"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65A9AAB2" w14:textId="75E0448D" w:rsidR="00DC2481" w:rsidRPr="001F224B" w:rsidRDefault="00DC2481" w:rsidP="00DC2481">
            <w:pPr>
              <w:jc w:val="right"/>
              <w:rPr>
                <w:color w:val="000000"/>
                <w:sz w:val="13"/>
                <w:szCs w:val="13"/>
              </w:rPr>
            </w:pPr>
            <w:r w:rsidRPr="001F224B">
              <w:rPr>
                <w:color w:val="000000"/>
                <w:sz w:val="13"/>
                <w:szCs w:val="13"/>
              </w:rPr>
              <w:t>-</w:t>
            </w:r>
          </w:p>
        </w:tc>
      </w:tr>
      <w:tr w:rsidR="00DC2481" w:rsidRPr="001F224B" w14:paraId="6A480E9E" w14:textId="77777777" w:rsidTr="006F056E">
        <w:tc>
          <w:tcPr>
            <w:tcW w:w="426" w:type="dxa"/>
            <w:tcBorders>
              <w:top w:val="nil"/>
              <w:left w:val="single" w:sz="4" w:space="0" w:color="auto"/>
              <w:bottom w:val="nil"/>
              <w:right w:val="nil"/>
            </w:tcBorders>
            <w:noWrap/>
            <w:tcMar>
              <w:top w:w="18" w:type="dxa"/>
              <w:left w:w="18" w:type="dxa"/>
              <w:bottom w:w="0" w:type="dxa"/>
              <w:right w:w="18" w:type="dxa"/>
            </w:tcMar>
          </w:tcPr>
          <w:p w14:paraId="44684862" w14:textId="77777777" w:rsidR="00DC2481" w:rsidRPr="001F224B" w:rsidRDefault="00DC2481" w:rsidP="00DC2481">
            <w:pPr>
              <w:rPr>
                <w:rFonts w:eastAsia="Arial Unicode MS"/>
                <w:b/>
                <w:sz w:val="13"/>
                <w:szCs w:val="13"/>
              </w:rPr>
            </w:pPr>
            <w:r w:rsidRPr="001F224B">
              <w:rPr>
                <w:sz w:val="13"/>
                <w:szCs w:val="13"/>
              </w:rPr>
              <w:t>4.2.2</w:t>
            </w:r>
          </w:p>
        </w:tc>
        <w:tc>
          <w:tcPr>
            <w:tcW w:w="4819" w:type="dxa"/>
            <w:tcBorders>
              <w:top w:val="nil"/>
              <w:left w:val="nil"/>
              <w:bottom w:val="nil"/>
              <w:right w:val="nil"/>
            </w:tcBorders>
            <w:noWrap/>
            <w:tcMar>
              <w:top w:w="18" w:type="dxa"/>
              <w:left w:w="18" w:type="dxa"/>
              <w:bottom w:w="0" w:type="dxa"/>
              <w:right w:w="18" w:type="dxa"/>
            </w:tcMar>
            <w:vAlign w:val="bottom"/>
          </w:tcPr>
          <w:p w14:paraId="6FADBCE7" w14:textId="77777777" w:rsidR="00DC2481" w:rsidRPr="001F224B" w:rsidRDefault="00DC2481" w:rsidP="00DC2481">
            <w:pPr>
              <w:rPr>
                <w:rFonts w:eastAsia="Arial Unicode MS"/>
                <w:b/>
                <w:sz w:val="13"/>
                <w:szCs w:val="13"/>
              </w:rPr>
            </w:pPr>
            <w:r w:rsidRPr="001F224B">
              <w:rPr>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34D9EF"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9994F1" w14:textId="26056659"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F3C9C7" w14:textId="442B7339"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290A42C" w14:textId="030EAAB4"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51F6ED65" w14:textId="62DDA67A" w:rsidR="00DC2481" w:rsidRPr="001F224B" w:rsidRDefault="00DC2481" w:rsidP="00DC2481">
            <w:pPr>
              <w:jc w:val="right"/>
              <w:rPr>
                <w:color w:val="000000"/>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08FE2B7D" w14:textId="3645158E"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19D70E30" w14:textId="4B00111F" w:rsidR="00DC2481" w:rsidRPr="001F224B" w:rsidRDefault="00DC2481" w:rsidP="00DC2481">
            <w:pPr>
              <w:jc w:val="right"/>
              <w:rPr>
                <w:color w:val="000000"/>
                <w:sz w:val="13"/>
                <w:szCs w:val="13"/>
              </w:rPr>
            </w:pPr>
            <w:r w:rsidRPr="001F224B">
              <w:rPr>
                <w:color w:val="000000"/>
                <w:sz w:val="13"/>
                <w:szCs w:val="13"/>
              </w:rPr>
              <w:t>-</w:t>
            </w:r>
          </w:p>
        </w:tc>
      </w:tr>
      <w:tr w:rsidR="00DC2481" w:rsidRPr="001F224B" w14:paraId="59A88299" w14:textId="77777777" w:rsidTr="006F056E">
        <w:tc>
          <w:tcPr>
            <w:tcW w:w="426" w:type="dxa"/>
            <w:tcBorders>
              <w:top w:val="nil"/>
              <w:left w:val="single" w:sz="4" w:space="0" w:color="auto"/>
              <w:bottom w:val="nil"/>
              <w:right w:val="nil"/>
            </w:tcBorders>
            <w:noWrap/>
            <w:tcMar>
              <w:top w:w="18" w:type="dxa"/>
              <w:left w:w="18" w:type="dxa"/>
              <w:bottom w:w="0" w:type="dxa"/>
              <w:right w:w="18" w:type="dxa"/>
            </w:tcMar>
          </w:tcPr>
          <w:p w14:paraId="6965B2AA" w14:textId="77777777" w:rsidR="00DC2481" w:rsidRPr="001F224B" w:rsidRDefault="00DC2481" w:rsidP="00DC2481">
            <w:pPr>
              <w:rPr>
                <w:rFonts w:eastAsia="Arial Unicode MS"/>
                <w:sz w:val="13"/>
                <w:szCs w:val="13"/>
              </w:rPr>
            </w:pPr>
            <w:r w:rsidRPr="001F224B">
              <w:rPr>
                <w:b/>
                <w:bCs/>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7D8419D7" w14:textId="77777777" w:rsidR="00DC2481" w:rsidRPr="001F224B" w:rsidRDefault="00DC2481" w:rsidP="00DC2481">
            <w:pPr>
              <w:rPr>
                <w:rFonts w:eastAsia="Arial Unicode MS"/>
                <w:b/>
                <w:sz w:val="13"/>
                <w:szCs w:val="13"/>
              </w:rPr>
            </w:pPr>
            <w:r w:rsidRPr="001F224B">
              <w:rPr>
                <w:b/>
                <w:bCs/>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E0577F"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898FDB" w14:textId="6B6FF478" w:rsidR="00DC2481" w:rsidRPr="001F224B" w:rsidRDefault="00DC2481" w:rsidP="00DC2481">
            <w:pPr>
              <w:jc w:val="right"/>
              <w:rPr>
                <w:sz w:val="13"/>
                <w:szCs w:val="13"/>
              </w:rPr>
            </w:pPr>
            <w:r w:rsidRPr="001F224B">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60B3E6" w14:textId="19049189" w:rsidR="00DC2481" w:rsidRPr="001F224B" w:rsidRDefault="00DC2481" w:rsidP="00DC2481">
            <w:pPr>
              <w:jc w:val="right"/>
              <w:rPr>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E27BC3" w14:textId="1B1CC191" w:rsidR="00DC2481" w:rsidRPr="001F224B" w:rsidRDefault="00DC2481" w:rsidP="00DC2481">
            <w:pPr>
              <w:jc w:val="right"/>
              <w:rPr>
                <w:sz w:val="13"/>
                <w:szCs w:val="13"/>
              </w:rPr>
            </w:pPr>
            <w:r w:rsidRPr="001F224B">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57B2AF65" w14:textId="265944B5" w:rsidR="00DC2481" w:rsidRPr="001F224B" w:rsidRDefault="00DC2481" w:rsidP="00DC2481">
            <w:pPr>
              <w:jc w:val="right"/>
              <w:rPr>
                <w:b/>
                <w:bCs/>
                <w:color w:val="000000"/>
                <w:sz w:val="13"/>
                <w:szCs w:val="13"/>
              </w:rPr>
            </w:pPr>
            <w:r w:rsidRPr="001F224B">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7CFFA16F" w14:textId="24994C89" w:rsidR="00DC2481" w:rsidRPr="001F224B" w:rsidRDefault="00DC2481" w:rsidP="00DC2481">
            <w:pPr>
              <w:jc w:val="right"/>
              <w:rPr>
                <w:b/>
                <w:bCs/>
                <w:color w:val="000000"/>
                <w:sz w:val="13"/>
                <w:szCs w:val="13"/>
              </w:rPr>
            </w:pPr>
            <w:r w:rsidRPr="001F224B">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75E1272B" w14:textId="030FD5CE" w:rsidR="00DC2481" w:rsidRPr="001F224B" w:rsidRDefault="00DC2481" w:rsidP="00DC2481">
            <w:pPr>
              <w:jc w:val="right"/>
              <w:rPr>
                <w:b/>
                <w:bCs/>
                <w:color w:val="000000"/>
                <w:sz w:val="13"/>
                <w:szCs w:val="13"/>
              </w:rPr>
            </w:pPr>
            <w:r w:rsidRPr="001F224B">
              <w:rPr>
                <w:b/>
                <w:bCs/>
                <w:color w:val="000000"/>
                <w:sz w:val="13"/>
                <w:szCs w:val="13"/>
              </w:rPr>
              <w:t>-</w:t>
            </w:r>
          </w:p>
        </w:tc>
      </w:tr>
      <w:tr w:rsidR="00DC2481" w:rsidRPr="001F224B" w14:paraId="2D9802B5" w14:textId="77777777" w:rsidTr="006F056E">
        <w:tc>
          <w:tcPr>
            <w:tcW w:w="426" w:type="dxa"/>
            <w:tcBorders>
              <w:top w:val="nil"/>
              <w:left w:val="single" w:sz="4" w:space="0" w:color="auto"/>
              <w:bottom w:val="nil"/>
              <w:right w:val="nil"/>
            </w:tcBorders>
            <w:noWrap/>
            <w:tcMar>
              <w:top w:w="18" w:type="dxa"/>
              <w:left w:w="18" w:type="dxa"/>
              <w:bottom w:w="0" w:type="dxa"/>
              <w:right w:w="18" w:type="dxa"/>
            </w:tcMar>
          </w:tcPr>
          <w:p w14:paraId="30A709AA" w14:textId="77777777" w:rsidR="00DC2481" w:rsidRPr="001F224B" w:rsidRDefault="00DC2481" w:rsidP="00DC2481">
            <w:pPr>
              <w:rPr>
                <w:rFonts w:eastAsia="Arial Unicode MS"/>
                <w:sz w:val="13"/>
                <w:szCs w:val="13"/>
              </w:rPr>
            </w:pPr>
            <w:r w:rsidRPr="001F224B">
              <w:rPr>
                <w:sz w:val="13"/>
                <w:szCs w:val="13"/>
              </w:rPr>
              <w:t>4.3.1</w:t>
            </w:r>
          </w:p>
        </w:tc>
        <w:tc>
          <w:tcPr>
            <w:tcW w:w="4819" w:type="dxa"/>
            <w:tcBorders>
              <w:top w:val="nil"/>
              <w:left w:val="nil"/>
              <w:bottom w:val="nil"/>
              <w:right w:val="nil"/>
            </w:tcBorders>
            <w:noWrap/>
            <w:tcMar>
              <w:top w:w="18" w:type="dxa"/>
              <w:left w:w="18" w:type="dxa"/>
              <w:bottom w:w="0" w:type="dxa"/>
              <w:right w:w="18" w:type="dxa"/>
            </w:tcMar>
            <w:vAlign w:val="bottom"/>
          </w:tcPr>
          <w:p w14:paraId="132A8FAF" w14:textId="77777777" w:rsidR="00DC2481" w:rsidRPr="001F224B" w:rsidRDefault="00DC2481" w:rsidP="00DC2481">
            <w:pPr>
              <w:rPr>
                <w:rFonts w:eastAsia="Arial Unicode MS"/>
                <w:sz w:val="13"/>
                <w:szCs w:val="13"/>
              </w:rPr>
            </w:pPr>
            <w:r w:rsidRPr="001F224B">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D6E6A4"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5B1903" w14:textId="159A4D1C"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DB7675" w14:textId="495714AC"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5C55B3" w14:textId="7D12CC32"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4D507CC8" w14:textId="71A773FF" w:rsidR="00DC2481" w:rsidRPr="001F224B" w:rsidRDefault="00DC2481" w:rsidP="00DC2481">
            <w:pPr>
              <w:jc w:val="right"/>
              <w:rPr>
                <w:color w:val="000000"/>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23CFECCF" w14:textId="3E96A52A"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7ABC871B" w14:textId="3CB8CFFE" w:rsidR="00DC2481" w:rsidRPr="001F224B" w:rsidRDefault="00DC2481" w:rsidP="00DC2481">
            <w:pPr>
              <w:jc w:val="right"/>
              <w:rPr>
                <w:color w:val="000000"/>
                <w:sz w:val="13"/>
                <w:szCs w:val="13"/>
              </w:rPr>
            </w:pPr>
            <w:r w:rsidRPr="001F224B">
              <w:rPr>
                <w:color w:val="000000"/>
                <w:sz w:val="13"/>
                <w:szCs w:val="13"/>
              </w:rPr>
              <w:t>-</w:t>
            </w:r>
          </w:p>
        </w:tc>
      </w:tr>
      <w:tr w:rsidR="00DC2481" w:rsidRPr="001F224B" w14:paraId="3D495B67" w14:textId="77777777" w:rsidTr="006F056E">
        <w:tc>
          <w:tcPr>
            <w:tcW w:w="426" w:type="dxa"/>
            <w:tcBorders>
              <w:top w:val="nil"/>
              <w:left w:val="single" w:sz="4" w:space="0" w:color="auto"/>
              <w:bottom w:val="nil"/>
              <w:right w:val="nil"/>
            </w:tcBorders>
            <w:noWrap/>
            <w:tcMar>
              <w:top w:w="18" w:type="dxa"/>
              <w:left w:w="18" w:type="dxa"/>
              <w:bottom w:w="0" w:type="dxa"/>
              <w:right w:w="18" w:type="dxa"/>
            </w:tcMar>
          </w:tcPr>
          <w:p w14:paraId="3BACA2CF" w14:textId="77777777" w:rsidR="00DC2481" w:rsidRPr="001F224B" w:rsidRDefault="00DC2481" w:rsidP="00DC2481">
            <w:pPr>
              <w:rPr>
                <w:rFonts w:eastAsia="Arial Unicode MS"/>
                <w:b/>
                <w:sz w:val="13"/>
                <w:szCs w:val="13"/>
              </w:rPr>
            </w:pPr>
            <w:r w:rsidRPr="001F224B">
              <w:rPr>
                <w:sz w:val="13"/>
                <w:szCs w:val="13"/>
              </w:rPr>
              <w:t>4.3.2</w:t>
            </w:r>
          </w:p>
        </w:tc>
        <w:tc>
          <w:tcPr>
            <w:tcW w:w="4819" w:type="dxa"/>
            <w:tcBorders>
              <w:top w:val="nil"/>
              <w:left w:val="nil"/>
              <w:bottom w:val="nil"/>
              <w:right w:val="nil"/>
            </w:tcBorders>
            <w:noWrap/>
            <w:tcMar>
              <w:top w:w="18" w:type="dxa"/>
              <w:left w:w="18" w:type="dxa"/>
              <w:bottom w:w="0" w:type="dxa"/>
              <w:right w:w="18" w:type="dxa"/>
            </w:tcMar>
            <w:vAlign w:val="bottom"/>
          </w:tcPr>
          <w:p w14:paraId="68EEBCDB" w14:textId="77777777" w:rsidR="00DC2481" w:rsidRPr="001F224B" w:rsidRDefault="00DC2481" w:rsidP="00DC2481">
            <w:pPr>
              <w:rPr>
                <w:rFonts w:eastAsia="Arial Unicode MS"/>
                <w:b/>
                <w:sz w:val="13"/>
                <w:szCs w:val="13"/>
              </w:rPr>
            </w:pPr>
            <w:r w:rsidRPr="001F224B">
              <w:rPr>
                <w:sz w:val="13"/>
                <w:szCs w:val="13"/>
              </w:rPr>
              <w:t xml:space="preserve">Konsolide Edilmeyenler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D01FB6"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D5027" w14:textId="42295625"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D8A324" w14:textId="49EB1308"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F74DAE" w14:textId="4720A984"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0D6BEF7F" w14:textId="17E6ADFB" w:rsidR="00DC2481" w:rsidRPr="001F224B" w:rsidRDefault="00DC2481" w:rsidP="00DC2481">
            <w:pPr>
              <w:jc w:val="right"/>
              <w:rPr>
                <w:color w:val="000000"/>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00CF821B" w14:textId="1A6E9B32"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33BEE44E" w14:textId="02AE1B39" w:rsidR="00DC2481" w:rsidRPr="001F224B" w:rsidRDefault="00DC2481" w:rsidP="00DC2481">
            <w:pPr>
              <w:jc w:val="right"/>
              <w:rPr>
                <w:color w:val="000000"/>
                <w:sz w:val="13"/>
                <w:szCs w:val="13"/>
              </w:rPr>
            </w:pPr>
            <w:r w:rsidRPr="001F224B">
              <w:rPr>
                <w:color w:val="000000"/>
                <w:sz w:val="13"/>
                <w:szCs w:val="13"/>
              </w:rPr>
              <w:t>-</w:t>
            </w:r>
          </w:p>
        </w:tc>
      </w:tr>
      <w:tr w:rsidR="00DC2481" w:rsidRPr="001F224B" w14:paraId="5BE552F0"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4244664E" w14:textId="77777777" w:rsidR="00DC2481" w:rsidRPr="001F224B" w:rsidRDefault="00DC2481" w:rsidP="00DC2481">
            <w:pPr>
              <w:rPr>
                <w:rFonts w:eastAsia="Arial Unicode MS"/>
                <w:sz w:val="13"/>
                <w:szCs w:val="13"/>
              </w:rPr>
            </w:pPr>
            <w:r w:rsidRPr="001F224B">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5515A570" w14:textId="77777777" w:rsidR="00DC2481" w:rsidRPr="001F224B" w:rsidRDefault="00DC2481" w:rsidP="00DC2481">
            <w:pPr>
              <w:rPr>
                <w:rFonts w:eastAsia="Arial Unicode MS"/>
                <w:b/>
                <w:sz w:val="13"/>
                <w:szCs w:val="13"/>
              </w:rPr>
            </w:pPr>
            <w:r w:rsidRPr="001F224B">
              <w:rPr>
                <w:b/>
                <w:bCs/>
                <w:sz w:val="13"/>
                <w:szCs w:val="13"/>
              </w:rPr>
              <w:t xml:space="preserve">MADDİ DURAN VARLIKLAR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789121" w14:textId="39AB27DA" w:rsidR="00DC2481" w:rsidRPr="001F224B" w:rsidRDefault="00DC2481" w:rsidP="00DC2481">
            <w:pPr>
              <w:jc w:val="center"/>
              <w:rPr>
                <w:rFonts w:eastAsia="Arial Unicode MS"/>
                <w:b/>
                <w:sz w:val="13"/>
                <w:szCs w:val="13"/>
              </w:rPr>
            </w:pPr>
            <w:r w:rsidRPr="001F224B">
              <w:rPr>
                <w:b/>
                <w:bCs/>
                <w:sz w:val="13"/>
                <w:szCs w:val="13"/>
              </w:rPr>
              <w:t>(6)</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6477DB" w14:textId="08CA820D" w:rsidR="00DC2481" w:rsidRPr="001F224B" w:rsidRDefault="00DC2481" w:rsidP="00DC2481">
            <w:pPr>
              <w:jc w:val="right"/>
              <w:rPr>
                <w:b/>
                <w:bCs/>
                <w:sz w:val="13"/>
                <w:szCs w:val="13"/>
              </w:rPr>
            </w:pPr>
            <w:r w:rsidRPr="001F224B">
              <w:rPr>
                <w:b/>
                <w:bCs/>
                <w:sz w:val="13"/>
                <w:szCs w:val="13"/>
              </w:rPr>
              <w:t>115.705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56D05F" w14:textId="5E7012D9" w:rsidR="00DC2481" w:rsidRPr="001F224B" w:rsidRDefault="00DC2481" w:rsidP="00DC2481">
            <w:pPr>
              <w:jc w:val="right"/>
              <w:rPr>
                <w:b/>
                <w:bCs/>
                <w:sz w:val="13"/>
                <w:szCs w:val="13"/>
              </w:rPr>
            </w:pPr>
            <w:r w:rsidRPr="001F224B">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0848EC0" w14:textId="6349A881" w:rsidR="00DC2481" w:rsidRPr="001F224B" w:rsidRDefault="00DC2481" w:rsidP="00DC2481">
            <w:pPr>
              <w:jc w:val="right"/>
              <w:rPr>
                <w:b/>
                <w:bCs/>
                <w:sz w:val="13"/>
                <w:szCs w:val="13"/>
              </w:rPr>
            </w:pPr>
            <w:r w:rsidRPr="001F224B">
              <w:rPr>
                <w:b/>
                <w:bCs/>
                <w:sz w:val="13"/>
                <w:szCs w:val="13"/>
              </w:rPr>
              <w:t>115.705</w:t>
            </w:r>
          </w:p>
        </w:tc>
        <w:tc>
          <w:tcPr>
            <w:tcW w:w="753" w:type="dxa"/>
            <w:tcBorders>
              <w:top w:val="nil"/>
              <w:left w:val="nil"/>
              <w:bottom w:val="nil"/>
              <w:right w:val="single" w:sz="4" w:space="0" w:color="auto"/>
            </w:tcBorders>
            <w:shd w:val="clear" w:color="auto" w:fill="auto"/>
          </w:tcPr>
          <w:p w14:paraId="6865251A" w14:textId="6311B0B4" w:rsidR="00DC2481" w:rsidRPr="001F224B" w:rsidRDefault="00DC2481" w:rsidP="00DC2481">
            <w:pPr>
              <w:jc w:val="right"/>
              <w:rPr>
                <w:b/>
                <w:bCs/>
                <w:color w:val="000000"/>
                <w:sz w:val="13"/>
                <w:szCs w:val="13"/>
              </w:rPr>
            </w:pPr>
            <w:r w:rsidRPr="001F224B">
              <w:rPr>
                <w:b/>
                <w:bCs/>
                <w:sz w:val="13"/>
                <w:szCs w:val="13"/>
              </w:rPr>
              <w:t>74.745</w:t>
            </w:r>
          </w:p>
        </w:tc>
        <w:tc>
          <w:tcPr>
            <w:tcW w:w="756" w:type="dxa"/>
            <w:tcBorders>
              <w:top w:val="nil"/>
              <w:left w:val="single" w:sz="4" w:space="0" w:color="auto"/>
              <w:bottom w:val="nil"/>
              <w:right w:val="single" w:sz="4" w:space="0" w:color="auto"/>
            </w:tcBorders>
            <w:shd w:val="clear" w:color="auto" w:fill="auto"/>
          </w:tcPr>
          <w:p w14:paraId="0B4D4FFC" w14:textId="0BFCE5BA" w:rsidR="00DC2481" w:rsidRPr="001F224B" w:rsidRDefault="00DC2481" w:rsidP="00DC2481">
            <w:pPr>
              <w:jc w:val="right"/>
              <w:rPr>
                <w:color w:val="000000"/>
                <w:sz w:val="13"/>
                <w:szCs w:val="13"/>
              </w:rPr>
            </w:pPr>
            <w:r w:rsidRPr="001F224B">
              <w:rPr>
                <w:b/>
                <w:bCs/>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tcPr>
          <w:p w14:paraId="30021B7D" w14:textId="78AC0D1D" w:rsidR="00DC2481" w:rsidRPr="001F224B" w:rsidRDefault="00DC2481" w:rsidP="00DC2481">
            <w:pPr>
              <w:jc w:val="right"/>
              <w:rPr>
                <w:b/>
                <w:bCs/>
                <w:color w:val="000000"/>
                <w:sz w:val="13"/>
                <w:szCs w:val="13"/>
              </w:rPr>
            </w:pPr>
            <w:r w:rsidRPr="001F224B">
              <w:rPr>
                <w:b/>
                <w:bCs/>
                <w:sz w:val="13"/>
                <w:szCs w:val="13"/>
              </w:rPr>
              <w:t>74.745</w:t>
            </w:r>
          </w:p>
        </w:tc>
      </w:tr>
      <w:tr w:rsidR="00DC2481" w:rsidRPr="001F224B" w14:paraId="39257913"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07ABBACD" w14:textId="77777777" w:rsidR="00DC2481" w:rsidRPr="001F224B" w:rsidRDefault="00DC2481" w:rsidP="00DC2481">
            <w:pPr>
              <w:rPr>
                <w:rFonts w:eastAsia="Arial Unicode MS"/>
                <w:sz w:val="13"/>
                <w:szCs w:val="13"/>
              </w:rPr>
            </w:pPr>
            <w:r w:rsidRPr="001F224B">
              <w:rPr>
                <w:b/>
                <w:bCs/>
                <w:sz w:val="13"/>
                <w:szCs w:val="13"/>
              </w:rPr>
              <w:t>VI.</w:t>
            </w:r>
          </w:p>
        </w:tc>
        <w:tc>
          <w:tcPr>
            <w:tcW w:w="4819" w:type="dxa"/>
            <w:tcBorders>
              <w:top w:val="nil"/>
              <w:left w:val="nil"/>
              <w:bottom w:val="nil"/>
              <w:right w:val="nil"/>
            </w:tcBorders>
            <w:noWrap/>
            <w:tcMar>
              <w:top w:w="18" w:type="dxa"/>
              <w:left w:w="18" w:type="dxa"/>
              <w:bottom w:w="0" w:type="dxa"/>
              <w:right w:w="18" w:type="dxa"/>
            </w:tcMar>
            <w:vAlign w:val="bottom"/>
          </w:tcPr>
          <w:p w14:paraId="6229F661" w14:textId="77777777" w:rsidR="00DC2481" w:rsidRPr="001F224B" w:rsidRDefault="00DC2481" w:rsidP="00DC2481">
            <w:pPr>
              <w:rPr>
                <w:rFonts w:eastAsia="Arial Unicode MS"/>
                <w:b/>
                <w:sz w:val="13"/>
                <w:szCs w:val="13"/>
              </w:rPr>
            </w:pPr>
            <w:r w:rsidRPr="001F224B">
              <w:rPr>
                <w:b/>
                <w:bCs/>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DDD202" w14:textId="1AFE22C3" w:rsidR="00DC2481" w:rsidRPr="001F224B" w:rsidRDefault="00DC2481" w:rsidP="00DC2481">
            <w:pPr>
              <w:jc w:val="center"/>
              <w:rPr>
                <w:rFonts w:eastAsia="Arial Unicode MS"/>
                <w:b/>
                <w:sz w:val="13"/>
                <w:szCs w:val="13"/>
              </w:rPr>
            </w:pPr>
            <w:r w:rsidRPr="001F224B">
              <w:rPr>
                <w:b/>
                <w:bCs/>
                <w:sz w:val="13"/>
                <w:szCs w:val="13"/>
              </w:rPr>
              <w:t>(7)</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CE90B6" w14:textId="6B4CE044" w:rsidR="00DC2481" w:rsidRPr="001F224B" w:rsidRDefault="00DC2481" w:rsidP="00DC2481">
            <w:pPr>
              <w:jc w:val="right"/>
              <w:rPr>
                <w:b/>
                <w:bCs/>
                <w:sz w:val="13"/>
                <w:szCs w:val="13"/>
              </w:rPr>
            </w:pPr>
            <w:r w:rsidRPr="001F224B">
              <w:rPr>
                <w:b/>
                <w:bCs/>
                <w:sz w:val="13"/>
                <w:szCs w:val="13"/>
              </w:rPr>
              <w:t>65.064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9264DD" w14:textId="078A83E9" w:rsidR="00DC2481" w:rsidRPr="001F224B" w:rsidRDefault="00DC2481" w:rsidP="00DC2481">
            <w:pPr>
              <w:jc w:val="right"/>
              <w:rPr>
                <w:b/>
                <w:bCs/>
                <w:sz w:val="13"/>
                <w:szCs w:val="13"/>
              </w:rPr>
            </w:pPr>
            <w:r w:rsidRPr="001F224B">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346ED2" w14:textId="0AEFD90D" w:rsidR="00DC2481" w:rsidRPr="001F224B" w:rsidRDefault="00DC2481" w:rsidP="00DC2481">
            <w:pPr>
              <w:jc w:val="right"/>
              <w:rPr>
                <w:b/>
                <w:bCs/>
                <w:sz w:val="13"/>
                <w:szCs w:val="13"/>
              </w:rPr>
            </w:pPr>
            <w:r w:rsidRPr="001F224B">
              <w:rPr>
                <w:b/>
                <w:bCs/>
                <w:sz w:val="13"/>
                <w:szCs w:val="13"/>
              </w:rPr>
              <w:t>65.064</w:t>
            </w:r>
          </w:p>
        </w:tc>
        <w:tc>
          <w:tcPr>
            <w:tcW w:w="753" w:type="dxa"/>
            <w:tcBorders>
              <w:top w:val="nil"/>
              <w:left w:val="nil"/>
              <w:bottom w:val="nil"/>
              <w:right w:val="single" w:sz="4" w:space="0" w:color="auto"/>
            </w:tcBorders>
            <w:shd w:val="clear" w:color="auto" w:fill="auto"/>
          </w:tcPr>
          <w:p w14:paraId="528C1D91" w14:textId="7AAB6566" w:rsidR="00DC2481" w:rsidRPr="001F224B" w:rsidRDefault="00DC2481" w:rsidP="00DC2481">
            <w:pPr>
              <w:jc w:val="right"/>
              <w:rPr>
                <w:b/>
                <w:bCs/>
                <w:color w:val="000000"/>
                <w:sz w:val="13"/>
                <w:szCs w:val="13"/>
              </w:rPr>
            </w:pPr>
            <w:r w:rsidRPr="001F224B">
              <w:rPr>
                <w:b/>
                <w:bCs/>
                <w:sz w:val="13"/>
                <w:szCs w:val="13"/>
              </w:rPr>
              <w:t>52.182</w:t>
            </w:r>
          </w:p>
        </w:tc>
        <w:tc>
          <w:tcPr>
            <w:tcW w:w="756" w:type="dxa"/>
            <w:tcBorders>
              <w:top w:val="nil"/>
              <w:left w:val="single" w:sz="4" w:space="0" w:color="auto"/>
              <w:bottom w:val="nil"/>
              <w:right w:val="single" w:sz="4" w:space="0" w:color="auto"/>
            </w:tcBorders>
            <w:shd w:val="clear" w:color="auto" w:fill="auto"/>
          </w:tcPr>
          <w:p w14:paraId="6457351E" w14:textId="5AE69847" w:rsidR="00DC2481" w:rsidRPr="001F224B" w:rsidRDefault="00DC2481" w:rsidP="00DC2481">
            <w:pPr>
              <w:jc w:val="right"/>
              <w:rPr>
                <w:color w:val="000000"/>
                <w:sz w:val="13"/>
                <w:szCs w:val="13"/>
              </w:rPr>
            </w:pPr>
            <w:r w:rsidRPr="001F224B">
              <w:rPr>
                <w:b/>
                <w:bCs/>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tcPr>
          <w:p w14:paraId="009D99E4" w14:textId="740AFED3" w:rsidR="00DC2481" w:rsidRPr="001F224B" w:rsidRDefault="00DC2481" w:rsidP="00DC2481">
            <w:pPr>
              <w:jc w:val="right"/>
              <w:rPr>
                <w:b/>
                <w:bCs/>
                <w:color w:val="000000"/>
                <w:sz w:val="13"/>
                <w:szCs w:val="13"/>
              </w:rPr>
            </w:pPr>
            <w:r w:rsidRPr="001F224B">
              <w:rPr>
                <w:b/>
                <w:bCs/>
                <w:sz w:val="13"/>
                <w:szCs w:val="13"/>
              </w:rPr>
              <w:t>52.182</w:t>
            </w:r>
          </w:p>
        </w:tc>
      </w:tr>
      <w:tr w:rsidR="00DC2481" w:rsidRPr="001F224B" w14:paraId="36C9694B" w14:textId="77777777" w:rsidTr="00DF1771">
        <w:tc>
          <w:tcPr>
            <w:tcW w:w="426" w:type="dxa"/>
            <w:tcBorders>
              <w:top w:val="nil"/>
              <w:left w:val="single" w:sz="4" w:space="0" w:color="auto"/>
              <w:bottom w:val="nil"/>
              <w:right w:val="nil"/>
            </w:tcBorders>
            <w:noWrap/>
            <w:tcMar>
              <w:top w:w="18" w:type="dxa"/>
              <w:left w:w="18" w:type="dxa"/>
              <w:bottom w:w="0" w:type="dxa"/>
              <w:right w:w="18" w:type="dxa"/>
            </w:tcMar>
          </w:tcPr>
          <w:p w14:paraId="6DA29F0C" w14:textId="77777777" w:rsidR="00DC2481" w:rsidRPr="001F224B" w:rsidRDefault="00DC2481" w:rsidP="00DC2481">
            <w:pPr>
              <w:rPr>
                <w:rFonts w:eastAsia="Arial Unicode MS"/>
                <w:b/>
                <w:sz w:val="13"/>
                <w:szCs w:val="13"/>
              </w:rPr>
            </w:pPr>
            <w:r w:rsidRPr="001F224B">
              <w:rPr>
                <w:sz w:val="13"/>
                <w:szCs w:val="13"/>
              </w:rPr>
              <w:t>6.1</w:t>
            </w:r>
          </w:p>
        </w:tc>
        <w:tc>
          <w:tcPr>
            <w:tcW w:w="4819" w:type="dxa"/>
            <w:tcBorders>
              <w:top w:val="nil"/>
              <w:left w:val="nil"/>
              <w:bottom w:val="nil"/>
              <w:right w:val="nil"/>
            </w:tcBorders>
            <w:noWrap/>
            <w:tcMar>
              <w:top w:w="18" w:type="dxa"/>
              <w:left w:w="18" w:type="dxa"/>
              <w:bottom w:w="0" w:type="dxa"/>
              <w:right w:w="18" w:type="dxa"/>
            </w:tcMar>
            <w:vAlign w:val="bottom"/>
          </w:tcPr>
          <w:p w14:paraId="12BC902A" w14:textId="77777777" w:rsidR="00DC2481" w:rsidRPr="001F224B" w:rsidRDefault="00DC2481" w:rsidP="00DC2481">
            <w:pPr>
              <w:rPr>
                <w:rFonts w:eastAsia="Arial Unicode MS"/>
                <w:b/>
                <w:sz w:val="13"/>
                <w:szCs w:val="13"/>
              </w:rPr>
            </w:pPr>
            <w:r w:rsidRPr="001F224B">
              <w:rPr>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F35806" w14:textId="77777777" w:rsidR="00DC2481" w:rsidRPr="001F224B" w:rsidRDefault="00DC2481" w:rsidP="00DC2481">
            <w:pPr>
              <w:jc w:val="center"/>
              <w:rPr>
                <w:rFonts w:eastAsia="Arial Unicode MS"/>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84C3EF" w14:textId="44C171E4" w:rsidR="00DC2481" w:rsidRPr="001F224B" w:rsidRDefault="00DC2481" w:rsidP="00DC2481">
            <w:pPr>
              <w:jc w:val="right"/>
              <w:rPr>
                <w:sz w:val="13"/>
                <w:szCs w:val="13"/>
              </w:rPr>
            </w:pPr>
            <w:r w:rsidRPr="001F224B">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5D74ED" w14:textId="0FDFAD48" w:rsidR="00DC2481" w:rsidRPr="001F224B" w:rsidRDefault="00DC2481" w:rsidP="00DC2481">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5B7E6A" w14:textId="1BB0153C" w:rsidR="00DC2481" w:rsidRPr="001F224B" w:rsidRDefault="00DC2481" w:rsidP="00DC2481">
            <w:pPr>
              <w:jc w:val="right"/>
              <w:rPr>
                <w:sz w:val="13"/>
                <w:szCs w:val="13"/>
              </w:rPr>
            </w:pPr>
            <w:r w:rsidRPr="001F224B">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D0D8BF1" w14:textId="52807F73" w:rsidR="00DC2481" w:rsidRPr="001F224B" w:rsidRDefault="00DC2481" w:rsidP="00DC2481">
            <w:pPr>
              <w:jc w:val="right"/>
              <w:rPr>
                <w:sz w:val="13"/>
                <w:szCs w:val="13"/>
              </w:rPr>
            </w:pPr>
            <w:r w:rsidRPr="001F224B">
              <w:rPr>
                <w:color w:val="000000"/>
                <w:sz w:val="13"/>
                <w:szCs w:val="13"/>
              </w:rPr>
              <w:t>-</w:t>
            </w:r>
          </w:p>
        </w:tc>
        <w:tc>
          <w:tcPr>
            <w:tcW w:w="756" w:type="dxa"/>
            <w:tcBorders>
              <w:top w:val="nil"/>
              <w:left w:val="nil"/>
              <w:bottom w:val="nil"/>
              <w:right w:val="single" w:sz="4" w:space="0" w:color="auto"/>
            </w:tcBorders>
            <w:shd w:val="clear" w:color="auto" w:fill="auto"/>
            <w:vAlign w:val="bottom"/>
          </w:tcPr>
          <w:p w14:paraId="2BBE5174" w14:textId="541E5CD1" w:rsidR="00DC2481" w:rsidRPr="001F224B" w:rsidRDefault="00DC2481" w:rsidP="00DC2481">
            <w:pPr>
              <w:jc w:val="right"/>
              <w:rPr>
                <w:color w:val="000000"/>
                <w:sz w:val="13"/>
                <w:szCs w:val="13"/>
              </w:rPr>
            </w:pPr>
            <w:r w:rsidRPr="001F224B">
              <w:rPr>
                <w:color w:val="000000"/>
                <w:sz w:val="13"/>
                <w:szCs w:val="13"/>
              </w:rPr>
              <w:t>-</w:t>
            </w:r>
          </w:p>
        </w:tc>
        <w:tc>
          <w:tcPr>
            <w:tcW w:w="759" w:type="dxa"/>
            <w:tcBorders>
              <w:top w:val="nil"/>
              <w:left w:val="nil"/>
              <w:bottom w:val="nil"/>
              <w:right w:val="single" w:sz="4" w:space="0" w:color="auto"/>
            </w:tcBorders>
            <w:shd w:val="clear" w:color="auto" w:fill="auto"/>
            <w:vAlign w:val="bottom"/>
          </w:tcPr>
          <w:p w14:paraId="3F478BC2" w14:textId="23655FDA" w:rsidR="00DC2481" w:rsidRPr="001F224B" w:rsidRDefault="00DC2481" w:rsidP="00DC2481">
            <w:pPr>
              <w:jc w:val="right"/>
              <w:rPr>
                <w:sz w:val="13"/>
                <w:szCs w:val="13"/>
              </w:rPr>
            </w:pPr>
            <w:r w:rsidRPr="001F224B">
              <w:rPr>
                <w:color w:val="000000"/>
                <w:sz w:val="13"/>
                <w:szCs w:val="13"/>
              </w:rPr>
              <w:t>-</w:t>
            </w:r>
          </w:p>
        </w:tc>
      </w:tr>
      <w:tr w:rsidR="00DC2481" w:rsidRPr="001F224B" w14:paraId="711238C8"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67D93796" w14:textId="77777777" w:rsidR="00DC2481" w:rsidRPr="001F224B" w:rsidRDefault="00DC2481" w:rsidP="00DC2481">
            <w:pPr>
              <w:rPr>
                <w:rFonts w:eastAsia="Arial Unicode MS"/>
                <w:sz w:val="13"/>
                <w:szCs w:val="13"/>
              </w:rPr>
            </w:pPr>
            <w:r w:rsidRPr="001F224B">
              <w:rPr>
                <w:sz w:val="13"/>
                <w:szCs w:val="13"/>
              </w:rPr>
              <w:t>6.2</w:t>
            </w:r>
          </w:p>
        </w:tc>
        <w:tc>
          <w:tcPr>
            <w:tcW w:w="4819" w:type="dxa"/>
            <w:tcBorders>
              <w:top w:val="nil"/>
              <w:left w:val="nil"/>
              <w:bottom w:val="nil"/>
              <w:right w:val="nil"/>
            </w:tcBorders>
            <w:noWrap/>
            <w:tcMar>
              <w:top w:w="18" w:type="dxa"/>
              <w:left w:w="18" w:type="dxa"/>
              <w:bottom w:w="0" w:type="dxa"/>
              <w:right w:w="18" w:type="dxa"/>
            </w:tcMar>
            <w:vAlign w:val="bottom"/>
          </w:tcPr>
          <w:p w14:paraId="1336716D" w14:textId="77777777" w:rsidR="00DC2481" w:rsidRPr="001F224B" w:rsidRDefault="00DC2481" w:rsidP="00DC2481">
            <w:pPr>
              <w:rPr>
                <w:rFonts w:eastAsia="Arial Unicode MS"/>
                <w:sz w:val="13"/>
                <w:szCs w:val="13"/>
              </w:rPr>
            </w:pPr>
            <w:r w:rsidRPr="001F224B">
              <w:rPr>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AA26B6" w14:textId="77777777" w:rsidR="00DC2481" w:rsidRPr="001F224B" w:rsidRDefault="00DC2481" w:rsidP="00DC2481">
            <w:pPr>
              <w:jc w:val="center"/>
              <w:rPr>
                <w:rFonts w:eastAsia="Arial Unicode MS"/>
                <w:b/>
                <w:sz w:val="13"/>
                <w:szCs w:val="13"/>
              </w:rPr>
            </w:pPr>
            <w:r w:rsidRPr="001F224B">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9BCBDD" w14:textId="6E0C0C5B" w:rsidR="00DC2481" w:rsidRPr="001F224B" w:rsidRDefault="00DC2481" w:rsidP="00DC2481">
            <w:pPr>
              <w:jc w:val="right"/>
              <w:rPr>
                <w:sz w:val="13"/>
                <w:szCs w:val="13"/>
              </w:rPr>
            </w:pPr>
            <w:r w:rsidRPr="001F224B">
              <w:rPr>
                <w:sz w:val="13"/>
                <w:szCs w:val="13"/>
              </w:rPr>
              <w:t>65.064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E8BC84" w14:textId="4AC7181A" w:rsidR="00DC2481" w:rsidRPr="001F224B" w:rsidRDefault="00DC2481" w:rsidP="00DC2481">
            <w:pPr>
              <w:jc w:val="right"/>
              <w:rPr>
                <w:sz w:val="13"/>
                <w:szCs w:val="13"/>
              </w:rPr>
            </w:pPr>
            <w:r w:rsidRPr="001F224B">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950EFB" w14:textId="5657C274" w:rsidR="00DC2481" w:rsidRPr="001F224B" w:rsidRDefault="00DC2481" w:rsidP="00DC2481">
            <w:pPr>
              <w:jc w:val="right"/>
              <w:rPr>
                <w:sz w:val="13"/>
                <w:szCs w:val="13"/>
              </w:rPr>
            </w:pPr>
            <w:r w:rsidRPr="001F224B">
              <w:rPr>
                <w:sz w:val="13"/>
                <w:szCs w:val="13"/>
              </w:rPr>
              <w:t>65.064</w:t>
            </w:r>
          </w:p>
        </w:tc>
        <w:tc>
          <w:tcPr>
            <w:tcW w:w="753" w:type="dxa"/>
            <w:tcBorders>
              <w:top w:val="nil"/>
              <w:left w:val="nil"/>
              <w:bottom w:val="nil"/>
              <w:right w:val="single" w:sz="4" w:space="0" w:color="auto"/>
            </w:tcBorders>
            <w:shd w:val="clear" w:color="auto" w:fill="auto"/>
          </w:tcPr>
          <w:p w14:paraId="376CBD21" w14:textId="394D7549" w:rsidR="00DC2481" w:rsidRPr="001F224B" w:rsidRDefault="00DC2481" w:rsidP="00DC2481">
            <w:pPr>
              <w:jc w:val="right"/>
              <w:rPr>
                <w:color w:val="000000"/>
                <w:sz w:val="13"/>
                <w:szCs w:val="13"/>
              </w:rPr>
            </w:pPr>
            <w:r w:rsidRPr="001F224B">
              <w:rPr>
                <w:sz w:val="13"/>
                <w:szCs w:val="13"/>
              </w:rPr>
              <w:t>52.182</w:t>
            </w:r>
          </w:p>
        </w:tc>
        <w:tc>
          <w:tcPr>
            <w:tcW w:w="756" w:type="dxa"/>
            <w:tcBorders>
              <w:top w:val="nil"/>
              <w:left w:val="single" w:sz="4" w:space="0" w:color="auto"/>
              <w:bottom w:val="nil"/>
              <w:right w:val="single" w:sz="4" w:space="0" w:color="auto"/>
            </w:tcBorders>
            <w:shd w:val="clear" w:color="auto" w:fill="auto"/>
          </w:tcPr>
          <w:p w14:paraId="61A05DE6" w14:textId="7379CAC2" w:rsidR="00DC2481" w:rsidRPr="001F224B" w:rsidRDefault="00DC2481" w:rsidP="00DC2481">
            <w:pPr>
              <w:jc w:val="right"/>
              <w:rPr>
                <w:color w:val="000000"/>
                <w:sz w:val="13"/>
                <w:szCs w:val="13"/>
              </w:rPr>
            </w:pPr>
            <w:r w:rsidRPr="001F224B">
              <w:rPr>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tcPr>
          <w:p w14:paraId="603F2242" w14:textId="7FF1AA94" w:rsidR="00DC2481" w:rsidRPr="001F224B" w:rsidRDefault="00DC2481" w:rsidP="00DC2481">
            <w:pPr>
              <w:jc w:val="right"/>
              <w:rPr>
                <w:color w:val="000000"/>
                <w:sz w:val="13"/>
                <w:szCs w:val="13"/>
              </w:rPr>
            </w:pPr>
            <w:r w:rsidRPr="001F224B">
              <w:rPr>
                <w:sz w:val="13"/>
                <w:szCs w:val="13"/>
              </w:rPr>
              <w:t>52.182</w:t>
            </w:r>
          </w:p>
        </w:tc>
      </w:tr>
      <w:tr w:rsidR="00DC2481" w:rsidRPr="001F224B" w14:paraId="624A0CA3" w14:textId="77777777" w:rsidTr="00B45198">
        <w:tc>
          <w:tcPr>
            <w:tcW w:w="426" w:type="dxa"/>
            <w:tcBorders>
              <w:top w:val="nil"/>
              <w:left w:val="single" w:sz="4" w:space="0" w:color="auto"/>
              <w:bottom w:val="nil"/>
              <w:right w:val="nil"/>
            </w:tcBorders>
            <w:noWrap/>
            <w:tcMar>
              <w:top w:w="18" w:type="dxa"/>
              <w:left w:w="18" w:type="dxa"/>
              <w:bottom w:w="0" w:type="dxa"/>
              <w:right w:w="18" w:type="dxa"/>
            </w:tcMar>
          </w:tcPr>
          <w:p w14:paraId="631945B1" w14:textId="77777777" w:rsidR="00DC2481" w:rsidRPr="001F224B" w:rsidRDefault="00DC2481" w:rsidP="00DC2481">
            <w:pPr>
              <w:rPr>
                <w:rFonts w:eastAsia="Arial Unicode MS"/>
                <w:sz w:val="13"/>
                <w:szCs w:val="13"/>
              </w:rPr>
            </w:pPr>
            <w:r w:rsidRPr="001F224B">
              <w:rP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5B938D03" w14:textId="77777777" w:rsidR="00DC2481" w:rsidRPr="001F224B" w:rsidRDefault="00DC2481" w:rsidP="00DC2481">
            <w:pPr>
              <w:rPr>
                <w:rFonts w:eastAsia="Arial Unicode MS"/>
                <w:b/>
                <w:sz w:val="13"/>
                <w:szCs w:val="13"/>
              </w:rPr>
            </w:pPr>
            <w:r w:rsidRPr="001F224B">
              <w:rPr>
                <w:b/>
                <w:bCs/>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69593A4" w14:textId="6C1EE8F8" w:rsidR="00DC2481" w:rsidRPr="001F224B" w:rsidRDefault="00DC2481" w:rsidP="00DC2481">
            <w:pPr>
              <w:jc w:val="center"/>
              <w:rPr>
                <w:rFonts w:eastAsia="Arial Unicode MS"/>
                <w:b/>
                <w:sz w:val="13"/>
                <w:szCs w:val="13"/>
              </w:rPr>
            </w:pPr>
            <w:r w:rsidRPr="001F224B">
              <w:rPr>
                <w:b/>
                <w:bCs/>
                <w:sz w:val="13"/>
                <w:szCs w:val="13"/>
              </w:rPr>
              <w:t>(8)</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4DD577" w14:textId="156C9B2A" w:rsidR="00DC2481" w:rsidRPr="001F224B" w:rsidRDefault="00DC2481" w:rsidP="00DC2481">
            <w:pPr>
              <w:jc w:val="right"/>
              <w:rPr>
                <w:sz w:val="13"/>
                <w:szCs w:val="13"/>
              </w:rPr>
            </w:pPr>
            <w:r w:rsidRPr="001F224B">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031CBC" w14:textId="69EDA627" w:rsidR="00DC2481" w:rsidRPr="001F224B" w:rsidRDefault="00DC2481" w:rsidP="00DC2481">
            <w:pPr>
              <w:jc w:val="right"/>
              <w:rPr>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721E5A" w14:textId="364B71A3" w:rsidR="00DC2481" w:rsidRPr="001F224B" w:rsidRDefault="00DC2481" w:rsidP="00DC2481">
            <w:pPr>
              <w:jc w:val="right"/>
              <w:rPr>
                <w:sz w:val="13"/>
                <w:szCs w:val="13"/>
              </w:rPr>
            </w:pPr>
            <w:r w:rsidRPr="001F224B">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2B035C88" w14:textId="657A6851" w:rsidR="00DC2481" w:rsidRPr="001F224B" w:rsidRDefault="00DC2481" w:rsidP="00DC2481">
            <w:pPr>
              <w:jc w:val="right"/>
              <w:rPr>
                <w:b/>
                <w:bCs/>
                <w:color w:val="000000"/>
                <w:sz w:val="13"/>
                <w:szCs w:val="13"/>
              </w:rPr>
            </w:pPr>
            <w:r w:rsidRPr="001F224B">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3B018E5F" w14:textId="51A45970" w:rsidR="00DC2481" w:rsidRPr="001F224B" w:rsidRDefault="00DC2481" w:rsidP="00DC2481">
            <w:pPr>
              <w:jc w:val="right"/>
              <w:rPr>
                <w:b/>
                <w:bCs/>
                <w:color w:val="000000"/>
                <w:sz w:val="13"/>
                <w:szCs w:val="13"/>
              </w:rPr>
            </w:pPr>
            <w:r w:rsidRPr="001F224B">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45BF987F" w14:textId="30E690C5" w:rsidR="00DC2481" w:rsidRPr="001F224B" w:rsidRDefault="00DC2481" w:rsidP="00DC2481">
            <w:pPr>
              <w:jc w:val="right"/>
              <w:rPr>
                <w:b/>
                <w:bCs/>
                <w:color w:val="000000"/>
                <w:sz w:val="13"/>
                <w:szCs w:val="13"/>
              </w:rPr>
            </w:pPr>
            <w:r w:rsidRPr="001F224B">
              <w:rPr>
                <w:b/>
                <w:bCs/>
                <w:color w:val="000000"/>
                <w:sz w:val="13"/>
                <w:szCs w:val="13"/>
              </w:rPr>
              <w:t>-</w:t>
            </w:r>
          </w:p>
        </w:tc>
      </w:tr>
      <w:tr w:rsidR="00DC2481" w:rsidRPr="001F224B" w14:paraId="2CD2A031" w14:textId="77777777" w:rsidTr="0023338F">
        <w:tc>
          <w:tcPr>
            <w:tcW w:w="426" w:type="dxa"/>
            <w:tcBorders>
              <w:top w:val="nil"/>
              <w:left w:val="single" w:sz="4" w:space="0" w:color="auto"/>
              <w:bottom w:val="nil"/>
              <w:right w:val="nil"/>
            </w:tcBorders>
            <w:noWrap/>
            <w:tcMar>
              <w:top w:w="18" w:type="dxa"/>
              <w:left w:w="18" w:type="dxa"/>
              <w:bottom w:w="0" w:type="dxa"/>
              <w:right w:w="18" w:type="dxa"/>
            </w:tcMar>
          </w:tcPr>
          <w:p w14:paraId="4DD3B483" w14:textId="77777777" w:rsidR="00DC2481" w:rsidRPr="001F224B" w:rsidRDefault="00DC2481" w:rsidP="00DC2481">
            <w:pPr>
              <w:rPr>
                <w:rFonts w:eastAsia="Arial Unicode MS"/>
                <w:b/>
                <w:sz w:val="13"/>
                <w:szCs w:val="13"/>
              </w:rPr>
            </w:pPr>
            <w:r w:rsidRPr="001F224B">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DC0E3A0" w14:textId="77777777" w:rsidR="00DC2481" w:rsidRPr="001F224B" w:rsidRDefault="00DC2481" w:rsidP="00DC2481">
            <w:pPr>
              <w:rPr>
                <w:rFonts w:eastAsia="Arial Unicode MS"/>
                <w:b/>
                <w:sz w:val="13"/>
                <w:szCs w:val="13"/>
              </w:rPr>
            </w:pPr>
            <w:r w:rsidRPr="001F224B">
              <w:rPr>
                <w:b/>
                <w:bCs/>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E94963" w14:textId="5FCDC8DC" w:rsidR="00DC2481" w:rsidRPr="001F224B" w:rsidRDefault="00DC2481" w:rsidP="00DC2481">
            <w:pPr>
              <w:jc w:val="center"/>
              <w:rPr>
                <w:rFonts w:eastAsia="Arial Unicode MS"/>
                <w:b/>
                <w:sz w:val="13"/>
                <w:szCs w:val="13"/>
              </w:rPr>
            </w:pPr>
            <w:r w:rsidRPr="001F224B">
              <w:rPr>
                <w:b/>
                <w:bCs/>
                <w:sz w:val="13"/>
                <w:szCs w:val="13"/>
              </w:rPr>
              <w:t>(9)</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FB15A1E" w14:textId="7CF935FB" w:rsidR="00DC2481" w:rsidRPr="001F224B" w:rsidRDefault="00DC2481" w:rsidP="00DC2481">
            <w:pPr>
              <w:jc w:val="right"/>
              <w:rPr>
                <w:b/>
                <w:bCs/>
                <w:sz w:val="13"/>
                <w:szCs w:val="13"/>
              </w:rPr>
            </w:pPr>
            <w:r w:rsidRPr="001F224B">
              <w:rPr>
                <w:b/>
                <w:bCs/>
                <w:sz w:val="13"/>
                <w:szCs w:val="13"/>
              </w:rPr>
              <w:t>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B142E" w14:textId="0C48959D" w:rsidR="00DC2481" w:rsidRPr="001F224B" w:rsidRDefault="00DC2481" w:rsidP="00DC2481">
            <w:pPr>
              <w:jc w:val="right"/>
              <w:rPr>
                <w:b/>
                <w:bCs/>
                <w:sz w:val="13"/>
                <w:szCs w:val="13"/>
              </w:rPr>
            </w:pPr>
            <w:r w:rsidRPr="001F224B">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A1F60A" w14:textId="7D626AC9" w:rsidR="00DC2481" w:rsidRPr="001F224B" w:rsidRDefault="00DC2481" w:rsidP="00DC2481">
            <w:pPr>
              <w:jc w:val="right"/>
              <w:rPr>
                <w:b/>
                <w:bCs/>
                <w:sz w:val="13"/>
                <w:szCs w:val="13"/>
              </w:rPr>
            </w:pPr>
            <w:r w:rsidRPr="001F224B">
              <w:rPr>
                <w:b/>
                <w:bCs/>
                <w:sz w:val="13"/>
                <w:szCs w:val="13"/>
              </w:rPr>
              <w:t>2</w:t>
            </w:r>
          </w:p>
        </w:tc>
        <w:tc>
          <w:tcPr>
            <w:tcW w:w="753" w:type="dxa"/>
            <w:tcBorders>
              <w:top w:val="nil"/>
              <w:left w:val="single" w:sz="4" w:space="0" w:color="auto"/>
              <w:bottom w:val="nil"/>
              <w:right w:val="single" w:sz="4" w:space="0" w:color="auto"/>
            </w:tcBorders>
            <w:shd w:val="clear" w:color="auto" w:fill="auto"/>
          </w:tcPr>
          <w:p w14:paraId="0C68A27F" w14:textId="4E1D9B0B" w:rsidR="00DC2481" w:rsidRPr="001F224B" w:rsidRDefault="00DC2481" w:rsidP="00DC2481">
            <w:pPr>
              <w:jc w:val="right"/>
              <w:rPr>
                <w:sz w:val="13"/>
                <w:szCs w:val="13"/>
              </w:rPr>
            </w:pPr>
            <w:r w:rsidRPr="001F224B">
              <w:rPr>
                <w:b/>
                <w:bCs/>
                <w:sz w:val="13"/>
                <w:szCs w:val="13"/>
              </w:rPr>
              <w:t>9</w:t>
            </w:r>
          </w:p>
        </w:tc>
        <w:tc>
          <w:tcPr>
            <w:tcW w:w="756" w:type="dxa"/>
            <w:tcBorders>
              <w:top w:val="nil"/>
              <w:left w:val="nil"/>
              <w:bottom w:val="nil"/>
              <w:right w:val="single" w:sz="4" w:space="0" w:color="auto"/>
            </w:tcBorders>
            <w:shd w:val="clear" w:color="auto" w:fill="auto"/>
            <w:vAlign w:val="bottom"/>
          </w:tcPr>
          <w:p w14:paraId="252E92D8" w14:textId="6C4EF588" w:rsidR="00DC2481" w:rsidRPr="001F224B" w:rsidRDefault="00DC2481" w:rsidP="00DC2481">
            <w:pPr>
              <w:jc w:val="right"/>
              <w:rPr>
                <w:color w:val="000000"/>
                <w:sz w:val="13"/>
                <w:szCs w:val="13"/>
              </w:rPr>
            </w:pPr>
            <w:r w:rsidRPr="001F224B">
              <w:rPr>
                <w:b/>
                <w:bCs/>
                <w:color w:val="000000"/>
                <w:sz w:val="13"/>
                <w:szCs w:val="13"/>
              </w:rPr>
              <w:t>-</w:t>
            </w:r>
          </w:p>
        </w:tc>
        <w:tc>
          <w:tcPr>
            <w:tcW w:w="759" w:type="dxa"/>
            <w:tcBorders>
              <w:top w:val="nil"/>
              <w:left w:val="nil"/>
              <w:bottom w:val="nil"/>
              <w:right w:val="single" w:sz="4" w:space="0" w:color="auto"/>
            </w:tcBorders>
            <w:shd w:val="clear" w:color="auto" w:fill="auto"/>
          </w:tcPr>
          <w:p w14:paraId="06C41E7F" w14:textId="0930DBF1" w:rsidR="00DC2481" w:rsidRPr="001F224B" w:rsidRDefault="00DC2481" w:rsidP="00DC2481">
            <w:pPr>
              <w:jc w:val="right"/>
              <w:rPr>
                <w:sz w:val="13"/>
                <w:szCs w:val="13"/>
              </w:rPr>
            </w:pPr>
            <w:r w:rsidRPr="001F224B">
              <w:rPr>
                <w:b/>
                <w:bCs/>
                <w:sz w:val="13"/>
                <w:szCs w:val="13"/>
              </w:rPr>
              <w:t>9</w:t>
            </w:r>
          </w:p>
        </w:tc>
      </w:tr>
      <w:tr w:rsidR="00DC2481" w:rsidRPr="001F224B" w14:paraId="70EFA023"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2758382B" w14:textId="77777777" w:rsidR="00DC2481" w:rsidRPr="001F224B" w:rsidRDefault="00DC2481" w:rsidP="00DC2481">
            <w:pPr>
              <w:rPr>
                <w:rFonts w:eastAsia="Arial Unicode MS"/>
                <w:b/>
                <w:sz w:val="13"/>
                <w:szCs w:val="13"/>
              </w:rPr>
            </w:pPr>
            <w:r w:rsidRPr="001F224B">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7E6F7E38" w14:textId="77777777" w:rsidR="00DC2481" w:rsidRPr="001F224B" w:rsidRDefault="00DC2481" w:rsidP="00DC2481">
            <w:pPr>
              <w:rPr>
                <w:rFonts w:eastAsia="Arial Unicode MS"/>
                <w:b/>
                <w:sz w:val="13"/>
                <w:szCs w:val="13"/>
              </w:rPr>
            </w:pPr>
            <w:r w:rsidRPr="001F224B">
              <w:rPr>
                <w:b/>
                <w:bCs/>
                <w:sz w:val="13"/>
                <w:szCs w:val="13"/>
              </w:rPr>
              <w:t xml:space="preserve">ERTELENMİŞ VERGİ VARLIĞI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64A17D1" w14:textId="25CF96D9" w:rsidR="00DC2481" w:rsidRPr="001F224B" w:rsidRDefault="00DC2481" w:rsidP="00DC2481">
            <w:pPr>
              <w:jc w:val="center"/>
              <w:rPr>
                <w:rFonts w:eastAsia="Arial Unicode MS"/>
                <w:b/>
                <w:sz w:val="13"/>
                <w:szCs w:val="13"/>
              </w:rPr>
            </w:pPr>
            <w:r w:rsidRPr="001F224B">
              <w:rPr>
                <w:b/>
                <w:bCs/>
                <w:sz w:val="13"/>
                <w:szCs w:val="13"/>
              </w:rPr>
              <w:t>(10)</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806EF0" w14:textId="0FC16664" w:rsidR="00DC2481" w:rsidRPr="001F224B" w:rsidRDefault="00DC2481" w:rsidP="00DC2481">
            <w:pPr>
              <w:jc w:val="right"/>
              <w:rPr>
                <w:b/>
                <w:bCs/>
                <w:sz w:val="13"/>
                <w:szCs w:val="13"/>
              </w:rPr>
            </w:pPr>
            <w:r w:rsidRPr="001F224B">
              <w:rPr>
                <w:b/>
                <w:bCs/>
                <w:sz w:val="13"/>
                <w:szCs w:val="13"/>
              </w:rPr>
              <w:t>477.106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2CC800" w14:textId="40A98252" w:rsidR="00DC2481" w:rsidRPr="001F224B" w:rsidRDefault="00DC2481" w:rsidP="00DC2481">
            <w:pPr>
              <w:jc w:val="right"/>
              <w:rPr>
                <w:b/>
                <w:bCs/>
                <w:sz w:val="13"/>
                <w:szCs w:val="13"/>
              </w:rPr>
            </w:pPr>
            <w:r w:rsidRPr="001F224B">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018789" w14:textId="665EC77F" w:rsidR="00DC2481" w:rsidRPr="001F224B" w:rsidRDefault="00DC2481" w:rsidP="00DC2481">
            <w:pPr>
              <w:jc w:val="right"/>
              <w:rPr>
                <w:b/>
                <w:bCs/>
                <w:sz w:val="13"/>
                <w:szCs w:val="13"/>
              </w:rPr>
            </w:pPr>
            <w:r w:rsidRPr="001F224B">
              <w:rPr>
                <w:b/>
                <w:bCs/>
                <w:sz w:val="13"/>
                <w:szCs w:val="13"/>
              </w:rPr>
              <w:t>477.106</w:t>
            </w:r>
          </w:p>
        </w:tc>
        <w:tc>
          <w:tcPr>
            <w:tcW w:w="753" w:type="dxa"/>
            <w:tcBorders>
              <w:top w:val="nil"/>
              <w:left w:val="nil"/>
              <w:bottom w:val="nil"/>
              <w:right w:val="single" w:sz="4" w:space="0" w:color="auto"/>
            </w:tcBorders>
            <w:shd w:val="clear" w:color="auto" w:fill="auto"/>
          </w:tcPr>
          <w:p w14:paraId="6BB95CF2" w14:textId="6933DA34" w:rsidR="00DC2481" w:rsidRPr="001F224B" w:rsidRDefault="00DC2481" w:rsidP="00DC2481">
            <w:pPr>
              <w:jc w:val="right"/>
              <w:rPr>
                <w:sz w:val="13"/>
                <w:szCs w:val="13"/>
              </w:rPr>
            </w:pPr>
            <w:r w:rsidRPr="001F224B">
              <w:rPr>
                <w:b/>
                <w:bCs/>
                <w:sz w:val="13"/>
                <w:szCs w:val="13"/>
              </w:rPr>
              <w:t>479.355</w:t>
            </w:r>
          </w:p>
        </w:tc>
        <w:tc>
          <w:tcPr>
            <w:tcW w:w="756" w:type="dxa"/>
            <w:tcBorders>
              <w:top w:val="nil"/>
              <w:left w:val="single" w:sz="4" w:space="0" w:color="auto"/>
              <w:bottom w:val="nil"/>
              <w:right w:val="single" w:sz="4" w:space="0" w:color="auto"/>
            </w:tcBorders>
            <w:shd w:val="clear" w:color="auto" w:fill="auto"/>
          </w:tcPr>
          <w:p w14:paraId="412FA960" w14:textId="0D714A07" w:rsidR="00DC2481" w:rsidRPr="001F224B" w:rsidRDefault="00DC2481" w:rsidP="00DC2481">
            <w:pPr>
              <w:jc w:val="right"/>
              <w:rPr>
                <w:color w:val="000000"/>
                <w:sz w:val="13"/>
                <w:szCs w:val="13"/>
              </w:rPr>
            </w:pPr>
            <w:r w:rsidRPr="001F224B">
              <w:rPr>
                <w:b/>
                <w:bCs/>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tcPr>
          <w:p w14:paraId="5C818C48" w14:textId="5FE81995" w:rsidR="00DC2481" w:rsidRPr="001F224B" w:rsidRDefault="00DC2481" w:rsidP="00DC2481">
            <w:pPr>
              <w:jc w:val="right"/>
              <w:rPr>
                <w:sz w:val="13"/>
                <w:szCs w:val="13"/>
              </w:rPr>
            </w:pPr>
            <w:r w:rsidRPr="001F224B">
              <w:rPr>
                <w:b/>
                <w:bCs/>
                <w:sz w:val="13"/>
                <w:szCs w:val="13"/>
              </w:rPr>
              <w:t>479.355</w:t>
            </w:r>
          </w:p>
        </w:tc>
      </w:tr>
      <w:tr w:rsidR="00DC2481" w:rsidRPr="001F224B" w14:paraId="1731C4BC"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33DF53D4" w14:textId="77777777" w:rsidR="00DC2481" w:rsidRPr="001F224B" w:rsidRDefault="00DC2481" w:rsidP="00DC2481">
            <w:pPr>
              <w:rPr>
                <w:rFonts w:eastAsia="Arial Unicode MS"/>
                <w:sz w:val="13"/>
                <w:szCs w:val="13"/>
              </w:rPr>
            </w:pPr>
            <w:r w:rsidRPr="001F224B">
              <w:rPr>
                <w:b/>
                <w:bCs/>
                <w:sz w:val="13"/>
                <w:szCs w:val="13"/>
              </w:rPr>
              <w:t>X.</w:t>
            </w:r>
          </w:p>
        </w:tc>
        <w:tc>
          <w:tcPr>
            <w:tcW w:w="4819" w:type="dxa"/>
            <w:tcBorders>
              <w:top w:val="nil"/>
              <w:left w:val="nil"/>
              <w:bottom w:val="nil"/>
              <w:right w:val="nil"/>
            </w:tcBorders>
            <w:noWrap/>
            <w:tcMar>
              <w:top w:w="18" w:type="dxa"/>
              <w:left w:w="18" w:type="dxa"/>
              <w:bottom w:w="0" w:type="dxa"/>
              <w:right w:w="18" w:type="dxa"/>
            </w:tcMar>
            <w:vAlign w:val="bottom"/>
          </w:tcPr>
          <w:p w14:paraId="199FC243" w14:textId="77777777" w:rsidR="00DC2481" w:rsidRPr="001F224B" w:rsidRDefault="00DC2481" w:rsidP="00DC2481">
            <w:pPr>
              <w:rPr>
                <w:rFonts w:eastAsia="Arial Unicode MS"/>
                <w:b/>
                <w:sz w:val="13"/>
                <w:szCs w:val="13"/>
              </w:rPr>
            </w:pPr>
            <w:r w:rsidRPr="001F224B">
              <w:rPr>
                <w:b/>
                <w:bCs/>
                <w:sz w:val="13"/>
                <w:szCs w:val="13"/>
              </w:rPr>
              <w:t xml:space="preserve">DİĞER AKTİFLER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EC3A71" w14:textId="01D0E441" w:rsidR="00DC2481" w:rsidRPr="001F224B" w:rsidRDefault="00DC2481" w:rsidP="00DC2481">
            <w:pPr>
              <w:jc w:val="center"/>
              <w:rPr>
                <w:rFonts w:eastAsia="Arial Unicode MS"/>
                <w:b/>
                <w:sz w:val="13"/>
                <w:szCs w:val="13"/>
              </w:rPr>
            </w:pPr>
          </w:p>
        </w:tc>
        <w:tc>
          <w:tcPr>
            <w:tcW w:w="767"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218ABA13" w14:textId="07E631EE" w:rsidR="00DC2481" w:rsidRPr="001F224B" w:rsidRDefault="00DC2481" w:rsidP="00DC2481">
            <w:pPr>
              <w:jc w:val="right"/>
              <w:rPr>
                <w:b/>
                <w:bCs/>
                <w:sz w:val="13"/>
                <w:szCs w:val="13"/>
              </w:rPr>
            </w:pPr>
            <w:r w:rsidRPr="001F224B">
              <w:rPr>
                <w:b/>
                <w:bCs/>
                <w:sz w:val="13"/>
                <w:szCs w:val="13"/>
              </w:rPr>
              <w:t>470.299</w:t>
            </w:r>
          </w:p>
        </w:tc>
        <w:tc>
          <w:tcPr>
            <w:tcW w:w="792"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62112725" w14:textId="5E65EBC3" w:rsidR="00DC2481" w:rsidRPr="001F224B" w:rsidRDefault="00DC2481" w:rsidP="00DC2481">
            <w:pPr>
              <w:jc w:val="right"/>
              <w:rPr>
                <w:b/>
                <w:bCs/>
                <w:sz w:val="13"/>
                <w:szCs w:val="13"/>
              </w:rPr>
            </w:pPr>
            <w:r w:rsidRPr="001F224B">
              <w:rPr>
                <w:b/>
                <w:bCs/>
                <w:sz w:val="13"/>
                <w:szCs w:val="13"/>
              </w:rPr>
              <w:t>273.126</w:t>
            </w:r>
          </w:p>
        </w:tc>
        <w:tc>
          <w:tcPr>
            <w:tcW w:w="709"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471791C7" w14:textId="6DE160DE" w:rsidR="00DC2481" w:rsidRPr="001F224B" w:rsidRDefault="00DC2481" w:rsidP="00DC2481">
            <w:pPr>
              <w:jc w:val="right"/>
              <w:rPr>
                <w:b/>
                <w:bCs/>
                <w:sz w:val="13"/>
                <w:szCs w:val="13"/>
              </w:rPr>
            </w:pPr>
            <w:r w:rsidRPr="001F224B">
              <w:rPr>
                <w:b/>
                <w:bCs/>
                <w:sz w:val="13"/>
                <w:szCs w:val="13"/>
              </w:rPr>
              <w:t>743.425</w:t>
            </w:r>
          </w:p>
        </w:tc>
        <w:tc>
          <w:tcPr>
            <w:tcW w:w="753" w:type="dxa"/>
            <w:tcBorders>
              <w:top w:val="nil"/>
              <w:left w:val="single" w:sz="4" w:space="0" w:color="auto"/>
              <w:bottom w:val="nil"/>
              <w:right w:val="single" w:sz="4" w:space="0" w:color="auto"/>
            </w:tcBorders>
            <w:shd w:val="clear" w:color="auto" w:fill="auto"/>
          </w:tcPr>
          <w:p w14:paraId="6E40693D" w14:textId="025A279A" w:rsidR="00DC2481" w:rsidRPr="001F224B" w:rsidRDefault="00DC2481" w:rsidP="00DC2481">
            <w:pPr>
              <w:jc w:val="right"/>
              <w:rPr>
                <w:b/>
                <w:bCs/>
                <w:color w:val="000000"/>
                <w:sz w:val="13"/>
                <w:szCs w:val="13"/>
              </w:rPr>
            </w:pPr>
            <w:r w:rsidRPr="001F224B">
              <w:rPr>
                <w:b/>
                <w:bCs/>
                <w:sz w:val="13"/>
                <w:szCs w:val="13"/>
              </w:rPr>
              <w:t>256.215</w:t>
            </w:r>
          </w:p>
        </w:tc>
        <w:tc>
          <w:tcPr>
            <w:tcW w:w="756" w:type="dxa"/>
            <w:tcBorders>
              <w:top w:val="nil"/>
              <w:left w:val="single" w:sz="4" w:space="0" w:color="auto"/>
              <w:bottom w:val="nil"/>
              <w:right w:val="single" w:sz="4" w:space="0" w:color="auto"/>
            </w:tcBorders>
            <w:shd w:val="clear" w:color="auto" w:fill="auto"/>
          </w:tcPr>
          <w:p w14:paraId="38124338" w14:textId="452622D5" w:rsidR="00DC2481" w:rsidRPr="001F224B" w:rsidRDefault="00DC2481" w:rsidP="00DC2481">
            <w:pPr>
              <w:jc w:val="right"/>
              <w:rPr>
                <w:b/>
                <w:bCs/>
                <w:color w:val="000000"/>
                <w:sz w:val="13"/>
                <w:szCs w:val="13"/>
              </w:rPr>
            </w:pPr>
            <w:r w:rsidRPr="001F224B">
              <w:rPr>
                <w:b/>
                <w:bCs/>
                <w:sz w:val="13"/>
                <w:szCs w:val="13"/>
              </w:rPr>
              <w:t>239.929</w:t>
            </w:r>
          </w:p>
        </w:tc>
        <w:tc>
          <w:tcPr>
            <w:tcW w:w="759" w:type="dxa"/>
            <w:tcBorders>
              <w:top w:val="nil"/>
              <w:left w:val="single" w:sz="4" w:space="0" w:color="auto"/>
              <w:bottom w:val="nil"/>
              <w:right w:val="single" w:sz="4" w:space="0" w:color="auto"/>
            </w:tcBorders>
            <w:shd w:val="clear" w:color="auto" w:fill="auto"/>
          </w:tcPr>
          <w:p w14:paraId="2FA99123" w14:textId="7247DA7E" w:rsidR="00DC2481" w:rsidRPr="001F224B" w:rsidRDefault="00DC2481" w:rsidP="00DC2481">
            <w:pPr>
              <w:jc w:val="right"/>
              <w:rPr>
                <w:b/>
                <w:bCs/>
                <w:color w:val="000000"/>
                <w:sz w:val="13"/>
                <w:szCs w:val="13"/>
              </w:rPr>
            </w:pPr>
            <w:r w:rsidRPr="001F224B">
              <w:rPr>
                <w:b/>
                <w:bCs/>
                <w:sz w:val="13"/>
                <w:szCs w:val="13"/>
              </w:rPr>
              <w:t>496.144</w:t>
            </w:r>
          </w:p>
        </w:tc>
      </w:tr>
      <w:tr w:rsidR="00DC2481" w:rsidRPr="001F224B" w14:paraId="53D36299" w14:textId="77777777" w:rsidTr="00D91D7B">
        <w:tc>
          <w:tcPr>
            <w:tcW w:w="426" w:type="dxa"/>
            <w:tcBorders>
              <w:top w:val="nil"/>
              <w:left w:val="single" w:sz="4" w:space="0" w:color="auto"/>
              <w:bottom w:val="nil"/>
              <w:right w:val="nil"/>
            </w:tcBorders>
            <w:noWrap/>
            <w:tcMar>
              <w:top w:w="18" w:type="dxa"/>
              <w:left w:w="18" w:type="dxa"/>
              <w:bottom w:w="0" w:type="dxa"/>
              <w:right w:w="18" w:type="dxa"/>
            </w:tcMar>
          </w:tcPr>
          <w:p w14:paraId="6B550BAE" w14:textId="77777777" w:rsidR="00DC2481" w:rsidRPr="001F224B" w:rsidRDefault="00DC2481" w:rsidP="00DC2481">
            <w:pPr>
              <w:rPr>
                <w:rFonts w:eastAsia="Arial Unicode MS"/>
                <w:sz w:val="13"/>
                <w:szCs w:val="13"/>
              </w:rPr>
            </w:pPr>
          </w:p>
        </w:tc>
        <w:tc>
          <w:tcPr>
            <w:tcW w:w="4819" w:type="dxa"/>
            <w:tcBorders>
              <w:top w:val="nil"/>
              <w:left w:val="nil"/>
              <w:bottom w:val="single" w:sz="4" w:space="0" w:color="auto"/>
              <w:right w:val="nil"/>
            </w:tcBorders>
            <w:noWrap/>
            <w:tcMar>
              <w:top w:w="18" w:type="dxa"/>
              <w:left w:w="18" w:type="dxa"/>
              <w:bottom w:w="0" w:type="dxa"/>
              <w:right w:w="18" w:type="dxa"/>
            </w:tcMar>
            <w:vAlign w:val="bottom"/>
          </w:tcPr>
          <w:p w14:paraId="38ADF292" w14:textId="77777777" w:rsidR="00DC2481" w:rsidRPr="001F224B" w:rsidRDefault="00DC2481" w:rsidP="00DC2481">
            <w:pPr>
              <w:rPr>
                <w:rFonts w:eastAsia="Arial Unicode MS"/>
                <w:b/>
                <w:sz w:val="13"/>
                <w:szCs w:val="13"/>
              </w:rPr>
            </w:pP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043F954C" w14:textId="77777777" w:rsidR="00DC2481" w:rsidRPr="001F224B" w:rsidRDefault="00DC2481" w:rsidP="00DC2481">
            <w:pPr>
              <w:jc w:val="center"/>
              <w:rPr>
                <w:rFonts w:eastAsia="Arial Unicode MS"/>
                <w:b/>
                <w:sz w:val="13"/>
                <w:szCs w:val="13"/>
              </w:rPr>
            </w:pPr>
          </w:p>
        </w:tc>
        <w:tc>
          <w:tcPr>
            <w:tcW w:w="767"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164F3850" w14:textId="7A4E090D" w:rsidR="00DC2481" w:rsidRPr="001F224B" w:rsidRDefault="00DC2481" w:rsidP="00DC2481">
            <w:pPr>
              <w:jc w:val="right"/>
              <w:rPr>
                <w:sz w:val="13"/>
                <w:szCs w:val="13"/>
              </w:rPr>
            </w:pPr>
          </w:p>
        </w:tc>
        <w:tc>
          <w:tcPr>
            <w:tcW w:w="79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78301546" w14:textId="1EBE20D9" w:rsidR="00DC2481" w:rsidRPr="001F224B" w:rsidRDefault="00DC2481" w:rsidP="00DC2481">
            <w:pPr>
              <w:jc w:val="right"/>
              <w:rPr>
                <w:sz w:val="13"/>
                <w:szCs w:val="13"/>
              </w:rPr>
            </w:pPr>
          </w:p>
        </w:tc>
        <w:tc>
          <w:tcPr>
            <w:tcW w:w="709"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67AD11D1" w14:textId="7EFEF8AC" w:rsidR="00DC2481" w:rsidRPr="001F224B" w:rsidRDefault="00DC2481" w:rsidP="00DC2481">
            <w:pPr>
              <w:jc w:val="right"/>
              <w:rPr>
                <w:sz w:val="13"/>
                <w:szCs w:val="13"/>
              </w:rPr>
            </w:pPr>
          </w:p>
        </w:tc>
        <w:tc>
          <w:tcPr>
            <w:tcW w:w="753" w:type="dxa"/>
            <w:tcBorders>
              <w:top w:val="nil"/>
              <w:left w:val="single" w:sz="4" w:space="0" w:color="auto"/>
              <w:bottom w:val="single" w:sz="4" w:space="0" w:color="auto"/>
              <w:right w:val="single" w:sz="4" w:space="0" w:color="auto"/>
            </w:tcBorders>
            <w:shd w:val="clear" w:color="auto" w:fill="auto"/>
          </w:tcPr>
          <w:p w14:paraId="759174A3" w14:textId="6C750940" w:rsidR="00DC2481" w:rsidRPr="001F224B" w:rsidRDefault="00DC2481" w:rsidP="00DC2481">
            <w:pPr>
              <w:jc w:val="right"/>
              <w:rPr>
                <w:color w:val="000000"/>
                <w:sz w:val="13"/>
                <w:szCs w:val="13"/>
              </w:rPr>
            </w:pPr>
          </w:p>
        </w:tc>
        <w:tc>
          <w:tcPr>
            <w:tcW w:w="756" w:type="dxa"/>
            <w:tcBorders>
              <w:top w:val="nil"/>
              <w:left w:val="nil"/>
              <w:bottom w:val="single" w:sz="4" w:space="0" w:color="auto"/>
              <w:right w:val="nil"/>
            </w:tcBorders>
            <w:shd w:val="clear" w:color="auto" w:fill="auto"/>
          </w:tcPr>
          <w:p w14:paraId="683478C3" w14:textId="77777777" w:rsidR="00DC2481" w:rsidRPr="001F224B" w:rsidRDefault="00DC2481" w:rsidP="00DC2481">
            <w:pPr>
              <w:jc w:val="right"/>
              <w:rPr>
                <w:color w:val="000000"/>
                <w:sz w:val="13"/>
                <w:szCs w:val="13"/>
              </w:rPr>
            </w:pPr>
          </w:p>
        </w:tc>
        <w:tc>
          <w:tcPr>
            <w:tcW w:w="759" w:type="dxa"/>
            <w:tcBorders>
              <w:top w:val="nil"/>
              <w:left w:val="single" w:sz="4" w:space="0" w:color="auto"/>
              <w:bottom w:val="single" w:sz="4" w:space="0" w:color="auto"/>
              <w:right w:val="single" w:sz="4" w:space="0" w:color="auto"/>
            </w:tcBorders>
            <w:shd w:val="clear" w:color="auto" w:fill="auto"/>
          </w:tcPr>
          <w:p w14:paraId="4009D23E" w14:textId="60F0CA9E" w:rsidR="00DC2481" w:rsidRPr="001F224B" w:rsidRDefault="00DC2481" w:rsidP="00DC2481">
            <w:pPr>
              <w:jc w:val="right"/>
              <w:rPr>
                <w:color w:val="000000"/>
                <w:sz w:val="13"/>
                <w:szCs w:val="13"/>
              </w:rPr>
            </w:pPr>
          </w:p>
        </w:tc>
      </w:tr>
      <w:tr w:rsidR="00DC2481" w:rsidRPr="001F224B" w14:paraId="7F3D663B" w14:textId="77777777" w:rsidTr="00D91D7B">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6F7A6BC2" w14:textId="77777777" w:rsidR="00DC2481" w:rsidRPr="001F224B" w:rsidRDefault="00DC2481" w:rsidP="00DC2481">
            <w:pPr>
              <w:rPr>
                <w:rFonts w:eastAsia="Arial Unicode MS"/>
                <w:b/>
                <w:sz w:val="13"/>
                <w:szCs w:val="13"/>
              </w:rPr>
            </w:pPr>
            <w:r w:rsidRPr="001F224B">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4684EC0F" w14:textId="77777777" w:rsidR="00DC2481" w:rsidRPr="001F224B" w:rsidRDefault="00DC2481" w:rsidP="00DC2481">
            <w:pPr>
              <w:rPr>
                <w:rFonts w:eastAsia="Arial Unicode MS"/>
                <w:b/>
                <w:sz w:val="13"/>
                <w:szCs w:val="13"/>
              </w:rPr>
            </w:pPr>
            <w:r w:rsidRPr="001F224B">
              <w:rPr>
                <w:rFonts w:eastAsia="Arial Unicode MS"/>
                <w:b/>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460DB94" w14:textId="77777777" w:rsidR="00DC2481" w:rsidRPr="001F224B" w:rsidRDefault="00DC2481" w:rsidP="00DC2481">
            <w:pPr>
              <w:jc w:val="center"/>
              <w:rPr>
                <w:rFonts w:eastAsia="Arial Unicode MS"/>
                <w:sz w:val="13"/>
                <w:szCs w:val="13"/>
              </w:rPr>
            </w:pPr>
          </w:p>
        </w:tc>
        <w:tc>
          <w:tcPr>
            <w:tcW w:w="767"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42D4BEB1" w14:textId="366266D2" w:rsidR="00DC2481" w:rsidRPr="001F224B" w:rsidRDefault="00DC2481" w:rsidP="00DC2481">
            <w:pPr>
              <w:jc w:val="right"/>
              <w:rPr>
                <w:b/>
                <w:bCs/>
                <w:sz w:val="13"/>
                <w:szCs w:val="13"/>
              </w:rPr>
            </w:pPr>
            <w:r w:rsidRPr="001F224B">
              <w:rPr>
                <w:b/>
                <w:bCs/>
                <w:sz w:val="13"/>
                <w:szCs w:val="13"/>
              </w:rPr>
              <w:t>67.824.195</w:t>
            </w:r>
          </w:p>
        </w:tc>
        <w:tc>
          <w:tcPr>
            <w:tcW w:w="792"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76A464F0" w14:textId="7CC2F361" w:rsidR="00DC2481" w:rsidRPr="001F224B" w:rsidRDefault="00DC2481" w:rsidP="00DC2481">
            <w:pPr>
              <w:jc w:val="right"/>
              <w:rPr>
                <w:b/>
                <w:bCs/>
                <w:sz w:val="13"/>
                <w:szCs w:val="13"/>
              </w:rPr>
            </w:pPr>
            <w:r w:rsidRPr="001F224B">
              <w:rPr>
                <w:b/>
                <w:bCs/>
                <w:sz w:val="13"/>
                <w:szCs w:val="13"/>
              </w:rPr>
              <w:t>117.668.000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1BC146D2" w14:textId="37CA295F" w:rsidR="00DC2481" w:rsidRPr="001F224B" w:rsidRDefault="00DC2481" w:rsidP="00DC2481">
            <w:pPr>
              <w:jc w:val="right"/>
              <w:rPr>
                <w:b/>
                <w:bCs/>
                <w:sz w:val="13"/>
                <w:szCs w:val="13"/>
              </w:rPr>
            </w:pPr>
            <w:r w:rsidRPr="001F224B">
              <w:rPr>
                <w:b/>
                <w:bCs/>
                <w:sz w:val="13"/>
                <w:szCs w:val="13"/>
              </w:rPr>
              <w:t>185.492.195</w:t>
            </w:r>
          </w:p>
        </w:tc>
        <w:tc>
          <w:tcPr>
            <w:tcW w:w="753" w:type="dxa"/>
            <w:tcBorders>
              <w:top w:val="single" w:sz="4" w:space="0" w:color="auto"/>
              <w:left w:val="nil"/>
              <w:bottom w:val="single" w:sz="4" w:space="0" w:color="auto"/>
              <w:right w:val="single" w:sz="4" w:space="0" w:color="auto"/>
            </w:tcBorders>
            <w:shd w:val="clear" w:color="auto" w:fill="auto"/>
          </w:tcPr>
          <w:p w14:paraId="60C6B509" w14:textId="1B7287A0" w:rsidR="00DC2481" w:rsidRPr="001F224B" w:rsidRDefault="00DC2481" w:rsidP="00DC2481">
            <w:pPr>
              <w:jc w:val="right"/>
              <w:rPr>
                <w:b/>
                <w:bCs/>
                <w:color w:val="000000"/>
                <w:sz w:val="13"/>
                <w:szCs w:val="13"/>
              </w:rPr>
            </w:pPr>
            <w:r w:rsidRPr="001F224B">
              <w:rPr>
                <w:b/>
                <w:bCs/>
                <w:sz w:val="13"/>
                <w:szCs w:val="13"/>
              </w:rPr>
              <w:t>57.122.595</w:t>
            </w:r>
          </w:p>
        </w:tc>
        <w:tc>
          <w:tcPr>
            <w:tcW w:w="756" w:type="dxa"/>
            <w:tcBorders>
              <w:top w:val="single" w:sz="4" w:space="0" w:color="auto"/>
              <w:left w:val="single" w:sz="4" w:space="0" w:color="auto"/>
              <w:bottom w:val="single" w:sz="4" w:space="0" w:color="auto"/>
              <w:right w:val="single" w:sz="4" w:space="0" w:color="auto"/>
            </w:tcBorders>
            <w:shd w:val="clear" w:color="auto" w:fill="auto"/>
          </w:tcPr>
          <w:p w14:paraId="421C16CD" w14:textId="3D9913A9" w:rsidR="00DC2481" w:rsidRPr="001F224B" w:rsidRDefault="00DC2481" w:rsidP="00DC2481">
            <w:pPr>
              <w:jc w:val="right"/>
              <w:rPr>
                <w:b/>
                <w:bCs/>
                <w:color w:val="000000"/>
                <w:sz w:val="13"/>
                <w:szCs w:val="13"/>
              </w:rPr>
            </w:pPr>
            <w:r w:rsidRPr="001F224B">
              <w:rPr>
                <w:b/>
                <w:bCs/>
                <w:sz w:val="13"/>
                <w:szCs w:val="13"/>
              </w:rPr>
              <w:t>96.471.874</w:t>
            </w:r>
          </w:p>
        </w:tc>
        <w:tc>
          <w:tcPr>
            <w:tcW w:w="759" w:type="dxa"/>
            <w:tcBorders>
              <w:top w:val="single" w:sz="4" w:space="0" w:color="auto"/>
              <w:left w:val="single" w:sz="4" w:space="0" w:color="auto"/>
              <w:bottom w:val="single" w:sz="4" w:space="0" w:color="auto"/>
              <w:right w:val="single" w:sz="4" w:space="0" w:color="auto"/>
            </w:tcBorders>
            <w:shd w:val="clear" w:color="auto" w:fill="auto"/>
          </w:tcPr>
          <w:p w14:paraId="4AA38BF7" w14:textId="2E384639" w:rsidR="00DC2481" w:rsidRPr="001F224B" w:rsidRDefault="00DC2481" w:rsidP="00DC2481">
            <w:pPr>
              <w:jc w:val="right"/>
              <w:rPr>
                <w:b/>
                <w:bCs/>
                <w:color w:val="000000"/>
                <w:sz w:val="13"/>
                <w:szCs w:val="13"/>
              </w:rPr>
            </w:pPr>
            <w:r w:rsidRPr="001F224B">
              <w:rPr>
                <w:b/>
                <w:bCs/>
                <w:sz w:val="13"/>
                <w:szCs w:val="13"/>
              </w:rPr>
              <w:t>153.594.469</w:t>
            </w:r>
          </w:p>
        </w:tc>
      </w:tr>
    </w:tbl>
    <w:p w14:paraId="7187EE06" w14:textId="77777777" w:rsidR="00EF0C71" w:rsidRPr="001F224B" w:rsidRDefault="00EF0C71">
      <w:pPr>
        <w:rPr>
          <w:b/>
          <w:bCs/>
          <w:sz w:val="22"/>
          <w:szCs w:val="22"/>
        </w:rPr>
      </w:pPr>
    </w:p>
    <w:p w14:paraId="06C3617B" w14:textId="77777777" w:rsidR="00EF0C71" w:rsidRPr="001F224B" w:rsidRDefault="00EF0C71">
      <w:pPr>
        <w:rPr>
          <w:b/>
          <w:bCs/>
          <w:sz w:val="22"/>
          <w:szCs w:val="22"/>
        </w:rPr>
      </w:pPr>
    </w:p>
    <w:p w14:paraId="107F648F" w14:textId="77777777" w:rsidR="00EF0C71" w:rsidRPr="001F224B" w:rsidRDefault="00EF0C71">
      <w:pPr>
        <w:rPr>
          <w:b/>
          <w:bCs/>
          <w:sz w:val="22"/>
          <w:szCs w:val="22"/>
        </w:rPr>
      </w:pPr>
    </w:p>
    <w:p w14:paraId="02417042" w14:textId="77777777" w:rsidR="00913718" w:rsidRPr="001F224B" w:rsidRDefault="00913718">
      <w:pPr>
        <w:rPr>
          <w:b/>
          <w:bCs/>
          <w:sz w:val="22"/>
          <w:szCs w:val="22"/>
        </w:rPr>
      </w:pPr>
    </w:p>
    <w:p w14:paraId="237C5132" w14:textId="77777777" w:rsidR="00913718" w:rsidRPr="001F224B" w:rsidRDefault="00913718">
      <w:pPr>
        <w:rPr>
          <w:b/>
          <w:bCs/>
          <w:sz w:val="22"/>
          <w:szCs w:val="22"/>
        </w:rPr>
      </w:pPr>
    </w:p>
    <w:p w14:paraId="7343AE00" w14:textId="77777777" w:rsidR="00913718" w:rsidRPr="001F224B" w:rsidRDefault="00913718" w:rsidP="00913718">
      <w:pPr>
        <w:jc w:val="center"/>
        <w:rPr>
          <w:bCs/>
          <w:sz w:val="14"/>
          <w:szCs w:val="14"/>
        </w:rPr>
      </w:pPr>
    </w:p>
    <w:p w14:paraId="067727BF" w14:textId="77777777" w:rsidR="00913718" w:rsidRPr="001F224B" w:rsidRDefault="00913718" w:rsidP="00913718">
      <w:pPr>
        <w:jc w:val="center"/>
        <w:rPr>
          <w:bCs/>
          <w:sz w:val="14"/>
          <w:szCs w:val="14"/>
        </w:rPr>
      </w:pPr>
    </w:p>
    <w:p w14:paraId="243C73AD" w14:textId="77777777" w:rsidR="00913718" w:rsidRPr="001F224B" w:rsidRDefault="00913718" w:rsidP="00913718">
      <w:pPr>
        <w:jc w:val="center"/>
        <w:rPr>
          <w:bCs/>
          <w:sz w:val="14"/>
          <w:szCs w:val="14"/>
        </w:rPr>
      </w:pPr>
    </w:p>
    <w:p w14:paraId="3E2E6A8C" w14:textId="77777777" w:rsidR="00913718" w:rsidRPr="001F224B" w:rsidRDefault="00913718" w:rsidP="00913718">
      <w:pPr>
        <w:jc w:val="center"/>
        <w:rPr>
          <w:bCs/>
          <w:sz w:val="16"/>
          <w:szCs w:val="14"/>
        </w:rPr>
      </w:pPr>
    </w:p>
    <w:p w14:paraId="15BA4744" w14:textId="77777777" w:rsidR="00E22FB0" w:rsidRPr="001F224B" w:rsidRDefault="00E22FB0" w:rsidP="00913718">
      <w:pPr>
        <w:jc w:val="center"/>
        <w:rPr>
          <w:bCs/>
          <w:sz w:val="16"/>
          <w:szCs w:val="16"/>
        </w:rPr>
      </w:pPr>
    </w:p>
    <w:p w14:paraId="264CBD58" w14:textId="77777777" w:rsidR="00E22FB0" w:rsidRPr="001F224B" w:rsidRDefault="00E22FB0" w:rsidP="00913718">
      <w:pPr>
        <w:jc w:val="center"/>
        <w:rPr>
          <w:bCs/>
          <w:sz w:val="16"/>
          <w:szCs w:val="16"/>
        </w:rPr>
      </w:pPr>
    </w:p>
    <w:p w14:paraId="690890F0" w14:textId="77777777" w:rsidR="00E22FB0" w:rsidRPr="001F224B" w:rsidRDefault="00E22FB0" w:rsidP="00913718">
      <w:pPr>
        <w:jc w:val="center"/>
        <w:rPr>
          <w:bCs/>
          <w:sz w:val="16"/>
          <w:szCs w:val="16"/>
        </w:rPr>
      </w:pPr>
    </w:p>
    <w:p w14:paraId="08AD3B54" w14:textId="77777777" w:rsidR="00E22FB0" w:rsidRPr="001F224B" w:rsidRDefault="00E22FB0" w:rsidP="00913718">
      <w:pPr>
        <w:jc w:val="center"/>
        <w:rPr>
          <w:bCs/>
          <w:sz w:val="16"/>
          <w:szCs w:val="16"/>
        </w:rPr>
      </w:pPr>
    </w:p>
    <w:p w14:paraId="78C9CDD1" w14:textId="77777777" w:rsidR="00E22FB0" w:rsidRPr="001F224B" w:rsidRDefault="00E22FB0" w:rsidP="00913718">
      <w:pPr>
        <w:jc w:val="center"/>
        <w:rPr>
          <w:bCs/>
          <w:sz w:val="16"/>
          <w:szCs w:val="16"/>
        </w:rPr>
      </w:pPr>
    </w:p>
    <w:p w14:paraId="70E9D5FD" w14:textId="77777777" w:rsidR="00E22FB0" w:rsidRPr="001F224B" w:rsidRDefault="00E22FB0" w:rsidP="00913718">
      <w:pPr>
        <w:jc w:val="center"/>
        <w:rPr>
          <w:bCs/>
          <w:sz w:val="16"/>
          <w:szCs w:val="16"/>
        </w:rPr>
      </w:pPr>
    </w:p>
    <w:p w14:paraId="55C34FE8" w14:textId="77777777" w:rsidR="00E22FB0" w:rsidRPr="001F224B" w:rsidRDefault="00E22FB0" w:rsidP="00913718">
      <w:pPr>
        <w:jc w:val="center"/>
        <w:rPr>
          <w:bCs/>
          <w:sz w:val="16"/>
          <w:szCs w:val="16"/>
        </w:rPr>
      </w:pPr>
    </w:p>
    <w:p w14:paraId="40DD6101" w14:textId="77777777" w:rsidR="00E22FB0" w:rsidRPr="001F224B" w:rsidRDefault="00E22FB0" w:rsidP="00913718">
      <w:pPr>
        <w:jc w:val="center"/>
        <w:rPr>
          <w:bCs/>
          <w:sz w:val="16"/>
          <w:szCs w:val="16"/>
        </w:rPr>
      </w:pPr>
    </w:p>
    <w:p w14:paraId="07DF4885" w14:textId="77777777" w:rsidR="00E22FB0" w:rsidRPr="001F224B" w:rsidRDefault="00E22FB0" w:rsidP="00913718">
      <w:pPr>
        <w:jc w:val="center"/>
        <w:rPr>
          <w:bCs/>
          <w:sz w:val="16"/>
          <w:szCs w:val="16"/>
        </w:rPr>
      </w:pPr>
    </w:p>
    <w:p w14:paraId="1BEDD209" w14:textId="552508A1" w:rsidR="004B2124" w:rsidRPr="001F224B" w:rsidRDefault="00913718" w:rsidP="00913718">
      <w:pPr>
        <w:jc w:val="center"/>
        <w:rPr>
          <w:bCs/>
          <w:sz w:val="16"/>
          <w:szCs w:val="16"/>
        </w:rPr>
        <w:sectPr w:rsidR="004B2124" w:rsidRPr="001F224B" w:rsidSect="00F5305D">
          <w:headerReference w:type="default" r:id="rId79"/>
          <w:footerReference w:type="default" r:id="rId80"/>
          <w:headerReference w:type="first" r:id="rId81"/>
          <w:pgSz w:w="11907" w:h="16840" w:code="9"/>
          <w:pgMar w:top="1985" w:right="964" w:bottom="567" w:left="1134" w:header="624" w:footer="397" w:gutter="0"/>
          <w:cols w:space="708"/>
          <w:titlePg/>
          <w:docGrid w:linePitch="326"/>
        </w:sectPr>
      </w:pPr>
      <w:r w:rsidRPr="001F224B">
        <w:rPr>
          <w:bCs/>
          <w:sz w:val="16"/>
          <w:szCs w:val="16"/>
        </w:rPr>
        <w:t xml:space="preserve">İlişikteki açıklama ve dipnotlar bu </w:t>
      </w:r>
      <w:r w:rsidR="00931929" w:rsidRPr="001F224B">
        <w:rPr>
          <w:bCs/>
          <w:sz w:val="16"/>
          <w:szCs w:val="16"/>
        </w:rPr>
        <w:t xml:space="preserve">konsolide </w:t>
      </w:r>
      <w:r w:rsidRPr="001F224B">
        <w:rPr>
          <w:bCs/>
          <w:sz w:val="16"/>
          <w:szCs w:val="16"/>
        </w:rPr>
        <w:t>finansal tabl</w:t>
      </w:r>
      <w:r w:rsidR="004B2124" w:rsidRPr="001F224B">
        <w:rPr>
          <w:bCs/>
          <w:sz w:val="16"/>
          <w:szCs w:val="16"/>
        </w:rPr>
        <w:t>oların tamamlayıcı parçalarıdır</w:t>
      </w:r>
      <w:r w:rsidR="009925EC" w:rsidRPr="001F224B">
        <w:rPr>
          <w:bCs/>
          <w:sz w:val="16"/>
          <w:szCs w:val="16"/>
        </w:rPr>
        <w:t>.</w:t>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709"/>
        <w:gridCol w:w="795"/>
        <w:gridCol w:w="764"/>
        <w:gridCol w:w="709"/>
        <w:gridCol w:w="13"/>
        <w:gridCol w:w="712"/>
        <w:gridCol w:w="692"/>
        <w:gridCol w:w="709"/>
      </w:tblGrid>
      <w:tr w:rsidR="00F925D7" w:rsidRPr="001F224B" w14:paraId="20754118" w14:textId="77777777" w:rsidTr="008F7E3E">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D9F7432" w14:textId="77777777" w:rsidR="00F925D7" w:rsidRPr="001F224B" w:rsidRDefault="00E936B0" w:rsidP="00DE7F91">
            <w:pPr>
              <w:pStyle w:val="ListParagraph"/>
              <w:numPr>
                <w:ilvl w:val="0"/>
                <w:numId w:val="10"/>
              </w:numPr>
              <w:ind w:left="408" w:hanging="408"/>
              <w:contextualSpacing/>
              <w:rPr>
                <w:rFonts w:eastAsia="Arial Unicode MS"/>
                <w:b/>
                <w:bCs/>
                <w:sz w:val="13"/>
                <w:szCs w:val="13"/>
              </w:rPr>
            </w:pPr>
            <w:r w:rsidRPr="001F224B">
              <w:rPr>
                <w:rFonts w:eastAsia="Arial Unicode MS"/>
                <w:b/>
                <w:bCs/>
                <w:sz w:val="13"/>
                <w:szCs w:val="13"/>
              </w:rPr>
              <w:t xml:space="preserve">KONSOLİDE </w:t>
            </w:r>
            <w:r w:rsidR="00F925D7" w:rsidRPr="001F224B">
              <w:rPr>
                <w:rFonts w:eastAsia="Arial Unicode MS"/>
                <w:b/>
                <w:bCs/>
                <w:sz w:val="13"/>
                <w:szCs w:val="13"/>
              </w:rPr>
              <w:t>BİLANÇO (FİNANSAL DURUM TABLOSU)</w:t>
            </w:r>
          </w:p>
        </w:tc>
        <w:tc>
          <w:tcPr>
            <w:tcW w:w="709" w:type="dxa"/>
            <w:tcBorders>
              <w:top w:val="single" w:sz="4" w:space="0" w:color="auto"/>
              <w:left w:val="single" w:sz="4" w:space="0" w:color="auto"/>
              <w:right w:val="single" w:sz="4" w:space="0" w:color="auto"/>
            </w:tcBorders>
            <w:vAlign w:val="bottom"/>
          </w:tcPr>
          <w:p w14:paraId="39395C3C" w14:textId="77777777" w:rsidR="00F925D7" w:rsidRPr="001F224B" w:rsidRDefault="00F925D7" w:rsidP="00E66603">
            <w:pPr>
              <w:jc w:val="center"/>
              <w:rPr>
                <w:rFonts w:eastAsia="Arial Unicode MS"/>
                <w:b/>
                <w:bCs/>
                <w:sz w:val="13"/>
                <w:szCs w:val="13"/>
              </w:rPr>
            </w:pPr>
            <w:r w:rsidRPr="001F224B">
              <w:rPr>
                <w:rFonts w:eastAsia="Arial Unicode MS"/>
                <w:b/>
                <w:bCs/>
                <w:sz w:val="13"/>
                <w:szCs w:val="13"/>
              </w:rPr>
              <w:t>Dipnot</w:t>
            </w:r>
          </w:p>
        </w:tc>
        <w:tc>
          <w:tcPr>
            <w:tcW w:w="2281" w:type="dxa"/>
            <w:gridSpan w:val="4"/>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68A0E21" w14:textId="1585EAC2" w:rsidR="00A1696E" w:rsidRPr="001F224B" w:rsidRDefault="00DE01E5" w:rsidP="00A1696E">
            <w:pPr>
              <w:jc w:val="center"/>
              <w:rPr>
                <w:b/>
                <w:bCs/>
                <w:sz w:val="13"/>
                <w:szCs w:val="13"/>
              </w:rPr>
            </w:pPr>
            <w:r w:rsidRPr="001F224B">
              <w:rPr>
                <w:b/>
                <w:bCs/>
                <w:sz w:val="13"/>
                <w:szCs w:val="13"/>
              </w:rPr>
              <w:t>Sınırlı</w:t>
            </w:r>
            <w:r w:rsidR="00A1696E" w:rsidRPr="001F224B">
              <w:rPr>
                <w:b/>
                <w:bCs/>
                <w:sz w:val="13"/>
                <w:szCs w:val="13"/>
              </w:rPr>
              <w:t xml:space="preserve"> Denetimden Geçmiş </w:t>
            </w:r>
          </w:p>
          <w:p w14:paraId="294D0C63" w14:textId="77777777" w:rsidR="00A1696E" w:rsidRPr="001F224B" w:rsidRDefault="00A1696E" w:rsidP="00A1696E">
            <w:pPr>
              <w:jc w:val="center"/>
              <w:rPr>
                <w:b/>
                <w:bCs/>
                <w:sz w:val="13"/>
                <w:szCs w:val="13"/>
              </w:rPr>
            </w:pPr>
            <w:r w:rsidRPr="001F224B">
              <w:rPr>
                <w:b/>
                <w:bCs/>
                <w:sz w:val="13"/>
                <w:szCs w:val="13"/>
              </w:rPr>
              <w:t>Cari Dönem</w:t>
            </w:r>
          </w:p>
          <w:p w14:paraId="279B99A6" w14:textId="3095FA6B" w:rsidR="00F925D7" w:rsidRPr="001F224B" w:rsidRDefault="00A1696E" w:rsidP="00A1696E">
            <w:pPr>
              <w:jc w:val="center"/>
              <w:rPr>
                <w:b/>
                <w:bCs/>
                <w:sz w:val="13"/>
                <w:szCs w:val="13"/>
              </w:rPr>
            </w:pPr>
            <w:r w:rsidRPr="001F224B">
              <w:rPr>
                <w:b/>
                <w:bCs/>
                <w:sz w:val="13"/>
                <w:szCs w:val="13"/>
              </w:rPr>
              <w:t>3</w:t>
            </w:r>
            <w:r w:rsidR="00DD0D88" w:rsidRPr="001F224B">
              <w:rPr>
                <w:b/>
                <w:bCs/>
                <w:sz w:val="13"/>
                <w:szCs w:val="13"/>
              </w:rPr>
              <w:t>0</w:t>
            </w:r>
            <w:r w:rsidRPr="001F224B">
              <w:rPr>
                <w:b/>
                <w:bCs/>
                <w:sz w:val="13"/>
                <w:szCs w:val="13"/>
              </w:rPr>
              <w:t xml:space="preserve"> </w:t>
            </w:r>
            <w:r w:rsidR="00DD0D88" w:rsidRPr="001F224B">
              <w:rPr>
                <w:b/>
                <w:bCs/>
                <w:sz w:val="13"/>
                <w:szCs w:val="13"/>
              </w:rPr>
              <w:t>Haziran</w:t>
            </w:r>
            <w:r w:rsidRPr="001F224B">
              <w:rPr>
                <w:b/>
                <w:bCs/>
                <w:sz w:val="13"/>
                <w:szCs w:val="13"/>
              </w:rPr>
              <w:t xml:space="preserve"> 202</w:t>
            </w:r>
            <w:r w:rsidR="00DE01E5" w:rsidRPr="001F224B">
              <w:rPr>
                <w:b/>
                <w:bCs/>
                <w:sz w:val="13"/>
                <w:szCs w:val="13"/>
              </w:rPr>
              <w:t>5</w:t>
            </w:r>
          </w:p>
        </w:tc>
        <w:tc>
          <w:tcPr>
            <w:tcW w:w="2113" w:type="dxa"/>
            <w:gridSpan w:val="3"/>
            <w:vMerge w:val="restart"/>
            <w:tcBorders>
              <w:top w:val="single" w:sz="4" w:space="0" w:color="auto"/>
              <w:left w:val="single" w:sz="4" w:space="0" w:color="auto"/>
              <w:right w:val="single" w:sz="4" w:space="0" w:color="auto"/>
            </w:tcBorders>
          </w:tcPr>
          <w:p w14:paraId="17623E10" w14:textId="77777777" w:rsidR="00F925D7" w:rsidRPr="001F224B" w:rsidRDefault="00F925D7" w:rsidP="00F925D7">
            <w:pPr>
              <w:jc w:val="center"/>
              <w:rPr>
                <w:b/>
                <w:bCs/>
                <w:sz w:val="13"/>
                <w:szCs w:val="13"/>
              </w:rPr>
            </w:pPr>
            <w:r w:rsidRPr="001F224B">
              <w:rPr>
                <w:b/>
                <w:bCs/>
                <w:sz w:val="13"/>
                <w:szCs w:val="13"/>
              </w:rPr>
              <w:t xml:space="preserve">Bağımsız Denetimden Geçmiş </w:t>
            </w:r>
          </w:p>
          <w:p w14:paraId="2EF3AD9A" w14:textId="77777777" w:rsidR="00F925D7" w:rsidRPr="001F224B" w:rsidRDefault="00940F84" w:rsidP="00F925D7">
            <w:pPr>
              <w:jc w:val="center"/>
              <w:rPr>
                <w:b/>
                <w:bCs/>
                <w:sz w:val="13"/>
                <w:szCs w:val="13"/>
              </w:rPr>
            </w:pPr>
            <w:r w:rsidRPr="001F224B">
              <w:rPr>
                <w:b/>
                <w:bCs/>
                <w:sz w:val="13"/>
                <w:szCs w:val="13"/>
              </w:rPr>
              <w:t>Önceki</w:t>
            </w:r>
            <w:r w:rsidR="00F925D7" w:rsidRPr="001F224B">
              <w:rPr>
                <w:b/>
                <w:bCs/>
                <w:sz w:val="13"/>
                <w:szCs w:val="13"/>
              </w:rPr>
              <w:t xml:space="preserve"> Dönem</w:t>
            </w:r>
          </w:p>
          <w:p w14:paraId="5557B2DA" w14:textId="65971DA5" w:rsidR="00F925D7" w:rsidRPr="001F224B" w:rsidRDefault="009A2734" w:rsidP="00A30537">
            <w:pPr>
              <w:jc w:val="center"/>
              <w:rPr>
                <w:b/>
                <w:bCs/>
                <w:sz w:val="13"/>
                <w:szCs w:val="13"/>
              </w:rPr>
            </w:pPr>
            <w:r w:rsidRPr="001F224B">
              <w:rPr>
                <w:b/>
                <w:bCs/>
                <w:sz w:val="13"/>
                <w:szCs w:val="13"/>
              </w:rPr>
              <w:t>31 Aralık 202</w:t>
            </w:r>
            <w:r w:rsidR="00DE01E5" w:rsidRPr="001F224B">
              <w:rPr>
                <w:b/>
                <w:bCs/>
                <w:sz w:val="13"/>
                <w:szCs w:val="13"/>
              </w:rPr>
              <w:t>4</w:t>
            </w:r>
          </w:p>
        </w:tc>
      </w:tr>
      <w:tr w:rsidR="00F925D7" w:rsidRPr="001F224B" w14:paraId="07B1D55A" w14:textId="77777777" w:rsidTr="008F7E3E">
        <w:tc>
          <w:tcPr>
            <w:tcW w:w="426" w:type="dxa"/>
            <w:tcBorders>
              <w:left w:val="single" w:sz="4" w:space="0" w:color="auto"/>
            </w:tcBorders>
            <w:noWrap/>
            <w:tcMar>
              <w:top w:w="18" w:type="dxa"/>
              <w:left w:w="18" w:type="dxa"/>
              <w:bottom w:w="0" w:type="dxa"/>
              <w:right w:w="18" w:type="dxa"/>
            </w:tcMar>
            <w:vAlign w:val="bottom"/>
          </w:tcPr>
          <w:p w14:paraId="4D4EFEC6" w14:textId="77777777" w:rsidR="00F925D7" w:rsidRPr="001F224B" w:rsidRDefault="00F925D7" w:rsidP="00E66603">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6A90CF96" w14:textId="77777777" w:rsidR="00F925D7" w:rsidRPr="001F224B" w:rsidRDefault="00F925D7" w:rsidP="00E66603">
            <w:pPr>
              <w:ind w:hanging="558"/>
              <w:rPr>
                <w:rFonts w:eastAsia="Arial Unicode MS"/>
                <w:b/>
                <w:bCs/>
                <w:sz w:val="13"/>
                <w:szCs w:val="13"/>
              </w:rPr>
            </w:pPr>
          </w:p>
        </w:tc>
        <w:tc>
          <w:tcPr>
            <w:tcW w:w="709" w:type="dxa"/>
            <w:tcBorders>
              <w:left w:val="single" w:sz="4" w:space="0" w:color="auto"/>
              <w:right w:val="single" w:sz="4" w:space="0" w:color="auto"/>
            </w:tcBorders>
            <w:noWrap/>
            <w:tcMar>
              <w:top w:w="18" w:type="dxa"/>
              <w:left w:w="18" w:type="dxa"/>
              <w:bottom w:w="0" w:type="dxa"/>
              <w:right w:w="18" w:type="dxa"/>
            </w:tcMar>
            <w:vAlign w:val="bottom"/>
          </w:tcPr>
          <w:p w14:paraId="5078AFA4" w14:textId="77777777" w:rsidR="00F925D7" w:rsidRPr="001F224B" w:rsidRDefault="00F925D7" w:rsidP="00F925D7">
            <w:pPr>
              <w:jc w:val="center"/>
              <w:rPr>
                <w:rFonts w:eastAsia="Arial Unicode MS"/>
                <w:b/>
                <w:bCs/>
                <w:sz w:val="13"/>
                <w:szCs w:val="13"/>
              </w:rPr>
            </w:pPr>
            <w:r w:rsidRPr="001F224B">
              <w:rPr>
                <w:rFonts w:eastAsia="Arial Unicode MS"/>
                <w:b/>
                <w:bCs/>
                <w:sz w:val="13"/>
                <w:szCs w:val="13"/>
              </w:rPr>
              <w:t>(Beşinci</w:t>
            </w:r>
          </w:p>
        </w:tc>
        <w:tc>
          <w:tcPr>
            <w:tcW w:w="2281" w:type="dxa"/>
            <w:gridSpan w:val="4"/>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40F713F9" w14:textId="77777777" w:rsidR="00F925D7" w:rsidRPr="001F224B" w:rsidRDefault="00F925D7" w:rsidP="00E66603">
            <w:pPr>
              <w:rPr>
                <w:rFonts w:eastAsia="Arial Unicode MS"/>
                <w:b/>
                <w:bCs/>
                <w:sz w:val="13"/>
                <w:szCs w:val="13"/>
              </w:rPr>
            </w:pPr>
          </w:p>
        </w:tc>
        <w:tc>
          <w:tcPr>
            <w:tcW w:w="2113" w:type="dxa"/>
            <w:gridSpan w:val="3"/>
            <w:vMerge/>
            <w:tcBorders>
              <w:left w:val="single" w:sz="4" w:space="0" w:color="auto"/>
              <w:bottom w:val="single" w:sz="4" w:space="0" w:color="auto"/>
              <w:right w:val="single" w:sz="4" w:space="0" w:color="auto"/>
            </w:tcBorders>
          </w:tcPr>
          <w:p w14:paraId="61C618CA" w14:textId="77777777" w:rsidR="00F925D7" w:rsidRPr="001F224B" w:rsidRDefault="00F925D7" w:rsidP="00E66603">
            <w:pPr>
              <w:rPr>
                <w:rFonts w:eastAsia="Arial Unicode MS"/>
                <w:b/>
                <w:bCs/>
                <w:sz w:val="13"/>
                <w:szCs w:val="13"/>
              </w:rPr>
            </w:pPr>
          </w:p>
        </w:tc>
      </w:tr>
      <w:tr w:rsidR="00F925D7" w:rsidRPr="001F224B" w14:paraId="08B3FB11" w14:textId="77777777" w:rsidTr="008F7E3E">
        <w:trPr>
          <w:trHeight w:val="56"/>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4C529A9D" w14:textId="77777777" w:rsidR="00F925D7" w:rsidRPr="001F224B" w:rsidRDefault="00F925D7" w:rsidP="00F925D7">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1802465D" w14:textId="77777777" w:rsidR="00F925D7" w:rsidRPr="001F224B" w:rsidRDefault="00F925D7" w:rsidP="00F925D7">
            <w:pPr>
              <w:rPr>
                <w:rFonts w:eastAsia="Arial Unicode MS"/>
                <w:b/>
                <w:bCs/>
                <w:sz w:val="13"/>
                <w:szCs w:val="13"/>
              </w:rPr>
            </w:pPr>
            <w:r w:rsidRPr="001F224B">
              <w:rPr>
                <w:b/>
                <w:bCs/>
                <w:sz w:val="13"/>
                <w:szCs w:val="13"/>
              </w:rPr>
              <w:t>YÜKÜMLÜLÜKLER</w:t>
            </w:r>
          </w:p>
        </w:tc>
        <w:tc>
          <w:tcPr>
            <w:tcW w:w="70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A5222A5" w14:textId="77777777" w:rsidR="00F925D7" w:rsidRPr="001F224B" w:rsidRDefault="00F925D7" w:rsidP="00F925D7">
            <w:pPr>
              <w:jc w:val="center"/>
              <w:rPr>
                <w:rFonts w:eastAsia="Arial Unicode MS"/>
                <w:b/>
                <w:bCs/>
                <w:sz w:val="13"/>
                <w:szCs w:val="13"/>
              </w:rPr>
            </w:pPr>
            <w:r w:rsidRPr="001F224B">
              <w:rPr>
                <w:rFonts w:eastAsia="Arial Unicode MS"/>
                <w:b/>
                <w:bCs/>
                <w:sz w:val="13"/>
                <w:szCs w:val="13"/>
              </w:rPr>
              <w:t>Bölüm II)</w:t>
            </w:r>
          </w:p>
        </w:tc>
        <w:tc>
          <w:tcPr>
            <w:tcW w:w="795"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C07EB02" w14:textId="77777777" w:rsidR="00F925D7" w:rsidRPr="001F224B" w:rsidRDefault="00F925D7" w:rsidP="00F925D7">
            <w:pPr>
              <w:jc w:val="center"/>
              <w:rPr>
                <w:rFonts w:eastAsia="Arial Unicode MS"/>
                <w:b/>
                <w:bCs/>
                <w:sz w:val="13"/>
                <w:szCs w:val="13"/>
              </w:rPr>
            </w:pPr>
            <w:r w:rsidRPr="001F224B">
              <w:rPr>
                <w:b/>
                <w:bCs/>
                <w:sz w:val="13"/>
                <w:szCs w:val="13"/>
              </w:rPr>
              <w:t>TP</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6CF881D" w14:textId="77777777" w:rsidR="00F925D7" w:rsidRPr="001F224B" w:rsidRDefault="00F925D7" w:rsidP="00F925D7">
            <w:pPr>
              <w:jc w:val="center"/>
              <w:rPr>
                <w:rFonts w:eastAsia="Arial Unicode MS"/>
                <w:b/>
                <w:bCs/>
                <w:sz w:val="13"/>
                <w:szCs w:val="13"/>
              </w:rPr>
            </w:pPr>
            <w:r w:rsidRPr="001F224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2A598F4" w14:textId="77777777" w:rsidR="00F925D7" w:rsidRPr="001F224B" w:rsidRDefault="00F925D7" w:rsidP="00F925D7">
            <w:pPr>
              <w:jc w:val="center"/>
              <w:rPr>
                <w:rFonts w:eastAsia="Arial Unicode MS"/>
                <w:b/>
                <w:bCs/>
                <w:sz w:val="13"/>
                <w:szCs w:val="13"/>
              </w:rPr>
            </w:pPr>
            <w:r w:rsidRPr="001F224B">
              <w:rPr>
                <w:b/>
                <w:bCs/>
                <w:sz w:val="13"/>
                <w:szCs w:val="13"/>
              </w:rPr>
              <w:t>Toplam</w:t>
            </w:r>
          </w:p>
        </w:tc>
        <w:tc>
          <w:tcPr>
            <w:tcW w:w="725" w:type="dxa"/>
            <w:gridSpan w:val="2"/>
            <w:tcBorders>
              <w:top w:val="single" w:sz="4" w:space="0" w:color="auto"/>
              <w:left w:val="single" w:sz="4" w:space="0" w:color="auto"/>
              <w:bottom w:val="single" w:sz="4" w:space="0" w:color="auto"/>
              <w:right w:val="single" w:sz="4" w:space="0" w:color="auto"/>
            </w:tcBorders>
            <w:vAlign w:val="bottom"/>
          </w:tcPr>
          <w:p w14:paraId="45E98901" w14:textId="77777777" w:rsidR="00F925D7" w:rsidRPr="001F224B" w:rsidRDefault="00F925D7" w:rsidP="00F925D7">
            <w:pPr>
              <w:jc w:val="center"/>
              <w:rPr>
                <w:b/>
                <w:bCs/>
                <w:sz w:val="13"/>
                <w:szCs w:val="13"/>
              </w:rPr>
            </w:pPr>
            <w:r w:rsidRPr="001F224B">
              <w:rPr>
                <w:b/>
                <w:bCs/>
                <w:sz w:val="13"/>
                <w:szCs w:val="13"/>
              </w:rPr>
              <w:t>TP</w:t>
            </w:r>
          </w:p>
        </w:tc>
        <w:tc>
          <w:tcPr>
            <w:tcW w:w="692" w:type="dxa"/>
            <w:tcBorders>
              <w:top w:val="single" w:sz="4" w:space="0" w:color="auto"/>
              <w:left w:val="single" w:sz="4" w:space="0" w:color="auto"/>
              <w:bottom w:val="single" w:sz="4" w:space="0" w:color="auto"/>
              <w:right w:val="single" w:sz="4" w:space="0" w:color="auto"/>
            </w:tcBorders>
            <w:vAlign w:val="bottom"/>
          </w:tcPr>
          <w:p w14:paraId="2B39C654" w14:textId="77777777" w:rsidR="00F925D7" w:rsidRPr="001F224B" w:rsidRDefault="00F925D7" w:rsidP="00F925D7">
            <w:pPr>
              <w:jc w:val="center"/>
              <w:rPr>
                <w:b/>
                <w:bCs/>
                <w:sz w:val="13"/>
                <w:szCs w:val="13"/>
              </w:rPr>
            </w:pPr>
            <w:r w:rsidRPr="001F224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vAlign w:val="bottom"/>
          </w:tcPr>
          <w:p w14:paraId="627A4B9F" w14:textId="77777777" w:rsidR="00F925D7" w:rsidRPr="001F224B" w:rsidRDefault="00F925D7" w:rsidP="00F925D7">
            <w:pPr>
              <w:jc w:val="center"/>
              <w:rPr>
                <w:b/>
                <w:bCs/>
                <w:sz w:val="13"/>
                <w:szCs w:val="13"/>
              </w:rPr>
            </w:pPr>
            <w:r w:rsidRPr="001F224B">
              <w:rPr>
                <w:b/>
                <w:bCs/>
                <w:sz w:val="13"/>
                <w:szCs w:val="13"/>
              </w:rPr>
              <w:t>Toplam</w:t>
            </w:r>
          </w:p>
        </w:tc>
      </w:tr>
      <w:tr w:rsidR="00F925D7" w:rsidRPr="001F224B" w14:paraId="73EBCF8C" w14:textId="77777777" w:rsidTr="008F7E3E">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7BB368A7" w14:textId="77777777" w:rsidR="00F925D7" w:rsidRPr="001F224B" w:rsidRDefault="00F925D7" w:rsidP="00F925D7">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2CC2D8B0" w14:textId="77777777" w:rsidR="00F925D7" w:rsidRPr="001F224B" w:rsidRDefault="00F925D7" w:rsidP="00F925D7">
            <w:pPr>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9FFA1E4" w14:textId="77777777" w:rsidR="00F925D7" w:rsidRPr="001F224B" w:rsidRDefault="00F925D7" w:rsidP="00F925D7">
            <w:pPr>
              <w:jc w:val="center"/>
              <w:rPr>
                <w:rFonts w:eastAsia="Arial Unicode MS"/>
                <w:b/>
                <w:sz w:val="13"/>
                <w:szCs w:val="13"/>
              </w:rPr>
            </w:pPr>
          </w:p>
        </w:tc>
        <w:tc>
          <w:tcPr>
            <w:tcW w:w="795" w:type="dxa"/>
            <w:tcBorders>
              <w:top w:val="single" w:sz="4" w:space="0" w:color="auto"/>
              <w:left w:val="nil"/>
              <w:right w:val="single" w:sz="4" w:space="0" w:color="auto"/>
            </w:tcBorders>
            <w:noWrap/>
            <w:tcMar>
              <w:top w:w="18" w:type="dxa"/>
              <w:left w:w="18" w:type="dxa"/>
              <w:bottom w:w="0" w:type="dxa"/>
              <w:right w:w="18" w:type="dxa"/>
            </w:tcMar>
            <w:vAlign w:val="bottom"/>
          </w:tcPr>
          <w:p w14:paraId="6EF28C61" w14:textId="77777777" w:rsidR="00F925D7" w:rsidRPr="001F224B" w:rsidRDefault="00F925D7" w:rsidP="00F925D7">
            <w:pPr>
              <w:jc w:val="right"/>
              <w:rPr>
                <w:rFonts w:eastAsia="Arial Unicode MS"/>
                <w:b/>
                <w:sz w:val="13"/>
                <w:szCs w:val="13"/>
              </w:rPr>
            </w:pPr>
          </w:p>
        </w:tc>
        <w:tc>
          <w:tcPr>
            <w:tcW w:w="764"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A005C4C" w14:textId="77777777" w:rsidR="00F925D7" w:rsidRPr="001F224B" w:rsidRDefault="00F925D7" w:rsidP="00F925D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AE1C194" w14:textId="77777777" w:rsidR="00F925D7" w:rsidRPr="001F224B" w:rsidRDefault="00F925D7" w:rsidP="00F925D7">
            <w:pPr>
              <w:jc w:val="right"/>
              <w:rPr>
                <w:rFonts w:eastAsia="Arial Unicode MS"/>
                <w:b/>
                <w:sz w:val="13"/>
                <w:szCs w:val="13"/>
              </w:rPr>
            </w:pPr>
          </w:p>
        </w:tc>
        <w:tc>
          <w:tcPr>
            <w:tcW w:w="725" w:type="dxa"/>
            <w:gridSpan w:val="2"/>
            <w:tcBorders>
              <w:top w:val="single" w:sz="4" w:space="0" w:color="auto"/>
              <w:left w:val="single" w:sz="4" w:space="0" w:color="auto"/>
              <w:right w:val="single" w:sz="4" w:space="0" w:color="auto"/>
            </w:tcBorders>
          </w:tcPr>
          <w:p w14:paraId="31CC08CF" w14:textId="77777777" w:rsidR="00F925D7" w:rsidRPr="001F224B" w:rsidRDefault="00F925D7" w:rsidP="00F925D7">
            <w:pPr>
              <w:jc w:val="right"/>
              <w:rPr>
                <w:rFonts w:eastAsia="Arial Unicode MS"/>
                <w:b/>
                <w:sz w:val="13"/>
                <w:szCs w:val="13"/>
              </w:rPr>
            </w:pPr>
          </w:p>
        </w:tc>
        <w:tc>
          <w:tcPr>
            <w:tcW w:w="692" w:type="dxa"/>
            <w:tcBorders>
              <w:top w:val="single" w:sz="4" w:space="0" w:color="auto"/>
              <w:left w:val="single" w:sz="4" w:space="0" w:color="auto"/>
              <w:right w:val="single" w:sz="4" w:space="0" w:color="auto"/>
            </w:tcBorders>
          </w:tcPr>
          <w:p w14:paraId="7B7AAFF5" w14:textId="77777777" w:rsidR="00F925D7" w:rsidRPr="001F224B" w:rsidRDefault="00F925D7" w:rsidP="00F925D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tcPr>
          <w:p w14:paraId="2CBD4423" w14:textId="77777777" w:rsidR="00F925D7" w:rsidRPr="001F224B" w:rsidRDefault="00F925D7" w:rsidP="00F925D7">
            <w:pPr>
              <w:jc w:val="right"/>
              <w:rPr>
                <w:rFonts w:eastAsia="Arial Unicode MS"/>
                <w:b/>
                <w:sz w:val="13"/>
                <w:szCs w:val="13"/>
              </w:rPr>
            </w:pPr>
          </w:p>
        </w:tc>
      </w:tr>
      <w:tr w:rsidR="002B5162" w:rsidRPr="001F224B" w14:paraId="02978ECB" w14:textId="77777777" w:rsidTr="00C176F2">
        <w:tc>
          <w:tcPr>
            <w:tcW w:w="426" w:type="dxa"/>
            <w:tcBorders>
              <w:left w:val="single" w:sz="4" w:space="0" w:color="auto"/>
              <w:bottom w:val="nil"/>
              <w:right w:val="nil"/>
            </w:tcBorders>
            <w:noWrap/>
            <w:tcMar>
              <w:top w:w="18" w:type="dxa"/>
              <w:left w:w="18" w:type="dxa"/>
              <w:bottom w:w="0" w:type="dxa"/>
              <w:right w:w="18" w:type="dxa"/>
            </w:tcMar>
          </w:tcPr>
          <w:p w14:paraId="38863016"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0EEF8A25"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 xml:space="preserve">MEVDUAT  </w:t>
            </w:r>
          </w:p>
        </w:tc>
        <w:tc>
          <w:tcPr>
            <w:tcW w:w="709" w:type="dxa"/>
            <w:tcBorders>
              <w:left w:val="single" w:sz="4" w:space="0" w:color="auto"/>
              <w:bottom w:val="nil"/>
              <w:right w:val="single" w:sz="4" w:space="0" w:color="auto"/>
            </w:tcBorders>
            <w:noWrap/>
            <w:tcMar>
              <w:top w:w="18" w:type="dxa"/>
              <w:left w:w="18" w:type="dxa"/>
              <w:bottom w:w="0" w:type="dxa"/>
              <w:right w:w="18" w:type="dxa"/>
            </w:tcMar>
            <w:vAlign w:val="bottom"/>
          </w:tcPr>
          <w:p w14:paraId="1693723A" w14:textId="77777777" w:rsidR="002B5162" w:rsidRPr="001F224B" w:rsidRDefault="002B5162" w:rsidP="002B5162">
            <w:pPr>
              <w:jc w:val="center"/>
              <w:rPr>
                <w:rFonts w:eastAsia="Arial Unicode MS"/>
                <w:b/>
                <w:sz w:val="13"/>
                <w:szCs w:val="13"/>
              </w:rPr>
            </w:pPr>
            <w:r w:rsidRPr="001F224B">
              <w:rPr>
                <w:b/>
                <w:bCs/>
                <w:sz w:val="13"/>
                <w:szCs w:val="13"/>
              </w:rPr>
              <w:t>(1)</w:t>
            </w:r>
          </w:p>
        </w:tc>
        <w:tc>
          <w:tcPr>
            <w:tcW w:w="795" w:type="dxa"/>
            <w:tcBorders>
              <w:top w:val="nil"/>
              <w:left w:val="nil"/>
              <w:bottom w:val="nil"/>
              <w:right w:val="single" w:sz="4" w:space="0" w:color="auto"/>
            </w:tcBorders>
            <w:noWrap/>
            <w:tcMar>
              <w:top w:w="18" w:type="dxa"/>
              <w:left w:w="18" w:type="dxa"/>
              <w:bottom w:w="0" w:type="dxa"/>
              <w:right w:w="18" w:type="dxa"/>
            </w:tcMar>
            <w:vAlign w:val="bottom"/>
          </w:tcPr>
          <w:p w14:paraId="3191EB2B" w14:textId="099CB5AA" w:rsidR="002B5162" w:rsidRPr="001F224B" w:rsidRDefault="002B5162" w:rsidP="002B5162">
            <w:pPr>
              <w:jc w:val="right"/>
              <w:rPr>
                <w:sz w:val="13"/>
                <w:szCs w:val="13"/>
              </w:rPr>
            </w:pPr>
            <w:r w:rsidRPr="001F224B">
              <w:rPr>
                <w:b/>
                <w:bCs/>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F7B121" w14:textId="6C755825" w:rsidR="002B5162" w:rsidRPr="001F224B" w:rsidRDefault="002B5162" w:rsidP="002B5162">
            <w:pPr>
              <w:jc w:val="right"/>
              <w:rPr>
                <w:sz w:val="13"/>
                <w:szCs w:val="13"/>
              </w:rPr>
            </w:pPr>
            <w:r w:rsidRPr="001F224B">
              <w:rPr>
                <w:b/>
                <w:bCs/>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531707" w14:textId="232E07A9" w:rsidR="002B5162" w:rsidRPr="001F224B" w:rsidRDefault="002B5162" w:rsidP="002B5162">
            <w:pPr>
              <w:jc w:val="right"/>
              <w:rPr>
                <w:sz w:val="13"/>
                <w:szCs w:val="13"/>
              </w:rPr>
            </w:pPr>
            <w:r w:rsidRPr="001F224B">
              <w:rPr>
                <w:b/>
                <w:bCs/>
                <w:sz w:val="13"/>
                <w:szCs w:val="13"/>
              </w:rPr>
              <w:t>-</w:t>
            </w:r>
          </w:p>
        </w:tc>
        <w:tc>
          <w:tcPr>
            <w:tcW w:w="725" w:type="dxa"/>
            <w:gridSpan w:val="2"/>
            <w:tcBorders>
              <w:top w:val="nil"/>
              <w:left w:val="single" w:sz="4" w:space="0" w:color="auto"/>
              <w:bottom w:val="nil"/>
              <w:right w:val="single" w:sz="4" w:space="0" w:color="auto"/>
            </w:tcBorders>
            <w:vAlign w:val="bottom"/>
          </w:tcPr>
          <w:p w14:paraId="70A751CA" w14:textId="535B9A1A" w:rsidR="002B5162" w:rsidRPr="001F224B" w:rsidRDefault="002B5162" w:rsidP="002B5162">
            <w:pPr>
              <w:jc w:val="right"/>
              <w:rPr>
                <w:b/>
                <w:bCs/>
                <w:sz w:val="13"/>
                <w:szCs w:val="13"/>
              </w:rPr>
            </w:pPr>
            <w:r w:rsidRPr="001F224B">
              <w:rPr>
                <w:b/>
                <w:bCs/>
                <w:sz w:val="13"/>
                <w:szCs w:val="13"/>
              </w:rPr>
              <w:t>-</w:t>
            </w:r>
          </w:p>
        </w:tc>
        <w:tc>
          <w:tcPr>
            <w:tcW w:w="692" w:type="dxa"/>
            <w:tcBorders>
              <w:top w:val="nil"/>
              <w:left w:val="nil"/>
              <w:bottom w:val="nil"/>
              <w:right w:val="single" w:sz="4" w:space="0" w:color="auto"/>
            </w:tcBorders>
            <w:vAlign w:val="bottom"/>
          </w:tcPr>
          <w:p w14:paraId="5DF9A1F3" w14:textId="692D2C45" w:rsidR="002B5162" w:rsidRPr="001F224B" w:rsidRDefault="002B5162" w:rsidP="002B5162">
            <w:pPr>
              <w:jc w:val="right"/>
              <w:rPr>
                <w:b/>
                <w:bCs/>
                <w:sz w:val="13"/>
                <w:szCs w:val="13"/>
              </w:rPr>
            </w:pPr>
            <w:r w:rsidRPr="001F224B">
              <w:rPr>
                <w:b/>
                <w:bCs/>
                <w:sz w:val="13"/>
                <w:szCs w:val="13"/>
              </w:rPr>
              <w:t>-</w:t>
            </w:r>
          </w:p>
        </w:tc>
        <w:tc>
          <w:tcPr>
            <w:tcW w:w="709" w:type="dxa"/>
            <w:tcBorders>
              <w:top w:val="nil"/>
              <w:left w:val="nil"/>
              <w:bottom w:val="nil"/>
              <w:right w:val="single" w:sz="4" w:space="0" w:color="auto"/>
            </w:tcBorders>
            <w:vAlign w:val="bottom"/>
          </w:tcPr>
          <w:p w14:paraId="4CC6D2F3" w14:textId="761F8FEC" w:rsidR="002B5162" w:rsidRPr="001F224B" w:rsidRDefault="002B5162" w:rsidP="002B5162">
            <w:pPr>
              <w:jc w:val="right"/>
              <w:rPr>
                <w:b/>
                <w:bCs/>
                <w:sz w:val="13"/>
                <w:szCs w:val="13"/>
              </w:rPr>
            </w:pPr>
            <w:r w:rsidRPr="001F224B">
              <w:rPr>
                <w:b/>
                <w:bCs/>
                <w:sz w:val="13"/>
                <w:szCs w:val="13"/>
              </w:rPr>
              <w:t>-</w:t>
            </w:r>
          </w:p>
        </w:tc>
      </w:tr>
      <w:tr w:rsidR="002B5162" w:rsidRPr="001F224B" w14:paraId="206B1142"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B4DC569"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II.</w:t>
            </w:r>
          </w:p>
        </w:tc>
        <w:tc>
          <w:tcPr>
            <w:tcW w:w="4819" w:type="dxa"/>
            <w:tcBorders>
              <w:top w:val="nil"/>
              <w:left w:val="nil"/>
              <w:bottom w:val="nil"/>
              <w:right w:val="nil"/>
            </w:tcBorders>
            <w:noWrap/>
            <w:tcMar>
              <w:top w:w="18" w:type="dxa"/>
              <w:left w:w="18" w:type="dxa"/>
              <w:bottom w:w="0" w:type="dxa"/>
              <w:right w:w="18" w:type="dxa"/>
            </w:tcMar>
          </w:tcPr>
          <w:p w14:paraId="419B0172"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ALINAN KREDİLER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2935B00" w14:textId="77777777" w:rsidR="002B5162" w:rsidRPr="001F224B" w:rsidRDefault="002B5162" w:rsidP="002B5162">
            <w:pPr>
              <w:jc w:val="center"/>
              <w:rPr>
                <w:rFonts w:eastAsia="Arial Unicode MS"/>
                <w:b/>
                <w:sz w:val="13"/>
                <w:szCs w:val="13"/>
              </w:rPr>
            </w:pPr>
            <w:r w:rsidRPr="001F224B">
              <w:rPr>
                <w:b/>
                <w:bCs/>
                <w:sz w:val="13"/>
                <w:szCs w:val="13"/>
              </w:rPr>
              <w:t>(2)</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1715CC" w14:textId="051D8136" w:rsidR="002B5162" w:rsidRPr="001F224B" w:rsidRDefault="002B5162" w:rsidP="002B5162">
            <w:pPr>
              <w:jc w:val="right"/>
              <w:rPr>
                <w:b/>
                <w:bCs/>
                <w:sz w:val="13"/>
                <w:szCs w:val="13"/>
              </w:rPr>
            </w:pPr>
            <w:r w:rsidRPr="001F224B">
              <w:rPr>
                <w:b/>
                <w:bCs/>
                <w:sz w:val="13"/>
                <w:szCs w:val="13"/>
              </w:rPr>
              <w:t>22.512.597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AC0443" w14:textId="15E7B2B5" w:rsidR="002B5162" w:rsidRPr="001F224B" w:rsidRDefault="002B5162" w:rsidP="002B5162">
            <w:pPr>
              <w:jc w:val="right"/>
              <w:rPr>
                <w:b/>
                <w:bCs/>
                <w:sz w:val="13"/>
                <w:szCs w:val="13"/>
              </w:rPr>
            </w:pPr>
            <w:r w:rsidRPr="001F224B">
              <w:rPr>
                <w:b/>
                <w:bCs/>
                <w:sz w:val="13"/>
                <w:szCs w:val="13"/>
              </w:rPr>
              <w:t>103.886.457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2C26F4" w14:textId="750E05BE" w:rsidR="002B5162" w:rsidRPr="001F224B" w:rsidRDefault="002B5162" w:rsidP="002B5162">
            <w:pPr>
              <w:jc w:val="right"/>
              <w:rPr>
                <w:b/>
                <w:bCs/>
                <w:sz w:val="13"/>
                <w:szCs w:val="13"/>
              </w:rPr>
            </w:pPr>
            <w:r w:rsidRPr="001F224B">
              <w:rPr>
                <w:b/>
                <w:bCs/>
                <w:sz w:val="13"/>
                <w:szCs w:val="13"/>
              </w:rPr>
              <w:t>126.399.054</w:t>
            </w:r>
          </w:p>
        </w:tc>
        <w:tc>
          <w:tcPr>
            <w:tcW w:w="725" w:type="dxa"/>
            <w:gridSpan w:val="2"/>
            <w:tcBorders>
              <w:top w:val="nil"/>
              <w:left w:val="single" w:sz="4" w:space="0" w:color="auto"/>
              <w:bottom w:val="nil"/>
              <w:right w:val="single" w:sz="4" w:space="0" w:color="auto"/>
            </w:tcBorders>
          </w:tcPr>
          <w:p w14:paraId="64DF235A" w14:textId="0ACE7752" w:rsidR="002B5162" w:rsidRPr="001F224B" w:rsidRDefault="002B5162" w:rsidP="002B5162">
            <w:pPr>
              <w:jc w:val="right"/>
              <w:rPr>
                <w:b/>
                <w:bCs/>
                <w:color w:val="000000"/>
                <w:sz w:val="13"/>
                <w:szCs w:val="13"/>
              </w:rPr>
            </w:pPr>
            <w:r w:rsidRPr="001F224B">
              <w:rPr>
                <w:b/>
                <w:bCs/>
                <w:sz w:val="13"/>
                <w:szCs w:val="13"/>
              </w:rPr>
              <w:t>21.904.450</w:t>
            </w:r>
          </w:p>
        </w:tc>
        <w:tc>
          <w:tcPr>
            <w:tcW w:w="692" w:type="dxa"/>
            <w:tcBorders>
              <w:top w:val="nil"/>
              <w:left w:val="nil"/>
              <w:bottom w:val="nil"/>
              <w:right w:val="single" w:sz="4" w:space="0" w:color="auto"/>
            </w:tcBorders>
          </w:tcPr>
          <w:p w14:paraId="5F5C13D4" w14:textId="5CDA4CEC" w:rsidR="002B5162" w:rsidRPr="001F224B" w:rsidRDefault="002B5162" w:rsidP="002B5162">
            <w:pPr>
              <w:jc w:val="right"/>
              <w:rPr>
                <w:b/>
                <w:bCs/>
                <w:color w:val="000000"/>
                <w:sz w:val="13"/>
                <w:szCs w:val="13"/>
              </w:rPr>
            </w:pPr>
            <w:r w:rsidRPr="001F224B">
              <w:rPr>
                <w:b/>
                <w:bCs/>
                <w:sz w:val="13"/>
                <w:szCs w:val="13"/>
              </w:rPr>
              <w:t>86.380.401</w:t>
            </w:r>
          </w:p>
        </w:tc>
        <w:tc>
          <w:tcPr>
            <w:tcW w:w="709" w:type="dxa"/>
            <w:tcBorders>
              <w:top w:val="nil"/>
              <w:left w:val="nil"/>
              <w:bottom w:val="nil"/>
              <w:right w:val="single" w:sz="4" w:space="0" w:color="auto"/>
            </w:tcBorders>
          </w:tcPr>
          <w:p w14:paraId="6A718793" w14:textId="6E040A03" w:rsidR="002B5162" w:rsidRPr="001F224B" w:rsidRDefault="002B5162" w:rsidP="002B5162">
            <w:pPr>
              <w:jc w:val="right"/>
              <w:rPr>
                <w:b/>
                <w:bCs/>
                <w:color w:val="000000"/>
                <w:sz w:val="13"/>
                <w:szCs w:val="13"/>
              </w:rPr>
            </w:pPr>
            <w:r w:rsidRPr="001F224B">
              <w:rPr>
                <w:b/>
                <w:bCs/>
                <w:sz w:val="13"/>
                <w:szCs w:val="13"/>
              </w:rPr>
              <w:t>108.284.851</w:t>
            </w:r>
          </w:p>
        </w:tc>
      </w:tr>
      <w:tr w:rsidR="002B5162" w:rsidRPr="001F224B" w14:paraId="27CB2EEC"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4681D84F"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7E54258A"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PARA PİYASALARINA BORÇLAR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D310CF9" w14:textId="77777777" w:rsidR="002B5162" w:rsidRPr="001F224B" w:rsidRDefault="002B5162" w:rsidP="002B5162">
            <w:pPr>
              <w:jc w:val="center"/>
              <w:rPr>
                <w:rFonts w:eastAsia="Arial Unicode MS"/>
                <w:sz w:val="13"/>
                <w:szCs w:val="13"/>
              </w:rPr>
            </w:pPr>
            <w:r w:rsidRPr="001F224B">
              <w:rPr>
                <w:b/>
                <w:bCs/>
                <w:sz w:val="13"/>
                <w:szCs w:val="13"/>
              </w:rPr>
              <w:t>(3)</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CBB7BF" w14:textId="1EA41B40" w:rsidR="002B5162" w:rsidRPr="001F224B" w:rsidRDefault="002B5162" w:rsidP="002B5162">
            <w:pPr>
              <w:jc w:val="right"/>
              <w:rPr>
                <w:b/>
                <w:bCs/>
                <w:sz w:val="13"/>
                <w:szCs w:val="13"/>
              </w:rPr>
            </w:pPr>
            <w:r w:rsidRPr="001F224B">
              <w:rPr>
                <w:b/>
                <w:bCs/>
                <w:sz w:val="13"/>
                <w:szCs w:val="13"/>
              </w:rPr>
              <w:t>4.108.625</w:t>
            </w:r>
          </w:p>
        </w:tc>
        <w:tc>
          <w:tcPr>
            <w:tcW w:w="764"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6B550E00" w14:textId="1E4A97A1" w:rsidR="002B5162" w:rsidRPr="001F224B" w:rsidRDefault="002B5162" w:rsidP="002B5162">
            <w:pPr>
              <w:jc w:val="right"/>
              <w:rPr>
                <w:b/>
                <w:bCs/>
                <w:sz w:val="13"/>
                <w:szCs w:val="13"/>
              </w:rPr>
            </w:pPr>
            <w:r w:rsidRPr="001F224B">
              <w:rPr>
                <w:b/>
                <w:bCs/>
                <w:sz w:val="13"/>
                <w:szCs w:val="13"/>
              </w:rPr>
              <w:t>43.725</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06FA41" w14:textId="76D27324" w:rsidR="002B5162" w:rsidRPr="001F224B" w:rsidRDefault="002B5162" w:rsidP="002B5162">
            <w:pPr>
              <w:jc w:val="right"/>
              <w:rPr>
                <w:b/>
                <w:bCs/>
                <w:sz w:val="13"/>
                <w:szCs w:val="13"/>
              </w:rPr>
            </w:pPr>
            <w:r w:rsidRPr="001F224B">
              <w:rPr>
                <w:b/>
                <w:bCs/>
                <w:sz w:val="13"/>
                <w:szCs w:val="13"/>
              </w:rPr>
              <w:t>4.152.350</w:t>
            </w:r>
          </w:p>
        </w:tc>
        <w:tc>
          <w:tcPr>
            <w:tcW w:w="725" w:type="dxa"/>
            <w:gridSpan w:val="2"/>
            <w:tcBorders>
              <w:top w:val="nil"/>
              <w:left w:val="single" w:sz="4" w:space="0" w:color="auto"/>
              <w:bottom w:val="nil"/>
              <w:right w:val="single" w:sz="4" w:space="0" w:color="auto"/>
            </w:tcBorders>
          </w:tcPr>
          <w:p w14:paraId="5BBB6AF3" w14:textId="41192A4E" w:rsidR="002B5162" w:rsidRPr="001F224B" w:rsidRDefault="002B5162" w:rsidP="002B5162">
            <w:pPr>
              <w:jc w:val="right"/>
              <w:rPr>
                <w:b/>
                <w:bCs/>
                <w:color w:val="000000"/>
                <w:sz w:val="13"/>
                <w:szCs w:val="13"/>
              </w:rPr>
            </w:pPr>
            <w:r w:rsidRPr="001F224B">
              <w:rPr>
                <w:b/>
                <w:bCs/>
                <w:sz w:val="13"/>
                <w:szCs w:val="13"/>
              </w:rPr>
              <w:t>3.415.017</w:t>
            </w:r>
          </w:p>
        </w:tc>
        <w:tc>
          <w:tcPr>
            <w:tcW w:w="692" w:type="dxa"/>
            <w:tcBorders>
              <w:top w:val="nil"/>
              <w:left w:val="nil"/>
              <w:bottom w:val="nil"/>
              <w:right w:val="single" w:sz="4" w:space="0" w:color="auto"/>
            </w:tcBorders>
          </w:tcPr>
          <w:p w14:paraId="4002D63A" w14:textId="1B0A70E1" w:rsidR="002B5162" w:rsidRPr="001F224B" w:rsidRDefault="002B5162" w:rsidP="002B5162">
            <w:pPr>
              <w:jc w:val="right"/>
              <w:rPr>
                <w:b/>
                <w:bCs/>
                <w:color w:val="000000"/>
                <w:sz w:val="13"/>
                <w:szCs w:val="13"/>
              </w:rPr>
            </w:pPr>
            <w:r w:rsidRPr="001F224B">
              <w:rPr>
                <w:b/>
                <w:bCs/>
                <w:sz w:val="13"/>
                <w:szCs w:val="13"/>
              </w:rPr>
              <w:t>2.099</w:t>
            </w:r>
          </w:p>
        </w:tc>
        <w:tc>
          <w:tcPr>
            <w:tcW w:w="709" w:type="dxa"/>
            <w:tcBorders>
              <w:top w:val="nil"/>
              <w:left w:val="nil"/>
              <w:bottom w:val="nil"/>
              <w:right w:val="single" w:sz="4" w:space="0" w:color="auto"/>
            </w:tcBorders>
          </w:tcPr>
          <w:p w14:paraId="47E142C4" w14:textId="6230F68F" w:rsidR="002B5162" w:rsidRPr="001F224B" w:rsidRDefault="002B5162" w:rsidP="002B5162">
            <w:pPr>
              <w:jc w:val="right"/>
              <w:rPr>
                <w:b/>
                <w:bCs/>
                <w:color w:val="000000"/>
                <w:sz w:val="13"/>
                <w:szCs w:val="13"/>
              </w:rPr>
            </w:pPr>
            <w:r w:rsidRPr="001F224B">
              <w:rPr>
                <w:b/>
                <w:bCs/>
                <w:sz w:val="13"/>
                <w:szCs w:val="13"/>
              </w:rPr>
              <w:t>3.417.116</w:t>
            </w:r>
          </w:p>
        </w:tc>
      </w:tr>
      <w:tr w:rsidR="002B5162" w:rsidRPr="001F224B" w14:paraId="3E37D5C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8D3E5C8" w14:textId="77777777" w:rsidR="002B5162" w:rsidRPr="001F224B" w:rsidRDefault="002B5162" w:rsidP="002B5162">
            <w:pPr>
              <w:rPr>
                <w:rFonts w:eastAsia="Arial Unicode MS"/>
                <w:sz w:val="13"/>
                <w:szCs w:val="13"/>
              </w:rPr>
            </w:pPr>
            <w:r w:rsidRPr="001F224B">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3422FF86"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 xml:space="preserve">İHRAÇ EDİLEN MENKUL KIYMETLER (Net)  </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3DB197AA" w14:textId="77777777" w:rsidR="002B5162" w:rsidRPr="001F224B" w:rsidRDefault="002B5162" w:rsidP="002B5162">
            <w:pPr>
              <w:jc w:val="center"/>
              <w:rPr>
                <w:rFonts w:eastAsia="Arial Unicode MS"/>
                <w:sz w:val="13"/>
                <w:szCs w:val="13"/>
              </w:rPr>
            </w:pPr>
            <w:r w:rsidRPr="001F224B">
              <w:rPr>
                <w:b/>
                <w:bCs/>
                <w:sz w:val="13"/>
                <w:szCs w:val="13"/>
              </w:rPr>
              <w:t>(4)</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142262" w14:textId="2465E6A1" w:rsidR="002B5162" w:rsidRPr="001F224B" w:rsidRDefault="002B5162" w:rsidP="002B5162">
            <w:pPr>
              <w:jc w:val="right"/>
              <w:rPr>
                <w:b/>
                <w:bCs/>
                <w:sz w:val="13"/>
                <w:szCs w:val="13"/>
              </w:rPr>
            </w:pPr>
            <w:r w:rsidRPr="001F224B">
              <w:rPr>
                <w:b/>
                <w:bCs/>
                <w:sz w:val="13"/>
                <w:szCs w:val="13"/>
              </w:rPr>
              <w:t>422.886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77EA55" w14:textId="5BBC1AFA" w:rsidR="002B5162" w:rsidRPr="001F224B" w:rsidRDefault="002B5162" w:rsidP="002B5162">
            <w:pPr>
              <w:jc w:val="right"/>
              <w:rPr>
                <w:b/>
                <w:bCs/>
                <w:sz w:val="13"/>
                <w:szCs w:val="13"/>
              </w:rPr>
            </w:pPr>
            <w:r w:rsidRPr="001F224B">
              <w:rPr>
                <w:b/>
                <w:bCs/>
                <w:sz w:val="13"/>
                <w:szCs w:val="13"/>
              </w:rPr>
              <w:t>4.749.692</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65ABD2" w14:textId="414392A7" w:rsidR="002B5162" w:rsidRPr="001F224B" w:rsidRDefault="002B5162" w:rsidP="002B5162">
            <w:pPr>
              <w:jc w:val="right"/>
              <w:rPr>
                <w:b/>
                <w:bCs/>
                <w:sz w:val="13"/>
                <w:szCs w:val="13"/>
              </w:rPr>
            </w:pPr>
            <w:r w:rsidRPr="001F224B">
              <w:rPr>
                <w:b/>
                <w:bCs/>
                <w:sz w:val="13"/>
                <w:szCs w:val="13"/>
              </w:rPr>
              <w:t>5.172.578</w:t>
            </w:r>
          </w:p>
        </w:tc>
        <w:tc>
          <w:tcPr>
            <w:tcW w:w="725" w:type="dxa"/>
            <w:gridSpan w:val="2"/>
            <w:tcBorders>
              <w:top w:val="nil"/>
              <w:left w:val="single" w:sz="4" w:space="0" w:color="auto"/>
              <w:bottom w:val="nil"/>
              <w:right w:val="single" w:sz="4" w:space="0" w:color="auto"/>
            </w:tcBorders>
          </w:tcPr>
          <w:p w14:paraId="7A7D9B89" w14:textId="592BDA88" w:rsidR="002B5162" w:rsidRPr="001F224B" w:rsidRDefault="002B5162" w:rsidP="002B5162">
            <w:pPr>
              <w:jc w:val="right"/>
              <w:rPr>
                <w:sz w:val="13"/>
                <w:szCs w:val="13"/>
              </w:rPr>
            </w:pPr>
            <w:r w:rsidRPr="001F224B">
              <w:rPr>
                <w:b/>
                <w:bCs/>
                <w:color w:val="000000"/>
                <w:sz w:val="13"/>
                <w:szCs w:val="13"/>
              </w:rPr>
              <w:t>-</w:t>
            </w:r>
          </w:p>
        </w:tc>
        <w:tc>
          <w:tcPr>
            <w:tcW w:w="692" w:type="dxa"/>
            <w:tcBorders>
              <w:top w:val="nil"/>
              <w:left w:val="nil"/>
              <w:bottom w:val="nil"/>
              <w:right w:val="single" w:sz="4" w:space="0" w:color="auto"/>
            </w:tcBorders>
          </w:tcPr>
          <w:p w14:paraId="3FC4C789" w14:textId="6F4D8FEB" w:rsidR="002B5162" w:rsidRPr="001F224B" w:rsidRDefault="002B5162" w:rsidP="002B5162">
            <w:pPr>
              <w:jc w:val="right"/>
              <w:rPr>
                <w:sz w:val="13"/>
                <w:szCs w:val="13"/>
              </w:rPr>
            </w:pPr>
            <w:r w:rsidRPr="001F224B">
              <w:rPr>
                <w:b/>
                <w:bCs/>
                <w:sz w:val="13"/>
                <w:szCs w:val="13"/>
              </w:rPr>
              <w:t>3.735.924</w:t>
            </w:r>
          </w:p>
        </w:tc>
        <w:tc>
          <w:tcPr>
            <w:tcW w:w="709" w:type="dxa"/>
            <w:tcBorders>
              <w:top w:val="nil"/>
              <w:left w:val="nil"/>
              <w:bottom w:val="nil"/>
              <w:right w:val="single" w:sz="4" w:space="0" w:color="auto"/>
            </w:tcBorders>
          </w:tcPr>
          <w:p w14:paraId="7B27BAD7" w14:textId="7760DF14" w:rsidR="002B5162" w:rsidRPr="001F224B" w:rsidRDefault="002B5162" w:rsidP="002B5162">
            <w:pPr>
              <w:jc w:val="right"/>
              <w:rPr>
                <w:sz w:val="13"/>
                <w:szCs w:val="13"/>
              </w:rPr>
            </w:pPr>
            <w:r w:rsidRPr="001F224B">
              <w:rPr>
                <w:b/>
                <w:bCs/>
                <w:sz w:val="13"/>
                <w:szCs w:val="13"/>
              </w:rPr>
              <w:t>3.735.924</w:t>
            </w:r>
          </w:p>
        </w:tc>
      </w:tr>
      <w:tr w:rsidR="002B5162" w:rsidRPr="001F224B" w14:paraId="7245CE06" w14:textId="77777777" w:rsidTr="00CA13B2">
        <w:tc>
          <w:tcPr>
            <w:tcW w:w="426" w:type="dxa"/>
            <w:tcBorders>
              <w:top w:val="nil"/>
              <w:left w:val="single" w:sz="4" w:space="0" w:color="auto"/>
              <w:bottom w:val="nil"/>
              <w:right w:val="nil"/>
            </w:tcBorders>
            <w:noWrap/>
            <w:tcMar>
              <w:top w:w="18" w:type="dxa"/>
              <w:left w:w="18" w:type="dxa"/>
              <w:bottom w:w="0" w:type="dxa"/>
              <w:right w:w="18" w:type="dxa"/>
            </w:tcMar>
          </w:tcPr>
          <w:p w14:paraId="7F10D695" w14:textId="77777777" w:rsidR="002B5162" w:rsidRPr="001F224B" w:rsidRDefault="002B5162" w:rsidP="002B5162">
            <w:pPr>
              <w:rPr>
                <w:rFonts w:eastAsia="Arial Unicode MS"/>
                <w:sz w:val="13"/>
                <w:szCs w:val="13"/>
              </w:rPr>
            </w:pPr>
            <w:r w:rsidRPr="001F224B">
              <w:rPr>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4405012C" w14:textId="77777777" w:rsidR="002B5162" w:rsidRPr="001F224B" w:rsidRDefault="002B5162" w:rsidP="002B5162">
            <w:pPr>
              <w:rPr>
                <w:rFonts w:eastAsia="Arial Unicode MS"/>
                <w:sz w:val="13"/>
                <w:szCs w:val="13"/>
              </w:rPr>
            </w:pPr>
            <w:r w:rsidRPr="001F224B">
              <w:rPr>
                <w:sz w:val="13"/>
                <w:szCs w:val="13"/>
              </w:rPr>
              <w:t>Bonolar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AD652"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CCB965" w14:textId="746975C9" w:rsidR="002B5162" w:rsidRPr="001F224B" w:rsidRDefault="002B5162" w:rsidP="002B5162">
            <w:pPr>
              <w:jc w:val="right"/>
              <w:rPr>
                <w:sz w:val="13"/>
                <w:szCs w:val="13"/>
              </w:rPr>
            </w:pPr>
            <w:r w:rsidRPr="001F224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F1149C" w14:textId="6E2E34F3"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B07200" w14:textId="3C207A5D" w:rsidR="002B5162" w:rsidRPr="001F224B" w:rsidRDefault="002B5162" w:rsidP="002B5162">
            <w:pPr>
              <w:jc w:val="right"/>
              <w:rPr>
                <w:sz w:val="13"/>
                <w:szCs w:val="13"/>
              </w:rPr>
            </w:pPr>
            <w:r w:rsidRPr="001F224B">
              <w:rPr>
                <w:sz w:val="13"/>
                <w:szCs w:val="13"/>
              </w:rPr>
              <w:t>-</w:t>
            </w:r>
          </w:p>
        </w:tc>
        <w:tc>
          <w:tcPr>
            <w:tcW w:w="725" w:type="dxa"/>
            <w:gridSpan w:val="2"/>
            <w:tcBorders>
              <w:top w:val="nil"/>
              <w:left w:val="nil"/>
              <w:bottom w:val="nil"/>
              <w:right w:val="single" w:sz="4" w:space="0" w:color="auto"/>
            </w:tcBorders>
            <w:vAlign w:val="bottom"/>
          </w:tcPr>
          <w:p w14:paraId="64122EDB" w14:textId="7140DE57" w:rsidR="002B5162" w:rsidRPr="001F224B" w:rsidRDefault="002B5162" w:rsidP="002B5162">
            <w:pPr>
              <w:jc w:val="right"/>
              <w:rPr>
                <w:sz w:val="13"/>
                <w:szCs w:val="13"/>
              </w:rPr>
            </w:pPr>
            <w:r w:rsidRPr="001F224B">
              <w:rPr>
                <w:sz w:val="13"/>
                <w:szCs w:val="13"/>
              </w:rPr>
              <w:t>-</w:t>
            </w:r>
          </w:p>
        </w:tc>
        <w:tc>
          <w:tcPr>
            <w:tcW w:w="692" w:type="dxa"/>
            <w:tcBorders>
              <w:top w:val="nil"/>
              <w:left w:val="nil"/>
              <w:bottom w:val="nil"/>
              <w:right w:val="single" w:sz="4" w:space="0" w:color="auto"/>
            </w:tcBorders>
            <w:vAlign w:val="bottom"/>
          </w:tcPr>
          <w:p w14:paraId="289C84FE" w14:textId="405BA616" w:rsidR="002B5162" w:rsidRPr="001F224B" w:rsidRDefault="002B5162" w:rsidP="002B5162">
            <w:pPr>
              <w:jc w:val="right"/>
              <w:rPr>
                <w:sz w:val="13"/>
                <w:szCs w:val="13"/>
              </w:rPr>
            </w:pPr>
            <w:r w:rsidRPr="001F224B">
              <w:rPr>
                <w:sz w:val="13"/>
                <w:szCs w:val="13"/>
              </w:rPr>
              <w:t>-</w:t>
            </w:r>
          </w:p>
        </w:tc>
        <w:tc>
          <w:tcPr>
            <w:tcW w:w="709" w:type="dxa"/>
            <w:tcBorders>
              <w:top w:val="nil"/>
              <w:left w:val="nil"/>
              <w:bottom w:val="nil"/>
              <w:right w:val="single" w:sz="4" w:space="0" w:color="auto"/>
            </w:tcBorders>
            <w:vAlign w:val="bottom"/>
          </w:tcPr>
          <w:p w14:paraId="17A6BA4D" w14:textId="5F1A3A6C" w:rsidR="002B5162" w:rsidRPr="001F224B" w:rsidRDefault="002B5162" w:rsidP="002B5162">
            <w:pPr>
              <w:jc w:val="right"/>
              <w:rPr>
                <w:sz w:val="13"/>
                <w:szCs w:val="13"/>
              </w:rPr>
            </w:pPr>
            <w:r w:rsidRPr="001F224B">
              <w:rPr>
                <w:sz w:val="13"/>
                <w:szCs w:val="13"/>
              </w:rPr>
              <w:t>-</w:t>
            </w:r>
          </w:p>
        </w:tc>
      </w:tr>
      <w:tr w:rsidR="002B5162" w:rsidRPr="001F224B" w14:paraId="562941C3" w14:textId="77777777" w:rsidTr="001E7239">
        <w:tc>
          <w:tcPr>
            <w:tcW w:w="426" w:type="dxa"/>
            <w:tcBorders>
              <w:top w:val="nil"/>
              <w:left w:val="single" w:sz="4" w:space="0" w:color="auto"/>
              <w:bottom w:val="nil"/>
              <w:right w:val="nil"/>
            </w:tcBorders>
            <w:noWrap/>
            <w:tcMar>
              <w:top w:w="18" w:type="dxa"/>
              <w:left w:w="18" w:type="dxa"/>
              <w:bottom w:w="0" w:type="dxa"/>
              <w:right w:w="18" w:type="dxa"/>
            </w:tcMar>
          </w:tcPr>
          <w:p w14:paraId="7AFDA2E7" w14:textId="77777777" w:rsidR="002B5162" w:rsidRPr="001F224B" w:rsidRDefault="002B5162" w:rsidP="002B5162">
            <w:pPr>
              <w:rPr>
                <w:rFonts w:eastAsia="Arial Unicode MS"/>
                <w:b/>
                <w:sz w:val="13"/>
                <w:szCs w:val="13"/>
              </w:rPr>
            </w:pPr>
            <w:r w:rsidRPr="001F224B">
              <w:rPr>
                <w:sz w:val="13"/>
                <w:szCs w:val="13"/>
              </w:rPr>
              <w:t>4.2</w:t>
            </w:r>
          </w:p>
        </w:tc>
        <w:tc>
          <w:tcPr>
            <w:tcW w:w="4819" w:type="dxa"/>
            <w:tcBorders>
              <w:top w:val="nil"/>
              <w:left w:val="nil"/>
              <w:bottom w:val="nil"/>
              <w:right w:val="nil"/>
            </w:tcBorders>
            <w:noWrap/>
            <w:tcMar>
              <w:top w:w="18" w:type="dxa"/>
              <w:left w:w="18" w:type="dxa"/>
              <w:bottom w:w="0" w:type="dxa"/>
              <w:right w:w="18" w:type="dxa"/>
            </w:tcMar>
            <w:vAlign w:val="bottom"/>
          </w:tcPr>
          <w:p w14:paraId="6F5F7951" w14:textId="77777777" w:rsidR="002B5162" w:rsidRPr="001F224B" w:rsidRDefault="002B5162" w:rsidP="002B5162">
            <w:pPr>
              <w:rPr>
                <w:rFonts w:eastAsia="Arial Unicode MS"/>
                <w:sz w:val="13"/>
                <w:szCs w:val="13"/>
              </w:rPr>
            </w:pPr>
            <w:r w:rsidRPr="001F224B">
              <w:rPr>
                <w:sz w:val="13"/>
                <w:szCs w:val="13"/>
              </w:rPr>
              <w:t>Varlığa Dayalı Menkul Kıymetler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BE0CF1"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033E68" w14:textId="7BD87DD6" w:rsidR="002B5162" w:rsidRPr="001F224B" w:rsidRDefault="002B5162" w:rsidP="002B5162">
            <w:pPr>
              <w:jc w:val="right"/>
              <w:rPr>
                <w:sz w:val="13"/>
                <w:szCs w:val="13"/>
              </w:rPr>
            </w:pPr>
            <w:r w:rsidRPr="001F224B">
              <w:rPr>
                <w:sz w:val="13"/>
                <w:szCs w:val="13"/>
              </w:rPr>
              <w:t>422.886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7E1936" w14:textId="251F0597"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9A0901" w14:textId="746749E7" w:rsidR="002B5162" w:rsidRPr="001F224B" w:rsidRDefault="002B5162" w:rsidP="002B5162">
            <w:pPr>
              <w:jc w:val="right"/>
              <w:rPr>
                <w:sz w:val="13"/>
                <w:szCs w:val="13"/>
              </w:rPr>
            </w:pPr>
            <w:r w:rsidRPr="001F224B">
              <w:rPr>
                <w:sz w:val="13"/>
                <w:szCs w:val="13"/>
              </w:rPr>
              <w:t>422.886</w:t>
            </w:r>
          </w:p>
        </w:tc>
        <w:tc>
          <w:tcPr>
            <w:tcW w:w="725" w:type="dxa"/>
            <w:gridSpan w:val="2"/>
            <w:tcBorders>
              <w:top w:val="nil"/>
              <w:left w:val="nil"/>
              <w:bottom w:val="nil"/>
              <w:right w:val="single" w:sz="4" w:space="0" w:color="auto"/>
            </w:tcBorders>
            <w:vAlign w:val="bottom"/>
          </w:tcPr>
          <w:p w14:paraId="295843C8" w14:textId="15A5B3AF" w:rsidR="002B5162" w:rsidRPr="001F224B" w:rsidRDefault="002B5162" w:rsidP="002B5162">
            <w:pPr>
              <w:jc w:val="right"/>
              <w:rPr>
                <w:sz w:val="13"/>
                <w:szCs w:val="13"/>
              </w:rPr>
            </w:pPr>
            <w:r w:rsidRPr="001F224B">
              <w:rPr>
                <w:sz w:val="13"/>
                <w:szCs w:val="13"/>
              </w:rPr>
              <w:t>-</w:t>
            </w:r>
          </w:p>
        </w:tc>
        <w:tc>
          <w:tcPr>
            <w:tcW w:w="692" w:type="dxa"/>
            <w:tcBorders>
              <w:top w:val="nil"/>
              <w:left w:val="nil"/>
              <w:bottom w:val="nil"/>
              <w:right w:val="single" w:sz="4" w:space="0" w:color="auto"/>
            </w:tcBorders>
            <w:vAlign w:val="bottom"/>
          </w:tcPr>
          <w:p w14:paraId="3A2D1005" w14:textId="23956662" w:rsidR="002B5162" w:rsidRPr="001F224B" w:rsidRDefault="002B5162" w:rsidP="002B5162">
            <w:pPr>
              <w:jc w:val="right"/>
              <w:rPr>
                <w:sz w:val="13"/>
                <w:szCs w:val="13"/>
              </w:rPr>
            </w:pPr>
            <w:r w:rsidRPr="001F224B">
              <w:rPr>
                <w:sz w:val="13"/>
                <w:szCs w:val="13"/>
              </w:rPr>
              <w:t>-</w:t>
            </w:r>
          </w:p>
        </w:tc>
        <w:tc>
          <w:tcPr>
            <w:tcW w:w="709" w:type="dxa"/>
            <w:tcBorders>
              <w:top w:val="nil"/>
              <w:left w:val="nil"/>
              <w:bottom w:val="nil"/>
              <w:right w:val="single" w:sz="4" w:space="0" w:color="auto"/>
            </w:tcBorders>
            <w:vAlign w:val="bottom"/>
          </w:tcPr>
          <w:p w14:paraId="6DCC6AC7" w14:textId="5F8B8D2E" w:rsidR="002B5162" w:rsidRPr="001F224B" w:rsidRDefault="002B5162" w:rsidP="002B5162">
            <w:pPr>
              <w:jc w:val="right"/>
              <w:rPr>
                <w:sz w:val="13"/>
                <w:szCs w:val="13"/>
              </w:rPr>
            </w:pPr>
            <w:r w:rsidRPr="001F224B">
              <w:rPr>
                <w:sz w:val="13"/>
                <w:szCs w:val="13"/>
              </w:rPr>
              <w:t>-</w:t>
            </w:r>
          </w:p>
        </w:tc>
      </w:tr>
      <w:tr w:rsidR="002B5162" w:rsidRPr="001F224B" w14:paraId="3EF0209C"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7CCBE38" w14:textId="77777777" w:rsidR="002B5162" w:rsidRPr="001F224B" w:rsidRDefault="002B5162" w:rsidP="002B5162">
            <w:pPr>
              <w:rPr>
                <w:rFonts w:eastAsia="Arial Unicode MS"/>
                <w:sz w:val="13"/>
                <w:szCs w:val="13"/>
              </w:rPr>
            </w:pPr>
            <w:r w:rsidRPr="001F224B">
              <w:rPr>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54AA1ECB" w14:textId="77777777" w:rsidR="002B5162" w:rsidRPr="001F224B" w:rsidRDefault="002B5162" w:rsidP="002B5162">
            <w:pPr>
              <w:rPr>
                <w:rFonts w:eastAsia="Arial Unicode MS"/>
                <w:sz w:val="13"/>
                <w:szCs w:val="13"/>
              </w:rPr>
            </w:pPr>
            <w:r w:rsidRPr="001F224B">
              <w:rPr>
                <w:sz w:val="13"/>
                <w:szCs w:val="13"/>
              </w:rPr>
              <w:t>Tahviller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C3148"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AB6155" w14:textId="7E9526FA" w:rsidR="002B5162" w:rsidRPr="001F224B" w:rsidRDefault="002B5162" w:rsidP="002B5162">
            <w:pPr>
              <w:jc w:val="right"/>
              <w:rPr>
                <w:sz w:val="13"/>
                <w:szCs w:val="13"/>
              </w:rPr>
            </w:pPr>
            <w:r w:rsidRPr="001F224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BC1F356" w14:textId="6A89E48A" w:rsidR="002B5162" w:rsidRPr="001F224B" w:rsidRDefault="002B5162" w:rsidP="002B5162">
            <w:pPr>
              <w:jc w:val="right"/>
              <w:rPr>
                <w:sz w:val="13"/>
                <w:szCs w:val="13"/>
              </w:rPr>
            </w:pPr>
            <w:r w:rsidRPr="001F224B">
              <w:rPr>
                <w:sz w:val="13"/>
                <w:szCs w:val="13"/>
              </w:rPr>
              <w:t>4.749.692</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A114F0" w14:textId="05C4CECA" w:rsidR="002B5162" w:rsidRPr="001F224B" w:rsidRDefault="002B5162" w:rsidP="002B5162">
            <w:pPr>
              <w:jc w:val="right"/>
              <w:rPr>
                <w:sz w:val="13"/>
                <w:szCs w:val="13"/>
              </w:rPr>
            </w:pPr>
            <w:r w:rsidRPr="001F224B">
              <w:rPr>
                <w:sz w:val="13"/>
                <w:szCs w:val="13"/>
              </w:rPr>
              <w:t>4.749.692</w:t>
            </w:r>
          </w:p>
        </w:tc>
        <w:tc>
          <w:tcPr>
            <w:tcW w:w="725" w:type="dxa"/>
            <w:gridSpan w:val="2"/>
            <w:tcBorders>
              <w:top w:val="nil"/>
              <w:left w:val="single" w:sz="4" w:space="0" w:color="auto"/>
              <w:bottom w:val="nil"/>
              <w:right w:val="single" w:sz="4" w:space="0" w:color="auto"/>
            </w:tcBorders>
          </w:tcPr>
          <w:p w14:paraId="70AD2E33" w14:textId="20FE2D70" w:rsidR="002B5162" w:rsidRPr="001F224B" w:rsidRDefault="002B5162" w:rsidP="002B5162">
            <w:pPr>
              <w:jc w:val="right"/>
              <w:rPr>
                <w:sz w:val="13"/>
                <w:szCs w:val="13"/>
              </w:rPr>
            </w:pPr>
            <w:r w:rsidRPr="001F224B">
              <w:rPr>
                <w:color w:val="000000"/>
                <w:sz w:val="13"/>
                <w:szCs w:val="13"/>
              </w:rPr>
              <w:t>-</w:t>
            </w:r>
          </w:p>
        </w:tc>
        <w:tc>
          <w:tcPr>
            <w:tcW w:w="692" w:type="dxa"/>
            <w:tcBorders>
              <w:top w:val="nil"/>
              <w:left w:val="nil"/>
              <w:bottom w:val="nil"/>
              <w:right w:val="single" w:sz="4" w:space="0" w:color="auto"/>
            </w:tcBorders>
          </w:tcPr>
          <w:p w14:paraId="3ED253C3" w14:textId="7720DC3F" w:rsidR="002B5162" w:rsidRPr="001F224B" w:rsidRDefault="002B5162" w:rsidP="002B5162">
            <w:pPr>
              <w:jc w:val="right"/>
              <w:rPr>
                <w:sz w:val="13"/>
                <w:szCs w:val="13"/>
              </w:rPr>
            </w:pPr>
            <w:r w:rsidRPr="001F224B">
              <w:rPr>
                <w:sz w:val="13"/>
                <w:szCs w:val="13"/>
              </w:rPr>
              <w:t>3.735.924</w:t>
            </w:r>
          </w:p>
        </w:tc>
        <w:tc>
          <w:tcPr>
            <w:tcW w:w="709" w:type="dxa"/>
            <w:tcBorders>
              <w:top w:val="nil"/>
              <w:left w:val="nil"/>
              <w:bottom w:val="nil"/>
              <w:right w:val="single" w:sz="4" w:space="0" w:color="auto"/>
            </w:tcBorders>
          </w:tcPr>
          <w:p w14:paraId="25E435C9" w14:textId="33DD4835" w:rsidR="002B5162" w:rsidRPr="001F224B" w:rsidRDefault="002B5162" w:rsidP="002B5162">
            <w:pPr>
              <w:jc w:val="right"/>
              <w:rPr>
                <w:sz w:val="13"/>
                <w:szCs w:val="13"/>
              </w:rPr>
            </w:pPr>
            <w:r w:rsidRPr="001F224B">
              <w:rPr>
                <w:sz w:val="13"/>
                <w:szCs w:val="13"/>
              </w:rPr>
              <w:t>3.735.924</w:t>
            </w:r>
          </w:p>
        </w:tc>
      </w:tr>
      <w:tr w:rsidR="002B5162" w:rsidRPr="001F224B" w14:paraId="38246EBE"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1D1FCA2E" w14:textId="77777777" w:rsidR="002B5162" w:rsidRPr="001F224B" w:rsidRDefault="002B5162" w:rsidP="002B5162">
            <w:pPr>
              <w:rPr>
                <w:rFonts w:eastAsia="Arial Unicode MS"/>
                <w:sz w:val="13"/>
                <w:szCs w:val="13"/>
              </w:rPr>
            </w:pPr>
            <w:r w:rsidRPr="001F224B">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679C0174"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FONLAR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6F0A890" w14:textId="77777777" w:rsidR="002B5162" w:rsidRPr="001F224B" w:rsidRDefault="002B5162" w:rsidP="002B5162">
            <w:pPr>
              <w:jc w:val="center"/>
              <w:rPr>
                <w:rFonts w:eastAsia="Arial Unicode MS"/>
                <w:sz w:val="13"/>
                <w:szCs w:val="13"/>
              </w:rPr>
            </w:pPr>
            <w:r w:rsidRPr="001F224B">
              <w:rPr>
                <w:b/>
                <w:bCs/>
                <w:sz w:val="13"/>
                <w:szCs w:val="13"/>
              </w:rPr>
              <w:t>(5)</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7F8BF5" w14:textId="5F86477B" w:rsidR="002B5162" w:rsidRPr="001F224B" w:rsidRDefault="002B5162" w:rsidP="002B5162">
            <w:pPr>
              <w:jc w:val="right"/>
              <w:rPr>
                <w:b/>
                <w:bCs/>
                <w:sz w:val="13"/>
                <w:szCs w:val="13"/>
              </w:rPr>
            </w:pPr>
            <w:r w:rsidRPr="001F224B">
              <w:rPr>
                <w:b/>
                <w:bCs/>
                <w:sz w:val="13"/>
                <w:szCs w:val="13"/>
              </w:rPr>
              <w:t>713.667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290234" w14:textId="39230987" w:rsidR="002B5162" w:rsidRPr="001F224B" w:rsidRDefault="002B5162" w:rsidP="002B5162">
            <w:pPr>
              <w:jc w:val="right"/>
              <w:rPr>
                <w:b/>
                <w:bCs/>
                <w:sz w:val="13"/>
                <w:szCs w:val="13"/>
              </w:rPr>
            </w:pPr>
            <w:r w:rsidRPr="001F224B">
              <w:rPr>
                <w:b/>
                <w:bCs/>
                <w:sz w:val="13"/>
                <w:szCs w:val="13"/>
              </w:rPr>
              <w:t>8.853.138</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467AAD" w14:textId="51A81562" w:rsidR="002B5162" w:rsidRPr="001F224B" w:rsidRDefault="002B5162" w:rsidP="002B5162">
            <w:pPr>
              <w:jc w:val="right"/>
              <w:rPr>
                <w:b/>
                <w:bCs/>
                <w:sz w:val="13"/>
                <w:szCs w:val="13"/>
              </w:rPr>
            </w:pPr>
            <w:r w:rsidRPr="001F224B">
              <w:rPr>
                <w:b/>
                <w:bCs/>
                <w:sz w:val="13"/>
                <w:szCs w:val="13"/>
              </w:rPr>
              <w:t>9.566.805</w:t>
            </w:r>
          </w:p>
        </w:tc>
        <w:tc>
          <w:tcPr>
            <w:tcW w:w="725" w:type="dxa"/>
            <w:gridSpan w:val="2"/>
            <w:tcBorders>
              <w:top w:val="nil"/>
              <w:left w:val="single" w:sz="4" w:space="0" w:color="auto"/>
              <w:bottom w:val="nil"/>
              <w:right w:val="single" w:sz="4" w:space="0" w:color="auto"/>
            </w:tcBorders>
          </w:tcPr>
          <w:p w14:paraId="7FDD2D5D" w14:textId="55835E74" w:rsidR="002B5162" w:rsidRPr="001F224B" w:rsidRDefault="002B5162" w:rsidP="002B5162">
            <w:pPr>
              <w:jc w:val="right"/>
              <w:rPr>
                <w:b/>
                <w:bCs/>
                <w:color w:val="000000"/>
                <w:sz w:val="13"/>
                <w:szCs w:val="13"/>
              </w:rPr>
            </w:pPr>
            <w:r w:rsidRPr="001F224B">
              <w:rPr>
                <w:b/>
                <w:bCs/>
                <w:sz w:val="13"/>
                <w:szCs w:val="13"/>
              </w:rPr>
              <w:t>2.254.778</w:t>
            </w:r>
          </w:p>
        </w:tc>
        <w:tc>
          <w:tcPr>
            <w:tcW w:w="692" w:type="dxa"/>
            <w:tcBorders>
              <w:top w:val="nil"/>
              <w:left w:val="nil"/>
              <w:bottom w:val="nil"/>
              <w:right w:val="single" w:sz="4" w:space="0" w:color="auto"/>
            </w:tcBorders>
          </w:tcPr>
          <w:p w14:paraId="632245EA" w14:textId="338C1697" w:rsidR="002B5162" w:rsidRPr="001F224B" w:rsidRDefault="002B5162" w:rsidP="002B5162">
            <w:pPr>
              <w:jc w:val="right"/>
              <w:rPr>
                <w:b/>
                <w:bCs/>
                <w:color w:val="000000"/>
                <w:sz w:val="13"/>
                <w:szCs w:val="13"/>
              </w:rPr>
            </w:pPr>
            <w:r w:rsidRPr="001F224B">
              <w:rPr>
                <w:b/>
                <w:bCs/>
                <w:sz w:val="13"/>
                <w:szCs w:val="13"/>
              </w:rPr>
              <w:t>6.147.855</w:t>
            </w:r>
          </w:p>
        </w:tc>
        <w:tc>
          <w:tcPr>
            <w:tcW w:w="709" w:type="dxa"/>
            <w:tcBorders>
              <w:top w:val="nil"/>
              <w:left w:val="nil"/>
              <w:bottom w:val="nil"/>
              <w:right w:val="single" w:sz="4" w:space="0" w:color="auto"/>
            </w:tcBorders>
          </w:tcPr>
          <w:p w14:paraId="34E10909" w14:textId="09D53CAD" w:rsidR="002B5162" w:rsidRPr="001F224B" w:rsidRDefault="002B5162" w:rsidP="002B5162">
            <w:pPr>
              <w:jc w:val="right"/>
              <w:rPr>
                <w:b/>
                <w:bCs/>
                <w:color w:val="000000"/>
                <w:sz w:val="13"/>
                <w:szCs w:val="13"/>
              </w:rPr>
            </w:pPr>
            <w:r w:rsidRPr="001F224B">
              <w:rPr>
                <w:b/>
                <w:bCs/>
                <w:sz w:val="13"/>
                <w:szCs w:val="13"/>
              </w:rPr>
              <w:t>8.402.633</w:t>
            </w:r>
          </w:p>
        </w:tc>
      </w:tr>
      <w:tr w:rsidR="002B5162" w:rsidRPr="001F224B" w14:paraId="3228AC8E"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68B94C02"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5.1</w:t>
            </w:r>
          </w:p>
        </w:tc>
        <w:tc>
          <w:tcPr>
            <w:tcW w:w="4819" w:type="dxa"/>
            <w:tcBorders>
              <w:top w:val="nil"/>
              <w:left w:val="nil"/>
              <w:bottom w:val="nil"/>
              <w:right w:val="nil"/>
            </w:tcBorders>
            <w:noWrap/>
            <w:tcMar>
              <w:top w:w="18" w:type="dxa"/>
              <w:left w:w="18" w:type="dxa"/>
              <w:bottom w:w="0" w:type="dxa"/>
              <w:right w:w="18" w:type="dxa"/>
            </w:tcMar>
            <w:vAlign w:val="bottom"/>
          </w:tcPr>
          <w:p w14:paraId="27A5D287"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Müstakrizlerin Fonları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8A4ACE"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64786F" w14:textId="6B1BD524" w:rsidR="002B5162" w:rsidRPr="001F224B" w:rsidRDefault="002B5162" w:rsidP="002B5162">
            <w:pPr>
              <w:jc w:val="right"/>
              <w:rPr>
                <w:sz w:val="13"/>
                <w:szCs w:val="13"/>
              </w:rPr>
            </w:pPr>
            <w:r w:rsidRPr="001F224B">
              <w:rPr>
                <w:sz w:val="13"/>
                <w:szCs w:val="13"/>
              </w:rPr>
              <w:t>692.214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46D0BA0" w14:textId="3A333D40" w:rsidR="002B5162" w:rsidRPr="001F224B" w:rsidRDefault="002B5162" w:rsidP="002B5162">
            <w:pPr>
              <w:jc w:val="right"/>
              <w:rPr>
                <w:sz w:val="13"/>
                <w:szCs w:val="13"/>
              </w:rPr>
            </w:pPr>
            <w:r w:rsidRPr="001F224B">
              <w:rPr>
                <w:sz w:val="13"/>
                <w:szCs w:val="13"/>
              </w:rPr>
              <w:t>6.979.295</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63AFAC" w14:textId="4C8F8093" w:rsidR="002B5162" w:rsidRPr="001F224B" w:rsidRDefault="002B5162" w:rsidP="002B5162">
            <w:pPr>
              <w:jc w:val="right"/>
              <w:rPr>
                <w:sz w:val="13"/>
                <w:szCs w:val="13"/>
              </w:rPr>
            </w:pPr>
            <w:r w:rsidRPr="001F224B">
              <w:rPr>
                <w:sz w:val="13"/>
                <w:szCs w:val="13"/>
              </w:rPr>
              <w:t>7.671.509</w:t>
            </w:r>
          </w:p>
        </w:tc>
        <w:tc>
          <w:tcPr>
            <w:tcW w:w="725" w:type="dxa"/>
            <w:gridSpan w:val="2"/>
            <w:tcBorders>
              <w:top w:val="nil"/>
              <w:left w:val="single" w:sz="4" w:space="0" w:color="auto"/>
              <w:bottom w:val="nil"/>
              <w:right w:val="single" w:sz="4" w:space="0" w:color="auto"/>
            </w:tcBorders>
          </w:tcPr>
          <w:p w14:paraId="19573C51" w14:textId="1F0C4D25" w:rsidR="002B5162" w:rsidRPr="001F224B" w:rsidRDefault="002B5162" w:rsidP="002B5162">
            <w:pPr>
              <w:jc w:val="right"/>
              <w:rPr>
                <w:sz w:val="13"/>
                <w:szCs w:val="13"/>
              </w:rPr>
            </w:pPr>
            <w:r w:rsidRPr="001F224B">
              <w:rPr>
                <w:sz w:val="13"/>
                <w:szCs w:val="13"/>
              </w:rPr>
              <w:t>1.505.796</w:t>
            </w:r>
          </w:p>
        </w:tc>
        <w:tc>
          <w:tcPr>
            <w:tcW w:w="692" w:type="dxa"/>
            <w:tcBorders>
              <w:top w:val="nil"/>
              <w:left w:val="nil"/>
              <w:bottom w:val="nil"/>
              <w:right w:val="single" w:sz="4" w:space="0" w:color="auto"/>
            </w:tcBorders>
          </w:tcPr>
          <w:p w14:paraId="42B1B94E" w14:textId="0F469B62" w:rsidR="002B5162" w:rsidRPr="001F224B" w:rsidRDefault="002B5162" w:rsidP="002B5162">
            <w:pPr>
              <w:jc w:val="right"/>
              <w:rPr>
                <w:sz w:val="13"/>
                <w:szCs w:val="13"/>
              </w:rPr>
            </w:pPr>
            <w:r w:rsidRPr="001F224B">
              <w:rPr>
                <w:sz w:val="13"/>
                <w:szCs w:val="13"/>
              </w:rPr>
              <w:t>3.507.329</w:t>
            </w:r>
          </w:p>
        </w:tc>
        <w:tc>
          <w:tcPr>
            <w:tcW w:w="709" w:type="dxa"/>
            <w:tcBorders>
              <w:top w:val="nil"/>
              <w:left w:val="nil"/>
              <w:bottom w:val="nil"/>
              <w:right w:val="single" w:sz="4" w:space="0" w:color="auto"/>
            </w:tcBorders>
          </w:tcPr>
          <w:p w14:paraId="371EC2EC" w14:textId="475FE8C6" w:rsidR="002B5162" w:rsidRPr="001F224B" w:rsidRDefault="002B5162" w:rsidP="002B5162">
            <w:pPr>
              <w:jc w:val="right"/>
              <w:rPr>
                <w:sz w:val="13"/>
                <w:szCs w:val="13"/>
              </w:rPr>
            </w:pPr>
            <w:r w:rsidRPr="001F224B">
              <w:rPr>
                <w:sz w:val="13"/>
                <w:szCs w:val="13"/>
              </w:rPr>
              <w:t>5.013.125</w:t>
            </w:r>
          </w:p>
        </w:tc>
      </w:tr>
      <w:tr w:rsidR="002B5162" w:rsidRPr="001F224B" w14:paraId="585B351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5D708EBD"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5.2</w:t>
            </w:r>
          </w:p>
        </w:tc>
        <w:tc>
          <w:tcPr>
            <w:tcW w:w="4819" w:type="dxa"/>
            <w:tcBorders>
              <w:top w:val="nil"/>
              <w:left w:val="nil"/>
              <w:bottom w:val="nil"/>
              <w:right w:val="nil"/>
            </w:tcBorders>
            <w:noWrap/>
            <w:tcMar>
              <w:top w:w="18" w:type="dxa"/>
              <w:left w:w="18" w:type="dxa"/>
              <w:bottom w:w="0" w:type="dxa"/>
              <w:right w:w="18" w:type="dxa"/>
            </w:tcMar>
            <w:vAlign w:val="bottom"/>
          </w:tcPr>
          <w:p w14:paraId="4220C99E"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Diğer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E38DE2"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C70EFC" w14:textId="34392357" w:rsidR="002B5162" w:rsidRPr="001F224B" w:rsidRDefault="002B5162" w:rsidP="002B5162">
            <w:pPr>
              <w:jc w:val="right"/>
              <w:rPr>
                <w:sz w:val="13"/>
                <w:szCs w:val="13"/>
              </w:rPr>
            </w:pPr>
            <w:r w:rsidRPr="001F224B">
              <w:rPr>
                <w:sz w:val="13"/>
                <w:szCs w:val="13"/>
              </w:rPr>
              <w:t>21.453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96CB5D" w14:textId="16F68415" w:rsidR="002B5162" w:rsidRPr="001F224B" w:rsidRDefault="002B5162" w:rsidP="002B5162">
            <w:pPr>
              <w:jc w:val="right"/>
              <w:rPr>
                <w:sz w:val="13"/>
                <w:szCs w:val="13"/>
              </w:rPr>
            </w:pPr>
            <w:r w:rsidRPr="001F224B">
              <w:rPr>
                <w:sz w:val="13"/>
                <w:szCs w:val="13"/>
              </w:rPr>
              <w:t>1.873.843</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048554" w14:textId="4DB9AE97" w:rsidR="002B5162" w:rsidRPr="001F224B" w:rsidRDefault="002B5162" w:rsidP="002B5162">
            <w:pPr>
              <w:jc w:val="right"/>
              <w:rPr>
                <w:sz w:val="13"/>
                <w:szCs w:val="13"/>
              </w:rPr>
            </w:pPr>
            <w:r w:rsidRPr="001F224B">
              <w:rPr>
                <w:sz w:val="13"/>
                <w:szCs w:val="13"/>
              </w:rPr>
              <w:t>1.895.296</w:t>
            </w:r>
          </w:p>
        </w:tc>
        <w:tc>
          <w:tcPr>
            <w:tcW w:w="725" w:type="dxa"/>
            <w:gridSpan w:val="2"/>
            <w:tcBorders>
              <w:top w:val="nil"/>
              <w:left w:val="single" w:sz="4" w:space="0" w:color="auto"/>
              <w:bottom w:val="nil"/>
              <w:right w:val="single" w:sz="4" w:space="0" w:color="auto"/>
            </w:tcBorders>
          </w:tcPr>
          <w:p w14:paraId="357BB97D" w14:textId="3CB5D04C" w:rsidR="002B5162" w:rsidRPr="001F224B" w:rsidRDefault="002B5162" w:rsidP="002B5162">
            <w:pPr>
              <w:jc w:val="right"/>
              <w:rPr>
                <w:color w:val="000000"/>
                <w:sz w:val="13"/>
                <w:szCs w:val="13"/>
              </w:rPr>
            </w:pPr>
            <w:r w:rsidRPr="001F224B">
              <w:rPr>
                <w:sz w:val="13"/>
                <w:szCs w:val="13"/>
              </w:rPr>
              <w:t>748.982</w:t>
            </w:r>
          </w:p>
        </w:tc>
        <w:tc>
          <w:tcPr>
            <w:tcW w:w="692" w:type="dxa"/>
            <w:tcBorders>
              <w:top w:val="nil"/>
              <w:left w:val="nil"/>
              <w:bottom w:val="nil"/>
              <w:right w:val="single" w:sz="4" w:space="0" w:color="auto"/>
            </w:tcBorders>
          </w:tcPr>
          <w:p w14:paraId="6687BF4F" w14:textId="1E288A89" w:rsidR="002B5162" w:rsidRPr="001F224B" w:rsidRDefault="002B5162" w:rsidP="002B5162">
            <w:pPr>
              <w:jc w:val="right"/>
              <w:rPr>
                <w:color w:val="000000"/>
                <w:sz w:val="13"/>
                <w:szCs w:val="13"/>
              </w:rPr>
            </w:pPr>
            <w:r w:rsidRPr="001F224B">
              <w:rPr>
                <w:sz w:val="13"/>
                <w:szCs w:val="13"/>
              </w:rPr>
              <w:t>2.640.526</w:t>
            </w:r>
          </w:p>
        </w:tc>
        <w:tc>
          <w:tcPr>
            <w:tcW w:w="709" w:type="dxa"/>
            <w:tcBorders>
              <w:top w:val="nil"/>
              <w:left w:val="nil"/>
              <w:bottom w:val="nil"/>
              <w:right w:val="single" w:sz="4" w:space="0" w:color="auto"/>
            </w:tcBorders>
          </w:tcPr>
          <w:p w14:paraId="00C31DCF" w14:textId="7664AE45" w:rsidR="002B5162" w:rsidRPr="001F224B" w:rsidRDefault="002B5162" w:rsidP="002B5162">
            <w:pPr>
              <w:jc w:val="right"/>
              <w:rPr>
                <w:color w:val="000000"/>
                <w:sz w:val="13"/>
                <w:szCs w:val="13"/>
              </w:rPr>
            </w:pPr>
            <w:r w:rsidRPr="001F224B">
              <w:rPr>
                <w:sz w:val="13"/>
                <w:szCs w:val="13"/>
              </w:rPr>
              <w:t>3.389.508</w:t>
            </w:r>
          </w:p>
        </w:tc>
      </w:tr>
      <w:tr w:rsidR="002B5162" w:rsidRPr="001F224B" w14:paraId="38F35FD5" w14:textId="77777777" w:rsidTr="0085745B">
        <w:tc>
          <w:tcPr>
            <w:tcW w:w="426" w:type="dxa"/>
            <w:tcBorders>
              <w:top w:val="nil"/>
              <w:left w:val="single" w:sz="4" w:space="0" w:color="auto"/>
              <w:bottom w:val="nil"/>
              <w:right w:val="nil"/>
            </w:tcBorders>
            <w:noWrap/>
            <w:tcMar>
              <w:top w:w="18" w:type="dxa"/>
              <w:left w:w="18" w:type="dxa"/>
              <w:bottom w:w="0" w:type="dxa"/>
              <w:right w:w="18" w:type="dxa"/>
            </w:tcMar>
          </w:tcPr>
          <w:p w14:paraId="3E10713F"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VI.</w:t>
            </w:r>
          </w:p>
        </w:tc>
        <w:tc>
          <w:tcPr>
            <w:tcW w:w="4819" w:type="dxa"/>
            <w:tcBorders>
              <w:top w:val="nil"/>
              <w:left w:val="nil"/>
              <w:bottom w:val="nil"/>
              <w:right w:val="nil"/>
            </w:tcBorders>
            <w:noWrap/>
            <w:tcMar>
              <w:top w:w="18" w:type="dxa"/>
              <w:left w:w="18" w:type="dxa"/>
              <w:bottom w:w="0" w:type="dxa"/>
              <w:right w:w="18" w:type="dxa"/>
            </w:tcMar>
          </w:tcPr>
          <w:p w14:paraId="17D5648B"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GERÇEĞE UYGUN DEĞER FARKI KAR ZARARA YANSITILAN FİNANSAL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7ED620" w14:textId="77777777" w:rsidR="002B5162" w:rsidRPr="001F224B" w:rsidRDefault="002B5162" w:rsidP="002B5162">
            <w:pPr>
              <w:jc w:val="center"/>
              <w:rPr>
                <w:rFonts w:eastAsia="Arial Unicode MS"/>
                <w:sz w:val="13"/>
                <w:szCs w:val="13"/>
              </w:rPr>
            </w:pPr>
            <w:r w:rsidRPr="001F224B">
              <w:rPr>
                <w:b/>
                <w:bCs/>
                <w:sz w:val="13"/>
                <w:szCs w:val="13"/>
              </w:rPr>
              <w:t>(6)</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E97B37" w14:textId="6869FF85" w:rsidR="002B5162" w:rsidRPr="001F224B" w:rsidRDefault="002B5162" w:rsidP="002B5162">
            <w:pPr>
              <w:jc w:val="right"/>
              <w:rPr>
                <w:sz w:val="13"/>
                <w:szCs w:val="13"/>
              </w:rPr>
            </w:pPr>
            <w:r w:rsidRPr="001F224B">
              <w:rPr>
                <w:b/>
                <w:bCs/>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28D4E8" w14:textId="539D32E1" w:rsidR="002B5162" w:rsidRPr="001F224B" w:rsidRDefault="002B5162" w:rsidP="002B5162">
            <w:pPr>
              <w:jc w:val="right"/>
              <w:rPr>
                <w:sz w:val="13"/>
                <w:szCs w:val="13"/>
              </w:rPr>
            </w:pPr>
            <w:r w:rsidRPr="001F224B">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7C9FA6" w14:textId="69932FC9" w:rsidR="002B5162" w:rsidRPr="001F224B" w:rsidRDefault="002B5162" w:rsidP="002B5162">
            <w:pPr>
              <w:jc w:val="right"/>
              <w:rPr>
                <w:sz w:val="13"/>
                <w:szCs w:val="13"/>
              </w:rPr>
            </w:pPr>
            <w:r w:rsidRPr="001F224B">
              <w:rPr>
                <w:b/>
                <w:bCs/>
                <w:sz w:val="13"/>
                <w:szCs w:val="13"/>
              </w:rPr>
              <w:t xml:space="preserve">                  - </w:t>
            </w:r>
          </w:p>
        </w:tc>
        <w:tc>
          <w:tcPr>
            <w:tcW w:w="725" w:type="dxa"/>
            <w:gridSpan w:val="2"/>
            <w:tcBorders>
              <w:top w:val="nil"/>
              <w:left w:val="nil"/>
              <w:bottom w:val="nil"/>
              <w:right w:val="single" w:sz="4" w:space="0" w:color="auto"/>
            </w:tcBorders>
            <w:vAlign w:val="bottom"/>
          </w:tcPr>
          <w:p w14:paraId="51057533" w14:textId="0665B194" w:rsidR="002B5162" w:rsidRPr="001F224B" w:rsidRDefault="002B5162" w:rsidP="002B5162">
            <w:pPr>
              <w:jc w:val="right"/>
              <w:rPr>
                <w:b/>
                <w:bCs/>
                <w:sz w:val="13"/>
                <w:szCs w:val="13"/>
              </w:rPr>
            </w:pPr>
            <w:r w:rsidRPr="001F224B">
              <w:rPr>
                <w:b/>
                <w:bCs/>
                <w:sz w:val="13"/>
                <w:szCs w:val="13"/>
              </w:rPr>
              <w:t xml:space="preserve">                  - </w:t>
            </w:r>
          </w:p>
        </w:tc>
        <w:tc>
          <w:tcPr>
            <w:tcW w:w="692" w:type="dxa"/>
            <w:tcBorders>
              <w:top w:val="nil"/>
              <w:left w:val="nil"/>
              <w:bottom w:val="nil"/>
              <w:right w:val="single" w:sz="4" w:space="0" w:color="auto"/>
            </w:tcBorders>
            <w:vAlign w:val="bottom"/>
          </w:tcPr>
          <w:p w14:paraId="596E13D2" w14:textId="4A260F4B" w:rsidR="002B5162" w:rsidRPr="001F224B" w:rsidRDefault="002B5162" w:rsidP="002B5162">
            <w:pPr>
              <w:jc w:val="right"/>
              <w:rPr>
                <w:b/>
                <w:bCs/>
                <w:sz w:val="13"/>
                <w:szCs w:val="13"/>
              </w:rPr>
            </w:pPr>
            <w:r w:rsidRPr="001F224B">
              <w:rPr>
                <w:b/>
                <w:bCs/>
                <w:sz w:val="13"/>
                <w:szCs w:val="13"/>
              </w:rPr>
              <w:t xml:space="preserve">                  - </w:t>
            </w:r>
          </w:p>
        </w:tc>
        <w:tc>
          <w:tcPr>
            <w:tcW w:w="709" w:type="dxa"/>
            <w:tcBorders>
              <w:top w:val="nil"/>
              <w:left w:val="nil"/>
              <w:bottom w:val="nil"/>
              <w:right w:val="single" w:sz="4" w:space="0" w:color="auto"/>
            </w:tcBorders>
            <w:vAlign w:val="bottom"/>
          </w:tcPr>
          <w:p w14:paraId="6EFB4783" w14:textId="09181531" w:rsidR="002B5162" w:rsidRPr="001F224B" w:rsidRDefault="002B5162" w:rsidP="002B5162">
            <w:pPr>
              <w:jc w:val="right"/>
              <w:rPr>
                <w:b/>
                <w:bCs/>
                <w:sz w:val="13"/>
                <w:szCs w:val="13"/>
              </w:rPr>
            </w:pPr>
            <w:r w:rsidRPr="001F224B">
              <w:rPr>
                <w:b/>
                <w:bCs/>
                <w:sz w:val="13"/>
                <w:szCs w:val="13"/>
              </w:rPr>
              <w:t xml:space="preserve">                  - </w:t>
            </w:r>
          </w:p>
        </w:tc>
      </w:tr>
      <w:tr w:rsidR="002B5162" w:rsidRPr="001F224B" w14:paraId="6F37EDA5" w14:textId="77777777" w:rsidTr="002419EF">
        <w:tc>
          <w:tcPr>
            <w:tcW w:w="426" w:type="dxa"/>
            <w:tcBorders>
              <w:top w:val="nil"/>
              <w:left w:val="single" w:sz="4" w:space="0" w:color="auto"/>
              <w:bottom w:val="nil"/>
              <w:right w:val="nil"/>
            </w:tcBorders>
            <w:noWrap/>
            <w:tcMar>
              <w:top w:w="18" w:type="dxa"/>
              <w:left w:w="18" w:type="dxa"/>
              <w:bottom w:w="0" w:type="dxa"/>
              <w:right w:w="18" w:type="dxa"/>
            </w:tcMar>
          </w:tcPr>
          <w:p w14:paraId="6BB02FF0"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612C07EA"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TÜREV FİNANSAL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138946A" w14:textId="77D054C8" w:rsidR="002B5162" w:rsidRPr="001F224B" w:rsidRDefault="002B5162" w:rsidP="002B5162">
            <w:pPr>
              <w:jc w:val="center"/>
              <w:rPr>
                <w:rFonts w:eastAsia="Arial Unicode MS"/>
                <w:sz w:val="13"/>
                <w:szCs w:val="13"/>
              </w:rPr>
            </w:pPr>
            <w:r w:rsidRPr="001F224B">
              <w:rPr>
                <w:b/>
                <w:bCs/>
                <w:sz w:val="13"/>
                <w:szCs w:val="13"/>
              </w:rPr>
              <w:t>(7,10)</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2A2A2BE" w14:textId="4EF43BDC" w:rsidR="002B5162" w:rsidRPr="001F224B" w:rsidRDefault="002B5162" w:rsidP="002B5162">
            <w:pPr>
              <w:jc w:val="right"/>
              <w:rPr>
                <w:b/>
                <w:bCs/>
                <w:sz w:val="13"/>
                <w:szCs w:val="13"/>
              </w:rPr>
            </w:pPr>
            <w:r w:rsidRPr="001F224B">
              <w:rPr>
                <w:b/>
                <w:bCs/>
                <w:sz w:val="13"/>
                <w:szCs w:val="13"/>
              </w:rPr>
              <w:t>37.294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4A0CCB" w14:textId="3C6AC52F" w:rsidR="002B5162" w:rsidRPr="001F224B" w:rsidRDefault="002B5162" w:rsidP="002B5162">
            <w:pPr>
              <w:jc w:val="right"/>
              <w:rPr>
                <w:b/>
                <w:bCs/>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D9A34F" w14:textId="61E308D4" w:rsidR="002B5162" w:rsidRPr="001F224B" w:rsidRDefault="002B5162" w:rsidP="002B5162">
            <w:pPr>
              <w:jc w:val="right"/>
              <w:rPr>
                <w:b/>
                <w:bCs/>
                <w:sz w:val="13"/>
                <w:szCs w:val="13"/>
              </w:rPr>
            </w:pPr>
            <w:r w:rsidRPr="001F224B">
              <w:rPr>
                <w:b/>
                <w:bCs/>
                <w:sz w:val="13"/>
                <w:szCs w:val="13"/>
              </w:rPr>
              <w:t>37.294</w:t>
            </w:r>
          </w:p>
        </w:tc>
        <w:tc>
          <w:tcPr>
            <w:tcW w:w="725" w:type="dxa"/>
            <w:gridSpan w:val="2"/>
            <w:tcBorders>
              <w:top w:val="nil"/>
              <w:left w:val="single" w:sz="4" w:space="0" w:color="auto"/>
              <w:bottom w:val="nil"/>
              <w:right w:val="single" w:sz="4" w:space="0" w:color="auto"/>
            </w:tcBorders>
          </w:tcPr>
          <w:p w14:paraId="335AE631" w14:textId="03117E75" w:rsidR="002B5162" w:rsidRPr="001F224B" w:rsidRDefault="002B5162" w:rsidP="002B5162">
            <w:pPr>
              <w:jc w:val="right"/>
              <w:rPr>
                <w:sz w:val="13"/>
                <w:szCs w:val="13"/>
              </w:rPr>
            </w:pPr>
            <w:r w:rsidRPr="001F224B">
              <w:rPr>
                <w:b/>
                <w:bCs/>
                <w:sz w:val="13"/>
                <w:szCs w:val="13"/>
              </w:rPr>
              <w:t>17.382</w:t>
            </w:r>
          </w:p>
        </w:tc>
        <w:tc>
          <w:tcPr>
            <w:tcW w:w="692" w:type="dxa"/>
            <w:tcBorders>
              <w:top w:val="nil"/>
              <w:left w:val="nil"/>
              <w:bottom w:val="nil"/>
              <w:right w:val="single" w:sz="4" w:space="0" w:color="auto"/>
            </w:tcBorders>
          </w:tcPr>
          <w:p w14:paraId="413DAD22" w14:textId="47D6FEAB" w:rsidR="002B5162" w:rsidRPr="001F224B" w:rsidRDefault="002B5162" w:rsidP="002B5162">
            <w:pPr>
              <w:jc w:val="right"/>
              <w:rPr>
                <w:sz w:val="13"/>
                <w:szCs w:val="13"/>
              </w:rPr>
            </w:pPr>
            <w:r w:rsidRPr="001F224B">
              <w:rPr>
                <w:b/>
                <w:bCs/>
                <w:sz w:val="13"/>
                <w:szCs w:val="13"/>
              </w:rPr>
              <w:t>3.507</w:t>
            </w:r>
          </w:p>
        </w:tc>
        <w:tc>
          <w:tcPr>
            <w:tcW w:w="709" w:type="dxa"/>
            <w:tcBorders>
              <w:top w:val="nil"/>
              <w:left w:val="nil"/>
              <w:bottom w:val="nil"/>
              <w:right w:val="single" w:sz="4" w:space="0" w:color="auto"/>
            </w:tcBorders>
          </w:tcPr>
          <w:p w14:paraId="7627C831" w14:textId="4F55CA7B" w:rsidR="002B5162" w:rsidRPr="001F224B" w:rsidRDefault="002B5162" w:rsidP="002B5162">
            <w:pPr>
              <w:jc w:val="right"/>
              <w:rPr>
                <w:sz w:val="13"/>
                <w:szCs w:val="13"/>
              </w:rPr>
            </w:pPr>
            <w:r w:rsidRPr="001F224B">
              <w:rPr>
                <w:b/>
                <w:bCs/>
                <w:sz w:val="13"/>
                <w:szCs w:val="13"/>
              </w:rPr>
              <w:t>20.889</w:t>
            </w:r>
          </w:p>
        </w:tc>
      </w:tr>
      <w:tr w:rsidR="002B5162" w:rsidRPr="001F224B" w14:paraId="1DE0C8E5" w14:textId="77777777" w:rsidTr="002419EF">
        <w:tc>
          <w:tcPr>
            <w:tcW w:w="426" w:type="dxa"/>
            <w:tcBorders>
              <w:top w:val="nil"/>
              <w:left w:val="single" w:sz="4" w:space="0" w:color="auto"/>
              <w:bottom w:val="nil"/>
              <w:right w:val="nil"/>
            </w:tcBorders>
            <w:noWrap/>
            <w:tcMar>
              <w:top w:w="18" w:type="dxa"/>
              <w:left w:w="18" w:type="dxa"/>
              <w:bottom w:w="0" w:type="dxa"/>
              <w:right w:w="18" w:type="dxa"/>
            </w:tcMar>
          </w:tcPr>
          <w:p w14:paraId="4FA4B7DF"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7.1</w:t>
            </w:r>
          </w:p>
        </w:tc>
        <w:tc>
          <w:tcPr>
            <w:tcW w:w="4819" w:type="dxa"/>
            <w:tcBorders>
              <w:top w:val="nil"/>
              <w:left w:val="nil"/>
              <w:bottom w:val="nil"/>
              <w:right w:val="nil"/>
            </w:tcBorders>
            <w:noWrap/>
            <w:tcMar>
              <w:top w:w="18" w:type="dxa"/>
              <w:left w:w="18" w:type="dxa"/>
              <w:bottom w:w="0" w:type="dxa"/>
              <w:right w:w="18" w:type="dxa"/>
            </w:tcMar>
            <w:vAlign w:val="bottom"/>
          </w:tcPr>
          <w:p w14:paraId="7D2EB342" w14:textId="77777777" w:rsidR="002B5162" w:rsidRPr="001F224B" w:rsidRDefault="002B5162" w:rsidP="002B5162">
            <w:pPr>
              <w:rPr>
                <w:rFonts w:eastAsia="Arial Unicode MS"/>
                <w:sz w:val="13"/>
                <w:szCs w:val="13"/>
              </w:rPr>
            </w:pPr>
            <w:r w:rsidRPr="001F224B">
              <w:rPr>
                <w:sz w:val="13"/>
                <w:szCs w:val="13"/>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9FF599"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9DA38F" w14:textId="09F1F1E1" w:rsidR="002B5162" w:rsidRPr="001F224B" w:rsidRDefault="002B5162" w:rsidP="002B5162">
            <w:pPr>
              <w:jc w:val="right"/>
              <w:rPr>
                <w:sz w:val="13"/>
                <w:szCs w:val="13"/>
              </w:rPr>
            </w:pPr>
            <w:r w:rsidRPr="001F224B">
              <w:rPr>
                <w:sz w:val="13"/>
                <w:szCs w:val="13"/>
              </w:rPr>
              <w:t>37.294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986888" w14:textId="21C9D7BA" w:rsidR="002B5162" w:rsidRPr="001F224B" w:rsidRDefault="002B5162" w:rsidP="002B5162">
            <w:pPr>
              <w:jc w:val="right"/>
              <w:rPr>
                <w:sz w:val="13"/>
                <w:szCs w:val="13"/>
              </w:rPr>
            </w:pPr>
            <w:r w:rsidRPr="001F224B">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EF2376" w14:textId="21DA5338" w:rsidR="002B5162" w:rsidRPr="001F224B" w:rsidRDefault="002B5162" w:rsidP="002B5162">
            <w:pPr>
              <w:jc w:val="right"/>
              <w:rPr>
                <w:sz w:val="13"/>
                <w:szCs w:val="13"/>
              </w:rPr>
            </w:pPr>
            <w:r w:rsidRPr="001F224B">
              <w:rPr>
                <w:sz w:val="13"/>
                <w:szCs w:val="13"/>
              </w:rPr>
              <w:t>37.294</w:t>
            </w:r>
          </w:p>
        </w:tc>
        <w:tc>
          <w:tcPr>
            <w:tcW w:w="725" w:type="dxa"/>
            <w:gridSpan w:val="2"/>
            <w:tcBorders>
              <w:top w:val="nil"/>
              <w:left w:val="single" w:sz="4" w:space="0" w:color="auto"/>
              <w:bottom w:val="nil"/>
              <w:right w:val="single" w:sz="4" w:space="0" w:color="auto"/>
            </w:tcBorders>
          </w:tcPr>
          <w:p w14:paraId="5A306206" w14:textId="7257F514" w:rsidR="002B5162" w:rsidRPr="001F224B" w:rsidRDefault="002B5162" w:rsidP="002B5162">
            <w:pPr>
              <w:jc w:val="right"/>
              <w:rPr>
                <w:sz w:val="13"/>
                <w:szCs w:val="13"/>
              </w:rPr>
            </w:pPr>
            <w:r w:rsidRPr="001F224B">
              <w:rPr>
                <w:sz w:val="13"/>
                <w:szCs w:val="13"/>
              </w:rPr>
              <w:t>17.382</w:t>
            </w:r>
          </w:p>
        </w:tc>
        <w:tc>
          <w:tcPr>
            <w:tcW w:w="692" w:type="dxa"/>
            <w:tcBorders>
              <w:top w:val="nil"/>
              <w:left w:val="nil"/>
              <w:bottom w:val="nil"/>
              <w:right w:val="single" w:sz="4" w:space="0" w:color="auto"/>
            </w:tcBorders>
          </w:tcPr>
          <w:p w14:paraId="0D2D5946" w14:textId="519EEE94" w:rsidR="002B5162" w:rsidRPr="001F224B" w:rsidRDefault="002B5162" w:rsidP="002B5162">
            <w:pPr>
              <w:jc w:val="right"/>
              <w:rPr>
                <w:sz w:val="13"/>
                <w:szCs w:val="13"/>
              </w:rPr>
            </w:pPr>
            <w:r w:rsidRPr="001F224B">
              <w:rPr>
                <w:sz w:val="13"/>
                <w:szCs w:val="13"/>
              </w:rPr>
              <w:t>3.507</w:t>
            </w:r>
          </w:p>
        </w:tc>
        <w:tc>
          <w:tcPr>
            <w:tcW w:w="709" w:type="dxa"/>
            <w:tcBorders>
              <w:top w:val="nil"/>
              <w:left w:val="nil"/>
              <w:bottom w:val="nil"/>
              <w:right w:val="single" w:sz="4" w:space="0" w:color="auto"/>
            </w:tcBorders>
          </w:tcPr>
          <w:p w14:paraId="1FC684C9" w14:textId="293AFFE7" w:rsidR="002B5162" w:rsidRPr="001F224B" w:rsidRDefault="002B5162" w:rsidP="002B5162">
            <w:pPr>
              <w:jc w:val="right"/>
              <w:rPr>
                <w:sz w:val="13"/>
                <w:szCs w:val="13"/>
              </w:rPr>
            </w:pPr>
            <w:r w:rsidRPr="001F224B">
              <w:rPr>
                <w:sz w:val="13"/>
                <w:szCs w:val="13"/>
              </w:rPr>
              <w:t>20.889</w:t>
            </w:r>
          </w:p>
        </w:tc>
      </w:tr>
      <w:tr w:rsidR="002B5162" w:rsidRPr="001F224B" w14:paraId="3BBF0EEC" w14:textId="77777777" w:rsidTr="00F70B8C">
        <w:tc>
          <w:tcPr>
            <w:tcW w:w="426" w:type="dxa"/>
            <w:tcBorders>
              <w:top w:val="nil"/>
              <w:left w:val="single" w:sz="4" w:space="0" w:color="auto"/>
              <w:bottom w:val="nil"/>
              <w:right w:val="nil"/>
            </w:tcBorders>
            <w:noWrap/>
            <w:tcMar>
              <w:top w:w="18" w:type="dxa"/>
              <w:left w:w="18" w:type="dxa"/>
              <w:bottom w:w="0" w:type="dxa"/>
              <w:right w:w="18" w:type="dxa"/>
            </w:tcMar>
          </w:tcPr>
          <w:p w14:paraId="5387C3AB"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7.2</w:t>
            </w:r>
          </w:p>
        </w:tc>
        <w:tc>
          <w:tcPr>
            <w:tcW w:w="4819" w:type="dxa"/>
            <w:tcBorders>
              <w:top w:val="nil"/>
              <w:left w:val="nil"/>
              <w:bottom w:val="nil"/>
              <w:right w:val="nil"/>
            </w:tcBorders>
            <w:noWrap/>
            <w:tcMar>
              <w:top w:w="18" w:type="dxa"/>
              <w:left w:w="18" w:type="dxa"/>
              <w:bottom w:w="0" w:type="dxa"/>
              <w:right w:w="18" w:type="dxa"/>
            </w:tcMar>
          </w:tcPr>
          <w:p w14:paraId="1A6A6618" w14:textId="77777777" w:rsidR="002B5162" w:rsidRPr="001F224B" w:rsidRDefault="002B5162" w:rsidP="002B5162">
            <w:pPr>
              <w:rPr>
                <w:rFonts w:eastAsia="Arial Unicode MS"/>
                <w:b/>
                <w:sz w:val="13"/>
                <w:szCs w:val="13"/>
              </w:rPr>
            </w:pPr>
            <w:r w:rsidRPr="001F224B">
              <w:rPr>
                <w:sz w:val="13"/>
                <w:szCs w:val="13"/>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EDB5A91"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2E6131" w14:textId="5A950F2B" w:rsidR="002B5162" w:rsidRPr="001F224B" w:rsidRDefault="002B5162" w:rsidP="002B5162">
            <w:pPr>
              <w:jc w:val="right"/>
              <w:rPr>
                <w:sz w:val="13"/>
                <w:szCs w:val="13"/>
              </w:rPr>
            </w:pPr>
            <w:r w:rsidRPr="001F224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5359A9" w14:textId="2C6F6EBF"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A37F75" w14:textId="5657C936" w:rsidR="002B5162" w:rsidRPr="001F224B" w:rsidRDefault="002B5162" w:rsidP="002B5162">
            <w:pPr>
              <w:jc w:val="right"/>
              <w:rPr>
                <w:sz w:val="13"/>
                <w:szCs w:val="13"/>
              </w:rPr>
            </w:pPr>
            <w:r w:rsidRPr="001F224B">
              <w:rPr>
                <w:sz w:val="13"/>
                <w:szCs w:val="13"/>
              </w:rPr>
              <w:t xml:space="preserve">                  - </w:t>
            </w:r>
          </w:p>
        </w:tc>
        <w:tc>
          <w:tcPr>
            <w:tcW w:w="725" w:type="dxa"/>
            <w:gridSpan w:val="2"/>
            <w:tcBorders>
              <w:top w:val="nil"/>
              <w:left w:val="nil"/>
              <w:bottom w:val="nil"/>
              <w:right w:val="single" w:sz="4" w:space="0" w:color="auto"/>
            </w:tcBorders>
            <w:vAlign w:val="bottom"/>
          </w:tcPr>
          <w:p w14:paraId="115DAE42" w14:textId="32A7D8AE" w:rsidR="002B5162" w:rsidRPr="001F224B" w:rsidRDefault="002B5162" w:rsidP="002B5162">
            <w:pPr>
              <w:jc w:val="right"/>
              <w:rPr>
                <w:sz w:val="13"/>
                <w:szCs w:val="13"/>
              </w:rPr>
            </w:pPr>
            <w:r w:rsidRPr="001F224B">
              <w:rPr>
                <w:sz w:val="13"/>
                <w:szCs w:val="13"/>
              </w:rPr>
              <w:t xml:space="preserve">                  - </w:t>
            </w:r>
          </w:p>
        </w:tc>
        <w:tc>
          <w:tcPr>
            <w:tcW w:w="692" w:type="dxa"/>
            <w:tcBorders>
              <w:top w:val="nil"/>
              <w:left w:val="nil"/>
              <w:bottom w:val="nil"/>
              <w:right w:val="single" w:sz="4" w:space="0" w:color="auto"/>
            </w:tcBorders>
            <w:vAlign w:val="bottom"/>
          </w:tcPr>
          <w:p w14:paraId="51F2CC1A" w14:textId="15BBAB41"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vAlign w:val="bottom"/>
          </w:tcPr>
          <w:p w14:paraId="6A8CEF23" w14:textId="7A6A4A74" w:rsidR="002B5162" w:rsidRPr="001F224B" w:rsidRDefault="002B5162" w:rsidP="002B5162">
            <w:pPr>
              <w:jc w:val="right"/>
              <w:rPr>
                <w:sz w:val="13"/>
                <w:szCs w:val="13"/>
              </w:rPr>
            </w:pPr>
            <w:r w:rsidRPr="001F224B">
              <w:rPr>
                <w:sz w:val="13"/>
                <w:szCs w:val="13"/>
              </w:rPr>
              <w:t xml:space="preserve">                  - </w:t>
            </w:r>
          </w:p>
        </w:tc>
      </w:tr>
      <w:tr w:rsidR="002B5162" w:rsidRPr="001F224B" w14:paraId="49C77BB7" w14:textId="77777777" w:rsidTr="00F70B8C">
        <w:tc>
          <w:tcPr>
            <w:tcW w:w="426" w:type="dxa"/>
            <w:tcBorders>
              <w:top w:val="nil"/>
              <w:left w:val="single" w:sz="4" w:space="0" w:color="auto"/>
              <w:bottom w:val="nil"/>
              <w:right w:val="nil"/>
            </w:tcBorders>
            <w:noWrap/>
            <w:tcMar>
              <w:top w:w="18" w:type="dxa"/>
              <w:left w:w="18" w:type="dxa"/>
              <w:bottom w:w="0" w:type="dxa"/>
              <w:right w:w="18" w:type="dxa"/>
            </w:tcMar>
          </w:tcPr>
          <w:p w14:paraId="2BAC3B38" w14:textId="77777777" w:rsidR="002B5162" w:rsidRPr="001F224B" w:rsidRDefault="002B5162" w:rsidP="002B5162">
            <w:pPr>
              <w:rPr>
                <w:rFonts w:eastAsia="Arial Unicode MS"/>
                <w:sz w:val="13"/>
                <w:szCs w:val="13"/>
              </w:rPr>
            </w:pPr>
            <w:r w:rsidRPr="001F224B">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096891C3"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FAKTORİNG YÜKÜMLÜLÜKLERİ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0BACA515" w14:textId="77777777" w:rsidR="002B5162" w:rsidRPr="001F224B" w:rsidRDefault="002B5162" w:rsidP="002B5162">
            <w:pPr>
              <w:jc w:val="center"/>
              <w:rPr>
                <w:rFonts w:eastAsia="Arial Unicode MS"/>
                <w:sz w:val="13"/>
                <w:szCs w:val="13"/>
              </w:rPr>
            </w:pPr>
            <w:r w:rsidRPr="001F224B">
              <w:rPr>
                <w:b/>
                <w:bCs/>
                <w:sz w:val="13"/>
                <w:szCs w:val="13"/>
              </w:rPr>
              <w:t>(8)</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45D5CA" w14:textId="23160709" w:rsidR="002B5162" w:rsidRPr="001F224B" w:rsidRDefault="002B5162" w:rsidP="002B5162">
            <w:pPr>
              <w:jc w:val="right"/>
              <w:rPr>
                <w:sz w:val="13"/>
                <w:szCs w:val="13"/>
              </w:rPr>
            </w:pPr>
            <w:r w:rsidRPr="001F224B">
              <w:rPr>
                <w:b/>
                <w:bCs/>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27AB4F" w14:textId="0E798C71" w:rsidR="002B5162" w:rsidRPr="001F224B" w:rsidRDefault="002B5162" w:rsidP="002B5162">
            <w:pPr>
              <w:jc w:val="right"/>
              <w:rPr>
                <w:sz w:val="13"/>
                <w:szCs w:val="13"/>
              </w:rPr>
            </w:pPr>
            <w:r w:rsidRPr="001F224B">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E3B22B" w14:textId="697DD9FC" w:rsidR="002B5162" w:rsidRPr="001F224B" w:rsidRDefault="002B5162" w:rsidP="002B5162">
            <w:pPr>
              <w:jc w:val="right"/>
              <w:rPr>
                <w:sz w:val="13"/>
                <w:szCs w:val="13"/>
              </w:rPr>
            </w:pPr>
            <w:r w:rsidRPr="001F224B">
              <w:rPr>
                <w:b/>
                <w:bCs/>
                <w:sz w:val="13"/>
                <w:szCs w:val="13"/>
              </w:rPr>
              <w:t xml:space="preserve">                  - </w:t>
            </w:r>
          </w:p>
        </w:tc>
        <w:tc>
          <w:tcPr>
            <w:tcW w:w="725" w:type="dxa"/>
            <w:gridSpan w:val="2"/>
            <w:tcBorders>
              <w:top w:val="nil"/>
              <w:left w:val="nil"/>
              <w:bottom w:val="nil"/>
              <w:right w:val="single" w:sz="4" w:space="0" w:color="auto"/>
            </w:tcBorders>
            <w:vAlign w:val="bottom"/>
          </w:tcPr>
          <w:p w14:paraId="1536E581" w14:textId="43FF3321" w:rsidR="002B5162" w:rsidRPr="001F224B" w:rsidRDefault="002B5162" w:rsidP="002B5162">
            <w:pPr>
              <w:jc w:val="right"/>
              <w:rPr>
                <w:b/>
                <w:bCs/>
                <w:sz w:val="13"/>
                <w:szCs w:val="13"/>
              </w:rPr>
            </w:pPr>
            <w:r w:rsidRPr="001F224B">
              <w:rPr>
                <w:b/>
                <w:bCs/>
                <w:sz w:val="13"/>
                <w:szCs w:val="13"/>
              </w:rPr>
              <w:t xml:space="preserve">                  - </w:t>
            </w:r>
          </w:p>
        </w:tc>
        <w:tc>
          <w:tcPr>
            <w:tcW w:w="692" w:type="dxa"/>
            <w:tcBorders>
              <w:top w:val="nil"/>
              <w:left w:val="nil"/>
              <w:bottom w:val="nil"/>
              <w:right w:val="single" w:sz="4" w:space="0" w:color="auto"/>
            </w:tcBorders>
            <w:vAlign w:val="bottom"/>
          </w:tcPr>
          <w:p w14:paraId="760F3D15" w14:textId="6DEAFF43" w:rsidR="002B5162" w:rsidRPr="001F224B" w:rsidRDefault="002B5162" w:rsidP="002B5162">
            <w:pPr>
              <w:jc w:val="right"/>
              <w:rPr>
                <w:b/>
                <w:bCs/>
                <w:sz w:val="13"/>
                <w:szCs w:val="13"/>
              </w:rPr>
            </w:pPr>
            <w:r w:rsidRPr="001F224B">
              <w:rPr>
                <w:b/>
                <w:bCs/>
                <w:sz w:val="13"/>
                <w:szCs w:val="13"/>
              </w:rPr>
              <w:t xml:space="preserve">                  - </w:t>
            </w:r>
          </w:p>
        </w:tc>
        <w:tc>
          <w:tcPr>
            <w:tcW w:w="709" w:type="dxa"/>
            <w:tcBorders>
              <w:top w:val="nil"/>
              <w:left w:val="nil"/>
              <w:bottom w:val="nil"/>
              <w:right w:val="single" w:sz="4" w:space="0" w:color="auto"/>
            </w:tcBorders>
            <w:vAlign w:val="bottom"/>
          </w:tcPr>
          <w:p w14:paraId="41A749D0" w14:textId="69A4EBF8" w:rsidR="002B5162" w:rsidRPr="001F224B" w:rsidRDefault="002B5162" w:rsidP="002B5162">
            <w:pPr>
              <w:jc w:val="right"/>
              <w:rPr>
                <w:b/>
                <w:bCs/>
                <w:sz w:val="13"/>
                <w:szCs w:val="13"/>
              </w:rPr>
            </w:pPr>
            <w:r w:rsidRPr="001F224B">
              <w:rPr>
                <w:b/>
                <w:bCs/>
                <w:sz w:val="13"/>
                <w:szCs w:val="13"/>
              </w:rPr>
              <w:t xml:space="preserve">                  - </w:t>
            </w:r>
          </w:p>
        </w:tc>
      </w:tr>
      <w:tr w:rsidR="002B5162" w:rsidRPr="001F224B" w14:paraId="55FEFF1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4E1FC71" w14:textId="77777777" w:rsidR="002B5162" w:rsidRPr="001F224B" w:rsidRDefault="002B5162" w:rsidP="002B5162">
            <w:pPr>
              <w:rPr>
                <w:rFonts w:eastAsia="Arial Unicode MS"/>
                <w:sz w:val="13"/>
                <w:szCs w:val="13"/>
              </w:rPr>
            </w:pPr>
            <w:r w:rsidRPr="001F224B">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6C9E302C" w14:textId="77777777" w:rsidR="002B5162" w:rsidRPr="001F224B" w:rsidRDefault="002B5162" w:rsidP="002B5162">
            <w:pPr>
              <w:rPr>
                <w:rFonts w:eastAsia="Arial Unicode MS"/>
                <w:sz w:val="13"/>
                <w:szCs w:val="13"/>
              </w:rPr>
            </w:pPr>
            <w:r w:rsidRPr="001F224B">
              <w:rPr>
                <w:rFonts w:ascii="Times New Roman TUR" w:hAnsi="Times New Roman TUR"/>
                <w:b/>
                <w:bCs/>
                <w:sz w:val="13"/>
                <w:szCs w:val="13"/>
              </w:rPr>
              <w:t>KİRALAMA İŞLEMLERİNDEN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0BAAFFE0" w14:textId="77777777" w:rsidR="002B5162" w:rsidRPr="001F224B" w:rsidRDefault="002B5162" w:rsidP="002B5162">
            <w:pPr>
              <w:jc w:val="center"/>
              <w:rPr>
                <w:rFonts w:eastAsia="Arial Unicode MS"/>
                <w:sz w:val="13"/>
                <w:szCs w:val="13"/>
              </w:rPr>
            </w:pPr>
            <w:r w:rsidRPr="001F224B">
              <w:rPr>
                <w:b/>
                <w:bCs/>
                <w:sz w:val="13"/>
                <w:szCs w:val="13"/>
              </w:rPr>
              <w:t>(9)</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26D977" w14:textId="401DB355" w:rsidR="002B5162" w:rsidRPr="001F224B" w:rsidRDefault="002B5162" w:rsidP="002B5162">
            <w:pPr>
              <w:jc w:val="right"/>
              <w:rPr>
                <w:b/>
                <w:bCs/>
                <w:sz w:val="13"/>
                <w:szCs w:val="13"/>
              </w:rPr>
            </w:pPr>
            <w:r w:rsidRPr="001F224B">
              <w:rPr>
                <w:b/>
                <w:bCs/>
                <w:sz w:val="13"/>
                <w:szCs w:val="13"/>
              </w:rPr>
              <w:t>33.453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7180B2" w14:textId="45193C64" w:rsidR="002B5162" w:rsidRPr="001F224B" w:rsidRDefault="002B5162" w:rsidP="002B5162">
            <w:pPr>
              <w:jc w:val="right"/>
              <w:rPr>
                <w:b/>
                <w:bCs/>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631E08" w14:textId="2F809510" w:rsidR="002B5162" w:rsidRPr="001F224B" w:rsidRDefault="002B5162" w:rsidP="002B5162">
            <w:pPr>
              <w:jc w:val="right"/>
              <w:rPr>
                <w:b/>
                <w:bCs/>
                <w:sz w:val="13"/>
                <w:szCs w:val="13"/>
              </w:rPr>
            </w:pPr>
            <w:r w:rsidRPr="001F224B">
              <w:rPr>
                <w:b/>
                <w:bCs/>
                <w:sz w:val="13"/>
                <w:szCs w:val="13"/>
              </w:rPr>
              <w:t>33.453</w:t>
            </w:r>
          </w:p>
        </w:tc>
        <w:tc>
          <w:tcPr>
            <w:tcW w:w="725" w:type="dxa"/>
            <w:gridSpan w:val="2"/>
            <w:tcBorders>
              <w:top w:val="nil"/>
              <w:left w:val="single" w:sz="4" w:space="0" w:color="auto"/>
              <w:bottom w:val="nil"/>
              <w:right w:val="single" w:sz="4" w:space="0" w:color="auto"/>
            </w:tcBorders>
          </w:tcPr>
          <w:p w14:paraId="3583EC01" w14:textId="7561131C" w:rsidR="002B5162" w:rsidRPr="001F224B" w:rsidRDefault="002B5162" w:rsidP="002B5162">
            <w:pPr>
              <w:jc w:val="right"/>
              <w:rPr>
                <w:b/>
                <w:bCs/>
                <w:sz w:val="13"/>
                <w:szCs w:val="13"/>
              </w:rPr>
            </w:pPr>
            <w:r w:rsidRPr="001F224B">
              <w:rPr>
                <w:b/>
                <w:bCs/>
                <w:sz w:val="13"/>
                <w:szCs w:val="13"/>
              </w:rPr>
              <w:t>22.348</w:t>
            </w:r>
          </w:p>
        </w:tc>
        <w:tc>
          <w:tcPr>
            <w:tcW w:w="692" w:type="dxa"/>
            <w:tcBorders>
              <w:top w:val="nil"/>
              <w:left w:val="nil"/>
              <w:bottom w:val="nil"/>
              <w:right w:val="single" w:sz="4" w:space="0" w:color="auto"/>
            </w:tcBorders>
          </w:tcPr>
          <w:p w14:paraId="2101A6B3" w14:textId="7CD1E2F7"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5764EDAE" w14:textId="7CBCBCC5" w:rsidR="002B5162" w:rsidRPr="001F224B" w:rsidRDefault="002B5162" w:rsidP="002B5162">
            <w:pPr>
              <w:jc w:val="right"/>
              <w:rPr>
                <w:b/>
                <w:bCs/>
                <w:sz w:val="13"/>
                <w:szCs w:val="13"/>
              </w:rPr>
            </w:pPr>
            <w:r w:rsidRPr="001F224B">
              <w:rPr>
                <w:b/>
                <w:bCs/>
                <w:sz w:val="13"/>
                <w:szCs w:val="13"/>
              </w:rPr>
              <w:t>22.348</w:t>
            </w:r>
          </w:p>
        </w:tc>
      </w:tr>
      <w:tr w:rsidR="002B5162" w:rsidRPr="001F224B" w14:paraId="5A11875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28C9E6C" w14:textId="77777777" w:rsidR="002B5162" w:rsidRPr="001F224B" w:rsidRDefault="002B5162" w:rsidP="002B5162">
            <w:pPr>
              <w:rPr>
                <w:rFonts w:eastAsia="Arial Unicode MS"/>
                <w:b/>
                <w:sz w:val="13"/>
                <w:szCs w:val="13"/>
              </w:rPr>
            </w:pPr>
            <w:r w:rsidRPr="001F224B">
              <w:rPr>
                <w:b/>
                <w:bCs/>
                <w:sz w:val="13"/>
                <w:szCs w:val="13"/>
              </w:rPr>
              <w:t xml:space="preserve">X. </w:t>
            </w:r>
          </w:p>
        </w:tc>
        <w:tc>
          <w:tcPr>
            <w:tcW w:w="4819" w:type="dxa"/>
            <w:tcBorders>
              <w:top w:val="nil"/>
              <w:left w:val="nil"/>
              <w:bottom w:val="nil"/>
              <w:right w:val="nil"/>
            </w:tcBorders>
            <w:noWrap/>
            <w:tcMar>
              <w:top w:w="18" w:type="dxa"/>
              <w:left w:w="18" w:type="dxa"/>
              <w:bottom w:w="0" w:type="dxa"/>
              <w:right w:w="18" w:type="dxa"/>
            </w:tcMar>
            <w:vAlign w:val="bottom"/>
          </w:tcPr>
          <w:p w14:paraId="57A66E40"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KARŞILIKLAR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26E05F00" w14:textId="0B8BC191" w:rsidR="002B5162" w:rsidRPr="001F224B" w:rsidRDefault="002B5162" w:rsidP="002B5162">
            <w:pPr>
              <w:jc w:val="center"/>
              <w:rPr>
                <w:rFonts w:eastAsia="Arial Unicode MS"/>
                <w:b/>
                <w:sz w:val="13"/>
                <w:szCs w:val="13"/>
              </w:rPr>
            </w:pPr>
            <w:r w:rsidRPr="001F224B">
              <w:rPr>
                <w:b/>
                <w:bCs/>
                <w:sz w:val="13"/>
                <w:szCs w:val="13"/>
              </w:rPr>
              <w:t>(11)</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A93D00" w14:textId="14B85E1B" w:rsidR="002B5162" w:rsidRPr="001F224B" w:rsidRDefault="002B5162" w:rsidP="002B5162">
            <w:pPr>
              <w:jc w:val="right"/>
              <w:rPr>
                <w:b/>
                <w:bCs/>
                <w:sz w:val="13"/>
                <w:szCs w:val="13"/>
              </w:rPr>
            </w:pPr>
            <w:r w:rsidRPr="001F224B">
              <w:rPr>
                <w:b/>
                <w:bCs/>
                <w:sz w:val="13"/>
                <w:szCs w:val="13"/>
              </w:rPr>
              <w:t>626.497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95CCBD" w14:textId="3C4F5A73" w:rsidR="002B5162" w:rsidRPr="001F224B" w:rsidRDefault="002B5162" w:rsidP="002B5162">
            <w:pPr>
              <w:jc w:val="right"/>
              <w:rPr>
                <w:b/>
                <w:bCs/>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DC6127" w14:textId="3F532327" w:rsidR="002B5162" w:rsidRPr="001F224B" w:rsidRDefault="002B5162" w:rsidP="002B5162">
            <w:pPr>
              <w:jc w:val="right"/>
              <w:rPr>
                <w:b/>
                <w:bCs/>
                <w:sz w:val="13"/>
                <w:szCs w:val="13"/>
              </w:rPr>
            </w:pPr>
            <w:r w:rsidRPr="001F224B">
              <w:rPr>
                <w:b/>
                <w:bCs/>
                <w:sz w:val="13"/>
                <w:szCs w:val="13"/>
              </w:rPr>
              <w:t>626.497</w:t>
            </w:r>
          </w:p>
        </w:tc>
        <w:tc>
          <w:tcPr>
            <w:tcW w:w="725" w:type="dxa"/>
            <w:gridSpan w:val="2"/>
            <w:tcBorders>
              <w:top w:val="nil"/>
              <w:left w:val="single" w:sz="4" w:space="0" w:color="auto"/>
              <w:bottom w:val="nil"/>
              <w:right w:val="single" w:sz="4" w:space="0" w:color="auto"/>
            </w:tcBorders>
          </w:tcPr>
          <w:p w14:paraId="7187DD9F" w14:textId="54536484" w:rsidR="002B5162" w:rsidRPr="001F224B" w:rsidRDefault="002B5162" w:rsidP="002B5162">
            <w:pPr>
              <w:jc w:val="right"/>
              <w:rPr>
                <w:b/>
                <w:bCs/>
                <w:color w:val="000000"/>
                <w:sz w:val="13"/>
                <w:szCs w:val="13"/>
              </w:rPr>
            </w:pPr>
            <w:r w:rsidRPr="001F224B">
              <w:rPr>
                <w:b/>
                <w:bCs/>
                <w:sz w:val="13"/>
                <w:szCs w:val="13"/>
              </w:rPr>
              <w:t>605.012</w:t>
            </w:r>
          </w:p>
        </w:tc>
        <w:tc>
          <w:tcPr>
            <w:tcW w:w="692" w:type="dxa"/>
            <w:tcBorders>
              <w:top w:val="nil"/>
              <w:left w:val="nil"/>
              <w:bottom w:val="nil"/>
              <w:right w:val="single" w:sz="4" w:space="0" w:color="auto"/>
            </w:tcBorders>
          </w:tcPr>
          <w:p w14:paraId="044E0F68" w14:textId="32DF9FE6"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41B1B8F6" w14:textId="2A32906B" w:rsidR="002B5162" w:rsidRPr="001F224B" w:rsidRDefault="002B5162" w:rsidP="002B5162">
            <w:pPr>
              <w:jc w:val="right"/>
              <w:rPr>
                <w:b/>
                <w:bCs/>
                <w:color w:val="000000"/>
                <w:sz w:val="13"/>
                <w:szCs w:val="13"/>
              </w:rPr>
            </w:pPr>
            <w:r w:rsidRPr="001F224B">
              <w:rPr>
                <w:b/>
                <w:bCs/>
                <w:sz w:val="13"/>
                <w:szCs w:val="13"/>
              </w:rPr>
              <w:t>605.012</w:t>
            </w:r>
          </w:p>
        </w:tc>
      </w:tr>
      <w:tr w:rsidR="002B5162" w:rsidRPr="001F224B" w14:paraId="669C321C" w14:textId="77777777" w:rsidTr="00D27979">
        <w:tc>
          <w:tcPr>
            <w:tcW w:w="426" w:type="dxa"/>
            <w:tcBorders>
              <w:top w:val="nil"/>
              <w:left w:val="single" w:sz="4" w:space="0" w:color="auto"/>
              <w:bottom w:val="nil"/>
              <w:right w:val="nil"/>
            </w:tcBorders>
            <w:noWrap/>
            <w:tcMar>
              <w:top w:w="18" w:type="dxa"/>
              <w:left w:w="18" w:type="dxa"/>
              <w:bottom w:w="0" w:type="dxa"/>
              <w:right w:w="18" w:type="dxa"/>
            </w:tcMar>
          </w:tcPr>
          <w:p w14:paraId="6D81E381" w14:textId="7F5A3262" w:rsidR="002B5162" w:rsidRPr="001F224B" w:rsidRDefault="002B5162" w:rsidP="002B5162">
            <w:pPr>
              <w:rPr>
                <w:rFonts w:eastAsia="Arial Unicode MS"/>
                <w:b/>
                <w:sz w:val="13"/>
                <w:szCs w:val="13"/>
              </w:rPr>
            </w:pPr>
            <w:r w:rsidRPr="001F224B">
              <w:rPr>
                <w:rFonts w:ascii="Times New Roman TUR" w:hAnsi="Times New Roman TUR"/>
                <w:sz w:val="13"/>
                <w:szCs w:val="13"/>
              </w:rPr>
              <w:t>10.1</w:t>
            </w:r>
          </w:p>
        </w:tc>
        <w:tc>
          <w:tcPr>
            <w:tcW w:w="4819" w:type="dxa"/>
            <w:tcBorders>
              <w:top w:val="nil"/>
              <w:left w:val="nil"/>
              <w:bottom w:val="nil"/>
              <w:right w:val="nil"/>
            </w:tcBorders>
            <w:noWrap/>
            <w:tcMar>
              <w:top w:w="18" w:type="dxa"/>
              <w:left w:w="18" w:type="dxa"/>
              <w:bottom w:w="0" w:type="dxa"/>
              <w:right w:w="18" w:type="dxa"/>
            </w:tcMar>
            <w:vAlign w:val="bottom"/>
          </w:tcPr>
          <w:p w14:paraId="2B01AFF8"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Yeniden Yapılanma Karşılığı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88A57"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703638" w14:textId="6993402F"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DDD040C" w14:textId="42639C8E"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F10405" w14:textId="17740D22"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single" w:sz="4" w:space="0" w:color="auto"/>
              <w:bottom w:val="nil"/>
              <w:right w:val="single" w:sz="4" w:space="0" w:color="auto"/>
            </w:tcBorders>
          </w:tcPr>
          <w:p w14:paraId="53340E7B" w14:textId="240743DC" w:rsidR="002B5162" w:rsidRPr="001F224B" w:rsidRDefault="002B5162" w:rsidP="002B5162">
            <w:pPr>
              <w:jc w:val="right"/>
              <w:rPr>
                <w:sz w:val="13"/>
                <w:szCs w:val="13"/>
              </w:rPr>
            </w:pPr>
            <w:r w:rsidRPr="001F224B">
              <w:rPr>
                <w:color w:val="000000"/>
                <w:sz w:val="13"/>
                <w:szCs w:val="13"/>
              </w:rPr>
              <w:t xml:space="preserve"> - </w:t>
            </w:r>
          </w:p>
        </w:tc>
        <w:tc>
          <w:tcPr>
            <w:tcW w:w="692" w:type="dxa"/>
            <w:tcBorders>
              <w:top w:val="nil"/>
              <w:left w:val="nil"/>
              <w:bottom w:val="nil"/>
              <w:right w:val="single" w:sz="4" w:space="0" w:color="auto"/>
            </w:tcBorders>
          </w:tcPr>
          <w:p w14:paraId="0F1C5649" w14:textId="695625A6"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4D26DA94" w14:textId="7F700165" w:rsidR="002B5162" w:rsidRPr="001F224B" w:rsidRDefault="002B5162" w:rsidP="002B5162">
            <w:pPr>
              <w:jc w:val="right"/>
              <w:rPr>
                <w:sz w:val="13"/>
                <w:szCs w:val="13"/>
              </w:rPr>
            </w:pPr>
            <w:r w:rsidRPr="001F224B">
              <w:rPr>
                <w:color w:val="000000"/>
                <w:sz w:val="13"/>
                <w:szCs w:val="13"/>
              </w:rPr>
              <w:t xml:space="preserve"> - </w:t>
            </w:r>
          </w:p>
        </w:tc>
      </w:tr>
      <w:tr w:rsidR="002B5162" w:rsidRPr="001F224B" w14:paraId="6E5E47CB"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113B4DEB" w14:textId="237F885E" w:rsidR="002B5162" w:rsidRPr="001F224B" w:rsidRDefault="002B5162" w:rsidP="002B5162">
            <w:pPr>
              <w:rPr>
                <w:rFonts w:eastAsia="Arial Unicode MS"/>
                <w:sz w:val="13"/>
                <w:szCs w:val="13"/>
              </w:rPr>
            </w:pPr>
            <w:r w:rsidRPr="001F224B">
              <w:rPr>
                <w:rFonts w:ascii="Times New Roman TUR" w:hAnsi="Times New Roman TUR"/>
                <w:sz w:val="13"/>
                <w:szCs w:val="13"/>
              </w:rPr>
              <w:t>10.2</w:t>
            </w:r>
          </w:p>
        </w:tc>
        <w:tc>
          <w:tcPr>
            <w:tcW w:w="4819" w:type="dxa"/>
            <w:tcBorders>
              <w:top w:val="nil"/>
              <w:left w:val="nil"/>
              <w:bottom w:val="nil"/>
              <w:right w:val="nil"/>
            </w:tcBorders>
            <w:noWrap/>
            <w:tcMar>
              <w:top w:w="18" w:type="dxa"/>
              <w:left w:w="18" w:type="dxa"/>
              <w:bottom w:w="0" w:type="dxa"/>
              <w:right w:w="18" w:type="dxa"/>
            </w:tcMar>
            <w:vAlign w:val="bottom"/>
          </w:tcPr>
          <w:p w14:paraId="2B28D982" w14:textId="77777777" w:rsidR="002B5162" w:rsidRPr="001F224B" w:rsidRDefault="002B5162" w:rsidP="002B5162">
            <w:pPr>
              <w:rPr>
                <w:rFonts w:eastAsia="Arial Unicode MS"/>
                <w:sz w:val="13"/>
                <w:szCs w:val="13"/>
              </w:rPr>
            </w:pPr>
            <w:r w:rsidRPr="001F224B">
              <w:rPr>
                <w:sz w:val="13"/>
                <w:szCs w:val="13"/>
              </w:rPr>
              <w:t>Çalışan Hakları Karşılığı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2D1F5A"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189258" w14:textId="6D1FDD4D" w:rsidR="002B5162" w:rsidRPr="001F224B" w:rsidRDefault="002B5162" w:rsidP="002B5162">
            <w:pPr>
              <w:jc w:val="right"/>
              <w:rPr>
                <w:sz w:val="13"/>
                <w:szCs w:val="13"/>
              </w:rPr>
            </w:pPr>
            <w:r w:rsidRPr="001F224B">
              <w:rPr>
                <w:sz w:val="13"/>
                <w:szCs w:val="13"/>
              </w:rPr>
              <w:t>483.962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B2FADB" w14:textId="08A36AD5"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4E88EF" w14:textId="17C70483" w:rsidR="002B5162" w:rsidRPr="001F224B" w:rsidRDefault="002B5162" w:rsidP="002B5162">
            <w:pPr>
              <w:jc w:val="right"/>
              <w:rPr>
                <w:sz w:val="13"/>
                <w:szCs w:val="13"/>
              </w:rPr>
            </w:pPr>
            <w:r w:rsidRPr="001F224B">
              <w:rPr>
                <w:sz w:val="13"/>
                <w:szCs w:val="13"/>
              </w:rPr>
              <w:t>483.962</w:t>
            </w:r>
          </w:p>
        </w:tc>
        <w:tc>
          <w:tcPr>
            <w:tcW w:w="725" w:type="dxa"/>
            <w:gridSpan w:val="2"/>
            <w:tcBorders>
              <w:top w:val="nil"/>
              <w:left w:val="single" w:sz="4" w:space="0" w:color="auto"/>
              <w:bottom w:val="nil"/>
              <w:right w:val="single" w:sz="4" w:space="0" w:color="auto"/>
            </w:tcBorders>
          </w:tcPr>
          <w:p w14:paraId="48E82FCF" w14:textId="21633775" w:rsidR="002B5162" w:rsidRPr="001F224B" w:rsidRDefault="002B5162" w:rsidP="002B5162">
            <w:pPr>
              <w:jc w:val="right"/>
              <w:rPr>
                <w:color w:val="000000"/>
                <w:sz w:val="13"/>
                <w:szCs w:val="13"/>
              </w:rPr>
            </w:pPr>
            <w:r w:rsidRPr="001F224B">
              <w:rPr>
                <w:sz w:val="13"/>
                <w:szCs w:val="13"/>
              </w:rPr>
              <w:t>479.145</w:t>
            </w:r>
          </w:p>
        </w:tc>
        <w:tc>
          <w:tcPr>
            <w:tcW w:w="692" w:type="dxa"/>
            <w:tcBorders>
              <w:top w:val="nil"/>
              <w:left w:val="nil"/>
              <w:bottom w:val="nil"/>
              <w:right w:val="single" w:sz="4" w:space="0" w:color="auto"/>
            </w:tcBorders>
          </w:tcPr>
          <w:p w14:paraId="0E7F0320" w14:textId="723D23AC"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39A79DD2" w14:textId="27CF84D9" w:rsidR="002B5162" w:rsidRPr="001F224B" w:rsidRDefault="002B5162" w:rsidP="002B5162">
            <w:pPr>
              <w:jc w:val="right"/>
              <w:rPr>
                <w:color w:val="000000"/>
                <w:sz w:val="13"/>
                <w:szCs w:val="13"/>
              </w:rPr>
            </w:pPr>
            <w:r w:rsidRPr="001F224B">
              <w:rPr>
                <w:sz w:val="13"/>
                <w:szCs w:val="13"/>
              </w:rPr>
              <w:t>479.145</w:t>
            </w:r>
          </w:p>
        </w:tc>
      </w:tr>
      <w:tr w:rsidR="002B5162" w:rsidRPr="001F224B" w14:paraId="62AF4AC9" w14:textId="77777777" w:rsidTr="00257839">
        <w:tc>
          <w:tcPr>
            <w:tcW w:w="426" w:type="dxa"/>
            <w:tcBorders>
              <w:top w:val="nil"/>
              <w:left w:val="single" w:sz="4" w:space="0" w:color="auto"/>
              <w:bottom w:val="nil"/>
              <w:right w:val="nil"/>
            </w:tcBorders>
            <w:noWrap/>
            <w:tcMar>
              <w:top w:w="18" w:type="dxa"/>
              <w:left w:w="18" w:type="dxa"/>
              <w:bottom w:w="0" w:type="dxa"/>
              <w:right w:w="18" w:type="dxa"/>
            </w:tcMar>
          </w:tcPr>
          <w:p w14:paraId="31F53407" w14:textId="272AE117" w:rsidR="002B5162" w:rsidRPr="001F224B" w:rsidRDefault="002B5162" w:rsidP="002B5162">
            <w:pPr>
              <w:rPr>
                <w:rFonts w:eastAsia="Arial Unicode MS"/>
                <w:sz w:val="13"/>
                <w:szCs w:val="13"/>
              </w:rPr>
            </w:pPr>
            <w:r w:rsidRPr="001F224B">
              <w:rPr>
                <w:rFonts w:ascii="Times New Roman TUR" w:hAnsi="Times New Roman TUR"/>
                <w:sz w:val="13"/>
                <w:szCs w:val="13"/>
              </w:rPr>
              <w:t>10.3</w:t>
            </w:r>
          </w:p>
        </w:tc>
        <w:tc>
          <w:tcPr>
            <w:tcW w:w="4819" w:type="dxa"/>
            <w:tcBorders>
              <w:top w:val="nil"/>
              <w:left w:val="nil"/>
              <w:bottom w:val="nil"/>
              <w:right w:val="nil"/>
            </w:tcBorders>
            <w:noWrap/>
            <w:tcMar>
              <w:top w:w="18" w:type="dxa"/>
              <w:left w:w="18" w:type="dxa"/>
              <w:bottom w:w="0" w:type="dxa"/>
              <w:right w:w="18" w:type="dxa"/>
            </w:tcMar>
            <w:vAlign w:val="bottom"/>
          </w:tcPr>
          <w:p w14:paraId="26D9BEFF" w14:textId="77777777" w:rsidR="002B5162" w:rsidRPr="001F224B" w:rsidRDefault="002B5162" w:rsidP="002B5162">
            <w:pPr>
              <w:rPr>
                <w:rFonts w:eastAsia="Arial Unicode MS"/>
                <w:b/>
                <w:sz w:val="13"/>
                <w:szCs w:val="13"/>
              </w:rPr>
            </w:pPr>
            <w:r w:rsidRPr="001F224B">
              <w:rPr>
                <w:sz w:val="13"/>
                <w:szCs w:val="13"/>
              </w:rPr>
              <w:t>Sigorta Teknik Karşılıkları (Net)</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80F6EF"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8DEE71" w14:textId="27C4E940"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00120B2" w14:textId="36AD3CD4"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50169F" w14:textId="2E0AE90E"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single" w:sz="4" w:space="0" w:color="auto"/>
              <w:bottom w:val="nil"/>
              <w:right w:val="single" w:sz="4" w:space="0" w:color="auto"/>
            </w:tcBorders>
          </w:tcPr>
          <w:p w14:paraId="39808FF4" w14:textId="244F77D4" w:rsidR="002B5162" w:rsidRPr="001F224B" w:rsidRDefault="002B5162" w:rsidP="002B5162">
            <w:pPr>
              <w:jc w:val="right"/>
              <w:rPr>
                <w:sz w:val="13"/>
                <w:szCs w:val="13"/>
              </w:rPr>
            </w:pPr>
            <w:r w:rsidRPr="001F224B">
              <w:rPr>
                <w:color w:val="000000"/>
                <w:sz w:val="13"/>
                <w:szCs w:val="13"/>
              </w:rPr>
              <w:t xml:space="preserve"> - </w:t>
            </w:r>
          </w:p>
        </w:tc>
        <w:tc>
          <w:tcPr>
            <w:tcW w:w="692" w:type="dxa"/>
            <w:tcBorders>
              <w:top w:val="nil"/>
              <w:left w:val="nil"/>
              <w:bottom w:val="nil"/>
              <w:right w:val="single" w:sz="4" w:space="0" w:color="auto"/>
            </w:tcBorders>
          </w:tcPr>
          <w:p w14:paraId="141F5457" w14:textId="0D9B34D1"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10F35923" w14:textId="11885812" w:rsidR="002B5162" w:rsidRPr="001F224B" w:rsidRDefault="002B5162" w:rsidP="002B5162">
            <w:pPr>
              <w:jc w:val="right"/>
              <w:rPr>
                <w:sz w:val="13"/>
                <w:szCs w:val="13"/>
              </w:rPr>
            </w:pPr>
            <w:r w:rsidRPr="001F224B">
              <w:rPr>
                <w:color w:val="000000"/>
                <w:sz w:val="13"/>
                <w:szCs w:val="13"/>
              </w:rPr>
              <w:t xml:space="preserve"> - </w:t>
            </w:r>
          </w:p>
        </w:tc>
      </w:tr>
      <w:tr w:rsidR="002B5162" w:rsidRPr="001F224B" w14:paraId="22F81E4F" w14:textId="77777777" w:rsidTr="002419EF">
        <w:tc>
          <w:tcPr>
            <w:tcW w:w="426" w:type="dxa"/>
            <w:tcBorders>
              <w:top w:val="nil"/>
              <w:left w:val="single" w:sz="4" w:space="0" w:color="auto"/>
              <w:bottom w:val="nil"/>
              <w:right w:val="nil"/>
            </w:tcBorders>
            <w:noWrap/>
            <w:tcMar>
              <w:top w:w="18" w:type="dxa"/>
              <w:left w:w="18" w:type="dxa"/>
              <w:bottom w:w="0" w:type="dxa"/>
              <w:right w:w="18" w:type="dxa"/>
            </w:tcMar>
          </w:tcPr>
          <w:p w14:paraId="79D4EE43" w14:textId="28169657" w:rsidR="002B5162" w:rsidRPr="001F224B" w:rsidRDefault="002B5162" w:rsidP="002B5162">
            <w:pPr>
              <w:rPr>
                <w:rFonts w:eastAsia="Arial Unicode MS"/>
                <w:sz w:val="13"/>
                <w:szCs w:val="13"/>
              </w:rPr>
            </w:pPr>
            <w:r w:rsidRPr="001F224B">
              <w:rPr>
                <w:rFonts w:ascii="Times New Roman TUR" w:hAnsi="Times New Roman TUR"/>
                <w:sz w:val="13"/>
                <w:szCs w:val="13"/>
              </w:rPr>
              <w:t>10.4</w:t>
            </w:r>
          </w:p>
        </w:tc>
        <w:tc>
          <w:tcPr>
            <w:tcW w:w="4819" w:type="dxa"/>
            <w:tcBorders>
              <w:top w:val="nil"/>
              <w:left w:val="nil"/>
              <w:bottom w:val="nil"/>
              <w:right w:val="nil"/>
            </w:tcBorders>
            <w:noWrap/>
            <w:tcMar>
              <w:top w:w="18" w:type="dxa"/>
              <w:left w:w="18" w:type="dxa"/>
              <w:bottom w:w="0" w:type="dxa"/>
              <w:right w:w="18" w:type="dxa"/>
            </w:tcMar>
            <w:vAlign w:val="bottom"/>
          </w:tcPr>
          <w:p w14:paraId="78C57A18" w14:textId="77777777" w:rsidR="002B5162" w:rsidRPr="001F224B" w:rsidRDefault="002B5162" w:rsidP="002B5162">
            <w:pPr>
              <w:rPr>
                <w:rFonts w:eastAsia="Arial Unicode MS"/>
                <w:sz w:val="13"/>
                <w:szCs w:val="13"/>
              </w:rPr>
            </w:pPr>
            <w:r w:rsidRPr="001F224B">
              <w:rPr>
                <w:sz w:val="13"/>
                <w:szCs w:val="13"/>
              </w:rPr>
              <w:t>Diğer Karşılıklar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9F15D"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BDD665D" w14:textId="3BC78C0B" w:rsidR="002B5162" w:rsidRPr="001F224B" w:rsidRDefault="002B5162" w:rsidP="002B5162">
            <w:pPr>
              <w:jc w:val="right"/>
              <w:rPr>
                <w:sz w:val="13"/>
                <w:szCs w:val="13"/>
              </w:rPr>
            </w:pPr>
            <w:r w:rsidRPr="001F224B">
              <w:rPr>
                <w:sz w:val="13"/>
                <w:szCs w:val="13"/>
              </w:rPr>
              <w:t>142.535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ACAEA3" w14:textId="5FCA83E2" w:rsidR="002B5162" w:rsidRPr="001F224B" w:rsidRDefault="002B5162" w:rsidP="002B5162">
            <w:pPr>
              <w:jc w:val="right"/>
              <w:rPr>
                <w:sz w:val="13"/>
                <w:szCs w:val="13"/>
              </w:rPr>
            </w:pPr>
            <w:r w:rsidRPr="001F224B">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6B48D8A" w14:textId="197F3EC6" w:rsidR="002B5162" w:rsidRPr="001F224B" w:rsidRDefault="002B5162" w:rsidP="002B5162">
            <w:pPr>
              <w:jc w:val="right"/>
              <w:rPr>
                <w:sz w:val="13"/>
                <w:szCs w:val="13"/>
              </w:rPr>
            </w:pPr>
            <w:r w:rsidRPr="001F224B">
              <w:rPr>
                <w:sz w:val="13"/>
                <w:szCs w:val="13"/>
              </w:rPr>
              <w:t>142.535</w:t>
            </w:r>
          </w:p>
        </w:tc>
        <w:tc>
          <w:tcPr>
            <w:tcW w:w="725" w:type="dxa"/>
            <w:gridSpan w:val="2"/>
            <w:tcBorders>
              <w:top w:val="nil"/>
              <w:left w:val="single" w:sz="4" w:space="0" w:color="auto"/>
              <w:bottom w:val="nil"/>
              <w:right w:val="single" w:sz="4" w:space="0" w:color="auto"/>
            </w:tcBorders>
          </w:tcPr>
          <w:p w14:paraId="17A6B74F" w14:textId="4D58B66D" w:rsidR="002B5162" w:rsidRPr="001F224B" w:rsidRDefault="002B5162" w:rsidP="002B5162">
            <w:pPr>
              <w:jc w:val="right"/>
              <w:rPr>
                <w:color w:val="000000"/>
                <w:sz w:val="13"/>
                <w:szCs w:val="13"/>
              </w:rPr>
            </w:pPr>
            <w:r w:rsidRPr="001F224B">
              <w:rPr>
                <w:sz w:val="13"/>
                <w:szCs w:val="13"/>
              </w:rPr>
              <w:t>125.867</w:t>
            </w:r>
          </w:p>
        </w:tc>
        <w:tc>
          <w:tcPr>
            <w:tcW w:w="692" w:type="dxa"/>
            <w:tcBorders>
              <w:top w:val="nil"/>
              <w:left w:val="nil"/>
              <w:bottom w:val="nil"/>
              <w:right w:val="single" w:sz="4" w:space="0" w:color="auto"/>
            </w:tcBorders>
          </w:tcPr>
          <w:p w14:paraId="71D312CF" w14:textId="4EF8595D"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4985897B" w14:textId="31B0378B" w:rsidR="002B5162" w:rsidRPr="001F224B" w:rsidRDefault="002B5162" w:rsidP="002B5162">
            <w:pPr>
              <w:jc w:val="right"/>
              <w:rPr>
                <w:color w:val="000000"/>
                <w:sz w:val="13"/>
                <w:szCs w:val="13"/>
              </w:rPr>
            </w:pPr>
            <w:r w:rsidRPr="001F224B">
              <w:rPr>
                <w:sz w:val="13"/>
                <w:szCs w:val="13"/>
              </w:rPr>
              <w:t>125.867</w:t>
            </w:r>
          </w:p>
        </w:tc>
      </w:tr>
      <w:tr w:rsidR="002B5162" w:rsidRPr="001F224B" w14:paraId="4B013A73" w14:textId="77777777" w:rsidTr="002419EF">
        <w:tc>
          <w:tcPr>
            <w:tcW w:w="426" w:type="dxa"/>
            <w:tcBorders>
              <w:top w:val="nil"/>
              <w:left w:val="single" w:sz="4" w:space="0" w:color="auto"/>
              <w:bottom w:val="nil"/>
              <w:right w:val="nil"/>
            </w:tcBorders>
            <w:noWrap/>
            <w:tcMar>
              <w:top w:w="18" w:type="dxa"/>
              <w:left w:w="18" w:type="dxa"/>
              <w:bottom w:w="0" w:type="dxa"/>
              <w:right w:w="18" w:type="dxa"/>
            </w:tcMar>
          </w:tcPr>
          <w:p w14:paraId="23AF8262" w14:textId="77777777" w:rsidR="002B5162" w:rsidRPr="001F224B" w:rsidRDefault="002B5162" w:rsidP="002B5162">
            <w:pPr>
              <w:rPr>
                <w:rFonts w:eastAsia="Arial Unicode MS"/>
                <w:b/>
                <w:sz w:val="13"/>
                <w:szCs w:val="13"/>
              </w:rPr>
            </w:pPr>
            <w:r w:rsidRPr="001F224B">
              <w:rPr>
                <w:b/>
                <w:bCs/>
                <w:sz w:val="13"/>
                <w:szCs w:val="13"/>
              </w:rPr>
              <w:t>XI.</w:t>
            </w:r>
          </w:p>
        </w:tc>
        <w:tc>
          <w:tcPr>
            <w:tcW w:w="4819" w:type="dxa"/>
            <w:tcBorders>
              <w:top w:val="nil"/>
              <w:left w:val="nil"/>
              <w:bottom w:val="nil"/>
              <w:right w:val="nil"/>
            </w:tcBorders>
            <w:noWrap/>
            <w:tcMar>
              <w:top w:w="18" w:type="dxa"/>
              <w:left w:w="18" w:type="dxa"/>
              <w:bottom w:w="0" w:type="dxa"/>
              <w:right w:w="18" w:type="dxa"/>
            </w:tcMar>
            <w:vAlign w:val="bottom"/>
          </w:tcPr>
          <w:p w14:paraId="1F29C098" w14:textId="77777777" w:rsidR="002B5162" w:rsidRPr="001F224B" w:rsidRDefault="002B5162" w:rsidP="002B5162">
            <w:pPr>
              <w:rPr>
                <w:rFonts w:eastAsia="Arial Unicode MS"/>
                <w:b/>
                <w:sz w:val="13"/>
                <w:szCs w:val="13"/>
              </w:rPr>
            </w:pPr>
            <w:r w:rsidRPr="001F224B">
              <w:rPr>
                <w:b/>
                <w:bCs/>
                <w:sz w:val="13"/>
                <w:szCs w:val="13"/>
              </w:rPr>
              <w:t>CARİ VERGİ BORCU</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1FCE5CA4" w14:textId="5A8E5A98" w:rsidR="002B5162" w:rsidRPr="001F224B" w:rsidRDefault="002B5162" w:rsidP="002B5162">
            <w:pPr>
              <w:jc w:val="center"/>
              <w:rPr>
                <w:rFonts w:eastAsia="Arial Unicode MS"/>
                <w:b/>
                <w:sz w:val="13"/>
                <w:szCs w:val="13"/>
              </w:rPr>
            </w:pPr>
            <w:r w:rsidRPr="001F224B">
              <w:rPr>
                <w:b/>
                <w:bCs/>
                <w:sz w:val="13"/>
                <w:szCs w:val="13"/>
              </w:rPr>
              <w:t>(12)</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C4B5C0" w14:textId="7C794ABE" w:rsidR="002B5162" w:rsidRPr="001F224B" w:rsidRDefault="002B5162" w:rsidP="002B5162">
            <w:pPr>
              <w:jc w:val="right"/>
              <w:rPr>
                <w:b/>
                <w:bCs/>
                <w:sz w:val="13"/>
                <w:szCs w:val="13"/>
              </w:rPr>
            </w:pPr>
            <w:r w:rsidRPr="001F224B">
              <w:rPr>
                <w:b/>
                <w:bCs/>
                <w:sz w:val="13"/>
                <w:szCs w:val="13"/>
              </w:rPr>
              <w:t>1.143.690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7D6D19" w14:textId="64F36CB5" w:rsidR="002B5162" w:rsidRPr="001F224B" w:rsidRDefault="002B5162" w:rsidP="002B5162">
            <w:pPr>
              <w:jc w:val="right"/>
              <w:rPr>
                <w:b/>
                <w:bCs/>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1CF5CEF" w14:textId="60C1D442" w:rsidR="002B5162" w:rsidRPr="001F224B" w:rsidRDefault="002B5162" w:rsidP="002B5162">
            <w:pPr>
              <w:jc w:val="right"/>
              <w:rPr>
                <w:b/>
                <w:bCs/>
                <w:sz w:val="13"/>
                <w:szCs w:val="13"/>
              </w:rPr>
            </w:pPr>
            <w:r w:rsidRPr="001F224B">
              <w:rPr>
                <w:b/>
                <w:bCs/>
                <w:sz w:val="13"/>
                <w:szCs w:val="13"/>
              </w:rPr>
              <w:t>1.143.690</w:t>
            </w:r>
          </w:p>
        </w:tc>
        <w:tc>
          <w:tcPr>
            <w:tcW w:w="725" w:type="dxa"/>
            <w:gridSpan w:val="2"/>
            <w:tcBorders>
              <w:top w:val="nil"/>
              <w:left w:val="single" w:sz="4" w:space="0" w:color="auto"/>
              <w:bottom w:val="nil"/>
              <w:right w:val="single" w:sz="4" w:space="0" w:color="auto"/>
            </w:tcBorders>
          </w:tcPr>
          <w:p w14:paraId="2B2CF240" w14:textId="1C2B6DE4" w:rsidR="002B5162" w:rsidRPr="001F224B" w:rsidRDefault="002B5162" w:rsidP="002B5162">
            <w:pPr>
              <w:jc w:val="right"/>
              <w:rPr>
                <w:b/>
                <w:bCs/>
                <w:color w:val="000000"/>
                <w:sz w:val="13"/>
                <w:szCs w:val="13"/>
              </w:rPr>
            </w:pPr>
            <w:r w:rsidRPr="001F224B">
              <w:rPr>
                <w:b/>
                <w:bCs/>
                <w:sz w:val="13"/>
                <w:szCs w:val="13"/>
              </w:rPr>
              <w:t>816.578</w:t>
            </w:r>
          </w:p>
        </w:tc>
        <w:tc>
          <w:tcPr>
            <w:tcW w:w="692" w:type="dxa"/>
            <w:tcBorders>
              <w:top w:val="nil"/>
              <w:left w:val="nil"/>
              <w:bottom w:val="nil"/>
              <w:right w:val="single" w:sz="4" w:space="0" w:color="auto"/>
            </w:tcBorders>
          </w:tcPr>
          <w:p w14:paraId="76564847" w14:textId="70A1DD22"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671FD37C" w14:textId="73112FEB" w:rsidR="002B5162" w:rsidRPr="001F224B" w:rsidRDefault="002B5162" w:rsidP="002B5162">
            <w:pPr>
              <w:jc w:val="right"/>
              <w:rPr>
                <w:b/>
                <w:bCs/>
                <w:color w:val="000000"/>
                <w:sz w:val="13"/>
                <w:szCs w:val="13"/>
              </w:rPr>
            </w:pPr>
            <w:r w:rsidRPr="001F224B">
              <w:rPr>
                <w:b/>
                <w:bCs/>
                <w:sz w:val="13"/>
                <w:szCs w:val="13"/>
              </w:rPr>
              <w:t>816.578</w:t>
            </w:r>
          </w:p>
        </w:tc>
      </w:tr>
      <w:tr w:rsidR="002B5162" w:rsidRPr="001F224B" w14:paraId="0B861B66" w14:textId="77777777" w:rsidTr="002419EF">
        <w:tc>
          <w:tcPr>
            <w:tcW w:w="426" w:type="dxa"/>
            <w:tcBorders>
              <w:top w:val="nil"/>
              <w:left w:val="single" w:sz="4" w:space="0" w:color="auto"/>
              <w:bottom w:val="nil"/>
              <w:right w:val="nil"/>
            </w:tcBorders>
            <w:noWrap/>
            <w:tcMar>
              <w:top w:w="18" w:type="dxa"/>
              <w:left w:w="18" w:type="dxa"/>
              <w:bottom w:w="0" w:type="dxa"/>
              <w:right w:w="18" w:type="dxa"/>
            </w:tcMar>
          </w:tcPr>
          <w:p w14:paraId="092C3808" w14:textId="77777777" w:rsidR="002B5162" w:rsidRPr="001F224B" w:rsidRDefault="002B5162" w:rsidP="002B5162">
            <w:pPr>
              <w:rPr>
                <w:rFonts w:eastAsia="Arial Unicode MS"/>
                <w:sz w:val="13"/>
                <w:szCs w:val="13"/>
              </w:rPr>
            </w:pPr>
            <w:r w:rsidRPr="001F224B">
              <w:rPr>
                <w:b/>
                <w:bCs/>
                <w:sz w:val="13"/>
                <w:szCs w:val="13"/>
              </w:rPr>
              <w:t>XII.</w:t>
            </w:r>
          </w:p>
        </w:tc>
        <w:tc>
          <w:tcPr>
            <w:tcW w:w="4819" w:type="dxa"/>
            <w:tcBorders>
              <w:top w:val="nil"/>
              <w:left w:val="nil"/>
              <w:bottom w:val="nil"/>
              <w:right w:val="nil"/>
            </w:tcBorders>
            <w:noWrap/>
            <w:tcMar>
              <w:top w:w="18" w:type="dxa"/>
              <w:left w:w="18" w:type="dxa"/>
              <w:bottom w:w="0" w:type="dxa"/>
              <w:right w:w="18" w:type="dxa"/>
            </w:tcMar>
            <w:vAlign w:val="bottom"/>
          </w:tcPr>
          <w:p w14:paraId="006E2DC1" w14:textId="77777777" w:rsidR="002B5162" w:rsidRPr="001F224B" w:rsidRDefault="002B5162" w:rsidP="002B5162">
            <w:pPr>
              <w:rPr>
                <w:rFonts w:eastAsia="Arial Unicode MS"/>
                <w:sz w:val="13"/>
                <w:szCs w:val="13"/>
              </w:rPr>
            </w:pPr>
            <w:r w:rsidRPr="001F224B">
              <w:rPr>
                <w:b/>
                <w:bCs/>
                <w:sz w:val="13"/>
                <w:szCs w:val="13"/>
              </w:rPr>
              <w:t>ERTELENMİŞ VERGİ BORCU</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1DDDE3FC" w14:textId="4523D8F7" w:rsidR="002B5162" w:rsidRPr="001F224B" w:rsidRDefault="002B5162" w:rsidP="002B5162">
            <w:pPr>
              <w:jc w:val="center"/>
              <w:rPr>
                <w:rFonts w:eastAsia="Arial Unicode MS"/>
                <w:sz w:val="13"/>
                <w:szCs w:val="13"/>
              </w:rPr>
            </w:pPr>
            <w:r w:rsidRPr="001F224B">
              <w:rPr>
                <w:b/>
                <w:bCs/>
                <w:sz w:val="13"/>
                <w:szCs w:val="13"/>
              </w:rPr>
              <w:t>(13)</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800E17" w14:textId="01FD1E7C"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A98201" w14:textId="75BFD6C9" w:rsidR="002B5162" w:rsidRPr="001F224B" w:rsidRDefault="002B5162" w:rsidP="002B5162">
            <w:pPr>
              <w:jc w:val="right"/>
              <w:rPr>
                <w:sz w:val="13"/>
                <w:szCs w:val="13"/>
              </w:rPr>
            </w:pPr>
            <w:r w:rsidRPr="001F224B">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4ED22E6" w14:textId="4BD34FC2"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nil"/>
              <w:bottom w:val="nil"/>
              <w:right w:val="single" w:sz="4" w:space="0" w:color="auto"/>
            </w:tcBorders>
            <w:vAlign w:val="bottom"/>
          </w:tcPr>
          <w:p w14:paraId="5860B6C8" w14:textId="3B6C6D76" w:rsidR="002B5162" w:rsidRPr="001F224B" w:rsidRDefault="002B5162" w:rsidP="002B5162">
            <w:pPr>
              <w:jc w:val="right"/>
              <w:rPr>
                <w:b/>
                <w:bCs/>
                <w:color w:val="000000"/>
                <w:sz w:val="13"/>
                <w:szCs w:val="13"/>
              </w:rPr>
            </w:pPr>
            <w:r w:rsidRPr="001F224B">
              <w:rPr>
                <w:b/>
                <w:bCs/>
                <w:sz w:val="13"/>
                <w:szCs w:val="13"/>
              </w:rPr>
              <w:t xml:space="preserve">                  - </w:t>
            </w:r>
          </w:p>
        </w:tc>
        <w:tc>
          <w:tcPr>
            <w:tcW w:w="692" w:type="dxa"/>
            <w:tcBorders>
              <w:top w:val="nil"/>
              <w:left w:val="nil"/>
              <w:bottom w:val="nil"/>
              <w:right w:val="single" w:sz="4" w:space="0" w:color="auto"/>
            </w:tcBorders>
            <w:vAlign w:val="bottom"/>
          </w:tcPr>
          <w:p w14:paraId="1150FFB5" w14:textId="022A0F8A" w:rsidR="002B5162" w:rsidRPr="001F224B" w:rsidRDefault="002B5162" w:rsidP="002B5162">
            <w:pPr>
              <w:jc w:val="right"/>
              <w:rPr>
                <w:b/>
                <w:bCs/>
                <w:sz w:val="13"/>
                <w:szCs w:val="13"/>
              </w:rPr>
            </w:pPr>
            <w:r w:rsidRPr="001F224B">
              <w:rPr>
                <w:b/>
                <w:bCs/>
                <w:sz w:val="13"/>
                <w:szCs w:val="13"/>
              </w:rPr>
              <w:t xml:space="preserve">                  - </w:t>
            </w:r>
          </w:p>
        </w:tc>
        <w:tc>
          <w:tcPr>
            <w:tcW w:w="709" w:type="dxa"/>
            <w:tcBorders>
              <w:top w:val="nil"/>
              <w:left w:val="nil"/>
              <w:bottom w:val="nil"/>
              <w:right w:val="single" w:sz="4" w:space="0" w:color="auto"/>
            </w:tcBorders>
            <w:vAlign w:val="bottom"/>
          </w:tcPr>
          <w:p w14:paraId="6B6E8F8E" w14:textId="58D2183A" w:rsidR="002B5162" w:rsidRPr="001F224B" w:rsidRDefault="002B5162" w:rsidP="002B5162">
            <w:pPr>
              <w:jc w:val="right"/>
              <w:rPr>
                <w:b/>
                <w:bCs/>
                <w:color w:val="000000"/>
                <w:sz w:val="13"/>
                <w:szCs w:val="13"/>
              </w:rPr>
            </w:pPr>
            <w:r w:rsidRPr="001F224B">
              <w:rPr>
                <w:b/>
                <w:bCs/>
                <w:sz w:val="13"/>
                <w:szCs w:val="13"/>
              </w:rPr>
              <w:t xml:space="preserve">                  - </w:t>
            </w:r>
          </w:p>
        </w:tc>
      </w:tr>
      <w:tr w:rsidR="002B5162" w:rsidRPr="001F224B" w14:paraId="13AAE202" w14:textId="77777777" w:rsidTr="001D55BC">
        <w:tc>
          <w:tcPr>
            <w:tcW w:w="426" w:type="dxa"/>
            <w:tcBorders>
              <w:top w:val="nil"/>
              <w:left w:val="single" w:sz="4" w:space="0" w:color="auto"/>
              <w:bottom w:val="nil"/>
              <w:right w:val="nil"/>
            </w:tcBorders>
            <w:noWrap/>
            <w:tcMar>
              <w:top w:w="18" w:type="dxa"/>
              <w:left w:w="18" w:type="dxa"/>
              <w:bottom w:w="0" w:type="dxa"/>
              <w:right w:w="18" w:type="dxa"/>
            </w:tcMar>
          </w:tcPr>
          <w:p w14:paraId="32D5BF3E" w14:textId="77777777" w:rsidR="002B5162" w:rsidRPr="001F224B" w:rsidRDefault="002B5162" w:rsidP="002B5162">
            <w:pPr>
              <w:rPr>
                <w:rFonts w:eastAsia="Arial Unicode MS"/>
                <w:sz w:val="13"/>
                <w:szCs w:val="13"/>
              </w:rPr>
            </w:pPr>
            <w:r w:rsidRPr="001F224B">
              <w:rPr>
                <w:b/>
                <w:bCs/>
                <w:sz w:val="13"/>
                <w:szCs w:val="13"/>
              </w:rPr>
              <w:t>XIII.</w:t>
            </w:r>
          </w:p>
        </w:tc>
        <w:tc>
          <w:tcPr>
            <w:tcW w:w="4819" w:type="dxa"/>
            <w:tcBorders>
              <w:top w:val="nil"/>
              <w:left w:val="nil"/>
              <w:bottom w:val="nil"/>
              <w:right w:val="nil"/>
            </w:tcBorders>
            <w:noWrap/>
            <w:tcMar>
              <w:top w:w="18" w:type="dxa"/>
              <w:left w:w="18" w:type="dxa"/>
              <w:bottom w:w="0" w:type="dxa"/>
              <w:right w:w="18" w:type="dxa"/>
            </w:tcMar>
          </w:tcPr>
          <w:p w14:paraId="4D168749"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SATIŞ AMAÇLI ELDE TUTULAN VE DURDURULAN FAALİYETLERE İLİŞKİN DURAN VARLIK BORÇLARI (Net)</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450EC95" w14:textId="09BE0B66" w:rsidR="002B5162" w:rsidRPr="001F224B" w:rsidRDefault="002B5162" w:rsidP="002B5162">
            <w:pPr>
              <w:jc w:val="center"/>
              <w:rPr>
                <w:rFonts w:eastAsia="Arial Unicode MS"/>
                <w:b/>
                <w:sz w:val="13"/>
                <w:szCs w:val="13"/>
              </w:rPr>
            </w:pPr>
            <w:r w:rsidRPr="001F224B">
              <w:rPr>
                <w:b/>
                <w:bCs/>
                <w:sz w:val="13"/>
                <w:szCs w:val="13"/>
              </w:rPr>
              <w:t>(14)</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911400" w14:textId="2EA8CBD0"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BB93836" w14:textId="36FF6372"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BAE6541" w14:textId="7D8AC31A"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nil"/>
              <w:bottom w:val="nil"/>
              <w:right w:val="single" w:sz="4" w:space="0" w:color="auto"/>
            </w:tcBorders>
            <w:vAlign w:val="bottom"/>
          </w:tcPr>
          <w:p w14:paraId="1C6F4F33" w14:textId="6961A5D1" w:rsidR="002B5162" w:rsidRPr="001F224B" w:rsidRDefault="002B5162" w:rsidP="002B5162">
            <w:pPr>
              <w:jc w:val="right"/>
              <w:rPr>
                <w:b/>
                <w:bCs/>
                <w:sz w:val="13"/>
                <w:szCs w:val="13"/>
              </w:rPr>
            </w:pPr>
            <w:r w:rsidRPr="001F224B">
              <w:rPr>
                <w:b/>
                <w:bCs/>
                <w:sz w:val="13"/>
                <w:szCs w:val="13"/>
              </w:rPr>
              <w:t xml:space="preserve">                  - </w:t>
            </w:r>
          </w:p>
        </w:tc>
        <w:tc>
          <w:tcPr>
            <w:tcW w:w="692" w:type="dxa"/>
            <w:tcBorders>
              <w:top w:val="nil"/>
              <w:left w:val="nil"/>
              <w:bottom w:val="nil"/>
              <w:right w:val="single" w:sz="4" w:space="0" w:color="auto"/>
            </w:tcBorders>
            <w:vAlign w:val="bottom"/>
          </w:tcPr>
          <w:p w14:paraId="753E103F" w14:textId="7C210E2F" w:rsidR="002B5162" w:rsidRPr="001F224B" w:rsidRDefault="002B5162" w:rsidP="002B5162">
            <w:pPr>
              <w:jc w:val="right"/>
              <w:rPr>
                <w:b/>
                <w:bCs/>
                <w:sz w:val="13"/>
                <w:szCs w:val="13"/>
              </w:rPr>
            </w:pPr>
            <w:r w:rsidRPr="001F224B">
              <w:rPr>
                <w:b/>
                <w:bCs/>
                <w:sz w:val="13"/>
                <w:szCs w:val="13"/>
              </w:rPr>
              <w:t xml:space="preserve">                  - </w:t>
            </w:r>
          </w:p>
        </w:tc>
        <w:tc>
          <w:tcPr>
            <w:tcW w:w="709" w:type="dxa"/>
            <w:tcBorders>
              <w:top w:val="nil"/>
              <w:left w:val="nil"/>
              <w:bottom w:val="nil"/>
              <w:right w:val="single" w:sz="4" w:space="0" w:color="auto"/>
            </w:tcBorders>
            <w:vAlign w:val="bottom"/>
          </w:tcPr>
          <w:p w14:paraId="69022DFB" w14:textId="3B7F04C7" w:rsidR="002B5162" w:rsidRPr="001F224B" w:rsidRDefault="002B5162" w:rsidP="002B5162">
            <w:pPr>
              <w:jc w:val="right"/>
              <w:rPr>
                <w:b/>
                <w:bCs/>
                <w:sz w:val="13"/>
                <w:szCs w:val="13"/>
              </w:rPr>
            </w:pPr>
            <w:r w:rsidRPr="001F224B">
              <w:rPr>
                <w:b/>
                <w:bCs/>
                <w:sz w:val="13"/>
                <w:szCs w:val="13"/>
              </w:rPr>
              <w:t xml:space="preserve">                  - </w:t>
            </w:r>
          </w:p>
        </w:tc>
      </w:tr>
      <w:tr w:rsidR="002B5162" w:rsidRPr="001F224B" w14:paraId="674203AD" w14:textId="77777777" w:rsidTr="001D55BC">
        <w:tc>
          <w:tcPr>
            <w:tcW w:w="426" w:type="dxa"/>
            <w:tcBorders>
              <w:top w:val="nil"/>
              <w:left w:val="single" w:sz="4" w:space="0" w:color="auto"/>
              <w:bottom w:val="nil"/>
              <w:right w:val="nil"/>
            </w:tcBorders>
            <w:noWrap/>
            <w:tcMar>
              <w:top w:w="18" w:type="dxa"/>
              <w:left w:w="18" w:type="dxa"/>
              <w:bottom w:w="0" w:type="dxa"/>
              <w:right w:w="18" w:type="dxa"/>
            </w:tcMar>
          </w:tcPr>
          <w:p w14:paraId="1DAD28D1"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17039559" w14:textId="77777777" w:rsidR="002B5162" w:rsidRPr="001F224B" w:rsidRDefault="002B5162" w:rsidP="002B5162">
            <w:pPr>
              <w:rPr>
                <w:rFonts w:eastAsia="Arial Unicode MS"/>
                <w:sz w:val="13"/>
                <w:szCs w:val="13"/>
              </w:rPr>
            </w:pPr>
            <w:r w:rsidRPr="001F224B">
              <w:rPr>
                <w:sz w:val="13"/>
                <w:szCs w:val="13"/>
              </w:rPr>
              <w:t xml:space="preserve">Satış Amaçlı </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852C61"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047628" w14:textId="722E49B0"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35AC2E" w14:textId="18EDD27D"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1B3DC6" w14:textId="7427B457"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nil"/>
              <w:bottom w:val="nil"/>
              <w:right w:val="single" w:sz="4" w:space="0" w:color="auto"/>
            </w:tcBorders>
            <w:vAlign w:val="bottom"/>
          </w:tcPr>
          <w:p w14:paraId="731D9F55" w14:textId="46F6B377" w:rsidR="002B5162" w:rsidRPr="001F224B" w:rsidRDefault="002B5162" w:rsidP="002B5162">
            <w:pPr>
              <w:jc w:val="right"/>
              <w:rPr>
                <w:sz w:val="13"/>
                <w:szCs w:val="13"/>
              </w:rPr>
            </w:pPr>
            <w:r w:rsidRPr="001F224B">
              <w:rPr>
                <w:sz w:val="13"/>
                <w:szCs w:val="13"/>
              </w:rPr>
              <w:t xml:space="preserve">                  - </w:t>
            </w:r>
          </w:p>
        </w:tc>
        <w:tc>
          <w:tcPr>
            <w:tcW w:w="692" w:type="dxa"/>
            <w:tcBorders>
              <w:top w:val="nil"/>
              <w:left w:val="nil"/>
              <w:bottom w:val="nil"/>
              <w:right w:val="single" w:sz="4" w:space="0" w:color="auto"/>
            </w:tcBorders>
            <w:vAlign w:val="bottom"/>
          </w:tcPr>
          <w:p w14:paraId="527667E1" w14:textId="690E8D76"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vAlign w:val="bottom"/>
          </w:tcPr>
          <w:p w14:paraId="237C0113" w14:textId="6CE0A3C6" w:rsidR="002B5162" w:rsidRPr="001F224B" w:rsidRDefault="002B5162" w:rsidP="002B5162">
            <w:pPr>
              <w:jc w:val="right"/>
              <w:rPr>
                <w:sz w:val="13"/>
                <w:szCs w:val="13"/>
              </w:rPr>
            </w:pPr>
            <w:r w:rsidRPr="001F224B">
              <w:rPr>
                <w:sz w:val="13"/>
                <w:szCs w:val="13"/>
              </w:rPr>
              <w:t xml:space="preserve">                  - </w:t>
            </w:r>
          </w:p>
        </w:tc>
      </w:tr>
      <w:tr w:rsidR="002B5162" w:rsidRPr="001F224B" w14:paraId="75D2F725" w14:textId="77777777" w:rsidTr="001D55BC">
        <w:tc>
          <w:tcPr>
            <w:tcW w:w="426" w:type="dxa"/>
            <w:tcBorders>
              <w:top w:val="nil"/>
              <w:left w:val="single" w:sz="4" w:space="0" w:color="auto"/>
              <w:bottom w:val="nil"/>
              <w:right w:val="nil"/>
            </w:tcBorders>
            <w:noWrap/>
            <w:tcMar>
              <w:top w:w="18" w:type="dxa"/>
              <w:left w:w="18" w:type="dxa"/>
              <w:bottom w:w="0" w:type="dxa"/>
              <w:right w:w="18" w:type="dxa"/>
            </w:tcMar>
          </w:tcPr>
          <w:p w14:paraId="6A93F284"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48CB96A8" w14:textId="77777777" w:rsidR="002B5162" w:rsidRPr="001F224B" w:rsidRDefault="002B5162" w:rsidP="002B5162">
            <w:pPr>
              <w:rPr>
                <w:rFonts w:eastAsia="Arial Unicode MS"/>
                <w:b/>
                <w:sz w:val="13"/>
                <w:szCs w:val="13"/>
              </w:rPr>
            </w:pPr>
            <w:r w:rsidRPr="001F224B">
              <w:rPr>
                <w:sz w:val="13"/>
                <w:szCs w:val="13"/>
              </w:rPr>
              <w:t>Durdurulan Faaliyetlere İlişkin</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5F89AA"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312867" w14:textId="20E1E61F"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E7FBF7" w14:textId="35BA51F2"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BA1903" w14:textId="707A55E6"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nil"/>
              <w:bottom w:val="nil"/>
              <w:right w:val="single" w:sz="4" w:space="0" w:color="auto"/>
            </w:tcBorders>
            <w:vAlign w:val="bottom"/>
          </w:tcPr>
          <w:p w14:paraId="4D5E393E" w14:textId="3D7307E6" w:rsidR="002B5162" w:rsidRPr="001F224B" w:rsidRDefault="002B5162" w:rsidP="002B5162">
            <w:pPr>
              <w:jc w:val="right"/>
              <w:rPr>
                <w:sz w:val="13"/>
                <w:szCs w:val="13"/>
              </w:rPr>
            </w:pPr>
            <w:r w:rsidRPr="001F224B">
              <w:rPr>
                <w:sz w:val="13"/>
                <w:szCs w:val="13"/>
              </w:rPr>
              <w:t xml:space="preserve">                  - </w:t>
            </w:r>
          </w:p>
        </w:tc>
        <w:tc>
          <w:tcPr>
            <w:tcW w:w="692" w:type="dxa"/>
            <w:tcBorders>
              <w:top w:val="nil"/>
              <w:left w:val="nil"/>
              <w:bottom w:val="nil"/>
              <w:right w:val="single" w:sz="4" w:space="0" w:color="auto"/>
            </w:tcBorders>
            <w:vAlign w:val="bottom"/>
          </w:tcPr>
          <w:p w14:paraId="32C6DF5C" w14:textId="6255B3CA"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vAlign w:val="bottom"/>
          </w:tcPr>
          <w:p w14:paraId="12738C1D" w14:textId="67A1F7A7" w:rsidR="002B5162" w:rsidRPr="001F224B" w:rsidRDefault="002B5162" w:rsidP="002B5162">
            <w:pPr>
              <w:jc w:val="right"/>
              <w:rPr>
                <w:sz w:val="13"/>
                <w:szCs w:val="13"/>
              </w:rPr>
            </w:pPr>
            <w:r w:rsidRPr="001F224B">
              <w:rPr>
                <w:sz w:val="13"/>
                <w:szCs w:val="13"/>
              </w:rPr>
              <w:t xml:space="preserve">                  - </w:t>
            </w:r>
          </w:p>
        </w:tc>
      </w:tr>
      <w:tr w:rsidR="002B5162" w:rsidRPr="001F224B" w14:paraId="37AB884F"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96032A3" w14:textId="77777777" w:rsidR="002B5162" w:rsidRPr="001F224B" w:rsidRDefault="002B5162" w:rsidP="002B5162">
            <w:pPr>
              <w:rPr>
                <w:rFonts w:eastAsia="Arial Unicode MS"/>
                <w:sz w:val="13"/>
                <w:szCs w:val="13"/>
              </w:rPr>
            </w:pPr>
            <w:r w:rsidRPr="001F224B">
              <w:rPr>
                <w:b/>
                <w:bCs/>
                <w:sz w:val="13"/>
                <w:szCs w:val="13"/>
              </w:rPr>
              <w:t>XIV.</w:t>
            </w:r>
          </w:p>
        </w:tc>
        <w:tc>
          <w:tcPr>
            <w:tcW w:w="4819" w:type="dxa"/>
            <w:tcBorders>
              <w:top w:val="nil"/>
              <w:left w:val="nil"/>
              <w:bottom w:val="nil"/>
              <w:right w:val="nil"/>
            </w:tcBorders>
            <w:noWrap/>
            <w:tcMar>
              <w:top w:w="18" w:type="dxa"/>
              <w:left w:w="18" w:type="dxa"/>
              <w:bottom w:w="0" w:type="dxa"/>
              <w:right w:w="18" w:type="dxa"/>
            </w:tcMar>
            <w:vAlign w:val="bottom"/>
          </w:tcPr>
          <w:p w14:paraId="3A837C25" w14:textId="77777777" w:rsidR="002B5162" w:rsidRPr="001F224B" w:rsidRDefault="002B5162" w:rsidP="002B5162">
            <w:pPr>
              <w:rPr>
                <w:rFonts w:eastAsia="Arial Unicode MS"/>
                <w:sz w:val="13"/>
                <w:szCs w:val="13"/>
              </w:rPr>
            </w:pPr>
            <w:r w:rsidRPr="001F224B">
              <w:rPr>
                <w:b/>
                <w:bCs/>
                <w:sz w:val="13"/>
                <w:szCs w:val="13"/>
              </w:rPr>
              <w:t>SERMAYE BENZERİ BORÇLANMA ARAÇLARI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13E649E" w14:textId="4E6FECFB" w:rsidR="002B5162" w:rsidRPr="001F224B" w:rsidRDefault="002B5162" w:rsidP="002B5162">
            <w:pPr>
              <w:jc w:val="center"/>
              <w:rPr>
                <w:rFonts w:eastAsia="Arial Unicode MS"/>
                <w:sz w:val="13"/>
                <w:szCs w:val="13"/>
              </w:rPr>
            </w:pPr>
            <w:r w:rsidRPr="001F224B">
              <w:rPr>
                <w:b/>
                <w:bCs/>
                <w:sz w:val="13"/>
                <w:szCs w:val="13"/>
              </w:rPr>
              <w:t>(15)</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A6DEAF" w14:textId="775A3CBF" w:rsidR="002B5162" w:rsidRPr="001F224B" w:rsidRDefault="002B5162" w:rsidP="002B5162">
            <w:pPr>
              <w:jc w:val="right"/>
              <w:rPr>
                <w:b/>
                <w:bCs/>
                <w:sz w:val="13"/>
                <w:szCs w:val="13"/>
              </w:rPr>
            </w:pPr>
            <w:r w:rsidRPr="001F224B">
              <w:rPr>
                <w:b/>
                <w:bCs/>
                <w:sz w:val="13"/>
                <w:szCs w:val="13"/>
              </w:rPr>
              <w:t>6.459.975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B9BEE1" w14:textId="3AF3ABC1" w:rsidR="002B5162" w:rsidRPr="001F224B" w:rsidRDefault="002B5162" w:rsidP="002B5162">
            <w:pPr>
              <w:jc w:val="right"/>
              <w:rPr>
                <w:b/>
                <w:bCs/>
                <w:sz w:val="13"/>
                <w:szCs w:val="13"/>
              </w:rPr>
            </w:pPr>
            <w:r w:rsidRPr="001F224B">
              <w:rPr>
                <w:b/>
                <w:bCs/>
                <w:sz w:val="13"/>
                <w:szCs w:val="13"/>
              </w:rPr>
              <w:t>2.625.464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5DCBFBE" w14:textId="6EADE783" w:rsidR="002B5162" w:rsidRPr="001F224B" w:rsidRDefault="002B5162" w:rsidP="002B5162">
            <w:pPr>
              <w:jc w:val="right"/>
              <w:rPr>
                <w:b/>
                <w:bCs/>
                <w:sz w:val="13"/>
                <w:szCs w:val="13"/>
              </w:rPr>
            </w:pPr>
            <w:r w:rsidRPr="001F224B">
              <w:rPr>
                <w:b/>
                <w:bCs/>
                <w:sz w:val="13"/>
                <w:szCs w:val="13"/>
              </w:rPr>
              <w:t>9.085.439</w:t>
            </w:r>
          </w:p>
        </w:tc>
        <w:tc>
          <w:tcPr>
            <w:tcW w:w="725" w:type="dxa"/>
            <w:gridSpan w:val="2"/>
            <w:tcBorders>
              <w:top w:val="nil"/>
              <w:left w:val="single" w:sz="4" w:space="0" w:color="auto"/>
              <w:bottom w:val="nil"/>
              <w:right w:val="single" w:sz="4" w:space="0" w:color="auto"/>
            </w:tcBorders>
          </w:tcPr>
          <w:p w14:paraId="50B4951E" w14:textId="53496925" w:rsidR="002B5162" w:rsidRPr="001F224B" w:rsidRDefault="002B5162" w:rsidP="002B5162">
            <w:pPr>
              <w:jc w:val="right"/>
              <w:rPr>
                <w:b/>
                <w:bCs/>
                <w:color w:val="000000"/>
                <w:sz w:val="13"/>
                <w:szCs w:val="13"/>
              </w:rPr>
            </w:pPr>
            <w:r w:rsidRPr="001F224B">
              <w:rPr>
                <w:b/>
                <w:bCs/>
                <w:sz w:val="13"/>
                <w:szCs w:val="13"/>
              </w:rPr>
              <w:t>5.516.800</w:t>
            </w:r>
          </w:p>
        </w:tc>
        <w:tc>
          <w:tcPr>
            <w:tcW w:w="692" w:type="dxa"/>
            <w:tcBorders>
              <w:top w:val="nil"/>
              <w:left w:val="nil"/>
              <w:bottom w:val="nil"/>
              <w:right w:val="single" w:sz="4" w:space="0" w:color="auto"/>
            </w:tcBorders>
          </w:tcPr>
          <w:p w14:paraId="3AC98979" w14:textId="1C4B428B" w:rsidR="002B5162" w:rsidRPr="001F224B" w:rsidRDefault="002B5162" w:rsidP="002B5162">
            <w:pPr>
              <w:jc w:val="right"/>
              <w:rPr>
                <w:b/>
                <w:bCs/>
                <w:color w:val="000000"/>
                <w:sz w:val="13"/>
                <w:szCs w:val="13"/>
              </w:rPr>
            </w:pPr>
            <w:r w:rsidRPr="001F224B">
              <w:rPr>
                <w:b/>
                <w:bCs/>
                <w:sz w:val="13"/>
                <w:szCs w:val="13"/>
              </w:rPr>
              <w:t>2.060.311</w:t>
            </w:r>
          </w:p>
        </w:tc>
        <w:tc>
          <w:tcPr>
            <w:tcW w:w="709" w:type="dxa"/>
            <w:tcBorders>
              <w:top w:val="nil"/>
              <w:left w:val="nil"/>
              <w:bottom w:val="nil"/>
              <w:right w:val="single" w:sz="4" w:space="0" w:color="auto"/>
            </w:tcBorders>
          </w:tcPr>
          <w:p w14:paraId="60ABBE2C" w14:textId="771549C9" w:rsidR="002B5162" w:rsidRPr="001F224B" w:rsidRDefault="002B5162" w:rsidP="002B5162">
            <w:pPr>
              <w:jc w:val="right"/>
              <w:rPr>
                <w:b/>
                <w:bCs/>
                <w:color w:val="000000"/>
                <w:sz w:val="13"/>
                <w:szCs w:val="13"/>
              </w:rPr>
            </w:pPr>
            <w:r w:rsidRPr="001F224B">
              <w:rPr>
                <w:b/>
                <w:bCs/>
                <w:sz w:val="13"/>
                <w:szCs w:val="13"/>
              </w:rPr>
              <w:t>7.577.111</w:t>
            </w:r>
          </w:p>
        </w:tc>
      </w:tr>
      <w:tr w:rsidR="002B5162" w:rsidRPr="001F224B" w14:paraId="2C5EE578"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4A990EDF"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6CDC687C"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Krediler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A15754"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EA01C23" w14:textId="6CD6A965" w:rsidR="002B5162" w:rsidRPr="001F224B" w:rsidRDefault="002B5162" w:rsidP="002B5162">
            <w:pPr>
              <w:jc w:val="right"/>
              <w:rPr>
                <w:sz w:val="13"/>
                <w:szCs w:val="13"/>
              </w:rPr>
            </w:pPr>
            <w:r w:rsidRPr="001F224B">
              <w:rPr>
                <w:sz w:val="13"/>
                <w:szCs w:val="13"/>
              </w:rPr>
              <w:t>6.459.975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6456C4" w14:textId="26DA587E" w:rsidR="002B5162" w:rsidRPr="001F224B" w:rsidRDefault="002B5162" w:rsidP="002B5162">
            <w:pPr>
              <w:jc w:val="right"/>
              <w:rPr>
                <w:sz w:val="13"/>
                <w:szCs w:val="13"/>
              </w:rPr>
            </w:pPr>
            <w:r w:rsidRPr="001F224B">
              <w:rPr>
                <w:sz w:val="13"/>
                <w:szCs w:val="13"/>
              </w:rPr>
              <w:t>2.625.464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614DFC" w14:textId="02625570" w:rsidR="002B5162" w:rsidRPr="001F224B" w:rsidRDefault="002B5162" w:rsidP="002B5162">
            <w:pPr>
              <w:jc w:val="right"/>
              <w:rPr>
                <w:sz w:val="13"/>
                <w:szCs w:val="13"/>
              </w:rPr>
            </w:pPr>
            <w:r w:rsidRPr="001F224B">
              <w:rPr>
                <w:sz w:val="13"/>
                <w:szCs w:val="13"/>
              </w:rPr>
              <w:t>9.085.439</w:t>
            </w:r>
          </w:p>
        </w:tc>
        <w:tc>
          <w:tcPr>
            <w:tcW w:w="725" w:type="dxa"/>
            <w:gridSpan w:val="2"/>
            <w:tcBorders>
              <w:top w:val="nil"/>
              <w:left w:val="single" w:sz="4" w:space="0" w:color="auto"/>
              <w:bottom w:val="nil"/>
              <w:right w:val="single" w:sz="4" w:space="0" w:color="auto"/>
            </w:tcBorders>
          </w:tcPr>
          <w:p w14:paraId="0AF9798B" w14:textId="0F78FF13" w:rsidR="002B5162" w:rsidRPr="001F224B" w:rsidRDefault="002B5162" w:rsidP="002B5162">
            <w:pPr>
              <w:jc w:val="right"/>
              <w:rPr>
                <w:color w:val="000000"/>
                <w:sz w:val="13"/>
                <w:szCs w:val="13"/>
              </w:rPr>
            </w:pPr>
            <w:r w:rsidRPr="001F224B">
              <w:rPr>
                <w:sz w:val="13"/>
                <w:szCs w:val="13"/>
              </w:rPr>
              <w:t>5.516.800</w:t>
            </w:r>
          </w:p>
        </w:tc>
        <w:tc>
          <w:tcPr>
            <w:tcW w:w="692" w:type="dxa"/>
            <w:tcBorders>
              <w:top w:val="nil"/>
              <w:left w:val="nil"/>
              <w:bottom w:val="nil"/>
              <w:right w:val="single" w:sz="4" w:space="0" w:color="auto"/>
            </w:tcBorders>
          </w:tcPr>
          <w:p w14:paraId="1FB8776E" w14:textId="78EF17DD" w:rsidR="002B5162" w:rsidRPr="001F224B" w:rsidRDefault="002B5162" w:rsidP="002B5162">
            <w:pPr>
              <w:jc w:val="right"/>
              <w:rPr>
                <w:color w:val="000000"/>
                <w:sz w:val="13"/>
                <w:szCs w:val="13"/>
              </w:rPr>
            </w:pPr>
            <w:r w:rsidRPr="001F224B">
              <w:rPr>
                <w:sz w:val="13"/>
                <w:szCs w:val="13"/>
              </w:rPr>
              <w:t>2.060.311</w:t>
            </w:r>
          </w:p>
        </w:tc>
        <w:tc>
          <w:tcPr>
            <w:tcW w:w="709" w:type="dxa"/>
            <w:tcBorders>
              <w:top w:val="nil"/>
              <w:left w:val="nil"/>
              <w:bottom w:val="nil"/>
              <w:right w:val="single" w:sz="4" w:space="0" w:color="auto"/>
            </w:tcBorders>
          </w:tcPr>
          <w:p w14:paraId="02CA77B4" w14:textId="7586D0E1" w:rsidR="002B5162" w:rsidRPr="001F224B" w:rsidRDefault="002B5162" w:rsidP="002B5162">
            <w:pPr>
              <w:jc w:val="right"/>
              <w:rPr>
                <w:color w:val="000000"/>
                <w:sz w:val="13"/>
                <w:szCs w:val="13"/>
              </w:rPr>
            </w:pPr>
            <w:r w:rsidRPr="001F224B">
              <w:rPr>
                <w:sz w:val="13"/>
                <w:szCs w:val="13"/>
              </w:rPr>
              <w:t>7.577.111</w:t>
            </w:r>
          </w:p>
        </w:tc>
      </w:tr>
      <w:tr w:rsidR="002B5162" w:rsidRPr="001F224B" w14:paraId="15E9A3BD"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4F960576"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495C5AAE"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Diğer Borçlanma Araçları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0FA4BE"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2FFD91" w14:textId="2A125F6E"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1F76ED" w14:textId="4726B77C"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220E02" w14:textId="19C7EE26"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nil"/>
              <w:bottom w:val="nil"/>
              <w:right w:val="single" w:sz="4" w:space="0" w:color="auto"/>
            </w:tcBorders>
          </w:tcPr>
          <w:p w14:paraId="11802724" w14:textId="6704EE28" w:rsidR="002B5162" w:rsidRPr="001F224B" w:rsidRDefault="002B5162" w:rsidP="002B5162">
            <w:pPr>
              <w:jc w:val="right"/>
              <w:rPr>
                <w:sz w:val="13"/>
                <w:szCs w:val="13"/>
              </w:rPr>
            </w:pPr>
            <w:r w:rsidRPr="001F224B">
              <w:rPr>
                <w:color w:val="000000"/>
                <w:sz w:val="13"/>
                <w:szCs w:val="13"/>
              </w:rPr>
              <w:t xml:space="preserve"> - </w:t>
            </w:r>
          </w:p>
        </w:tc>
        <w:tc>
          <w:tcPr>
            <w:tcW w:w="692" w:type="dxa"/>
            <w:tcBorders>
              <w:top w:val="nil"/>
              <w:left w:val="nil"/>
              <w:bottom w:val="nil"/>
              <w:right w:val="single" w:sz="4" w:space="0" w:color="auto"/>
            </w:tcBorders>
          </w:tcPr>
          <w:p w14:paraId="7C6A5453" w14:textId="5A1ED010" w:rsidR="002B5162" w:rsidRPr="001F224B" w:rsidRDefault="002B5162" w:rsidP="002B5162">
            <w:pPr>
              <w:jc w:val="right"/>
              <w:rPr>
                <w:sz w:val="13"/>
                <w:szCs w:val="13"/>
              </w:rPr>
            </w:pPr>
            <w:r w:rsidRPr="001F224B">
              <w:rPr>
                <w:sz w:val="13"/>
                <w:szCs w:val="13"/>
              </w:rPr>
              <w:t xml:space="preserve"> - </w:t>
            </w:r>
          </w:p>
        </w:tc>
        <w:tc>
          <w:tcPr>
            <w:tcW w:w="709" w:type="dxa"/>
            <w:tcBorders>
              <w:top w:val="nil"/>
              <w:left w:val="nil"/>
              <w:bottom w:val="nil"/>
              <w:right w:val="single" w:sz="4" w:space="0" w:color="auto"/>
            </w:tcBorders>
          </w:tcPr>
          <w:p w14:paraId="1631F751" w14:textId="68CD3D2B" w:rsidR="002B5162" w:rsidRPr="001F224B" w:rsidRDefault="002B5162" w:rsidP="002B5162">
            <w:pPr>
              <w:jc w:val="right"/>
              <w:rPr>
                <w:sz w:val="13"/>
                <w:szCs w:val="13"/>
              </w:rPr>
            </w:pPr>
            <w:r w:rsidRPr="001F224B">
              <w:rPr>
                <w:color w:val="000000"/>
                <w:sz w:val="13"/>
                <w:szCs w:val="13"/>
              </w:rPr>
              <w:t xml:space="preserve"> - </w:t>
            </w:r>
          </w:p>
        </w:tc>
      </w:tr>
      <w:tr w:rsidR="002B5162" w:rsidRPr="001F224B" w14:paraId="42D606EA"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F3B3DD0" w14:textId="46763EC5" w:rsidR="002B5162" w:rsidRPr="001F224B" w:rsidRDefault="002B5162" w:rsidP="002B5162">
            <w:pPr>
              <w:rPr>
                <w:rFonts w:eastAsia="Arial Unicode MS"/>
                <w:b/>
                <w:sz w:val="13"/>
                <w:szCs w:val="13"/>
              </w:rPr>
            </w:pPr>
            <w:r w:rsidRPr="001F224B">
              <w:rPr>
                <w:b/>
                <w:bCs/>
                <w:sz w:val="13"/>
                <w:szCs w:val="13"/>
              </w:rPr>
              <w:t>XV.</w:t>
            </w:r>
          </w:p>
        </w:tc>
        <w:tc>
          <w:tcPr>
            <w:tcW w:w="4819" w:type="dxa"/>
            <w:tcBorders>
              <w:top w:val="nil"/>
              <w:left w:val="nil"/>
              <w:bottom w:val="nil"/>
              <w:right w:val="nil"/>
            </w:tcBorders>
            <w:noWrap/>
            <w:tcMar>
              <w:top w:w="18" w:type="dxa"/>
              <w:left w:w="18" w:type="dxa"/>
              <w:bottom w:w="0" w:type="dxa"/>
              <w:right w:w="18" w:type="dxa"/>
            </w:tcMar>
            <w:vAlign w:val="bottom"/>
          </w:tcPr>
          <w:p w14:paraId="5EBF1839" w14:textId="77777777" w:rsidR="002B5162" w:rsidRPr="001F224B" w:rsidRDefault="002B5162" w:rsidP="002B5162">
            <w:pPr>
              <w:rPr>
                <w:rFonts w:eastAsia="Arial Unicode MS"/>
                <w:b/>
                <w:sz w:val="13"/>
                <w:szCs w:val="13"/>
              </w:rPr>
            </w:pPr>
            <w:r w:rsidRPr="001F224B">
              <w:rPr>
                <w:rFonts w:ascii="Times New Roman TUR" w:hAnsi="Times New Roman TUR"/>
                <w:b/>
                <w:bCs/>
                <w:sz w:val="13"/>
                <w:szCs w:val="13"/>
              </w:rPr>
              <w:t>DİĞER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4111D5E" w14:textId="7D9985DF" w:rsidR="002B5162" w:rsidRPr="001F224B" w:rsidRDefault="002B5162" w:rsidP="002B5162">
            <w:pPr>
              <w:jc w:val="center"/>
              <w:rPr>
                <w:rFonts w:eastAsia="Arial Unicode MS"/>
                <w:b/>
                <w:sz w:val="13"/>
                <w:szCs w:val="13"/>
              </w:rPr>
            </w:pPr>
            <w:r w:rsidRPr="001F224B">
              <w:rPr>
                <w:b/>
                <w:bCs/>
                <w:sz w:val="13"/>
                <w:szCs w:val="13"/>
              </w:rPr>
              <w:t>(16)</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A0971B" w14:textId="0A36ADFA" w:rsidR="002B5162" w:rsidRPr="001F224B" w:rsidRDefault="002B5162" w:rsidP="002B5162">
            <w:pPr>
              <w:jc w:val="right"/>
              <w:rPr>
                <w:b/>
                <w:bCs/>
                <w:sz w:val="13"/>
                <w:szCs w:val="13"/>
              </w:rPr>
            </w:pPr>
            <w:r w:rsidRPr="001F224B">
              <w:rPr>
                <w:b/>
                <w:bCs/>
                <w:sz w:val="13"/>
                <w:szCs w:val="13"/>
              </w:rPr>
              <w:t>627.545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ED1DF98" w14:textId="641A6D71" w:rsidR="002B5162" w:rsidRPr="001F224B" w:rsidRDefault="002B5162" w:rsidP="002B5162">
            <w:pPr>
              <w:jc w:val="right"/>
              <w:rPr>
                <w:b/>
                <w:bCs/>
                <w:sz w:val="13"/>
                <w:szCs w:val="13"/>
              </w:rPr>
            </w:pPr>
            <w:r w:rsidRPr="001F224B">
              <w:rPr>
                <w:b/>
                <w:bCs/>
                <w:sz w:val="13"/>
                <w:szCs w:val="13"/>
              </w:rPr>
              <w:t>118.814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7B9C90" w14:textId="5469BA21" w:rsidR="002B5162" w:rsidRPr="001F224B" w:rsidRDefault="002B5162" w:rsidP="002B5162">
            <w:pPr>
              <w:jc w:val="right"/>
              <w:rPr>
                <w:b/>
                <w:bCs/>
                <w:sz w:val="13"/>
                <w:szCs w:val="13"/>
              </w:rPr>
            </w:pPr>
            <w:r w:rsidRPr="001F224B">
              <w:rPr>
                <w:b/>
                <w:bCs/>
                <w:sz w:val="13"/>
                <w:szCs w:val="13"/>
              </w:rPr>
              <w:t>746.359</w:t>
            </w:r>
          </w:p>
        </w:tc>
        <w:tc>
          <w:tcPr>
            <w:tcW w:w="725" w:type="dxa"/>
            <w:gridSpan w:val="2"/>
            <w:tcBorders>
              <w:top w:val="nil"/>
              <w:left w:val="single" w:sz="4" w:space="0" w:color="auto"/>
              <w:bottom w:val="nil"/>
              <w:right w:val="single" w:sz="4" w:space="0" w:color="auto"/>
            </w:tcBorders>
          </w:tcPr>
          <w:p w14:paraId="7532320D" w14:textId="241F7A1F" w:rsidR="002B5162" w:rsidRPr="001F224B" w:rsidRDefault="002B5162" w:rsidP="002B5162">
            <w:pPr>
              <w:jc w:val="right"/>
              <w:rPr>
                <w:b/>
                <w:bCs/>
                <w:color w:val="000000"/>
                <w:sz w:val="13"/>
                <w:szCs w:val="13"/>
              </w:rPr>
            </w:pPr>
            <w:r w:rsidRPr="001F224B">
              <w:rPr>
                <w:b/>
                <w:bCs/>
                <w:sz w:val="13"/>
                <w:szCs w:val="13"/>
              </w:rPr>
              <w:t>591.609</w:t>
            </w:r>
          </w:p>
        </w:tc>
        <w:tc>
          <w:tcPr>
            <w:tcW w:w="692" w:type="dxa"/>
            <w:tcBorders>
              <w:top w:val="nil"/>
              <w:left w:val="nil"/>
              <w:bottom w:val="nil"/>
              <w:right w:val="single" w:sz="4" w:space="0" w:color="auto"/>
            </w:tcBorders>
          </w:tcPr>
          <w:p w14:paraId="21B71296" w14:textId="27A4746A" w:rsidR="002B5162" w:rsidRPr="001F224B" w:rsidRDefault="002B5162" w:rsidP="002B5162">
            <w:pPr>
              <w:jc w:val="right"/>
              <w:rPr>
                <w:b/>
                <w:bCs/>
                <w:color w:val="000000"/>
                <w:sz w:val="13"/>
                <w:szCs w:val="13"/>
              </w:rPr>
            </w:pPr>
            <w:r w:rsidRPr="001F224B">
              <w:rPr>
                <w:b/>
                <w:bCs/>
                <w:sz w:val="13"/>
                <w:szCs w:val="13"/>
              </w:rPr>
              <w:t>114.998</w:t>
            </w:r>
          </w:p>
        </w:tc>
        <w:tc>
          <w:tcPr>
            <w:tcW w:w="709" w:type="dxa"/>
            <w:tcBorders>
              <w:top w:val="nil"/>
              <w:left w:val="nil"/>
              <w:bottom w:val="nil"/>
              <w:right w:val="single" w:sz="4" w:space="0" w:color="auto"/>
            </w:tcBorders>
          </w:tcPr>
          <w:p w14:paraId="0750D3B2" w14:textId="4B78278F" w:rsidR="002B5162" w:rsidRPr="001F224B" w:rsidRDefault="002B5162" w:rsidP="002B5162">
            <w:pPr>
              <w:jc w:val="right"/>
              <w:rPr>
                <w:b/>
                <w:bCs/>
                <w:color w:val="000000"/>
                <w:sz w:val="13"/>
                <w:szCs w:val="13"/>
              </w:rPr>
            </w:pPr>
            <w:r w:rsidRPr="001F224B">
              <w:rPr>
                <w:b/>
                <w:bCs/>
                <w:sz w:val="13"/>
                <w:szCs w:val="13"/>
              </w:rPr>
              <w:t>706.607</w:t>
            </w:r>
          </w:p>
        </w:tc>
      </w:tr>
      <w:tr w:rsidR="002B5162" w:rsidRPr="001F224B" w14:paraId="72F9599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27D42224" w14:textId="77777777" w:rsidR="002B5162" w:rsidRPr="001F224B" w:rsidRDefault="002B5162" w:rsidP="002B5162">
            <w:pPr>
              <w:rPr>
                <w:rFonts w:eastAsia="Arial Unicode MS"/>
                <w:b/>
                <w:sz w:val="13"/>
                <w:szCs w:val="13"/>
              </w:rPr>
            </w:pPr>
            <w:r w:rsidRPr="001F224B">
              <w:rPr>
                <w:b/>
                <w:bCs/>
                <w:sz w:val="13"/>
                <w:szCs w:val="13"/>
              </w:rPr>
              <w:t>XVI.</w:t>
            </w:r>
          </w:p>
        </w:tc>
        <w:tc>
          <w:tcPr>
            <w:tcW w:w="4819" w:type="dxa"/>
            <w:tcBorders>
              <w:top w:val="nil"/>
              <w:left w:val="nil"/>
              <w:bottom w:val="nil"/>
              <w:right w:val="nil"/>
            </w:tcBorders>
            <w:noWrap/>
            <w:tcMar>
              <w:top w:w="18" w:type="dxa"/>
              <w:left w:w="18" w:type="dxa"/>
              <w:bottom w:w="0" w:type="dxa"/>
              <w:right w:w="18" w:type="dxa"/>
            </w:tcMar>
            <w:vAlign w:val="bottom"/>
          </w:tcPr>
          <w:p w14:paraId="102E7E79" w14:textId="77777777" w:rsidR="002B5162" w:rsidRPr="001F224B" w:rsidRDefault="002B5162" w:rsidP="002B5162">
            <w:pPr>
              <w:rPr>
                <w:rFonts w:eastAsia="Arial Unicode MS"/>
                <w:b/>
                <w:sz w:val="13"/>
                <w:szCs w:val="13"/>
              </w:rPr>
            </w:pPr>
            <w:r w:rsidRPr="001F224B">
              <w:rPr>
                <w:b/>
                <w:bCs/>
                <w:sz w:val="13"/>
                <w:szCs w:val="13"/>
              </w:rPr>
              <w:t>ÖZKAYNAKLAR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2B68EB1" w14:textId="2222B7BE" w:rsidR="002B5162" w:rsidRPr="001F224B" w:rsidRDefault="002B5162" w:rsidP="002B5162">
            <w:pPr>
              <w:jc w:val="center"/>
              <w:rPr>
                <w:rFonts w:eastAsia="Arial Unicode MS"/>
                <w:sz w:val="13"/>
                <w:szCs w:val="13"/>
              </w:rPr>
            </w:pPr>
            <w:r w:rsidRPr="001F224B">
              <w:rPr>
                <w:b/>
                <w:bCs/>
                <w:sz w:val="13"/>
                <w:szCs w:val="13"/>
              </w:rPr>
              <w:t>(17)</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8D18FC" w14:textId="321FC869" w:rsidR="002B5162" w:rsidRPr="001F224B" w:rsidRDefault="002B5162" w:rsidP="002B5162">
            <w:pPr>
              <w:jc w:val="right"/>
              <w:rPr>
                <w:b/>
                <w:bCs/>
                <w:sz w:val="13"/>
                <w:szCs w:val="13"/>
              </w:rPr>
            </w:pPr>
            <w:r w:rsidRPr="001F224B">
              <w:rPr>
                <w:b/>
                <w:bCs/>
                <w:sz w:val="13"/>
                <w:szCs w:val="13"/>
              </w:rPr>
              <w:t>28.448.370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04389E" w14:textId="3A54D4FB" w:rsidR="002B5162" w:rsidRPr="001F224B" w:rsidRDefault="002B5162" w:rsidP="002B5162">
            <w:pPr>
              <w:jc w:val="right"/>
              <w:rPr>
                <w:b/>
                <w:bCs/>
                <w:sz w:val="13"/>
                <w:szCs w:val="13"/>
              </w:rPr>
            </w:pPr>
            <w:r w:rsidRPr="001F224B">
              <w:rPr>
                <w:b/>
                <w:bCs/>
                <w:sz w:val="13"/>
                <w:szCs w:val="13"/>
              </w:rPr>
              <w:t>80.306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FCBA4D" w14:textId="12902DD7" w:rsidR="002B5162" w:rsidRPr="001F224B" w:rsidRDefault="002B5162" w:rsidP="002B5162">
            <w:pPr>
              <w:jc w:val="right"/>
              <w:rPr>
                <w:b/>
                <w:bCs/>
                <w:sz w:val="13"/>
                <w:szCs w:val="13"/>
              </w:rPr>
            </w:pPr>
            <w:r w:rsidRPr="001F224B">
              <w:rPr>
                <w:b/>
                <w:bCs/>
                <w:sz w:val="13"/>
                <w:szCs w:val="13"/>
              </w:rPr>
              <w:t>28.528.676</w:t>
            </w:r>
          </w:p>
        </w:tc>
        <w:tc>
          <w:tcPr>
            <w:tcW w:w="725" w:type="dxa"/>
            <w:gridSpan w:val="2"/>
            <w:tcBorders>
              <w:top w:val="nil"/>
              <w:left w:val="single" w:sz="4" w:space="0" w:color="auto"/>
              <w:bottom w:val="nil"/>
              <w:right w:val="single" w:sz="4" w:space="0" w:color="auto"/>
            </w:tcBorders>
          </w:tcPr>
          <w:p w14:paraId="5683D897" w14:textId="1D75739B" w:rsidR="002B5162" w:rsidRPr="001F224B" w:rsidRDefault="002B5162" w:rsidP="002B5162">
            <w:pPr>
              <w:jc w:val="right"/>
              <w:rPr>
                <w:b/>
                <w:bCs/>
                <w:color w:val="000000"/>
                <w:sz w:val="13"/>
                <w:szCs w:val="13"/>
              </w:rPr>
            </w:pPr>
            <w:r w:rsidRPr="001F224B">
              <w:rPr>
                <w:b/>
                <w:bCs/>
                <w:sz w:val="13"/>
                <w:szCs w:val="13"/>
              </w:rPr>
              <w:t>19.913.949</w:t>
            </w:r>
          </w:p>
        </w:tc>
        <w:tc>
          <w:tcPr>
            <w:tcW w:w="692" w:type="dxa"/>
            <w:tcBorders>
              <w:top w:val="nil"/>
              <w:left w:val="nil"/>
              <w:bottom w:val="nil"/>
              <w:right w:val="single" w:sz="4" w:space="0" w:color="auto"/>
            </w:tcBorders>
          </w:tcPr>
          <w:p w14:paraId="1B18F0AD" w14:textId="7535DEA1" w:rsidR="002B5162" w:rsidRPr="001F224B" w:rsidRDefault="002B5162" w:rsidP="002B5162">
            <w:pPr>
              <w:jc w:val="right"/>
              <w:rPr>
                <w:b/>
                <w:bCs/>
                <w:color w:val="000000"/>
                <w:sz w:val="13"/>
                <w:szCs w:val="13"/>
              </w:rPr>
            </w:pPr>
            <w:r w:rsidRPr="001F224B">
              <w:rPr>
                <w:b/>
                <w:bCs/>
                <w:sz w:val="13"/>
                <w:szCs w:val="13"/>
              </w:rPr>
              <w:t>91.451</w:t>
            </w:r>
          </w:p>
        </w:tc>
        <w:tc>
          <w:tcPr>
            <w:tcW w:w="709" w:type="dxa"/>
            <w:tcBorders>
              <w:top w:val="nil"/>
              <w:left w:val="nil"/>
              <w:bottom w:val="nil"/>
              <w:right w:val="single" w:sz="4" w:space="0" w:color="auto"/>
            </w:tcBorders>
          </w:tcPr>
          <w:p w14:paraId="26D5CBD4" w14:textId="6913C05B" w:rsidR="002B5162" w:rsidRPr="001F224B" w:rsidRDefault="002B5162" w:rsidP="002B5162">
            <w:pPr>
              <w:jc w:val="right"/>
              <w:rPr>
                <w:b/>
                <w:bCs/>
                <w:color w:val="000000"/>
                <w:sz w:val="13"/>
                <w:szCs w:val="13"/>
              </w:rPr>
            </w:pPr>
            <w:r w:rsidRPr="001F224B">
              <w:rPr>
                <w:b/>
                <w:bCs/>
                <w:sz w:val="13"/>
                <w:szCs w:val="13"/>
              </w:rPr>
              <w:t>20.005.400</w:t>
            </w:r>
          </w:p>
        </w:tc>
      </w:tr>
      <w:tr w:rsidR="002B5162" w:rsidRPr="001F224B" w14:paraId="6B396DD8" w14:textId="77777777" w:rsidTr="00576483">
        <w:tc>
          <w:tcPr>
            <w:tcW w:w="426" w:type="dxa"/>
            <w:tcBorders>
              <w:top w:val="nil"/>
              <w:left w:val="single" w:sz="4" w:space="0" w:color="auto"/>
              <w:bottom w:val="nil"/>
              <w:right w:val="nil"/>
            </w:tcBorders>
            <w:noWrap/>
            <w:tcMar>
              <w:top w:w="18" w:type="dxa"/>
              <w:left w:w="18" w:type="dxa"/>
              <w:bottom w:w="0" w:type="dxa"/>
              <w:right w:w="18" w:type="dxa"/>
            </w:tcMar>
          </w:tcPr>
          <w:p w14:paraId="62EE939A" w14:textId="77777777" w:rsidR="002B5162" w:rsidRPr="001F224B" w:rsidRDefault="002B5162" w:rsidP="002B5162">
            <w:pPr>
              <w:rPr>
                <w:rFonts w:eastAsia="Arial Unicode MS"/>
                <w:sz w:val="13"/>
                <w:szCs w:val="13"/>
              </w:rPr>
            </w:pPr>
            <w:r w:rsidRPr="001F224B">
              <w:rPr>
                <w:sz w:val="13"/>
                <w:szCs w:val="13"/>
              </w:rPr>
              <w:t>16.1</w:t>
            </w:r>
          </w:p>
        </w:tc>
        <w:tc>
          <w:tcPr>
            <w:tcW w:w="4819" w:type="dxa"/>
            <w:tcBorders>
              <w:top w:val="nil"/>
              <w:left w:val="nil"/>
              <w:bottom w:val="nil"/>
              <w:right w:val="nil"/>
            </w:tcBorders>
            <w:noWrap/>
            <w:tcMar>
              <w:top w:w="18" w:type="dxa"/>
              <w:left w:w="18" w:type="dxa"/>
              <w:bottom w:w="0" w:type="dxa"/>
              <w:right w:w="18" w:type="dxa"/>
            </w:tcMar>
            <w:vAlign w:val="bottom"/>
          </w:tcPr>
          <w:p w14:paraId="75A15921"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Ödenmiş Sermaye</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E52D31"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038158" w14:textId="3B8C67C5" w:rsidR="002B5162" w:rsidRPr="001F224B" w:rsidRDefault="002B5162" w:rsidP="002B5162">
            <w:pPr>
              <w:jc w:val="right"/>
              <w:rPr>
                <w:sz w:val="13"/>
                <w:szCs w:val="13"/>
              </w:rPr>
            </w:pPr>
            <w:r w:rsidRPr="001F224B">
              <w:rPr>
                <w:sz w:val="13"/>
                <w:szCs w:val="13"/>
              </w:rPr>
              <w:t>10.000.000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61749" w14:textId="7EC23160" w:rsidR="002B5162" w:rsidRPr="001F224B" w:rsidRDefault="002B5162" w:rsidP="002B5162">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383158" w14:textId="41B9A50D" w:rsidR="002B5162" w:rsidRPr="001F224B" w:rsidRDefault="002B5162" w:rsidP="002B5162">
            <w:pPr>
              <w:jc w:val="right"/>
              <w:rPr>
                <w:sz w:val="13"/>
                <w:szCs w:val="13"/>
              </w:rPr>
            </w:pPr>
            <w:r w:rsidRPr="001F224B">
              <w:rPr>
                <w:sz w:val="13"/>
                <w:szCs w:val="13"/>
              </w:rPr>
              <w:t>10.000.000</w:t>
            </w:r>
          </w:p>
        </w:tc>
        <w:tc>
          <w:tcPr>
            <w:tcW w:w="725" w:type="dxa"/>
            <w:gridSpan w:val="2"/>
            <w:tcBorders>
              <w:top w:val="nil"/>
              <w:left w:val="single" w:sz="4" w:space="0" w:color="auto"/>
              <w:bottom w:val="nil"/>
              <w:right w:val="single" w:sz="4" w:space="0" w:color="auto"/>
            </w:tcBorders>
          </w:tcPr>
          <w:p w14:paraId="4EC9F767" w14:textId="3A0497DF" w:rsidR="002B5162" w:rsidRPr="001F224B" w:rsidRDefault="002B5162" w:rsidP="002B5162">
            <w:pPr>
              <w:jc w:val="right"/>
              <w:rPr>
                <w:color w:val="000000"/>
                <w:sz w:val="13"/>
                <w:szCs w:val="13"/>
              </w:rPr>
            </w:pPr>
            <w:r w:rsidRPr="001F224B">
              <w:rPr>
                <w:sz w:val="13"/>
                <w:szCs w:val="13"/>
              </w:rPr>
              <w:t>5.500.000</w:t>
            </w:r>
          </w:p>
        </w:tc>
        <w:tc>
          <w:tcPr>
            <w:tcW w:w="692" w:type="dxa"/>
            <w:tcBorders>
              <w:top w:val="nil"/>
              <w:left w:val="nil"/>
              <w:bottom w:val="nil"/>
              <w:right w:val="single" w:sz="4" w:space="0" w:color="auto"/>
            </w:tcBorders>
            <w:vAlign w:val="bottom"/>
          </w:tcPr>
          <w:p w14:paraId="3524FC9E" w14:textId="70E23A1E" w:rsidR="002B5162" w:rsidRPr="001F224B" w:rsidRDefault="002B5162" w:rsidP="002B5162">
            <w:pPr>
              <w:jc w:val="right"/>
              <w:rPr>
                <w:color w:val="000000"/>
                <w:sz w:val="13"/>
                <w:szCs w:val="13"/>
              </w:rPr>
            </w:pPr>
            <w:r w:rsidRPr="001F224B">
              <w:rPr>
                <w:color w:val="000000"/>
                <w:sz w:val="13"/>
                <w:szCs w:val="13"/>
              </w:rPr>
              <w:t>-</w:t>
            </w:r>
          </w:p>
        </w:tc>
        <w:tc>
          <w:tcPr>
            <w:tcW w:w="709" w:type="dxa"/>
            <w:tcBorders>
              <w:top w:val="nil"/>
              <w:left w:val="nil"/>
              <w:bottom w:val="nil"/>
              <w:right w:val="single" w:sz="4" w:space="0" w:color="auto"/>
            </w:tcBorders>
          </w:tcPr>
          <w:p w14:paraId="66FBF6D6" w14:textId="748991D8" w:rsidR="002B5162" w:rsidRPr="001F224B" w:rsidRDefault="002B5162" w:rsidP="002B5162">
            <w:pPr>
              <w:jc w:val="right"/>
              <w:rPr>
                <w:color w:val="000000"/>
                <w:sz w:val="13"/>
                <w:szCs w:val="13"/>
              </w:rPr>
            </w:pPr>
            <w:r w:rsidRPr="001F224B">
              <w:rPr>
                <w:sz w:val="13"/>
                <w:szCs w:val="13"/>
              </w:rPr>
              <w:t>5.500.000</w:t>
            </w:r>
          </w:p>
        </w:tc>
      </w:tr>
      <w:tr w:rsidR="002B5162" w:rsidRPr="001F224B" w14:paraId="3C930A76" w14:textId="77777777" w:rsidTr="00576483">
        <w:tc>
          <w:tcPr>
            <w:tcW w:w="426" w:type="dxa"/>
            <w:tcBorders>
              <w:top w:val="nil"/>
              <w:left w:val="single" w:sz="4" w:space="0" w:color="auto"/>
              <w:bottom w:val="nil"/>
              <w:right w:val="nil"/>
            </w:tcBorders>
            <w:noWrap/>
            <w:tcMar>
              <w:top w:w="18" w:type="dxa"/>
              <w:left w:w="18" w:type="dxa"/>
              <w:bottom w:w="0" w:type="dxa"/>
              <w:right w:w="18" w:type="dxa"/>
            </w:tcMar>
          </w:tcPr>
          <w:p w14:paraId="1537EC36" w14:textId="77777777" w:rsidR="002B5162" w:rsidRPr="001F224B" w:rsidRDefault="002B5162" w:rsidP="002B5162">
            <w:pPr>
              <w:rPr>
                <w:rFonts w:eastAsia="Arial Unicode MS"/>
                <w:sz w:val="13"/>
                <w:szCs w:val="13"/>
              </w:rPr>
            </w:pPr>
            <w:r w:rsidRPr="001F224B">
              <w:rPr>
                <w:sz w:val="13"/>
                <w:szCs w:val="13"/>
              </w:rPr>
              <w:t>16.2</w:t>
            </w:r>
          </w:p>
        </w:tc>
        <w:tc>
          <w:tcPr>
            <w:tcW w:w="4819" w:type="dxa"/>
            <w:tcBorders>
              <w:top w:val="nil"/>
              <w:left w:val="nil"/>
              <w:bottom w:val="nil"/>
              <w:right w:val="nil"/>
            </w:tcBorders>
            <w:noWrap/>
            <w:tcMar>
              <w:top w:w="18" w:type="dxa"/>
              <w:left w:w="18" w:type="dxa"/>
              <w:bottom w:w="0" w:type="dxa"/>
              <w:right w:w="18" w:type="dxa"/>
            </w:tcMar>
            <w:vAlign w:val="bottom"/>
          </w:tcPr>
          <w:p w14:paraId="1D6D8718"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Sermaye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E47565"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7856B9" w14:textId="65DF94AC" w:rsidR="002B5162" w:rsidRPr="001F224B" w:rsidRDefault="002B5162" w:rsidP="002B5162">
            <w:pPr>
              <w:jc w:val="right"/>
              <w:rPr>
                <w:sz w:val="13"/>
                <w:szCs w:val="13"/>
              </w:rPr>
            </w:pPr>
            <w:r w:rsidRPr="001F224B">
              <w:rPr>
                <w:sz w:val="13"/>
                <w:szCs w:val="13"/>
              </w:rPr>
              <w:t>212.321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A39F11" w14:textId="7A348B98" w:rsidR="002B5162" w:rsidRPr="001F224B" w:rsidRDefault="002B5162" w:rsidP="002B5162">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1A414A" w14:textId="6AC6B36E" w:rsidR="002B5162" w:rsidRPr="001F224B" w:rsidRDefault="002B5162" w:rsidP="002B5162">
            <w:pPr>
              <w:jc w:val="right"/>
              <w:rPr>
                <w:sz w:val="13"/>
                <w:szCs w:val="13"/>
              </w:rPr>
            </w:pPr>
            <w:r w:rsidRPr="001F224B">
              <w:rPr>
                <w:sz w:val="13"/>
                <w:szCs w:val="13"/>
              </w:rPr>
              <w:t>212.321</w:t>
            </w:r>
          </w:p>
        </w:tc>
        <w:tc>
          <w:tcPr>
            <w:tcW w:w="725" w:type="dxa"/>
            <w:gridSpan w:val="2"/>
            <w:tcBorders>
              <w:top w:val="nil"/>
              <w:left w:val="single" w:sz="4" w:space="0" w:color="auto"/>
              <w:bottom w:val="nil"/>
              <w:right w:val="single" w:sz="4" w:space="0" w:color="auto"/>
            </w:tcBorders>
          </w:tcPr>
          <w:p w14:paraId="7547A64C" w14:textId="73864FBF" w:rsidR="002B5162" w:rsidRPr="001F224B" w:rsidRDefault="002B5162" w:rsidP="002B5162">
            <w:pPr>
              <w:jc w:val="right"/>
              <w:rPr>
                <w:color w:val="000000"/>
                <w:sz w:val="13"/>
                <w:szCs w:val="13"/>
              </w:rPr>
            </w:pPr>
            <w:r w:rsidRPr="001F224B">
              <w:rPr>
                <w:sz w:val="13"/>
                <w:szCs w:val="13"/>
              </w:rPr>
              <w:t>211.495</w:t>
            </w:r>
          </w:p>
        </w:tc>
        <w:tc>
          <w:tcPr>
            <w:tcW w:w="692" w:type="dxa"/>
            <w:tcBorders>
              <w:top w:val="nil"/>
              <w:left w:val="nil"/>
              <w:bottom w:val="nil"/>
              <w:right w:val="single" w:sz="4" w:space="0" w:color="auto"/>
            </w:tcBorders>
            <w:vAlign w:val="bottom"/>
          </w:tcPr>
          <w:p w14:paraId="58C39975" w14:textId="72A67391" w:rsidR="002B5162" w:rsidRPr="001F224B" w:rsidRDefault="002B5162" w:rsidP="002B5162">
            <w:pPr>
              <w:jc w:val="right"/>
              <w:rPr>
                <w:color w:val="000000"/>
                <w:sz w:val="13"/>
                <w:szCs w:val="13"/>
              </w:rPr>
            </w:pPr>
            <w:r w:rsidRPr="001F224B">
              <w:rPr>
                <w:color w:val="000000"/>
                <w:sz w:val="13"/>
                <w:szCs w:val="13"/>
              </w:rPr>
              <w:t>-</w:t>
            </w:r>
          </w:p>
        </w:tc>
        <w:tc>
          <w:tcPr>
            <w:tcW w:w="709" w:type="dxa"/>
            <w:tcBorders>
              <w:top w:val="nil"/>
              <w:left w:val="nil"/>
              <w:bottom w:val="nil"/>
              <w:right w:val="single" w:sz="4" w:space="0" w:color="auto"/>
            </w:tcBorders>
          </w:tcPr>
          <w:p w14:paraId="62E3146A" w14:textId="4F594785" w:rsidR="002B5162" w:rsidRPr="001F224B" w:rsidRDefault="002B5162" w:rsidP="002B5162">
            <w:pPr>
              <w:jc w:val="right"/>
              <w:rPr>
                <w:color w:val="000000"/>
                <w:sz w:val="13"/>
                <w:szCs w:val="13"/>
              </w:rPr>
            </w:pPr>
            <w:r w:rsidRPr="001F224B">
              <w:rPr>
                <w:sz w:val="13"/>
                <w:szCs w:val="13"/>
              </w:rPr>
              <w:t>211.495</w:t>
            </w:r>
          </w:p>
        </w:tc>
      </w:tr>
      <w:tr w:rsidR="002B5162" w:rsidRPr="001F224B" w14:paraId="3E2EDA2C" w14:textId="77777777" w:rsidTr="00576483">
        <w:tc>
          <w:tcPr>
            <w:tcW w:w="426" w:type="dxa"/>
            <w:tcBorders>
              <w:top w:val="nil"/>
              <w:left w:val="single" w:sz="4" w:space="0" w:color="auto"/>
              <w:bottom w:val="nil"/>
              <w:right w:val="nil"/>
            </w:tcBorders>
            <w:noWrap/>
            <w:tcMar>
              <w:top w:w="18" w:type="dxa"/>
              <w:left w:w="18" w:type="dxa"/>
              <w:bottom w:w="0" w:type="dxa"/>
              <w:right w:w="18" w:type="dxa"/>
            </w:tcMar>
          </w:tcPr>
          <w:p w14:paraId="7005368B" w14:textId="77777777" w:rsidR="002B5162" w:rsidRPr="001F224B" w:rsidRDefault="002B5162" w:rsidP="002B5162">
            <w:pPr>
              <w:rPr>
                <w:rFonts w:eastAsia="Arial Unicode MS"/>
                <w:sz w:val="13"/>
                <w:szCs w:val="13"/>
              </w:rPr>
            </w:pPr>
            <w:r w:rsidRPr="001F224B">
              <w:rPr>
                <w:sz w:val="13"/>
                <w:szCs w:val="13"/>
              </w:rPr>
              <w:t>16.2.1</w:t>
            </w:r>
          </w:p>
        </w:tc>
        <w:tc>
          <w:tcPr>
            <w:tcW w:w="4819" w:type="dxa"/>
            <w:tcBorders>
              <w:top w:val="nil"/>
              <w:left w:val="nil"/>
              <w:bottom w:val="nil"/>
              <w:right w:val="nil"/>
            </w:tcBorders>
            <w:noWrap/>
            <w:tcMar>
              <w:top w:w="18" w:type="dxa"/>
              <w:left w:w="18" w:type="dxa"/>
              <w:bottom w:w="0" w:type="dxa"/>
              <w:right w:w="18" w:type="dxa"/>
            </w:tcMar>
            <w:vAlign w:val="bottom"/>
          </w:tcPr>
          <w:p w14:paraId="130A5EFF" w14:textId="77777777" w:rsidR="002B5162" w:rsidRPr="001F224B" w:rsidRDefault="002B5162" w:rsidP="002B5162">
            <w:pPr>
              <w:rPr>
                <w:rFonts w:eastAsia="Arial Unicode MS"/>
                <w:b/>
                <w:sz w:val="13"/>
                <w:szCs w:val="13"/>
              </w:rPr>
            </w:pPr>
            <w:r w:rsidRPr="001F224B">
              <w:rPr>
                <w:sz w:val="13"/>
                <w:szCs w:val="13"/>
              </w:rPr>
              <w:t>Hisse Senedi İhraç Primleri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B10B7"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ECF92C" w14:textId="6A8E71AD" w:rsidR="002B5162" w:rsidRPr="001F224B" w:rsidRDefault="002B5162" w:rsidP="002B5162">
            <w:pPr>
              <w:jc w:val="right"/>
              <w:rPr>
                <w:sz w:val="13"/>
                <w:szCs w:val="13"/>
              </w:rPr>
            </w:pPr>
            <w:r w:rsidRPr="001F224B">
              <w:rPr>
                <w:sz w:val="13"/>
                <w:szCs w:val="13"/>
              </w:rPr>
              <w:t>6.247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1FEBC4" w14:textId="3B0D5D65" w:rsidR="002B5162" w:rsidRPr="001F224B" w:rsidRDefault="002B5162" w:rsidP="002B5162">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A4B5CB" w14:textId="290EA672" w:rsidR="002B5162" w:rsidRPr="001F224B" w:rsidRDefault="002B5162" w:rsidP="002B5162">
            <w:pPr>
              <w:jc w:val="right"/>
              <w:rPr>
                <w:sz w:val="13"/>
                <w:szCs w:val="13"/>
              </w:rPr>
            </w:pPr>
            <w:r w:rsidRPr="001F224B">
              <w:rPr>
                <w:sz w:val="13"/>
                <w:szCs w:val="13"/>
              </w:rPr>
              <w:t>6.247</w:t>
            </w:r>
          </w:p>
        </w:tc>
        <w:tc>
          <w:tcPr>
            <w:tcW w:w="725" w:type="dxa"/>
            <w:gridSpan w:val="2"/>
            <w:tcBorders>
              <w:top w:val="nil"/>
              <w:left w:val="single" w:sz="4" w:space="0" w:color="auto"/>
              <w:bottom w:val="nil"/>
              <w:right w:val="single" w:sz="4" w:space="0" w:color="auto"/>
            </w:tcBorders>
          </w:tcPr>
          <w:p w14:paraId="31DEDC54" w14:textId="024F014B" w:rsidR="002B5162" w:rsidRPr="001F224B" w:rsidRDefault="002B5162" w:rsidP="002B5162">
            <w:pPr>
              <w:jc w:val="right"/>
              <w:rPr>
                <w:color w:val="000000"/>
                <w:sz w:val="13"/>
                <w:szCs w:val="13"/>
              </w:rPr>
            </w:pPr>
            <w:r w:rsidRPr="001F224B">
              <w:rPr>
                <w:sz w:val="13"/>
                <w:szCs w:val="13"/>
              </w:rPr>
              <w:t>5.421</w:t>
            </w:r>
          </w:p>
        </w:tc>
        <w:tc>
          <w:tcPr>
            <w:tcW w:w="692" w:type="dxa"/>
            <w:tcBorders>
              <w:top w:val="nil"/>
              <w:left w:val="nil"/>
              <w:bottom w:val="nil"/>
              <w:right w:val="single" w:sz="4" w:space="0" w:color="auto"/>
            </w:tcBorders>
            <w:vAlign w:val="bottom"/>
          </w:tcPr>
          <w:p w14:paraId="4DB7431A" w14:textId="655BEB91" w:rsidR="002B5162" w:rsidRPr="001F224B" w:rsidRDefault="002B5162" w:rsidP="002B5162">
            <w:pPr>
              <w:jc w:val="right"/>
              <w:rPr>
                <w:color w:val="000000"/>
                <w:sz w:val="13"/>
                <w:szCs w:val="13"/>
              </w:rPr>
            </w:pPr>
            <w:r w:rsidRPr="001F224B">
              <w:rPr>
                <w:color w:val="000000"/>
                <w:sz w:val="13"/>
                <w:szCs w:val="13"/>
              </w:rPr>
              <w:t>-</w:t>
            </w:r>
          </w:p>
        </w:tc>
        <w:tc>
          <w:tcPr>
            <w:tcW w:w="709" w:type="dxa"/>
            <w:tcBorders>
              <w:top w:val="nil"/>
              <w:left w:val="nil"/>
              <w:bottom w:val="nil"/>
              <w:right w:val="single" w:sz="4" w:space="0" w:color="auto"/>
            </w:tcBorders>
          </w:tcPr>
          <w:p w14:paraId="0A962C51" w14:textId="6194A6A1" w:rsidR="002B5162" w:rsidRPr="001F224B" w:rsidRDefault="002B5162" w:rsidP="002B5162">
            <w:pPr>
              <w:jc w:val="right"/>
              <w:rPr>
                <w:color w:val="000000"/>
                <w:sz w:val="13"/>
                <w:szCs w:val="13"/>
              </w:rPr>
            </w:pPr>
            <w:r w:rsidRPr="001F224B">
              <w:rPr>
                <w:sz w:val="13"/>
                <w:szCs w:val="13"/>
              </w:rPr>
              <w:t>5.421</w:t>
            </w:r>
          </w:p>
        </w:tc>
      </w:tr>
      <w:tr w:rsidR="002B5162" w:rsidRPr="001F224B" w14:paraId="04A5CA2F" w14:textId="77777777" w:rsidTr="00576483">
        <w:tc>
          <w:tcPr>
            <w:tcW w:w="426" w:type="dxa"/>
            <w:tcBorders>
              <w:top w:val="nil"/>
              <w:left w:val="single" w:sz="4" w:space="0" w:color="auto"/>
              <w:bottom w:val="nil"/>
              <w:right w:val="nil"/>
            </w:tcBorders>
            <w:noWrap/>
            <w:tcMar>
              <w:top w:w="18" w:type="dxa"/>
              <w:left w:w="18" w:type="dxa"/>
              <w:bottom w:w="0" w:type="dxa"/>
              <w:right w:w="18" w:type="dxa"/>
            </w:tcMar>
          </w:tcPr>
          <w:p w14:paraId="26748D0C" w14:textId="77777777" w:rsidR="002B5162" w:rsidRPr="001F224B" w:rsidRDefault="002B5162" w:rsidP="002B5162">
            <w:pPr>
              <w:rPr>
                <w:rFonts w:eastAsia="Arial Unicode MS"/>
                <w:b/>
                <w:sz w:val="13"/>
                <w:szCs w:val="13"/>
              </w:rPr>
            </w:pPr>
            <w:r w:rsidRPr="001F224B">
              <w:rPr>
                <w:sz w:val="13"/>
                <w:szCs w:val="13"/>
              </w:rPr>
              <w:t>16.2.2</w:t>
            </w:r>
          </w:p>
        </w:tc>
        <w:tc>
          <w:tcPr>
            <w:tcW w:w="4819" w:type="dxa"/>
            <w:tcBorders>
              <w:top w:val="nil"/>
              <w:left w:val="nil"/>
              <w:bottom w:val="nil"/>
              <w:right w:val="nil"/>
            </w:tcBorders>
            <w:noWrap/>
            <w:tcMar>
              <w:top w:w="18" w:type="dxa"/>
              <w:left w:w="18" w:type="dxa"/>
              <w:bottom w:w="0" w:type="dxa"/>
              <w:right w:w="18" w:type="dxa"/>
            </w:tcMar>
            <w:vAlign w:val="bottom"/>
          </w:tcPr>
          <w:p w14:paraId="6053CEA3" w14:textId="77777777" w:rsidR="002B5162" w:rsidRPr="001F224B" w:rsidRDefault="002B5162" w:rsidP="002B5162">
            <w:pPr>
              <w:rPr>
                <w:rFonts w:eastAsia="Arial Unicode MS"/>
                <w:b/>
                <w:sz w:val="13"/>
                <w:szCs w:val="13"/>
              </w:rPr>
            </w:pPr>
            <w:r w:rsidRPr="001F224B">
              <w:rPr>
                <w:sz w:val="13"/>
                <w:szCs w:val="13"/>
              </w:rPr>
              <w:t>Hisse Senedi İptal Karları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2B35C9"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BB0915" w14:textId="501ED02E" w:rsidR="002B5162" w:rsidRPr="001F224B" w:rsidRDefault="002B5162" w:rsidP="002B5162">
            <w:pPr>
              <w:jc w:val="right"/>
              <w:rPr>
                <w:sz w:val="13"/>
                <w:szCs w:val="13"/>
              </w:rPr>
            </w:pPr>
            <w:r w:rsidRPr="001F224B">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5832C9" w14:textId="3A19D03A" w:rsidR="002B5162" w:rsidRPr="001F224B" w:rsidRDefault="002B5162" w:rsidP="002B5162">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2A11FCA" w14:textId="00A6B615" w:rsidR="002B5162" w:rsidRPr="001F224B" w:rsidRDefault="002B5162" w:rsidP="002B5162">
            <w:pPr>
              <w:jc w:val="right"/>
              <w:rPr>
                <w:sz w:val="13"/>
                <w:szCs w:val="13"/>
              </w:rPr>
            </w:pPr>
            <w:r w:rsidRPr="001F224B">
              <w:rPr>
                <w:color w:val="000000"/>
                <w:sz w:val="13"/>
                <w:szCs w:val="13"/>
              </w:rPr>
              <w:t xml:space="preserve"> - </w:t>
            </w:r>
          </w:p>
        </w:tc>
        <w:tc>
          <w:tcPr>
            <w:tcW w:w="725" w:type="dxa"/>
            <w:gridSpan w:val="2"/>
            <w:tcBorders>
              <w:top w:val="nil"/>
              <w:left w:val="nil"/>
              <w:bottom w:val="nil"/>
              <w:right w:val="single" w:sz="4" w:space="0" w:color="auto"/>
            </w:tcBorders>
          </w:tcPr>
          <w:p w14:paraId="4A4D48E5" w14:textId="2D3015F0" w:rsidR="002B5162" w:rsidRPr="001F224B" w:rsidRDefault="002B5162" w:rsidP="002B5162">
            <w:pPr>
              <w:jc w:val="right"/>
              <w:rPr>
                <w:color w:val="000000"/>
                <w:sz w:val="13"/>
                <w:szCs w:val="13"/>
              </w:rPr>
            </w:pPr>
            <w:r w:rsidRPr="001F224B">
              <w:rPr>
                <w:color w:val="000000"/>
                <w:sz w:val="13"/>
                <w:szCs w:val="13"/>
              </w:rPr>
              <w:t xml:space="preserve"> - </w:t>
            </w:r>
          </w:p>
        </w:tc>
        <w:tc>
          <w:tcPr>
            <w:tcW w:w="692" w:type="dxa"/>
            <w:tcBorders>
              <w:top w:val="nil"/>
              <w:left w:val="nil"/>
              <w:bottom w:val="nil"/>
              <w:right w:val="single" w:sz="4" w:space="0" w:color="auto"/>
            </w:tcBorders>
            <w:vAlign w:val="bottom"/>
          </w:tcPr>
          <w:p w14:paraId="11F26218" w14:textId="5B5CDE67" w:rsidR="002B5162" w:rsidRPr="001F224B" w:rsidRDefault="002B5162" w:rsidP="002B5162">
            <w:pPr>
              <w:jc w:val="right"/>
              <w:rPr>
                <w:color w:val="000000"/>
                <w:sz w:val="13"/>
                <w:szCs w:val="13"/>
              </w:rPr>
            </w:pPr>
            <w:r w:rsidRPr="001F224B">
              <w:rPr>
                <w:color w:val="000000"/>
                <w:sz w:val="13"/>
                <w:szCs w:val="13"/>
              </w:rPr>
              <w:t>-</w:t>
            </w:r>
          </w:p>
        </w:tc>
        <w:tc>
          <w:tcPr>
            <w:tcW w:w="709" w:type="dxa"/>
            <w:tcBorders>
              <w:top w:val="nil"/>
              <w:left w:val="nil"/>
              <w:bottom w:val="nil"/>
              <w:right w:val="single" w:sz="4" w:space="0" w:color="auto"/>
            </w:tcBorders>
          </w:tcPr>
          <w:p w14:paraId="1AA9F196" w14:textId="1500A8C8" w:rsidR="002B5162" w:rsidRPr="001F224B" w:rsidRDefault="002B5162" w:rsidP="002B5162">
            <w:pPr>
              <w:jc w:val="right"/>
              <w:rPr>
                <w:color w:val="000000"/>
                <w:sz w:val="13"/>
                <w:szCs w:val="13"/>
              </w:rPr>
            </w:pPr>
            <w:r w:rsidRPr="001F224B">
              <w:rPr>
                <w:color w:val="000000"/>
                <w:sz w:val="13"/>
                <w:szCs w:val="13"/>
              </w:rPr>
              <w:t xml:space="preserve"> - </w:t>
            </w:r>
          </w:p>
        </w:tc>
      </w:tr>
      <w:tr w:rsidR="002B5162" w:rsidRPr="001F224B" w14:paraId="7CAECE51" w14:textId="77777777" w:rsidTr="00576483">
        <w:tc>
          <w:tcPr>
            <w:tcW w:w="426" w:type="dxa"/>
            <w:tcBorders>
              <w:top w:val="nil"/>
              <w:left w:val="single" w:sz="4" w:space="0" w:color="auto"/>
              <w:bottom w:val="nil"/>
              <w:right w:val="nil"/>
            </w:tcBorders>
            <w:noWrap/>
            <w:tcMar>
              <w:top w:w="18" w:type="dxa"/>
              <w:left w:w="18" w:type="dxa"/>
              <w:bottom w:w="0" w:type="dxa"/>
              <w:right w:w="18" w:type="dxa"/>
            </w:tcMar>
          </w:tcPr>
          <w:p w14:paraId="674A1383" w14:textId="77777777" w:rsidR="002B5162" w:rsidRPr="001F224B" w:rsidRDefault="002B5162" w:rsidP="002B5162">
            <w:pPr>
              <w:rPr>
                <w:rFonts w:eastAsia="Arial Unicode MS"/>
                <w:sz w:val="13"/>
                <w:szCs w:val="13"/>
              </w:rPr>
            </w:pPr>
            <w:r w:rsidRPr="001F224B">
              <w:rPr>
                <w:sz w:val="13"/>
                <w:szCs w:val="13"/>
              </w:rPr>
              <w:t>16.2.3</w:t>
            </w:r>
          </w:p>
        </w:tc>
        <w:tc>
          <w:tcPr>
            <w:tcW w:w="4819" w:type="dxa"/>
            <w:tcBorders>
              <w:top w:val="nil"/>
              <w:left w:val="nil"/>
              <w:bottom w:val="nil"/>
              <w:right w:val="nil"/>
            </w:tcBorders>
            <w:noWrap/>
            <w:tcMar>
              <w:top w:w="18" w:type="dxa"/>
              <w:left w:w="18" w:type="dxa"/>
              <w:bottom w:w="0" w:type="dxa"/>
              <w:right w:w="18" w:type="dxa"/>
            </w:tcMar>
            <w:vAlign w:val="bottom"/>
          </w:tcPr>
          <w:p w14:paraId="1FDB6966" w14:textId="77777777" w:rsidR="002B5162" w:rsidRPr="001F224B" w:rsidRDefault="002B5162" w:rsidP="002B5162">
            <w:pPr>
              <w:rPr>
                <w:rFonts w:eastAsia="Arial Unicode MS"/>
                <w:sz w:val="13"/>
                <w:szCs w:val="13"/>
              </w:rPr>
            </w:pPr>
            <w:r w:rsidRPr="001F224B">
              <w:rPr>
                <w:sz w:val="13"/>
                <w:szCs w:val="13"/>
              </w:rPr>
              <w:t>Diğer Sermaye Yedekleri</w:t>
            </w:r>
          </w:p>
        </w:tc>
        <w:tc>
          <w:tcPr>
            <w:tcW w:w="709" w:type="dxa"/>
            <w:tcBorders>
              <w:top w:val="nil"/>
              <w:left w:val="single" w:sz="4" w:space="0" w:color="auto"/>
              <w:right w:val="single" w:sz="4" w:space="0" w:color="auto"/>
            </w:tcBorders>
            <w:noWrap/>
            <w:tcMar>
              <w:top w:w="18" w:type="dxa"/>
              <w:left w:w="18" w:type="dxa"/>
              <w:bottom w:w="0" w:type="dxa"/>
              <w:right w:w="18" w:type="dxa"/>
            </w:tcMar>
            <w:vAlign w:val="bottom"/>
          </w:tcPr>
          <w:p w14:paraId="3F673B9B"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668312" w14:textId="5DC0F7BA" w:rsidR="002B5162" w:rsidRPr="001F224B" w:rsidRDefault="002B5162" w:rsidP="002B5162">
            <w:pPr>
              <w:jc w:val="right"/>
              <w:rPr>
                <w:sz w:val="13"/>
                <w:szCs w:val="13"/>
              </w:rPr>
            </w:pPr>
            <w:r w:rsidRPr="001F224B">
              <w:rPr>
                <w:sz w:val="13"/>
                <w:szCs w:val="13"/>
              </w:rPr>
              <w:t>206.074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BF3A9B" w14:textId="0F5CD9A3" w:rsidR="002B5162" w:rsidRPr="001F224B" w:rsidRDefault="002B5162" w:rsidP="002B5162">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3829E5" w14:textId="63071F91" w:rsidR="002B5162" w:rsidRPr="001F224B" w:rsidRDefault="002B5162" w:rsidP="002B5162">
            <w:pPr>
              <w:jc w:val="right"/>
              <w:rPr>
                <w:sz w:val="13"/>
                <w:szCs w:val="13"/>
              </w:rPr>
            </w:pPr>
            <w:r w:rsidRPr="001F224B">
              <w:rPr>
                <w:sz w:val="13"/>
                <w:szCs w:val="13"/>
              </w:rPr>
              <w:t>206.074</w:t>
            </w:r>
          </w:p>
        </w:tc>
        <w:tc>
          <w:tcPr>
            <w:tcW w:w="725" w:type="dxa"/>
            <w:gridSpan w:val="2"/>
            <w:tcBorders>
              <w:top w:val="nil"/>
              <w:left w:val="nil"/>
              <w:bottom w:val="nil"/>
              <w:right w:val="single" w:sz="4" w:space="0" w:color="auto"/>
            </w:tcBorders>
          </w:tcPr>
          <w:p w14:paraId="19AC0B03" w14:textId="213327B0" w:rsidR="002B5162" w:rsidRPr="001F224B" w:rsidRDefault="002B5162" w:rsidP="002B5162">
            <w:pPr>
              <w:jc w:val="right"/>
              <w:rPr>
                <w:color w:val="000000"/>
                <w:sz w:val="13"/>
                <w:szCs w:val="13"/>
              </w:rPr>
            </w:pPr>
            <w:r w:rsidRPr="001F224B">
              <w:rPr>
                <w:sz w:val="13"/>
                <w:szCs w:val="13"/>
              </w:rPr>
              <w:t>206.074</w:t>
            </w:r>
          </w:p>
        </w:tc>
        <w:tc>
          <w:tcPr>
            <w:tcW w:w="692" w:type="dxa"/>
            <w:tcBorders>
              <w:top w:val="nil"/>
              <w:left w:val="nil"/>
              <w:bottom w:val="nil"/>
              <w:right w:val="single" w:sz="4" w:space="0" w:color="auto"/>
            </w:tcBorders>
            <w:vAlign w:val="bottom"/>
          </w:tcPr>
          <w:p w14:paraId="782F3D3D" w14:textId="373FAA33" w:rsidR="002B5162" w:rsidRPr="001F224B" w:rsidRDefault="002B5162" w:rsidP="002B5162">
            <w:pPr>
              <w:jc w:val="right"/>
              <w:rPr>
                <w:color w:val="000000"/>
                <w:sz w:val="13"/>
                <w:szCs w:val="13"/>
              </w:rPr>
            </w:pPr>
            <w:r w:rsidRPr="001F224B">
              <w:rPr>
                <w:color w:val="000000"/>
                <w:sz w:val="13"/>
                <w:szCs w:val="13"/>
              </w:rPr>
              <w:t>-</w:t>
            </w:r>
          </w:p>
        </w:tc>
        <w:tc>
          <w:tcPr>
            <w:tcW w:w="709" w:type="dxa"/>
            <w:tcBorders>
              <w:top w:val="nil"/>
              <w:left w:val="nil"/>
              <w:bottom w:val="nil"/>
              <w:right w:val="single" w:sz="4" w:space="0" w:color="auto"/>
            </w:tcBorders>
          </w:tcPr>
          <w:p w14:paraId="474D547B" w14:textId="34857EE6" w:rsidR="002B5162" w:rsidRPr="001F224B" w:rsidRDefault="002B5162" w:rsidP="002B5162">
            <w:pPr>
              <w:jc w:val="right"/>
              <w:rPr>
                <w:color w:val="000000"/>
                <w:sz w:val="13"/>
                <w:szCs w:val="13"/>
              </w:rPr>
            </w:pPr>
            <w:r w:rsidRPr="001F224B">
              <w:rPr>
                <w:sz w:val="13"/>
                <w:szCs w:val="13"/>
              </w:rPr>
              <w:t>206.074</w:t>
            </w:r>
          </w:p>
        </w:tc>
      </w:tr>
      <w:tr w:rsidR="002B5162" w:rsidRPr="001F224B" w14:paraId="6935113B" w14:textId="77777777" w:rsidTr="00576483">
        <w:tc>
          <w:tcPr>
            <w:tcW w:w="426" w:type="dxa"/>
            <w:tcBorders>
              <w:top w:val="nil"/>
              <w:left w:val="single" w:sz="4" w:space="0" w:color="auto"/>
              <w:bottom w:val="nil"/>
              <w:right w:val="nil"/>
            </w:tcBorders>
            <w:noWrap/>
            <w:tcMar>
              <w:top w:w="18" w:type="dxa"/>
              <w:left w:w="18" w:type="dxa"/>
              <w:bottom w:w="0" w:type="dxa"/>
              <w:right w:w="18" w:type="dxa"/>
            </w:tcMar>
          </w:tcPr>
          <w:p w14:paraId="7BE9D6C5" w14:textId="3F8E4E7C" w:rsidR="002B5162" w:rsidRPr="001F224B" w:rsidRDefault="002B5162" w:rsidP="002B5162">
            <w:pPr>
              <w:rPr>
                <w:sz w:val="13"/>
                <w:szCs w:val="13"/>
              </w:rPr>
            </w:pPr>
            <w:r w:rsidRPr="001F224B">
              <w:rPr>
                <w:rFonts w:ascii="Times New Roman TUR" w:hAnsi="Times New Roman TUR"/>
                <w:sz w:val="13"/>
                <w:szCs w:val="13"/>
              </w:rPr>
              <w:t>16.3</w:t>
            </w:r>
          </w:p>
        </w:tc>
        <w:tc>
          <w:tcPr>
            <w:tcW w:w="4819" w:type="dxa"/>
            <w:tcBorders>
              <w:top w:val="nil"/>
              <w:left w:val="nil"/>
              <w:bottom w:val="nil"/>
              <w:right w:val="single" w:sz="4" w:space="0" w:color="auto"/>
            </w:tcBorders>
            <w:noWrap/>
            <w:tcMar>
              <w:top w:w="18" w:type="dxa"/>
              <w:left w:w="18" w:type="dxa"/>
              <w:bottom w:w="0" w:type="dxa"/>
              <w:right w:w="18" w:type="dxa"/>
            </w:tcMar>
          </w:tcPr>
          <w:p w14:paraId="54E13D19" w14:textId="5165B347" w:rsidR="002B5162" w:rsidRPr="001F224B" w:rsidRDefault="002B5162" w:rsidP="002B5162">
            <w:pPr>
              <w:rPr>
                <w:sz w:val="13"/>
                <w:szCs w:val="13"/>
              </w:rPr>
            </w:pPr>
            <w:r w:rsidRPr="001F224B">
              <w:rPr>
                <w:rFonts w:ascii="Times New Roman TUR" w:hAnsi="Times New Roman TUR"/>
                <w:sz w:val="13"/>
                <w:szCs w:val="13"/>
              </w:rPr>
              <w:t>Kar veya Zararda Yeniden S</w:t>
            </w:r>
            <w:r w:rsidRPr="001F224B">
              <w:rPr>
                <w:rFonts w:ascii="Calibri" w:hAnsi="Calibri" w:cs="Calibri"/>
                <w:sz w:val="13"/>
                <w:szCs w:val="13"/>
              </w:rPr>
              <w:t>ı</w:t>
            </w:r>
            <w:r w:rsidRPr="001F224B">
              <w:rPr>
                <w:rFonts w:ascii="Times New Roman TUR" w:hAnsi="Times New Roman TUR"/>
                <w:sz w:val="13"/>
                <w:szCs w:val="13"/>
              </w:rPr>
              <w:t>n</w:t>
            </w:r>
            <w:r w:rsidRPr="001F224B">
              <w:rPr>
                <w:rFonts w:ascii="Calibri" w:hAnsi="Calibri" w:cs="Calibri"/>
                <w:sz w:val="13"/>
                <w:szCs w:val="13"/>
              </w:rPr>
              <w:t>ı</w:t>
            </w:r>
            <w:r w:rsidRPr="001F224B">
              <w:rPr>
                <w:rFonts w:ascii="Times New Roman TUR" w:hAnsi="Times New Roman TUR"/>
                <w:sz w:val="13"/>
                <w:szCs w:val="13"/>
              </w:rPr>
              <w:t>fland</w:t>
            </w:r>
            <w:r w:rsidRPr="001F224B">
              <w:rPr>
                <w:rFonts w:ascii="Calibri" w:hAnsi="Calibri" w:cs="Calibri"/>
                <w:sz w:val="13"/>
                <w:szCs w:val="13"/>
              </w:rPr>
              <w:t>ı</w:t>
            </w:r>
            <w:r w:rsidRPr="001F224B">
              <w:rPr>
                <w:rFonts w:ascii="Times New Roman TUR" w:hAnsi="Times New Roman TUR"/>
                <w:sz w:val="13"/>
                <w:szCs w:val="13"/>
              </w:rPr>
              <w:t>r</w:t>
            </w:r>
            <w:r w:rsidRPr="001F224B">
              <w:rPr>
                <w:rFonts w:ascii="Calibri" w:hAnsi="Calibri" w:cs="Calibri"/>
                <w:sz w:val="13"/>
                <w:szCs w:val="13"/>
              </w:rPr>
              <w:t>ı</w:t>
            </w:r>
            <w:r w:rsidRPr="001F224B">
              <w:rPr>
                <w:rFonts w:ascii="Times New Roman TUR" w:hAnsi="Times New Roman TUR"/>
                <w:sz w:val="13"/>
                <w:szCs w:val="13"/>
              </w:rPr>
              <w:t>lmayacak Birikmi</w:t>
            </w:r>
            <w:r w:rsidRPr="001F224B">
              <w:rPr>
                <w:rFonts w:ascii="Calibri" w:hAnsi="Calibri" w:cs="Calibri"/>
                <w:sz w:val="13"/>
                <w:szCs w:val="13"/>
              </w:rPr>
              <w:t>ş</w:t>
            </w:r>
            <w:r w:rsidRPr="001F224B">
              <w:rPr>
                <w:rFonts w:ascii="Times New Roman TUR" w:hAnsi="Times New Roman TUR"/>
                <w:sz w:val="13"/>
                <w:szCs w:val="13"/>
              </w:rPr>
              <w:t xml:space="preserve"> Di</w:t>
            </w:r>
            <w:r w:rsidRPr="001F224B">
              <w:rPr>
                <w:rFonts w:ascii="Calibri" w:hAnsi="Calibri" w:cs="Calibri"/>
                <w:sz w:val="13"/>
                <w:szCs w:val="13"/>
              </w:rPr>
              <w:t>ğ</w:t>
            </w:r>
            <w:r w:rsidRPr="001F224B">
              <w:rPr>
                <w:rFonts w:ascii="Times New Roman TUR" w:hAnsi="Times New Roman TUR"/>
                <w:sz w:val="13"/>
                <w:szCs w:val="13"/>
              </w:rPr>
              <w:t>er Kapsaml</w:t>
            </w:r>
            <w:r w:rsidRPr="001F224B">
              <w:rPr>
                <w:rFonts w:ascii="Calibri" w:hAnsi="Calibri" w:cs="Calibri"/>
                <w:sz w:val="13"/>
                <w:szCs w:val="13"/>
              </w:rPr>
              <w:t>ı</w:t>
            </w:r>
            <w:r w:rsidRPr="001F224B">
              <w:rPr>
                <w:rFonts w:ascii="Times New Roman TUR" w:hAnsi="Times New Roman TUR"/>
                <w:sz w:val="13"/>
                <w:szCs w:val="13"/>
              </w:rPr>
              <w:t xml:space="preserve"> Gelirler veya Giderler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5FF1D9E5"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457C72" w14:textId="77777777" w:rsidR="002B5162" w:rsidRPr="001F224B" w:rsidRDefault="002B5162" w:rsidP="002B5162">
            <w:pPr>
              <w:jc w:val="right"/>
              <w:rPr>
                <w:sz w:val="13"/>
                <w:szCs w:val="13"/>
              </w:rPr>
            </w:pPr>
          </w:p>
          <w:p w14:paraId="5C412305" w14:textId="4AA66A36" w:rsidR="002B5162" w:rsidRPr="001F224B" w:rsidRDefault="002B5162" w:rsidP="002B5162">
            <w:pPr>
              <w:jc w:val="right"/>
              <w:rPr>
                <w:sz w:val="13"/>
                <w:szCs w:val="13"/>
              </w:rPr>
            </w:pPr>
            <w:r w:rsidRPr="001F224B">
              <w:rPr>
                <w:sz w:val="13"/>
                <w:szCs w:val="13"/>
              </w:rPr>
              <w:t>2.565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E9682F" w14:textId="7F25E5F5" w:rsidR="002B5162" w:rsidRPr="001F224B" w:rsidRDefault="002B5162" w:rsidP="002B5162">
            <w:pPr>
              <w:jc w:val="right"/>
              <w:rPr>
                <w:sz w:val="13"/>
                <w:szCs w:val="13"/>
              </w:rPr>
            </w:pPr>
            <w:r w:rsidRPr="001F224B">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08D6C47" w14:textId="77777777" w:rsidR="002B5162" w:rsidRPr="001F224B" w:rsidRDefault="002B5162" w:rsidP="002B5162">
            <w:pPr>
              <w:jc w:val="right"/>
              <w:rPr>
                <w:sz w:val="13"/>
                <w:szCs w:val="13"/>
              </w:rPr>
            </w:pPr>
          </w:p>
          <w:p w14:paraId="1A4EA619" w14:textId="6BF63CF5" w:rsidR="002B5162" w:rsidRPr="001F224B" w:rsidRDefault="002B5162" w:rsidP="002B5162">
            <w:pPr>
              <w:jc w:val="right"/>
              <w:rPr>
                <w:sz w:val="13"/>
                <w:szCs w:val="13"/>
              </w:rPr>
            </w:pPr>
            <w:r w:rsidRPr="001F224B">
              <w:rPr>
                <w:sz w:val="13"/>
                <w:szCs w:val="13"/>
              </w:rPr>
              <w:t>2.565</w:t>
            </w:r>
          </w:p>
        </w:tc>
        <w:tc>
          <w:tcPr>
            <w:tcW w:w="725" w:type="dxa"/>
            <w:gridSpan w:val="2"/>
            <w:tcBorders>
              <w:top w:val="nil"/>
              <w:left w:val="single" w:sz="4" w:space="0" w:color="auto"/>
              <w:bottom w:val="nil"/>
              <w:right w:val="single" w:sz="4" w:space="0" w:color="auto"/>
            </w:tcBorders>
            <w:shd w:val="clear" w:color="auto" w:fill="FFFFFF"/>
            <w:vAlign w:val="bottom"/>
          </w:tcPr>
          <w:p w14:paraId="5646CA73" w14:textId="4BB88B6D" w:rsidR="002B5162" w:rsidRPr="001F224B" w:rsidRDefault="002B5162" w:rsidP="002B5162">
            <w:pPr>
              <w:jc w:val="right"/>
              <w:rPr>
                <w:color w:val="000000"/>
                <w:sz w:val="13"/>
                <w:szCs w:val="13"/>
              </w:rPr>
            </w:pPr>
            <w:r w:rsidRPr="001F224B">
              <w:rPr>
                <w:color w:val="000000"/>
                <w:sz w:val="13"/>
                <w:szCs w:val="13"/>
              </w:rPr>
              <w:t>2.483</w:t>
            </w:r>
          </w:p>
        </w:tc>
        <w:tc>
          <w:tcPr>
            <w:tcW w:w="692" w:type="dxa"/>
            <w:tcBorders>
              <w:top w:val="nil"/>
              <w:left w:val="nil"/>
              <w:bottom w:val="nil"/>
              <w:right w:val="single" w:sz="4" w:space="0" w:color="auto"/>
            </w:tcBorders>
            <w:vAlign w:val="bottom"/>
          </w:tcPr>
          <w:p w14:paraId="74D16E8C" w14:textId="32EDAAF6" w:rsidR="002B5162" w:rsidRPr="001F224B" w:rsidRDefault="002B5162" w:rsidP="002B5162">
            <w:pPr>
              <w:jc w:val="right"/>
              <w:rPr>
                <w:sz w:val="13"/>
                <w:szCs w:val="13"/>
              </w:rPr>
            </w:pPr>
            <w:r w:rsidRPr="001F224B">
              <w:rPr>
                <w:color w:val="000000"/>
                <w:sz w:val="13"/>
                <w:szCs w:val="13"/>
              </w:rPr>
              <w:t>-</w:t>
            </w:r>
          </w:p>
        </w:tc>
        <w:tc>
          <w:tcPr>
            <w:tcW w:w="709" w:type="dxa"/>
            <w:tcBorders>
              <w:top w:val="nil"/>
              <w:left w:val="nil"/>
              <w:bottom w:val="nil"/>
              <w:right w:val="single" w:sz="4" w:space="0" w:color="auto"/>
            </w:tcBorders>
            <w:shd w:val="clear" w:color="auto" w:fill="FFFFFF"/>
            <w:vAlign w:val="bottom"/>
          </w:tcPr>
          <w:p w14:paraId="218AE9B9" w14:textId="232094D3" w:rsidR="002B5162" w:rsidRPr="001F224B" w:rsidRDefault="002B5162" w:rsidP="002B5162">
            <w:pPr>
              <w:jc w:val="right"/>
              <w:rPr>
                <w:color w:val="000000"/>
                <w:sz w:val="13"/>
                <w:szCs w:val="13"/>
              </w:rPr>
            </w:pPr>
            <w:r w:rsidRPr="001F224B">
              <w:rPr>
                <w:sz w:val="13"/>
                <w:szCs w:val="13"/>
              </w:rPr>
              <w:t>2.483</w:t>
            </w:r>
          </w:p>
        </w:tc>
      </w:tr>
      <w:tr w:rsidR="002B5162" w:rsidRPr="001F224B" w14:paraId="32FB4D66"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6550F392" w14:textId="2C8EFB47" w:rsidR="002B5162" w:rsidRPr="001F224B" w:rsidRDefault="002B5162" w:rsidP="002B5162">
            <w:pPr>
              <w:rPr>
                <w:sz w:val="13"/>
                <w:szCs w:val="13"/>
              </w:rPr>
            </w:pPr>
            <w:r w:rsidRPr="001F224B">
              <w:rPr>
                <w:sz w:val="13"/>
                <w:szCs w:val="13"/>
              </w:rPr>
              <w:t>16.4</w:t>
            </w:r>
          </w:p>
        </w:tc>
        <w:tc>
          <w:tcPr>
            <w:tcW w:w="4819" w:type="dxa"/>
            <w:tcBorders>
              <w:top w:val="nil"/>
              <w:left w:val="nil"/>
              <w:bottom w:val="nil"/>
              <w:right w:val="nil"/>
            </w:tcBorders>
            <w:noWrap/>
            <w:tcMar>
              <w:top w:w="18" w:type="dxa"/>
              <w:left w:w="18" w:type="dxa"/>
              <w:bottom w:w="0" w:type="dxa"/>
              <w:right w:w="18" w:type="dxa"/>
            </w:tcMar>
            <w:vAlign w:val="bottom"/>
          </w:tcPr>
          <w:p w14:paraId="6D9D197A" w14:textId="1E31EE2B" w:rsidR="002B5162" w:rsidRPr="001F224B" w:rsidRDefault="002B5162" w:rsidP="002B5162">
            <w:pPr>
              <w:ind w:right="-309"/>
              <w:rPr>
                <w:rFonts w:ascii="Times New Roman TUR" w:hAnsi="Times New Roman TUR"/>
                <w:sz w:val="13"/>
                <w:szCs w:val="13"/>
              </w:rPr>
            </w:pPr>
            <w:r w:rsidRPr="001F224B">
              <w:rPr>
                <w:rFonts w:ascii="Times New Roman TUR" w:hAnsi="Times New Roman TUR"/>
                <w:sz w:val="13"/>
                <w:szCs w:val="13"/>
              </w:rPr>
              <w:t>Kar veya Zararda Yeniden Sınıflandırılacak Birikmiş Diğer Kapsamlı Gelirler veya Giderler</w:t>
            </w:r>
          </w:p>
        </w:tc>
        <w:tc>
          <w:tcPr>
            <w:tcW w:w="709" w:type="dxa"/>
            <w:tcBorders>
              <w:top w:val="nil"/>
              <w:left w:val="single" w:sz="4" w:space="0" w:color="auto"/>
              <w:right w:val="single" w:sz="4" w:space="0" w:color="auto"/>
            </w:tcBorders>
            <w:noWrap/>
            <w:tcMar>
              <w:top w:w="18" w:type="dxa"/>
              <w:left w:w="18" w:type="dxa"/>
              <w:bottom w:w="0" w:type="dxa"/>
              <w:right w:w="18" w:type="dxa"/>
            </w:tcMar>
            <w:vAlign w:val="bottom"/>
          </w:tcPr>
          <w:p w14:paraId="3EE75DAC"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016F2B" w14:textId="49E007DB" w:rsidR="002B5162" w:rsidRPr="001F224B" w:rsidRDefault="002B5162" w:rsidP="002B5162">
            <w:pPr>
              <w:jc w:val="right"/>
              <w:rPr>
                <w:sz w:val="13"/>
                <w:szCs w:val="13"/>
              </w:rPr>
            </w:pPr>
            <w:r w:rsidRPr="001F224B">
              <w:rPr>
                <w:sz w:val="13"/>
                <w:szCs w:val="13"/>
              </w:rPr>
              <w:t>30.973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129CBD" w14:textId="616AB59F" w:rsidR="002B5162" w:rsidRPr="001F224B" w:rsidRDefault="002B5162" w:rsidP="002B5162">
            <w:pPr>
              <w:jc w:val="right"/>
              <w:rPr>
                <w:sz w:val="13"/>
                <w:szCs w:val="13"/>
              </w:rPr>
            </w:pPr>
            <w:r w:rsidRPr="001F224B">
              <w:rPr>
                <w:sz w:val="13"/>
                <w:szCs w:val="13"/>
              </w:rPr>
              <w:t>80.306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13C984" w14:textId="3AE98076" w:rsidR="002B5162" w:rsidRPr="001F224B" w:rsidRDefault="002B5162" w:rsidP="002B5162">
            <w:pPr>
              <w:jc w:val="right"/>
              <w:rPr>
                <w:sz w:val="13"/>
                <w:szCs w:val="13"/>
              </w:rPr>
            </w:pPr>
            <w:r w:rsidRPr="001F224B">
              <w:rPr>
                <w:sz w:val="13"/>
                <w:szCs w:val="13"/>
              </w:rPr>
              <w:t>111.279</w:t>
            </w:r>
          </w:p>
        </w:tc>
        <w:tc>
          <w:tcPr>
            <w:tcW w:w="725" w:type="dxa"/>
            <w:gridSpan w:val="2"/>
            <w:tcBorders>
              <w:top w:val="nil"/>
              <w:left w:val="nil"/>
              <w:bottom w:val="nil"/>
              <w:right w:val="single" w:sz="4" w:space="0" w:color="auto"/>
            </w:tcBorders>
          </w:tcPr>
          <w:p w14:paraId="2626920A" w14:textId="1D7D32A9" w:rsidR="002B5162" w:rsidRPr="001F224B" w:rsidRDefault="002B5162" w:rsidP="002B5162">
            <w:pPr>
              <w:jc w:val="right"/>
              <w:rPr>
                <w:color w:val="000000"/>
                <w:sz w:val="13"/>
                <w:szCs w:val="13"/>
              </w:rPr>
            </w:pPr>
            <w:r w:rsidRPr="001F224B">
              <w:rPr>
                <w:sz w:val="13"/>
                <w:szCs w:val="13"/>
              </w:rPr>
              <w:t>11.484</w:t>
            </w:r>
          </w:p>
        </w:tc>
        <w:tc>
          <w:tcPr>
            <w:tcW w:w="692" w:type="dxa"/>
            <w:tcBorders>
              <w:top w:val="nil"/>
              <w:left w:val="nil"/>
              <w:bottom w:val="nil"/>
              <w:right w:val="single" w:sz="4" w:space="0" w:color="auto"/>
            </w:tcBorders>
          </w:tcPr>
          <w:p w14:paraId="30BD4F3E" w14:textId="0320C9C5" w:rsidR="002B5162" w:rsidRPr="001F224B" w:rsidRDefault="002B5162" w:rsidP="002B5162">
            <w:pPr>
              <w:jc w:val="right"/>
              <w:rPr>
                <w:color w:val="000000"/>
                <w:sz w:val="13"/>
                <w:szCs w:val="13"/>
              </w:rPr>
            </w:pPr>
            <w:r w:rsidRPr="001F224B">
              <w:rPr>
                <w:sz w:val="13"/>
                <w:szCs w:val="13"/>
              </w:rPr>
              <w:t>91.451</w:t>
            </w:r>
          </w:p>
        </w:tc>
        <w:tc>
          <w:tcPr>
            <w:tcW w:w="709" w:type="dxa"/>
            <w:tcBorders>
              <w:top w:val="nil"/>
              <w:left w:val="nil"/>
              <w:bottom w:val="nil"/>
              <w:right w:val="single" w:sz="4" w:space="0" w:color="auto"/>
            </w:tcBorders>
          </w:tcPr>
          <w:p w14:paraId="6995CD8B" w14:textId="5DE6FEB4" w:rsidR="002B5162" w:rsidRPr="001F224B" w:rsidRDefault="002B5162" w:rsidP="002B5162">
            <w:pPr>
              <w:jc w:val="right"/>
              <w:rPr>
                <w:color w:val="000000"/>
                <w:sz w:val="13"/>
                <w:szCs w:val="13"/>
              </w:rPr>
            </w:pPr>
            <w:r w:rsidRPr="001F224B">
              <w:rPr>
                <w:sz w:val="13"/>
                <w:szCs w:val="13"/>
              </w:rPr>
              <w:t>102.935</w:t>
            </w:r>
          </w:p>
        </w:tc>
      </w:tr>
      <w:tr w:rsidR="002B5162" w:rsidRPr="001F224B" w14:paraId="4448E488"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017B46DD"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16.5</w:t>
            </w:r>
          </w:p>
        </w:tc>
        <w:tc>
          <w:tcPr>
            <w:tcW w:w="4819" w:type="dxa"/>
            <w:tcBorders>
              <w:top w:val="nil"/>
              <w:left w:val="nil"/>
              <w:bottom w:val="nil"/>
              <w:right w:val="nil"/>
            </w:tcBorders>
            <w:noWrap/>
            <w:tcMar>
              <w:top w:w="18" w:type="dxa"/>
              <w:left w:w="18" w:type="dxa"/>
              <w:bottom w:w="0" w:type="dxa"/>
              <w:right w:w="18" w:type="dxa"/>
            </w:tcMar>
            <w:vAlign w:val="bottom"/>
          </w:tcPr>
          <w:p w14:paraId="715A46F4"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Kar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60E119"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2A85506" w14:textId="1EFD7F31" w:rsidR="002B5162" w:rsidRPr="001F224B" w:rsidRDefault="002B5162" w:rsidP="002B5162">
            <w:pPr>
              <w:jc w:val="right"/>
              <w:rPr>
                <w:sz w:val="13"/>
                <w:szCs w:val="13"/>
              </w:rPr>
            </w:pPr>
            <w:r w:rsidRPr="001F224B">
              <w:rPr>
                <w:sz w:val="13"/>
                <w:szCs w:val="13"/>
              </w:rPr>
              <w:t>14.188.755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D291F4" w14:textId="179312AC"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36487B" w14:textId="29349FE4" w:rsidR="002B5162" w:rsidRPr="001F224B" w:rsidRDefault="002B5162" w:rsidP="002B5162">
            <w:pPr>
              <w:jc w:val="right"/>
              <w:rPr>
                <w:sz w:val="13"/>
                <w:szCs w:val="13"/>
              </w:rPr>
            </w:pPr>
            <w:r w:rsidRPr="001F224B">
              <w:rPr>
                <w:sz w:val="13"/>
                <w:szCs w:val="13"/>
              </w:rPr>
              <w:t>14.188.755</w:t>
            </w:r>
          </w:p>
        </w:tc>
        <w:tc>
          <w:tcPr>
            <w:tcW w:w="725" w:type="dxa"/>
            <w:gridSpan w:val="2"/>
            <w:tcBorders>
              <w:top w:val="nil"/>
              <w:left w:val="nil"/>
              <w:bottom w:val="nil"/>
              <w:right w:val="single" w:sz="4" w:space="0" w:color="auto"/>
            </w:tcBorders>
          </w:tcPr>
          <w:p w14:paraId="108786DB" w14:textId="2A55007E" w:rsidR="002B5162" w:rsidRPr="001F224B" w:rsidRDefault="002B5162" w:rsidP="002B5162">
            <w:pPr>
              <w:jc w:val="right"/>
              <w:rPr>
                <w:color w:val="000000"/>
                <w:sz w:val="13"/>
                <w:szCs w:val="13"/>
              </w:rPr>
            </w:pPr>
            <w:r w:rsidRPr="001F224B">
              <w:rPr>
                <w:sz w:val="13"/>
                <w:szCs w:val="13"/>
              </w:rPr>
              <w:t>8.012.952</w:t>
            </w:r>
          </w:p>
        </w:tc>
        <w:tc>
          <w:tcPr>
            <w:tcW w:w="692" w:type="dxa"/>
            <w:tcBorders>
              <w:top w:val="nil"/>
              <w:left w:val="nil"/>
              <w:bottom w:val="nil"/>
              <w:right w:val="single" w:sz="4" w:space="0" w:color="auto"/>
            </w:tcBorders>
          </w:tcPr>
          <w:p w14:paraId="3A4D2FE3" w14:textId="25A6A731" w:rsidR="002B5162" w:rsidRPr="001F224B" w:rsidRDefault="002B5162" w:rsidP="002B5162">
            <w:pPr>
              <w:jc w:val="right"/>
              <w:rPr>
                <w:color w:val="000000"/>
                <w:sz w:val="13"/>
                <w:szCs w:val="13"/>
              </w:rPr>
            </w:pPr>
            <w:r w:rsidRPr="001F224B">
              <w:rPr>
                <w:sz w:val="13"/>
                <w:szCs w:val="13"/>
              </w:rPr>
              <w:t>-</w:t>
            </w:r>
          </w:p>
        </w:tc>
        <w:tc>
          <w:tcPr>
            <w:tcW w:w="709" w:type="dxa"/>
            <w:tcBorders>
              <w:top w:val="nil"/>
              <w:left w:val="nil"/>
              <w:bottom w:val="nil"/>
              <w:right w:val="single" w:sz="4" w:space="0" w:color="auto"/>
            </w:tcBorders>
          </w:tcPr>
          <w:p w14:paraId="3E32F760" w14:textId="1F4D7AA3" w:rsidR="002B5162" w:rsidRPr="001F224B" w:rsidRDefault="002B5162" w:rsidP="002B5162">
            <w:pPr>
              <w:jc w:val="right"/>
              <w:rPr>
                <w:color w:val="000000"/>
                <w:sz w:val="13"/>
                <w:szCs w:val="13"/>
              </w:rPr>
            </w:pPr>
            <w:r w:rsidRPr="001F224B">
              <w:rPr>
                <w:sz w:val="13"/>
                <w:szCs w:val="13"/>
              </w:rPr>
              <w:t>8.012.952</w:t>
            </w:r>
          </w:p>
        </w:tc>
      </w:tr>
      <w:tr w:rsidR="002B5162" w:rsidRPr="001F224B" w14:paraId="54029852"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3B741A43" w14:textId="77777777" w:rsidR="002B5162" w:rsidRPr="001F224B" w:rsidRDefault="002B5162" w:rsidP="002B5162">
            <w:pPr>
              <w:rPr>
                <w:rFonts w:eastAsia="Arial Unicode MS"/>
                <w:sz w:val="13"/>
                <w:szCs w:val="13"/>
              </w:rPr>
            </w:pPr>
            <w:r w:rsidRPr="001F224B">
              <w:rPr>
                <w:sz w:val="13"/>
                <w:szCs w:val="13"/>
              </w:rPr>
              <w:t>16.5.1</w:t>
            </w:r>
          </w:p>
        </w:tc>
        <w:tc>
          <w:tcPr>
            <w:tcW w:w="4819" w:type="dxa"/>
            <w:tcBorders>
              <w:top w:val="nil"/>
              <w:left w:val="nil"/>
              <w:bottom w:val="nil"/>
              <w:right w:val="nil"/>
            </w:tcBorders>
            <w:noWrap/>
            <w:tcMar>
              <w:top w:w="18" w:type="dxa"/>
              <w:left w:w="18" w:type="dxa"/>
              <w:bottom w:w="0" w:type="dxa"/>
              <w:right w:w="18" w:type="dxa"/>
            </w:tcMar>
            <w:vAlign w:val="bottom"/>
          </w:tcPr>
          <w:p w14:paraId="7020428C" w14:textId="77777777" w:rsidR="002B5162" w:rsidRPr="001F224B" w:rsidRDefault="002B5162" w:rsidP="002B5162">
            <w:pPr>
              <w:rPr>
                <w:rFonts w:eastAsia="Arial Unicode MS"/>
                <w:b/>
                <w:sz w:val="13"/>
                <w:szCs w:val="13"/>
              </w:rPr>
            </w:pPr>
            <w:r w:rsidRPr="001F224B">
              <w:rPr>
                <w:sz w:val="13"/>
                <w:szCs w:val="13"/>
              </w:rPr>
              <w:t>Yasal Yedekler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A5D645"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519CDA4" w14:textId="4A1F4173" w:rsidR="002B5162" w:rsidRPr="001F224B" w:rsidRDefault="002B5162" w:rsidP="002B5162">
            <w:pPr>
              <w:jc w:val="right"/>
              <w:rPr>
                <w:sz w:val="13"/>
                <w:szCs w:val="13"/>
              </w:rPr>
            </w:pPr>
            <w:r w:rsidRPr="001F224B">
              <w:rPr>
                <w:sz w:val="13"/>
                <w:szCs w:val="13"/>
              </w:rPr>
              <w:t>730.996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F2C560" w14:textId="35ADA5F8"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8AC194" w14:textId="5A7CF9AE" w:rsidR="002B5162" w:rsidRPr="001F224B" w:rsidRDefault="002B5162" w:rsidP="002B5162">
            <w:pPr>
              <w:jc w:val="right"/>
              <w:rPr>
                <w:sz w:val="13"/>
                <w:szCs w:val="13"/>
              </w:rPr>
            </w:pPr>
            <w:r w:rsidRPr="001F224B">
              <w:rPr>
                <w:sz w:val="13"/>
                <w:szCs w:val="13"/>
              </w:rPr>
              <w:t>730.996</w:t>
            </w:r>
          </w:p>
        </w:tc>
        <w:tc>
          <w:tcPr>
            <w:tcW w:w="725" w:type="dxa"/>
            <w:gridSpan w:val="2"/>
            <w:tcBorders>
              <w:top w:val="nil"/>
              <w:left w:val="nil"/>
              <w:bottom w:val="nil"/>
              <w:right w:val="single" w:sz="4" w:space="0" w:color="auto"/>
            </w:tcBorders>
          </w:tcPr>
          <w:p w14:paraId="13310C1B" w14:textId="496169EB" w:rsidR="002B5162" w:rsidRPr="001F224B" w:rsidRDefault="002B5162" w:rsidP="002B5162">
            <w:pPr>
              <w:jc w:val="right"/>
              <w:rPr>
                <w:color w:val="000000"/>
                <w:sz w:val="13"/>
                <w:szCs w:val="13"/>
              </w:rPr>
            </w:pPr>
            <w:r w:rsidRPr="001F224B">
              <w:rPr>
                <w:sz w:val="13"/>
                <w:szCs w:val="13"/>
              </w:rPr>
              <w:t>422.617</w:t>
            </w:r>
          </w:p>
        </w:tc>
        <w:tc>
          <w:tcPr>
            <w:tcW w:w="692" w:type="dxa"/>
            <w:tcBorders>
              <w:top w:val="nil"/>
              <w:left w:val="nil"/>
              <w:bottom w:val="nil"/>
              <w:right w:val="single" w:sz="4" w:space="0" w:color="auto"/>
            </w:tcBorders>
          </w:tcPr>
          <w:p w14:paraId="5BAA2A45" w14:textId="7D1D06C5" w:rsidR="002B5162" w:rsidRPr="001F224B" w:rsidRDefault="002B5162" w:rsidP="002B5162">
            <w:pPr>
              <w:jc w:val="right"/>
              <w:rPr>
                <w:color w:val="000000"/>
                <w:sz w:val="13"/>
                <w:szCs w:val="13"/>
              </w:rPr>
            </w:pPr>
            <w:r w:rsidRPr="001F224B">
              <w:rPr>
                <w:sz w:val="13"/>
                <w:szCs w:val="13"/>
              </w:rPr>
              <w:t>-</w:t>
            </w:r>
          </w:p>
        </w:tc>
        <w:tc>
          <w:tcPr>
            <w:tcW w:w="709" w:type="dxa"/>
            <w:tcBorders>
              <w:top w:val="nil"/>
              <w:left w:val="nil"/>
              <w:bottom w:val="nil"/>
              <w:right w:val="single" w:sz="4" w:space="0" w:color="auto"/>
            </w:tcBorders>
          </w:tcPr>
          <w:p w14:paraId="2A247754" w14:textId="6A08BB8A" w:rsidR="002B5162" w:rsidRPr="001F224B" w:rsidRDefault="002B5162" w:rsidP="002B5162">
            <w:pPr>
              <w:jc w:val="right"/>
              <w:rPr>
                <w:color w:val="000000"/>
                <w:sz w:val="13"/>
                <w:szCs w:val="13"/>
              </w:rPr>
            </w:pPr>
            <w:r w:rsidRPr="001F224B">
              <w:rPr>
                <w:sz w:val="13"/>
                <w:szCs w:val="13"/>
              </w:rPr>
              <w:t>422.617</w:t>
            </w:r>
          </w:p>
        </w:tc>
      </w:tr>
      <w:tr w:rsidR="002B5162" w:rsidRPr="001F224B" w14:paraId="556FD42C" w14:textId="77777777" w:rsidTr="00C67EF7">
        <w:tc>
          <w:tcPr>
            <w:tcW w:w="426" w:type="dxa"/>
            <w:tcBorders>
              <w:top w:val="nil"/>
              <w:left w:val="single" w:sz="4" w:space="0" w:color="auto"/>
              <w:bottom w:val="nil"/>
              <w:right w:val="nil"/>
            </w:tcBorders>
            <w:noWrap/>
            <w:tcMar>
              <w:top w:w="18" w:type="dxa"/>
              <w:left w:w="18" w:type="dxa"/>
              <w:bottom w:w="0" w:type="dxa"/>
              <w:right w:w="18" w:type="dxa"/>
            </w:tcMar>
          </w:tcPr>
          <w:p w14:paraId="029A7495" w14:textId="77777777" w:rsidR="002B5162" w:rsidRPr="001F224B" w:rsidRDefault="002B5162" w:rsidP="002B5162">
            <w:pPr>
              <w:rPr>
                <w:rFonts w:eastAsia="Arial Unicode MS"/>
                <w:sz w:val="13"/>
                <w:szCs w:val="13"/>
              </w:rPr>
            </w:pPr>
            <w:r w:rsidRPr="001F224B">
              <w:rPr>
                <w:sz w:val="13"/>
                <w:szCs w:val="13"/>
              </w:rPr>
              <w:t>16.5.2</w:t>
            </w:r>
          </w:p>
        </w:tc>
        <w:tc>
          <w:tcPr>
            <w:tcW w:w="4819" w:type="dxa"/>
            <w:tcBorders>
              <w:top w:val="nil"/>
              <w:left w:val="nil"/>
              <w:bottom w:val="nil"/>
              <w:right w:val="nil"/>
            </w:tcBorders>
            <w:noWrap/>
            <w:tcMar>
              <w:top w:w="18" w:type="dxa"/>
              <w:left w:w="18" w:type="dxa"/>
              <w:bottom w:w="0" w:type="dxa"/>
              <w:right w:w="18" w:type="dxa"/>
            </w:tcMar>
            <w:vAlign w:val="bottom"/>
          </w:tcPr>
          <w:p w14:paraId="7A773617" w14:textId="77777777" w:rsidR="002B5162" w:rsidRPr="001F224B" w:rsidRDefault="002B5162" w:rsidP="002B5162">
            <w:pPr>
              <w:rPr>
                <w:rFonts w:eastAsia="Arial Unicode MS"/>
                <w:sz w:val="13"/>
                <w:szCs w:val="13"/>
              </w:rPr>
            </w:pPr>
            <w:r w:rsidRPr="001F224B">
              <w:rPr>
                <w:sz w:val="13"/>
                <w:szCs w:val="13"/>
              </w:rPr>
              <w:t>Statü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6318E0"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BE3858" w14:textId="6B0B5FCE" w:rsidR="002B5162" w:rsidRPr="001F224B" w:rsidRDefault="002B5162" w:rsidP="002B5162">
            <w:pPr>
              <w:jc w:val="right"/>
              <w:rPr>
                <w:sz w:val="13"/>
                <w:szCs w:val="13"/>
              </w:rPr>
            </w:pPr>
            <w:r w:rsidRPr="001F224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84622E" w14:textId="4F820772"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B7733A" w14:textId="0BD27FDE" w:rsidR="002B5162" w:rsidRPr="001F224B" w:rsidRDefault="002B5162" w:rsidP="002B5162">
            <w:pPr>
              <w:jc w:val="right"/>
              <w:rPr>
                <w:sz w:val="13"/>
                <w:szCs w:val="13"/>
              </w:rPr>
            </w:pPr>
            <w:r w:rsidRPr="001F224B">
              <w:rPr>
                <w:sz w:val="13"/>
                <w:szCs w:val="13"/>
              </w:rPr>
              <w:t>-</w:t>
            </w:r>
          </w:p>
        </w:tc>
        <w:tc>
          <w:tcPr>
            <w:tcW w:w="725" w:type="dxa"/>
            <w:gridSpan w:val="2"/>
            <w:tcBorders>
              <w:top w:val="nil"/>
              <w:left w:val="nil"/>
              <w:bottom w:val="nil"/>
              <w:right w:val="single" w:sz="4" w:space="0" w:color="auto"/>
            </w:tcBorders>
            <w:vAlign w:val="bottom"/>
          </w:tcPr>
          <w:p w14:paraId="4FCC3CDB" w14:textId="2AE64284" w:rsidR="002B5162" w:rsidRPr="001F224B" w:rsidRDefault="002B5162" w:rsidP="002B5162">
            <w:pPr>
              <w:jc w:val="right"/>
              <w:rPr>
                <w:sz w:val="13"/>
                <w:szCs w:val="13"/>
              </w:rPr>
            </w:pPr>
            <w:r w:rsidRPr="001F224B">
              <w:rPr>
                <w:color w:val="000000"/>
                <w:sz w:val="13"/>
                <w:szCs w:val="13"/>
              </w:rPr>
              <w:t>-</w:t>
            </w:r>
          </w:p>
        </w:tc>
        <w:tc>
          <w:tcPr>
            <w:tcW w:w="692" w:type="dxa"/>
            <w:tcBorders>
              <w:top w:val="nil"/>
              <w:left w:val="nil"/>
              <w:bottom w:val="nil"/>
              <w:right w:val="single" w:sz="4" w:space="0" w:color="auto"/>
            </w:tcBorders>
          </w:tcPr>
          <w:p w14:paraId="69476DA8" w14:textId="35EEB4C5" w:rsidR="002B5162" w:rsidRPr="001F224B" w:rsidRDefault="002B5162" w:rsidP="002B5162">
            <w:pPr>
              <w:jc w:val="right"/>
              <w:rPr>
                <w:sz w:val="13"/>
                <w:szCs w:val="13"/>
              </w:rPr>
            </w:pPr>
            <w:r w:rsidRPr="001F224B">
              <w:rPr>
                <w:sz w:val="13"/>
                <w:szCs w:val="13"/>
              </w:rPr>
              <w:t>-</w:t>
            </w:r>
          </w:p>
        </w:tc>
        <w:tc>
          <w:tcPr>
            <w:tcW w:w="709" w:type="dxa"/>
            <w:tcBorders>
              <w:top w:val="nil"/>
              <w:left w:val="nil"/>
              <w:bottom w:val="nil"/>
              <w:right w:val="single" w:sz="4" w:space="0" w:color="auto"/>
            </w:tcBorders>
            <w:vAlign w:val="bottom"/>
          </w:tcPr>
          <w:p w14:paraId="7446A689" w14:textId="20101F4E" w:rsidR="002B5162" w:rsidRPr="001F224B" w:rsidRDefault="002B5162" w:rsidP="002B5162">
            <w:pPr>
              <w:jc w:val="right"/>
              <w:rPr>
                <w:sz w:val="13"/>
                <w:szCs w:val="13"/>
              </w:rPr>
            </w:pPr>
            <w:r w:rsidRPr="001F224B">
              <w:rPr>
                <w:color w:val="000000"/>
                <w:sz w:val="13"/>
                <w:szCs w:val="13"/>
              </w:rPr>
              <w:t>-</w:t>
            </w:r>
          </w:p>
        </w:tc>
      </w:tr>
      <w:tr w:rsidR="002B5162" w:rsidRPr="001F224B" w14:paraId="18197DB4"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3E2B864F" w14:textId="77777777" w:rsidR="002B5162" w:rsidRPr="001F224B" w:rsidRDefault="002B5162" w:rsidP="002B5162">
            <w:pPr>
              <w:rPr>
                <w:rFonts w:eastAsia="Arial Unicode MS"/>
                <w:b/>
                <w:sz w:val="13"/>
                <w:szCs w:val="13"/>
              </w:rPr>
            </w:pPr>
            <w:r w:rsidRPr="001F224B">
              <w:rPr>
                <w:sz w:val="13"/>
                <w:szCs w:val="13"/>
              </w:rPr>
              <w:t>16.5.3</w:t>
            </w:r>
          </w:p>
        </w:tc>
        <w:tc>
          <w:tcPr>
            <w:tcW w:w="4819" w:type="dxa"/>
            <w:tcBorders>
              <w:top w:val="nil"/>
              <w:left w:val="nil"/>
              <w:bottom w:val="nil"/>
              <w:right w:val="nil"/>
            </w:tcBorders>
            <w:noWrap/>
            <w:tcMar>
              <w:top w:w="18" w:type="dxa"/>
              <w:left w:w="18" w:type="dxa"/>
              <w:bottom w:w="0" w:type="dxa"/>
              <w:right w:w="18" w:type="dxa"/>
            </w:tcMar>
            <w:vAlign w:val="bottom"/>
          </w:tcPr>
          <w:p w14:paraId="26CC54E0" w14:textId="77777777" w:rsidR="002B5162" w:rsidRPr="001F224B" w:rsidRDefault="002B5162" w:rsidP="002B5162">
            <w:pPr>
              <w:rPr>
                <w:rFonts w:eastAsia="Arial Unicode MS"/>
                <w:b/>
                <w:sz w:val="13"/>
                <w:szCs w:val="13"/>
              </w:rPr>
            </w:pPr>
            <w:r w:rsidRPr="001F224B">
              <w:rPr>
                <w:sz w:val="13"/>
                <w:szCs w:val="13"/>
              </w:rPr>
              <w:t>Olağanüstü Yedekler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E0D67E"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914D54" w14:textId="09D27CB6" w:rsidR="002B5162" w:rsidRPr="001F224B" w:rsidRDefault="002B5162" w:rsidP="002B5162">
            <w:pPr>
              <w:jc w:val="right"/>
              <w:rPr>
                <w:sz w:val="13"/>
                <w:szCs w:val="13"/>
              </w:rPr>
            </w:pPr>
            <w:r w:rsidRPr="001F224B">
              <w:rPr>
                <w:sz w:val="13"/>
                <w:szCs w:val="13"/>
              </w:rPr>
              <w:t>13.403.533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507A23" w14:textId="1A9C838E"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6A7CC3" w14:textId="0F55E566" w:rsidR="002B5162" w:rsidRPr="001F224B" w:rsidRDefault="002B5162" w:rsidP="002B5162">
            <w:pPr>
              <w:jc w:val="right"/>
              <w:rPr>
                <w:sz w:val="13"/>
                <w:szCs w:val="13"/>
              </w:rPr>
            </w:pPr>
            <w:r w:rsidRPr="001F224B">
              <w:rPr>
                <w:sz w:val="13"/>
                <w:szCs w:val="13"/>
              </w:rPr>
              <w:t>13.403.533</w:t>
            </w:r>
          </w:p>
        </w:tc>
        <w:tc>
          <w:tcPr>
            <w:tcW w:w="725" w:type="dxa"/>
            <w:gridSpan w:val="2"/>
            <w:tcBorders>
              <w:top w:val="nil"/>
              <w:left w:val="single" w:sz="4" w:space="0" w:color="auto"/>
              <w:bottom w:val="nil"/>
              <w:right w:val="single" w:sz="4" w:space="0" w:color="auto"/>
            </w:tcBorders>
          </w:tcPr>
          <w:p w14:paraId="2E411BFC" w14:textId="47D7B921" w:rsidR="002B5162" w:rsidRPr="001F224B" w:rsidRDefault="002B5162" w:rsidP="002B5162">
            <w:pPr>
              <w:jc w:val="right"/>
              <w:rPr>
                <w:color w:val="000000"/>
                <w:sz w:val="13"/>
                <w:szCs w:val="13"/>
              </w:rPr>
            </w:pPr>
            <w:r w:rsidRPr="001F224B">
              <w:rPr>
                <w:sz w:val="13"/>
                <w:szCs w:val="13"/>
              </w:rPr>
              <w:t>7.536.109</w:t>
            </w:r>
          </w:p>
        </w:tc>
        <w:tc>
          <w:tcPr>
            <w:tcW w:w="692" w:type="dxa"/>
            <w:tcBorders>
              <w:top w:val="nil"/>
              <w:left w:val="nil"/>
              <w:bottom w:val="nil"/>
              <w:right w:val="single" w:sz="4" w:space="0" w:color="auto"/>
            </w:tcBorders>
          </w:tcPr>
          <w:p w14:paraId="12DB4F8B" w14:textId="476FDA0D" w:rsidR="002B5162" w:rsidRPr="001F224B" w:rsidRDefault="002B5162" w:rsidP="002B5162">
            <w:pPr>
              <w:jc w:val="right"/>
              <w:rPr>
                <w:color w:val="000000"/>
                <w:sz w:val="13"/>
                <w:szCs w:val="13"/>
              </w:rPr>
            </w:pPr>
            <w:r w:rsidRPr="001F224B">
              <w:rPr>
                <w:sz w:val="13"/>
                <w:szCs w:val="13"/>
              </w:rPr>
              <w:t>-</w:t>
            </w:r>
          </w:p>
        </w:tc>
        <w:tc>
          <w:tcPr>
            <w:tcW w:w="709" w:type="dxa"/>
            <w:tcBorders>
              <w:top w:val="nil"/>
              <w:left w:val="nil"/>
              <w:bottom w:val="nil"/>
              <w:right w:val="single" w:sz="4" w:space="0" w:color="auto"/>
            </w:tcBorders>
          </w:tcPr>
          <w:p w14:paraId="0287356E" w14:textId="714CBA77" w:rsidR="002B5162" w:rsidRPr="001F224B" w:rsidRDefault="002B5162" w:rsidP="002B5162">
            <w:pPr>
              <w:jc w:val="right"/>
              <w:rPr>
                <w:color w:val="000000"/>
                <w:sz w:val="13"/>
                <w:szCs w:val="13"/>
              </w:rPr>
            </w:pPr>
            <w:r w:rsidRPr="001F224B">
              <w:rPr>
                <w:sz w:val="13"/>
                <w:szCs w:val="13"/>
              </w:rPr>
              <w:t>7.536.109</w:t>
            </w:r>
          </w:p>
        </w:tc>
      </w:tr>
      <w:tr w:rsidR="002B5162" w:rsidRPr="001F224B" w14:paraId="0934D6CC"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24F81379" w14:textId="77777777" w:rsidR="002B5162" w:rsidRPr="001F224B" w:rsidRDefault="002B5162" w:rsidP="002B5162">
            <w:pPr>
              <w:rPr>
                <w:rFonts w:eastAsia="Arial Unicode MS"/>
                <w:sz w:val="13"/>
                <w:szCs w:val="13"/>
              </w:rPr>
            </w:pPr>
            <w:r w:rsidRPr="001F224B">
              <w:rPr>
                <w:sz w:val="13"/>
                <w:szCs w:val="13"/>
              </w:rPr>
              <w:t>16.5.4</w:t>
            </w:r>
          </w:p>
        </w:tc>
        <w:tc>
          <w:tcPr>
            <w:tcW w:w="4819" w:type="dxa"/>
            <w:tcBorders>
              <w:top w:val="nil"/>
              <w:left w:val="nil"/>
              <w:bottom w:val="nil"/>
              <w:right w:val="nil"/>
            </w:tcBorders>
            <w:noWrap/>
            <w:tcMar>
              <w:top w:w="18" w:type="dxa"/>
              <w:left w:w="18" w:type="dxa"/>
              <w:bottom w:w="0" w:type="dxa"/>
              <w:right w:w="18" w:type="dxa"/>
            </w:tcMar>
            <w:vAlign w:val="bottom"/>
          </w:tcPr>
          <w:p w14:paraId="5C0FD276" w14:textId="77777777" w:rsidR="002B5162" w:rsidRPr="001F224B" w:rsidRDefault="002B5162" w:rsidP="002B5162">
            <w:pPr>
              <w:rPr>
                <w:rFonts w:eastAsia="Arial Unicode MS"/>
                <w:b/>
                <w:sz w:val="13"/>
                <w:szCs w:val="13"/>
              </w:rPr>
            </w:pPr>
            <w:r w:rsidRPr="001F224B">
              <w:rPr>
                <w:sz w:val="13"/>
                <w:szCs w:val="13"/>
              </w:rPr>
              <w:t>Diğer Kar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09D9F9"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2FC0EE2" w14:textId="6A8ED394" w:rsidR="002B5162" w:rsidRPr="001F224B" w:rsidRDefault="002B5162" w:rsidP="002B5162">
            <w:pPr>
              <w:jc w:val="right"/>
              <w:rPr>
                <w:sz w:val="13"/>
                <w:szCs w:val="13"/>
              </w:rPr>
            </w:pPr>
            <w:r w:rsidRPr="001F224B">
              <w:rPr>
                <w:sz w:val="13"/>
                <w:szCs w:val="13"/>
              </w:rPr>
              <w:t>54.226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D3BD62" w14:textId="313A765D"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1524CD" w14:textId="0B70D357" w:rsidR="002B5162" w:rsidRPr="001F224B" w:rsidRDefault="002B5162" w:rsidP="002B5162">
            <w:pPr>
              <w:jc w:val="right"/>
              <w:rPr>
                <w:sz w:val="13"/>
                <w:szCs w:val="13"/>
              </w:rPr>
            </w:pPr>
            <w:r w:rsidRPr="001F224B">
              <w:rPr>
                <w:sz w:val="13"/>
                <w:szCs w:val="13"/>
              </w:rPr>
              <w:t>54.226</w:t>
            </w:r>
          </w:p>
        </w:tc>
        <w:tc>
          <w:tcPr>
            <w:tcW w:w="725" w:type="dxa"/>
            <w:gridSpan w:val="2"/>
            <w:tcBorders>
              <w:top w:val="nil"/>
              <w:left w:val="single" w:sz="4" w:space="0" w:color="auto"/>
              <w:bottom w:val="nil"/>
              <w:right w:val="single" w:sz="4" w:space="0" w:color="auto"/>
            </w:tcBorders>
          </w:tcPr>
          <w:p w14:paraId="0E31C243" w14:textId="699B9DC7" w:rsidR="002B5162" w:rsidRPr="001F224B" w:rsidRDefault="002B5162" w:rsidP="002B5162">
            <w:pPr>
              <w:jc w:val="right"/>
              <w:rPr>
                <w:color w:val="000000"/>
                <w:sz w:val="13"/>
                <w:szCs w:val="13"/>
              </w:rPr>
            </w:pPr>
            <w:r w:rsidRPr="001F224B">
              <w:rPr>
                <w:sz w:val="13"/>
                <w:szCs w:val="13"/>
              </w:rPr>
              <w:t>54.226</w:t>
            </w:r>
          </w:p>
        </w:tc>
        <w:tc>
          <w:tcPr>
            <w:tcW w:w="692" w:type="dxa"/>
            <w:tcBorders>
              <w:top w:val="nil"/>
              <w:left w:val="nil"/>
              <w:bottom w:val="nil"/>
              <w:right w:val="single" w:sz="4" w:space="0" w:color="auto"/>
            </w:tcBorders>
          </w:tcPr>
          <w:p w14:paraId="25F64C7F" w14:textId="40BE84B0" w:rsidR="002B5162" w:rsidRPr="001F224B" w:rsidRDefault="002B5162" w:rsidP="002B5162">
            <w:pPr>
              <w:jc w:val="right"/>
              <w:rPr>
                <w:color w:val="000000"/>
                <w:sz w:val="13"/>
                <w:szCs w:val="13"/>
              </w:rPr>
            </w:pPr>
            <w:r w:rsidRPr="001F224B">
              <w:rPr>
                <w:sz w:val="13"/>
                <w:szCs w:val="13"/>
              </w:rPr>
              <w:t>-</w:t>
            </w:r>
          </w:p>
        </w:tc>
        <w:tc>
          <w:tcPr>
            <w:tcW w:w="709" w:type="dxa"/>
            <w:tcBorders>
              <w:top w:val="nil"/>
              <w:left w:val="nil"/>
              <w:bottom w:val="nil"/>
              <w:right w:val="single" w:sz="4" w:space="0" w:color="auto"/>
            </w:tcBorders>
          </w:tcPr>
          <w:p w14:paraId="74E17AE7" w14:textId="4254AF33" w:rsidR="002B5162" w:rsidRPr="001F224B" w:rsidRDefault="002B5162" w:rsidP="002B5162">
            <w:pPr>
              <w:jc w:val="right"/>
              <w:rPr>
                <w:color w:val="000000"/>
                <w:sz w:val="13"/>
                <w:szCs w:val="13"/>
              </w:rPr>
            </w:pPr>
            <w:r w:rsidRPr="001F224B">
              <w:rPr>
                <w:sz w:val="13"/>
                <w:szCs w:val="13"/>
              </w:rPr>
              <w:t>54.226</w:t>
            </w:r>
          </w:p>
        </w:tc>
      </w:tr>
      <w:tr w:rsidR="002B5162" w:rsidRPr="001F224B" w14:paraId="00BF7CF5"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4B2112B8"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16.6</w:t>
            </w:r>
          </w:p>
        </w:tc>
        <w:tc>
          <w:tcPr>
            <w:tcW w:w="4819" w:type="dxa"/>
            <w:tcBorders>
              <w:top w:val="nil"/>
              <w:left w:val="nil"/>
              <w:bottom w:val="nil"/>
              <w:right w:val="nil"/>
            </w:tcBorders>
            <w:noWrap/>
            <w:tcMar>
              <w:top w:w="18" w:type="dxa"/>
              <w:left w:w="18" w:type="dxa"/>
              <w:bottom w:w="0" w:type="dxa"/>
              <w:right w:w="18" w:type="dxa"/>
            </w:tcMar>
            <w:vAlign w:val="bottom"/>
          </w:tcPr>
          <w:p w14:paraId="4ED8090A"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Kar veya Zarar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DFA98F"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78C67D" w14:textId="7BD9B405" w:rsidR="002B5162" w:rsidRPr="001F224B" w:rsidRDefault="002B5162" w:rsidP="002B5162">
            <w:pPr>
              <w:jc w:val="right"/>
              <w:rPr>
                <w:sz w:val="13"/>
                <w:szCs w:val="13"/>
              </w:rPr>
            </w:pPr>
            <w:r w:rsidRPr="001F224B">
              <w:rPr>
                <w:sz w:val="13"/>
                <w:szCs w:val="13"/>
              </w:rPr>
              <w:t>4.013.756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6386B2" w14:textId="464A92DA"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3339F9" w14:textId="431E100A" w:rsidR="002B5162" w:rsidRPr="001F224B" w:rsidRDefault="002B5162" w:rsidP="002B5162">
            <w:pPr>
              <w:jc w:val="right"/>
              <w:rPr>
                <w:sz w:val="13"/>
                <w:szCs w:val="13"/>
              </w:rPr>
            </w:pPr>
            <w:r w:rsidRPr="001F224B">
              <w:rPr>
                <w:sz w:val="13"/>
                <w:szCs w:val="13"/>
              </w:rPr>
              <w:t>4.013.756</w:t>
            </w:r>
          </w:p>
        </w:tc>
        <w:tc>
          <w:tcPr>
            <w:tcW w:w="725" w:type="dxa"/>
            <w:gridSpan w:val="2"/>
            <w:tcBorders>
              <w:top w:val="nil"/>
              <w:left w:val="single" w:sz="4" w:space="0" w:color="auto"/>
              <w:bottom w:val="nil"/>
              <w:right w:val="single" w:sz="4" w:space="0" w:color="auto"/>
            </w:tcBorders>
          </w:tcPr>
          <w:p w14:paraId="5843E118" w14:textId="27B76BE6" w:rsidR="002B5162" w:rsidRPr="001F224B" w:rsidRDefault="002B5162" w:rsidP="002B5162">
            <w:pPr>
              <w:jc w:val="right"/>
              <w:rPr>
                <w:color w:val="000000"/>
                <w:sz w:val="13"/>
                <w:szCs w:val="13"/>
              </w:rPr>
            </w:pPr>
            <w:r w:rsidRPr="001F224B">
              <w:rPr>
                <w:sz w:val="13"/>
                <w:szCs w:val="13"/>
              </w:rPr>
              <w:t>6.175.535</w:t>
            </w:r>
          </w:p>
        </w:tc>
        <w:tc>
          <w:tcPr>
            <w:tcW w:w="692" w:type="dxa"/>
            <w:tcBorders>
              <w:top w:val="nil"/>
              <w:left w:val="nil"/>
              <w:bottom w:val="nil"/>
              <w:right w:val="single" w:sz="4" w:space="0" w:color="auto"/>
            </w:tcBorders>
          </w:tcPr>
          <w:p w14:paraId="3F1F352E" w14:textId="6CE4A06D" w:rsidR="002B5162" w:rsidRPr="001F224B" w:rsidRDefault="002B5162" w:rsidP="002B5162">
            <w:pPr>
              <w:jc w:val="right"/>
              <w:rPr>
                <w:color w:val="000000"/>
                <w:sz w:val="13"/>
                <w:szCs w:val="13"/>
              </w:rPr>
            </w:pPr>
            <w:r w:rsidRPr="001F224B">
              <w:rPr>
                <w:sz w:val="13"/>
                <w:szCs w:val="13"/>
              </w:rPr>
              <w:t>-</w:t>
            </w:r>
          </w:p>
        </w:tc>
        <w:tc>
          <w:tcPr>
            <w:tcW w:w="709" w:type="dxa"/>
            <w:tcBorders>
              <w:top w:val="nil"/>
              <w:left w:val="nil"/>
              <w:bottom w:val="nil"/>
              <w:right w:val="single" w:sz="4" w:space="0" w:color="auto"/>
            </w:tcBorders>
          </w:tcPr>
          <w:p w14:paraId="2B47E8EC" w14:textId="750B1992" w:rsidR="002B5162" w:rsidRPr="001F224B" w:rsidRDefault="002B5162" w:rsidP="002B5162">
            <w:pPr>
              <w:jc w:val="right"/>
              <w:rPr>
                <w:color w:val="000000"/>
                <w:sz w:val="13"/>
                <w:szCs w:val="13"/>
              </w:rPr>
            </w:pPr>
            <w:r w:rsidRPr="001F224B">
              <w:rPr>
                <w:sz w:val="13"/>
                <w:szCs w:val="13"/>
              </w:rPr>
              <w:t>6.175.535</w:t>
            </w:r>
          </w:p>
        </w:tc>
      </w:tr>
      <w:tr w:rsidR="002B5162" w:rsidRPr="001F224B" w14:paraId="45E85526" w14:textId="77777777" w:rsidTr="008E7ABE">
        <w:tc>
          <w:tcPr>
            <w:tcW w:w="426" w:type="dxa"/>
            <w:tcBorders>
              <w:top w:val="nil"/>
              <w:left w:val="single" w:sz="4" w:space="0" w:color="auto"/>
              <w:bottom w:val="nil"/>
              <w:right w:val="nil"/>
            </w:tcBorders>
            <w:noWrap/>
            <w:tcMar>
              <w:top w:w="18" w:type="dxa"/>
              <w:left w:w="18" w:type="dxa"/>
              <w:bottom w:w="0" w:type="dxa"/>
              <w:right w:w="18" w:type="dxa"/>
            </w:tcMar>
          </w:tcPr>
          <w:p w14:paraId="4D29609A" w14:textId="77777777" w:rsidR="002B5162" w:rsidRPr="001F224B" w:rsidRDefault="002B5162" w:rsidP="002B5162">
            <w:pPr>
              <w:rPr>
                <w:rFonts w:eastAsia="Arial Unicode MS"/>
                <w:b/>
                <w:sz w:val="13"/>
                <w:szCs w:val="13"/>
              </w:rPr>
            </w:pPr>
            <w:r w:rsidRPr="001F224B">
              <w:rPr>
                <w:sz w:val="13"/>
                <w:szCs w:val="13"/>
              </w:rPr>
              <w:t>16.6.1</w:t>
            </w:r>
          </w:p>
        </w:tc>
        <w:tc>
          <w:tcPr>
            <w:tcW w:w="4819" w:type="dxa"/>
            <w:tcBorders>
              <w:top w:val="nil"/>
              <w:left w:val="nil"/>
              <w:bottom w:val="nil"/>
              <w:right w:val="nil"/>
            </w:tcBorders>
            <w:noWrap/>
            <w:tcMar>
              <w:top w:w="18" w:type="dxa"/>
              <w:left w:w="18" w:type="dxa"/>
              <w:bottom w:w="0" w:type="dxa"/>
              <w:right w:w="18" w:type="dxa"/>
            </w:tcMar>
            <w:vAlign w:val="bottom"/>
          </w:tcPr>
          <w:p w14:paraId="476BC41F"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Geçmiş Yıllar Kar veya Zararı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4FA5D8"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99F501" w14:textId="4E95E95C" w:rsidR="002B5162" w:rsidRPr="001F224B" w:rsidRDefault="002B5162" w:rsidP="002B5162">
            <w:pPr>
              <w:jc w:val="right"/>
              <w:rPr>
                <w:sz w:val="13"/>
                <w:szCs w:val="13"/>
              </w:rPr>
            </w:pPr>
            <w:r w:rsidRPr="001F224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5927A4" w14:textId="1EE2ED32"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529737" w14:textId="106FBE84" w:rsidR="002B5162" w:rsidRPr="001F224B" w:rsidRDefault="002B5162" w:rsidP="002B5162">
            <w:pPr>
              <w:jc w:val="right"/>
              <w:rPr>
                <w:sz w:val="13"/>
                <w:szCs w:val="13"/>
              </w:rPr>
            </w:pPr>
            <w:r w:rsidRPr="001F224B">
              <w:rPr>
                <w:sz w:val="13"/>
                <w:szCs w:val="13"/>
              </w:rPr>
              <w:t>-</w:t>
            </w:r>
          </w:p>
        </w:tc>
        <w:tc>
          <w:tcPr>
            <w:tcW w:w="725" w:type="dxa"/>
            <w:gridSpan w:val="2"/>
            <w:tcBorders>
              <w:top w:val="nil"/>
              <w:left w:val="single" w:sz="4" w:space="0" w:color="auto"/>
              <w:bottom w:val="nil"/>
              <w:right w:val="single" w:sz="4" w:space="0" w:color="auto"/>
            </w:tcBorders>
            <w:vAlign w:val="bottom"/>
          </w:tcPr>
          <w:p w14:paraId="0980149E" w14:textId="5FC137F6" w:rsidR="002B5162" w:rsidRPr="001F224B" w:rsidRDefault="002B5162" w:rsidP="002B5162">
            <w:pPr>
              <w:jc w:val="right"/>
              <w:rPr>
                <w:color w:val="000000"/>
                <w:sz w:val="13"/>
                <w:szCs w:val="13"/>
              </w:rPr>
            </w:pPr>
            <w:r w:rsidRPr="001F224B">
              <w:rPr>
                <w:color w:val="000000"/>
                <w:sz w:val="13"/>
                <w:szCs w:val="13"/>
              </w:rPr>
              <w:t>-</w:t>
            </w:r>
          </w:p>
        </w:tc>
        <w:tc>
          <w:tcPr>
            <w:tcW w:w="692" w:type="dxa"/>
            <w:tcBorders>
              <w:top w:val="nil"/>
              <w:left w:val="nil"/>
              <w:bottom w:val="nil"/>
              <w:right w:val="single" w:sz="4" w:space="0" w:color="auto"/>
            </w:tcBorders>
          </w:tcPr>
          <w:p w14:paraId="11A399A3" w14:textId="3A559029" w:rsidR="002B5162" w:rsidRPr="001F224B" w:rsidRDefault="002B5162" w:rsidP="002B5162">
            <w:pPr>
              <w:jc w:val="right"/>
              <w:rPr>
                <w:color w:val="000000"/>
                <w:sz w:val="13"/>
                <w:szCs w:val="13"/>
              </w:rPr>
            </w:pPr>
            <w:r w:rsidRPr="001F224B">
              <w:rPr>
                <w:sz w:val="13"/>
                <w:szCs w:val="13"/>
              </w:rPr>
              <w:t>-</w:t>
            </w:r>
          </w:p>
        </w:tc>
        <w:tc>
          <w:tcPr>
            <w:tcW w:w="709" w:type="dxa"/>
            <w:tcBorders>
              <w:top w:val="nil"/>
              <w:left w:val="nil"/>
              <w:bottom w:val="nil"/>
              <w:right w:val="single" w:sz="4" w:space="0" w:color="auto"/>
            </w:tcBorders>
            <w:vAlign w:val="bottom"/>
          </w:tcPr>
          <w:p w14:paraId="4C49CA72" w14:textId="29614991" w:rsidR="002B5162" w:rsidRPr="001F224B" w:rsidRDefault="002B5162" w:rsidP="002B5162">
            <w:pPr>
              <w:jc w:val="right"/>
              <w:rPr>
                <w:color w:val="000000"/>
                <w:sz w:val="13"/>
                <w:szCs w:val="13"/>
              </w:rPr>
            </w:pPr>
            <w:r w:rsidRPr="001F224B">
              <w:rPr>
                <w:color w:val="000000"/>
                <w:sz w:val="13"/>
                <w:szCs w:val="13"/>
              </w:rPr>
              <w:t>-</w:t>
            </w:r>
          </w:p>
        </w:tc>
      </w:tr>
      <w:tr w:rsidR="002B5162" w:rsidRPr="001F224B" w14:paraId="052312BE" w14:textId="77777777" w:rsidTr="0057020F">
        <w:tc>
          <w:tcPr>
            <w:tcW w:w="426" w:type="dxa"/>
            <w:tcBorders>
              <w:top w:val="nil"/>
              <w:left w:val="single" w:sz="4" w:space="0" w:color="auto"/>
              <w:bottom w:val="nil"/>
              <w:right w:val="nil"/>
            </w:tcBorders>
            <w:noWrap/>
            <w:tcMar>
              <w:top w:w="18" w:type="dxa"/>
              <w:left w:w="18" w:type="dxa"/>
              <w:bottom w:w="0" w:type="dxa"/>
              <w:right w:w="18" w:type="dxa"/>
            </w:tcMar>
          </w:tcPr>
          <w:p w14:paraId="7D17758F" w14:textId="77777777" w:rsidR="002B5162" w:rsidRPr="001F224B" w:rsidRDefault="002B5162" w:rsidP="002B5162">
            <w:pPr>
              <w:rPr>
                <w:rFonts w:eastAsia="Arial Unicode MS"/>
                <w:sz w:val="13"/>
                <w:szCs w:val="13"/>
              </w:rPr>
            </w:pPr>
            <w:r w:rsidRPr="001F224B">
              <w:rPr>
                <w:sz w:val="13"/>
                <w:szCs w:val="13"/>
              </w:rPr>
              <w:t>16.6.2</w:t>
            </w:r>
          </w:p>
        </w:tc>
        <w:tc>
          <w:tcPr>
            <w:tcW w:w="4819" w:type="dxa"/>
            <w:tcBorders>
              <w:top w:val="nil"/>
              <w:left w:val="nil"/>
              <w:bottom w:val="nil"/>
              <w:right w:val="nil"/>
            </w:tcBorders>
            <w:noWrap/>
            <w:tcMar>
              <w:top w:w="18" w:type="dxa"/>
              <w:left w:w="18" w:type="dxa"/>
              <w:bottom w:w="0" w:type="dxa"/>
              <w:right w:w="18" w:type="dxa"/>
            </w:tcMar>
            <w:vAlign w:val="bottom"/>
          </w:tcPr>
          <w:p w14:paraId="0805D83A" w14:textId="77777777" w:rsidR="002B5162" w:rsidRPr="001F224B" w:rsidRDefault="002B5162" w:rsidP="002B5162">
            <w:pPr>
              <w:rPr>
                <w:rFonts w:eastAsia="Arial Unicode MS"/>
                <w:sz w:val="13"/>
                <w:szCs w:val="13"/>
              </w:rPr>
            </w:pPr>
            <w:r w:rsidRPr="001F224B">
              <w:rPr>
                <w:rFonts w:ascii="Times New Roman TUR" w:hAnsi="Times New Roman TUR"/>
                <w:sz w:val="13"/>
                <w:szCs w:val="13"/>
              </w:rPr>
              <w:t>Dönem Net Kar veya Zararı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44E47D"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FE6AD2" w14:textId="231D0C65" w:rsidR="002B5162" w:rsidRPr="001F224B" w:rsidRDefault="002B5162" w:rsidP="002B5162">
            <w:pPr>
              <w:jc w:val="right"/>
              <w:rPr>
                <w:sz w:val="13"/>
                <w:szCs w:val="13"/>
              </w:rPr>
            </w:pPr>
            <w:r w:rsidRPr="001F224B">
              <w:rPr>
                <w:sz w:val="13"/>
                <w:szCs w:val="13"/>
              </w:rPr>
              <w:t>4.013.756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54EB36" w14:textId="66028830" w:rsidR="002B5162" w:rsidRPr="001F224B" w:rsidRDefault="002B5162" w:rsidP="002B5162">
            <w:pPr>
              <w:jc w:val="right"/>
              <w:rPr>
                <w:sz w:val="13"/>
                <w:szCs w:val="13"/>
              </w:rPr>
            </w:pPr>
            <w:r w:rsidRPr="001F224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D01FD4" w14:textId="7F9A25F5" w:rsidR="002B5162" w:rsidRPr="001F224B" w:rsidRDefault="002B5162" w:rsidP="002B5162">
            <w:pPr>
              <w:jc w:val="right"/>
              <w:rPr>
                <w:sz w:val="13"/>
                <w:szCs w:val="13"/>
              </w:rPr>
            </w:pPr>
            <w:r w:rsidRPr="001F224B">
              <w:rPr>
                <w:sz w:val="13"/>
                <w:szCs w:val="13"/>
              </w:rPr>
              <w:t>4.013.756</w:t>
            </w:r>
          </w:p>
        </w:tc>
        <w:tc>
          <w:tcPr>
            <w:tcW w:w="725" w:type="dxa"/>
            <w:gridSpan w:val="2"/>
            <w:tcBorders>
              <w:top w:val="nil"/>
              <w:left w:val="single" w:sz="4" w:space="0" w:color="auto"/>
              <w:bottom w:val="nil"/>
              <w:right w:val="single" w:sz="4" w:space="0" w:color="auto"/>
            </w:tcBorders>
            <w:shd w:val="clear" w:color="000000" w:fill="FFFFFF"/>
          </w:tcPr>
          <w:p w14:paraId="1661DE1C" w14:textId="5F883347" w:rsidR="002B5162" w:rsidRPr="001F224B" w:rsidRDefault="002B5162" w:rsidP="002B5162">
            <w:pPr>
              <w:jc w:val="right"/>
              <w:rPr>
                <w:sz w:val="13"/>
                <w:szCs w:val="13"/>
              </w:rPr>
            </w:pPr>
            <w:r w:rsidRPr="001F224B">
              <w:rPr>
                <w:sz w:val="13"/>
                <w:szCs w:val="13"/>
              </w:rPr>
              <w:t>6.175.535</w:t>
            </w:r>
          </w:p>
        </w:tc>
        <w:tc>
          <w:tcPr>
            <w:tcW w:w="692" w:type="dxa"/>
            <w:tcBorders>
              <w:top w:val="nil"/>
              <w:left w:val="nil"/>
              <w:bottom w:val="nil"/>
              <w:right w:val="single" w:sz="4" w:space="0" w:color="auto"/>
            </w:tcBorders>
            <w:shd w:val="clear" w:color="000000" w:fill="FFFFFF"/>
          </w:tcPr>
          <w:p w14:paraId="4392A6B2" w14:textId="10BD93E2" w:rsidR="002B5162" w:rsidRPr="001F224B" w:rsidRDefault="002B5162" w:rsidP="002B5162">
            <w:pPr>
              <w:jc w:val="right"/>
              <w:rPr>
                <w:sz w:val="13"/>
                <w:szCs w:val="13"/>
              </w:rPr>
            </w:pPr>
            <w:r w:rsidRPr="001F224B">
              <w:rPr>
                <w:sz w:val="13"/>
                <w:szCs w:val="13"/>
              </w:rPr>
              <w:t>-</w:t>
            </w:r>
          </w:p>
        </w:tc>
        <w:tc>
          <w:tcPr>
            <w:tcW w:w="709" w:type="dxa"/>
            <w:tcBorders>
              <w:top w:val="nil"/>
              <w:left w:val="nil"/>
              <w:bottom w:val="nil"/>
              <w:right w:val="single" w:sz="4" w:space="0" w:color="auto"/>
            </w:tcBorders>
            <w:shd w:val="clear" w:color="000000" w:fill="FFFFFF"/>
          </w:tcPr>
          <w:p w14:paraId="6C11E24A" w14:textId="2B971B94" w:rsidR="002B5162" w:rsidRPr="001F224B" w:rsidRDefault="002B5162" w:rsidP="002B5162">
            <w:pPr>
              <w:jc w:val="right"/>
              <w:rPr>
                <w:sz w:val="13"/>
                <w:szCs w:val="13"/>
              </w:rPr>
            </w:pPr>
            <w:r w:rsidRPr="001F224B">
              <w:rPr>
                <w:sz w:val="13"/>
                <w:szCs w:val="13"/>
              </w:rPr>
              <w:t>6.175.535</w:t>
            </w:r>
          </w:p>
        </w:tc>
      </w:tr>
      <w:tr w:rsidR="002B5162" w:rsidRPr="001F224B" w14:paraId="009CE86D" w14:textId="77777777" w:rsidTr="00486778">
        <w:tc>
          <w:tcPr>
            <w:tcW w:w="426" w:type="dxa"/>
            <w:tcBorders>
              <w:top w:val="nil"/>
              <w:left w:val="single" w:sz="4" w:space="0" w:color="auto"/>
              <w:bottom w:val="nil"/>
              <w:right w:val="nil"/>
            </w:tcBorders>
            <w:noWrap/>
            <w:tcMar>
              <w:top w:w="18" w:type="dxa"/>
              <w:left w:w="18" w:type="dxa"/>
              <w:bottom w:w="0" w:type="dxa"/>
              <w:right w:w="18" w:type="dxa"/>
            </w:tcMar>
          </w:tcPr>
          <w:p w14:paraId="2D92BF31" w14:textId="77777777" w:rsidR="002B5162" w:rsidRPr="001F224B" w:rsidRDefault="002B5162" w:rsidP="002B5162">
            <w:pPr>
              <w:rPr>
                <w:rFonts w:eastAsia="Arial Unicode MS"/>
                <w:sz w:val="13"/>
                <w:szCs w:val="13"/>
              </w:rPr>
            </w:pPr>
            <w:r w:rsidRPr="001F224B">
              <w:rPr>
                <w:sz w:val="13"/>
                <w:szCs w:val="13"/>
              </w:rPr>
              <w:t>16.7.</w:t>
            </w:r>
          </w:p>
        </w:tc>
        <w:tc>
          <w:tcPr>
            <w:tcW w:w="4819" w:type="dxa"/>
            <w:tcBorders>
              <w:top w:val="nil"/>
              <w:left w:val="nil"/>
              <w:bottom w:val="nil"/>
              <w:right w:val="nil"/>
            </w:tcBorders>
            <w:noWrap/>
            <w:tcMar>
              <w:top w:w="18" w:type="dxa"/>
              <w:left w:w="18" w:type="dxa"/>
              <w:bottom w:w="0" w:type="dxa"/>
              <w:right w:w="18" w:type="dxa"/>
            </w:tcMar>
            <w:vAlign w:val="bottom"/>
          </w:tcPr>
          <w:p w14:paraId="71BD8F2B" w14:textId="77777777" w:rsidR="002B5162" w:rsidRPr="001F224B" w:rsidRDefault="002B5162" w:rsidP="002B5162">
            <w:pPr>
              <w:rPr>
                <w:rFonts w:eastAsia="Arial Unicode MS"/>
                <w:b/>
                <w:sz w:val="13"/>
                <w:szCs w:val="13"/>
              </w:rPr>
            </w:pPr>
            <w:r w:rsidRPr="001F224B">
              <w:rPr>
                <w:rFonts w:ascii="Times New Roman TUR" w:hAnsi="Times New Roman TUR"/>
                <w:sz w:val="13"/>
                <w:szCs w:val="13"/>
              </w:rPr>
              <w:t>Azınlık Payları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2A52B2"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2B323B2" w14:textId="3AD63F18" w:rsidR="002B5162" w:rsidRPr="001F224B" w:rsidRDefault="002B5162" w:rsidP="002B5162">
            <w:pPr>
              <w:jc w:val="right"/>
              <w:rPr>
                <w:sz w:val="13"/>
                <w:szCs w:val="13"/>
              </w:rPr>
            </w:pPr>
            <w:r w:rsidRPr="001F224B">
              <w:rPr>
                <w:sz w:val="13"/>
                <w:szCs w:val="13"/>
              </w:rPr>
              <w:t>-</w:t>
            </w:r>
          </w:p>
        </w:tc>
        <w:tc>
          <w:tcPr>
            <w:tcW w:w="764" w:type="dxa"/>
            <w:tcBorders>
              <w:top w:val="nil"/>
              <w:left w:val="nil"/>
              <w:right w:val="single" w:sz="4" w:space="0" w:color="auto"/>
            </w:tcBorders>
            <w:shd w:val="clear" w:color="auto" w:fill="auto"/>
            <w:noWrap/>
            <w:tcMar>
              <w:top w:w="18" w:type="dxa"/>
              <w:left w:w="18" w:type="dxa"/>
              <w:bottom w:w="0" w:type="dxa"/>
              <w:right w:w="18" w:type="dxa"/>
            </w:tcMar>
            <w:vAlign w:val="bottom"/>
          </w:tcPr>
          <w:p w14:paraId="6D6D43DF" w14:textId="483F43E0" w:rsidR="002B5162" w:rsidRPr="001F224B" w:rsidRDefault="002B5162" w:rsidP="002B5162">
            <w:pPr>
              <w:jc w:val="right"/>
              <w:rPr>
                <w:sz w:val="13"/>
                <w:szCs w:val="13"/>
              </w:rPr>
            </w:pPr>
            <w:r w:rsidRPr="001F224B">
              <w:rPr>
                <w:sz w:val="13"/>
                <w:szCs w:val="13"/>
              </w:rPr>
              <w:t>-</w:t>
            </w:r>
          </w:p>
        </w:tc>
        <w:tc>
          <w:tcPr>
            <w:tcW w:w="709" w:type="dxa"/>
            <w:tcBorders>
              <w:top w:val="nil"/>
              <w:left w:val="nil"/>
              <w:right w:val="single" w:sz="4" w:space="0" w:color="auto"/>
            </w:tcBorders>
            <w:shd w:val="clear" w:color="auto" w:fill="auto"/>
            <w:noWrap/>
            <w:tcMar>
              <w:top w:w="18" w:type="dxa"/>
              <w:left w:w="18" w:type="dxa"/>
              <w:bottom w:w="0" w:type="dxa"/>
              <w:right w:w="18" w:type="dxa"/>
            </w:tcMar>
            <w:vAlign w:val="bottom"/>
          </w:tcPr>
          <w:p w14:paraId="13D1A48C" w14:textId="3E1BBF24" w:rsidR="002B5162" w:rsidRPr="001F224B" w:rsidRDefault="002B5162" w:rsidP="002B5162">
            <w:pPr>
              <w:jc w:val="right"/>
              <w:rPr>
                <w:sz w:val="13"/>
                <w:szCs w:val="13"/>
              </w:rPr>
            </w:pPr>
            <w:r w:rsidRPr="001F224B">
              <w:rPr>
                <w:sz w:val="13"/>
                <w:szCs w:val="13"/>
              </w:rPr>
              <w:t>-</w:t>
            </w:r>
          </w:p>
        </w:tc>
        <w:tc>
          <w:tcPr>
            <w:tcW w:w="725" w:type="dxa"/>
            <w:gridSpan w:val="2"/>
            <w:tcBorders>
              <w:top w:val="nil"/>
              <w:left w:val="nil"/>
              <w:right w:val="single" w:sz="4" w:space="0" w:color="auto"/>
            </w:tcBorders>
            <w:vAlign w:val="bottom"/>
          </w:tcPr>
          <w:p w14:paraId="6CA23CF0" w14:textId="142DB001" w:rsidR="002B5162" w:rsidRPr="001F224B" w:rsidRDefault="002B5162" w:rsidP="002B5162">
            <w:pPr>
              <w:jc w:val="right"/>
              <w:rPr>
                <w:sz w:val="13"/>
                <w:szCs w:val="13"/>
              </w:rPr>
            </w:pPr>
            <w:r w:rsidRPr="001F224B">
              <w:rPr>
                <w:sz w:val="13"/>
                <w:szCs w:val="13"/>
              </w:rPr>
              <w:t>-</w:t>
            </w:r>
          </w:p>
        </w:tc>
        <w:tc>
          <w:tcPr>
            <w:tcW w:w="692" w:type="dxa"/>
            <w:tcBorders>
              <w:top w:val="nil"/>
              <w:left w:val="nil"/>
              <w:right w:val="single" w:sz="4" w:space="0" w:color="auto"/>
            </w:tcBorders>
            <w:vAlign w:val="bottom"/>
          </w:tcPr>
          <w:p w14:paraId="2708B83A" w14:textId="3D246904" w:rsidR="002B5162" w:rsidRPr="001F224B" w:rsidRDefault="002B5162" w:rsidP="002B5162">
            <w:pPr>
              <w:jc w:val="right"/>
              <w:rPr>
                <w:sz w:val="13"/>
                <w:szCs w:val="13"/>
              </w:rPr>
            </w:pPr>
            <w:r w:rsidRPr="001F224B">
              <w:rPr>
                <w:sz w:val="13"/>
                <w:szCs w:val="13"/>
              </w:rPr>
              <w:t>-</w:t>
            </w:r>
          </w:p>
        </w:tc>
        <w:tc>
          <w:tcPr>
            <w:tcW w:w="709" w:type="dxa"/>
            <w:tcBorders>
              <w:top w:val="nil"/>
              <w:left w:val="nil"/>
              <w:right w:val="single" w:sz="4" w:space="0" w:color="auto"/>
            </w:tcBorders>
            <w:vAlign w:val="bottom"/>
          </w:tcPr>
          <w:p w14:paraId="1490586C" w14:textId="25FAA002" w:rsidR="002B5162" w:rsidRPr="001F224B" w:rsidRDefault="002B5162" w:rsidP="002B5162">
            <w:pPr>
              <w:jc w:val="right"/>
              <w:rPr>
                <w:sz w:val="13"/>
                <w:szCs w:val="13"/>
              </w:rPr>
            </w:pPr>
            <w:r w:rsidRPr="001F224B">
              <w:rPr>
                <w:sz w:val="13"/>
                <w:szCs w:val="13"/>
              </w:rPr>
              <w:t>-</w:t>
            </w:r>
          </w:p>
        </w:tc>
      </w:tr>
      <w:tr w:rsidR="002B5162" w:rsidRPr="001F224B" w14:paraId="4194BCBB"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1E8D5220" w14:textId="77777777" w:rsidR="002B5162" w:rsidRPr="001F224B" w:rsidRDefault="002B5162" w:rsidP="002B5162">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2E9455C4" w14:textId="77777777" w:rsidR="002B5162" w:rsidRPr="001F224B" w:rsidRDefault="002B5162" w:rsidP="002B5162">
            <w:pPr>
              <w:rPr>
                <w:rFonts w:eastAsia="Arial Unicode MS"/>
                <w:b/>
                <w:sz w:val="13"/>
                <w:szCs w:val="13"/>
              </w:rPr>
            </w:pP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AB11C4" w14:textId="77777777" w:rsidR="002B5162" w:rsidRPr="001F224B" w:rsidRDefault="002B5162" w:rsidP="002B5162">
            <w:pPr>
              <w:jc w:val="center"/>
              <w:rPr>
                <w:rFonts w:eastAsia="Arial Unicode MS"/>
                <w:b/>
                <w:sz w:val="13"/>
                <w:szCs w:val="13"/>
              </w:rPr>
            </w:pPr>
          </w:p>
        </w:tc>
        <w:tc>
          <w:tcPr>
            <w:tcW w:w="795"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3CD547F5" w14:textId="7E48D1D2" w:rsidR="002B5162" w:rsidRPr="001F224B" w:rsidRDefault="002B5162" w:rsidP="002B5162">
            <w:pPr>
              <w:jc w:val="right"/>
              <w:rPr>
                <w:sz w:val="13"/>
                <w:szCs w:val="13"/>
              </w:rPr>
            </w:pPr>
          </w:p>
        </w:tc>
        <w:tc>
          <w:tcPr>
            <w:tcW w:w="764"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5D366997" w14:textId="0622C0BD" w:rsidR="002B5162" w:rsidRPr="001F224B" w:rsidRDefault="002B5162" w:rsidP="002B5162">
            <w:pPr>
              <w:jc w:val="right"/>
              <w:rPr>
                <w:sz w:val="13"/>
                <w:szCs w:val="13"/>
              </w:rPr>
            </w:pPr>
          </w:p>
        </w:tc>
        <w:tc>
          <w:tcPr>
            <w:tcW w:w="70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0B7DB773" w14:textId="78F9118A" w:rsidR="002B5162" w:rsidRPr="001F224B" w:rsidRDefault="002B5162" w:rsidP="002B5162">
            <w:pPr>
              <w:jc w:val="right"/>
              <w:rPr>
                <w:sz w:val="13"/>
                <w:szCs w:val="13"/>
              </w:rPr>
            </w:pPr>
          </w:p>
        </w:tc>
        <w:tc>
          <w:tcPr>
            <w:tcW w:w="725" w:type="dxa"/>
            <w:gridSpan w:val="2"/>
            <w:tcBorders>
              <w:top w:val="nil"/>
              <w:left w:val="nil"/>
              <w:bottom w:val="single" w:sz="4" w:space="0" w:color="auto"/>
              <w:right w:val="single" w:sz="4" w:space="0" w:color="auto"/>
            </w:tcBorders>
          </w:tcPr>
          <w:p w14:paraId="70F37856" w14:textId="1B78D10E" w:rsidR="002B5162" w:rsidRPr="001F224B" w:rsidRDefault="002B5162" w:rsidP="002B5162">
            <w:pPr>
              <w:jc w:val="right"/>
              <w:rPr>
                <w:sz w:val="13"/>
                <w:szCs w:val="13"/>
              </w:rPr>
            </w:pPr>
          </w:p>
        </w:tc>
        <w:tc>
          <w:tcPr>
            <w:tcW w:w="692" w:type="dxa"/>
            <w:tcBorders>
              <w:top w:val="nil"/>
              <w:left w:val="nil"/>
              <w:bottom w:val="single" w:sz="4" w:space="0" w:color="auto"/>
              <w:right w:val="single" w:sz="4" w:space="0" w:color="auto"/>
            </w:tcBorders>
          </w:tcPr>
          <w:p w14:paraId="475C78F9" w14:textId="04F8C94D" w:rsidR="002B5162" w:rsidRPr="001F224B" w:rsidRDefault="002B5162" w:rsidP="002B5162">
            <w:pPr>
              <w:jc w:val="right"/>
              <w:rPr>
                <w:sz w:val="13"/>
                <w:szCs w:val="13"/>
              </w:rPr>
            </w:pPr>
          </w:p>
        </w:tc>
        <w:tc>
          <w:tcPr>
            <w:tcW w:w="709" w:type="dxa"/>
            <w:tcBorders>
              <w:top w:val="nil"/>
              <w:left w:val="nil"/>
              <w:bottom w:val="single" w:sz="4" w:space="0" w:color="auto"/>
              <w:right w:val="single" w:sz="4" w:space="0" w:color="auto"/>
            </w:tcBorders>
          </w:tcPr>
          <w:p w14:paraId="4199BA81" w14:textId="574F3FD3" w:rsidR="002B5162" w:rsidRPr="001F224B" w:rsidRDefault="002B5162" w:rsidP="002B5162">
            <w:pPr>
              <w:jc w:val="right"/>
              <w:rPr>
                <w:sz w:val="13"/>
                <w:szCs w:val="13"/>
              </w:rPr>
            </w:pPr>
          </w:p>
        </w:tc>
      </w:tr>
      <w:tr w:rsidR="002B5162" w:rsidRPr="001F224B" w14:paraId="08B232C3" w14:textId="77777777" w:rsidTr="00FA6E13">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021931EC" w14:textId="77777777" w:rsidR="002B5162" w:rsidRPr="001F224B" w:rsidRDefault="002B5162" w:rsidP="002B5162">
            <w:pPr>
              <w:rPr>
                <w:rFonts w:eastAsia="Arial Unicode MS"/>
                <w:b/>
                <w:sz w:val="13"/>
                <w:szCs w:val="13"/>
              </w:rPr>
            </w:pPr>
            <w:r w:rsidRPr="001F224B">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1B9CD200" w14:textId="77777777" w:rsidR="002B5162" w:rsidRPr="001F224B" w:rsidRDefault="002B5162" w:rsidP="002B5162">
            <w:pPr>
              <w:rPr>
                <w:rFonts w:eastAsia="Arial Unicode MS"/>
                <w:b/>
                <w:sz w:val="13"/>
                <w:szCs w:val="13"/>
              </w:rPr>
            </w:pPr>
            <w:r w:rsidRPr="001F224B">
              <w:rPr>
                <w:rFonts w:eastAsia="Arial Unicode MS"/>
                <w:b/>
                <w:sz w:val="13"/>
                <w:szCs w:val="13"/>
              </w:rPr>
              <w:t>YÜKÜMLÜLÜKLER TOPLAMI</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A31045F" w14:textId="77777777" w:rsidR="002B5162" w:rsidRPr="001F224B" w:rsidRDefault="002B5162" w:rsidP="002B5162">
            <w:pPr>
              <w:jc w:val="center"/>
              <w:rPr>
                <w:rFonts w:eastAsia="Arial Unicode MS"/>
                <w:sz w:val="13"/>
                <w:szCs w:val="13"/>
              </w:rPr>
            </w:pPr>
          </w:p>
        </w:tc>
        <w:tc>
          <w:tcPr>
            <w:tcW w:w="795"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75818E18" w14:textId="6835CC27" w:rsidR="002B5162" w:rsidRPr="001F224B" w:rsidRDefault="002B5162" w:rsidP="002B5162">
            <w:pPr>
              <w:jc w:val="right"/>
              <w:rPr>
                <w:b/>
                <w:bCs/>
                <w:sz w:val="13"/>
                <w:szCs w:val="13"/>
              </w:rPr>
            </w:pPr>
            <w:r w:rsidRPr="001F224B">
              <w:rPr>
                <w:b/>
                <w:bCs/>
                <w:sz w:val="13"/>
                <w:szCs w:val="13"/>
              </w:rPr>
              <w:t>65.134.599</w:t>
            </w:r>
          </w:p>
        </w:tc>
        <w:tc>
          <w:tcPr>
            <w:tcW w:w="764"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063529E8" w14:textId="7952E3E6" w:rsidR="002B5162" w:rsidRPr="001F224B" w:rsidRDefault="002B5162" w:rsidP="002B5162">
            <w:pPr>
              <w:jc w:val="right"/>
              <w:rPr>
                <w:b/>
                <w:bCs/>
                <w:sz w:val="13"/>
                <w:szCs w:val="13"/>
              </w:rPr>
            </w:pPr>
            <w:r w:rsidRPr="001F224B">
              <w:rPr>
                <w:b/>
                <w:bCs/>
                <w:sz w:val="13"/>
                <w:szCs w:val="13"/>
              </w:rPr>
              <w:t>120.357.596</w:t>
            </w:r>
          </w:p>
        </w:tc>
        <w:tc>
          <w:tcPr>
            <w:tcW w:w="709"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40954E12" w14:textId="560E2D9F" w:rsidR="002B5162" w:rsidRPr="001F224B" w:rsidRDefault="002B5162" w:rsidP="002B5162">
            <w:pPr>
              <w:jc w:val="right"/>
              <w:rPr>
                <w:b/>
                <w:bCs/>
                <w:sz w:val="13"/>
                <w:szCs w:val="13"/>
              </w:rPr>
            </w:pPr>
            <w:r w:rsidRPr="001F224B">
              <w:rPr>
                <w:b/>
                <w:bCs/>
                <w:sz w:val="13"/>
                <w:szCs w:val="13"/>
              </w:rPr>
              <w:t>185.492.195</w:t>
            </w:r>
          </w:p>
        </w:tc>
        <w:tc>
          <w:tcPr>
            <w:tcW w:w="725" w:type="dxa"/>
            <w:gridSpan w:val="2"/>
            <w:tcBorders>
              <w:top w:val="single" w:sz="4" w:space="0" w:color="auto"/>
              <w:left w:val="single" w:sz="4" w:space="0" w:color="auto"/>
              <w:bottom w:val="single" w:sz="4" w:space="0" w:color="auto"/>
              <w:right w:val="single" w:sz="4" w:space="0" w:color="auto"/>
            </w:tcBorders>
          </w:tcPr>
          <w:p w14:paraId="3AE0E97F" w14:textId="1B7805BB" w:rsidR="002B5162" w:rsidRPr="001F224B" w:rsidRDefault="002B5162" w:rsidP="002B5162">
            <w:pPr>
              <w:jc w:val="right"/>
              <w:rPr>
                <w:b/>
                <w:bCs/>
                <w:color w:val="000000"/>
                <w:sz w:val="13"/>
                <w:szCs w:val="13"/>
              </w:rPr>
            </w:pPr>
            <w:r w:rsidRPr="001F224B">
              <w:rPr>
                <w:b/>
                <w:bCs/>
                <w:sz w:val="13"/>
                <w:szCs w:val="13"/>
              </w:rPr>
              <w:t>55.057.923</w:t>
            </w:r>
          </w:p>
        </w:tc>
        <w:tc>
          <w:tcPr>
            <w:tcW w:w="692" w:type="dxa"/>
            <w:tcBorders>
              <w:top w:val="single" w:sz="4" w:space="0" w:color="auto"/>
              <w:left w:val="nil"/>
              <w:bottom w:val="single" w:sz="4" w:space="0" w:color="auto"/>
              <w:right w:val="single" w:sz="4" w:space="0" w:color="auto"/>
            </w:tcBorders>
          </w:tcPr>
          <w:p w14:paraId="616A889F" w14:textId="6ED45296" w:rsidR="002B5162" w:rsidRPr="001F224B" w:rsidRDefault="002B5162" w:rsidP="002B5162">
            <w:pPr>
              <w:jc w:val="right"/>
              <w:rPr>
                <w:b/>
                <w:bCs/>
                <w:color w:val="000000"/>
                <w:sz w:val="13"/>
                <w:szCs w:val="13"/>
              </w:rPr>
            </w:pPr>
            <w:r w:rsidRPr="001F224B">
              <w:rPr>
                <w:b/>
                <w:bCs/>
                <w:sz w:val="13"/>
                <w:szCs w:val="13"/>
              </w:rPr>
              <w:t>98.536.546</w:t>
            </w:r>
          </w:p>
        </w:tc>
        <w:tc>
          <w:tcPr>
            <w:tcW w:w="709" w:type="dxa"/>
            <w:tcBorders>
              <w:top w:val="single" w:sz="4" w:space="0" w:color="auto"/>
              <w:left w:val="nil"/>
              <w:bottom w:val="single" w:sz="4" w:space="0" w:color="auto"/>
              <w:right w:val="single" w:sz="4" w:space="0" w:color="auto"/>
            </w:tcBorders>
          </w:tcPr>
          <w:p w14:paraId="4F0833A5" w14:textId="2CBBC58D" w:rsidR="002B5162" w:rsidRPr="001F224B" w:rsidRDefault="002B5162" w:rsidP="002B5162">
            <w:pPr>
              <w:jc w:val="right"/>
              <w:rPr>
                <w:b/>
                <w:bCs/>
                <w:color w:val="000000"/>
                <w:sz w:val="13"/>
                <w:szCs w:val="13"/>
              </w:rPr>
            </w:pPr>
            <w:r w:rsidRPr="001F224B">
              <w:rPr>
                <w:b/>
                <w:bCs/>
                <w:sz w:val="13"/>
                <w:szCs w:val="13"/>
              </w:rPr>
              <w:t>153.594.469</w:t>
            </w:r>
          </w:p>
        </w:tc>
      </w:tr>
    </w:tbl>
    <w:p w14:paraId="375212F2" w14:textId="77777777" w:rsidR="00C37DF5" w:rsidRPr="001F224B" w:rsidRDefault="00C37DF5" w:rsidP="00973AB3">
      <w:pPr>
        <w:ind w:left="170"/>
        <w:rPr>
          <w:b/>
          <w:bCs/>
          <w:sz w:val="16"/>
          <w:szCs w:val="16"/>
        </w:rPr>
      </w:pPr>
    </w:p>
    <w:p w14:paraId="62AD98EA" w14:textId="77777777" w:rsidR="00C37DF5" w:rsidRPr="001F224B" w:rsidRDefault="00C37DF5">
      <w:pPr>
        <w:rPr>
          <w:b/>
          <w:bCs/>
          <w:sz w:val="16"/>
          <w:szCs w:val="16"/>
        </w:rPr>
      </w:pPr>
    </w:p>
    <w:p w14:paraId="38D04264" w14:textId="77777777" w:rsidR="00E66603" w:rsidRPr="001F224B" w:rsidRDefault="00E66603">
      <w:pPr>
        <w:rPr>
          <w:b/>
          <w:bCs/>
          <w:sz w:val="16"/>
          <w:szCs w:val="16"/>
        </w:rPr>
      </w:pPr>
    </w:p>
    <w:p w14:paraId="288FDA0F" w14:textId="77777777" w:rsidR="00015426" w:rsidRPr="001F224B" w:rsidRDefault="00015426">
      <w:pPr>
        <w:rPr>
          <w:b/>
          <w:bCs/>
          <w:sz w:val="16"/>
          <w:szCs w:val="16"/>
        </w:rPr>
      </w:pPr>
    </w:p>
    <w:p w14:paraId="31AD4239" w14:textId="77777777" w:rsidR="00DF0782" w:rsidRPr="001F224B" w:rsidRDefault="00DF0782">
      <w:pPr>
        <w:rPr>
          <w:b/>
          <w:bCs/>
          <w:sz w:val="16"/>
          <w:szCs w:val="16"/>
        </w:rPr>
      </w:pPr>
    </w:p>
    <w:p w14:paraId="5ED25734" w14:textId="77777777" w:rsidR="00E66603" w:rsidRPr="001F224B" w:rsidRDefault="00E66603">
      <w:pPr>
        <w:rPr>
          <w:b/>
          <w:bCs/>
          <w:sz w:val="16"/>
          <w:szCs w:val="16"/>
        </w:rPr>
      </w:pPr>
    </w:p>
    <w:p w14:paraId="46683F35" w14:textId="77777777" w:rsidR="000971A0" w:rsidRPr="001F224B" w:rsidRDefault="000971A0" w:rsidP="00015426">
      <w:pPr>
        <w:jc w:val="center"/>
        <w:rPr>
          <w:bCs/>
          <w:sz w:val="16"/>
          <w:szCs w:val="16"/>
        </w:rPr>
      </w:pPr>
    </w:p>
    <w:p w14:paraId="284D9B83" w14:textId="77777777" w:rsidR="007F671E" w:rsidRPr="001F224B" w:rsidRDefault="007F671E" w:rsidP="00015426">
      <w:pPr>
        <w:jc w:val="center"/>
        <w:rPr>
          <w:bCs/>
          <w:sz w:val="16"/>
          <w:szCs w:val="16"/>
        </w:rPr>
      </w:pPr>
    </w:p>
    <w:p w14:paraId="4453C077" w14:textId="77777777" w:rsidR="007F671E" w:rsidRPr="001F224B" w:rsidRDefault="007F671E" w:rsidP="00015426">
      <w:pPr>
        <w:jc w:val="center"/>
        <w:rPr>
          <w:bCs/>
          <w:sz w:val="16"/>
          <w:szCs w:val="16"/>
        </w:rPr>
      </w:pPr>
    </w:p>
    <w:p w14:paraId="5C0B60D5" w14:textId="77777777" w:rsidR="000971A0" w:rsidRPr="001F224B" w:rsidRDefault="000971A0" w:rsidP="00015426">
      <w:pPr>
        <w:jc w:val="center"/>
        <w:rPr>
          <w:bCs/>
          <w:sz w:val="16"/>
          <w:szCs w:val="16"/>
        </w:rPr>
      </w:pPr>
    </w:p>
    <w:p w14:paraId="3B8EAFC9" w14:textId="77777777" w:rsidR="000971A0" w:rsidRPr="001F224B" w:rsidRDefault="000971A0" w:rsidP="00015426">
      <w:pPr>
        <w:jc w:val="center"/>
        <w:rPr>
          <w:bCs/>
          <w:sz w:val="16"/>
          <w:szCs w:val="16"/>
        </w:rPr>
      </w:pPr>
    </w:p>
    <w:p w14:paraId="6BFA74C7" w14:textId="77777777" w:rsidR="00FF68E8" w:rsidRPr="001F224B" w:rsidRDefault="00FF68E8" w:rsidP="00015426">
      <w:pPr>
        <w:jc w:val="center"/>
        <w:rPr>
          <w:bCs/>
          <w:sz w:val="16"/>
          <w:szCs w:val="16"/>
        </w:rPr>
      </w:pPr>
    </w:p>
    <w:p w14:paraId="025EF06E" w14:textId="77777777" w:rsidR="00FF68E8" w:rsidRPr="001F224B" w:rsidRDefault="00FF68E8" w:rsidP="00015426">
      <w:pPr>
        <w:jc w:val="center"/>
        <w:rPr>
          <w:bCs/>
          <w:sz w:val="16"/>
          <w:szCs w:val="16"/>
        </w:rPr>
      </w:pPr>
    </w:p>
    <w:p w14:paraId="0F3A6270" w14:textId="77777777" w:rsidR="00FF68E8" w:rsidRPr="001F224B" w:rsidRDefault="00FF68E8" w:rsidP="00015426">
      <w:pPr>
        <w:jc w:val="center"/>
        <w:rPr>
          <w:bCs/>
          <w:sz w:val="16"/>
          <w:szCs w:val="16"/>
        </w:rPr>
      </w:pPr>
    </w:p>
    <w:p w14:paraId="4DDF1830" w14:textId="77777777" w:rsidR="00FF68E8" w:rsidRPr="001F224B" w:rsidRDefault="00FF68E8" w:rsidP="00015426">
      <w:pPr>
        <w:jc w:val="center"/>
        <w:rPr>
          <w:bCs/>
          <w:sz w:val="16"/>
          <w:szCs w:val="16"/>
        </w:rPr>
      </w:pPr>
    </w:p>
    <w:p w14:paraId="02AFCE72" w14:textId="77777777" w:rsidR="00FF68E8" w:rsidRPr="001F224B" w:rsidRDefault="00FF68E8" w:rsidP="00015426">
      <w:pPr>
        <w:jc w:val="center"/>
        <w:rPr>
          <w:bCs/>
          <w:sz w:val="16"/>
          <w:szCs w:val="16"/>
        </w:rPr>
      </w:pPr>
    </w:p>
    <w:p w14:paraId="2D8F9932" w14:textId="77777777" w:rsidR="00FF68E8" w:rsidRPr="001F224B" w:rsidRDefault="00FF68E8" w:rsidP="00015426">
      <w:pPr>
        <w:jc w:val="center"/>
        <w:rPr>
          <w:bCs/>
          <w:sz w:val="16"/>
          <w:szCs w:val="16"/>
        </w:rPr>
      </w:pPr>
    </w:p>
    <w:p w14:paraId="78F4EC54" w14:textId="77777777" w:rsidR="00FF68E8" w:rsidRPr="001F224B" w:rsidRDefault="00FF68E8" w:rsidP="00015426">
      <w:pPr>
        <w:jc w:val="center"/>
        <w:rPr>
          <w:bCs/>
          <w:sz w:val="16"/>
          <w:szCs w:val="16"/>
        </w:rPr>
      </w:pPr>
    </w:p>
    <w:p w14:paraId="671B4933" w14:textId="73B205D1" w:rsidR="004B2124" w:rsidRPr="001F224B" w:rsidRDefault="00015426" w:rsidP="00015426">
      <w:pPr>
        <w:jc w:val="center"/>
        <w:rPr>
          <w:bCs/>
          <w:sz w:val="16"/>
          <w:szCs w:val="16"/>
        </w:rPr>
        <w:sectPr w:rsidR="004B2124" w:rsidRPr="001F224B" w:rsidSect="008D64CC">
          <w:headerReference w:type="first" r:id="rId82"/>
          <w:footerReference w:type="first" r:id="rId83"/>
          <w:pgSz w:w="11907" w:h="16840" w:code="9"/>
          <w:pgMar w:top="680" w:right="964" w:bottom="567" w:left="1134" w:header="624" w:footer="397" w:gutter="0"/>
          <w:cols w:space="708"/>
          <w:titlePg/>
          <w:docGrid w:linePitch="326"/>
        </w:sectPr>
      </w:pPr>
      <w:r w:rsidRPr="001F224B">
        <w:rPr>
          <w:bCs/>
          <w:sz w:val="16"/>
          <w:szCs w:val="16"/>
        </w:rPr>
        <w:t xml:space="preserve">İlişikteki açıklama ve dipnotlar bu </w:t>
      </w:r>
      <w:r w:rsidR="00931929" w:rsidRPr="001F224B">
        <w:rPr>
          <w:bCs/>
          <w:sz w:val="16"/>
          <w:szCs w:val="16"/>
        </w:rPr>
        <w:t xml:space="preserve">konsolide </w:t>
      </w:r>
      <w:r w:rsidRPr="001F224B">
        <w:rPr>
          <w:bCs/>
          <w:sz w:val="16"/>
          <w:szCs w:val="16"/>
        </w:rPr>
        <w:t>finansal tabloların tamamlayıcı parçalarıdır.</w:t>
      </w:r>
    </w:p>
    <w:tbl>
      <w:tblPr>
        <w:tblW w:w="10348" w:type="dxa"/>
        <w:tblInd w:w="-3" w:type="dxa"/>
        <w:tblLayout w:type="fixed"/>
        <w:tblLook w:val="04A0" w:firstRow="1" w:lastRow="0" w:firstColumn="1" w:lastColumn="0" w:noHBand="0" w:noVBand="1"/>
      </w:tblPr>
      <w:tblGrid>
        <w:gridCol w:w="579"/>
        <w:gridCol w:w="3901"/>
        <w:gridCol w:w="658"/>
        <w:gridCol w:w="868"/>
        <w:gridCol w:w="868"/>
        <w:gridCol w:w="869"/>
        <w:gridCol w:w="868"/>
        <w:gridCol w:w="868"/>
        <w:gridCol w:w="869"/>
      </w:tblGrid>
      <w:tr w:rsidR="00915FD0" w:rsidRPr="001F224B" w14:paraId="496C5FE1" w14:textId="77777777" w:rsidTr="007E66AD">
        <w:trPr>
          <w:trHeight w:val="281"/>
        </w:trPr>
        <w:tc>
          <w:tcPr>
            <w:tcW w:w="4480" w:type="dxa"/>
            <w:gridSpan w:val="2"/>
            <w:vMerge w:val="restart"/>
            <w:tcBorders>
              <w:top w:val="single" w:sz="2" w:space="0" w:color="auto"/>
              <w:left w:val="single" w:sz="2" w:space="0" w:color="auto"/>
              <w:bottom w:val="single" w:sz="8" w:space="0" w:color="000000"/>
              <w:right w:val="single" w:sz="2" w:space="0" w:color="auto"/>
            </w:tcBorders>
            <w:shd w:val="clear" w:color="auto" w:fill="auto"/>
            <w:noWrap/>
            <w:vAlign w:val="center"/>
            <w:hideMark/>
          </w:tcPr>
          <w:p w14:paraId="66A340CE" w14:textId="40879B48" w:rsidR="00915FD0" w:rsidRPr="001F224B" w:rsidRDefault="00EA66D9" w:rsidP="00DE7F91">
            <w:pPr>
              <w:pStyle w:val="ListParagraph"/>
              <w:numPr>
                <w:ilvl w:val="0"/>
                <w:numId w:val="20"/>
              </w:numPr>
              <w:ind w:left="459" w:hanging="459"/>
              <w:contextualSpacing/>
              <w:rPr>
                <w:b/>
                <w:bCs/>
                <w:color w:val="000000"/>
                <w:sz w:val="13"/>
                <w:szCs w:val="13"/>
                <w:lang w:val="en-US" w:eastAsia="en-US"/>
              </w:rPr>
            </w:pPr>
            <w:bookmarkStart w:id="2" w:name="RANGE!A1"/>
            <w:r w:rsidRPr="001F224B">
              <w:rPr>
                <w:rFonts w:eastAsia="Arial Unicode MS"/>
                <w:b/>
                <w:bCs/>
                <w:sz w:val="13"/>
                <w:szCs w:val="13"/>
              </w:rPr>
              <w:t>NAZIM HESAPLAR TABLOSU</w:t>
            </w:r>
            <w:bookmarkEnd w:id="2"/>
          </w:p>
        </w:tc>
        <w:tc>
          <w:tcPr>
            <w:tcW w:w="658" w:type="dxa"/>
            <w:vMerge w:val="restart"/>
            <w:tcBorders>
              <w:top w:val="single" w:sz="2" w:space="0" w:color="auto"/>
              <w:left w:val="single" w:sz="2" w:space="0" w:color="auto"/>
              <w:bottom w:val="single" w:sz="8" w:space="0" w:color="000000"/>
              <w:right w:val="single" w:sz="2" w:space="0" w:color="auto"/>
            </w:tcBorders>
            <w:shd w:val="clear" w:color="auto" w:fill="auto"/>
            <w:vAlign w:val="bottom"/>
            <w:hideMark/>
          </w:tcPr>
          <w:p w14:paraId="1FFA1BBE" w14:textId="77777777" w:rsidR="00915FD0" w:rsidRPr="001F224B" w:rsidRDefault="00915FD0" w:rsidP="007E66AD">
            <w:pPr>
              <w:jc w:val="center"/>
              <w:rPr>
                <w:b/>
                <w:bCs/>
                <w:color w:val="000000"/>
                <w:sz w:val="13"/>
                <w:szCs w:val="13"/>
                <w:lang w:val="en-US" w:eastAsia="en-US"/>
              </w:rPr>
            </w:pPr>
            <w:r w:rsidRPr="001F224B">
              <w:rPr>
                <w:rFonts w:eastAsia="Arial Unicode MS"/>
                <w:b/>
                <w:bCs/>
                <w:color w:val="000000"/>
                <w:sz w:val="13"/>
                <w:szCs w:val="13"/>
                <w:lang w:eastAsia="en-US"/>
              </w:rPr>
              <w:t>Dipnot (Beşinci Bölüm III)</w:t>
            </w:r>
          </w:p>
        </w:tc>
        <w:tc>
          <w:tcPr>
            <w:tcW w:w="2605" w:type="dxa"/>
            <w:gridSpan w:val="3"/>
            <w:tcBorders>
              <w:top w:val="single" w:sz="2" w:space="0" w:color="auto"/>
              <w:left w:val="single" w:sz="2" w:space="0" w:color="auto"/>
              <w:bottom w:val="single" w:sz="2" w:space="0" w:color="auto"/>
              <w:right w:val="single" w:sz="2" w:space="0" w:color="auto"/>
            </w:tcBorders>
            <w:shd w:val="clear" w:color="auto" w:fill="auto"/>
            <w:vAlign w:val="bottom"/>
            <w:hideMark/>
          </w:tcPr>
          <w:p w14:paraId="026CB2BC" w14:textId="1E077380" w:rsidR="00A1696E" w:rsidRPr="001F224B" w:rsidRDefault="00DE01E5" w:rsidP="00A1696E">
            <w:pPr>
              <w:jc w:val="center"/>
              <w:rPr>
                <w:b/>
                <w:bCs/>
                <w:sz w:val="13"/>
                <w:szCs w:val="13"/>
              </w:rPr>
            </w:pPr>
            <w:r w:rsidRPr="001F224B">
              <w:rPr>
                <w:b/>
                <w:bCs/>
                <w:sz w:val="13"/>
                <w:szCs w:val="13"/>
              </w:rPr>
              <w:t>Sınırlı</w:t>
            </w:r>
            <w:r w:rsidR="00A1696E" w:rsidRPr="001F224B">
              <w:rPr>
                <w:b/>
                <w:bCs/>
                <w:sz w:val="13"/>
                <w:szCs w:val="13"/>
              </w:rPr>
              <w:t xml:space="preserve"> Denetimden Geçmiş </w:t>
            </w:r>
          </w:p>
          <w:p w14:paraId="1F118BA6" w14:textId="77777777" w:rsidR="00A1696E" w:rsidRPr="001F224B" w:rsidRDefault="00A1696E" w:rsidP="00A1696E">
            <w:pPr>
              <w:jc w:val="center"/>
              <w:rPr>
                <w:b/>
                <w:bCs/>
                <w:sz w:val="13"/>
                <w:szCs w:val="13"/>
              </w:rPr>
            </w:pPr>
            <w:r w:rsidRPr="001F224B">
              <w:rPr>
                <w:b/>
                <w:bCs/>
                <w:sz w:val="13"/>
                <w:szCs w:val="13"/>
              </w:rPr>
              <w:t>Cari Dönem</w:t>
            </w:r>
          </w:p>
          <w:p w14:paraId="5A6FDDDF" w14:textId="02A9932F" w:rsidR="00915FD0" w:rsidRPr="001F224B" w:rsidRDefault="00A1696E" w:rsidP="00A1696E">
            <w:pPr>
              <w:jc w:val="center"/>
              <w:rPr>
                <w:b/>
                <w:bCs/>
                <w:color w:val="000000"/>
                <w:sz w:val="13"/>
                <w:szCs w:val="13"/>
                <w:lang w:val="en-US" w:eastAsia="en-US"/>
              </w:rPr>
            </w:pPr>
            <w:r w:rsidRPr="001F224B">
              <w:rPr>
                <w:b/>
                <w:bCs/>
                <w:sz w:val="13"/>
                <w:szCs w:val="13"/>
              </w:rPr>
              <w:t>3</w:t>
            </w:r>
            <w:r w:rsidR="00DD0D88" w:rsidRPr="001F224B">
              <w:rPr>
                <w:b/>
                <w:bCs/>
                <w:sz w:val="13"/>
                <w:szCs w:val="13"/>
              </w:rPr>
              <w:t>0</w:t>
            </w:r>
            <w:r w:rsidRPr="001F224B">
              <w:rPr>
                <w:b/>
                <w:bCs/>
                <w:sz w:val="13"/>
                <w:szCs w:val="13"/>
              </w:rPr>
              <w:t xml:space="preserve"> </w:t>
            </w:r>
            <w:r w:rsidR="00DD0D88" w:rsidRPr="001F224B">
              <w:rPr>
                <w:b/>
                <w:bCs/>
                <w:sz w:val="13"/>
                <w:szCs w:val="13"/>
              </w:rPr>
              <w:t>Haziran</w:t>
            </w:r>
            <w:r w:rsidRPr="001F224B">
              <w:rPr>
                <w:b/>
                <w:bCs/>
                <w:sz w:val="13"/>
                <w:szCs w:val="13"/>
              </w:rPr>
              <w:t xml:space="preserve"> 202</w:t>
            </w:r>
            <w:r w:rsidR="00DE01E5" w:rsidRPr="001F224B">
              <w:rPr>
                <w:b/>
                <w:bCs/>
                <w:sz w:val="13"/>
                <w:szCs w:val="13"/>
              </w:rPr>
              <w:t>5</w:t>
            </w:r>
          </w:p>
        </w:tc>
        <w:tc>
          <w:tcPr>
            <w:tcW w:w="2605" w:type="dxa"/>
            <w:gridSpan w:val="3"/>
            <w:tcBorders>
              <w:top w:val="single" w:sz="2" w:space="0" w:color="auto"/>
              <w:left w:val="single" w:sz="2" w:space="0" w:color="auto"/>
              <w:bottom w:val="single" w:sz="2" w:space="0" w:color="auto"/>
              <w:right w:val="single" w:sz="2" w:space="0" w:color="auto"/>
            </w:tcBorders>
            <w:vAlign w:val="bottom"/>
          </w:tcPr>
          <w:p w14:paraId="109FA7A1" w14:textId="77777777" w:rsidR="00915FD0" w:rsidRPr="001F224B" w:rsidRDefault="00915FD0" w:rsidP="007E66AD">
            <w:pPr>
              <w:jc w:val="center"/>
              <w:rPr>
                <w:b/>
                <w:bCs/>
                <w:sz w:val="13"/>
                <w:szCs w:val="13"/>
              </w:rPr>
            </w:pPr>
            <w:r w:rsidRPr="001F224B">
              <w:rPr>
                <w:b/>
                <w:bCs/>
                <w:sz w:val="13"/>
                <w:szCs w:val="13"/>
              </w:rPr>
              <w:t xml:space="preserve">Bağımsız Denetimden Geçmiş </w:t>
            </w:r>
          </w:p>
          <w:p w14:paraId="57EE94D8" w14:textId="72D83426" w:rsidR="00915FD0" w:rsidRPr="001F224B" w:rsidRDefault="00760DC9" w:rsidP="00760DC9">
            <w:pPr>
              <w:ind w:right="-108"/>
              <w:rPr>
                <w:b/>
                <w:bCs/>
                <w:sz w:val="13"/>
                <w:szCs w:val="13"/>
              </w:rPr>
            </w:pPr>
            <w:r w:rsidRPr="001F224B">
              <w:rPr>
                <w:b/>
                <w:bCs/>
                <w:sz w:val="13"/>
                <w:szCs w:val="13"/>
              </w:rPr>
              <w:t xml:space="preserve">                        </w:t>
            </w:r>
            <w:r w:rsidR="00915FD0" w:rsidRPr="001F224B">
              <w:rPr>
                <w:b/>
                <w:bCs/>
                <w:sz w:val="13"/>
                <w:szCs w:val="13"/>
              </w:rPr>
              <w:t>Önceki Dönem</w:t>
            </w:r>
          </w:p>
          <w:p w14:paraId="76D0F5A3" w14:textId="101188FB" w:rsidR="00915FD0" w:rsidRPr="001F224B" w:rsidRDefault="00915FD0" w:rsidP="007E66AD">
            <w:pPr>
              <w:jc w:val="center"/>
              <w:rPr>
                <w:b/>
                <w:bCs/>
                <w:sz w:val="13"/>
                <w:szCs w:val="13"/>
              </w:rPr>
            </w:pPr>
            <w:r w:rsidRPr="001F224B">
              <w:rPr>
                <w:b/>
                <w:bCs/>
                <w:sz w:val="13"/>
                <w:szCs w:val="13"/>
              </w:rPr>
              <w:t>31 Aralık 202</w:t>
            </w:r>
            <w:r w:rsidR="00DE01E5" w:rsidRPr="001F224B">
              <w:rPr>
                <w:b/>
                <w:bCs/>
                <w:sz w:val="13"/>
                <w:szCs w:val="13"/>
              </w:rPr>
              <w:t>4</w:t>
            </w:r>
          </w:p>
        </w:tc>
      </w:tr>
      <w:tr w:rsidR="00915FD0" w:rsidRPr="001F224B" w14:paraId="064BD2C5" w14:textId="77777777" w:rsidTr="007E66AD">
        <w:trPr>
          <w:trHeight w:val="19"/>
        </w:trPr>
        <w:tc>
          <w:tcPr>
            <w:tcW w:w="4480" w:type="dxa"/>
            <w:gridSpan w:val="2"/>
            <w:vMerge/>
            <w:tcBorders>
              <w:top w:val="single" w:sz="8" w:space="0" w:color="auto"/>
              <w:left w:val="single" w:sz="2" w:space="0" w:color="auto"/>
              <w:bottom w:val="single" w:sz="2" w:space="0" w:color="auto"/>
              <w:right w:val="single" w:sz="2" w:space="0" w:color="auto"/>
            </w:tcBorders>
            <w:vAlign w:val="bottom"/>
            <w:hideMark/>
          </w:tcPr>
          <w:p w14:paraId="5DA729B5" w14:textId="77777777" w:rsidR="00915FD0" w:rsidRPr="001F224B" w:rsidRDefault="00915FD0" w:rsidP="007E66AD">
            <w:pPr>
              <w:rPr>
                <w:b/>
                <w:bCs/>
                <w:color w:val="000000"/>
                <w:sz w:val="13"/>
                <w:szCs w:val="13"/>
                <w:lang w:val="en-US" w:eastAsia="en-US"/>
              </w:rPr>
            </w:pPr>
          </w:p>
        </w:tc>
        <w:tc>
          <w:tcPr>
            <w:tcW w:w="658" w:type="dxa"/>
            <w:vMerge/>
            <w:tcBorders>
              <w:top w:val="single" w:sz="8" w:space="0" w:color="auto"/>
              <w:left w:val="single" w:sz="2" w:space="0" w:color="auto"/>
              <w:bottom w:val="single" w:sz="2" w:space="0" w:color="auto"/>
              <w:right w:val="single" w:sz="2" w:space="0" w:color="auto"/>
            </w:tcBorders>
            <w:vAlign w:val="bottom"/>
            <w:hideMark/>
          </w:tcPr>
          <w:p w14:paraId="70F7DEF7" w14:textId="77777777" w:rsidR="00915FD0" w:rsidRPr="001F224B" w:rsidRDefault="00915FD0" w:rsidP="007E66AD">
            <w:pPr>
              <w:rPr>
                <w:b/>
                <w:bCs/>
                <w:color w:val="000000"/>
                <w:sz w:val="13"/>
                <w:szCs w:val="13"/>
                <w:lang w:val="en-US" w:eastAsia="en-US"/>
              </w:rPr>
            </w:pPr>
          </w:p>
        </w:tc>
        <w:tc>
          <w:tcPr>
            <w:tcW w:w="86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70319E3E" w14:textId="77777777" w:rsidR="00915FD0" w:rsidRPr="001F224B" w:rsidRDefault="00915FD0" w:rsidP="007E66AD">
            <w:pPr>
              <w:jc w:val="center"/>
              <w:rPr>
                <w:b/>
                <w:bCs/>
                <w:color w:val="000000"/>
                <w:sz w:val="13"/>
                <w:szCs w:val="13"/>
                <w:lang w:val="en-US" w:eastAsia="en-US"/>
              </w:rPr>
            </w:pPr>
            <w:r w:rsidRPr="001F224B">
              <w:rPr>
                <w:b/>
                <w:bCs/>
                <w:color w:val="000000"/>
                <w:sz w:val="13"/>
                <w:szCs w:val="13"/>
                <w:lang w:eastAsia="en-US"/>
              </w:rPr>
              <w:t>TP</w:t>
            </w:r>
          </w:p>
        </w:tc>
        <w:tc>
          <w:tcPr>
            <w:tcW w:w="868"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3A909BBF" w14:textId="77777777" w:rsidR="00915FD0" w:rsidRPr="001F224B" w:rsidRDefault="00915FD0" w:rsidP="007E66AD">
            <w:pPr>
              <w:jc w:val="center"/>
              <w:rPr>
                <w:b/>
                <w:bCs/>
                <w:color w:val="000000"/>
                <w:sz w:val="13"/>
                <w:szCs w:val="13"/>
                <w:lang w:val="en-US" w:eastAsia="en-US"/>
              </w:rPr>
            </w:pPr>
            <w:r w:rsidRPr="001F224B">
              <w:rPr>
                <w:b/>
                <w:bCs/>
                <w:color w:val="000000"/>
                <w:sz w:val="13"/>
                <w:szCs w:val="13"/>
                <w:lang w:eastAsia="en-US"/>
              </w:rPr>
              <w:t>YP</w:t>
            </w:r>
          </w:p>
        </w:tc>
        <w:tc>
          <w:tcPr>
            <w:tcW w:w="869"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58B3C587" w14:textId="77777777" w:rsidR="00915FD0" w:rsidRPr="001F224B" w:rsidRDefault="00915FD0" w:rsidP="007E66AD">
            <w:pPr>
              <w:jc w:val="center"/>
              <w:rPr>
                <w:b/>
                <w:bCs/>
                <w:color w:val="000000"/>
                <w:sz w:val="13"/>
                <w:szCs w:val="13"/>
                <w:lang w:val="en-US" w:eastAsia="en-US"/>
              </w:rPr>
            </w:pPr>
            <w:r w:rsidRPr="001F224B">
              <w:rPr>
                <w:b/>
                <w:bCs/>
                <w:color w:val="000000"/>
                <w:sz w:val="13"/>
                <w:szCs w:val="13"/>
                <w:lang w:eastAsia="en-US"/>
              </w:rPr>
              <w:t>Toplam</w:t>
            </w:r>
          </w:p>
        </w:tc>
        <w:tc>
          <w:tcPr>
            <w:tcW w:w="868" w:type="dxa"/>
            <w:tcBorders>
              <w:top w:val="single" w:sz="2" w:space="0" w:color="auto"/>
              <w:left w:val="single" w:sz="2" w:space="0" w:color="auto"/>
              <w:bottom w:val="single" w:sz="2" w:space="0" w:color="auto"/>
              <w:right w:val="single" w:sz="2" w:space="0" w:color="auto"/>
            </w:tcBorders>
            <w:vAlign w:val="bottom"/>
          </w:tcPr>
          <w:p w14:paraId="03ADAF67" w14:textId="77777777" w:rsidR="00915FD0" w:rsidRPr="001F224B" w:rsidRDefault="00915FD0" w:rsidP="007E66AD">
            <w:pPr>
              <w:jc w:val="center"/>
              <w:rPr>
                <w:b/>
                <w:bCs/>
                <w:color w:val="000000"/>
                <w:sz w:val="13"/>
                <w:szCs w:val="13"/>
                <w:lang w:eastAsia="en-US"/>
              </w:rPr>
            </w:pPr>
            <w:r w:rsidRPr="001F224B">
              <w:rPr>
                <w:b/>
                <w:bCs/>
                <w:color w:val="000000"/>
                <w:sz w:val="13"/>
                <w:szCs w:val="13"/>
                <w:lang w:eastAsia="en-US"/>
              </w:rPr>
              <w:t>TP</w:t>
            </w:r>
          </w:p>
        </w:tc>
        <w:tc>
          <w:tcPr>
            <w:tcW w:w="868" w:type="dxa"/>
            <w:tcBorders>
              <w:top w:val="single" w:sz="2" w:space="0" w:color="auto"/>
              <w:left w:val="single" w:sz="2" w:space="0" w:color="auto"/>
              <w:bottom w:val="single" w:sz="2" w:space="0" w:color="auto"/>
              <w:right w:val="single" w:sz="2" w:space="0" w:color="auto"/>
            </w:tcBorders>
            <w:vAlign w:val="bottom"/>
          </w:tcPr>
          <w:p w14:paraId="392EB05A" w14:textId="77777777" w:rsidR="00915FD0" w:rsidRPr="001F224B" w:rsidRDefault="00915FD0" w:rsidP="007E66AD">
            <w:pPr>
              <w:jc w:val="center"/>
              <w:rPr>
                <w:b/>
                <w:bCs/>
                <w:color w:val="000000"/>
                <w:sz w:val="13"/>
                <w:szCs w:val="13"/>
                <w:lang w:eastAsia="en-US"/>
              </w:rPr>
            </w:pPr>
            <w:r w:rsidRPr="001F224B">
              <w:rPr>
                <w:b/>
                <w:bCs/>
                <w:color w:val="000000"/>
                <w:sz w:val="13"/>
                <w:szCs w:val="13"/>
                <w:lang w:eastAsia="en-US"/>
              </w:rPr>
              <w:t>YP</w:t>
            </w:r>
          </w:p>
        </w:tc>
        <w:tc>
          <w:tcPr>
            <w:tcW w:w="869" w:type="dxa"/>
            <w:tcBorders>
              <w:top w:val="single" w:sz="2" w:space="0" w:color="auto"/>
              <w:left w:val="single" w:sz="2" w:space="0" w:color="auto"/>
              <w:bottom w:val="single" w:sz="2" w:space="0" w:color="auto"/>
              <w:right w:val="single" w:sz="2" w:space="0" w:color="auto"/>
            </w:tcBorders>
            <w:vAlign w:val="bottom"/>
          </w:tcPr>
          <w:p w14:paraId="4F302D6F" w14:textId="77777777" w:rsidR="00915FD0" w:rsidRPr="001F224B" w:rsidRDefault="00915FD0" w:rsidP="007E66AD">
            <w:pPr>
              <w:jc w:val="center"/>
              <w:rPr>
                <w:b/>
                <w:bCs/>
                <w:color w:val="000000"/>
                <w:sz w:val="13"/>
                <w:szCs w:val="13"/>
                <w:lang w:eastAsia="en-US"/>
              </w:rPr>
            </w:pPr>
            <w:r w:rsidRPr="001F224B">
              <w:rPr>
                <w:b/>
                <w:bCs/>
                <w:color w:val="000000"/>
                <w:sz w:val="13"/>
                <w:szCs w:val="13"/>
                <w:lang w:eastAsia="en-US"/>
              </w:rPr>
              <w:t>Toplam</w:t>
            </w:r>
          </w:p>
        </w:tc>
      </w:tr>
      <w:tr w:rsidR="0044394F" w:rsidRPr="001F224B" w14:paraId="65FFB9C5" w14:textId="77777777" w:rsidTr="00315AF0">
        <w:trPr>
          <w:trHeight w:val="170"/>
        </w:trPr>
        <w:tc>
          <w:tcPr>
            <w:tcW w:w="579" w:type="dxa"/>
            <w:tcBorders>
              <w:top w:val="single" w:sz="4" w:space="0" w:color="auto"/>
              <w:left w:val="single" w:sz="2" w:space="0" w:color="auto"/>
              <w:bottom w:val="nil"/>
              <w:right w:val="nil"/>
            </w:tcBorders>
            <w:shd w:val="clear" w:color="auto" w:fill="auto"/>
            <w:noWrap/>
            <w:vAlign w:val="center"/>
          </w:tcPr>
          <w:p w14:paraId="25E18212" w14:textId="77777777" w:rsidR="0044394F" w:rsidRPr="001F224B" w:rsidRDefault="0044394F" w:rsidP="0044394F">
            <w:pPr>
              <w:rPr>
                <w:b/>
                <w:bCs/>
                <w:color w:val="000000"/>
                <w:sz w:val="13"/>
                <w:szCs w:val="13"/>
                <w:lang w:eastAsia="en-US"/>
              </w:rPr>
            </w:pPr>
            <w:r w:rsidRPr="001F224B">
              <w:rPr>
                <w:b/>
                <w:bCs/>
                <w:color w:val="000000"/>
                <w:sz w:val="13"/>
                <w:szCs w:val="13"/>
                <w:lang w:eastAsia="en-US"/>
              </w:rPr>
              <w:t>A.</w:t>
            </w:r>
          </w:p>
        </w:tc>
        <w:tc>
          <w:tcPr>
            <w:tcW w:w="3901" w:type="dxa"/>
            <w:tcBorders>
              <w:top w:val="single" w:sz="4" w:space="0" w:color="auto"/>
              <w:left w:val="nil"/>
              <w:bottom w:val="nil"/>
              <w:right w:val="single" w:sz="2" w:space="0" w:color="auto"/>
            </w:tcBorders>
            <w:shd w:val="clear" w:color="auto" w:fill="auto"/>
            <w:noWrap/>
            <w:vAlign w:val="center"/>
          </w:tcPr>
          <w:p w14:paraId="5747B059" w14:textId="77777777" w:rsidR="0044394F" w:rsidRPr="001F224B" w:rsidRDefault="0044394F" w:rsidP="0044394F">
            <w:pPr>
              <w:ind w:left="-123" w:right="90"/>
              <w:rPr>
                <w:b/>
                <w:bCs/>
                <w:color w:val="000000"/>
                <w:sz w:val="13"/>
                <w:szCs w:val="13"/>
                <w:lang w:eastAsia="en-US"/>
              </w:rPr>
            </w:pPr>
            <w:r w:rsidRPr="001F224B">
              <w:rPr>
                <w:b/>
                <w:bCs/>
                <w:color w:val="000000"/>
                <w:sz w:val="13"/>
                <w:szCs w:val="13"/>
                <w:lang w:eastAsia="en-US"/>
              </w:rPr>
              <w:t xml:space="preserve"> BİLANÇO DIŞI YÜKÜMLÜLÜKLER (I+II+III)</w:t>
            </w:r>
          </w:p>
        </w:tc>
        <w:tc>
          <w:tcPr>
            <w:tcW w:w="658" w:type="dxa"/>
            <w:tcBorders>
              <w:top w:val="single" w:sz="4" w:space="0" w:color="auto"/>
              <w:left w:val="single" w:sz="2" w:space="0" w:color="auto"/>
              <w:bottom w:val="nil"/>
              <w:right w:val="single" w:sz="2" w:space="0" w:color="auto"/>
            </w:tcBorders>
            <w:shd w:val="clear" w:color="auto" w:fill="auto"/>
            <w:noWrap/>
            <w:vAlign w:val="center"/>
          </w:tcPr>
          <w:p w14:paraId="74452EEE" w14:textId="77777777" w:rsidR="0044394F" w:rsidRPr="001F224B" w:rsidRDefault="0044394F" w:rsidP="0044394F">
            <w:pPr>
              <w:jc w:val="center"/>
              <w:rPr>
                <w:b/>
                <w:bCs/>
                <w:color w:val="000000"/>
                <w:sz w:val="13"/>
                <w:szCs w:val="13"/>
                <w:lang w:val="en-US" w:eastAsia="en-US"/>
              </w:rPr>
            </w:pPr>
          </w:p>
        </w:tc>
        <w:tc>
          <w:tcPr>
            <w:tcW w:w="868" w:type="dxa"/>
            <w:tcBorders>
              <w:top w:val="nil"/>
              <w:left w:val="nil"/>
              <w:bottom w:val="nil"/>
              <w:right w:val="single" w:sz="4" w:space="0" w:color="auto"/>
            </w:tcBorders>
            <w:shd w:val="clear" w:color="auto" w:fill="auto"/>
            <w:noWrap/>
          </w:tcPr>
          <w:p w14:paraId="1D26502E" w14:textId="5EA9D046"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15.195.109</w:t>
            </w:r>
          </w:p>
        </w:tc>
        <w:tc>
          <w:tcPr>
            <w:tcW w:w="868" w:type="dxa"/>
            <w:tcBorders>
              <w:top w:val="nil"/>
              <w:left w:val="nil"/>
              <w:bottom w:val="nil"/>
              <w:right w:val="single" w:sz="4" w:space="0" w:color="auto"/>
            </w:tcBorders>
            <w:shd w:val="clear" w:color="auto" w:fill="auto"/>
            <w:noWrap/>
          </w:tcPr>
          <w:p w14:paraId="61DEC7F4" w14:textId="5053BAB4"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31.496.068</w:t>
            </w:r>
          </w:p>
        </w:tc>
        <w:tc>
          <w:tcPr>
            <w:tcW w:w="869" w:type="dxa"/>
            <w:tcBorders>
              <w:top w:val="nil"/>
              <w:left w:val="nil"/>
              <w:bottom w:val="nil"/>
              <w:right w:val="dashed" w:sz="4" w:space="0" w:color="auto"/>
            </w:tcBorders>
            <w:shd w:val="clear" w:color="auto" w:fill="auto"/>
            <w:noWrap/>
          </w:tcPr>
          <w:p w14:paraId="3AA9D447" w14:textId="0D77D15F"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46.691.177</w:t>
            </w:r>
          </w:p>
        </w:tc>
        <w:tc>
          <w:tcPr>
            <w:tcW w:w="868" w:type="dxa"/>
            <w:tcBorders>
              <w:top w:val="nil"/>
              <w:left w:val="single" w:sz="4" w:space="0" w:color="auto"/>
              <w:bottom w:val="nil"/>
              <w:right w:val="single" w:sz="4" w:space="0" w:color="auto"/>
            </w:tcBorders>
            <w:shd w:val="clear" w:color="auto" w:fill="auto"/>
            <w:vAlign w:val="center"/>
          </w:tcPr>
          <w:p w14:paraId="20416C34" w14:textId="2271121A" w:rsidR="0044394F" w:rsidRPr="001F224B" w:rsidRDefault="0044394F" w:rsidP="0044394F">
            <w:pPr>
              <w:jc w:val="right"/>
              <w:rPr>
                <w:b/>
                <w:bCs/>
                <w:sz w:val="13"/>
                <w:szCs w:val="13"/>
              </w:rPr>
            </w:pPr>
            <w:r w:rsidRPr="001F224B">
              <w:rPr>
                <w:b/>
                <w:bCs/>
                <w:color w:val="000000"/>
                <w:sz w:val="13"/>
                <w:szCs w:val="13"/>
              </w:rPr>
              <w:t>10.610.912</w:t>
            </w:r>
          </w:p>
        </w:tc>
        <w:tc>
          <w:tcPr>
            <w:tcW w:w="868" w:type="dxa"/>
            <w:tcBorders>
              <w:top w:val="nil"/>
              <w:left w:val="nil"/>
              <w:bottom w:val="nil"/>
              <w:right w:val="single" w:sz="4" w:space="0" w:color="auto"/>
            </w:tcBorders>
            <w:shd w:val="clear" w:color="auto" w:fill="auto"/>
            <w:vAlign w:val="center"/>
          </w:tcPr>
          <w:p w14:paraId="08E0DA84" w14:textId="5C708B88" w:rsidR="0044394F" w:rsidRPr="001F224B" w:rsidRDefault="0044394F" w:rsidP="0044394F">
            <w:pPr>
              <w:jc w:val="right"/>
              <w:rPr>
                <w:b/>
                <w:bCs/>
                <w:sz w:val="13"/>
                <w:szCs w:val="13"/>
              </w:rPr>
            </w:pPr>
            <w:r w:rsidRPr="001F224B">
              <w:rPr>
                <w:b/>
                <w:bCs/>
                <w:color w:val="000000"/>
                <w:sz w:val="13"/>
                <w:szCs w:val="13"/>
              </w:rPr>
              <w:t>32.631.385</w:t>
            </w:r>
          </w:p>
        </w:tc>
        <w:tc>
          <w:tcPr>
            <w:tcW w:w="869" w:type="dxa"/>
            <w:tcBorders>
              <w:top w:val="nil"/>
              <w:left w:val="nil"/>
              <w:bottom w:val="nil"/>
              <w:right w:val="single" w:sz="2" w:space="0" w:color="auto"/>
            </w:tcBorders>
            <w:shd w:val="clear" w:color="auto" w:fill="auto"/>
            <w:vAlign w:val="center"/>
          </w:tcPr>
          <w:p w14:paraId="352BA257" w14:textId="45E6A90C" w:rsidR="0044394F" w:rsidRPr="001F224B" w:rsidRDefault="0044394F" w:rsidP="0044394F">
            <w:pPr>
              <w:jc w:val="right"/>
              <w:rPr>
                <w:b/>
                <w:bCs/>
                <w:sz w:val="13"/>
                <w:szCs w:val="13"/>
              </w:rPr>
            </w:pPr>
            <w:r w:rsidRPr="001F224B">
              <w:rPr>
                <w:b/>
                <w:bCs/>
                <w:color w:val="000000"/>
                <w:sz w:val="13"/>
                <w:szCs w:val="13"/>
              </w:rPr>
              <w:t>43.242.297</w:t>
            </w:r>
          </w:p>
        </w:tc>
      </w:tr>
      <w:tr w:rsidR="0044394F" w:rsidRPr="001F224B" w14:paraId="039C5184" w14:textId="77777777" w:rsidTr="00315AF0">
        <w:trPr>
          <w:trHeight w:val="19"/>
        </w:trPr>
        <w:tc>
          <w:tcPr>
            <w:tcW w:w="579" w:type="dxa"/>
            <w:tcBorders>
              <w:top w:val="nil"/>
              <w:left w:val="single" w:sz="2" w:space="0" w:color="auto"/>
              <w:bottom w:val="nil"/>
              <w:right w:val="nil"/>
            </w:tcBorders>
            <w:shd w:val="clear" w:color="auto" w:fill="auto"/>
            <w:noWrap/>
            <w:hideMark/>
          </w:tcPr>
          <w:p w14:paraId="1E86B66D"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I.</w:t>
            </w:r>
          </w:p>
        </w:tc>
        <w:tc>
          <w:tcPr>
            <w:tcW w:w="3901" w:type="dxa"/>
            <w:tcBorders>
              <w:top w:val="nil"/>
              <w:left w:val="nil"/>
              <w:bottom w:val="nil"/>
              <w:right w:val="single" w:sz="2" w:space="0" w:color="auto"/>
            </w:tcBorders>
            <w:shd w:val="clear" w:color="auto" w:fill="auto"/>
            <w:noWrap/>
            <w:vAlign w:val="bottom"/>
            <w:hideMark/>
          </w:tcPr>
          <w:p w14:paraId="311130BE" w14:textId="77777777" w:rsidR="0044394F" w:rsidRPr="001F224B" w:rsidRDefault="0044394F" w:rsidP="0044394F">
            <w:pPr>
              <w:ind w:left="-123"/>
              <w:rPr>
                <w:b/>
                <w:bCs/>
                <w:color w:val="000000"/>
                <w:sz w:val="13"/>
                <w:szCs w:val="13"/>
                <w:lang w:val="en-US" w:eastAsia="en-US"/>
              </w:rPr>
            </w:pPr>
            <w:r w:rsidRPr="001F224B">
              <w:rPr>
                <w:b/>
                <w:bCs/>
                <w:color w:val="000000"/>
                <w:sz w:val="13"/>
                <w:szCs w:val="13"/>
                <w:lang w:eastAsia="en-US"/>
              </w:rPr>
              <w:t xml:space="preserve"> GARANTİ VE KEFALETLER</w:t>
            </w:r>
          </w:p>
        </w:tc>
        <w:tc>
          <w:tcPr>
            <w:tcW w:w="658" w:type="dxa"/>
            <w:tcBorders>
              <w:top w:val="nil"/>
              <w:left w:val="single" w:sz="2" w:space="0" w:color="auto"/>
              <w:bottom w:val="nil"/>
              <w:right w:val="single" w:sz="2" w:space="0" w:color="auto"/>
            </w:tcBorders>
            <w:shd w:val="clear" w:color="auto" w:fill="auto"/>
            <w:noWrap/>
            <w:vAlign w:val="bottom"/>
            <w:hideMark/>
          </w:tcPr>
          <w:p w14:paraId="7B87A4E3" w14:textId="77777777" w:rsidR="0044394F" w:rsidRPr="001F224B" w:rsidRDefault="0044394F" w:rsidP="0044394F">
            <w:pPr>
              <w:jc w:val="center"/>
              <w:rPr>
                <w:b/>
                <w:bCs/>
                <w:color w:val="000000"/>
                <w:sz w:val="13"/>
                <w:szCs w:val="13"/>
                <w:lang w:val="en-US" w:eastAsia="en-US"/>
              </w:rPr>
            </w:pPr>
            <w:r w:rsidRPr="001F224B">
              <w:rPr>
                <w:b/>
                <w:bCs/>
                <w:color w:val="000000"/>
                <w:sz w:val="13"/>
                <w:szCs w:val="13"/>
                <w:lang w:val="en-US" w:eastAsia="en-US"/>
              </w:rPr>
              <w:t>(1)</w:t>
            </w:r>
          </w:p>
        </w:tc>
        <w:tc>
          <w:tcPr>
            <w:tcW w:w="868" w:type="dxa"/>
            <w:tcBorders>
              <w:top w:val="nil"/>
              <w:left w:val="nil"/>
              <w:bottom w:val="nil"/>
              <w:right w:val="single" w:sz="4" w:space="0" w:color="auto"/>
            </w:tcBorders>
            <w:shd w:val="clear" w:color="auto" w:fill="auto"/>
            <w:noWrap/>
            <w:hideMark/>
          </w:tcPr>
          <w:p w14:paraId="1DCD9DB1" w14:textId="6BB2FD9F"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153.021</w:t>
            </w:r>
          </w:p>
        </w:tc>
        <w:tc>
          <w:tcPr>
            <w:tcW w:w="868" w:type="dxa"/>
            <w:tcBorders>
              <w:top w:val="nil"/>
              <w:left w:val="nil"/>
              <w:bottom w:val="nil"/>
              <w:right w:val="single" w:sz="4" w:space="0" w:color="auto"/>
            </w:tcBorders>
            <w:shd w:val="clear" w:color="auto" w:fill="auto"/>
            <w:noWrap/>
            <w:hideMark/>
          </w:tcPr>
          <w:p w14:paraId="74274146" w14:textId="6495544D"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5.529.495</w:t>
            </w:r>
          </w:p>
        </w:tc>
        <w:tc>
          <w:tcPr>
            <w:tcW w:w="869" w:type="dxa"/>
            <w:tcBorders>
              <w:top w:val="nil"/>
              <w:left w:val="nil"/>
              <w:bottom w:val="nil"/>
              <w:right w:val="dashed" w:sz="4" w:space="0" w:color="auto"/>
            </w:tcBorders>
            <w:shd w:val="clear" w:color="auto" w:fill="auto"/>
            <w:noWrap/>
            <w:hideMark/>
          </w:tcPr>
          <w:p w14:paraId="2100208E" w14:textId="7B524ACD"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5.682.516</w:t>
            </w:r>
          </w:p>
        </w:tc>
        <w:tc>
          <w:tcPr>
            <w:tcW w:w="868" w:type="dxa"/>
            <w:tcBorders>
              <w:top w:val="nil"/>
              <w:left w:val="single" w:sz="4" w:space="0" w:color="auto"/>
              <w:bottom w:val="nil"/>
              <w:right w:val="single" w:sz="4" w:space="0" w:color="auto"/>
            </w:tcBorders>
            <w:shd w:val="clear" w:color="auto" w:fill="auto"/>
            <w:vAlign w:val="center"/>
          </w:tcPr>
          <w:p w14:paraId="1CEDA075" w14:textId="625FF8E0" w:rsidR="0044394F" w:rsidRPr="001F224B" w:rsidRDefault="0044394F" w:rsidP="0044394F">
            <w:pPr>
              <w:jc w:val="right"/>
              <w:rPr>
                <w:b/>
                <w:bCs/>
                <w:sz w:val="13"/>
                <w:szCs w:val="13"/>
              </w:rPr>
            </w:pPr>
            <w:r w:rsidRPr="001F224B">
              <w:rPr>
                <w:b/>
                <w:bCs/>
                <w:color w:val="000000"/>
                <w:sz w:val="13"/>
                <w:szCs w:val="13"/>
              </w:rPr>
              <w:t>149.197</w:t>
            </w:r>
          </w:p>
        </w:tc>
        <w:tc>
          <w:tcPr>
            <w:tcW w:w="868" w:type="dxa"/>
            <w:tcBorders>
              <w:top w:val="nil"/>
              <w:left w:val="nil"/>
              <w:bottom w:val="nil"/>
              <w:right w:val="single" w:sz="4" w:space="0" w:color="auto"/>
            </w:tcBorders>
            <w:shd w:val="clear" w:color="auto" w:fill="auto"/>
            <w:vAlign w:val="center"/>
          </w:tcPr>
          <w:p w14:paraId="63317D2C" w14:textId="00EEE802" w:rsidR="0044394F" w:rsidRPr="001F224B" w:rsidRDefault="0044394F" w:rsidP="0044394F">
            <w:pPr>
              <w:jc w:val="right"/>
              <w:rPr>
                <w:b/>
                <w:bCs/>
                <w:sz w:val="13"/>
                <w:szCs w:val="13"/>
              </w:rPr>
            </w:pPr>
            <w:r w:rsidRPr="001F224B">
              <w:rPr>
                <w:b/>
                <w:bCs/>
                <w:color w:val="000000"/>
                <w:sz w:val="13"/>
                <w:szCs w:val="13"/>
              </w:rPr>
              <w:t>4.925.973</w:t>
            </w:r>
          </w:p>
        </w:tc>
        <w:tc>
          <w:tcPr>
            <w:tcW w:w="869" w:type="dxa"/>
            <w:tcBorders>
              <w:top w:val="nil"/>
              <w:left w:val="nil"/>
              <w:bottom w:val="nil"/>
              <w:right w:val="single" w:sz="2" w:space="0" w:color="auto"/>
            </w:tcBorders>
            <w:shd w:val="clear" w:color="auto" w:fill="auto"/>
            <w:vAlign w:val="center"/>
          </w:tcPr>
          <w:p w14:paraId="7C9BE490" w14:textId="0EF503BC" w:rsidR="0044394F" w:rsidRPr="001F224B" w:rsidRDefault="0044394F" w:rsidP="0044394F">
            <w:pPr>
              <w:jc w:val="right"/>
              <w:rPr>
                <w:b/>
                <w:bCs/>
                <w:sz w:val="13"/>
                <w:szCs w:val="13"/>
              </w:rPr>
            </w:pPr>
            <w:r w:rsidRPr="001F224B">
              <w:rPr>
                <w:b/>
                <w:bCs/>
                <w:color w:val="000000"/>
                <w:sz w:val="13"/>
                <w:szCs w:val="13"/>
              </w:rPr>
              <w:t>5.075.170</w:t>
            </w:r>
          </w:p>
        </w:tc>
      </w:tr>
      <w:tr w:rsidR="0044394F" w:rsidRPr="001F224B" w14:paraId="688D250B" w14:textId="77777777" w:rsidTr="00315AF0">
        <w:trPr>
          <w:trHeight w:val="19"/>
        </w:trPr>
        <w:tc>
          <w:tcPr>
            <w:tcW w:w="579" w:type="dxa"/>
            <w:tcBorders>
              <w:top w:val="nil"/>
              <w:left w:val="single" w:sz="2" w:space="0" w:color="auto"/>
              <w:bottom w:val="nil"/>
              <w:right w:val="nil"/>
            </w:tcBorders>
            <w:shd w:val="clear" w:color="auto" w:fill="auto"/>
            <w:noWrap/>
            <w:hideMark/>
          </w:tcPr>
          <w:p w14:paraId="1EEFE955" w14:textId="77777777" w:rsidR="0044394F" w:rsidRPr="001F224B" w:rsidRDefault="0044394F" w:rsidP="0044394F">
            <w:pPr>
              <w:rPr>
                <w:color w:val="000000"/>
                <w:sz w:val="13"/>
                <w:szCs w:val="13"/>
                <w:lang w:val="en-US" w:eastAsia="en-US"/>
              </w:rPr>
            </w:pPr>
            <w:r w:rsidRPr="001F224B">
              <w:rPr>
                <w:sz w:val="13"/>
                <w:szCs w:val="13"/>
              </w:rPr>
              <w:t>1.1</w:t>
            </w:r>
          </w:p>
        </w:tc>
        <w:tc>
          <w:tcPr>
            <w:tcW w:w="3901" w:type="dxa"/>
            <w:tcBorders>
              <w:top w:val="nil"/>
              <w:left w:val="nil"/>
              <w:bottom w:val="nil"/>
              <w:right w:val="single" w:sz="2" w:space="0" w:color="auto"/>
            </w:tcBorders>
            <w:shd w:val="clear" w:color="auto" w:fill="auto"/>
            <w:noWrap/>
            <w:vAlign w:val="bottom"/>
            <w:hideMark/>
          </w:tcPr>
          <w:p w14:paraId="74D71414" w14:textId="77777777" w:rsidR="0044394F" w:rsidRPr="001F224B" w:rsidRDefault="0044394F" w:rsidP="0044394F">
            <w:pPr>
              <w:ind w:left="-123" w:right="-105"/>
              <w:rPr>
                <w:color w:val="000000"/>
                <w:sz w:val="13"/>
                <w:szCs w:val="13"/>
                <w:lang w:val="en-US" w:eastAsia="en-US"/>
              </w:rPr>
            </w:pPr>
            <w:r w:rsidRPr="001F224B">
              <w:rPr>
                <w:color w:val="000000"/>
                <w:sz w:val="13"/>
                <w:szCs w:val="13"/>
                <w:lang w:eastAsia="en-US"/>
              </w:rPr>
              <w:t xml:space="preserve">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7A2A37ED"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40B07842" w14:textId="416012F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153.021</w:t>
            </w:r>
          </w:p>
        </w:tc>
        <w:tc>
          <w:tcPr>
            <w:tcW w:w="868" w:type="dxa"/>
            <w:tcBorders>
              <w:top w:val="nil"/>
              <w:left w:val="nil"/>
              <w:bottom w:val="nil"/>
              <w:right w:val="single" w:sz="4" w:space="0" w:color="auto"/>
            </w:tcBorders>
            <w:shd w:val="clear" w:color="auto" w:fill="auto"/>
            <w:noWrap/>
            <w:hideMark/>
          </w:tcPr>
          <w:p w14:paraId="4D024AE0" w14:textId="2430752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4.724.407</w:t>
            </w:r>
          </w:p>
        </w:tc>
        <w:tc>
          <w:tcPr>
            <w:tcW w:w="869" w:type="dxa"/>
            <w:tcBorders>
              <w:top w:val="nil"/>
              <w:left w:val="nil"/>
              <w:bottom w:val="nil"/>
              <w:right w:val="dashed" w:sz="4" w:space="0" w:color="auto"/>
            </w:tcBorders>
            <w:shd w:val="clear" w:color="auto" w:fill="auto"/>
            <w:noWrap/>
            <w:hideMark/>
          </w:tcPr>
          <w:p w14:paraId="6BFF577A" w14:textId="0C9D3BF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4.877.428</w:t>
            </w:r>
          </w:p>
        </w:tc>
        <w:tc>
          <w:tcPr>
            <w:tcW w:w="868" w:type="dxa"/>
            <w:tcBorders>
              <w:top w:val="nil"/>
              <w:left w:val="single" w:sz="4" w:space="0" w:color="auto"/>
              <w:bottom w:val="nil"/>
              <w:right w:val="single" w:sz="4" w:space="0" w:color="auto"/>
            </w:tcBorders>
            <w:shd w:val="clear" w:color="auto" w:fill="auto"/>
            <w:vAlign w:val="center"/>
          </w:tcPr>
          <w:p w14:paraId="3DCBD6EF" w14:textId="69B68FF6" w:rsidR="0044394F" w:rsidRPr="001F224B" w:rsidRDefault="0044394F" w:rsidP="0044394F">
            <w:pPr>
              <w:jc w:val="right"/>
              <w:rPr>
                <w:sz w:val="13"/>
                <w:szCs w:val="13"/>
              </w:rPr>
            </w:pPr>
            <w:r w:rsidRPr="001F224B">
              <w:rPr>
                <w:color w:val="000000"/>
                <w:sz w:val="13"/>
                <w:szCs w:val="13"/>
              </w:rPr>
              <w:t>149.197</w:t>
            </w:r>
          </w:p>
        </w:tc>
        <w:tc>
          <w:tcPr>
            <w:tcW w:w="868" w:type="dxa"/>
            <w:tcBorders>
              <w:top w:val="nil"/>
              <w:left w:val="nil"/>
              <w:bottom w:val="nil"/>
              <w:right w:val="single" w:sz="4" w:space="0" w:color="auto"/>
            </w:tcBorders>
            <w:shd w:val="clear" w:color="auto" w:fill="auto"/>
            <w:vAlign w:val="center"/>
          </w:tcPr>
          <w:p w14:paraId="50017327" w14:textId="580EEFB7" w:rsidR="0044394F" w:rsidRPr="001F224B" w:rsidRDefault="0044394F" w:rsidP="0044394F">
            <w:pPr>
              <w:jc w:val="right"/>
              <w:rPr>
                <w:sz w:val="13"/>
                <w:szCs w:val="13"/>
              </w:rPr>
            </w:pPr>
            <w:r w:rsidRPr="001F224B">
              <w:rPr>
                <w:color w:val="000000"/>
                <w:sz w:val="13"/>
                <w:szCs w:val="13"/>
              </w:rPr>
              <w:t>4.159.253</w:t>
            </w:r>
          </w:p>
        </w:tc>
        <w:tc>
          <w:tcPr>
            <w:tcW w:w="869" w:type="dxa"/>
            <w:tcBorders>
              <w:top w:val="nil"/>
              <w:left w:val="nil"/>
              <w:bottom w:val="nil"/>
              <w:right w:val="single" w:sz="2" w:space="0" w:color="auto"/>
            </w:tcBorders>
            <w:shd w:val="clear" w:color="auto" w:fill="auto"/>
            <w:vAlign w:val="center"/>
          </w:tcPr>
          <w:p w14:paraId="62AB8152" w14:textId="706D57E3" w:rsidR="0044394F" w:rsidRPr="001F224B" w:rsidRDefault="0044394F" w:rsidP="0044394F">
            <w:pPr>
              <w:jc w:val="right"/>
              <w:rPr>
                <w:sz w:val="13"/>
                <w:szCs w:val="13"/>
              </w:rPr>
            </w:pPr>
            <w:r w:rsidRPr="001F224B">
              <w:rPr>
                <w:color w:val="000000"/>
                <w:sz w:val="13"/>
                <w:szCs w:val="13"/>
              </w:rPr>
              <w:t>4.308.450</w:t>
            </w:r>
          </w:p>
        </w:tc>
      </w:tr>
      <w:tr w:rsidR="0044394F" w:rsidRPr="001F224B" w14:paraId="719A295E" w14:textId="77777777" w:rsidTr="00315AF0">
        <w:trPr>
          <w:trHeight w:val="19"/>
        </w:trPr>
        <w:tc>
          <w:tcPr>
            <w:tcW w:w="579" w:type="dxa"/>
            <w:tcBorders>
              <w:top w:val="nil"/>
              <w:left w:val="single" w:sz="2" w:space="0" w:color="auto"/>
              <w:bottom w:val="nil"/>
              <w:right w:val="nil"/>
            </w:tcBorders>
            <w:shd w:val="clear" w:color="auto" w:fill="auto"/>
            <w:noWrap/>
            <w:hideMark/>
          </w:tcPr>
          <w:p w14:paraId="09D2F350" w14:textId="77777777" w:rsidR="0044394F" w:rsidRPr="001F224B" w:rsidRDefault="0044394F" w:rsidP="0044394F">
            <w:pPr>
              <w:rPr>
                <w:color w:val="000000"/>
                <w:sz w:val="13"/>
                <w:szCs w:val="13"/>
                <w:lang w:val="en-US" w:eastAsia="en-US"/>
              </w:rPr>
            </w:pPr>
            <w:r w:rsidRPr="001F224B">
              <w:rPr>
                <w:sz w:val="13"/>
                <w:szCs w:val="13"/>
              </w:rPr>
              <w:t>1.1.1</w:t>
            </w:r>
          </w:p>
        </w:tc>
        <w:tc>
          <w:tcPr>
            <w:tcW w:w="3901" w:type="dxa"/>
            <w:tcBorders>
              <w:top w:val="nil"/>
              <w:left w:val="nil"/>
              <w:bottom w:val="nil"/>
              <w:right w:val="single" w:sz="2" w:space="0" w:color="auto"/>
            </w:tcBorders>
            <w:shd w:val="clear" w:color="auto" w:fill="auto"/>
            <w:noWrap/>
            <w:vAlign w:val="bottom"/>
            <w:hideMark/>
          </w:tcPr>
          <w:p w14:paraId="7CCCEF2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Devlet İhale Kanunu Kapsamına Girenler</w:t>
            </w:r>
          </w:p>
        </w:tc>
        <w:tc>
          <w:tcPr>
            <w:tcW w:w="658" w:type="dxa"/>
            <w:tcBorders>
              <w:top w:val="nil"/>
              <w:left w:val="single" w:sz="2" w:space="0" w:color="auto"/>
              <w:bottom w:val="nil"/>
              <w:right w:val="single" w:sz="2" w:space="0" w:color="auto"/>
            </w:tcBorders>
            <w:shd w:val="clear" w:color="auto" w:fill="auto"/>
            <w:noWrap/>
            <w:vAlign w:val="bottom"/>
            <w:hideMark/>
          </w:tcPr>
          <w:p w14:paraId="5CFF494A"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8AB769F" w14:textId="430D4AE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74F28A53" w14:textId="5947B65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17B186D2" w14:textId="005BAF3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w:t>
            </w:r>
          </w:p>
        </w:tc>
        <w:tc>
          <w:tcPr>
            <w:tcW w:w="868" w:type="dxa"/>
            <w:tcBorders>
              <w:top w:val="nil"/>
              <w:left w:val="single" w:sz="4" w:space="0" w:color="auto"/>
              <w:bottom w:val="nil"/>
              <w:right w:val="single" w:sz="4" w:space="0" w:color="auto"/>
            </w:tcBorders>
            <w:shd w:val="clear" w:color="auto" w:fill="auto"/>
            <w:vAlign w:val="center"/>
          </w:tcPr>
          <w:p w14:paraId="108DD2BA" w14:textId="5B7A50CD" w:rsidR="0044394F" w:rsidRPr="001F224B" w:rsidRDefault="0044394F" w:rsidP="0044394F">
            <w:pPr>
              <w:jc w:val="right"/>
              <w:rPr>
                <w:sz w:val="13"/>
                <w:szCs w:val="13"/>
              </w:rPr>
            </w:pPr>
            <w:r w:rsidRPr="001F224B">
              <w:rPr>
                <w:sz w:val="13"/>
                <w:szCs w:val="13"/>
              </w:rPr>
              <w:t>-</w:t>
            </w:r>
          </w:p>
        </w:tc>
        <w:tc>
          <w:tcPr>
            <w:tcW w:w="868" w:type="dxa"/>
            <w:tcBorders>
              <w:top w:val="nil"/>
              <w:left w:val="nil"/>
              <w:bottom w:val="nil"/>
              <w:right w:val="single" w:sz="4" w:space="0" w:color="auto"/>
            </w:tcBorders>
            <w:shd w:val="clear" w:color="auto" w:fill="auto"/>
            <w:vAlign w:val="center"/>
          </w:tcPr>
          <w:p w14:paraId="2BD9D208" w14:textId="43D6B008" w:rsidR="0044394F" w:rsidRPr="001F224B" w:rsidRDefault="0044394F" w:rsidP="0044394F">
            <w:pPr>
              <w:jc w:val="right"/>
              <w:rPr>
                <w:sz w:val="13"/>
                <w:szCs w:val="13"/>
              </w:rPr>
            </w:pPr>
            <w:r w:rsidRPr="001F224B">
              <w:rPr>
                <w:sz w:val="13"/>
                <w:szCs w:val="13"/>
              </w:rPr>
              <w:t>-</w:t>
            </w:r>
          </w:p>
        </w:tc>
        <w:tc>
          <w:tcPr>
            <w:tcW w:w="869" w:type="dxa"/>
            <w:tcBorders>
              <w:top w:val="nil"/>
              <w:left w:val="nil"/>
              <w:bottom w:val="nil"/>
              <w:right w:val="single" w:sz="2" w:space="0" w:color="auto"/>
            </w:tcBorders>
            <w:shd w:val="clear" w:color="auto" w:fill="auto"/>
            <w:vAlign w:val="center"/>
          </w:tcPr>
          <w:p w14:paraId="5E5B5A0A" w14:textId="1B439DC4" w:rsidR="0044394F" w:rsidRPr="001F224B" w:rsidRDefault="0044394F" w:rsidP="0044394F">
            <w:pPr>
              <w:jc w:val="right"/>
              <w:rPr>
                <w:sz w:val="13"/>
                <w:szCs w:val="13"/>
              </w:rPr>
            </w:pPr>
            <w:r w:rsidRPr="001F224B">
              <w:rPr>
                <w:sz w:val="13"/>
                <w:szCs w:val="13"/>
              </w:rPr>
              <w:t>-</w:t>
            </w:r>
          </w:p>
        </w:tc>
      </w:tr>
      <w:tr w:rsidR="0044394F" w:rsidRPr="001F224B" w14:paraId="2DF279DD" w14:textId="77777777" w:rsidTr="00315AF0">
        <w:trPr>
          <w:trHeight w:val="19"/>
        </w:trPr>
        <w:tc>
          <w:tcPr>
            <w:tcW w:w="579" w:type="dxa"/>
            <w:tcBorders>
              <w:top w:val="nil"/>
              <w:left w:val="single" w:sz="2" w:space="0" w:color="auto"/>
              <w:bottom w:val="nil"/>
              <w:right w:val="nil"/>
            </w:tcBorders>
            <w:shd w:val="clear" w:color="auto" w:fill="auto"/>
            <w:noWrap/>
            <w:hideMark/>
          </w:tcPr>
          <w:p w14:paraId="4231DF07" w14:textId="77777777" w:rsidR="0044394F" w:rsidRPr="001F224B" w:rsidRDefault="0044394F" w:rsidP="0044394F">
            <w:pPr>
              <w:rPr>
                <w:color w:val="000000"/>
                <w:sz w:val="13"/>
                <w:szCs w:val="13"/>
                <w:lang w:val="en-US" w:eastAsia="en-US"/>
              </w:rPr>
            </w:pPr>
            <w:r w:rsidRPr="001F224B">
              <w:rPr>
                <w:sz w:val="13"/>
                <w:szCs w:val="13"/>
              </w:rPr>
              <w:t>1.1.2</w:t>
            </w:r>
          </w:p>
        </w:tc>
        <w:tc>
          <w:tcPr>
            <w:tcW w:w="3901" w:type="dxa"/>
            <w:tcBorders>
              <w:top w:val="nil"/>
              <w:left w:val="nil"/>
              <w:bottom w:val="nil"/>
              <w:right w:val="single" w:sz="2" w:space="0" w:color="auto"/>
            </w:tcBorders>
            <w:shd w:val="clear" w:color="auto" w:fill="auto"/>
            <w:noWrap/>
            <w:vAlign w:val="bottom"/>
            <w:hideMark/>
          </w:tcPr>
          <w:p w14:paraId="0E45EE5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Dış Ticaret İşlemleri Dolayısıyla Verilenler</w:t>
            </w:r>
          </w:p>
        </w:tc>
        <w:tc>
          <w:tcPr>
            <w:tcW w:w="658" w:type="dxa"/>
            <w:tcBorders>
              <w:top w:val="nil"/>
              <w:left w:val="single" w:sz="2" w:space="0" w:color="auto"/>
              <w:bottom w:val="nil"/>
              <w:right w:val="single" w:sz="2" w:space="0" w:color="auto"/>
            </w:tcBorders>
            <w:shd w:val="clear" w:color="auto" w:fill="auto"/>
            <w:noWrap/>
            <w:vAlign w:val="bottom"/>
            <w:hideMark/>
          </w:tcPr>
          <w:p w14:paraId="2BD4DDBD"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04B719B" w14:textId="370B997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w:t>
            </w:r>
          </w:p>
        </w:tc>
        <w:tc>
          <w:tcPr>
            <w:tcW w:w="868" w:type="dxa"/>
            <w:tcBorders>
              <w:top w:val="nil"/>
              <w:left w:val="nil"/>
              <w:bottom w:val="nil"/>
              <w:right w:val="single" w:sz="4" w:space="0" w:color="auto"/>
            </w:tcBorders>
            <w:shd w:val="clear" w:color="auto" w:fill="auto"/>
            <w:noWrap/>
            <w:hideMark/>
          </w:tcPr>
          <w:p w14:paraId="095207E7" w14:textId="6B32096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B05CC10" w14:textId="1E34E0B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w:t>
            </w:r>
          </w:p>
        </w:tc>
        <w:tc>
          <w:tcPr>
            <w:tcW w:w="868" w:type="dxa"/>
            <w:tcBorders>
              <w:top w:val="nil"/>
              <w:left w:val="single" w:sz="4" w:space="0" w:color="auto"/>
              <w:bottom w:val="nil"/>
              <w:right w:val="single" w:sz="4" w:space="0" w:color="auto"/>
            </w:tcBorders>
            <w:shd w:val="clear" w:color="auto" w:fill="auto"/>
            <w:vAlign w:val="center"/>
          </w:tcPr>
          <w:p w14:paraId="18723C8F" w14:textId="2E0F3467" w:rsidR="0044394F" w:rsidRPr="001F224B" w:rsidRDefault="0044394F" w:rsidP="0044394F">
            <w:pPr>
              <w:jc w:val="right"/>
              <w:rPr>
                <w:sz w:val="13"/>
                <w:szCs w:val="13"/>
              </w:rPr>
            </w:pPr>
            <w:r w:rsidRPr="001F224B">
              <w:rPr>
                <w:color w:val="000000"/>
                <w:sz w:val="13"/>
                <w:szCs w:val="13"/>
              </w:rPr>
              <w:t>1</w:t>
            </w:r>
          </w:p>
        </w:tc>
        <w:tc>
          <w:tcPr>
            <w:tcW w:w="868" w:type="dxa"/>
            <w:tcBorders>
              <w:top w:val="nil"/>
              <w:left w:val="nil"/>
              <w:bottom w:val="nil"/>
              <w:right w:val="single" w:sz="4" w:space="0" w:color="auto"/>
            </w:tcBorders>
            <w:shd w:val="clear" w:color="auto" w:fill="auto"/>
            <w:vAlign w:val="center"/>
          </w:tcPr>
          <w:p w14:paraId="7189FD02" w14:textId="532E7530" w:rsidR="0044394F" w:rsidRPr="001F224B" w:rsidRDefault="0044394F" w:rsidP="0044394F">
            <w:pPr>
              <w:jc w:val="right"/>
              <w:rPr>
                <w:sz w:val="13"/>
                <w:szCs w:val="13"/>
              </w:rPr>
            </w:pPr>
            <w:r w:rsidRPr="001F224B">
              <w:rPr>
                <w:color w:val="000000"/>
                <w:sz w:val="13"/>
                <w:szCs w:val="13"/>
              </w:rPr>
              <w:t>-</w:t>
            </w:r>
          </w:p>
        </w:tc>
        <w:tc>
          <w:tcPr>
            <w:tcW w:w="869" w:type="dxa"/>
            <w:tcBorders>
              <w:top w:val="nil"/>
              <w:left w:val="nil"/>
              <w:bottom w:val="nil"/>
              <w:right w:val="single" w:sz="2" w:space="0" w:color="auto"/>
            </w:tcBorders>
            <w:shd w:val="clear" w:color="auto" w:fill="auto"/>
            <w:vAlign w:val="center"/>
          </w:tcPr>
          <w:p w14:paraId="55BC255E" w14:textId="51DC5177" w:rsidR="0044394F" w:rsidRPr="001F224B" w:rsidRDefault="0044394F" w:rsidP="0044394F">
            <w:pPr>
              <w:jc w:val="right"/>
              <w:rPr>
                <w:sz w:val="13"/>
                <w:szCs w:val="13"/>
              </w:rPr>
            </w:pPr>
            <w:r w:rsidRPr="001F224B">
              <w:rPr>
                <w:color w:val="000000"/>
                <w:sz w:val="13"/>
                <w:szCs w:val="13"/>
              </w:rPr>
              <w:t>1</w:t>
            </w:r>
          </w:p>
        </w:tc>
      </w:tr>
      <w:tr w:rsidR="0044394F" w:rsidRPr="001F224B" w14:paraId="1238F7DA" w14:textId="77777777" w:rsidTr="00315AF0">
        <w:trPr>
          <w:trHeight w:val="19"/>
        </w:trPr>
        <w:tc>
          <w:tcPr>
            <w:tcW w:w="579" w:type="dxa"/>
            <w:tcBorders>
              <w:top w:val="nil"/>
              <w:left w:val="single" w:sz="2" w:space="0" w:color="auto"/>
              <w:bottom w:val="nil"/>
              <w:right w:val="nil"/>
            </w:tcBorders>
            <w:shd w:val="clear" w:color="auto" w:fill="auto"/>
            <w:noWrap/>
            <w:hideMark/>
          </w:tcPr>
          <w:p w14:paraId="4A39F0A5" w14:textId="77777777" w:rsidR="0044394F" w:rsidRPr="001F224B" w:rsidRDefault="0044394F" w:rsidP="0044394F">
            <w:pPr>
              <w:rPr>
                <w:color w:val="000000"/>
                <w:sz w:val="13"/>
                <w:szCs w:val="13"/>
                <w:lang w:val="en-US" w:eastAsia="en-US"/>
              </w:rPr>
            </w:pPr>
            <w:r w:rsidRPr="001F224B">
              <w:rPr>
                <w:sz w:val="13"/>
                <w:szCs w:val="13"/>
              </w:rPr>
              <w:t>1.1.3</w:t>
            </w:r>
          </w:p>
        </w:tc>
        <w:tc>
          <w:tcPr>
            <w:tcW w:w="3901" w:type="dxa"/>
            <w:tcBorders>
              <w:top w:val="nil"/>
              <w:left w:val="nil"/>
              <w:bottom w:val="nil"/>
              <w:right w:val="single" w:sz="2" w:space="0" w:color="auto"/>
            </w:tcBorders>
            <w:shd w:val="clear" w:color="auto" w:fill="auto"/>
            <w:noWrap/>
            <w:vAlign w:val="bottom"/>
            <w:hideMark/>
          </w:tcPr>
          <w:p w14:paraId="2BD1D038"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2B2DCBDD"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16F296C2" w14:textId="2E705A3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153.020</w:t>
            </w:r>
          </w:p>
        </w:tc>
        <w:tc>
          <w:tcPr>
            <w:tcW w:w="868" w:type="dxa"/>
            <w:tcBorders>
              <w:top w:val="nil"/>
              <w:left w:val="nil"/>
              <w:bottom w:val="nil"/>
              <w:right w:val="single" w:sz="4" w:space="0" w:color="auto"/>
            </w:tcBorders>
            <w:shd w:val="clear" w:color="auto" w:fill="auto"/>
            <w:noWrap/>
            <w:hideMark/>
          </w:tcPr>
          <w:p w14:paraId="738E502A" w14:textId="765744B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4.724.407</w:t>
            </w:r>
          </w:p>
        </w:tc>
        <w:tc>
          <w:tcPr>
            <w:tcW w:w="869" w:type="dxa"/>
            <w:tcBorders>
              <w:top w:val="nil"/>
              <w:left w:val="nil"/>
              <w:bottom w:val="nil"/>
              <w:right w:val="dashed" w:sz="4" w:space="0" w:color="auto"/>
            </w:tcBorders>
            <w:shd w:val="clear" w:color="auto" w:fill="auto"/>
            <w:noWrap/>
            <w:hideMark/>
          </w:tcPr>
          <w:p w14:paraId="35A6443C" w14:textId="3398AA0B"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4.877.427</w:t>
            </w:r>
          </w:p>
        </w:tc>
        <w:tc>
          <w:tcPr>
            <w:tcW w:w="868" w:type="dxa"/>
            <w:tcBorders>
              <w:top w:val="nil"/>
              <w:left w:val="single" w:sz="4" w:space="0" w:color="auto"/>
              <w:bottom w:val="nil"/>
              <w:right w:val="single" w:sz="4" w:space="0" w:color="auto"/>
            </w:tcBorders>
            <w:shd w:val="clear" w:color="auto" w:fill="auto"/>
            <w:vAlign w:val="center"/>
          </w:tcPr>
          <w:p w14:paraId="469477B4" w14:textId="5FE670FC" w:rsidR="0044394F" w:rsidRPr="001F224B" w:rsidRDefault="0044394F" w:rsidP="0044394F">
            <w:pPr>
              <w:jc w:val="right"/>
              <w:rPr>
                <w:sz w:val="13"/>
                <w:szCs w:val="13"/>
              </w:rPr>
            </w:pPr>
            <w:r w:rsidRPr="001F224B">
              <w:rPr>
                <w:color w:val="000000"/>
                <w:sz w:val="13"/>
                <w:szCs w:val="13"/>
              </w:rPr>
              <w:t>149.196</w:t>
            </w:r>
          </w:p>
        </w:tc>
        <w:tc>
          <w:tcPr>
            <w:tcW w:w="868" w:type="dxa"/>
            <w:tcBorders>
              <w:top w:val="nil"/>
              <w:left w:val="nil"/>
              <w:bottom w:val="nil"/>
              <w:right w:val="single" w:sz="4" w:space="0" w:color="auto"/>
            </w:tcBorders>
            <w:shd w:val="clear" w:color="auto" w:fill="auto"/>
            <w:vAlign w:val="center"/>
          </w:tcPr>
          <w:p w14:paraId="48C1204A" w14:textId="000DF6BD" w:rsidR="0044394F" w:rsidRPr="001F224B" w:rsidRDefault="0044394F" w:rsidP="0044394F">
            <w:pPr>
              <w:jc w:val="right"/>
              <w:rPr>
                <w:sz w:val="13"/>
                <w:szCs w:val="13"/>
              </w:rPr>
            </w:pPr>
            <w:r w:rsidRPr="001F224B">
              <w:rPr>
                <w:color w:val="000000"/>
                <w:sz w:val="13"/>
                <w:szCs w:val="13"/>
              </w:rPr>
              <w:t>4.159.253</w:t>
            </w:r>
          </w:p>
        </w:tc>
        <w:tc>
          <w:tcPr>
            <w:tcW w:w="869" w:type="dxa"/>
            <w:tcBorders>
              <w:top w:val="nil"/>
              <w:left w:val="nil"/>
              <w:bottom w:val="nil"/>
              <w:right w:val="single" w:sz="2" w:space="0" w:color="auto"/>
            </w:tcBorders>
            <w:shd w:val="clear" w:color="auto" w:fill="auto"/>
            <w:vAlign w:val="center"/>
          </w:tcPr>
          <w:p w14:paraId="34007FF0" w14:textId="747F983B" w:rsidR="0044394F" w:rsidRPr="001F224B" w:rsidRDefault="0044394F" w:rsidP="0044394F">
            <w:pPr>
              <w:jc w:val="right"/>
              <w:rPr>
                <w:sz w:val="13"/>
                <w:szCs w:val="13"/>
              </w:rPr>
            </w:pPr>
            <w:r w:rsidRPr="001F224B">
              <w:rPr>
                <w:color w:val="000000"/>
                <w:sz w:val="13"/>
                <w:szCs w:val="13"/>
              </w:rPr>
              <w:t>4.308.449</w:t>
            </w:r>
          </w:p>
        </w:tc>
      </w:tr>
      <w:tr w:rsidR="0044394F" w:rsidRPr="001F224B" w14:paraId="1A04D907" w14:textId="77777777" w:rsidTr="00B805B3">
        <w:trPr>
          <w:trHeight w:val="19"/>
        </w:trPr>
        <w:tc>
          <w:tcPr>
            <w:tcW w:w="579" w:type="dxa"/>
            <w:tcBorders>
              <w:top w:val="nil"/>
              <w:left w:val="single" w:sz="2" w:space="0" w:color="auto"/>
              <w:bottom w:val="nil"/>
              <w:right w:val="nil"/>
            </w:tcBorders>
            <w:shd w:val="clear" w:color="auto" w:fill="auto"/>
            <w:noWrap/>
            <w:hideMark/>
          </w:tcPr>
          <w:p w14:paraId="2E891B9F" w14:textId="77777777" w:rsidR="0044394F" w:rsidRPr="001F224B" w:rsidRDefault="0044394F" w:rsidP="0044394F">
            <w:pPr>
              <w:rPr>
                <w:color w:val="000000"/>
                <w:sz w:val="13"/>
                <w:szCs w:val="13"/>
                <w:lang w:val="en-US" w:eastAsia="en-US"/>
              </w:rPr>
            </w:pPr>
            <w:r w:rsidRPr="001F224B">
              <w:rPr>
                <w:sz w:val="13"/>
                <w:szCs w:val="13"/>
              </w:rPr>
              <w:t>1.2</w:t>
            </w:r>
          </w:p>
        </w:tc>
        <w:tc>
          <w:tcPr>
            <w:tcW w:w="3901" w:type="dxa"/>
            <w:tcBorders>
              <w:top w:val="nil"/>
              <w:left w:val="nil"/>
              <w:bottom w:val="nil"/>
              <w:right w:val="single" w:sz="2" w:space="0" w:color="auto"/>
            </w:tcBorders>
            <w:shd w:val="clear" w:color="auto" w:fill="auto"/>
            <w:noWrap/>
            <w:vAlign w:val="bottom"/>
            <w:hideMark/>
          </w:tcPr>
          <w:p w14:paraId="5CF569C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Banka Kredileri</w:t>
            </w:r>
          </w:p>
        </w:tc>
        <w:tc>
          <w:tcPr>
            <w:tcW w:w="658" w:type="dxa"/>
            <w:tcBorders>
              <w:top w:val="nil"/>
              <w:left w:val="single" w:sz="2" w:space="0" w:color="auto"/>
              <w:bottom w:val="nil"/>
              <w:right w:val="single" w:sz="2" w:space="0" w:color="auto"/>
            </w:tcBorders>
            <w:shd w:val="clear" w:color="auto" w:fill="auto"/>
            <w:noWrap/>
            <w:vAlign w:val="bottom"/>
            <w:hideMark/>
          </w:tcPr>
          <w:p w14:paraId="4DE87214"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96D413B" w14:textId="2496615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F6C57B7" w14:textId="4BA99A5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1A6DD4CF" w14:textId="72CB3835"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289CE10" w14:textId="3F0F23E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BB2EC83" w14:textId="34F35D6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A286058" w14:textId="4F20186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3190CC84" w14:textId="77777777" w:rsidTr="00B805B3">
        <w:trPr>
          <w:trHeight w:val="19"/>
        </w:trPr>
        <w:tc>
          <w:tcPr>
            <w:tcW w:w="579" w:type="dxa"/>
            <w:tcBorders>
              <w:top w:val="nil"/>
              <w:left w:val="single" w:sz="2" w:space="0" w:color="auto"/>
              <w:bottom w:val="nil"/>
              <w:right w:val="nil"/>
            </w:tcBorders>
            <w:shd w:val="clear" w:color="auto" w:fill="auto"/>
            <w:noWrap/>
            <w:hideMark/>
          </w:tcPr>
          <w:p w14:paraId="470698D7" w14:textId="77777777" w:rsidR="0044394F" w:rsidRPr="001F224B" w:rsidRDefault="0044394F" w:rsidP="0044394F">
            <w:pPr>
              <w:rPr>
                <w:color w:val="000000"/>
                <w:sz w:val="13"/>
                <w:szCs w:val="13"/>
                <w:lang w:val="en-US" w:eastAsia="en-US"/>
              </w:rPr>
            </w:pPr>
            <w:r w:rsidRPr="001F224B">
              <w:rPr>
                <w:sz w:val="13"/>
                <w:szCs w:val="13"/>
              </w:rPr>
              <w:t>1.2.1</w:t>
            </w:r>
          </w:p>
        </w:tc>
        <w:tc>
          <w:tcPr>
            <w:tcW w:w="3901" w:type="dxa"/>
            <w:tcBorders>
              <w:top w:val="nil"/>
              <w:left w:val="nil"/>
              <w:bottom w:val="nil"/>
              <w:right w:val="single" w:sz="2" w:space="0" w:color="auto"/>
            </w:tcBorders>
            <w:shd w:val="clear" w:color="auto" w:fill="auto"/>
            <w:noWrap/>
            <w:vAlign w:val="bottom"/>
            <w:hideMark/>
          </w:tcPr>
          <w:p w14:paraId="63224BE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İthalat Kabul Kredileri</w:t>
            </w:r>
          </w:p>
        </w:tc>
        <w:tc>
          <w:tcPr>
            <w:tcW w:w="658" w:type="dxa"/>
            <w:tcBorders>
              <w:top w:val="nil"/>
              <w:left w:val="single" w:sz="2" w:space="0" w:color="auto"/>
              <w:bottom w:val="nil"/>
              <w:right w:val="single" w:sz="2" w:space="0" w:color="auto"/>
            </w:tcBorders>
            <w:shd w:val="clear" w:color="auto" w:fill="auto"/>
            <w:noWrap/>
            <w:vAlign w:val="bottom"/>
            <w:hideMark/>
          </w:tcPr>
          <w:p w14:paraId="35C65739"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50D070B" w14:textId="7E7B29D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FD3E29A" w14:textId="14F0AC1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6EA8EADC" w14:textId="56620574"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146ED9C" w14:textId="4EB9A67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91664E4" w14:textId="58EEA5C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B297C41" w14:textId="50867E5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2C3C556" w14:textId="77777777" w:rsidTr="00B805B3">
        <w:trPr>
          <w:trHeight w:val="19"/>
        </w:trPr>
        <w:tc>
          <w:tcPr>
            <w:tcW w:w="579" w:type="dxa"/>
            <w:tcBorders>
              <w:top w:val="nil"/>
              <w:left w:val="single" w:sz="2" w:space="0" w:color="auto"/>
              <w:bottom w:val="nil"/>
              <w:right w:val="nil"/>
            </w:tcBorders>
            <w:shd w:val="clear" w:color="auto" w:fill="auto"/>
            <w:noWrap/>
            <w:hideMark/>
          </w:tcPr>
          <w:p w14:paraId="1B02A405" w14:textId="77777777" w:rsidR="0044394F" w:rsidRPr="001F224B" w:rsidRDefault="0044394F" w:rsidP="0044394F">
            <w:pPr>
              <w:rPr>
                <w:color w:val="000000"/>
                <w:sz w:val="13"/>
                <w:szCs w:val="13"/>
                <w:lang w:val="en-US" w:eastAsia="en-US"/>
              </w:rPr>
            </w:pPr>
            <w:r w:rsidRPr="001F224B">
              <w:rPr>
                <w:sz w:val="13"/>
                <w:szCs w:val="13"/>
              </w:rPr>
              <w:t>1.2.2</w:t>
            </w:r>
          </w:p>
        </w:tc>
        <w:tc>
          <w:tcPr>
            <w:tcW w:w="3901" w:type="dxa"/>
            <w:tcBorders>
              <w:top w:val="nil"/>
              <w:left w:val="nil"/>
              <w:bottom w:val="nil"/>
              <w:right w:val="single" w:sz="2" w:space="0" w:color="auto"/>
            </w:tcBorders>
            <w:shd w:val="clear" w:color="auto" w:fill="auto"/>
            <w:noWrap/>
            <w:vAlign w:val="bottom"/>
            <w:hideMark/>
          </w:tcPr>
          <w:p w14:paraId="4F5B12E8"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Banka Kabulleri</w:t>
            </w:r>
          </w:p>
        </w:tc>
        <w:tc>
          <w:tcPr>
            <w:tcW w:w="658" w:type="dxa"/>
            <w:tcBorders>
              <w:top w:val="nil"/>
              <w:left w:val="single" w:sz="2" w:space="0" w:color="auto"/>
              <w:bottom w:val="nil"/>
              <w:right w:val="single" w:sz="2" w:space="0" w:color="auto"/>
            </w:tcBorders>
            <w:shd w:val="clear" w:color="auto" w:fill="auto"/>
            <w:noWrap/>
            <w:vAlign w:val="bottom"/>
            <w:hideMark/>
          </w:tcPr>
          <w:p w14:paraId="73F125D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546C2D1" w14:textId="60D2A59C"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6AC877F" w14:textId="7C64CEE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3D6D620" w14:textId="4BAD9281"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3E14BF1" w14:textId="6A0035C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52B0682" w14:textId="3A56CF2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A59EA4" w14:textId="35FBFA3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79903DB" w14:textId="77777777" w:rsidTr="00315AF0">
        <w:trPr>
          <w:trHeight w:val="19"/>
        </w:trPr>
        <w:tc>
          <w:tcPr>
            <w:tcW w:w="579" w:type="dxa"/>
            <w:tcBorders>
              <w:top w:val="nil"/>
              <w:left w:val="single" w:sz="2" w:space="0" w:color="auto"/>
              <w:bottom w:val="nil"/>
              <w:right w:val="nil"/>
            </w:tcBorders>
            <w:shd w:val="clear" w:color="auto" w:fill="auto"/>
            <w:noWrap/>
            <w:hideMark/>
          </w:tcPr>
          <w:p w14:paraId="2B7619DC" w14:textId="77777777" w:rsidR="0044394F" w:rsidRPr="001F224B" w:rsidRDefault="0044394F" w:rsidP="0044394F">
            <w:pPr>
              <w:rPr>
                <w:color w:val="000000"/>
                <w:sz w:val="13"/>
                <w:szCs w:val="13"/>
                <w:lang w:val="en-US" w:eastAsia="en-US"/>
              </w:rPr>
            </w:pPr>
            <w:r w:rsidRPr="001F224B">
              <w:rPr>
                <w:sz w:val="13"/>
                <w:szCs w:val="13"/>
              </w:rPr>
              <w:t>1.3</w:t>
            </w:r>
          </w:p>
        </w:tc>
        <w:tc>
          <w:tcPr>
            <w:tcW w:w="3901" w:type="dxa"/>
            <w:tcBorders>
              <w:top w:val="nil"/>
              <w:left w:val="nil"/>
              <w:bottom w:val="nil"/>
              <w:right w:val="single" w:sz="2" w:space="0" w:color="auto"/>
            </w:tcBorders>
            <w:shd w:val="clear" w:color="auto" w:fill="auto"/>
            <w:noWrap/>
            <w:vAlign w:val="bottom"/>
            <w:hideMark/>
          </w:tcPr>
          <w:p w14:paraId="6CCAC771"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3A52259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C78450D" w14:textId="3D33A6B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2CFDFCF5" w14:textId="2161938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90.557</w:t>
            </w:r>
          </w:p>
        </w:tc>
        <w:tc>
          <w:tcPr>
            <w:tcW w:w="869" w:type="dxa"/>
            <w:tcBorders>
              <w:top w:val="nil"/>
              <w:left w:val="nil"/>
              <w:bottom w:val="nil"/>
              <w:right w:val="single" w:sz="4" w:space="0" w:color="auto"/>
            </w:tcBorders>
            <w:shd w:val="clear" w:color="auto" w:fill="auto"/>
            <w:noWrap/>
            <w:hideMark/>
          </w:tcPr>
          <w:p w14:paraId="26DE18F3" w14:textId="42D9EBA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90.557</w:t>
            </w:r>
          </w:p>
        </w:tc>
        <w:tc>
          <w:tcPr>
            <w:tcW w:w="868" w:type="dxa"/>
            <w:tcBorders>
              <w:top w:val="nil"/>
              <w:left w:val="single" w:sz="4" w:space="0" w:color="auto"/>
              <w:bottom w:val="nil"/>
              <w:right w:val="single" w:sz="4" w:space="0" w:color="auto"/>
            </w:tcBorders>
            <w:shd w:val="clear" w:color="auto" w:fill="auto"/>
            <w:vAlign w:val="center"/>
          </w:tcPr>
          <w:p w14:paraId="316FE2DE" w14:textId="73EAE446" w:rsidR="0044394F" w:rsidRPr="001F224B" w:rsidRDefault="0044394F" w:rsidP="0044394F">
            <w:pPr>
              <w:jc w:val="right"/>
              <w:rPr>
                <w:sz w:val="13"/>
                <w:szCs w:val="13"/>
              </w:rPr>
            </w:pPr>
            <w:r w:rsidRPr="001F224B">
              <w:rPr>
                <w:color w:val="000000"/>
                <w:sz w:val="13"/>
                <w:szCs w:val="13"/>
              </w:rPr>
              <w:t>-</w:t>
            </w:r>
          </w:p>
        </w:tc>
        <w:tc>
          <w:tcPr>
            <w:tcW w:w="868" w:type="dxa"/>
            <w:tcBorders>
              <w:top w:val="nil"/>
              <w:left w:val="nil"/>
              <w:bottom w:val="nil"/>
              <w:right w:val="single" w:sz="4" w:space="0" w:color="auto"/>
            </w:tcBorders>
            <w:shd w:val="clear" w:color="auto" w:fill="auto"/>
            <w:vAlign w:val="center"/>
          </w:tcPr>
          <w:p w14:paraId="2C5F2828" w14:textId="76A6A07F" w:rsidR="0044394F" w:rsidRPr="001F224B" w:rsidRDefault="0044394F" w:rsidP="0044394F">
            <w:pPr>
              <w:jc w:val="right"/>
              <w:rPr>
                <w:sz w:val="13"/>
                <w:szCs w:val="13"/>
              </w:rPr>
            </w:pPr>
            <w:r w:rsidRPr="001F224B">
              <w:rPr>
                <w:color w:val="000000"/>
                <w:sz w:val="13"/>
                <w:szCs w:val="13"/>
              </w:rPr>
              <w:t>133.709</w:t>
            </w:r>
          </w:p>
        </w:tc>
        <w:tc>
          <w:tcPr>
            <w:tcW w:w="869" w:type="dxa"/>
            <w:tcBorders>
              <w:top w:val="nil"/>
              <w:left w:val="nil"/>
              <w:bottom w:val="nil"/>
              <w:right w:val="single" w:sz="2" w:space="0" w:color="auto"/>
            </w:tcBorders>
            <w:shd w:val="clear" w:color="auto" w:fill="auto"/>
            <w:vAlign w:val="center"/>
          </w:tcPr>
          <w:p w14:paraId="59944146" w14:textId="4114A3A1" w:rsidR="0044394F" w:rsidRPr="001F224B" w:rsidRDefault="0044394F" w:rsidP="0044394F">
            <w:pPr>
              <w:jc w:val="right"/>
              <w:rPr>
                <w:sz w:val="13"/>
                <w:szCs w:val="13"/>
              </w:rPr>
            </w:pPr>
            <w:r w:rsidRPr="001F224B">
              <w:rPr>
                <w:color w:val="000000"/>
                <w:sz w:val="13"/>
                <w:szCs w:val="13"/>
              </w:rPr>
              <w:t>133.709</w:t>
            </w:r>
          </w:p>
        </w:tc>
      </w:tr>
      <w:tr w:rsidR="0044394F" w:rsidRPr="001F224B" w14:paraId="7FF02B5B" w14:textId="77777777" w:rsidTr="00315AF0">
        <w:trPr>
          <w:trHeight w:val="19"/>
        </w:trPr>
        <w:tc>
          <w:tcPr>
            <w:tcW w:w="579" w:type="dxa"/>
            <w:tcBorders>
              <w:top w:val="nil"/>
              <w:left w:val="single" w:sz="2" w:space="0" w:color="auto"/>
              <w:bottom w:val="nil"/>
              <w:right w:val="nil"/>
            </w:tcBorders>
            <w:shd w:val="clear" w:color="auto" w:fill="auto"/>
            <w:noWrap/>
            <w:hideMark/>
          </w:tcPr>
          <w:p w14:paraId="3435B1D7" w14:textId="77777777" w:rsidR="0044394F" w:rsidRPr="001F224B" w:rsidRDefault="0044394F" w:rsidP="0044394F">
            <w:pPr>
              <w:rPr>
                <w:color w:val="000000"/>
                <w:sz w:val="13"/>
                <w:szCs w:val="13"/>
                <w:lang w:val="en-US" w:eastAsia="en-US"/>
              </w:rPr>
            </w:pPr>
            <w:r w:rsidRPr="001F224B">
              <w:rPr>
                <w:sz w:val="13"/>
                <w:szCs w:val="13"/>
              </w:rPr>
              <w:t>1.3.1</w:t>
            </w:r>
          </w:p>
        </w:tc>
        <w:tc>
          <w:tcPr>
            <w:tcW w:w="3901" w:type="dxa"/>
            <w:tcBorders>
              <w:top w:val="nil"/>
              <w:left w:val="nil"/>
              <w:bottom w:val="nil"/>
              <w:right w:val="single" w:sz="2" w:space="0" w:color="auto"/>
            </w:tcBorders>
            <w:shd w:val="clear" w:color="auto" w:fill="auto"/>
            <w:noWrap/>
            <w:vAlign w:val="bottom"/>
            <w:hideMark/>
          </w:tcPr>
          <w:p w14:paraId="0AF4515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Belgeli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59E0131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44A7AC9" w14:textId="52F93C7B"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3855216D" w14:textId="09321BE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90.557</w:t>
            </w:r>
          </w:p>
        </w:tc>
        <w:tc>
          <w:tcPr>
            <w:tcW w:w="869" w:type="dxa"/>
            <w:tcBorders>
              <w:top w:val="nil"/>
              <w:left w:val="nil"/>
              <w:bottom w:val="nil"/>
              <w:right w:val="single" w:sz="4" w:space="0" w:color="auto"/>
            </w:tcBorders>
            <w:shd w:val="clear" w:color="auto" w:fill="auto"/>
            <w:noWrap/>
            <w:hideMark/>
          </w:tcPr>
          <w:p w14:paraId="34F0131D" w14:textId="0186CB0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90.557</w:t>
            </w:r>
          </w:p>
        </w:tc>
        <w:tc>
          <w:tcPr>
            <w:tcW w:w="868" w:type="dxa"/>
            <w:tcBorders>
              <w:top w:val="nil"/>
              <w:left w:val="single" w:sz="4" w:space="0" w:color="auto"/>
              <w:bottom w:val="nil"/>
              <w:right w:val="single" w:sz="4" w:space="0" w:color="auto"/>
            </w:tcBorders>
            <w:shd w:val="clear" w:color="auto" w:fill="auto"/>
            <w:vAlign w:val="center"/>
          </w:tcPr>
          <w:p w14:paraId="791A0211" w14:textId="67C4AE76" w:rsidR="0044394F" w:rsidRPr="001F224B" w:rsidRDefault="0044394F" w:rsidP="0044394F">
            <w:pPr>
              <w:jc w:val="right"/>
              <w:rPr>
                <w:sz w:val="13"/>
                <w:szCs w:val="13"/>
              </w:rPr>
            </w:pPr>
            <w:r w:rsidRPr="001F224B">
              <w:rPr>
                <w:color w:val="000000"/>
                <w:sz w:val="13"/>
                <w:szCs w:val="13"/>
              </w:rPr>
              <w:t>-</w:t>
            </w:r>
          </w:p>
        </w:tc>
        <w:tc>
          <w:tcPr>
            <w:tcW w:w="868" w:type="dxa"/>
            <w:tcBorders>
              <w:top w:val="nil"/>
              <w:left w:val="nil"/>
              <w:bottom w:val="nil"/>
              <w:right w:val="single" w:sz="4" w:space="0" w:color="auto"/>
            </w:tcBorders>
            <w:shd w:val="clear" w:color="auto" w:fill="auto"/>
            <w:vAlign w:val="center"/>
          </w:tcPr>
          <w:p w14:paraId="75CE51C4" w14:textId="7FA21CC8" w:rsidR="0044394F" w:rsidRPr="001F224B" w:rsidRDefault="0044394F" w:rsidP="0044394F">
            <w:pPr>
              <w:jc w:val="right"/>
              <w:rPr>
                <w:sz w:val="13"/>
                <w:szCs w:val="13"/>
              </w:rPr>
            </w:pPr>
            <w:r w:rsidRPr="001F224B">
              <w:rPr>
                <w:color w:val="000000"/>
                <w:sz w:val="13"/>
                <w:szCs w:val="13"/>
              </w:rPr>
              <w:t>133.709</w:t>
            </w:r>
          </w:p>
        </w:tc>
        <w:tc>
          <w:tcPr>
            <w:tcW w:w="869" w:type="dxa"/>
            <w:tcBorders>
              <w:top w:val="nil"/>
              <w:left w:val="nil"/>
              <w:bottom w:val="nil"/>
              <w:right w:val="single" w:sz="2" w:space="0" w:color="auto"/>
            </w:tcBorders>
            <w:shd w:val="clear" w:color="auto" w:fill="auto"/>
            <w:vAlign w:val="center"/>
          </w:tcPr>
          <w:p w14:paraId="0723B555" w14:textId="22BEE6FB" w:rsidR="0044394F" w:rsidRPr="001F224B" w:rsidRDefault="0044394F" w:rsidP="0044394F">
            <w:pPr>
              <w:jc w:val="right"/>
              <w:rPr>
                <w:sz w:val="13"/>
                <w:szCs w:val="13"/>
              </w:rPr>
            </w:pPr>
            <w:r w:rsidRPr="001F224B">
              <w:rPr>
                <w:color w:val="000000"/>
                <w:sz w:val="13"/>
                <w:szCs w:val="13"/>
              </w:rPr>
              <w:t>133.709</w:t>
            </w:r>
          </w:p>
        </w:tc>
      </w:tr>
      <w:tr w:rsidR="0044394F" w:rsidRPr="001F224B" w14:paraId="20B6E544" w14:textId="77777777" w:rsidTr="00B805B3">
        <w:trPr>
          <w:trHeight w:val="19"/>
        </w:trPr>
        <w:tc>
          <w:tcPr>
            <w:tcW w:w="579" w:type="dxa"/>
            <w:tcBorders>
              <w:top w:val="nil"/>
              <w:left w:val="single" w:sz="2" w:space="0" w:color="auto"/>
              <w:bottom w:val="nil"/>
              <w:right w:val="nil"/>
            </w:tcBorders>
            <w:shd w:val="clear" w:color="auto" w:fill="auto"/>
            <w:noWrap/>
            <w:hideMark/>
          </w:tcPr>
          <w:p w14:paraId="3BBC4C14" w14:textId="77777777" w:rsidR="0044394F" w:rsidRPr="001F224B" w:rsidRDefault="0044394F" w:rsidP="0044394F">
            <w:pPr>
              <w:rPr>
                <w:color w:val="000000"/>
                <w:sz w:val="13"/>
                <w:szCs w:val="13"/>
                <w:lang w:val="en-US" w:eastAsia="en-US"/>
              </w:rPr>
            </w:pPr>
            <w:r w:rsidRPr="001F224B">
              <w:rPr>
                <w:sz w:val="13"/>
                <w:szCs w:val="13"/>
              </w:rPr>
              <w:t>1.3.2</w:t>
            </w:r>
          </w:p>
        </w:tc>
        <w:tc>
          <w:tcPr>
            <w:tcW w:w="3901" w:type="dxa"/>
            <w:tcBorders>
              <w:top w:val="nil"/>
              <w:left w:val="nil"/>
              <w:bottom w:val="nil"/>
              <w:right w:val="single" w:sz="2" w:space="0" w:color="auto"/>
            </w:tcBorders>
            <w:shd w:val="clear" w:color="auto" w:fill="auto"/>
            <w:noWrap/>
            <w:vAlign w:val="bottom"/>
            <w:hideMark/>
          </w:tcPr>
          <w:p w14:paraId="41BF6538"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669AF9E5"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271BD40" w14:textId="1227307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40763224" w14:textId="0DF5F1F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dashed" w:sz="4" w:space="0" w:color="auto"/>
            </w:tcBorders>
            <w:shd w:val="clear" w:color="auto" w:fill="auto"/>
            <w:noWrap/>
            <w:hideMark/>
          </w:tcPr>
          <w:p w14:paraId="116E6C84" w14:textId="1761BFE8"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445CAD6" w14:textId="4B30AF30"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4834724" w14:textId="77E0AAC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B4CE9ED" w14:textId="2882354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C225AF0" w14:textId="77777777" w:rsidTr="00B805B3">
        <w:trPr>
          <w:trHeight w:val="19"/>
        </w:trPr>
        <w:tc>
          <w:tcPr>
            <w:tcW w:w="579" w:type="dxa"/>
            <w:tcBorders>
              <w:top w:val="nil"/>
              <w:left w:val="single" w:sz="2" w:space="0" w:color="auto"/>
              <w:bottom w:val="nil"/>
              <w:right w:val="nil"/>
            </w:tcBorders>
            <w:shd w:val="clear" w:color="auto" w:fill="auto"/>
            <w:noWrap/>
            <w:hideMark/>
          </w:tcPr>
          <w:p w14:paraId="23863613" w14:textId="77777777" w:rsidR="0044394F" w:rsidRPr="001F224B" w:rsidRDefault="0044394F" w:rsidP="0044394F">
            <w:pPr>
              <w:rPr>
                <w:color w:val="000000"/>
                <w:sz w:val="13"/>
                <w:szCs w:val="13"/>
                <w:lang w:val="en-US" w:eastAsia="en-US"/>
              </w:rPr>
            </w:pPr>
            <w:r w:rsidRPr="001F224B">
              <w:rPr>
                <w:sz w:val="13"/>
                <w:szCs w:val="13"/>
              </w:rPr>
              <w:t>1.4</w:t>
            </w:r>
          </w:p>
        </w:tc>
        <w:tc>
          <w:tcPr>
            <w:tcW w:w="3901" w:type="dxa"/>
            <w:tcBorders>
              <w:top w:val="nil"/>
              <w:left w:val="nil"/>
              <w:bottom w:val="nil"/>
              <w:right w:val="single" w:sz="2" w:space="0" w:color="auto"/>
            </w:tcBorders>
            <w:shd w:val="clear" w:color="auto" w:fill="auto"/>
            <w:noWrap/>
            <w:vAlign w:val="bottom"/>
            <w:hideMark/>
          </w:tcPr>
          <w:p w14:paraId="6ED53E9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Garanti Verilen Prefinansmanlar</w:t>
            </w:r>
          </w:p>
        </w:tc>
        <w:tc>
          <w:tcPr>
            <w:tcW w:w="658" w:type="dxa"/>
            <w:tcBorders>
              <w:top w:val="nil"/>
              <w:left w:val="single" w:sz="2" w:space="0" w:color="auto"/>
              <w:bottom w:val="nil"/>
              <w:right w:val="single" w:sz="2" w:space="0" w:color="auto"/>
            </w:tcBorders>
            <w:shd w:val="clear" w:color="auto" w:fill="auto"/>
            <w:noWrap/>
            <w:vAlign w:val="bottom"/>
            <w:hideMark/>
          </w:tcPr>
          <w:p w14:paraId="05CFB9F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D1F1E84" w14:textId="0E0943C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7DE26E3D" w14:textId="0839DD2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72AC1484" w14:textId="363BC860"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E9BFD9E" w14:textId="017A36F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15D855E" w14:textId="7836624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BD2415E" w14:textId="0611AE5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4EEB26D" w14:textId="77777777" w:rsidTr="00B805B3">
        <w:trPr>
          <w:trHeight w:val="19"/>
        </w:trPr>
        <w:tc>
          <w:tcPr>
            <w:tcW w:w="579" w:type="dxa"/>
            <w:tcBorders>
              <w:top w:val="nil"/>
              <w:left w:val="single" w:sz="2" w:space="0" w:color="auto"/>
              <w:bottom w:val="nil"/>
              <w:right w:val="nil"/>
            </w:tcBorders>
            <w:shd w:val="clear" w:color="auto" w:fill="auto"/>
            <w:noWrap/>
            <w:hideMark/>
          </w:tcPr>
          <w:p w14:paraId="6D076DF8" w14:textId="77777777" w:rsidR="0044394F" w:rsidRPr="001F224B" w:rsidRDefault="0044394F" w:rsidP="0044394F">
            <w:pPr>
              <w:rPr>
                <w:color w:val="000000"/>
                <w:sz w:val="13"/>
                <w:szCs w:val="13"/>
                <w:lang w:val="en-US" w:eastAsia="en-US"/>
              </w:rPr>
            </w:pPr>
            <w:r w:rsidRPr="001F224B">
              <w:rPr>
                <w:sz w:val="13"/>
                <w:szCs w:val="13"/>
              </w:rPr>
              <w:t>1.5</w:t>
            </w:r>
          </w:p>
        </w:tc>
        <w:tc>
          <w:tcPr>
            <w:tcW w:w="3901" w:type="dxa"/>
            <w:tcBorders>
              <w:top w:val="nil"/>
              <w:left w:val="nil"/>
              <w:bottom w:val="nil"/>
              <w:right w:val="single" w:sz="2" w:space="0" w:color="auto"/>
            </w:tcBorders>
            <w:shd w:val="clear" w:color="auto" w:fill="auto"/>
            <w:noWrap/>
            <w:vAlign w:val="bottom"/>
            <w:hideMark/>
          </w:tcPr>
          <w:p w14:paraId="5112B98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Cirolar</w:t>
            </w:r>
          </w:p>
        </w:tc>
        <w:tc>
          <w:tcPr>
            <w:tcW w:w="658" w:type="dxa"/>
            <w:tcBorders>
              <w:top w:val="nil"/>
              <w:left w:val="single" w:sz="2" w:space="0" w:color="auto"/>
              <w:bottom w:val="nil"/>
              <w:right w:val="single" w:sz="2" w:space="0" w:color="auto"/>
            </w:tcBorders>
            <w:shd w:val="clear" w:color="auto" w:fill="auto"/>
            <w:noWrap/>
            <w:vAlign w:val="bottom"/>
            <w:hideMark/>
          </w:tcPr>
          <w:p w14:paraId="56655D2B"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9B419A2" w14:textId="6F0CFC5B"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D481B9D" w14:textId="33E0675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25845FB" w14:textId="789EB5F6"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F816FE4" w14:textId="75F546D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3AE897F" w14:textId="353C206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DD96CA" w14:textId="2CC230F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FB373D7" w14:textId="77777777" w:rsidTr="00B805B3">
        <w:trPr>
          <w:trHeight w:val="19"/>
        </w:trPr>
        <w:tc>
          <w:tcPr>
            <w:tcW w:w="579" w:type="dxa"/>
            <w:tcBorders>
              <w:top w:val="nil"/>
              <w:left w:val="single" w:sz="2" w:space="0" w:color="auto"/>
              <w:bottom w:val="nil"/>
              <w:right w:val="nil"/>
            </w:tcBorders>
            <w:shd w:val="clear" w:color="auto" w:fill="auto"/>
            <w:noWrap/>
            <w:hideMark/>
          </w:tcPr>
          <w:p w14:paraId="143FE0EF" w14:textId="77777777" w:rsidR="0044394F" w:rsidRPr="001F224B" w:rsidRDefault="0044394F" w:rsidP="0044394F">
            <w:pPr>
              <w:rPr>
                <w:color w:val="000000"/>
                <w:sz w:val="13"/>
                <w:szCs w:val="13"/>
                <w:lang w:val="en-US" w:eastAsia="en-US"/>
              </w:rPr>
            </w:pPr>
            <w:r w:rsidRPr="001F224B">
              <w:rPr>
                <w:sz w:val="13"/>
                <w:szCs w:val="13"/>
              </w:rPr>
              <w:t>1.5.1</w:t>
            </w:r>
          </w:p>
        </w:tc>
        <w:tc>
          <w:tcPr>
            <w:tcW w:w="3901" w:type="dxa"/>
            <w:tcBorders>
              <w:top w:val="nil"/>
              <w:left w:val="nil"/>
              <w:bottom w:val="nil"/>
              <w:right w:val="single" w:sz="2" w:space="0" w:color="auto"/>
            </w:tcBorders>
            <w:shd w:val="clear" w:color="auto" w:fill="auto"/>
            <w:noWrap/>
            <w:vAlign w:val="bottom"/>
            <w:hideMark/>
          </w:tcPr>
          <w:p w14:paraId="71A4E26D"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T.C. Merkez Bankasına Cirolar</w:t>
            </w:r>
          </w:p>
        </w:tc>
        <w:tc>
          <w:tcPr>
            <w:tcW w:w="658" w:type="dxa"/>
            <w:tcBorders>
              <w:top w:val="nil"/>
              <w:left w:val="single" w:sz="2" w:space="0" w:color="auto"/>
              <w:bottom w:val="nil"/>
              <w:right w:val="single" w:sz="2" w:space="0" w:color="auto"/>
            </w:tcBorders>
            <w:shd w:val="clear" w:color="auto" w:fill="auto"/>
            <w:noWrap/>
            <w:vAlign w:val="bottom"/>
            <w:hideMark/>
          </w:tcPr>
          <w:p w14:paraId="5D8F52E0"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E6B4F23" w14:textId="4F116FC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5C7E3E8" w14:textId="228FE25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707F0E39" w14:textId="1EEB12A9"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551A3D5" w14:textId="4D8FB05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806F76C" w14:textId="30923BB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4ECA4A" w14:textId="0DA69D2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4114CE8" w14:textId="77777777" w:rsidTr="00B805B3">
        <w:trPr>
          <w:trHeight w:val="19"/>
        </w:trPr>
        <w:tc>
          <w:tcPr>
            <w:tcW w:w="579" w:type="dxa"/>
            <w:tcBorders>
              <w:top w:val="nil"/>
              <w:left w:val="single" w:sz="2" w:space="0" w:color="auto"/>
              <w:bottom w:val="nil"/>
              <w:right w:val="nil"/>
            </w:tcBorders>
            <w:shd w:val="clear" w:color="auto" w:fill="auto"/>
            <w:noWrap/>
            <w:hideMark/>
          </w:tcPr>
          <w:p w14:paraId="126FDBCB" w14:textId="77777777" w:rsidR="0044394F" w:rsidRPr="001F224B" w:rsidRDefault="0044394F" w:rsidP="0044394F">
            <w:pPr>
              <w:rPr>
                <w:color w:val="000000"/>
                <w:sz w:val="13"/>
                <w:szCs w:val="13"/>
                <w:lang w:val="en-US" w:eastAsia="en-US"/>
              </w:rPr>
            </w:pPr>
            <w:r w:rsidRPr="001F224B">
              <w:rPr>
                <w:sz w:val="13"/>
                <w:szCs w:val="13"/>
              </w:rPr>
              <w:t>1.5.2</w:t>
            </w:r>
          </w:p>
        </w:tc>
        <w:tc>
          <w:tcPr>
            <w:tcW w:w="3901" w:type="dxa"/>
            <w:tcBorders>
              <w:top w:val="nil"/>
              <w:left w:val="nil"/>
              <w:bottom w:val="nil"/>
              <w:right w:val="single" w:sz="2" w:space="0" w:color="auto"/>
            </w:tcBorders>
            <w:shd w:val="clear" w:color="auto" w:fill="auto"/>
            <w:noWrap/>
            <w:vAlign w:val="bottom"/>
            <w:hideMark/>
          </w:tcPr>
          <w:p w14:paraId="684FC8A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Cirolar</w:t>
            </w:r>
          </w:p>
        </w:tc>
        <w:tc>
          <w:tcPr>
            <w:tcW w:w="658" w:type="dxa"/>
            <w:tcBorders>
              <w:top w:val="nil"/>
              <w:left w:val="single" w:sz="2" w:space="0" w:color="auto"/>
              <w:bottom w:val="nil"/>
              <w:right w:val="single" w:sz="2" w:space="0" w:color="auto"/>
            </w:tcBorders>
            <w:shd w:val="clear" w:color="auto" w:fill="auto"/>
            <w:noWrap/>
            <w:vAlign w:val="bottom"/>
            <w:hideMark/>
          </w:tcPr>
          <w:p w14:paraId="57D244BA"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8A37008" w14:textId="5F27BC6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710DC24A" w14:textId="62CDC18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7E3737D" w14:textId="3717C5A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BD25DC0" w14:textId="3D3372C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0635256" w14:textId="5E793AC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D5A80F0" w14:textId="579E783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78C70C5E" w14:textId="77777777" w:rsidTr="00B805B3">
        <w:trPr>
          <w:trHeight w:val="19"/>
        </w:trPr>
        <w:tc>
          <w:tcPr>
            <w:tcW w:w="579" w:type="dxa"/>
            <w:tcBorders>
              <w:top w:val="nil"/>
              <w:left w:val="single" w:sz="2" w:space="0" w:color="auto"/>
              <w:bottom w:val="nil"/>
              <w:right w:val="nil"/>
            </w:tcBorders>
            <w:shd w:val="clear" w:color="auto" w:fill="auto"/>
            <w:noWrap/>
            <w:hideMark/>
          </w:tcPr>
          <w:p w14:paraId="36C03254" w14:textId="77777777" w:rsidR="0044394F" w:rsidRPr="001F224B" w:rsidRDefault="0044394F" w:rsidP="0044394F">
            <w:pPr>
              <w:rPr>
                <w:color w:val="000000"/>
                <w:sz w:val="13"/>
                <w:szCs w:val="13"/>
                <w:lang w:val="en-US" w:eastAsia="en-US"/>
              </w:rPr>
            </w:pPr>
            <w:r w:rsidRPr="001F224B">
              <w:rPr>
                <w:sz w:val="13"/>
                <w:szCs w:val="13"/>
              </w:rPr>
              <w:t>1.6</w:t>
            </w:r>
          </w:p>
        </w:tc>
        <w:tc>
          <w:tcPr>
            <w:tcW w:w="3901" w:type="dxa"/>
            <w:tcBorders>
              <w:top w:val="nil"/>
              <w:left w:val="nil"/>
              <w:bottom w:val="nil"/>
              <w:right w:val="single" w:sz="2" w:space="0" w:color="auto"/>
            </w:tcBorders>
            <w:shd w:val="clear" w:color="auto" w:fill="auto"/>
            <w:noWrap/>
            <w:vAlign w:val="bottom"/>
            <w:hideMark/>
          </w:tcPr>
          <w:p w14:paraId="06579663"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Menkul Kıy. İh. Satın Alma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69310D95"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9E3011F" w14:textId="736AFD0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34AEBCA2" w14:textId="44481D8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E87596F" w14:textId="6D975072"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97ED536" w14:textId="02FF868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C642F2" w14:textId="3A54135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E031EF3" w14:textId="03E61B6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382639B4" w14:textId="77777777" w:rsidTr="00B805B3">
        <w:trPr>
          <w:trHeight w:val="19"/>
        </w:trPr>
        <w:tc>
          <w:tcPr>
            <w:tcW w:w="579" w:type="dxa"/>
            <w:tcBorders>
              <w:top w:val="nil"/>
              <w:left w:val="single" w:sz="2" w:space="0" w:color="auto"/>
              <w:bottom w:val="nil"/>
              <w:right w:val="nil"/>
            </w:tcBorders>
            <w:shd w:val="clear" w:color="auto" w:fill="auto"/>
            <w:noWrap/>
            <w:hideMark/>
          </w:tcPr>
          <w:p w14:paraId="073265EB" w14:textId="77777777" w:rsidR="0044394F" w:rsidRPr="001F224B" w:rsidRDefault="0044394F" w:rsidP="0044394F">
            <w:pPr>
              <w:rPr>
                <w:color w:val="000000"/>
                <w:sz w:val="13"/>
                <w:szCs w:val="13"/>
                <w:lang w:val="en-US" w:eastAsia="en-US"/>
              </w:rPr>
            </w:pPr>
            <w:r w:rsidRPr="001F224B">
              <w:rPr>
                <w:sz w:val="13"/>
                <w:szCs w:val="13"/>
              </w:rPr>
              <w:t>1.7</w:t>
            </w:r>
          </w:p>
        </w:tc>
        <w:tc>
          <w:tcPr>
            <w:tcW w:w="3901" w:type="dxa"/>
            <w:tcBorders>
              <w:top w:val="nil"/>
              <w:left w:val="nil"/>
              <w:bottom w:val="nil"/>
              <w:right w:val="single" w:sz="2" w:space="0" w:color="auto"/>
            </w:tcBorders>
            <w:shd w:val="clear" w:color="auto" w:fill="auto"/>
            <w:noWrap/>
            <w:vAlign w:val="bottom"/>
            <w:hideMark/>
          </w:tcPr>
          <w:p w14:paraId="337C8DE9"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Faktoring Garantilerinden</w:t>
            </w:r>
          </w:p>
        </w:tc>
        <w:tc>
          <w:tcPr>
            <w:tcW w:w="658" w:type="dxa"/>
            <w:tcBorders>
              <w:top w:val="nil"/>
              <w:left w:val="single" w:sz="2" w:space="0" w:color="auto"/>
              <w:bottom w:val="nil"/>
              <w:right w:val="single" w:sz="2" w:space="0" w:color="auto"/>
            </w:tcBorders>
            <w:shd w:val="clear" w:color="auto" w:fill="auto"/>
            <w:noWrap/>
            <w:vAlign w:val="bottom"/>
            <w:hideMark/>
          </w:tcPr>
          <w:p w14:paraId="4C5CFD8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6782F97" w14:textId="5BB52B3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BC6891F" w14:textId="1CD8C11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A875F3A" w14:textId="0605DF93"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5CFC60" w14:textId="1763C81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84AD394" w14:textId="01497F3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9A3B367" w14:textId="2910CB2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6FA0C6E" w14:textId="77777777" w:rsidTr="00315AF0">
        <w:trPr>
          <w:trHeight w:val="19"/>
        </w:trPr>
        <w:tc>
          <w:tcPr>
            <w:tcW w:w="579" w:type="dxa"/>
            <w:tcBorders>
              <w:top w:val="nil"/>
              <w:left w:val="single" w:sz="2" w:space="0" w:color="auto"/>
              <w:bottom w:val="nil"/>
              <w:right w:val="nil"/>
            </w:tcBorders>
            <w:shd w:val="clear" w:color="auto" w:fill="auto"/>
            <w:noWrap/>
            <w:hideMark/>
          </w:tcPr>
          <w:p w14:paraId="2D808C94" w14:textId="77777777" w:rsidR="0044394F" w:rsidRPr="001F224B" w:rsidRDefault="0044394F" w:rsidP="0044394F">
            <w:pPr>
              <w:rPr>
                <w:color w:val="000000"/>
                <w:sz w:val="13"/>
                <w:szCs w:val="13"/>
                <w:lang w:val="en-US" w:eastAsia="en-US"/>
              </w:rPr>
            </w:pPr>
            <w:r w:rsidRPr="001F224B">
              <w:rPr>
                <w:sz w:val="13"/>
                <w:szCs w:val="13"/>
              </w:rPr>
              <w:t>1.8</w:t>
            </w:r>
          </w:p>
        </w:tc>
        <w:tc>
          <w:tcPr>
            <w:tcW w:w="3901" w:type="dxa"/>
            <w:tcBorders>
              <w:top w:val="nil"/>
              <w:left w:val="nil"/>
              <w:bottom w:val="nil"/>
              <w:right w:val="single" w:sz="2" w:space="0" w:color="auto"/>
            </w:tcBorders>
            <w:shd w:val="clear" w:color="auto" w:fill="auto"/>
            <w:noWrap/>
            <w:vAlign w:val="bottom"/>
            <w:hideMark/>
          </w:tcPr>
          <w:p w14:paraId="379DC99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3B4C0FDB"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0092883" w14:textId="0F1A58C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2A640F45" w14:textId="19365F1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714.531</w:t>
            </w:r>
          </w:p>
        </w:tc>
        <w:tc>
          <w:tcPr>
            <w:tcW w:w="869" w:type="dxa"/>
            <w:tcBorders>
              <w:top w:val="nil"/>
              <w:left w:val="nil"/>
              <w:bottom w:val="nil"/>
              <w:right w:val="dashed" w:sz="4" w:space="0" w:color="auto"/>
            </w:tcBorders>
            <w:shd w:val="clear" w:color="auto" w:fill="auto"/>
            <w:noWrap/>
            <w:hideMark/>
          </w:tcPr>
          <w:p w14:paraId="5BAA9046" w14:textId="7EDE376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714.531</w:t>
            </w:r>
          </w:p>
        </w:tc>
        <w:tc>
          <w:tcPr>
            <w:tcW w:w="868" w:type="dxa"/>
            <w:tcBorders>
              <w:top w:val="nil"/>
              <w:left w:val="single" w:sz="4" w:space="0" w:color="auto"/>
              <w:bottom w:val="nil"/>
              <w:right w:val="single" w:sz="4" w:space="0" w:color="auto"/>
            </w:tcBorders>
            <w:shd w:val="clear" w:color="auto" w:fill="auto"/>
            <w:vAlign w:val="center"/>
          </w:tcPr>
          <w:p w14:paraId="396DAED6" w14:textId="6FA042D6" w:rsidR="0044394F" w:rsidRPr="001F224B" w:rsidRDefault="0044394F" w:rsidP="0044394F">
            <w:pPr>
              <w:jc w:val="right"/>
              <w:rPr>
                <w:sz w:val="13"/>
                <w:szCs w:val="13"/>
              </w:rPr>
            </w:pPr>
            <w:r w:rsidRPr="001F224B">
              <w:rPr>
                <w:sz w:val="13"/>
                <w:szCs w:val="13"/>
              </w:rPr>
              <w:t>-</w:t>
            </w:r>
          </w:p>
        </w:tc>
        <w:tc>
          <w:tcPr>
            <w:tcW w:w="868" w:type="dxa"/>
            <w:tcBorders>
              <w:top w:val="nil"/>
              <w:left w:val="nil"/>
              <w:bottom w:val="nil"/>
              <w:right w:val="single" w:sz="4" w:space="0" w:color="auto"/>
            </w:tcBorders>
            <w:shd w:val="clear" w:color="auto" w:fill="auto"/>
            <w:vAlign w:val="center"/>
          </w:tcPr>
          <w:p w14:paraId="3FD926AD" w14:textId="5BBE7607" w:rsidR="0044394F" w:rsidRPr="001F224B" w:rsidRDefault="0044394F" w:rsidP="0044394F">
            <w:pPr>
              <w:jc w:val="right"/>
              <w:rPr>
                <w:sz w:val="13"/>
                <w:szCs w:val="13"/>
              </w:rPr>
            </w:pPr>
            <w:r w:rsidRPr="001F224B">
              <w:rPr>
                <w:color w:val="000000"/>
                <w:sz w:val="13"/>
                <w:szCs w:val="13"/>
              </w:rPr>
              <w:t>633.011</w:t>
            </w:r>
          </w:p>
        </w:tc>
        <w:tc>
          <w:tcPr>
            <w:tcW w:w="869" w:type="dxa"/>
            <w:tcBorders>
              <w:top w:val="nil"/>
              <w:left w:val="nil"/>
              <w:bottom w:val="nil"/>
              <w:right w:val="single" w:sz="2" w:space="0" w:color="auto"/>
            </w:tcBorders>
            <w:shd w:val="clear" w:color="auto" w:fill="auto"/>
            <w:vAlign w:val="center"/>
          </w:tcPr>
          <w:p w14:paraId="08AD9A03" w14:textId="2E4DFCC7" w:rsidR="0044394F" w:rsidRPr="001F224B" w:rsidRDefault="0044394F" w:rsidP="0044394F">
            <w:pPr>
              <w:jc w:val="right"/>
              <w:rPr>
                <w:sz w:val="13"/>
                <w:szCs w:val="13"/>
              </w:rPr>
            </w:pPr>
            <w:r w:rsidRPr="001F224B">
              <w:rPr>
                <w:color w:val="000000"/>
                <w:sz w:val="13"/>
                <w:szCs w:val="13"/>
              </w:rPr>
              <w:t>633.011</w:t>
            </w:r>
          </w:p>
        </w:tc>
      </w:tr>
      <w:tr w:rsidR="0044394F" w:rsidRPr="001F224B" w14:paraId="69AF8218" w14:textId="77777777" w:rsidTr="00B805B3">
        <w:trPr>
          <w:trHeight w:val="19"/>
        </w:trPr>
        <w:tc>
          <w:tcPr>
            <w:tcW w:w="579" w:type="dxa"/>
            <w:tcBorders>
              <w:top w:val="nil"/>
              <w:left w:val="single" w:sz="2" w:space="0" w:color="auto"/>
              <w:bottom w:val="nil"/>
              <w:right w:val="nil"/>
            </w:tcBorders>
            <w:shd w:val="clear" w:color="auto" w:fill="auto"/>
            <w:noWrap/>
            <w:hideMark/>
          </w:tcPr>
          <w:p w14:paraId="41BB994C" w14:textId="77777777" w:rsidR="0044394F" w:rsidRPr="001F224B" w:rsidRDefault="0044394F" w:rsidP="0044394F">
            <w:pPr>
              <w:rPr>
                <w:color w:val="000000"/>
                <w:sz w:val="13"/>
                <w:szCs w:val="13"/>
                <w:lang w:val="en-US" w:eastAsia="en-US"/>
              </w:rPr>
            </w:pPr>
            <w:r w:rsidRPr="001F224B">
              <w:rPr>
                <w:sz w:val="13"/>
                <w:szCs w:val="13"/>
              </w:rPr>
              <w:t>1.9</w:t>
            </w:r>
          </w:p>
        </w:tc>
        <w:tc>
          <w:tcPr>
            <w:tcW w:w="3901" w:type="dxa"/>
            <w:tcBorders>
              <w:top w:val="nil"/>
              <w:left w:val="nil"/>
              <w:bottom w:val="nil"/>
              <w:right w:val="single" w:sz="2" w:space="0" w:color="auto"/>
            </w:tcBorders>
            <w:shd w:val="clear" w:color="auto" w:fill="auto"/>
            <w:noWrap/>
            <w:vAlign w:val="bottom"/>
            <w:hideMark/>
          </w:tcPr>
          <w:p w14:paraId="54F4E16F"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Kefaletlerimizden</w:t>
            </w:r>
          </w:p>
        </w:tc>
        <w:tc>
          <w:tcPr>
            <w:tcW w:w="658" w:type="dxa"/>
            <w:tcBorders>
              <w:top w:val="nil"/>
              <w:left w:val="single" w:sz="2" w:space="0" w:color="auto"/>
              <w:bottom w:val="nil"/>
              <w:right w:val="single" w:sz="2" w:space="0" w:color="auto"/>
            </w:tcBorders>
            <w:shd w:val="clear" w:color="auto" w:fill="auto"/>
            <w:noWrap/>
            <w:vAlign w:val="bottom"/>
            <w:hideMark/>
          </w:tcPr>
          <w:p w14:paraId="51793D95"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33C6A4D" w14:textId="4B0804C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FC6D867" w14:textId="278ECB7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right w:val="single" w:sz="2" w:space="0" w:color="auto"/>
            </w:tcBorders>
            <w:shd w:val="clear" w:color="auto" w:fill="auto"/>
            <w:noWrap/>
            <w:hideMark/>
          </w:tcPr>
          <w:p w14:paraId="7A68A561" w14:textId="1293707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1B9D82C3" w14:textId="3CE375C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4AE2485" w14:textId="33549E9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7BBC634" w14:textId="120F830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19B2B5B" w14:textId="77777777" w:rsidTr="00315AF0">
        <w:trPr>
          <w:trHeight w:val="19"/>
        </w:trPr>
        <w:tc>
          <w:tcPr>
            <w:tcW w:w="579" w:type="dxa"/>
            <w:tcBorders>
              <w:top w:val="nil"/>
              <w:left w:val="single" w:sz="2" w:space="0" w:color="auto"/>
              <w:bottom w:val="nil"/>
              <w:right w:val="nil"/>
            </w:tcBorders>
            <w:shd w:val="clear" w:color="auto" w:fill="auto"/>
            <w:noWrap/>
            <w:hideMark/>
          </w:tcPr>
          <w:p w14:paraId="0D1EBE52"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II.</w:t>
            </w:r>
          </w:p>
        </w:tc>
        <w:tc>
          <w:tcPr>
            <w:tcW w:w="3901" w:type="dxa"/>
            <w:tcBorders>
              <w:top w:val="nil"/>
              <w:left w:val="nil"/>
              <w:bottom w:val="nil"/>
              <w:right w:val="single" w:sz="2" w:space="0" w:color="auto"/>
            </w:tcBorders>
            <w:shd w:val="clear" w:color="auto" w:fill="auto"/>
            <w:noWrap/>
            <w:vAlign w:val="bottom"/>
            <w:hideMark/>
          </w:tcPr>
          <w:p w14:paraId="6F77FCF8" w14:textId="77777777" w:rsidR="0044394F" w:rsidRPr="001F224B" w:rsidRDefault="0044394F" w:rsidP="0044394F">
            <w:pPr>
              <w:ind w:left="-123"/>
              <w:rPr>
                <w:b/>
                <w:bCs/>
                <w:color w:val="000000"/>
                <w:sz w:val="13"/>
                <w:szCs w:val="13"/>
                <w:lang w:val="en-US" w:eastAsia="en-US"/>
              </w:rPr>
            </w:pPr>
            <w:r w:rsidRPr="001F224B">
              <w:rPr>
                <w:b/>
                <w:bCs/>
                <w:color w:val="000000"/>
                <w:sz w:val="13"/>
                <w:szCs w:val="13"/>
                <w:lang w:eastAsia="en-US"/>
              </w:rPr>
              <w:t xml:space="preserve">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6930A43C" w14:textId="77777777" w:rsidR="0044394F" w:rsidRPr="001F224B" w:rsidRDefault="0044394F" w:rsidP="0044394F">
            <w:pPr>
              <w:jc w:val="center"/>
              <w:rPr>
                <w:b/>
                <w:bCs/>
                <w:color w:val="000000"/>
                <w:sz w:val="13"/>
                <w:szCs w:val="13"/>
                <w:lang w:val="en-US" w:eastAsia="en-US"/>
              </w:rPr>
            </w:pPr>
            <w:r w:rsidRPr="001F224B">
              <w:rPr>
                <w:rFonts w:eastAsia="Arial Unicode MS"/>
                <w:b/>
                <w:bCs/>
                <w:color w:val="000000"/>
                <w:sz w:val="13"/>
                <w:szCs w:val="13"/>
                <w:lang w:eastAsia="en-US"/>
              </w:rPr>
              <w:t xml:space="preserve"> (1,3) </w:t>
            </w:r>
          </w:p>
        </w:tc>
        <w:tc>
          <w:tcPr>
            <w:tcW w:w="868" w:type="dxa"/>
            <w:tcBorders>
              <w:top w:val="nil"/>
              <w:left w:val="nil"/>
              <w:bottom w:val="nil"/>
              <w:right w:val="single" w:sz="4" w:space="0" w:color="auto"/>
            </w:tcBorders>
            <w:shd w:val="clear" w:color="auto" w:fill="auto"/>
            <w:noWrap/>
            <w:hideMark/>
          </w:tcPr>
          <w:p w14:paraId="0A19929A" w14:textId="226BB917"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7.220.618</w:t>
            </w:r>
          </w:p>
        </w:tc>
        <w:tc>
          <w:tcPr>
            <w:tcW w:w="868" w:type="dxa"/>
            <w:tcBorders>
              <w:top w:val="nil"/>
              <w:left w:val="nil"/>
              <w:bottom w:val="nil"/>
              <w:right w:val="single" w:sz="4" w:space="0" w:color="auto"/>
            </w:tcBorders>
            <w:shd w:val="clear" w:color="auto" w:fill="auto"/>
            <w:noWrap/>
            <w:hideMark/>
          </w:tcPr>
          <w:p w14:paraId="1219DAA4" w14:textId="6FBC14FB"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11.027.061</w:t>
            </w:r>
          </w:p>
        </w:tc>
        <w:tc>
          <w:tcPr>
            <w:tcW w:w="869" w:type="dxa"/>
            <w:tcBorders>
              <w:top w:val="nil"/>
              <w:left w:val="nil"/>
              <w:bottom w:val="nil"/>
              <w:right w:val="dashed" w:sz="4" w:space="0" w:color="auto"/>
            </w:tcBorders>
            <w:shd w:val="clear" w:color="auto" w:fill="auto"/>
            <w:noWrap/>
            <w:hideMark/>
          </w:tcPr>
          <w:p w14:paraId="04E57E01" w14:textId="7FD514F3"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18.247.679</w:t>
            </w:r>
          </w:p>
        </w:tc>
        <w:tc>
          <w:tcPr>
            <w:tcW w:w="868" w:type="dxa"/>
            <w:tcBorders>
              <w:top w:val="nil"/>
              <w:left w:val="single" w:sz="4" w:space="0" w:color="auto"/>
              <w:bottom w:val="nil"/>
              <w:right w:val="single" w:sz="4" w:space="0" w:color="auto"/>
            </w:tcBorders>
            <w:shd w:val="clear" w:color="auto" w:fill="auto"/>
            <w:vAlign w:val="center"/>
          </w:tcPr>
          <w:p w14:paraId="731F9738" w14:textId="7B291C9C" w:rsidR="0044394F" w:rsidRPr="001F224B" w:rsidRDefault="0044394F" w:rsidP="0044394F">
            <w:pPr>
              <w:jc w:val="right"/>
              <w:rPr>
                <w:b/>
                <w:bCs/>
                <w:sz w:val="13"/>
                <w:szCs w:val="13"/>
              </w:rPr>
            </w:pPr>
            <w:r w:rsidRPr="001F224B">
              <w:rPr>
                <w:b/>
                <w:bCs/>
                <w:color w:val="000000"/>
                <w:sz w:val="13"/>
                <w:szCs w:val="13"/>
              </w:rPr>
              <w:t>3.895.049</w:t>
            </w:r>
          </w:p>
        </w:tc>
        <w:tc>
          <w:tcPr>
            <w:tcW w:w="868" w:type="dxa"/>
            <w:tcBorders>
              <w:top w:val="nil"/>
              <w:left w:val="nil"/>
              <w:bottom w:val="nil"/>
              <w:right w:val="single" w:sz="4" w:space="0" w:color="auto"/>
            </w:tcBorders>
            <w:shd w:val="clear" w:color="auto" w:fill="auto"/>
            <w:vAlign w:val="center"/>
          </w:tcPr>
          <w:p w14:paraId="1DF93BA7" w14:textId="4DB24978" w:rsidR="0044394F" w:rsidRPr="001F224B" w:rsidRDefault="0044394F" w:rsidP="0044394F">
            <w:pPr>
              <w:jc w:val="right"/>
              <w:rPr>
                <w:b/>
                <w:bCs/>
                <w:sz w:val="13"/>
                <w:szCs w:val="13"/>
              </w:rPr>
            </w:pPr>
            <w:r w:rsidRPr="001F224B">
              <w:rPr>
                <w:b/>
                <w:bCs/>
                <w:color w:val="000000"/>
                <w:sz w:val="13"/>
                <w:szCs w:val="13"/>
              </w:rPr>
              <w:t>15.540.909</w:t>
            </w:r>
          </w:p>
        </w:tc>
        <w:tc>
          <w:tcPr>
            <w:tcW w:w="869" w:type="dxa"/>
            <w:tcBorders>
              <w:top w:val="nil"/>
              <w:left w:val="nil"/>
              <w:bottom w:val="nil"/>
              <w:right w:val="single" w:sz="2" w:space="0" w:color="auto"/>
            </w:tcBorders>
            <w:shd w:val="clear" w:color="auto" w:fill="auto"/>
            <w:vAlign w:val="center"/>
          </w:tcPr>
          <w:p w14:paraId="7D723654" w14:textId="1F763584" w:rsidR="0044394F" w:rsidRPr="001F224B" w:rsidRDefault="0044394F" w:rsidP="0044394F">
            <w:pPr>
              <w:jc w:val="right"/>
              <w:rPr>
                <w:b/>
                <w:bCs/>
                <w:sz w:val="13"/>
                <w:szCs w:val="13"/>
              </w:rPr>
            </w:pPr>
            <w:r w:rsidRPr="001F224B">
              <w:rPr>
                <w:b/>
                <w:bCs/>
                <w:color w:val="000000"/>
                <w:sz w:val="13"/>
                <w:szCs w:val="13"/>
              </w:rPr>
              <w:t>19.435.958</w:t>
            </w:r>
          </w:p>
        </w:tc>
      </w:tr>
      <w:tr w:rsidR="0044394F" w:rsidRPr="001F224B" w14:paraId="77DC8CDB" w14:textId="77777777" w:rsidTr="00315AF0">
        <w:trPr>
          <w:trHeight w:val="19"/>
        </w:trPr>
        <w:tc>
          <w:tcPr>
            <w:tcW w:w="579" w:type="dxa"/>
            <w:tcBorders>
              <w:top w:val="nil"/>
              <w:left w:val="single" w:sz="2" w:space="0" w:color="auto"/>
              <w:bottom w:val="nil"/>
              <w:right w:val="nil"/>
            </w:tcBorders>
            <w:shd w:val="clear" w:color="auto" w:fill="auto"/>
            <w:noWrap/>
            <w:hideMark/>
          </w:tcPr>
          <w:p w14:paraId="58DAF8D4" w14:textId="77777777" w:rsidR="0044394F" w:rsidRPr="001F224B" w:rsidRDefault="0044394F" w:rsidP="0044394F">
            <w:pPr>
              <w:rPr>
                <w:color w:val="000000"/>
                <w:sz w:val="13"/>
                <w:szCs w:val="13"/>
                <w:lang w:val="en-US" w:eastAsia="en-US"/>
              </w:rPr>
            </w:pPr>
            <w:r w:rsidRPr="001F224B">
              <w:rPr>
                <w:sz w:val="13"/>
                <w:szCs w:val="13"/>
              </w:rPr>
              <w:t>2.1</w:t>
            </w:r>
          </w:p>
        </w:tc>
        <w:tc>
          <w:tcPr>
            <w:tcW w:w="3901" w:type="dxa"/>
            <w:tcBorders>
              <w:top w:val="nil"/>
              <w:left w:val="nil"/>
              <w:bottom w:val="nil"/>
              <w:right w:val="single" w:sz="2" w:space="0" w:color="auto"/>
            </w:tcBorders>
            <w:shd w:val="clear" w:color="auto" w:fill="auto"/>
            <w:noWrap/>
            <w:vAlign w:val="bottom"/>
            <w:hideMark/>
          </w:tcPr>
          <w:p w14:paraId="6388D4C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1356ADA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F4FD832" w14:textId="6A9AA51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624.118</w:t>
            </w:r>
          </w:p>
        </w:tc>
        <w:tc>
          <w:tcPr>
            <w:tcW w:w="868" w:type="dxa"/>
            <w:tcBorders>
              <w:top w:val="nil"/>
              <w:left w:val="nil"/>
              <w:bottom w:val="nil"/>
              <w:right w:val="single" w:sz="4" w:space="0" w:color="auto"/>
            </w:tcBorders>
            <w:shd w:val="clear" w:color="auto" w:fill="auto"/>
            <w:noWrap/>
            <w:hideMark/>
          </w:tcPr>
          <w:p w14:paraId="3525E6C8" w14:textId="009428E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1.685.135</w:t>
            </w:r>
          </w:p>
        </w:tc>
        <w:tc>
          <w:tcPr>
            <w:tcW w:w="869" w:type="dxa"/>
            <w:tcBorders>
              <w:top w:val="nil"/>
              <w:left w:val="nil"/>
              <w:bottom w:val="nil"/>
              <w:right w:val="single" w:sz="4" w:space="0" w:color="auto"/>
            </w:tcBorders>
            <w:shd w:val="clear" w:color="auto" w:fill="auto"/>
            <w:noWrap/>
            <w:hideMark/>
          </w:tcPr>
          <w:p w14:paraId="0A1360CC" w14:textId="0714F73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2.309.253</w:t>
            </w:r>
          </w:p>
        </w:tc>
        <w:tc>
          <w:tcPr>
            <w:tcW w:w="868" w:type="dxa"/>
            <w:tcBorders>
              <w:top w:val="nil"/>
              <w:left w:val="single" w:sz="4" w:space="0" w:color="auto"/>
              <w:bottom w:val="nil"/>
              <w:right w:val="single" w:sz="4" w:space="0" w:color="auto"/>
            </w:tcBorders>
            <w:shd w:val="clear" w:color="auto" w:fill="auto"/>
            <w:vAlign w:val="center"/>
          </w:tcPr>
          <w:p w14:paraId="2475394B" w14:textId="512A1F6F" w:rsidR="0044394F" w:rsidRPr="001F224B" w:rsidRDefault="0044394F" w:rsidP="0044394F">
            <w:pPr>
              <w:jc w:val="right"/>
              <w:rPr>
                <w:sz w:val="13"/>
                <w:szCs w:val="13"/>
              </w:rPr>
            </w:pPr>
            <w:r w:rsidRPr="001F224B">
              <w:rPr>
                <w:color w:val="000000"/>
                <w:sz w:val="13"/>
                <w:szCs w:val="13"/>
              </w:rPr>
              <w:t>318.549</w:t>
            </w:r>
          </w:p>
        </w:tc>
        <w:tc>
          <w:tcPr>
            <w:tcW w:w="868" w:type="dxa"/>
            <w:tcBorders>
              <w:top w:val="nil"/>
              <w:left w:val="nil"/>
              <w:bottom w:val="nil"/>
              <w:right w:val="single" w:sz="4" w:space="0" w:color="auto"/>
            </w:tcBorders>
            <w:shd w:val="clear" w:color="auto" w:fill="auto"/>
            <w:vAlign w:val="center"/>
          </w:tcPr>
          <w:p w14:paraId="4023BB27" w14:textId="4CE0D4FE" w:rsidR="0044394F" w:rsidRPr="001F224B" w:rsidRDefault="0044394F" w:rsidP="0044394F">
            <w:pPr>
              <w:jc w:val="right"/>
              <w:rPr>
                <w:sz w:val="13"/>
                <w:szCs w:val="13"/>
              </w:rPr>
            </w:pPr>
            <w:r w:rsidRPr="001F224B">
              <w:rPr>
                <w:color w:val="000000"/>
                <w:sz w:val="13"/>
                <w:szCs w:val="13"/>
              </w:rPr>
              <w:t>646.801</w:t>
            </w:r>
          </w:p>
        </w:tc>
        <w:tc>
          <w:tcPr>
            <w:tcW w:w="869" w:type="dxa"/>
            <w:tcBorders>
              <w:top w:val="nil"/>
              <w:left w:val="nil"/>
              <w:bottom w:val="nil"/>
              <w:right w:val="single" w:sz="2" w:space="0" w:color="auto"/>
            </w:tcBorders>
            <w:shd w:val="clear" w:color="auto" w:fill="auto"/>
            <w:vAlign w:val="center"/>
          </w:tcPr>
          <w:p w14:paraId="35CF96E5" w14:textId="1233CABE" w:rsidR="0044394F" w:rsidRPr="001F224B" w:rsidRDefault="0044394F" w:rsidP="0044394F">
            <w:pPr>
              <w:jc w:val="right"/>
              <w:rPr>
                <w:sz w:val="13"/>
                <w:szCs w:val="13"/>
              </w:rPr>
            </w:pPr>
            <w:r w:rsidRPr="001F224B">
              <w:rPr>
                <w:color w:val="000000"/>
                <w:sz w:val="13"/>
                <w:szCs w:val="13"/>
              </w:rPr>
              <w:t>965.350</w:t>
            </w:r>
          </w:p>
        </w:tc>
      </w:tr>
      <w:tr w:rsidR="0044394F" w:rsidRPr="001F224B" w14:paraId="750C8B62" w14:textId="77777777" w:rsidTr="00315AF0">
        <w:trPr>
          <w:trHeight w:val="19"/>
        </w:trPr>
        <w:tc>
          <w:tcPr>
            <w:tcW w:w="579" w:type="dxa"/>
            <w:tcBorders>
              <w:top w:val="nil"/>
              <w:left w:val="single" w:sz="2" w:space="0" w:color="auto"/>
              <w:bottom w:val="nil"/>
              <w:right w:val="nil"/>
            </w:tcBorders>
            <w:shd w:val="clear" w:color="auto" w:fill="auto"/>
            <w:noWrap/>
            <w:hideMark/>
          </w:tcPr>
          <w:p w14:paraId="63149A34" w14:textId="77777777" w:rsidR="0044394F" w:rsidRPr="001F224B" w:rsidRDefault="0044394F" w:rsidP="0044394F">
            <w:pPr>
              <w:rPr>
                <w:color w:val="000000"/>
                <w:sz w:val="13"/>
                <w:szCs w:val="13"/>
                <w:lang w:val="en-US" w:eastAsia="en-US"/>
              </w:rPr>
            </w:pPr>
            <w:r w:rsidRPr="001F224B">
              <w:rPr>
                <w:sz w:val="13"/>
                <w:szCs w:val="13"/>
              </w:rPr>
              <w:t>2.1.1</w:t>
            </w:r>
          </w:p>
        </w:tc>
        <w:tc>
          <w:tcPr>
            <w:tcW w:w="3901" w:type="dxa"/>
            <w:tcBorders>
              <w:top w:val="nil"/>
              <w:left w:val="nil"/>
              <w:bottom w:val="nil"/>
              <w:right w:val="single" w:sz="2" w:space="0" w:color="auto"/>
            </w:tcBorders>
            <w:shd w:val="clear" w:color="auto" w:fill="auto"/>
            <w:noWrap/>
            <w:vAlign w:val="bottom"/>
            <w:hideMark/>
          </w:tcPr>
          <w:p w14:paraId="286CA56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Vadeli Aktif Değerler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6B12BC41"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8CD0745" w14:textId="3D316AB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399.000</w:t>
            </w:r>
          </w:p>
        </w:tc>
        <w:tc>
          <w:tcPr>
            <w:tcW w:w="868" w:type="dxa"/>
            <w:tcBorders>
              <w:top w:val="nil"/>
              <w:left w:val="nil"/>
              <w:bottom w:val="nil"/>
              <w:right w:val="single" w:sz="4" w:space="0" w:color="auto"/>
            </w:tcBorders>
            <w:shd w:val="clear" w:color="auto" w:fill="auto"/>
            <w:noWrap/>
            <w:hideMark/>
          </w:tcPr>
          <w:p w14:paraId="7C9CAD11" w14:textId="04B307A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1.108.453</w:t>
            </w:r>
          </w:p>
        </w:tc>
        <w:tc>
          <w:tcPr>
            <w:tcW w:w="869" w:type="dxa"/>
            <w:tcBorders>
              <w:top w:val="nil"/>
              <w:left w:val="nil"/>
              <w:bottom w:val="nil"/>
              <w:right w:val="single" w:sz="4" w:space="0" w:color="auto"/>
            </w:tcBorders>
            <w:shd w:val="clear" w:color="auto" w:fill="auto"/>
            <w:noWrap/>
            <w:hideMark/>
          </w:tcPr>
          <w:p w14:paraId="21A85E90" w14:textId="0ED205F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1.507.453</w:t>
            </w:r>
          </w:p>
        </w:tc>
        <w:tc>
          <w:tcPr>
            <w:tcW w:w="868" w:type="dxa"/>
            <w:tcBorders>
              <w:top w:val="nil"/>
              <w:left w:val="single" w:sz="4" w:space="0" w:color="auto"/>
              <w:bottom w:val="nil"/>
              <w:right w:val="single" w:sz="4" w:space="0" w:color="auto"/>
            </w:tcBorders>
            <w:shd w:val="clear" w:color="auto" w:fill="auto"/>
            <w:vAlign w:val="center"/>
          </w:tcPr>
          <w:p w14:paraId="534077AE" w14:textId="534E8BD3" w:rsidR="0044394F" w:rsidRPr="001F224B" w:rsidRDefault="0044394F" w:rsidP="0044394F">
            <w:pPr>
              <w:jc w:val="right"/>
              <w:rPr>
                <w:sz w:val="13"/>
                <w:szCs w:val="13"/>
              </w:rPr>
            </w:pPr>
            <w:r w:rsidRPr="001F224B">
              <w:rPr>
                <w:color w:val="000000"/>
                <w:sz w:val="13"/>
                <w:szCs w:val="13"/>
              </w:rPr>
              <w:t>72.489</w:t>
            </w:r>
          </w:p>
        </w:tc>
        <w:tc>
          <w:tcPr>
            <w:tcW w:w="868" w:type="dxa"/>
            <w:tcBorders>
              <w:top w:val="nil"/>
              <w:left w:val="nil"/>
              <w:bottom w:val="nil"/>
              <w:right w:val="single" w:sz="4" w:space="0" w:color="auto"/>
            </w:tcBorders>
            <w:shd w:val="clear" w:color="auto" w:fill="auto"/>
            <w:vAlign w:val="center"/>
          </w:tcPr>
          <w:p w14:paraId="6B3C1EFB" w14:textId="30A61453" w:rsidR="0044394F" w:rsidRPr="001F224B" w:rsidRDefault="0044394F" w:rsidP="0044394F">
            <w:pPr>
              <w:jc w:val="right"/>
              <w:rPr>
                <w:sz w:val="13"/>
                <w:szCs w:val="13"/>
              </w:rPr>
            </w:pPr>
            <w:r w:rsidRPr="001F224B">
              <w:rPr>
                <w:color w:val="000000"/>
                <w:sz w:val="13"/>
                <w:szCs w:val="13"/>
              </w:rPr>
              <w:t>120.074</w:t>
            </w:r>
          </w:p>
        </w:tc>
        <w:tc>
          <w:tcPr>
            <w:tcW w:w="869" w:type="dxa"/>
            <w:tcBorders>
              <w:top w:val="nil"/>
              <w:left w:val="nil"/>
              <w:bottom w:val="nil"/>
              <w:right w:val="single" w:sz="2" w:space="0" w:color="auto"/>
            </w:tcBorders>
            <w:shd w:val="clear" w:color="auto" w:fill="auto"/>
            <w:vAlign w:val="center"/>
          </w:tcPr>
          <w:p w14:paraId="7C7D7C0A" w14:textId="6B4BCA05" w:rsidR="0044394F" w:rsidRPr="001F224B" w:rsidRDefault="0044394F" w:rsidP="0044394F">
            <w:pPr>
              <w:jc w:val="right"/>
              <w:rPr>
                <w:sz w:val="13"/>
                <w:szCs w:val="13"/>
              </w:rPr>
            </w:pPr>
            <w:r w:rsidRPr="001F224B">
              <w:rPr>
                <w:color w:val="000000"/>
                <w:sz w:val="13"/>
                <w:szCs w:val="13"/>
              </w:rPr>
              <w:t>192.563</w:t>
            </w:r>
          </w:p>
        </w:tc>
      </w:tr>
      <w:tr w:rsidR="0044394F" w:rsidRPr="001F224B" w14:paraId="5FBDD0EC" w14:textId="77777777" w:rsidTr="00B805B3">
        <w:trPr>
          <w:trHeight w:val="19"/>
        </w:trPr>
        <w:tc>
          <w:tcPr>
            <w:tcW w:w="579" w:type="dxa"/>
            <w:tcBorders>
              <w:top w:val="nil"/>
              <w:left w:val="single" w:sz="2" w:space="0" w:color="auto"/>
              <w:bottom w:val="nil"/>
              <w:right w:val="nil"/>
            </w:tcBorders>
            <w:shd w:val="clear" w:color="auto" w:fill="auto"/>
            <w:noWrap/>
            <w:hideMark/>
          </w:tcPr>
          <w:p w14:paraId="7D4C2343" w14:textId="77777777" w:rsidR="0044394F" w:rsidRPr="001F224B" w:rsidRDefault="0044394F" w:rsidP="0044394F">
            <w:pPr>
              <w:rPr>
                <w:color w:val="000000"/>
                <w:sz w:val="13"/>
                <w:szCs w:val="13"/>
                <w:lang w:val="en-US" w:eastAsia="en-US"/>
              </w:rPr>
            </w:pPr>
            <w:r w:rsidRPr="001F224B">
              <w:rPr>
                <w:sz w:val="13"/>
                <w:szCs w:val="13"/>
              </w:rPr>
              <w:t>2.1.2</w:t>
            </w:r>
          </w:p>
        </w:tc>
        <w:tc>
          <w:tcPr>
            <w:tcW w:w="3901" w:type="dxa"/>
            <w:tcBorders>
              <w:top w:val="nil"/>
              <w:left w:val="nil"/>
              <w:bottom w:val="nil"/>
              <w:right w:val="single" w:sz="2" w:space="0" w:color="auto"/>
            </w:tcBorders>
            <w:shd w:val="clear" w:color="auto" w:fill="auto"/>
            <w:noWrap/>
            <w:vAlign w:val="bottom"/>
            <w:hideMark/>
          </w:tcPr>
          <w:p w14:paraId="6CF1BA7F"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Vadeli Mevduat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08C8F67"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B66203B" w14:textId="5CB9868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7EF7205" w14:textId="2BE092B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57F5E396" w14:textId="28F786D9"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F28CD0F" w14:textId="5CFA279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B4F6A94" w14:textId="66AFD98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B87719" w14:textId="184EB26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39C25263" w14:textId="77777777" w:rsidTr="00B805B3">
        <w:trPr>
          <w:trHeight w:val="19"/>
        </w:trPr>
        <w:tc>
          <w:tcPr>
            <w:tcW w:w="579" w:type="dxa"/>
            <w:tcBorders>
              <w:top w:val="nil"/>
              <w:left w:val="single" w:sz="2" w:space="0" w:color="auto"/>
              <w:bottom w:val="nil"/>
              <w:right w:val="nil"/>
            </w:tcBorders>
            <w:shd w:val="clear" w:color="auto" w:fill="auto"/>
            <w:noWrap/>
            <w:hideMark/>
          </w:tcPr>
          <w:p w14:paraId="1004DB95" w14:textId="77777777" w:rsidR="0044394F" w:rsidRPr="001F224B" w:rsidRDefault="0044394F" w:rsidP="0044394F">
            <w:pPr>
              <w:rPr>
                <w:color w:val="000000"/>
                <w:sz w:val="13"/>
                <w:szCs w:val="13"/>
                <w:lang w:val="en-US" w:eastAsia="en-US"/>
              </w:rPr>
            </w:pPr>
            <w:r w:rsidRPr="001F224B">
              <w:rPr>
                <w:sz w:val="13"/>
                <w:szCs w:val="13"/>
              </w:rPr>
              <w:t>2.1.3</w:t>
            </w:r>
          </w:p>
        </w:tc>
        <w:tc>
          <w:tcPr>
            <w:tcW w:w="3901" w:type="dxa"/>
            <w:tcBorders>
              <w:top w:val="nil"/>
              <w:left w:val="nil"/>
              <w:bottom w:val="nil"/>
              <w:right w:val="single" w:sz="2" w:space="0" w:color="auto"/>
            </w:tcBorders>
            <w:shd w:val="clear" w:color="auto" w:fill="auto"/>
            <w:noWrap/>
            <w:vAlign w:val="bottom"/>
            <w:hideMark/>
          </w:tcPr>
          <w:p w14:paraId="2568A18C"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İştir. ve Bağ. Ort. Ser. İşt.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3A0A3719"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4F09F9C" w14:textId="157D9AF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E28023C" w14:textId="535ADE2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FEA741E" w14:textId="4000984F"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0755ED7" w14:textId="3597EDA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1C443EF" w14:textId="2A0E2EC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16EFBE5" w14:textId="01F8092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622FC627" w14:textId="77777777" w:rsidTr="00B805B3">
        <w:trPr>
          <w:trHeight w:val="19"/>
        </w:trPr>
        <w:tc>
          <w:tcPr>
            <w:tcW w:w="579" w:type="dxa"/>
            <w:tcBorders>
              <w:top w:val="nil"/>
              <w:left w:val="single" w:sz="2" w:space="0" w:color="auto"/>
              <w:bottom w:val="nil"/>
              <w:right w:val="nil"/>
            </w:tcBorders>
            <w:shd w:val="clear" w:color="auto" w:fill="auto"/>
            <w:noWrap/>
            <w:hideMark/>
          </w:tcPr>
          <w:p w14:paraId="6EDF83C4" w14:textId="77777777" w:rsidR="0044394F" w:rsidRPr="001F224B" w:rsidRDefault="0044394F" w:rsidP="0044394F">
            <w:pPr>
              <w:rPr>
                <w:color w:val="000000"/>
                <w:sz w:val="13"/>
                <w:szCs w:val="13"/>
                <w:lang w:val="en-US" w:eastAsia="en-US"/>
              </w:rPr>
            </w:pPr>
            <w:r w:rsidRPr="001F224B">
              <w:rPr>
                <w:sz w:val="13"/>
                <w:szCs w:val="13"/>
              </w:rPr>
              <w:t>2.1.4</w:t>
            </w:r>
          </w:p>
        </w:tc>
        <w:tc>
          <w:tcPr>
            <w:tcW w:w="3901" w:type="dxa"/>
            <w:tcBorders>
              <w:top w:val="nil"/>
              <w:left w:val="nil"/>
              <w:bottom w:val="nil"/>
              <w:right w:val="single" w:sz="2" w:space="0" w:color="auto"/>
            </w:tcBorders>
            <w:shd w:val="clear" w:color="auto" w:fill="auto"/>
            <w:noWrap/>
            <w:vAlign w:val="bottom"/>
            <w:hideMark/>
          </w:tcPr>
          <w:p w14:paraId="0FCEF45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Kul. Gar.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17F4927"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B261776" w14:textId="333CA69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F5EEFD8" w14:textId="0E04060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58241379" w14:textId="01256109"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B0BF945" w14:textId="132D188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566D6FD" w14:textId="095A33F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5525265" w14:textId="7EDDBDC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06E1396" w14:textId="77777777" w:rsidTr="00B805B3">
        <w:trPr>
          <w:trHeight w:val="19"/>
        </w:trPr>
        <w:tc>
          <w:tcPr>
            <w:tcW w:w="579" w:type="dxa"/>
            <w:tcBorders>
              <w:top w:val="nil"/>
              <w:left w:val="single" w:sz="2" w:space="0" w:color="auto"/>
              <w:bottom w:val="nil"/>
              <w:right w:val="nil"/>
            </w:tcBorders>
            <w:shd w:val="clear" w:color="auto" w:fill="auto"/>
            <w:noWrap/>
            <w:hideMark/>
          </w:tcPr>
          <w:p w14:paraId="5DD1C1B9" w14:textId="77777777" w:rsidR="0044394F" w:rsidRPr="001F224B" w:rsidRDefault="0044394F" w:rsidP="0044394F">
            <w:pPr>
              <w:rPr>
                <w:color w:val="000000"/>
                <w:sz w:val="13"/>
                <w:szCs w:val="13"/>
                <w:lang w:val="en-US" w:eastAsia="en-US"/>
              </w:rPr>
            </w:pPr>
            <w:r w:rsidRPr="001F224B">
              <w:rPr>
                <w:sz w:val="13"/>
                <w:szCs w:val="13"/>
              </w:rPr>
              <w:t>2.1.5</w:t>
            </w:r>
          </w:p>
        </w:tc>
        <w:tc>
          <w:tcPr>
            <w:tcW w:w="3901" w:type="dxa"/>
            <w:tcBorders>
              <w:top w:val="nil"/>
              <w:left w:val="nil"/>
              <w:bottom w:val="nil"/>
              <w:right w:val="single" w:sz="2" w:space="0" w:color="auto"/>
            </w:tcBorders>
            <w:shd w:val="clear" w:color="auto" w:fill="auto"/>
            <w:noWrap/>
            <w:vAlign w:val="bottom"/>
            <w:hideMark/>
          </w:tcPr>
          <w:p w14:paraId="5301C433"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Men. Kıy. İhr. Aracılık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5D0CB3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611E6E3" w14:textId="607E130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7D35260" w14:textId="0553F31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10C2AC1" w14:textId="5BED3FD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D10DF2" w14:textId="0CBDA860"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10E2F8" w14:textId="599BB80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FE006B4" w14:textId="330FBFC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351FCC1" w14:textId="77777777" w:rsidTr="00B805B3">
        <w:trPr>
          <w:trHeight w:val="19"/>
        </w:trPr>
        <w:tc>
          <w:tcPr>
            <w:tcW w:w="579" w:type="dxa"/>
            <w:tcBorders>
              <w:top w:val="nil"/>
              <w:left w:val="single" w:sz="2" w:space="0" w:color="auto"/>
              <w:bottom w:val="nil"/>
              <w:right w:val="nil"/>
            </w:tcBorders>
            <w:shd w:val="clear" w:color="auto" w:fill="auto"/>
            <w:noWrap/>
            <w:hideMark/>
          </w:tcPr>
          <w:p w14:paraId="29F251F6" w14:textId="77777777" w:rsidR="0044394F" w:rsidRPr="001F224B" w:rsidRDefault="0044394F" w:rsidP="0044394F">
            <w:pPr>
              <w:rPr>
                <w:color w:val="000000"/>
                <w:sz w:val="13"/>
                <w:szCs w:val="13"/>
                <w:lang w:val="en-US" w:eastAsia="en-US"/>
              </w:rPr>
            </w:pPr>
            <w:r w:rsidRPr="001F224B">
              <w:rPr>
                <w:sz w:val="13"/>
                <w:szCs w:val="13"/>
              </w:rPr>
              <w:t>2.1.6</w:t>
            </w:r>
          </w:p>
        </w:tc>
        <w:tc>
          <w:tcPr>
            <w:tcW w:w="3901" w:type="dxa"/>
            <w:tcBorders>
              <w:top w:val="nil"/>
              <w:left w:val="nil"/>
              <w:bottom w:val="nil"/>
              <w:right w:val="single" w:sz="2" w:space="0" w:color="auto"/>
            </w:tcBorders>
            <w:shd w:val="clear" w:color="auto" w:fill="auto"/>
            <w:noWrap/>
            <w:vAlign w:val="bottom"/>
            <w:hideMark/>
          </w:tcPr>
          <w:p w14:paraId="503F167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Zorunlu Karşılık Ödeme Taahhüdü</w:t>
            </w:r>
          </w:p>
        </w:tc>
        <w:tc>
          <w:tcPr>
            <w:tcW w:w="658" w:type="dxa"/>
            <w:tcBorders>
              <w:top w:val="nil"/>
              <w:left w:val="single" w:sz="2" w:space="0" w:color="auto"/>
              <w:bottom w:val="nil"/>
              <w:right w:val="single" w:sz="2" w:space="0" w:color="auto"/>
            </w:tcBorders>
            <w:shd w:val="clear" w:color="auto" w:fill="auto"/>
            <w:noWrap/>
            <w:vAlign w:val="bottom"/>
            <w:hideMark/>
          </w:tcPr>
          <w:p w14:paraId="1F4ECE98"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D58697F" w14:textId="18CA719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33D40388" w14:textId="709BAD7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67983C70" w14:textId="1513D75F"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6539231" w14:textId="738662D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F1C4527" w14:textId="2D813EE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A95E3D3" w14:textId="61D83CD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EE3A99B" w14:textId="77777777" w:rsidTr="00B805B3">
        <w:trPr>
          <w:trHeight w:val="19"/>
        </w:trPr>
        <w:tc>
          <w:tcPr>
            <w:tcW w:w="579" w:type="dxa"/>
            <w:tcBorders>
              <w:top w:val="nil"/>
              <w:left w:val="single" w:sz="2" w:space="0" w:color="auto"/>
              <w:bottom w:val="nil"/>
              <w:right w:val="nil"/>
            </w:tcBorders>
            <w:shd w:val="clear" w:color="auto" w:fill="auto"/>
            <w:noWrap/>
            <w:hideMark/>
          </w:tcPr>
          <w:p w14:paraId="3B5A4F8E" w14:textId="77777777" w:rsidR="0044394F" w:rsidRPr="001F224B" w:rsidRDefault="0044394F" w:rsidP="0044394F">
            <w:pPr>
              <w:rPr>
                <w:color w:val="000000"/>
                <w:sz w:val="13"/>
                <w:szCs w:val="13"/>
                <w:lang w:val="en-US" w:eastAsia="en-US"/>
              </w:rPr>
            </w:pPr>
            <w:r w:rsidRPr="001F224B">
              <w:rPr>
                <w:sz w:val="13"/>
                <w:szCs w:val="13"/>
              </w:rPr>
              <w:t>2.1.7</w:t>
            </w:r>
          </w:p>
        </w:tc>
        <w:tc>
          <w:tcPr>
            <w:tcW w:w="3901" w:type="dxa"/>
            <w:tcBorders>
              <w:top w:val="nil"/>
              <w:left w:val="nil"/>
              <w:bottom w:val="nil"/>
              <w:right w:val="single" w:sz="2" w:space="0" w:color="auto"/>
            </w:tcBorders>
            <w:shd w:val="clear" w:color="auto" w:fill="auto"/>
            <w:noWrap/>
            <w:vAlign w:val="bottom"/>
            <w:hideMark/>
          </w:tcPr>
          <w:p w14:paraId="12AAD37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Çekler İçin Ödeme Taahhütlerimiz</w:t>
            </w:r>
          </w:p>
        </w:tc>
        <w:tc>
          <w:tcPr>
            <w:tcW w:w="658" w:type="dxa"/>
            <w:tcBorders>
              <w:top w:val="nil"/>
              <w:left w:val="single" w:sz="2" w:space="0" w:color="auto"/>
              <w:bottom w:val="nil"/>
              <w:right w:val="single" w:sz="2" w:space="0" w:color="auto"/>
            </w:tcBorders>
            <w:shd w:val="clear" w:color="auto" w:fill="auto"/>
            <w:noWrap/>
            <w:vAlign w:val="bottom"/>
            <w:hideMark/>
          </w:tcPr>
          <w:p w14:paraId="3E7ECCF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1896EE1" w14:textId="10E964E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306F7718" w14:textId="195BF14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F38A6E4" w14:textId="7D6BD85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B674421" w14:textId="56D5AF1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3AD94E2" w14:textId="024EFC8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5357558" w14:textId="255A66C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FC93537" w14:textId="77777777" w:rsidTr="00B805B3">
        <w:trPr>
          <w:trHeight w:val="19"/>
        </w:trPr>
        <w:tc>
          <w:tcPr>
            <w:tcW w:w="579" w:type="dxa"/>
            <w:tcBorders>
              <w:top w:val="nil"/>
              <w:left w:val="single" w:sz="2" w:space="0" w:color="auto"/>
              <w:bottom w:val="nil"/>
              <w:right w:val="nil"/>
            </w:tcBorders>
            <w:shd w:val="clear" w:color="auto" w:fill="auto"/>
            <w:noWrap/>
            <w:hideMark/>
          </w:tcPr>
          <w:p w14:paraId="1EEE63DF" w14:textId="77777777" w:rsidR="0044394F" w:rsidRPr="001F224B" w:rsidRDefault="0044394F" w:rsidP="0044394F">
            <w:pPr>
              <w:rPr>
                <w:color w:val="000000"/>
                <w:sz w:val="13"/>
                <w:szCs w:val="13"/>
                <w:lang w:val="en-US" w:eastAsia="en-US"/>
              </w:rPr>
            </w:pPr>
            <w:r w:rsidRPr="001F224B">
              <w:rPr>
                <w:sz w:val="13"/>
                <w:szCs w:val="13"/>
              </w:rPr>
              <w:t>2.1.8</w:t>
            </w:r>
          </w:p>
        </w:tc>
        <w:tc>
          <w:tcPr>
            <w:tcW w:w="3901" w:type="dxa"/>
            <w:tcBorders>
              <w:top w:val="nil"/>
              <w:left w:val="nil"/>
              <w:bottom w:val="nil"/>
              <w:right w:val="single" w:sz="2" w:space="0" w:color="auto"/>
            </w:tcBorders>
            <w:shd w:val="clear" w:color="auto" w:fill="auto"/>
            <w:noWrap/>
            <w:vAlign w:val="bottom"/>
            <w:hideMark/>
          </w:tcPr>
          <w:p w14:paraId="3A7A1D3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İhracat Taahhütlerinden Kaynaklanan Vergi ve Fon Yükümlülükleri</w:t>
            </w:r>
          </w:p>
        </w:tc>
        <w:tc>
          <w:tcPr>
            <w:tcW w:w="658" w:type="dxa"/>
            <w:tcBorders>
              <w:top w:val="nil"/>
              <w:left w:val="single" w:sz="2" w:space="0" w:color="auto"/>
              <w:bottom w:val="nil"/>
              <w:right w:val="single" w:sz="2" w:space="0" w:color="auto"/>
            </w:tcBorders>
            <w:shd w:val="clear" w:color="auto" w:fill="auto"/>
            <w:noWrap/>
            <w:vAlign w:val="bottom"/>
            <w:hideMark/>
          </w:tcPr>
          <w:p w14:paraId="79BF40C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9244FC2" w14:textId="254C0B6C"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411493ED" w14:textId="602B331B"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4D7BCBC1" w14:textId="6942C6A9"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1449118" w14:textId="58A7808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E7F015C" w14:textId="16DD4D2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96416BD" w14:textId="021D238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BF87708" w14:textId="77777777" w:rsidTr="00B805B3">
        <w:trPr>
          <w:trHeight w:val="19"/>
        </w:trPr>
        <w:tc>
          <w:tcPr>
            <w:tcW w:w="579" w:type="dxa"/>
            <w:tcBorders>
              <w:top w:val="nil"/>
              <w:left w:val="single" w:sz="2" w:space="0" w:color="auto"/>
              <w:bottom w:val="nil"/>
              <w:right w:val="nil"/>
            </w:tcBorders>
            <w:shd w:val="clear" w:color="auto" w:fill="auto"/>
            <w:noWrap/>
            <w:hideMark/>
          </w:tcPr>
          <w:p w14:paraId="050B4FAF" w14:textId="77777777" w:rsidR="0044394F" w:rsidRPr="001F224B" w:rsidRDefault="0044394F" w:rsidP="0044394F">
            <w:pPr>
              <w:rPr>
                <w:color w:val="000000"/>
                <w:sz w:val="13"/>
                <w:szCs w:val="13"/>
                <w:lang w:val="en-US" w:eastAsia="en-US"/>
              </w:rPr>
            </w:pPr>
            <w:r w:rsidRPr="001F224B">
              <w:rPr>
                <w:sz w:val="13"/>
                <w:szCs w:val="13"/>
              </w:rPr>
              <w:t>2.1.9</w:t>
            </w:r>
          </w:p>
        </w:tc>
        <w:tc>
          <w:tcPr>
            <w:tcW w:w="3901" w:type="dxa"/>
            <w:tcBorders>
              <w:top w:val="nil"/>
              <w:left w:val="nil"/>
              <w:bottom w:val="nil"/>
              <w:right w:val="single" w:sz="2" w:space="0" w:color="auto"/>
            </w:tcBorders>
            <w:shd w:val="clear" w:color="auto" w:fill="auto"/>
            <w:noWrap/>
            <w:vAlign w:val="bottom"/>
            <w:hideMark/>
          </w:tcPr>
          <w:p w14:paraId="1DFC91B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Kredi Kartı Harcama Limit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7D6FDD18"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781CEF7" w14:textId="502C083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9EDAD46" w14:textId="0E2A86A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E1D4494" w14:textId="0ECE2F76"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3DC95B2" w14:textId="3087CB3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0677C6C" w14:textId="46437B7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D1CFBE5" w14:textId="2250197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3A0CF672" w14:textId="77777777" w:rsidTr="00B805B3">
        <w:trPr>
          <w:trHeight w:val="19"/>
        </w:trPr>
        <w:tc>
          <w:tcPr>
            <w:tcW w:w="579" w:type="dxa"/>
            <w:tcBorders>
              <w:top w:val="nil"/>
              <w:left w:val="single" w:sz="2" w:space="0" w:color="auto"/>
              <w:bottom w:val="nil"/>
              <w:right w:val="nil"/>
            </w:tcBorders>
            <w:shd w:val="clear" w:color="auto" w:fill="auto"/>
            <w:noWrap/>
            <w:hideMark/>
          </w:tcPr>
          <w:p w14:paraId="55FB24AE" w14:textId="77777777" w:rsidR="0044394F" w:rsidRPr="001F224B" w:rsidRDefault="0044394F" w:rsidP="0044394F">
            <w:pPr>
              <w:rPr>
                <w:color w:val="000000"/>
                <w:sz w:val="13"/>
                <w:szCs w:val="13"/>
                <w:lang w:val="en-US" w:eastAsia="en-US"/>
              </w:rPr>
            </w:pPr>
            <w:r w:rsidRPr="001F224B">
              <w:rPr>
                <w:sz w:val="13"/>
                <w:szCs w:val="13"/>
              </w:rPr>
              <w:t>2.1.10</w:t>
            </w:r>
          </w:p>
        </w:tc>
        <w:tc>
          <w:tcPr>
            <w:tcW w:w="3901" w:type="dxa"/>
            <w:tcBorders>
              <w:top w:val="nil"/>
              <w:left w:val="nil"/>
              <w:bottom w:val="nil"/>
              <w:right w:val="single" w:sz="2" w:space="0" w:color="auto"/>
            </w:tcBorders>
            <w:shd w:val="clear" w:color="auto" w:fill="auto"/>
            <w:noWrap/>
            <w:vAlign w:val="bottom"/>
            <w:hideMark/>
          </w:tcPr>
          <w:p w14:paraId="1EBAF896"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Kredi Kartları ve Bankacılık Hizmetlerine İlişkin Promosyon Uyg.Taah.</w:t>
            </w:r>
          </w:p>
        </w:tc>
        <w:tc>
          <w:tcPr>
            <w:tcW w:w="658" w:type="dxa"/>
            <w:tcBorders>
              <w:top w:val="nil"/>
              <w:left w:val="single" w:sz="2" w:space="0" w:color="auto"/>
              <w:bottom w:val="nil"/>
              <w:right w:val="single" w:sz="2" w:space="0" w:color="auto"/>
            </w:tcBorders>
            <w:shd w:val="clear" w:color="auto" w:fill="auto"/>
            <w:noWrap/>
            <w:vAlign w:val="bottom"/>
            <w:hideMark/>
          </w:tcPr>
          <w:p w14:paraId="05DF500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30D3B6F" w14:textId="649E1C1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DAE01F2" w14:textId="0B34A2B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678D549D" w14:textId="22E21998"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3F3F19D" w14:textId="18BC000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088E110" w14:textId="1FFA575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2EF22A" w14:textId="3AF98D7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62DD426" w14:textId="77777777" w:rsidTr="00B805B3">
        <w:trPr>
          <w:trHeight w:val="19"/>
        </w:trPr>
        <w:tc>
          <w:tcPr>
            <w:tcW w:w="579" w:type="dxa"/>
            <w:tcBorders>
              <w:top w:val="nil"/>
              <w:left w:val="single" w:sz="2" w:space="0" w:color="auto"/>
              <w:bottom w:val="nil"/>
              <w:right w:val="nil"/>
            </w:tcBorders>
            <w:shd w:val="clear" w:color="auto" w:fill="auto"/>
            <w:noWrap/>
            <w:hideMark/>
          </w:tcPr>
          <w:p w14:paraId="1E574E4E" w14:textId="77777777" w:rsidR="0044394F" w:rsidRPr="001F224B" w:rsidRDefault="0044394F" w:rsidP="0044394F">
            <w:pPr>
              <w:rPr>
                <w:color w:val="000000"/>
                <w:sz w:val="13"/>
                <w:szCs w:val="13"/>
                <w:lang w:val="en-US" w:eastAsia="en-US"/>
              </w:rPr>
            </w:pPr>
            <w:r w:rsidRPr="001F224B">
              <w:rPr>
                <w:sz w:val="13"/>
                <w:szCs w:val="13"/>
              </w:rPr>
              <w:t>2.1.11</w:t>
            </w:r>
          </w:p>
        </w:tc>
        <w:tc>
          <w:tcPr>
            <w:tcW w:w="3901" w:type="dxa"/>
            <w:tcBorders>
              <w:top w:val="nil"/>
              <w:left w:val="nil"/>
              <w:bottom w:val="nil"/>
              <w:right w:val="single" w:sz="2" w:space="0" w:color="auto"/>
            </w:tcBorders>
            <w:shd w:val="clear" w:color="auto" w:fill="auto"/>
            <w:noWrap/>
            <w:vAlign w:val="bottom"/>
            <w:hideMark/>
          </w:tcPr>
          <w:p w14:paraId="1663C67A"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Açığa Menkul Kıymet Satış Taahhütlerinden Alacaklar</w:t>
            </w:r>
          </w:p>
        </w:tc>
        <w:tc>
          <w:tcPr>
            <w:tcW w:w="658" w:type="dxa"/>
            <w:tcBorders>
              <w:top w:val="nil"/>
              <w:left w:val="single" w:sz="2" w:space="0" w:color="auto"/>
              <w:bottom w:val="nil"/>
              <w:right w:val="single" w:sz="2" w:space="0" w:color="auto"/>
            </w:tcBorders>
            <w:shd w:val="clear" w:color="auto" w:fill="auto"/>
            <w:noWrap/>
            <w:vAlign w:val="bottom"/>
            <w:hideMark/>
          </w:tcPr>
          <w:p w14:paraId="0CC1FC6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8FBE8B6" w14:textId="365A40B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431B4EEE" w14:textId="792AE65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9AFDEE0" w14:textId="11E1F9B2"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05E5C2" w14:textId="41B086C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4C07A9" w14:textId="325EFC7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BCEC379" w14:textId="3846FFB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342A69F" w14:textId="77777777" w:rsidTr="00B805B3">
        <w:trPr>
          <w:trHeight w:val="19"/>
        </w:trPr>
        <w:tc>
          <w:tcPr>
            <w:tcW w:w="579" w:type="dxa"/>
            <w:tcBorders>
              <w:top w:val="nil"/>
              <w:left w:val="single" w:sz="2" w:space="0" w:color="auto"/>
              <w:bottom w:val="nil"/>
              <w:right w:val="nil"/>
            </w:tcBorders>
            <w:shd w:val="clear" w:color="auto" w:fill="auto"/>
            <w:noWrap/>
            <w:hideMark/>
          </w:tcPr>
          <w:p w14:paraId="27306B75" w14:textId="77777777" w:rsidR="0044394F" w:rsidRPr="001F224B" w:rsidRDefault="0044394F" w:rsidP="0044394F">
            <w:pPr>
              <w:rPr>
                <w:color w:val="000000"/>
                <w:sz w:val="13"/>
                <w:szCs w:val="13"/>
                <w:lang w:val="en-US" w:eastAsia="en-US"/>
              </w:rPr>
            </w:pPr>
            <w:r w:rsidRPr="001F224B">
              <w:rPr>
                <w:sz w:val="13"/>
                <w:szCs w:val="13"/>
              </w:rPr>
              <w:t>2.1.12</w:t>
            </w:r>
          </w:p>
        </w:tc>
        <w:tc>
          <w:tcPr>
            <w:tcW w:w="3901" w:type="dxa"/>
            <w:tcBorders>
              <w:top w:val="nil"/>
              <w:left w:val="nil"/>
              <w:bottom w:val="nil"/>
              <w:right w:val="single" w:sz="2" w:space="0" w:color="auto"/>
            </w:tcBorders>
            <w:shd w:val="clear" w:color="auto" w:fill="auto"/>
            <w:noWrap/>
            <w:vAlign w:val="bottom"/>
            <w:hideMark/>
          </w:tcPr>
          <w:p w14:paraId="07971D1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Açığa Menkul Kıymet Satış Taahhütlerinden Borçlar</w:t>
            </w:r>
          </w:p>
        </w:tc>
        <w:tc>
          <w:tcPr>
            <w:tcW w:w="658" w:type="dxa"/>
            <w:tcBorders>
              <w:top w:val="nil"/>
              <w:left w:val="single" w:sz="2" w:space="0" w:color="auto"/>
              <w:bottom w:val="nil"/>
              <w:right w:val="single" w:sz="2" w:space="0" w:color="auto"/>
            </w:tcBorders>
            <w:shd w:val="clear" w:color="auto" w:fill="auto"/>
            <w:noWrap/>
            <w:vAlign w:val="bottom"/>
            <w:hideMark/>
          </w:tcPr>
          <w:p w14:paraId="4B435D3C"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25C9FE2" w14:textId="754F29D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66EA02E" w14:textId="65A9A8F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D03E0F3" w14:textId="74A06A31"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8D994C1" w14:textId="71F72F1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E2C9F15" w14:textId="0CA92AD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0DFC2D9" w14:textId="69E3F68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818CDB6" w14:textId="77777777" w:rsidTr="00315AF0">
        <w:trPr>
          <w:trHeight w:val="19"/>
        </w:trPr>
        <w:tc>
          <w:tcPr>
            <w:tcW w:w="579" w:type="dxa"/>
            <w:tcBorders>
              <w:top w:val="nil"/>
              <w:left w:val="single" w:sz="2" w:space="0" w:color="auto"/>
              <w:bottom w:val="nil"/>
              <w:right w:val="nil"/>
            </w:tcBorders>
            <w:shd w:val="clear" w:color="auto" w:fill="auto"/>
            <w:noWrap/>
            <w:hideMark/>
          </w:tcPr>
          <w:p w14:paraId="4EFEE68C" w14:textId="77777777" w:rsidR="0044394F" w:rsidRPr="001F224B" w:rsidRDefault="0044394F" w:rsidP="0044394F">
            <w:pPr>
              <w:rPr>
                <w:color w:val="000000"/>
                <w:sz w:val="13"/>
                <w:szCs w:val="13"/>
                <w:lang w:val="en-US" w:eastAsia="en-US"/>
              </w:rPr>
            </w:pPr>
            <w:r w:rsidRPr="001F224B">
              <w:rPr>
                <w:sz w:val="13"/>
                <w:szCs w:val="13"/>
              </w:rPr>
              <w:t>2.1.13</w:t>
            </w:r>
          </w:p>
        </w:tc>
        <w:tc>
          <w:tcPr>
            <w:tcW w:w="3901" w:type="dxa"/>
            <w:tcBorders>
              <w:top w:val="nil"/>
              <w:left w:val="nil"/>
              <w:bottom w:val="nil"/>
              <w:right w:val="single" w:sz="2" w:space="0" w:color="auto"/>
            </w:tcBorders>
            <w:shd w:val="clear" w:color="auto" w:fill="auto"/>
            <w:noWrap/>
            <w:vAlign w:val="bottom"/>
            <w:hideMark/>
          </w:tcPr>
          <w:p w14:paraId="23DF6476"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4C1DCBB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1C5AC9" w14:textId="08665BC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225.118</w:t>
            </w:r>
          </w:p>
        </w:tc>
        <w:tc>
          <w:tcPr>
            <w:tcW w:w="868" w:type="dxa"/>
            <w:tcBorders>
              <w:top w:val="nil"/>
              <w:left w:val="nil"/>
              <w:bottom w:val="nil"/>
              <w:right w:val="single" w:sz="4" w:space="0" w:color="auto"/>
            </w:tcBorders>
            <w:shd w:val="clear" w:color="auto" w:fill="auto"/>
            <w:noWrap/>
            <w:hideMark/>
          </w:tcPr>
          <w:p w14:paraId="10D392CF" w14:textId="549161A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576.682</w:t>
            </w:r>
          </w:p>
        </w:tc>
        <w:tc>
          <w:tcPr>
            <w:tcW w:w="869" w:type="dxa"/>
            <w:tcBorders>
              <w:top w:val="nil"/>
              <w:left w:val="nil"/>
              <w:bottom w:val="nil"/>
              <w:right w:val="single" w:sz="4" w:space="0" w:color="auto"/>
            </w:tcBorders>
            <w:shd w:val="clear" w:color="auto" w:fill="auto"/>
            <w:noWrap/>
            <w:hideMark/>
          </w:tcPr>
          <w:p w14:paraId="1FB3D51C" w14:textId="2A86FF3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801.800</w:t>
            </w:r>
          </w:p>
        </w:tc>
        <w:tc>
          <w:tcPr>
            <w:tcW w:w="868" w:type="dxa"/>
            <w:tcBorders>
              <w:top w:val="nil"/>
              <w:left w:val="single" w:sz="4" w:space="0" w:color="auto"/>
              <w:bottom w:val="nil"/>
              <w:right w:val="single" w:sz="4" w:space="0" w:color="auto"/>
            </w:tcBorders>
            <w:shd w:val="clear" w:color="auto" w:fill="auto"/>
            <w:vAlign w:val="center"/>
          </w:tcPr>
          <w:p w14:paraId="510358B4" w14:textId="47DC480C" w:rsidR="0044394F" w:rsidRPr="001F224B" w:rsidRDefault="0044394F" w:rsidP="0044394F">
            <w:pPr>
              <w:jc w:val="right"/>
              <w:rPr>
                <w:sz w:val="13"/>
                <w:szCs w:val="13"/>
              </w:rPr>
            </w:pPr>
            <w:r w:rsidRPr="001F224B">
              <w:rPr>
                <w:color w:val="000000"/>
                <w:sz w:val="13"/>
                <w:szCs w:val="13"/>
              </w:rPr>
              <w:t>246.060</w:t>
            </w:r>
          </w:p>
        </w:tc>
        <w:tc>
          <w:tcPr>
            <w:tcW w:w="868" w:type="dxa"/>
            <w:tcBorders>
              <w:top w:val="nil"/>
              <w:left w:val="nil"/>
              <w:bottom w:val="nil"/>
              <w:right w:val="single" w:sz="4" w:space="0" w:color="auto"/>
            </w:tcBorders>
            <w:shd w:val="clear" w:color="auto" w:fill="auto"/>
            <w:vAlign w:val="center"/>
          </w:tcPr>
          <w:p w14:paraId="086EE0D0" w14:textId="6307569A" w:rsidR="0044394F" w:rsidRPr="001F224B" w:rsidRDefault="0044394F" w:rsidP="0044394F">
            <w:pPr>
              <w:jc w:val="right"/>
              <w:rPr>
                <w:sz w:val="13"/>
                <w:szCs w:val="13"/>
              </w:rPr>
            </w:pPr>
            <w:r w:rsidRPr="001F224B">
              <w:rPr>
                <w:color w:val="000000"/>
                <w:sz w:val="13"/>
                <w:szCs w:val="13"/>
              </w:rPr>
              <w:t>526.727</w:t>
            </w:r>
          </w:p>
        </w:tc>
        <w:tc>
          <w:tcPr>
            <w:tcW w:w="869" w:type="dxa"/>
            <w:tcBorders>
              <w:top w:val="nil"/>
              <w:left w:val="nil"/>
              <w:bottom w:val="nil"/>
              <w:right w:val="single" w:sz="2" w:space="0" w:color="auto"/>
            </w:tcBorders>
            <w:shd w:val="clear" w:color="auto" w:fill="auto"/>
            <w:vAlign w:val="center"/>
          </w:tcPr>
          <w:p w14:paraId="20B342DD" w14:textId="21EE6C76" w:rsidR="0044394F" w:rsidRPr="001F224B" w:rsidRDefault="0044394F" w:rsidP="0044394F">
            <w:pPr>
              <w:jc w:val="right"/>
              <w:rPr>
                <w:sz w:val="13"/>
                <w:szCs w:val="13"/>
              </w:rPr>
            </w:pPr>
            <w:r w:rsidRPr="001F224B">
              <w:rPr>
                <w:color w:val="000000"/>
                <w:sz w:val="13"/>
                <w:szCs w:val="13"/>
              </w:rPr>
              <w:t>772.787</w:t>
            </w:r>
          </w:p>
        </w:tc>
      </w:tr>
      <w:tr w:rsidR="0044394F" w:rsidRPr="001F224B" w14:paraId="00C4D4E9" w14:textId="77777777" w:rsidTr="00315AF0">
        <w:trPr>
          <w:trHeight w:val="19"/>
        </w:trPr>
        <w:tc>
          <w:tcPr>
            <w:tcW w:w="579" w:type="dxa"/>
            <w:tcBorders>
              <w:top w:val="nil"/>
              <w:left w:val="single" w:sz="2" w:space="0" w:color="auto"/>
              <w:bottom w:val="nil"/>
              <w:right w:val="nil"/>
            </w:tcBorders>
            <w:shd w:val="clear" w:color="auto" w:fill="auto"/>
            <w:noWrap/>
            <w:hideMark/>
          </w:tcPr>
          <w:p w14:paraId="0A988627" w14:textId="77777777" w:rsidR="0044394F" w:rsidRPr="001F224B" w:rsidRDefault="0044394F" w:rsidP="0044394F">
            <w:pPr>
              <w:rPr>
                <w:color w:val="000000"/>
                <w:sz w:val="13"/>
                <w:szCs w:val="13"/>
                <w:lang w:val="en-US" w:eastAsia="en-US"/>
              </w:rPr>
            </w:pPr>
            <w:r w:rsidRPr="001F224B">
              <w:rPr>
                <w:sz w:val="13"/>
                <w:szCs w:val="13"/>
              </w:rPr>
              <w:t>2.2</w:t>
            </w:r>
          </w:p>
        </w:tc>
        <w:tc>
          <w:tcPr>
            <w:tcW w:w="3901" w:type="dxa"/>
            <w:tcBorders>
              <w:top w:val="nil"/>
              <w:left w:val="nil"/>
              <w:bottom w:val="nil"/>
              <w:right w:val="single" w:sz="2" w:space="0" w:color="auto"/>
            </w:tcBorders>
            <w:shd w:val="clear" w:color="auto" w:fill="auto"/>
            <w:noWrap/>
            <w:vAlign w:val="bottom"/>
            <w:hideMark/>
          </w:tcPr>
          <w:p w14:paraId="185F412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1952B3A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14C3FD7E" w14:textId="7327BC2B"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6.596.500</w:t>
            </w:r>
          </w:p>
        </w:tc>
        <w:tc>
          <w:tcPr>
            <w:tcW w:w="868" w:type="dxa"/>
            <w:tcBorders>
              <w:top w:val="nil"/>
              <w:left w:val="nil"/>
              <w:bottom w:val="nil"/>
              <w:right w:val="single" w:sz="4" w:space="0" w:color="auto"/>
            </w:tcBorders>
            <w:shd w:val="clear" w:color="auto" w:fill="auto"/>
            <w:noWrap/>
            <w:hideMark/>
          </w:tcPr>
          <w:p w14:paraId="3DE0981A" w14:textId="562C8E6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9.341.926</w:t>
            </w:r>
          </w:p>
        </w:tc>
        <w:tc>
          <w:tcPr>
            <w:tcW w:w="869" w:type="dxa"/>
            <w:tcBorders>
              <w:top w:val="nil"/>
              <w:left w:val="nil"/>
              <w:bottom w:val="nil"/>
              <w:right w:val="dashed" w:sz="4" w:space="0" w:color="auto"/>
            </w:tcBorders>
            <w:shd w:val="clear" w:color="auto" w:fill="auto"/>
            <w:noWrap/>
            <w:hideMark/>
          </w:tcPr>
          <w:p w14:paraId="6C37E24D" w14:textId="29E1B7AC"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15.938.426</w:t>
            </w:r>
          </w:p>
        </w:tc>
        <w:tc>
          <w:tcPr>
            <w:tcW w:w="868" w:type="dxa"/>
            <w:tcBorders>
              <w:top w:val="nil"/>
              <w:left w:val="single" w:sz="4" w:space="0" w:color="auto"/>
              <w:bottom w:val="nil"/>
              <w:right w:val="single" w:sz="4" w:space="0" w:color="auto"/>
            </w:tcBorders>
            <w:shd w:val="clear" w:color="auto" w:fill="auto"/>
            <w:vAlign w:val="center"/>
          </w:tcPr>
          <w:p w14:paraId="36F1A167" w14:textId="375BF399" w:rsidR="0044394F" w:rsidRPr="001F224B" w:rsidRDefault="0044394F" w:rsidP="0044394F">
            <w:pPr>
              <w:jc w:val="right"/>
              <w:rPr>
                <w:sz w:val="13"/>
                <w:szCs w:val="13"/>
              </w:rPr>
            </w:pPr>
            <w:r w:rsidRPr="001F224B">
              <w:rPr>
                <w:color w:val="000000"/>
                <w:sz w:val="13"/>
                <w:szCs w:val="13"/>
              </w:rPr>
              <w:t>3.576.500</w:t>
            </w:r>
          </w:p>
        </w:tc>
        <w:tc>
          <w:tcPr>
            <w:tcW w:w="868" w:type="dxa"/>
            <w:tcBorders>
              <w:top w:val="nil"/>
              <w:left w:val="nil"/>
              <w:bottom w:val="nil"/>
              <w:right w:val="single" w:sz="4" w:space="0" w:color="auto"/>
            </w:tcBorders>
            <w:shd w:val="clear" w:color="auto" w:fill="auto"/>
            <w:vAlign w:val="center"/>
          </w:tcPr>
          <w:p w14:paraId="6EC9C8F4" w14:textId="6970A2BF" w:rsidR="0044394F" w:rsidRPr="001F224B" w:rsidRDefault="0044394F" w:rsidP="0044394F">
            <w:pPr>
              <w:jc w:val="right"/>
              <w:rPr>
                <w:sz w:val="13"/>
                <w:szCs w:val="13"/>
              </w:rPr>
            </w:pPr>
            <w:r w:rsidRPr="001F224B">
              <w:rPr>
                <w:color w:val="000000"/>
                <w:sz w:val="13"/>
                <w:szCs w:val="13"/>
              </w:rPr>
              <w:t>14.894.108</w:t>
            </w:r>
          </w:p>
        </w:tc>
        <w:tc>
          <w:tcPr>
            <w:tcW w:w="869" w:type="dxa"/>
            <w:tcBorders>
              <w:top w:val="nil"/>
              <w:left w:val="nil"/>
              <w:bottom w:val="nil"/>
              <w:right w:val="single" w:sz="2" w:space="0" w:color="auto"/>
            </w:tcBorders>
            <w:shd w:val="clear" w:color="auto" w:fill="auto"/>
            <w:vAlign w:val="center"/>
          </w:tcPr>
          <w:p w14:paraId="4E2F1EFE" w14:textId="7278AEF8" w:rsidR="0044394F" w:rsidRPr="001F224B" w:rsidRDefault="0044394F" w:rsidP="0044394F">
            <w:pPr>
              <w:jc w:val="right"/>
              <w:rPr>
                <w:sz w:val="13"/>
                <w:szCs w:val="13"/>
              </w:rPr>
            </w:pPr>
            <w:r w:rsidRPr="001F224B">
              <w:rPr>
                <w:color w:val="000000"/>
                <w:sz w:val="13"/>
                <w:szCs w:val="13"/>
              </w:rPr>
              <w:t>18.470.608</w:t>
            </w:r>
          </w:p>
        </w:tc>
      </w:tr>
      <w:tr w:rsidR="0044394F" w:rsidRPr="001F224B" w14:paraId="7E0FBF45" w14:textId="77777777" w:rsidTr="00315AF0">
        <w:trPr>
          <w:trHeight w:val="19"/>
        </w:trPr>
        <w:tc>
          <w:tcPr>
            <w:tcW w:w="579" w:type="dxa"/>
            <w:tcBorders>
              <w:top w:val="nil"/>
              <w:left w:val="single" w:sz="2" w:space="0" w:color="auto"/>
              <w:bottom w:val="nil"/>
              <w:right w:val="nil"/>
            </w:tcBorders>
            <w:shd w:val="clear" w:color="auto" w:fill="auto"/>
            <w:noWrap/>
            <w:hideMark/>
          </w:tcPr>
          <w:p w14:paraId="1A28B1EF" w14:textId="77777777" w:rsidR="0044394F" w:rsidRPr="001F224B" w:rsidRDefault="0044394F" w:rsidP="0044394F">
            <w:pPr>
              <w:rPr>
                <w:color w:val="000000"/>
                <w:sz w:val="13"/>
                <w:szCs w:val="13"/>
                <w:lang w:val="en-US" w:eastAsia="en-US"/>
              </w:rPr>
            </w:pPr>
            <w:r w:rsidRPr="001F224B">
              <w:rPr>
                <w:sz w:val="13"/>
                <w:szCs w:val="13"/>
              </w:rPr>
              <w:t>2.2.1</w:t>
            </w:r>
          </w:p>
        </w:tc>
        <w:tc>
          <w:tcPr>
            <w:tcW w:w="3901" w:type="dxa"/>
            <w:tcBorders>
              <w:top w:val="nil"/>
              <w:left w:val="nil"/>
              <w:bottom w:val="nil"/>
              <w:right w:val="single" w:sz="2" w:space="0" w:color="auto"/>
            </w:tcBorders>
            <w:shd w:val="clear" w:color="auto" w:fill="auto"/>
            <w:noWrap/>
            <w:vAlign w:val="bottom"/>
            <w:hideMark/>
          </w:tcPr>
          <w:p w14:paraId="263ED5A6"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Cayılabilir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53970CA5"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64CCF523" w14:textId="40E20B9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6.596.500</w:t>
            </w:r>
          </w:p>
        </w:tc>
        <w:tc>
          <w:tcPr>
            <w:tcW w:w="868" w:type="dxa"/>
            <w:tcBorders>
              <w:top w:val="nil"/>
              <w:left w:val="nil"/>
              <w:bottom w:val="nil"/>
              <w:right w:val="single" w:sz="4" w:space="0" w:color="auto"/>
            </w:tcBorders>
            <w:shd w:val="clear" w:color="auto" w:fill="auto"/>
            <w:noWrap/>
            <w:hideMark/>
          </w:tcPr>
          <w:p w14:paraId="25E5241F" w14:textId="4ACAC24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9.341.926</w:t>
            </w:r>
          </w:p>
        </w:tc>
        <w:tc>
          <w:tcPr>
            <w:tcW w:w="869" w:type="dxa"/>
            <w:tcBorders>
              <w:top w:val="nil"/>
              <w:left w:val="nil"/>
              <w:bottom w:val="nil"/>
              <w:right w:val="dashed" w:sz="4" w:space="0" w:color="auto"/>
            </w:tcBorders>
            <w:shd w:val="clear" w:color="auto" w:fill="auto"/>
            <w:noWrap/>
            <w:hideMark/>
          </w:tcPr>
          <w:p w14:paraId="62A77C05" w14:textId="6D501B3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15.938.426</w:t>
            </w:r>
          </w:p>
        </w:tc>
        <w:tc>
          <w:tcPr>
            <w:tcW w:w="868" w:type="dxa"/>
            <w:tcBorders>
              <w:top w:val="nil"/>
              <w:left w:val="single" w:sz="4" w:space="0" w:color="auto"/>
              <w:bottom w:val="nil"/>
              <w:right w:val="single" w:sz="4" w:space="0" w:color="auto"/>
            </w:tcBorders>
            <w:shd w:val="clear" w:color="auto" w:fill="auto"/>
            <w:vAlign w:val="center"/>
          </w:tcPr>
          <w:p w14:paraId="4E4DC5F3" w14:textId="385705B5" w:rsidR="0044394F" w:rsidRPr="001F224B" w:rsidRDefault="0044394F" w:rsidP="0044394F">
            <w:pPr>
              <w:jc w:val="right"/>
              <w:rPr>
                <w:sz w:val="13"/>
                <w:szCs w:val="13"/>
              </w:rPr>
            </w:pPr>
            <w:r w:rsidRPr="001F224B">
              <w:rPr>
                <w:color w:val="000000"/>
                <w:sz w:val="13"/>
                <w:szCs w:val="13"/>
              </w:rPr>
              <w:t>3.576.500</w:t>
            </w:r>
          </w:p>
        </w:tc>
        <w:tc>
          <w:tcPr>
            <w:tcW w:w="868" w:type="dxa"/>
            <w:tcBorders>
              <w:top w:val="nil"/>
              <w:left w:val="nil"/>
              <w:bottom w:val="nil"/>
              <w:right w:val="single" w:sz="4" w:space="0" w:color="auto"/>
            </w:tcBorders>
            <w:shd w:val="clear" w:color="auto" w:fill="auto"/>
            <w:vAlign w:val="center"/>
          </w:tcPr>
          <w:p w14:paraId="18AFD7F7" w14:textId="1B83B356" w:rsidR="0044394F" w:rsidRPr="001F224B" w:rsidRDefault="0044394F" w:rsidP="0044394F">
            <w:pPr>
              <w:jc w:val="right"/>
              <w:rPr>
                <w:sz w:val="13"/>
                <w:szCs w:val="13"/>
              </w:rPr>
            </w:pPr>
            <w:r w:rsidRPr="001F224B">
              <w:rPr>
                <w:color w:val="000000"/>
                <w:sz w:val="13"/>
                <w:szCs w:val="13"/>
              </w:rPr>
              <w:t>14.894.108</w:t>
            </w:r>
          </w:p>
        </w:tc>
        <w:tc>
          <w:tcPr>
            <w:tcW w:w="869" w:type="dxa"/>
            <w:tcBorders>
              <w:top w:val="nil"/>
              <w:left w:val="nil"/>
              <w:bottom w:val="nil"/>
              <w:right w:val="single" w:sz="2" w:space="0" w:color="auto"/>
            </w:tcBorders>
            <w:shd w:val="clear" w:color="auto" w:fill="auto"/>
            <w:vAlign w:val="center"/>
          </w:tcPr>
          <w:p w14:paraId="2CFCECA8" w14:textId="23F59A1E" w:rsidR="0044394F" w:rsidRPr="001F224B" w:rsidRDefault="0044394F" w:rsidP="0044394F">
            <w:pPr>
              <w:jc w:val="right"/>
              <w:rPr>
                <w:sz w:val="13"/>
                <w:szCs w:val="13"/>
              </w:rPr>
            </w:pPr>
            <w:r w:rsidRPr="001F224B">
              <w:rPr>
                <w:color w:val="000000"/>
                <w:sz w:val="13"/>
                <w:szCs w:val="13"/>
              </w:rPr>
              <w:t>18.470.608</w:t>
            </w:r>
          </w:p>
        </w:tc>
      </w:tr>
      <w:tr w:rsidR="0044394F" w:rsidRPr="001F224B" w14:paraId="7B950099" w14:textId="77777777" w:rsidTr="00EB1C95">
        <w:trPr>
          <w:trHeight w:val="19"/>
        </w:trPr>
        <w:tc>
          <w:tcPr>
            <w:tcW w:w="579" w:type="dxa"/>
            <w:tcBorders>
              <w:top w:val="nil"/>
              <w:left w:val="single" w:sz="2" w:space="0" w:color="auto"/>
              <w:bottom w:val="nil"/>
              <w:right w:val="nil"/>
            </w:tcBorders>
            <w:shd w:val="clear" w:color="auto" w:fill="auto"/>
            <w:noWrap/>
            <w:hideMark/>
          </w:tcPr>
          <w:p w14:paraId="3D29BCE4" w14:textId="77777777" w:rsidR="0044394F" w:rsidRPr="001F224B" w:rsidRDefault="0044394F" w:rsidP="0044394F">
            <w:pPr>
              <w:rPr>
                <w:color w:val="000000"/>
                <w:sz w:val="13"/>
                <w:szCs w:val="13"/>
                <w:lang w:val="en-US" w:eastAsia="en-US"/>
              </w:rPr>
            </w:pPr>
            <w:r w:rsidRPr="001F224B">
              <w:rPr>
                <w:sz w:val="13"/>
                <w:szCs w:val="13"/>
              </w:rPr>
              <w:t>2.2.2</w:t>
            </w:r>
          </w:p>
        </w:tc>
        <w:tc>
          <w:tcPr>
            <w:tcW w:w="3901" w:type="dxa"/>
            <w:tcBorders>
              <w:top w:val="nil"/>
              <w:left w:val="nil"/>
              <w:bottom w:val="nil"/>
              <w:right w:val="single" w:sz="2" w:space="0" w:color="auto"/>
            </w:tcBorders>
            <w:shd w:val="clear" w:color="auto" w:fill="auto"/>
            <w:noWrap/>
            <w:vAlign w:val="bottom"/>
            <w:hideMark/>
          </w:tcPr>
          <w:p w14:paraId="0540565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103DF7F8"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45E91D4" w14:textId="2AC4354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B0D365A" w14:textId="7018719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4EAE759" w14:textId="022FED6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32BA1434" w14:textId="77560E9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A5E4AF" w14:textId="04034C6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242E697" w14:textId="5DDDA1D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2C510C8" w14:textId="77777777" w:rsidTr="00315AF0">
        <w:trPr>
          <w:trHeight w:val="19"/>
        </w:trPr>
        <w:tc>
          <w:tcPr>
            <w:tcW w:w="579" w:type="dxa"/>
            <w:tcBorders>
              <w:top w:val="nil"/>
              <w:left w:val="single" w:sz="2" w:space="0" w:color="auto"/>
              <w:bottom w:val="nil"/>
              <w:right w:val="nil"/>
            </w:tcBorders>
            <w:shd w:val="clear" w:color="auto" w:fill="auto"/>
            <w:noWrap/>
            <w:hideMark/>
          </w:tcPr>
          <w:p w14:paraId="1E44F44E"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III.</w:t>
            </w:r>
          </w:p>
        </w:tc>
        <w:tc>
          <w:tcPr>
            <w:tcW w:w="3901" w:type="dxa"/>
            <w:tcBorders>
              <w:top w:val="nil"/>
              <w:left w:val="nil"/>
              <w:bottom w:val="nil"/>
              <w:right w:val="single" w:sz="2" w:space="0" w:color="auto"/>
            </w:tcBorders>
            <w:shd w:val="clear" w:color="auto" w:fill="auto"/>
            <w:noWrap/>
            <w:vAlign w:val="bottom"/>
            <w:hideMark/>
          </w:tcPr>
          <w:p w14:paraId="565D1E97" w14:textId="77777777" w:rsidR="0044394F" w:rsidRPr="001F224B" w:rsidRDefault="0044394F" w:rsidP="0044394F">
            <w:pPr>
              <w:ind w:left="-123"/>
              <w:rPr>
                <w:b/>
                <w:bCs/>
                <w:color w:val="000000"/>
                <w:sz w:val="13"/>
                <w:szCs w:val="13"/>
                <w:lang w:val="en-US" w:eastAsia="en-US"/>
              </w:rPr>
            </w:pPr>
            <w:r w:rsidRPr="001F224B">
              <w:rPr>
                <w:b/>
                <w:bCs/>
                <w:color w:val="000000"/>
                <w:sz w:val="13"/>
                <w:szCs w:val="13"/>
                <w:lang w:eastAsia="en-US"/>
              </w:rPr>
              <w:t xml:space="preserve">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4D6B60EB" w14:textId="77777777" w:rsidR="0044394F" w:rsidRPr="001F224B" w:rsidRDefault="0044394F" w:rsidP="0044394F">
            <w:pPr>
              <w:jc w:val="center"/>
              <w:rPr>
                <w:b/>
                <w:bCs/>
                <w:color w:val="000000"/>
                <w:sz w:val="13"/>
                <w:szCs w:val="13"/>
                <w:lang w:val="en-US" w:eastAsia="en-US"/>
              </w:rPr>
            </w:pPr>
            <w:r w:rsidRPr="001F224B">
              <w:rPr>
                <w:rFonts w:eastAsia="Arial Unicode MS"/>
                <w:b/>
                <w:bCs/>
                <w:color w:val="000000"/>
                <w:sz w:val="13"/>
                <w:szCs w:val="13"/>
                <w:lang w:eastAsia="en-US"/>
              </w:rPr>
              <w:t>(2) </w:t>
            </w:r>
          </w:p>
        </w:tc>
        <w:tc>
          <w:tcPr>
            <w:tcW w:w="868" w:type="dxa"/>
            <w:tcBorders>
              <w:top w:val="nil"/>
              <w:left w:val="single" w:sz="4" w:space="0" w:color="auto"/>
              <w:bottom w:val="nil"/>
              <w:right w:val="single" w:sz="4" w:space="0" w:color="auto"/>
            </w:tcBorders>
            <w:shd w:val="clear" w:color="auto" w:fill="auto"/>
            <w:noWrap/>
            <w:hideMark/>
          </w:tcPr>
          <w:p w14:paraId="2B71FDF3" w14:textId="1F63CA30"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7.821.470</w:t>
            </w:r>
          </w:p>
        </w:tc>
        <w:tc>
          <w:tcPr>
            <w:tcW w:w="868" w:type="dxa"/>
            <w:tcBorders>
              <w:top w:val="nil"/>
              <w:left w:val="nil"/>
              <w:bottom w:val="nil"/>
              <w:right w:val="single" w:sz="4" w:space="0" w:color="auto"/>
            </w:tcBorders>
            <w:shd w:val="clear" w:color="auto" w:fill="auto"/>
            <w:noWrap/>
            <w:hideMark/>
          </w:tcPr>
          <w:p w14:paraId="4F28204E" w14:textId="70ED2477"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14.939.512</w:t>
            </w:r>
          </w:p>
        </w:tc>
        <w:tc>
          <w:tcPr>
            <w:tcW w:w="869" w:type="dxa"/>
            <w:tcBorders>
              <w:top w:val="nil"/>
              <w:left w:val="nil"/>
              <w:bottom w:val="nil"/>
              <w:right w:val="single" w:sz="4" w:space="0" w:color="auto"/>
            </w:tcBorders>
            <w:shd w:val="clear" w:color="auto" w:fill="auto"/>
            <w:noWrap/>
            <w:hideMark/>
          </w:tcPr>
          <w:p w14:paraId="516C1FAF" w14:textId="1F921D15"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22.760.982</w:t>
            </w:r>
          </w:p>
        </w:tc>
        <w:tc>
          <w:tcPr>
            <w:tcW w:w="868" w:type="dxa"/>
            <w:tcBorders>
              <w:top w:val="nil"/>
              <w:left w:val="single" w:sz="4" w:space="0" w:color="auto"/>
              <w:bottom w:val="nil"/>
              <w:right w:val="single" w:sz="4" w:space="0" w:color="auto"/>
            </w:tcBorders>
            <w:shd w:val="clear" w:color="auto" w:fill="auto"/>
            <w:vAlign w:val="center"/>
          </w:tcPr>
          <w:p w14:paraId="3C086420" w14:textId="345A3E33" w:rsidR="0044394F" w:rsidRPr="001F224B" w:rsidRDefault="0044394F" w:rsidP="0044394F">
            <w:pPr>
              <w:jc w:val="right"/>
              <w:rPr>
                <w:b/>
                <w:bCs/>
                <w:sz w:val="13"/>
                <w:szCs w:val="13"/>
              </w:rPr>
            </w:pPr>
            <w:r w:rsidRPr="001F224B">
              <w:rPr>
                <w:b/>
                <w:bCs/>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28F5FA84" w14:textId="7A31ACB0" w:rsidR="0044394F" w:rsidRPr="001F224B" w:rsidRDefault="0044394F" w:rsidP="0044394F">
            <w:pPr>
              <w:jc w:val="right"/>
              <w:rPr>
                <w:b/>
                <w:bCs/>
                <w:sz w:val="13"/>
                <w:szCs w:val="13"/>
              </w:rPr>
            </w:pPr>
            <w:r w:rsidRPr="001F224B">
              <w:rPr>
                <w:b/>
                <w:bCs/>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7F985A17" w14:textId="3E46694F" w:rsidR="0044394F" w:rsidRPr="001F224B" w:rsidRDefault="0044394F" w:rsidP="0044394F">
            <w:pPr>
              <w:jc w:val="right"/>
              <w:rPr>
                <w:b/>
                <w:bCs/>
                <w:sz w:val="13"/>
                <w:szCs w:val="13"/>
              </w:rPr>
            </w:pPr>
            <w:r w:rsidRPr="001F224B">
              <w:rPr>
                <w:b/>
                <w:bCs/>
                <w:color w:val="000000"/>
                <w:sz w:val="13"/>
                <w:szCs w:val="13"/>
              </w:rPr>
              <w:t>18.731.169</w:t>
            </w:r>
          </w:p>
        </w:tc>
      </w:tr>
      <w:tr w:rsidR="0044394F" w:rsidRPr="001F224B" w14:paraId="511AA95E" w14:textId="77777777" w:rsidTr="00B805B3">
        <w:trPr>
          <w:trHeight w:val="19"/>
        </w:trPr>
        <w:tc>
          <w:tcPr>
            <w:tcW w:w="579" w:type="dxa"/>
            <w:tcBorders>
              <w:top w:val="nil"/>
              <w:left w:val="single" w:sz="2" w:space="0" w:color="auto"/>
              <w:bottom w:val="nil"/>
              <w:right w:val="nil"/>
            </w:tcBorders>
            <w:shd w:val="clear" w:color="auto" w:fill="auto"/>
            <w:noWrap/>
            <w:hideMark/>
          </w:tcPr>
          <w:p w14:paraId="2D2175D7" w14:textId="77777777" w:rsidR="0044394F" w:rsidRPr="001F224B" w:rsidRDefault="0044394F" w:rsidP="0044394F">
            <w:pPr>
              <w:rPr>
                <w:color w:val="000000"/>
                <w:sz w:val="13"/>
                <w:szCs w:val="13"/>
                <w:lang w:val="en-US" w:eastAsia="en-US"/>
              </w:rPr>
            </w:pPr>
            <w:r w:rsidRPr="001F224B">
              <w:rPr>
                <w:sz w:val="13"/>
                <w:szCs w:val="13"/>
              </w:rPr>
              <w:t>3.1</w:t>
            </w:r>
          </w:p>
        </w:tc>
        <w:tc>
          <w:tcPr>
            <w:tcW w:w="3901" w:type="dxa"/>
            <w:tcBorders>
              <w:top w:val="nil"/>
              <w:left w:val="nil"/>
              <w:bottom w:val="nil"/>
              <w:right w:val="single" w:sz="2" w:space="0" w:color="auto"/>
            </w:tcBorders>
            <w:shd w:val="clear" w:color="auto" w:fill="auto"/>
            <w:noWrap/>
            <w:vAlign w:val="bottom"/>
            <w:hideMark/>
          </w:tcPr>
          <w:p w14:paraId="77B280E2"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Riskten Korunma Amaçlı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16075EC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3CAE74F" w14:textId="15EE1A3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A188956" w14:textId="5F0CA9D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6A594E3B" w14:textId="67431EF7"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F1B0ACA" w14:textId="567F6FD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B79F406" w14:textId="1D1A41D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9361C6" w14:textId="00301A6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6774F8F" w14:textId="77777777" w:rsidTr="00B805B3">
        <w:trPr>
          <w:trHeight w:val="19"/>
        </w:trPr>
        <w:tc>
          <w:tcPr>
            <w:tcW w:w="579" w:type="dxa"/>
            <w:tcBorders>
              <w:top w:val="nil"/>
              <w:left w:val="single" w:sz="2" w:space="0" w:color="auto"/>
              <w:bottom w:val="nil"/>
              <w:right w:val="nil"/>
            </w:tcBorders>
            <w:shd w:val="clear" w:color="auto" w:fill="auto"/>
            <w:noWrap/>
            <w:hideMark/>
          </w:tcPr>
          <w:p w14:paraId="06E05D15" w14:textId="77777777" w:rsidR="0044394F" w:rsidRPr="001F224B" w:rsidRDefault="0044394F" w:rsidP="0044394F">
            <w:pPr>
              <w:rPr>
                <w:color w:val="000000"/>
                <w:sz w:val="13"/>
                <w:szCs w:val="13"/>
                <w:lang w:val="en-US" w:eastAsia="en-US"/>
              </w:rPr>
            </w:pPr>
            <w:r w:rsidRPr="001F224B">
              <w:rPr>
                <w:sz w:val="13"/>
                <w:szCs w:val="13"/>
              </w:rPr>
              <w:t>3.1.1</w:t>
            </w:r>
          </w:p>
        </w:tc>
        <w:tc>
          <w:tcPr>
            <w:tcW w:w="3901" w:type="dxa"/>
            <w:tcBorders>
              <w:top w:val="nil"/>
              <w:left w:val="nil"/>
              <w:bottom w:val="nil"/>
              <w:right w:val="single" w:sz="2" w:space="0" w:color="auto"/>
            </w:tcBorders>
            <w:shd w:val="clear" w:color="auto" w:fill="auto"/>
            <w:noWrap/>
            <w:vAlign w:val="bottom"/>
            <w:hideMark/>
          </w:tcPr>
          <w:p w14:paraId="685FB19D"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Gerçeğe Uygun Değer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3A2DBCB6"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7AD6272" w14:textId="66CF5F3C"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1A6581A" w14:textId="64997DE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58EA920" w14:textId="70C26696"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CFAF5A2" w14:textId="10A314D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2AE2CDB" w14:textId="2600556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FBA1B3" w14:textId="37457EB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86FBD18" w14:textId="77777777" w:rsidTr="00B805B3">
        <w:trPr>
          <w:trHeight w:val="19"/>
        </w:trPr>
        <w:tc>
          <w:tcPr>
            <w:tcW w:w="579" w:type="dxa"/>
            <w:tcBorders>
              <w:top w:val="nil"/>
              <w:left w:val="single" w:sz="2" w:space="0" w:color="auto"/>
              <w:bottom w:val="nil"/>
              <w:right w:val="nil"/>
            </w:tcBorders>
            <w:shd w:val="clear" w:color="auto" w:fill="auto"/>
            <w:noWrap/>
            <w:hideMark/>
          </w:tcPr>
          <w:p w14:paraId="7A33DA6A" w14:textId="77777777" w:rsidR="0044394F" w:rsidRPr="001F224B" w:rsidRDefault="0044394F" w:rsidP="0044394F">
            <w:pPr>
              <w:rPr>
                <w:color w:val="000000"/>
                <w:sz w:val="13"/>
                <w:szCs w:val="13"/>
                <w:lang w:val="en-US" w:eastAsia="en-US"/>
              </w:rPr>
            </w:pPr>
            <w:r w:rsidRPr="001F224B">
              <w:rPr>
                <w:sz w:val="13"/>
                <w:szCs w:val="13"/>
              </w:rPr>
              <w:t>3.1.2</w:t>
            </w:r>
          </w:p>
        </w:tc>
        <w:tc>
          <w:tcPr>
            <w:tcW w:w="3901" w:type="dxa"/>
            <w:tcBorders>
              <w:top w:val="nil"/>
              <w:left w:val="nil"/>
              <w:bottom w:val="nil"/>
              <w:right w:val="single" w:sz="2" w:space="0" w:color="auto"/>
            </w:tcBorders>
            <w:shd w:val="clear" w:color="auto" w:fill="auto"/>
            <w:noWrap/>
            <w:vAlign w:val="bottom"/>
            <w:hideMark/>
          </w:tcPr>
          <w:p w14:paraId="324F20ED"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Nakit Akış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20AEE6DC"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0DB59B0" w14:textId="63E5DD1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A0CB7FD" w14:textId="6FEECF6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44FB32E9" w14:textId="7CD732B3"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3DCF1DA" w14:textId="251CA0D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E3736E5" w14:textId="588656B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741F564" w14:textId="3A2A5DD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07B5E56" w14:textId="77777777" w:rsidTr="00B805B3">
        <w:trPr>
          <w:trHeight w:val="19"/>
        </w:trPr>
        <w:tc>
          <w:tcPr>
            <w:tcW w:w="579" w:type="dxa"/>
            <w:tcBorders>
              <w:top w:val="nil"/>
              <w:left w:val="single" w:sz="2" w:space="0" w:color="auto"/>
              <w:bottom w:val="nil"/>
              <w:right w:val="nil"/>
            </w:tcBorders>
            <w:shd w:val="clear" w:color="auto" w:fill="auto"/>
            <w:noWrap/>
            <w:hideMark/>
          </w:tcPr>
          <w:p w14:paraId="61B60B4C" w14:textId="77777777" w:rsidR="0044394F" w:rsidRPr="001F224B" w:rsidRDefault="0044394F" w:rsidP="0044394F">
            <w:pPr>
              <w:rPr>
                <w:color w:val="000000"/>
                <w:sz w:val="13"/>
                <w:szCs w:val="13"/>
                <w:lang w:val="en-US" w:eastAsia="en-US"/>
              </w:rPr>
            </w:pPr>
            <w:r w:rsidRPr="001F224B">
              <w:rPr>
                <w:sz w:val="13"/>
                <w:szCs w:val="13"/>
              </w:rPr>
              <w:t>3.1.3</w:t>
            </w:r>
          </w:p>
        </w:tc>
        <w:tc>
          <w:tcPr>
            <w:tcW w:w="3901" w:type="dxa"/>
            <w:tcBorders>
              <w:top w:val="nil"/>
              <w:left w:val="nil"/>
              <w:bottom w:val="nil"/>
              <w:right w:val="single" w:sz="2" w:space="0" w:color="auto"/>
            </w:tcBorders>
            <w:shd w:val="clear" w:color="auto" w:fill="auto"/>
            <w:noWrap/>
            <w:vAlign w:val="bottom"/>
            <w:hideMark/>
          </w:tcPr>
          <w:p w14:paraId="1FDC4AB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Yurtdışındaki Net Yatırım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12A00E0"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3708165" w14:textId="1632616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E20C860" w14:textId="42DDAFE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AB3C5B2" w14:textId="4C9F6F8E"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DB407B2" w14:textId="24FEDD9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E97FCD3" w14:textId="4E7A8E3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7CAF73B" w14:textId="424344D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5F72735" w14:textId="77777777" w:rsidTr="00315AF0">
        <w:trPr>
          <w:trHeight w:val="19"/>
        </w:trPr>
        <w:tc>
          <w:tcPr>
            <w:tcW w:w="579" w:type="dxa"/>
            <w:tcBorders>
              <w:top w:val="nil"/>
              <w:left w:val="single" w:sz="2" w:space="0" w:color="auto"/>
              <w:bottom w:val="nil"/>
              <w:right w:val="nil"/>
            </w:tcBorders>
            <w:shd w:val="clear" w:color="auto" w:fill="auto"/>
            <w:noWrap/>
            <w:hideMark/>
          </w:tcPr>
          <w:p w14:paraId="27DEE328" w14:textId="77777777" w:rsidR="0044394F" w:rsidRPr="001F224B" w:rsidRDefault="0044394F" w:rsidP="0044394F">
            <w:pPr>
              <w:rPr>
                <w:color w:val="000000"/>
                <w:sz w:val="13"/>
                <w:szCs w:val="13"/>
                <w:lang w:val="en-US" w:eastAsia="en-US"/>
              </w:rPr>
            </w:pPr>
            <w:r w:rsidRPr="001F224B">
              <w:rPr>
                <w:sz w:val="13"/>
                <w:szCs w:val="13"/>
              </w:rPr>
              <w:t>3.2</w:t>
            </w:r>
          </w:p>
        </w:tc>
        <w:tc>
          <w:tcPr>
            <w:tcW w:w="3901" w:type="dxa"/>
            <w:tcBorders>
              <w:top w:val="nil"/>
              <w:left w:val="nil"/>
              <w:bottom w:val="nil"/>
              <w:right w:val="single" w:sz="2" w:space="0" w:color="auto"/>
            </w:tcBorders>
            <w:shd w:val="clear" w:color="auto" w:fill="auto"/>
            <w:noWrap/>
            <w:vAlign w:val="bottom"/>
            <w:hideMark/>
          </w:tcPr>
          <w:p w14:paraId="2CBD4E2C"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Alım Satım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756CC340"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88B6336" w14:textId="39504B5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7.821.470</w:t>
            </w:r>
          </w:p>
        </w:tc>
        <w:tc>
          <w:tcPr>
            <w:tcW w:w="868" w:type="dxa"/>
            <w:tcBorders>
              <w:top w:val="nil"/>
              <w:left w:val="nil"/>
              <w:bottom w:val="nil"/>
              <w:right w:val="single" w:sz="4" w:space="0" w:color="auto"/>
            </w:tcBorders>
            <w:shd w:val="clear" w:color="auto" w:fill="auto"/>
            <w:noWrap/>
            <w:hideMark/>
          </w:tcPr>
          <w:p w14:paraId="4669FD49" w14:textId="73400BC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14.939.512</w:t>
            </w:r>
          </w:p>
        </w:tc>
        <w:tc>
          <w:tcPr>
            <w:tcW w:w="869" w:type="dxa"/>
            <w:tcBorders>
              <w:top w:val="nil"/>
              <w:left w:val="nil"/>
              <w:bottom w:val="nil"/>
              <w:right w:val="single" w:sz="4" w:space="0" w:color="auto"/>
            </w:tcBorders>
            <w:shd w:val="clear" w:color="auto" w:fill="auto"/>
            <w:noWrap/>
            <w:hideMark/>
          </w:tcPr>
          <w:p w14:paraId="6B26BE39" w14:textId="7D0357F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22.760.982</w:t>
            </w:r>
          </w:p>
        </w:tc>
        <w:tc>
          <w:tcPr>
            <w:tcW w:w="868" w:type="dxa"/>
            <w:tcBorders>
              <w:top w:val="nil"/>
              <w:left w:val="single" w:sz="4" w:space="0" w:color="auto"/>
              <w:bottom w:val="nil"/>
              <w:right w:val="single" w:sz="4" w:space="0" w:color="auto"/>
            </w:tcBorders>
            <w:shd w:val="clear" w:color="auto" w:fill="auto"/>
            <w:vAlign w:val="center"/>
          </w:tcPr>
          <w:p w14:paraId="485C6F57" w14:textId="33FBD9F6" w:rsidR="0044394F" w:rsidRPr="001F224B" w:rsidRDefault="0044394F" w:rsidP="0044394F">
            <w:pPr>
              <w:jc w:val="right"/>
              <w:rPr>
                <w:sz w:val="13"/>
                <w:szCs w:val="13"/>
              </w:rPr>
            </w:pPr>
            <w:r w:rsidRPr="001F224B">
              <w:rPr>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1D284655" w14:textId="0285F2D9" w:rsidR="0044394F" w:rsidRPr="001F224B" w:rsidRDefault="0044394F" w:rsidP="0044394F">
            <w:pPr>
              <w:jc w:val="right"/>
              <w:rPr>
                <w:sz w:val="13"/>
                <w:szCs w:val="13"/>
              </w:rPr>
            </w:pPr>
            <w:r w:rsidRPr="001F224B">
              <w:rPr>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2D1EE9AC" w14:textId="1AF9216A" w:rsidR="0044394F" w:rsidRPr="001F224B" w:rsidRDefault="0044394F" w:rsidP="0044394F">
            <w:pPr>
              <w:jc w:val="right"/>
              <w:rPr>
                <w:sz w:val="13"/>
                <w:szCs w:val="13"/>
              </w:rPr>
            </w:pPr>
            <w:r w:rsidRPr="001F224B">
              <w:rPr>
                <w:color w:val="000000"/>
                <w:sz w:val="13"/>
                <w:szCs w:val="13"/>
              </w:rPr>
              <w:t>18.731.169</w:t>
            </w:r>
          </w:p>
        </w:tc>
      </w:tr>
      <w:tr w:rsidR="0044394F" w:rsidRPr="001F224B" w14:paraId="0582BE6A" w14:textId="77777777" w:rsidTr="00EB1C95">
        <w:trPr>
          <w:trHeight w:val="19"/>
        </w:trPr>
        <w:tc>
          <w:tcPr>
            <w:tcW w:w="579" w:type="dxa"/>
            <w:tcBorders>
              <w:top w:val="nil"/>
              <w:left w:val="single" w:sz="2" w:space="0" w:color="auto"/>
              <w:bottom w:val="nil"/>
              <w:right w:val="nil"/>
            </w:tcBorders>
            <w:shd w:val="clear" w:color="auto" w:fill="auto"/>
            <w:noWrap/>
            <w:hideMark/>
          </w:tcPr>
          <w:p w14:paraId="45A7C6D0" w14:textId="77777777" w:rsidR="0044394F" w:rsidRPr="001F224B" w:rsidRDefault="0044394F" w:rsidP="0044394F">
            <w:pPr>
              <w:rPr>
                <w:color w:val="000000"/>
                <w:sz w:val="13"/>
                <w:szCs w:val="13"/>
                <w:lang w:val="en-US" w:eastAsia="en-US"/>
              </w:rPr>
            </w:pPr>
            <w:r w:rsidRPr="001F224B">
              <w:rPr>
                <w:sz w:val="13"/>
                <w:szCs w:val="13"/>
              </w:rPr>
              <w:t>3.2.1</w:t>
            </w:r>
          </w:p>
        </w:tc>
        <w:tc>
          <w:tcPr>
            <w:tcW w:w="3901" w:type="dxa"/>
            <w:tcBorders>
              <w:top w:val="nil"/>
              <w:left w:val="nil"/>
              <w:bottom w:val="nil"/>
              <w:right w:val="single" w:sz="2" w:space="0" w:color="auto"/>
            </w:tcBorders>
            <w:shd w:val="clear" w:color="auto" w:fill="auto"/>
            <w:noWrap/>
            <w:vAlign w:val="bottom"/>
            <w:hideMark/>
          </w:tcPr>
          <w:p w14:paraId="5082F9FF"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Vadeli Döviz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BBD7CB5"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F661A20" w14:textId="5D29E91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4B050674" w14:textId="3BB8982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hideMark/>
          </w:tcPr>
          <w:p w14:paraId="1AD57F43" w14:textId="512DBE0E"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B7FEF21" w14:textId="6EC9E6C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6058AE5" w14:textId="729F30F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DAE5F16" w14:textId="6470518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0B8DAF8" w14:textId="77777777" w:rsidTr="00EB1C95">
        <w:trPr>
          <w:trHeight w:val="19"/>
        </w:trPr>
        <w:tc>
          <w:tcPr>
            <w:tcW w:w="579" w:type="dxa"/>
            <w:tcBorders>
              <w:top w:val="nil"/>
              <w:left w:val="single" w:sz="2" w:space="0" w:color="auto"/>
              <w:bottom w:val="nil"/>
              <w:right w:val="nil"/>
            </w:tcBorders>
            <w:shd w:val="clear" w:color="auto" w:fill="auto"/>
            <w:noWrap/>
            <w:hideMark/>
          </w:tcPr>
          <w:p w14:paraId="03CF9FCF" w14:textId="77777777" w:rsidR="0044394F" w:rsidRPr="001F224B" w:rsidRDefault="0044394F" w:rsidP="0044394F">
            <w:pPr>
              <w:rPr>
                <w:color w:val="000000"/>
                <w:sz w:val="13"/>
                <w:szCs w:val="13"/>
                <w:lang w:val="en-US" w:eastAsia="en-US"/>
              </w:rPr>
            </w:pPr>
            <w:r w:rsidRPr="001F224B">
              <w:rPr>
                <w:sz w:val="13"/>
                <w:szCs w:val="13"/>
              </w:rPr>
              <w:t>3.2.1.1</w:t>
            </w:r>
          </w:p>
        </w:tc>
        <w:tc>
          <w:tcPr>
            <w:tcW w:w="3901" w:type="dxa"/>
            <w:tcBorders>
              <w:top w:val="nil"/>
              <w:left w:val="nil"/>
              <w:bottom w:val="nil"/>
              <w:right w:val="single" w:sz="2" w:space="0" w:color="auto"/>
            </w:tcBorders>
            <w:shd w:val="clear" w:color="auto" w:fill="auto"/>
            <w:noWrap/>
            <w:vAlign w:val="bottom"/>
            <w:hideMark/>
          </w:tcPr>
          <w:p w14:paraId="4F327D9F"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Vadeli Döviz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F0A2A28"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40021DD" w14:textId="6B0B15A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341FF341" w14:textId="053323D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hideMark/>
          </w:tcPr>
          <w:p w14:paraId="48C3C188" w14:textId="3C28831F"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8E44BBC" w14:textId="37782D10"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93A3029" w14:textId="1865A2E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856459A" w14:textId="2A945E0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6D46558" w14:textId="77777777" w:rsidTr="00EB1C95">
        <w:trPr>
          <w:trHeight w:val="19"/>
        </w:trPr>
        <w:tc>
          <w:tcPr>
            <w:tcW w:w="579" w:type="dxa"/>
            <w:tcBorders>
              <w:top w:val="nil"/>
              <w:left w:val="single" w:sz="2" w:space="0" w:color="auto"/>
              <w:bottom w:val="nil"/>
              <w:right w:val="nil"/>
            </w:tcBorders>
            <w:shd w:val="clear" w:color="auto" w:fill="auto"/>
            <w:noWrap/>
            <w:hideMark/>
          </w:tcPr>
          <w:p w14:paraId="0EB53483" w14:textId="77777777" w:rsidR="0044394F" w:rsidRPr="001F224B" w:rsidRDefault="0044394F" w:rsidP="0044394F">
            <w:pPr>
              <w:rPr>
                <w:color w:val="000000"/>
                <w:sz w:val="13"/>
                <w:szCs w:val="13"/>
                <w:lang w:val="en-US" w:eastAsia="en-US"/>
              </w:rPr>
            </w:pPr>
            <w:r w:rsidRPr="001F224B">
              <w:rPr>
                <w:sz w:val="13"/>
                <w:szCs w:val="13"/>
              </w:rPr>
              <w:t>3.2.1.2</w:t>
            </w:r>
          </w:p>
        </w:tc>
        <w:tc>
          <w:tcPr>
            <w:tcW w:w="3901" w:type="dxa"/>
            <w:tcBorders>
              <w:top w:val="nil"/>
              <w:left w:val="nil"/>
              <w:bottom w:val="nil"/>
              <w:right w:val="single" w:sz="2" w:space="0" w:color="auto"/>
            </w:tcBorders>
            <w:shd w:val="clear" w:color="auto" w:fill="auto"/>
            <w:noWrap/>
            <w:vAlign w:val="bottom"/>
            <w:hideMark/>
          </w:tcPr>
          <w:p w14:paraId="58AC45F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Vadeli Döviz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4047C9A"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B2D0D6B" w14:textId="6BF9878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2A6883CF" w14:textId="2756BF5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hideMark/>
          </w:tcPr>
          <w:p w14:paraId="0695700C" w14:textId="407AAE58"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DF839A7" w14:textId="0824619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6C88579" w14:textId="76C0B9C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5B54992" w14:textId="7244C6B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B11B4AB" w14:textId="77777777" w:rsidTr="00315AF0">
        <w:trPr>
          <w:trHeight w:val="19"/>
        </w:trPr>
        <w:tc>
          <w:tcPr>
            <w:tcW w:w="579" w:type="dxa"/>
            <w:tcBorders>
              <w:top w:val="nil"/>
              <w:left w:val="single" w:sz="2" w:space="0" w:color="auto"/>
              <w:bottom w:val="nil"/>
              <w:right w:val="nil"/>
            </w:tcBorders>
            <w:shd w:val="clear" w:color="auto" w:fill="auto"/>
            <w:noWrap/>
            <w:hideMark/>
          </w:tcPr>
          <w:p w14:paraId="5D40ABD2" w14:textId="77777777" w:rsidR="0044394F" w:rsidRPr="001F224B" w:rsidRDefault="0044394F" w:rsidP="0044394F">
            <w:pPr>
              <w:rPr>
                <w:color w:val="000000"/>
                <w:sz w:val="13"/>
                <w:szCs w:val="13"/>
                <w:lang w:val="en-US" w:eastAsia="en-US"/>
              </w:rPr>
            </w:pPr>
            <w:r w:rsidRPr="001F224B">
              <w:rPr>
                <w:sz w:val="13"/>
                <w:szCs w:val="13"/>
              </w:rPr>
              <w:t>3.2.2</w:t>
            </w:r>
          </w:p>
        </w:tc>
        <w:tc>
          <w:tcPr>
            <w:tcW w:w="3901" w:type="dxa"/>
            <w:tcBorders>
              <w:top w:val="nil"/>
              <w:left w:val="nil"/>
              <w:bottom w:val="nil"/>
              <w:right w:val="single" w:sz="2" w:space="0" w:color="auto"/>
            </w:tcBorders>
            <w:shd w:val="clear" w:color="auto" w:fill="auto"/>
            <w:noWrap/>
            <w:vAlign w:val="bottom"/>
            <w:hideMark/>
          </w:tcPr>
          <w:p w14:paraId="150C82BD"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Para ve Faiz Swap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C005245"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360F117" w14:textId="57100AB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7.821.470</w:t>
            </w:r>
          </w:p>
        </w:tc>
        <w:tc>
          <w:tcPr>
            <w:tcW w:w="868" w:type="dxa"/>
            <w:tcBorders>
              <w:top w:val="nil"/>
              <w:left w:val="nil"/>
              <w:bottom w:val="nil"/>
              <w:right w:val="single" w:sz="4" w:space="0" w:color="auto"/>
            </w:tcBorders>
            <w:shd w:val="clear" w:color="auto" w:fill="auto"/>
            <w:noWrap/>
            <w:hideMark/>
          </w:tcPr>
          <w:p w14:paraId="490DD8E5" w14:textId="4100DA5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14.939.512</w:t>
            </w:r>
          </w:p>
        </w:tc>
        <w:tc>
          <w:tcPr>
            <w:tcW w:w="869" w:type="dxa"/>
            <w:tcBorders>
              <w:top w:val="nil"/>
              <w:left w:val="nil"/>
              <w:bottom w:val="nil"/>
              <w:right w:val="single" w:sz="4" w:space="0" w:color="auto"/>
            </w:tcBorders>
            <w:shd w:val="clear" w:color="auto" w:fill="auto"/>
            <w:noWrap/>
            <w:hideMark/>
          </w:tcPr>
          <w:p w14:paraId="3346A55B" w14:textId="43749FB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22.760.982</w:t>
            </w:r>
          </w:p>
        </w:tc>
        <w:tc>
          <w:tcPr>
            <w:tcW w:w="868" w:type="dxa"/>
            <w:tcBorders>
              <w:top w:val="nil"/>
              <w:left w:val="single" w:sz="4" w:space="0" w:color="auto"/>
              <w:bottom w:val="nil"/>
              <w:right w:val="single" w:sz="4" w:space="0" w:color="auto"/>
            </w:tcBorders>
            <w:shd w:val="clear" w:color="auto" w:fill="auto"/>
            <w:vAlign w:val="center"/>
          </w:tcPr>
          <w:p w14:paraId="38425792" w14:textId="32F74748" w:rsidR="0044394F" w:rsidRPr="001F224B" w:rsidRDefault="0044394F" w:rsidP="0044394F">
            <w:pPr>
              <w:jc w:val="right"/>
              <w:rPr>
                <w:sz w:val="13"/>
                <w:szCs w:val="13"/>
              </w:rPr>
            </w:pPr>
            <w:r w:rsidRPr="001F224B">
              <w:rPr>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642648C4" w14:textId="01731F7A" w:rsidR="0044394F" w:rsidRPr="001F224B" w:rsidRDefault="0044394F" w:rsidP="0044394F">
            <w:pPr>
              <w:jc w:val="right"/>
              <w:rPr>
                <w:sz w:val="13"/>
                <w:szCs w:val="13"/>
              </w:rPr>
            </w:pPr>
            <w:r w:rsidRPr="001F224B">
              <w:rPr>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2BC2610B" w14:textId="50B2CCC2" w:rsidR="0044394F" w:rsidRPr="001F224B" w:rsidRDefault="0044394F" w:rsidP="0044394F">
            <w:pPr>
              <w:jc w:val="right"/>
              <w:rPr>
                <w:sz w:val="13"/>
                <w:szCs w:val="13"/>
              </w:rPr>
            </w:pPr>
            <w:r w:rsidRPr="001F224B">
              <w:rPr>
                <w:color w:val="000000"/>
                <w:sz w:val="13"/>
                <w:szCs w:val="13"/>
              </w:rPr>
              <w:t>18.731.169</w:t>
            </w:r>
          </w:p>
        </w:tc>
      </w:tr>
      <w:tr w:rsidR="0044394F" w:rsidRPr="001F224B" w14:paraId="755BFAF0" w14:textId="77777777" w:rsidTr="00315AF0">
        <w:trPr>
          <w:trHeight w:val="19"/>
        </w:trPr>
        <w:tc>
          <w:tcPr>
            <w:tcW w:w="579" w:type="dxa"/>
            <w:tcBorders>
              <w:top w:val="nil"/>
              <w:left w:val="single" w:sz="2" w:space="0" w:color="auto"/>
              <w:bottom w:val="nil"/>
              <w:right w:val="nil"/>
            </w:tcBorders>
            <w:shd w:val="clear" w:color="auto" w:fill="auto"/>
            <w:noWrap/>
            <w:hideMark/>
          </w:tcPr>
          <w:p w14:paraId="514CDD83" w14:textId="77777777" w:rsidR="0044394F" w:rsidRPr="001F224B" w:rsidRDefault="0044394F" w:rsidP="0044394F">
            <w:pPr>
              <w:rPr>
                <w:color w:val="000000"/>
                <w:sz w:val="13"/>
                <w:szCs w:val="13"/>
                <w:lang w:val="en-US" w:eastAsia="en-US"/>
              </w:rPr>
            </w:pPr>
            <w:r w:rsidRPr="001F224B">
              <w:rPr>
                <w:sz w:val="13"/>
                <w:szCs w:val="13"/>
              </w:rPr>
              <w:t>3.2.2.1</w:t>
            </w:r>
          </w:p>
        </w:tc>
        <w:tc>
          <w:tcPr>
            <w:tcW w:w="3901" w:type="dxa"/>
            <w:tcBorders>
              <w:top w:val="nil"/>
              <w:left w:val="nil"/>
              <w:bottom w:val="nil"/>
              <w:right w:val="single" w:sz="2" w:space="0" w:color="auto"/>
            </w:tcBorders>
            <w:shd w:val="clear" w:color="auto" w:fill="auto"/>
            <w:noWrap/>
            <w:vAlign w:val="bottom"/>
            <w:hideMark/>
          </w:tcPr>
          <w:p w14:paraId="0CDAB8D2"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Swap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3DF0F5AE"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00DE030" w14:textId="06BB526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2.322.525</w:t>
            </w:r>
          </w:p>
        </w:tc>
        <w:tc>
          <w:tcPr>
            <w:tcW w:w="868" w:type="dxa"/>
            <w:tcBorders>
              <w:top w:val="nil"/>
              <w:left w:val="nil"/>
              <w:bottom w:val="nil"/>
              <w:right w:val="single" w:sz="4" w:space="0" w:color="auto"/>
            </w:tcBorders>
            <w:shd w:val="clear" w:color="auto" w:fill="auto"/>
            <w:noWrap/>
            <w:hideMark/>
          </w:tcPr>
          <w:p w14:paraId="0F5E7253" w14:textId="56BFB83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9.047.295</w:t>
            </w:r>
          </w:p>
        </w:tc>
        <w:tc>
          <w:tcPr>
            <w:tcW w:w="869" w:type="dxa"/>
            <w:tcBorders>
              <w:top w:val="nil"/>
              <w:left w:val="nil"/>
              <w:bottom w:val="nil"/>
              <w:right w:val="single" w:sz="4" w:space="0" w:color="auto"/>
            </w:tcBorders>
            <w:shd w:val="clear" w:color="auto" w:fill="auto"/>
            <w:noWrap/>
            <w:hideMark/>
          </w:tcPr>
          <w:p w14:paraId="3554884F" w14:textId="2D1C339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11.369.820</w:t>
            </w:r>
          </w:p>
        </w:tc>
        <w:tc>
          <w:tcPr>
            <w:tcW w:w="868" w:type="dxa"/>
            <w:tcBorders>
              <w:top w:val="nil"/>
              <w:left w:val="single" w:sz="4" w:space="0" w:color="auto"/>
              <w:bottom w:val="nil"/>
              <w:right w:val="single" w:sz="4" w:space="0" w:color="auto"/>
            </w:tcBorders>
            <w:shd w:val="clear" w:color="auto" w:fill="auto"/>
            <w:vAlign w:val="center"/>
          </w:tcPr>
          <w:p w14:paraId="06FE1459" w14:textId="41F56D22" w:rsidR="0044394F" w:rsidRPr="001F224B" w:rsidRDefault="0044394F" w:rsidP="0044394F">
            <w:pPr>
              <w:jc w:val="right"/>
              <w:rPr>
                <w:sz w:val="13"/>
                <w:szCs w:val="13"/>
              </w:rPr>
            </w:pPr>
            <w:r w:rsidRPr="001F224B">
              <w:rPr>
                <w:color w:val="000000"/>
                <w:sz w:val="13"/>
                <w:szCs w:val="13"/>
              </w:rPr>
              <w:t>2.307.407</w:t>
            </w:r>
          </w:p>
        </w:tc>
        <w:tc>
          <w:tcPr>
            <w:tcW w:w="868" w:type="dxa"/>
            <w:tcBorders>
              <w:top w:val="nil"/>
              <w:left w:val="nil"/>
              <w:bottom w:val="nil"/>
              <w:right w:val="single" w:sz="4" w:space="0" w:color="auto"/>
            </w:tcBorders>
            <w:shd w:val="clear" w:color="auto" w:fill="auto"/>
            <w:vAlign w:val="center"/>
          </w:tcPr>
          <w:p w14:paraId="5C5F3F0C" w14:textId="6A7C93C7" w:rsidR="0044394F" w:rsidRPr="001F224B" w:rsidRDefault="0044394F" w:rsidP="0044394F">
            <w:pPr>
              <w:jc w:val="right"/>
              <w:rPr>
                <w:sz w:val="13"/>
                <w:szCs w:val="13"/>
              </w:rPr>
            </w:pPr>
            <w:r w:rsidRPr="001F224B">
              <w:rPr>
                <w:color w:val="000000"/>
                <w:sz w:val="13"/>
                <w:szCs w:val="13"/>
              </w:rPr>
              <w:t>7.105.124</w:t>
            </w:r>
          </w:p>
        </w:tc>
        <w:tc>
          <w:tcPr>
            <w:tcW w:w="869" w:type="dxa"/>
            <w:tcBorders>
              <w:top w:val="nil"/>
              <w:left w:val="nil"/>
              <w:bottom w:val="nil"/>
              <w:right w:val="single" w:sz="2" w:space="0" w:color="auto"/>
            </w:tcBorders>
            <w:shd w:val="clear" w:color="auto" w:fill="auto"/>
            <w:vAlign w:val="center"/>
          </w:tcPr>
          <w:p w14:paraId="4D028959" w14:textId="15111BBE" w:rsidR="0044394F" w:rsidRPr="001F224B" w:rsidRDefault="0044394F" w:rsidP="0044394F">
            <w:pPr>
              <w:jc w:val="right"/>
              <w:rPr>
                <w:sz w:val="13"/>
                <w:szCs w:val="13"/>
              </w:rPr>
            </w:pPr>
            <w:r w:rsidRPr="001F224B">
              <w:rPr>
                <w:color w:val="000000"/>
                <w:sz w:val="13"/>
                <w:szCs w:val="13"/>
              </w:rPr>
              <w:t>9.412.531</w:t>
            </w:r>
          </w:p>
        </w:tc>
      </w:tr>
      <w:tr w:rsidR="0044394F" w:rsidRPr="001F224B" w14:paraId="32024928" w14:textId="77777777" w:rsidTr="00315AF0">
        <w:trPr>
          <w:trHeight w:val="19"/>
        </w:trPr>
        <w:tc>
          <w:tcPr>
            <w:tcW w:w="579" w:type="dxa"/>
            <w:tcBorders>
              <w:top w:val="nil"/>
              <w:left w:val="single" w:sz="2" w:space="0" w:color="auto"/>
              <w:bottom w:val="nil"/>
              <w:right w:val="nil"/>
            </w:tcBorders>
            <w:shd w:val="clear" w:color="auto" w:fill="auto"/>
            <w:noWrap/>
            <w:hideMark/>
          </w:tcPr>
          <w:p w14:paraId="64B6C0B2" w14:textId="77777777" w:rsidR="0044394F" w:rsidRPr="001F224B" w:rsidRDefault="0044394F" w:rsidP="0044394F">
            <w:pPr>
              <w:rPr>
                <w:color w:val="000000"/>
                <w:sz w:val="13"/>
                <w:szCs w:val="13"/>
                <w:lang w:val="en-US" w:eastAsia="en-US"/>
              </w:rPr>
            </w:pPr>
            <w:r w:rsidRPr="001F224B">
              <w:rPr>
                <w:sz w:val="13"/>
                <w:szCs w:val="13"/>
              </w:rPr>
              <w:t>3.2.2.2</w:t>
            </w:r>
          </w:p>
        </w:tc>
        <w:tc>
          <w:tcPr>
            <w:tcW w:w="3901" w:type="dxa"/>
            <w:tcBorders>
              <w:top w:val="nil"/>
              <w:left w:val="nil"/>
              <w:bottom w:val="nil"/>
              <w:right w:val="single" w:sz="2" w:space="0" w:color="auto"/>
            </w:tcBorders>
            <w:shd w:val="clear" w:color="auto" w:fill="auto"/>
            <w:noWrap/>
            <w:vAlign w:val="bottom"/>
            <w:hideMark/>
          </w:tcPr>
          <w:p w14:paraId="520B6213"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Swap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9BE64F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8335CEC" w14:textId="07D779F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5.498.945</w:t>
            </w:r>
          </w:p>
        </w:tc>
        <w:tc>
          <w:tcPr>
            <w:tcW w:w="868" w:type="dxa"/>
            <w:tcBorders>
              <w:top w:val="nil"/>
              <w:left w:val="nil"/>
              <w:bottom w:val="nil"/>
              <w:right w:val="single" w:sz="4" w:space="0" w:color="auto"/>
            </w:tcBorders>
            <w:shd w:val="clear" w:color="auto" w:fill="auto"/>
            <w:noWrap/>
            <w:hideMark/>
          </w:tcPr>
          <w:p w14:paraId="2580AEBD" w14:textId="6DE3286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5.892.217</w:t>
            </w:r>
          </w:p>
        </w:tc>
        <w:tc>
          <w:tcPr>
            <w:tcW w:w="869" w:type="dxa"/>
            <w:tcBorders>
              <w:top w:val="nil"/>
              <w:left w:val="nil"/>
              <w:bottom w:val="nil"/>
              <w:right w:val="single" w:sz="4" w:space="0" w:color="auto"/>
            </w:tcBorders>
            <w:shd w:val="clear" w:color="auto" w:fill="auto"/>
            <w:noWrap/>
            <w:hideMark/>
          </w:tcPr>
          <w:p w14:paraId="54BC5CCE" w14:textId="69916C7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11.391.162</w:t>
            </w:r>
          </w:p>
        </w:tc>
        <w:tc>
          <w:tcPr>
            <w:tcW w:w="868" w:type="dxa"/>
            <w:tcBorders>
              <w:top w:val="nil"/>
              <w:left w:val="single" w:sz="4" w:space="0" w:color="auto"/>
              <w:bottom w:val="nil"/>
              <w:right w:val="single" w:sz="4" w:space="0" w:color="auto"/>
            </w:tcBorders>
            <w:shd w:val="clear" w:color="auto" w:fill="auto"/>
            <w:vAlign w:val="center"/>
          </w:tcPr>
          <w:p w14:paraId="59412400" w14:textId="6A2D3ECD" w:rsidR="0044394F" w:rsidRPr="001F224B" w:rsidRDefault="0044394F" w:rsidP="0044394F">
            <w:pPr>
              <w:jc w:val="right"/>
              <w:rPr>
                <w:sz w:val="13"/>
                <w:szCs w:val="13"/>
              </w:rPr>
            </w:pPr>
            <w:r w:rsidRPr="001F224B">
              <w:rPr>
                <w:color w:val="000000"/>
                <w:sz w:val="13"/>
                <w:szCs w:val="13"/>
              </w:rPr>
              <w:t>4.259.259</w:t>
            </w:r>
          </w:p>
        </w:tc>
        <w:tc>
          <w:tcPr>
            <w:tcW w:w="868" w:type="dxa"/>
            <w:tcBorders>
              <w:top w:val="nil"/>
              <w:left w:val="nil"/>
              <w:bottom w:val="nil"/>
              <w:right w:val="single" w:sz="4" w:space="0" w:color="auto"/>
            </w:tcBorders>
            <w:shd w:val="clear" w:color="auto" w:fill="auto"/>
            <w:vAlign w:val="center"/>
          </w:tcPr>
          <w:p w14:paraId="330EF3AF" w14:textId="7C9050EE" w:rsidR="0044394F" w:rsidRPr="001F224B" w:rsidRDefault="0044394F" w:rsidP="0044394F">
            <w:pPr>
              <w:jc w:val="right"/>
              <w:rPr>
                <w:sz w:val="13"/>
                <w:szCs w:val="13"/>
              </w:rPr>
            </w:pPr>
            <w:r w:rsidRPr="001F224B">
              <w:rPr>
                <w:color w:val="000000"/>
                <w:sz w:val="13"/>
                <w:szCs w:val="13"/>
              </w:rPr>
              <w:t>5.059.379</w:t>
            </w:r>
          </w:p>
        </w:tc>
        <w:tc>
          <w:tcPr>
            <w:tcW w:w="869" w:type="dxa"/>
            <w:tcBorders>
              <w:top w:val="nil"/>
              <w:left w:val="nil"/>
              <w:bottom w:val="nil"/>
              <w:right w:val="single" w:sz="2" w:space="0" w:color="auto"/>
            </w:tcBorders>
            <w:shd w:val="clear" w:color="auto" w:fill="auto"/>
            <w:vAlign w:val="center"/>
          </w:tcPr>
          <w:p w14:paraId="5FA758B0" w14:textId="3F298997" w:rsidR="0044394F" w:rsidRPr="001F224B" w:rsidRDefault="0044394F" w:rsidP="0044394F">
            <w:pPr>
              <w:jc w:val="right"/>
              <w:rPr>
                <w:sz w:val="13"/>
                <w:szCs w:val="13"/>
              </w:rPr>
            </w:pPr>
            <w:r w:rsidRPr="001F224B">
              <w:rPr>
                <w:color w:val="000000"/>
                <w:sz w:val="13"/>
                <w:szCs w:val="13"/>
              </w:rPr>
              <w:t>9.318.638</w:t>
            </w:r>
          </w:p>
        </w:tc>
      </w:tr>
      <w:tr w:rsidR="0044394F" w:rsidRPr="001F224B" w14:paraId="0A861461" w14:textId="77777777" w:rsidTr="00B805B3">
        <w:trPr>
          <w:trHeight w:val="19"/>
        </w:trPr>
        <w:tc>
          <w:tcPr>
            <w:tcW w:w="579" w:type="dxa"/>
            <w:tcBorders>
              <w:top w:val="nil"/>
              <w:left w:val="single" w:sz="2" w:space="0" w:color="auto"/>
              <w:bottom w:val="nil"/>
              <w:right w:val="nil"/>
            </w:tcBorders>
            <w:shd w:val="clear" w:color="auto" w:fill="auto"/>
            <w:noWrap/>
            <w:hideMark/>
          </w:tcPr>
          <w:p w14:paraId="1CBD489E" w14:textId="77777777" w:rsidR="0044394F" w:rsidRPr="001F224B" w:rsidRDefault="0044394F" w:rsidP="0044394F">
            <w:pPr>
              <w:rPr>
                <w:color w:val="000000"/>
                <w:sz w:val="13"/>
                <w:szCs w:val="13"/>
                <w:lang w:val="en-US" w:eastAsia="en-US"/>
              </w:rPr>
            </w:pPr>
            <w:r w:rsidRPr="001F224B">
              <w:rPr>
                <w:sz w:val="13"/>
                <w:szCs w:val="13"/>
              </w:rPr>
              <w:t>3.2.2.3</w:t>
            </w:r>
          </w:p>
        </w:tc>
        <w:tc>
          <w:tcPr>
            <w:tcW w:w="3901" w:type="dxa"/>
            <w:tcBorders>
              <w:top w:val="nil"/>
              <w:left w:val="nil"/>
              <w:bottom w:val="nil"/>
              <w:right w:val="single" w:sz="2" w:space="0" w:color="auto"/>
            </w:tcBorders>
            <w:shd w:val="clear" w:color="auto" w:fill="auto"/>
            <w:noWrap/>
            <w:vAlign w:val="bottom"/>
            <w:hideMark/>
          </w:tcPr>
          <w:p w14:paraId="24979B02"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Swap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7226BB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8C7E4A" w14:textId="61258F7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ED5B90B" w14:textId="345C486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4828C4DF" w14:textId="420B95CE"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F156BBD" w14:textId="31C35A0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3D30B80" w14:textId="7F87B35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26CFF2C" w14:textId="355DB9A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3A7A0858" w14:textId="77777777" w:rsidTr="00B805B3">
        <w:trPr>
          <w:trHeight w:val="19"/>
        </w:trPr>
        <w:tc>
          <w:tcPr>
            <w:tcW w:w="579" w:type="dxa"/>
            <w:tcBorders>
              <w:top w:val="nil"/>
              <w:left w:val="single" w:sz="2" w:space="0" w:color="auto"/>
              <w:bottom w:val="nil"/>
              <w:right w:val="nil"/>
            </w:tcBorders>
            <w:shd w:val="clear" w:color="auto" w:fill="auto"/>
            <w:noWrap/>
            <w:hideMark/>
          </w:tcPr>
          <w:p w14:paraId="54C87519" w14:textId="77777777" w:rsidR="0044394F" w:rsidRPr="001F224B" w:rsidRDefault="0044394F" w:rsidP="0044394F">
            <w:pPr>
              <w:rPr>
                <w:color w:val="000000"/>
                <w:sz w:val="13"/>
                <w:szCs w:val="13"/>
                <w:lang w:val="en-US" w:eastAsia="en-US"/>
              </w:rPr>
            </w:pPr>
            <w:r w:rsidRPr="001F224B">
              <w:rPr>
                <w:sz w:val="13"/>
                <w:szCs w:val="13"/>
              </w:rPr>
              <w:t>3.2.2.4</w:t>
            </w:r>
          </w:p>
        </w:tc>
        <w:tc>
          <w:tcPr>
            <w:tcW w:w="3901" w:type="dxa"/>
            <w:tcBorders>
              <w:top w:val="nil"/>
              <w:left w:val="nil"/>
              <w:bottom w:val="nil"/>
              <w:right w:val="single" w:sz="2" w:space="0" w:color="auto"/>
            </w:tcBorders>
            <w:shd w:val="clear" w:color="auto" w:fill="auto"/>
            <w:noWrap/>
            <w:vAlign w:val="bottom"/>
            <w:hideMark/>
          </w:tcPr>
          <w:p w14:paraId="29413233"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Swap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52F9A81"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E4727BF" w14:textId="0929E24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ACC9EE9" w14:textId="1551ECD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6F8FFED" w14:textId="1AB2BAD5"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97EF22E" w14:textId="46BB50B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61D8256" w14:textId="58878FC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51DFCDB" w14:textId="2487B27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1A4021B" w14:textId="77777777" w:rsidTr="00B805B3">
        <w:trPr>
          <w:trHeight w:val="19"/>
        </w:trPr>
        <w:tc>
          <w:tcPr>
            <w:tcW w:w="579" w:type="dxa"/>
            <w:tcBorders>
              <w:top w:val="nil"/>
              <w:left w:val="single" w:sz="2" w:space="0" w:color="auto"/>
              <w:bottom w:val="nil"/>
              <w:right w:val="nil"/>
            </w:tcBorders>
            <w:shd w:val="clear" w:color="auto" w:fill="auto"/>
            <w:noWrap/>
            <w:hideMark/>
          </w:tcPr>
          <w:p w14:paraId="769EE6F1" w14:textId="77777777" w:rsidR="0044394F" w:rsidRPr="001F224B" w:rsidRDefault="0044394F" w:rsidP="0044394F">
            <w:pPr>
              <w:rPr>
                <w:color w:val="000000"/>
                <w:sz w:val="13"/>
                <w:szCs w:val="13"/>
                <w:lang w:val="en-US" w:eastAsia="en-US"/>
              </w:rPr>
            </w:pPr>
            <w:r w:rsidRPr="001F224B">
              <w:rPr>
                <w:sz w:val="13"/>
                <w:szCs w:val="13"/>
              </w:rPr>
              <w:t>3.2.3</w:t>
            </w:r>
          </w:p>
        </w:tc>
        <w:tc>
          <w:tcPr>
            <w:tcW w:w="3901" w:type="dxa"/>
            <w:tcBorders>
              <w:top w:val="nil"/>
              <w:left w:val="nil"/>
              <w:bottom w:val="nil"/>
              <w:right w:val="single" w:sz="2" w:space="0" w:color="auto"/>
            </w:tcBorders>
            <w:shd w:val="clear" w:color="auto" w:fill="auto"/>
            <w:noWrap/>
            <w:vAlign w:val="bottom"/>
            <w:hideMark/>
          </w:tcPr>
          <w:p w14:paraId="490E96A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Para, Faiz ve Menkul Değer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FB54154"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7981F1C" w14:textId="4D09815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1EE6F15" w14:textId="320C446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5328407C" w14:textId="23DEEBF9"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A3EB64E" w14:textId="42F2499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2E49F55" w14:textId="052990A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7C16747" w14:textId="69A3EC4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0ED7DD9" w14:textId="77777777" w:rsidTr="00B805B3">
        <w:trPr>
          <w:trHeight w:val="19"/>
        </w:trPr>
        <w:tc>
          <w:tcPr>
            <w:tcW w:w="579" w:type="dxa"/>
            <w:tcBorders>
              <w:top w:val="nil"/>
              <w:left w:val="single" w:sz="2" w:space="0" w:color="auto"/>
              <w:bottom w:val="nil"/>
              <w:right w:val="nil"/>
            </w:tcBorders>
            <w:shd w:val="clear" w:color="auto" w:fill="auto"/>
            <w:noWrap/>
            <w:hideMark/>
          </w:tcPr>
          <w:p w14:paraId="1BF1B4A1" w14:textId="77777777" w:rsidR="0044394F" w:rsidRPr="001F224B" w:rsidRDefault="0044394F" w:rsidP="0044394F">
            <w:pPr>
              <w:rPr>
                <w:color w:val="000000"/>
                <w:sz w:val="13"/>
                <w:szCs w:val="13"/>
                <w:lang w:val="en-US" w:eastAsia="en-US"/>
              </w:rPr>
            </w:pPr>
            <w:r w:rsidRPr="001F224B">
              <w:rPr>
                <w:sz w:val="13"/>
                <w:szCs w:val="13"/>
              </w:rPr>
              <w:t>3.2.3.1</w:t>
            </w:r>
          </w:p>
        </w:tc>
        <w:tc>
          <w:tcPr>
            <w:tcW w:w="3901" w:type="dxa"/>
            <w:tcBorders>
              <w:top w:val="nil"/>
              <w:left w:val="nil"/>
              <w:bottom w:val="nil"/>
              <w:right w:val="single" w:sz="2" w:space="0" w:color="auto"/>
            </w:tcBorders>
            <w:shd w:val="clear" w:color="auto" w:fill="auto"/>
            <w:noWrap/>
            <w:vAlign w:val="bottom"/>
            <w:hideMark/>
          </w:tcPr>
          <w:p w14:paraId="22AB50C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Para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21464599"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FE8C29F" w14:textId="7BEA25B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3F7EFE8A" w14:textId="29E9C50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5F7D77E" w14:textId="4EDFC4BD"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012AAB5" w14:textId="2078B46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72BA27E" w14:textId="00E78F6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059338" w14:textId="7FC9C1D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4648F4F" w14:textId="77777777" w:rsidTr="00B805B3">
        <w:trPr>
          <w:trHeight w:val="19"/>
        </w:trPr>
        <w:tc>
          <w:tcPr>
            <w:tcW w:w="579" w:type="dxa"/>
            <w:tcBorders>
              <w:top w:val="nil"/>
              <w:left w:val="single" w:sz="2" w:space="0" w:color="auto"/>
              <w:bottom w:val="nil"/>
              <w:right w:val="nil"/>
            </w:tcBorders>
            <w:shd w:val="clear" w:color="auto" w:fill="auto"/>
            <w:noWrap/>
            <w:hideMark/>
          </w:tcPr>
          <w:p w14:paraId="0201B1A5" w14:textId="77777777" w:rsidR="0044394F" w:rsidRPr="001F224B" w:rsidRDefault="0044394F" w:rsidP="0044394F">
            <w:pPr>
              <w:rPr>
                <w:color w:val="000000"/>
                <w:sz w:val="13"/>
                <w:szCs w:val="13"/>
                <w:lang w:val="en-US" w:eastAsia="en-US"/>
              </w:rPr>
            </w:pPr>
            <w:r w:rsidRPr="001F224B">
              <w:rPr>
                <w:sz w:val="13"/>
                <w:szCs w:val="13"/>
              </w:rPr>
              <w:t>3.2.3.2</w:t>
            </w:r>
          </w:p>
        </w:tc>
        <w:tc>
          <w:tcPr>
            <w:tcW w:w="3901" w:type="dxa"/>
            <w:tcBorders>
              <w:top w:val="nil"/>
              <w:left w:val="nil"/>
              <w:bottom w:val="nil"/>
              <w:right w:val="single" w:sz="2" w:space="0" w:color="auto"/>
            </w:tcBorders>
            <w:shd w:val="clear" w:color="auto" w:fill="auto"/>
            <w:noWrap/>
            <w:vAlign w:val="bottom"/>
            <w:hideMark/>
          </w:tcPr>
          <w:p w14:paraId="1608C92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Para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6A1AB311"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D547D5A" w14:textId="7166D2A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4D59A7EE" w14:textId="4B2C310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38C452F" w14:textId="55B5A5FA"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746C8E2" w14:textId="046EC2B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955168" w14:textId="4A6F5B30"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860CB50" w14:textId="76F26F3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551F9E5" w14:textId="77777777" w:rsidTr="00B805B3">
        <w:trPr>
          <w:trHeight w:val="19"/>
        </w:trPr>
        <w:tc>
          <w:tcPr>
            <w:tcW w:w="579" w:type="dxa"/>
            <w:tcBorders>
              <w:top w:val="nil"/>
              <w:left w:val="single" w:sz="2" w:space="0" w:color="auto"/>
              <w:bottom w:val="nil"/>
              <w:right w:val="nil"/>
            </w:tcBorders>
            <w:shd w:val="clear" w:color="auto" w:fill="auto"/>
            <w:noWrap/>
            <w:hideMark/>
          </w:tcPr>
          <w:p w14:paraId="60DA9BF8" w14:textId="77777777" w:rsidR="0044394F" w:rsidRPr="001F224B" w:rsidRDefault="0044394F" w:rsidP="0044394F">
            <w:pPr>
              <w:rPr>
                <w:color w:val="000000"/>
                <w:sz w:val="13"/>
                <w:szCs w:val="13"/>
                <w:lang w:val="en-US" w:eastAsia="en-US"/>
              </w:rPr>
            </w:pPr>
            <w:r w:rsidRPr="001F224B">
              <w:rPr>
                <w:sz w:val="13"/>
                <w:szCs w:val="13"/>
              </w:rPr>
              <w:t>3.2.3.3</w:t>
            </w:r>
          </w:p>
        </w:tc>
        <w:tc>
          <w:tcPr>
            <w:tcW w:w="3901" w:type="dxa"/>
            <w:tcBorders>
              <w:top w:val="nil"/>
              <w:left w:val="nil"/>
              <w:bottom w:val="nil"/>
              <w:right w:val="single" w:sz="2" w:space="0" w:color="auto"/>
            </w:tcBorders>
            <w:shd w:val="clear" w:color="auto" w:fill="auto"/>
            <w:noWrap/>
            <w:vAlign w:val="bottom"/>
            <w:hideMark/>
          </w:tcPr>
          <w:p w14:paraId="3D9E63D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Faiz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006A0F46"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FD898D0" w14:textId="766EFA0C"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336B6019" w14:textId="0FA1F88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9525C99" w14:textId="5EE2788D"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7B7384B" w14:textId="52896AE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AF75F80" w14:textId="5493283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F178B90" w14:textId="1B576E1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62A7318" w14:textId="77777777" w:rsidTr="00B805B3">
        <w:trPr>
          <w:trHeight w:val="19"/>
        </w:trPr>
        <w:tc>
          <w:tcPr>
            <w:tcW w:w="579" w:type="dxa"/>
            <w:tcBorders>
              <w:top w:val="nil"/>
              <w:left w:val="single" w:sz="2" w:space="0" w:color="auto"/>
              <w:bottom w:val="nil"/>
              <w:right w:val="nil"/>
            </w:tcBorders>
            <w:shd w:val="clear" w:color="auto" w:fill="auto"/>
            <w:noWrap/>
            <w:hideMark/>
          </w:tcPr>
          <w:p w14:paraId="34EC6CDB" w14:textId="77777777" w:rsidR="0044394F" w:rsidRPr="001F224B" w:rsidRDefault="0044394F" w:rsidP="0044394F">
            <w:pPr>
              <w:rPr>
                <w:color w:val="000000"/>
                <w:sz w:val="13"/>
                <w:szCs w:val="13"/>
                <w:lang w:val="en-US" w:eastAsia="en-US"/>
              </w:rPr>
            </w:pPr>
            <w:r w:rsidRPr="001F224B">
              <w:rPr>
                <w:sz w:val="13"/>
                <w:szCs w:val="13"/>
              </w:rPr>
              <w:t>3.2.3.4</w:t>
            </w:r>
          </w:p>
        </w:tc>
        <w:tc>
          <w:tcPr>
            <w:tcW w:w="3901" w:type="dxa"/>
            <w:tcBorders>
              <w:top w:val="nil"/>
              <w:left w:val="nil"/>
              <w:bottom w:val="nil"/>
              <w:right w:val="single" w:sz="2" w:space="0" w:color="auto"/>
            </w:tcBorders>
            <w:shd w:val="clear" w:color="auto" w:fill="auto"/>
            <w:noWrap/>
            <w:vAlign w:val="bottom"/>
            <w:hideMark/>
          </w:tcPr>
          <w:p w14:paraId="6D18DCE8"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Faiz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6DDF97D4"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5D0A16B" w14:textId="3D566FD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FCD5406" w14:textId="220701D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31D2EF7" w14:textId="37D2633F"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19F89D4" w14:textId="67D1752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0776A86" w14:textId="4C728E48"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03E6EB9" w14:textId="7EC008F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7CD6FDA" w14:textId="77777777" w:rsidTr="00B805B3">
        <w:trPr>
          <w:trHeight w:val="19"/>
        </w:trPr>
        <w:tc>
          <w:tcPr>
            <w:tcW w:w="579" w:type="dxa"/>
            <w:tcBorders>
              <w:top w:val="nil"/>
              <w:left w:val="single" w:sz="2" w:space="0" w:color="auto"/>
              <w:bottom w:val="nil"/>
              <w:right w:val="nil"/>
            </w:tcBorders>
            <w:shd w:val="clear" w:color="auto" w:fill="auto"/>
            <w:noWrap/>
            <w:hideMark/>
          </w:tcPr>
          <w:p w14:paraId="658E28EC" w14:textId="77777777" w:rsidR="0044394F" w:rsidRPr="001F224B" w:rsidRDefault="0044394F" w:rsidP="0044394F">
            <w:pPr>
              <w:rPr>
                <w:color w:val="000000"/>
                <w:sz w:val="13"/>
                <w:szCs w:val="13"/>
                <w:lang w:val="en-US" w:eastAsia="en-US"/>
              </w:rPr>
            </w:pPr>
            <w:r w:rsidRPr="001F224B">
              <w:rPr>
                <w:sz w:val="13"/>
                <w:szCs w:val="13"/>
              </w:rPr>
              <w:t>3.2.3.5</w:t>
            </w:r>
          </w:p>
        </w:tc>
        <w:tc>
          <w:tcPr>
            <w:tcW w:w="3901" w:type="dxa"/>
            <w:tcBorders>
              <w:top w:val="nil"/>
              <w:left w:val="nil"/>
              <w:bottom w:val="nil"/>
              <w:right w:val="single" w:sz="2" w:space="0" w:color="auto"/>
            </w:tcBorders>
            <w:shd w:val="clear" w:color="auto" w:fill="auto"/>
            <w:noWrap/>
            <w:vAlign w:val="bottom"/>
            <w:hideMark/>
          </w:tcPr>
          <w:p w14:paraId="19C4D156"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Menkul Değerler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2E9F7D6D"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79B8661" w14:textId="43CC990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47F1186" w14:textId="75B8E1A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79D03D29" w14:textId="550BAFDF"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4C734EC" w14:textId="0CC3636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9461249" w14:textId="4FE2CE6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038381D" w14:textId="71F5AC9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3FD3A093" w14:textId="77777777" w:rsidTr="00B805B3">
        <w:trPr>
          <w:trHeight w:val="19"/>
        </w:trPr>
        <w:tc>
          <w:tcPr>
            <w:tcW w:w="579" w:type="dxa"/>
            <w:tcBorders>
              <w:top w:val="nil"/>
              <w:left w:val="single" w:sz="2" w:space="0" w:color="auto"/>
              <w:bottom w:val="nil"/>
              <w:right w:val="nil"/>
            </w:tcBorders>
            <w:shd w:val="clear" w:color="auto" w:fill="auto"/>
            <w:noWrap/>
            <w:hideMark/>
          </w:tcPr>
          <w:p w14:paraId="6F48C454" w14:textId="77777777" w:rsidR="0044394F" w:rsidRPr="001F224B" w:rsidRDefault="0044394F" w:rsidP="0044394F">
            <w:pPr>
              <w:rPr>
                <w:color w:val="000000"/>
                <w:sz w:val="13"/>
                <w:szCs w:val="13"/>
                <w:lang w:val="en-US" w:eastAsia="en-US"/>
              </w:rPr>
            </w:pPr>
            <w:r w:rsidRPr="001F224B">
              <w:rPr>
                <w:sz w:val="13"/>
                <w:szCs w:val="13"/>
              </w:rPr>
              <w:t>3.2.3.6</w:t>
            </w:r>
          </w:p>
        </w:tc>
        <w:tc>
          <w:tcPr>
            <w:tcW w:w="3901" w:type="dxa"/>
            <w:tcBorders>
              <w:top w:val="nil"/>
              <w:left w:val="nil"/>
              <w:bottom w:val="nil"/>
              <w:right w:val="single" w:sz="2" w:space="0" w:color="auto"/>
            </w:tcBorders>
            <w:shd w:val="clear" w:color="auto" w:fill="auto"/>
            <w:noWrap/>
            <w:vAlign w:val="bottom"/>
            <w:hideMark/>
          </w:tcPr>
          <w:p w14:paraId="55A0B35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Menkul Değerler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10C92EE"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A6D8024" w14:textId="507677B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45D9AA16" w14:textId="00CC131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4A5EF2FF" w14:textId="27AB049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79CF4C8" w14:textId="0BD2EBB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B6775D3" w14:textId="3993B51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B1FD8F8" w14:textId="3982FDC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FA06104" w14:textId="77777777" w:rsidTr="00B805B3">
        <w:trPr>
          <w:trHeight w:val="19"/>
        </w:trPr>
        <w:tc>
          <w:tcPr>
            <w:tcW w:w="579" w:type="dxa"/>
            <w:tcBorders>
              <w:top w:val="nil"/>
              <w:left w:val="single" w:sz="2" w:space="0" w:color="auto"/>
              <w:bottom w:val="nil"/>
              <w:right w:val="nil"/>
            </w:tcBorders>
            <w:shd w:val="clear" w:color="auto" w:fill="auto"/>
            <w:noWrap/>
            <w:hideMark/>
          </w:tcPr>
          <w:p w14:paraId="34C3F242" w14:textId="77777777" w:rsidR="0044394F" w:rsidRPr="001F224B" w:rsidRDefault="0044394F" w:rsidP="0044394F">
            <w:pPr>
              <w:rPr>
                <w:color w:val="000000"/>
                <w:sz w:val="13"/>
                <w:szCs w:val="13"/>
                <w:lang w:val="en-US" w:eastAsia="en-US"/>
              </w:rPr>
            </w:pPr>
            <w:r w:rsidRPr="001F224B">
              <w:rPr>
                <w:sz w:val="13"/>
                <w:szCs w:val="13"/>
              </w:rPr>
              <w:t>3.2.4</w:t>
            </w:r>
          </w:p>
        </w:tc>
        <w:tc>
          <w:tcPr>
            <w:tcW w:w="3901" w:type="dxa"/>
            <w:tcBorders>
              <w:top w:val="nil"/>
              <w:left w:val="nil"/>
              <w:bottom w:val="nil"/>
              <w:right w:val="single" w:sz="2" w:space="0" w:color="auto"/>
            </w:tcBorders>
            <w:shd w:val="clear" w:color="auto" w:fill="auto"/>
            <w:noWrap/>
            <w:vAlign w:val="bottom"/>
            <w:hideMark/>
          </w:tcPr>
          <w:p w14:paraId="5C31930F"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Futures Para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4E3926B"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9750942" w14:textId="3211619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79F10283" w14:textId="16DFE0B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DFA5E1E" w14:textId="300BC823"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8F9688E" w14:textId="07A96BE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2D109E" w14:textId="0E0BF72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2E328C8" w14:textId="5521D22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622A3575" w14:textId="77777777" w:rsidTr="00B805B3">
        <w:trPr>
          <w:trHeight w:val="19"/>
        </w:trPr>
        <w:tc>
          <w:tcPr>
            <w:tcW w:w="579" w:type="dxa"/>
            <w:tcBorders>
              <w:top w:val="nil"/>
              <w:left w:val="single" w:sz="2" w:space="0" w:color="auto"/>
              <w:bottom w:val="nil"/>
              <w:right w:val="nil"/>
            </w:tcBorders>
            <w:shd w:val="clear" w:color="auto" w:fill="auto"/>
            <w:noWrap/>
            <w:hideMark/>
          </w:tcPr>
          <w:p w14:paraId="66B6A08E" w14:textId="77777777" w:rsidR="0044394F" w:rsidRPr="001F224B" w:rsidRDefault="0044394F" w:rsidP="0044394F">
            <w:pPr>
              <w:rPr>
                <w:color w:val="000000"/>
                <w:sz w:val="13"/>
                <w:szCs w:val="13"/>
                <w:lang w:val="en-US" w:eastAsia="en-US"/>
              </w:rPr>
            </w:pPr>
            <w:r w:rsidRPr="001F224B">
              <w:rPr>
                <w:sz w:val="13"/>
                <w:szCs w:val="13"/>
              </w:rPr>
              <w:t>3.2.4.1</w:t>
            </w:r>
          </w:p>
        </w:tc>
        <w:tc>
          <w:tcPr>
            <w:tcW w:w="3901" w:type="dxa"/>
            <w:tcBorders>
              <w:top w:val="nil"/>
              <w:left w:val="nil"/>
              <w:bottom w:val="nil"/>
              <w:right w:val="single" w:sz="2" w:space="0" w:color="auto"/>
            </w:tcBorders>
            <w:shd w:val="clear" w:color="auto" w:fill="auto"/>
            <w:noWrap/>
            <w:vAlign w:val="bottom"/>
            <w:hideMark/>
          </w:tcPr>
          <w:p w14:paraId="073A5A1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Futures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49E79B8"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B07A7C" w14:textId="434F833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4357BD70" w14:textId="5EE2CEC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180B5C17" w14:textId="5A8D60A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6D88F23" w14:textId="6523FE4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CF7EEB5" w14:textId="0A2FDF8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8D6A0D" w14:textId="22598C8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1DEBAD8" w14:textId="77777777" w:rsidTr="00B805B3">
        <w:trPr>
          <w:trHeight w:val="19"/>
        </w:trPr>
        <w:tc>
          <w:tcPr>
            <w:tcW w:w="579" w:type="dxa"/>
            <w:tcBorders>
              <w:top w:val="nil"/>
              <w:left w:val="single" w:sz="2" w:space="0" w:color="auto"/>
              <w:bottom w:val="nil"/>
              <w:right w:val="nil"/>
            </w:tcBorders>
            <w:shd w:val="clear" w:color="auto" w:fill="auto"/>
            <w:noWrap/>
            <w:hideMark/>
          </w:tcPr>
          <w:p w14:paraId="0851C750" w14:textId="77777777" w:rsidR="0044394F" w:rsidRPr="001F224B" w:rsidRDefault="0044394F" w:rsidP="0044394F">
            <w:pPr>
              <w:rPr>
                <w:color w:val="000000"/>
                <w:sz w:val="13"/>
                <w:szCs w:val="13"/>
                <w:lang w:val="en-US" w:eastAsia="en-US"/>
              </w:rPr>
            </w:pPr>
            <w:r w:rsidRPr="001F224B">
              <w:rPr>
                <w:sz w:val="13"/>
                <w:szCs w:val="13"/>
              </w:rPr>
              <w:t>3.2.4.2</w:t>
            </w:r>
          </w:p>
        </w:tc>
        <w:tc>
          <w:tcPr>
            <w:tcW w:w="3901" w:type="dxa"/>
            <w:tcBorders>
              <w:top w:val="nil"/>
              <w:left w:val="nil"/>
              <w:bottom w:val="nil"/>
              <w:right w:val="single" w:sz="2" w:space="0" w:color="auto"/>
            </w:tcBorders>
            <w:shd w:val="clear" w:color="auto" w:fill="auto"/>
            <w:noWrap/>
            <w:vAlign w:val="bottom"/>
            <w:hideMark/>
          </w:tcPr>
          <w:p w14:paraId="4457FA9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Futures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E34507B"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8008DA6" w14:textId="4971C7F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846E2AA" w14:textId="15B6094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2724091" w14:textId="1488ECA6"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423C5FB" w14:textId="0B2908E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B6EF6B7" w14:textId="1EAA1DE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AFB9DBA" w14:textId="6B1F25E4"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4B8354F" w14:textId="77777777" w:rsidTr="00B805B3">
        <w:trPr>
          <w:trHeight w:val="19"/>
        </w:trPr>
        <w:tc>
          <w:tcPr>
            <w:tcW w:w="579" w:type="dxa"/>
            <w:tcBorders>
              <w:top w:val="nil"/>
              <w:left w:val="single" w:sz="2" w:space="0" w:color="auto"/>
              <w:bottom w:val="nil"/>
              <w:right w:val="nil"/>
            </w:tcBorders>
            <w:shd w:val="clear" w:color="auto" w:fill="auto"/>
            <w:noWrap/>
            <w:hideMark/>
          </w:tcPr>
          <w:p w14:paraId="28B2B4E1" w14:textId="77777777" w:rsidR="0044394F" w:rsidRPr="001F224B" w:rsidRDefault="0044394F" w:rsidP="0044394F">
            <w:pPr>
              <w:rPr>
                <w:color w:val="000000"/>
                <w:sz w:val="13"/>
                <w:szCs w:val="13"/>
                <w:lang w:val="en-US" w:eastAsia="en-US"/>
              </w:rPr>
            </w:pPr>
            <w:r w:rsidRPr="001F224B">
              <w:rPr>
                <w:sz w:val="13"/>
                <w:szCs w:val="13"/>
              </w:rPr>
              <w:t>3.2.5</w:t>
            </w:r>
          </w:p>
        </w:tc>
        <w:tc>
          <w:tcPr>
            <w:tcW w:w="3901" w:type="dxa"/>
            <w:tcBorders>
              <w:top w:val="nil"/>
              <w:left w:val="nil"/>
              <w:bottom w:val="nil"/>
              <w:right w:val="single" w:sz="2" w:space="0" w:color="auto"/>
            </w:tcBorders>
            <w:shd w:val="clear" w:color="auto" w:fill="auto"/>
            <w:noWrap/>
            <w:vAlign w:val="bottom"/>
            <w:hideMark/>
          </w:tcPr>
          <w:p w14:paraId="6AD1EF5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Futures Faiz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2D86B2D"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3944D3B" w14:textId="59544FC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3B638688" w14:textId="4AE051E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742CEEC9" w14:textId="3B57B03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AD19DFC" w14:textId="2F2CBE1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6A6CE3F" w14:textId="42E55C8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84330E9" w14:textId="0D40F18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B2DC7A8" w14:textId="77777777" w:rsidTr="00B805B3">
        <w:trPr>
          <w:trHeight w:val="19"/>
        </w:trPr>
        <w:tc>
          <w:tcPr>
            <w:tcW w:w="579" w:type="dxa"/>
            <w:tcBorders>
              <w:top w:val="nil"/>
              <w:left w:val="single" w:sz="2" w:space="0" w:color="auto"/>
              <w:bottom w:val="nil"/>
              <w:right w:val="nil"/>
            </w:tcBorders>
            <w:shd w:val="clear" w:color="auto" w:fill="auto"/>
            <w:noWrap/>
            <w:hideMark/>
          </w:tcPr>
          <w:p w14:paraId="49E1E94C" w14:textId="77777777" w:rsidR="0044394F" w:rsidRPr="001F224B" w:rsidRDefault="0044394F" w:rsidP="0044394F">
            <w:pPr>
              <w:rPr>
                <w:color w:val="000000"/>
                <w:sz w:val="13"/>
                <w:szCs w:val="13"/>
                <w:lang w:val="en-US" w:eastAsia="en-US"/>
              </w:rPr>
            </w:pPr>
            <w:r w:rsidRPr="001F224B">
              <w:rPr>
                <w:sz w:val="13"/>
                <w:szCs w:val="13"/>
              </w:rPr>
              <w:t>3.2.5.1</w:t>
            </w:r>
          </w:p>
        </w:tc>
        <w:tc>
          <w:tcPr>
            <w:tcW w:w="3901" w:type="dxa"/>
            <w:tcBorders>
              <w:top w:val="nil"/>
              <w:left w:val="nil"/>
              <w:bottom w:val="nil"/>
              <w:right w:val="single" w:sz="2" w:space="0" w:color="auto"/>
            </w:tcBorders>
            <w:shd w:val="clear" w:color="auto" w:fill="auto"/>
            <w:noWrap/>
            <w:vAlign w:val="bottom"/>
            <w:hideMark/>
          </w:tcPr>
          <w:p w14:paraId="7ABFDB07"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Futures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D429441"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E3E4D10" w14:textId="4B6A35B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71F5BA4" w14:textId="493430A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90B9418" w14:textId="0C2482F0"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C3D3DAE" w14:textId="6E9DD21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473F156" w14:textId="5F4E693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FE41C4" w14:textId="2263755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41A1C52B" w14:textId="77777777" w:rsidTr="00B805B3">
        <w:trPr>
          <w:trHeight w:val="19"/>
        </w:trPr>
        <w:tc>
          <w:tcPr>
            <w:tcW w:w="579" w:type="dxa"/>
            <w:tcBorders>
              <w:top w:val="nil"/>
              <w:left w:val="single" w:sz="2" w:space="0" w:color="auto"/>
              <w:bottom w:val="nil"/>
              <w:right w:val="nil"/>
            </w:tcBorders>
            <w:shd w:val="clear" w:color="auto" w:fill="auto"/>
            <w:noWrap/>
            <w:hideMark/>
          </w:tcPr>
          <w:p w14:paraId="36514E80" w14:textId="77777777" w:rsidR="0044394F" w:rsidRPr="001F224B" w:rsidRDefault="0044394F" w:rsidP="0044394F">
            <w:pPr>
              <w:rPr>
                <w:color w:val="000000"/>
                <w:sz w:val="13"/>
                <w:szCs w:val="13"/>
                <w:lang w:val="en-US" w:eastAsia="en-US"/>
              </w:rPr>
            </w:pPr>
            <w:r w:rsidRPr="001F224B">
              <w:rPr>
                <w:sz w:val="13"/>
                <w:szCs w:val="13"/>
              </w:rPr>
              <w:t>3.2.5.2</w:t>
            </w:r>
          </w:p>
        </w:tc>
        <w:tc>
          <w:tcPr>
            <w:tcW w:w="3901" w:type="dxa"/>
            <w:tcBorders>
              <w:top w:val="nil"/>
              <w:left w:val="nil"/>
              <w:bottom w:val="nil"/>
              <w:right w:val="single" w:sz="2" w:space="0" w:color="auto"/>
            </w:tcBorders>
            <w:shd w:val="clear" w:color="auto" w:fill="auto"/>
            <w:noWrap/>
            <w:vAlign w:val="bottom"/>
            <w:hideMark/>
          </w:tcPr>
          <w:p w14:paraId="683D4F80"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Futures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31FDAE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81CF3D5" w14:textId="325A80E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9C30327" w14:textId="6A0F328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695CC1A9" w14:textId="1859CCB7"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67E7013" w14:textId="5E090CB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B9E5028" w14:textId="6B14C9F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37604C4" w14:textId="313B596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62A8C023" w14:textId="77777777" w:rsidTr="00B805B3">
        <w:trPr>
          <w:trHeight w:val="19"/>
        </w:trPr>
        <w:tc>
          <w:tcPr>
            <w:tcW w:w="579" w:type="dxa"/>
            <w:tcBorders>
              <w:top w:val="nil"/>
              <w:left w:val="single" w:sz="2" w:space="0" w:color="auto"/>
              <w:bottom w:val="nil"/>
              <w:right w:val="nil"/>
            </w:tcBorders>
            <w:shd w:val="clear" w:color="auto" w:fill="auto"/>
            <w:noWrap/>
            <w:hideMark/>
          </w:tcPr>
          <w:p w14:paraId="7615E706" w14:textId="77777777" w:rsidR="0044394F" w:rsidRPr="001F224B" w:rsidRDefault="0044394F" w:rsidP="0044394F">
            <w:pPr>
              <w:rPr>
                <w:color w:val="000000"/>
                <w:sz w:val="13"/>
                <w:szCs w:val="13"/>
                <w:lang w:val="en-US" w:eastAsia="en-US"/>
              </w:rPr>
            </w:pPr>
            <w:r w:rsidRPr="001F224B">
              <w:rPr>
                <w:sz w:val="13"/>
                <w:szCs w:val="13"/>
              </w:rPr>
              <w:t>3.2.6</w:t>
            </w:r>
          </w:p>
        </w:tc>
        <w:tc>
          <w:tcPr>
            <w:tcW w:w="3901" w:type="dxa"/>
            <w:tcBorders>
              <w:top w:val="nil"/>
              <w:left w:val="nil"/>
              <w:bottom w:val="nil"/>
              <w:right w:val="single" w:sz="2" w:space="0" w:color="auto"/>
            </w:tcBorders>
            <w:shd w:val="clear" w:color="auto" w:fill="auto"/>
            <w:noWrap/>
            <w:vAlign w:val="bottom"/>
            <w:hideMark/>
          </w:tcPr>
          <w:p w14:paraId="414CBA4E"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w:t>
            </w:r>
          </w:p>
        </w:tc>
        <w:tc>
          <w:tcPr>
            <w:tcW w:w="658" w:type="dxa"/>
            <w:tcBorders>
              <w:top w:val="nil"/>
              <w:left w:val="single" w:sz="2" w:space="0" w:color="auto"/>
              <w:bottom w:val="nil"/>
              <w:right w:val="single" w:sz="2" w:space="0" w:color="auto"/>
            </w:tcBorders>
            <w:shd w:val="clear" w:color="auto" w:fill="auto"/>
            <w:noWrap/>
            <w:vAlign w:val="bottom"/>
            <w:hideMark/>
          </w:tcPr>
          <w:p w14:paraId="3794162E"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723C65E" w14:textId="0E7E550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427DCDF4" w14:textId="0023C5BB"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6F52E041" w14:textId="04126DC1"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9721CEA" w14:textId="7FC1895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9CC2E3A" w14:textId="6476990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162C27" w14:textId="153CDD5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DA93FC6" w14:textId="77777777" w:rsidTr="00315AF0">
        <w:trPr>
          <w:trHeight w:val="19"/>
        </w:trPr>
        <w:tc>
          <w:tcPr>
            <w:tcW w:w="579" w:type="dxa"/>
            <w:tcBorders>
              <w:top w:val="nil"/>
              <w:left w:val="single" w:sz="2" w:space="0" w:color="auto"/>
              <w:bottom w:val="nil"/>
              <w:right w:val="nil"/>
            </w:tcBorders>
            <w:shd w:val="clear" w:color="auto" w:fill="auto"/>
            <w:noWrap/>
          </w:tcPr>
          <w:p w14:paraId="7EDFF52C" w14:textId="77777777" w:rsidR="0044394F" w:rsidRPr="001F224B" w:rsidRDefault="0044394F" w:rsidP="0044394F">
            <w:pPr>
              <w:rPr>
                <w:b/>
                <w:sz w:val="13"/>
                <w:szCs w:val="13"/>
              </w:rPr>
            </w:pPr>
            <w:r w:rsidRPr="001F224B">
              <w:rPr>
                <w:b/>
                <w:sz w:val="13"/>
                <w:szCs w:val="13"/>
              </w:rPr>
              <w:t>B.</w:t>
            </w:r>
          </w:p>
        </w:tc>
        <w:tc>
          <w:tcPr>
            <w:tcW w:w="3901" w:type="dxa"/>
            <w:tcBorders>
              <w:top w:val="nil"/>
              <w:left w:val="nil"/>
              <w:bottom w:val="nil"/>
              <w:right w:val="single" w:sz="2" w:space="0" w:color="auto"/>
            </w:tcBorders>
            <w:shd w:val="clear" w:color="auto" w:fill="auto"/>
            <w:noWrap/>
            <w:vAlign w:val="bottom"/>
          </w:tcPr>
          <w:p w14:paraId="70CD9FDA" w14:textId="77777777" w:rsidR="0044394F" w:rsidRPr="001F224B" w:rsidRDefault="0044394F" w:rsidP="0044394F">
            <w:pPr>
              <w:ind w:left="-123"/>
              <w:rPr>
                <w:b/>
                <w:color w:val="000000"/>
                <w:sz w:val="13"/>
                <w:szCs w:val="13"/>
                <w:lang w:eastAsia="en-US"/>
              </w:rPr>
            </w:pPr>
            <w:r w:rsidRPr="001F224B">
              <w:rPr>
                <w:b/>
                <w:color w:val="000000"/>
                <w:sz w:val="13"/>
                <w:szCs w:val="13"/>
                <w:lang w:eastAsia="en-US"/>
              </w:rPr>
              <w:t xml:space="preserve"> EMANET VE REHİNLİ KIYMETLER (IV+V+VI)</w:t>
            </w:r>
          </w:p>
        </w:tc>
        <w:tc>
          <w:tcPr>
            <w:tcW w:w="658" w:type="dxa"/>
            <w:tcBorders>
              <w:top w:val="nil"/>
              <w:left w:val="single" w:sz="2" w:space="0" w:color="auto"/>
              <w:bottom w:val="nil"/>
              <w:right w:val="single" w:sz="2" w:space="0" w:color="auto"/>
            </w:tcBorders>
            <w:shd w:val="clear" w:color="auto" w:fill="auto"/>
            <w:noWrap/>
            <w:vAlign w:val="bottom"/>
          </w:tcPr>
          <w:p w14:paraId="1B7A6C9A" w14:textId="77777777" w:rsidR="0044394F" w:rsidRPr="001F224B" w:rsidRDefault="0044394F" w:rsidP="0044394F">
            <w:pPr>
              <w:jc w:val="center"/>
              <w:rPr>
                <w:rFonts w:eastAsia="Arial Unicode MS"/>
                <w:b/>
                <w:color w:val="000000"/>
                <w:sz w:val="13"/>
                <w:szCs w:val="13"/>
                <w:lang w:eastAsia="en-US"/>
              </w:rPr>
            </w:pPr>
          </w:p>
        </w:tc>
        <w:tc>
          <w:tcPr>
            <w:tcW w:w="868" w:type="dxa"/>
            <w:tcBorders>
              <w:top w:val="nil"/>
              <w:left w:val="nil"/>
              <w:bottom w:val="nil"/>
              <w:right w:val="single" w:sz="4" w:space="0" w:color="auto"/>
            </w:tcBorders>
            <w:shd w:val="clear" w:color="auto" w:fill="auto"/>
            <w:noWrap/>
          </w:tcPr>
          <w:p w14:paraId="42A513E8" w14:textId="44C1A211"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131.620.164</w:t>
            </w:r>
          </w:p>
        </w:tc>
        <w:tc>
          <w:tcPr>
            <w:tcW w:w="868" w:type="dxa"/>
            <w:tcBorders>
              <w:top w:val="nil"/>
              <w:left w:val="nil"/>
              <w:bottom w:val="nil"/>
              <w:right w:val="single" w:sz="4" w:space="0" w:color="auto"/>
            </w:tcBorders>
            <w:shd w:val="clear" w:color="auto" w:fill="auto"/>
            <w:noWrap/>
          </w:tcPr>
          <w:p w14:paraId="51F97B74" w14:textId="04C549A6"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731.980.926</w:t>
            </w:r>
          </w:p>
        </w:tc>
        <w:tc>
          <w:tcPr>
            <w:tcW w:w="869" w:type="dxa"/>
            <w:tcBorders>
              <w:top w:val="nil"/>
              <w:left w:val="nil"/>
              <w:bottom w:val="nil"/>
              <w:right w:val="dashed" w:sz="4" w:space="0" w:color="auto"/>
            </w:tcBorders>
            <w:shd w:val="clear" w:color="auto" w:fill="auto"/>
            <w:noWrap/>
          </w:tcPr>
          <w:p w14:paraId="6B01F89D" w14:textId="6A62ABD3"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863.601.090</w:t>
            </w:r>
          </w:p>
        </w:tc>
        <w:tc>
          <w:tcPr>
            <w:tcW w:w="868" w:type="dxa"/>
            <w:tcBorders>
              <w:top w:val="nil"/>
              <w:left w:val="single" w:sz="4" w:space="0" w:color="auto"/>
              <w:bottom w:val="nil"/>
              <w:right w:val="single" w:sz="4" w:space="0" w:color="auto"/>
            </w:tcBorders>
            <w:shd w:val="clear" w:color="auto" w:fill="auto"/>
            <w:vAlign w:val="center"/>
          </w:tcPr>
          <w:p w14:paraId="45AB9951" w14:textId="437B9009" w:rsidR="0044394F" w:rsidRPr="001F224B" w:rsidRDefault="0044394F" w:rsidP="0044394F">
            <w:pPr>
              <w:jc w:val="right"/>
              <w:rPr>
                <w:b/>
                <w:sz w:val="13"/>
                <w:szCs w:val="13"/>
              </w:rPr>
            </w:pPr>
            <w:r w:rsidRPr="001F224B">
              <w:rPr>
                <w:b/>
                <w:bCs/>
                <w:color w:val="000000"/>
                <w:sz w:val="13"/>
                <w:szCs w:val="13"/>
              </w:rPr>
              <w:t>131.260.731</w:t>
            </w:r>
          </w:p>
        </w:tc>
        <w:tc>
          <w:tcPr>
            <w:tcW w:w="868" w:type="dxa"/>
            <w:tcBorders>
              <w:top w:val="nil"/>
              <w:left w:val="nil"/>
              <w:bottom w:val="nil"/>
              <w:right w:val="single" w:sz="4" w:space="0" w:color="auto"/>
            </w:tcBorders>
            <w:shd w:val="clear" w:color="auto" w:fill="auto"/>
            <w:vAlign w:val="center"/>
          </w:tcPr>
          <w:p w14:paraId="6325A30C" w14:textId="2F92C12F" w:rsidR="0044394F" w:rsidRPr="001F224B" w:rsidRDefault="0044394F" w:rsidP="0044394F">
            <w:pPr>
              <w:jc w:val="right"/>
              <w:rPr>
                <w:b/>
                <w:sz w:val="13"/>
                <w:szCs w:val="13"/>
              </w:rPr>
            </w:pPr>
            <w:r w:rsidRPr="001F224B">
              <w:rPr>
                <w:b/>
                <w:bCs/>
                <w:color w:val="000000"/>
                <w:sz w:val="13"/>
                <w:szCs w:val="13"/>
              </w:rPr>
              <w:t>549.735.253</w:t>
            </w:r>
          </w:p>
        </w:tc>
        <w:tc>
          <w:tcPr>
            <w:tcW w:w="869" w:type="dxa"/>
            <w:tcBorders>
              <w:top w:val="nil"/>
              <w:left w:val="nil"/>
              <w:bottom w:val="nil"/>
              <w:right w:val="single" w:sz="2" w:space="0" w:color="auto"/>
            </w:tcBorders>
            <w:shd w:val="clear" w:color="auto" w:fill="auto"/>
            <w:vAlign w:val="center"/>
          </w:tcPr>
          <w:p w14:paraId="35ECEF68" w14:textId="12AE3116" w:rsidR="0044394F" w:rsidRPr="001F224B" w:rsidRDefault="0044394F" w:rsidP="0044394F">
            <w:pPr>
              <w:jc w:val="right"/>
              <w:rPr>
                <w:b/>
                <w:sz w:val="13"/>
                <w:szCs w:val="13"/>
              </w:rPr>
            </w:pPr>
            <w:r w:rsidRPr="001F224B">
              <w:rPr>
                <w:b/>
                <w:bCs/>
                <w:color w:val="000000"/>
                <w:sz w:val="13"/>
                <w:szCs w:val="13"/>
              </w:rPr>
              <w:t>680.995.984</w:t>
            </w:r>
          </w:p>
        </w:tc>
      </w:tr>
      <w:tr w:rsidR="0044394F" w:rsidRPr="001F224B" w14:paraId="571554D1" w14:textId="77777777" w:rsidTr="00315AF0">
        <w:trPr>
          <w:trHeight w:val="19"/>
        </w:trPr>
        <w:tc>
          <w:tcPr>
            <w:tcW w:w="579" w:type="dxa"/>
            <w:tcBorders>
              <w:top w:val="nil"/>
              <w:left w:val="single" w:sz="2" w:space="0" w:color="auto"/>
              <w:bottom w:val="nil"/>
              <w:right w:val="nil"/>
            </w:tcBorders>
            <w:shd w:val="clear" w:color="auto" w:fill="auto"/>
            <w:noWrap/>
            <w:hideMark/>
          </w:tcPr>
          <w:p w14:paraId="41006459"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IV.</w:t>
            </w:r>
          </w:p>
        </w:tc>
        <w:tc>
          <w:tcPr>
            <w:tcW w:w="3901" w:type="dxa"/>
            <w:tcBorders>
              <w:top w:val="nil"/>
              <w:left w:val="nil"/>
              <w:bottom w:val="nil"/>
              <w:right w:val="single" w:sz="2" w:space="0" w:color="auto"/>
            </w:tcBorders>
            <w:shd w:val="clear" w:color="auto" w:fill="auto"/>
            <w:noWrap/>
            <w:vAlign w:val="bottom"/>
            <w:hideMark/>
          </w:tcPr>
          <w:p w14:paraId="471686DE" w14:textId="77777777" w:rsidR="0044394F" w:rsidRPr="001F224B" w:rsidRDefault="0044394F" w:rsidP="0044394F">
            <w:pPr>
              <w:ind w:left="-123"/>
              <w:rPr>
                <w:b/>
                <w:bCs/>
                <w:color w:val="000000"/>
                <w:sz w:val="13"/>
                <w:szCs w:val="13"/>
                <w:lang w:val="en-US" w:eastAsia="en-US"/>
              </w:rPr>
            </w:pPr>
            <w:r w:rsidRPr="001F224B">
              <w:rPr>
                <w:b/>
                <w:bCs/>
                <w:color w:val="000000"/>
                <w:sz w:val="13"/>
                <w:szCs w:val="13"/>
                <w:lang w:eastAsia="en-US"/>
              </w:rPr>
              <w:t xml:space="preserve"> EMANET KIYMETLER</w:t>
            </w:r>
          </w:p>
        </w:tc>
        <w:tc>
          <w:tcPr>
            <w:tcW w:w="658" w:type="dxa"/>
            <w:tcBorders>
              <w:top w:val="nil"/>
              <w:left w:val="single" w:sz="2" w:space="0" w:color="auto"/>
              <w:bottom w:val="nil"/>
              <w:right w:val="single" w:sz="2" w:space="0" w:color="auto"/>
            </w:tcBorders>
            <w:shd w:val="clear" w:color="auto" w:fill="auto"/>
            <w:noWrap/>
            <w:vAlign w:val="bottom"/>
            <w:hideMark/>
          </w:tcPr>
          <w:p w14:paraId="4640D900"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40D1B37C" w14:textId="0A837ACB"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103.325</w:t>
            </w:r>
          </w:p>
        </w:tc>
        <w:tc>
          <w:tcPr>
            <w:tcW w:w="868" w:type="dxa"/>
            <w:tcBorders>
              <w:top w:val="nil"/>
              <w:left w:val="nil"/>
              <w:bottom w:val="nil"/>
              <w:right w:val="single" w:sz="4" w:space="0" w:color="auto"/>
            </w:tcBorders>
            <w:shd w:val="clear" w:color="auto" w:fill="auto"/>
            <w:noWrap/>
            <w:hideMark/>
          </w:tcPr>
          <w:p w14:paraId="47DF77C2" w14:textId="36B23FE2"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w:t>
            </w:r>
          </w:p>
        </w:tc>
        <w:tc>
          <w:tcPr>
            <w:tcW w:w="869" w:type="dxa"/>
            <w:tcBorders>
              <w:top w:val="nil"/>
              <w:left w:val="nil"/>
              <w:bottom w:val="nil"/>
              <w:right w:val="single" w:sz="2" w:space="0" w:color="auto"/>
            </w:tcBorders>
            <w:shd w:val="clear" w:color="auto" w:fill="auto"/>
            <w:noWrap/>
            <w:hideMark/>
          </w:tcPr>
          <w:p w14:paraId="630233E7" w14:textId="73F2766E"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103.325</w:t>
            </w:r>
          </w:p>
        </w:tc>
        <w:tc>
          <w:tcPr>
            <w:tcW w:w="868" w:type="dxa"/>
            <w:tcBorders>
              <w:top w:val="nil"/>
              <w:left w:val="nil"/>
              <w:bottom w:val="nil"/>
              <w:right w:val="single" w:sz="4" w:space="0" w:color="auto"/>
            </w:tcBorders>
            <w:shd w:val="clear" w:color="auto" w:fill="auto"/>
            <w:vAlign w:val="center"/>
          </w:tcPr>
          <w:p w14:paraId="668E0A5E" w14:textId="23DC67B7" w:rsidR="0044394F" w:rsidRPr="001F224B" w:rsidRDefault="0044394F" w:rsidP="0044394F">
            <w:pPr>
              <w:jc w:val="right"/>
              <w:rPr>
                <w:b/>
                <w:sz w:val="13"/>
                <w:szCs w:val="13"/>
              </w:rPr>
            </w:pPr>
            <w:r w:rsidRPr="001F224B">
              <w:rPr>
                <w:b/>
                <w:bCs/>
                <w:color w:val="000000"/>
                <w:sz w:val="13"/>
                <w:szCs w:val="13"/>
              </w:rPr>
              <w:t>135.670</w:t>
            </w:r>
          </w:p>
        </w:tc>
        <w:tc>
          <w:tcPr>
            <w:tcW w:w="868" w:type="dxa"/>
            <w:tcBorders>
              <w:top w:val="nil"/>
              <w:left w:val="nil"/>
              <w:bottom w:val="nil"/>
              <w:right w:val="single" w:sz="4" w:space="0" w:color="auto"/>
            </w:tcBorders>
            <w:shd w:val="clear" w:color="auto" w:fill="auto"/>
            <w:vAlign w:val="center"/>
          </w:tcPr>
          <w:p w14:paraId="7230B61A" w14:textId="2A7BBC61" w:rsidR="0044394F" w:rsidRPr="001F224B" w:rsidRDefault="0044394F" w:rsidP="0044394F">
            <w:pPr>
              <w:jc w:val="right"/>
              <w:rPr>
                <w:b/>
                <w:sz w:val="13"/>
                <w:szCs w:val="13"/>
              </w:rPr>
            </w:pPr>
            <w:r w:rsidRPr="001F224B">
              <w:rPr>
                <w:b/>
                <w:bCs/>
                <w:sz w:val="13"/>
                <w:szCs w:val="13"/>
              </w:rPr>
              <w:t>-</w:t>
            </w:r>
          </w:p>
        </w:tc>
        <w:tc>
          <w:tcPr>
            <w:tcW w:w="869" w:type="dxa"/>
            <w:tcBorders>
              <w:top w:val="nil"/>
              <w:left w:val="nil"/>
              <w:bottom w:val="nil"/>
              <w:right w:val="single" w:sz="2" w:space="0" w:color="auto"/>
            </w:tcBorders>
            <w:shd w:val="clear" w:color="auto" w:fill="auto"/>
            <w:vAlign w:val="center"/>
          </w:tcPr>
          <w:p w14:paraId="51C6EA3F" w14:textId="7AF582F9" w:rsidR="0044394F" w:rsidRPr="001F224B" w:rsidRDefault="0044394F" w:rsidP="0044394F">
            <w:pPr>
              <w:jc w:val="right"/>
              <w:rPr>
                <w:b/>
                <w:sz w:val="13"/>
                <w:szCs w:val="13"/>
              </w:rPr>
            </w:pPr>
            <w:r w:rsidRPr="001F224B">
              <w:rPr>
                <w:b/>
                <w:bCs/>
                <w:color w:val="000000"/>
                <w:sz w:val="13"/>
                <w:szCs w:val="13"/>
              </w:rPr>
              <w:t>135.670</w:t>
            </w:r>
          </w:p>
        </w:tc>
      </w:tr>
      <w:tr w:rsidR="0044394F" w:rsidRPr="001F224B" w14:paraId="441C604F" w14:textId="77777777" w:rsidTr="00EB1C95">
        <w:trPr>
          <w:trHeight w:val="19"/>
        </w:trPr>
        <w:tc>
          <w:tcPr>
            <w:tcW w:w="579" w:type="dxa"/>
            <w:tcBorders>
              <w:top w:val="nil"/>
              <w:left w:val="single" w:sz="2" w:space="0" w:color="auto"/>
              <w:bottom w:val="nil"/>
              <w:right w:val="nil"/>
            </w:tcBorders>
            <w:shd w:val="clear" w:color="auto" w:fill="auto"/>
            <w:noWrap/>
            <w:hideMark/>
          </w:tcPr>
          <w:p w14:paraId="6863BF46" w14:textId="77777777" w:rsidR="0044394F" w:rsidRPr="001F224B" w:rsidRDefault="0044394F" w:rsidP="0044394F">
            <w:pPr>
              <w:rPr>
                <w:color w:val="000000"/>
                <w:sz w:val="13"/>
                <w:szCs w:val="13"/>
                <w:lang w:val="en-US" w:eastAsia="en-US"/>
              </w:rPr>
            </w:pPr>
            <w:r w:rsidRPr="001F224B">
              <w:rPr>
                <w:sz w:val="13"/>
                <w:szCs w:val="13"/>
              </w:rPr>
              <w:t>4.1</w:t>
            </w:r>
          </w:p>
        </w:tc>
        <w:tc>
          <w:tcPr>
            <w:tcW w:w="3901" w:type="dxa"/>
            <w:tcBorders>
              <w:top w:val="nil"/>
              <w:left w:val="nil"/>
              <w:bottom w:val="nil"/>
              <w:right w:val="single" w:sz="2" w:space="0" w:color="auto"/>
            </w:tcBorders>
            <w:shd w:val="clear" w:color="auto" w:fill="auto"/>
            <w:noWrap/>
            <w:vAlign w:val="bottom"/>
            <w:hideMark/>
          </w:tcPr>
          <w:p w14:paraId="55ADC91A"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Müşteri Fon ve Portföy Mevcutları</w:t>
            </w:r>
          </w:p>
        </w:tc>
        <w:tc>
          <w:tcPr>
            <w:tcW w:w="658" w:type="dxa"/>
            <w:tcBorders>
              <w:top w:val="nil"/>
              <w:left w:val="single" w:sz="2" w:space="0" w:color="auto"/>
              <w:bottom w:val="nil"/>
              <w:right w:val="single" w:sz="2" w:space="0" w:color="auto"/>
            </w:tcBorders>
            <w:shd w:val="clear" w:color="auto" w:fill="auto"/>
            <w:noWrap/>
            <w:vAlign w:val="bottom"/>
            <w:hideMark/>
          </w:tcPr>
          <w:p w14:paraId="0708E12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AB1A466" w14:textId="676EE8D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BFCCF19" w14:textId="06738FC3"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7CA1B73D" w14:textId="44ACD7F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62FF9219" w14:textId="3CB7166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94BB80" w14:textId="674E6AD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1E9DEFD" w14:textId="67226FD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786707C9" w14:textId="77777777" w:rsidTr="00315AF0">
        <w:trPr>
          <w:trHeight w:val="19"/>
        </w:trPr>
        <w:tc>
          <w:tcPr>
            <w:tcW w:w="579" w:type="dxa"/>
            <w:tcBorders>
              <w:top w:val="nil"/>
              <w:left w:val="single" w:sz="2" w:space="0" w:color="auto"/>
              <w:bottom w:val="nil"/>
              <w:right w:val="nil"/>
            </w:tcBorders>
            <w:shd w:val="clear" w:color="auto" w:fill="auto"/>
            <w:noWrap/>
            <w:hideMark/>
          </w:tcPr>
          <w:p w14:paraId="0FA7982F" w14:textId="77777777" w:rsidR="0044394F" w:rsidRPr="001F224B" w:rsidRDefault="0044394F" w:rsidP="0044394F">
            <w:pPr>
              <w:rPr>
                <w:color w:val="000000"/>
                <w:sz w:val="13"/>
                <w:szCs w:val="13"/>
                <w:lang w:val="en-US" w:eastAsia="en-US"/>
              </w:rPr>
            </w:pPr>
            <w:r w:rsidRPr="001F224B">
              <w:rPr>
                <w:sz w:val="13"/>
                <w:szCs w:val="13"/>
              </w:rPr>
              <w:t>4.2</w:t>
            </w:r>
          </w:p>
        </w:tc>
        <w:tc>
          <w:tcPr>
            <w:tcW w:w="3901" w:type="dxa"/>
            <w:tcBorders>
              <w:top w:val="nil"/>
              <w:left w:val="nil"/>
              <w:bottom w:val="nil"/>
              <w:right w:val="single" w:sz="2" w:space="0" w:color="auto"/>
            </w:tcBorders>
            <w:shd w:val="clear" w:color="auto" w:fill="auto"/>
            <w:noWrap/>
            <w:vAlign w:val="bottom"/>
            <w:hideMark/>
          </w:tcPr>
          <w:p w14:paraId="2B86029D"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Emanete Alınan Menkul Değerler</w:t>
            </w:r>
          </w:p>
        </w:tc>
        <w:tc>
          <w:tcPr>
            <w:tcW w:w="658" w:type="dxa"/>
            <w:tcBorders>
              <w:top w:val="nil"/>
              <w:left w:val="single" w:sz="2" w:space="0" w:color="auto"/>
              <w:bottom w:val="nil"/>
              <w:right w:val="single" w:sz="2" w:space="0" w:color="auto"/>
            </w:tcBorders>
            <w:shd w:val="clear" w:color="auto" w:fill="auto"/>
            <w:noWrap/>
            <w:vAlign w:val="bottom"/>
            <w:hideMark/>
          </w:tcPr>
          <w:p w14:paraId="4F1F1C1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7784D2F9" w14:textId="578E306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103.325</w:t>
            </w:r>
          </w:p>
        </w:tc>
        <w:tc>
          <w:tcPr>
            <w:tcW w:w="868" w:type="dxa"/>
            <w:tcBorders>
              <w:top w:val="nil"/>
              <w:left w:val="nil"/>
              <w:bottom w:val="nil"/>
              <w:right w:val="single" w:sz="4" w:space="0" w:color="auto"/>
            </w:tcBorders>
            <w:shd w:val="clear" w:color="auto" w:fill="auto"/>
            <w:noWrap/>
            <w:hideMark/>
          </w:tcPr>
          <w:p w14:paraId="3D9EA500" w14:textId="15A471E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A2CC54C" w14:textId="37322AF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103.325</w:t>
            </w:r>
          </w:p>
        </w:tc>
        <w:tc>
          <w:tcPr>
            <w:tcW w:w="868" w:type="dxa"/>
            <w:tcBorders>
              <w:top w:val="nil"/>
              <w:left w:val="nil"/>
              <w:bottom w:val="nil"/>
              <w:right w:val="single" w:sz="4" w:space="0" w:color="auto"/>
            </w:tcBorders>
            <w:shd w:val="clear" w:color="auto" w:fill="auto"/>
            <w:vAlign w:val="center"/>
          </w:tcPr>
          <w:p w14:paraId="7299B558" w14:textId="0F66BF80" w:rsidR="0044394F" w:rsidRPr="001F224B" w:rsidRDefault="0044394F" w:rsidP="0044394F">
            <w:pPr>
              <w:jc w:val="right"/>
              <w:rPr>
                <w:sz w:val="13"/>
                <w:szCs w:val="13"/>
              </w:rPr>
            </w:pPr>
            <w:r w:rsidRPr="001F224B">
              <w:rPr>
                <w:color w:val="000000"/>
                <w:sz w:val="13"/>
                <w:szCs w:val="13"/>
              </w:rPr>
              <w:t>135.670</w:t>
            </w:r>
          </w:p>
        </w:tc>
        <w:tc>
          <w:tcPr>
            <w:tcW w:w="868" w:type="dxa"/>
            <w:tcBorders>
              <w:top w:val="nil"/>
              <w:left w:val="nil"/>
              <w:bottom w:val="nil"/>
              <w:right w:val="single" w:sz="4" w:space="0" w:color="auto"/>
            </w:tcBorders>
            <w:shd w:val="clear" w:color="auto" w:fill="auto"/>
            <w:vAlign w:val="center"/>
          </w:tcPr>
          <w:p w14:paraId="0DCEEEC7" w14:textId="26BC06E6" w:rsidR="0044394F" w:rsidRPr="001F224B" w:rsidRDefault="0044394F" w:rsidP="0044394F">
            <w:pPr>
              <w:jc w:val="right"/>
              <w:rPr>
                <w:sz w:val="13"/>
                <w:szCs w:val="13"/>
              </w:rPr>
            </w:pPr>
            <w:r w:rsidRPr="001F224B">
              <w:rPr>
                <w:color w:val="000000"/>
                <w:sz w:val="13"/>
                <w:szCs w:val="13"/>
              </w:rPr>
              <w:t>-</w:t>
            </w:r>
          </w:p>
        </w:tc>
        <w:tc>
          <w:tcPr>
            <w:tcW w:w="869" w:type="dxa"/>
            <w:tcBorders>
              <w:top w:val="nil"/>
              <w:left w:val="nil"/>
              <w:bottom w:val="nil"/>
              <w:right w:val="single" w:sz="2" w:space="0" w:color="auto"/>
            </w:tcBorders>
            <w:shd w:val="clear" w:color="auto" w:fill="auto"/>
            <w:vAlign w:val="center"/>
          </w:tcPr>
          <w:p w14:paraId="56AAFADE" w14:textId="2FEC1638" w:rsidR="0044394F" w:rsidRPr="001F224B" w:rsidRDefault="0044394F" w:rsidP="0044394F">
            <w:pPr>
              <w:jc w:val="right"/>
              <w:rPr>
                <w:sz w:val="13"/>
                <w:szCs w:val="13"/>
              </w:rPr>
            </w:pPr>
            <w:r w:rsidRPr="001F224B">
              <w:rPr>
                <w:color w:val="000000"/>
                <w:sz w:val="13"/>
                <w:szCs w:val="13"/>
              </w:rPr>
              <w:t>135.670</w:t>
            </w:r>
          </w:p>
        </w:tc>
      </w:tr>
      <w:tr w:rsidR="0044394F" w:rsidRPr="001F224B" w14:paraId="52189BD0" w14:textId="77777777" w:rsidTr="00EB1C95">
        <w:trPr>
          <w:trHeight w:val="19"/>
        </w:trPr>
        <w:tc>
          <w:tcPr>
            <w:tcW w:w="579" w:type="dxa"/>
            <w:tcBorders>
              <w:top w:val="nil"/>
              <w:left w:val="single" w:sz="2" w:space="0" w:color="auto"/>
              <w:bottom w:val="nil"/>
              <w:right w:val="nil"/>
            </w:tcBorders>
            <w:shd w:val="clear" w:color="auto" w:fill="auto"/>
            <w:noWrap/>
            <w:hideMark/>
          </w:tcPr>
          <w:p w14:paraId="23A2B4DD" w14:textId="77777777" w:rsidR="0044394F" w:rsidRPr="001F224B" w:rsidRDefault="0044394F" w:rsidP="0044394F">
            <w:pPr>
              <w:rPr>
                <w:color w:val="000000"/>
                <w:sz w:val="13"/>
                <w:szCs w:val="13"/>
                <w:lang w:val="en-US" w:eastAsia="en-US"/>
              </w:rPr>
            </w:pPr>
            <w:r w:rsidRPr="001F224B">
              <w:rPr>
                <w:sz w:val="13"/>
                <w:szCs w:val="13"/>
              </w:rPr>
              <w:t>4.3</w:t>
            </w:r>
          </w:p>
        </w:tc>
        <w:tc>
          <w:tcPr>
            <w:tcW w:w="3901" w:type="dxa"/>
            <w:tcBorders>
              <w:top w:val="nil"/>
              <w:left w:val="nil"/>
              <w:bottom w:val="nil"/>
              <w:right w:val="single" w:sz="2" w:space="0" w:color="auto"/>
            </w:tcBorders>
            <w:shd w:val="clear" w:color="auto" w:fill="auto"/>
            <w:noWrap/>
            <w:vAlign w:val="bottom"/>
            <w:hideMark/>
          </w:tcPr>
          <w:p w14:paraId="34014C17"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Tahsile Alınan Çekler</w:t>
            </w:r>
          </w:p>
        </w:tc>
        <w:tc>
          <w:tcPr>
            <w:tcW w:w="658" w:type="dxa"/>
            <w:tcBorders>
              <w:top w:val="nil"/>
              <w:left w:val="single" w:sz="2" w:space="0" w:color="auto"/>
              <w:bottom w:val="nil"/>
              <w:right w:val="single" w:sz="2" w:space="0" w:color="auto"/>
            </w:tcBorders>
            <w:shd w:val="clear" w:color="auto" w:fill="auto"/>
            <w:noWrap/>
            <w:vAlign w:val="bottom"/>
            <w:hideMark/>
          </w:tcPr>
          <w:p w14:paraId="30D0E4F9"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8ECFD65" w14:textId="252043B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6C1FCD6" w14:textId="54FE9E60"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B0D5BDC" w14:textId="177C788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89D0A7" w14:textId="6AFA5E07"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4166651" w14:textId="78B00D0D"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A600E7C" w14:textId="1443ECF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681FDF2F" w14:textId="77777777" w:rsidTr="00EB1C95">
        <w:trPr>
          <w:trHeight w:val="19"/>
        </w:trPr>
        <w:tc>
          <w:tcPr>
            <w:tcW w:w="579" w:type="dxa"/>
            <w:tcBorders>
              <w:top w:val="nil"/>
              <w:left w:val="single" w:sz="2" w:space="0" w:color="auto"/>
              <w:bottom w:val="nil"/>
              <w:right w:val="nil"/>
            </w:tcBorders>
            <w:shd w:val="clear" w:color="auto" w:fill="auto"/>
            <w:noWrap/>
            <w:hideMark/>
          </w:tcPr>
          <w:p w14:paraId="151E62A4" w14:textId="77777777" w:rsidR="0044394F" w:rsidRPr="001F224B" w:rsidRDefault="0044394F" w:rsidP="0044394F">
            <w:pPr>
              <w:rPr>
                <w:color w:val="000000"/>
                <w:sz w:val="13"/>
                <w:szCs w:val="13"/>
                <w:lang w:val="en-US" w:eastAsia="en-US"/>
              </w:rPr>
            </w:pPr>
            <w:r w:rsidRPr="001F224B">
              <w:rPr>
                <w:sz w:val="13"/>
                <w:szCs w:val="13"/>
              </w:rPr>
              <w:t>4.4</w:t>
            </w:r>
          </w:p>
        </w:tc>
        <w:tc>
          <w:tcPr>
            <w:tcW w:w="3901" w:type="dxa"/>
            <w:tcBorders>
              <w:top w:val="nil"/>
              <w:left w:val="nil"/>
              <w:bottom w:val="nil"/>
              <w:right w:val="single" w:sz="2" w:space="0" w:color="auto"/>
            </w:tcBorders>
            <w:shd w:val="clear" w:color="auto" w:fill="auto"/>
            <w:noWrap/>
            <w:vAlign w:val="bottom"/>
            <w:hideMark/>
          </w:tcPr>
          <w:p w14:paraId="49BAEC8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Tahsile Alınan Ticari Senetler</w:t>
            </w:r>
          </w:p>
        </w:tc>
        <w:tc>
          <w:tcPr>
            <w:tcW w:w="658" w:type="dxa"/>
            <w:tcBorders>
              <w:top w:val="nil"/>
              <w:left w:val="single" w:sz="2" w:space="0" w:color="auto"/>
              <w:bottom w:val="nil"/>
              <w:right w:val="single" w:sz="2" w:space="0" w:color="auto"/>
            </w:tcBorders>
            <w:shd w:val="clear" w:color="auto" w:fill="auto"/>
            <w:noWrap/>
            <w:vAlign w:val="bottom"/>
            <w:hideMark/>
          </w:tcPr>
          <w:p w14:paraId="231073F9"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93DE023" w14:textId="4F85709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5CC7FE5" w14:textId="1B9633B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71536495" w14:textId="7BAAF8A5"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74693A7" w14:textId="74CF294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99B3A52" w14:textId="60BD4BE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3192EA9" w14:textId="3CDE1A3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6134AC1D" w14:textId="77777777" w:rsidTr="00EB1C95">
        <w:trPr>
          <w:trHeight w:val="19"/>
        </w:trPr>
        <w:tc>
          <w:tcPr>
            <w:tcW w:w="579" w:type="dxa"/>
            <w:tcBorders>
              <w:top w:val="nil"/>
              <w:left w:val="single" w:sz="2" w:space="0" w:color="auto"/>
              <w:bottom w:val="nil"/>
              <w:right w:val="nil"/>
            </w:tcBorders>
            <w:shd w:val="clear" w:color="auto" w:fill="auto"/>
            <w:noWrap/>
            <w:hideMark/>
          </w:tcPr>
          <w:p w14:paraId="29C20D74" w14:textId="77777777" w:rsidR="0044394F" w:rsidRPr="001F224B" w:rsidRDefault="0044394F" w:rsidP="0044394F">
            <w:pPr>
              <w:rPr>
                <w:color w:val="000000"/>
                <w:sz w:val="13"/>
                <w:szCs w:val="13"/>
                <w:lang w:val="en-US" w:eastAsia="en-US"/>
              </w:rPr>
            </w:pPr>
            <w:r w:rsidRPr="001F224B">
              <w:rPr>
                <w:sz w:val="13"/>
                <w:szCs w:val="13"/>
              </w:rPr>
              <w:t>4.5</w:t>
            </w:r>
          </w:p>
        </w:tc>
        <w:tc>
          <w:tcPr>
            <w:tcW w:w="3901" w:type="dxa"/>
            <w:tcBorders>
              <w:top w:val="nil"/>
              <w:left w:val="nil"/>
              <w:bottom w:val="nil"/>
              <w:right w:val="single" w:sz="2" w:space="0" w:color="auto"/>
            </w:tcBorders>
            <w:shd w:val="clear" w:color="auto" w:fill="auto"/>
            <w:noWrap/>
            <w:vAlign w:val="bottom"/>
            <w:hideMark/>
          </w:tcPr>
          <w:p w14:paraId="148AECE4"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Tahsile Alınan Diğer Kıymetler</w:t>
            </w:r>
          </w:p>
        </w:tc>
        <w:tc>
          <w:tcPr>
            <w:tcW w:w="658" w:type="dxa"/>
            <w:tcBorders>
              <w:top w:val="nil"/>
              <w:left w:val="single" w:sz="2" w:space="0" w:color="auto"/>
              <w:bottom w:val="nil"/>
              <w:right w:val="single" w:sz="2" w:space="0" w:color="auto"/>
            </w:tcBorders>
            <w:shd w:val="clear" w:color="auto" w:fill="auto"/>
            <w:noWrap/>
            <w:vAlign w:val="bottom"/>
            <w:hideMark/>
          </w:tcPr>
          <w:p w14:paraId="30AEA0D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65C88C2" w14:textId="6B6CEA8C"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16F7469B" w14:textId="58B882F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275C70C4" w14:textId="1F92B910"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05EDB7B" w14:textId="4E94A27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216D413" w14:textId="7E5D4D46"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0D2C74C" w14:textId="7878F780"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5951B667" w14:textId="77777777" w:rsidTr="00EB1C95">
        <w:trPr>
          <w:trHeight w:val="19"/>
        </w:trPr>
        <w:tc>
          <w:tcPr>
            <w:tcW w:w="579" w:type="dxa"/>
            <w:tcBorders>
              <w:top w:val="nil"/>
              <w:left w:val="single" w:sz="2" w:space="0" w:color="auto"/>
              <w:bottom w:val="nil"/>
              <w:right w:val="nil"/>
            </w:tcBorders>
            <w:shd w:val="clear" w:color="auto" w:fill="auto"/>
            <w:noWrap/>
            <w:hideMark/>
          </w:tcPr>
          <w:p w14:paraId="3CBBB7F7" w14:textId="77777777" w:rsidR="0044394F" w:rsidRPr="001F224B" w:rsidRDefault="0044394F" w:rsidP="0044394F">
            <w:pPr>
              <w:rPr>
                <w:color w:val="000000"/>
                <w:sz w:val="13"/>
                <w:szCs w:val="13"/>
                <w:lang w:val="en-US" w:eastAsia="en-US"/>
              </w:rPr>
            </w:pPr>
            <w:r w:rsidRPr="001F224B">
              <w:rPr>
                <w:sz w:val="13"/>
                <w:szCs w:val="13"/>
              </w:rPr>
              <w:t>4.6</w:t>
            </w:r>
          </w:p>
        </w:tc>
        <w:tc>
          <w:tcPr>
            <w:tcW w:w="3901" w:type="dxa"/>
            <w:tcBorders>
              <w:top w:val="nil"/>
              <w:left w:val="nil"/>
              <w:bottom w:val="nil"/>
              <w:right w:val="single" w:sz="2" w:space="0" w:color="auto"/>
            </w:tcBorders>
            <w:shd w:val="clear" w:color="auto" w:fill="auto"/>
            <w:noWrap/>
            <w:vAlign w:val="bottom"/>
            <w:hideMark/>
          </w:tcPr>
          <w:p w14:paraId="088D59FF"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İhracına Aracı Olunan Kıymetler</w:t>
            </w:r>
          </w:p>
        </w:tc>
        <w:tc>
          <w:tcPr>
            <w:tcW w:w="658" w:type="dxa"/>
            <w:tcBorders>
              <w:top w:val="nil"/>
              <w:left w:val="single" w:sz="2" w:space="0" w:color="auto"/>
              <w:bottom w:val="nil"/>
              <w:right w:val="single" w:sz="2" w:space="0" w:color="auto"/>
            </w:tcBorders>
            <w:shd w:val="clear" w:color="auto" w:fill="auto"/>
            <w:noWrap/>
            <w:vAlign w:val="bottom"/>
            <w:hideMark/>
          </w:tcPr>
          <w:p w14:paraId="31C24841"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55ABD6F" w14:textId="533D059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0521FA4F" w14:textId="64F90A2D"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038C57E8" w14:textId="78F13874"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152364" w14:textId="6772393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7FB9170" w14:textId="1DD6EF9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90754EB" w14:textId="54EC560A"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77AC8572" w14:textId="77777777" w:rsidTr="00EB1C95">
        <w:trPr>
          <w:trHeight w:val="19"/>
        </w:trPr>
        <w:tc>
          <w:tcPr>
            <w:tcW w:w="579" w:type="dxa"/>
            <w:tcBorders>
              <w:top w:val="nil"/>
              <w:left w:val="single" w:sz="2" w:space="0" w:color="auto"/>
              <w:bottom w:val="nil"/>
              <w:right w:val="nil"/>
            </w:tcBorders>
            <w:shd w:val="clear" w:color="auto" w:fill="auto"/>
            <w:noWrap/>
            <w:hideMark/>
          </w:tcPr>
          <w:p w14:paraId="2ECF7100" w14:textId="77777777" w:rsidR="0044394F" w:rsidRPr="001F224B" w:rsidRDefault="0044394F" w:rsidP="0044394F">
            <w:pPr>
              <w:rPr>
                <w:color w:val="000000"/>
                <w:sz w:val="13"/>
                <w:szCs w:val="13"/>
                <w:lang w:val="en-US" w:eastAsia="en-US"/>
              </w:rPr>
            </w:pPr>
            <w:r w:rsidRPr="001F224B">
              <w:rPr>
                <w:sz w:val="13"/>
                <w:szCs w:val="13"/>
              </w:rPr>
              <w:t>4.7</w:t>
            </w:r>
          </w:p>
        </w:tc>
        <w:tc>
          <w:tcPr>
            <w:tcW w:w="3901" w:type="dxa"/>
            <w:tcBorders>
              <w:top w:val="nil"/>
              <w:left w:val="nil"/>
              <w:bottom w:val="nil"/>
              <w:right w:val="single" w:sz="2" w:space="0" w:color="auto"/>
            </w:tcBorders>
            <w:shd w:val="clear" w:color="auto" w:fill="auto"/>
            <w:noWrap/>
            <w:vAlign w:val="bottom"/>
            <w:hideMark/>
          </w:tcPr>
          <w:p w14:paraId="672ECFD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Emanet Kıymetler</w:t>
            </w:r>
          </w:p>
        </w:tc>
        <w:tc>
          <w:tcPr>
            <w:tcW w:w="658" w:type="dxa"/>
            <w:tcBorders>
              <w:top w:val="nil"/>
              <w:left w:val="single" w:sz="2" w:space="0" w:color="auto"/>
              <w:bottom w:val="nil"/>
              <w:right w:val="single" w:sz="2" w:space="0" w:color="auto"/>
            </w:tcBorders>
            <w:shd w:val="clear" w:color="auto" w:fill="auto"/>
            <w:noWrap/>
            <w:vAlign w:val="bottom"/>
            <w:hideMark/>
          </w:tcPr>
          <w:p w14:paraId="09E81F7C"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90C8A40" w14:textId="492ACDC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6120878C" w14:textId="593A7A5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7FCFEF2" w14:textId="128B3F05"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FCD51C4" w14:textId="673944DB"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2C6D3D4" w14:textId="52EBEA75"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B916CD" w14:textId="549276C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6190C667" w14:textId="77777777" w:rsidTr="00EB1C95">
        <w:trPr>
          <w:trHeight w:val="19"/>
        </w:trPr>
        <w:tc>
          <w:tcPr>
            <w:tcW w:w="579" w:type="dxa"/>
            <w:tcBorders>
              <w:top w:val="nil"/>
              <w:left w:val="single" w:sz="2" w:space="0" w:color="auto"/>
              <w:bottom w:val="nil"/>
              <w:right w:val="nil"/>
            </w:tcBorders>
            <w:shd w:val="clear" w:color="auto" w:fill="auto"/>
            <w:noWrap/>
            <w:hideMark/>
          </w:tcPr>
          <w:p w14:paraId="3088687E" w14:textId="77777777" w:rsidR="0044394F" w:rsidRPr="001F224B" w:rsidRDefault="0044394F" w:rsidP="0044394F">
            <w:pPr>
              <w:rPr>
                <w:color w:val="000000"/>
                <w:sz w:val="13"/>
                <w:szCs w:val="13"/>
                <w:lang w:val="en-US" w:eastAsia="en-US"/>
              </w:rPr>
            </w:pPr>
            <w:r w:rsidRPr="001F224B">
              <w:rPr>
                <w:sz w:val="13"/>
                <w:szCs w:val="13"/>
              </w:rPr>
              <w:t>4.8</w:t>
            </w:r>
          </w:p>
        </w:tc>
        <w:tc>
          <w:tcPr>
            <w:tcW w:w="3901" w:type="dxa"/>
            <w:tcBorders>
              <w:top w:val="nil"/>
              <w:left w:val="nil"/>
              <w:bottom w:val="nil"/>
              <w:right w:val="single" w:sz="2" w:space="0" w:color="auto"/>
            </w:tcBorders>
            <w:shd w:val="clear" w:color="auto" w:fill="auto"/>
            <w:noWrap/>
            <w:vAlign w:val="bottom"/>
            <w:hideMark/>
          </w:tcPr>
          <w:p w14:paraId="7C1D69D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Emanet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0F721C33"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right w:val="single" w:sz="4" w:space="0" w:color="auto"/>
            </w:tcBorders>
            <w:shd w:val="clear" w:color="auto" w:fill="auto"/>
            <w:noWrap/>
            <w:hideMark/>
          </w:tcPr>
          <w:p w14:paraId="27B081E8" w14:textId="4D96596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right w:val="single" w:sz="4" w:space="0" w:color="auto"/>
            </w:tcBorders>
            <w:shd w:val="clear" w:color="auto" w:fill="auto"/>
            <w:noWrap/>
            <w:hideMark/>
          </w:tcPr>
          <w:p w14:paraId="39746FA8" w14:textId="665EE8A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right w:val="single" w:sz="2" w:space="0" w:color="auto"/>
            </w:tcBorders>
            <w:shd w:val="clear" w:color="auto" w:fill="auto"/>
            <w:noWrap/>
            <w:hideMark/>
          </w:tcPr>
          <w:p w14:paraId="42EC59B8" w14:textId="52005FBE"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03AD1F2" w14:textId="09331F7F"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B94EC2E" w14:textId="46172051"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B35948D" w14:textId="22087C52"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0612BEC9" w14:textId="77777777" w:rsidTr="00315AF0">
        <w:trPr>
          <w:trHeight w:val="19"/>
        </w:trPr>
        <w:tc>
          <w:tcPr>
            <w:tcW w:w="579" w:type="dxa"/>
            <w:tcBorders>
              <w:top w:val="nil"/>
              <w:left w:val="single" w:sz="2" w:space="0" w:color="auto"/>
              <w:bottom w:val="nil"/>
              <w:right w:val="nil"/>
            </w:tcBorders>
            <w:shd w:val="clear" w:color="auto" w:fill="auto"/>
            <w:noWrap/>
            <w:hideMark/>
          </w:tcPr>
          <w:p w14:paraId="0A184DD0"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V.</w:t>
            </w:r>
          </w:p>
        </w:tc>
        <w:tc>
          <w:tcPr>
            <w:tcW w:w="3901" w:type="dxa"/>
            <w:tcBorders>
              <w:top w:val="nil"/>
              <w:left w:val="nil"/>
              <w:bottom w:val="nil"/>
              <w:right w:val="single" w:sz="2" w:space="0" w:color="auto"/>
            </w:tcBorders>
            <w:shd w:val="clear" w:color="auto" w:fill="auto"/>
            <w:noWrap/>
            <w:vAlign w:val="bottom"/>
            <w:hideMark/>
          </w:tcPr>
          <w:p w14:paraId="616DE9B8" w14:textId="77777777" w:rsidR="0044394F" w:rsidRPr="001F224B" w:rsidRDefault="0044394F" w:rsidP="0044394F">
            <w:pPr>
              <w:ind w:left="-123"/>
              <w:rPr>
                <w:b/>
                <w:bCs/>
                <w:color w:val="000000"/>
                <w:sz w:val="13"/>
                <w:szCs w:val="13"/>
                <w:lang w:val="en-US" w:eastAsia="en-US"/>
              </w:rPr>
            </w:pPr>
            <w:r w:rsidRPr="001F224B">
              <w:rPr>
                <w:b/>
                <w:bCs/>
                <w:color w:val="000000"/>
                <w:sz w:val="13"/>
                <w:szCs w:val="13"/>
                <w:lang w:eastAsia="en-US"/>
              </w:rPr>
              <w:t xml:space="preserve"> REHİNLİ KIYMETLER</w:t>
            </w:r>
          </w:p>
        </w:tc>
        <w:tc>
          <w:tcPr>
            <w:tcW w:w="658" w:type="dxa"/>
            <w:tcBorders>
              <w:top w:val="nil"/>
              <w:left w:val="single" w:sz="2" w:space="0" w:color="auto"/>
              <w:bottom w:val="nil"/>
              <w:right w:val="single" w:sz="2" w:space="0" w:color="auto"/>
            </w:tcBorders>
            <w:shd w:val="clear" w:color="auto" w:fill="auto"/>
            <w:noWrap/>
            <w:vAlign w:val="bottom"/>
            <w:hideMark/>
          </w:tcPr>
          <w:p w14:paraId="50AC2AC8"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77F22CEB" w14:textId="27FAAC3B"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131.516.839</w:t>
            </w:r>
          </w:p>
        </w:tc>
        <w:tc>
          <w:tcPr>
            <w:tcW w:w="868" w:type="dxa"/>
            <w:tcBorders>
              <w:top w:val="nil"/>
              <w:left w:val="single" w:sz="4" w:space="0" w:color="auto"/>
              <w:bottom w:val="nil"/>
              <w:right w:val="single" w:sz="4" w:space="0" w:color="auto"/>
            </w:tcBorders>
            <w:shd w:val="clear" w:color="auto" w:fill="auto"/>
            <w:noWrap/>
            <w:hideMark/>
          </w:tcPr>
          <w:p w14:paraId="20B233A7" w14:textId="7014CA3E"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731.980.926</w:t>
            </w:r>
          </w:p>
        </w:tc>
        <w:tc>
          <w:tcPr>
            <w:tcW w:w="869" w:type="dxa"/>
            <w:tcBorders>
              <w:top w:val="nil"/>
              <w:left w:val="nil"/>
              <w:bottom w:val="nil"/>
              <w:right w:val="dashed" w:sz="4" w:space="0" w:color="auto"/>
            </w:tcBorders>
            <w:shd w:val="clear" w:color="auto" w:fill="auto"/>
            <w:noWrap/>
            <w:hideMark/>
          </w:tcPr>
          <w:p w14:paraId="6F743FF1" w14:textId="4CF21883"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863.497.765</w:t>
            </w:r>
          </w:p>
        </w:tc>
        <w:tc>
          <w:tcPr>
            <w:tcW w:w="868" w:type="dxa"/>
            <w:tcBorders>
              <w:top w:val="nil"/>
              <w:left w:val="single" w:sz="4" w:space="0" w:color="auto"/>
              <w:bottom w:val="nil"/>
              <w:right w:val="single" w:sz="4" w:space="0" w:color="auto"/>
            </w:tcBorders>
            <w:shd w:val="clear" w:color="auto" w:fill="auto"/>
            <w:vAlign w:val="center"/>
          </w:tcPr>
          <w:p w14:paraId="59C5FC2E" w14:textId="294771C1" w:rsidR="0044394F" w:rsidRPr="001F224B" w:rsidRDefault="0044394F" w:rsidP="0044394F">
            <w:pPr>
              <w:jc w:val="right"/>
              <w:rPr>
                <w:b/>
                <w:bCs/>
                <w:sz w:val="13"/>
                <w:szCs w:val="13"/>
              </w:rPr>
            </w:pPr>
            <w:r w:rsidRPr="001F224B">
              <w:rPr>
                <w:b/>
                <w:bCs/>
                <w:color w:val="000000"/>
                <w:sz w:val="13"/>
                <w:szCs w:val="13"/>
              </w:rPr>
              <w:t>131.125.061</w:t>
            </w:r>
          </w:p>
        </w:tc>
        <w:tc>
          <w:tcPr>
            <w:tcW w:w="868" w:type="dxa"/>
            <w:tcBorders>
              <w:top w:val="nil"/>
              <w:left w:val="nil"/>
              <w:bottom w:val="nil"/>
              <w:right w:val="single" w:sz="4" w:space="0" w:color="auto"/>
            </w:tcBorders>
            <w:shd w:val="clear" w:color="auto" w:fill="auto"/>
            <w:vAlign w:val="center"/>
          </w:tcPr>
          <w:p w14:paraId="1B6865D4" w14:textId="2071AB39" w:rsidR="0044394F" w:rsidRPr="001F224B" w:rsidRDefault="0044394F" w:rsidP="0044394F">
            <w:pPr>
              <w:jc w:val="right"/>
              <w:rPr>
                <w:b/>
                <w:bCs/>
                <w:sz w:val="13"/>
                <w:szCs w:val="13"/>
              </w:rPr>
            </w:pPr>
            <w:r w:rsidRPr="001F224B">
              <w:rPr>
                <w:b/>
                <w:bCs/>
                <w:color w:val="000000"/>
                <w:sz w:val="13"/>
                <w:szCs w:val="13"/>
              </w:rPr>
              <w:t>549.735.253</w:t>
            </w:r>
          </w:p>
        </w:tc>
        <w:tc>
          <w:tcPr>
            <w:tcW w:w="869" w:type="dxa"/>
            <w:tcBorders>
              <w:top w:val="nil"/>
              <w:left w:val="nil"/>
              <w:bottom w:val="nil"/>
              <w:right w:val="single" w:sz="2" w:space="0" w:color="auto"/>
            </w:tcBorders>
            <w:shd w:val="clear" w:color="auto" w:fill="auto"/>
            <w:vAlign w:val="center"/>
          </w:tcPr>
          <w:p w14:paraId="0F1725D3" w14:textId="164C19E8" w:rsidR="0044394F" w:rsidRPr="001F224B" w:rsidRDefault="0044394F" w:rsidP="0044394F">
            <w:pPr>
              <w:jc w:val="right"/>
              <w:rPr>
                <w:b/>
                <w:bCs/>
                <w:sz w:val="13"/>
                <w:szCs w:val="13"/>
              </w:rPr>
            </w:pPr>
            <w:r w:rsidRPr="001F224B">
              <w:rPr>
                <w:b/>
                <w:bCs/>
                <w:color w:val="000000"/>
                <w:sz w:val="13"/>
                <w:szCs w:val="13"/>
              </w:rPr>
              <w:t>680.860.314</w:t>
            </w:r>
          </w:p>
        </w:tc>
      </w:tr>
      <w:tr w:rsidR="0044394F" w:rsidRPr="001F224B" w14:paraId="3A865BE3" w14:textId="77777777" w:rsidTr="00315AF0">
        <w:trPr>
          <w:trHeight w:val="19"/>
        </w:trPr>
        <w:tc>
          <w:tcPr>
            <w:tcW w:w="579" w:type="dxa"/>
            <w:tcBorders>
              <w:top w:val="nil"/>
              <w:left w:val="single" w:sz="2" w:space="0" w:color="auto"/>
              <w:bottom w:val="nil"/>
              <w:right w:val="nil"/>
            </w:tcBorders>
            <w:shd w:val="clear" w:color="auto" w:fill="auto"/>
            <w:noWrap/>
          </w:tcPr>
          <w:p w14:paraId="182DE22A" w14:textId="77777777" w:rsidR="0044394F" w:rsidRPr="001F224B" w:rsidRDefault="0044394F" w:rsidP="0044394F">
            <w:pPr>
              <w:rPr>
                <w:b/>
                <w:bCs/>
                <w:color w:val="000000"/>
                <w:sz w:val="13"/>
                <w:szCs w:val="13"/>
                <w:lang w:eastAsia="en-US"/>
              </w:rPr>
            </w:pPr>
            <w:r w:rsidRPr="001F224B">
              <w:rPr>
                <w:sz w:val="13"/>
                <w:szCs w:val="13"/>
              </w:rPr>
              <w:t>5.1</w:t>
            </w:r>
          </w:p>
        </w:tc>
        <w:tc>
          <w:tcPr>
            <w:tcW w:w="3901" w:type="dxa"/>
            <w:tcBorders>
              <w:top w:val="nil"/>
              <w:left w:val="nil"/>
              <w:bottom w:val="nil"/>
              <w:right w:val="single" w:sz="2" w:space="0" w:color="auto"/>
            </w:tcBorders>
            <w:shd w:val="clear" w:color="auto" w:fill="auto"/>
            <w:noWrap/>
            <w:vAlign w:val="bottom"/>
          </w:tcPr>
          <w:p w14:paraId="334A2120" w14:textId="77777777" w:rsidR="0044394F" w:rsidRPr="001F224B" w:rsidRDefault="0044394F" w:rsidP="0044394F">
            <w:pPr>
              <w:ind w:left="-123"/>
              <w:rPr>
                <w:b/>
                <w:bCs/>
                <w:color w:val="000000"/>
                <w:sz w:val="13"/>
                <w:szCs w:val="13"/>
                <w:lang w:eastAsia="en-US"/>
              </w:rPr>
            </w:pPr>
            <w:r w:rsidRPr="001F224B">
              <w:rPr>
                <w:color w:val="000000"/>
                <w:sz w:val="13"/>
                <w:szCs w:val="13"/>
                <w:lang w:eastAsia="en-US"/>
              </w:rPr>
              <w:t xml:space="preserve"> Menkul Kıymetler</w:t>
            </w:r>
          </w:p>
        </w:tc>
        <w:tc>
          <w:tcPr>
            <w:tcW w:w="658" w:type="dxa"/>
            <w:tcBorders>
              <w:top w:val="nil"/>
              <w:left w:val="single" w:sz="2" w:space="0" w:color="auto"/>
              <w:bottom w:val="nil"/>
              <w:right w:val="single" w:sz="2" w:space="0" w:color="auto"/>
            </w:tcBorders>
            <w:shd w:val="clear" w:color="auto" w:fill="auto"/>
            <w:noWrap/>
            <w:vAlign w:val="bottom"/>
          </w:tcPr>
          <w:p w14:paraId="3DE5A77C" w14:textId="77777777" w:rsidR="0044394F" w:rsidRPr="001F224B" w:rsidRDefault="0044394F" w:rsidP="0044394F">
            <w:pPr>
              <w:jc w:val="center"/>
              <w:rPr>
                <w:rFonts w:eastAsia="Arial Unicode MS"/>
                <w:color w:val="000000"/>
                <w:sz w:val="13"/>
                <w:szCs w:val="13"/>
                <w:lang w:eastAsia="en-US"/>
              </w:rPr>
            </w:pPr>
          </w:p>
        </w:tc>
        <w:tc>
          <w:tcPr>
            <w:tcW w:w="868" w:type="dxa"/>
            <w:tcBorders>
              <w:top w:val="nil"/>
              <w:left w:val="nil"/>
              <w:bottom w:val="nil"/>
              <w:right w:val="single" w:sz="4" w:space="0" w:color="auto"/>
            </w:tcBorders>
            <w:shd w:val="clear" w:color="auto" w:fill="auto"/>
            <w:noWrap/>
          </w:tcPr>
          <w:p w14:paraId="2E57183D" w14:textId="5640B16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3.862.569</w:t>
            </w:r>
          </w:p>
        </w:tc>
        <w:tc>
          <w:tcPr>
            <w:tcW w:w="868" w:type="dxa"/>
            <w:tcBorders>
              <w:top w:val="nil"/>
              <w:left w:val="single" w:sz="4" w:space="0" w:color="auto"/>
              <w:bottom w:val="nil"/>
              <w:right w:val="single" w:sz="4" w:space="0" w:color="auto"/>
            </w:tcBorders>
            <w:shd w:val="clear" w:color="auto" w:fill="auto"/>
            <w:noWrap/>
          </w:tcPr>
          <w:p w14:paraId="5E49ADFB" w14:textId="2DABE1B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679.899</w:t>
            </w:r>
          </w:p>
        </w:tc>
        <w:tc>
          <w:tcPr>
            <w:tcW w:w="869" w:type="dxa"/>
            <w:tcBorders>
              <w:top w:val="nil"/>
              <w:left w:val="single" w:sz="4" w:space="0" w:color="auto"/>
              <w:bottom w:val="nil"/>
              <w:right w:val="single" w:sz="4" w:space="0" w:color="auto"/>
            </w:tcBorders>
            <w:shd w:val="clear" w:color="auto" w:fill="auto"/>
            <w:noWrap/>
          </w:tcPr>
          <w:p w14:paraId="4BA45D82" w14:textId="6C4432B4"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4.542.468</w:t>
            </w:r>
          </w:p>
        </w:tc>
        <w:tc>
          <w:tcPr>
            <w:tcW w:w="868" w:type="dxa"/>
            <w:tcBorders>
              <w:top w:val="nil"/>
              <w:left w:val="single" w:sz="4" w:space="0" w:color="auto"/>
              <w:bottom w:val="nil"/>
              <w:right w:val="single" w:sz="4" w:space="0" w:color="auto"/>
            </w:tcBorders>
            <w:shd w:val="clear" w:color="auto" w:fill="auto"/>
            <w:vAlign w:val="center"/>
          </w:tcPr>
          <w:p w14:paraId="7BA43092" w14:textId="6190FA41" w:rsidR="0044394F" w:rsidRPr="001F224B" w:rsidRDefault="0044394F" w:rsidP="0044394F">
            <w:pPr>
              <w:jc w:val="right"/>
              <w:rPr>
                <w:b/>
                <w:bCs/>
                <w:sz w:val="13"/>
                <w:szCs w:val="13"/>
              </w:rPr>
            </w:pPr>
            <w:r w:rsidRPr="001F224B">
              <w:rPr>
                <w:color w:val="000000"/>
                <w:sz w:val="13"/>
                <w:szCs w:val="13"/>
              </w:rPr>
              <w:t>3.476.749</w:t>
            </w:r>
          </w:p>
        </w:tc>
        <w:tc>
          <w:tcPr>
            <w:tcW w:w="868" w:type="dxa"/>
            <w:tcBorders>
              <w:top w:val="nil"/>
              <w:left w:val="nil"/>
              <w:bottom w:val="nil"/>
              <w:right w:val="single" w:sz="4" w:space="0" w:color="auto"/>
            </w:tcBorders>
            <w:shd w:val="clear" w:color="auto" w:fill="auto"/>
            <w:vAlign w:val="center"/>
          </w:tcPr>
          <w:p w14:paraId="64E843E7" w14:textId="79176243" w:rsidR="0044394F" w:rsidRPr="001F224B" w:rsidRDefault="0044394F" w:rsidP="0044394F">
            <w:pPr>
              <w:jc w:val="right"/>
              <w:rPr>
                <w:b/>
                <w:bCs/>
                <w:sz w:val="13"/>
                <w:szCs w:val="13"/>
              </w:rPr>
            </w:pPr>
            <w:r w:rsidRPr="001F224B">
              <w:rPr>
                <w:color w:val="000000"/>
                <w:sz w:val="13"/>
                <w:szCs w:val="13"/>
              </w:rPr>
              <w:t>654.546</w:t>
            </w:r>
          </w:p>
        </w:tc>
        <w:tc>
          <w:tcPr>
            <w:tcW w:w="869" w:type="dxa"/>
            <w:tcBorders>
              <w:top w:val="nil"/>
              <w:left w:val="nil"/>
              <w:bottom w:val="nil"/>
              <w:right w:val="single" w:sz="2" w:space="0" w:color="auto"/>
            </w:tcBorders>
            <w:shd w:val="clear" w:color="auto" w:fill="auto"/>
            <w:vAlign w:val="center"/>
          </w:tcPr>
          <w:p w14:paraId="3D81E04A" w14:textId="4FFA998A" w:rsidR="0044394F" w:rsidRPr="001F224B" w:rsidRDefault="0044394F" w:rsidP="0044394F">
            <w:pPr>
              <w:jc w:val="right"/>
              <w:rPr>
                <w:b/>
                <w:bCs/>
                <w:sz w:val="13"/>
                <w:szCs w:val="13"/>
              </w:rPr>
            </w:pPr>
            <w:r w:rsidRPr="001F224B">
              <w:rPr>
                <w:color w:val="000000"/>
                <w:sz w:val="13"/>
                <w:szCs w:val="13"/>
              </w:rPr>
              <w:t>4.131.295</w:t>
            </w:r>
          </w:p>
        </w:tc>
      </w:tr>
      <w:tr w:rsidR="0044394F" w:rsidRPr="001F224B" w14:paraId="31B66391" w14:textId="77777777" w:rsidTr="00315AF0">
        <w:trPr>
          <w:trHeight w:val="19"/>
        </w:trPr>
        <w:tc>
          <w:tcPr>
            <w:tcW w:w="579" w:type="dxa"/>
            <w:tcBorders>
              <w:top w:val="nil"/>
              <w:left w:val="single" w:sz="2" w:space="0" w:color="auto"/>
              <w:bottom w:val="nil"/>
              <w:right w:val="nil"/>
            </w:tcBorders>
            <w:shd w:val="clear" w:color="auto" w:fill="auto"/>
            <w:noWrap/>
            <w:hideMark/>
          </w:tcPr>
          <w:p w14:paraId="4F7FE79C" w14:textId="77777777" w:rsidR="0044394F" w:rsidRPr="001F224B" w:rsidRDefault="0044394F" w:rsidP="0044394F">
            <w:pPr>
              <w:rPr>
                <w:color w:val="000000"/>
                <w:sz w:val="13"/>
                <w:szCs w:val="13"/>
                <w:lang w:val="en-US" w:eastAsia="en-US"/>
              </w:rPr>
            </w:pPr>
            <w:r w:rsidRPr="001F224B">
              <w:rPr>
                <w:sz w:val="13"/>
                <w:szCs w:val="13"/>
              </w:rPr>
              <w:t>5.2</w:t>
            </w:r>
          </w:p>
        </w:tc>
        <w:tc>
          <w:tcPr>
            <w:tcW w:w="3901" w:type="dxa"/>
            <w:tcBorders>
              <w:top w:val="nil"/>
              <w:left w:val="nil"/>
              <w:bottom w:val="nil"/>
              <w:right w:val="single" w:sz="2" w:space="0" w:color="auto"/>
            </w:tcBorders>
            <w:shd w:val="clear" w:color="auto" w:fill="auto"/>
            <w:noWrap/>
            <w:vAlign w:val="bottom"/>
            <w:hideMark/>
          </w:tcPr>
          <w:p w14:paraId="78E524D5"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Teminat Senetleri</w:t>
            </w:r>
          </w:p>
        </w:tc>
        <w:tc>
          <w:tcPr>
            <w:tcW w:w="658" w:type="dxa"/>
            <w:tcBorders>
              <w:top w:val="nil"/>
              <w:left w:val="single" w:sz="2" w:space="0" w:color="auto"/>
              <w:bottom w:val="nil"/>
              <w:right w:val="single" w:sz="2" w:space="0" w:color="auto"/>
            </w:tcBorders>
            <w:shd w:val="clear" w:color="auto" w:fill="auto"/>
            <w:noWrap/>
            <w:vAlign w:val="bottom"/>
            <w:hideMark/>
          </w:tcPr>
          <w:p w14:paraId="09C3056E"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19B3FECA" w14:textId="0C207D7E"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29425D35" w14:textId="6A5ED015"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3.556.096</w:t>
            </w:r>
          </w:p>
        </w:tc>
        <w:tc>
          <w:tcPr>
            <w:tcW w:w="869" w:type="dxa"/>
            <w:tcBorders>
              <w:top w:val="nil"/>
              <w:left w:val="single" w:sz="4" w:space="0" w:color="auto"/>
              <w:bottom w:val="nil"/>
              <w:right w:val="single" w:sz="4" w:space="0" w:color="auto"/>
            </w:tcBorders>
            <w:shd w:val="clear" w:color="auto" w:fill="auto"/>
            <w:noWrap/>
            <w:hideMark/>
          </w:tcPr>
          <w:p w14:paraId="71FE7B37" w14:textId="09476107"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3.556.096</w:t>
            </w:r>
          </w:p>
        </w:tc>
        <w:tc>
          <w:tcPr>
            <w:tcW w:w="868" w:type="dxa"/>
            <w:tcBorders>
              <w:top w:val="nil"/>
              <w:left w:val="nil"/>
              <w:bottom w:val="nil"/>
              <w:right w:val="single" w:sz="4" w:space="0" w:color="auto"/>
            </w:tcBorders>
            <w:shd w:val="clear" w:color="auto" w:fill="auto"/>
            <w:vAlign w:val="center"/>
          </w:tcPr>
          <w:p w14:paraId="4AC9D954" w14:textId="6715A322" w:rsidR="0044394F" w:rsidRPr="001F224B" w:rsidRDefault="0044394F" w:rsidP="0044394F">
            <w:pPr>
              <w:jc w:val="right"/>
              <w:rPr>
                <w:sz w:val="13"/>
                <w:szCs w:val="13"/>
              </w:rPr>
            </w:pPr>
            <w:r w:rsidRPr="001F224B">
              <w:rPr>
                <w:sz w:val="13"/>
                <w:szCs w:val="13"/>
              </w:rPr>
              <w:t>-</w:t>
            </w:r>
          </w:p>
        </w:tc>
        <w:tc>
          <w:tcPr>
            <w:tcW w:w="868" w:type="dxa"/>
            <w:tcBorders>
              <w:top w:val="nil"/>
              <w:left w:val="nil"/>
              <w:bottom w:val="nil"/>
              <w:right w:val="single" w:sz="4" w:space="0" w:color="auto"/>
            </w:tcBorders>
            <w:shd w:val="clear" w:color="auto" w:fill="auto"/>
            <w:vAlign w:val="center"/>
          </w:tcPr>
          <w:p w14:paraId="3CA3382B" w14:textId="25C6F5B3" w:rsidR="0044394F" w:rsidRPr="001F224B" w:rsidRDefault="0044394F" w:rsidP="0044394F">
            <w:pPr>
              <w:jc w:val="right"/>
              <w:rPr>
                <w:sz w:val="13"/>
                <w:szCs w:val="13"/>
              </w:rPr>
            </w:pPr>
            <w:r w:rsidRPr="001F224B">
              <w:rPr>
                <w:color w:val="000000"/>
                <w:sz w:val="13"/>
                <w:szCs w:val="13"/>
              </w:rPr>
              <w:t>3.360.450</w:t>
            </w:r>
          </w:p>
        </w:tc>
        <w:tc>
          <w:tcPr>
            <w:tcW w:w="869" w:type="dxa"/>
            <w:tcBorders>
              <w:top w:val="nil"/>
              <w:left w:val="nil"/>
              <w:bottom w:val="nil"/>
              <w:right w:val="single" w:sz="2" w:space="0" w:color="auto"/>
            </w:tcBorders>
            <w:shd w:val="clear" w:color="auto" w:fill="auto"/>
            <w:vAlign w:val="center"/>
          </w:tcPr>
          <w:p w14:paraId="5CAE9C7E" w14:textId="323CDA93" w:rsidR="0044394F" w:rsidRPr="001F224B" w:rsidRDefault="0044394F" w:rsidP="0044394F">
            <w:pPr>
              <w:jc w:val="right"/>
              <w:rPr>
                <w:sz w:val="13"/>
                <w:szCs w:val="13"/>
              </w:rPr>
            </w:pPr>
            <w:r w:rsidRPr="001F224B">
              <w:rPr>
                <w:color w:val="000000"/>
                <w:sz w:val="13"/>
                <w:szCs w:val="13"/>
              </w:rPr>
              <w:t>3.360.450</w:t>
            </w:r>
          </w:p>
        </w:tc>
      </w:tr>
      <w:tr w:rsidR="0044394F" w:rsidRPr="001F224B" w14:paraId="60310AE6" w14:textId="77777777" w:rsidTr="00EB1C95">
        <w:trPr>
          <w:trHeight w:val="19"/>
        </w:trPr>
        <w:tc>
          <w:tcPr>
            <w:tcW w:w="579" w:type="dxa"/>
            <w:tcBorders>
              <w:top w:val="nil"/>
              <w:left w:val="single" w:sz="2" w:space="0" w:color="auto"/>
              <w:bottom w:val="nil"/>
              <w:right w:val="nil"/>
            </w:tcBorders>
            <w:shd w:val="clear" w:color="auto" w:fill="auto"/>
            <w:noWrap/>
            <w:hideMark/>
          </w:tcPr>
          <w:p w14:paraId="3D168AB1" w14:textId="77777777" w:rsidR="0044394F" w:rsidRPr="001F224B" w:rsidRDefault="0044394F" w:rsidP="0044394F">
            <w:pPr>
              <w:rPr>
                <w:color w:val="000000"/>
                <w:sz w:val="13"/>
                <w:szCs w:val="13"/>
                <w:lang w:val="en-US" w:eastAsia="en-US"/>
              </w:rPr>
            </w:pPr>
            <w:r w:rsidRPr="001F224B">
              <w:rPr>
                <w:sz w:val="13"/>
                <w:szCs w:val="13"/>
              </w:rPr>
              <w:t>5.3</w:t>
            </w:r>
          </w:p>
        </w:tc>
        <w:tc>
          <w:tcPr>
            <w:tcW w:w="3901" w:type="dxa"/>
            <w:tcBorders>
              <w:top w:val="nil"/>
              <w:left w:val="nil"/>
              <w:bottom w:val="nil"/>
              <w:right w:val="single" w:sz="2" w:space="0" w:color="auto"/>
            </w:tcBorders>
            <w:shd w:val="clear" w:color="auto" w:fill="auto"/>
            <w:noWrap/>
            <w:vAlign w:val="bottom"/>
            <w:hideMark/>
          </w:tcPr>
          <w:p w14:paraId="24D37A0D"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Emtia</w:t>
            </w:r>
          </w:p>
        </w:tc>
        <w:tc>
          <w:tcPr>
            <w:tcW w:w="658" w:type="dxa"/>
            <w:tcBorders>
              <w:top w:val="nil"/>
              <w:left w:val="single" w:sz="2" w:space="0" w:color="auto"/>
              <w:bottom w:val="nil"/>
              <w:right w:val="single" w:sz="2" w:space="0" w:color="auto"/>
            </w:tcBorders>
            <w:shd w:val="clear" w:color="auto" w:fill="auto"/>
            <w:noWrap/>
            <w:vAlign w:val="bottom"/>
            <w:hideMark/>
          </w:tcPr>
          <w:p w14:paraId="5FFDFEB7"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21A2F3" w14:textId="56D7FC18"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B751067" w14:textId="0DEFB45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35032E3D" w14:textId="0C2849A7"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611A670" w14:textId="250CCF4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E2AED14" w14:textId="06AB36AC"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FD602AA" w14:textId="1B110E2E"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17AFD847" w14:textId="77777777" w:rsidTr="00EB1C95">
        <w:trPr>
          <w:trHeight w:val="19"/>
        </w:trPr>
        <w:tc>
          <w:tcPr>
            <w:tcW w:w="579" w:type="dxa"/>
            <w:tcBorders>
              <w:top w:val="nil"/>
              <w:left w:val="single" w:sz="2" w:space="0" w:color="auto"/>
              <w:bottom w:val="nil"/>
              <w:right w:val="nil"/>
            </w:tcBorders>
            <w:shd w:val="clear" w:color="auto" w:fill="auto"/>
            <w:noWrap/>
            <w:hideMark/>
          </w:tcPr>
          <w:p w14:paraId="547BFCE9" w14:textId="77777777" w:rsidR="0044394F" w:rsidRPr="001F224B" w:rsidRDefault="0044394F" w:rsidP="0044394F">
            <w:pPr>
              <w:rPr>
                <w:color w:val="000000"/>
                <w:sz w:val="13"/>
                <w:szCs w:val="13"/>
                <w:lang w:val="en-US" w:eastAsia="en-US"/>
              </w:rPr>
            </w:pPr>
            <w:r w:rsidRPr="001F224B">
              <w:rPr>
                <w:sz w:val="13"/>
                <w:szCs w:val="13"/>
              </w:rPr>
              <w:t>5.4</w:t>
            </w:r>
          </w:p>
        </w:tc>
        <w:tc>
          <w:tcPr>
            <w:tcW w:w="3901" w:type="dxa"/>
            <w:tcBorders>
              <w:top w:val="nil"/>
              <w:left w:val="nil"/>
              <w:bottom w:val="nil"/>
              <w:right w:val="single" w:sz="2" w:space="0" w:color="auto"/>
            </w:tcBorders>
            <w:shd w:val="clear" w:color="auto" w:fill="auto"/>
            <w:noWrap/>
            <w:vAlign w:val="bottom"/>
            <w:hideMark/>
          </w:tcPr>
          <w:p w14:paraId="33A24AF1"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Varant</w:t>
            </w:r>
          </w:p>
        </w:tc>
        <w:tc>
          <w:tcPr>
            <w:tcW w:w="658" w:type="dxa"/>
            <w:tcBorders>
              <w:top w:val="nil"/>
              <w:left w:val="single" w:sz="2" w:space="0" w:color="auto"/>
              <w:bottom w:val="nil"/>
              <w:right w:val="single" w:sz="2" w:space="0" w:color="auto"/>
            </w:tcBorders>
            <w:shd w:val="clear" w:color="auto" w:fill="auto"/>
            <w:noWrap/>
            <w:vAlign w:val="bottom"/>
            <w:hideMark/>
          </w:tcPr>
          <w:p w14:paraId="7421C049"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DDAAE53" w14:textId="4FF236B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8" w:type="dxa"/>
            <w:tcBorders>
              <w:top w:val="nil"/>
              <w:left w:val="nil"/>
              <w:bottom w:val="nil"/>
              <w:right w:val="single" w:sz="4" w:space="0" w:color="auto"/>
            </w:tcBorders>
            <w:shd w:val="clear" w:color="auto" w:fill="auto"/>
            <w:noWrap/>
            <w:hideMark/>
          </w:tcPr>
          <w:p w14:paraId="595E7F17" w14:textId="00ED974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 xml:space="preserve"> -   </w:t>
            </w:r>
          </w:p>
        </w:tc>
        <w:tc>
          <w:tcPr>
            <w:tcW w:w="869" w:type="dxa"/>
            <w:tcBorders>
              <w:top w:val="nil"/>
              <w:left w:val="nil"/>
              <w:bottom w:val="nil"/>
              <w:right w:val="single" w:sz="2" w:space="0" w:color="auto"/>
            </w:tcBorders>
            <w:shd w:val="clear" w:color="auto" w:fill="auto"/>
            <w:noWrap/>
            <w:hideMark/>
          </w:tcPr>
          <w:p w14:paraId="193E8680" w14:textId="608F22E7"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EBA9A9E" w14:textId="25F49CA9"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CA6921" w14:textId="672DCEE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B2FE6A4" w14:textId="77679743" w:rsidR="0044394F" w:rsidRPr="001F224B" w:rsidRDefault="0044394F" w:rsidP="0044394F">
            <w:pPr>
              <w:jc w:val="right"/>
              <w:rPr>
                <w:sz w:val="13"/>
                <w:szCs w:val="13"/>
              </w:rPr>
            </w:pPr>
            <w:r w:rsidRPr="001F224B">
              <w:rPr>
                <w:rFonts w:ascii="Times New Roman TUR" w:hAnsi="Times New Roman TUR" w:cs="Times New Roman TUR"/>
                <w:sz w:val="13"/>
                <w:szCs w:val="13"/>
              </w:rPr>
              <w:t xml:space="preserve"> - </w:t>
            </w:r>
          </w:p>
        </w:tc>
      </w:tr>
      <w:tr w:rsidR="0044394F" w:rsidRPr="001F224B" w14:paraId="270ACAD8" w14:textId="77777777" w:rsidTr="00315AF0">
        <w:trPr>
          <w:trHeight w:val="19"/>
        </w:trPr>
        <w:tc>
          <w:tcPr>
            <w:tcW w:w="579" w:type="dxa"/>
            <w:tcBorders>
              <w:top w:val="nil"/>
              <w:left w:val="single" w:sz="2" w:space="0" w:color="auto"/>
              <w:bottom w:val="nil"/>
              <w:right w:val="nil"/>
            </w:tcBorders>
            <w:shd w:val="clear" w:color="auto" w:fill="auto"/>
            <w:noWrap/>
            <w:hideMark/>
          </w:tcPr>
          <w:p w14:paraId="5008E632" w14:textId="77777777" w:rsidR="0044394F" w:rsidRPr="001F224B" w:rsidRDefault="0044394F" w:rsidP="0044394F">
            <w:pPr>
              <w:rPr>
                <w:color w:val="000000"/>
                <w:sz w:val="13"/>
                <w:szCs w:val="13"/>
                <w:lang w:val="en-US" w:eastAsia="en-US"/>
              </w:rPr>
            </w:pPr>
            <w:r w:rsidRPr="001F224B">
              <w:rPr>
                <w:sz w:val="13"/>
                <w:szCs w:val="13"/>
              </w:rPr>
              <w:t>5.5</w:t>
            </w:r>
          </w:p>
        </w:tc>
        <w:tc>
          <w:tcPr>
            <w:tcW w:w="3901" w:type="dxa"/>
            <w:tcBorders>
              <w:top w:val="nil"/>
              <w:left w:val="nil"/>
              <w:bottom w:val="nil"/>
              <w:right w:val="single" w:sz="2" w:space="0" w:color="auto"/>
            </w:tcBorders>
            <w:shd w:val="clear" w:color="auto" w:fill="auto"/>
            <w:noWrap/>
            <w:vAlign w:val="bottom"/>
            <w:hideMark/>
          </w:tcPr>
          <w:p w14:paraId="0073F42B"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Gayrimenkul</w:t>
            </w:r>
          </w:p>
        </w:tc>
        <w:tc>
          <w:tcPr>
            <w:tcW w:w="658" w:type="dxa"/>
            <w:tcBorders>
              <w:top w:val="nil"/>
              <w:left w:val="single" w:sz="2" w:space="0" w:color="auto"/>
              <w:bottom w:val="nil"/>
              <w:right w:val="single" w:sz="2" w:space="0" w:color="auto"/>
            </w:tcBorders>
            <w:shd w:val="clear" w:color="auto" w:fill="auto"/>
            <w:noWrap/>
            <w:vAlign w:val="bottom"/>
            <w:hideMark/>
          </w:tcPr>
          <w:p w14:paraId="7B6ACD97"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4B5E0DFF" w14:textId="6409149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122.010.693</w:t>
            </w:r>
          </w:p>
        </w:tc>
        <w:tc>
          <w:tcPr>
            <w:tcW w:w="868" w:type="dxa"/>
            <w:tcBorders>
              <w:top w:val="nil"/>
              <w:left w:val="nil"/>
              <w:bottom w:val="nil"/>
              <w:right w:val="single" w:sz="4" w:space="0" w:color="auto"/>
            </w:tcBorders>
            <w:shd w:val="clear" w:color="auto" w:fill="auto"/>
            <w:noWrap/>
            <w:hideMark/>
          </w:tcPr>
          <w:p w14:paraId="724BC37B" w14:textId="44FD011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693.154.835</w:t>
            </w:r>
          </w:p>
        </w:tc>
        <w:tc>
          <w:tcPr>
            <w:tcW w:w="869" w:type="dxa"/>
            <w:tcBorders>
              <w:top w:val="nil"/>
              <w:left w:val="nil"/>
              <w:bottom w:val="nil"/>
              <w:right w:val="single" w:sz="4" w:space="0" w:color="auto"/>
            </w:tcBorders>
            <w:shd w:val="clear" w:color="auto" w:fill="auto"/>
            <w:noWrap/>
            <w:hideMark/>
          </w:tcPr>
          <w:p w14:paraId="5F972956" w14:textId="734AB021"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815.165.528</w:t>
            </w:r>
          </w:p>
        </w:tc>
        <w:tc>
          <w:tcPr>
            <w:tcW w:w="868" w:type="dxa"/>
            <w:tcBorders>
              <w:top w:val="nil"/>
              <w:left w:val="nil"/>
              <w:bottom w:val="nil"/>
              <w:right w:val="single" w:sz="4" w:space="0" w:color="auto"/>
            </w:tcBorders>
            <w:shd w:val="clear" w:color="auto" w:fill="auto"/>
            <w:vAlign w:val="center"/>
          </w:tcPr>
          <w:p w14:paraId="4519B88F" w14:textId="40516850" w:rsidR="0044394F" w:rsidRPr="001F224B" w:rsidRDefault="0044394F" w:rsidP="0044394F">
            <w:pPr>
              <w:jc w:val="right"/>
              <w:rPr>
                <w:sz w:val="13"/>
                <w:szCs w:val="13"/>
              </w:rPr>
            </w:pPr>
            <w:r w:rsidRPr="001F224B">
              <w:rPr>
                <w:color w:val="000000"/>
                <w:sz w:val="13"/>
                <w:szCs w:val="13"/>
              </w:rPr>
              <w:t>121.911.393</w:t>
            </w:r>
          </w:p>
        </w:tc>
        <w:tc>
          <w:tcPr>
            <w:tcW w:w="868" w:type="dxa"/>
            <w:tcBorders>
              <w:top w:val="nil"/>
              <w:left w:val="nil"/>
              <w:bottom w:val="nil"/>
              <w:right w:val="single" w:sz="4" w:space="0" w:color="auto"/>
            </w:tcBorders>
            <w:shd w:val="clear" w:color="auto" w:fill="auto"/>
            <w:vAlign w:val="center"/>
          </w:tcPr>
          <w:p w14:paraId="06CA2A82" w14:textId="56AE5E70" w:rsidR="0044394F" w:rsidRPr="001F224B" w:rsidRDefault="0044394F" w:rsidP="0044394F">
            <w:pPr>
              <w:jc w:val="right"/>
              <w:rPr>
                <w:sz w:val="13"/>
                <w:szCs w:val="13"/>
              </w:rPr>
            </w:pPr>
            <w:r w:rsidRPr="001F224B">
              <w:rPr>
                <w:color w:val="000000"/>
                <w:sz w:val="13"/>
                <w:szCs w:val="13"/>
              </w:rPr>
              <w:t>514.670.160</w:t>
            </w:r>
          </w:p>
        </w:tc>
        <w:tc>
          <w:tcPr>
            <w:tcW w:w="869" w:type="dxa"/>
            <w:tcBorders>
              <w:top w:val="nil"/>
              <w:left w:val="nil"/>
              <w:bottom w:val="nil"/>
              <w:right w:val="single" w:sz="2" w:space="0" w:color="auto"/>
            </w:tcBorders>
            <w:shd w:val="clear" w:color="auto" w:fill="auto"/>
            <w:vAlign w:val="center"/>
          </w:tcPr>
          <w:p w14:paraId="14CD6790" w14:textId="4B9CE268" w:rsidR="0044394F" w:rsidRPr="001F224B" w:rsidRDefault="0044394F" w:rsidP="0044394F">
            <w:pPr>
              <w:jc w:val="right"/>
              <w:rPr>
                <w:sz w:val="13"/>
                <w:szCs w:val="13"/>
              </w:rPr>
            </w:pPr>
            <w:r w:rsidRPr="001F224B">
              <w:rPr>
                <w:color w:val="000000"/>
                <w:sz w:val="13"/>
                <w:szCs w:val="13"/>
              </w:rPr>
              <w:t>636.581.553</w:t>
            </w:r>
          </w:p>
        </w:tc>
      </w:tr>
      <w:tr w:rsidR="0044394F" w:rsidRPr="001F224B" w14:paraId="105F86D9" w14:textId="77777777" w:rsidTr="00315AF0">
        <w:trPr>
          <w:trHeight w:val="19"/>
        </w:trPr>
        <w:tc>
          <w:tcPr>
            <w:tcW w:w="579" w:type="dxa"/>
            <w:tcBorders>
              <w:top w:val="nil"/>
              <w:left w:val="single" w:sz="2" w:space="0" w:color="auto"/>
              <w:bottom w:val="nil"/>
              <w:right w:val="nil"/>
            </w:tcBorders>
            <w:shd w:val="clear" w:color="auto" w:fill="auto"/>
            <w:noWrap/>
            <w:hideMark/>
          </w:tcPr>
          <w:p w14:paraId="6414778A" w14:textId="77777777" w:rsidR="0044394F" w:rsidRPr="001F224B" w:rsidRDefault="0044394F" w:rsidP="0044394F">
            <w:pPr>
              <w:rPr>
                <w:color w:val="000000"/>
                <w:sz w:val="13"/>
                <w:szCs w:val="13"/>
                <w:lang w:val="en-US" w:eastAsia="en-US"/>
              </w:rPr>
            </w:pPr>
            <w:r w:rsidRPr="001F224B">
              <w:rPr>
                <w:sz w:val="13"/>
                <w:szCs w:val="13"/>
              </w:rPr>
              <w:t>5.6</w:t>
            </w:r>
          </w:p>
        </w:tc>
        <w:tc>
          <w:tcPr>
            <w:tcW w:w="3901" w:type="dxa"/>
            <w:tcBorders>
              <w:top w:val="nil"/>
              <w:left w:val="nil"/>
              <w:bottom w:val="nil"/>
              <w:right w:val="single" w:sz="2" w:space="0" w:color="auto"/>
            </w:tcBorders>
            <w:shd w:val="clear" w:color="auto" w:fill="auto"/>
            <w:noWrap/>
            <w:vAlign w:val="bottom"/>
            <w:hideMark/>
          </w:tcPr>
          <w:p w14:paraId="003AD662" w14:textId="77777777" w:rsidR="0044394F" w:rsidRPr="001F224B" w:rsidRDefault="0044394F" w:rsidP="0044394F">
            <w:pPr>
              <w:ind w:left="-123"/>
              <w:rPr>
                <w:color w:val="000000"/>
                <w:sz w:val="13"/>
                <w:szCs w:val="13"/>
                <w:lang w:val="en-US" w:eastAsia="en-US"/>
              </w:rPr>
            </w:pPr>
            <w:r w:rsidRPr="001F224B">
              <w:rPr>
                <w:color w:val="000000"/>
                <w:sz w:val="13"/>
                <w:szCs w:val="13"/>
                <w:lang w:eastAsia="en-US"/>
              </w:rPr>
              <w:t xml:space="preserve"> Diğer Rehinli Kıymetler</w:t>
            </w:r>
          </w:p>
        </w:tc>
        <w:tc>
          <w:tcPr>
            <w:tcW w:w="658" w:type="dxa"/>
            <w:tcBorders>
              <w:top w:val="nil"/>
              <w:left w:val="single" w:sz="2" w:space="0" w:color="auto"/>
              <w:bottom w:val="nil"/>
              <w:right w:val="single" w:sz="2" w:space="0" w:color="auto"/>
            </w:tcBorders>
            <w:shd w:val="clear" w:color="auto" w:fill="auto"/>
            <w:noWrap/>
            <w:vAlign w:val="bottom"/>
            <w:hideMark/>
          </w:tcPr>
          <w:p w14:paraId="6C3F1AA2"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4BED9910" w14:textId="136CCB4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5.543.457</w:t>
            </w:r>
          </w:p>
        </w:tc>
        <w:tc>
          <w:tcPr>
            <w:tcW w:w="868" w:type="dxa"/>
            <w:tcBorders>
              <w:top w:val="nil"/>
              <w:left w:val="nil"/>
              <w:bottom w:val="nil"/>
              <w:right w:val="single" w:sz="4" w:space="0" w:color="auto"/>
            </w:tcBorders>
            <w:shd w:val="clear" w:color="auto" w:fill="auto"/>
            <w:noWrap/>
            <w:hideMark/>
          </w:tcPr>
          <w:p w14:paraId="7515C55D" w14:textId="224D8C49"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29.079.609</w:t>
            </w:r>
          </w:p>
        </w:tc>
        <w:tc>
          <w:tcPr>
            <w:tcW w:w="869" w:type="dxa"/>
            <w:tcBorders>
              <w:top w:val="nil"/>
              <w:left w:val="nil"/>
              <w:bottom w:val="nil"/>
              <w:right w:val="single" w:sz="4" w:space="0" w:color="auto"/>
            </w:tcBorders>
            <w:shd w:val="clear" w:color="auto" w:fill="auto"/>
            <w:noWrap/>
            <w:hideMark/>
          </w:tcPr>
          <w:p w14:paraId="5F4176B9" w14:textId="1917815A"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34.623.066</w:t>
            </w:r>
          </w:p>
        </w:tc>
        <w:tc>
          <w:tcPr>
            <w:tcW w:w="868" w:type="dxa"/>
            <w:tcBorders>
              <w:top w:val="nil"/>
              <w:left w:val="nil"/>
              <w:bottom w:val="nil"/>
              <w:right w:val="single" w:sz="4" w:space="0" w:color="auto"/>
            </w:tcBorders>
            <w:shd w:val="clear" w:color="auto" w:fill="auto"/>
            <w:vAlign w:val="center"/>
          </w:tcPr>
          <w:p w14:paraId="6D746D72" w14:textId="7D255CFB" w:rsidR="0044394F" w:rsidRPr="001F224B" w:rsidRDefault="0044394F" w:rsidP="0044394F">
            <w:pPr>
              <w:jc w:val="right"/>
              <w:rPr>
                <w:sz w:val="13"/>
                <w:szCs w:val="13"/>
              </w:rPr>
            </w:pPr>
            <w:r w:rsidRPr="001F224B">
              <w:rPr>
                <w:color w:val="000000"/>
                <w:sz w:val="13"/>
                <w:szCs w:val="13"/>
              </w:rPr>
              <w:t>5.623.575</w:t>
            </w:r>
          </w:p>
        </w:tc>
        <w:tc>
          <w:tcPr>
            <w:tcW w:w="868" w:type="dxa"/>
            <w:tcBorders>
              <w:top w:val="nil"/>
              <w:left w:val="nil"/>
              <w:bottom w:val="nil"/>
              <w:right w:val="single" w:sz="4" w:space="0" w:color="auto"/>
            </w:tcBorders>
            <w:shd w:val="clear" w:color="auto" w:fill="auto"/>
            <w:vAlign w:val="center"/>
          </w:tcPr>
          <w:p w14:paraId="2697B13E" w14:textId="79FFB8DD" w:rsidR="0044394F" w:rsidRPr="001F224B" w:rsidRDefault="0044394F" w:rsidP="0044394F">
            <w:pPr>
              <w:jc w:val="right"/>
              <w:rPr>
                <w:sz w:val="13"/>
                <w:szCs w:val="13"/>
              </w:rPr>
            </w:pPr>
            <w:r w:rsidRPr="001F224B">
              <w:rPr>
                <w:color w:val="000000"/>
                <w:sz w:val="13"/>
                <w:szCs w:val="13"/>
              </w:rPr>
              <w:t>26.609.300</w:t>
            </w:r>
          </w:p>
        </w:tc>
        <w:tc>
          <w:tcPr>
            <w:tcW w:w="869" w:type="dxa"/>
            <w:tcBorders>
              <w:top w:val="nil"/>
              <w:left w:val="nil"/>
              <w:bottom w:val="nil"/>
              <w:right w:val="single" w:sz="2" w:space="0" w:color="auto"/>
            </w:tcBorders>
            <w:shd w:val="clear" w:color="auto" w:fill="auto"/>
            <w:vAlign w:val="center"/>
          </w:tcPr>
          <w:p w14:paraId="247750B2" w14:textId="317DB95E" w:rsidR="0044394F" w:rsidRPr="001F224B" w:rsidRDefault="0044394F" w:rsidP="0044394F">
            <w:pPr>
              <w:jc w:val="right"/>
              <w:rPr>
                <w:sz w:val="13"/>
                <w:szCs w:val="13"/>
              </w:rPr>
            </w:pPr>
            <w:r w:rsidRPr="001F224B">
              <w:rPr>
                <w:color w:val="000000"/>
                <w:sz w:val="13"/>
                <w:szCs w:val="13"/>
              </w:rPr>
              <w:t>32.232.875</w:t>
            </w:r>
          </w:p>
        </w:tc>
      </w:tr>
      <w:tr w:rsidR="0044394F" w:rsidRPr="001F224B" w14:paraId="50A73881" w14:textId="77777777" w:rsidTr="00315AF0">
        <w:trPr>
          <w:trHeight w:val="19"/>
        </w:trPr>
        <w:tc>
          <w:tcPr>
            <w:tcW w:w="579" w:type="dxa"/>
            <w:tcBorders>
              <w:top w:val="nil"/>
              <w:left w:val="single" w:sz="2" w:space="0" w:color="auto"/>
              <w:bottom w:val="nil"/>
              <w:right w:val="nil"/>
            </w:tcBorders>
            <w:shd w:val="clear" w:color="auto" w:fill="auto"/>
            <w:noWrap/>
            <w:hideMark/>
          </w:tcPr>
          <w:p w14:paraId="3BC4DF91" w14:textId="77777777" w:rsidR="0044394F" w:rsidRPr="001F224B" w:rsidRDefault="0044394F" w:rsidP="0044394F">
            <w:pPr>
              <w:rPr>
                <w:color w:val="000000"/>
                <w:sz w:val="13"/>
                <w:szCs w:val="13"/>
                <w:lang w:val="en-US" w:eastAsia="en-US"/>
              </w:rPr>
            </w:pPr>
            <w:r w:rsidRPr="001F224B">
              <w:rPr>
                <w:sz w:val="13"/>
                <w:szCs w:val="13"/>
              </w:rPr>
              <w:t>5.7</w:t>
            </w:r>
          </w:p>
        </w:tc>
        <w:tc>
          <w:tcPr>
            <w:tcW w:w="3901" w:type="dxa"/>
            <w:tcBorders>
              <w:top w:val="nil"/>
              <w:left w:val="nil"/>
              <w:bottom w:val="nil"/>
              <w:right w:val="single" w:sz="2" w:space="0" w:color="auto"/>
            </w:tcBorders>
            <w:shd w:val="clear" w:color="auto" w:fill="auto"/>
            <w:noWrap/>
            <w:vAlign w:val="bottom"/>
            <w:hideMark/>
          </w:tcPr>
          <w:p w14:paraId="0AC18204" w14:textId="77777777" w:rsidR="0044394F" w:rsidRPr="001F224B" w:rsidRDefault="0044394F" w:rsidP="0044394F">
            <w:pPr>
              <w:ind w:left="-123"/>
              <w:rPr>
                <w:color w:val="000000"/>
                <w:sz w:val="13"/>
                <w:szCs w:val="13"/>
                <w:lang w:val="en-US" w:eastAsia="en-US"/>
              </w:rPr>
            </w:pPr>
            <w:r w:rsidRPr="001F224B">
              <w:rPr>
                <w:rFonts w:eastAsia="Arial Unicode MS"/>
                <w:color w:val="000000"/>
                <w:sz w:val="13"/>
                <w:szCs w:val="13"/>
                <w:lang w:eastAsia="en-US"/>
              </w:rPr>
              <w:t xml:space="preserve"> Rehinli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3CA579BE"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hideMark/>
          </w:tcPr>
          <w:p w14:paraId="333C40E5" w14:textId="27871332"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100.120</w:t>
            </w:r>
          </w:p>
        </w:tc>
        <w:tc>
          <w:tcPr>
            <w:tcW w:w="868" w:type="dxa"/>
            <w:tcBorders>
              <w:top w:val="nil"/>
              <w:left w:val="nil"/>
              <w:bottom w:val="nil"/>
              <w:right w:val="single" w:sz="4" w:space="0" w:color="auto"/>
            </w:tcBorders>
            <w:shd w:val="clear" w:color="auto" w:fill="auto"/>
            <w:noWrap/>
            <w:hideMark/>
          </w:tcPr>
          <w:p w14:paraId="299266FC" w14:textId="6314D7DF"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5.510.487</w:t>
            </w:r>
          </w:p>
        </w:tc>
        <w:tc>
          <w:tcPr>
            <w:tcW w:w="869" w:type="dxa"/>
            <w:tcBorders>
              <w:top w:val="nil"/>
              <w:left w:val="nil"/>
              <w:bottom w:val="nil"/>
              <w:right w:val="single" w:sz="4" w:space="0" w:color="auto"/>
            </w:tcBorders>
            <w:shd w:val="clear" w:color="auto" w:fill="auto"/>
            <w:noWrap/>
            <w:hideMark/>
          </w:tcPr>
          <w:p w14:paraId="7085AA8F" w14:textId="75986166" w:rsidR="0044394F" w:rsidRPr="001F224B" w:rsidRDefault="0044394F" w:rsidP="0044394F">
            <w:pPr>
              <w:jc w:val="right"/>
              <w:rPr>
                <w:rFonts w:ascii="Times New Roman TUR" w:hAnsi="Times New Roman TUR" w:cs="Times New Roman TUR"/>
                <w:sz w:val="13"/>
                <w:szCs w:val="13"/>
              </w:rPr>
            </w:pPr>
            <w:r w:rsidRPr="001F224B">
              <w:rPr>
                <w:color w:val="000000"/>
                <w:sz w:val="13"/>
                <w:szCs w:val="13"/>
              </w:rPr>
              <w:t>5.610.607</w:t>
            </w:r>
          </w:p>
        </w:tc>
        <w:tc>
          <w:tcPr>
            <w:tcW w:w="868" w:type="dxa"/>
            <w:tcBorders>
              <w:top w:val="nil"/>
              <w:left w:val="nil"/>
              <w:bottom w:val="nil"/>
              <w:right w:val="single" w:sz="4" w:space="0" w:color="auto"/>
            </w:tcBorders>
            <w:shd w:val="clear" w:color="auto" w:fill="auto"/>
            <w:vAlign w:val="center"/>
          </w:tcPr>
          <w:p w14:paraId="52ED280F" w14:textId="23909FD3" w:rsidR="0044394F" w:rsidRPr="001F224B" w:rsidRDefault="0044394F" w:rsidP="0044394F">
            <w:pPr>
              <w:jc w:val="right"/>
              <w:rPr>
                <w:sz w:val="13"/>
                <w:szCs w:val="13"/>
              </w:rPr>
            </w:pPr>
            <w:r w:rsidRPr="001F224B">
              <w:rPr>
                <w:color w:val="000000"/>
                <w:sz w:val="13"/>
                <w:szCs w:val="13"/>
              </w:rPr>
              <w:t>113.344</w:t>
            </w:r>
          </w:p>
        </w:tc>
        <w:tc>
          <w:tcPr>
            <w:tcW w:w="868" w:type="dxa"/>
            <w:tcBorders>
              <w:top w:val="nil"/>
              <w:left w:val="nil"/>
              <w:bottom w:val="nil"/>
              <w:right w:val="single" w:sz="4" w:space="0" w:color="auto"/>
            </w:tcBorders>
            <w:shd w:val="clear" w:color="auto" w:fill="auto"/>
            <w:vAlign w:val="center"/>
          </w:tcPr>
          <w:p w14:paraId="6F26A7E1" w14:textId="619AC0E8" w:rsidR="0044394F" w:rsidRPr="001F224B" w:rsidRDefault="0044394F" w:rsidP="0044394F">
            <w:pPr>
              <w:jc w:val="right"/>
              <w:rPr>
                <w:sz w:val="13"/>
                <w:szCs w:val="13"/>
              </w:rPr>
            </w:pPr>
            <w:r w:rsidRPr="001F224B">
              <w:rPr>
                <w:color w:val="000000"/>
                <w:sz w:val="13"/>
                <w:szCs w:val="13"/>
              </w:rPr>
              <w:t>4.440.797</w:t>
            </w:r>
          </w:p>
        </w:tc>
        <w:tc>
          <w:tcPr>
            <w:tcW w:w="869" w:type="dxa"/>
            <w:tcBorders>
              <w:top w:val="nil"/>
              <w:left w:val="nil"/>
              <w:bottom w:val="nil"/>
              <w:right w:val="single" w:sz="2" w:space="0" w:color="auto"/>
            </w:tcBorders>
            <w:shd w:val="clear" w:color="auto" w:fill="auto"/>
            <w:vAlign w:val="center"/>
          </w:tcPr>
          <w:p w14:paraId="39035A2D" w14:textId="341A62FF" w:rsidR="0044394F" w:rsidRPr="001F224B" w:rsidRDefault="0044394F" w:rsidP="0044394F">
            <w:pPr>
              <w:jc w:val="right"/>
              <w:rPr>
                <w:sz w:val="13"/>
                <w:szCs w:val="13"/>
              </w:rPr>
            </w:pPr>
            <w:r w:rsidRPr="001F224B">
              <w:rPr>
                <w:color w:val="000000"/>
                <w:sz w:val="13"/>
                <w:szCs w:val="13"/>
              </w:rPr>
              <w:t>4.554.141</w:t>
            </w:r>
          </w:p>
        </w:tc>
      </w:tr>
      <w:tr w:rsidR="0044394F" w:rsidRPr="001F224B" w14:paraId="3E3C7E0E" w14:textId="77777777" w:rsidTr="00B805B3">
        <w:trPr>
          <w:trHeight w:val="19"/>
        </w:trPr>
        <w:tc>
          <w:tcPr>
            <w:tcW w:w="579" w:type="dxa"/>
            <w:tcBorders>
              <w:top w:val="nil"/>
              <w:left w:val="single" w:sz="2" w:space="0" w:color="auto"/>
              <w:bottom w:val="nil"/>
              <w:right w:val="nil"/>
            </w:tcBorders>
            <w:shd w:val="clear" w:color="auto" w:fill="auto"/>
            <w:noWrap/>
            <w:hideMark/>
          </w:tcPr>
          <w:p w14:paraId="3A2F83A2"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VI.</w:t>
            </w:r>
          </w:p>
        </w:tc>
        <w:tc>
          <w:tcPr>
            <w:tcW w:w="3901" w:type="dxa"/>
            <w:tcBorders>
              <w:top w:val="nil"/>
              <w:left w:val="nil"/>
              <w:bottom w:val="single" w:sz="2" w:space="0" w:color="auto"/>
              <w:right w:val="single" w:sz="2" w:space="0" w:color="auto"/>
            </w:tcBorders>
            <w:shd w:val="clear" w:color="auto" w:fill="auto"/>
            <w:noWrap/>
            <w:hideMark/>
          </w:tcPr>
          <w:p w14:paraId="4BD99E5D" w14:textId="77777777" w:rsidR="0044394F" w:rsidRPr="001F224B" w:rsidRDefault="0044394F" w:rsidP="0044394F">
            <w:pPr>
              <w:ind w:left="-123"/>
              <w:rPr>
                <w:b/>
                <w:bCs/>
                <w:color w:val="000000"/>
                <w:sz w:val="13"/>
                <w:szCs w:val="13"/>
                <w:lang w:val="en-US" w:eastAsia="en-US"/>
              </w:rPr>
            </w:pPr>
            <w:r w:rsidRPr="001F224B">
              <w:rPr>
                <w:rFonts w:eastAsia="Arial Unicode MS"/>
                <w:b/>
                <w:bCs/>
                <w:color w:val="000000"/>
                <w:sz w:val="13"/>
                <w:szCs w:val="13"/>
                <w:lang w:eastAsia="en-US"/>
              </w:rPr>
              <w:t xml:space="preserve"> KABUL EDİLEN AVALLER VE KEFALETLER</w:t>
            </w:r>
          </w:p>
        </w:tc>
        <w:tc>
          <w:tcPr>
            <w:tcW w:w="658" w:type="dxa"/>
            <w:tcBorders>
              <w:top w:val="nil"/>
              <w:left w:val="single" w:sz="2" w:space="0" w:color="auto"/>
              <w:bottom w:val="single" w:sz="2" w:space="0" w:color="auto"/>
              <w:right w:val="single" w:sz="2" w:space="0" w:color="auto"/>
            </w:tcBorders>
            <w:shd w:val="clear" w:color="auto" w:fill="auto"/>
            <w:noWrap/>
            <w:hideMark/>
          </w:tcPr>
          <w:p w14:paraId="769D3EAF" w14:textId="77777777" w:rsidR="0044394F" w:rsidRPr="001F224B" w:rsidRDefault="0044394F" w:rsidP="0044394F">
            <w:pPr>
              <w:jc w:val="center"/>
              <w:rPr>
                <w:color w:val="000000"/>
                <w:sz w:val="13"/>
                <w:szCs w:val="13"/>
                <w:lang w:val="en-US" w:eastAsia="en-US"/>
              </w:rPr>
            </w:pPr>
            <w:r w:rsidRPr="001F224B">
              <w:rPr>
                <w:rFonts w:eastAsia="Arial Unicode MS"/>
                <w:color w:val="000000"/>
                <w:sz w:val="13"/>
                <w:szCs w:val="13"/>
                <w:lang w:eastAsia="en-US"/>
              </w:rPr>
              <w:t> </w:t>
            </w:r>
          </w:p>
        </w:tc>
        <w:tc>
          <w:tcPr>
            <w:tcW w:w="868" w:type="dxa"/>
            <w:tcBorders>
              <w:top w:val="nil"/>
              <w:left w:val="nil"/>
              <w:bottom w:val="single" w:sz="2" w:space="0" w:color="auto"/>
              <w:right w:val="single" w:sz="4" w:space="0" w:color="auto"/>
            </w:tcBorders>
            <w:shd w:val="clear" w:color="auto" w:fill="auto"/>
            <w:noWrap/>
            <w:hideMark/>
          </w:tcPr>
          <w:p w14:paraId="097AA4CE" w14:textId="5B0CBCCB"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noWrap/>
            <w:hideMark/>
          </w:tcPr>
          <w:p w14:paraId="41113599" w14:textId="0F99E583"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4" w:space="0" w:color="auto"/>
            </w:tcBorders>
            <w:shd w:val="clear" w:color="auto" w:fill="auto"/>
            <w:noWrap/>
            <w:hideMark/>
          </w:tcPr>
          <w:p w14:paraId="4C42025A" w14:textId="795DE259" w:rsidR="0044394F" w:rsidRPr="001F224B" w:rsidRDefault="0044394F" w:rsidP="0044394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868" w:type="dxa"/>
            <w:tcBorders>
              <w:top w:val="nil"/>
              <w:left w:val="single" w:sz="4" w:space="0" w:color="auto"/>
              <w:bottom w:val="single" w:sz="2" w:space="0" w:color="auto"/>
              <w:right w:val="single" w:sz="4" w:space="0" w:color="auto"/>
            </w:tcBorders>
            <w:shd w:val="clear" w:color="auto" w:fill="auto"/>
          </w:tcPr>
          <w:p w14:paraId="1B611362" w14:textId="1153A50C" w:rsidR="0044394F" w:rsidRPr="001F224B" w:rsidRDefault="0044394F" w:rsidP="0044394F">
            <w:pPr>
              <w:jc w:val="right"/>
              <w:rPr>
                <w:b/>
                <w:bCs/>
                <w:sz w:val="13"/>
                <w:szCs w:val="13"/>
              </w:rPr>
            </w:pPr>
            <w:r w:rsidRPr="001F224B">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tcPr>
          <w:p w14:paraId="76316486" w14:textId="0FB3F1CB" w:rsidR="0044394F" w:rsidRPr="001F224B" w:rsidRDefault="0044394F" w:rsidP="0044394F">
            <w:pPr>
              <w:jc w:val="right"/>
              <w:rPr>
                <w:b/>
                <w:bCs/>
                <w:sz w:val="13"/>
                <w:szCs w:val="13"/>
              </w:rPr>
            </w:pPr>
            <w:r w:rsidRPr="001F224B">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2" w:space="0" w:color="auto"/>
            </w:tcBorders>
            <w:shd w:val="clear" w:color="auto" w:fill="auto"/>
          </w:tcPr>
          <w:p w14:paraId="5FEA6549" w14:textId="5CE5147F" w:rsidR="0044394F" w:rsidRPr="001F224B" w:rsidRDefault="0044394F" w:rsidP="0044394F">
            <w:pPr>
              <w:jc w:val="right"/>
              <w:rPr>
                <w:b/>
                <w:bCs/>
                <w:sz w:val="13"/>
                <w:szCs w:val="13"/>
              </w:rPr>
            </w:pPr>
            <w:r w:rsidRPr="001F224B">
              <w:rPr>
                <w:rFonts w:ascii="Times New Roman TUR" w:hAnsi="Times New Roman TUR" w:cs="Times New Roman TUR"/>
                <w:sz w:val="13"/>
                <w:szCs w:val="13"/>
              </w:rPr>
              <w:t xml:space="preserve"> - </w:t>
            </w:r>
          </w:p>
        </w:tc>
      </w:tr>
      <w:tr w:rsidR="0044394F" w:rsidRPr="001F224B" w14:paraId="5FA46A87" w14:textId="77777777" w:rsidTr="00315AF0">
        <w:trPr>
          <w:trHeight w:val="19"/>
        </w:trPr>
        <w:tc>
          <w:tcPr>
            <w:tcW w:w="579" w:type="dxa"/>
            <w:tcBorders>
              <w:top w:val="single" w:sz="2" w:space="0" w:color="auto"/>
              <w:left w:val="single" w:sz="2" w:space="0" w:color="auto"/>
              <w:bottom w:val="single" w:sz="2" w:space="0" w:color="auto"/>
              <w:right w:val="nil"/>
            </w:tcBorders>
            <w:shd w:val="clear" w:color="auto" w:fill="auto"/>
            <w:noWrap/>
            <w:vAlign w:val="bottom"/>
            <w:hideMark/>
          </w:tcPr>
          <w:p w14:paraId="31BCC570" w14:textId="77777777" w:rsidR="0044394F" w:rsidRPr="001F224B" w:rsidRDefault="0044394F" w:rsidP="0044394F">
            <w:pPr>
              <w:rPr>
                <w:color w:val="000000"/>
                <w:sz w:val="13"/>
                <w:szCs w:val="13"/>
                <w:lang w:val="en-US" w:eastAsia="en-US"/>
              </w:rPr>
            </w:pPr>
            <w:r w:rsidRPr="001F224B">
              <w:rPr>
                <w:color w:val="000000"/>
                <w:sz w:val="13"/>
                <w:szCs w:val="13"/>
                <w:lang w:eastAsia="en-US"/>
              </w:rPr>
              <w:t> </w:t>
            </w:r>
          </w:p>
        </w:tc>
        <w:tc>
          <w:tcPr>
            <w:tcW w:w="3901" w:type="dxa"/>
            <w:tcBorders>
              <w:top w:val="single" w:sz="2" w:space="0" w:color="auto"/>
              <w:left w:val="nil"/>
              <w:bottom w:val="single" w:sz="2" w:space="0" w:color="auto"/>
              <w:right w:val="single" w:sz="2" w:space="0" w:color="auto"/>
            </w:tcBorders>
            <w:shd w:val="clear" w:color="auto" w:fill="auto"/>
            <w:noWrap/>
            <w:vAlign w:val="bottom"/>
            <w:hideMark/>
          </w:tcPr>
          <w:p w14:paraId="31EF382C" w14:textId="77777777" w:rsidR="0044394F" w:rsidRPr="001F224B" w:rsidRDefault="0044394F" w:rsidP="0044394F">
            <w:pPr>
              <w:rPr>
                <w:b/>
                <w:bCs/>
                <w:color w:val="000000"/>
                <w:sz w:val="13"/>
                <w:szCs w:val="13"/>
                <w:lang w:val="en-US" w:eastAsia="en-US"/>
              </w:rPr>
            </w:pPr>
            <w:r w:rsidRPr="001F224B">
              <w:rPr>
                <w:rFonts w:eastAsia="Arial Unicode MS"/>
                <w:b/>
                <w:bCs/>
                <w:color w:val="000000"/>
                <w:sz w:val="13"/>
                <w:szCs w:val="13"/>
                <w:lang w:eastAsia="en-US"/>
              </w:rPr>
              <w:t>BİLANÇO DIŞI HESAPLAR TOPLAMI (A+B)</w:t>
            </w:r>
          </w:p>
        </w:tc>
        <w:tc>
          <w:tcPr>
            <w:tcW w:w="65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414ACBB2" w14:textId="77777777" w:rsidR="0044394F" w:rsidRPr="001F224B" w:rsidRDefault="0044394F" w:rsidP="0044394F">
            <w:pPr>
              <w:rPr>
                <w:b/>
                <w:bCs/>
                <w:color w:val="000000"/>
                <w:sz w:val="13"/>
                <w:szCs w:val="13"/>
                <w:lang w:val="en-US" w:eastAsia="en-US"/>
              </w:rPr>
            </w:pPr>
            <w:r w:rsidRPr="001F224B">
              <w:rPr>
                <w:b/>
                <w:bCs/>
                <w:color w:val="000000"/>
                <w:sz w:val="13"/>
                <w:szCs w:val="13"/>
                <w:lang w:eastAsia="en-US"/>
              </w:rPr>
              <w:t> </w:t>
            </w:r>
          </w:p>
        </w:tc>
        <w:tc>
          <w:tcPr>
            <w:tcW w:w="868" w:type="dxa"/>
            <w:tcBorders>
              <w:top w:val="nil"/>
              <w:left w:val="nil"/>
              <w:bottom w:val="single" w:sz="4" w:space="0" w:color="auto"/>
              <w:right w:val="single" w:sz="4" w:space="0" w:color="auto"/>
            </w:tcBorders>
            <w:shd w:val="clear" w:color="auto" w:fill="auto"/>
            <w:noWrap/>
            <w:hideMark/>
          </w:tcPr>
          <w:p w14:paraId="6D755217" w14:textId="132F9EBB"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146.815.273</w:t>
            </w:r>
          </w:p>
        </w:tc>
        <w:tc>
          <w:tcPr>
            <w:tcW w:w="868" w:type="dxa"/>
            <w:tcBorders>
              <w:top w:val="nil"/>
              <w:left w:val="nil"/>
              <w:bottom w:val="single" w:sz="4" w:space="0" w:color="auto"/>
              <w:right w:val="single" w:sz="4" w:space="0" w:color="auto"/>
            </w:tcBorders>
            <w:shd w:val="clear" w:color="auto" w:fill="auto"/>
            <w:noWrap/>
            <w:hideMark/>
          </w:tcPr>
          <w:p w14:paraId="48DB21CF" w14:textId="1D2D7EEA" w:rsidR="0044394F" w:rsidRPr="001F224B" w:rsidRDefault="0044394F" w:rsidP="0044394F">
            <w:pPr>
              <w:jc w:val="center"/>
              <w:rPr>
                <w:rFonts w:ascii="Times New Roman TUR" w:hAnsi="Times New Roman TUR" w:cs="Times New Roman TUR"/>
                <w:b/>
                <w:bCs/>
                <w:sz w:val="13"/>
                <w:szCs w:val="13"/>
              </w:rPr>
            </w:pPr>
            <w:r w:rsidRPr="001F224B">
              <w:rPr>
                <w:b/>
                <w:bCs/>
                <w:color w:val="000000"/>
                <w:sz w:val="13"/>
                <w:szCs w:val="13"/>
              </w:rPr>
              <w:t>763.476.994</w:t>
            </w:r>
          </w:p>
        </w:tc>
        <w:tc>
          <w:tcPr>
            <w:tcW w:w="869" w:type="dxa"/>
            <w:tcBorders>
              <w:top w:val="nil"/>
              <w:left w:val="nil"/>
              <w:bottom w:val="single" w:sz="4" w:space="0" w:color="auto"/>
              <w:right w:val="dashed" w:sz="4" w:space="0" w:color="auto"/>
            </w:tcBorders>
            <w:shd w:val="clear" w:color="auto" w:fill="auto"/>
            <w:noWrap/>
            <w:hideMark/>
          </w:tcPr>
          <w:p w14:paraId="19ACD9F1" w14:textId="1751BA8D" w:rsidR="0044394F" w:rsidRPr="001F224B" w:rsidRDefault="0044394F" w:rsidP="0044394F">
            <w:pPr>
              <w:jc w:val="right"/>
              <w:rPr>
                <w:rFonts w:ascii="Times New Roman TUR" w:hAnsi="Times New Roman TUR" w:cs="Times New Roman TUR"/>
                <w:b/>
                <w:bCs/>
                <w:sz w:val="13"/>
                <w:szCs w:val="13"/>
              </w:rPr>
            </w:pPr>
            <w:r w:rsidRPr="001F224B">
              <w:rPr>
                <w:b/>
                <w:bCs/>
                <w:color w:val="000000"/>
                <w:sz w:val="13"/>
                <w:szCs w:val="13"/>
              </w:rPr>
              <w:t>910.292.267</w:t>
            </w:r>
          </w:p>
        </w:tc>
        <w:tc>
          <w:tcPr>
            <w:tcW w:w="868" w:type="dxa"/>
            <w:tcBorders>
              <w:top w:val="single" w:sz="2" w:space="0" w:color="auto"/>
              <w:left w:val="single" w:sz="4" w:space="0" w:color="auto"/>
              <w:bottom w:val="single" w:sz="4" w:space="0" w:color="auto"/>
              <w:right w:val="single" w:sz="4" w:space="0" w:color="auto"/>
            </w:tcBorders>
            <w:shd w:val="clear" w:color="auto" w:fill="auto"/>
            <w:vAlign w:val="center"/>
          </w:tcPr>
          <w:p w14:paraId="1731C0EE" w14:textId="313486CC" w:rsidR="0044394F" w:rsidRPr="001F224B" w:rsidRDefault="0044394F" w:rsidP="0044394F">
            <w:pPr>
              <w:jc w:val="right"/>
              <w:rPr>
                <w:b/>
                <w:bCs/>
                <w:sz w:val="13"/>
                <w:szCs w:val="13"/>
              </w:rPr>
            </w:pPr>
            <w:r w:rsidRPr="001F224B">
              <w:rPr>
                <w:b/>
                <w:bCs/>
                <w:color w:val="000000"/>
                <w:sz w:val="13"/>
                <w:szCs w:val="13"/>
              </w:rPr>
              <w:t>141.871.643</w:t>
            </w:r>
          </w:p>
        </w:tc>
        <w:tc>
          <w:tcPr>
            <w:tcW w:w="868" w:type="dxa"/>
            <w:tcBorders>
              <w:top w:val="single" w:sz="2" w:space="0" w:color="auto"/>
              <w:left w:val="nil"/>
              <w:bottom w:val="single" w:sz="4" w:space="0" w:color="auto"/>
              <w:right w:val="single" w:sz="4" w:space="0" w:color="auto"/>
            </w:tcBorders>
            <w:shd w:val="clear" w:color="auto" w:fill="auto"/>
            <w:vAlign w:val="center"/>
          </w:tcPr>
          <w:p w14:paraId="6AC31DC9" w14:textId="4E5218F8" w:rsidR="0044394F" w:rsidRPr="001F224B" w:rsidRDefault="0044394F" w:rsidP="0044394F">
            <w:pPr>
              <w:jc w:val="right"/>
              <w:rPr>
                <w:b/>
                <w:bCs/>
                <w:sz w:val="13"/>
                <w:szCs w:val="13"/>
              </w:rPr>
            </w:pPr>
            <w:r w:rsidRPr="001F224B">
              <w:rPr>
                <w:b/>
                <w:bCs/>
                <w:color w:val="000000"/>
                <w:sz w:val="13"/>
                <w:szCs w:val="13"/>
              </w:rPr>
              <w:t>582.366.638</w:t>
            </w:r>
          </w:p>
        </w:tc>
        <w:tc>
          <w:tcPr>
            <w:tcW w:w="869" w:type="dxa"/>
            <w:tcBorders>
              <w:top w:val="single" w:sz="2" w:space="0" w:color="auto"/>
              <w:left w:val="nil"/>
              <w:bottom w:val="single" w:sz="4" w:space="0" w:color="auto"/>
              <w:right w:val="single" w:sz="2" w:space="0" w:color="auto"/>
            </w:tcBorders>
            <w:shd w:val="clear" w:color="auto" w:fill="auto"/>
            <w:vAlign w:val="center"/>
          </w:tcPr>
          <w:p w14:paraId="5A5A921E" w14:textId="68F528C6" w:rsidR="0044394F" w:rsidRPr="001F224B" w:rsidRDefault="0044394F" w:rsidP="0044394F">
            <w:pPr>
              <w:jc w:val="right"/>
              <w:rPr>
                <w:b/>
                <w:bCs/>
                <w:sz w:val="13"/>
                <w:szCs w:val="13"/>
              </w:rPr>
            </w:pPr>
            <w:r w:rsidRPr="001F224B">
              <w:rPr>
                <w:b/>
                <w:bCs/>
                <w:color w:val="000000"/>
                <w:sz w:val="13"/>
                <w:szCs w:val="13"/>
              </w:rPr>
              <w:t>724.238.281</w:t>
            </w:r>
          </w:p>
        </w:tc>
      </w:tr>
    </w:tbl>
    <w:p w14:paraId="7A3B003E" w14:textId="77777777" w:rsidR="001C5EDC" w:rsidRPr="001F224B" w:rsidRDefault="001C5EDC" w:rsidP="00D875CF">
      <w:pPr>
        <w:jc w:val="center"/>
        <w:rPr>
          <w:bCs/>
          <w:sz w:val="16"/>
          <w:szCs w:val="16"/>
        </w:rPr>
      </w:pPr>
    </w:p>
    <w:p w14:paraId="44855704" w14:textId="00E1B6A3" w:rsidR="00A33D13" w:rsidRPr="001F224B" w:rsidRDefault="008C2521" w:rsidP="008C2521">
      <w:pPr>
        <w:jc w:val="center"/>
        <w:rPr>
          <w:bCs/>
          <w:sz w:val="16"/>
          <w:szCs w:val="16"/>
        </w:rPr>
        <w:sectPr w:rsidR="00A33D13" w:rsidRPr="001F224B" w:rsidSect="008D64CC">
          <w:headerReference w:type="first" r:id="rId84"/>
          <w:footerReference w:type="first" r:id="rId85"/>
          <w:pgSz w:w="11907" w:h="16840" w:code="9"/>
          <w:pgMar w:top="680" w:right="964" w:bottom="567" w:left="1134" w:header="624" w:footer="397" w:gutter="0"/>
          <w:cols w:space="708"/>
          <w:titlePg/>
          <w:docGrid w:linePitch="326"/>
        </w:sectPr>
      </w:pPr>
      <w:r w:rsidRPr="001F224B">
        <w:rPr>
          <w:bCs/>
          <w:sz w:val="16"/>
          <w:szCs w:val="16"/>
        </w:rPr>
        <w:t xml:space="preserve">İlişikteki açıklama ve dipnotlar bu </w:t>
      </w:r>
      <w:r w:rsidR="00376F67" w:rsidRPr="001F224B">
        <w:rPr>
          <w:bCs/>
          <w:sz w:val="16"/>
          <w:szCs w:val="16"/>
        </w:rPr>
        <w:t xml:space="preserve">konsolide </w:t>
      </w:r>
      <w:r w:rsidRPr="001F224B">
        <w:rPr>
          <w:bCs/>
          <w:sz w:val="16"/>
          <w:szCs w:val="16"/>
        </w:rPr>
        <w:t>finansal tabloların tamamlayıcı parçalarıdır.</w:t>
      </w:r>
    </w:p>
    <w:tbl>
      <w:tblPr>
        <w:tblW w:w="5278" w:type="pct"/>
        <w:tblLayout w:type="fixed"/>
        <w:tblCellMar>
          <w:left w:w="0" w:type="dxa"/>
          <w:right w:w="0" w:type="dxa"/>
        </w:tblCellMar>
        <w:tblLook w:val="04A0" w:firstRow="1" w:lastRow="0" w:firstColumn="1" w:lastColumn="0" w:noHBand="0" w:noVBand="1"/>
      </w:tblPr>
      <w:tblGrid>
        <w:gridCol w:w="324"/>
        <w:gridCol w:w="5338"/>
        <w:gridCol w:w="428"/>
        <w:gridCol w:w="1053"/>
        <w:gridCol w:w="1068"/>
        <w:gridCol w:w="1065"/>
        <w:gridCol w:w="1068"/>
      </w:tblGrid>
      <w:tr w:rsidR="008E74FF" w:rsidRPr="001F224B" w14:paraId="422F7F02" w14:textId="77777777" w:rsidTr="000D2410">
        <w:trPr>
          <w:cantSplit/>
          <w:trHeight w:val="206"/>
        </w:trPr>
        <w:tc>
          <w:tcPr>
            <w:tcW w:w="2737"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hideMark/>
          </w:tcPr>
          <w:p w14:paraId="12424768" w14:textId="77777777" w:rsidR="008E74FF" w:rsidRPr="001F224B" w:rsidRDefault="008E74FF" w:rsidP="000D2410">
            <w:r w:rsidRPr="001F224B">
              <w:rPr>
                <w:b/>
                <w:bCs/>
                <w:sz w:val="12"/>
                <w:szCs w:val="12"/>
              </w:rPr>
              <w:t>III.  KONSOLİDE  KAR VEYA ZARAR TABLOSU</w:t>
            </w:r>
          </w:p>
        </w:tc>
        <w:tc>
          <w:tcPr>
            <w:tcW w:w="207" w:type="pct"/>
            <w:vMerge w:val="restart"/>
            <w:tcBorders>
              <w:top w:val="single" w:sz="4" w:space="0" w:color="auto"/>
              <w:left w:val="single" w:sz="4" w:space="0" w:color="auto"/>
              <w:bottom w:val="nil"/>
              <w:right w:val="single" w:sz="4" w:space="0" w:color="auto"/>
            </w:tcBorders>
            <w:vAlign w:val="center"/>
            <w:hideMark/>
          </w:tcPr>
          <w:p w14:paraId="13BA1529" w14:textId="77777777" w:rsidR="008E74FF" w:rsidRPr="001F224B" w:rsidRDefault="008E74FF" w:rsidP="000D2410">
            <w:pPr>
              <w:jc w:val="center"/>
              <w:rPr>
                <w:rFonts w:eastAsia="Arial Unicode MS"/>
                <w:b/>
                <w:bCs/>
                <w:sz w:val="12"/>
                <w:szCs w:val="12"/>
              </w:rPr>
            </w:pPr>
            <w:r w:rsidRPr="001F224B">
              <w:rPr>
                <w:b/>
                <w:bCs/>
                <w:sz w:val="12"/>
                <w:szCs w:val="12"/>
              </w:rPr>
              <w:t>Dipnot (Beşinci</w:t>
            </w:r>
          </w:p>
          <w:p w14:paraId="64CA7818" w14:textId="77777777" w:rsidR="008E74FF" w:rsidRPr="001F224B" w:rsidRDefault="008E74FF" w:rsidP="000D2410">
            <w:pPr>
              <w:jc w:val="center"/>
            </w:pPr>
            <w:r w:rsidRPr="001F224B">
              <w:rPr>
                <w:rFonts w:eastAsia="Arial Unicode MS"/>
                <w:b/>
                <w:bCs/>
                <w:sz w:val="12"/>
                <w:szCs w:val="12"/>
              </w:rPr>
              <w:t>Bölüm IV)</w:t>
            </w:r>
          </w:p>
        </w:tc>
        <w:tc>
          <w:tcPr>
            <w:tcW w:w="1025" w:type="pct"/>
            <w:gridSpan w:val="2"/>
            <w:tcBorders>
              <w:top w:val="single" w:sz="4" w:space="0" w:color="auto"/>
              <w:left w:val="single" w:sz="4" w:space="0" w:color="auto"/>
              <w:bottom w:val="single" w:sz="4" w:space="0" w:color="auto"/>
              <w:right w:val="single" w:sz="4" w:space="0" w:color="auto"/>
            </w:tcBorders>
            <w:vAlign w:val="center"/>
            <w:hideMark/>
          </w:tcPr>
          <w:p w14:paraId="466E2562" w14:textId="77777777" w:rsidR="008E74FF" w:rsidRPr="001F224B" w:rsidRDefault="008E74FF" w:rsidP="000D2410">
            <w:pPr>
              <w:jc w:val="center"/>
              <w:rPr>
                <w:b/>
                <w:sz w:val="12"/>
                <w:szCs w:val="12"/>
              </w:rPr>
            </w:pPr>
            <w:r w:rsidRPr="001F224B">
              <w:rPr>
                <w:b/>
                <w:sz w:val="12"/>
                <w:szCs w:val="12"/>
              </w:rPr>
              <w:t>Sınırlı Denetimden Geçmiş</w:t>
            </w:r>
          </w:p>
        </w:tc>
        <w:tc>
          <w:tcPr>
            <w:tcW w:w="1031" w:type="pct"/>
            <w:gridSpan w:val="2"/>
            <w:tcBorders>
              <w:top w:val="single" w:sz="4" w:space="0" w:color="auto"/>
              <w:left w:val="nil"/>
              <w:bottom w:val="single" w:sz="4" w:space="0" w:color="auto"/>
              <w:right w:val="single" w:sz="4" w:space="0" w:color="auto"/>
            </w:tcBorders>
            <w:vAlign w:val="center"/>
            <w:hideMark/>
          </w:tcPr>
          <w:p w14:paraId="0A9CF353" w14:textId="77777777" w:rsidR="008E74FF" w:rsidRPr="001F224B" w:rsidRDefault="008E74FF" w:rsidP="000D2410">
            <w:pPr>
              <w:jc w:val="center"/>
            </w:pPr>
            <w:r w:rsidRPr="001F224B">
              <w:rPr>
                <w:b/>
                <w:sz w:val="12"/>
                <w:szCs w:val="12"/>
              </w:rPr>
              <w:t>Sınırlı Denetimden Geçmiş</w:t>
            </w:r>
          </w:p>
        </w:tc>
      </w:tr>
      <w:tr w:rsidR="008E74FF" w:rsidRPr="001F224B" w14:paraId="4FC41039" w14:textId="77777777" w:rsidTr="000D2410">
        <w:trPr>
          <w:trHeight w:val="436"/>
        </w:trPr>
        <w:tc>
          <w:tcPr>
            <w:tcW w:w="2737" w:type="pct"/>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hideMark/>
          </w:tcPr>
          <w:p w14:paraId="332850FC" w14:textId="77777777" w:rsidR="008E74FF" w:rsidRPr="001F224B" w:rsidRDefault="008E74FF" w:rsidP="000D2410">
            <w:pPr>
              <w:rPr>
                <w:rFonts w:eastAsia="Arial Unicode MS"/>
                <w:b/>
                <w:bCs/>
                <w:sz w:val="12"/>
                <w:szCs w:val="12"/>
              </w:rPr>
            </w:pPr>
            <w:r w:rsidRPr="001F224B">
              <w:rPr>
                <w:b/>
                <w:bCs/>
                <w:sz w:val="12"/>
                <w:szCs w:val="12"/>
              </w:rPr>
              <w:t> </w:t>
            </w:r>
          </w:p>
          <w:p w14:paraId="2CB7A48C" w14:textId="77777777" w:rsidR="008E74FF" w:rsidRPr="001F224B" w:rsidRDefault="008E74FF" w:rsidP="000D2410">
            <w:pPr>
              <w:rPr>
                <w:rFonts w:eastAsia="Arial Unicode MS"/>
                <w:b/>
                <w:bCs/>
                <w:sz w:val="12"/>
                <w:szCs w:val="12"/>
              </w:rPr>
            </w:pPr>
            <w:r w:rsidRPr="001F224B">
              <w:rPr>
                <w:b/>
                <w:bCs/>
                <w:sz w:val="12"/>
                <w:szCs w:val="12"/>
              </w:rPr>
              <w:t>GELİR VE GİDER KALEMLERİ</w:t>
            </w:r>
          </w:p>
        </w:tc>
        <w:tc>
          <w:tcPr>
            <w:tcW w:w="207" w:type="pct"/>
            <w:vMerge/>
            <w:tcBorders>
              <w:top w:val="single" w:sz="4" w:space="0" w:color="auto"/>
              <w:left w:val="single" w:sz="4" w:space="0" w:color="auto"/>
              <w:bottom w:val="nil"/>
              <w:right w:val="single" w:sz="4" w:space="0" w:color="auto"/>
            </w:tcBorders>
            <w:vAlign w:val="center"/>
            <w:hideMark/>
          </w:tcPr>
          <w:p w14:paraId="1C304FE6" w14:textId="77777777" w:rsidR="008E74FF" w:rsidRPr="001F224B" w:rsidRDefault="008E74FF" w:rsidP="000D2410"/>
        </w:tc>
        <w:tc>
          <w:tcPr>
            <w:tcW w:w="509" w:type="pct"/>
            <w:tcBorders>
              <w:top w:val="nil"/>
              <w:left w:val="single" w:sz="4" w:space="0" w:color="auto"/>
              <w:bottom w:val="single" w:sz="4" w:space="0" w:color="auto"/>
              <w:right w:val="single" w:sz="4" w:space="0" w:color="auto"/>
            </w:tcBorders>
            <w:noWrap/>
            <w:tcMar>
              <w:top w:w="18" w:type="dxa"/>
              <w:left w:w="18" w:type="dxa"/>
              <w:bottom w:w="0" w:type="dxa"/>
              <w:right w:w="18" w:type="dxa"/>
            </w:tcMar>
            <w:hideMark/>
          </w:tcPr>
          <w:p w14:paraId="0475F783" w14:textId="77777777" w:rsidR="008E74FF" w:rsidRPr="001F224B" w:rsidRDefault="008E74FF" w:rsidP="000D2410">
            <w:pPr>
              <w:jc w:val="center"/>
              <w:rPr>
                <w:rFonts w:eastAsia="Arial Unicode MS"/>
                <w:b/>
                <w:bCs/>
                <w:sz w:val="12"/>
                <w:szCs w:val="12"/>
              </w:rPr>
            </w:pPr>
            <w:r w:rsidRPr="001F224B">
              <w:rPr>
                <w:rFonts w:eastAsia="Arial Unicode MS"/>
                <w:b/>
                <w:bCs/>
                <w:sz w:val="12"/>
                <w:szCs w:val="12"/>
              </w:rPr>
              <w:t>Cari Dönem</w:t>
            </w:r>
          </w:p>
          <w:p w14:paraId="3CA4FE9C" w14:textId="77777777" w:rsidR="008E74FF" w:rsidRPr="001F224B" w:rsidRDefault="008E74FF" w:rsidP="000D2410">
            <w:pPr>
              <w:ind w:left="-438" w:right="-378"/>
              <w:jc w:val="center"/>
              <w:rPr>
                <w:b/>
                <w:bCs/>
                <w:sz w:val="12"/>
                <w:szCs w:val="12"/>
              </w:rPr>
            </w:pPr>
            <w:r w:rsidRPr="001F224B">
              <w:rPr>
                <w:b/>
                <w:bCs/>
                <w:sz w:val="12"/>
                <w:szCs w:val="12"/>
              </w:rPr>
              <w:t xml:space="preserve"> 1 Ocak-30 Haziran</w:t>
            </w:r>
          </w:p>
          <w:p w14:paraId="20C86BFC" w14:textId="188AFBB7" w:rsidR="008E74FF" w:rsidRPr="001F224B" w:rsidRDefault="008E74FF" w:rsidP="000D2410">
            <w:pPr>
              <w:jc w:val="center"/>
              <w:rPr>
                <w:rFonts w:eastAsia="Arial Unicode MS"/>
                <w:b/>
                <w:bCs/>
                <w:sz w:val="12"/>
                <w:szCs w:val="12"/>
              </w:rPr>
            </w:pPr>
            <w:r w:rsidRPr="001F224B">
              <w:rPr>
                <w:b/>
                <w:bCs/>
                <w:sz w:val="12"/>
                <w:szCs w:val="12"/>
              </w:rPr>
              <w:t>2025</w:t>
            </w:r>
          </w:p>
        </w:tc>
        <w:tc>
          <w:tcPr>
            <w:tcW w:w="516" w:type="pct"/>
            <w:tcBorders>
              <w:top w:val="nil"/>
              <w:left w:val="single" w:sz="4" w:space="0" w:color="auto"/>
              <w:bottom w:val="nil"/>
              <w:right w:val="single" w:sz="4" w:space="0" w:color="auto"/>
            </w:tcBorders>
            <w:hideMark/>
          </w:tcPr>
          <w:p w14:paraId="43E356B2" w14:textId="77777777" w:rsidR="008E74FF" w:rsidRPr="001F224B" w:rsidRDefault="008E74FF" w:rsidP="000D2410">
            <w:pPr>
              <w:jc w:val="center"/>
              <w:rPr>
                <w:b/>
                <w:bCs/>
                <w:sz w:val="12"/>
                <w:szCs w:val="12"/>
              </w:rPr>
            </w:pPr>
            <w:r w:rsidRPr="001F224B">
              <w:rPr>
                <w:rFonts w:eastAsia="Arial Unicode MS"/>
                <w:b/>
                <w:bCs/>
                <w:sz w:val="12"/>
                <w:szCs w:val="12"/>
              </w:rPr>
              <w:t>Önceki Dönem</w:t>
            </w:r>
          </w:p>
          <w:p w14:paraId="0381D4B1" w14:textId="247ECE57" w:rsidR="008E74FF" w:rsidRPr="001F224B" w:rsidRDefault="008E74FF" w:rsidP="000D2410">
            <w:pPr>
              <w:jc w:val="center"/>
              <w:rPr>
                <w:b/>
                <w:bCs/>
                <w:sz w:val="12"/>
                <w:szCs w:val="12"/>
              </w:rPr>
            </w:pPr>
            <w:r w:rsidRPr="001F224B">
              <w:rPr>
                <w:b/>
                <w:bCs/>
                <w:sz w:val="12"/>
                <w:szCs w:val="12"/>
              </w:rPr>
              <w:t>1 Ocak-30 Haziran 2024</w:t>
            </w:r>
          </w:p>
        </w:tc>
        <w:tc>
          <w:tcPr>
            <w:tcW w:w="515" w:type="pct"/>
            <w:tcBorders>
              <w:top w:val="nil"/>
              <w:left w:val="single" w:sz="4" w:space="0" w:color="auto"/>
              <w:bottom w:val="single" w:sz="4" w:space="0" w:color="auto"/>
              <w:right w:val="single" w:sz="4" w:space="0" w:color="auto"/>
            </w:tcBorders>
            <w:hideMark/>
          </w:tcPr>
          <w:p w14:paraId="26C93E9A" w14:textId="77777777" w:rsidR="008E74FF" w:rsidRPr="001F224B" w:rsidRDefault="008E74FF" w:rsidP="000D2410">
            <w:pPr>
              <w:jc w:val="center"/>
              <w:rPr>
                <w:rFonts w:eastAsia="Arial Unicode MS"/>
                <w:b/>
                <w:bCs/>
                <w:sz w:val="12"/>
                <w:szCs w:val="12"/>
              </w:rPr>
            </w:pPr>
            <w:r w:rsidRPr="001F224B">
              <w:rPr>
                <w:rFonts w:eastAsia="Arial Unicode MS"/>
                <w:b/>
                <w:bCs/>
                <w:sz w:val="12"/>
                <w:szCs w:val="12"/>
              </w:rPr>
              <w:t>Cari Dönem</w:t>
            </w:r>
          </w:p>
          <w:p w14:paraId="11736B8C" w14:textId="25A5301B" w:rsidR="008E74FF" w:rsidRPr="001F224B" w:rsidRDefault="008E74FF" w:rsidP="000D2410">
            <w:pPr>
              <w:jc w:val="center"/>
              <w:rPr>
                <w:rFonts w:eastAsia="Arial Unicode MS"/>
                <w:b/>
                <w:bCs/>
                <w:sz w:val="12"/>
                <w:szCs w:val="12"/>
              </w:rPr>
            </w:pPr>
            <w:r w:rsidRPr="001F224B">
              <w:rPr>
                <w:rFonts w:eastAsia="Arial Unicode MS"/>
                <w:b/>
                <w:bCs/>
                <w:sz w:val="12"/>
                <w:szCs w:val="12"/>
              </w:rPr>
              <w:t>1 Nisan-30 Haziran 2025</w:t>
            </w:r>
          </w:p>
        </w:tc>
        <w:tc>
          <w:tcPr>
            <w:tcW w:w="516" w:type="pct"/>
            <w:tcBorders>
              <w:top w:val="nil"/>
              <w:left w:val="single" w:sz="4" w:space="0" w:color="auto"/>
              <w:bottom w:val="nil"/>
              <w:right w:val="single" w:sz="4" w:space="0" w:color="auto"/>
            </w:tcBorders>
            <w:hideMark/>
          </w:tcPr>
          <w:p w14:paraId="13F185EC" w14:textId="77777777" w:rsidR="008E74FF" w:rsidRPr="001F224B" w:rsidRDefault="008E74FF" w:rsidP="000D2410">
            <w:pPr>
              <w:jc w:val="center"/>
              <w:rPr>
                <w:rFonts w:eastAsia="Arial Unicode MS"/>
                <w:b/>
                <w:bCs/>
                <w:sz w:val="12"/>
                <w:szCs w:val="12"/>
              </w:rPr>
            </w:pPr>
            <w:r w:rsidRPr="001F224B">
              <w:rPr>
                <w:rFonts w:eastAsia="Arial Unicode MS"/>
                <w:b/>
                <w:bCs/>
                <w:sz w:val="12"/>
                <w:szCs w:val="12"/>
              </w:rPr>
              <w:t>Önceki Dönem</w:t>
            </w:r>
          </w:p>
          <w:p w14:paraId="33AB5AB8" w14:textId="2D8CEE76" w:rsidR="008E74FF" w:rsidRPr="001F224B" w:rsidRDefault="008E74FF" w:rsidP="000D2410">
            <w:pPr>
              <w:jc w:val="center"/>
              <w:rPr>
                <w:rFonts w:eastAsia="Arial Unicode MS"/>
                <w:b/>
                <w:bCs/>
                <w:sz w:val="12"/>
                <w:szCs w:val="12"/>
              </w:rPr>
            </w:pPr>
            <w:r w:rsidRPr="001F224B">
              <w:rPr>
                <w:rFonts w:eastAsia="Arial Unicode MS"/>
                <w:b/>
                <w:bCs/>
                <w:sz w:val="12"/>
                <w:szCs w:val="12"/>
              </w:rPr>
              <w:t>1 Nisan-30 Haziran 2024</w:t>
            </w:r>
          </w:p>
        </w:tc>
      </w:tr>
      <w:tr w:rsidR="006D3793" w:rsidRPr="001F224B" w14:paraId="16B730BF" w14:textId="77777777" w:rsidTr="0046452A">
        <w:trPr>
          <w:cantSplit/>
          <w:trHeight w:val="20"/>
        </w:trPr>
        <w:tc>
          <w:tcPr>
            <w:tcW w:w="157" w:type="pct"/>
            <w:tcBorders>
              <w:top w:val="single" w:sz="4" w:space="0" w:color="auto"/>
              <w:left w:val="single" w:sz="4" w:space="0" w:color="auto"/>
              <w:bottom w:val="nil"/>
              <w:right w:val="nil"/>
            </w:tcBorders>
            <w:noWrap/>
            <w:tcMar>
              <w:top w:w="18" w:type="dxa"/>
              <w:left w:w="18" w:type="dxa"/>
              <w:bottom w:w="0" w:type="dxa"/>
              <w:right w:w="18" w:type="dxa"/>
            </w:tcMar>
            <w:hideMark/>
          </w:tcPr>
          <w:p w14:paraId="2FAF2A35" w14:textId="77777777" w:rsidR="006D3793" w:rsidRPr="001F224B" w:rsidRDefault="006D3793" w:rsidP="006D3793">
            <w:pPr>
              <w:ind w:right="-178"/>
              <w:rPr>
                <w:b/>
                <w:sz w:val="11"/>
                <w:szCs w:val="11"/>
              </w:rPr>
            </w:pPr>
            <w:r w:rsidRPr="001F224B">
              <w:rPr>
                <w:b/>
                <w:bCs/>
                <w:sz w:val="11"/>
                <w:szCs w:val="11"/>
              </w:rPr>
              <w:t>I.</w:t>
            </w:r>
          </w:p>
        </w:tc>
        <w:tc>
          <w:tcPr>
            <w:tcW w:w="2580" w:type="pct"/>
            <w:tcBorders>
              <w:top w:val="single" w:sz="4" w:space="0" w:color="auto"/>
              <w:left w:val="nil"/>
              <w:bottom w:val="nil"/>
              <w:right w:val="single" w:sz="4" w:space="0" w:color="auto"/>
            </w:tcBorders>
            <w:noWrap/>
            <w:tcMar>
              <w:top w:w="18" w:type="dxa"/>
              <w:left w:w="18" w:type="dxa"/>
              <w:bottom w:w="0" w:type="dxa"/>
              <w:right w:w="18" w:type="dxa"/>
            </w:tcMar>
            <w:hideMark/>
          </w:tcPr>
          <w:p w14:paraId="6DF30260" w14:textId="77777777" w:rsidR="006D3793" w:rsidRPr="001F224B" w:rsidRDefault="006D3793" w:rsidP="006D3793">
            <w:pPr>
              <w:rPr>
                <w:b/>
                <w:sz w:val="12"/>
                <w:szCs w:val="12"/>
              </w:rPr>
            </w:pPr>
            <w:r w:rsidRPr="001F224B">
              <w:rPr>
                <w:b/>
                <w:sz w:val="12"/>
                <w:szCs w:val="12"/>
              </w:rPr>
              <w:t xml:space="preserve">FAİZ GELİRLERİ  </w:t>
            </w:r>
          </w:p>
        </w:tc>
        <w:tc>
          <w:tcPr>
            <w:tcW w:w="207" w:type="pct"/>
            <w:tcBorders>
              <w:top w:val="single" w:sz="4" w:space="0" w:color="auto"/>
              <w:left w:val="nil"/>
              <w:bottom w:val="nil"/>
              <w:right w:val="single" w:sz="4" w:space="0" w:color="auto"/>
            </w:tcBorders>
            <w:noWrap/>
            <w:tcMar>
              <w:top w:w="18" w:type="dxa"/>
              <w:left w:w="18" w:type="dxa"/>
              <w:bottom w:w="0" w:type="dxa"/>
              <w:right w:w="18" w:type="dxa"/>
            </w:tcMar>
            <w:hideMark/>
          </w:tcPr>
          <w:p w14:paraId="1EAF15E3" w14:textId="77777777" w:rsidR="006D3793" w:rsidRPr="001F224B" w:rsidRDefault="006D3793" w:rsidP="006D3793">
            <w:pPr>
              <w:jc w:val="center"/>
              <w:rPr>
                <w:rFonts w:eastAsia="Arial Unicode MS"/>
                <w:b/>
                <w:sz w:val="12"/>
                <w:szCs w:val="12"/>
              </w:rPr>
            </w:pPr>
            <w:r w:rsidRPr="001F224B">
              <w:rPr>
                <w:b/>
                <w:sz w:val="12"/>
                <w:szCs w:val="12"/>
              </w:rPr>
              <w:t>(1)</w:t>
            </w:r>
          </w:p>
        </w:tc>
        <w:tc>
          <w:tcPr>
            <w:tcW w:w="509"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hideMark/>
          </w:tcPr>
          <w:p w14:paraId="3DE7666E" w14:textId="5FF5770F"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13.995.867</w:t>
            </w:r>
          </w:p>
        </w:tc>
        <w:tc>
          <w:tcPr>
            <w:tcW w:w="516" w:type="pct"/>
            <w:tcBorders>
              <w:top w:val="single" w:sz="4" w:space="0" w:color="auto"/>
              <w:left w:val="single" w:sz="4" w:space="0" w:color="auto"/>
              <w:bottom w:val="nil"/>
              <w:right w:val="single" w:sz="4" w:space="0" w:color="auto"/>
            </w:tcBorders>
            <w:hideMark/>
          </w:tcPr>
          <w:p w14:paraId="71514FF1" w14:textId="2DB42D18"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11.608.615</w:t>
            </w:r>
          </w:p>
        </w:tc>
        <w:tc>
          <w:tcPr>
            <w:tcW w:w="515" w:type="pct"/>
            <w:tcBorders>
              <w:top w:val="single" w:sz="4" w:space="0" w:color="auto"/>
              <w:left w:val="nil"/>
              <w:bottom w:val="nil"/>
              <w:right w:val="nil"/>
            </w:tcBorders>
            <w:shd w:val="clear" w:color="auto" w:fill="auto"/>
            <w:hideMark/>
          </w:tcPr>
          <w:p w14:paraId="5774C36A" w14:textId="7A85C47D"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7.070.991</w:t>
            </w:r>
          </w:p>
        </w:tc>
        <w:tc>
          <w:tcPr>
            <w:tcW w:w="516" w:type="pct"/>
            <w:tcBorders>
              <w:top w:val="single" w:sz="4" w:space="0" w:color="auto"/>
              <w:left w:val="single" w:sz="4" w:space="0" w:color="auto"/>
              <w:bottom w:val="nil"/>
              <w:right w:val="single" w:sz="4" w:space="0" w:color="auto"/>
            </w:tcBorders>
            <w:hideMark/>
          </w:tcPr>
          <w:p w14:paraId="3579A4E2" w14:textId="206B47C8"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6.098.207</w:t>
            </w:r>
          </w:p>
        </w:tc>
      </w:tr>
      <w:tr w:rsidR="006D3793" w:rsidRPr="001F224B" w14:paraId="7014DDBF"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CD5BD2C" w14:textId="77777777" w:rsidR="006D3793" w:rsidRPr="001F224B" w:rsidRDefault="006D3793" w:rsidP="006D3793">
            <w:pPr>
              <w:rPr>
                <w:sz w:val="11"/>
                <w:szCs w:val="11"/>
              </w:rPr>
            </w:pPr>
            <w:r w:rsidRPr="001F224B">
              <w:rPr>
                <w:sz w:val="11"/>
                <w:szCs w:val="11"/>
              </w:rPr>
              <w:t>1.1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EC6F3C8" w14:textId="77777777" w:rsidR="006D3793" w:rsidRPr="001F224B" w:rsidRDefault="006D3793" w:rsidP="006D3793">
            <w:pPr>
              <w:rPr>
                <w:sz w:val="12"/>
                <w:szCs w:val="12"/>
              </w:rPr>
            </w:pPr>
            <w:r w:rsidRPr="001F224B">
              <w:rPr>
                <w:sz w:val="12"/>
                <w:szCs w:val="12"/>
              </w:rPr>
              <w:t>Kredilerden Alınan Faizler</w:t>
            </w:r>
          </w:p>
        </w:tc>
        <w:tc>
          <w:tcPr>
            <w:tcW w:w="207" w:type="pct"/>
            <w:tcBorders>
              <w:right w:val="single" w:sz="4" w:space="0" w:color="auto"/>
            </w:tcBorders>
            <w:noWrap/>
            <w:tcMar>
              <w:top w:w="18" w:type="dxa"/>
              <w:left w:w="18" w:type="dxa"/>
              <w:bottom w:w="0" w:type="dxa"/>
              <w:right w:w="18" w:type="dxa"/>
            </w:tcMar>
          </w:tcPr>
          <w:p w14:paraId="318345B4"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415E296" w14:textId="0A74634E"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5.220.211</w:t>
            </w:r>
          </w:p>
        </w:tc>
        <w:tc>
          <w:tcPr>
            <w:tcW w:w="516" w:type="pct"/>
            <w:tcBorders>
              <w:top w:val="nil"/>
              <w:left w:val="single" w:sz="4" w:space="0" w:color="auto"/>
              <w:bottom w:val="nil"/>
              <w:right w:val="single" w:sz="4" w:space="0" w:color="auto"/>
            </w:tcBorders>
            <w:hideMark/>
          </w:tcPr>
          <w:p w14:paraId="26A23FF4" w14:textId="5A8D0C12" w:rsidR="006D3793" w:rsidRPr="001F224B" w:rsidRDefault="006D3793" w:rsidP="006D3793">
            <w:pPr>
              <w:jc w:val="right"/>
              <w:rPr>
                <w:sz w:val="13"/>
                <w:szCs w:val="13"/>
              </w:rPr>
            </w:pPr>
            <w:r w:rsidRPr="001F224B">
              <w:rPr>
                <w:rFonts w:ascii="Times New Roman TUR" w:hAnsi="Times New Roman TUR" w:cs="Times New Roman TUR"/>
                <w:sz w:val="13"/>
                <w:szCs w:val="13"/>
              </w:rPr>
              <w:t>4.797.003</w:t>
            </w:r>
          </w:p>
        </w:tc>
        <w:tc>
          <w:tcPr>
            <w:tcW w:w="515" w:type="pct"/>
            <w:tcBorders>
              <w:top w:val="nil"/>
              <w:left w:val="nil"/>
              <w:bottom w:val="nil"/>
              <w:right w:val="nil"/>
            </w:tcBorders>
            <w:shd w:val="clear" w:color="auto" w:fill="auto"/>
            <w:hideMark/>
          </w:tcPr>
          <w:p w14:paraId="397C349B" w14:textId="5AA41D2A"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2.710.586</w:t>
            </w:r>
          </w:p>
        </w:tc>
        <w:tc>
          <w:tcPr>
            <w:tcW w:w="516" w:type="pct"/>
            <w:tcBorders>
              <w:top w:val="nil"/>
              <w:left w:val="single" w:sz="4" w:space="0" w:color="auto"/>
              <w:bottom w:val="nil"/>
              <w:right w:val="single" w:sz="4" w:space="0" w:color="auto"/>
            </w:tcBorders>
            <w:hideMark/>
          </w:tcPr>
          <w:p w14:paraId="6CFAE44A" w14:textId="727D8577"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2.417.325</w:t>
            </w:r>
          </w:p>
        </w:tc>
      </w:tr>
      <w:tr w:rsidR="006D3793" w:rsidRPr="001F224B" w14:paraId="1AC9CC8C"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6B8BD3C2" w14:textId="77777777" w:rsidR="006D3793" w:rsidRPr="001F224B" w:rsidRDefault="006D3793" w:rsidP="006D3793">
            <w:pPr>
              <w:rPr>
                <w:sz w:val="11"/>
                <w:szCs w:val="11"/>
              </w:rPr>
            </w:pPr>
            <w:r w:rsidRPr="001F224B">
              <w:rPr>
                <w:sz w:val="11"/>
                <w:szCs w:val="11"/>
              </w:rPr>
              <w:t>1.2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6E479E8D" w14:textId="77777777" w:rsidR="006D3793" w:rsidRPr="001F224B" w:rsidRDefault="006D3793" w:rsidP="006D3793">
            <w:pPr>
              <w:rPr>
                <w:sz w:val="12"/>
                <w:szCs w:val="12"/>
              </w:rPr>
            </w:pPr>
            <w:r w:rsidRPr="001F224B">
              <w:rPr>
                <w:sz w:val="12"/>
                <w:szCs w:val="12"/>
              </w:rPr>
              <w:t>Zorunlu Karşılıklardan Alınan Faizler</w:t>
            </w:r>
          </w:p>
        </w:tc>
        <w:tc>
          <w:tcPr>
            <w:tcW w:w="207" w:type="pct"/>
            <w:tcBorders>
              <w:right w:val="single" w:sz="4" w:space="0" w:color="auto"/>
            </w:tcBorders>
            <w:noWrap/>
            <w:tcMar>
              <w:top w:w="18" w:type="dxa"/>
              <w:left w:w="18" w:type="dxa"/>
              <w:bottom w:w="0" w:type="dxa"/>
              <w:right w:w="18" w:type="dxa"/>
            </w:tcMar>
          </w:tcPr>
          <w:p w14:paraId="4C9A88C6"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F7DF004" w14:textId="4FFBDD76"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7D6DAC5B" w14:textId="6E15180B"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c>
          <w:tcPr>
            <w:tcW w:w="515" w:type="pct"/>
            <w:tcBorders>
              <w:top w:val="nil"/>
              <w:left w:val="nil"/>
              <w:bottom w:val="nil"/>
              <w:right w:val="nil"/>
            </w:tcBorders>
            <w:shd w:val="clear" w:color="auto" w:fill="auto"/>
            <w:hideMark/>
          </w:tcPr>
          <w:p w14:paraId="737A1644" w14:textId="207E113D"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2DB52E9B" w14:textId="526590D0"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r>
      <w:tr w:rsidR="006D3793" w:rsidRPr="001F224B" w14:paraId="52E56394"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AB8E156" w14:textId="77777777" w:rsidR="006D3793" w:rsidRPr="001F224B" w:rsidRDefault="006D3793" w:rsidP="006D3793">
            <w:pPr>
              <w:rPr>
                <w:sz w:val="11"/>
                <w:szCs w:val="11"/>
              </w:rPr>
            </w:pPr>
            <w:r w:rsidRPr="001F224B">
              <w:rPr>
                <w:sz w:val="11"/>
                <w:szCs w:val="11"/>
              </w:rPr>
              <w:t>1.3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1A98F36" w14:textId="77777777" w:rsidR="006D3793" w:rsidRPr="001F224B" w:rsidRDefault="006D3793" w:rsidP="006D3793">
            <w:pPr>
              <w:rPr>
                <w:sz w:val="12"/>
                <w:szCs w:val="12"/>
              </w:rPr>
            </w:pPr>
            <w:r w:rsidRPr="001F224B">
              <w:rPr>
                <w:sz w:val="12"/>
                <w:szCs w:val="12"/>
              </w:rPr>
              <w:t>Bankalardan Alınan Faizler</w:t>
            </w:r>
          </w:p>
        </w:tc>
        <w:tc>
          <w:tcPr>
            <w:tcW w:w="207" w:type="pct"/>
            <w:tcBorders>
              <w:right w:val="single" w:sz="4" w:space="0" w:color="auto"/>
            </w:tcBorders>
            <w:noWrap/>
            <w:tcMar>
              <w:top w:w="18" w:type="dxa"/>
              <w:left w:w="18" w:type="dxa"/>
              <w:bottom w:w="0" w:type="dxa"/>
              <w:right w:w="18" w:type="dxa"/>
            </w:tcMar>
          </w:tcPr>
          <w:p w14:paraId="50E7E4D5"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B428D87" w14:textId="554AB4AB"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1.286.115</w:t>
            </w:r>
          </w:p>
        </w:tc>
        <w:tc>
          <w:tcPr>
            <w:tcW w:w="516" w:type="pct"/>
            <w:tcBorders>
              <w:top w:val="nil"/>
              <w:left w:val="single" w:sz="4" w:space="0" w:color="auto"/>
              <w:bottom w:val="nil"/>
              <w:right w:val="single" w:sz="4" w:space="0" w:color="auto"/>
            </w:tcBorders>
            <w:hideMark/>
          </w:tcPr>
          <w:p w14:paraId="733C5F30" w14:textId="05249E59" w:rsidR="006D3793" w:rsidRPr="001F224B" w:rsidRDefault="006D3793" w:rsidP="006D3793">
            <w:pPr>
              <w:jc w:val="right"/>
              <w:rPr>
                <w:sz w:val="13"/>
                <w:szCs w:val="13"/>
              </w:rPr>
            </w:pPr>
            <w:r w:rsidRPr="001F224B">
              <w:rPr>
                <w:rFonts w:ascii="Times New Roman TUR" w:hAnsi="Times New Roman TUR" w:cs="Times New Roman TUR"/>
                <w:sz w:val="13"/>
                <w:szCs w:val="13"/>
              </w:rPr>
              <w:t>1.374.935</w:t>
            </w:r>
          </w:p>
        </w:tc>
        <w:tc>
          <w:tcPr>
            <w:tcW w:w="515" w:type="pct"/>
            <w:tcBorders>
              <w:top w:val="nil"/>
              <w:left w:val="nil"/>
              <w:bottom w:val="nil"/>
              <w:right w:val="nil"/>
            </w:tcBorders>
            <w:shd w:val="clear" w:color="auto" w:fill="auto"/>
            <w:hideMark/>
          </w:tcPr>
          <w:p w14:paraId="6E1CAB0C" w14:textId="78E91D2F"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803.961</w:t>
            </w:r>
          </w:p>
        </w:tc>
        <w:tc>
          <w:tcPr>
            <w:tcW w:w="516" w:type="pct"/>
            <w:tcBorders>
              <w:top w:val="nil"/>
              <w:left w:val="single" w:sz="4" w:space="0" w:color="auto"/>
              <w:bottom w:val="nil"/>
              <w:right w:val="single" w:sz="4" w:space="0" w:color="auto"/>
            </w:tcBorders>
            <w:hideMark/>
          </w:tcPr>
          <w:p w14:paraId="5CDAD9E1" w14:textId="224A668C"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1.049.433</w:t>
            </w:r>
          </w:p>
        </w:tc>
      </w:tr>
      <w:tr w:rsidR="006D3793" w:rsidRPr="001F224B" w14:paraId="65CD3F96"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52A129C" w14:textId="77777777" w:rsidR="006D3793" w:rsidRPr="001F224B" w:rsidRDefault="006D3793" w:rsidP="006D3793">
            <w:pPr>
              <w:ind w:right="-17"/>
              <w:rPr>
                <w:sz w:val="11"/>
                <w:szCs w:val="11"/>
              </w:rPr>
            </w:pPr>
            <w:r w:rsidRPr="001F224B">
              <w:rPr>
                <w:sz w:val="11"/>
                <w:szCs w:val="11"/>
              </w:rPr>
              <w:t>1.4</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A18CF72" w14:textId="77777777" w:rsidR="006D3793" w:rsidRPr="001F224B" w:rsidRDefault="006D3793" w:rsidP="006D3793">
            <w:pPr>
              <w:rPr>
                <w:sz w:val="12"/>
                <w:szCs w:val="12"/>
              </w:rPr>
            </w:pPr>
            <w:r w:rsidRPr="001F224B">
              <w:rPr>
                <w:sz w:val="12"/>
                <w:szCs w:val="12"/>
              </w:rPr>
              <w:t>Para Piyasası İşlemlerinden Alınan Faizler</w:t>
            </w:r>
          </w:p>
        </w:tc>
        <w:tc>
          <w:tcPr>
            <w:tcW w:w="207" w:type="pct"/>
            <w:tcBorders>
              <w:right w:val="single" w:sz="4" w:space="0" w:color="auto"/>
            </w:tcBorders>
            <w:noWrap/>
            <w:tcMar>
              <w:top w:w="18" w:type="dxa"/>
              <w:left w:w="18" w:type="dxa"/>
              <w:bottom w:w="0" w:type="dxa"/>
              <w:right w:w="18" w:type="dxa"/>
            </w:tcMar>
          </w:tcPr>
          <w:p w14:paraId="24DB5462"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0D40F2C5" w14:textId="174B67F3"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4.118.506</w:t>
            </w:r>
          </w:p>
        </w:tc>
        <w:tc>
          <w:tcPr>
            <w:tcW w:w="516" w:type="pct"/>
            <w:tcBorders>
              <w:top w:val="nil"/>
              <w:left w:val="single" w:sz="4" w:space="0" w:color="auto"/>
              <w:bottom w:val="nil"/>
              <w:right w:val="single" w:sz="4" w:space="0" w:color="auto"/>
            </w:tcBorders>
            <w:hideMark/>
          </w:tcPr>
          <w:p w14:paraId="0FAE27C4" w14:textId="44B9513E" w:rsidR="006D3793" w:rsidRPr="001F224B" w:rsidRDefault="006D3793" w:rsidP="006D3793">
            <w:pPr>
              <w:jc w:val="right"/>
              <w:rPr>
                <w:sz w:val="13"/>
                <w:szCs w:val="13"/>
              </w:rPr>
            </w:pPr>
            <w:r w:rsidRPr="001F224B">
              <w:rPr>
                <w:rFonts w:ascii="Times New Roman TUR" w:hAnsi="Times New Roman TUR" w:cs="Times New Roman TUR"/>
                <w:sz w:val="13"/>
                <w:szCs w:val="13"/>
              </w:rPr>
              <w:t>2.329.228</w:t>
            </w:r>
          </w:p>
        </w:tc>
        <w:tc>
          <w:tcPr>
            <w:tcW w:w="515" w:type="pct"/>
            <w:tcBorders>
              <w:top w:val="nil"/>
              <w:left w:val="nil"/>
              <w:bottom w:val="nil"/>
              <w:right w:val="nil"/>
            </w:tcBorders>
            <w:shd w:val="clear" w:color="auto" w:fill="auto"/>
            <w:hideMark/>
          </w:tcPr>
          <w:p w14:paraId="27384686" w14:textId="14925AA6"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1.848.753</w:t>
            </w:r>
          </w:p>
        </w:tc>
        <w:tc>
          <w:tcPr>
            <w:tcW w:w="516" w:type="pct"/>
            <w:tcBorders>
              <w:top w:val="nil"/>
              <w:left w:val="single" w:sz="4" w:space="0" w:color="auto"/>
              <w:bottom w:val="nil"/>
              <w:right w:val="single" w:sz="4" w:space="0" w:color="auto"/>
            </w:tcBorders>
            <w:hideMark/>
          </w:tcPr>
          <w:p w14:paraId="34F63EA0" w14:textId="6A8019CD"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1.101.865</w:t>
            </w:r>
          </w:p>
        </w:tc>
      </w:tr>
      <w:tr w:rsidR="006D3793" w:rsidRPr="001F224B" w14:paraId="6B881821"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E0D57EE" w14:textId="77777777" w:rsidR="006D3793" w:rsidRPr="001F224B" w:rsidRDefault="006D3793" w:rsidP="006D3793">
            <w:pPr>
              <w:rPr>
                <w:sz w:val="11"/>
                <w:szCs w:val="11"/>
              </w:rPr>
            </w:pPr>
            <w:r w:rsidRPr="001F224B">
              <w:rPr>
                <w:sz w:val="11"/>
                <w:szCs w:val="11"/>
              </w:rPr>
              <w:t>1.5</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0F2F14C" w14:textId="77777777" w:rsidR="006D3793" w:rsidRPr="001F224B" w:rsidRDefault="006D3793" w:rsidP="006D3793">
            <w:pPr>
              <w:rPr>
                <w:sz w:val="12"/>
                <w:szCs w:val="12"/>
              </w:rPr>
            </w:pPr>
            <w:r w:rsidRPr="001F224B">
              <w:rPr>
                <w:sz w:val="12"/>
                <w:szCs w:val="12"/>
              </w:rPr>
              <w:t>Menkul Değerlerden Alınan Faizler</w:t>
            </w:r>
          </w:p>
        </w:tc>
        <w:tc>
          <w:tcPr>
            <w:tcW w:w="207" w:type="pct"/>
            <w:tcBorders>
              <w:right w:val="single" w:sz="4" w:space="0" w:color="auto"/>
            </w:tcBorders>
            <w:noWrap/>
            <w:tcMar>
              <w:top w:w="18" w:type="dxa"/>
              <w:left w:w="18" w:type="dxa"/>
              <w:bottom w:w="0" w:type="dxa"/>
              <w:right w:w="18" w:type="dxa"/>
            </w:tcMar>
          </w:tcPr>
          <w:p w14:paraId="731FAE0C"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21650077" w14:textId="15B63878"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3.263.830</w:t>
            </w:r>
          </w:p>
        </w:tc>
        <w:tc>
          <w:tcPr>
            <w:tcW w:w="516" w:type="pct"/>
            <w:tcBorders>
              <w:top w:val="nil"/>
              <w:left w:val="single" w:sz="4" w:space="0" w:color="auto"/>
              <w:bottom w:val="nil"/>
              <w:right w:val="single" w:sz="4" w:space="0" w:color="auto"/>
            </w:tcBorders>
            <w:hideMark/>
          </w:tcPr>
          <w:p w14:paraId="3ACFA3AE" w14:textId="716F4715" w:rsidR="006D3793" w:rsidRPr="001F224B" w:rsidRDefault="006D3793" w:rsidP="006D3793">
            <w:pPr>
              <w:jc w:val="right"/>
              <w:rPr>
                <w:sz w:val="13"/>
                <w:szCs w:val="13"/>
              </w:rPr>
            </w:pPr>
            <w:r w:rsidRPr="001F224B">
              <w:rPr>
                <w:rFonts w:ascii="Times New Roman TUR" w:hAnsi="Times New Roman TUR" w:cs="Times New Roman TUR"/>
                <w:sz w:val="13"/>
                <w:szCs w:val="13"/>
              </w:rPr>
              <w:t>2.902.969</w:t>
            </w:r>
          </w:p>
        </w:tc>
        <w:tc>
          <w:tcPr>
            <w:tcW w:w="515" w:type="pct"/>
            <w:tcBorders>
              <w:top w:val="nil"/>
              <w:left w:val="nil"/>
              <w:bottom w:val="nil"/>
              <w:right w:val="nil"/>
            </w:tcBorders>
            <w:shd w:val="clear" w:color="auto" w:fill="auto"/>
            <w:hideMark/>
          </w:tcPr>
          <w:p w14:paraId="4AC72ADE" w14:textId="68D7CEF8"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1.676.557</w:t>
            </w:r>
          </w:p>
        </w:tc>
        <w:tc>
          <w:tcPr>
            <w:tcW w:w="516" w:type="pct"/>
            <w:tcBorders>
              <w:top w:val="nil"/>
              <w:left w:val="single" w:sz="4" w:space="0" w:color="auto"/>
              <w:bottom w:val="nil"/>
              <w:right w:val="single" w:sz="4" w:space="0" w:color="auto"/>
            </w:tcBorders>
            <w:hideMark/>
          </w:tcPr>
          <w:p w14:paraId="55C46CA0" w14:textId="4A17546F"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1.409.698</w:t>
            </w:r>
          </w:p>
        </w:tc>
      </w:tr>
      <w:tr w:rsidR="006D3793" w:rsidRPr="001F224B" w14:paraId="2C96CEE2"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F129A4E" w14:textId="77777777" w:rsidR="006D3793" w:rsidRPr="001F224B" w:rsidRDefault="006D3793" w:rsidP="006D3793">
            <w:pPr>
              <w:rPr>
                <w:sz w:val="11"/>
                <w:szCs w:val="11"/>
              </w:rPr>
            </w:pPr>
            <w:r w:rsidRPr="001F224B">
              <w:rPr>
                <w:sz w:val="11"/>
                <w:szCs w:val="11"/>
              </w:rPr>
              <w:t>1.5.1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67B686F6" w14:textId="77777777" w:rsidR="006D3793" w:rsidRPr="001F224B" w:rsidRDefault="006D3793" w:rsidP="006D3793">
            <w:pPr>
              <w:rPr>
                <w:sz w:val="12"/>
                <w:szCs w:val="12"/>
              </w:rPr>
            </w:pPr>
            <w:r w:rsidRPr="001F224B">
              <w:rPr>
                <w:sz w:val="12"/>
                <w:szCs w:val="12"/>
              </w:rPr>
              <w:t>Gerçeğe Uygun Değer Farkı Kar Zarara Yansıtılanlar</w:t>
            </w:r>
          </w:p>
        </w:tc>
        <w:tc>
          <w:tcPr>
            <w:tcW w:w="207" w:type="pct"/>
            <w:tcBorders>
              <w:right w:val="single" w:sz="4" w:space="0" w:color="auto"/>
            </w:tcBorders>
            <w:noWrap/>
            <w:tcMar>
              <w:top w:w="18" w:type="dxa"/>
              <w:left w:w="18" w:type="dxa"/>
              <w:bottom w:w="0" w:type="dxa"/>
              <w:right w:w="18" w:type="dxa"/>
            </w:tcMar>
          </w:tcPr>
          <w:p w14:paraId="60648965"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0BF7D577" w14:textId="74B4B0D1"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3DC4EDAE" w14:textId="058B9621"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c>
          <w:tcPr>
            <w:tcW w:w="515" w:type="pct"/>
            <w:tcBorders>
              <w:top w:val="nil"/>
              <w:left w:val="nil"/>
              <w:bottom w:val="nil"/>
              <w:right w:val="nil"/>
            </w:tcBorders>
            <w:shd w:val="clear" w:color="auto" w:fill="auto"/>
            <w:hideMark/>
          </w:tcPr>
          <w:p w14:paraId="46DEEF92" w14:textId="61F2AE1A"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71999931" w14:textId="6421D879"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r>
      <w:tr w:rsidR="006D3793" w:rsidRPr="001F224B" w14:paraId="6517539E"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08B851A" w14:textId="77777777" w:rsidR="006D3793" w:rsidRPr="001F224B" w:rsidRDefault="006D3793" w:rsidP="006D3793">
            <w:pPr>
              <w:rPr>
                <w:sz w:val="11"/>
                <w:szCs w:val="11"/>
              </w:rPr>
            </w:pPr>
            <w:r w:rsidRPr="001F224B">
              <w:rPr>
                <w:sz w:val="11"/>
                <w:szCs w:val="11"/>
              </w:rPr>
              <w:t>1.5.2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37DF77B" w14:textId="77777777" w:rsidR="006D3793" w:rsidRPr="001F224B" w:rsidRDefault="006D3793" w:rsidP="006D3793">
            <w:pPr>
              <w:rPr>
                <w:sz w:val="12"/>
                <w:szCs w:val="12"/>
              </w:rPr>
            </w:pPr>
            <w:r w:rsidRPr="001F224B">
              <w:rPr>
                <w:sz w:val="12"/>
                <w:szCs w:val="12"/>
              </w:rPr>
              <w:t>Gerçeğe Uygun Değer Farkı Diğer Kapsamlı Gelire Yansıtılanlar</w:t>
            </w:r>
          </w:p>
        </w:tc>
        <w:tc>
          <w:tcPr>
            <w:tcW w:w="207" w:type="pct"/>
            <w:tcBorders>
              <w:right w:val="single" w:sz="4" w:space="0" w:color="auto"/>
            </w:tcBorders>
            <w:noWrap/>
            <w:tcMar>
              <w:top w:w="18" w:type="dxa"/>
              <w:left w:w="18" w:type="dxa"/>
              <w:bottom w:w="0" w:type="dxa"/>
              <w:right w:w="18" w:type="dxa"/>
            </w:tcMar>
          </w:tcPr>
          <w:p w14:paraId="428C1D00"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4415175" w14:textId="040E370C"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1.568.268</w:t>
            </w:r>
          </w:p>
        </w:tc>
        <w:tc>
          <w:tcPr>
            <w:tcW w:w="516" w:type="pct"/>
            <w:tcBorders>
              <w:top w:val="nil"/>
              <w:left w:val="single" w:sz="4" w:space="0" w:color="auto"/>
              <w:bottom w:val="nil"/>
              <w:right w:val="single" w:sz="4" w:space="0" w:color="auto"/>
            </w:tcBorders>
            <w:hideMark/>
          </w:tcPr>
          <w:p w14:paraId="28DEC1C8" w14:textId="60008D8D" w:rsidR="006D3793" w:rsidRPr="001F224B" w:rsidRDefault="006D3793" w:rsidP="006D3793">
            <w:pPr>
              <w:jc w:val="right"/>
              <w:rPr>
                <w:sz w:val="13"/>
                <w:szCs w:val="13"/>
              </w:rPr>
            </w:pPr>
            <w:r w:rsidRPr="001F224B">
              <w:rPr>
                <w:rFonts w:ascii="Times New Roman TUR" w:hAnsi="Times New Roman TUR" w:cs="Times New Roman TUR"/>
                <w:sz w:val="13"/>
                <w:szCs w:val="13"/>
              </w:rPr>
              <w:t>1.002.012</w:t>
            </w:r>
          </w:p>
        </w:tc>
        <w:tc>
          <w:tcPr>
            <w:tcW w:w="515" w:type="pct"/>
            <w:tcBorders>
              <w:top w:val="nil"/>
              <w:left w:val="nil"/>
              <w:bottom w:val="nil"/>
              <w:right w:val="nil"/>
            </w:tcBorders>
            <w:shd w:val="clear" w:color="auto" w:fill="auto"/>
            <w:hideMark/>
          </w:tcPr>
          <w:p w14:paraId="04BCEC0D" w14:textId="000B1413"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824.794</w:t>
            </w:r>
          </w:p>
        </w:tc>
        <w:tc>
          <w:tcPr>
            <w:tcW w:w="516" w:type="pct"/>
            <w:tcBorders>
              <w:top w:val="nil"/>
              <w:left w:val="single" w:sz="4" w:space="0" w:color="auto"/>
              <w:bottom w:val="nil"/>
              <w:right w:val="single" w:sz="4" w:space="0" w:color="auto"/>
            </w:tcBorders>
            <w:hideMark/>
          </w:tcPr>
          <w:p w14:paraId="5EB872C2" w14:textId="56BB311A"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525.412</w:t>
            </w:r>
          </w:p>
        </w:tc>
      </w:tr>
      <w:tr w:rsidR="006D3793" w:rsidRPr="001F224B" w14:paraId="16A514A6"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AEFB7C1" w14:textId="77777777" w:rsidR="006D3793" w:rsidRPr="001F224B" w:rsidRDefault="006D3793" w:rsidP="006D3793">
            <w:pPr>
              <w:rPr>
                <w:sz w:val="11"/>
                <w:szCs w:val="11"/>
              </w:rPr>
            </w:pPr>
            <w:r w:rsidRPr="001F224B">
              <w:rPr>
                <w:sz w:val="11"/>
                <w:szCs w:val="11"/>
              </w:rPr>
              <w:t>1.5.3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69693B68" w14:textId="77777777" w:rsidR="006D3793" w:rsidRPr="001F224B" w:rsidRDefault="006D3793" w:rsidP="006D3793">
            <w:pPr>
              <w:rPr>
                <w:sz w:val="12"/>
                <w:szCs w:val="12"/>
              </w:rPr>
            </w:pPr>
            <w:r w:rsidRPr="001F224B">
              <w:rPr>
                <w:sz w:val="12"/>
                <w:szCs w:val="12"/>
              </w:rPr>
              <w:t>İtfa Edilmiş Maliyeti İle Ölçülenler</w:t>
            </w:r>
          </w:p>
        </w:tc>
        <w:tc>
          <w:tcPr>
            <w:tcW w:w="207" w:type="pct"/>
            <w:tcBorders>
              <w:right w:val="single" w:sz="4" w:space="0" w:color="auto"/>
            </w:tcBorders>
            <w:noWrap/>
            <w:tcMar>
              <w:top w:w="18" w:type="dxa"/>
              <w:left w:w="18" w:type="dxa"/>
              <w:bottom w:w="0" w:type="dxa"/>
              <w:right w:w="18" w:type="dxa"/>
            </w:tcMar>
          </w:tcPr>
          <w:p w14:paraId="0518EBE3"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281E148B" w14:textId="4E488751"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1.695.562</w:t>
            </w:r>
          </w:p>
        </w:tc>
        <w:tc>
          <w:tcPr>
            <w:tcW w:w="516" w:type="pct"/>
            <w:tcBorders>
              <w:top w:val="nil"/>
              <w:left w:val="single" w:sz="4" w:space="0" w:color="auto"/>
              <w:bottom w:val="nil"/>
              <w:right w:val="single" w:sz="4" w:space="0" w:color="auto"/>
            </w:tcBorders>
            <w:hideMark/>
          </w:tcPr>
          <w:p w14:paraId="2506F15D" w14:textId="7D1CFC63" w:rsidR="006D3793" w:rsidRPr="001F224B" w:rsidRDefault="006D3793" w:rsidP="006D3793">
            <w:pPr>
              <w:jc w:val="right"/>
              <w:rPr>
                <w:sz w:val="13"/>
                <w:szCs w:val="13"/>
              </w:rPr>
            </w:pPr>
            <w:r w:rsidRPr="001F224B">
              <w:rPr>
                <w:rFonts w:ascii="Times New Roman TUR" w:hAnsi="Times New Roman TUR" w:cs="Times New Roman TUR"/>
                <w:sz w:val="13"/>
                <w:szCs w:val="13"/>
              </w:rPr>
              <w:t>1.900.957</w:t>
            </w:r>
          </w:p>
        </w:tc>
        <w:tc>
          <w:tcPr>
            <w:tcW w:w="515" w:type="pct"/>
            <w:tcBorders>
              <w:top w:val="nil"/>
              <w:left w:val="nil"/>
              <w:bottom w:val="nil"/>
              <w:right w:val="nil"/>
            </w:tcBorders>
            <w:shd w:val="clear" w:color="auto" w:fill="auto"/>
            <w:hideMark/>
          </w:tcPr>
          <w:p w14:paraId="16664099" w14:textId="609B4F70"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851.763</w:t>
            </w:r>
          </w:p>
        </w:tc>
        <w:tc>
          <w:tcPr>
            <w:tcW w:w="516" w:type="pct"/>
            <w:tcBorders>
              <w:top w:val="nil"/>
              <w:left w:val="single" w:sz="4" w:space="0" w:color="auto"/>
              <w:bottom w:val="nil"/>
              <w:right w:val="single" w:sz="4" w:space="0" w:color="auto"/>
            </w:tcBorders>
            <w:hideMark/>
          </w:tcPr>
          <w:p w14:paraId="6BC8EFD1" w14:textId="4820A47B"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884.286</w:t>
            </w:r>
          </w:p>
        </w:tc>
      </w:tr>
      <w:tr w:rsidR="006D3793" w:rsidRPr="001F224B" w14:paraId="45EE2794"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615D130" w14:textId="77777777" w:rsidR="006D3793" w:rsidRPr="001F224B" w:rsidRDefault="006D3793" w:rsidP="006D3793">
            <w:pPr>
              <w:rPr>
                <w:sz w:val="11"/>
                <w:szCs w:val="11"/>
              </w:rPr>
            </w:pPr>
            <w:r w:rsidRPr="001F224B">
              <w:rPr>
                <w:sz w:val="11"/>
                <w:szCs w:val="11"/>
              </w:rPr>
              <w:t>1.6</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E06F0B6" w14:textId="77777777" w:rsidR="006D3793" w:rsidRPr="001F224B" w:rsidRDefault="006D3793" w:rsidP="006D3793">
            <w:pPr>
              <w:rPr>
                <w:sz w:val="12"/>
                <w:szCs w:val="12"/>
              </w:rPr>
            </w:pPr>
            <w:r w:rsidRPr="001F224B">
              <w:rPr>
                <w:sz w:val="12"/>
                <w:szCs w:val="12"/>
              </w:rPr>
              <w:t>Finansal Kiralama Faiz Gelirleri</w:t>
            </w:r>
          </w:p>
        </w:tc>
        <w:tc>
          <w:tcPr>
            <w:tcW w:w="207" w:type="pct"/>
            <w:tcBorders>
              <w:right w:val="single" w:sz="4" w:space="0" w:color="auto"/>
            </w:tcBorders>
            <w:noWrap/>
            <w:tcMar>
              <w:top w:w="18" w:type="dxa"/>
              <w:left w:w="18" w:type="dxa"/>
              <w:bottom w:w="0" w:type="dxa"/>
              <w:right w:w="18" w:type="dxa"/>
            </w:tcMar>
          </w:tcPr>
          <w:p w14:paraId="0B4D3A88"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2CCB20AA" w14:textId="52848C4D"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07B0E883" w14:textId="3A438EA5"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c>
          <w:tcPr>
            <w:tcW w:w="515" w:type="pct"/>
            <w:tcBorders>
              <w:top w:val="nil"/>
              <w:left w:val="nil"/>
              <w:bottom w:val="nil"/>
              <w:right w:val="nil"/>
            </w:tcBorders>
            <w:shd w:val="clear" w:color="auto" w:fill="auto"/>
            <w:hideMark/>
          </w:tcPr>
          <w:p w14:paraId="28D49965" w14:textId="2B0281EB"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7F0D8D2E" w14:textId="33A8D269"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r>
      <w:tr w:rsidR="006D3793" w:rsidRPr="001F224B" w14:paraId="5BD3A807"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C713AFF" w14:textId="77777777" w:rsidR="006D3793" w:rsidRPr="001F224B" w:rsidRDefault="006D3793" w:rsidP="006D3793">
            <w:pPr>
              <w:rPr>
                <w:sz w:val="11"/>
                <w:szCs w:val="11"/>
              </w:rPr>
            </w:pPr>
            <w:r w:rsidRPr="001F224B">
              <w:rPr>
                <w:sz w:val="11"/>
                <w:szCs w:val="11"/>
              </w:rPr>
              <w:t>1.7</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EF1277E" w14:textId="77777777" w:rsidR="006D3793" w:rsidRPr="001F224B" w:rsidRDefault="006D3793" w:rsidP="006D3793">
            <w:pPr>
              <w:rPr>
                <w:sz w:val="12"/>
                <w:szCs w:val="12"/>
              </w:rPr>
            </w:pPr>
            <w:r w:rsidRPr="001F224B">
              <w:rPr>
                <w:sz w:val="12"/>
                <w:szCs w:val="12"/>
              </w:rPr>
              <w:t xml:space="preserve">Diğer Faiz Gelirleri  </w:t>
            </w:r>
          </w:p>
        </w:tc>
        <w:tc>
          <w:tcPr>
            <w:tcW w:w="207" w:type="pct"/>
            <w:tcBorders>
              <w:right w:val="single" w:sz="4" w:space="0" w:color="auto"/>
            </w:tcBorders>
            <w:noWrap/>
            <w:tcMar>
              <w:top w:w="18" w:type="dxa"/>
              <w:left w:w="18" w:type="dxa"/>
              <w:bottom w:w="0" w:type="dxa"/>
              <w:right w:w="18" w:type="dxa"/>
            </w:tcMar>
          </w:tcPr>
          <w:p w14:paraId="04850B55"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7F106769" w14:textId="21BB51ED"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107.205</w:t>
            </w:r>
          </w:p>
        </w:tc>
        <w:tc>
          <w:tcPr>
            <w:tcW w:w="516" w:type="pct"/>
            <w:tcBorders>
              <w:top w:val="nil"/>
              <w:left w:val="single" w:sz="4" w:space="0" w:color="auto"/>
              <w:bottom w:val="nil"/>
              <w:right w:val="single" w:sz="4" w:space="0" w:color="auto"/>
            </w:tcBorders>
            <w:hideMark/>
          </w:tcPr>
          <w:p w14:paraId="335C1571" w14:textId="1A6FE742" w:rsidR="006D3793" w:rsidRPr="001F224B" w:rsidRDefault="006D3793" w:rsidP="006D3793">
            <w:pPr>
              <w:jc w:val="right"/>
              <w:rPr>
                <w:sz w:val="13"/>
                <w:szCs w:val="13"/>
              </w:rPr>
            </w:pPr>
            <w:r w:rsidRPr="001F224B">
              <w:rPr>
                <w:rFonts w:ascii="Times New Roman TUR" w:hAnsi="Times New Roman TUR" w:cs="Times New Roman TUR"/>
                <w:sz w:val="13"/>
                <w:szCs w:val="13"/>
              </w:rPr>
              <w:t>204.480</w:t>
            </w:r>
          </w:p>
        </w:tc>
        <w:tc>
          <w:tcPr>
            <w:tcW w:w="515" w:type="pct"/>
            <w:tcBorders>
              <w:top w:val="nil"/>
              <w:left w:val="nil"/>
              <w:bottom w:val="nil"/>
              <w:right w:val="nil"/>
            </w:tcBorders>
            <w:shd w:val="clear" w:color="auto" w:fill="auto"/>
            <w:hideMark/>
          </w:tcPr>
          <w:p w14:paraId="6EAF51E9" w14:textId="3860F9FC"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31.134</w:t>
            </w:r>
          </w:p>
        </w:tc>
        <w:tc>
          <w:tcPr>
            <w:tcW w:w="516" w:type="pct"/>
            <w:tcBorders>
              <w:top w:val="nil"/>
              <w:left w:val="single" w:sz="4" w:space="0" w:color="auto"/>
              <w:bottom w:val="nil"/>
              <w:right w:val="single" w:sz="4" w:space="0" w:color="auto"/>
            </w:tcBorders>
            <w:hideMark/>
          </w:tcPr>
          <w:p w14:paraId="56E64AE2" w14:textId="10279C4E" w:rsidR="006D3793" w:rsidRPr="001F224B" w:rsidRDefault="006D3793" w:rsidP="006D3793">
            <w:pPr>
              <w:jc w:val="right"/>
              <w:rPr>
                <w:sz w:val="13"/>
                <w:szCs w:val="13"/>
              </w:rPr>
            </w:pPr>
            <w:r w:rsidRPr="001F224B">
              <w:rPr>
                <w:rFonts w:ascii="Times New Roman TUR" w:hAnsi="Times New Roman TUR" w:cs="Times New Roman TUR"/>
                <w:sz w:val="13"/>
                <w:szCs w:val="13"/>
              </w:rPr>
              <w:t>119.886</w:t>
            </w:r>
          </w:p>
        </w:tc>
      </w:tr>
      <w:tr w:rsidR="006D3793" w:rsidRPr="001F224B" w14:paraId="5003AEFB"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61E1EBE8" w14:textId="77777777" w:rsidR="006D3793" w:rsidRPr="001F224B" w:rsidRDefault="006D3793" w:rsidP="006D3793">
            <w:pPr>
              <w:rPr>
                <w:b/>
                <w:sz w:val="11"/>
                <w:szCs w:val="11"/>
              </w:rPr>
            </w:pPr>
            <w:r w:rsidRPr="001F224B">
              <w:rPr>
                <w:b/>
                <w:bCs/>
                <w:sz w:val="11"/>
                <w:szCs w:val="11"/>
              </w:rPr>
              <w:t>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3241B8B" w14:textId="77777777" w:rsidR="006D3793" w:rsidRPr="001F224B" w:rsidRDefault="006D3793" w:rsidP="006D3793">
            <w:pPr>
              <w:rPr>
                <w:b/>
                <w:sz w:val="12"/>
                <w:szCs w:val="12"/>
              </w:rPr>
            </w:pPr>
            <w:r w:rsidRPr="001F224B">
              <w:rPr>
                <w:b/>
                <w:sz w:val="12"/>
                <w:szCs w:val="12"/>
              </w:rPr>
              <w:t xml:space="preserve">FAİZ GİDERLERİ (-)  </w:t>
            </w:r>
          </w:p>
        </w:tc>
        <w:tc>
          <w:tcPr>
            <w:tcW w:w="207" w:type="pct"/>
            <w:tcBorders>
              <w:right w:val="single" w:sz="4" w:space="0" w:color="auto"/>
            </w:tcBorders>
            <w:noWrap/>
            <w:tcMar>
              <w:top w:w="18" w:type="dxa"/>
              <w:left w:w="18" w:type="dxa"/>
              <w:bottom w:w="0" w:type="dxa"/>
              <w:right w:w="18" w:type="dxa"/>
            </w:tcMar>
            <w:hideMark/>
          </w:tcPr>
          <w:p w14:paraId="0B416B6E" w14:textId="77777777" w:rsidR="006D3793" w:rsidRPr="001F224B" w:rsidRDefault="006D3793" w:rsidP="006D3793">
            <w:pPr>
              <w:jc w:val="center"/>
              <w:rPr>
                <w:rFonts w:eastAsia="Arial Unicode MS"/>
                <w:b/>
                <w:sz w:val="12"/>
                <w:szCs w:val="12"/>
              </w:rPr>
            </w:pPr>
            <w:r w:rsidRPr="001F224B">
              <w:rPr>
                <w:b/>
                <w:sz w:val="12"/>
                <w:szCs w:val="12"/>
              </w:rPr>
              <w:t>(2)</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7C31CD2" w14:textId="5FBF8A79"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(7.175.038)</w:t>
            </w:r>
          </w:p>
        </w:tc>
        <w:tc>
          <w:tcPr>
            <w:tcW w:w="516" w:type="pct"/>
            <w:tcBorders>
              <w:top w:val="nil"/>
              <w:left w:val="single" w:sz="4" w:space="0" w:color="auto"/>
              <w:bottom w:val="nil"/>
              <w:right w:val="single" w:sz="4" w:space="0" w:color="auto"/>
            </w:tcBorders>
            <w:hideMark/>
          </w:tcPr>
          <w:p w14:paraId="43359787" w14:textId="04585700"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(6.053.570)</w:t>
            </w:r>
          </w:p>
        </w:tc>
        <w:tc>
          <w:tcPr>
            <w:tcW w:w="515" w:type="pct"/>
            <w:tcBorders>
              <w:top w:val="nil"/>
              <w:left w:val="nil"/>
              <w:bottom w:val="nil"/>
              <w:right w:val="nil"/>
            </w:tcBorders>
            <w:shd w:val="clear" w:color="auto" w:fill="auto"/>
            <w:hideMark/>
          </w:tcPr>
          <w:p w14:paraId="7A02FDD1" w14:textId="573A894F"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(3.263.090)</w:t>
            </w:r>
          </w:p>
        </w:tc>
        <w:tc>
          <w:tcPr>
            <w:tcW w:w="516" w:type="pct"/>
            <w:tcBorders>
              <w:top w:val="nil"/>
              <w:left w:val="single" w:sz="4" w:space="0" w:color="auto"/>
              <w:bottom w:val="nil"/>
              <w:right w:val="single" w:sz="4" w:space="0" w:color="auto"/>
            </w:tcBorders>
            <w:hideMark/>
          </w:tcPr>
          <w:p w14:paraId="5FD02AB8" w14:textId="62C5F2D2"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(3.061.846)</w:t>
            </w:r>
          </w:p>
        </w:tc>
      </w:tr>
      <w:tr w:rsidR="006D3793" w:rsidRPr="001F224B" w14:paraId="677ADC1B"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85CC0BB" w14:textId="77777777" w:rsidR="006D3793" w:rsidRPr="001F224B" w:rsidRDefault="006D3793" w:rsidP="006D3793">
            <w:pPr>
              <w:rPr>
                <w:sz w:val="11"/>
                <w:szCs w:val="11"/>
              </w:rPr>
            </w:pPr>
            <w:r w:rsidRPr="001F224B">
              <w:rPr>
                <w:sz w:val="11"/>
                <w:szCs w:val="11"/>
              </w:rPr>
              <w:t>2.1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95A8ED6" w14:textId="77777777" w:rsidR="006D3793" w:rsidRPr="001F224B" w:rsidRDefault="006D3793" w:rsidP="006D3793">
            <w:pPr>
              <w:rPr>
                <w:sz w:val="12"/>
                <w:szCs w:val="12"/>
              </w:rPr>
            </w:pPr>
            <w:r w:rsidRPr="001F224B">
              <w:rPr>
                <w:sz w:val="12"/>
                <w:szCs w:val="12"/>
              </w:rPr>
              <w:t>Mevduata Verilen Faizler</w:t>
            </w:r>
          </w:p>
        </w:tc>
        <w:tc>
          <w:tcPr>
            <w:tcW w:w="207" w:type="pct"/>
            <w:tcBorders>
              <w:right w:val="single" w:sz="4" w:space="0" w:color="auto"/>
            </w:tcBorders>
            <w:noWrap/>
            <w:tcMar>
              <w:top w:w="18" w:type="dxa"/>
              <w:left w:w="18" w:type="dxa"/>
              <w:bottom w:w="0" w:type="dxa"/>
              <w:right w:w="18" w:type="dxa"/>
            </w:tcMar>
          </w:tcPr>
          <w:p w14:paraId="02269DD5"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E81B20C" w14:textId="77BBE806"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70983CA4" w14:textId="59AF2978"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c>
          <w:tcPr>
            <w:tcW w:w="515" w:type="pct"/>
            <w:tcBorders>
              <w:top w:val="nil"/>
              <w:left w:val="nil"/>
              <w:bottom w:val="nil"/>
              <w:right w:val="nil"/>
            </w:tcBorders>
            <w:shd w:val="clear" w:color="auto" w:fill="auto"/>
            <w:hideMark/>
          </w:tcPr>
          <w:p w14:paraId="1B5B5EF5" w14:textId="796C430D"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1B56AEC1" w14:textId="4E35C69B"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r>
      <w:tr w:rsidR="006D3793" w:rsidRPr="001F224B" w14:paraId="66DCE28F"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6F5AE846" w14:textId="77777777" w:rsidR="006D3793" w:rsidRPr="001F224B" w:rsidRDefault="006D3793" w:rsidP="006D3793">
            <w:pPr>
              <w:rPr>
                <w:sz w:val="11"/>
                <w:szCs w:val="11"/>
              </w:rPr>
            </w:pPr>
            <w:r w:rsidRPr="001F224B">
              <w:rPr>
                <w:sz w:val="11"/>
                <w:szCs w:val="11"/>
              </w:rPr>
              <w:t>2.2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D8DB7EC" w14:textId="77777777" w:rsidR="006D3793" w:rsidRPr="001F224B" w:rsidRDefault="006D3793" w:rsidP="006D3793">
            <w:pPr>
              <w:rPr>
                <w:sz w:val="12"/>
                <w:szCs w:val="12"/>
              </w:rPr>
            </w:pPr>
            <w:r w:rsidRPr="001F224B">
              <w:rPr>
                <w:sz w:val="12"/>
                <w:szCs w:val="12"/>
              </w:rPr>
              <w:t xml:space="preserve">Kullanılan Kredilere Verilen Faizler </w:t>
            </w:r>
          </w:p>
        </w:tc>
        <w:tc>
          <w:tcPr>
            <w:tcW w:w="207" w:type="pct"/>
            <w:tcBorders>
              <w:right w:val="single" w:sz="4" w:space="0" w:color="auto"/>
            </w:tcBorders>
            <w:noWrap/>
            <w:tcMar>
              <w:top w:w="18" w:type="dxa"/>
              <w:left w:w="18" w:type="dxa"/>
              <w:bottom w:w="0" w:type="dxa"/>
              <w:right w:w="18" w:type="dxa"/>
            </w:tcMar>
          </w:tcPr>
          <w:p w14:paraId="10D5A131"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E95A113" w14:textId="5CA92B80"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(5.417.959)</w:t>
            </w:r>
          </w:p>
        </w:tc>
        <w:tc>
          <w:tcPr>
            <w:tcW w:w="516" w:type="pct"/>
            <w:tcBorders>
              <w:top w:val="nil"/>
              <w:left w:val="single" w:sz="4" w:space="0" w:color="auto"/>
              <w:bottom w:val="nil"/>
              <w:right w:val="single" w:sz="4" w:space="0" w:color="auto"/>
            </w:tcBorders>
            <w:hideMark/>
          </w:tcPr>
          <w:p w14:paraId="7D5152A8" w14:textId="5C985C09" w:rsidR="006D3793" w:rsidRPr="001F224B" w:rsidRDefault="006D3793" w:rsidP="006D3793">
            <w:pPr>
              <w:jc w:val="right"/>
              <w:rPr>
                <w:sz w:val="13"/>
                <w:szCs w:val="13"/>
              </w:rPr>
            </w:pPr>
            <w:r w:rsidRPr="001F224B">
              <w:rPr>
                <w:rFonts w:ascii="Times New Roman TUR" w:hAnsi="Times New Roman TUR" w:cs="Times New Roman TUR"/>
                <w:sz w:val="13"/>
                <w:szCs w:val="13"/>
              </w:rPr>
              <w:t>(5.107.673)</w:t>
            </w:r>
          </w:p>
        </w:tc>
        <w:tc>
          <w:tcPr>
            <w:tcW w:w="515" w:type="pct"/>
            <w:tcBorders>
              <w:top w:val="nil"/>
              <w:left w:val="nil"/>
              <w:bottom w:val="nil"/>
              <w:right w:val="nil"/>
            </w:tcBorders>
            <w:shd w:val="clear" w:color="auto" w:fill="auto"/>
            <w:hideMark/>
          </w:tcPr>
          <w:p w14:paraId="33DCE181" w14:textId="630B3950"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(2.780.588)</w:t>
            </w:r>
          </w:p>
        </w:tc>
        <w:tc>
          <w:tcPr>
            <w:tcW w:w="516" w:type="pct"/>
            <w:tcBorders>
              <w:top w:val="nil"/>
              <w:left w:val="single" w:sz="4" w:space="0" w:color="auto"/>
              <w:bottom w:val="nil"/>
              <w:right w:val="single" w:sz="4" w:space="0" w:color="auto"/>
            </w:tcBorders>
            <w:hideMark/>
          </w:tcPr>
          <w:p w14:paraId="3BC3F00C" w14:textId="2A3E1E71" w:rsidR="006D3793" w:rsidRPr="001F224B" w:rsidRDefault="006D3793" w:rsidP="006D3793">
            <w:pPr>
              <w:jc w:val="right"/>
              <w:rPr>
                <w:sz w:val="13"/>
                <w:szCs w:val="13"/>
              </w:rPr>
            </w:pPr>
            <w:r w:rsidRPr="001F224B">
              <w:rPr>
                <w:rFonts w:ascii="Times New Roman TUR" w:hAnsi="Times New Roman TUR" w:cs="Times New Roman TUR"/>
                <w:sz w:val="13"/>
                <w:szCs w:val="13"/>
              </w:rPr>
              <w:t>(2.519.596)</w:t>
            </w:r>
          </w:p>
        </w:tc>
      </w:tr>
      <w:tr w:rsidR="006D3793" w:rsidRPr="001F224B" w14:paraId="4C495EE2"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2EC7EDC" w14:textId="77777777" w:rsidR="006D3793" w:rsidRPr="001F224B" w:rsidRDefault="006D3793" w:rsidP="006D3793">
            <w:pPr>
              <w:rPr>
                <w:sz w:val="11"/>
                <w:szCs w:val="11"/>
              </w:rPr>
            </w:pPr>
            <w:r w:rsidRPr="001F224B">
              <w:rPr>
                <w:sz w:val="11"/>
                <w:szCs w:val="11"/>
              </w:rPr>
              <w:t>2.3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5CBA1E1" w14:textId="77777777" w:rsidR="006D3793" w:rsidRPr="001F224B" w:rsidRDefault="006D3793" w:rsidP="006D3793">
            <w:pPr>
              <w:rPr>
                <w:sz w:val="12"/>
                <w:szCs w:val="12"/>
              </w:rPr>
            </w:pPr>
            <w:r w:rsidRPr="001F224B">
              <w:rPr>
                <w:sz w:val="12"/>
                <w:szCs w:val="12"/>
              </w:rPr>
              <w:t xml:space="preserve">Para Piyasası İşlemlerine Verilen Faizler </w:t>
            </w:r>
          </w:p>
        </w:tc>
        <w:tc>
          <w:tcPr>
            <w:tcW w:w="207" w:type="pct"/>
            <w:tcBorders>
              <w:right w:val="single" w:sz="4" w:space="0" w:color="auto"/>
            </w:tcBorders>
            <w:noWrap/>
            <w:tcMar>
              <w:top w:w="18" w:type="dxa"/>
              <w:left w:w="18" w:type="dxa"/>
              <w:bottom w:w="0" w:type="dxa"/>
              <w:right w:w="18" w:type="dxa"/>
            </w:tcMar>
          </w:tcPr>
          <w:p w14:paraId="700DF40D"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2588338" w14:textId="7DDA8326"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(719.881)</w:t>
            </w:r>
          </w:p>
        </w:tc>
        <w:tc>
          <w:tcPr>
            <w:tcW w:w="516" w:type="pct"/>
            <w:tcBorders>
              <w:top w:val="nil"/>
              <w:left w:val="single" w:sz="4" w:space="0" w:color="auto"/>
              <w:bottom w:val="nil"/>
              <w:right w:val="single" w:sz="4" w:space="0" w:color="auto"/>
            </w:tcBorders>
            <w:hideMark/>
          </w:tcPr>
          <w:p w14:paraId="78AED5C7" w14:textId="6276B761" w:rsidR="006D3793" w:rsidRPr="001F224B" w:rsidRDefault="006D3793" w:rsidP="006D3793">
            <w:pPr>
              <w:jc w:val="right"/>
              <w:rPr>
                <w:sz w:val="13"/>
                <w:szCs w:val="13"/>
              </w:rPr>
            </w:pPr>
            <w:r w:rsidRPr="001F224B">
              <w:rPr>
                <w:rFonts w:ascii="Times New Roman TUR" w:hAnsi="Times New Roman TUR" w:cs="Times New Roman TUR"/>
                <w:sz w:val="13"/>
                <w:szCs w:val="13"/>
              </w:rPr>
              <w:t>(494.035)</w:t>
            </w:r>
          </w:p>
        </w:tc>
        <w:tc>
          <w:tcPr>
            <w:tcW w:w="515" w:type="pct"/>
            <w:tcBorders>
              <w:top w:val="nil"/>
              <w:left w:val="nil"/>
              <w:bottom w:val="nil"/>
              <w:right w:val="nil"/>
            </w:tcBorders>
            <w:shd w:val="clear" w:color="auto" w:fill="auto"/>
            <w:hideMark/>
          </w:tcPr>
          <w:p w14:paraId="664C3CB6" w14:textId="4F6FEF22"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(322.207)</w:t>
            </w:r>
          </w:p>
        </w:tc>
        <w:tc>
          <w:tcPr>
            <w:tcW w:w="516" w:type="pct"/>
            <w:tcBorders>
              <w:top w:val="nil"/>
              <w:left w:val="single" w:sz="4" w:space="0" w:color="auto"/>
              <w:bottom w:val="nil"/>
              <w:right w:val="single" w:sz="4" w:space="0" w:color="auto"/>
            </w:tcBorders>
            <w:hideMark/>
          </w:tcPr>
          <w:p w14:paraId="15C1F10E" w14:textId="3A420789" w:rsidR="006D3793" w:rsidRPr="001F224B" w:rsidRDefault="006D3793" w:rsidP="006D3793">
            <w:pPr>
              <w:jc w:val="right"/>
              <w:rPr>
                <w:sz w:val="13"/>
                <w:szCs w:val="13"/>
              </w:rPr>
            </w:pPr>
            <w:r w:rsidRPr="001F224B">
              <w:rPr>
                <w:rFonts w:ascii="Times New Roman TUR" w:hAnsi="Times New Roman TUR" w:cs="Times New Roman TUR"/>
                <w:sz w:val="13"/>
                <w:szCs w:val="13"/>
              </w:rPr>
              <w:t>(290.302)</w:t>
            </w:r>
          </w:p>
        </w:tc>
      </w:tr>
      <w:tr w:rsidR="006D3793" w:rsidRPr="001F224B" w14:paraId="209153A3"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5C9D1CE" w14:textId="77777777" w:rsidR="006D3793" w:rsidRPr="001F224B" w:rsidRDefault="006D3793" w:rsidP="006D3793">
            <w:pPr>
              <w:rPr>
                <w:sz w:val="11"/>
                <w:szCs w:val="11"/>
              </w:rPr>
            </w:pPr>
            <w:r w:rsidRPr="001F224B">
              <w:rPr>
                <w:sz w:val="11"/>
                <w:szCs w:val="11"/>
              </w:rPr>
              <w:t>2.4</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A828D2D" w14:textId="77777777" w:rsidR="006D3793" w:rsidRPr="001F224B" w:rsidRDefault="006D3793" w:rsidP="006D3793">
            <w:pPr>
              <w:rPr>
                <w:sz w:val="12"/>
                <w:szCs w:val="12"/>
              </w:rPr>
            </w:pPr>
            <w:r w:rsidRPr="001F224B">
              <w:rPr>
                <w:sz w:val="12"/>
                <w:szCs w:val="12"/>
              </w:rPr>
              <w:t>İhraç Edilen Menkul Kıymetlere Verilen Faizler</w:t>
            </w:r>
          </w:p>
        </w:tc>
        <w:tc>
          <w:tcPr>
            <w:tcW w:w="207" w:type="pct"/>
            <w:tcBorders>
              <w:right w:val="single" w:sz="4" w:space="0" w:color="auto"/>
            </w:tcBorders>
            <w:noWrap/>
            <w:tcMar>
              <w:top w:w="18" w:type="dxa"/>
              <w:left w:w="18" w:type="dxa"/>
              <w:bottom w:w="0" w:type="dxa"/>
              <w:right w:w="18" w:type="dxa"/>
            </w:tcMar>
          </w:tcPr>
          <w:p w14:paraId="1D6EB9D0"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3BDB1876" w14:textId="62578225"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(205.648)</w:t>
            </w:r>
          </w:p>
        </w:tc>
        <w:tc>
          <w:tcPr>
            <w:tcW w:w="516" w:type="pct"/>
            <w:tcBorders>
              <w:top w:val="nil"/>
              <w:left w:val="single" w:sz="4" w:space="0" w:color="auto"/>
              <w:bottom w:val="nil"/>
              <w:right w:val="single" w:sz="4" w:space="0" w:color="auto"/>
            </w:tcBorders>
            <w:hideMark/>
          </w:tcPr>
          <w:p w14:paraId="5F462DAC" w14:textId="05443191" w:rsidR="006D3793" w:rsidRPr="001F224B" w:rsidRDefault="006D3793" w:rsidP="006D3793">
            <w:pPr>
              <w:jc w:val="right"/>
              <w:rPr>
                <w:sz w:val="13"/>
                <w:szCs w:val="13"/>
              </w:rPr>
            </w:pPr>
            <w:r w:rsidRPr="001F224B">
              <w:rPr>
                <w:rFonts w:ascii="Times New Roman TUR" w:hAnsi="Times New Roman TUR" w:cs="Times New Roman TUR"/>
                <w:sz w:val="13"/>
                <w:szCs w:val="13"/>
              </w:rPr>
              <w:t>(125.386)</w:t>
            </w:r>
          </w:p>
        </w:tc>
        <w:tc>
          <w:tcPr>
            <w:tcW w:w="515" w:type="pct"/>
            <w:tcBorders>
              <w:top w:val="nil"/>
              <w:left w:val="nil"/>
              <w:bottom w:val="nil"/>
              <w:right w:val="nil"/>
            </w:tcBorders>
            <w:shd w:val="clear" w:color="auto" w:fill="auto"/>
            <w:hideMark/>
          </w:tcPr>
          <w:p w14:paraId="22531247" w14:textId="6D061B0B"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(66.897)</w:t>
            </w:r>
          </w:p>
        </w:tc>
        <w:tc>
          <w:tcPr>
            <w:tcW w:w="516" w:type="pct"/>
            <w:tcBorders>
              <w:top w:val="nil"/>
              <w:left w:val="single" w:sz="4" w:space="0" w:color="auto"/>
              <w:bottom w:val="nil"/>
              <w:right w:val="single" w:sz="4" w:space="0" w:color="auto"/>
            </w:tcBorders>
            <w:hideMark/>
          </w:tcPr>
          <w:p w14:paraId="67F0EBC2" w14:textId="357088BA" w:rsidR="006D3793" w:rsidRPr="001F224B" w:rsidRDefault="006D3793" w:rsidP="006D3793">
            <w:pPr>
              <w:jc w:val="right"/>
              <w:rPr>
                <w:sz w:val="13"/>
                <w:szCs w:val="13"/>
              </w:rPr>
            </w:pPr>
            <w:r w:rsidRPr="001F224B">
              <w:rPr>
                <w:rFonts w:ascii="Times New Roman TUR" w:hAnsi="Times New Roman TUR" w:cs="Times New Roman TUR"/>
                <w:sz w:val="13"/>
                <w:szCs w:val="13"/>
              </w:rPr>
              <w:t>(62.737)</w:t>
            </w:r>
          </w:p>
        </w:tc>
      </w:tr>
      <w:tr w:rsidR="006D3793" w:rsidRPr="001F224B" w14:paraId="024A6436"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24245BF" w14:textId="77777777" w:rsidR="006D3793" w:rsidRPr="001F224B" w:rsidRDefault="006D3793" w:rsidP="006D3793">
            <w:pPr>
              <w:rPr>
                <w:sz w:val="11"/>
                <w:szCs w:val="11"/>
              </w:rPr>
            </w:pPr>
            <w:r w:rsidRPr="001F224B">
              <w:rPr>
                <w:sz w:val="11"/>
                <w:szCs w:val="11"/>
              </w:rPr>
              <w:t xml:space="preserve">2.5               </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37A6656" w14:textId="77777777" w:rsidR="006D3793" w:rsidRPr="001F224B" w:rsidRDefault="006D3793" w:rsidP="006D3793">
            <w:pPr>
              <w:rPr>
                <w:sz w:val="12"/>
                <w:szCs w:val="12"/>
              </w:rPr>
            </w:pPr>
            <w:r w:rsidRPr="001F224B">
              <w:rPr>
                <w:sz w:val="12"/>
                <w:szCs w:val="12"/>
              </w:rPr>
              <w:t>Kiralama Faiz Giderleri</w:t>
            </w:r>
          </w:p>
        </w:tc>
        <w:tc>
          <w:tcPr>
            <w:tcW w:w="207" w:type="pct"/>
            <w:tcBorders>
              <w:right w:val="single" w:sz="4" w:space="0" w:color="auto"/>
            </w:tcBorders>
            <w:noWrap/>
            <w:tcMar>
              <w:top w:w="18" w:type="dxa"/>
              <w:left w:w="18" w:type="dxa"/>
              <w:bottom w:w="0" w:type="dxa"/>
              <w:right w:w="18" w:type="dxa"/>
            </w:tcMar>
          </w:tcPr>
          <w:p w14:paraId="49B4C2B1"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369DDBCA" w14:textId="5782710A"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(4.651)</w:t>
            </w:r>
          </w:p>
        </w:tc>
        <w:tc>
          <w:tcPr>
            <w:tcW w:w="516" w:type="pct"/>
            <w:tcBorders>
              <w:top w:val="nil"/>
              <w:left w:val="single" w:sz="4" w:space="0" w:color="auto"/>
              <w:bottom w:val="nil"/>
              <w:right w:val="single" w:sz="4" w:space="0" w:color="auto"/>
            </w:tcBorders>
            <w:hideMark/>
          </w:tcPr>
          <w:p w14:paraId="6105A5E7" w14:textId="1C4F9C77" w:rsidR="006D3793" w:rsidRPr="001F224B" w:rsidRDefault="006D3793" w:rsidP="006D3793">
            <w:pPr>
              <w:jc w:val="right"/>
              <w:rPr>
                <w:sz w:val="13"/>
                <w:szCs w:val="13"/>
              </w:rPr>
            </w:pPr>
            <w:r w:rsidRPr="001F224B">
              <w:rPr>
                <w:rFonts w:ascii="Times New Roman TUR" w:hAnsi="Times New Roman TUR" w:cs="Times New Roman TUR"/>
                <w:sz w:val="13"/>
                <w:szCs w:val="13"/>
              </w:rPr>
              <w:t>(3.252)</w:t>
            </w:r>
          </w:p>
        </w:tc>
        <w:tc>
          <w:tcPr>
            <w:tcW w:w="515" w:type="pct"/>
            <w:tcBorders>
              <w:top w:val="nil"/>
              <w:left w:val="nil"/>
              <w:bottom w:val="nil"/>
              <w:right w:val="nil"/>
            </w:tcBorders>
            <w:shd w:val="clear" w:color="auto" w:fill="auto"/>
            <w:hideMark/>
          </w:tcPr>
          <w:p w14:paraId="30BA80BC" w14:textId="233CAF64"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(2.302)</w:t>
            </w:r>
          </w:p>
        </w:tc>
        <w:tc>
          <w:tcPr>
            <w:tcW w:w="516" w:type="pct"/>
            <w:tcBorders>
              <w:top w:val="nil"/>
              <w:left w:val="single" w:sz="4" w:space="0" w:color="auto"/>
              <w:bottom w:val="nil"/>
              <w:right w:val="single" w:sz="4" w:space="0" w:color="auto"/>
            </w:tcBorders>
            <w:hideMark/>
          </w:tcPr>
          <w:p w14:paraId="7DE982C3" w14:textId="590A4F39" w:rsidR="006D3793" w:rsidRPr="001F224B" w:rsidRDefault="006D3793" w:rsidP="006D3793">
            <w:pPr>
              <w:jc w:val="right"/>
              <w:rPr>
                <w:sz w:val="13"/>
                <w:szCs w:val="13"/>
              </w:rPr>
            </w:pPr>
            <w:r w:rsidRPr="001F224B">
              <w:rPr>
                <w:rFonts w:ascii="Times New Roman TUR" w:hAnsi="Times New Roman TUR" w:cs="Times New Roman TUR"/>
                <w:sz w:val="13"/>
                <w:szCs w:val="13"/>
              </w:rPr>
              <w:t>(1.915)</w:t>
            </w:r>
          </w:p>
        </w:tc>
      </w:tr>
      <w:tr w:rsidR="006D3793" w:rsidRPr="001F224B" w14:paraId="11FFD68F"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AF31859" w14:textId="77777777" w:rsidR="006D3793" w:rsidRPr="001F224B" w:rsidRDefault="006D3793" w:rsidP="006D3793">
            <w:pPr>
              <w:rPr>
                <w:sz w:val="11"/>
                <w:szCs w:val="11"/>
              </w:rPr>
            </w:pPr>
            <w:r w:rsidRPr="001F224B">
              <w:rPr>
                <w:sz w:val="11"/>
                <w:szCs w:val="11"/>
              </w:rPr>
              <w:t>2.6</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AF9F908" w14:textId="77777777" w:rsidR="006D3793" w:rsidRPr="001F224B" w:rsidRDefault="006D3793" w:rsidP="006D3793">
            <w:pPr>
              <w:rPr>
                <w:sz w:val="12"/>
                <w:szCs w:val="12"/>
              </w:rPr>
            </w:pPr>
            <w:r w:rsidRPr="001F224B">
              <w:rPr>
                <w:sz w:val="12"/>
                <w:szCs w:val="12"/>
              </w:rPr>
              <w:t xml:space="preserve">Diğer Faiz Giderleri  </w:t>
            </w:r>
          </w:p>
        </w:tc>
        <w:tc>
          <w:tcPr>
            <w:tcW w:w="207" w:type="pct"/>
            <w:tcBorders>
              <w:right w:val="single" w:sz="4" w:space="0" w:color="auto"/>
            </w:tcBorders>
            <w:noWrap/>
            <w:tcMar>
              <w:top w:w="18" w:type="dxa"/>
              <w:left w:w="18" w:type="dxa"/>
              <w:bottom w:w="0" w:type="dxa"/>
              <w:right w:w="18" w:type="dxa"/>
            </w:tcMar>
          </w:tcPr>
          <w:p w14:paraId="42D38BA3"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48A0BCFD" w14:textId="4E840097"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(826.899)</w:t>
            </w:r>
          </w:p>
        </w:tc>
        <w:tc>
          <w:tcPr>
            <w:tcW w:w="516" w:type="pct"/>
            <w:tcBorders>
              <w:top w:val="nil"/>
              <w:left w:val="single" w:sz="4" w:space="0" w:color="auto"/>
              <w:bottom w:val="nil"/>
              <w:right w:val="single" w:sz="4" w:space="0" w:color="auto"/>
            </w:tcBorders>
            <w:hideMark/>
          </w:tcPr>
          <w:p w14:paraId="597F0868" w14:textId="621715AF" w:rsidR="006D3793" w:rsidRPr="001F224B" w:rsidRDefault="006D3793" w:rsidP="006D3793">
            <w:pPr>
              <w:jc w:val="right"/>
              <w:rPr>
                <w:sz w:val="13"/>
                <w:szCs w:val="13"/>
              </w:rPr>
            </w:pPr>
            <w:r w:rsidRPr="001F224B">
              <w:rPr>
                <w:rFonts w:ascii="Times New Roman TUR" w:hAnsi="Times New Roman TUR" w:cs="Times New Roman TUR"/>
                <w:sz w:val="13"/>
                <w:szCs w:val="13"/>
              </w:rPr>
              <w:t>(323.224)</w:t>
            </w:r>
          </w:p>
        </w:tc>
        <w:tc>
          <w:tcPr>
            <w:tcW w:w="515" w:type="pct"/>
            <w:tcBorders>
              <w:top w:val="nil"/>
              <w:left w:val="nil"/>
              <w:bottom w:val="nil"/>
              <w:right w:val="nil"/>
            </w:tcBorders>
            <w:shd w:val="clear" w:color="auto" w:fill="auto"/>
            <w:hideMark/>
          </w:tcPr>
          <w:p w14:paraId="79725718" w14:textId="004F9B47"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(91.096)</w:t>
            </w:r>
          </w:p>
        </w:tc>
        <w:tc>
          <w:tcPr>
            <w:tcW w:w="516" w:type="pct"/>
            <w:tcBorders>
              <w:top w:val="nil"/>
              <w:left w:val="single" w:sz="4" w:space="0" w:color="auto"/>
              <w:bottom w:val="nil"/>
              <w:right w:val="single" w:sz="4" w:space="0" w:color="auto"/>
            </w:tcBorders>
            <w:hideMark/>
          </w:tcPr>
          <w:p w14:paraId="32842157" w14:textId="18A53F71" w:rsidR="006D3793" w:rsidRPr="001F224B" w:rsidRDefault="006D3793" w:rsidP="006D3793">
            <w:pPr>
              <w:jc w:val="right"/>
              <w:rPr>
                <w:sz w:val="13"/>
                <w:szCs w:val="13"/>
              </w:rPr>
            </w:pPr>
            <w:r w:rsidRPr="001F224B">
              <w:rPr>
                <w:rFonts w:ascii="Times New Roman TUR" w:hAnsi="Times New Roman TUR" w:cs="Times New Roman TUR"/>
                <w:sz w:val="13"/>
                <w:szCs w:val="13"/>
              </w:rPr>
              <w:t>(187.296)</w:t>
            </w:r>
          </w:p>
        </w:tc>
      </w:tr>
      <w:tr w:rsidR="006D3793" w:rsidRPr="001F224B" w14:paraId="6B129ECE"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1ED6D829" w14:textId="77777777" w:rsidR="006D3793" w:rsidRPr="001F224B" w:rsidRDefault="006D3793" w:rsidP="006D3793">
            <w:pPr>
              <w:rPr>
                <w:b/>
                <w:sz w:val="11"/>
                <w:szCs w:val="11"/>
              </w:rPr>
            </w:pPr>
            <w:r w:rsidRPr="001F224B">
              <w:rPr>
                <w:b/>
                <w:bCs/>
                <w:sz w:val="11"/>
                <w:szCs w:val="11"/>
              </w:rPr>
              <w:t>III.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32F56D1" w14:textId="77777777" w:rsidR="006D3793" w:rsidRPr="001F224B" w:rsidRDefault="006D3793" w:rsidP="006D3793">
            <w:pPr>
              <w:rPr>
                <w:b/>
                <w:sz w:val="12"/>
                <w:szCs w:val="12"/>
              </w:rPr>
            </w:pPr>
            <w:r w:rsidRPr="001F224B">
              <w:rPr>
                <w:b/>
                <w:sz w:val="12"/>
                <w:szCs w:val="12"/>
              </w:rPr>
              <w:t>NET FAİZ GELİRİ/GİDERİ (I - II)</w:t>
            </w:r>
          </w:p>
        </w:tc>
        <w:tc>
          <w:tcPr>
            <w:tcW w:w="207" w:type="pct"/>
            <w:tcBorders>
              <w:right w:val="single" w:sz="4" w:space="0" w:color="auto"/>
            </w:tcBorders>
            <w:noWrap/>
            <w:tcMar>
              <w:top w:w="18" w:type="dxa"/>
              <w:left w:w="18" w:type="dxa"/>
              <w:bottom w:w="0" w:type="dxa"/>
              <w:right w:w="18" w:type="dxa"/>
            </w:tcMar>
          </w:tcPr>
          <w:p w14:paraId="3A225310"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1D95D0F" w14:textId="641F9312"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6.820.829</w:t>
            </w:r>
          </w:p>
        </w:tc>
        <w:tc>
          <w:tcPr>
            <w:tcW w:w="516" w:type="pct"/>
            <w:tcBorders>
              <w:top w:val="nil"/>
              <w:left w:val="single" w:sz="4" w:space="0" w:color="auto"/>
              <w:bottom w:val="nil"/>
              <w:right w:val="single" w:sz="4" w:space="0" w:color="auto"/>
            </w:tcBorders>
            <w:hideMark/>
          </w:tcPr>
          <w:p w14:paraId="1AD3F6E5" w14:textId="7FEC0ABA"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5.555.045</w:t>
            </w:r>
          </w:p>
        </w:tc>
        <w:tc>
          <w:tcPr>
            <w:tcW w:w="515" w:type="pct"/>
            <w:tcBorders>
              <w:top w:val="nil"/>
              <w:left w:val="nil"/>
              <w:bottom w:val="nil"/>
              <w:right w:val="nil"/>
            </w:tcBorders>
            <w:shd w:val="clear" w:color="auto" w:fill="auto"/>
            <w:hideMark/>
          </w:tcPr>
          <w:p w14:paraId="50B37EFD" w14:textId="15327E3D"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3.807.901</w:t>
            </w:r>
          </w:p>
        </w:tc>
        <w:tc>
          <w:tcPr>
            <w:tcW w:w="516" w:type="pct"/>
            <w:tcBorders>
              <w:top w:val="nil"/>
              <w:left w:val="single" w:sz="4" w:space="0" w:color="auto"/>
              <w:bottom w:val="nil"/>
              <w:right w:val="single" w:sz="4" w:space="0" w:color="auto"/>
            </w:tcBorders>
            <w:hideMark/>
          </w:tcPr>
          <w:p w14:paraId="111B9AE9" w14:textId="39263031"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3.036.361</w:t>
            </w:r>
          </w:p>
        </w:tc>
      </w:tr>
      <w:tr w:rsidR="006D3793" w:rsidRPr="001F224B" w14:paraId="6762009A"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4632D96" w14:textId="77777777" w:rsidR="006D3793" w:rsidRPr="001F224B" w:rsidRDefault="006D3793" w:rsidP="006D3793">
            <w:pPr>
              <w:rPr>
                <w:b/>
                <w:sz w:val="11"/>
                <w:szCs w:val="11"/>
              </w:rPr>
            </w:pPr>
            <w:r w:rsidRPr="001F224B">
              <w:rPr>
                <w:b/>
                <w:bCs/>
                <w:sz w:val="11"/>
                <w:szCs w:val="11"/>
              </w:rPr>
              <w:t>IV.</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2BD8AAEF" w14:textId="77777777" w:rsidR="006D3793" w:rsidRPr="001F224B" w:rsidRDefault="006D3793" w:rsidP="006D3793">
            <w:pPr>
              <w:rPr>
                <w:b/>
                <w:sz w:val="12"/>
                <w:szCs w:val="12"/>
              </w:rPr>
            </w:pPr>
            <w:r w:rsidRPr="001F224B">
              <w:rPr>
                <w:b/>
                <w:sz w:val="12"/>
                <w:szCs w:val="12"/>
              </w:rPr>
              <w:t>NET ÜCRET VE KOMİSYON GELİRLERİ/GİDERLERİ</w:t>
            </w:r>
          </w:p>
        </w:tc>
        <w:tc>
          <w:tcPr>
            <w:tcW w:w="207" w:type="pct"/>
            <w:tcBorders>
              <w:right w:val="single" w:sz="4" w:space="0" w:color="auto"/>
            </w:tcBorders>
            <w:noWrap/>
            <w:tcMar>
              <w:top w:w="18" w:type="dxa"/>
              <w:left w:w="18" w:type="dxa"/>
              <w:bottom w:w="0" w:type="dxa"/>
              <w:right w:w="18" w:type="dxa"/>
            </w:tcMar>
          </w:tcPr>
          <w:p w14:paraId="32226BB1" w14:textId="77777777" w:rsidR="006D3793" w:rsidRPr="001F224B" w:rsidRDefault="006D3793" w:rsidP="006D3793">
            <w:pPr>
              <w:jc w:val="center"/>
              <w:rPr>
                <w:rFonts w:eastAsia="Arial Unicode MS"/>
                <w:b/>
                <w:sz w:val="12"/>
                <w:szCs w:val="12"/>
              </w:rPr>
            </w:pP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6D8A291C" w14:textId="57BDE334"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158.696</w:t>
            </w:r>
          </w:p>
        </w:tc>
        <w:tc>
          <w:tcPr>
            <w:tcW w:w="516" w:type="pct"/>
            <w:tcBorders>
              <w:top w:val="nil"/>
              <w:left w:val="single" w:sz="4" w:space="0" w:color="auto"/>
              <w:bottom w:val="nil"/>
              <w:right w:val="single" w:sz="4" w:space="0" w:color="auto"/>
            </w:tcBorders>
            <w:hideMark/>
          </w:tcPr>
          <w:p w14:paraId="6857FFC5" w14:textId="32C526D6"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105.522</w:t>
            </w:r>
          </w:p>
        </w:tc>
        <w:tc>
          <w:tcPr>
            <w:tcW w:w="515" w:type="pct"/>
            <w:tcBorders>
              <w:top w:val="nil"/>
              <w:left w:val="nil"/>
              <w:bottom w:val="nil"/>
              <w:right w:val="nil"/>
            </w:tcBorders>
            <w:shd w:val="clear" w:color="auto" w:fill="auto"/>
            <w:hideMark/>
          </w:tcPr>
          <w:p w14:paraId="12FC184A" w14:textId="20C2BB33"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103.679</w:t>
            </w:r>
          </w:p>
        </w:tc>
        <w:tc>
          <w:tcPr>
            <w:tcW w:w="516" w:type="pct"/>
            <w:tcBorders>
              <w:top w:val="nil"/>
              <w:left w:val="single" w:sz="4" w:space="0" w:color="auto"/>
              <w:bottom w:val="nil"/>
              <w:right w:val="single" w:sz="4" w:space="0" w:color="auto"/>
            </w:tcBorders>
            <w:hideMark/>
          </w:tcPr>
          <w:p w14:paraId="6C3C7BB0" w14:textId="522F969C"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47.701</w:t>
            </w:r>
          </w:p>
        </w:tc>
      </w:tr>
      <w:tr w:rsidR="006D3793" w:rsidRPr="001F224B" w14:paraId="23AA3236"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5BE02EA" w14:textId="77777777" w:rsidR="006D3793" w:rsidRPr="001F224B" w:rsidRDefault="006D3793" w:rsidP="006D3793">
            <w:pPr>
              <w:rPr>
                <w:sz w:val="11"/>
                <w:szCs w:val="11"/>
              </w:rPr>
            </w:pPr>
            <w:r w:rsidRPr="001F224B">
              <w:rPr>
                <w:sz w:val="11"/>
                <w:szCs w:val="11"/>
              </w:rPr>
              <w:t>4.1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582A538" w14:textId="77777777" w:rsidR="006D3793" w:rsidRPr="001F224B" w:rsidRDefault="006D3793" w:rsidP="006D3793">
            <w:pPr>
              <w:rPr>
                <w:sz w:val="12"/>
                <w:szCs w:val="12"/>
              </w:rPr>
            </w:pPr>
            <w:r w:rsidRPr="001F224B">
              <w:rPr>
                <w:sz w:val="12"/>
                <w:szCs w:val="12"/>
              </w:rPr>
              <w:t>Alınan Ücret ve Komisyonlar</w:t>
            </w:r>
          </w:p>
        </w:tc>
        <w:tc>
          <w:tcPr>
            <w:tcW w:w="207" w:type="pct"/>
            <w:tcBorders>
              <w:right w:val="single" w:sz="4" w:space="0" w:color="auto"/>
            </w:tcBorders>
            <w:noWrap/>
            <w:tcMar>
              <w:top w:w="18" w:type="dxa"/>
              <w:left w:w="18" w:type="dxa"/>
              <w:bottom w:w="0" w:type="dxa"/>
              <w:right w:w="18" w:type="dxa"/>
            </w:tcMar>
          </w:tcPr>
          <w:p w14:paraId="100949DC" w14:textId="77777777" w:rsidR="006D3793" w:rsidRPr="001F224B" w:rsidRDefault="006D3793" w:rsidP="006D3793">
            <w:pPr>
              <w:jc w:val="center"/>
              <w:rPr>
                <w:rFonts w:eastAsia="Arial Unicode MS"/>
                <w:b/>
                <w:sz w:val="12"/>
                <w:szCs w:val="12"/>
              </w:rPr>
            </w:pP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4F6341B5" w14:textId="740AA277"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186.071</w:t>
            </w:r>
          </w:p>
        </w:tc>
        <w:tc>
          <w:tcPr>
            <w:tcW w:w="516" w:type="pct"/>
            <w:tcBorders>
              <w:top w:val="nil"/>
              <w:left w:val="single" w:sz="4" w:space="0" w:color="auto"/>
              <w:bottom w:val="nil"/>
              <w:right w:val="single" w:sz="4" w:space="0" w:color="auto"/>
            </w:tcBorders>
            <w:hideMark/>
          </w:tcPr>
          <w:p w14:paraId="2DDC8CDB" w14:textId="64F96B4C" w:rsidR="006D3793" w:rsidRPr="001F224B" w:rsidRDefault="006D3793" w:rsidP="006D3793">
            <w:pPr>
              <w:jc w:val="right"/>
              <w:rPr>
                <w:sz w:val="13"/>
                <w:szCs w:val="13"/>
              </w:rPr>
            </w:pPr>
            <w:r w:rsidRPr="001F224B">
              <w:rPr>
                <w:rFonts w:ascii="Times New Roman TUR" w:hAnsi="Times New Roman TUR" w:cs="Times New Roman TUR"/>
                <w:sz w:val="13"/>
                <w:szCs w:val="13"/>
              </w:rPr>
              <w:t>125.806</w:t>
            </w:r>
          </w:p>
        </w:tc>
        <w:tc>
          <w:tcPr>
            <w:tcW w:w="515" w:type="pct"/>
            <w:tcBorders>
              <w:top w:val="nil"/>
              <w:left w:val="nil"/>
              <w:bottom w:val="nil"/>
              <w:right w:val="nil"/>
            </w:tcBorders>
            <w:shd w:val="clear" w:color="auto" w:fill="auto"/>
            <w:hideMark/>
          </w:tcPr>
          <w:p w14:paraId="011467B5" w14:textId="790D1C2D"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113.919</w:t>
            </w:r>
          </w:p>
        </w:tc>
        <w:tc>
          <w:tcPr>
            <w:tcW w:w="516" w:type="pct"/>
            <w:tcBorders>
              <w:top w:val="nil"/>
              <w:left w:val="single" w:sz="4" w:space="0" w:color="auto"/>
              <w:bottom w:val="nil"/>
              <w:right w:val="single" w:sz="4" w:space="0" w:color="auto"/>
            </w:tcBorders>
            <w:hideMark/>
          </w:tcPr>
          <w:p w14:paraId="06DB3C6F" w14:textId="6CD7B60D" w:rsidR="006D3793" w:rsidRPr="001F224B" w:rsidRDefault="006D3793" w:rsidP="006D3793">
            <w:pPr>
              <w:jc w:val="right"/>
              <w:rPr>
                <w:sz w:val="13"/>
                <w:szCs w:val="13"/>
              </w:rPr>
            </w:pPr>
            <w:r w:rsidRPr="001F224B">
              <w:rPr>
                <w:rFonts w:ascii="Times New Roman TUR" w:hAnsi="Times New Roman TUR" w:cs="Times New Roman TUR"/>
                <w:sz w:val="13"/>
                <w:szCs w:val="13"/>
              </w:rPr>
              <w:t>56.166</w:t>
            </w:r>
          </w:p>
        </w:tc>
      </w:tr>
      <w:tr w:rsidR="006D3793" w:rsidRPr="001F224B" w14:paraId="53CA3A75"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3551653" w14:textId="77777777" w:rsidR="006D3793" w:rsidRPr="001F224B" w:rsidRDefault="006D3793" w:rsidP="006D3793">
            <w:pPr>
              <w:rPr>
                <w:sz w:val="11"/>
                <w:szCs w:val="11"/>
              </w:rPr>
            </w:pPr>
            <w:r w:rsidRPr="001F224B">
              <w:rPr>
                <w:sz w:val="11"/>
                <w:szCs w:val="11"/>
              </w:rPr>
              <w:t>4.1.1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246420A" w14:textId="77777777" w:rsidR="006D3793" w:rsidRPr="001F224B" w:rsidRDefault="006D3793" w:rsidP="006D3793">
            <w:pPr>
              <w:rPr>
                <w:sz w:val="12"/>
                <w:szCs w:val="12"/>
              </w:rPr>
            </w:pPr>
            <w:r w:rsidRPr="001F224B">
              <w:rPr>
                <w:sz w:val="12"/>
                <w:szCs w:val="12"/>
              </w:rPr>
              <w:t>Gayri Nakdi Kredilerden</w:t>
            </w:r>
          </w:p>
        </w:tc>
        <w:tc>
          <w:tcPr>
            <w:tcW w:w="207" w:type="pct"/>
            <w:tcBorders>
              <w:right w:val="single" w:sz="4" w:space="0" w:color="auto"/>
            </w:tcBorders>
            <w:noWrap/>
            <w:tcMar>
              <w:top w:w="18" w:type="dxa"/>
              <w:left w:w="18" w:type="dxa"/>
              <w:bottom w:w="0" w:type="dxa"/>
              <w:right w:w="18" w:type="dxa"/>
            </w:tcMar>
          </w:tcPr>
          <w:p w14:paraId="5C602730" w14:textId="77777777" w:rsidR="006D3793" w:rsidRPr="001F224B" w:rsidRDefault="006D3793" w:rsidP="006D3793">
            <w:pPr>
              <w:jc w:val="center"/>
              <w:rPr>
                <w:rFonts w:eastAsia="Arial Unicode MS"/>
                <w:b/>
                <w:sz w:val="12"/>
                <w:szCs w:val="12"/>
              </w:rPr>
            </w:pP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6FCC470F" w14:textId="5A4CE4D1"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36.398</w:t>
            </w:r>
          </w:p>
        </w:tc>
        <w:tc>
          <w:tcPr>
            <w:tcW w:w="516" w:type="pct"/>
            <w:tcBorders>
              <w:top w:val="nil"/>
              <w:left w:val="single" w:sz="4" w:space="0" w:color="auto"/>
              <w:bottom w:val="nil"/>
              <w:right w:val="single" w:sz="4" w:space="0" w:color="auto"/>
            </w:tcBorders>
            <w:hideMark/>
          </w:tcPr>
          <w:p w14:paraId="0ACF0D81" w14:textId="4E5DC779" w:rsidR="006D3793" w:rsidRPr="001F224B" w:rsidRDefault="006D3793" w:rsidP="006D3793">
            <w:pPr>
              <w:jc w:val="right"/>
              <w:rPr>
                <w:sz w:val="13"/>
                <w:szCs w:val="13"/>
              </w:rPr>
            </w:pPr>
            <w:r w:rsidRPr="001F224B">
              <w:rPr>
                <w:rFonts w:ascii="Times New Roman TUR" w:hAnsi="Times New Roman TUR" w:cs="Times New Roman TUR"/>
                <w:sz w:val="13"/>
                <w:szCs w:val="13"/>
              </w:rPr>
              <w:t>39.707</w:t>
            </w:r>
          </w:p>
        </w:tc>
        <w:tc>
          <w:tcPr>
            <w:tcW w:w="515" w:type="pct"/>
            <w:tcBorders>
              <w:top w:val="nil"/>
              <w:left w:val="nil"/>
              <w:bottom w:val="nil"/>
              <w:right w:val="nil"/>
            </w:tcBorders>
            <w:shd w:val="clear" w:color="auto" w:fill="auto"/>
            <w:hideMark/>
          </w:tcPr>
          <w:p w14:paraId="4445B580" w14:textId="7E2B0183"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22.644</w:t>
            </w:r>
          </w:p>
        </w:tc>
        <w:tc>
          <w:tcPr>
            <w:tcW w:w="516" w:type="pct"/>
            <w:tcBorders>
              <w:top w:val="nil"/>
              <w:left w:val="single" w:sz="4" w:space="0" w:color="auto"/>
              <w:bottom w:val="nil"/>
              <w:right w:val="single" w:sz="4" w:space="0" w:color="auto"/>
            </w:tcBorders>
            <w:hideMark/>
          </w:tcPr>
          <w:p w14:paraId="4150CCB6" w14:textId="24A88F7D" w:rsidR="006D3793" w:rsidRPr="001F224B" w:rsidRDefault="006D3793" w:rsidP="006D3793">
            <w:pPr>
              <w:jc w:val="right"/>
              <w:rPr>
                <w:sz w:val="13"/>
                <w:szCs w:val="13"/>
              </w:rPr>
            </w:pPr>
            <w:r w:rsidRPr="001F224B">
              <w:rPr>
                <w:rFonts w:ascii="Times New Roman TUR" w:hAnsi="Times New Roman TUR" w:cs="Times New Roman TUR"/>
                <w:sz w:val="13"/>
                <w:szCs w:val="13"/>
              </w:rPr>
              <w:t>21.856</w:t>
            </w:r>
          </w:p>
        </w:tc>
      </w:tr>
      <w:tr w:rsidR="006D3793" w:rsidRPr="001F224B" w14:paraId="5EBC3D8C"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10317A44" w14:textId="77777777" w:rsidR="006D3793" w:rsidRPr="001F224B" w:rsidRDefault="006D3793" w:rsidP="006D3793">
            <w:pPr>
              <w:rPr>
                <w:sz w:val="11"/>
                <w:szCs w:val="11"/>
              </w:rPr>
            </w:pPr>
            <w:r w:rsidRPr="001F224B">
              <w:rPr>
                <w:sz w:val="11"/>
                <w:szCs w:val="11"/>
              </w:rPr>
              <w:t>4.1.2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52C3B6C" w14:textId="77777777" w:rsidR="006D3793" w:rsidRPr="001F224B" w:rsidRDefault="006D3793" w:rsidP="006D3793">
            <w:pPr>
              <w:rPr>
                <w:sz w:val="12"/>
                <w:szCs w:val="12"/>
              </w:rPr>
            </w:pPr>
            <w:r w:rsidRPr="001F224B">
              <w:rPr>
                <w:sz w:val="12"/>
                <w:szCs w:val="12"/>
              </w:rPr>
              <w:t>Diğer</w:t>
            </w:r>
          </w:p>
        </w:tc>
        <w:tc>
          <w:tcPr>
            <w:tcW w:w="207" w:type="pct"/>
            <w:tcBorders>
              <w:right w:val="single" w:sz="4" w:space="0" w:color="auto"/>
            </w:tcBorders>
            <w:noWrap/>
            <w:tcMar>
              <w:top w:w="18" w:type="dxa"/>
              <w:left w:w="18" w:type="dxa"/>
              <w:bottom w:w="0" w:type="dxa"/>
              <w:right w:w="18" w:type="dxa"/>
            </w:tcMar>
          </w:tcPr>
          <w:p w14:paraId="1CF08B55" w14:textId="77777777" w:rsidR="006D3793" w:rsidRPr="001F224B" w:rsidRDefault="006D3793" w:rsidP="006D3793">
            <w:pPr>
              <w:jc w:val="center"/>
              <w:rPr>
                <w:rFonts w:eastAsia="Arial Unicode MS"/>
                <w:b/>
                <w:sz w:val="12"/>
                <w:szCs w:val="12"/>
              </w:rPr>
            </w:pPr>
            <w:r w:rsidRPr="001F224B">
              <w:rPr>
                <w:rFonts w:eastAsia="Arial Unicode MS"/>
                <w:b/>
                <w:sz w:val="12"/>
                <w:szCs w:val="12"/>
              </w:rPr>
              <w:t>(12)</w:t>
            </w: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531E0156" w14:textId="4E95BC06"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149.673</w:t>
            </w:r>
          </w:p>
        </w:tc>
        <w:tc>
          <w:tcPr>
            <w:tcW w:w="516" w:type="pct"/>
            <w:tcBorders>
              <w:top w:val="nil"/>
              <w:left w:val="single" w:sz="4" w:space="0" w:color="auto"/>
              <w:bottom w:val="nil"/>
              <w:right w:val="single" w:sz="4" w:space="0" w:color="auto"/>
            </w:tcBorders>
            <w:hideMark/>
          </w:tcPr>
          <w:p w14:paraId="412628B1" w14:textId="4B8E2E08" w:rsidR="006D3793" w:rsidRPr="001F224B" w:rsidRDefault="006D3793" w:rsidP="006D3793">
            <w:pPr>
              <w:jc w:val="right"/>
              <w:rPr>
                <w:sz w:val="13"/>
                <w:szCs w:val="13"/>
              </w:rPr>
            </w:pPr>
            <w:r w:rsidRPr="001F224B">
              <w:rPr>
                <w:rFonts w:ascii="Times New Roman TUR" w:hAnsi="Times New Roman TUR" w:cs="Times New Roman TUR"/>
                <w:sz w:val="13"/>
                <w:szCs w:val="13"/>
              </w:rPr>
              <w:t>86.099</w:t>
            </w:r>
          </w:p>
        </w:tc>
        <w:tc>
          <w:tcPr>
            <w:tcW w:w="515" w:type="pct"/>
            <w:tcBorders>
              <w:top w:val="nil"/>
              <w:left w:val="nil"/>
              <w:bottom w:val="nil"/>
              <w:right w:val="nil"/>
            </w:tcBorders>
            <w:shd w:val="clear" w:color="auto" w:fill="auto"/>
            <w:hideMark/>
          </w:tcPr>
          <w:p w14:paraId="6FF3F014" w14:textId="5D2D1AE7"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91.275</w:t>
            </w:r>
          </w:p>
        </w:tc>
        <w:tc>
          <w:tcPr>
            <w:tcW w:w="516" w:type="pct"/>
            <w:tcBorders>
              <w:top w:val="nil"/>
              <w:left w:val="single" w:sz="4" w:space="0" w:color="auto"/>
              <w:bottom w:val="nil"/>
              <w:right w:val="single" w:sz="4" w:space="0" w:color="auto"/>
            </w:tcBorders>
            <w:hideMark/>
          </w:tcPr>
          <w:p w14:paraId="7C4E310A" w14:textId="0F3740D5" w:rsidR="006D3793" w:rsidRPr="001F224B" w:rsidRDefault="006D3793" w:rsidP="006D3793">
            <w:pPr>
              <w:jc w:val="right"/>
              <w:rPr>
                <w:sz w:val="13"/>
                <w:szCs w:val="13"/>
              </w:rPr>
            </w:pPr>
            <w:r w:rsidRPr="001F224B">
              <w:rPr>
                <w:rFonts w:ascii="Times New Roman TUR" w:hAnsi="Times New Roman TUR" w:cs="Times New Roman TUR"/>
                <w:sz w:val="13"/>
                <w:szCs w:val="13"/>
              </w:rPr>
              <w:t>34.310</w:t>
            </w:r>
          </w:p>
        </w:tc>
      </w:tr>
      <w:tr w:rsidR="006D3793" w:rsidRPr="001F224B" w14:paraId="7C1F5B64"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69219DE" w14:textId="77777777" w:rsidR="006D3793" w:rsidRPr="001F224B" w:rsidRDefault="006D3793" w:rsidP="006D3793">
            <w:pPr>
              <w:rPr>
                <w:sz w:val="11"/>
                <w:szCs w:val="11"/>
              </w:rPr>
            </w:pPr>
            <w:r w:rsidRPr="001F224B">
              <w:rPr>
                <w:sz w:val="11"/>
                <w:szCs w:val="11"/>
              </w:rPr>
              <w:t>4.2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DF75D12" w14:textId="77777777" w:rsidR="006D3793" w:rsidRPr="001F224B" w:rsidRDefault="006D3793" w:rsidP="006D3793">
            <w:pPr>
              <w:rPr>
                <w:sz w:val="12"/>
                <w:szCs w:val="12"/>
              </w:rPr>
            </w:pPr>
            <w:r w:rsidRPr="001F224B">
              <w:rPr>
                <w:sz w:val="12"/>
                <w:szCs w:val="12"/>
              </w:rPr>
              <w:t>Verilen Ücret ve Komisyonlar (-)</w:t>
            </w:r>
          </w:p>
        </w:tc>
        <w:tc>
          <w:tcPr>
            <w:tcW w:w="207" w:type="pct"/>
            <w:tcBorders>
              <w:right w:val="single" w:sz="4" w:space="0" w:color="auto"/>
            </w:tcBorders>
            <w:noWrap/>
            <w:tcMar>
              <w:top w:w="18" w:type="dxa"/>
              <w:left w:w="18" w:type="dxa"/>
              <w:bottom w:w="0" w:type="dxa"/>
              <w:right w:w="18" w:type="dxa"/>
            </w:tcMar>
          </w:tcPr>
          <w:p w14:paraId="75BA6C74" w14:textId="77777777" w:rsidR="006D3793" w:rsidRPr="001F224B" w:rsidRDefault="006D3793" w:rsidP="006D3793">
            <w:pPr>
              <w:jc w:val="center"/>
              <w:rPr>
                <w:rFonts w:eastAsia="Arial Unicode MS"/>
                <w:b/>
                <w:sz w:val="12"/>
                <w:szCs w:val="12"/>
              </w:rPr>
            </w:pP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0BDF9415" w14:textId="0ED492A8"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(27.375)</w:t>
            </w:r>
          </w:p>
        </w:tc>
        <w:tc>
          <w:tcPr>
            <w:tcW w:w="516" w:type="pct"/>
            <w:tcBorders>
              <w:top w:val="nil"/>
              <w:left w:val="single" w:sz="4" w:space="0" w:color="auto"/>
              <w:bottom w:val="nil"/>
              <w:right w:val="single" w:sz="4" w:space="0" w:color="auto"/>
            </w:tcBorders>
            <w:hideMark/>
          </w:tcPr>
          <w:p w14:paraId="1B409983" w14:textId="20EBF356" w:rsidR="006D3793" w:rsidRPr="001F224B" w:rsidRDefault="006D3793" w:rsidP="006D3793">
            <w:pPr>
              <w:jc w:val="right"/>
              <w:rPr>
                <w:sz w:val="13"/>
                <w:szCs w:val="13"/>
              </w:rPr>
            </w:pPr>
            <w:r w:rsidRPr="001F224B">
              <w:rPr>
                <w:rFonts w:ascii="Times New Roman TUR" w:hAnsi="Times New Roman TUR" w:cs="Times New Roman TUR"/>
                <w:sz w:val="13"/>
                <w:szCs w:val="13"/>
              </w:rPr>
              <w:t>(20.284)</w:t>
            </w:r>
          </w:p>
        </w:tc>
        <w:tc>
          <w:tcPr>
            <w:tcW w:w="515" w:type="pct"/>
            <w:tcBorders>
              <w:top w:val="nil"/>
              <w:left w:val="nil"/>
              <w:bottom w:val="nil"/>
              <w:right w:val="nil"/>
            </w:tcBorders>
            <w:shd w:val="clear" w:color="auto" w:fill="auto"/>
            <w:hideMark/>
          </w:tcPr>
          <w:p w14:paraId="184DECB1" w14:textId="4D42ABE1"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(10.240)</w:t>
            </w:r>
          </w:p>
        </w:tc>
        <w:tc>
          <w:tcPr>
            <w:tcW w:w="516" w:type="pct"/>
            <w:tcBorders>
              <w:top w:val="nil"/>
              <w:left w:val="single" w:sz="4" w:space="0" w:color="auto"/>
              <w:bottom w:val="nil"/>
              <w:right w:val="single" w:sz="4" w:space="0" w:color="auto"/>
            </w:tcBorders>
            <w:hideMark/>
          </w:tcPr>
          <w:p w14:paraId="007DFB53" w14:textId="17A33BC9" w:rsidR="006D3793" w:rsidRPr="001F224B" w:rsidRDefault="006D3793" w:rsidP="006D3793">
            <w:pPr>
              <w:jc w:val="right"/>
              <w:rPr>
                <w:sz w:val="13"/>
                <w:szCs w:val="13"/>
              </w:rPr>
            </w:pPr>
            <w:r w:rsidRPr="001F224B">
              <w:rPr>
                <w:rFonts w:ascii="Times New Roman TUR" w:hAnsi="Times New Roman TUR" w:cs="Times New Roman TUR"/>
                <w:sz w:val="13"/>
                <w:szCs w:val="13"/>
              </w:rPr>
              <w:t>(8.465)</w:t>
            </w:r>
          </w:p>
        </w:tc>
      </w:tr>
      <w:tr w:rsidR="006D3793" w:rsidRPr="001F224B" w14:paraId="4C73F1F7"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A020D07" w14:textId="77777777" w:rsidR="006D3793" w:rsidRPr="001F224B" w:rsidRDefault="006D3793" w:rsidP="006D3793">
            <w:pPr>
              <w:rPr>
                <w:sz w:val="11"/>
                <w:szCs w:val="11"/>
              </w:rPr>
            </w:pPr>
            <w:r w:rsidRPr="001F224B">
              <w:rPr>
                <w:sz w:val="11"/>
                <w:szCs w:val="11"/>
              </w:rPr>
              <w:t>4.2.1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BBABB1C" w14:textId="77777777" w:rsidR="006D3793" w:rsidRPr="001F224B" w:rsidRDefault="006D3793" w:rsidP="006D3793">
            <w:pPr>
              <w:rPr>
                <w:sz w:val="12"/>
                <w:szCs w:val="12"/>
              </w:rPr>
            </w:pPr>
            <w:r w:rsidRPr="001F224B">
              <w:rPr>
                <w:sz w:val="12"/>
                <w:szCs w:val="12"/>
              </w:rPr>
              <w:t>Gayri Nakdi Kredilere</w:t>
            </w:r>
          </w:p>
        </w:tc>
        <w:tc>
          <w:tcPr>
            <w:tcW w:w="207" w:type="pct"/>
            <w:tcBorders>
              <w:right w:val="single" w:sz="4" w:space="0" w:color="auto"/>
            </w:tcBorders>
            <w:noWrap/>
            <w:tcMar>
              <w:top w:w="18" w:type="dxa"/>
              <w:left w:w="18" w:type="dxa"/>
              <w:bottom w:w="0" w:type="dxa"/>
              <w:right w:w="18" w:type="dxa"/>
            </w:tcMar>
          </w:tcPr>
          <w:p w14:paraId="65A8D46C" w14:textId="77777777" w:rsidR="006D3793" w:rsidRPr="001F224B" w:rsidRDefault="006D3793" w:rsidP="006D3793">
            <w:pPr>
              <w:jc w:val="center"/>
              <w:rPr>
                <w:rFonts w:eastAsia="Arial Unicode MS"/>
                <w:b/>
                <w:sz w:val="12"/>
                <w:szCs w:val="12"/>
              </w:rPr>
            </w:pP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18EA165E" w14:textId="1BF12686"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6768D389" w14:textId="1D57345B"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c>
          <w:tcPr>
            <w:tcW w:w="515" w:type="pct"/>
            <w:tcBorders>
              <w:top w:val="nil"/>
              <w:left w:val="nil"/>
              <w:bottom w:val="nil"/>
              <w:right w:val="nil"/>
            </w:tcBorders>
            <w:shd w:val="clear" w:color="auto" w:fill="auto"/>
            <w:hideMark/>
          </w:tcPr>
          <w:p w14:paraId="3B88223C" w14:textId="4D2FE720"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70962E1D" w14:textId="6A8442F7" w:rsidR="006D3793" w:rsidRPr="001F224B" w:rsidRDefault="006D3793" w:rsidP="006D3793">
            <w:pPr>
              <w:jc w:val="right"/>
              <w:rPr>
                <w:sz w:val="13"/>
                <w:szCs w:val="13"/>
              </w:rPr>
            </w:pPr>
            <w:r w:rsidRPr="001F224B">
              <w:rPr>
                <w:rFonts w:ascii="Times New Roman TUR" w:hAnsi="Times New Roman TUR" w:cs="Times New Roman TUR"/>
                <w:sz w:val="13"/>
                <w:szCs w:val="13"/>
              </w:rPr>
              <w:t>-</w:t>
            </w:r>
          </w:p>
        </w:tc>
      </w:tr>
      <w:tr w:rsidR="006D3793" w:rsidRPr="001F224B" w14:paraId="31E37BD8"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17166C12" w14:textId="77777777" w:rsidR="006D3793" w:rsidRPr="001F224B" w:rsidRDefault="006D3793" w:rsidP="006D3793">
            <w:pPr>
              <w:rPr>
                <w:sz w:val="11"/>
                <w:szCs w:val="11"/>
              </w:rPr>
            </w:pPr>
            <w:r w:rsidRPr="001F224B">
              <w:rPr>
                <w:sz w:val="11"/>
                <w:szCs w:val="11"/>
              </w:rPr>
              <w:t>4.2.2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23CB220" w14:textId="77777777" w:rsidR="006D3793" w:rsidRPr="001F224B" w:rsidRDefault="006D3793" w:rsidP="006D3793">
            <w:pPr>
              <w:rPr>
                <w:sz w:val="12"/>
                <w:szCs w:val="12"/>
              </w:rPr>
            </w:pPr>
            <w:r w:rsidRPr="001F224B">
              <w:rPr>
                <w:sz w:val="12"/>
                <w:szCs w:val="12"/>
              </w:rPr>
              <w:t>Diğer</w:t>
            </w:r>
          </w:p>
        </w:tc>
        <w:tc>
          <w:tcPr>
            <w:tcW w:w="207" w:type="pct"/>
            <w:tcBorders>
              <w:right w:val="single" w:sz="4" w:space="0" w:color="auto"/>
            </w:tcBorders>
            <w:noWrap/>
            <w:tcMar>
              <w:top w:w="18" w:type="dxa"/>
              <w:left w:w="18" w:type="dxa"/>
              <w:bottom w:w="0" w:type="dxa"/>
              <w:right w:w="18" w:type="dxa"/>
            </w:tcMar>
          </w:tcPr>
          <w:p w14:paraId="7D8A4951" w14:textId="77777777" w:rsidR="006D3793" w:rsidRPr="001F224B" w:rsidRDefault="006D3793" w:rsidP="006D3793">
            <w:pPr>
              <w:jc w:val="center"/>
              <w:rPr>
                <w:rFonts w:eastAsia="Arial Unicode MS"/>
                <w:b/>
                <w:sz w:val="12"/>
                <w:szCs w:val="12"/>
              </w:rPr>
            </w:pPr>
            <w:r w:rsidRPr="001F224B">
              <w:rPr>
                <w:rFonts w:eastAsia="Arial Unicode MS"/>
                <w:b/>
                <w:sz w:val="12"/>
                <w:szCs w:val="12"/>
              </w:rPr>
              <w:t>(12)</w:t>
            </w:r>
          </w:p>
        </w:tc>
        <w:tc>
          <w:tcPr>
            <w:tcW w:w="509" w:type="pct"/>
            <w:tcBorders>
              <w:top w:val="nil"/>
              <w:left w:val="nil"/>
              <w:bottom w:val="nil"/>
              <w:right w:val="nil"/>
            </w:tcBorders>
            <w:shd w:val="clear" w:color="auto" w:fill="auto"/>
            <w:noWrap/>
            <w:tcMar>
              <w:top w:w="18" w:type="dxa"/>
              <w:left w:w="18" w:type="dxa"/>
              <w:bottom w:w="0" w:type="dxa"/>
              <w:right w:w="18" w:type="dxa"/>
            </w:tcMar>
            <w:hideMark/>
          </w:tcPr>
          <w:p w14:paraId="3D2BA482" w14:textId="7C46A5E2"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(27.375)</w:t>
            </w:r>
          </w:p>
        </w:tc>
        <w:tc>
          <w:tcPr>
            <w:tcW w:w="516" w:type="pct"/>
            <w:tcBorders>
              <w:top w:val="nil"/>
              <w:left w:val="single" w:sz="4" w:space="0" w:color="auto"/>
              <w:bottom w:val="nil"/>
              <w:right w:val="single" w:sz="4" w:space="0" w:color="auto"/>
            </w:tcBorders>
            <w:hideMark/>
          </w:tcPr>
          <w:p w14:paraId="4E52E146" w14:textId="163DC9D2" w:rsidR="006D3793" w:rsidRPr="001F224B" w:rsidRDefault="006D3793" w:rsidP="006D3793">
            <w:pPr>
              <w:jc w:val="right"/>
              <w:rPr>
                <w:sz w:val="13"/>
                <w:szCs w:val="13"/>
              </w:rPr>
            </w:pPr>
            <w:r w:rsidRPr="001F224B">
              <w:rPr>
                <w:rFonts w:ascii="Times New Roman TUR" w:hAnsi="Times New Roman TUR" w:cs="Times New Roman TUR"/>
                <w:sz w:val="13"/>
                <w:szCs w:val="13"/>
              </w:rPr>
              <w:t>(20.284)</w:t>
            </w:r>
          </w:p>
        </w:tc>
        <w:tc>
          <w:tcPr>
            <w:tcW w:w="515" w:type="pct"/>
            <w:tcBorders>
              <w:top w:val="nil"/>
              <w:left w:val="nil"/>
              <w:bottom w:val="nil"/>
              <w:right w:val="nil"/>
            </w:tcBorders>
            <w:shd w:val="clear" w:color="auto" w:fill="auto"/>
            <w:hideMark/>
          </w:tcPr>
          <w:p w14:paraId="5C99104C" w14:textId="7D2766C9"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(10.240)</w:t>
            </w:r>
          </w:p>
        </w:tc>
        <w:tc>
          <w:tcPr>
            <w:tcW w:w="516" w:type="pct"/>
            <w:tcBorders>
              <w:top w:val="nil"/>
              <w:left w:val="single" w:sz="4" w:space="0" w:color="auto"/>
              <w:bottom w:val="nil"/>
              <w:right w:val="single" w:sz="4" w:space="0" w:color="auto"/>
            </w:tcBorders>
            <w:hideMark/>
          </w:tcPr>
          <w:p w14:paraId="77131397" w14:textId="681E4805" w:rsidR="006D3793" w:rsidRPr="001F224B" w:rsidRDefault="006D3793" w:rsidP="006D3793">
            <w:pPr>
              <w:jc w:val="right"/>
              <w:rPr>
                <w:sz w:val="13"/>
                <w:szCs w:val="13"/>
              </w:rPr>
            </w:pPr>
            <w:r w:rsidRPr="001F224B">
              <w:rPr>
                <w:rFonts w:ascii="Times New Roman TUR" w:hAnsi="Times New Roman TUR" w:cs="Times New Roman TUR"/>
                <w:sz w:val="13"/>
                <w:szCs w:val="13"/>
              </w:rPr>
              <w:t>(8.465)</w:t>
            </w:r>
          </w:p>
        </w:tc>
      </w:tr>
      <w:tr w:rsidR="006D3793" w:rsidRPr="001F224B" w14:paraId="74CD329F"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F12EE33" w14:textId="77777777" w:rsidR="006D3793" w:rsidRPr="001F224B" w:rsidRDefault="006D3793" w:rsidP="006D3793">
            <w:pPr>
              <w:rPr>
                <w:b/>
                <w:sz w:val="11"/>
                <w:szCs w:val="11"/>
              </w:rPr>
            </w:pPr>
            <w:r w:rsidRPr="001F224B">
              <w:rPr>
                <w:b/>
                <w:bCs/>
                <w:sz w:val="11"/>
                <w:szCs w:val="11"/>
              </w:rPr>
              <w:t>V.</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449077A" w14:textId="77777777" w:rsidR="006D3793" w:rsidRPr="001F224B" w:rsidRDefault="006D3793" w:rsidP="006D3793">
            <w:pPr>
              <w:rPr>
                <w:b/>
                <w:sz w:val="12"/>
                <w:szCs w:val="12"/>
              </w:rPr>
            </w:pPr>
            <w:r w:rsidRPr="001F224B">
              <w:rPr>
                <w:b/>
                <w:sz w:val="12"/>
                <w:szCs w:val="12"/>
              </w:rPr>
              <w:t>TEMETTÜ GELİRLERİ</w:t>
            </w:r>
          </w:p>
        </w:tc>
        <w:tc>
          <w:tcPr>
            <w:tcW w:w="207" w:type="pct"/>
            <w:tcBorders>
              <w:right w:val="single" w:sz="4" w:space="0" w:color="auto"/>
            </w:tcBorders>
            <w:noWrap/>
            <w:tcMar>
              <w:top w:w="18" w:type="dxa"/>
              <w:left w:w="18" w:type="dxa"/>
              <w:bottom w:w="0" w:type="dxa"/>
              <w:right w:w="18" w:type="dxa"/>
            </w:tcMar>
            <w:hideMark/>
          </w:tcPr>
          <w:p w14:paraId="50B08AFE" w14:textId="77777777" w:rsidR="006D3793" w:rsidRPr="001F224B" w:rsidRDefault="006D3793" w:rsidP="006D3793">
            <w:pPr>
              <w:jc w:val="center"/>
              <w:rPr>
                <w:rFonts w:eastAsia="Arial Unicode MS"/>
                <w:b/>
                <w:sz w:val="12"/>
                <w:szCs w:val="12"/>
              </w:rPr>
            </w:pPr>
            <w:r w:rsidRPr="001F224B">
              <w:rPr>
                <w:b/>
                <w:sz w:val="12"/>
                <w:szCs w:val="12"/>
              </w:rPr>
              <w:t>(3)</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FD10A8B" w14:textId="17F92560"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47.636</w:t>
            </w:r>
          </w:p>
        </w:tc>
        <w:tc>
          <w:tcPr>
            <w:tcW w:w="516" w:type="pct"/>
            <w:tcBorders>
              <w:top w:val="nil"/>
              <w:left w:val="single" w:sz="4" w:space="0" w:color="auto"/>
              <w:bottom w:val="nil"/>
              <w:right w:val="single" w:sz="4" w:space="0" w:color="auto"/>
            </w:tcBorders>
            <w:hideMark/>
          </w:tcPr>
          <w:p w14:paraId="318E28ED" w14:textId="13D5DD00"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7.204</w:t>
            </w:r>
          </w:p>
        </w:tc>
        <w:tc>
          <w:tcPr>
            <w:tcW w:w="515" w:type="pct"/>
            <w:tcBorders>
              <w:top w:val="nil"/>
              <w:left w:val="nil"/>
              <w:bottom w:val="nil"/>
              <w:right w:val="nil"/>
            </w:tcBorders>
            <w:shd w:val="clear" w:color="auto" w:fill="auto"/>
            <w:hideMark/>
          </w:tcPr>
          <w:p w14:paraId="35C4C8F1" w14:textId="08ED9540"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32.080</w:t>
            </w:r>
          </w:p>
        </w:tc>
        <w:tc>
          <w:tcPr>
            <w:tcW w:w="516" w:type="pct"/>
            <w:tcBorders>
              <w:top w:val="nil"/>
              <w:left w:val="single" w:sz="4" w:space="0" w:color="auto"/>
              <w:bottom w:val="nil"/>
              <w:right w:val="single" w:sz="4" w:space="0" w:color="auto"/>
            </w:tcBorders>
            <w:hideMark/>
          </w:tcPr>
          <w:p w14:paraId="595D8BE8" w14:textId="48420A1D"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7.204</w:t>
            </w:r>
          </w:p>
        </w:tc>
      </w:tr>
      <w:tr w:rsidR="006D3793" w:rsidRPr="001F224B" w14:paraId="6EA4B753"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F1BFAD0" w14:textId="77777777" w:rsidR="006D3793" w:rsidRPr="001F224B" w:rsidRDefault="006D3793" w:rsidP="006D3793">
            <w:pPr>
              <w:rPr>
                <w:b/>
                <w:sz w:val="11"/>
                <w:szCs w:val="11"/>
              </w:rPr>
            </w:pPr>
            <w:r w:rsidRPr="001F224B">
              <w:rPr>
                <w:b/>
                <w:bCs/>
                <w:sz w:val="11"/>
                <w:szCs w:val="11"/>
              </w:rPr>
              <w:t>VI.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6F7203E8" w14:textId="77777777" w:rsidR="006D3793" w:rsidRPr="001F224B" w:rsidRDefault="006D3793" w:rsidP="006D3793">
            <w:pPr>
              <w:rPr>
                <w:b/>
                <w:sz w:val="12"/>
                <w:szCs w:val="12"/>
              </w:rPr>
            </w:pPr>
            <w:r w:rsidRPr="001F224B">
              <w:rPr>
                <w:b/>
                <w:sz w:val="12"/>
                <w:szCs w:val="12"/>
              </w:rPr>
              <w:t>TİCARİ KAR/ZARAR (Net)</w:t>
            </w:r>
          </w:p>
        </w:tc>
        <w:tc>
          <w:tcPr>
            <w:tcW w:w="207" w:type="pct"/>
            <w:tcBorders>
              <w:right w:val="single" w:sz="4" w:space="0" w:color="auto"/>
            </w:tcBorders>
            <w:noWrap/>
            <w:tcMar>
              <w:top w:w="18" w:type="dxa"/>
              <w:left w:w="18" w:type="dxa"/>
              <w:bottom w:w="0" w:type="dxa"/>
              <w:right w:w="18" w:type="dxa"/>
            </w:tcMar>
            <w:hideMark/>
          </w:tcPr>
          <w:p w14:paraId="040CCF59" w14:textId="77777777" w:rsidR="006D3793" w:rsidRPr="001F224B" w:rsidRDefault="006D3793" w:rsidP="006D3793">
            <w:pPr>
              <w:jc w:val="center"/>
              <w:rPr>
                <w:rFonts w:eastAsia="Arial Unicode MS"/>
                <w:b/>
                <w:sz w:val="12"/>
                <w:szCs w:val="12"/>
              </w:rPr>
            </w:pPr>
            <w:r w:rsidRPr="001F224B">
              <w:rPr>
                <w:b/>
                <w:sz w:val="12"/>
                <w:szCs w:val="12"/>
              </w:rPr>
              <w:t>(4)</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7A7B4ABE" w14:textId="568685F1"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(248.676)</w:t>
            </w:r>
          </w:p>
        </w:tc>
        <w:tc>
          <w:tcPr>
            <w:tcW w:w="516" w:type="pct"/>
            <w:tcBorders>
              <w:top w:val="nil"/>
              <w:left w:val="single" w:sz="4" w:space="0" w:color="auto"/>
              <w:bottom w:val="nil"/>
              <w:right w:val="single" w:sz="4" w:space="0" w:color="auto"/>
            </w:tcBorders>
            <w:hideMark/>
          </w:tcPr>
          <w:p w14:paraId="66EF4AD0" w14:textId="2A08B583"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(805.129)</w:t>
            </w:r>
          </w:p>
        </w:tc>
        <w:tc>
          <w:tcPr>
            <w:tcW w:w="515" w:type="pct"/>
            <w:tcBorders>
              <w:top w:val="nil"/>
              <w:left w:val="nil"/>
              <w:bottom w:val="nil"/>
              <w:right w:val="nil"/>
            </w:tcBorders>
            <w:shd w:val="clear" w:color="auto" w:fill="auto"/>
            <w:hideMark/>
          </w:tcPr>
          <w:p w14:paraId="05160E12" w14:textId="217DEE12"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(193.866)</w:t>
            </w:r>
          </w:p>
        </w:tc>
        <w:tc>
          <w:tcPr>
            <w:tcW w:w="516" w:type="pct"/>
            <w:tcBorders>
              <w:top w:val="nil"/>
              <w:left w:val="single" w:sz="4" w:space="0" w:color="auto"/>
              <w:bottom w:val="nil"/>
              <w:right w:val="single" w:sz="4" w:space="0" w:color="auto"/>
            </w:tcBorders>
            <w:hideMark/>
          </w:tcPr>
          <w:p w14:paraId="3A26695C" w14:textId="73359F32"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(353.152)</w:t>
            </w:r>
          </w:p>
        </w:tc>
      </w:tr>
      <w:tr w:rsidR="006D3793" w:rsidRPr="001F224B" w14:paraId="46ED6040"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019E13D" w14:textId="77777777" w:rsidR="006D3793" w:rsidRPr="001F224B" w:rsidRDefault="006D3793" w:rsidP="006D3793">
            <w:pPr>
              <w:rPr>
                <w:sz w:val="11"/>
                <w:szCs w:val="11"/>
              </w:rPr>
            </w:pPr>
            <w:r w:rsidRPr="001F224B">
              <w:rPr>
                <w:sz w:val="11"/>
                <w:szCs w:val="11"/>
              </w:rPr>
              <w:t>6.1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BE2C531" w14:textId="77777777" w:rsidR="006D3793" w:rsidRPr="001F224B" w:rsidRDefault="006D3793" w:rsidP="006D3793">
            <w:pPr>
              <w:rPr>
                <w:sz w:val="12"/>
                <w:szCs w:val="12"/>
              </w:rPr>
            </w:pPr>
            <w:r w:rsidRPr="001F224B">
              <w:rPr>
                <w:sz w:val="12"/>
                <w:szCs w:val="12"/>
              </w:rPr>
              <w:t xml:space="preserve">Sermaye Piyasası İşlemleri Karı/Zararı </w:t>
            </w:r>
          </w:p>
        </w:tc>
        <w:tc>
          <w:tcPr>
            <w:tcW w:w="207" w:type="pct"/>
            <w:tcBorders>
              <w:right w:val="single" w:sz="4" w:space="0" w:color="auto"/>
            </w:tcBorders>
            <w:noWrap/>
            <w:tcMar>
              <w:top w:w="18" w:type="dxa"/>
              <w:left w:w="18" w:type="dxa"/>
              <w:bottom w:w="0" w:type="dxa"/>
              <w:right w:w="18" w:type="dxa"/>
            </w:tcMar>
          </w:tcPr>
          <w:p w14:paraId="05B3AF16"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950A101" w14:textId="7318C4B0"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90.482</w:t>
            </w:r>
          </w:p>
        </w:tc>
        <w:tc>
          <w:tcPr>
            <w:tcW w:w="516" w:type="pct"/>
            <w:tcBorders>
              <w:top w:val="nil"/>
              <w:left w:val="single" w:sz="4" w:space="0" w:color="auto"/>
              <w:bottom w:val="nil"/>
              <w:right w:val="single" w:sz="4" w:space="0" w:color="auto"/>
            </w:tcBorders>
            <w:hideMark/>
          </w:tcPr>
          <w:p w14:paraId="053D7E2E" w14:textId="40F0E1A7" w:rsidR="006D3793" w:rsidRPr="001F224B" w:rsidRDefault="006D3793" w:rsidP="006D3793">
            <w:pPr>
              <w:jc w:val="right"/>
              <w:rPr>
                <w:sz w:val="13"/>
                <w:szCs w:val="13"/>
              </w:rPr>
            </w:pPr>
            <w:r w:rsidRPr="001F224B">
              <w:rPr>
                <w:rFonts w:ascii="Times New Roman TUR" w:hAnsi="Times New Roman TUR" w:cs="Times New Roman TUR"/>
                <w:sz w:val="13"/>
                <w:szCs w:val="13"/>
              </w:rPr>
              <w:t>34.463</w:t>
            </w:r>
          </w:p>
        </w:tc>
        <w:tc>
          <w:tcPr>
            <w:tcW w:w="515" w:type="pct"/>
            <w:tcBorders>
              <w:top w:val="nil"/>
              <w:left w:val="nil"/>
              <w:bottom w:val="nil"/>
              <w:right w:val="nil"/>
            </w:tcBorders>
            <w:shd w:val="clear" w:color="auto" w:fill="auto"/>
            <w:hideMark/>
          </w:tcPr>
          <w:p w14:paraId="231E63E2" w14:textId="545EBA74"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46.911</w:t>
            </w:r>
          </w:p>
        </w:tc>
        <w:tc>
          <w:tcPr>
            <w:tcW w:w="516" w:type="pct"/>
            <w:tcBorders>
              <w:top w:val="nil"/>
              <w:left w:val="single" w:sz="4" w:space="0" w:color="auto"/>
              <w:bottom w:val="nil"/>
              <w:right w:val="single" w:sz="4" w:space="0" w:color="auto"/>
            </w:tcBorders>
            <w:hideMark/>
          </w:tcPr>
          <w:p w14:paraId="5FEA9F47" w14:textId="285BC94B" w:rsidR="006D3793" w:rsidRPr="001F224B" w:rsidRDefault="006D3793" w:rsidP="006D3793">
            <w:pPr>
              <w:jc w:val="right"/>
              <w:rPr>
                <w:sz w:val="13"/>
                <w:szCs w:val="13"/>
              </w:rPr>
            </w:pPr>
            <w:r w:rsidRPr="001F224B">
              <w:rPr>
                <w:rFonts w:ascii="Times New Roman TUR" w:hAnsi="Times New Roman TUR" w:cs="Times New Roman TUR"/>
                <w:sz w:val="13"/>
                <w:szCs w:val="13"/>
              </w:rPr>
              <w:t>10.044</w:t>
            </w:r>
          </w:p>
        </w:tc>
      </w:tr>
      <w:tr w:rsidR="006D3793" w:rsidRPr="001F224B" w14:paraId="773DE923"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1B9261F3" w14:textId="77777777" w:rsidR="006D3793" w:rsidRPr="001F224B" w:rsidRDefault="006D3793" w:rsidP="006D3793">
            <w:pPr>
              <w:rPr>
                <w:sz w:val="11"/>
                <w:szCs w:val="11"/>
              </w:rPr>
            </w:pPr>
            <w:r w:rsidRPr="001F224B">
              <w:rPr>
                <w:sz w:val="11"/>
                <w:szCs w:val="11"/>
              </w:rPr>
              <w:t>6.2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9C473EE" w14:textId="77777777" w:rsidR="006D3793" w:rsidRPr="001F224B" w:rsidRDefault="006D3793" w:rsidP="006D3793">
            <w:pPr>
              <w:rPr>
                <w:sz w:val="12"/>
                <w:szCs w:val="12"/>
              </w:rPr>
            </w:pPr>
            <w:r w:rsidRPr="001F224B">
              <w:rPr>
                <w:sz w:val="12"/>
                <w:szCs w:val="12"/>
              </w:rPr>
              <w:t>Türev Finansal İşlemlerden Kar/Zarar</w:t>
            </w:r>
          </w:p>
        </w:tc>
        <w:tc>
          <w:tcPr>
            <w:tcW w:w="207" w:type="pct"/>
            <w:tcBorders>
              <w:right w:val="single" w:sz="4" w:space="0" w:color="auto"/>
            </w:tcBorders>
            <w:noWrap/>
            <w:tcMar>
              <w:top w:w="18" w:type="dxa"/>
              <w:left w:w="18" w:type="dxa"/>
              <w:bottom w:w="0" w:type="dxa"/>
              <w:right w:w="18" w:type="dxa"/>
            </w:tcMar>
          </w:tcPr>
          <w:p w14:paraId="60A04454"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7F6A46AB" w14:textId="32086ECC"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140.189</w:t>
            </w:r>
          </w:p>
        </w:tc>
        <w:tc>
          <w:tcPr>
            <w:tcW w:w="516" w:type="pct"/>
            <w:tcBorders>
              <w:top w:val="nil"/>
              <w:left w:val="single" w:sz="4" w:space="0" w:color="auto"/>
              <w:bottom w:val="nil"/>
              <w:right w:val="single" w:sz="4" w:space="0" w:color="auto"/>
            </w:tcBorders>
            <w:hideMark/>
          </w:tcPr>
          <w:p w14:paraId="2B260D80" w14:textId="475AED2D" w:rsidR="006D3793" w:rsidRPr="001F224B" w:rsidRDefault="006D3793" w:rsidP="006D3793">
            <w:pPr>
              <w:jc w:val="right"/>
              <w:rPr>
                <w:sz w:val="13"/>
                <w:szCs w:val="13"/>
              </w:rPr>
            </w:pPr>
            <w:r w:rsidRPr="001F224B">
              <w:rPr>
                <w:rFonts w:ascii="Times New Roman TUR" w:hAnsi="Times New Roman TUR" w:cs="Times New Roman TUR"/>
                <w:sz w:val="13"/>
                <w:szCs w:val="13"/>
              </w:rPr>
              <w:t>(558.430)</w:t>
            </w:r>
          </w:p>
        </w:tc>
        <w:tc>
          <w:tcPr>
            <w:tcW w:w="515" w:type="pct"/>
            <w:tcBorders>
              <w:top w:val="nil"/>
              <w:left w:val="nil"/>
              <w:bottom w:val="nil"/>
              <w:right w:val="nil"/>
            </w:tcBorders>
            <w:shd w:val="clear" w:color="auto" w:fill="auto"/>
            <w:hideMark/>
          </w:tcPr>
          <w:p w14:paraId="6DE0B93F" w14:textId="66D57A04"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106.690</w:t>
            </w:r>
          </w:p>
        </w:tc>
        <w:tc>
          <w:tcPr>
            <w:tcW w:w="516" w:type="pct"/>
            <w:tcBorders>
              <w:top w:val="nil"/>
              <w:left w:val="single" w:sz="4" w:space="0" w:color="auto"/>
              <w:bottom w:val="nil"/>
              <w:right w:val="single" w:sz="4" w:space="0" w:color="auto"/>
            </w:tcBorders>
            <w:hideMark/>
          </w:tcPr>
          <w:p w14:paraId="612F863E" w14:textId="6FAD954D" w:rsidR="006D3793" w:rsidRPr="001F224B" w:rsidRDefault="006D3793" w:rsidP="006D3793">
            <w:pPr>
              <w:jc w:val="right"/>
              <w:rPr>
                <w:sz w:val="13"/>
                <w:szCs w:val="13"/>
              </w:rPr>
            </w:pPr>
            <w:r w:rsidRPr="001F224B">
              <w:rPr>
                <w:rFonts w:ascii="Times New Roman TUR" w:hAnsi="Times New Roman TUR" w:cs="Times New Roman TUR"/>
                <w:sz w:val="13"/>
                <w:szCs w:val="13"/>
              </w:rPr>
              <w:t>(461.589)</w:t>
            </w:r>
          </w:p>
        </w:tc>
      </w:tr>
      <w:tr w:rsidR="006D3793" w:rsidRPr="001F224B" w14:paraId="5F39EBC3"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1D25E425" w14:textId="77777777" w:rsidR="006D3793" w:rsidRPr="001F224B" w:rsidRDefault="006D3793" w:rsidP="006D3793">
            <w:pPr>
              <w:rPr>
                <w:sz w:val="11"/>
                <w:szCs w:val="11"/>
              </w:rPr>
            </w:pPr>
            <w:r w:rsidRPr="001F224B">
              <w:rPr>
                <w:sz w:val="11"/>
                <w:szCs w:val="11"/>
              </w:rPr>
              <w:t>6.3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1AE1FCE" w14:textId="77777777" w:rsidR="006D3793" w:rsidRPr="001F224B" w:rsidRDefault="006D3793" w:rsidP="006D3793">
            <w:pPr>
              <w:rPr>
                <w:sz w:val="12"/>
                <w:szCs w:val="12"/>
              </w:rPr>
            </w:pPr>
            <w:r w:rsidRPr="001F224B">
              <w:rPr>
                <w:sz w:val="12"/>
                <w:szCs w:val="12"/>
              </w:rPr>
              <w:t xml:space="preserve">Kambiyo İşlemleri Karı/Zararı </w:t>
            </w:r>
          </w:p>
        </w:tc>
        <w:tc>
          <w:tcPr>
            <w:tcW w:w="207" w:type="pct"/>
            <w:tcBorders>
              <w:right w:val="single" w:sz="4" w:space="0" w:color="auto"/>
            </w:tcBorders>
            <w:noWrap/>
            <w:tcMar>
              <w:top w:w="18" w:type="dxa"/>
              <w:left w:w="18" w:type="dxa"/>
              <w:bottom w:w="0" w:type="dxa"/>
              <w:right w:w="18" w:type="dxa"/>
            </w:tcMar>
          </w:tcPr>
          <w:p w14:paraId="2006FCCD"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471D0B94" w14:textId="12BDE8D3"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(479.347)</w:t>
            </w:r>
          </w:p>
        </w:tc>
        <w:tc>
          <w:tcPr>
            <w:tcW w:w="516" w:type="pct"/>
            <w:tcBorders>
              <w:top w:val="nil"/>
              <w:left w:val="single" w:sz="4" w:space="0" w:color="auto"/>
              <w:bottom w:val="nil"/>
              <w:right w:val="single" w:sz="4" w:space="0" w:color="auto"/>
            </w:tcBorders>
            <w:hideMark/>
          </w:tcPr>
          <w:p w14:paraId="40521511" w14:textId="56023A62" w:rsidR="006D3793" w:rsidRPr="001F224B" w:rsidRDefault="006D3793" w:rsidP="006D3793">
            <w:pPr>
              <w:jc w:val="right"/>
              <w:rPr>
                <w:sz w:val="13"/>
                <w:szCs w:val="13"/>
              </w:rPr>
            </w:pPr>
            <w:r w:rsidRPr="001F224B">
              <w:rPr>
                <w:rFonts w:ascii="Times New Roman TUR" w:hAnsi="Times New Roman TUR" w:cs="Times New Roman TUR"/>
                <w:sz w:val="13"/>
                <w:szCs w:val="13"/>
              </w:rPr>
              <w:t>(281.162)</w:t>
            </w:r>
          </w:p>
        </w:tc>
        <w:tc>
          <w:tcPr>
            <w:tcW w:w="515" w:type="pct"/>
            <w:tcBorders>
              <w:top w:val="nil"/>
              <w:left w:val="nil"/>
              <w:bottom w:val="nil"/>
              <w:right w:val="nil"/>
            </w:tcBorders>
            <w:shd w:val="clear" w:color="auto" w:fill="auto"/>
            <w:hideMark/>
          </w:tcPr>
          <w:p w14:paraId="27FF0106" w14:textId="423C5C40"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(347.467)</w:t>
            </w:r>
          </w:p>
        </w:tc>
        <w:tc>
          <w:tcPr>
            <w:tcW w:w="516" w:type="pct"/>
            <w:tcBorders>
              <w:top w:val="nil"/>
              <w:left w:val="single" w:sz="4" w:space="0" w:color="auto"/>
              <w:bottom w:val="nil"/>
              <w:right w:val="single" w:sz="4" w:space="0" w:color="auto"/>
            </w:tcBorders>
            <w:hideMark/>
          </w:tcPr>
          <w:p w14:paraId="7CD70078" w14:textId="16CAC5DC" w:rsidR="006D3793" w:rsidRPr="001F224B" w:rsidRDefault="006D3793" w:rsidP="006D3793">
            <w:pPr>
              <w:jc w:val="right"/>
              <w:rPr>
                <w:sz w:val="13"/>
                <w:szCs w:val="13"/>
              </w:rPr>
            </w:pPr>
            <w:r w:rsidRPr="001F224B">
              <w:rPr>
                <w:rFonts w:ascii="Times New Roman TUR" w:hAnsi="Times New Roman TUR" w:cs="Times New Roman TUR"/>
                <w:sz w:val="13"/>
                <w:szCs w:val="13"/>
              </w:rPr>
              <w:t>98.393</w:t>
            </w:r>
          </w:p>
        </w:tc>
      </w:tr>
      <w:tr w:rsidR="006D3793" w:rsidRPr="001F224B" w14:paraId="6949D3E8"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C166E88" w14:textId="77777777" w:rsidR="006D3793" w:rsidRPr="001F224B" w:rsidRDefault="006D3793" w:rsidP="006D3793">
            <w:pPr>
              <w:rPr>
                <w:b/>
                <w:sz w:val="11"/>
                <w:szCs w:val="11"/>
              </w:rPr>
            </w:pPr>
            <w:r w:rsidRPr="001F224B">
              <w:rPr>
                <w:b/>
                <w:bCs/>
                <w:sz w:val="11"/>
                <w:szCs w:val="11"/>
              </w:rPr>
              <w:t>VII.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39B3751" w14:textId="77777777" w:rsidR="006D3793" w:rsidRPr="001F224B" w:rsidRDefault="006D3793" w:rsidP="006D3793">
            <w:pPr>
              <w:rPr>
                <w:b/>
                <w:sz w:val="12"/>
                <w:szCs w:val="12"/>
              </w:rPr>
            </w:pPr>
            <w:r w:rsidRPr="001F224B">
              <w:rPr>
                <w:b/>
                <w:sz w:val="12"/>
                <w:szCs w:val="12"/>
              </w:rPr>
              <w:t>DİĞER FAALİYET GELİRLERİ</w:t>
            </w:r>
          </w:p>
        </w:tc>
        <w:tc>
          <w:tcPr>
            <w:tcW w:w="207" w:type="pct"/>
            <w:tcBorders>
              <w:right w:val="single" w:sz="4" w:space="0" w:color="auto"/>
            </w:tcBorders>
            <w:noWrap/>
            <w:tcMar>
              <w:top w:w="18" w:type="dxa"/>
              <w:left w:w="18" w:type="dxa"/>
              <w:bottom w:w="0" w:type="dxa"/>
              <w:right w:w="18" w:type="dxa"/>
            </w:tcMar>
            <w:hideMark/>
          </w:tcPr>
          <w:p w14:paraId="44A5E515" w14:textId="77777777" w:rsidR="006D3793" w:rsidRPr="001F224B" w:rsidRDefault="006D3793" w:rsidP="006D3793">
            <w:pPr>
              <w:jc w:val="center"/>
              <w:rPr>
                <w:rFonts w:eastAsia="Arial Unicode MS"/>
                <w:b/>
                <w:sz w:val="12"/>
                <w:szCs w:val="12"/>
              </w:rPr>
            </w:pPr>
            <w:r w:rsidRPr="001F224B">
              <w:rPr>
                <w:b/>
                <w:sz w:val="12"/>
                <w:szCs w:val="12"/>
              </w:rPr>
              <w:t>(5)</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2B523B7C" w14:textId="42A307D6"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319.906</w:t>
            </w:r>
          </w:p>
        </w:tc>
        <w:tc>
          <w:tcPr>
            <w:tcW w:w="516" w:type="pct"/>
            <w:tcBorders>
              <w:top w:val="nil"/>
              <w:left w:val="single" w:sz="4" w:space="0" w:color="auto"/>
              <w:bottom w:val="nil"/>
              <w:right w:val="single" w:sz="4" w:space="0" w:color="auto"/>
            </w:tcBorders>
            <w:hideMark/>
          </w:tcPr>
          <w:p w14:paraId="0CC0CA42" w14:textId="7CAFD399"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216.531</w:t>
            </w:r>
          </w:p>
        </w:tc>
        <w:tc>
          <w:tcPr>
            <w:tcW w:w="515" w:type="pct"/>
            <w:tcBorders>
              <w:top w:val="nil"/>
              <w:left w:val="nil"/>
              <w:bottom w:val="nil"/>
              <w:right w:val="nil"/>
            </w:tcBorders>
            <w:shd w:val="clear" w:color="auto" w:fill="auto"/>
            <w:hideMark/>
          </w:tcPr>
          <w:p w14:paraId="5B1C0105" w14:textId="451DF15D"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94.067</w:t>
            </w:r>
          </w:p>
        </w:tc>
        <w:tc>
          <w:tcPr>
            <w:tcW w:w="516" w:type="pct"/>
            <w:tcBorders>
              <w:top w:val="nil"/>
              <w:left w:val="single" w:sz="4" w:space="0" w:color="auto"/>
              <w:bottom w:val="nil"/>
              <w:right w:val="single" w:sz="4" w:space="0" w:color="auto"/>
            </w:tcBorders>
            <w:hideMark/>
          </w:tcPr>
          <w:p w14:paraId="5C5FFBC0" w14:textId="562DE18D"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147.926</w:t>
            </w:r>
          </w:p>
        </w:tc>
      </w:tr>
      <w:tr w:rsidR="006D3793" w:rsidRPr="001F224B" w14:paraId="4907D509"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0535F58" w14:textId="77777777" w:rsidR="006D3793" w:rsidRPr="001F224B" w:rsidRDefault="006D3793" w:rsidP="006D3793">
            <w:pPr>
              <w:rPr>
                <w:b/>
                <w:sz w:val="11"/>
                <w:szCs w:val="11"/>
              </w:rPr>
            </w:pPr>
            <w:r w:rsidRPr="001F224B">
              <w:rPr>
                <w:b/>
                <w:bCs/>
                <w:sz w:val="11"/>
                <w:szCs w:val="11"/>
              </w:rPr>
              <w:t>VIII.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297D9AAC" w14:textId="77777777" w:rsidR="006D3793" w:rsidRPr="001F224B" w:rsidRDefault="006D3793" w:rsidP="006D3793">
            <w:pPr>
              <w:rPr>
                <w:b/>
                <w:sz w:val="12"/>
                <w:szCs w:val="12"/>
              </w:rPr>
            </w:pPr>
            <w:r w:rsidRPr="001F224B">
              <w:rPr>
                <w:b/>
                <w:sz w:val="12"/>
                <w:szCs w:val="12"/>
              </w:rPr>
              <w:t xml:space="preserve">FAALİYET BRÜT KARI (III+IV+V+VI+VII) </w:t>
            </w:r>
          </w:p>
        </w:tc>
        <w:tc>
          <w:tcPr>
            <w:tcW w:w="207" w:type="pct"/>
            <w:tcBorders>
              <w:right w:val="single" w:sz="4" w:space="0" w:color="auto"/>
            </w:tcBorders>
            <w:noWrap/>
            <w:tcMar>
              <w:top w:w="18" w:type="dxa"/>
              <w:left w:w="18" w:type="dxa"/>
              <w:bottom w:w="0" w:type="dxa"/>
              <w:right w:w="18" w:type="dxa"/>
            </w:tcMar>
          </w:tcPr>
          <w:p w14:paraId="52A37AF2"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4B0742C" w14:textId="0A4BBD48"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7.098.391</w:t>
            </w:r>
          </w:p>
        </w:tc>
        <w:tc>
          <w:tcPr>
            <w:tcW w:w="516" w:type="pct"/>
            <w:tcBorders>
              <w:top w:val="nil"/>
              <w:left w:val="single" w:sz="4" w:space="0" w:color="auto"/>
              <w:bottom w:val="nil"/>
              <w:right w:val="single" w:sz="4" w:space="0" w:color="auto"/>
            </w:tcBorders>
            <w:hideMark/>
          </w:tcPr>
          <w:p w14:paraId="6065A927" w14:textId="6F7026CC"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5.079.173</w:t>
            </w:r>
          </w:p>
        </w:tc>
        <w:tc>
          <w:tcPr>
            <w:tcW w:w="515" w:type="pct"/>
            <w:tcBorders>
              <w:top w:val="nil"/>
              <w:left w:val="nil"/>
              <w:bottom w:val="nil"/>
              <w:right w:val="nil"/>
            </w:tcBorders>
            <w:shd w:val="clear" w:color="auto" w:fill="auto"/>
            <w:hideMark/>
          </w:tcPr>
          <w:p w14:paraId="37172FF5" w14:textId="1E7DCEC5"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3.843.861</w:t>
            </w:r>
          </w:p>
        </w:tc>
        <w:tc>
          <w:tcPr>
            <w:tcW w:w="516" w:type="pct"/>
            <w:tcBorders>
              <w:top w:val="nil"/>
              <w:left w:val="single" w:sz="4" w:space="0" w:color="auto"/>
              <w:bottom w:val="nil"/>
              <w:right w:val="single" w:sz="4" w:space="0" w:color="auto"/>
            </w:tcBorders>
            <w:hideMark/>
          </w:tcPr>
          <w:p w14:paraId="0F97AE56" w14:textId="6DCB6171"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2.886.040</w:t>
            </w:r>
          </w:p>
        </w:tc>
      </w:tr>
      <w:tr w:rsidR="006D3793" w:rsidRPr="001F224B" w14:paraId="6336B189"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C849229" w14:textId="77777777" w:rsidR="006D3793" w:rsidRPr="001F224B" w:rsidRDefault="006D3793" w:rsidP="006D3793">
            <w:pPr>
              <w:rPr>
                <w:b/>
                <w:sz w:val="11"/>
                <w:szCs w:val="11"/>
              </w:rPr>
            </w:pPr>
            <w:r w:rsidRPr="001F224B">
              <w:rPr>
                <w:b/>
                <w:bCs/>
                <w:sz w:val="11"/>
                <w:szCs w:val="11"/>
              </w:rPr>
              <w:t>IX.</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4E80B36" w14:textId="77777777" w:rsidR="006D3793" w:rsidRPr="001F224B" w:rsidRDefault="006D3793" w:rsidP="006D3793">
            <w:pPr>
              <w:rPr>
                <w:b/>
                <w:sz w:val="12"/>
                <w:szCs w:val="12"/>
              </w:rPr>
            </w:pPr>
            <w:r w:rsidRPr="001F224B">
              <w:rPr>
                <w:b/>
                <w:sz w:val="12"/>
                <w:szCs w:val="12"/>
              </w:rPr>
              <w:t>BEKLENEN ZARAR KARŞILIKLARI GİDERLERİ(-)</w:t>
            </w:r>
          </w:p>
        </w:tc>
        <w:tc>
          <w:tcPr>
            <w:tcW w:w="207" w:type="pct"/>
            <w:tcBorders>
              <w:right w:val="single" w:sz="4" w:space="0" w:color="auto"/>
            </w:tcBorders>
            <w:noWrap/>
            <w:tcMar>
              <w:top w:w="18" w:type="dxa"/>
              <w:left w:w="18" w:type="dxa"/>
              <w:bottom w:w="0" w:type="dxa"/>
              <w:right w:w="18" w:type="dxa"/>
            </w:tcMar>
            <w:hideMark/>
          </w:tcPr>
          <w:p w14:paraId="2502C1B4" w14:textId="77777777" w:rsidR="006D3793" w:rsidRPr="001F224B" w:rsidRDefault="006D3793" w:rsidP="006D3793">
            <w:pPr>
              <w:jc w:val="center"/>
              <w:rPr>
                <w:rFonts w:eastAsia="Arial Unicode MS"/>
                <w:b/>
                <w:sz w:val="12"/>
                <w:szCs w:val="12"/>
              </w:rPr>
            </w:pPr>
            <w:r w:rsidRPr="001F224B">
              <w:rPr>
                <w:b/>
                <w:sz w:val="12"/>
                <w:szCs w:val="12"/>
              </w:rPr>
              <w:t>(6)</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75CDDADF" w14:textId="5800D226"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(238.632)</w:t>
            </w:r>
          </w:p>
        </w:tc>
        <w:tc>
          <w:tcPr>
            <w:tcW w:w="516" w:type="pct"/>
            <w:tcBorders>
              <w:top w:val="nil"/>
              <w:left w:val="single" w:sz="4" w:space="0" w:color="auto"/>
              <w:bottom w:val="nil"/>
              <w:right w:val="single" w:sz="4" w:space="0" w:color="auto"/>
            </w:tcBorders>
            <w:hideMark/>
          </w:tcPr>
          <w:p w14:paraId="75529DF6" w14:textId="143979B4"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(400.335)</w:t>
            </w:r>
          </w:p>
        </w:tc>
        <w:tc>
          <w:tcPr>
            <w:tcW w:w="515" w:type="pct"/>
            <w:tcBorders>
              <w:top w:val="nil"/>
              <w:left w:val="nil"/>
              <w:bottom w:val="nil"/>
              <w:right w:val="nil"/>
            </w:tcBorders>
            <w:shd w:val="clear" w:color="auto" w:fill="auto"/>
            <w:hideMark/>
          </w:tcPr>
          <w:p w14:paraId="7D82D76E" w14:textId="247D8B25"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(72.893)</w:t>
            </w:r>
          </w:p>
        </w:tc>
        <w:tc>
          <w:tcPr>
            <w:tcW w:w="516" w:type="pct"/>
            <w:tcBorders>
              <w:top w:val="nil"/>
              <w:left w:val="single" w:sz="4" w:space="0" w:color="auto"/>
              <w:bottom w:val="nil"/>
              <w:right w:val="single" w:sz="4" w:space="0" w:color="auto"/>
            </w:tcBorders>
            <w:hideMark/>
          </w:tcPr>
          <w:p w14:paraId="1F8F9AE9" w14:textId="1F46DC2D"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(94.983)</w:t>
            </w:r>
          </w:p>
        </w:tc>
      </w:tr>
      <w:tr w:rsidR="006D3793" w:rsidRPr="001F224B" w14:paraId="2A94E9C1"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445CD41" w14:textId="77777777" w:rsidR="006D3793" w:rsidRPr="001F224B" w:rsidRDefault="006D3793" w:rsidP="006D3793">
            <w:pPr>
              <w:rPr>
                <w:b/>
                <w:bCs/>
                <w:sz w:val="11"/>
                <w:szCs w:val="11"/>
              </w:rPr>
            </w:pPr>
            <w:r w:rsidRPr="001F224B">
              <w:rPr>
                <w:b/>
                <w:bCs/>
                <w:sz w:val="11"/>
                <w:szCs w:val="11"/>
              </w:rPr>
              <w:t>X.</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4E01373" w14:textId="77777777" w:rsidR="006D3793" w:rsidRPr="001F224B" w:rsidRDefault="006D3793" w:rsidP="006D3793">
            <w:pPr>
              <w:rPr>
                <w:b/>
                <w:sz w:val="12"/>
                <w:szCs w:val="12"/>
              </w:rPr>
            </w:pPr>
            <w:r w:rsidRPr="001F224B">
              <w:rPr>
                <w:b/>
                <w:sz w:val="12"/>
                <w:szCs w:val="12"/>
              </w:rPr>
              <w:t>DİĞER KARŞILIK GİDERLERİ (-)</w:t>
            </w:r>
          </w:p>
        </w:tc>
        <w:tc>
          <w:tcPr>
            <w:tcW w:w="207" w:type="pct"/>
            <w:tcBorders>
              <w:right w:val="single" w:sz="4" w:space="0" w:color="auto"/>
            </w:tcBorders>
            <w:noWrap/>
            <w:tcMar>
              <w:top w:w="18" w:type="dxa"/>
              <w:left w:w="18" w:type="dxa"/>
              <w:bottom w:w="0" w:type="dxa"/>
              <w:right w:w="18" w:type="dxa"/>
            </w:tcMar>
          </w:tcPr>
          <w:p w14:paraId="6356FEA3" w14:textId="77777777" w:rsidR="006D3793" w:rsidRPr="001F224B" w:rsidRDefault="006D3793" w:rsidP="006D3793">
            <w:pPr>
              <w:jc w:val="center"/>
              <w:rPr>
                <w:b/>
                <w:sz w:val="12"/>
                <w:szCs w:val="12"/>
              </w:rPr>
            </w:pPr>
            <w:r w:rsidRPr="001F224B">
              <w:rPr>
                <w:b/>
                <w:sz w:val="12"/>
                <w:szCs w:val="12"/>
              </w:rPr>
              <w:t>(6)</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B73A795" w14:textId="38B735A1"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(156.427)</w:t>
            </w:r>
          </w:p>
        </w:tc>
        <w:tc>
          <w:tcPr>
            <w:tcW w:w="516" w:type="pct"/>
            <w:tcBorders>
              <w:top w:val="nil"/>
              <w:left w:val="single" w:sz="4" w:space="0" w:color="auto"/>
              <w:bottom w:val="nil"/>
              <w:right w:val="single" w:sz="4" w:space="0" w:color="auto"/>
            </w:tcBorders>
            <w:hideMark/>
          </w:tcPr>
          <w:p w14:paraId="3EF0B5FA" w14:textId="760CCB5B"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(222.237)</w:t>
            </w:r>
          </w:p>
        </w:tc>
        <w:tc>
          <w:tcPr>
            <w:tcW w:w="515" w:type="pct"/>
            <w:tcBorders>
              <w:top w:val="nil"/>
              <w:left w:val="nil"/>
              <w:bottom w:val="nil"/>
              <w:right w:val="nil"/>
            </w:tcBorders>
            <w:shd w:val="clear" w:color="auto" w:fill="auto"/>
            <w:hideMark/>
          </w:tcPr>
          <w:p w14:paraId="33821029" w14:textId="7475D3B6"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(29.456)</w:t>
            </w:r>
          </w:p>
        </w:tc>
        <w:tc>
          <w:tcPr>
            <w:tcW w:w="516" w:type="pct"/>
            <w:tcBorders>
              <w:top w:val="nil"/>
              <w:left w:val="single" w:sz="4" w:space="0" w:color="auto"/>
              <w:bottom w:val="nil"/>
              <w:right w:val="single" w:sz="4" w:space="0" w:color="auto"/>
            </w:tcBorders>
            <w:hideMark/>
          </w:tcPr>
          <w:p w14:paraId="1FB2D4A8" w14:textId="57D79066"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(107.515)</w:t>
            </w:r>
          </w:p>
        </w:tc>
      </w:tr>
      <w:tr w:rsidR="006D3793" w:rsidRPr="001F224B" w14:paraId="2F150008"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2DD857D9" w14:textId="77777777" w:rsidR="006D3793" w:rsidRPr="001F224B" w:rsidRDefault="006D3793" w:rsidP="006D3793">
            <w:pPr>
              <w:rPr>
                <w:b/>
                <w:bCs/>
                <w:sz w:val="11"/>
                <w:szCs w:val="11"/>
              </w:rPr>
            </w:pPr>
            <w:r w:rsidRPr="001F224B">
              <w:rPr>
                <w:b/>
                <w:bCs/>
                <w:sz w:val="11"/>
                <w:szCs w:val="11"/>
              </w:rPr>
              <w:t xml:space="preserve">XI.            </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FAEE54A" w14:textId="77777777" w:rsidR="006D3793" w:rsidRPr="001F224B" w:rsidRDefault="006D3793" w:rsidP="006D3793">
            <w:pPr>
              <w:rPr>
                <w:b/>
                <w:sz w:val="12"/>
                <w:szCs w:val="12"/>
              </w:rPr>
            </w:pPr>
            <w:r w:rsidRPr="001F224B">
              <w:rPr>
                <w:b/>
                <w:sz w:val="12"/>
                <w:szCs w:val="12"/>
              </w:rPr>
              <w:t>PERSONEL GİDERLERİ (-)</w:t>
            </w:r>
          </w:p>
        </w:tc>
        <w:tc>
          <w:tcPr>
            <w:tcW w:w="207" w:type="pct"/>
            <w:tcBorders>
              <w:right w:val="single" w:sz="4" w:space="0" w:color="auto"/>
            </w:tcBorders>
            <w:noWrap/>
            <w:tcMar>
              <w:top w:w="18" w:type="dxa"/>
              <w:left w:w="18" w:type="dxa"/>
              <w:bottom w:w="0" w:type="dxa"/>
              <w:right w:w="18" w:type="dxa"/>
            </w:tcMar>
          </w:tcPr>
          <w:p w14:paraId="539F3055" w14:textId="77777777" w:rsidR="006D3793" w:rsidRPr="001F224B" w:rsidRDefault="006D3793" w:rsidP="006D3793">
            <w:pPr>
              <w:jc w:val="center"/>
              <w:rPr>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D0E0EAA" w14:textId="59F8D9A1"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(622.645)</w:t>
            </w:r>
          </w:p>
        </w:tc>
        <w:tc>
          <w:tcPr>
            <w:tcW w:w="516" w:type="pct"/>
            <w:tcBorders>
              <w:top w:val="nil"/>
              <w:left w:val="single" w:sz="4" w:space="0" w:color="auto"/>
              <w:bottom w:val="nil"/>
              <w:right w:val="single" w:sz="4" w:space="0" w:color="auto"/>
            </w:tcBorders>
            <w:hideMark/>
          </w:tcPr>
          <w:p w14:paraId="3F5544CF" w14:textId="7DB58388"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(397.732)</w:t>
            </w:r>
          </w:p>
        </w:tc>
        <w:tc>
          <w:tcPr>
            <w:tcW w:w="515" w:type="pct"/>
            <w:tcBorders>
              <w:top w:val="nil"/>
              <w:left w:val="nil"/>
              <w:bottom w:val="nil"/>
              <w:right w:val="nil"/>
            </w:tcBorders>
            <w:shd w:val="clear" w:color="auto" w:fill="auto"/>
            <w:hideMark/>
          </w:tcPr>
          <w:p w14:paraId="453D83C1" w14:textId="0DE06455"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(312.169)</w:t>
            </w:r>
          </w:p>
        </w:tc>
        <w:tc>
          <w:tcPr>
            <w:tcW w:w="516" w:type="pct"/>
            <w:tcBorders>
              <w:top w:val="nil"/>
              <w:left w:val="single" w:sz="4" w:space="0" w:color="auto"/>
              <w:bottom w:val="nil"/>
              <w:right w:val="single" w:sz="4" w:space="0" w:color="auto"/>
            </w:tcBorders>
            <w:hideMark/>
          </w:tcPr>
          <w:p w14:paraId="63F452AF" w14:textId="3804092A"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(203.481)</w:t>
            </w:r>
          </w:p>
        </w:tc>
      </w:tr>
      <w:tr w:rsidR="006D3793" w:rsidRPr="001F224B" w14:paraId="7D0A299F"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3AF016E" w14:textId="77777777" w:rsidR="006D3793" w:rsidRPr="001F224B" w:rsidRDefault="006D3793" w:rsidP="006D3793">
            <w:pPr>
              <w:rPr>
                <w:b/>
                <w:sz w:val="11"/>
                <w:szCs w:val="11"/>
              </w:rPr>
            </w:pPr>
            <w:r w:rsidRPr="001F224B">
              <w:rPr>
                <w:b/>
                <w:bCs/>
                <w:sz w:val="11"/>
                <w:szCs w:val="11"/>
              </w:rPr>
              <w:t>XII.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BD6C095" w14:textId="77777777" w:rsidR="006D3793" w:rsidRPr="001F224B" w:rsidRDefault="006D3793" w:rsidP="006D3793">
            <w:pPr>
              <w:rPr>
                <w:b/>
                <w:sz w:val="12"/>
                <w:szCs w:val="12"/>
              </w:rPr>
            </w:pPr>
            <w:r w:rsidRPr="001F224B">
              <w:rPr>
                <w:b/>
                <w:sz w:val="12"/>
                <w:szCs w:val="12"/>
              </w:rPr>
              <w:t>DİĞER FAALİYET GİDERLERİ (-)</w:t>
            </w:r>
          </w:p>
        </w:tc>
        <w:tc>
          <w:tcPr>
            <w:tcW w:w="207" w:type="pct"/>
            <w:tcBorders>
              <w:right w:val="single" w:sz="4" w:space="0" w:color="auto"/>
            </w:tcBorders>
            <w:noWrap/>
            <w:tcMar>
              <w:top w:w="18" w:type="dxa"/>
              <w:left w:w="18" w:type="dxa"/>
              <w:bottom w:w="0" w:type="dxa"/>
              <w:right w:w="18" w:type="dxa"/>
            </w:tcMar>
            <w:hideMark/>
          </w:tcPr>
          <w:p w14:paraId="78A71C58" w14:textId="77777777" w:rsidR="006D3793" w:rsidRPr="001F224B" w:rsidRDefault="006D3793" w:rsidP="006D3793">
            <w:pPr>
              <w:jc w:val="center"/>
              <w:rPr>
                <w:rFonts w:eastAsia="Arial Unicode MS"/>
                <w:b/>
                <w:sz w:val="12"/>
                <w:szCs w:val="12"/>
              </w:rPr>
            </w:pPr>
            <w:r w:rsidRPr="001F224B">
              <w:rPr>
                <w:b/>
                <w:sz w:val="12"/>
                <w:szCs w:val="12"/>
              </w:rPr>
              <w:t>(7)</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3DF764DD" w14:textId="7859ABBC"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(312.603)</w:t>
            </w:r>
          </w:p>
        </w:tc>
        <w:tc>
          <w:tcPr>
            <w:tcW w:w="516" w:type="pct"/>
            <w:tcBorders>
              <w:top w:val="nil"/>
              <w:left w:val="single" w:sz="4" w:space="0" w:color="auto"/>
              <w:bottom w:val="nil"/>
              <w:right w:val="single" w:sz="4" w:space="0" w:color="auto"/>
            </w:tcBorders>
            <w:hideMark/>
          </w:tcPr>
          <w:p w14:paraId="56E546BA" w14:textId="5EDC53DC"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(200.832)</w:t>
            </w:r>
          </w:p>
        </w:tc>
        <w:tc>
          <w:tcPr>
            <w:tcW w:w="515" w:type="pct"/>
            <w:tcBorders>
              <w:top w:val="nil"/>
              <w:left w:val="nil"/>
              <w:bottom w:val="nil"/>
              <w:right w:val="nil"/>
            </w:tcBorders>
            <w:shd w:val="clear" w:color="auto" w:fill="auto"/>
            <w:hideMark/>
          </w:tcPr>
          <w:p w14:paraId="34D7429C" w14:textId="7C8B2F21"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(147.764)</w:t>
            </w:r>
          </w:p>
        </w:tc>
        <w:tc>
          <w:tcPr>
            <w:tcW w:w="516" w:type="pct"/>
            <w:tcBorders>
              <w:top w:val="nil"/>
              <w:left w:val="single" w:sz="4" w:space="0" w:color="auto"/>
              <w:bottom w:val="nil"/>
              <w:right w:val="single" w:sz="4" w:space="0" w:color="auto"/>
            </w:tcBorders>
            <w:hideMark/>
          </w:tcPr>
          <w:p w14:paraId="412329DF" w14:textId="19E51E18"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(99.847)</w:t>
            </w:r>
          </w:p>
        </w:tc>
      </w:tr>
      <w:tr w:rsidR="006D3793" w:rsidRPr="001F224B" w14:paraId="49871549"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9EBC242" w14:textId="77777777" w:rsidR="006D3793" w:rsidRPr="001F224B" w:rsidRDefault="006D3793" w:rsidP="006D3793">
            <w:pPr>
              <w:rPr>
                <w:b/>
                <w:sz w:val="11"/>
                <w:szCs w:val="11"/>
              </w:rPr>
            </w:pPr>
            <w:r w:rsidRPr="001F224B">
              <w:rPr>
                <w:b/>
                <w:bCs/>
                <w:sz w:val="11"/>
                <w:szCs w:val="11"/>
              </w:rPr>
              <w:t>XIII.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4881D71" w14:textId="77777777" w:rsidR="006D3793" w:rsidRPr="001F224B" w:rsidRDefault="006D3793" w:rsidP="006D3793">
            <w:pPr>
              <w:rPr>
                <w:b/>
                <w:sz w:val="12"/>
                <w:szCs w:val="12"/>
              </w:rPr>
            </w:pPr>
            <w:r w:rsidRPr="001F224B">
              <w:rPr>
                <w:b/>
                <w:sz w:val="12"/>
                <w:szCs w:val="12"/>
              </w:rPr>
              <w:t xml:space="preserve">NET FAALİYET KARI/ZARARI (VIII-IX-X-XI-XII) </w:t>
            </w:r>
          </w:p>
        </w:tc>
        <w:tc>
          <w:tcPr>
            <w:tcW w:w="207" w:type="pct"/>
            <w:tcBorders>
              <w:right w:val="single" w:sz="4" w:space="0" w:color="auto"/>
            </w:tcBorders>
            <w:noWrap/>
            <w:tcMar>
              <w:top w:w="18" w:type="dxa"/>
              <w:left w:w="18" w:type="dxa"/>
              <w:bottom w:w="0" w:type="dxa"/>
              <w:right w:w="18" w:type="dxa"/>
            </w:tcMar>
          </w:tcPr>
          <w:p w14:paraId="64DE4C1E"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3F1B1375" w14:textId="5FD35F20"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5.768.084</w:t>
            </w:r>
          </w:p>
        </w:tc>
        <w:tc>
          <w:tcPr>
            <w:tcW w:w="516" w:type="pct"/>
            <w:tcBorders>
              <w:top w:val="nil"/>
              <w:left w:val="single" w:sz="4" w:space="0" w:color="auto"/>
              <w:bottom w:val="nil"/>
              <w:right w:val="single" w:sz="4" w:space="0" w:color="auto"/>
            </w:tcBorders>
            <w:hideMark/>
          </w:tcPr>
          <w:p w14:paraId="0CC65350" w14:textId="5C469DE9"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3.858.037</w:t>
            </w:r>
          </w:p>
        </w:tc>
        <w:tc>
          <w:tcPr>
            <w:tcW w:w="515" w:type="pct"/>
            <w:tcBorders>
              <w:top w:val="nil"/>
              <w:left w:val="nil"/>
              <w:bottom w:val="nil"/>
              <w:right w:val="nil"/>
            </w:tcBorders>
            <w:shd w:val="clear" w:color="auto" w:fill="auto"/>
            <w:hideMark/>
          </w:tcPr>
          <w:p w14:paraId="2F76D571" w14:textId="7393DBEF"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3.281.579</w:t>
            </w:r>
          </w:p>
        </w:tc>
        <w:tc>
          <w:tcPr>
            <w:tcW w:w="516" w:type="pct"/>
            <w:tcBorders>
              <w:top w:val="nil"/>
              <w:left w:val="single" w:sz="4" w:space="0" w:color="auto"/>
              <w:bottom w:val="nil"/>
              <w:right w:val="single" w:sz="4" w:space="0" w:color="auto"/>
            </w:tcBorders>
            <w:hideMark/>
          </w:tcPr>
          <w:p w14:paraId="7CE71E6C" w14:textId="3BF8DB51"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2.380.214</w:t>
            </w:r>
          </w:p>
        </w:tc>
      </w:tr>
      <w:tr w:rsidR="006D3793" w:rsidRPr="001F224B" w14:paraId="445BA130"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E487BB1" w14:textId="77777777" w:rsidR="006D3793" w:rsidRPr="001F224B" w:rsidRDefault="006D3793" w:rsidP="006D3793">
            <w:pPr>
              <w:rPr>
                <w:b/>
                <w:sz w:val="11"/>
                <w:szCs w:val="11"/>
              </w:rPr>
            </w:pPr>
            <w:r w:rsidRPr="001F224B">
              <w:rPr>
                <w:b/>
                <w:bCs/>
                <w:sz w:val="11"/>
                <w:szCs w:val="11"/>
              </w:rPr>
              <w:t>XIV.</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DBE1DE7" w14:textId="77777777" w:rsidR="006D3793" w:rsidRPr="001F224B" w:rsidRDefault="006D3793" w:rsidP="006D3793">
            <w:pPr>
              <w:rPr>
                <w:b/>
                <w:sz w:val="12"/>
                <w:szCs w:val="12"/>
              </w:rPr>
            </w:pPr>
            <w:r w:rsidRPr="001F224B">
              <w:rPr>
                <w:b/>
                <w:sz w:val="12"/>
                <w:szCs w:val="12"/>
              </w:rPr>
              <w:t xml:space="preserve">BİRLEŞME İŞLEMİ SONRASINDA GELİR OLARAK KAYDEDİLEN FAZLALIK TUTARI </w:t>
            </w:r>
          </w:p>
        </w:tc>
        <w:tc>
          <w:tcPr>
            <w:tcW w:w="207" w:type="pct"/>
            <w:tcBorders>
              <w:right w:val="single" w:sz="4" w:space="0" w:color="auto"/>
            </w:tcBorders>
            <w:noWrap/>
            <w:tcMar>
              <w:top w:w="18" w:type="dxa"/>
              <w:left w:w="18" w:type="dxa"/>
              <w:bottom w:w="0" w:type="dxa"/>
              <w:right w:w="18" w:type="dxa"/>
            </w:tcMar>
          </w:tcPr>
          <w:p w14:paraId="218DF046"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D478099" w14:textId="33F30D93" w:rsidR="006D3793" w:rsidRPr="001F224B" w:rsidRDefault="006D3793" w:rsidP="006D3793">
            <w:pPr>
              <w:jc w:val="right"/>
              <w:rPr>
                <w:rFonts w:ascii="Times New Roman TUR" w:hAnsi="Times New Roman TUR" w:cs="Times New Roman TUR"/>
                <w:sz w:val="13"/>
                <w:szCs w:val="13"/>
              </w:rPr>
            </w:pPr>
            <w:r w:rsidRPr="001F224B">
              <w:rPr>
                <w:sz w:val="13"/>
                <w:szCs w:val="13"/>
              </w:rPr>
              <w:t>-</w:t>
            </w:r>
          </w:p>
        </w:tc>
        <w:tc>
          <w:tcPr>
            <w:tcW w:w="516" w:type="pct"/>
            <w:tcBorders>
              <w:top w:val="nil"/>
              <w:left w:val="single" w:sz="4" w:space="0" w:color="auto"/>
              <w:bottom w:val="nil"/>
              <w:right w:val="single" w:sz="4" w:space="0" w:color="auto"/>
            </w:tcBorders>
            <w:hideMark/>
          </w:tcPr>
          <w:p w14:paraId="1B1D5F40" w14:textId="4E4D18CB" w:rsidR="006D3793" w:rsidRPr="001F224B" w:rsidRDefault="006D3793" w:rsidP="006D3793">
            <w:pPr>
              <w:jc w:val="right"/>
              <w:rPr>
                <w:sz w:val="13"/>
                <w:szCs w:val="13"/>
              </w:rPr>
            </w:pPr>
            <w:r w:rsidRPr="001F224B">
              <w:rPr>
                <w:sz w:val="13"/>
                <w:szCs w:val="13"/>
              </w:rPr>
              <w:t>-</w:t>
            </w:r>
          </w:p>
        </w:tc>
        <w:tc>
          <w:tcPr>
            <w:tcW w:w="515" w:type="pct"/>
            <w:tcBorders>
              <w:top w:val="nil"/>
              <w:left w:val="nil"/>
              <w:bottom w:val="nil"/>
              <w:right w:val="nil"/>
            </w:tcBorders>
            <w:shd w:val="clear" w:color="auto" w:fill="auto"/>
            <w:hideMark/>
          </w:tcPr>
          <w:p w14:paraId="50DBE2C8" w14:textId="505D46F4" w:rsidR="006D3793" w:rsidRPr="001F224B" w:rsidRDefault="006D3793" w:rsidP="006D3793">
            <w:pPr>
              <w:jc w:val="right"/>
              <w:rPr>
                <w:rFonts w:ascii="Times New Roman TUR" w:hAnsi="Times New Roman TUR" w:cs="Times New Roman TUR"/>
                <w:sz w:val="13"/>
                <w:szCs w:val="13"/>
              </w:rPr>
            </w:pPr>
            <w:r w:rsidRPr="001F224B">
              <w:rPr>
                <w:sz w:val="13"/>
                <w:szCs w:val="13"/>
              </w:rPr>
              <w:t>-</w:t>
            </w:r>
          </w:p>
        </w:tc>
        <w:tc>
          <w:tcPr>
            <w:tcW w:w="516" w:type="pct"/>
            <w:tcBorders>
              <w:top w:val="nil"/>
              <w:left w:val="single" w:sz="4" w:space="0" w:color="auto"/>
              <w:bottom w:val="nil"/>
              <w:right w:val="single" w:sz="4" w:space="0" w:color="auto"/>
            </w:tcBorders>
            <w:hideMark/>
          </w:tcPr>
          <w:p w14:paraId="1E97E5E7" w14:textId="5BB5366E" w:rsidR="006D3793" w:rsidRPr="001F224B" w:rsidRDefault="006D3793" w:rsidP="006D3793">
            <w:pPr>
              <w:jc w:val="right"/>
              <w:rPr>
                <w:sz w:val="13"/>
                <w:szCs w:val="13"/>
              </w:rPr>
            </w:pPr>
            <w:r w:rsidRPr="001F224B">
              <w:rPr>
                <w:sz w:val="13"/>
                <w:szCs w:val="13"/>
              </w:rPr>
              <w:t>-</w:t>
            </w:r>
          </w:p>
        </w:tc>
      </w:tr>
      <w:tr w:rsidR="006D3793" w:rsidRPr="001F224B" w14:paraId="4EDEECDA"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A439937" w14:textId="77777777" w:rsidR="006D3793" w:rsidRPr="001F224B" w:rsidRDefault="006D3793" w:rsidP="006D3793">
            <w:pPr>
              <w:rPr>
                <w:b/>
                <w:bCs/>
                <w:sz w:val="11"/>
                <w:szCs w:val="11"/>
              </w:rPr>
            </w:pPr>
            <w:r w:rsidRPr="001F224B">
              <w:rPr>
                <w:b/>
                <w:bCs/>
                <w:sz w:val="11"/>
                <w:szCs w:val="11"/>
              </w:rPr>
              <w:t>XV.</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E59803C" w14:textId="77777777" w:rsidR="006D3793" w:rsidRPr="001F224B" w:rsidRDefault="006D3793" w:rsidP="006D3793">
            <w:pPr>
              <w:rPr>
                <w:b/>
                <w:sz w:val="12"/>
                <w:szCs w:val="12"/>
              </w:rPr>
            </w:pPr>
            <w:r w:rsidRPr="001F224B">
              <w:rPr>
                <w:b/>
                <w:sz w:val="12"/>
                <w:szCs w:val="12"/>
              </w:rPr>
              <w:t>ÖZKAYNAK YÖNTEMİ UYGULANAN ORTAKLIKLARDAN KAR/ZARAR</w:t>
            </w:r>
          </w:p>
        </w:tc>
        <w:tc>
          <w:tcPr>
            <w:tcW w:w="207" w:type="pct"/>
            <w:tcBorders>
              <w:right w:val="single" w:sz="4" w:space="0" w:color="auto"/>
            </w:tcBorders>
            <w:noWrap/>
            <w:tcMar>
              <w:top w:w="18" w:type="dxa"/>
              <w:left w:w="18" w:type="dxa"/>
              <w:bottom w:w="0" w:type="dxa"/>
              <w:right w:w="18" w:type="dxa"/>
            </w:tcMar>
          </w:tcPr>
          <w:p w14:paraId="2A9972E9"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BDA2AD0" w14:textId="0F2EE9E0" w:rsidR="006D3793" w:rsidRPr="001F224B" w:rsidRDefault="006D3793" w:rsidP="006D3793">
            <w:pPr>
              <w:jc w:val="right"/>
              <w:rPr>
                <w:rFonts w:ascii="Times New Roman TUR" w:hAnsi="Times New Roman TUR" w:cs="Times New Roman TUR"/>
                <w:sz w:val="13"/>
                <w:szCs w:val="13"/>
              </w:rPr>
            </w:pPr>
            <w:r w:rsidRPr="001F224B">
              <w:rPr>
                <w:sz w:val="13"/>
                <w:szCs w:val="13"/>
              </w:rPr>
              <w:t>-</w:t>
            </w:r>
          </w:p>
        </w:tc>
        <w:tc>
          <w:tcPr>
            <w:tcW w:w="516" w:type="pct"/>
            <w:tcBorders>
              <w:top w:val="nil"/>
              <w:left w:val="single" w:sz="4" w:space="0" w:color="auto"/>
              <w:bottom w:val="nil"/>
              <w:right w:val="single" w:sz="4" w:space="0" w:color="auto"/>
            </w:tcBorders>
            <w:hideMark/>
          </w:tcPr>
          <w:p w14:paraId="5BA9430E" w14:textId="315C6C0E" w:rsidR="006D3793" w:rsidRPr="001F224B" w:rsidRDefault="006D3793" w:rsidP="006D3793">
            <w:pPr>
              <w:jc w:val="right"/>
              <w:rPr>
                <w:sz w:val="13"/>
                <w:szCs w:val="13"/>
              </w:rPr>
            </w:pPr>
            <w:r w:rsidRPr="001F224B">
              <w:rPr>
                <w:sz w:val="13"/>
                <w:szCs w:val="13"/>
              </w:rPr>
              <w:t>-</w:t>
            </w:r>
          </w:p>
        </w:tc>
        <w:tc>
          <w:tcPr>
            <w:tcW w:w="515" w:type="pct"/>
            <w:tcBorders>
              <w:top w:val="nil"/>
              <w:left w:val="nil"/>
              <w:bottom w:val="nil"/>
              <w:right w:val="nil"/>
            </w:tcBorders>
            <w:shd w:val="clear" w:color="auto" w:fill="auto"/>
            <w:hideMark/>
          </w:tcPr>
          <w:p w14:paraId="077E5398" w14:textId="0128FED3" w:rsidR="006D3793" w:rsidRPr="001F224B" w:rsidRDefault="006D3793" w:rsidP="006D3793">
            <w:pPr>
              <w:jc w:val="right"/>
              <w:rPr>
                <w:rFonts w:ascii="Times New Roman TUR" w:hAnsi="Times New Roman TUR" w:cs="Times New Roman TUR"/>
                <w:sz w:val="13"/>
                <w:szCs w:val="13"/>
              </w:rPr>
            </w:pPr>
            <w:r w:rsidRPr="001F224B">
              <w:rPr>
                <w:sz w:val="13"/>
                <w:szCs w:val="13"/>
              </w:rPr>
              <w:t>-</w:t>
            </w:r>
          </w:p>
        </w:tc>
        <w:tc>
          <w:tcPr>
            <w:tcW w:w="516" w:type="pct"/>
            <w:tcBorders>
              <w:top w:val="nil"/>
              <w:left w:val="single" w:sz="4" w:space="0" w:color="auto"/>
              <w:bottom w:val="nil"/>
              <w:right w:val="single" w:sz="4" w:space="0" w:color="auto"/>
            </w:tcBorders>
            <w:hideMark/>
          </w:tcPr>
          <w:p w14:paraId="1459AA17" w14:textId="6368D336" w:rsidR="006D3793" w:rsidRPr="001F224B" w:rsidRDefault="006D3793" w:rsidP="006D3793">
            <w:pPr>
              <w:jc w:val="right"/>
              <w:rPr>
                <w:sz w:val="13"/>
                <w:szCs w:val="13"/>
              </w:rPr>
            </w:pPr>
            <w:r w:rsidRPr="001F224B">
              <w:rPr>
                <w:sz w:val="13"/>
                <w:szCs w:val="13"/>
              </w:rPr>
              <w:t>-</w:t>
            </w:r>
          </w:p>
        </w:tc>
      </w:tr>
      <w:tr w:rsidR="006D3793" w:rsidRPr="001F224B" w14:paraId="66CC0E3D"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9313F62" w14:textId="77777777" w:rsidR="006D3793" w:rsidRPr="001F224B" w:rsidRDefault="006D3793" w:rsidP="006D3793">
            <w:pPr>
              <w:rPr>
                <w:b/>
                <w:sz w:val="11"/>
                <w:szCs w:val="11"/>
              </w:rPr>
            </w:pPr>
            <w:r w:rsidRPr="001F224B">
              <w:rPr>
                <w:b/>
                <w:bCs/>
                <w:sz w:val="11"/>
                <w:szCs w:val="11"/>
              </w:rPr>
              <w:t>XVI.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51598AC9" w14:textId="77777777" w:rsidR="006D3793" w:rsidRPr="001F224B" w:rsidRDefault="006D3793" w:rsidP="006D3793">
            <w:pPr>
              <w:rPr>
                <w:b/>
                <w:sz w:val="12"/>
                <w:szCs w:val="12"/>
              </w:rPr>
            </w:pPr>
            <w:r w:rsidRPr="001F224B">
              <w:rPr>
                <w:b/>
                <w:sz w:val="12"/>
                <w:szCs w:val="12"/>
              </w:rPr>
              <w:t>NET PARASAL POZİSYON KARI/ZARARI</w:t>
            </w:r>
          </w:p>
        </w:tc>
        <w:tc>
          <w:tcPr>
            <w:tcW w:w="207" w:type="pct"/>
            <w:tcBorders>
              <w:right w:val="single" w:sz="4" w:space="0" w:color="auto"/>
            </w:tcBorders>
            <w:noWrap/>
            <w:tcMar>
              <w:top w:w="18" w:type="dxa"/>
              <w:left w:w="18" w:type="dxa"/>
              <w:bottom w:w="0" w:type="dxa"/>
              <w:right w:w="18" w:type="dxa"/>
            </w:tcMar>
          </w:tcPr>
          <w:p w14:paraId="732E2858"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4CCEA451" w14:textId="3DCBA36B" w:rsidR="006D3793" w:rsidRPr="001F224B" w:rsidRDefault="006D3793" w:rsidP="006D3793">
            <w:pPr>
              <w:jc w:val="right"/>
              <w:rPr>
                <w:rFonts w:ascii="Times New Roman TUR" w:hAnsi="Times New Roman TUR" w:cs="Times New Roman TU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E828414" w14:textId="38DCCB83" w:rsidR="006D3793" w:rsidRPr="001F224B" w:rsidRDefault="006D3793" w:rsidP="006D3793">
            <w:pPr>
              <w:jc w:val="right"/>
              <w:rPr>
                <w:sz w:val="13"/>
                <w:szCs w:val="13"/>
              </w:rPr>
            </w:pPr>
            <w:r w:rsidRPr="001F224B">
              <w:rPr>
                <w:sz w:val="13"/>
                <w:szCs w:val="13"/>
              </w:rPr>
              <w:t xml:space="preserve">        - </w:t>
            </w:r>
          </w:p>
        </w:tc>
        <w:tc>
          <w:tcPr>
            <w:tcW w:w="515" w:type="pct"/>
            <w:tcBorders>
              <w:top w:val="nil"/>
              <w:left w:val="nil"/>
              <w:bottom w:val="nil"/>
              <w:right w:val="nil"/>
            </w:tcBorders>
            <w:shd w:val="clear" w:color="auto" w:fill="auto"/>
            <w:hideMark/>
          </w:tcPr>
          <w:p w14:paraId="6011C622" w14:textId="3F1DE3DE" w:rsidR="006D3793" w:rsidRPr="001F224B" w:rsidRDefault="006D3793" w:rsidP="006D3793">
            <w:pPr>
              <w:jc w:val="right"/>
              <w:rPr>
                <w:rFonts w:ascii="Times New Roman TUR" w:hAnsi="Times New Roman TUR" w:cs="Times New Roman TU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4EB0282" w14:textId="6FA5235B" w:rsidR="006D3793" w:rsidRPr="001F224B" w:rsidRDefault="006D3793" w:rsidP="006D3793">
            <w:pPr>
              <w:jc w:val="right"/>
              <w:rPr>
                <w:sz w:val="13"/>
                <w:szCs w:val="13"/>
              </w:rPr>
            </w:pPr>
            <w:r w:rsidRPr="001F224B">
              <w:rPr>
                <w:sz w:val="13"/>
                <w:szCs w:val="13"/>
              </w:rPr>
              <w:t xml:space="preserve">        - </w:t>
            </w:r>
          </w:p>
        </w:tc>
      </w:tr>
      <w:tr w:rsidR="006D3793" w:rsidRPr="001F224B" w14:paraId="0101B658"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D4B3245" w14:textId="77777777" w:rsidR="006D3793" w:rsidRPr="001F224B" w:rsidRDefault="006D3793" w:rsidP="006D3793">
            <w:pPr>
              <w:rPr>
                <w:b/>
                <w:sz w:val="11"/>
                <w:szCs w:val="11"/>
              </w:rPr>
            </w:pPr>
            <w:r w:rsidRPr="001F224B">
              <w:rPr>
                <w:b/>
                <w:bCs/>
                <w:sz w:val="11"/>
                <w:szCs w:val="11"/>
              </w:rPr>
              <w:t>XVII.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8D4616E" w14:textId="77777777" w:rsidR="006D3793" w:rsidRPr="001F224B" w:rsidRDefault="006D3793" w:rsidP="006D3793">
            <w:pPr>
              <w:rPr>
                <w:b/>
                <w:sz w:val="12"/>
                <w:szCs w:val="12"/>
              </w:rPr>
            </w:pPr>
            <w:r w:rsidRPr="001F224B">
              <w:rPr>
                <w:b/>
                <w:sz w:val="12"/>
                <w:szCs w:val="12"/>
              </w:rPr>
              <w:t>SÜRDÜRÜLEN FAALİYETLER VERGİ ÖNCESİ K/Z (XIII+XIV+XV+XVI)</w:t>
            </w:r>
          </w:p>
        </w:tc>
        <w:tc>
          <w:tcPr>
            <w:tcW w:w="207" w:type="pct"/>
            <w:tcBorders>
              <w:right w:val="single" w:sz="4" w:space="0" w:color="auto"/>
            </w:tcBorders>
            <w:noWrap/>
            <w:tcMar>
              <w:top w:w="18" w:type="dxa"/>
              <w:left w:w="18" w:type="dxa"/>
              <w:bottom w:w="0" w:type="dxa"/>
              <w:right w:w="18" w:type="dxa"/>
            </w:tcMar>
            <w:hideMark/>
          </w:tcPr>
          <w:p w14:paraId="56AA5CB3" w14:textId="77777777" w:rsidR="006D3793" w:rsidRPr="001F224B" w:rsidRDefault="006D3793" w:rsidP="006D3793">
            <w:pPr>
              <w:jc w:val="center"/>
              <w:rPr>
                <w:rFonts w:eastAsia="Arial Unicode MS"/>
                <w:b/>
                <w:sz w:val="12"/>
                <w:szCs w:val="12"/>
              </w:rPr>
            </w:pPr>
            <w:r w:rsidRPr="001F224B">
              <w:rPr>
                <w:b/>
                <w:sz w:val="12"/>
                <w:szCs w:val="12"/>
              </w:rPr>
              <w:t>(8)</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0B33184" w14:textId="3DCAE967"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5.768.084</w:t>
            </w:r>
          </w:p>
        </w:tc>
        <w:tc>
          <w:tcPr>
            <w:tcW w:w="516" w:type="pct"/>
            <w:tcBorders>
              <w:top w:val="nil"/>
              <w:left w:val="single" w:sz="4" w:space="0" w:color="auto"/>
              <w:bottom w:val="nil"/>
              <w:right w:val="single" w:sz="4" w:space="0" w:color="auto"/>
            </w:tcBorders>
            <w:hideMark/>
          </w:tcPr>
          <w:p w14:paraId="557F83C5" w14:textId="6318EEA2"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3.858.037</w:t>
            </w:r>
          </w:p>
        </w:tc>
        <w:tc>
          <w:tcPr>
            <w:tcW w:w="515" w:type="pct"/>
            <w:tcBorders>
              <w:top w:val="nil"/>
              <w:left w:val="nil"/>
              <w:bottom w:val="nil"/>
              <w:right w:val="nil"/>
            </w:tcBorders>
            <w:shd w:val="clear" w:color="auto" w:fill="auto"/>
            <w:hideMark/>
          </w:tcPr>
          <w:p w14:paraId="17EF0F36" w14:textId="47CDEF26"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3.281.579</w:t>
            </w:r>
          </w:p>
        </w:tc>
        <w:tc>
          <w:tcPr>
            <w:tcW w:w="516" w:type="pct"/>
            <w:tcBorders>
              <w:top w:val="nil"/>
              <w:left w:val="single" w:sz="4" w:space="0" w:color="auto"/>
              <w:bottom w:val="nil"/>
              <w:right w:val="single" w:sz="4" w:space="0" w:color="auto"/>
            </w:tcBorders>
            <w:hideMark/>
          </w:tcPr>
          <w:p w14:paraId="49273AA5" w14:textId="190B075D"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2.380.214</w:t>
            </w:r>
          </w:p>
        </w:tc>
      </w:tr>
      <w:tr w:rsidR="006D3793" w:rsidRPr="001F224B" w14:paraId="3B07135D"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9BCFEBF" w14:textId="77777777" w:rsidR="006D3793" w:rsidRPr="001F224B" w:rsidRDefault="006D3793" w:rsidP="006D3793">
            <w:pPr>
              <w:rPr>
                <w:sz w:val="11"/>
                <w:szCs w:val="11"/>
              </w:rPr>
            </w:pPr>
            <w:r w:rsidRPr="001F224B">
              <w:rPr>
                <w:b/>
                <w:bCs/>
                <w:sz w:val="11"/>
                <w:szCs w:val="11"/>
              </w:rPr>
              <w:t>XVIII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2285C8BF" w14:textId="77777777" w:rsidR="006D3793" w:rsidRPr="001F224B" w:rsidRDefault="006D3793" w:rsidP="006D3793">
            <w:pPr>
              <w:rPr>
                <w:b/>
                <w:sz w:val="12"/>
                <w:szCs w:val="12"/>
              </w:rPr>
            </w:pPr>
            <w:r w:rsidRPr="001F224B">
              <w:rPr>
                <w:b/>
                <w:sz w:val="12"/>
                <w:szCs w:val="12"/>
              </w:rPr>
              <w:t>SÜRDÜRÜLEN FAALİYETLER VERGİ KARŞILIĞI (±)</w:t>
            </w:r>
          </w:p>
        </w:tc>
        <w:tc>
          <w:tcPr>
            <w:tcW w:w="207" w:type="pct"/>
            <w:tcBorders>
              <w:right w:val="single" w:sz="4" w:space="0" w:color="auto"/>
            </w:tcBorders>
            <w:noWrap/>
            <w:tcMar>
              <w:top w:w="18" w:type="dxa"/>
              <w:left w:w="18" w:type="dxa"/>
              <w:bottom w:w="0" w:type="dxa"/>
              <w:right w:w="18" w:type="dxa"/>
            </w:tcMar>
            <w:hideMark/>
          </w:tcPr>
          <w:p w14:paraId="017300C9" w14:textId="77777777" w:rsidR="006D3793" w:rsidRPr="001F224B" w:rsidRDefault="006D3793" w:rsidP="006D3793">
            <w:pPr>
              <w:jc w:val="center"/>
              <w:rPr>
                <w:rFonts w:eastAsia="Arial Unicode MS"/>
                <w:b/>
                <w:sz w:val="12"/>
                <w:szCs w:val="12"/>
              </w:rPr>
            </w:pPr>
            <w:r w:rsidRPr="001F224B">
              <w:rPr>
                <w:b/>
                <w:sz w:val="12"/>
                <w:szCs w:val="12"/>
              </w:rPr>
              <w:t>(9)</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33F1D7BE" w14:textId="457E82B0"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(1.754.328)</w:t>
            </w:r>
          </w:p>
        </w:tc>
        <w:tc>
          <w:tcPr>
            <w:tcW w:w="516" w:type="pct"/>
            <w:tcBorders>
              <w:top w:val="nil"/>
              <w:left w:val="single" w:sz="4" w:space="0" w:color="auto"/>
              <w:bottom w:val="nil"/>
              <w:right w:val="single" w:sz="4" w:space="0" w:color="auto"/>
            </w:tcBorders>
            <w:hideMark/>
          </w:tcPr>
          <w:p w14:paraId="5FEE5AC1" w14:textId="4541F83A"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(1.125.487)</w:t>
            </w:r>
          </w:p>
        </w:tc>
        <w:tc>
          <w:tcPr>
            <w:tcW w:w="515" w:type="pct"/>
            <w:tcBorders>
              <w:top w:val="nil"/>
              <w:left w:val="nil"/>
              <w:bottom w:val="nil"/>
              <w:right w:val="single" w:sz="4" w:space="0" w:color="auto"/>
            </w:tcBorders>
            <w:shd w:val="clear" w:color="auto" w:fill="auto"/>
            <w:hideMark/>
          </w:tcPr>
          <w:p w14:paraId="561C9570" w14:textId="6F14A657"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(1.020.068)</w:t>
            </w:r>
          </w:p>
        </w:tc>
        <w:tc>
          <w:tcPr>
            <w:tcW w:w="516" w:type="pct"/>
            <w:tcBorders>
              <w:top w:val="nil"/>
              <w:left w:val="single" w:sz="4" w:space="0" w:color="auto"/>
              <w:bottom w:val="nil"/>
              <w:right w:val="single" w:sz="4" w:space="0" w:color="auto"/>
            </w:tcBorders>
            <w:hideMark/>
          </w:tcPr>
          <w:p w14:paraId="219DBA76" w14:textId="72250B57"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(680.707)</w:t>
            </w:r>
          </w:p>
        </w:tc>
      </w:tr>
      <w:tr w:rsidR="006D3793" w:rsidRPr="001F224B" w14:paraId="6C685011"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197EB01A" w14:textId="77777777" w:rsidR="006D3793" w:rsidRPr="001F224B" w:rsidRDefault="006D3793" w:rsidP="006D3793">
            <w:pPr>
              <w:rPr>
                <w:sz w:val="11"/>
                <w:szCs w:val="11"/>
              </w:rPr>
            </w:pPr>
            <w:r w:rsidRPr="001F224B">
              <w:rPr>
                <w:sz w:val="11"/>
                <w:szCs w:val="11"/>
              </w:rPr>
              <w:t>18.1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2C369CB4" w14:textId="77777777" w:rsidR="006D3793" w:rsidRPr="001F224B" w:rsidRDefault="006D3793" w:rsidP="006D3793">
            <w:pPr>
              <w:rPr>
                <w:sz w:val="12"/>
                <w:szCs w:val="12"/>
              </w:rPr>
            </w:pPr>
            <w:r w:rsidRPr="001F224B">
              <w:rPr>
                <w:sz w:val="12"/>
                <w:szCs w:val="12"/>
              </w:rPr>
              <w:t>Cari Vergi Karşılığı</w:t>
            </w:r>
          </w:p>
        </w:tc>
        <w:tc>
          <w:tcPr>
            <w:tcW w:w="207" w:type="pct"/>
            <w:tcBorders>
              <w:right w:val="single" w:sz="4" w:space="0" w:color="auto"/>
            </w:tcBorders>
            <w:noWrap/>
            <w:tcMar>
              <w:top w:w="18" w:type="dxa"/>
              <w:left w:w="18" w:type="dxa"/>
              <w:bottom w:w="0" w:type="dxa"/>
              <w:right w:w="18" w:type="dxa"/>
            </w:tcMar>
          </w:tcPr>
          <w:p w14:paraId="46267544"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4C6D7D4E" w14:textId="1A68AACA"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(1.755.655)</w:t>
            </w:r>
          </w:p>
        </w:tc>
        <w:tc>
          <w:tcPr>
            <w:tcW w:w="516" w:type="pct"/>
            <w:tcBorders>
              <w:top w:val="nil"/>
              <w:left w:val="single" w:sz="4" w:space="0" w:color="auto"/>
              <w:bottom w:val="nil"/>
              <w:right w:val="single" w:sz="4" w:space="0" w:color="auto"/>
            </w:tcBorders>
            <w:hideMark/>
          </w:tcPr>
          <w:p w14:paraId="1F6CFDBE" w14:textId="430083B2" w:rsidR="006D3793" w:rsidRPr="001F224B" w:rsidRDefault="006D3793" w:rsidP="006D3793">
            <w:pPr>
              <w:jc w:val="right"/>
              <w:rPr>
                <w:sz w:val="13"/>
                <w:szCs w:val="13"/>
              </w:rPr>
            </w:pPr>
            <w:r w:rsidRPr="001F224B">
              <w:rPr>
                <w:rFonts w:ascii="Times New Roman TUR" w:hAnsi="Times New Roman TUR" w:cs="Times New Roman TUR"/>
                <w:sz w:val="13"/>
                <w:szCs w:val="13"/>
              </w:rPr>
              <w:t>(1.184.398)</w:t>
            </w:r>
          </w:p>
        </w:tc>
        <w:tc>
          <w:tcPr>
            <w:tcW w:w="515" w:type="pct"/>
            <w:tcBorders>
              <w:top w:val="nil"/>
              <w:left w:val="nil"/>
              <w:bottom w:val="nil"/>
              <w:right w:val="nil"/>
            </w:tcBorders>
            <w:shd w:val="clear" w:color="auto" w:fill="auto"/>
            <w:hideMark/>
          </w:tcPr>
          <w:p w14:paraId="334F24C9" w14:textId="7FBF8073"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(1.051.086)</w:t>
            </w:r>
          </w:p>
        </w:tc>
        <w:tc>
          <w:tcPr>
            <w:tcW w:w="516" w:type="pct"/>
            <w:tcBorders>
              <w:top w:val="nil"/>
              <w:left w:val="single" w:sz="4" w:space="0" w:color="auto"/>
              <w:bottom w:val="nil"/>
              <w:right w:val="single" w:sz="4" w:space="0" w:color="auto"/>
            </w:tcBorders>
            <w:hideMark/>
          </w:tcPr>
          <w:p w14:paraId="7E4306C9" w14:textId="7D6B2788" w:rsidR="006D3793" w:rsidRPr="001F224B" w:rsidRDefault="006D3793" w:rsidP="006D3793">
            <w:pPr>
              <w:jc w:val="right"/>
              <w:rPr>
                <w:sz w:val="13"/>
                <w:szCs w:val="13"/>
              </w:rPr>
            </w:pPr>
            <w:r w:rsidRPr="001F224B">
              <w:rPr>
                <w:rFonts w:ascii="Times New Roman TUR" w:hAnsi="Times New Roman TUR" w:cs="Times New Roman TUR"/>
                <w:sz w:val="13"/>
                <w:szCs w:val="13"/>
              </w:rPr>
              <w:t>(691.406)</w:t>
            </w:r>
          </w:p>
        </w:tc>
      </w:tr>
      <w:tr w:rsidR="006D3793" w:rsidRPr="001F224B" w14:paraId="08F6F952"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8D49089" w14:textId="77777777" w:rsidR="006D3793" w:rsidRPr="001F224B" w:rsidRDefault="006D3793" w:rsidP="006D3793">
            <w:pPr>
              <w:rPr>
                <w:sz w:val="11"/>
                <w:szCs w:val="11"/>
              </w:rPr>
            </w:pPr>
            <w:r w:rsidRPr="001F224B">
              <w:rPr>
                <w:sz w:val="11"/>
                <w:szCs w:val="11"/>
              </w:rPr>
              <w:t>18.2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DB9DB6C" w14:textId="77777777" w:rsidR="006D3793" w:rsidRPr="001F224B" w:rsidRDefault="006D3793" w:rsidP="006D3793">
            <w:pPr>
              <w:rPr>
                <w:sz w:val="12"/>
                <w:szCs w:val="12"/>
              </w:rPr>
            </w:pPr>
            <w:r w:rsidRPr="001F224B">
              <w:rPr>
                <w:sz w:val="12"/>
                <w:szCs w:val="12"/>
              </w:rPr>
              <w:t>Ertelenmiş Vergi Gider Etkisi (+)</w:t>
            </w:r>
          </w:p>
        </w:tc>
        <w:tc>
          <w:tcPr>
            <w:tcW w:w="207" w:type="pct"/>
            <w:tcBorders>
              <w:right w:val="single" w:sz="4" w:space="0" w:color="auto"/>
            </w:tcBorders>
            <w:noWrap/>
            <w:tcMar>
              <w:top w:w="18" w:type="dxa"/>
              <w:left w:w="18" w:type="dxa"/>
              <w:bottom w:w="0" w:type="dxa"/>
              <w:right w:w="18" w:type="dxa"/>
            </w:tcMar>
          </w:tcPr>
          <w:p w14:paraId="2E237742"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21A2DB39" w14:textId="3506BC0A"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w:t>
            </w:r>
          </w:p>
        </w:tc>
        <w:tc>
          <w:tcPr>
            <w:tcW w:w="516" w:type="pct"/>
            <w:tcBorders>
              <w:top w:val="nil"/>
              <w:left w:val="single" w:sz="4" w:space="0" w:color="auto"/>
              <w:bottom w:val="nil"/>
              <w:right w:val="single" w:sz="4" w:space="0" w:color="auto"/>
            </w:tcBorders>
            <w:hideMark/>
          </w:tcPr>
          <w:p w14:paraId="7FC0CEAE" w14:textId="0CBA8F5A" w:rsidR="006D3793" w:rsidRPr="001F224B" w:rsidRDefault="006D3793" w:rsidP="006D3793">
            <w:pPr>
              <w:jc w:val="right"/>
              <w:rPr>
                <w:sz w:val="13"/>
                <w:szCs w:val="13"/>
              </w:rPr>
            </w:pPr>
            <w:r w:rsidRPr="001F224B">
              <w:rPr>
                <w:rFonts w:ascii="Times New Roman TUR" w:hAnsi="Times New Roman TUR" w:cs="Times New Roman TUR"/>
                <w:sz w:val="13"/>
                <w:szCs w:val="13"/>
              </w:rPr>
              <w:t>(109)</w:t>
            </w:r>
          </w:p>
        </w:tc>
        <w:tc>
          <w:tcPr>
            <w:tcW w:w="515" w:type="pct"/>
            <w:tcBorders>
              <w:top w:val="nil"/>
              <w:left w:val="nil"/>
              <w:bottom w:val="nil"/>
              <w:right w:val="nil"/>
            </w:tcBorders>
            <w:shd w:val="clear" w:color="auto" w:fill="auto"/>
            <w:hideMark/>
          </w:tcPr>
          <w:p w14:paraId="22C5D329" w14:textId="1DB13531" w:rsidR="006D3793" w:rsidRPr="001F224B" w:rsidRDefault="00CD7BA0"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29.691</w:t>
            </w:r>
          </w:p>
        </w:tc>
        <w:tc>
          <w:tcPr>
            <w:tcW w:w="516" w:type="pct"/>
            <w:tcBorders>
              <w:top w:val="nil"/>
              <w:left w:val="single" w:sz="4" w:space="0" w:color="auto"/>
              <w:bottom w:val="nil"/>
              <w:right w:val="single" w:sz="4" w:space="0" w:color="auto"/>
            </w:tcBorders>
            <w:hideMark/>
          </w:tcPr>
          <w:p w14:paraId="1A429FBE" w14:textId="19A82236" w:rsidR="006D3793" w:rsidRPr="001F224B" w:rsidRDefault="006D3793" w:rsidP="006D3793">
            <w:pPr>
              <w:jc w:val="right"/>
              <w:rPr>
                <w:sz w:val="13"/>
                <w:szCs w:val="13"/>
              </w:rPr>
            </w:pPr>
            <w:r w:rsidRPr="001F224B">
              <w:rPr>
                <w:rFonts w:ascii="Times New Roman TUR" w:hAnsi="Times New Roman TUR" w:cs="Times New Roman TUR"/>
                <w:sz w:val="13"/>
                <w:szCs w:val="13"/>
              </w:rPr>
              <w:t>(109)</w:t>
            </w:r>
          </w:p>
        </w:tc>
      </w:tr>
      <w:tr w:rsidR="006D3793" w:rsidRPr="001F224B" w14:paraId="2674FB71"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5C7623C" w14:textId="77777777" w:rsidR="006D3793" w:rsidRPr="001F224B" w:rsidRDefault="006D3793" w:rsidP="006D3793">
            <w:pPr>
              <w:rPr>
                <w:b/>
                <w:sz w:val="11"/>
                <w:szCs w:val="11"/>
              </w:rPr>
            </w:pPr>
            <w:r w:rsidRPr="001F224B">
              <w:rPr>
                <w:sz w:val="11"/>
                <w:szCs w:val="11"/>
              </w:rPr>
              <w:t>18.3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D10480D" w14:textId="77777777" w:rsidR="006D3793" w:rsidRPr="001F224B" w:rsidRDefault="006D3793" w:rsidP="006D3793">
            <w:pPr>
              <w:rPr>
                <w:b/>
                <w:sz w:val="12"/>
                <w:szCs w:val="12"/>
              </w:rPr>
            </w:pPr>
            <w:r w:rsidRPr="001F224B">
              <w:rPr>
                <w:sz w:val="12"/>
                <w:szCs w:val="12"/>
              </w:rPr>
              <w:t>Ertelenmiş Vergi Gelir Etkisi (-)</w:t>
            </w:r>
          </w:p>
        </w:tc>
        <w:tc>
          <w:tcPr>
            <w:tcW w:w="207" w:type="pct"/>
            <w:tcBorders>
              <w:right w:val="single" w:sz="4" w:space="0" w:color="auto"/>
            </w:tcBorders>
            <w:noWrap/>
            <w:tcMar>
              <w:top w:w="18" w:type="dxa"/>
              <w:left w:w="18" w:type="dxa"/>
              <w:bottom w:w="0" w:type="dxa"/>
              <w:right w:w="18" w:type="dxa"/>
            </w:tcMar>
          </w:tcPr>
          <w:p w14:paraId="04A8F3AB"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0988B89" w14:textId="7365F45C" w:rsidR="006D3793" w:rsidRPr="001F224B" w:rsidRDefault="006D3793"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1.327</w:t>
            </w:r>
          </w:p>
        </w:tc>
        <w:tc>
          <w:tcPr>
            <w:tcW w:w="516" w:type="pct"/>
            <w:tcBorders>
              <w:top w:val="nil"/>
              <w:left w:val="single" w:sz="4" w:space="0" w:color="auto"/>
              <w:bottom w:val="nil"/>
              <w:right w:val="single" w:sz="4" w:space="0" w:color="auto"/>
            </w:tcBorders>
            <w:hideMark/>
          </w:tcPr>
          <w:p w14:paraId="572DEB3F" w14:textId="4425853D" w:rsidR="006D3793" w:rsidRPr="001F224B" w:rsidRDefault="006D3793" w:rsidP="006D3793">
            <w:pPr>
              <w:jc w:val="right"/>
              <w:rPr>
                <w:sz w:val="13"/>
                <w:szCs w:val="13"/>
              </w:rPr>
            </w:pPr>
            <w:r w:rsidRPr="001F224B">
              <w:rPr>
                <w:rFonts w:ascii="Times New Roman TUR" w:hAnsi="Times New Roman TUR" w:cs="Times New Roman TUR"/>
                <w:sz w:val="13"/>
                <w:szCs w:val="13"/>
              </w:rPr>
              <w:t>59.020</w:t>
            </w:r>
          </w:p>
        </w:tc>
        <w:tc>
          <w:tcPr>
            <w:tcW w:w="515" w:type="pct"/>
            <w:tcBorders>
              <w:top w:val="nil"/>
              <w:left w:val="nil"/>
              <w:bottom w:val="nil"/>
              <w:right w:val="nil"/>
            </w:tcBorders>
            <w:shd w:val="clear" w:color="auto" w:fill="auto"/>
            <w:hideMark/>
          </w:tcPr>
          <w:p w14:paraId="17A6BFFB" w14:textId="3FA0E605" w:rsidR="006D3793" w:rsidRPr="001F224B" w:rsidRDefault="00CD7BA0" w:rsidP="006D3793">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1.327</w:t>
            </w:r>
          </w:p>
        </w:tc>
        <w:tc>
          <w:tcPr>
            <w:tcW w:w="516" w:type="pct"/>
            <w:tcBorders>
              <w:top w:val="nil"/>
              <w:left w:val="single" w:sz="4" w:space="0" w:color="auto"/>
              <w:bottom w:val="nil"/>
              <w:right w:val="single" w:sz="4" w:space="0" w:color="auto"/>
            </w:tcBorders>
            <w:hideMark/>
          </w:tcPr>
          <w:p w14:paraId="731FCFD4" w14:textId="2CB471B1" w:rsidR="006D3793" w:rsidRPr="001F224B" w:rsidRDefault="006D3793" w:rsidP="006D3793">
            <w:pPr>
              <w:jc w:val="right"/>
              <w:rPr>
                <w:sz w:val="13"/>
                <w:szCs w:val="13"/>
              </w:rPr>
            </w:pPr>
            <w:r w:rsidRPr="001F224B">
              <w:rPr>
                <w:rFonts w:ascii="Times New Roman TUR" w:hAnsi="Times New Roman TUR" w:cs="Times New Roman TUR"/>
                <w:sz w:val="13"/>
                <w:szCs w:val="13"/>
              </w:rPr>
              <w:t>10.808</w:t>
            </w:r>
          </w:p>
        </w:tc>
      </w:tr>
      <w:tr w:rsidR="006D3793" w:rsidRPr="001F224B" w14:paraId="2108989C" w14:textId="77777777" w:rsidTr="0046452A">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0DEE89A" w14:textId="77777777" w:rsidR="006D3793" w:rsidRPr="001F224B" w:rsidRDefault="006D3793" w:rsidP="006D3793">
            <w:pPr>
              <w:rPr>
                <w:b/>
                <w:sz w:val="11"/>
                <w:szCs w:val="11"/>
              </w:rPr>
            </w:pPr>
            <w:r w:rsidRPr="001F224B">
              <w:rPr>
                <w:b/>
                <w:bCs/>
                <w:sz w:val="11"/>
                <w:szCs w:val="11"/>
              </w:rPr>
              <w:t>XIX.</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328E51E2" w14:textId="77777777" w:rsidR="006D3793" w:rsidRPr="001F224B" w:rsidRDefault="006D3793" w:rsidP="006D3793">
            <w:pPr>
              <w:rPr>
                <w:b/>
                <w:sz w:val="12"/>
                <w:szCs w:val="12"/>
              </w:rPr>
            </w:pPr>
            <w:r w:rsidRPr="001F224B">
              <w:rPr>
                <w:b/>
                <w:sz w:val="12"/>
                <w:szCs w:val="12"/>
              </w:rPr>
              <w:t>SÜRDÜRÜLEN FAALİYETLER DÖNEM NET K/Z (XVII±XVIII)</w:t>
            </w:r>
          </w:p>
        </w:tc>
        <w:tc>
          <w:tcPr>
            <w:tcW w:w="207" w:type="pct"/>
            <w:tcBorders>
              <w:right w:val="single" w:sz="4" w:space="0" w:color="auto"/>
            </w:tcBorders>
            <w:noWrap/>
            <w:tcMar>
              <w:top w:w="18" w:type="dxa"/>
              <w:left w:w="18" w:type="dxa"/>
              <w:bottom w:w="0" w:type="dxa"/>
              <w:right w:w="18" w:type="dxa"/>
            </w:tcMar>
            <w:hideMark/>
          </w:tcPr>
          <w:p w14:paraId="18E82159" w14:textId="77777777" w:rsidR="006D3793" w:rsidRPr="001F224B" w:rsidRDefault="006D3793" w:rsidP="006D3793">
            <w:pPr>
              <w:jc w:val="center"/>
              <w:rPr>
                <w:rFonts w:eastAsia="Arial Unicode MS"/>
                <w:b/>
                <w:sz w:val="12"/>
                <w:szCs w:val="12"/>
              </w:rPr>
            </w:pPr>
            <w:r w:rsidRPr="001F224B">
              <w:rPr>
                <w:b/>
                <w:sz w:val="12"/>
                <w:szCs w:val="12"/>
              </w:rPr>
              <w:t>(10)</w:t>
            </w:r>
          </w:p>
        </w:tc>
        <w:tc>
          <w:tcPr>
            <w:tcW w:w="509"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C54096F" w14:textId="57EC7BA2"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4.013.756</w:t>
            </w:r>
          </w:p>
        </w:tc>
        <w:tc>
          <w:tcPr>
            <w:tcW w:w="516" w:type="pct"/>
            <w:tcBorders>
              <w:top w:val="nil"/>
              <w:left w:val="single" w:sz="4" w:space="0" w:color="auto"/>
              <w:bottom w:val="nil"/>
              <w:right w:val="single" w:sz="4" w:space="0" w:color="auto"/>
            </w:tcBorders>
            <w:hideMark/>
          </w:tcPr>
          <w:p w14:paraId="5EFAA058" w14:textId="26A67630"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2.732.550</w:t>
            </w:r>
          </w:p>
        </w:tc>
        <w:tc>
          <w:tcPr>
            <w:tcW w:w="515" w:type="pct"/>
            <w:tcBorders>
              <w:top w:val="nil"/>
              <w:left w:val="nil"/>
              <w:bottom w:val="nil"/>
              <w:right w:val="nil"/>
            </w:tcBorders>
            <w:shd w:val="clear" w:color="auto" w:fill="auto"/>
            <w:hideMark/>
          </w:tcPr>
          <w:p w14:paraId="4FE63293" w14:textId="636DA869" w:rsidR="006D3793" w:rsidRPr="001F224B" w:rsidRDefault="006D3793" w:rsidP="006D3793">
            <w:pPr>
              <w:jc w:val="right"/>
              <w:rPr>
                <w:rFonts w:ascii="Times New Roman TUR" w:hAnsi="Times New Roman TUR" w:cs="Times New Roman TUR"/>
                <w:b/>
                <w:bCs/>
                <w:sz w:val="13"/>
                <w:szCs w:val="13"/>
              </w:rPr>
            </w:pPr>
            <w:r w:rsidRPr="001F224B">
              <w:rPr>
                <w:rFonts w:ascii="Times New Roman TUR" w:hAnsi="Times New Roman TUR" w:cs="Times New Roman TUR"/>
                <w:b/>
                <w:bCs/>
                <w:sz w:val="13"/>
                <w:szCs w:val="13"/>
              </w:rPr>
              <w:t>2.261.511</w:t>
            </w:r>
          </w:p>
        </w:tc>
        <w:tc>
          <w:tcPr>
            <w:tcW w:w="516" w:type="pct"/>
            <w:tcBorders>
              <w:top w:val="nil"/>
              <w:left w:val="single" w:sz="4" w:space="0" w:color="auto"/>
              <w:bottom w:val="nil"/>
              <w:right w:val="single" w:sz="4" w:space="0" w:color="auto"/>
            </w:tcBorders>
            <w:hideMark/>
          </w:tcPr>
          <w:p w14:paraId="4D2F0CBD" w14:textId="70553446"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1.699.507</w:t>
            </w:r>
          </w:p>
        </w:tc>
      </w:tr>
      <w:tr w:rsidR="008E74FF" w:rsidRPr="001F224B" w14:paraId="58B23BDD"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61D36C5D" w14:textId="77777777" w:rsidR="008E74FF" w:rsidRPr="001F224B" w:rsidRDefault="008E74FF" w:rsidP="008E74FF">
            <w:pPr>
              <w:rPr>
                <w:sz w:val="11"/>
                <w:szCs w:val="11"/>
              </w:rPr>
            </w:pPr>
            <w:r w:rsidRPr="001F224B">
              <w:rPr>
                <w:b/>
                <w:bCs/>
                <w:sz w:val="11"/>
                <w:szCs w:val="11"/>
              </w:rPr>
              <w:t>XX.</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6F127DF" w14:textId="77777777" w:rsidR="008E74FF" w:rsidRPr="001F224B" w:rsidRDefault="008E74FF" w:rsidP="008E74FF">
            <w:pPr>
              <w:rPr>
                <w:b/>
                <w:sz w:val="12"/>
                <w:szCs w:val="12"/>
              </w:rPr>
            </w:pPr>
            <w:r w:rsidRPr="001F224B">
              <w:rPr>
                <w:b/>
                <w:sz w:val="12"/>
                <w:szCs w:val="12"/>
              </w:rPr>
              <w:t>DURDURULAN FAALİYETLERDEN GELİRLER</w:t>
            </w:r>
          </w:p>
        </w:tc>
        <w:tc>
          <w:tcPr>
            <w:tcW w:w="207" w:type="pct"/>
            <w:noWrap/>
            <w:tcMar>
              <w:top w:w="18" w:type="dxa"/>
              <w:left w:w="18" w:type="dxa"/>
              <w:bottom w:w="0" w:type="dxa"/>
              <w:right w:w="18" w:type="dxa"/>
            </w:tcMar>
          </w:tcPr>
          <w:p w14:paraId="6C9341B1"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684C1F88"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4B62848A" w14:textId="32989D0D"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1D837DB3" w14:textId="77777777" w:rsidR="008E74FF" w:rsidRPr="001F224B" w:rsidRDefault="008E74FF" w:rsidP="008E74F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516" w:type="pct"/>
            <w:tcBorders>
              <w:top w:val="nil"/>
              <w:left w:val="single" w:sz="4" w:space="0" w:color="auto"/>
              <w:bottom w:val="nil"/>
              <w:right w:val="single" w:sz="4" w:space="0" w:color="auto"/>
            </w:tcBorders>
            <w:hideMark/>
          </w:tcPr>
          <w:p w14:paraId="5879EE27" w14:textId="5412865B" w:rsidR="008E74FF" w:rsidRPr="001F224B" w:rsidRDefault="008E74FF" w:rsidP="008E74FF">
            <w:pPr>
              <w:jc w:val="right"/>
              <w:rPr>
                <w:sz w:val="13"/>
                <w:szCs w:val="13"/>
              </w:rPr>
            </w:pPr>
            <w:r w:rsidRPr="001F224B">
              <w:rPr>
                <w:rFonts w:ascii="Times New Roman TUR" w:hAnsi="Times New Roman TUR" w:cs="Times New Roman TUR"/>
                <w:sz w:val="13"/>
                <w:szCs w:val="13"/>
              </w:rPr>
              <w:t xml:space="preserve"> - </w:t>
            </w:r>
          </w:p>
        </w:tc>
      </w:tr>
      <w:tr w:rsidR="008E74FF" w:rsidRPr="001F224B" w14:paraId="66B93DD9"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8AF6420" w14:textId="77777777" w:rsidR="008E74FF" w:rsidRPr="001F224B" w:rsidRDefault="008E74FF" w:rsidP="008E74FF">
            <w:pPr>
              <w:rPr>
                <w:sz w:val="11"/>
                <w:szCs w:val="11"/>
              </w:rPr>
            </w:pPr>
            <w:r w:rsidRPr="001F224B">
              <w:rPr>
                <w:sz w:val="11"/>
                <w:szCs w:val="11"/>
              </w:rPr>
              <w:t>20.1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BA10D79" w14:textId="77777777" w:rsidR="008E74FF" w:rsidRPr="001F224B" w:rsidRDefault="008E74FF" w:rsidP="008E74FF">
            <w:pPr>
              <w:rPr>
                <w:sz w:val="12"/>
                <w:szCs w:val="12"/>
              </w:rPr>
            </w:pPr>
            <w:r w:rsidRPr="001F224B">
              <w:rPr>
                <w:sz w:val="12"/>
                <w:szCs w:val="12"/>
              </w:rPr>
              <w:t>Satış Amaçlı Elde Tutulan Duran Varlık Gelirleri</w:t>
            </w:r>
          </w:p>
        </w:tc>
        <w:tc>
          <w:tcPr>
            <w:tcW w:w="207" w:type="pct"/>
            <w:noWrap/>
            <w:tcMar>
              <w:top w:w="18" w:type="dxa"/>
              <w:left w:w="18" w:type="dxa"/>
              <w:bottom w:w="0" w:type="dxa"/>
              <w:right w:w="18" w:type="dxa"/>
            </w:tcMar>
          </w:tcPr>
          <w:p w14:paraId="3C8E995F"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459EB71D"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74E3B90F" w14:textId="2B4FFDEF"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5F3F795F" w14:textId="77777777" w:rsidR="008E74FF" w:rsidRPr="001F224B" w:rsidRDefault="008E74FF" w:rsidP="008E74FF">
            <w:pPr>
              <w:jc w:val="right"/>
              <w:rPr>
                <w:rFonts w:ascii="Times New Roman TUR" w:hAnsi="Times New Roman TUR" w:cs="Times New Roman TUR"/>
                <w:sz w:val="13"/>
                <w:szCs w:val="13"/>
              </w:rPr>
            </w:pPr>
            <w:r w:rsidRPr="001F224B">
              <w:rPr>
                <w:rFonts w:ascii="Times New Roman TUR" w:hAnsi="Times New Roman TUR" w:cs="Times New Roman TUR"/>
                <w:sz w:val="13"/>
                <w:szCs w:val="13"/>
              </w:rPr>
              <w:t xml:space="preserve"> - </w:t>
            </w:r>
          </w:p>
        </w:tc>
        <w:tc>
          <w:tcPr>
            <w:tcW w:w="516" w:type="pct"/>
            <w:tcBorders>
              <w:top w:val="nil"/>
              <w:left w:val="single" w:sz="4" w:space="0" w:color="auto"/>
              <w:bottom w:val="nil"/>
              <w:right w:val="single" w:sz="4" w:space="0" w:color="auto"/>
            </w:tcBorders>
            <w:hideMark/>
          </w:tcPr>
          <w:p w14:paraId="21201458" w14:textId="0CE31D64" w:rsidR="008E74FF" w:rsidRPr="001F224B" w:rsidRDefault="008E74FF" w:rsidP="008E74FF">
            <w:pPr>
              <w:jc w:val="right"/>
              <w:rPr>
                <w:sz w:val="13"/>
                <w:szCs w:val="13"/>
              </w:rPr>
            </w:pPr>
            <w:r w:rsidRPr="001F224B">
              <w:rPr>
                <w:rFonts w:ascii="Times New Roman TUR" w:hAnsi="Times New Roman TUR" w:cs="Times New Roman TUR"/>
                <w:sz w:val="13"/>
                <w:szCs w:val="13"/>
              </w:rPr>
              <w:t xml:space="preserve"> - </w:t>
            </w:r>
          </w:p>
        </w:tc>
      </w:tr>
      <w:tr w:rsidR="008E74FF" w:rsidRPr="001F224B" w14:paraId="3AE728AC"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6B868B6A" w14:textId="77777777" w:rsidR="008E74FF" w:rsidRPr="001F224B" w:rsidRDefault="008E74FF" w:rsidP="008E74FF">
            <w:pPr>
              <w:rPr>
                <w:sz w:val="11"/>
                <w:szCs w:val="11"/>
              </w:rPr>
            </w:pPr>
            <w:r w:rsidRPr="001F224B">
              <w:rPr>
                <w:sz w:val="11"/>
                <w:szCs w:val="11"/>
              </w:rPr>
              <w:t>20.2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239F5CB1" w14:textId="77777777" w:rsidR="008E74FF" w:rsidRPr="001F224B" w:rsidRDefault="008E74FF" w:rsidP="008E74FF">
            <w:pPr>
              <w:rPr>
                <w:sz w:val="12"/>
                <w:szCs w:val="12"/>
              </w:rPr>
            </w:pPr>
            <w:r w:rsidRPr="001F224B">
              <w:rPr>
                <w:sz w:val="12"/>
                <w:szCs w:val="12"/>
              </w:rPr>
              <w:t>İştirak, Bağlı Ortaklık ve Birlikte Kontrol Edilen Ortaklıklar (İş Ort.) Satış Karları</w:t>
            </w:r>
          </w:p>
        </w:tc>
        <w:tc>
          <w:tcPr>
            <w:tcW w:w="207" w:type="pct"/>
            <w:noWrap/>
            <w:tcMar>
              <w:top w:w="18" w:type="dxa"/>
              <w:left w:w="18" w:type="dxa"/>
              <w:bottom w:w="0" w:type="dxa"/>
              <w:right w:w="18" w:type="dxa"/>
            </w:tcMar>
          </w:tcPr>
          <w:p w14:paraId="33B3BD74"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1177EC1A"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40A95692" w14:textId="0498D59C"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3B6AF090"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109B8FC5" w14:textId="00C647CB" w:rsidR="008E74FF" w:rsidRPr="001F224B" w:rsidRDefault="008E74FF" w:rsidP="008E74FF">
            <w:pPr>
              <w:jc w:val="right"/>
              <w:rPr>
                <w:sz w:val="13"/>
                <w:szCs w:val="13"/>
              </w:rPr>
            </w:pPr>
            <w:r w:rsidRPr="001F224B">
              <w:rPr>
                <w:sz w:val="13"/>
                <w:szCs w:val="13"/>
              </w:rPr>
              <w:t xml:space="preserve"> - </w:t>
            </w:r>
          </w:p>
        </w:tc>
      </w:tr>
      <w:tr w:rsidR="008E74FF" w:rsidRPr="001F224B" w14:paraId="69B631CF"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110197D" w14:textId="77777777" w:rsidR="008E74FF" w:rsidRPr="001F224B" w:rsidRDefault="008E74FF" w:rsidP="008E74FF">
            <w:pPr>
              <w:rPr>
                <w:b/>
                <w:sz w:val="11"/>
                <w:szCs w:val="11"/>
              </w:rPr>
            </w:pPr>
            <w:r w:rsidRPr="001F224B">
              <w:rPr>
                <w:sz w:val="11"/>
                <w:szCs w:val="11"/>
              </w:rPr>
              <w:t>20.3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1AEA36E" w14:textId="77777777" w:rsidR="008E74FF" w:rsidRPr="001F224B" w:rsidRDefault="008E74FF" w:rsidP="008E74FF">
            <w:pPr>
              <w:rPr>
                <w:b/>
                <w:sz w:val="12"/>
                <w:szCs w:val="12"/>
              </w:rPr>
            </w:pPr>
            <w:r w:rsidRPr="001F224B">
              <w:rPr>
                <w:sz w:val="12"/>
                <w:szCs w:val="12"/>
              </w:rPr>
              <w:t>Diğer Durdurulan Faaliyet Gelirleri</w:t>
            </w:r>
          </w:p>
        </w:tc>
        <w:tc>
          <w:tcPr>
            <w:tcW w:w="207" w:type="pct"/>
            <w:noWrap/>
            <w:tcMar>
              <w:top w:w="18" w:type="dxa"/>
              <w:left w:w="18" w:type="dxa"/>
              <w:bottom w:w="0" w:type="dxa"/>
              <w:right w:w="18" w:type="dxa"/>
            </w:tcMar>
          </w:tcPr>
          <w:p w14:paraId="53C096B1"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1E61D527"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A3AEC45" w14:textId="2F96B6C5"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3186E843"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1F8919F9" w14:textId="565E6ACB" w:rsidR="008E74FF" w:rsidRPr="001F224B" w:rsidRDefault="008E74FF" w:rsidP="008E74FF">
            <w:pPr>
              <w:jc w:val="right"/>
              <w:rPr>
                <w:sz w:val="13"/>
                <w:szCs w:val="13"/>
              </w:rPr>
            </w:pPr>
            <w:r w:rsidRPr="001F224B">
              <w:rPr>
                <w:sz w:val="13"/>
                <w:szCs w:val="13"/>
              </w:rPr>
              <w:t xml:space="preserve"> - </w:t>
            </w:r>
          </w:p>
        </w:tc>
      </w:tr>
      <w:tr w:rsidR="008E74FF" w:rsidRPr="001F224B" w14:paraId="432DFF8F"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DA1AF90" w14:textId="77777777" w:rsidR="008E74FF" w:rsidRPr="001F224B" w:rsidRDefault="008E74FF" w:rsidP="008E74FF">
            <w:pPr>
              <w:rPr>
                <w:sz w:val="11"/>
                <w:szCs w:val="11"/>
              </w:rPr>
            </w:pPr>
            <w:r w:rsidRPr="001F224B">
              <w:rPr>
                <w:b/>
                <w:bCs/>
                <w:sz w:val="11"/>
                <w:szCs w:val="11"/>
              </w:rPr>
              <w:t>XXI.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ED8E73B" w14:textId="77777777" w:rsidR="008E74FF" w:rsidRPr="001F224B" w:rsidRDefault="008E74FF" w:rsidP="008E74FF">
            <w:pPr>
              <w:rPr>
                <w:b/>
                <w:sz w:val="12"/>
                <w:szCs w:val="12"/>
              </w:rPr>
            </w:pPr>
            <w:r w:rsidRPr="001F224B">
              <w:rPr>
                <w:b/>
                <w:sz w:val="12"/>
                <w:szCs w:val="12"/>
              </w:rPr>
              <w:t>DURDURULAN FAALİYETLERDEN GİDERLER (-)</w:t>
            </w:r>
          </w:p>
        </w:tc>
        <w:tc>
          <w:tcPr>
            <w:tcW w:w="207" w:type="pct"/>
            <w:noWrap/>
            <w:tcMar>
              <w:top w:w="18" w:type="dxa"/>
              <w:left w:w="18" w:type="dxa"/>
              <w:bottom w:w="0" w:type="dxa"/>
              <w:right w:w="18" w:type="dxa"/>
            </w:tcMar>
          </w:tcPr>
          <w:p w14:paraId="322B7396"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47FE2153"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7B515334" w14:textId="2D036AD6"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79F1DADD"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4E663C8E" w14:textId="03EF0F77" w:rsidR="008E74FF" w:rsidRPr="001F224B" w:rsidRDefault="008E74FF" w:rsidP="008E74FF">
            <w:pPr>
              <w:jc w:val="right"/>
              <w:rPr>
                <w:sz w:val="13"/>
                <w:szCs w:val="13"/>
              </w:rPr>
            </w:pPr>
            <w:r w:rsidRPr="001F224B">
              <w:rPr>
                <w:sz w:val="13"/>
                <w:szCs w:val="13"/>
              </w:rPr>
              <w:t xml:space="preserve"> - </w:t>
            </w:r>
          </w:p>
        </w:tc>
      </w:tr>
      <w:tr w:rsidR="008E74FF" w:rsidRPr="001F224B" w14:paraId="332BD87B"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6B1E0F9" w14:textId="77777777" w:rsidR="008E74FF" w:rsidRPr="001F224B" w:rsidRDefault="008E74FF" w:rsidP="008E74FF">
            <w:pPr>
              <w:rPr>
                <w:sz w:val="11"/>
                <w:szCs w:val="11"/>
              </w:rPr>
            </w:pPr>
            <w:r w:rsidRPr="001F224B">
              <w:rPr>
                <w:sz w:val="11"/>
                <w:szCs w:val="11"/>
              </w:rPr>
              <w:t>21.1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01108A00" w14:textId="77777777" w:rsidR="008E74FF" w:rsidRPr="001F224B" w:rsidRDefault="008E74FF" w:rsidP="008E74FF">
            <w:pPr>
              <w:rPr>
                <w:sz w:val="12"/>
                <w:szCs w:val="12"/>
              </w:rPr>
            </w:pPr>
            <w:r w:rsidRPr="001F224B">
              <w:rPr>
                <w:sz w:val="12"/>
                <w:szCs w:val="12"/>
              </w:rPr>
              <w:t>Satış Amaçlı Elde Tutulan Duran Varlık Giderleri</w:t>
            </w:r>
          </w:p>
        </w:tc>
        <w:tc>
          <w:tcPr>
            <w:tcW w:w="207" w:type="pct"/>
            <w:noWrap/>
            <w:tcMar>
              <w:top w:w="18" w:type="dxa"/>
              <w:left w:w="18" w:type="dxa"/>
              <w:bottom w:w="0" w:type="dxa"/>
              <w:right w:w="18" w:type="dxa"/>
            </w:tcMar>
          </w:tcPr>
          <w:p w14:paraId="728AD7CC"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538596FC"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46FE19E3" w14:textId="17B70545"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1D33F93A"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6DECDECA" w14:textId="43465FA6" w:rsidR="008E74FF" w:rsidRPr="001F224B" w:rsidRDefault="008E74FF" w:rsidP="008E74FF">
            <w:pPr>
              <w:jc w:val="right"/>
              <w:rPr>
                <w:sz w:val="13"/>
                <w:szCs w:val="13"/>
              </w:rPr>
            </w:pPr>
            <w:r w:rsidRPr="001F224B">
              <w:rPr>
                <w:sz w:val="13"/>
                <w:szCs w:val="13"/>
              </w:rPr>
              <w:t xml:space="preserve"> - </w:t>
            </w:r>
          </w:p>
        </w:tc>
      </w:tr>
      <w:tr w:rsidR="008E74FF" w:rsidRPr="001F224B" w14:paraId="780D9750"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41CAC25" w14:textId="77777777" w:rsidR="008E74FF" w:rsidRPr="001F224B" w:rsidRDefault="008E74FF" w:rsidP="008E74FF">
            <w:pPr>
              <w:rPr>
                <w:sz w:val="11"/>
                <w:szCs w:val="11"/>
              </w:rPr>
            </w:pPr>
            <w:r w:rsidRPr="001F224B">
              <w:rPr>
                <w:sz w:val="11"/>
                <w:szCs w:val="11"/>
              </w:rPr>
              <w:t>21.2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B04C987" w14:textId="77777777" w:rsidR="008E74FF" w:rsidRPr="001F224B" w:rsidRDefault="008E74FF" w:rsidP="008E74FF">
            <w:pPr>
              <w:rPr>
                <w:sz w:val="12"/>
                <w:szCs w:val="12"/>
              </w:rPr>
            </w:pPr>
            <w:r w:rsidRPr="001F224B">
              <w:rPr>
                <w:sz w:val="12"/>
                <w:szCs w:val="12"/>
              </w:rPr>
              <w:t>İştirak, Bağlı Ortaklık ve Birlikte Kontrol Edilen Ortaklıklar (İş Ort.) Satış Zararları</w:t>
            </w:r>
          </w:p>
        </w:tc>
        <w:tc>
          <w:tcPr>
            <w:tcW w:w="207" w:type="pct"/>
            <w:noWrap/>
            <w:tcMar>
              <w:top w:w="18" w:type="dxa"/>
              <w:left w:w="18" w:type="dxa"/>
              <w:bottom w:w="0" w:type="dxa"/>
              <w:right w:w="18" w:type="dxa"/>
            </w:tcMar>
          </w:tcPr>
          <w:p w14:paraId="11B421D4"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46827711"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161E91BB" w14:textId="58711D5F"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2DC98282"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6A08B52" w14:textId="3AC06F5A" w:rsidR="008E74FF" w:rsidRPr="001F224B" w:rsidRDefault="008E74FF" w:rsidP="008E74FF">
            <w:pPr>
              <w:jc w:val="right"/>
              <w:rPr>
                <w:sz w:val="13"/>
                <w:szCs w:val="13"/>
              </w:rPr>
            </w:pPr>
            <w:r w:rsidRPr="001F224B">
              <w:rPr>
                <w:sz w:val="13"/>
                <w:szCs w:val="13"/>
              </w:rPr>
              <w:t xml:space="preserve"> - </w:t>
            </w:r>
          </w:p>
        </w:tc>
      </w:tr>
      <w:tr w:rsidR="008E74FF" w:rsidRPr="001F224B" w14:paraId="18646891"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3C72BFB0" w14:textId="77777777" w:rsidR="008E74FF" w:rsidRPr="001F224B" w:rsidRDefault="008E74FF" w:rsidP="008E74FF">
            <w:pPr>
              <w:rPr>
                <w:b/>
                <w:sz w:val="11"/>
                <w:szCs w:val="11"/>
              </w:rPr>
            </w:pPr>
            <w:r w:rsidRPr="001F224B">
              <w:rPr>
                <w:sz w:val="11"/>
                <w:szCs w:val="11"/>
              </w:rPr>
              <w:t>21.3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930A4DF" w14:textId="77777777" w:rsidR="008E74FF" w:rsidRPr="001F224B" w:rsidRDefault="008E74FF" w:rsidP="008E74FF">
            <w:pPr>
              <w:rPr>
                <w:b/>
                <w:sz w:val="12"/>
                <w:szCs w:val="12"/>
              </w:rPr>
            </w:pPr>
            <w:r w:rsidRPr="001F224B">
              <w:rPr>
                <w:sz w:val="12"/>
                <w:szCs w:val="12"/>
              </w:rPr>
              <w:t>Diğer Durdurulan Faaliyet Giderleri</w:t>
            </w:r>
          </w:p>
        </w:tc>
        <w:tc>
          <w:tcPr>
            <w:tcW w:w="207" w:type="pct"/>
            <w:noWrap/>
            <w:tcMar>
              <w:top w:w="18" w:type="dxa"/>
              <w:left w:w="18" w:type="dxa"/>
              <w:bottom w:w="0" w:type="dxa"/>
              <w:right w:w="18" w:type="dxa"/>
            </w:tcMar>
          </w:tcPr>
          <w:p w14:paraId="7A31C1FF"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61EC3C4F"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3ED29976" w14:textId="10B5C2A1"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305619E3"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722BE105" w14:textId="60FF38C0" w:rsidR="008E74FF" w:rsidRPr="001F224B" w:rsidRDefault="008E74FF" w:rsidP="008E74FF">
            <w:pPr>
              <w:jc w:val="right"/>
              <w:rPr>
                <w:sz w:val="13"/>
                <w:szCs w:val="13"/>
              </w:rPr>
            </w:pPr>
            <w:r w:rsidRPr="001F224B">
              <w:rPr>
                <w:sz w:val="13"/>
                <w:szCs w:val="13"/>
              </w:rPr>
              <w:t xml:space="preserve"> - </w:t>
            </w:r>
          </w:p>
        </w:tc>
      </w:tr>
      <w:tr w:rsidR="008E74FF" w:rsidRPr="001F224B" w14:paraId="45720F2E"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F0C3DF1" w14:textId="77777777" w:rsidR="008E74FF" w:rsidRPr="001F224B" w:rsidRDefault="008E74FF" w:rsidP="008E74FF">
            <w:pPr>
              <w:rPr>
                <w:b/>
                <w:sz w:val="11"/>
                <w:szCs w:val="11"/>
              </w:rPr>
            </w:pPr>
            <w:r w:rsidRPr="001F224B">
              <w:rPr>
                <w:b/>
                <w:bCs/>
                <w:sz w:val="11"/>
                <w:szCs w:val="11"/>
              </w:rPr>
              <w:t>XXII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73B13A63" w14:textId="77777777" w:rsidR="008E74FF" w:rsidRPr="001F224B" w:rsidRDefault="008E74FF" w:rsidP="008E74FF">
            <w:pPr>
              <w:rPr>
                <w:b/>
                <w:sz w:val="12"/>
                <w:szCs w:val="12"/>
              </w:rPr>
            </w:pPr>
            <w:r w:rsidRPr="001F224B">
              <w:rPr>
                <w:b/>
                <w:sz w:val="12"/>
                <w:szCs w:val="12"/>
              </w:rPr>
              <w:t>DURDURULAN FAALİYETLER VERGİ ÖNCESİ K/Z (XX-XXI)</w:t>
            </w:r>
          </w:p>
        </w:tc>
        <w:tc>
          <w:tcPr>
            <w:tcW w:w="207" w:type="pct"/>
            <w:noWrap/>
            <w:tcMar>
              <w:top w:w="18" w:type="dxa"/>
              <w:left w:w="18" w:type="dxa"/>
              <w:bottom w:w="0" w:type="dxa"/>
              <w:right w:w="18" w:type="dxa"/>
            </w:tcMar>
          </w:tcPr>
          <w:p w14:paraId="7119E11F"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08DE5787"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54D093DC" w14:textId="7A585F78"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60C53324"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0847CC37" w14:textId="05185C34" w:rsidR="008E74FF" w:rsidRPr="001F224B" w:rsidRDefault="008E74FF" w:rsidP="008E74FF">
            <w:pPr>
              <w:jc w:val="right"/>
              <w:rPr>
                <w:sz w:val="13"/>
                <w:szCs w:val="13"/>
              </w:rPr>
            </w:pPr>
            <w:r w:rsidRPr="001F224B">
              <w:rPr>
                <w:sz w:val="13"/>
                <w:szCs w:val="13"/>
              </w:rPr>
              <w:t xml:space="preserve"> - </w:t>
            </w:r>
          </w:p>
        </w:tc>
      </w:tr>
      <w:tr w:rsidR="008E74FF" w:rsidRPr="001F224B" w14:paraId="5F25985B"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3BD3034" w14:textId="77777777" w:rsidR="008E74FF" w:rsidRPr="001F224B" w:rsidRDefault="008E74FF" w:rsidP="008E74FF">
            <w:pPr>
              <w:rPr>
                <w:sz w:val="11"/>
                <w:szCs w:val="11"/>
              </w:rPr>
            </w:pPr>
            <w:r w:rsidRPr="001F224B">
              <w:rPr>
                <w:b/>
                <w:bCs/>
                <w:sz w:val="11"/>
                <w:szCs w:val="11"/>
              </w:rPr>
              <w:t>XXIII</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BEF0239" w14:textId="77777777" w:rsidR="008E74FF" w:rsidRPr="001F224B" w:rsidRDefault="008E74FF" w:rsidP="008E74FF">
            <w:pPr>
              <w:rPr>
                <w:b/>
                <w:sz w:val="12"/>
                <w:szCs w:val="12"/>
              </w:rPr>
            </w:pPr>
            <w:r w:rsidRPr="001F224B">
              <w:rPr>
                <w:b/>
                <w:sz w:val="12"/>
                <w:szCs w:val="12"/>
              </w:rPr>
              <w:t>DURDURULAN FAALİYETLER VERGİ KARŞILIĞI (±)</w:t>
            </w:r>
          </w:p>
        </w:tc>
        <w:tc>
          <w:tcPr>
            <w:tcW w:w="207" w:type="pct"/>
            <w:noWrap/>
            <w:tcMar>
              <w:top w:w="18" w:type="dxa"/>
              <w:left w:w="18" w:type="dxa"/>
              <w:bottom w:w="0" w:type="dxa"/>
              <w:right w:w="18" w:type="dxa"/>
            </w:tcMar>
          </w:tcPr>
          <w:p w14:paraId="2B351B8D"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2F6EB7B5"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458A592B" w14:textId="3E2B5EBC"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678BAC39"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745AEC3B" w14:textId="19F704B9" w:rsidR="008E74FF" w:rsidRPr="001F224B" w:rsidRDefault="008E74FF" w:rsidP="008E74FF">
            <w:pPr>
              <w:jc w:val="right"/>
              <w:rPr>
                <w:sz w:val="13"/>
                <w:szCs w:val="13"/>
              </w:rPr>
            </w:pPr>
            <w:r w:rsidRPr="001F224B">
              <w:rPr>
                <w:sz w:val="13"/>
                <w:szCs w:val="13"/>
              </w:rPr>
              <w:t xml:space="preserve"> - </w:t>
            </w:r>
          </w:p>
        </w:tc>
      </w:tr>
      <w:tr w:rsidR="008E74FF" w:rsidRPr="001F224B" w14:paraId="1EE50D1F"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4052BDE4" w14:textId="77777777" w:rsidR="008E74FF" w:rsidRPr="001F224B" w:rsidRDefault="008E74FF" w:rsidP="008E74FF">
            <w:pPr>
              <w:rPr>
                <w:sz w:val="11"/>
                <w:szCs w:val="11"/>
              </w:rPr>
            </w:pPr>
            <w:r w:rsidRPr="001F224B">
              <w:rPr>
                <w:sz w:val="11"/>
                <w:szCs w:val="11"/>
              </w:rPr>
              <w:t>23.1</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14B9DB5" w14:textId="77777777" w:rsidR="008E74FF" w:rsidRPr="001F224B" w:rsidRDefault="008E74FF" w:rsidP="008E74FF">
            <w:pPr>
              <w:rPr>
                <w:sz w:val="12"/>
                <w:szCs w:val="12"/>
              </w:rPr>
            </w:pPr>
            <w:r w:rsidRPr="001F224B">
              <w:rPr>
                <w:sz w:val="12"/>
                <w:szCs w:val="12"/>
              </w:rPr>
              <w:t>Cari Vergi Karşılığı</w:t>
            </w:r>
          </w:p>
        </w:tc>
        <w:tc>
          <w:tcPr>
            <w:tcW w:w="207" w:type="pct"/>
            <w:noWrap/>
            <w:tcMar>
              <w:top w:w="18" w:type="dxa"/>
              <w:left w:w="18" w:type="dxa"/>
              <w:bottom w:w="0" w:type="dxa"/>
              <w:right w:w="18" w:type="dxa"/>
            </w:tcMar>
          </w:tcPr>
          <w:p w14:paraId="0CEE0658"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22760C6D"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5C77CC1" w14:textId="05EB70EB"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7109B2B4"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1C19A53E" w14:textId="37AD1543" w:rsidR="008E74FF" w:rsidRPr="001F224B" w:rsidRDefault="008E74FF" w:rsidP="008E74FF">
            <w:pPr>
              <w:jc w:val="right"/>
              <w:rPr>
                <w:sz w:val="13"/>
                <w:szCs w:val="13"/>
              </w:rPr>
            </w:pPr>
            <w:r w:rsidRPr="001F224B">
              <w:rPr>
                <w:sz w:val="13"/>
                <w:szCs w:val="13"/>
              </w:rPr>
              <w:t xml:space="preserve"> - </w:t>
            </w:r>
          </w:p>
        </w:tc>
      </w:tr>
      <w:tr w:rsidR="008E74FF" w:rsidRPr="001F224B" w14:paraId="61DA3E5A"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543530AF" w14:textId="77777777" w:rsidR="008E74FF" w:rsidRPr="001F224B" w:rsidRDefault="008E74FF" w:rsidP="008E74FF">
            <w:pPr>
              <w:rPr>
                <w:sz w:val="11"/>
                <w:szCs w:val="11"/>
              </w:rPr>
            </w:pPr>
            <w:r w:rsidRPr="001F224B">
              <w:rPr>
                <w:sz w:val="11"/>
                <w:szCs w:val="11"/>
              </w:rPr>
              <w:t>23.2</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7997BEC" w14:textId="77777777" w:rsidR="008E74FF" w:rsidRPr="001F224B" w:rsidRDefault="008E74FF" w:rsidP="008E74FF">
            <w:pPr>
              <w:rPr>
                <w:sz w:val="12"/>
                <w:szCs w:val="12"/>
              </w:rPr>
            </w:pPr>
            <w:r w:rsidRPr="001F224B">
              <w:rPr>
                <w:sz w:val="12"/>
                <w:szCs w:val="12"/>
              </w:rPr>
              <w:t>Ertelenmiş Vergi Gider Etkisi (+)</w:t>
            </w:r>
          </w:p>
        </w:tc>
        <w:tc>
          <w:tcPr>
            <w:tcW w:w="207" w:type="pct"/>
            <w:noWrap/>
            <w:tcMar>
              <w:top w:w="18" w:type="dxa"/>
              <w:left w:w="18" w:type="dxa"/>
              <w:bottom w:w="0" w:type="dxa"/>
              <w:right w:w="18" w:type="dxa"/>
            </w:tcMar>
          </w:tcPr>
          <w:p w14:paraId="7633D81C"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3DF6A009"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39664878" w14:textId="1E697930"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23F6FD36"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555CBD62" w14:textId="0110997E" w:rsidR="008E74FF" w:rsidRPr="001F224B" w:rsidRDefault="008E74FF" w:rsidP="008E74FF">
            <w:pPr>
              <w:jc w:val="right"/>
              <w:rPr>
                <w:sz w:val="13"/>
                <w:szCs w:val="13"/>
              </w:rPr>
            </w:pPr>
            <w:r w:rsidRPr="001F224B">
              <w:rPr>
                <w:sz w:val="13"/>
                <w:szCs w:val="13"/>
              </w:rPr>
              <w:t xml:space="preserve"> - </w:t>
            </w:r>
          </w:p>
        </w:tc>
      </w:tr>
      <w:tr w:rsidR="008E74FF" w:rsidRPr="001F224B" w14:paraId="6CCF8F58"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0C96F62A" w14:textId="77777777" w:rsidR="008E74FF" w:rsidRPr="001F224B" w:rsidRDefault="008E74FF" w:rsidP="008E74FF">
            <w:pPr>
              <w:rPr>
                <w:b/>
                <w:sz w:val="11"/>
                <w:szCs w:val="11"/>
              </w:rPr>
            </w:pPr>
            <w:r w:rsidRPr="001F224B">
              <w:rPr>
                <w:sz w:val="11"/>
                <w:szCs w:val="11"/>
              </w:rPr>
              <w:t>23.3</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166E5937" w14:textId="77777777" w:rsidR="008E74FF" w:rsidRPr="001F224B" w:rsidRDefault="008E74FF" w:rsidP="008E74FF">
            <w:pPr>
              <w:rPr>
                <w:b/>
                <w:sz w:val="12"/>
                <w:szCs w:val="12"/>
              </w:rPr>
            </w:pPr>
            <w:r w:rsidRPr="001F224B">
              <w:rPr>
                <w:sz w:val="12"/>
                <w:szCs w:val="12"/>
              </w:rPr>
              <w:t>Ertelenmiş Vergi Gelir Etkisi (-)</w:t>
            </w:r>
          </w:p>
        </w:tc>
        <w:tc>
          <w:tcPr>
            <w:tcW w:w="207" w:type="pct"/>
            <w:noWrap/>
            <w:tcMar>
              <w:top w:w="18" w:type="dxa"/>
              <w:left w:w="18" w:type="dxa"/>
              <w:bottom w:w="0" w:type="dxa"/>
              <w:right w:w="18" w:type="dxa"/>
            </w:tcMar>
          </w:tcPr>
          <w:p w14:paraId="2261500D"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0A48B7A0"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2B931BE" w14:textId="70435FAE"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35B61DD7"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26A39673" w14:textId="63D2E91C" w:rsidR="008E74FF" w:rsidRPr="001F224B" w:rsidRDefault="008E74FF" w:rsidP="008E74FF">
            <w:pPr>
              <w:jc w:val="right"/>
              <w:rPr>
                <w:sz w:val="13"/>
                <w:szCs w:val="13"/>
              </w:rPr>
            </w:pPr>
            <w:r w:rsidRPr="001F224B">
              <w:rPr>
                <w:sz w:val="13"/>
                <w:szCs w:val="13"/>
              </w:rPr>
              <w:t xml:space="preserve"> - </w:t>
            </w:r>
          </w:p>
        </w:tc>
      </w:tr>
      <w:tr w:rsidR="008E74FF" w:rsidRPr="001F224B" w14:paraId="4D958F97"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1BB0D70" w14:textId="77777777" w:rsidR="008E74FF" w:rsidRPr="001F224B" w:rsidRDefault="008E74FF" w:rsidP="008E74FF">
            <w:pPr>
              <w:rPr>
                <w:b/>
                <w:sz w:val="11"/>
                <w:szCs w:val="11"/>
              </w:rPr>
            </w:pPr>
            <w:r w:rsidRPr="001F224B">
              <w:rPr>
                <w:b/>
                <w:bCs/>
                <w:sz w:val="11"/>
                <w:szCs w:val="11"/>
              </w:rPr>
              <w:t>XXIV</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2FFF863D" w14:textId="77777777" w:rsidR="008E74FF" w:rsidRPr="001F224B" w:rsidRDefault="008E74FF" w:rsidP="008E74FF">
            <w:pPr>
              <w:tabs>
                <w:tab w:val="right" w:pos="4267"/>
              </w:tabs>
              <w:rPr>
                <w:b/>
                <w:sz w:val="12"/>
                <w:szCs w:val="12"/>
              </w:rPr>
            </w:pPr>
            <w:r w:rsidRPr="001F224B">
              <w:rPr>
                <w:b/>
                <w:sz w:val="12"/>
                <w:szCs w:val="12"/>
              </w:rPr>
              <w:t>DURDURULAN FAALİYETLER DÖNEM NET K/Z (XXII±XXIII)</w:t>
            </w:r>
            <w:r w:rsidRPr="001F224B">
              <w:rPr>
                <w:b/>
                <w:sz w:val="12"/>
                <w:szCs w:val="12"/>
              </w:rPr>
              <w:tab/>
            </w:r>
          </w:p>
        </w:tc>
        <w:tc>
          <w:tcPr>
            <w:tcW w:w="207" w:type="pct"/>
            <w:noWrap/>
            <w:tcMar>
              <w:top w:w="18" w:type="dxa"/>
              <w:left w:w="18" w:type="dxa"/>
              <w:bottom w:w="0" w:type="dxa"/>
              <w:right w:w="18" w:type="dxa"/>
            </w:tcMar>
          </w:tcPr>
          <w:p w14:paraId="78CD9212" w14:textId="77777777" w:rsidR="008E74FF" w:rsidRPr="001F224B" w:rsidRDefault="008E74FF" w:rsidP="008E74FF">
            <w:pPr>
              <w:jc w:val="center"/>
              <w:rPr>
                <w:rFonts w:eastAsia="Arial Unicode MS"/>
                <w:b/>
                <w:sz w:val="12"/>
                <w:szCs w:val="12"/>
              </w:rPr>
            </w:pP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0169BA6C"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50217AB4" w14:textId="0523F51F" w:rsidR="008E74FF" w:rsidRPr="001F224B" w:rsidRDefault="008E74FF" w:rsidP="008E74FF">
            <w:pPr>
              <w:jc w:val="right"/>
              <w:rPr>
                <w:sz w:val="13"/>
                <w:szCs w:val="13"/>
              </w:rPr>
            </w:pPr>
            <w:r w:rsidRPr="001F224B">
              <w:rPr>
                <w:sz w:val="13"/>
                <w:szCs w:val="13"/>
              </w:rPr>
              <w:t xml:space="preserve">              - </w:t>
            </w:r>
          </w:p>
        </w:tc>
        <w:tc>
          <w:tcPr>
            <w:tcW w:w="515" w:type="pct"/>
            <w:tcBorders>
              <w:top w:val="nil"/>
              <w:left w:val="single" w:sz="4" w:space="0" w:color="auto"/>
              <w:bottom w:val="nil"/>
              <w:right w:val="single" w:sz="4" w:space="0" w:color="auto"/>
            </w:tcBorders>
            <w:hideMark/>
          </w:tcPr>
          <w:p w14:paraId="2F6D3172" w14:textId="77777777" w:rsidR="008E74FF" w:rsidRPr="001F224B" w:rsidRDefault="008E74FF" w:rsidP="008E74FF">
            <w:pPr>
              <w:jc w:val="right"/>
              <w:rPr>
                <w:sz w:val="13"/>
                <w:szCs w:val="13"/>
              </w:rPr>
            </w:pPr>
            <w:r w:rsidRPr="001F224B">
              <w:rPr>
                <w:sz w:val="13"/>
                <w:szCs w:val="13"/>
              </w:rPr>
              <w:t xml:space="preserve"> - </w:t>
            </w:r>
          </w:p>
        </w:tc>
        <w:tc>
          <w:tcPr>
            <w:tcW w:w="516" w:type="pct"/>
            <w:tcBorders>
              <w:top w:val="nil"/>
              <w:left w:val="single" w:sz="4" w:space="0" w:color="auto"/>
              <w:bottom w:val="nil"/>
              <w:right w:val="single" w:sz="4" w:space="0" w:color="auto"/>
            </w:tcBorders>
            <w:hideMark/>
          </w:tcPr>
          <w:p w14:paraId="0B0EB07E" w14:textId="6A281DC5" w:rsidR="008E74FF" w:rsidRPr="001F224B" w:rsidRDefault="008E74FF" w:rsidP="008E74FF">
            <w:pPr>
              <w:jc w:val="right"/>
              <w:rPr>
                <w:sz w:val="13"/>
                <w:szCs w:val="13"/>
              </w:rPr>
            </w:pPr>
            <w:r w:rsidRPr="001F224B">
              <w:rPr>
                <w:sz w:val="13"/>
                <w:szCs w:val="13"/>
              </w:rPr>
              <w:t xml:space="preserve"> - </w:t>
            </w:r>
          </w:p>
        </w:tc>
      </w:tr>
      <w:tr w:rsidR="006D3793" w:rsidRPr="001F224B" w14:paraId="4D821E92" w14:textId="77777777" w:rsidTr="000D2410">
        <w:trPr>
          <w:cantSplit/>
          <w:trHeight w:val="20"/>
        </w:trPr>
        <w:tc>
          <w:tcPr>
            <w:tcW w:w="157" w:type="pct"/>
            <w:tcBorders>
              <w:top w:val="nil"/>
              <w:left w:val="single" w:sz="4" w:space="0" w:color="auto"/>
              <w:bottom w:val="nil"/>
              <w:right w:val="nil"/>
            </w:tcBorders>
            <w:noWrap/>
            <w:tcMar>
              <w:top w:w="18" w:type="dxa"/>
              <w:left w:w="18" w:type="dxa"/>
              <w:bottom w:w="0" w:type="dxa"/>
              <w:right w:w="18" w:type="dxa"/>
            </w:tcMar>
            <w:hideMark/>
          </w:tcPr>
          <w:p w14:paraId="7DB26812" w14:textId="77777777" w:rsidR="006D3793" w:rsidRPr="001F224B" w:rsidRDefault="006D3793" w:rsidP="006D3793">
            <w:pPr>
              <w:rPr>
                <w:sz w:val="11"/>
                <w:szCs w:val="11"/>
              </w:rPr>
            </w:pPr>
            <w:r w:rsidRPr="001F224B">
              <w:rPr>
                <w:b/>
                <w:bCs/>
                <w:sz w:val="11"/>
                <w:szCs w:val="11"/>
              </w:rPr>
              <w:t>XXV.</w:t>
            </w:r>
          </w:p>
        </w:tc>
        <w:tc>
          <w:tcPr>
            <w:tcW w:w="2580" w:type="pct"/>
            <w:tcBorders>
              <w:top w:val="nil"/>
              <w:left w:val="nil"/>
              <w:bottom w:val="nil"/>
              <w:right w:val="single" w:sz="4" w:space="0" w:color="auto"/>
            </w:tcBorders>
            <w:noWrap/>
            <w:tcMar>
              <w:top w:w="18" w:type="dxa"/>
              <w:left w:w="18" w:type="dxa"/>
              <w:bottom w:w="0" w:type="dxa"/>
              <w:right w:w="18" w:type="dxa"/>
            </w:tcMar>
            <w:hideMark/>
          </w:tcPr>
          <w:p w14:paraId="404F8109" w14:textId="77777777" w:rsidR="006D3793" w:rsidRPr="001F224B" w:rsidRDefault="006D3793" w:rsidP="006D3793">
            <w:pPr>
              <w:rPr>
                <w:b/>
                <w:sz w:val="12"/>
                <w:szCs w:val="12"/>
              </w:rPr>
            </w:pPr>
            <w:r w:rsidRPr="001F224B">
              <w:rPr>
                <w:b/>
                <w:sz w:val="12"/>
                <w:szCs w:val="12"/>
              </w:rPr>
              <w:t>DÖNEM NET KARI/ZARARI (XIX+XXIV)</w:t>
            </w:r>
          </w:p>
        </w:tc>
        <w:tc>
          <w:tcPr>
            <w:tcW w:w="207" w:type="pct"/>
            <w:noWrap/>
            <w:tcMar>
              <w:top w:w="18" w:type="dxa"/>
              <w:left w:w="18" w:type="dxa"/>
              <w:bottom w:w="0" w:type="dxa"/>
              <w:right w:w="18" w:type="dxa"/>
            </w:tcMar>
            <w:hideMark/>
          </w:tcPr>
          <w:p w14:paraId="451611E8" w14:textId="77777777" w:rsidR="006D3793" w:rsidRPr="001F224B" w:rsidRDefault="006D3793" w:rsidP="006D3793">
            <w:pPr>
              <w:jc w:val="center"/>
              <w:rPr>
                <w:rFonts w:eastAsia="Arial Unicode MS"/>
                <w:b/>
                <w:sz w:val="12"/>
                <w:szCs w:val="12"/>
              </w:rPr>
            </w:pPr>
            <w:r w:rsidRPr="001F224B">
              <w:rPr>
                <w:rFonts w:eastAsia="Arial Unicode MS"/>
                <w:b/>
                <w:sz w:val="12"/>
                <w:szCs w:val="12"/>
              </w:rPr>
              <w:t>(11)</w:t>
            </w:r>
          </w:p>
        </w:tc>
        <w:tc>
          <w:tcPr>
            <w:tcW w:w="509" w:type="pct"/>
            <w:tcBorders>
              <w:top w:val="nil"/>
              <w:left w:val="single" w:sz="4" w:space="0" w:color="auto"/>
              <w:bottom w:val="nil"/>
              <w:right w:val="single" w:sz="4" w:space="0" w:color="auto"/>
            </w:tcBorders>
            <w:noWrap/>
            <w:tcMar>
              <w:top w:w="18" w:type="dxa"/>
              <w:left w:w="18" w:type="dxa"/>
              <w:bottom w:w="0" w:type="dxa"/>
              <w:right w:w="18" w:type="dxa"/>
            </w:tcMar>
            <w:hideMark/>
          </w:tcPr>
          <w:p w14:paraId="7AB9D0BD" w14:textId="73DBEA26"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4.013.756</w:t>
            </w:r>
          </w:p>
        </w:tc>
        <w:tc>
          <w:tcPr>
            <w:tcW w:w="516" w:type="pct"/>
            <w:tcBorders>
              <w:top w:val="nil"/>
              <w:left w:val="single" w:sz="4" w:space="0" w:color="auto"/>
              <w:bottom w:val="nil"/>
              <w:right w:val="single" w:sz="4" w:space="0" w:color="auto"/>
            </w:tcBorders>
            <w:hideMark/>
          </w:tcPr>
          <w:p w14:paraId="4589CC3C" w14:textId="650F88E8"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2.732.550</w:t>
            </w:r>
          </w:p>
        </w:tc>
        <w:tc>
          <w:tcPr>
            <w:tcW w:w="515" w:type="pct"/>
            <w:tcBorders>
              <w:top w:val="nil"/>
              <w:left w:val="single" w:sz="4" w:space="0" w:color="auto"/>
              <w:bottom w:val="nil"/>
              <w:right w:val="single" w:sz="4" w:space="0" w:color="auto"/>
            </w:tcBorders>
            <w:hideMark/>
          </w:tcPr>
          <w:p w14:paraId="526CF116" w14:textId="19018F95"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2.261.511</w:t>
            </w:r>
          </w:p>
        </w:tc>
        <w:tc>
          <w:tcPr>
            <w:tcW w:w="516" w:type="pct"/>
            <w:tcBorders>
              <w:top w:val="nil"/>
              <w:left w:val="single" w:sz="4" w:space="0" w:color="auto"/>
              <w:bottom w:val="nil"/>
              <w:right w:val="single" w:sz="4" w:space="0" w:color="auto"/>
            </w:tcBorders>
            <w:hideMark/>
          </w:tcPr>
          <w:p w14:paraId="3869CA49" w14:textId="6222FA2B" w:rsidR="006D3793" w:rsidRPr="001F224B" w:rsidRDefault="006D3793" w:rsidP="006D3793">
            <w:pPr>
              <w:jc w:val="right"/>
              <w:rPr>
                <w:b/>
                <w:bCs/>
                <w:sz w:val="13"/>
                <w:szCs w:val="13"/>
              </w:rPr>
            </w:pPr>
            <w:r w:rsidRPr="001F224B">
              <w:rPr>
                <w:rFonts w:ascii="Times New Roman TUR" w:hAnsi="Times New Roman TUR" w:cs="Times New Roman TUR"/>
                <w:b/>
                <w:bCs/>
                <w:sz w:val="13"/>
                <w:szCs w:val="13"/>
              </w:rPr>
              <w:t>1.699.507</w:t>
            </w:r>
          </w:p>
        </w:tc>
      </w:tr>
      <w:tr w:rsidR="006D3793" w:rsidRPr="001F224B" w14:paraId="0F8D1F7D" w14:textId="77777777" w:rsidTr="000D2410">
        <w:trPr>
          <w:cantSplit/>
          <w:trHeight w:val="50"/>
        </w:trPr>
        <w:tc>
          <w:tcPr>
            <w:tcW w:w="157" w:type="pct"/>
            <w:tcBorders>
              <w:top w:val="nil"/>
              <w:left w:val="single" w:sz="4" w:space="0" w:color="auto"/>
              <w:right w:val="nil"/>
            </w:tcBorders>
            <w:noWrap/>
            <w:tcMar>
              <w:top w:w="18" w:type="dxa"/>
              <w:left w:w="18" w:type="dxa"/>
              <w:bottom w:w="0" w:type="dxa"/>
              <w:right w:w="18" w:type="dxa"/>
            </w:tcMar>
          </w:tcPr>
          <w:p w14:paraId="13DBAEE5" w14:textId="77777777" w:rsidR="006D3793" w:rsidRPr="001F224B" w:rsidRDefault="006D3793" w:rsidP="006D3793">
            <w:pPr>
              <w:rPr>
                <w:sz w:val="11"/>
                <w:szCs w:val="11"/>
              </w:rPr>
            </w:pPr>
            <w:r w:rsidRPr="001F224B">
              <w:rPr>
                <w:sz w:val="11"/>
                <w:szCs w:val="11"/>
              </w:rPr>
              <w:t>25.1</w:t>
            </w:r>
          </w:p>
        </w:tc>
        <w:tc>
          <w:tcPr>
            <w:tcW w:w="2580" w:type="pct"/>
            <w:tcBorders>
              <w:top w:val="nil"/>
              <w:left w:val="nil"/>
              <w:right w:val="single" w:sz="4" w:space="0" w:color="auto"/>
            </w:tcBorders>
            <w:noWrap/>
            <w:tcMar>
              <w:top w:w="18" w:type="dxa"/>
              <w:left w:w="18" w:type="dxa"/>
              <w:bottom w:w="0" w:type="dxa"/>
              <w:right w:w="18" w:type="dxa"/>
            </w:tcMar>
          </w:tcPr>
          <w:p w14:paraId="6DD13139" w14:textId="77777777" w:rsidR="006D3793" w:rsidRPr="001F224B" w:rsidRDefault="006D3793" w:rsidP="006D3793">
            <w:pPr>
              <w:rPr>
                <w:sz w:val="12"/>
                <w:szCs w:val="12"/>
              </w:rPr>
            </w:pPr>
            <w:r w:rsidRPr="001F224B">
              <w:rPr>
                <w:sz w:val="11"/>
                <w:szCs w:val="11"/>
              </w:rPr>
              <w:t>Grubun Kârı / Zararı</w:t>
            </w:r>
          </w:p>
        </w:tc>
        <w:tc>
          <w:tcPr>
            <w:tcW w:w="207" w:type="pct"/>
            <w:tcBorders>
              <w:top w:val="nil"/>
              <w:left w:val="nil"/>
              <w:right w:val="nil"/>
            </w:tcBorders>
            <w:noWrap/>
            <w:tcMar>
              <w:top w:w="18" w:type="dxa"/>
              <w:left w:w="18" w:type="dxa"/>
              <w:bottom w:w="0" w:type="dxa"/>
              <w:right w:w="18" w:type="dxa"/>
            </w:tcMar>
            <w:vAlign w:val="bottom"/>
          </w:tcPr>
          <w:p w14:paraId="0D5A5417" w14:textId="77777777" w:rsidR="006D3793" w:rsidRPr="001F224B" w:rsidRDefault="006D3793" w:rsidP="006D3793">
            <w:pPr>
              <w:jc w:val="center"/>
              <w:rPr>
                <w:rFonts w:eastAsia="Arial Unicode MS"/>
                <w:b/>
                <w:sz w:val="12"/>
                <w:szCs w:val="12"/>
              </w:rPr>
            </w:pPr>
          </w:p>
        </w:tc>
        <w:tc>
          <w:tcPr>
            <w:tcW w:w="509" w:type="pct"/>
            <w:tcBorders>
              <w:top w:val="nil"/>
              <w:left w:val="single" w:sz="4" w:space="0" w:color="auto"/>
              <w:right w:val="single" w:sz="4" w:space="0" w:color="auto"/>
            </w:tcBorders>
            <w:noWrap/>
            <w:tcMar>
              <w:top w:w="18" w:type="dxa"/>
              <w:left w:w="18" w:type="dxa"/>
              <w:bottom w:w="0" w:type="dxa"/>
              <w:right w:w="18" w:type="dxa"/>
            </w:tcMar>
          </w:tcPr>
          <w:p w14:paraId="5D58BDE9" w14:textId="7966573C" w:rsidR="006D3793" w:rsidRPr="001F224B" w:rsidRDefault="006D3793" w:rsidP="006D3793">
            <w:pPr>
              <w:jc w:val="right"/>
              <w:rPr>
                <w:sz w:val="13"/>
                <w:szCs w:val="13"/>
              </w:rPr>
            </w:pPr>
            <w:r w:rsidRPr="001F224B">
              <w:rPr>
                <w:rFonts w:ascii="Times New Roman TUR" w:hAnsi="Times New Roman TUR" w:cs="Times New Roman TUR"/>
                <w:sz w:val="13"/>
                <w:szCs w:val="13"/>
              </w:rPr>
              <w:t>4.013.756</w:t>
            </w:r>
          </w:p>
        </w:tc>
        <w:tc>
          <w:tcPr>
            <w:tcW w:w="516" w:type="pct"/>
            <w:tcBorders>
              <w:top w:val="nil"/>
              <w:left w:val="single" w:sz="4" w:space="0" w:color="auto"/>
              <w:right w:val="single" w:sz="4" w:space="0" w:color="auto"/>
            </w:tcBorders>
          </w:tcPr>
          <w:p w14:paraId="307A7F65" w14:textId="57686E0B" w:rsidR="006D3793" w:rsidRPr="001F224B" w:rsidRDefault="006D3793" w:rsidP="006D3793">
            <w:pPr>
              <w:jc w:val="right"/>
              <w:rPr>
                <w:sz w:val="13"/>
                <w:szCs w:val="13"/>
              </w:rPr>
            </w:pPr>
            <w:r w:rsidRPr="001F224B">
              <w:rPr>
                <w:rFonts w:ascii="Times New Roman TUR" w:hAnsi="Times New Roman TUR" w:cs="Times New Roman TUR"/>
                <w:sz w:val="13"/>
                <w:szCs w:val="13"/>
              </w:rPr>
              <w:t>2.732.550</w:t>
            </w:r>
          </w:p>
        </w:tc>
        <w:tc>
          <w:tcPr>
            <w:tcW w:w="515" w:type="pct"/>
            <w:tcBorders>
              <w:top w:val="nil"/>
              <w:left w:val="single" w:sz="4" w:space="0" w:color="auto"/>
              <w:right w:val="single" w:sz="4" w:space="0" w:color="auto"/>
            </w:tcBorders>
          </w:tcPr>
          <w:p w14:paraId="667600CF" w14:textId="1C913D0F" w:rsidR="006D3793" w:rsidRPr="001F224B" w:rsidRDefault="006D3793" w:rsidP="006D3793">
            <w:pPr>
              <w:jc w:val="right"/>
              <w:rPr>
                <w:sz w:val="13"/>
                <w:szCs w:val="13"/>
              </w:rPr>
            </w:pPr>
            <w:r w:rsidRPr="001F224B">
              <w:rPr>
                <w:rFonts w:ascii="Times New Roman TUR" w:hAnsi="Times New Roman TUR" w:cs="Times New Roman TUR"/>
                <w:sz w:val="13"/>
                <w:szCs w:val="13"/>
              </w:rPr>
              <w:t>2.261.511</w:t>
            </w:r>
          </w:p>
        </w:tc>
        <w:tc>
          <w:tcPr>
            <w:tcW w:w="516" w:type="pct"/>
            <w:tcBorders>
              <w:top w:val="nil"/>
              <w:left w:val="single" w:sz="4" w:space="0" w:color="auto"/>
              <w:right w:val="single" w:sz="4" w:space="0" w:color="auto"/>
            </w:tcBorders>
          </w:tcPr>
          <w:p w14:paraId="5809EB1A" w14:textId="387E192C" w:rsidR="006D3793" w:rsidRPr="001F224B" w:rsidRDefault="006D3793" w:rsidP="006D3793">
            <w:pPr>
              <w:jc w:val="right"/>
              <w:rPr>
                <w:sz w:val="13"/>
                <w:szCs w:val="13"/>
              </w:rPr>
            </w:pPr>
            <w:r w:rsidRPr="001F224B">
              <w:rPr>
                <w:rFonts w:ascii="Times New Roman TUR" w:hAnsi="Times New Roman TUR" w:cs="Times New Roman TUR"/>
                <w:sz w:val="13"/>
                <w:szCs w:val="13"/>
              </w:rPr>
              <w:t>1.699.507</w:t>
            </w:r>
          </w:p>
        </w:tc>
      </w:tr>
      <w:tr w:rsidR="006D3793" w:rsidRPr="001F224B" w14:paraId="2ED41561" w14:textId="77777777" w:rsidTr="000D2410">
        <w:trPr>
          <w:cantSplit/>
          <w:trHeight w:val="20"/>
        </w:trPr>
        <w:tc>
          <w:tcPr>
            <w:tcW w:w="157" w:type="pct"/>
            <w:tcBorders>
              <w:left w:val="single" w:sz="4" w:space="0" w:color="auto"/>
              <w:right w:val="nil"/>
            </w:tcBorders>
            <w:noWrap/>
            <w:tcMar>
              <w:top w:w="18" w:type="dxa"/>
              <w:left w:w="18" w:type="dxa"/>
              <w:bottom w:w="0" w:type="dxa"/>
              <w:right w:w="18" w:type="dxa"/>
            </w:tcMar>
          </w:tcPr>
          <w:p w14:paraId="33FDA620" w14:textId="77777777" w:rsidR="006D3793" w:rsidRPr="001F224B" w:rsidRDefault="006D3793" w:rsidP="006D3793">
            <w:pPr>
              <w:rPr>
                <w:sz w:val="11"/>
                <w:szCs w:val="11"/>
              </w:rPr>
            </w:pPr>
            <w:r w:rsidRPr="001F224B">
              <w:rPr>
                <w:sz w:val="11"/>
                <w:szCs w:val="11"/>
              </w:rPr>
              <w:t>25.2</w:t>
            </w:r>
          </w:p>
        </w:tc>
        <w:tc>
          <w:tcPr>
            <w:tcW w:w="2580" w:type="pct"/>
            <w:tcBorders>
              <w:left w:val="nil"/>
              <w:right w:val="single" w:sz="4" w:space="0" w:color="auto"/>
            </w:tcBorders>
            <w:noWrap/>
            <w:tcMar>
              <w:top w:w="18" w:type="dxa"/>
              <w:left w:w="18" w:type="dxa"/>
              <w:bottom w:w="0" w:type="dxa"/>
              <w:right w:w="18" w:type="dxa"/>
            </w:tcMar>
          </w:tcPr>
          <w:p w14:paraId="24DAD771" w14:textId="77777777" w:rsidR="006D3793" w:rsidRPr="001F224B" w:rsidRDefault="006D3793" w:rsidP="006D3793">
            <w:pPr>
              <w:rPr>
                <w:sz w:val="11"/>
                <w:szCs w:val="11"/>
              </w:rPr>
            </w:pPr>
            <w:r w:rsidRPr="001F224B">
              <w:rPr>
                <w:sz w:val="11"/>
                <w:szCs w:val="11"/>
              </w:rPr>
              <w:t>Azınlık Payları Kârı / Zararı (-)</w:t>
            </w:r>
          </w:p>
        </w:tc>
        <w:tc>
          <w:tcPr>
            <w:tcW w:w="207" w:type="pct"/>
            <w:tcBorders>
              <w:left w:val="nil"/>
              <w:right w:val="nil"/>
            </w:tcBorders>
            <w:noWrap/>
            <w:tcMar>
              <w:top w:w="18" w:type="dxa"/>
              <w:left w:w="18" w:type="dxa"/>
              <w:bottom w:w="0" w:type="dxa"/>
              <w:right w:w="18" w:type="dxa"/>
            </w:tcMar>
            <w:vAlign w:val="bottom"/>
          </w:tcPr>
          <w:p w14:paraId="7A87DE44" w14:textId="77777777" w:rsidR="006D3793" w:rsidRPr="001F224B" w:rsidRDefault="006D3793" w:rsidP="006D3793">
            <w:pPr>
              <w:jc w:val="center"/>
              <w:rPr>
                <w:sz w:val="11"/>
                <w:szCs w:val="11"/>
              </w:rPr>
            </w:pPr>
          </w:p>
        </w:tc>
        <w:tc>
          <w:tcPr>
            <w:tcW w:w="509" w:type="pct"/>
            <w:tcBorders>
              <w:left w:val="single" w:sz="4" w:space="0" w:color="auto"/>
              <w:right w:val="single" w:sz="4" w:space="0" w:color="auto"/>
            </w:tcBorders>
            <w:noWrap/>
            <w:tcMar>
              <w:top w:w="18" w:type="dxa"/>
              <w:left w:w="18" w:type="dxa"/>
              <w:bottom w:w="0" w:type="dxa"/>
              <w:right w:w="18" w:type="dxa"/>
            </w:tcMar>
          </w:tcPr>
          <w:p w14:paraId="4966DD33" w14:textId="77777777" w:rsidR="006D3793" w:rsidRPr="001F224B" w:rsidRDefault="006D3793" w:rsidP="006D3793">
            <w:pPr>
              <w:jc w:val="right"/>
              <w:rPr>
                <w:sz w:val="11"/>
                <w:szCs w:val="11"/>
              </w:rPr>
            </w:pPr>
            <w:r w:rsidRPr="001F224B">
              <w:rPr>
                <w:sz w:val="13"/>
                <w:szCs w:val="13"/>
              </w:rPr>
              <w:t xml:space="preserve">                - </w:t>
            </w:r>
          </w:p>
        </w:tc>
        <w:tc>
          <w:tcPr>
            <w:tcW w:w="516" w:type="pct"/>
            <w:tcBorders>
              <w:left w:val="single" w:sz="4" w:space="0" w:color="auto"/>
              <w:right w:val="single" w:sz="4" w:space="0" w:color="auto"/>
            </w:tcBorders>
          </w:tcPr>
          <w:p w14:paraId="0A40C92B" w14:textId="625A0618" w:rsidR="006D3793" w:rsidRPr="001F224B" w:rsidRDefault="006D3793" w:rsidP="006D3793">
            <w:pPr>
              <w:jc w:val="right"/>
              <w:rPr>
                <w:sz w:val="11"/>
                <w:szCs w:val="11"/>
              </w:rPr>
            </w:pPr>
            <w:r w:rsidRPr="001F224B">
              <w:rPr>
                <w:sz w:val="13"/>
                <w:szCs w:val="13"/>
              </w:rPr>
              <w:t xml:space="preserve">                - </w:t>
            </w:r>
          </w:p>
        </w:tc>
        <w:tc>
          <w:tcPr>
            <w:tcW w:w="515" w:type="pct"/>
            <w:tcBorders>
              <w:left w:val="single" w:sz="4" w:space="0" w:color="auto"/>
              <w:right w:val="single" w:sz="4" w:space="0" w:color="auto"/>
            </w:tcBorders>
          </w:tcPr>
          <w:p w14:paraId="72722FB7" w14:textId="77777777" w:rsidR="006D3793" w:rsidRPr="001F224B" w:rsidRDefault="006D3793" w:rsidP="006D3793">
            <w:pPr>
              <w:jc w:val="right"/>
              <w:rPr>
                <w:sz w:val="11"/>
                <w:szCs w:val="11"/>
              </w:rPr>
            </w:pPr>
            <w:r w:rsidRPr="001F224B">
              <w:rPr>
                <w:sz w:val="13"/>
                <w:szCs w:val="13"/>
              </w:rPr>
              <w:t xml:space="preserve">                - </w:t>
            </w:r>
          </w:p>
        </w:tc>
        <w:tc>
          <w:tcPr>
            <w:tcW w:w="516" w:type="pct"/>
            <w:tcBorders>
              <w:left w:val="single" w:sz="4" w:space="0" w:color="auto"/>
              <w:right w:val="single" w:sz="4" w:space="0" w:color="auto"/>
            </w:tcBorders>
          </w:tcPr>
          <w:p w14:paraId="219D690E" w14:textId="6D652ABD" w:rsidR="006D3793" w:rsidRPr="001F224B" w:rsidRDefault="006D3793" w:rsidP="006D3793">
            <w:pPr>
              <w:jc w:val="right"/>
              <w:rPr>
                <w:sz w:val="11"/>
                <w:szCs w:val="11"/>
              </w:rPr>
            </w:pPr>
            <w:r w:rsidRPr="001F224B">
              <w:rPr>
                <w:sz w:val="13"/>
                <w:szCs w:val="13"/>
              </w:rPr>
              <w:t xml:space="preserve">                - </w:t>
            </w:r>
          </w:p>
        </w:tc>
      </w:tr>
      <w:tr w:rsidR="00CD7BA0" w:rsidRPr="001F224B" w14:paraId="1DAC435A" w14:textId="77777777" w:rsidTr="000D2410">
        <w:trPr>
          <w:cantSplit/>
          <w:trHeight w:val="20"/>
        </w:trPr>
        <w:tc>
          <w:tcPr>
            <w:tcW w:w="157" w:type="pct"/>
            <w:tcBorders>
              <w:left w:val="single" w:sz="4" w:space="0" w:color="auto"/>
              <w:bottom w:val="single" w:sz="2" w:space="0" w:color="auto"/>
              <w:right w:val="nil"/>
            </w:tcBorders>
            <w:noWrap/>
            <w:tcMar>
              <w:top w:w="18" w:type="dxa"/>
              <w:left w:w="18" w:type="dxa"/>
              <w:bottom w:w="0" w:type="dxa"/>
              <w:right w:w="18" w:type="dxa"/>
            </w:tcMar>
            <w:hideMark/>
          </w:tcPr>
          <w:p w14:paraId="1944F52B" w14:textId="77777777" w:rsidR="00CD7BA0" w:rsidRPr="001F224B" w:rsidRDefault="00CD7BA0" w:rsidP="00CD7BA0">
            <w:pPr>
              <w:rPr>
                <w:sz w:val="11"/>
                <w:szCs w:val="11"/>
              </w:rPr>
            </w:pPr>
          </w:p>
        </w:tc>
        <w:tc>
          <w:tcPr>
            <w:tcW w:w="2580" w:type="pct"/>
            <w:tcBorders>
              <w:left w:val="nil"/>
              <w:bottom w:val="single" w:sz="2" w:space="0" w:color="auto"/>
              <w:right w:val="single" w:sz="4" w:space="0" w:color="auto"/>
            </w:tcBorders>
            <w:noWrap/>
            <w:tcMar>
              <w:top w:w="18" w:type="dxa"/>
              <w:left w:w="18" w:type="dxa"/>
              <w:bottom w:w="0" w:type="dxa"/>
              <w:right w:w="18" w:type="dxa"/>
            </w:tcMar>
            <w:hideMark/>
          </w:tcPr>
          <w:p w14:paraId="057E3EAD" w14:textId="77777777" w:rsidR="00CD7BA0" w:rsidRPr="001F224B" w:rsidRDefault="00CD7BA0" w:rsidP="00CD7BA0">
            <w:pPr>
              <w:rPr>
                <w:sz w:val="12"/>
                <w:szCs w:val="12"/>
              </w:rPr>
            </w:pPr>
            <w:r w:rsidRPr="001F224B">
              <w:rPr>
                <w:sz w:val="12"/>
                <w:szCs w:val="12"/>
              </w:rPr>
              <w:t>Hisse Başına Kar / Zarar (Tam TL)</w:t>
            </w:r>
          </w:p>
        </w:tc>
        <w:tc>
          <w:tcPr>
            <w:tcW w:w="207" w:type="pct"/>
            <w:tcBorders>
              <w:left w:val="nil"/>
              <w:bottom w:val="single" w:sz="2" w:space="0" w:color="auto"/>
              <w:right w:val="nil"/>
            </w:tcBorders>
            <w:noWrap/>
            <w:tcMar>
              <w:top w:w="18" w:type="dxa"/>
              <w:left w:w="18" w:type="dxa"/>
              <w:bottom w:w="0" w:type="dxa"/>
              <w:right w:w="18" w:type="dxa"/>
            </w:tcMar>
            <w:vAlign w:val="bottom"/>
          </w:tcPr>
          <w:p w14:paraId="57373455" w14:textId="77777777" w:rsidR="00CD7BA0" w:rsidRPr="001F224B" w:rsidRDefault="00CD7BA0" w:rsidP="00CD7BA0">
            <w:pPr>
              <w:jc w:val="center"/>
              <w:rPr>
                <w:rFonts w:eastAsia="Arial Unicode MS"/>
                <w:b/>
                <w:sz w:val="12"/>
                <w:szCs w:val="12"/>
              </w:rPr>
            </w:pPr>
          </w:p>
        </w:tc>
        <w:tc>
          <w:tcPr>
            <w:tcW w:w="509" w:type="pct"/>
            <w:tcBorders>
              <w:left w:val="single" w:sz="4" w:space="0" w:color="auto"/>
              <w:bottom w:val="single" w:sz="2" w:space="0" w:color="auto"/>
              <w:right w:val="single" w:sz="4" w:space="0" w:color="auto"/>
            </w:tcBorders>
            <w:noWrap/>
            <w:tcMar>
              <w:top w:w="18" w:type="dxa"/>
              <w:left w:w="18" w:type="dxa"/>
              <w:bottom w:w="0" w:type="dxa"/>
              <w:right w:w="18" w:type="dxa"/>
            </w:tcMar>
            <w:hideMark/>
          </w:tcPr>
          <w:p w14:paraId="7BDF97A3" w14:textId="636DDDB5" w:rsidR="00CD7BA0" w:rsidRPr="001F224B" w:rsidRDefault="00CD7BA0" w:rsidP="00CD7BA0">
            <w:pPr>
              <w:jc w:val="right"/>
              <w:rPr>
                <w:sz w:val="13"/>
                <w:szCs w:val="13"/>
              </w:rPr>
            </w:pPr>
            <w:r w:rsidRPr="001F224B">
              <w:rPr>
                <w:sz w:val="13"/>
                <w:szCs w:val="13"/>
              </w:rPr>
              <w:t>0,007</w:t>
            </w:r>
          </w:p>
        </w:tc>
        <w:tc>
          <w:tcPr>
            <w:tcW w:w="516" w:type="pct"/>
            <w:tcBorders>
              <w:left w:val="single" w:sz="4" w:space="0" w:color="auto"/>
              <w:bottom w:val="single" w:sz="2" w:space="0" w:color="auto"/>
              <w:right w:val="single" w:sz="4" w:space="0" w:color="auto"/>
            </w:tcBorders>
            <w:hideMark/>
          </w:tcPr>
          <w:p w14:paraId="4BC94498" w14:textId="7BF5C5C1" w:rsidR="00CD7BA0" w:rsidRPr="001F224B" w:rsidRDefault="00CD7BA0" w:rsidP="00CD7BA0">
            <w:pPr>
              <w:jc w:val="right"/>
              <w:rPr>
                <w:sz w:val="13"/>
                <w:szCs w:val="13"/>
              </w:rPr>
            </w:pPr>
            <w:r w:rsidRPr="001F224B">
              <w:rPr>
                <w:sz w:val="13"/>
                <w:szCs w:val="13"/>
              </w:rPr>
              <w:t>0,008</w:t>
            </w:r>
          </w:p>
        </w:tc>
        <w:tc>
          <w:tcPr>
            <w:tcW w:w="515" w:type="pct"/>
            <w:tcBorders>
              <w:left w:val="single" w:sz="4" w:space="0" w:color="auto"/>
              <w:bottom w:val="single" w:sz="2" w:space="0" w:color="auto"/>
              <w:right w:val="single" w:sz="4" w:space="0" w:color="auto"/>
            </w:tcBorders>
            <w:hideMark/>
          </w:tcPr>
          <w:p w14:paraId="03596925" w14:textId="70E19F7B" w:rsidR="00CD7BA0" w:rsidRPr="001F224B" w:rsidRDefault="00CD7BA0" w:rsidP="00CD7BA0">
            <w:pPr>
              <w:jc w:val="right"/>
              <w:rPr>
                <w:sz w:val="13"/>
                <w:szCs w:val="13"/>
              </w:rPr>
            </w:pPr>
            <w:r w:rsidRPr="001F224B">
              <w:rPr>
                <w:sz w:val="13"/>
                <w:szCs w:val="13"/>
              </w:rPr>
              <w:t>0,004</w:t>
            </w:r>
          </w:p>
        </w:tc>
        <w:tc>
          <w:tcPr>
            <w:tcW w:w="516" w:type="pct"/>
            <w:tcBorders>
              <w:left w:val="single" w:sz="4" w:space="0" w:color="auto"/>
              <w:bottom w:val="single" w:sz="2" w:space="0" w:color="auto"/>
              <w:right w:val="single" w:sz="4" w:space="0" w:color="auto"/>
            </w:tcBorders>
            <w:hideMark/>
          </w:tcPr>
          <w:p w14:paraId="18234F77" w14:textId="743A4600" w:rsidR="00CD7BA0" w:rsidRPr="001F224B" w:rsidRDefault="00CD7BA0" w:rsidP="00CD7BA0">
            <w:pPr>
              <w:jc w:val="right"/>
              <w:rPr>
                <w:sz w:val="13"/>
                <w:szCs w:val="13"/>
              </w:rPr>
            </w:pPr>
            <w:r w:rsidRPr="001F224B">
              <w:rPr>
                <w:sz w:val="13"/>
                <w:szCs w:val="13"/>
              </w:rPr>
              <w:t>0,004</w:t>
            </w:r>
          </w:p>
        </w:tc>
      </w:tr>
    </w:tbl>
    <w:p w14:paraId="690ACC22" w14:textId="77777777" w:rsidR="00070DBB" w:rsidRPr="001F224B" w:rsidRDefault="00070DBB" w:rsidP="00070DBB">
      <w:pPr>
        <w:rPr>
          <w:bCs/>
          <w:sz w:val="16"/>
          <w:szCs w:val="16"/>
        </w:rPr>
      </w:pPr>
    </w:p>
    <w:p w14:paraId="5E462245" w14:textId="77777777" w:rsidR="00070DBB" w:rsidRPr="001F224B" w:rsidRDefault="00070DBB" w:rsidP="00070DBB">
      <w:pPr>
        <w:rPr>
          <w:bCs/>
          <w:sz w:val="16"/>
          <w:szCs w:val="16"/>
        </w:rPr>
      </w:pPr>
    </w:p>
    <w:p w14:paraId="439D9CD0" w14:textId="77777777" w:rsidR="00E66603" w:rsidRPr="001F224B" w:rsidRDefault="00E66603" w:rsidP="00070DBB">
      <w:pPr>
        <w:ind w:left="720" w:firstLine="720"/>
        <w:rPr>
          <w:bCs/>
          <w:sz w:val="16"/>
          <w:szCs w:val="16"/>
        </w:rPr>
      </w:pPr>
    </w:p>
    <w:p w14:paraId="1095B90C" w14:textId="77777777" w:rsidR="00E66603" w:rsidRPr="001F224B" w:rsidRDefault="00E66603" w:rsidP="00070DBB">
      <w:pPr>
        <w:ind w:left="720" w:firstLine="720"/>
        <w:rPr>
          <w:bCs/>
          <w:sz w:val="16"/>
          <w:szCs w:val="16"/>
        </w:rPr>
      </w:pPr>
    </w:p>
    <w:p w14:paraId="5AE8C0E6" w14:textId="77777777" w:rsidR="00E66603" w:rsidRPr="001F224B" w:rsidRDefault="00E66603" w:rsidP="00070DBB">
      <w:pPr>
        <w:ind w:left="720" w:firstLine="720"/>
        <w:rPr>
          <w:bCs/>
          <w:sz w:val="16"/>
          <w:szCs w:val="16"/>
        </w:rPr>
      </w:pPr>
    </w:p>
    <w:p w14:paraId="2E3D1298" w14:textId="77777777" w:rsidR="00E66603" w:rsidRPr="001F224B" w:rsidRDefault="00E66603" w:rsidP="00070DBB">
      <w:pPr>
        <w:ind w:left="720" w:firstLine="720"/>
        <w:rPr>
          <w:bCs/>
          <w:sz w:val="16"/>
          <w:szCs w:val="16"/>
        </w:rPr>
      </w:pPr>
    </w:p>
    <w:p w14:paraId="77FF1F4A" w14:textId="77777777" w:rsidR="00E66603" w:rsidRPr="001F224B" w:rsidRDefault="00E66603" w:rsidP="00070DBB">
      <w:pPr>
        <w:ind w:left="720" w:firstLine="720"/>
        <w:rPr>
          <w:bCs/>
          <w:sz w:val="16"/>
          <w:szCs w:val="16"/>
        </w:rPr>
      </w:pPr>
    </w:p>
    <w:p w14:paraId="1160646E" w14:textId="77777777" w:rsidR="00CF2729" w:rsidRPr="001F224B" w:rsidRDefault="00CF2729" w:rsidP="00070DBB">
      <w:pPr>
        <w:ind w:left="720" w:firstLine="720"/>
        <w:rPr>
          <w:bCs/>
          <w:sz w:val="16"/>
          <w:szCs w:val="16"/>
        </w:rPr>
      </w:pPr>
    </w:p>
    <w:p w14:paraId="39F97DE5" w14:textId="77777777" w:rsidR="00E66603" w:rsidRPr="001F224B" w:rsidRDefault="00E66603" w:rsidP="00070DBB">
      <w:pPr>
        <w:ind w:left="720" w:firstLine="720"/>
        <w:rPr>
          <w:bCs/>
          <w:sz w:val="16"/>
          <w:szCs w:val="16"/>
        </w:rPr>
      </w:pPr>
    </w:p>
    <w:p w14:paraId="335F7AEE" w14:textId="0C0500E0" w:rsidR="00A33D13" w:rsidRPr="001F224B" w:rsidRDefault="008C2521" w:rsidP="00002BC4">
      <w:pPr>
        <w:jc w:val="center"/>
        <w:rPr>
          <w:bCs/>
          <w:sz w:val="16"/>
          <w:szCs w:val="16"/>
        </w:rPr>
        <w:sectPr w:rsidR="00A33D13" w:rsidRPr="001F224B" w:rsidSect="008D64CC">
          <w:headerReference w:type="default" r:id="rId86"/>
          <w:headerReference w:type="first" r:id="rId87"/>
          <w:footerReference w:type="first" r:id="rId88"/>
          <w:pgSz w:w="11907" w:h="16840" w:code="9"/>
          <w:pgMar w:top="680" w:right="964" w:bottom="567" w:left="1134" w:header="624" w:footer="397" w:gutter="0"/>
          <w:cols w:space="708"/>
          <w:titlePg/>
          <w:docGrid w:linePitch="326"/>
        </w:sectPr>
      </w:pPr>
      <w:r w:rsidRPr="001F224B">
        <w:rPr>
          <w:bCs/>
          <w:sz w:val="16"/>
          <w:szCs w:val="16"/>
        </w:rPr>
        <w:t xml:space="preserve">İlişikteki açıklama ve dipnotlar bu </w:t>
      </w:r>
      <w:r w:rsidR="00376F67" w:rsidRPr="001F224B">
        <w:rPr>
          <w:bCs/>
          <w:sz w:val="16"/>
          <w:szCs w:val="16"/>
        </w:rPr>
        <w:t xml:space="preserve">konsolide </w:t>
      </w:r>
      <w:r w:rsidRPr="001F224B">
        <w:rPr>
          <w:bCs/>
          <w:sz w:val="16"/>
          <w:szCs w:val="16"/>
        </w:rPr>
        <w:t>finansal tabloların tamamlayıcı parçalarıdır.</w:t>
      </w:r>
    </w:p>
    <w:tbl>
      <w:tblPr>
        <w:tblW w:w="9843" w:type="dxa"/>
        <w:tblInd w:w="-19" w:type="dxa"/>
        <w:tblLook w:val="0000" w:firstRow="0" w:lastRow="0" w:firstColumn="0" w:lastColumn="0" w:noHBand="0" w:noVBand="0"/>
      </w:tblPr>
      <w:tblGrid>
        <w:gridCol w:w="498"/>
        <w:gridCol w:w="5549"/>
        <w:gridCol w:w="1906"/>
        <w:gridCol w:w="1890"/>
      </w:tblGrid>
      <w:tr w:rsidR="001722E6" w:rsidRPr="001F224B" w14:paraId="00116D00" w14:textId="77777777" w:rsidTr="000608C7">
        <w:trPr>
          <w:trHeight w:val="113"/>
        </w:trPr>
        <w:tc>
          <w:tcPr>
            <w:tcW w:w="6047" w:type="dxa"/>
            <w:gridSpan w:val="2"/>
            <w:vMerge w:val="restart"/>
            <w:tcBorders>
              <w:top w:val="single" w:sz="4" w:space="0" w:color="auto"/>
              <w:left w:val="single" w:sz="4" w:space="0" w:color="auto"/>
              <w:right w:val="nil"/>
            </w:tcBorders>
            <w:noWrap/>
            <w:vAlign w:val="bottom"/>
          </w:tcPr>
          <w:p w14:paraId="70FBD3E6" w14:textId="77777777" w:rsidR="001722E6" w:rsidRPr="001F224B" w:rsidRDefault="001722E6" w:rsidP="001722E6">
            <w:pPr>
              <w:tabs>
                <w:tab w:val="left" w:pos="702"/>
              </w:tabs>
              <w:ind w:left="522" w:hanging="522"/>
              <w:rPr>
                <w:b/>
                <w:bCs/>
                <w:sz w:val="13"/>
                <w:szCs w:val="13"/>
              </w:rPr>
            </w:pPr>
            <w:r w:rsidRPr="001F224B">
              <w:rPr>
                <w:b/>
                <w:bCs/>
                <w:sz w:val="13"/>
                <w:szCs w:val="13"/>
              </w:rPr>
              <w:t xml:space="preserve">IV.        </w:t>
            </w:r>
            <w:r w:rsidR="00D14469" w:rsidRPr="001F224B">
              <w:rPr>
                <w:b/>
                <w:bCs/>
                <w:sz w:val="13"/>
                <w:szCs w:val="13"/>
              </w:rPr>
              <w:t xml:space="preserve">KONSOLİDE </w:t>
            </w:r>
            <w:r w:rsidRPr="001F224B">
              <w:rPr>
                <w:b/>
                <w:bCs/>
                <w:sz w:val="13"/>
                <w:szCs w:val="13"/>
              </w:rPr>
              <w:t>KAR VEYA ZARAR VE DİĞER KAPSAMLI GELİR TABLOSU</w:t>
            </w:r>
          </w:p>
          <w:p w14:paraId="07FD1DC9" w14:textId="77777777" w:rsidR="001722E6" w:rsidRPr="001F224B" w:rsidRDefault="001722E6" w:rsidP="001722E6">
            <w:pPr>
              <w:rPr>
                <w:sz w:val="13"/>
                <w:szCs w:val="13"/>
              </w:rPr>
            </w:pPr>
          </w:p>
        </w:tc>
        <w:tc>
          <w:tcPr>
            <w:tcW w:w="1906" w:type="dxa"/>
            <w:tcBorders>
              <w:top w:val="single" w:sz="4" w:space="0" w:color="auto"/>
              <w:left w:val="single" w:sz="4" w:space="0" w:color="auto"/>
              <w:right w:val="single" w:sz="4" w:space="0" w:color="auto"/>
            </w:tcBorders>
            <w:vAlign w:val="bottom"/>
          </w:tcPr>
          <w:p w14:paraId="0165EFC8" w14:textId="20F7287D" w:rsidR="00A1696E" w:rsidRPr="001F224B" w:rsidRDefault="00F7362F" w:rsidP="00A1696E">
            <w:pPr>
              <w:jc w:val="center"/>
              <w:rPr>
                <w:b/>
                <w:bCs/>
                <w:sz w:val="13"/>
                <w:szCs w:val="13"/>
              </w:rPr>
            </w:pPr>
            <w:r w:rsidRPr="001F224B">
              <w:rPr>
                <w:rFonts w:eastAsia="Arial Unicode MS"/>
                <w:b/>
                <w:bCs/>
                <w:sz w:val="13"/>
                <w:szCs w:val="13"/>
              </w:rPr>
              <w:t>Sınırlı</w:t>
            </w:r>
            <w:r w:rsidR="00A1696E" w:rsidRPr="001F224B">
              <w:rPr>
                <w:rFonts w:eastAsia="Arial Unicode MS"/>
                <w:b/>
                <w:bCs/>
                <w:sz w:val="13"/>
                <w:szCs w:val="13"/>
              </w:rPr>
              <w:t xml:space="preserve"> </w:t>
            </w:r>
            <w:r w:rsidR="00A1696E" w:rsidRPr="001F224B">
              <w:rPr>
                <w:b/>
                <w:bCs/>
                <w:sz w:val="13"/>
                <w:szCs w:val="13"/>
              </w:rPr>
              <w:t xml:space="preserve">Denetimden Geçmiş </w:t>
            </w:r>
          </w:p>
          <w:p w14:paraId="1E774C5C" w14:textId="77777777" w:rsidR="001722E6" w:rsidRPr="001F224B" w:rsidRDefault="001722E6" w:rsidP="001722E6">
            <w:pPr>
              <w:ind w:right="-73"/>
              <w:jc w:val="center"/>
              <w:rPr>
                <w:b/>
                <w:sz w:val="13"/>
                <w:szCs w:val="13"/>
              </w:rPr>
            </w:pPr>
            <w:r w:rsidRPr="001F224B">
              <w:rPr>
                <w:b/>
                <w:sz w:val="13"/>
                <w:szCs w:val="13"/>
              </w:rPr>
              <w:t>Cari Dönem</w:t>
            </w:r>
          </w:p>
        </w:tc>
        <w:tc>
          <w:tcPr>
            <w:tcW w:w="1890" w:type="dxa"/>
            <w:vMerge w:val="restart"/>
            <w:tcBorders>
              <w:top w:val="single" w:sz="4" w:space="0" w:color="auto"/>
              <w:left w:val="single" w:sz="4" w:space="0" w:color="auto"/>
              <w:right w:val="single" w:sz="4" w:space="0" w:color="auto"/>
            </w:tcBorders>
            <w:vAlign w:val="bottom"/>
          </w:tcPr>
          <w:p w14:paraId="5F99E77C" w14:textId="1226FA12" w:rsidR="00A1696E" w:rsidRPr="001F224B" w:rsidRDefault="00F7362F" w:rsidP="00A1696E">
            <w:pPr>
              <w:jc w:val="center"/>
              <w:rPr>
                <w:b/>
                <w:bCs/>
                <w:sz w:val="13"/>
                <w:szCs w:val="13"/>
              </w:rPr>
            </w:pPr>
            <w:r w:rsidRPr="001F224B">
              <w:rPr>
                <w:rFonts w:eastAsia="Arial Unicode MS"/>
                <w:b/>
                <w:bCs/>
                <w:sz w:val="13"/>
                <w:szCs w:val="13"/>
              </w:rPr>
              <w:t>Sınırlı</w:t>
            </w:r>
            <w:r w:rsidR="00A1696E" w:rsidRPr="001F224B">
              <w:rPr>
                <w:rFonts w:eastAsia="Arial Unicode MS"/>
                <w:b/>
                <w:bCs/>
                <w:sz w:val="13"/>
                <w:szCs w:val="13"/>
              </w:rPr>
              <w:t xml:space="preserve"> </w:t>
            </w:r>
            <w:r w:rsidR="00A1696E" w:rsidRPr="001F224B">
              <w:rPr>
                <w:b/>
                <w:bCs/>
                <w:sz w:val="13"/>
                <w:szCs w:val="13"/>
              </w:rPr>
              <w:t xml:space="preserve">Denetimden Geçmiş </w:t>
            </w:r>
          </w:p>
          <w:p w14:paraId="04547EC8" w14:textId="24CBCB6A" w:rsidR="00A1696E" w:rsidRPr="001F224B" w:rsidRDefault="00A1696E" w:rsidP="00A1696E">
            <w:pPr>
              <w:jc w:val="center"/>
              <w:rPr>
                <w:b/>
                <w:bCs/>
                <w:sz w:val="13"/>
                <w:szCs w:val="13"/>
              </w:rPr>
            </w:pPr>
            <w:r w:rsidRPr="001F224B">
              <w:rPr>
                <w:rFonts w:eastAsia="Arial Unicode MS"/>
                <w:b/>
                <w:bCs/>
                <w:sz w:val="13"/>
                <w:szCs w:val="13"/>
              </w:rPr>
              <w:t>Önceki Dönem</w:t>
            </w:r>
          </w:p>
          <w:p w14:paraId="2F342F90" w14:textId="4A538959" w:rsidR="001722E6" w:rsidRPr="001F224B" w:rsidRDefault="00A1696E" w:rsidP="00A1696E">
            <w:pPr>
              <w:ind w:right="-73"/>
              <w:jc w:val="center"/>
              <w:rPr>
                <w:b/>
                <w:bCs/>
                <w:sz w:val="13"/>
                <w:szCs w:val="13"/>
              </w:rPr>
            </w:pPr>
            <w:r w:rsidRPr="001F224B">
              <w:rPr>
                <w:b/>
                <w:bCs/>
                <w:sz w:val="13"/>
                <w:szCs w:val="13"/>
              </w:rPr>
              <w:t>1 Ocak-3</w:t>
            </w:r>
            <w:r w:rsidR="007B0E7B" w:rsidRPr="001F224B">
              <w:rPr>
                <w:b/>
                <w:bCs/>
                <w:sz w:val="13"/>
                <w:szCs w:val="13"/>
              </w:rPr>
              <w:t>0 Haziran</w:t>
            </w:r>
            <w:r w:rsidRPr="001F224B">
              <w:rPr>
                <w:b/>
                <w:bCs/>
                <w:sz w:val="13"/>
                <w:szCs w:val="13"/>
              </w:rPr>
              <w:t xml:space="preserve"> 202</w:t>
            </w:r>
            <w:r w:rsidR="00F7362F" w:rsidRPr="001F224B">
              <w:rPr>
                <w:b/>
                <w:bCs/>
                <w:sz w:val="13"/>
                <w:szCs w:val="13"/>
              </w:rPr>
              <w:t>4</w:t>
            </w:r>
          </w:p>
        </w:tc>
      </w:tr>
      <w:tr w:rsidR="001722E6" w:rsidRPr="001F224B" w14:paraId="24FE4ABE" w14:textId="77777777" w:rsidTr="000608C7">
        <w:trPr>
          <w:trHeight w:val="66"/>
        </w:trPr>
        <w:tc>
          <w:tcPr>
            <w:tcW w:w="6047" w:type="dxa"/>
            <w:gridSpan w:val="2"/>
            <w:vMerge/>
            <w:tcBorders>
              <w:left w:val="single" w:sz="4" w:space="0" w:color="auto"/>
              <w:bottom w:val="single" w:sz="4" w:space="0" w:color="auto"/>
              <w:right w:val="single" w:sz="4" w:space="0" w:color="auto"/>
            </w:tcBorders>
            <w:noWrap/>
            <w:vAlign w:val="bottom"/>
          </w:tcPr>
          <w:p w14:paraId="378F49A1" w14:textId="77777777" w:rsidR="001722E6" w:rsidRPr="001F224B" w:rsidRDefault="001722E6" w:rsidP="001722E6">
            <w:pPr>
              <w:rPr>
                <w:b/>
                <w:bCs/>
                <w:sz w:val="13"/>
                <w:szCs w:val="13"/>
              </w:rPr>
            </w:pPr>
          </w:p>
        </w:tc>
        <w:tc>
          <w:tcPr>
            <w:tcW w:w="1906" w:type="dxa"/>
            <w:tcBorders>
              <w:top w:val="nil"/>
              <w:left w:val="nil"/>
              <w:bottom w:val="single" w:sz="4" w:space="0" w:color="auto"/>
              <w:right w:val="single" w:sz="4" w:space="0" w:color="auto"/>
            </w:tcBorders>
            <w:noWrap/>
            <w:vAlign w:val="bottom"/>
          </w:tcPr>
          <w:p w14:paraId="0F087AE9" w14:textId="0CBAC62A" w:rsidR="001722E6" w:rsidRPr="001F224B" w:rsidRDefault="00D314CA" w:rsidP="00950730">
            <w:pPr>
              <w:ind w:right="-73"/>
              <w:jc w:val="center"/>
              <w:rPr>
                <w:b/>
                <w:sz w:val="13"/>
                <w:szCs w:val="13"/>
              </w:rPr>
            </w:pPr>
            <w:r w:rsidRPr="001F224B">
              <w:rPr>
                <w:b/>
                <w:bCs/>
                <w:sz w:val="13"/>
                <w:szCs w:val="13"/>
              </w:rPr>
              <w:t>1 Ocak-</w:t>
            </w:r>
            <w:r w:rsidR="00A1696E" w:rsidRPr="001F224B">
              <w:rPr>
                <w:b/>
                <w:bCs/>
                <w:sz w:val="13"/>
                <w:szCs w:val="13"/>
              </w:rPr>
              <w:t>3</w:t>
            </w:r>
            <w:r w:rsidR="007B0E7B" w:rsidRPr="001F224B">
              <w:rPr>
                <w:b/>
                <w:bCs/>
                <w:sz w:val="13"/>
                <w:szCs w:val="13"/>
              </w:rPr>
              <w:t>0</w:t>
            </w:r>
            <w:r w:rsidR="00A1696E" w:rsidRPr="001F224B">
              <w:rPr>
                <w:b/>
                <w:bCs/>
                <w:sz w:val="13"/>
                <w:szCs w:val="13"/>
              </w:rPr>
              <w:t xml:space="preserve"> </w:t>
            </w:r>
            <w:r w:rsidR="007B0E7B" w:rsidRPr="001F224B">
              <w:rPr>
                <w:b/>
                <w:bCs/>
                <w:sz w:val="13"/>
                <w:szCs w:val="13"/>
              </w:rPr>
              <w:t>Haziran</w:t>
            </w:r>
            <w:r w:rsidR="00A1696E" w:rsidRPr="001F224B">
              <w:rPr>
                <w:b/>
                <w:bCs/>
                <w:sz w:val="13"/>
                <w:szCs w:val="13"/>
              </w:rPr>
              <w:t xml:space="preserve"> </w:t>
            </w:r>
            <w:r w:rsidRPr="001F224B">
              <w:rPr>
                <w:b/>
                <w:bCs/>
                <w:sz w:val="13"/>
                <w:szCs w:val="13"/>
              </w:rPr>
              <w:t>202</w:t>
            </w:r>
            <w:r w:rsidR="00F7362F" w:rsidRPr="001F224B">
              <w:rPr>
                <w:b/>
                <w:bCs/>
                <w:sz w:val="13"/>
                <w:szCs w:val="13"/>
              </w:rPr>
              <w:t>5</w:t>
            </w:r>
          </w:p>
        </w:tc>
        <w:tc>
          <w:tcPr>
            <w:tcW w:w="1890" w:type="dxa"/>
            <w:vMerge/>
            <w:tcBorders>
              <w:left w:val="single" w:sz="4" w:space="0" w:color="auto"/>
              <w:bottom w:val="single" w:sz="4" w:space="0" w:color="auto"/>
              <w:right w:val="single" w:sz="4" w:space="0" w:color="auto"/>
            </w:tcBorders>
            <w:vAlign w:val="bottom"/>
          </w:tcPr>
          <w:p w14:paraId="53600074" w14:textId="77777777" w:rsidR="001722E6" w:rsidRPr="001F224B" w:rsidRDefault="001722E6" w:rsidP="001722E6">
            <w:pPr>
              <w:ind w:right="-73"/>
              <w:jc w:val="center"/>
              <w:rPr>
                <w:b/>
                <w:sz w:val="13"/>
                <w:szCs w:val="13"/>
              </w:rPr>
            </w:pPr>
          </w:p>
        </w:tc>
      </w:tr>
      <w:tr w:rsidR="000B7E4D" w:rsidRPr="001F224B" w14:paraId="07114CF3" w14:textId="77777777" w:rsidTr="000B7E4D">
        <w:trPr>
          <w:trHeight w:val="255"/>
        </w:trPr>
        <w:tc>
          <w:tcPr>
            <w:tcW w:w="498" w:type="dxa"/>
            <w:tcBorders>
              <w:top w:val="nil"/>
              <w:left w:val="single" w:sz="4" w:space="0" w:color="auto"/>
              <w:bottom w:val="nil"/>
              <w:right w:val="nil"/>
            </w:tcBorders>
            <w:noWrap/>
            <w:vAlign w:val="bottom"/>
          </w:tcPr>
          <w:p w14:paraId="4A862461" w14:textId="64FB55CC" w:rsidR="000B7E4D" w:rsidRPr="001F224B" w:rsidRDefault="000B7E4D" w:rsidP="000B7E4D">
            <w:pPr>
              <w:jc w:val="both"/>
              <w:rPr>
                <w:b/>
                <w:bCs/>
                <w:sz w:val="13"/>
                <w:szCs w:val="13"/>
              </w:rPr>
            </w:pPr>
            <w:r w:rsidRPr="001F224B">
              <w:rPr>
                <w:b/>
                <w:bCs/>
                <w:sz w:val="13"/>
                <w:szCs w:val="13"/>
              </w:rPr>
              <w:t>I.</w:t>
            </w:r>
          </w:p>
        </w:tc>
        <w:tc>
          <w:tcPr>
            <w:tcW w:w="5549" w:type="dxa"/>
            <w:tcBorders>
              <w:top w:val="nil"/>
              <w:left w:val="nil"/>
              <w:bottom w:val="nil"/>
              <w:right w:val="single" w:sz="4" w:space="0" w:color="auto"/>
            </w:tcBorders>
            <w:vAlign w:val="bottom"/>
          </w:tcPr>
          <w:p w14:paraId="172E7069" w14:textId="32CF5FD3" w:rsidR="000B7E4D" w:rsidRPr="001F224B" w:rsidRDefault="000B7E4D" w:rsidP="000B7E4D">
            <w:pPr>
              <w:rPr>
                <w:b/>
                <w:bCs/>
                <w:sz w:val="13"/>
                <w:szCs w:val="13"/>
              </w:rPr>
            </w:pPr>
            <w:r w:rsidRPr="001F224B">
              <w:rPr>
                <w:b/>
                <w:bCs/>
                <w:sz w:val="13"/>
                <w:szCs w:val="13"/>
              </w:rPr>
              <w:t xml:space="preserve">DÖNEM KARI/ZARARI </w:t>
            </w:r>
          </w:p>
        </w:tc>
        <w:tc>
          <w:tcPr>
            <w:tcW w:w="1906" w:type="dxa"/>
            <w:tcBorders>
              <w:top w:val="nil"/>
              <w:left w:val="single" w:sz="4" w:space="0" w:color="auto"/>
              <w:bottom w:val="nil"/>
              <w:right w:val="single" w:sz="4" w:space="0" w:color="auto"/>
            </w:tcBorders>
            <w:noWrap/>
            <w:vAlign w:val="bottom"/>
          </w:tcPr>
          <w:p w14:paraId="6B9B3772" w14:textId="4DEF98CC" w:rsidR="000B7E4D" w:rsidRPr="001F224B" w:rsidRDefault="000B7E4D" w:rsidP="000B7E4D">
            <w:pPr>
              <w:jc w:val="right"/>
              <w:rPr>
                <w:b/>
                <w:bCs/>
                <w:sz w:val="13"/>
                <w:szCs w:val="13"/>
              </w:rPr>
            </w:pPr>
            <w:r w:rsidRPr="001F224B">
              <w:rPr>
                <w:b/>
                <w:bCs/>
                <w:sz w:val="13"/>
                <w:szCs w:val="13"/>
              </w:rPr>
              <w:t xml:space="preserve"> 4.013.756 </w:t>
            </w:r>
          </w:p>
        </w:tc>
        <w:tc>
          <w:tcPr>
            <w:tcW w:w="1890" w:type="dxa"/>
            <w:tcBorders>
              <w:top w:val="single" w:sz="4" w:space="0" w:color="auto"/>
              <w:left w:val="single" w:sz="4" w:space="0" w:color="auto"/>
              <w:bottom w:val="nil"/>
              <w:right w:val="single" w:sz="4" w:space="0" w:color="auto"/>
            </w:tcBorders>
            <w:vAlign w:val="bottom"/>
          </w:tcPr>
          <w:p w14:paraId="3CAAFF4F" w14:textId="39D53E0D" w:rsidR="000B7E4D" w:rsidRPr="001F224B" w:rsidRDefault="000B7E4D" w:rsidP="000B7E4D">
            <w:pPr>
              <w:jc w:val="right"/>
              <w:rPr>
                <w:b/>
                <w:bCs/>
                <w:sz w:val="13"/>
                <w:szCs w:val="13"/>
              </w:rPr>
            </w:pPr>
            <w:r w:rsidRPr="001F224B">
              <w:rPr>
                <w:b/>
                <w:bCs/>
                <w:sz w:val="13"/>
                <w:szCs w:val="13"/>
              </w:rPr>
              <w:t>2.732.550</w:t>
            </w:r>
          </w:p>
        </w:tc>
      </w:tr>
      <w:tr w:rsidR="000B7E4D" w:rsidRPr="001F224B" w14:paraId="1064A400" w14:textId="77777777" w:rsidTr="000B7E4D">
        <w:trPr>
          <w:trHeight w:val="255"/>
        </w:trPr>
        <w:tc>
          <w:tcPr>
            <w:tcW w:w="498" w:type="dxa"/>
            <w:tcBorders>
              <w:top w:val="nil"/>
              <w:left w:val="single" w:sz="4" w:space="0" w:color="auto"/>
              <w:bottom w:val="nil"/>
              <w:right w:val="nil"/>
            </w:tcBorders>
            <w:noWrap/>
            <w:vAlign w:val="bottom"/>
          </w:tcPr>
          <w:p w14:paraId="3DC1B230" w14:textId="6F688C58" w:rsidR="000B7E4D" w:rsidRPr="001F224B" w:rsidRDefault="000B7E4D" w:rsidP="000B7E4D">
            <w:pPr>
              <w:jc w:val="both"/>
              <w:rPr>
                <w:b/>
                <w:bCs/>
                <w:sz w:val="13"/>
                <w:szCs w:val="13"/>
              </w:rPr>
            </w:pPr>
            <w:r w:rsidRPr="001F224B">
              <w:rPr>
                <w:b/>
                <w:bCs/>
                <w:sz w:val="13"/>
                <w:szCs w:val="13"/>
              </w:rPr>
              <w:t>II.</w:t>
            </w:r>
          </w:p>
        </w:tc>
        <w:tc>
          <w:tcPr>
            <w:tcW w:w="5549" w:type="dxa"/>
            <w:tcBorders>
              <w:top w:val="nil"/>
              <w:left w:val="nil"/>
              <w:bottom w:val="nil"/>
              <w:right w:val="single" w:sz="4" w:space="0" w:color="auto"/>
            </w:tcBorders>
            <w:vAlign w:val="bottom"/>
          </w:tcPr>
          <w:p w14:paraId="4ADD9FD9" w14:textId="71F81370" w:rsidR="000B7E4D" w:rsidRPr="001F224B" w:rsidRDefault="000B7E4D" w:rsidP="000B7E4D">
            <w:pPr>
              <w:rPr>
                <w:b/>
                <w:bCs/>
                <w:sz w:val="13"/>
                <w:szCs w:val="13"/>
              </w:rPr>
            </w:pPr>
            <w:r w:rsidRPr="001F224B">
              <w:rPr>
                <w:b/>
                <w:bCs/>
                <w:sz w:val="13"/>
                <w:szCs w:val="13"/>
              </w:rPr>
              <w:t>DİĞER KAPSAMLI GELİRLER</w:t>
            </w:r>
          </w:p>
        </w:tc>
        <w:tc>
          <w:tcPr>
            <w:tcW w:w="1906" w:type="dxa"/>
            <w:tcBorders>
              <w:top w:val="nil"/>
              <w:left w:val="single" w:sz="4" w:space="0" w:color="auto"/>
              <w:bottom w:val="nil"/>
              <w:right w:val="single" w:sz="4" w:space="0" w:color="auto"/>
            </w:tcBorders>
            <w:noWrap/>
            <w:vAlign w:val="bottom"/>
          </w:tcPr>
          <w:p w14:paraId="334A1B74" w14:textId="6A3D7B48" w:rsidR="000B7E4D" w:rsidRPr="001F224B" w:rsidRDefault="000B7E4D" w:rsidP="000B7E4D">
            <w:pPr>
              <w:jc w:val="right"/>
              <w:rPr>
                <w:b/>
                <w:bCs/>
                <w:sz w:val="13"/>
                <w:szCs w:val="13"/>
              </w:rPr>
            </w:pPr>
            <w:r w:rsidRPr="001F224B">
              <w:rPr>
                <w:b/>
                <w:bCs/>
                <w:sz w:val="13"/>
                <w:szCs w:val="13"/>
              </w:rPr>
              <w:t xml:space="preserve"> 8.344 </w:t>
            </w:r>
          </w:p>
        </w:tc>
        <w:tc>
          <w:tcPr>
            <w:tcW w:w="1890" w:type="dxa"/>
            <w:tcBorders>
              <w:top w:val="nil"/>
              <w:left w:val="single" w:sz="4" w:space="0" w:color="auto"/>
              <w:bottom w:val="nil"/>
              <w:right w:val="single" w:sz="4" w:space="0" w:color="auto"/>
            </w:tcBorders>
            <w:vAlign w:val="bottom"/>
          </w:tcPr>
          <w:p w14:paraId="3D0BFFE4" w14:textId="38662DDC" w:rsidR="000B7E4D" w:rsidRPr="001F224B" w:rsidRDefault="000B7E4D" w:rsidP="000B7E4D">
            <w:pPr>
              <w:jc w:val="right"/>
              <w:rPr>
                <w:b/>
                <w:bCs/>
                <w:sz w:val="13"/>
                <w:szCs w:val="13"/>
              </w:rPr>
            </w:pPr>
            <w:r w:rsidRPr="001F224B">
              <w:rPr>
                <w:b/>
                <w:sz w:val="13"/>
                <w:szCs w:val="13"/>
              </w:rPr>
              <w:t>(2.243)</w:t>
            </w:r>
          </w:p>
        </w:tc>
      </w:tr>
      <w:tr w:rsidR="007B0E7B" w:rsidRPr="001F224B" w14:paraId="7B53F3E5" w14:textId="77777777" w:rsidTr="005F0BD9">
        <w:trPr>
          <w:trHeight w:val="255"/>
        </w:trPr>
        <w:tc>
          <w:tcPr>
            <w:tcW w:w="498" w:type="dxa"/>
            <w:tcBorders>
              <w:top w:val="nil"/>
              <w:left w:val="single" w:sz="4" w:space="0" w:color="auto"/>
              <w:bottom w:val="nil"/>
              <w:right w:val="nil"/>
            </w:tcBorders>
            <w:noWrap/>
            <w:vAlign w:val="bottom"/>
          </w:tcPr>
          <w:p w14:paraId="7FF44320" w14:textId="2CF20CDC" w:rsidR="007B0E7B" w:rsidRPr="001F224B" w:rsidRDefault="007B0E7B" w:rsidP="007B0E7B">
            <w:pPr>
              <w:rPr>
                <w:b/>
                <w:bCs/>
                <w:sz w:val="13"/>
                <w:szCs w:val="13"/>
              </w:rPr>
            </w:pPr>
            <w:r w:rsidRPr="001F224B">
              <w:rPr>
                <w:b/>
                <w:bCs/>
                <w:sz w:val="13"/>
                <w:szCs w:val="13"/>
              </w:rPr>
              <w:t>2.1</w:t>
            </w:r>
          </w:p>
        </w:tc>
        <w:tc>
          <w:tcPr>
            <w:tcW w:w="5549" w:type="dxa"/>
            <w:tcBorders>
              <w:top w:val="nil"/>
              <w:left w:val="nil"/>
              <w:bottom w:val="nil"/>
              <w:right w:val="single" w:sz="4" w:space="0" w:color="auto"/>
            </w:tcBorders>
            <w:vAlign w:val="bottom"/>
          </w:tcPr>
          <w:p w14:paraId="58C02C7E" w14:textId="3521AD07" w:rsidR="007B0E7B" w:rsidRPr="001F224B" w:rsidRDefault="007B0E7B" w:rsidP="007B0E7B">
            <w:pPr>
              <w:rPr>
                <w:b/>
                <w:bCs/>
                <w:sz w:val="13"/>
                <w:szCs w:val="13"/>
              </w:rPr>
            </w:pPr>
            <w:r w:rsidRPr="001F224B">
              <w:rPr>
                <w:b/>
                <w:bCs/>
                <w:sz w:val="13"/>
                <w:szCs w:val="13"/>
              </w:rPr>
              <w:t>Kar veya Zarara Yeniden Sınıflandırılmayacaklar</w:t>
            </w:r>
          </w:p>
        </w:tc>
        <w:tc>
          <w:tcPr>
            <w:tcW w:w="1906" w:type="dxa"/>
            <w:tcBorders>
              <w:top w:val="nil"/>
              <w:left w:val="single" w:sz="4" w:space="0" w:color="auto"/>
              <w:bottom w:val="nil"/>
              <w:right w:val="single" w:sz="4" w:space="0" w:color="auto"/>
            </w:tcBorders>
            <w:noWrap/>
            <w:vAlign w:val="bottom"/>
          </w:tcPr>
          <w:p w14:paraId="5F77C001" w14:textId="75BB4905" w:rsidR="007B0E7B" w:rsidRPr="001F224B" w:rsidRDefault="007B0E7B" w:rsidP="007B0E7B">
            <w:pPr>
              <w:jc w:val="right"/>
              <w:rPr>
                <w:sz w:val="13"/>
                <w:szCs w:val="13"/>
              </w:rPr>
            </w:pPr>
            <w:r w:rsidRPr="001F224B">
              <w:rPr>
                <w:sz w:val="13"/>
                <w:szCs w:val="13"/>
              </w:rPr>
              <w:t xml:space="preserve">- </w:t>
            </w:r>
          </w:p>
        </w:tc>
        <w:tc>
          <w:tcPr>
            <w:tcW w:w="1890" w:type="dxa"/>
            <w:tcBorders>
              <w:top w:val="nil"/>
              <w:left w:val="single" w:sz="4" w:space="0" w:color="auto"/>
              <w:bottom w:val="nil"/>
              <w:right w:val="single" w:sz="4" w:space="0" w:color="auto"/>
            </w:tcBorders>
            <w:vAlign w:val="bottom"/>
          </w:tcPr>
          <w:p w14:paraId="100DC53A" w14:textId="1124F994" w:rsidR="007B0E7B" w:rsidRPr="001F224B" w:rsidRDefault="007B0E7B" w:rsidP="007B0E7B">
            <w:pPr>
              <w:jc w:val="right"/>
              <w:rPr>
                <w:b/>
                <w:bCs/>
                <w:sz w:val="13"/>
                <w:szCs w:val="13"/>
              </w:rPr>
            </w:pPr>
            <w:r w:rsidRPr="001F224B">
              <w:rPr>
                <w:b/>
                <w:sz w:val="13"/>
                <w:szCs w:val="13"/>
              </w:rPr>
              <w:t>-</w:t>
            </w:r>
          </w:p>
        </w:tc>
      </w:tr>
      <w:tr w:rsidR="007B0E7B" w:rsidRPr="001F224B" w14:paraId="6AC757AC" w14:textId="77777777" w:rsidTr="005F0BD9">
        <w:trPr>
          <w:trHeight w:val="255"/>
        </w:trPr>
        <w:tc>
          <w:tcPr>
            <w:tcW w:w="498" w:type="dxa"/>
            <w:tcBorders>
              <w:top w:val="nil"/>
              <w:left w:val="single" w:sz="4" w:space="0" w:color="auto"/>
              <w:bottom w:val="nil"/>
              <w:right w:val="nil"/>
            </w:tcBorders>
            <w:noWrap/>
            <w:vAlign w:val="bottom"/>
          </w:tcPr>
          <w:p w14:paraId="5EC09060" w14:textId="236AE753" w:rsidR="007B0E7B" w:rsidRPr="001F224B" w:rsidRDefault="007B0E7B" w:rsidP="007B0E7B">
            <w:pPr>
              <w:rPr>
                <w:sz w:val="13"/>
                <w:szCs w:val="13"/>
              </w:rPr>
            </w:pPr>
            <w:r w:rsidRPr="001F224B">
              <w:rPr>
                <w:sz w:val="13"/>
                <w:szCs w:val="13"/>
              </w:rPr>
              <w:t>2.1.1</w:t>
            </w:r>
          </w:p>
        </w:tc>
        <w:tc>
          <w:tcPr>
            <w:tcW w:w="5549" w:type="dxa"/>
            <w:tcBorders>
              <w:top w:val="nil"/>
              <w:left w:val="nil"/>
              <w:bottom w:val="nil"/>
              <w:right w:val="single" w:sz="4" w:space="0" w:color="auto"/>
            </w:tcBorders>
            <w:vAlign w:val="bottom"/>
          </w:tcPr>
          <w:p w14:paraId="1C6F9A34" w14:textId="4385A191" w:rsidR="007B0E7B" w:rsidRPr="001F224B" w:rsidRDefault="007B0E7B" w:rsidP="007B0E7B">
            <w:pPr>
              <w:rPr>
                <w:sz w:val="13"/>
                <w:szCs w:val="13"/>
              </w:rPr>
            </w:pPr>
            <w:r w:rsidRPr="001F224B">
              <w:rPr>
                <w:sz w:val="13"/>
                <w:szCs w:val="13"/>
              </w:rPr>
              <w:t>Maddi Duran Varlıklar Yeniden Değerleme Artışları/Azalışları</w:t>
            </w:r>
          </w:p>
        </w:tc>
        <w:tc>
          <w:tcPr>
            <w:tcW w:w="1906" w:type="dxa"/>
            <w:tcBorders>
              <w:top w:val="nil"/>
              <w:left w:val="single" w:sz="4" w:space="0" w:color="auto"/>
              <w:bottom w:val="nil"/>
              <w:right w:val="single" w:sz="4" w:space="0" w:color="auto"/>
            </w:tcBorders>
            <w:noWrap/>
            <w:vAlign w:val="bottom"/>
          </w:tcPr>
          <w:p w14:paraId="007B82E1" w14:textId="322FED77"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1D5897E1" w14:textId="2C15C4EE" w:rsidR="007B0E7B" w:rsidRPr="001F224B" w:rsidRDefault="007B0E7B" w:rsidP="007B0E7B">
            <w:pPr>
              <w:jc w:val="right"/>
              <w:rPr>
                <w:b/>
                <w:sz w:val="13"/>
                <w:szCs w:val="13"/>
              </w:rPr>
            </w:pPr>
            <w:r w:rsidRPr="001F224B">
              <w:rPr>
                <w:sz w:val="13"/>
                <w:szCs w:val="13"/>
              </w:rPr>
              <w:t>-</w:t>
            </w:r>
          </w:p>
        </w:tc>
      </w:tr>
      <w:tr w:rsidR="007B0E7B" w:rsidRPr="001F224B" w14:paraId="51874475" w14:textId="77777777" w:rsidTr="005F0BD9">
        <w:trPr>
          <w:trHeight w:val="255"/>
        </w:trPr>
        <w:tc>
          <w:tcPr>
            <w:tcW w:w="498" w:type="dxa"/>
            <w:tcBorders>
              <w:top w:val="nil"/>
              <w:left w:val="single" w:sz="4" w:space="0" w:color="auto"/>
              <w:right w:val="nil"/>
            </w:tcBorders>
            <w:noWrap/>
            <w:vAlign w:val="bottom"/>
          </w:tcPr>
          <w:p w14:paraId="7C7B4B04" w14:textId="609F4716" w:rsidR="007B0E7B" w:rsidRPr="001F224B" w:rsidRDefault="007B0E7B" w:rsidP="007B0E7B">
            <w:pPr>
              <w:rPr>
                <w:sz w:val="13"/>
                <w:szCs w:val="13"/>
              </w:rPr>
            </w:pPr>
            <w:r w:rsidRPr="001F224B">
              <w:rPr>
                <w:sz w:val="13"/>
                <w:szCs w:val="13"/>
              </w:rPr>
              <w:t>2.1.2</w:t>
            </w:r>
          </w:p>
        </w:tc>
        <w:tc>
          <w:tcPr>
            <w:tcW w:w="5549" w:type="dxa"/>
            <w:tcBorders>
              <w:top w:val="nil"/>
              <w:left w:val="nil"/>
              <w:bottom w:val="nil"/>
              <w:right w:val="single" w:sz="4" w:space="0" w:color="auto"/>
            </w:tcBorders>
            <w:vAlign w:val="bottom"/>
          </w:tcPr>
          <w:p w14:paraId="20F9E5D8" w14:textId="42BCF028" w:rsidR="007B0E7B" w:rsidRPr="001F224B" w:rsidRDefault="007B0E7B" w:rsidP="007B0E7B">
            <w:pPr>
              <w:rPr>
                <w:sz w:val="13"/>
                <w:szCs w:val="13"/>
              </w:rPr>
            </w:pPr>
            <w:r w:rsidRPr="001F224B">
              <w:rPr>
                <w:sz w:val="13"/>
                <w:szCs w:val="13"/>
              </w:rPr>
              <w:t>Maddi Olmayan Duran Varlıklar Yeniden Değerleme Artışları/Azalışları</w:t>
            </w:r>
          </w:p>
        </w:tc>
        <w:tc>
          <w:tcPr>
            <w:tcW w:w="1906" w:type="dxa"/>
            <w:tcBorders>
              <w:top w:val="nil"/>
              <w:left w:val="single" w:sz="4" w:space="0" w:color="auto"/>
              <w:bottom w:val="nil"/>
              <w:right w:val="single" w:sz="4" w:space="0" w:color="auto"/>
            </w:tcBorders>
            <w:noWrap/>
            <w:vAlign w:val="bottom"/>
          </w:tcPr>
          <w:p w14:paraId="2DF36005" w14:textId="77812563"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6CB75D68" w14:textId="198E59FC" w:rsidR="007B0E7B" w:rsidRPr="001F224B" w:rsidRDefault="007B0E7B" w:rsidP="007B0E7B">
            <w:pPr>
              <w:jc w:val="right"/>
              <w:rPr>
                <w:b/>
                <w:sz w:val="13"/>
                <w:szCs w:val="13"/>
              </w:rPr>
            </w:pPr>
            <w:r w:rsidRPr="001F224B">
              <w:rPr>
                <w:sz w:val="13"/>
                <w:szCs w:val="13"/>
              </w:rPr>
              <w:t>-</w:t>
            </w:r>
          </w:p>
        </w:tc>
      </w:tr>
      <w:tr w:rsidR="007B0E7B" w:rsidRPr="001F224B" w14:paraId="35F046CB" w14:textId="77777777" w:rsidTr="005F0BD9">
        <w:trPr>
          <w:trHeight w:val="255"/>
        </w:trPr>
        <w:tc>
          <w:tcPr>
            <w:tcW w:w="498" w:type="dxa"/>
            <w:tcBorders>
              <w:top w:val="nil"/>
              <w:left w:val="single" w:sz="4" w:space="0" w:color="auto"/>
              <w:bottom w:val="nil"/>
              <w:right w:val="nil"/>
            </w:tcBorders>
            <w:noWrap/>
            <w:vAlign w:val="bottom"/>
          </w:tcPr>
          <w:p w14:paraId="4D5A2913" w14:textId="2E0DD2E5" w:rsidR="007B0E7B" w:rsidRPr="001F224B" w:rsidRDefault="007B0E7B" w:rsidP="007B0E7B">
            <w:pPr>
              <w:rPr>
                <w:sz w:val="13"/>
                <w:szCs w:val="13"/>
              </w:rPr>
            </w:pPr>
            <w:r w:rsidRPr="001F224B">
              <w:rPr>
                <w:sz w:val="13"/>
                <w:szCs w:val="13"/>
              </w:rPr>
              <w:t>2.1.3</w:t>
            </w:r>
          </w:p>
        </w:tc>
        <w:tc>
          <w:tcPr>
            <w:tcW w:w="5549" w:type="dxa"/>
            <w:tcBorders>
              <w:top w:val="nil"/>
              <w:left w:val="nil"/>
              <w:bottom w:val="nil"/>
              <w:right w:val="single" w:sz="4" w:space="0" w:color="auto"/>
            </w:tcBorders>
            <w:vAlign w:val="bottom"/>
          </w:tcPr>
          <w:p w14:paraId="16E69F50" w14:textId="05851072" w:rsidR="007B0E7B" w:rsidRPr="001F224B" w:rsidRDefault="007B0E7B" w:rsidP="007B0E7B">
            <w:pPr>
              <w:rPr>
                <w:sz w:val="13"/>
                <w:szCs w:val="13"/>
              </w:rPr>
            </w:pPr>
            <w:r w:rsidRPr="001F224B">
              <w:rPr>
                <w:sz w:val="13"/>
                <w:szCs w:val="13"/>
              </w:rPr>
              <w:t>Tanımlanmış Fayda Planları Yeniden Ölçüm Kazançları/Kayıpları</w:t>
            </w:r>
          </w:p>
        </w:tc>
        <w:tc>
          <w:tcPr>
            <w:tcW w:w="1906" w:type="dxa"/>
            <w:tcBorders>
              <w:top w:val="nil"/>
              <w:left w:val="single" w:sz="4" w:space="0" w:color="auto"/>
              <w:bottom w:val="nil"/>
              <w:right w:val="single" w:sz="4" w:space="0" w:color="auto"/>
            </w:tcBorders>
            <w:noWrap/>
            <w:vAlign w:val="bottom"/>
          </w:tcPr>
          <w:p w14:paraId="287A78A3" w14:textId="22056A9A" w:rsidR="007B0E7B" w:rsidRPr="001F224B" w:rsidRDefault="007B0E7B" w:rsidP="007B0E7B">
            <w:pPr>
              <w:jc w:val="right"/>
              <w:rPr>
                <w:sz w:val="13"/>
                <w:szCs w:val="13"/>
              </w:rPr>
            </w:pPr>
            <w:r w:rsidRPr="001F224B">
              <w:rPr>
                <w:sz w:val="13"/>
                <w:szCs w:val="13"/>
              </w:rPr>
              <w:t xml:space="preserve">- </w:t>
            </w:r>
          </w:p>
        </w:tc>
        <w:tc>
          <w:tcPr>
            <w:tcW w:w="1890" w:type="dxa"/>
            <w:tcBorders>
              <w:top w:val="nil"/>
              <w:left w:val="single" w:sz="4" w:space="0" w:color="auto"/>
              <w:bottom w:val="nil"/>
              <w:right w:val="single" w:sz="4" w:space="0" w:color="auto"/>
            </w:tcBorders>
            <w:vAlign w:val="bottom"/>
          </w:tcPr>
          <w:p w14:paraId="7D72BE02" w14:textId="0AF8A32C" w:rsidR="007B0E7B" w:rsidRPr="001F224B" w:rsidRDefault="007B0E7B" w:rsidP="007B0E7B">
            <w:pPr>
              <w:jc w:val="right"/>
              <w:rPr>
                <w:bCs/>
                <w:sz w:val="13"/>
                <w:szCs w:val="13"/>
              </w:rPr>
            </w:pPr>
            <w:r w:rsidRPr="001F224B">
              <w:rPr>
                <w:sz w:val="13"/>
                <w:szCs w:val="13"/>
              </w:rPr>
              <w:t>-</w:t>
            </w:r>
          </w:p>
        </w:tc>
      </w:tr>
      <w:tr w:rsidR="007B0E7B" w:rsidRPr="001F224B" w14:paraId="4B6E0404" w14:textId="77777777" w:rsidTr="005F0BD9">
        <w:trPr>
          <w:trHeight w:val="255"/>
        </w:trPr>
        <w:tc>
          <w:tcPr>
            <w:tcW w:w="498" w:type="dxa"/>
            <w:tcBorders>
              <w:top w:val="nil"/>
              <w:left w:val="single" w:sz="4" w:space="0" w:color="auto"/>
              <w:bottom w:val="nil"/>
              <w:right w:val="nil"/>
            </w:tcBorders>
            <w:noWrap/>
            <w:vAlign w:val="bottom"/>
          </w:tcPr>
          <w:p w14:paraId="5DD89B28" w14:textId="630B73B9" w:rsidR="007B0E7B" w:rsidRPr="001F224B" w:rsidRDefault="007B0E7B" w:rsidP="007B0E7B">
            <w:pPr>
              <w:rPr>
                <w:sz w:val="13"/>
                <w:szCs w:val="13"/>
              </w:rPr>
            </w:pPr>
            <w:r w:rsidRPr="001F224B">
              <w:rPr>
                <w:sz w:val="13"/>
                <w:szCs w:val="13"/>
              </w:rPr>
              <w:t>2.1.4</w:t>
            </w:r>
          </w:p>
        </w:tc>
        <w:tc>
          <w:tcPr>
            <w:tcW w:w="5549" w:type="dxa"/>
            <w:tcBorders>
              <w:top w:val="nil"/>
              <w:left w:val="nil"/>
              <w:bottom w:val="nil"/>
              <w:right w:val="single" w:sz="4" w:space="0" w:color="auto"/>
            </w:tcBorders>
            <w:vAlign w:val="bottom"/>
          </w:tcPr>
          <w:p w14:paraId="59C53D53" w14:textId="057C3946" w:rsidR="007B0E7B" w:rsidRPr="001F224B" w:rsidRDefault="007B0E7B" w:rsidP="007B0E7B">
            <w:pPr>
              <w:rPr>
                <w:sz w:val="13"/>
                <w:szCs w:val="13"/>
              </w:rPr>
            </w:pPr>
            <w:r w:rsidRPr="001F224B">
              <w:rPr>
                <w:sz w:val="13"/>
                <w:szCs w:val="13"/>
              </w:rPr>
              <w:t>Diğer Kar veya Zarar Olarak Yeniden Sınıflandırılmayacak Diğer Kapsamlı Gelir Unsurları</w:t>
            </w:r>
          </w:p>
        </w:tc>
        <w:tc>
          <w:tcPr>
            <w:tcW w:w="1906" w:type="dxa"/>
            <w:tcBorders>
              <w:top w:val="nil"/>
              <w:left w:val="single" w:sz="4" w:space="0" w:color="auto"/>
              <w:bottom w:val="nil"/>
              <w:right w:val="single" w:sz="4" w:space="0" w:color="auto"/>
            </w:tcBorders>
            <w:noWrap/>
            <w:vAlign w:val="bottom"/>
          </w:tcPr>
          <w:p w14:paraId="7ECE734A" w14:textId="51D9AA93"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5129CB6D" w14:textId="199251E0" w:rsidR="007B0E7B" w:rsidRPr="001F224B" w:rsidRDefault="007B0E7B" w:rsidP="007B0E7B">
            <w:pPr>
              <w:jc w:val="right"/>
              <w:rPr>
                <w:bCs/>
                <w:sz w:val="13"/>
                <w:szCs w:val="13"/>
              </w:rPr>
            </w:pPr>
            <w:r w:rsidRPr="001F224B">
              <w:rPr>
                <w:b/>
                <w:bCs/>
                <w:sz w:val="13"/>
                <w:szCs w:val="13"/>
              </w:rPr>
              <w:t>-</w:t>
            </w:r>
          </w:p>
        </w:tc>
      </w:tr>
      <w:tr w:rsidR="007B0E7B" w:rsidRPr="001F224B" w14:paraId="606737BF" w14:textId="77777777" w:rsidTr="005F0BD9">
        <w:trPr>
          <w:trHeight w:val="255"/>
        </w:trPr>
        <w:tc>
          <w:tcPr>
            <w:tcW w:w="498" w:type="dxa"/>
            <w:tcBorders>
              <w:top w:val="nil"/>
              <w:left w:val="single" w:sz="4" w:space="0" w:color="auto"/>
              <w:bottom w:val="nil"/>
              <w:right w:val="nil"/>
            </w:tcBorders>
            <w:noWrap/>
            <w:vAlign w:val="bottom"/>
          </w:tcPr>
          <w:p w14:paraId="569CEB1D" w14:textId="6FD28185" w:rsidR="007B0E7B" w:rsidRPr="001F224B" w:rsidRDefault="007B0E7B" w:rsidP="007B0E7B">
            <w:pPr>
              <w:rPr>
                <w:sz w:val="13"/>
                <w:szCs w:val="13"/>
              </w:rPr>
            </w:pPr>
            <w:r w:rsidRPr="001F224B">
              <w:rPr>
                <w:sz w:val="13"/>
                <w:szCs w:val="13"/>
              </w:rPr>
              <w:t>2.1.5</w:t>
            </w:r>
          </w:p>
        </w:tc>
        <w:tc>
          <w:tcPr>
            <w:tcW w:w="5549" w:type="dxa"/>
            <w:tcBorders>
              <w:top w:val="nil"/>
              <w:left w:val="nil"/>
              <w:bottom w:val="nil"/>
              <w:right w:val="single" w:sz="4" w:space="0" w:color="auto"/>
            </w:tcBorders>
            <w:vAlign w:val="bottom"/>
          </w:tcPr>
          <w:p w14:paraId="5CF49352" w14:textId="4AED21B9" w:rsidR="007B0E7B" w:rsidRPr="001F224B" w:rsidRDefault="007B0E7B" w:rsidP="007B0E7B">
            <w:pPr>
              <w:rPr>
                <w:sz w:val="13"/>
                <w:szCs w:val="13"/>
              </w:rPr>
            </w:pPr>
            <w:r w:rsidRPr="001F224B">
              <w:rPr>
                <w:sz w:val="13"/>
                <w:szCs w:val="13"/>
              </w:rPr>
              <w:t>Kar veya Zararda Yeniden Sınıflandırılmayacak Diğer Kapsamlı Gelire İlişkin Vergiler</w:t>
            </w:r>
          </w:p>
        </w:tc>
        <w:tc>
          <w:tcPr>
            <w:tcW w:w="1906" w:type="dxa"/>
            <w:tcBorders>
              <w:top w:val="nil"/>
              <w:left w:val="single" w:sz="4" w:space="0" w:color="auto"/>
              <w:bottom w:val="nil"/>
              <w:right w:val="single" w:sz="4" w:space="0" w:color="auto"/>
            </w:tcBorders>
            <w:noWrap/>
            <w:vAlign w:val="bottom"/>
          </w:tcPr>
          <w:p w14:paraId="2DC49E30" w14:textId="154A81D4" w:rsidR="007B0E7B" w:rsidRPr="001F224B" w:rsidRDefault="007B0E7B" w:rsidP="007B0E7B">
            <w:pPr>
              <w:jc w:val="right"/>
              <w:rPr>
                <w:sz w:val="13"/>
                <w:szCs w:val="13"/>
              </w:rPr>
            </w:pPr>
            <w:r w:rsidRPr="001F224B">
              <w:rPr>
                <w:sz w:val="13"/>
                <w:szCs w:val="13"/>
              </w:rPr>
              <w:t>-</w:t>
            </w:r>
          </w:p>
        </w:tc>
        <w:tc>
          <w:tcPr>
            <w:tcW w:w="1890" w:type="dxa"/>
            <w:tcBorders>
              <w:top w:val="nil"/>
              <w:left w:val="single" w:sz="4" w:space="0" w:color="auto"/>
              <w:bottom w:val="nil"/>
              <w:right w:val="single" w:sz="4" w:space="0" w:color="auto"/>
            </w:tcBorders>
            <w:vAlign w:val="bottom"/>
          </w:tcPr>
          <w:p w14:paraId="6AF55267" w14:textId="6651D55C" w:rsidR="007B0E7B" w:rsidRPr="001F224B" w:rsidRDefault="007B0E7B" w:rsidP="007B0E7B">
            <w:pPr>
              <w:jc w:val="right"/>
              <w:rPr>
                <w:bCs/>
                <w:sz w:val="13"/>
                <w:szCs w:val="13"/>
              </w:rPr>
            </w:pPr>
            <w:r w:rsidRPr="001F224B">
              <w:rPr>
                <w:sz w:val="13"/>
                <w:szCs w:val="13"/>
              </w:rPr>
              <w:t>-</w:t>
            </w:r>
          </w:p>
        </w:tc>
      </w:tr>
      <w:tr w:rsidR="007B0E7B" w:rsidRPr="001F224B" w14:paraId="4C210B10" w14:textId="77777777" w:rsidTr="005F0BD9">
        <w:trPr>
          <w:trHeight w:val="255"/>
        </w:trPr>
        <w:tc>
          <w:tcPr>
            <w:tcW w:w="498" w:type="dxa"/>
            <w:tcBorders>
              <w:top w:val="nil"/>
              <w:left w:val="single" w:sz="4" w:space="0" w:color="auto"/>
              <w:bottom w:val="nil"/>
              <w:right w:val="nil"/>
            </w:tcBorders>
            <w:noWrap/>
            <w:vAlign w:val="bottom"/>
          </w:tcPr>
          <w:p w14:paraId="72D27DD0" w14:textId="02F0709F" w:rsidR="007B0E7B" w:rsidRPr="001F224B" w:rsidRDefault="007B0E7B" w:rsidP="007B0E7B">
            <w:pPr>
              <w:rPr>
                <w:b/>
                <w:sz w:val="13"/>
                <w:szCs w:val="13"/>
              </w:rPr>
            </w:pPr>
            <w:r w:rsidRPr="001F224B">
              <w:rPr>
                <w:b/>
                <w:sz w:val="13"/>
                <w:szCs w:val="13"/>
              </w:rPr>
              <w:t>2.2</w:t>
            </w:r>
          </w:p>
        </w:tc>
        <w:tc>
          <w:tcPr>
            <w:tcW w:w="5549" w:type="dxa"/>
            <w:tcBorders>
              <w:top w:val="nil"/>
              <w:left w:val="nil"/>
              <w:bottom w:val="nil"/>
              <w:right w:val="single" w:sz="4" w:space="0" w:color="auto"/>
            </w:tcBorders>
            <w:vAlign w:val="bottom"/>
          </w:tcPr>
          <w:p w14:paraId="10319631" w14:textId="45A627C8" w:rsidR="007B0E7B" w:rsidRPr="001F224B" w:rsidRDefault="007B0E7B" w:rsidP="007B0E7B">
            <w:pPr>
              <w:rPr>
                <w:b/>
                <w:sz w:val="13"/>
                <w:szCs w:val="13"/>
              </w:rPr>
            </w:pPr>
            <w:r w:rsidRPr="001F224B">
              <w:rPr>
                <w:b/>
                <w:sz w:val="13"/>
                <w:szCs w:val="13"/>
              </w:rPr>
              <w:t>Kar veya Zararda Yeniden Sınıflandırılacaklar</w:t>
            </w:r>
          </w:p>
        </w:tc>
        <w:tc>
          <w:tcPr>
            <w:tcW w:w="1906" w:type="dxa"/>
            <w:tcBorders>
              <w:top w:val="nil"/>
              <w:left w:val="single" w:sz="4" w:space="0" w:color="auto"/>
              <w:bottom w:val="nil"/>
              <w:right w:val="single" w:sz="4" w:space="0" w:color="auto"/>
            </w:tcBorders>
            <w:noWrap/>
            <w:vAlign w:val="bottom"/>
          </w:tcPr>
          <w:p w14:paraId="595B9291" w14:textId="18459C00" w:rsidR="007B0E7B" w:rsidRPr="001F224B" w:rsidRDefault="000B7E4D" w:rsidP="007B0E7B">
            <w:pPr>
              <w:jc w:val="right"/>
              <w:rPr>
                <w:b/>
                <w:bCs/>
                <w:sz w:val="13"/>
                <w:szCs w:val="13"/>
              </w:rPr>
            </w:pPr>
            <w:r w:rsidRPr="001F224B">
              <w:rPr>
                <w:b/>
                <w:bCs/>
                <w:sz w:val="13"/>
                <w:szCs w:val="13"/>
              </w:rPr>
              <w:t>8.344</w:t>
            </w:r>
          </w:p>
        </w:tc>
        <w:tc>
          <w:tcPr>
            <w:tcW w:w="1890" w:type="dxa"/>
            <w:tcBorders>
              <w:top w:val="nil"/>
              <w:left w:val="single" w:sz="4" w:space="0" w:color="auto"/>
              <w:bottom w:val="nil"/>
              <w:right w:val="single" w:sz="4" w:space="0" w:color="auto"/>
            </w:tcBorders>
            <w:vAlign w:val="bottom"/>
          </w:tcPr>
          <w:p w14:paraId="2912AA6E" w14:textId="159F372F" w:rsidR="007B0E7B" w:rsidRPr="001F224B" w:rsidRDefault="007B0E7B" w:rsidP="007B0E7B">
            <w:pPr>
              <w:jc w:val="right"/>
              <w:rPr>
                <w:b/>
                <w:bCs/>
                <w:sz w:val="13"/>
                <w:szCs w:val="13"/>
              </w:rPr>
            </w:pPr>
            <w:r w:rsidRPr="001F224B">
              <w:rPr>
                <w:b/>
                <w:bCs/>
                <w:sz w:val="13"/>
                <w:szCs w:val="13"/>
              </w:rPr>
              <w:t>(2.243)</w:t>
            </w:r>
          </w:p>
        </w:tc>
      </w:tr>
      <w:tr w:rsidR="007B0E7B" w:rsidRPr="001F224B" w14:paraId="4BE71BB2" w14:textId="77777777" w:rsidTr="005F0BD9">
        <w:trPr>
          <w:trHeight w:val="255"/>
        </w:trPr>
        <w:tc>
          <w:tcPr>
            <w:tcW w:w="498" w:type="dxa"/>
            <w:tcBorders>
              <w:top w:val="nil"/>
              <w:left w:val="single" w:sz="4" w:space="0" w:color="auto"/>
              <w:bottom w:val="nil"/>
              <w:right w:val="nil"/>
            </w:tcBorders>
            <w:noWrap/>
            <w:vAlign w:val="bottom"/>
          </w:tcPr>
          <w:p w14:paraId="2AB23B22" w14:textId="487E5E48" w:rsidR="007B0E7B" w:rsidRPr="001F224B" w:rsidRDefault="007B0E7B" w:rsidP="007B0E7B">
            <w:pPr>
              <w:rPr>
                <w:sz w:val="13"/>
                <w:szCs w:val="13"/>
              </w:rPr>
            </w:pPr>
            <w:r w:rsidRPr="001F224B">
              <w:rPr>
                <w:sz w:val="13"/>
                <w:szCs w:val="13"/>
              </w:rPr>
              <w:t>2.2.1</w:t>
            </w:r>
          </w:p>
        </w:tc>
        <w:tc>
          <w:tcPr>
            <w:tcW w:w="5549" w:type="dxa"/>
            <w:tcBorders>
              <w:top w:val="nil"/>
              <w:left w:val="nil"/>
              <w:bottom w:val="nil"/>
              <w:right w:val="single" w:sz="4" w:space="0" w:color="auto"/>
            </w:tcBorders>
            <w:vAlign w:val="bottom"/>
          </w:tcPr>
          <w:p w14:paraId="1293446C" w14:textId="4EE95E2D" w:rsidR="007B0E7B" w:rsidRPr="001F224B" w:rsidRDefault="007B0E7B" w:rsidP="007B0E7B">
            <w:pPr>
              <w:rPr>
                <w:sz w:val="13"/>
                <w:szCs w:val="13"/>
              </w:rPr>
            </w:pPr>
            <w:r w:rsidRPr="001F224B">
              <w:rPr>
                <w:sz w:val="13"/>
                <w:szCs w:val="13"/>
              </w:rPr>
              <w:t>Yabancı Para Çevirim Farkları</w:t>
            </w:r>
          </w:p>
        </w:tc>
        <w:tc>
          <w:tcPr>
            <w:tcW w:w="1906" w:type="dxa"/>
            <w:tcBorders>
              <w:top w:val="nil"/>
              <w:left w:val="single" w:sz="4" w:space="0" w:color="auto"/>
              <w:bottom w:val="nil"/>
              <w:right w:val="single" w:sz="4" w:space="0" w:color="auto"/>
            </w:tcBorders>
            <w:noWrap/>
            <w:vAlign w:val="bottom"/>
          </w:tcPr>
          <w:p w14:paraId="36B49822" w14:textId="1A4C0C23"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493D3355" w14:textId="703B8F94" w:rsidR="007B0E7B" w:rsidRPr="001F224B" w:rsidRDefault="007B0E7B" w:rsidP="007B0E7B">
            <w:pPr>
              <w:jc w:val="right"/>
              <w:rPr>
                <w:b/>
                <w:sz w:val="13"/>
                <w:szCs w:val="13"/>
              </w:rPr>
            </w:pPr>
            <w:r w:rsidRPr="001F224B">
              <w:rPr>
                <w:sz w:val="13"/>
                <w:szCs w:val="13"/>
              </w:rPr>
              <w:t xml:space="preserve"> - </w:t>
            </w:r>
          </w:p>
        </w:tc>
      </w:tr>
      <w:tr w:rsidR="007B0E7B" w:rsidRPr="001F224B" w14:paraId="11424615" w14:textId="77777777" w:rsidTr="005F0BD9">
        <w:trPr>
          <w:trHeight w:val="255"/>
        </w:trPr>
        <w:tc>
          <w:tcPr>
            <w:tcW w:w="498" w:type="dxa"/>
            <w:tcBorders>
              <w:top w:val="nil"/>
              <w:left w:val="single" w:sz="4" w:space="0" w:color="auto"/>
              <w:bottom w:val="nil"/>
              <w:right w:val="nil"/>
            </w:tcBorders>
            <w:noWrap/>
          </w:tcPr>
          <w:p w14:paraId="0CE6FFC0" w14:textId="3DCD0D4E" w:rsidR="007B0E7B" w:rsidRPr="001F224B" w:rsidRDefault="007B0E7B" w:rsidP="007B0E7B">
            <w:pPr>
              <w:rPr>
                <w:sz w:val="13"/>
                <w:szCs w:val="13"/>
              </w:rPr>
            </w:pPr>
            <w:r w:rsidRPr="001F224B">
              <w:rPr>
                <w:sz w:val="13"/>
                <w:szCs w:val="13"/>
              </w:rPr>
              <w:t>2.2.2</w:t>
            </w:r>
          </w:p>
        </w:tc>
        <w:tc>
          <w:tcPr>
            <w:tcW w:w="5549" w:type="dxa"/>
            <w:tcBorders>
              <w:top w:val="nil"/>
              <w:left w:val="nil"/>
              <w:bottom w:val="nil"/>
              <w:right w:val="single" w:sz="4" w:space="0" w:color="auto"/>
            </w:tcBorders>
            <w:vAlign w:val="bottom"/>
          </w:tcPr>
          <w:p w14:paraId="14EE1556" w14:textId="3273CE22" w:rsidR="007B0E7B" w:rsidRPr="001F224B" w:rsidRDefault="007B0E7B" w:rsidP="007B0E7B">
            <w:pPr>
              <w:rPr>
                <w:sz w:val="13"/>
                <w:szCs w:val="13"/>
              </w:rPr>
            </w:pPr>
            <w:r w:rsidRPr="001F224B">
              <w:rPr>
                <w:sz w:val="13"/>
                <w:szCs w:val="13"/>
              </w:rPr>
              <w:t>Gerçeğe Uygun Değer Farkı Diğer Kapsamlı Gelire Yansıtılan Finansal Varlıkların Değerleme ve/veya Sınıflandırma Gelirleri/Giderleri</w:t>
            </w:r>
          </w:p>
        </w:tc>
        <w:tc>
          <w:tcPr>
            <w:tcW w:w="1906" w:type="dxa"/>
            <w:tcBorders>
              <w:top w:val="nil"/>
              <w:left w:val="single" w:sz="4" w:space="0" w:color="auto"/>
              <w:bottom w:val="nil"/>
              <w:right w:val="single" w:sz="4" w:space="0" w:color="auto"/>
            </w:tcBorders>
            <w:noWrap/>
            <w:vAlign w:val="bottom"/>
          </w:tcPr>
          <w:p w14:paraId="0CB53AA5" w14:textId="34C575E7" w:rsidR="007B0E7B" w:rsidRPr="001F224B" w:rsidRDefault="000B7E4D" w:rsidP="007B0E7B">
            <w:pPr>
              <w:jc w:val="right"/>
              <w:rPr>
                <w:sz w:val="13"/>
                <w:szCs w:val="13"/>
              </w:rPr>
            </w:pPr>
            <w:r w:rsidRPr="001F224B">
              <w:rPr>
                <w:sz w:val="13"/>
                <w:szCs w:val="13"/>
              </w:rPr>
              <w:t>11.920</w:t>
            </w:r>
          </w:p>
        </w:tc>
        <w:tc>
          <w:tcPr>
            <w:tcW w:w="1890" w:type="dxa"/>
            <w:tcBorders>
              <w:top w:val="nil"/>
              <w:left w:val="single" w:sz="4" w:space="0" w:color="auto"/>
              <w:bottom w:val="nil"/>
              <w:right w:val="single" w:sz="4" w:space="0" w:color="auto"/>
            </w:tcBorders>
            <w:vAlign w:val="bottom"/>
          </w:tcPr>
          <w:p w14:paraId="1F977A79" w14:textId="76CCE98C" w:rsidR="007B0E7B" w:rsidRPr="001F224B" w:rsidRDefault="007B0E7B" w:rsidP="007B0E7B">
            <w:pPr>
              <w:jc w:val="right"/>
              <w:rPr>
                <w:sz w:val="13"/>
                <w:szCs w:val="13"/>
              </w:rPr>
            </w:pPr>
            <w:r w:rsidRPr="001F224B">
              <w:rPr>
                <w:sz w:val="13"/>
                <w:szCs w:val="13"/>
              </w:rPr>
              <w:t>(3.204)</w:t>
            </w:r>
          </w:p>
        </w:tc>
      </w:tr>
      <w:tr w:rsidR="007B0E7B" w:rsidRPr="001F224B" w14:paraId="453B370A" w14:textId="77777777" w:rsidTr="005F0BD9">
        <w:trPr>
          <w:trHeight w:val="255"/>
        </w:trPr>
        <w:tc>
          <w:tcPr>
            <w:tcW w:w="498" w:type="dxa"/>
            <w:tcBorders>
              <w:top w:val="nil"/>
              <w:left w:val="single" w:sz="4" w:space="0" w:color="auto"/>
              <w:bottom w:val="nil"/>
              <w:right w:val="nil"/>
            </w:tcBorders>
            <w:noWrap/>
            <w:vAlign w:val="bottom"/>
          </w:tcPr>
          <w:p w14:paraId="798ACB72" w14:textId="67F25832" w:rsidR="007B0E7B" w:rsidRPr="001F224B" w:rsidRDefault="007B0E7B" w:rsidP="007B0E7B">
            <w:pPr>
              <w:rPr>
                <w:sz w:val="13"/>
                <w:szCs w:val="13"/>
              </w:rPr>
            </w:pPr>
            <w:r w:rsidRPr="001F224B">
              <w:rPr>
                <w:sz w:val="13"/>
                <w:szCs w:val="13"/>
              </w:rPr>
              <w:t>2.2.3</w:t>
            </w:r>
          </w:p>
        </w:tc>
        <w:tc>
          <w:tcPr>
            <w:tcW w:w="5549" w:type="dxa"/>
            <w:tcBorders>
              <w:top w:val="nil"/>
              <w:left w:val="nil"/>
              <w:bottom w:val="nil"/>
              <w:right w:val="single" w:sz="4" w:space="0" w:color="auto"/>
            </w:tcBorders>
            <w:vAlign w:val="bottom"/>
          </w:tcPr>
          <w:p w14:paraId="5CABD750" w14:textId="2A0D2204" w:rsidR="007B0E7B" w:rsidRPr="001F224B" w:rsidRDefault="007B0E7B" w:rsidP="007B0E7B">
            <w:pPr>
              <w:rPr>
                <w:sz w:val="13"/>
                <w:szCs w:val="13"/>
              </w:rPr>
            </w:pPr>
            <w:r w:rsidRPr="001F224B">
              <w:rPr>
                <w:sz w:val="13"/>
                <w:szCs w:val="13"/>
              </w:rPr>
              <w:t>Nakit Akış Riskinden Korunma Gelirleri/Giderleri</w:t>
            </w:r>
          </w:p>
        </w:tc>
        <w:tc>
          <w:tcPr>
            <w:tcW w:w="1906" w:type="dxa"/>
            <w:tcBorders>
              <w:top w:val="nil"/>
              <w:left w:val="single" w:sz="4" w:space="0" w:color="auto"/>
              <w:bottom w:val="nil"/>
              <w:right w:val="single" w:sz="4" w:space="0" w:color="auto"/>
            </w:tcBorders>
            <w:noWrap/>
            <w:vAlign w:val="bottom"/>
          </w:tcPr>
          <w:p w14:paraId="47700A07" w14:textId="19113CE2"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303D92F3" w14:textId="6504D4D7" w:rsidR="007B0E7B" w:rsidRPr="001F224B" w:rsidRDefault="007B0E7B" w:rsidP="007B0E7B">
            <w:pPr>
              <w:jc w:val="right"/>
              <w:rPr>
                <w:b/>
                <w:sz w:val="13"/>
                <w:szCs w:val="13"/>
              </w:rPr>
            </w:pPr>
            <w:r w:rsidRPr="001F224B">
              <w:rPr>
                <w:sz w:val="13"/>
                <w:szCs w:val="13"/>
              </w:rPr>
              <w:t xml:space="preserve"> - </w:t>
            </w:r>
          </w:p>
        </w:tc>
      </w:tr>
      <w:tr w:rsidR="007B0E7B" w:rsidRPr="001F224B" w14:paraId="1DFCCF99" w14:textId="77777777" w:rsidTr="005F0BD9">
        <w:trPr>
          <w:trHeight w:val="255"/>
        </w:trPr>
        <w:tc>
          <w:tcPr>
            <w:tcW w:w="498" w:type="dxa"/>
            <w:tcBorders>
              <w:top w:val="nil"/>
              <w:left w:val="single" w:sz="4" w:space="0" w:color="auto"/>
              <w:bottom w:val="nil"/>
              <w:right w:val="nil"/>
            </w:tcBorders>
            <w:noWrap/>
            <w:vAlign w:val="bottom"/>
          </w:tcPr>
          <w:p w14:paraId="0BBB4E68" w14:textId="7F0CAF3B" w:rsidR="007B0E7B" w:rsidRPr="001F224B" w:rsidRDefault="007B0E7B" w:rsidP="007B0E7B">
            <w:pPr>
              <w:rPr>
                <w:sz w:val="13"/>
                <w:szCs w:val="13"/>
              </w:rPr>
            </w:pPr>
            <w:r w:rsidRPr="001F224B">
              <w:rPr>
                <w:sz w:val="13"/>
                <w:szCs w:val="13"/>
              </w:rPr>
              <w:t>2.2.4</w:t>
            </w:r>
          </w:p>
        </w:tc>
        <w:tc>
          <w:tcPr>
            <w:tcW w:w="5549" w:type="dxa"/>
            <w:tcBorders>
              <w:top w:val="nil"/>
              <w:left w:val="nil"/>
              <w:bottom w:val="nil"/>
              <w:right w:val="single" w:sz="4" w:space="0" w:color="auto"/>
            </w:tcBorders>
            <w:noWrap/>
            <w:vAlign w:val="bottom"/>
          </w:tcPr>
          <w:p w14:paraId="2BBBA21B" w14:textId="5D1B987F" w:rsidR="007B0E7B" w:rsidRPr="001F224B" w:rsidRDefault="007B0E7B" w:rsidP="007B0E7B">
            <w:pPr>
              <w:rPr>
                <w:sz w:val="13"/>
                <w:szCs w:val="13"/>
              </w:rPr>
            </w:pPr>
            <w:r w:rsidRPr="001F224B">
              <w:rPr>
                <w:sz w:val="13"/>
                <w:szCs w:val="13"/>
              </w:rPr>
              <w:t>Yurtdışındaki İşletmeye İlişkin Yatırım Riskinden Korunma Gelirleri/Giderleri</w:t>
            </w:r>
          </w:p>
        </w:tc>
        <w:tc>
          <w:tcPr>
            <w:tcW w:w="1906" w:type="dxa"/>
            <w:tcBorders>
              <w:top w:val="nil"/>
              <w:left w:val="single" w:sz="4" w:space="0" w:color="auto"/>
              <w:bottom w:val="nil"/>
              <w:right w:val="single" w:sz="4" w:space="0" w:color="auto"/>
            </w:tcBorders>
            <w:noWrap/>
            <w:vAlign w:val="bottom"/>
          </w:tcPr>
          <w:p w14:paraId="5846B3BC" w14:textId="127E7063"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2B6A098A" w14:textId="3A89BDE3" w:rsidR="007B0E7B" w:rsidRPr="001F224B" w:rsidRDefault="007B0E7B" w:rsidP="007B0E7B">
            <w:pPr>
              <w:jc w:val="right"/>
              <w:rPr>
                <w:b/>
                <w:sz w:val="13"/>
                <w:szCs w:val="13"/>
              </w:rPr>
            </w:pPr>
            <w:r w:rsidRPr="001F224B">
              <w:rPr>
                <w:sz w:val="13"/>
                <w:szCs w:val="13"/>
              </w:rPr>
              <w:t xml:space="preserve"> - </w:t>
            </w:r>
          </w:p>
        </w:tc>
      </w:tr>
      <w:tr w:rsidR="007B0E7B" w:rsidRPr="001F224B" w14:paraId="3725B966" w14:textId="77777777" w:rsidTr="005F0BD9">
        <w:trPr>
          <w:trHeight w:val="255"/>
        </w:trPr>
        <w:tc>
          <w:tcPr>
            <w:tcW w:w="498" w:type="dxa"/>
            <w:tcBorders>
              <w:top w:val="nil"/>
              <w:left w:val="single" w:sz="4" w:space="0" w:color="auto"/>
              <w:bottom w:val="nil"/>
              <w:right w:val="nil"/>
            </w:tcBorders>
            <w:noWrap/>
            <w:vAlign w:val="bottom"/>
          </w:tcPr>
          <w:p w14:paraId="06B4D99B" w14:textId="17340DC6" w:rsidR="007B0E7B" w:rsidRPr="001F224B" w:rsidRDefault="007B0E7B" w:rsidP="007B0E7B">
            <w:pPr>
              <w:rPr>
                <w:sz w:val="13"/>
                <w:szCs w:val="13"/>
              </w:rPr>
            </w:pPr>
            <w:r w:rsidRPr="001F224B">
              <w:rPr>
                <w:sz w:val="13"/>
                <w:szCs w:val="13"/>
              </w:rPr>
              <w:t>2.2.5</w:t>
            </w:r>
          </w:p>
        </w:tc>
        <w:tc>
          <w:tcPr>
            <w:tcW w:w="5549" w:type="dxa"/>
            <w:tcBorders>
              <w:top w:val="nil"/>
              <w:left w:val="nil"/>
              <w:bottom w:val="nil"/>
              <w:right w:val="single" w:sz="4" w:space="0" w:color="auto"/>
            </w:tcBorders>
            <w:noWrap/>
            <w:vAlign w:val="bottom"/>
          </w:tcPr>
          <w:p w14:paraId="630CCB8D" w14:textId="1E14A84E" w:rsidR="007B0E7B" w:rsidRPr="001F224B" w:rsidRDefault="007B0E7B" w:rsidP="007B0E7B">
            <w:pPr>
              <w:rPr>
                <w:sz w:val="13"/>
                <w:szCs w:val="13"/>
              </w:rPr>
            </w:pPr>
            <w:r w:rsidRPr="001F224B">
              <w:rPr>
                <w:sz w:val="13"/>
                <w:szCs w:val="13"/>
              </w:rPr>
              <w:t>Diğer Kar veya Zarar Olarak Yeniden Sınıflandırılacak Diğer Kapsamlı Gelir Unsurları</w:t>
            </w:r>
          </w:p>
        </w:tc>
        <w:tc>
          <w:tcPr>
            <w:tcW w:w="1906" w:type="dxa"/>
            <w:tcBorders>
              <w:top w:val="nil"/>
              <w:left w:val="single" w:sz="4" w:space="0" w:color="auto"/>
              <w:bottom w:val="nil"/>
              <w:right w:val="single" w:sz="4" w:space="0" w:color="auto"/>
            </w:tcBorders>
            <w:noWrap/>
            <w:vAlign w:val="bottom"/>
          </w:tcPr>
          <w:p w14:paraId="7CE9BB8F" w14:textId="7875F534" w:rsidR="007B0E7B" w:rsidRPr="001F224B" w:rsidRDefault="007B0E7B" w:rsidP="007B0E7B">
            <w:pPr>
              <w:jc w:val="right"/>
              <w:rPr>
                <w:sz w:val="13"/>
                <w:szCs w:val="13"/>
              </w:rPr>
            </w:pPr>
            <w:r w:rsidRPr="001F224B">
              <w:rPr>
                <w:sz w:val="13"/>
                <w:szCs w:val="13"/>
              </w:rPr>
              <w:t xml:space="preserve"> -   </w:t>
            </w:r>
          </w:p>
        </w:tc>
        <w:tc>
          <w:tcPr>
            <w:tcW w:w="1890" w:type="dxa"/>
            <w:tcBorders>
              <w:top w:val="nil"/>
              <w:left w:val="single" w:sz="4" w:space="0" w:color="auto"/>
              <w:bottom w:val="nil"/>
              <w:right w:val="single" w:sz="4" w:space="0" w:color="auto"/>
            </w:tcBorders>
            <w:vAlign w:val="bottom"/>
          </w:tcPr>
          <w:p w14:paraId="2DCD46E6" w14:textId="16B6900F" w:rsidR="007B0E7B" w:rsidRPr="001F224B" w:rsidRDefault="007B0E7B" w:rsidP="007B0E7B">
            <w:pPr>
              <w:jc w:val="right"/>
              <w:rPr>
                <w:b/>
                <w:sz w:val="13"/>
                <w:szCs w:val="13"/>
              </w:rPr>
            </w:pPr>
            <w:r w:rsidRPr="001F224B">
              <w:rPr>
                <w:sz w:val="13"/>
                <w:szCs w:val="13"/>
              </w:rPr>
              <w:t xml:space="preserve">- </w:t>
            </w:r>
          </w:p>
        </w:tc>
      </w:tr>
      <w:tr w:rsidR="007B0E7B" w:rsidRPr="001F224B" w14:paraId="3F8D68FE" w14:textId="77777777" w:rsidTr="005F0BD9">
        <w:trPr>
          <w:trHeight w:val="255"/>
        </w:trPr>
        <w:tc>
          <w:tcPr>
            <w:tcW w:w="498" w:type="dxa"/>
            <w:tcBorders>
              <w:top w:val="nil"/>
              <w:left w:val="single" w:sz="4" w:space="0" w:color="auto"/>
              <w:right w:val="nil"/>
            </w:tcBorders>
            <w:noWrap/>
            <w:vAlign w:val="bottom"/>
          </w:tcPr>
          <w:p w14:paraId="3D4661B6" w14:textId="4C5809ED" w:rsidR="007B0E7B" w:rsidRPr="001F224B" w:rsidRDefault="007B0E7B" w:rsidP="007B0E7B">
            <w:pPr>
              <w:rPr>
                <w:sz w:val="13"/>
                <w:szCs w:val="13"/>
              </w:rPr>
            </w:pPr>
            <w:r w:rsidRPr="001F224B">
              <w:rPr>
                <w:sz w:val="13"/>
                <w:szCs w:val="13"/>
              </w:rPr>
              <w:t>2.2.6</w:t>
            </w:r>
          </w:p>
        </w:tc>
        <w:tc>
          <w:tcPr>
            <w:tcW w:w="5549" w:type="dxa"/>
            <w:tcBorders>
              <w:top w:val="nil"/>
              <w:left w:val="nil"/>
              <w:right w:val="single" w:sz="4" w:space="0" w:color="auto"/>
            </w:tcBorders>
            <w:noWrap/>
            <w:vAlign w:val="bottom"/>
          </w:tcPr>
          <w:p w14:paraId="501F4CEC" w14:textId="517CB58A" w:rsidR="007B0E7B" w:rsidRPr="001F224B" w:rsidRDefault="007B0E7B" w:rsidP="007B0E7B">
            <w:pPr>
              <w:rPr>
                <w:sz w:val="13"/>
                <w:szCs w:val="13"/>
              </w:rPr>
            </w:pPr>
            <w:r w:rsidRPr="001F224B">
              <w:rPr>
                <w:sz w:val="13"/>
                <w:szCs w:val="13"/>
              </w:rPr>
              <w:t>Kar veya Zararda Yeniden Sınıflandırılacak Diğer Kapsamlı Gelire İlişkin Vergiler</w:t>
            </w:r>
          </w:p>
        </w:tc>
        <w:tc>
          <w:tcPr>
            <w:tcW w:w="1906" w:type="dxa"/>
            <w:tcBorders>
              <w:top w:val="nil"/>
              <w:left w:val="single" w:sz="4" w:space="0" w:color="auto"/>
              <w:right w:val="single" w:sz="4" w:space="0" w:color="auto"/>
            </w:tcBorders>
            <w:noWrap/>
            <w:vAlign w:val="bottom"/>
          </w:tcPr>
          <w:p w14:paraId="5BD6D05A" w14:textId="1BC84061" w:rsidR="007B0E7B" w:rsidRPr="001F224B" w:rsidRDefault="000B7E4D" w:rsidP="007B0E7B">
            <w:pPr>
              <w:jc w:val="right"/>
              <w:rPr>
                <w:sz w:val="13"/>
                <w:szCs w:val="13"/>
              </w:rPr>
            </w:pPr>
            <w:r w:rsidRPr="001F224B">
              <w:rPr>
                <w:sz w:val="13"/>
                <w:szCs w:val="13"/>
              </w:rPr>
              <w:t>(3.576)</w:t>
            </w:r>
          </w:p>
        </w:tc>
        <w:tc>
          <w:tcPr>
            <w:tcW w:w="1890" w:type="dxa"/>
            <w:tcBorders>
              <w:top w:val="nil"/>
              <w:left w:val="single" w:sz="4" w:space="0" w:color="auto"/>
              <w:right w:val="single" w:sz="4" w:space="0" w:color="auto"/>
            </w:tcBorders>
            <w:vAlign w:val="bottom"/>
          </w:tcPr>
          <w:p w14:paraId="5B03E5A2" w14:textId="35C3E92D" w:rsidR="007B0E7B" w:rsidRPr="001F224B" w:rsidRDefault="007B0E7B" w:rsidP="007B0E7B">
            <w:pPr>
              <w:jc w:val="right"/>
              <w:rPr>
                <w:bCs/>
                <w:sz w:val="13"/>
                <w:szCs w:val="13"/>
              </w:rPr>
            </w:pPr>
            <w:r w:rsidRPr="001F224B">
              <w:rPr>
                <w:sz w:val="13"/>
                <w:szCs w:val="13"/>
              </w:rPr>
              <w:t xml:space="preserve">961 </w:t>
            </w:r>
          </w:p>
        </w:tc>
      </w:tr>
      <w:tr w:rsidR="007B0E7B" w:rsidRPr="001F224B" w14:paraId="08F12261" w14:textId="77777777" w:rsidTr="005F0BD9">
        <w:trPr>
          <w:trHeight w:val="255"/>
        </w:trPr>
        <w:tc>
          <w:tcPr>
            <w:tcW w:w="498" w:type="dxa"/>
            <w:tcBorders>
              <w:top w:val="nil"/>
              <w:left w:val="single" w:sz="4" w:space="0" w:color="auto"/>
              <w:bottom w:val="single" w:sz="4" w:space="0" w:color="auto"/>
              <w:right w:val="nil"/>
            </w:tcBorders>
            <w:noWrap/>
            <w:vAlign w:val="bottom"/>
          </w:tcPr>
          <w:p w14:paraId="5152D488" w14:textId="51F1CEE9" w:rsidR="007B0E7B" w:rsidRPr="001F224B" w:rsidRDefault="007B0E7B" w:rsidP="007B0E7B">
            <w:pPr>
              <w:rPr>
                <w:sz w:val="13"/>
                <w:szCs w:val="13"/>
              </w:rPr>
            </w:pPr>
            <w:r w:rsidRPr="001F224B">
              <w:rPr>
                <w:b/>
                <w:bCs/>
                <w:sz w:val="13"/>
                <w:szCs w:val="13"/>
              </w:rPr>
              <w:t>III.</w:t>
            </w:r>
          </w:p>
        </w:tc>
        <w:tc>
          <w:tcPr>
            <w:tcW w:w="5549" w:type="dxa"/>
            <w:tcBorders>
              <w:top w:val="nil"/>
              <w:left w:val="nil"/>
              <w:bottom w:val="single" w:sz="4" w:space="0" w:color="auto"/>
              <w:right w:val="single" w:sz="4" w:space="0" w:color="auto"/>
            </w:tcBorders>
            <w:noWrap/>
            <w:vAlign w:val="bottom"/>
          </w:tcPr>
          <w:p w14:paraId="71B04C0E" w14:textId="449B9769" w:rsidR="007B0E7B" w:rsidRPr="001F224B" w:rsidRDefault="007B0E7B" w:rsidP="007B0E7B">
            <w:pPr>
              <w:rPr>
                <w:sz w:val="13"/>
                <w:szCs w:val="13"/>
              </w:rPr>
            </w:pPr>
            <w:r w:rsidRPr="001F224B">
              <w:rPr>
                <w:b/>
                <w:bCs/>
                <w:sz w:val="13"/>
                <w:szCs w:val="13"/>
              </w:rPr>
              <w:t>TOPLAM KAPSAMLI GELİR (I+II)</w:t>
            </w:r>
          </w:p>
        </w:tc>
        <w:tc>
          <w:tcPr>
            <w:tcW w:w="1906" w:type="dxa"/>
            <w:tcBorders>
              <w:top w:val="nil"/>
              <w:left w:val="single" w:sz="4" w:space="0" w:color="auto"/>
              <w:bottom w:val="single" w:sz="4" w:space="0" w:color="auto"/>
              <w:right w:val="single" w:sz="4" w:space="0" w:color="auto"/>
            </w:tcBorders>
            <w:noWrap/>
            <w:vAlign w:val="bottom"/>
          </w:tcPr>
          <w:p w14:paraId="1362AF72" w14:textId="6F693BBA" w:rsidR="007B0E7B" w:rsidRPr="001F224B" w:rsidRDefault="000B7E4D" w:rsidP="007B0E7B">
            <w:pPr>
              <w:jc w:val="right"/>
              <w:rPr>
                <w:sz w:val="13"/>
                <w:szCs w:val="13"/>
              </w:rPr>
            </w:pPr>
            <w:r w:rsidRPr="001F224B">
              <w:rPr>
                <w:b/>
                <w:bCs/>
                <w:sz w:val="13"/>
                <w:szCs w:val="13"/>
              </w:rPr>
              <w:t>4.022.100</w:t>
            </w:r>
          </w:p>
        </w:tc>
        <w:tc>
          <w:tcPr>
            <w:tcW w:w="1890" w:type="dxa"/>
            <w:tcBorders>
              <w:top w:val="nil"/>
              <w:left w:val="single" w:sz="4" w:space="0" w:color="auto"/>
              <w:bottom w:val="single" w:sz="4" w:space="0" w:color="auto"/>
              <w:right w:val="single" w:sz="4" w:space="0" w:color="auto"/>
            </w:tcBorders>
            <w:vAlign w:val="bottom"/>
          </w:tcPr>
          <w:p w14:paraId="4BF173B7" w14:textId="07CA8C72" w:rsidR="007B0E7B" w:rsidRPr="001F224B" w:rsidRDefault="007B0E7B" w:rsidP="007B0E7B">
            <w:pPr>
              <w:jc w:val="right"/>
              <w:rPr>
                <w:sz w:val="13"/>
                <w:szCs w:val="13"/>
              </w:rPr>
            </w:pPr>
            <w:r w:rsidRPr="001F224B">
              <w:rPr>
                <w:b/>
                <w:bCs/>
                <w:sz w:val="13"/>
                <w:szCs w:val="13"/>
              </w:rPr>
              <w:t>2.730.307</w:t>
            </w:r>
          </w:p>
        </w:tc>
      </w:tr>
    </w:tbl>
    <w:p w14:paraId="2470AC76" w14:textId="77777777" w:rsidR="001406CE" w:rsidRPr="001F224B" w:rsidRDefault="001406CE" w:rsidP="00037842">
      <w:pPr>
        <w:jc w:val="center"/>
        <w:rPr>
          <w:bCs/>
          <w:sz w:val="18"/>
          <w:szCs w:val="18"/>
        </w:rPr>
      </w:pPr>
    </w:p>
    <w:p w14:paraId="1194E337" w14:textId="77777777" w:rsidR="001406CE" w:rsidRPr="001F224B" w:rsidRDefault="001406CE" w:rsidP="00037842">
      <w:pPr>
        <w:jc w:val="center"/>
        <w:rPr>
          <w:bCs/>
          <w:sz w:val="18"/>
          <w:szCs w:val="18"/>
        </w:rPr>
      </w:pPr>
    </w:p>
    <w:p w14:paraId="17DD7F3D" w14:textId="77777777" w:rsidR="001406CE" w:rsidRPr="001F224B" w:rsidRDefault="001406CE" w:rsidP="00037842">
      <w:pPr>
        <w:jc w:val="center"/>
        <w:rPr>
          <w:bCs/>
          <w:sz w:val="18"/>
          <w:szCs w:val="18"/>
        </w:rPr>
      </w:pPr>
    </w:p>
    <w:p w14:paraId="2766FADD" w14:textId="77777777" w:rsidR="001406CE" w:rsidRPr="001F224B" w:rsidRDefault="001406CE" w:rsidP="00037842">
      <w:pPr>
        <w:jc w:val="center"/>
        <w:rPr>
          <w:bCs/>
          <w:sz w:val="18"/>
          <w:szCs w:val="18"/>
        </w:rPr>
      </w:pPr>
    </w:p>
    <w:p w14:paraId="34B2B080" w14:textId="77777777" w:rsidR="001406CE" w:rsidRPr="001F224B" w:rsidRDefault="001406CE" w:rsidP="00037842">
      <w:pPr>
        <w:jc w:val="center"/>
        <w:rPr>
          <w:bCs/>
          <w:sz w:val="18"/>
          <w:szCs w:val="18"/>
        </w:rPr>
      </w:pPr>
    </w:p>
    <w:p w14:paraId="4629EB87" w14:textId="77777777" w:rsidR="001406CE" w:rsidRPr="001F224B" w:rsidRDefault="001406CE" w:rsidP="00037842">
      <w:pPr>
        <w:jc w:val="center"/>
        <w:rPr>
          <w:bCs/>
          <w:sz w:val="18"/>
          <w:szCs w:val="18"/>
        </w:rPr>
      </w:pPr>
    </w:p>
    <w:p w14:paraId="513D6964" w14:textId="77777777" w:rsidR="001406CE" w:rsidRPr="001F224B" w:rsidRDefault="001406CE" w:rsidP="00037842">
      <w:pPr>
        <w:jc w:val="center"/>
        <w:rPr>
          <w:bCs/>
          <w:sz w:val="18"/>
          <w:szCs w:val="18"/>
        </w:rPr>
      </w:pPr>
    </w:p>
    <w:p w14:paraId="3C0108E1" w14:textId="77777777" w:rsidR="001406CE" w:rsidRPr="001F224B" w:rsidRDefault="001406CE" w:rsidP="00037842">
      <w:pPr>
        <w:jc w:val="center"/>
        <w:rPr>
          <w:bCs/>
          <w:sz w:val="18"/>
          <w:szCs w:val="18"/>
        </w:rPr>
      </w:pPr>
    </w:p>
    <w:p w14:paraId="0EBE7AA1" w14:textId="77777777" w:rsidR="001406CE" w:rsidRPr="001F224B" w:rsidRDefault="001406CE" w:rsidP="00037842">
      <w:pPr>
        <w:jc w:val="center"/>
        <w:rPr>
          <w:bCs/>
          <w:sz w:val="18"/>
          <w:szCs w:val="18"/>
        </w:rPr>
      </w:pPr>
    </w:p>
    <w:p w14:paraId="3C7332A1" w14:textId="77777777" w:rsidR="001406CE" w:rsidRPr="001F224B" w:rsidRDefault="001406CE" w:rsidP="00037842">
      <w:pPr>
        <w:jc w:val="center"/>
        <w:rPr>
          <w:bCs/>
          <w:sz w:val="18"/>
          <w:szCs w:val="18"/>
        </w:rPr>
      </w:pPr>
    </w:p>
    <w:p w14:paraId="2A6A108C" w14:textId="77777777" w:rsidR="001406CE" w:rsidRPr="001F224B" w:rsidRDefault="001406CE" w:rsidP="00037842">
      <w:pPr>
        <w:jc w:val="center"/>
        <w:rPr>
          <w:bCs/>
          <w:sz w:val="18"/>
          <w:szCs w:val="18"/>
        </w:rPr>
      </w:pPr>
    </w:p>
    <w:p w14:paraId="42099E54" w14:textId="77777777" w:rsidR="001406CE" w:rsidRPr="001F224B" w:rsidRDefault="001406CE" w:rsidP="00037842">
      <w:pPr>
        <w:jc w:val="center"/>
        <w:rPr>
          <w:bCs/>
          <w:sz w:val="18"/>
          <w:szCs w:val="18"/>
        </w:rPr>
      </w:pPr>
    </w:p>
    <w:p w14:paraId="060BE3B2" w14:textId="77777777" w:rsidR="001406CE" w:rsidRPr="001F224B" w:rsidRDefault="001406CE" w:rsidP="00037842">
      <w:pPr>
        <w:jc w:val="center"/>
        <w:rPr>
          <w:bCs/>
          <w:sz w:val="18"/>
          <w:szCs w:val="18"/>
        </w:rPr>
      </w:pPr>
    </w:p>
    <w:p w14:paraId="112ADBB7" w14:textId="77777777" w:rsidR="001406CE" w:rsidRPr="001F224B" w:rsidRDefault="001406CE" w:rsidP="00037842">
      <w:pPr>
        <w:jc w:val="center"/>
        <w:rPr>
          <w:bCs/>
          <w:sz w:val="18"/>
          <w:szCs w:val="18"/>
        </w:rPr>
      </w:pPr>
    </w:p>
    <w:p w14:paraId="343BA9DD" w14:textId="77777777" w:rsidR="001406CE" w:rsidRPr="001F224B" w:rsidRDefault="001406CE" w:rsidP="00037842">
      <w:pPr>
        <w:jc w:val="center"/>
        <w:rPr>
          <w:bCs/>
          <w:sz w:val="18"/>
          <w:szCs w:val="18"/>
        </w:rPr>
      </w:pPr>
    </w:p>
    <w:p w14:paraId="6FF04778" w14:textId="77777777" w:rsidR="00367732" w:rsidRPr="001F224B" w:rsidRDefault="00367732" w:rsidP="00037842">
      <w:pPr>
        <w:jc w:val="center"/>
        <w:rPr>
          <w:bCs/>
          <w:sz w:val="18"/>
          <w:szCs w:val="18"/>
        </w:rPr>
      </w:pPr>
    </w:p>
    <w:p w14:paraId="6FF2ABAB" w14:textId="77777777" w:rsidR="00CC179D" w:rsidRPr="001F224B" w:rsidRDefault="00CC179D" w:rsidP="00037842">
      <w:pPr>
        <w:jc w:val="center"/>
        <w:rPr>
          <w:bCs/>
          <w:sz w:val="18"/>
          <w:szCs w:val="18"/>
        </w:rPr>
      </w:pPr>
    </w:p>
    <w:p w14:paraId="4BB0C0AC" w14:textId="77777777" w:rsidR="00CC179D" w:rsidRPr="001F224B" w:rsidRDefault="00CC179D" w:rsidP="00037842">
      <w:pPr>
        <w:jc w:val="center"/>
        <w:rPr>
          <w:bCs/>
          <w:sz w:val="18"/>
          <w:szCs w:val="18"/>
        </w:rPr>
      </w:pPr>
    </w:p>
    <w:p w14:paraId="56DC6292" w14:textId="77777777" w:rsidR="00CC179D" w:rsidRPr="001F224B" w:rsidRDefault="00CC179D" w:rsidP="00037842">
      <w:pPr>
        <w:jc w:val="center"/>
        <w:rPr>
          <w:bCs/>
          <w:sz w:val="18"/>
          <w:szCs w:val="18"/>
        </w:rPr>
      </w:pPr>
    </w:p>
    <w:p w14:paraId="5FBE5DF1" w14:textId="77777777" w:rsidR="00CC179D" w:rsidRPr="001F224B" w:rsidRDefault="00CC179D" w:rsidP="00037842">
      <w:pPr>
        <w:jc w:val="center"/>
        <w:rPr>
          <w:bCs/>
          <w:sz w:val="18"/>
          <w:szCs w:val="18"/>
        </w:rPr>
      </w:pPr>
    </w:p>
    <w:p w14:paraId="2526DDC3" w14:textId="77777777" w:rsidR="00CC179D" w:rsidRPr="001F224B" w:rsidRDefault="00CC179D" w:rsidP="00037842">
      <w:pPr>
        <w:jc w:val="center"/>
        <w:rPr>
          <w:bCs/>
          <w:sz w:val="18"/>
          <w:szCs w:val="18"/>
        </w:rPr>
      </w:pPr>
    </w:p>
    <w:p w14:paraId="5F165B4D" w14:textId="77777777" w:rsidR="00CC179D" w:rsidRPr="001F224B" w:rsidRDefault="00CC179D" w:rsidP="00037842">
      <w:pPr>
        <w:jc w:val="center"/>
        <w:rPr>
          <w:bCs/>
          <w:sz w:val="18"/>
          <w:szCs w:val="18"/>
        </w:rPr>
      </w:pPr>
    </w:p>
    <w:p w14:paraId="77B99487" w14:textId="77777777" w:rsidR="00CC179D" w:rsidRPr="001F224B" w:rsidRDefault="00CC179D" w:rsidP="00037842">
      <w:pPr>
        <w:jc w:val="center"/>
        <w:rPr>
          <w:bCs/>
          <w:sz w:val="18"/>
          <w:szCs w:val="18"/>
        </w:rPr>
      </w:pPr>
    </w:p>
    <w:p w14:paraId="2583ED0A" w14:textId="77777777" w:rsidR="00CC179D" w:rsidRPr="001F224B" w:rsidRDefault="00CC179D" w:rsidP="00037842">
      <w:pPr>
        <w:jc w:val="center"/>
        <w:rPr>
          <w:bCs/>
          <w:sz w:val="18"/>
          <w:szCs w:val="18"/>
        </w:rPr>
      </w:pPr>
    </w:p>
    <w:p w14:paraId="512964FC" w14:textId="77777777" w:rsidR="001722E6" w:rsidRPr="001F224B" w:rsidRDefault="001722E6" w:rsidP="00037842">
      <w:pPr>
        <w:jc w:val="center"/>
        <w:rPr>
          <w:bCs/>
          <w:sz w:val="18"/>
          <w:szCs w:val="18"/>
        </w:rPr>
      </w:pPr>
    </w:p>
    <w:p w14:paraId="3C13F4E8" w14:textId="77777777" w:rsidR="001722E6" w:rsidRPr="001F224B" w:rsidRDefault="001722E6" w:rsidP="00037842">
      <w:pPr>
        <w:jc w:val="center"/>
        <w:rPr>
          <w:bCs/>
          <w:sz w:val="18"/>
          <w:szCs w:val="18"/>
        </w:rPr>
      </w:pPr>
    </w:p>
    <w:p w14:paraId="64A74E8E" w14:textId="77777777" w:rsidR="001722E6" w:rsidRPr="001F224B" w:rsidRDefault="001722E6" w:rsidP="00037842">
      <w:pPr>
        <w:jc w:val="center"/>
        <w:rPr>
          <w:bCs/>
          <w:sz w:val="18"/>
          <w:szCs w:val="18"/>
        </w:rPr>
      </w:pPr>
    </w:p>
    <w:p w14:paraId="017D9B78" w14:textId="77777777" w:rsidR="001722E6" w:rsidRPr="001F224B" w:rsidRDefault="001722E6" w:rsidP="00037842">
      <w:pPr>
        <w:jc w:val="center"/>
        <w:rPr>
          <w:bCs/>
          <w:sz w:val="18"/>
          <w:szCs w:val="18"/>
        </w:rPr>
      </w:pPr>
    </w:p>
    <w:p w14:paraId="4AC20410" w14:textId="77777777" w:rsidR="001722E6" w:rsidRPr="001F224B" w:rsidRDefault="001722E6" w:rsidP="00037842">
      <w:pPr>
        <w:jc w:val="center"/>
        <w:rPr>
          <w:bCs/>
          <w:sz w:val="18"/>
          <w:szCs w:val="18"/>
        </w:rPr>
      </w:pPr>
    </w:p>
    <w:p w14:paraId="1022BFDF" w14:textId="77777777" w:rsidR="001722E6" w:rsidRPr="001F224B" w:rsidRDefault="001722E6" w:rsidP="00037842">
      <w:pPr>
        <w:jc w:val="center"/>
        <w:rPr>
          <w:bCs/>
          <w:sz w:val="18"/>
          <w:szCs w:val="18"/>
        </w:rPr>
      </w:pPr>
    </w:p>
    <w:p w14:paraId="202775BA" w14:textId="77777777" w:rsidR="001722E6" w:rsidRPr="001F224B" w:rsidRDefault="001722E6" w:rsidP="00037842">
      <w:pPr>
        <w:jc w:val="center"/>
        <w:rPr>
          <w:bCs/>
          <w:sz w:val="18"/>
          <w:szCs w:val="18"/>
        </w:rPr>
      </w:pPr>
    </w:p>
    <w:p w14:paraId="24DC1E63" w14:textId="77777777" w:rsidR="001722E6" w:rsidRPr="001F224B" w:rsidRDefault="001722E6" w:rsidP="00037842">
      <w:pPr>
        <w:jc w:val="center"/>
        <w:rPr>
          <w:bCs/>
          <w:sz w:val="18"/>
          <w:szCs w:val="18"/>
        </w:rPr>
      </w:pPr>
    </w:p>
    <w:p w14:paraId="2B869030" w14:textId="77777777" w:rsidR="00CC179D" w:rsidRPr="001F224B" w:rsidRDefault="00CC179D" w:rsidP="00037842">
      <w:pPr>
        <w:jc w:val="center"/>
        <w:rPr>
          <w:bCs/>
          <w:sz w:val="18"/>
          <w:szCs w:val="18"/>
        </w:rPr>
      </w:pPr>
    </w:p>
    <w:p w14:paraId="64563B35" w14:textId="77777777" w:rsidR="00CC179D" w:rsidRPr="001F224B" w:rsidRDefault="00CC179D" w:rsidP="00037842">
      <w:pPr>
        <w:jc w:val="center"/>
        <w:rPr>
          <w:bCs/>
          <w:sz w:val="18"/>
          <w:szCs w:val="18"/>
        </w:rPr>
      </w:pPr>
    </w:p>
    <w:p w14:paraId="5B2A3BD1" w14:textId="77777777" w:rsidR="00CC179D" w:rsidRPr="001F224B" w:rsidRDefault="00CC179D" w:rsidP="00037842">
      <w:pPr>
        <w:jc w:val="center"/>
        <w:rPr>
          <w:bCs/>
          <w:sz w:val="18"/>
          <w:szCs w:val="18"/>
        </w:rPr>
      </w:pPr>
    </w:p>
    <w:p w14:paraId="7E45996A" w14:textId="77777777" w:rsidR="00367732" w:rsidRPr="001F224B" w:rsidRDefault="00367732" w:rsidP="00037842">
      <w:pPr>
        <w:jc w:val="center"/>
        <w:rPr>
          <w:bCs/>
          <w:sz w:val="18"/>
          <w:szCs w:val="18"/>
        </w:rPr>
      </w:pPr>
    </w:p>
    <w:p w14:paraId="4F1B6534" w14:textId="77777777" w:rsidR="006E563B" w:rsidRPr="001F224B" w:rsidRDefault="006E563B" w:rsidP="00037842">
      <w:pPr>
        <w:jc w:val="center"/>
        <w:rPr>
          <w:bCs/>
          <w:sz w:val="18"/>
          <w:szCs w:val="18"/>
        </w:rPr>
      </w:pPr>
    </w:p>
    <w:p w14:paraId="690652BB" w14:textId="77777777" w:rsidR="004671B2" w:rsidRPr="001F224B" w:rsidRDefault="004671B2" w:rsidP="00037842">
      <w:pPr>
        <w:jc w:val="center"/>
        <w:rPr>
          <w:bCs/>
          <w:sz w:val="18"/>
          <w:szCs w:val="18"/>
        </w:rPr>
      </w:pPr>
    </w:p>
    <w:p w14:paraId="32A0BDC8" w14:textId="77777777" w:rsidR="004671B2" w:rsidRPr="001F224B" w:rsidRDefault="004671B2" w:rsidP="00037842">
      <w:pPr>
        <w:jc w:val="center"/>
        <w:rPr>
          <w:bCs/>
          <w:sz w:val="18"/>
          <w:szCs w:val="18"/>
        </w:rPr>
      </w:pPr>
    </w:p>
    <w:p w14:paraId="5B9D6012" w14:textId="77777777" w:rsidR="008728BA" w:rsidRPr="001F224B" w:rsidRDefault="008728BA" w:rsidP="00037842">
      <w:pPr>
        <w:jc w:val="center"/>
        <w:rPr>
          <w:bCs/>
          <w:sz w:val="18"/>
          <w:szCs w:val="18"/>
        </w:rPr>
      </w:pPr>
    </w:p>
    <w:p w14:paraId="3F7B7824" w14:textId="007E58B7" w:rsidR="00C67E0D" w:rsidRPr="001F224B" w:rsidRDefault="00367732" w:rsidP="00367732">
      <w:pPr>
        <w:jc w:val="center"/>
        <w:rPr>
          <w:b/>
          <w:bCs/>
          <w:sz w:val="16"/>
          <w:szCs w:val="16"/>
        </w:rPr>
      </w:pPr>
      <w:r w:rsidRPr="001F224B">
        <w:rPr>
          <w:bCs/>
          <w:sz w:val="16"/>
          <w:szCs w:val="16"/>
        </w:rPr>
        <w:t>İlişikteki açıklama ve dipnotlar bu</w:t>
      </w:r>
      <w:r w:rsidR="00376F67" w:rsidRPr="001F224B">
        <w:rPr>
          <w:bCs/>
          <w:sz w:val="16"/>
          <w:szCs w:val="16"/>
        </w:rPr>
        <w:t xml:space="preserve"> konsolide</w:t>
      </w:r>
      <w:r w:rsidRPr="001F224B">
        <w:rPr>
          <w:bCs/>
          <w:sz w:val="16"/>
          <w:szCs w:val="16"/>
        </w:rPr>
        <w:t xml:space="preserve"> finansal tabloların tamamlayıcı parçalarıdır.</w:t>
      </w:r>
      <w:r w:rsidRPr="001F224B">
        <w:rPr>
          <w:b/>
          <w:bCs/>
          <w:sz w:val="16"/>
          <w:szCs w:val="16"/>
        </w:rPr>
        <w:t xml:space="preserve"> </w:t>
      </w:r>
    </w:p>
    <w:p w14:paraId="7EBCE29A" w14:textId="77777777" w:rsidR="00C67E0D" w:rsidRPr="001F224B" w:rsidRDefault="00C67E0D" w:rsidP="00C67E0D">
      <w:pPr>
        <w:jc w:val="center"/>
        <w:rPr>
          <w:sz w:val="22"/>
          <w:szCs w:val="22"/>
        </w:rPr>
      </w:pPr>
    </w:p>
    <w:p w14:paraId="2F4E32DF" w14:textId="77777777" w:rsidR="00C67E0D" w:rsidRPr="001F224B" w:rsidRDefault="00C67E0D" w:rsidP="00C67E0D">
      <w:pPr>
        <w:rPr>
          <w:sz w:val="22"/>
          <w:szCs w:val="22"/>
        </w:rPr>
      </w:pPr>
    </w:p>
    <w:p w14:paraId="6602517A" w14:textId="77777777" w:rsidR="00367732" w:rsidRPr="001F224B" w:rsidRDefault="00367732" w:rsidP="00C67E0D">
      <w:pPr>
        <w:rPr>
          <w:sz w:val="22"/>
          <w:szCs w:val="22"/>
        </w:rPr>
        <w:sectPr w:rsidR="00367732" w:rsidRPr="001F224B" w:rsidSect="005110C1">
          <w:headerReference w:type="first" r:id="rId89"/>
          <w:footerReference w:type="first" r:id="rId90"/>
          <w:pgSz w:w="11907" w:h="16840" w:code="9"/>
          <w:pgMar w:top="680" w:right="964" w:bottom="567" w:left="1134" w:header="624" w:footer="397" w:gutter="0"/>
          <w:cols w:space="708"/>
          <w:titlePg/>
          <w:docGrid w:linePitch="326"/>
        </w:sectPr>
      </w:pPr>
    </w:p>
    <w:tbl>
      <w:tblPr>
        <w:tblStyle w:val="TableGrid"/>
        <w:tblW w:w="15857" w:type="dxa"/>
        <w:tblInd w:w="-5" w:type="dxa"/>
        <w:tblLayout w:type="fixed"/>
        <w:tblLook w:val="04A0" w:firstRow="1" w:lastRow="0" w:firstColumn="1" w:lastColumn="0" w:noHBand="0" w:noVBand="1"/>
      </w:tblPr>
      <w:tblGrid>
        <w:gridCol w:w="465"/>
        <w:gridCol w:w="2925"/>
        <w:gridCol w:w="754"/>
        <w:gridCol w:w="992"/>
        <w:gridCol w:w="709"/>
        <w:gridCol w:w="850"/>
        <w:gridCol w:w="676"/>
        <w:gridCol w:w="710"/>
        <w:gridCol w:w="708"/>
        <w:gridCol w:w="709"/>
        <w:gridCol w:w="851"/>
        <w:gridCol w:w="708"/>
        <w:gridCol w:w="778"/>
        <w:gridCol w:w="923"/>
        <w:gridCol w:w="822"/>
        <w:gridCol w:w="879"/>
        <w:gridCol w:w="585"/>
        <w:gridCol w:w="6"/>
        <w:gridCol w:w="807"/>
      </w:tblGrid>
      <w:tr w:rsidR="0019604D" w:rsidRPr="001F224B" w14:paraId="057BDA6F" w14:textId="77777777" w:rsidTr="005D2E7F">
        <w:trPr>
          <w:trHeight w:val="209"/>
        </w:trPr>
        <w:tc>
          <w:tcPr>
            <w:tcW w:w="465" w:type="dxa"/>
            <w:tcBorders>
              <w:top w:val="single" w:sz="4" w:space="0" w:color="auto"/>
              <w:left w:val="single" w:sz="4" w:space="0" w:color="auto"/>
              <w:bottom w:val="nil"/>
              <w:right w:val="nil"/>
            </w:tcBorders>
          </w:tcPr>
          <w:p w14:paraId="01FCA591" w14:textId="77777777" w:rsidR="0019604D" w:rsidRPr="001F224B" w:rsidRDefault="0019604D" w:rsidP="008D45CF">
            <w:pPr>
              <w:jc w:val="center"/>
              <w:rPr>
                <w:rFonts w:eastAsia="Arial Unicode MS"/>
                <w:b/>
                <w:bCs/>
                <w:sz w:val="13"/>
                <w:szCs w:val="13"/>
              </w:rPr>
            </w:pPr>
          </w:p>
        </w:tc>
        <w:tc>
          <w:tcPr>
            <w:tcW w:w="2925" w:type="dxa"/>
            <w:vMerge w:val="restart"/>
            <w:tcBorders>
              <w:top w:val="single" w:sz="4" w:space="0" w:color="auto"/>
              <w:left w:val="nil"/>
              <w:right w:val="single" w:sz="4" w:space="0" w:color="auto"/>
            </w:tcBorders>
            <w:vAlign w:val="center"/>
          </w:tcPr>
          <w:p w14:paraId="546862E6" w14:textId="37EC05FF" w:rsidR="0019604D" w:rsidRPr="001F224B" w:rsidRDefault="0019604D" w:rsidP="003872C4">
            <w:pPr>
              <w:rPr>
                <w:rFonts w:eastAsia="Arial Unicode MS"/>
                <w:b/>
                <w:bCs/>
                <w:sz w:val="13"/>
                <w:szCs w:val="13"/>
              </w:rPr>
            </w:pPr>
            <w:r w:rsidRPr="001F224B">
              <w:rPr>
                <w:rFonts w:eastAsia="Arial Unicode MS"/>
                <w:b/>
                <w:bCs/>
                <w:sz w:val="13"/>
                <w:szCs w:val="13"/>
              </w:rPr>
              <w:t>V.     KONSOLİDE ÖZKAYNAK KALEMLERİNDEKİ DEĞİŞİKLİKLER</w:t>
            </w:r>
          </w:p>
          <w:p w14:paraId="43A6E660" w14:textId="77777777" w:rsidR="0019604D" w:rsidRPr="001F224B" w:rsidRDefault="0019604D" w:rsidP="008D45CF">
            <w:pPr>
              <w:jc w:val="center"/>
              <w:rPr>
                <w:rFonts w:eastAsia="Arial Unicode MS"/>
                <w:sz w:val="13"/>
                <w:szCs w:val="13"/>
              </w:rPr>
            </w:pPr>
          </w:p>
        </w:tc>
        <w:tc>
          <w:tcPr>
            <w:tcW w:w="754" w:type="dxa"/>
            <w:vMerge w:val="restart"/>
            <w:tcBorders>
              <w:top w:val="single" w:sz="4" w:space="0" w:color="auto"/>
              <w:left w:val="single" w:sz="4" w:space="0" w:color="auto"/>
              <w:right w:val="dotted" w:sz="4" w:space="0" w:color="auto"/>
            </w:tcBorders>
            <w:vAlign w:val="center"/>
          </w:tcPr>
          <w:p w14:paraId="74E0D307" w14:textId="77777777" w:rsidR="0019604D" w:rsidRPr="001F224B" w:rsidRDefault="0019604D" w:rsidP="00BC31F1">
            <w:pPr>
              <w:jc w:val="center"/>
              <w:rPr>
                <w:rFonts w:eastAsia="Arial Unicode MS"/>
                <w:b/>
                <w:sz w:val="13"/>
                <w:szCs w:val="13"/>
              </w:rPr>
            </w:pPr>
            <w:r w:rsidRPr="001F224B">
              <w:rPr>
                <w:b/>
                <w:sz w:val="12"/>
                <w:szCs w:val="12"/>
              </w:rPr>
              <w:t xml:space="preserve">Ödenmiş Sermaye </w:t>
            </w:r>
          </w:p>
        </w:tc>
        <w:tc>
          <w:tcPr>
            <w:tcW w:w="992" w:type="dxa"/>
            <w:vMerge w:val="restart"/>
            <w:tcBorders>
              <w:top w:val="single" w:sz="4" w:space="0" w:color="auto"/>
              <w:left w:val="dotted" w:sz="4" w:space="0" w:color="auto"/>
              <w:right w:val="dotted" w:sz="4" w:space="0" w:color="auto"/>
            </w:tcBorders>
            <w:vAlign w:val="center"/>
          </w:tcPr>
          <w:p w14:paraId="700CB1CB" w14:textId="77777777" w:rsidR="0019604D" w:rsidRPr="001F224B" w:rsidRDefault="0019604D" w:rsidP="00BC31F1">
            <w:pPr>
              <w:jc w:val="center"/>
              <w:rPr>
                <w:b/>
                <w:sz w:val="12"/>
                <w:szCs w:val="12"/>
              </w:rPr>
            </w:pPr>
            <w:r w:rsidRPr="001F224B">
              <w:rPr>
                <w:b/>
                <w:sz w:val="12"/>
                <w:szCs w:val="12"/>
              </w:rPr>
              <w:t>Hisse Senedi İhraç Primleri</w:t>
            </w:r>
          </w:p>
        </w:tc>
        <w:tc>
          <w:tcPr>
            <w:tcW w:w="709" w:type="dxa"/>
            <w:vMerge w:val="restart"/>
            <w:tcBorders>
              <w:top w:val="single" w:sz="4" w:space="0" w:color="auto"/>
              <w:left w:val="dotted" w:sz="4" w:space="0" w:color="auto"/>
              <w:right w:val="dotted" w:sz="4" w:space="0" w:color="auto"/>
            </w:tcBorders>
            <w:vAlign w:val="center"/>
          </w:tcPr>
          <w:p w14:paraId="320DBB7F" w14:textId="77777777" w:rsidR="0019604D" w:rsidRPr="001F224B" w:rsidRDefault="0019604D" w:rsidP="00BC31F1">
            <w:pPr>
              <w:jc w:val="center"/>
              <w:rPr>
                <w:rFonts w:eastAsia="Arial Unicode MS"/>
                <w:b/>
                <w:sz w:val="13"/>
                <w:szCs w:val="13"/>
              </w:rPr>
            </w:pPr>
            <w:r w:rsidRPr="001F224B">
              <w:rPr>
                <w:b/>
                <w:sz w:val="12"/>
                <w:szCs w:val="12"/>
              </w:rPr>
              <w:t>Hisse Senedi İptal Karları</w:t>
            </w:r>
          </w:p>
        </w:tc>
        <w:tc>
          <w:tcPr>
            <w:tcW w:w="850" w:type="dxa"/>
            <w:vMerge w:val="restart"/>
            <w:tcBorders>
              <w:top w:val="single" w:sz="4" w:space="0" w:color="auto"/>
              <w:left w:val="dotted" w:sz="4" w:space="0" w:color="auto"/>
              <w:right w:val="dotted" w:sz="4" w:space="0" w:color="auto"/>
            </w:tcBorders>
            <w:vAlign w:val="center"/>
          </w:tcPr>
          <w:p w14:paraId="53DECFA0" w14:textId="77777777" w:rsidR="0019604D" w:rsidRPr="001F224B" w:rsidRDefault="0019604D" w:rsidP="00BC31F1">
            <w:pPr>
              <w:jc w:val="center"/>
              <w:rPr>
                <w:rFonts w:eastAsia="Arial Unicode MS"/>
                <w:b/>
                <w:sz w:val="13"/>
                <w:szCs w:val="13"/>
              </w:rPr>
            </w:pPr>
            <w:r w:rsidRPr="001F224B">
              <w:rPr>
                <w:b/>
                <w:sz w:val="12"/>
                <w:szCs w:val="12"/>
              </w:rPr>
              <w:t>Diğer Sermaye Yedekleri</w:t>
            </w:r>
          </w:p>
        </w:tc>
        <w:tc>
          <w:tcPr>
            <w:tcW w:w="676" w:type="dxa"/>
            <w:tcBorders>
              <w:top w:val="single" w:sz="4" w:space="0" w:color="auto"/>
              <w:left w:val="dotted" w:sz="4" w:space="0" w:color="auto"/>
              <w:bottom w:val="single" w:sz="4" w:space="0" w:color="auto"/>
              <w:right w:val="nil"/>
            </w:tcBorders>
            <w:vAlign w:val="center"/>
          </w:tcPr>
          <w:p w14:paraId="25D01AD2" w14:textId="77777777" w:rsidR="0019604D" w:rsidRPr="001F224B" w:rsidRDefault="0019604D" w:rsidP="008D45CF">
            <w:pPr>
              <w:jc w:val="center"/>
              <w:rPr>
                <w:rFonts w:eastAsia="Arial Unicode MS"/>
                <w:b/>
                <w:sz w:val="13"/>
                <w:szCs w:val="13"/>
              </w:rPr>
            </w:pPr>
          </w:p>
        </w:tc>
        <w:tc>
          <w:tcPr>
            <w:tcW w:w="710" w:type="dxa"/>
            <w:tcBorders>
              <w:top w:val="single" w:sz="4" w:space="0" w:color="auto"/>
              <w:left w:val="nil"/>
              <w:bottom w:val="single" w:sz="4" w:space="0" w:color="auto"/>
              <w:right w:val="nil"/>
            </w:tcBorders>
            <w:vAlign w:val="center"/>
          </w:tcPr>
          <w:p w14:paraId="3BA1C122" w14:textId="77777777" w:rsidR="0019604D" w:rsidRPr="001F224B" w:rsidRDefault="0019604D" w:rsidP="008D45CF">
            <w:pPr>
              <w:jc w:val="center"/>
              <w:rPr>
                <w:rFonts w:eastAsia="Arial Unicode MS"/>
                <w:b/>
                <w:sz w:val="13"/>
                <w:szCs w:val="13"/>
              </w:rPr>
            </w:pPr>
          </w:p>
        </w:tc>
        <w:tc>
          <w:tcPr>
            <w:tcW w:w="708" w:type="dxa"/>
            <w:tcBorders>
              <w:top w:val="single" w:sz="4" w:space="0" w:color="auto"/>
              <w:left w:val="nil"/>
              <w:bottom w:val="single" w:sz="4" w:space="0" w:color="auto"/>
              <w:right w:val="nil"/>
            </w:tcBorders>
            <w:vAlign w:val="center"/>
          </w:tcPr>
          <w:p w14:paraId="477AFCD5" w14:textId="77777777" w:rsidR="0019604D" w:rsidRPr="001F224B" w:rsidRDefault="0019604D" w:rsidP="008D45CF">
            <w:pPr>
              <w:jc w:val="center"/>
              <w:rPr>
                <w:rFonts w:eastAsia="Arial Unicode MS"/>
                <w:b/>
                <w:sz w:val="13"/>
                <w:szCs w:val="13"/>
              </w:rPr>
            </w:pPr>
          </w:p>
        </w:tc>
        <w:tc>
          <w:tcPr>
            <w:tcW w:w="709" w:type="dxa"/>
            <w:tcBorders>
              <w:top w:val="single" w:sz="4" w:space="0" w:color="auto"/>
              <w:left w:val="nil"/>
              <w:bottom w:val="single" w:sz="4" w:space="0" w:color="auto"/>
              <w:right w:val="nil"/>
            </w:tcBorders>
            <w:vAlign w:val="center"/>
          </w:tcPr>
          <w:p w14:paraId="54425C28" w14:textId="77777777" w:rsidR="0019604D" w:rsidRPr="001F224B" w:rsidRDefault="0019604D" w:rsidP="008D45CF">
            <w:pPr>
              <w:jc w:val="center"/>
              <w:rPr>
                <w:rFonts w:eastAsia="Arial Unicode MS"/>
                <w:b/>
                <w:sz w:val="13"/>
                <w:szCs w:val="13"/>
              </w:rPr>
            </w:pPr>
          </w:p>
        </w:tc>
        <w:tc>
          <w:tcPr>
            <w:tcW w:w="851" w:type="dxa"/>
            <w:tcBorders>
              <w:top w:val="single" w:sz="4" w:space="0" w:color="auto"/>
              <w:left w:val="nil"/>
              <w:bottom w:val="single" w:sz="4" w:space="0" w:color="auto"/>
              <w:right w:val="nil"/>
            </w:tcBorders>
            <w:vAlign w:val="center"/>
          </w:tcPr>
          <w:p w14:paraId="10D65023" w14:textId="77777777" w:rsidR="0019604D" w:rsidRPr="001F224B" w:rsidRDefault="0019604D" w:rsidP="008D45CF">
            <w:pPr>
              <w:jc w:val="center"/>
              <w:rPr>
                <w:rFonts w:eastAsia="Arial Unicode MS"/>
                <w:b/>
                <w:sz w:val="13"/>
                <w:szCs w:val="13"/>
              </w:rPr>
            </w:pPr>
          </w:p>
        </w:tc>
        <w:tc>
          <w:tcPr>
            <w:tcW w:w="708" w:type="dxa"/>
            <w:tcBorders>
              <w:top w:val="single" w:sz="4" w:space="0" w:color="auto"/>
              <w:left w:val="nil"/>
              <w:bottom w:val="single" w:sz="4" w:space="0" w:color="auto"/>
              <w:right w:val="dotted" w:sz="4" w:space="0" w:color="auto"/>
            </w:tcBorders>
            <w:vAlign w:val="center"/>
          </w:tcPr>
          <w:p w14:paraId="08CD0DE2" w14:textId="77777777" w:rsidR="0019604D" w:rsidRPr="001F224B" w:rsidRDefault="0019604D" w:rsidP="008D45CF">
            <w:pPr>
              <w:jc w:val="center"/>
              <w:rPr>
                <w:rFonts w:eastAsia="Arial Unicode MS"/>
                <w:b/>
                <w:sz w:val="13"/>
                <w:szCs w:val="13"/>
              </w:rPr>
            </w:pPr>
          </w:p>
        </w:tc>
        <w:tc>
          <w:tcPr>
            <w:tcW w:w="778" w:type="dxa"/>
            <w:tcBorders>
              <w:top w:val="single" w:sz="4" w:space="0" w:color="auto"/>
              <w:left w:val="dotted" w:sz="4" w:space="0" w:color="auto"/>
              <w:bottom w:val="nil"/>
              <w:right w:val="dotted" w:sz="4" w:space="0" w:color="auto"/>
            </w:tcBorders>
            <w:vAlign w:val="center"/>
          </w:tcPr>
          <w:p w14:paraId="209CAC54" w14:textId="77777777" w:rsidR="00733BE1" w:rsidRPr="001F224B" w:rsidRDefault="00733BE1" w:rsidP="00733BE1">
            <w:pPr>
              <w:jc w:val="center"/>
              <w:rPr>
                <w:b/>
                <w:sz w:val="12"/>
                <w:szCs w:val="12"/>
              </w:rPr>
            </w:pPr>
          </w:p>
          <w:p w14:paraId="52AF7F79" w14:textId="77777777" w:rsidR="00733BE1" w:rsidRPr="001F224B" w:rsidRDefault="00733BE1" w:rsidP="00733BE1">
            <w:pPr>
              <w:jc w:val="center"/>
              <w:rPr>
                <w:b/>
                <w:sz w:val="12"/>
                <w:szCs w:val="12"/>
              </w:rPr>
            </w:pPr>
          </w:p>
          <w:p w14:paraId="4D953A43" w14:textId="77777777" w:rsidR="00733BE1" w:rsidRPr="001F224B" w:rsidRDefault="00733BE1" w:rsidP="00733BE1">
            <w:pPr>
              <w:jc w:val="center"/>
              <w:rPr>
                <w:b/>
                <w:sz w:val="12"/>
                <w:szCs w:val="12"/>
              </w:rPr>
            </w:pPr>
          </w:p>
          <w:p w14:paraId="3D9A4F4C" w14:textId="77777777" w:rsidR="0019604D" w:rsidRPr="001F224B" w:rsidRDefault="0019604D" w:rsidP="00733BE1">
            <w:pPr>
              <w:jc w:val="center"/>
              <w:rPr>
                <w:rFonts w:eastAsia="Arial Unicode MS"/>
                <w:b/>
                <w:sz w:val="13"/>
                <w:szCs w:val="13"/>
              </w:rPr>
            </w:pPr>
            <w:r w:rsidRPr="001F224B">
              <w:rPr>
                <w:b/>
                <w:sz w:val="12"/>
                <w:szCs w:val="12"/>
              </w:rPr>
              <w:t>Kar Yedekleri</w:t>
            </w:r>
          </w:p>
        </w:tc>
        <w:tc>
          <w:tcPr>
            <w:tcW w:w="923" w:type="dxa"/>
            <w:tcBorders>
              <w:top w:val="single" w:sz="4" w:space="0" w:color="auto"/>
              <w:left w:val="dotted" w:sz="4" w:space="0" w:color="auto"/>
              <w:bottom w:val="nil"/>
              <w:right w:val="dotted" w:sz="4" w:space="0" w:color="auto"/>
            </w:tcBorders>
            <w:vAlign w:val="center"/>
          </w:tcPr>
          <w:p w14:paraId="5E74AAB2" w14:textId="77777777" w:rsidR="00733BE1" w:rsidRPr="001F224B" w:rsidRDefault="00733BE1" w:rsidP="00733BE1">
            <w:pPr>
              <w:jc w:val="center"/>
              <w:rPr>
                <w:b/>
                <w:sz w:val="12"/>
                <w:szCs w:val="12"/>
              </w:rPr>
            </w:pPr>
          </w:p>
          <w:p w14:paraId="0273A1D0" w14:textId="77777777" w:rsidR="00733BE1" w:rsidRPr="001F224B" w:rsidRDefault="00733BE1" w:rsidP="00733BE1">
            <w:pPr>
              <w:jc w:val="center"/>
              <w:rPr>
                <w:b/>
                <w:sz w:val="12"/>
                <w:szCs w:val="12"/>
              </w:rPr>
            </w:pPr>
          </w:p>
          <w:p w14:paraId="63E0F94A" w14:textId="5BC3D29C" w:rsidR="0019604D" w:rsidRPr="001F224B" w:rsidRDefault="0019604D" w:rsidP="00733BE1">
            <w:pPr>
              <w:jc w:val="center"/>
              <w:rPr>
                <w:rFonts w:eastAsia="Arial Unicode MS"/>
                <w:b/>
                <w:sz w:val="13"/>
                <w:szCs w:val="13"/>
              </w:rPr>
            </w:pPr>
            <w:r w:rsidRPr="001F224B">
              <w:rPr>
                <w:b/>
                <w:sz w:val="12"/>
                <w:szCs w:val="12"/>
              </w:rPr>
              <w:t>Geçmiş Dönem Karı / (Zararı)</w:t>
            </w:r>
          </w:p>
        </w:tc>
        <w:tc>
          <w:tcPr>
            <w:tcW w:w="822" w:type="dxa"/>
            <w:tcBorders>
              <w:top w:val="single" w:sz="4" w:space="0" w:color="auto"/>
              <w:left w:val="dotted" w:sz="4" w:space="0" w:color="auto"/>
              <w:bottom w:val="nil"/>
              <w:right w:val="dotted" w:sz="4" w:space="0" w:color="auto"/>
            </w:tcBorders>
            <w:vAlign w:val="center"/>
          </w:tcPr>
          <w:p w14:paraId="779AED1C" w14:textId="77777777" w:rsidR="00733BE1" w:rsidRPr="001F224B" w:rsidRDefault="00733BE1" w:rsidP="00733BE1">
            <w:pPr>
              <w:jc w:val="center"/>
              <w:rPr>
                <w:b/>
                <w:sz w:val="12"/>
                <w:szCs w:val="12"/>
              </w:rPr>
            </w:pPr>
          </w:p>
          <w:p w14:paraId="1946E05A" w14:textId="77777777" w:rsidR="00733BE1" w:rsidRPr="001F224B" w:rsidRDefault="00733BE1" w:rsidP="00733BE1">
            <w:pPr>
              <w:jc w:val="center"/>
              <w:rPr>
                <w:b/>
                <w:sz w:val="12"/>
                <w:szCs w:val="12"/>
              </w:rPr>
            </w:pPr>
          </w:p>
          <w:p w14:paraId="2651B067" w14:textId="77777777" w:rsidR="00733BE1" w:rsidRPr="001F224B" w:rsidRDefault="00733BE1" w:rsidP="00733BE1">
            <w:pPr>
              <w:jc w:val="center"/>
              <w:rPr>
                <w:b/>
                <w:sz w:val="12"/>
                <w:szCs w:val="12"/>
              </w:rPr>
            </w:pPr>
          </w:p>
          <w:p w14:paraId="48C86E30" w14:textId="4F19A813" w:rsidR="0019604D" w:rsidRPr="001F224B" w:rsidRDefault="0019604D" w:rsidP="00733BE1">
            <w:pPr>
              <w:jc w:val="center"/>
              <w:rPr>
                <w:rFonts w:eastAsia="Arial Unicode MS"/>
                <w:b/>
                <w:sz w:val="13"/>
                <w:szCs w:val="13"/>
              </w:rPr>
            </w:pPr>
            <w:r w:rsidRPr="001F224B">
              <w:rPr>
                <w:b/>
                <w:sz w:val="12"/>
                <w:szCs w:val="12"/>
              </w:rPr>
              <w:t>Dönem Net Kar veya Zararı</w:t>
            </w:r>
          </w:p>
        </w:tc>
        <w:tc>
          <w:tcPr>
            <w:tcW w:w="879" w:type="dxa"/>
            <w:tcBorders>
              <w:top w:val="single" w:sz="4" w:space="0" w:color="auto"/>
              <w:left w:val="dotted" w:sz="4" w:space="0" w:color="auto"/>
              <w:bottom w:val="nil"/>
              <w:right w:val="dotted" w:sz="4" w:space="0" w:color="auto"/>
            </w:tcBorders>
            <w:vAlign w:val="center"/>
          </w:tcPr>
          <w:p w14:paraId="14B24DB0" w14:textId="77777777" w:rsidR="00733BE1" w:rsidRPr="001F224B" w:rsidRDefault="00733BE1" w:rsidP="00733BE1">
            <w:pPr>
              <w:jc w:val="center"/>
              <w:rPr>
                <w:b/>
                <w:sz w:val="12"/>
                <w:szCs w:val="12"/>
              </w:rPr>
            </w:pPr>
          </w:p>
          <w:p w14:paraId="4C380D44" w14:textId="678FDA30" w:rsidR="0019604D" w:rsidRPr="001F224B" w:rsidRDefault="0019604D" w:rsidP="00733BE1">
            <w:pPr>
              <w:jc w:val="center"/>
              <w:rPr>
                <w:b/>
                <w:sz w:val="12"/>
                <w:szCs w:val="12"/>
              </w:rPr>
            </w:pPr>
            <w:r w:rsidRPr="001F224B">
              <w:rPr>
                <w:b/>
                <w:sz w:val="12"/>
                <w:szCs w:val="12"/>
              </w:rPr>
              <w:t>Azınlık Payları Hariç Toplam Özkaynak</w:t>
            </w:r>
          </w:p>
        </w:tc>
        <w:tc>
          <w:tcPr>
            <w:tcW w:w="591" w:type="dxa"/>
            <w:gridSpan w:val="2"/>
            <w:tcBorders>
              <w:top w:val="single" w:sz="4" w:space="0" w:color="auto"/>
              <w:left w:val="dotted" w:sz="4" w:space="0" w:color="auto"/>
              <w:bottom w:val="nil"/>
              <w:right w:val="dotted" w:sz="4" w:space="0" w:color="auto"/>
            </w:tcBorders>
            <w:vAlign w:val="center"/>
          </w:tcPr>
          <w:p w14:paraId="1E39AAAD" w14:textId="77777777" w:rsidR="00733BE1" w:rsidRPr="001F224B" w:rsidRDefault="00733BE1" w:rsidP="00733BE1">
            <w:pPr>
              <w:jc w:val="center"/>
              <w:rPr>
                <w:b/>
                <w:sz w:val="12"/>
                <w:szCs w:val="12"/>
              </w:rPr>
            </w:pPr>
          </w:p>
          <w:p w14:paraId="5C782479" w14:textId="77777777" w:rsidR="00733BE1" w:rsidRPr="001F224B" w:rsidRDefault="00733BE1" w:rsidP="00733BE1">
            <w:pPr>
              <w:jc w:val="center"/>
              <w:rPr>
                <w:b/>
                <w:sz w:val="12"/>
                <w:szCs w:val="12"/>
              </w:rPr>
            </w:pPr>
          </w:p>
          <w:p w14:paraId="1D61BDC6" w14:textId="25558265" w:rsidR="0019604D" w:rsidRPr="001F224B" w:rsidRDefault="0019604D" w:rsidP="00733BE1">
            <w:pPr>
              <w:jc w:val="center"/>
              <w:rPr>
                <w:b/>
                <w:sz w:val="12"/>
                <w:szCs w:val="12"/>
              </w:rPr>
            </w:pPr>
            <w:r w:rsidRPr="001F224B">
              <w:rPr>
                <w:b/>
                <w:sz w:val="12"/>
                <w:szCs w:val="12"/>
              </w:rPr>
              <w:t>Azınlık Payları</w:t>
            </w:r>
          </w:p>
        </w:tc>
        <w:tc>
          <w:tcPr>
            <w:tcW w:w="807" w:type="dxa"/>
            <w:tcBorders>
              <w:top w:val="single" w:sz="4" w:space="0" w:color="auto"/>
              <w:left w:val="dotted" w:sz="4" w:space="0" w:color="auto"/>
              <w:bottom w:val="nil"/>
              <w:right w:val="single" w:sz="4" w:space="0" w:color="auto"/>
            </w:tcBorders>
            <w:vAlign w:val="center"/>
          </w:tcPr>
          <w:p w14:paraId="37A81602" w14:textId="77777777" w:rsidR="00733BE1" w:rsidRPr="001F224B" w:rsidRDefault="00733BE1" w:rsidP="00733BE1">
            <w:pPr>
              <w:jc w:val="center"/>
              <w:rPr>
                <w:b/>
                <w:sz w:val="12"/>
                <w:szCs w:val="12"/>
              </w:rPr>
            </w:pPr>
          </w:p>
          <w:p w14:paraId="13FECBCE" w14:textId="77777777" w:rsidR="00733BE1" w:rsidRPr="001F224B" w:rsidRDefault="00733BE1" w:rsidP="00733BE1">
            <w:pPr>
              <w:jc w:val="center"/>
              <w:rPr>
                <w:b/>
                <w:sz w:val="12"/>
                <w:szCs w:val="12"/>
              </w:rPr>
            </w:pPr>
          </w:p>
          <w:p w14:paraId="49BA2720" w14:textId="46610B64" w:rsidR="0019604D" w:rsidRPr="001F224B" w:rsidRDefault="0019604D" w:rsidP="00733BE1">
            <w:pPr>
              <w:jc w:val="center"/>
              <w:rPr>
                <w:rFonts w:eastAsia="Arial Unicode MS"/>
                <w:b/>
                <w:sz w:val="13"/>
                <w:szCs w:val="13"/>
              </w:rPr>
            </w:pPr>
            <w:r w:rsidRPr="001F224B">
              <w:rPr>
                <w:b/>
                <w:sz w:val="12"/>
                <w:szCs w:val="12"/>
              </w:rPr>
              <w:t>Toplam Özkaynak</w:t>
            </w:r>
          </w:p>
        </w:tc>
      </w:tr>
      <w:tr w:rsidR="0019604D" w:rsidRPr="001F224B" w14:paraId="1F99939B" w14:textId="77777777" w:rsidTr="005D2E7F">
        <w:trPr>
          <w:trHeight w:val="19"/>
        </w:trPr>
        <w:tc>
          <w:tcPr>
            <w:tcW w:w="465" w:type="dxa"/>
            <w:tcBorders>
              <w:top w:val="nil"/>
              <w:left w:val="single" w:sz="4" w:space="0" w:color="auto"/>
              <w:bottom w:val="nil"/>
              <w:right w:val="nil"/>
            </w:tcBorders>
          </w:tcPr>
          <w:p w14:paraId="7B7785B3" w14:textId="77777777" w:rsidR="0019604D" w:rsidRPr="001F224B" w:rsidRDefault="0019604D" w:rsidP="008D45CF">
            <w:pPr>
              <w:ind w:left="-433" w:firstLine="433"/>
              <w:jc w:val="center"/>
              <w:rPr>
                <w:rFonts w:eastAsia="Arial Unicode MS"/>
                <w:sz w:val="13"/>
                <w:szCs w:val="13"/>
              </w:rPr>
            </w:pPr>
          </w:p>
        </w:tc>
        <w:tc>
          <w:tcPr>
            <w:tcW w:w="2925" w:type="dxa"/>
            <w:vMerge/>
            <w:tcBorders>
              <w:left w:val="nil"/>
              <w:right w:val="single" w:sz="4" w:space="0" w:color="auto"/>
            </w:tcBorders>
          </w:tcPr>
          <w:p w14:paraId="335118C4" w14:textId="77777777" w:rsidR="0019604D" w:rsidRPr="001F224B" w:rsidRDefault="0019604D" w:rsidP="008D45CF">
            <w:pPr>
              <w:jc w:val="center"/>
              <w:rPr>
                <w:rFonts w:eastAsia="Arial Unicode MS"/>
                <w:sz w:val="13"/>
                <w:szCs w:val="13"/>
              </w:rPr>
            </w:pPr>
          </w:p>
        </w:tc>
        <w:tc>
          <w:tcPr>
            <w:tcW w:w="754" w:type="dxa"/>
            <w:vMerge/>
            <w:tcBorders>
              <w:left w:val="single" w:sz="4" w:space="0" w:color="auto"/>
              <w:right w:val="dotted" w:sz="4" w:space="0" w:color="auto"/>
            </w:tcBorders>
            <w:vAlign w:val="center"/>
          </w:tcPr>
          <w:p w14:paraId="492FF10B" w14:textId="77777777" w:rsidR="0019604D" w:rsidRPr="001F224B" w:rsidRDefault="0019604D"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4F3F04AB" w14:textId="77777777" w:rsidR="0019604D" w:rsidRPr="001F224B" w:rsidRDefault="0019604D" w:rsidP="00BC31F1">
            <w:pPr>
              <w:jc w:val="center"/>
              <w:rPr>
                <w:sz w:val="12"/>
                <w:szCs w:val="12"/>
              </w:rPr>
            </w:pPr>
          </w:p>
        </w:tc>
        <w:tc>
          <w:tcPr>
            <w:tcW w:w="709" w:type="dxa"/>
            <w:vMerge/>
            <w:tcBorders>
              <w:left w:val="dotted" w:sz="4" w:space="0" w:color="auto"/>
              <w:right w:val="dotted" w:sz="4" w:space="0" w:color="auto"/>
            </w:tcBorders>
            <w:vAlign w:val="center"/>
          </w:tcPr>
          <w:p w14:paraId="3FA2ED83" w14:textId="77777777" w:rsidR="0019604D" w:rsidRPr="001F224B" w:rsidRDefault="0019604D" w:rsidP="00BC31F1">
            <w:pPr>
              <w:jc w:val="center"/>
              <w:rPr>
                <w:rFonts w:eastAsia="Arial Unicode MS"/>
                <w:sz w:val="12"/>
                <w:szCs w:val="12"/>
              </w:rPr>
            </w:pPr>
          </w:p>
        </w:tc>
        <w:tc>
          <w:tcPr>
            <w:tcW w:w="850" w:type="dxa"/>
            <w:vMerge/>
            <w:tcBorders>
              <w:left w:val="dotted" w:sz="4" w:space="0" w:color="auto"/>
              <w:right w:val="dotted" w:sz="4" w:space="0" w:color="auto"/>
            </w:tcBorders>
            <w:vAlign w:val="center"/>
          </w:tcPr>
          <w:p w14:paraId="687E88D0" w14:textId="77777777" w:rsidR="0019604D" w:rsidRPr="001F224B" w:rsidRDefault="0019604D" w:rsidP="00BC31F1">
            <w:pPr>
              <w:jc w:val="center"/>
              <w:rPr>
                <w:rFonts w:eastAsia="Arial Unicode MS"/>
                <w:sz w:val="12"/>
                <w:szCs w:val="12"/>
              </w:rPr>
            </w:pPr>
          </w:p>
        </w:tc>
        <w:tc>
          <w:tcPr>
            <w:tcW w:w="2094" w:type="dxa"/>
            <w:gridSpan w:val="3"/>
            <w:tcBorders>
              <w:top w:val="single" w:sz="4" w:space="0" w:color="auto"/>
              <w:left w:val="dotted" w:sz="4" w:space="0" w:color="auto"/>
              <w:bottom w:val="nil"/>
              <w:right w:val="dotted" w:sz="4" w:space="0" w:color="auto"/>
            </w:tcBorders>
            <w:vAlign w:val="center"/>
          </w:tcPr>
          <w:p w14:paraId="595385AD" w14:textId="77777777" w:rsidR="0019604D" w:rsidRPr="001F224B" w:rsidRDefault="0019604D" w:rsidP="008D45CF">
            <w:pPr>
              <w:jc w:val="center"/>
              <w:rPr>
                <w:rFonts w:eastAsia="Arial Unicode MS"/>
                <w:b/>
                <w:sz w:val="11"/>
                <w:szCs w:val="11"/>
              </w:rPr>
            </w:pPr>
            <w:r w:rsidRPr="001F224B">
              <w:rPr>
                <w:b/>
                <w:sz w:val="11"/>
                <w:szCs w:val="11"/>
              </w:rPr>
              <w:t xml:space="preserve">Kar veya Zararda Yeniden Sınıflandırılmayacak </w:t>
            </w:r>
          </w:p>
        </w:tc>
        <w:tc>
          <w:tcPr>
            <w:tcW w:w="2268" w:type="dxa"/>
            <w:gridSpan w:val="3"/>
            <w:tcBorders>
              <w:top w:val="single" w:sz="4" w:space="0" w:color="auto"/>
              <w:left w:val="dotted" w:sz="4" w:space="0" w:color="auto"/>
              <w:bottom w:val="nil"/>
              <w:right w:val="dotted" w:sz="4" w:space="0" w:color="auto"/>
            </w:tcBorders>
            <w:vAlign w:val="center"/>
          </w:tcPr>
          <w:p w14:paraId="743C302F" w14:textId="77777777" w:rsidR="0019604D" w:rsidRPr="001F224B" w:rsidRDefault="0019604D" w:rsidP="008D45CF">
            <w:pPr>
              <w:jc w:val="center"/>
              <w:rPr>
                <w:rFonts w:eastAsia="Arial Unicode MS"/>
                <w:b/>
                <w:sz w:val="11"/>
                <w:szCs w:val="11"/>
              </w:rPr>
            </w:pPr>
            <w:r w:rsidRPr="001F224B">
              <w:rPr>
                <w:b/>
                <w:sz w:val="11"/>
                <w:szCs w:val="11"/>
              </w:rPr>
              <w:t xml:space="preserve">Kar veya Zararda Yeniden Sınıflandırılacak </w:t>
            </w:r>
          </w:p>
        </w:tc>
        <w:tc>
          <w:tcPr>
            <w:tcW w:w="778" w:type="dxa"/>
            <w:vMerge w:val="restart"/>
            <w:tcBorders>
              <w:top w:val="nil"/>
              <w:left w:val="dotted" w:sz="4" w:space="0" w:color="auto"/>
              <w:right w:val="dotted" w:sz="4" w:space="0" w:color="auto"/>
            </w:tcBorders>
            <w:vAlign w:val="center"/>
          </w:tcPr>
          <w:p w14:paraId="44118252" w14:textId="77777777" w:rsidR="0019604D" w:rsidRPr="001F224B" w:rsidRDefault="0019604D" w:rsidP="00733BE1">
            <w:pPr>
              <w:jc w:val="center"/>
              <w:rPr>
                <w:b/>
                <w:sz w:val="11"/>
                <w:szCs w:val="11"/>
              </w:rPr>
            </w:pPr>
          </w:p>
        </w:tc>
        <w:tc>
          <w:tcPr>
            <w:tcW w:w="923" w:type="dxa"/>
            <w:vMerge w:val="restart"/>
            <w:tcBorders>
              <w:top w:val="nil"/>
              <w:left w:val="dotted" w:sz="4" w:space="0" w:color="auto"/>
              <w:right w:val="dotted" w:sz="4" w:space="0" w:color="auto"/>
            </w:tcBorders>
            <w:vAlign w:val="center"/>
          </w:tcPr>
          <w:p w14:paraId="6EC15861" w14:textId="77777777" w:rsidR="0019604D" w:rsidRPr="001F224B" w:rsidRDefault="0019604D" w:rsidP="00733BE1">
            <w:pPr>
              <w:jc w:val="center"/>
              <w:rPr>
                <w:b/>
                <w:sz w:val="11"/>
                <w:szCs w:val="11"/>
              </w:rPr>
            </w:pPr>
          </w:p>
        </w:tc>
        <w:tc>
          <w:tcPr>
            <w:tcW w:w="822" w:type="dxa"/>
            <w:tcBorders>
              <w:top w:val="nil"/>
              <w:left w:val="dotted" w:sz="4" w:space="0" w:color="auto"/>
              <w:bottom w:val="nil"/>
              <w:right w:val="dotted" w:sz="4" w:space="0" w:color="auto"/>
            </w:tcBorders>
          </w:tcPr>
          <w:p w14:paraId="0A688437" w14:textId="77777777" w:rsidR="0019604D" w:rsidRPr="001F224B" w:rsidRDefault="0019604D" w:rsidP="00733BE1">
            <w:pPr>
              <w:jc w:val="center"/>
              <w:rPr>
                <w:b/>
                <w:sz w:val="11"/>
                <w:szCs w:val="11"/>
              </w:rPr>
            </w:pPr>
          </w:p>
        </w:tc>
        <w:tc>
          <w:tcPr>
            <w:tcW w:w="879" w:type="dxa"/>
            <w:tcBorders>
              <w:top w:val="nil"/>
              <w:left w:val="dotted" w:sz="4" w:space="0" w:color="auto"/>
              <w:bottom w:val="nil"/>
              <w:right w:val="dotted" w:sz="4" w:space="0" w:color="auto"/>
            </w:tcBorders>
          </w:tcPr>
          <w:p w14:paraId="66A4F8EF" w14:textId="77777777" w:rsidR="0019604D" w:rsidRPr="001F224B" w:rsidRDefault="0019604D" w:rsidP="00733BE1">
            <w:pPr>
              <w:jc w:val="center"/>
              <w:rPr>
                <w:b/>
                <w:sz w:val="11"/>
                <w:szCs w:val="11"/>
              </w:rPr>
            </w:pPr>
          </w:p>
        </w:tc>
        <w:tc>
          <w:tcPr>
            <w:tcW w:w="585" w:type="dxa"/>
            <w:vMerge w:val="restart"/>
            <w:tcBorders>
              <w:top w:val="nil"/>
              <w:left w:val="dotted" w:sz="4" w:space="0" w:color="auto"/>
              <w:right w:val="dotted" w:sz="4" w:space="0" w:color="auto"/>
            </w:tcBorders>
            <w:vAlign w:val="center"/>
          </w:tcPr>
          <w:p w14:paraId="61EEE98D" w14:textId="77777777" w:rsidR="0019604D" w:rsidRPr="001F224B" w:rsidRDefault="0019604D" w:rsidP="00733BE1">
            <w:pPr>
              <w:jc w:val="center"/>
              <w:rPr>
                <w:b/>
                <w:sz w:val="11"/>
                <w:szCs w:val="11"/>
              </w:rPr>
            </w:pPr>
          </w:p>
        </w:tc>
        <w:tc>
          <w:tcPr>
            <w:tcW w:w="813" w:type="dxa"/>
            <w:gridSpan w:val="2"/>
            <w:vMerge w:val="restart"/>
            <w:tcBorders>
              <w:top w:val="nil"/>
              <w:left w:val="dotted" w:sz="4" w:space="0" w:color="auto"/>
              <w:right w:val="single" w:sz="4" w:space="0" w:color="auto"/>
            </w:tcBorders>
            <w:vAlign w:val="center"/>
          </w:tcPr>
          <w:p w14:paraId="2582A250" w14:textId="77777777" w:rsidR="0019604D" w:rsidRPr="001F224B" w:rsidRDefault="0019604D" w:rsidP="00733BE1">
            <w:pPr>
              <w:jc w:val="center"/>
              <w:rPr>
                <w:b/>
                <w:sz w:val="11"/>
                <w:szCs w:val="11"/>
              </w:rPr>
            </w:pPr>
          </w:p>
        </w:tc>
      </w:tr>
      <w:tr w:rsidR="0019604D" w:rsidRPr="001F224B" w14:paraId="4972BCDA" w14:textId="77777777" w:rsidTr="005D2E7F">
        <w:trPr>
          <w:trHeight w:val="19"/>
        </w:trPr>
        <w:tc>
          <w:tcPr>
            <w:tcW w:w="465" w:type="dxa"/>
            <w:tcBorders>
              <w:top w:val="nil"/>
              <w:left w:val="single" w:sz="4" w:space="0" w:color="auto"/>
              <w:bottom w:val="nil"/>
              <w:right w:val="nil"/>
            </w:tcBorders>
            <w:vAlign w:val="bottom"/>
          </w:tcPr>
          <w:p w14:paraId="61C07228" w14:textId="77777777" w:rsidR="0019604D" w:rsidRPr="001F224B" w:rsidRDefault="0019604D" w:rsidP="008D45CF">
            <w:pPr>
              <w:jc w:val="center"/>
              <w:rPr>
                <w:rFonts w:eastAsia="Arial Unicode MS"/>
                <w:sz w:val="11"/>
                <w:szCs w:val="11"/>
              </w:rPr>
            </w:pPr>
          </w:p>
        </w:tc>
        <w:tc>
          <w:tcPr>
            <w:tcW w:w="2925" w:type="dxa"/>
            <w:vMerge/>
            <w:tcBorders>
              <w:left w:val="nil"/>
              <w:right w:val="single" w:sz="4" w:space="0" w:color="auto"/>
            </w:tcBorders>
            <w:vAlign w:val="bottom"/>
          </w:tcPr>
          <w:p w14:paraId="2EE841FF" w14:textId="77777777" w:rsidR="0019604D" w:rsidRPr="001F224B" w:rsidRDefault="0019604D" w:rsidP="008D45CF">
            <w:pPr>
              <w:jc w:val="center"/>
              <w:rPr>
                <w:rFonts w:eastAsia="Arial Unicode MS"/>
                <w:sz w:val="11"/>
                <w:szCs w:val="11"/>
              </w:rPr>
            </w:pPr>
          </w:p>
        </w:tc>
        <w:tc>
          <w:tcPr>
            <w:tcW w:w="754" w:type="dxa"/>
            <w:vMerge/>
            <w:tcBorders>
              <w:left w:val="single" w:sz="4" w:space="0" w:color="auto"/>
              <w:right w:val="dotted" w:sz="4" w:space="0" w:color="auto"/>
            </w:tcBorders>
            <w:vAlign w:val="center"/>
          </w:tcPr>
          <w:p w14:paraId="1F38A8D5" w14:textId="77777777" w:rsidR="0019604D" w:rsidRPr="001F224B" w:rsidRDefault="0019604D"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5BB1BB02" w14:textId="77777777" w:rsidR="0019604D" w:rsidRPr="001F224B" w:rsidRDefault="0019604D" w:rsidP="00BC31F1">
            <w:pPr>
              <w:jc w:val="center"/>
              <w:rPr>
                <w:rFonts w:eastAsia="Arial Unicode MS"/>
                <w:sz w:val="12"/>
                <w:szCs w:val="12"/>
              </w:rPr>
            </w:pPr>
          </w:p>
        </w:tc>
        <w:tc>
          <w:tcPr>
            <w:tcW w:w="709" w:type="dxa"/>
            <w:vMerge/>
            <w:tcBorders>
              <w:left w:val="dotted" w:sz="4" w:space="0" w:color="auto"/>
              <w:right w:val="dotted" w:sz="4" w:space="0" w:color="auto"/>
            </w:tcBorders>
            <w:vAlign w:val="center"/>
          </w:tcPr>
          <w:p w14:paraId="4C602E71" w14:textId="77777777" w:rsidR="0019604D" w:rsidRPr="001F224B" w:rsidRDefault="0019604D" w:rsidP="00BC31F1">
            <w:pPr>
              <w:jc w:val="center"/>
              <w:rPr>
                <w:rFonts w:eastAsia="Arial Unicode MS"/>
                <w:sz w:val="12"/>
                <w:szCs w:val="12"/>
              </w:rPr>
            </w:pPr>
          </w:p>
        </w:tc>
        <w:tc>
          <w:tcPr>
            <w:tcW w:w="850" w:type="dxa"/>
            <w:vMerge/>
            <w:tcBorders>
              <w:left w:val="dotted" w:sz="4" w:space="0" w:color="auto"/>
              <w:right w:val="dotted" w:sz="4" w:space="0" w:color="auto"/>
            </w:tcBorders>
            <w:vAlign w:val="center"/>
          </w:tcPr>
          <w:p w14:paraId="20E2826A" w14:textId="77777777" w:rsidR="0019604D" w:rsidRPr="001F224B" w:rsidRDefault="0019604D" w:rsidP="00BC31F1">
            <w:pPr>
              <w:jc w:val="center"/>
              <w:rPr>
                <w:rFonts w:eastAsia="Arial Unicode MS"/>
                <w:sz w:val="12"/>
                <w:szCs w:val="12"/>
              </w:rPr>
            </w:pPr>
          </w:p>
        </w:tc>
        <w:tc>
          <w:tcPr>
            <w:tcW w:w="2094" w:type="dxa"/>
            <w:gridSpan w:val="3"/>
            <w:tcBorders>
              <w:top w:val="nil"/>
              <w:left w:val="dotted" w:sz="4" w:space="0" w:color="auto"/>
              <w:bottom w:val="single" w:sz="4" w:space="0" w:color="auto"/>
              <w:right w:val="dotted" w:sz="4" w:space="0" w:color="auto"/>
            </w:tcBorders>
            <w:vAlign w:val="bottom"/>
          </w:tcPr>
          <w:p w14:paraId="2CB1DC6C" w14:textId="77777777" w:rsidR="0019604D" w:rsidRPr="001F224B" w:rsidRDefault="0019604D" w:rsidP="008D45CF">
            <w:pPr>
              <w:jc w:val="center"/>
              <w:rPr>
                <w:rFonts w:eastAsia="Arial Unicode MS"/>
                <w:b/>
                <w:sz w:val="11"/>
                <w:szCs w:val="11"/>
              </w:rPr>
            </w:pPr>
            <w:r w:rsidRPr="001F224B">
              <w:rPr>
                <w:b/>
                <w:sz w:val="11"/>
                <w:szCs w:val="11"/>
              </w:rPr>
              <w:t>Birikmiş Diğer Kapsamlı Gelirler ve Giderler</w:t>
            </w:r>
          </w:p>
        </w:tc>
        <w:tc>
          <w:tcPr>
            <w:tcW w:w="2268" w:type="dxa"/>
            <w:gridSpan w:val="3"/>
            <w:tcBorders>
              <w:top w:val="nil"/>
              <w:left w:val="dotted" w:sz="4" w:space="0" w:color="auto"/>
              <w:bottom w:val="single" w:sz="4" w:space="0" w:color="auto"/>
              <w:right w:val="dotted" w:sz="4" w:space="0" w:color="auto"/>
            </w:tcBorders>
            <w:vAlign w:val="bottom"/>
          </w:tcPr>
          <w:p w14:paraId="3E61F2C0" w14:textId="77777777" w:rsidR="0019604D" w:rsidRPr="001F224B" w:rsidRDefault="0019604D" w:rsidP="008D45CF">
            <w:pPr>
              <w:jc w:val="center"/>
              <w:rPr>
                <w:rFonts w:eastAsia="Arial Unicode MS"/>
                <w:b/>
                <w:sz w:val="11"/>
                <w:szCs w:val="11"/>
              </w:rPr>
            </w:pPr>
            <w:r w:rsidRPr="001F224B">
              <w:rPr>
                <w:b/>
                <w:sz w:val="11"/>
                <w:szCs w:val="11"/>
              </w:rPr>
              <w:t>Birikmiş Diğer Kapsamlı Gelirler ve Giderler</w:t>
            </w:r>
          </w:p>
        </w:tc>
        <w:tc>
          <w:tcPr>
            <w:tcW w:w="778" w:type="dxa"/>
            <w:vMerge/>
            <w:tcBorders>
              <w:left w:val="dotted" w:sz="4" w:space="0" w:color="auto"/>
              <w:right w:val="dotted" w:sz="4" w:space="0" w:color="auto"/>
            </w:tcBorders>
            <w:vAlign w:val="bottom"/>
          </w:tcPr>
          <w:p w14:paraId="4EAA8F95" w14:textId="77777777" w:rsidR="0019604D" w:rsidRPr="001F224B" w:rsidRDefault="0019604D" w:rsidP="00BC31F1">
            <w:pPr>
              <w:jc w:val="center"/>
              <w:rPr>
                <w:b/>
                <w:sz w:val="11"/>
                <w:szCs w:val="11"/>
              </w:rPr>
            </w:pPr>
          </w:p>
        </w:tc>
        <w:tc>
          <w:tcPr>
            <w:tcW w:w="923" w:type="dxa"/>
            <w:vMerge/>
            <w:tcBorders>
              <w:left w:val="dotted" w:sz="4" w:space="0" w:color="auto"/>
              <w:right w:val="dotted" w:sz="4" w:space="0" w:color="auto"/>
            </w:tcBorders>
            <w:vAlign w:val="bottom"/>
          </w:tcPr>
          <w:p w14:paraId="00532D2F" w14:textId="77777777" w:rsidR="0019604D" w:rsidRPr="001F224B" w:rsidRDefault="0019604D" w:rsidP="00BC31F1">
            <w:pPr>
              <w:jc w:val="center"/>
              <w:rPr>
                <w:b/>
                <w:sz w:val="11"/>
                <w:szCs w:val="11"/>
              </w:rPr>
            </w:pPr>
          </w:p>
        </w:tc>
        <w:tc>
          <w:tcPr>
            <w:tcW w:w="822" w:type="dxa"/>
            <w:tcBorders>
              <w:top w:val="nil"/>
              <w:left w:val="dotted" w:sz="4" w:space="0" w:color="auto"/>
              <w:right w:val="dotted" w:sz="4" w:space="0" w:color="auto"/>
            </w:tcBorders>
          </w:tcPr>
          <w:p w14:paraId="11F926B0" w14:textId="77777777" w:rsidR="0019604D" w:rsidRPr="001F224B" w:rsidRDefault="0019604D" w:rsidP="00BC31F1">
            <w:pPr>
              <w:jc w:val="center"/>
              <w:rPr>
                <w:b/>
                <w:sz w:val="11"/>
                <w:szCs w:val="11"/>
              </w:rPr>
            </w:pPr>
          </w:p>
        </w:tc>
        <w:tc>
          <w:tcPr>
            <w:tcW w:w="879" w:type="dxa"/>
            <w:tcBorders>
              <w:top w:val="nil"/>
              <w:left w:val="dotted" w:sz="4" w:space="0" w:color="auto"/>
              <w:right w:val="dotted" w:sz="4" w:space="0" w:color="auto"/>
            </w:tcBorders>
          </w:tcPr>
          <w:p w14:paraId="1E4DF3C6" w14:textId="77777777" w:rsidR="0019604D" w:rsidRPr="001F224B" w:rsidRDefault="0019604D" w:rsidP="00BC31F1">
            <w:pPr>
              <w:jc w:val="center"/>
              <w:rPr>
                <w:b/>
                <w:sz w:val="11"/>
                <w:szCs w:val="11"/>
              </w:rPr>
            </w:pPr>
          </w:p>
        </w:tc>
        <w:tc>
          <w:tcPr>
            <w:tcW w:w="585" w:type="dxa"/>
            <w:vMerge/>
            <w:tcBorders>
              <w:left w:val="dotted" w:sz="4" w:space="0" w:color="auto"/>
              <w:right w:val="dotted" w:sz="4" w:space="0" w:color="auto"/>
            </w:tcBorders>
            <w:vAlign w:val="bottom"/>
          </w:tcPr>
          <w:p w14:paraId="2F8DBFDD" w14:textId="77777777" w:rsidR="0019604D" w:rsidRPr="001F224B" w:rsidRDefault="0019604D" w:rsidP="00BC31F1">
            <w:pPr>
              <w:jc w:val="center"/>
              <w:rPr>
                <w:b/>
                <w:sz w:val="11"/>
                <w:szCs w:val="11"/>
              </w:rPr>
            </w:pPr>
          </w:p>
        </w:tc>
        <w:tc>
          <w:tcPr>
            <w:tcW w:w="813" w:type="dxa"/>
            <w:gridSpan w:val="2"/>
            <w:vMerge/>
            <w:tcBorders>
              <w:left w:val="dotted" w:sz="4" w:space="0" w:color="auto"/>
              <w:right w:val="single" w:sz="4" w:space="0" w:color="auto"/>
            </w:tcBorders>
            <w:vAlign w:val="bottom"/>
          </w:tcPr>
          <w:p w14:paraId="6C065188" w14:textId="77777777" w:rsidR="0019604D" w:rsidRPr="001F224B" w:rsidRDefault="0019604D" w:rsidP="00BC31F1">
            <w:pPr>
              <w:jc w:val="center"/>
              <w:rPr>
                <w:b/>
                <w:sz w:val="11"/>
                <w:szCs w:val="11"/>
              </w:rPr>
            </w:pPr>
          </w:p>
        </w:tc>
      </w:tr>
      <w:tr w:rsidR="0019604D" w:rsidRPr="001F224B" w14:paraId="521A7ACF" w14:textId="77777777" w:rsidTr="005D2E7F">
        <w:trPr>
          <w:trHeight w:val="19"/>
        </w:trPr>
        <w:tc>
          <w:tcPr>
            <w:tcW w:w="465" w:type="dxa"/>
            <w:tcBorders>
              <w:top w:val="nil"/>
              <w:left w:val="single" w:sz="4" w:space="0" w:color="auto"/>
              <w:bottom w:val="single" w:sz="4" w:space="0" w:color="auto"/>
              <w:right w:val="nil"/>
            </w:tcBorders>
            <w:vAlign w:val="bottom"/>
          </w:tcPr>
          <w:p w14:paraId="51C3C725" w14:textId="77777777" w:rsidR="0019604D" w:rsidRPr="001F224B" w:rsidRDefault="0019604D" w:rsidP="00BC31F1">
            <w:pPr>
              <w:jc w:val="center"/>
              <w:rPr>
                <w:rFonts w:eastAsia="Arial Unicode MS"/>
                <w:b/>
                <w:sz w:val="11"/>
                <w:szCs w:val="11"/>
              </w:rPr>
            </w:pPr>
          </w:p>
        </w:tc>
        <w:tc>
          <w:tcPr>
            <w:tcW w:w="2925" w:type="dxa"/>
            <w:vMerge/>
            <w:tcBorders>
              <w:left w:val="nil"/>
              <w:right w:val="single" w:sz="4" w:space="0" w:color="auto"/>
            </w:tcBorders>
            <w:vAlign w:val="bottom"/>
          </w:tcPr>
          <w:p w14:paraId="5EBBA903" w14:textId="77777777" w:rsidR="0019604D" w:rsidRPr="001F224B" w:rsidRDefault="0019604D" w:rsidP="00BC31F1">
            <w:pPr>
              <w:jc w:val="center"/>
              <w:rPr>
                <w:rFonts w:eastAsia="Arial Unicode MS"/>
                <w:sz w:val="11"/>
                <w:szCs w:val="11"/>
              </w:rPr>
            </w:pPr>
          </w:p>
        </w:tc>
        <w:tc>
          <w:tcPr>
            <w:tcW w:w="754" w:type="dxa"/>
            <w:vMerge/>
            <w:tcBorders>
              <w:left w:val="single" w:sz="4" w:space="0" w:color="auto"/>
              <w:bottom w:val="single" w:sz="4" w:space="0" w:color="auto"/>
              <w:right w:val="dotted" w:sz="4" w:space="0" w:color="auto"/>
            </w:tcBorders>
            <w:vAlign w:val="center"/>
          </w:tcPr>
          <w:p w14:paraId="604FB85F" w14:textId="77777777" w:rsidR="0019604D" w:rsidRPr="001F224B" w:rsidRDefault="0019604D" w:rsidP="00BC31F1">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6D60FE02" w14:textId="77777777" w:rsidR="0019604D" w:rsidRPr="001F224B" w:rsidRDefault="0019604D" w:rsidP="00BC31F1">
            <w:pPr>
              <w:jc w:val="center"/>
              <w:rPr>
                <w:sz w:val="12"/>
                <w:szCs w:val="12"/>
              </w:rPr>
            </w:pPr>
          </w:p>
        </w:tc>
        <w:tc>
          <w:tcPr>
            <w:tcW w:w="709" w:type="dxa"/>
            <w:vMerge/>
            <w:tcBorders>
              <w:left w:val="dotted" w:sz="4" w:space="0" w:color="auto"/>
              <w:bottom w:val="single" w:sz="4" w:space="0" w:color="auto"/>
              <w:right w:val="dotted" w:sz="4" w:space="0" w:color="auto"/>
            </w:tcBorders>
            <w:vAlign w:val="center"/>
          </w:tcPr>
          <w:p w14:paraId="3CFD8957" w14:textId="77777777" w:rsidR="0019604D" w:rsidRPr="001F224B" w:rsidRDefault="0019604D" w:rsidP="00BC31F1">
            <w:pPr>
              <w:jc w:val="center"/>
              <w:rPr>
                <w:sz w:val="12"/>
                <w:szCs w:val="12"/>
              </w:rPr>
            </w:pPr>
          </w:p>
        </w:tc>
        <w:tc>
          <w:tcPr>
            <w:tcW w:w="850" w:type="dxa"/>
            <w:vMerge/>
            <w:tcBorders>
              <w:left w:val="dotted" w:sz="4" w:space="0" w:color="auto"/>
              <w:bottom w:val="single" w:sz="4" w:space="0" w:color="auto"/>
              <w:right w:val="dotted" w:sz="4" w:space="0" w:color="auto"/>
            </w:tcBorders>
            <w:vAlign w:val="center"/>
          </w:tcPr>
          <w:p w14:paraId="658A96C2" w14:textId="77777777" w:rsidR="0019604D" w:rsidRPr="001F224B" w:rsidRDefault="0019604D" w:rsidP="00BC31F1">
            <w:pPr>
              <w:jc w:val="center"/>
              <w:rPr>
                <w:sz w:val="12"/>
                <w:szCs w:val="12"/>
              </w:rPr>
            </w:pPr>
          </w:p>
        </w:tc>
        <w:tc>
          <w:tcPr>
            <w:tcW w:w="676" w:type="dxa"/>
            <w:tcBorders>
              <w:top w:val="single" w:sz="4" w:space="0" w:color="auto"/>
              <w:left w:val="dotted" w:sz="4" w:space="0" w:color="auto"/>
              <w:bottom w:val="nil"/>
              <w:right w:val="dotted" w:sz="4" w:space="0" w:color="auto"/>
            </w:tcBorders>
            <w:vAlign w:val="center"/>
          </w:tcPr>
          <w:p w14:paraId="10C68D9C" w14:textId="77777777" w:rsidR="0019604D" w:rsidRPr="001F224B" w:rsidRDefault="0019604D" w:rsidP="00BC31F1">
            <w:pPr>
              <w:jc w:val="center"/>
              <w:rPr>
                <w:rFonts w:eastAsia="Arial Unicode MS"/>
                <w:b/>
                <w:bCs/>
                <w:sz w:val="11"/>
                <w:szCs w:val="11"/>
              </w:rPr>
            </w:pPr>
            <w:r w:rsidRPr="001F224B">
              <w:rPr>
                <w:rFonts w:eastAsia="Arial Unicode MS"/>
                <w:b/>
                <w:bCs/>
                <w:sz w:val="11"/>
                <w:szCs w:val="11"/>
              </w:rPr>
              <w:t>1</w:t>
            </w:r>
          </w:p>
        </w:tc>
        <w:tc>
          <w:tcPr>
            <w:tcW w:w="710" w:type="dxa"/>
            <w:tcBorders>
              <w:top w:val="single" w:sz="4" w:space="0" w:color="auto"/>
              <w:left w:val="dotted" w:sz="4" w:space="0" w:color="auto"/>
              <w:bottom w:val="nil"/>
              <w:right w:val="dotted" w:sz="4" w:space="0" w:color="auto"/>
            </w:tcBorders>
            <w:vAlign w:val="center"/>
          </w:tcPr>
          <w:p w14:paraId="2C335A30" w14:textId="77777777" w:rsidR="0019604D" w:rsidRPr="001F224B" w:rsidRDefault="0019604D" w:rsidP="00BC31F1">
            <w:pPr>
              <w:jc w:val="center"/>
              <w:rPr>
                <w:rFonts w:eastAsia="Arial Unicode MS"/>
                <w:b/>
                <w:bCs/>
                <w:sz w:val="11"/>
                <w:szCs w:val="11"/>
              </w:rPr>
            </w:pPr>
            <w:r w:rsidRPr="001F224B">
              <w:rPr>
                <w:rFonts w:eastAsia="Arial Unicode MS"/>
                <w:b/>
                <w:bCs/>
                <w:sz w:val="11"/>
                <w:szCs w:val="11"/>
              </w:rPr>
              <w:t>2</w:t>
            </w:r>
          </w:p>
        </w:tc>
        <w:tc>
          <w:tcPr>
            <w:tcW w:w="708" w:type="dxa"/>
            <w:tcBorders>
              <w:top w:val="single" w:sz="4" w:space="0" w:color="auto"/>
              <w:left w:val="dotted" w:sz="4" w:space="0" w:color="auto"/>
              <w:bottom w:val="nil"/>
              <w:right w:val="dotted" w:sz="4" w:space="0" w:color="auto"/>
            </w:tcBorders>
            <w:vAlign w:val="center"/>
          </w:tcPr>
          <w:p w14:paraId="4917A5F9" w14:textId="77777777" w:rsidR="0019604D" w:rsidRPr="001F224B" w:rsidRDefault="0019604D" w:rsidP="00BC31F1">
            <w:pPr>
              <w:jc w:val="center"/>
              <w:rPr>
                <w:rFonts w:eastAsia="Arial Unicode MS"/>
                <w:b/>
                <w:bCs/>
                <w:sz w:val="11"/>
                <w:szCs w:val="11"/>
              </w:rPr>
            </w:pPr>
            <w:r w:rsidRPr="001F224B">
              <w:rPr>
                <w:rFonts w:eastAsia="Arial Unicode MS"/>
                <w:b/>
                <w:bCs/>
                <w:sz w:val="11"/>
                <w:szCs w:val="11"/>
              </w:rPr>
              <w:t>3</w:t>
            </w:r>
          </w:p>
        </w:tc>
        <w:tc>
          <w:tcPr>
            <w:tcW w:w="709" w:type="dxa"/>
            <w:tcBorders>
              <w:top w:val="single" w:sz="4" w:space="0" w:color="auto"/>
              <w:left w:val="dotted" w:sz="4" w:space="0" w:color="auto"/>
              <w:bottom w:val="nil"/>
              <w:right w:val="dotted" w:sz="4" w:space="0" w:color="auto"/>
            </w:tcBorders>
            <w:vAlign w:val="center"/>
          </w:tcPr>
          <w:p w14:paraId="2B4726B0" w14:textId="77777777" w:rsidR="0019604D" w:rsidRPr="001F224B" w:rsidRDefault="0019604D" w:rsidP="00BC31F1">
            <w:pPr>
              <w:jc w:val="center"/>
              <w:rPr>
                <w:rFonts w:eastAsia="Arial Unicode MS"/>
                <w:b/>
                <w:bCs/>
                <w:sz w:val="11"/>
                <w:szCs w:val="11"/>
              </w:rPr>
            </w:pPr>
            <w:r w:rsidRPr="001F224B">
              <w:rPr>
                <w:rFonts w:eastAsia="Arial Unicode MS"/>
                <w:b/>
                <w:bCs/>
                <w:sz w:val="11"/>
                <w:szCs w:val="11"/>
              </w:rPr>
              <w:t>4</w:t>
            </w:r>
          </w:p>
        </w:tc>
        <w:tc>
          <w:tcPr>
            <w:tcW w:w="851" w:type="dxa"/>
            <w:tcBorders>
              <w:top w:val="single" w:sz="4" w:space="0" w:color="auto"/>
              <w:left w:val="dotted" w:sz="4" w:space="0" w:color="auto"/>
              <w:bottom w:val="nil"/>
              <w:right w:val="dotted" w:sz="4" w:space="0" w:color="auto"/>
            </w:tcBorders>
            <w:vAlign w:val="center"/>
          </w:tcPr>
          <w:p w14:paraId="63A3F09F" w14:textId="77777777" w:rsidR="0019604D" w:rsidRPr="001F224B" w:rsidRDefault="0019604D" w:rsidP="00BC31F1">
            <w:pPr>
              <w:jc w:val="center"/>
              <w:rPr>
                <w:rFonts w:eastAsia="Arial Unicode MS"/>
                <w:b/>
                <w:bCs/>
                <w:sz w:val="11"/>
                <w:szCs w:val="11"/>
              </w:rPr>
            </w:pPr>
            <w:r w:rsidRPr="001F224B">
              <w:rPr>
                <w:rFonts w:eastAsia="Arial Unicode MS"/>
                <w:b/>
                <w:bCs/>
                <w:sz w:val="11"/>
                <w:szCs w:val="11"/>
              </w:rPr>
              <w:t>5</w:t>
            </w:r>
          </w:p>
        </w:tc>
        <w:tc>
          <w:tcPr>
            <w:tcW w:w="708" w:type="dxa"/>
            <w:tcBorders>
              <w:top w:val="single" w:sz="4" w:space="0" w:color="auto"/>
              <w:left w:val="dotted" w:sz="4" w:space="0" w:color="auto"/>
              <w:bottom w:val="nil"/>
              <w:right w:val="dotted" w:sz="4" w:space="0" w:color="auto"/>
            </w:tcBorders>
            <w:vAlign w:val="center"/>
          </w:tcPr>
          <w:p w14:paraId="2352F6EE" w14:textId="77777777" w:rsidR="0019604D" w:rsidRPr="001F224B" w:rsidRDefault="0019604D" w:rsidP="00BC31F1">
            <w:pPr>
              <w:jc w:val="center"/>
              <w:rPr>
                <w:rFonts w:eastAsia="Arial Unicode MS"/>
                <w:b/>
                <w:bCs/>
                <w:sz w:val="11"/>
                <w:szCs w:val="11"/>
              </w:rPr>
            </w:pPr>
            <w:r w:rsidRPr="001F224B">
              <w:rPr>
                <w:rFonts w:eastAsia="Arial Unicode MS"/>
                <w:b/>
                <w:bCs/>
                <w:sz w:val="11"/>
                <w:szCs w:val="11"/>
              </w:rPr>
              <w:t>6</w:t>
            </w:r>
          </w:p>
        </w:tc>
        <w:tc>
          <w:tcPr>
            <w:tcW w:w="778" w:type="dxa"/>
            <w:tcBorders>
              <w:left w:val="dotted" w:sz="4" w:space="0" w:color="auto"/>
              <w:bottom w:val="single" w:sz="4" w:space="0" w:color="auto"/>
              <w:right w:val="dotted" w:sz="4" w:space="0" w:color="auto"/>
            </w:tcBorders>
            <w:vAlign w:val="bottom"/>
          </w:tcPr>
          <w:p w14:paraId="40D7C2E8" w14:textId="77777777" w:rsidR="0019604D" w:rsidRPr="001F224B" w:rsidRDefault="0019604D" w:rsidP="00BC31F1">
            <w:pPr>
              <w:jc w:val="center"/>
              <w:rPr>
                <w:b/>
                <w:sz w:val="11"/>
                <w:szCs w:val="11"/>
              </w:rPr>
            </w:pPr>
          </w:p>
        </w:tc>
        <w:tc>
          <w:tcPr>
            <w:tcW w:w="923" w:type="dxa"/>
            <w:tcBorders>
              <w:left w:val="dotted" w:sz="4" w:space="0" w:color="auto"/>
              <w:bottom w:val="single" w:sz="4" w:space="0" w:color="auto"/>
              <w:right w:val="dotted" w:sz="4" w:space="0" w:color="auto"/>
            </w:tcBorders>
            <w:vAlign w:val="bottom"/>
          </w:tcPr>
          <w:p w14:paraId="305D0BD5" w14:textId="77777777" w:rsidR="0019604D" w:rsidRPr="001F224B" w:rsidRDefault="0019604D" w:rsidP="00BC31F1">
            <w:pPr>
              <w:jc w:val="center"/>
              <w:rPr>
                <w:b/>
                <w:sz w:val="11"/>
                <w:szCs w:val="11"/>
              </w:rPr>
            </w:pPr>
          </w:p>
        </w:tc>
        <w:tc>
          <w:tcPr>
            <w:tcW w:w="822" w:type="dxa"/>
            <w:tcBorders>
              <w:left w:val="dotted" w:sz="4" w:space="0" w:color="auto"/>
              <w:bottom w:val="single" w:sz="4" w:space="0" w:color="auto"/>
              <w:right w:val="dotted" w:sz="4" w:space="0" w:color="auto"/>
            </w:tcBorders>
            <w:vAlign w:val="bottom"/>
          </w:tcPr>
          <w:p w14:paraId="7C9BC424" w14:textId="77777777" w:rsidR="0019604D" w:rsidRPr="001F224B" w:rsidRDefault="0019604D" w:rsidP="00BC31F1">
            <w:pPr>
              <w:jc w:val="center"/>
              <w:rPr>
                <w:b/>
                <w:sz w:val="11"/>
                <w:szCs w:val="11"/>
              </w:rPr>
            </w:pPr>
          </w:p>
        </w:tc>
        <w:tc>
          <w:tcPr>
            <w:tcW w:w="879" w:type="dxa"/>
            <w:tcBorders>
              <w:left w:val="dotted" w:sz="4" w:space="0" w:color="auto"/>
              <w:bottom w:val="single" w:sz="4" w:space="0" w:color="auto"/>
              <w:right w:val="dotted" w:sz="4" w:space="0" w:color="auto"/>
            </w:tcBorders>
          </w:tcPr>
          <w:p w14:paraId="7EC08A24" w14:textId="77777777" w:rsidR="0019604D" w:rsidRPr="001F224B" w:rsidRDefault="0019604D" w:rsidP="00BC31F1">
            <w:pPr>
              <w:jc w:val="center"/>
              <w:rPr>
                <w:b/>
                <w:sz w:val="11"/>
                <w:szCs w:val="11"/>
              </w:rPr>
            </w:pPr>
          </w:p>
        </w:tc>
        <w:tc>
          <w:tcPr>
            <w:tcW w:w="591" w:type="dxa"/>
            <w:gridSpan w:val="2"/>
            <w:tcBorders>
              <w:left w:val="dotted" w:sz="4" w:space="0" w:color="auto"/>
              <w:bottom w:val="single" w:sz="4" w:space="0" w:color="auto"/>
              <w:right w:val="dotted" w:sz="4" w:space="0" w:color="auto"/>
            </w:tcBorders>
          </w:tcPr>
          <w:p w14:paraId="3B808B07" w14:textId="77777777" w:rsidR="0019604D" w:rsidRPr="001F224B" w:rsidRDefault="0019604D" w:rsidP="00BC31F1">
            <w:pPr>
              <w:jc w:val="center"/>
              <w:rPr>
                <w:b/>
                <w:sz w:val="11"/>
                <w:szCs w:val="11"/>
              </w:rPr>
            </w:pPr>
          </w:p>
        </w:tc>
        <w:tc>
          <w:tcPr>
            <w:tcW w:w="807" w:type="dxa"/>
            <w:tcBorders>
              <w:left w:val="dotted" w:sz="4" w:space="0" w:color="auto"/>
              <w:bottom w:val="single" w:sz="4" w:space="0" w:color="auto"/>
              <w:right w:val="single" w:sz="4" w:space="0" w:color="auto"/>
            </w:tcBorders>
            <w:vAlign w:val="bottom"/>
          </w:tcPr>
          <w:p w14:paraId="4D626070" w14:textId="77777777" w:rsidR="0019604D" w:rsidRPr="001F224B" w:rsidRDefault="0019604D" w:rsidP="00BC31F1">
            <w:pPr>
              <w:jc w:val="center"/>
              <w:rPr>
                <w:b/>
                <w:sz w:val="11"/>
                <w:szCs w:val="11"/>
              </w:rPr>
            </w:pPr>
          </w:p>
        </w:tc>
      </w:tr>
      <w:tr w:rsidR="0019604D" w:rsidRPr="001F224B" w14:paraId="21CF94E9" w14:textId="77777777" w:rsidTr="005D2E7F">
        <w:trPr>
          <w:trHeight w:val="19"/>
        </w:trPr>
        <w:tc>
          <w:tcPr>
            <w:tcW w:w="465" w:type="dxa"/>
            <w:tcBorders>
              <w:top w:val="single" w:sz="4" w:space="0" w:color="auto"/>
              <w:left w:val="single" w:sz="4" w:space="0" w:color="auto"/>
              <w:bottom w:val="nil"/>
              <w:right w:val="single" w:sz="4" w:space="0" w:color="auto"/>
            </w:tcBorders>
          </w:tcPr>
          <w:p w14:paraId="5CE63409" w14:textId="77777777" w:rsidR="0019604D" w:rsidRPr="001F224B" w:rsidRDefault="0019604D" w:rsidP="00B854B6">
            <w:pPr>
              <w:rPr>
                <w:b/>
                <w:bCs/>
                <w:sz w:val="13"/>
                <w:szCs w:val="13"/>
              </w:rPr>
            </w:pPr>
          </w:p>
        </w:tc>
        <w:tc>
          <w:tcPr>
            <w:tcW w:w="2925" w:type="dxa"/>
            <w:tcBorders>
              <w:top w:val="single" w:sz="4" w:space="0" w:color="auto"/>
              <w:left w:val="single" w:sz="4" w:space="0" w:color="auto"/>
              <w:bottom w:val="nil"/>
              <w:right w:val="single" w:sz="4" w:space="0" w:color="auto"/>
            </w:tcBorders>
          </w:tcPr>
          <w:p w14:paraId="06671923" w14:textId="77777777" w:rsidR="0019604D" w:rsidRPr="001F224B" w:rsidRDefault="0019604D" w:rsidP="00B854B6">
            <w:pPr>
              <w:jc w:val="center"/>
              <w:rPr>
                <w:b/>
                <w:bCs/>
                <w:sz w:val="13"/>
                <w:szCs w:val="13"/>
              </w:rPr>
            </w:pPr>
            <w:r w:rsidRPr="001F224B">
              <w:rPr>
                <w:b/>
                <w:bCs/>
                <w:sz w:val="13"/>
                <w:szCs w:val="13"/>
              </w:rPr>
              <w:t>Önceki Dönem</w:t>
            </w:r>
          </w:p>
        </w:tc>
        <w:tc>
          <w:tcPr>
            <w:tcW w:w="754" w:type="dxa"/>
            <w:tcBorders>
              <w:top w:val="single" w:sz="4" w:space="0" w:color="auto"/>
              <w:left w:val="single" w:sz="4" w:space="0" w:color="auto"/>
              <w:bottom w:val="nil"/>
              <w:right w:val="dotted" w:sz="4" w:space="0" w:color="auto"/>
            </w:tcBorders>
            <w:vAlign w:val="bottom"/>
          </w:tcPr>
          <w:p w14:paraId="3C3BFB5A" w14:textId="77777777" w:rsidR="0019604D" w:rsidRPr="001F224B" w:rsidRDefault="0019604D" w:rsidP="000608C7">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42688E7" w14:textId="77777777" w:rsidR="0019604D" w:rsidRPr="001F224B" w:rsidRDefault="0019604D" w:rsidP="000608C7">
            <w:pPr>
              <w:jc w:val="right"/>
              <w:rPr>
                <w:sz w:val="12"/>
                <w:szCs w:val="12"/>
              </w:rPr>
            </w:pPr>
          </w:p>
        </w:tc>
        <w:tc>
          <w:tcPr>
            <w:tcW w:w="709" w:type="dxa"/>
            <w:tcBorders>
              <w:top w:val="single" w:sz="4" w:space="0" w:color="auto"/>
              <w:left w:val="dotted" w:sz="4" w:space="0" w:color="auto"/>
              <w:bottom w:val="nil"/>
              <w:right w:val="dotted" w:sz="4" w:space="0" w:color="auto"/>
            </w:tcBorders>
            <w:vAlign w:val="bottom"/>
          </w:tcPr>
          <w:p w14:paraId="355F049F" w14:textId="77777777" w:rsidR="0019604D" w:rsidRPr="001F224B" w:rsidRDefault="0019604D" w:rsidP="000608C7">
            <w:pPr>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19412786" w14:textId="77777777" w:rsidR="0019604D" w:rsidRPr="001F224B" w:rsidRDefault="0019604D" w:rsidP="000608C7">
            <w:pPr>
              <w:jc w:val="right"/>
              <w:rPr>
                <w:sz w:val="12"/>
                <w:szCs w:val="12"/>
              </w:rPr>
            </w:pPr>
            <w:r w:rsidRPr="001F224B">
              <w:rPr>
                <w:sz w:val="12"/>
                <w:szCs w:val="12"/>
              </w:rPr>
              <w:t xml:space="preserve"> </w:t>
            </w:r>
          </w:p>
        </w:tc>
        <w:tc>
          <w:tcPr>
            <w:tcW w:w="676" w:type="dxa"/>
            <w:tcBorders>
              <w:top w:val="single" w:sz="4" w:space="0" w:color="auto"/>
              <w:left w:val="dotted" w:sz="4" w:space="0" w:color="auto"/>
              <w:bottom w:val="nil"/>
              <w:right w:val="dotted" w:sz="4" w:space="0" w:color="auto"/>
            </w:tcBorders>
            <w:vAlign w:val="bottom"/>
          </w:tcPr>
          <w:p w14:paraId="7395F866" w14:textId="77777777" w:rsidR="0019604D" w:rsidRPr="001F224B" w:rsidRDefault="0019604D" w:rsidP="000608C7">
            <w:pPr>
              <w:jc w:val="right"/>
              <w:rPr>
                <w:sz w:val="12"/>
                <w:szCs w:val="12"/>
              </w:rPr>
            </w:pPr>
          </w:p>
        </w:tc>
        <w:tc>
          <w:tcPr>
            <w:tcW w:w="710" w:type="dxa"/>
            <w:tcBorders>
              <w:top w:val="single" w:sz="4" w:space="0" w:color="auto"/>
              <w:left w:val="dotted" w:sz="4" w:space="0" w:color="auto"/>
              <w:bottom w:val="nil"/>
              <w:right w:val="dotted" w:sz="4" w:space="0" w:color="auto"/>
            </w:tcBorders>
            <w:vAlign w:val="bottom"/>
          </w:tcPr>
          <w:p w14:paraId="5B674E26" w14:textId="77777777" w:rsidR="0019604D" w:rsidRPr="001F224B" w:rsidRDefault="0019604D" w:rsidP="000608C7">
            <w:pPr>
              <w:jc w:val="right"/>
              <w:rPr>
                <w:sz w:val="12"/>
                <w:szCs w:val="12"/>
              </w:rPr>
            </w:pPr>
          </w:p>
        </w:tc>
        <w:tc>
          <w:tcPr>
            <w:tcW w:w="708" w:type="dxa"/>
            <w:tcBorders>
              <w:top w:val="single" w:sz="4" w:space="0" w:color="auto"/>
              <w:left w:val="dotted" w:sz="4" w:space="0" w:color="auto"/>
              <w:bottom w:val="nil"/>
              <w:right w:val="dotted" w:sz="4" w:space="0" w:color="auto"/>
            </w:tcBorders>
            <w:vAlign w:val="bottom"/>
          </w:tcPr>
          <w:p w14:paraId="252DF3A1" w14:textId="77777777" w:rsidR="0019604D" w:rsidRPr="001F224B" w:rsidRDefault="0019604D" w:rsidP="000608C7">
            <w:pPr>
              <w:jc w:val="right"/>
              <w:rPr>
                <w:sz w:val="12"/>
                <w:szCs w:val="12"/>
              </w:rPr>
            </w:pPr>
            <w:r w:rsidRPr="001F224B">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6EE82993" w14:textId="77777777" w:rsidR="0019604D" w:rsidRPr="001F224B" w:rsidRDefault="0019604D" w:rsidP="000608C7">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5B8FCE2F" w14:textId="77777777" w:rsidR="0019604D" w:rsidRPr="001F224B" w:rsidRDefault="0019604D" w:rsidP="000608C7">
            <w:pPr>
              <w:jc w:val="right"/>
              <w:rPr>
                <w:sz w:val="12"/>
                <w:szCs w:val="12"/>
              </w:rPr>
            </w:pPr>
            <w:r w:rsidRPr="001F224B">
              <w:rPr>
                <w:sz w:val="12"/>
                <w:szCs w:val="12"/>
              </w:rPr>
              <w:t xml:space="preserve"> </w:t>
            </w:r>
          </w:p>
        </w:tc>
        <w:tc>
          <w:tcPr>
            <w:tcW w:w="708" w:type="dxa"/>
            <w:tcBorders>
              <w:top w:val="single" w:sz="4" w:space="0" w:color="auto"/>
              <w:left w:val="dotted" w:sz="4" w:space="0" w:color="auto"/>
              <w:bottom w:val="nil"/>
              <w:right w:val="dotted" w:sz="4" w:space="0" w:color="auto"/>
            </w:tcBorders>
            <w:vAlign w:val="bottom"/>
          </w:tcPr>
          <w:p w14:paraId="36E5BC90" w14:textId="77777777" w:rsidR="0019604D" w:rsidRPr="001F224B" w:rsidRDefault="0019604D" w:rsidP="000608C7">
            <w:pPr>
              <w:ind w:right="-92"/>
              <w:jc w:val="right"/>
              <w:rPr>
                <w:sz w:val="12"/>
                <w:szCs w:val="12"/>
              </w:rPr>
            </w:pPr>
          </w:p>
        </w:tc>
        <w:tc>
          <w:tcPr>
            <w:tcW w:w="778" w:type="dxa"/>
            <w:tcBorders>
              <w:top w:val="single" w:sz="4" w:space="0" w:color="auto"/>
              <w:left w:val="dotted" w:sz="4" w:space="0" w:color="auto"/>
              <w:bottom w:val="nil"/>
              <w:right w:val="dotted" w:sz="4" w:space="0" w:color="auto"/>
            </w:tcBorders>
            <w:vAlign w:val="bottom"/>
          </w:tcPr>
          <w:p w14:paraId="267FB1D6" w14:textId="77777777" w:rsidR="0019604D" w:rsidRPr="001F224B" w:rsidRDefault="0019604D" w:rsidP="000608C7">
            <w:pPr>
              <w:jc w:val="right"/>
              <w:rPr>
                <w:sz w:val="12"/>
                <w:szCs w:val="12"/>
              </w:rPr>
            </w:pPr>
            <w:r w:rsidRPr="001F224B">
              <w:rPr>
                <w:sz w:val="12"/>
                <w:szCs w:val="12"/>
              </w:rPr>
              <w:t xml:space="preserve"> </w:t>
            </w:r>
          </w:p>
        </w:tc>
        <w:tc>
          <w:tcPr>
            <w:tcW w:w="923" w:type="dxa"/>
            <w:tcBorders>
              <w:top w:val="single" w:sz="4" w:space="0" w:color="auto"/>
              <w:left w:val="dotted" w:sz="4" w:space="0" w:color="auto"/>
              <w:bottom w:val="nil"/>
              <w:right w:val="dotted" w:sz="4" w:space="0" w:color="auto"/>
            </w:tcBorders>
            <w:vAlign w:val="bottom"/>
          </w:tcPr>
          <w:p w14:paraId="0BD62A33" w14:textId="77777777" w:rsidR="0019604D" w:rsidRPr="001F224B" w:rsidRDefault="0019604D" w:rsidP="000608C7">
            <w:pPr>
              <w:jc w:val="right"/>
              <w:rPr>
                <w:sz w:val="12"/>
                <w:szCs w:val="12"/>
              </w:rPr>
            </w:pPr>
            <w:r w:rsidRPr="001F224B">
              <w:rPr>
                <w:sz w:val="12"/>
                <w:szCs w:val="12"/>
              </w:rPr>
              <w:t xml:space="preserve"> </w:t>
            </w:r>
          </w:p>
        </w:tc>
        <w:tc>
          <w:tcPr>
            <w:tcW w:w="822" w:type="dxa"/>
            <w:tcBorders>
              <w:top w:val="single" w:sz="4" w:space="0" w:color="auto"/>
              <w:left w:val="dotted" w:sz="4" w:space="0" w:color="auto"/>
              <w:bottom w:val="nil"/>
              <w:right w:val="dotted" w:sz="4" w:space="0" w:color="auto"/>
            </w:tcBorders>
            <w:vAlign w:val="bottom"/>
          </w:tcPr>
          <w:p w14:paraId="321D96A2" w14:textId="77777777" w:rsidR="0019604D" w:rsidRPr="001F224B" w:rsidRDefault="0019604D" w:rsidP="000608C7">
            <w:pPr>
              <w:jc w:val="right"/>
              <w:rPr>
                <w:sz w:val="12"/>
                <w:szCs w:val="12"/>
              </w:rPr>
            </w:pPr>
          </w:p>
        </w:tc>
        <w:tc>
          <w:tcPr>
            <w:tcW w:w="879" w:type="dxa"/>
            <w:tcBorders>
              <w:top w:val="single" w:sz="4" w:space="0" w:color="auto"/>
              <w:left w:val="dotted" w:sz="4" w:space="0" w:color="auto"/>
              <w:bottom w:val="nil"/>
              <w:right w:val="dotted" w:sz="4" w:space="0" w:color="auto"/>
            </w:tcBorders>
            <w:vAlign w:val="bottom"/>
          </w:tcPr>
          <w:p w14:paraId="34288FDB" w14:textId="77777777" w:rsidR="0019604D" w:rsidRPr="001F224B" w:rsidRDefault="0019604D" w:rsidP="000608C7">
            <w:pPr>
              <w:jc w:val="right"/>
              <w:rPr>
                <w:sz w:val="12"/>
                <w:szCs w:val="12"/>
              </w:rPr>
            </w:pPr>
          </w:p>
        </w:tc>
        <w:tc>
          <w:tcPr>
            <w:tcW w:w="591" w:type="dxa"/>
            <w:gridSpan w:val="2"/>
            <w:tcBorders>
              <w:top w:val="single" w:sz="4" w:space="0" w:color="auto"/>
              <w:left w:val="dotted" w:sz="4" w:space="0" w:color="auto"/>
              <w:bottom w:val="nil"/>
              <w:right w:val="dotted" w:sz="4" w:space="0" w:color="auto"/>
            </w:tcBorders>
            <w:vAlign w:val="bottom"/>
          </w:tcPr>
          <w:p w14:paraId="13239795" w14:textId="77777777" w:rsidR="0019604D" w:rsidRPr="001F224B" w:rsidRDefault="0019604D" w:rsidP="000608C7">
            <w:pPr>
              <w:jc w:val="right"/>
              <w:rPr>
                <w:sz w:val="12"/>
                <w:szCs w:val="12"/>
              </w:rPr>
            </w:pPr>
          </w:p>
        </w:tc>
        <w:tc>
          <w:tcPr>
            <w:tcW w:w="807" w:type="dxa"/>
            <w:tcBorders>
              <w:top w:val="single" w:sz="4" w:space="0" w:color="auto"/>
              <w:left w:val="dotted" w:sz="4" w:space="0" w:color="auto"/>
              <w:bottom w:val="nil"/>
              <w:right w:val="single" w:sz="4" w:space="0" w:color="auto"/>
            </w:tcBorders>
            <w:vAlign w:val="bottom"/>
          </w:tcPr>
          <w:p w14:paraId="577AEC7E" w14:textId="77777777" w:rsidR="0019604D" w:rsidRPr="001F224B" w:rsidRDefault="0019604D" w:rsidP="000608C7">
            <w:pPr>
              <w:jc w:val="right"/>
              <w:rPr>
                <w:sz w:val="12"/>
                <w:szCs w:val="12"/>
              </w:rPr>
            </w:pPr>
          </w:p>
        </w:tc>
      </w:tr>
      <w:tr w:rsidR="00BA2DD8" w:rsidRPr="001F224B" w14:paraId="50347F51" w14:textId="77777777" w:rsidTr="005D2E7F">
        <w:trPr>
          <w:trHeight w:val="184"/>
        </w:trPr>
        <w:tc>
          <w:tcPr>
            <w:tcW w:w="465" w:type="dxa"/>
            <w:tcBorders>
              <w:top w:val="nil"/>
              <w:left w:val="single" w:sz="4" w:space="0" w:color="auto"/>
              <w:bottom w:val="nil"/>
              <w:right w:val="single" w:sz="4" w:space="0" w:color="auto"/>
            </w:tcBorders>
          </w:tcPr>
          <w:p w14:paraId="33908124" w14:textId="77777777" w:rsidR="00BA2DD8" w:rsidRPr="001F224B" w:rsidRDefault="00BA2DD8" w:rsidP="00BA2DD8">
            <w:pPr>
              <w:rPr>
                <w:b/>
                <w:bCs/>
                <w:sz w:val="13"/>
                <w:szCs w:val="13"/>
              </w:rPr>
            </w:pPr>
          </w:p>
        </w:tc>
        <w:tc>
          <w:tcPr>
            <w:tcW w:w="2925" w:type="dxa"/>
            <w:tcBorders>
              <w:top w:val="nil"/>
              <w:left w:val="single" w:sz="4" w:space="0" w:color="auto"/>
              <w:bottom w:val="nil"/>
              <w:right w:val="single" w:sz="4" w:space="0" w:color="auto"/>
            </w:tcBorders>
          </w:tcPr>
          <w:p w14:paraId="49B71B64" w14:textId="76030529" w:rsidR="00BA2DD8" w:rsidRPr="001F224B" w:rsidRDefault="00A1696E" w:rsidP="00BA2DD8">
            <w:pPr>
              <w:jc w:val="center"/>
              <w:rPr>
                <w:b/>
                <w:bCs/>
                <w:sz w:val="13"/>
                <w:szCs w:val="13"/>
              </w:rPr>
            </w:pPr>
            <w:r w:rsidRPr="001F224B">
              <w:rPr>
                <w:b/>
                <w:sz w:val="13"/>
                <w:szCs w:val="13"/>
              </w:rPr>
              <w:t>3</w:t>
            </w:r>
            <w:r w:rsidR="00F63977" w:rsidRPr="001F224B">
              <w:rPr>
                <w:b/>
                <w:sz w:val="13"/>
                <w:szCs w:val="13"/>
              </w:rPr>
              <w:t>0 Haziran</w:t>
            </w:r>
            <w:r w:rsidR="00E732C0" w:rsidRPr="001F224B">
              <w:rPr>
                <w:b/>
                <w:sz w:val="13"/>
                <w:szCs w:val="13"/>
              </w:rPr>
              <w:t xml:space="preserve"> </w:t>
            </w:r>
            <w:r w:rsidR="00BA2DD8" w:rsidRPr="001F224B">
              <w:rPr>
                <w:b/>
                <w:sz w:val="13"/>
                <w:szCs w:val="13"/>
              </w:rPr>
              <w:t>202</w:t>
            </w:r>
            <w:r w:rsidR="00E732C0" w:rsidRPr="001F224B">
              <w:rPr>
                <w:b/>
                <w:sz w:val="13"/>
                <w:szCs w:val="13"/>
              </w:rPr>
              <w:t>4</w:t>
            </w:r>
          </w:p>
        </w:tc>
        <w:tc>
          <w:tcPr>
            <w:tcW w:w="754" w:type="dxa"/>
            <w:tcBorders>
              <w:top w:val="nil"/>
              <w:left w:val="single" w:sz="4" w:space="0" w:color="auto"/>
              <w:bottom w:val="nil"/>
              <w:right w:val="dotted" w:sz="4" w:space="0" w:color="auto"/>
            </w:tcBorders>
            <w:vAlign w:val="bottom"/>
          </w:tcPr>
          <w:p w14:paraId="10A2B8F4" w14:textId="77777777" w:rsidR="00BA2DD8" w:rsidRPr="001F224B" w:rsidRDefault="00BA2DD8" w:rsidP="000608C7">
            <w:pPr>
              <w:jc w:val="right"/>
              <w:rPr>
                <w:sz w:val="13"/>
                <w:szCs w:val="13"/>
              </w:rPr>
            </w:pPr>
          </w:p>
        </w:tc>
        <w:tc>
          <w:tcPr>
            <w:tcW w:w="992" w:type="dxa"/>
            <w:tcBorders>
              <w:top w:val="nil"/>
              <w:left w:val="dotted" w:sz="4" w:space="0" w:color="auto"/>
              <w:bottom w:val="nil"/>
              <w:right w:val="dotted" w:sz="4" w:space="0" w:color="auto"/>
            </w:tcBorders>
            <w:vAlign w:val="bottom"/>
          </w:tcPr>
          <w:p w14:paraId="4D9E1227" w14:textId="77777777" w:rsidR="00BA2DD8" w:rsidRPr="001F224B"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442B2DC5" w14:textId="77777777" w:rsidR="00BA2DD8" w:rsidRPr="001F224B" w:rsidRDefault="00BA2DD8" w:rsidP="000608C7">
            <w:pPr>
              <w:jc w:val="right"/>
              <w:rPr>
                <w:sz w:val="13"/>
                <w:szCs w:val="13"/>
              </w:rPr>
            </w:pPr>
          </w:p>
        </w:tc>
        <w:tc>
          <w:tcPr>
            <w:tcW w:w="850" w:type="dxa"/>
            <w:tcBorders>
              <w:top w:val="nil"/>
              <w:left w:val="dotted" w:sz="4" w:space="0" w:color="auto"/>
              <w:bottom w:val="nil"/>
              <w:right w:val="dotted" w:sz="4" w:space="0" w:color="auto"/>
            </w:tcBorders>
            <w:vAlign w:val="bottom"/>
          </w:tcPr>
          <w:p w14:paraId="4787C2F8" w14:textId="77777777" w:rsidR="00BA2DD8" w:rsidRPr="001F224B" w:rsidRDefault="00BA2DD8" w:rsidP="000608C7">
            <w:pPr>
              <w:jc w:val="right"/>
              <w:rPr>
                <w:sz w:val="13"/>
                <w:szCs w:val="13"/>
              </w:rPr>
            </w:pPr>
          </w:p>
        </w:tc>
        <w:tc>
          <w:tcPr>
            <w:tcW w:w="676" w:type="dxa"/>
            <w:tcBorders>
              <w:top w:val="nil"/>
              <w:left w:val="dotted" w:sz="4" w:space="0" w:color="auto"/>
              <w:bottom w:val="nil"/>
              <w:right w:val="dotted" w:sz="4" w:space="0" w:color="auto"/>
            </w:tcBorders>
            <w:vAlign w:val="bottom"/>
          </w:tcPr>
          <w:p w14:paraId="3E4F8D38" w14:textId="77777777" w:rsidR="00BA2DD8" w:rsidRPr="001F224B" w:rsidRDefault="00BA2DD8" w:rsidP="000608C7">
            <w:pPr>
              <w:jc w:val="right"/>
              <w:rPr>
                <w:sz w:val="13"/>
                <w:szCs w:val="13"/>
              </w:rPr>
            </w:pPr>
          </w:p>
        </w:tc>
        <w:tc>
          <w:tcPr>
            <w:tcW w:w="710" w:type="dxa"/>
            <w:tcBorders>
              <w:top w:val="nil"/>
              <w:left w:val="dotted" w:sz="4" w:space="0" w:color="auto"/>
              <w:bottom w:val="nil"/>
              <w:right w:val="dotted" w:sz="4" w:space="0" w:color="auto"/>
            </w:tcBorders>
            <w:vAlign w:val="bottom"/>
          </w:tcPr>
          <w:p w14:paraId="0CE9711E" w14:textId="77777777" w:rsidR="00BA2DD8" w:rsidRPr="001F224B"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72A54238" w14:textId="77777777" w:rsidR="00BA2DD8" w:rsidRPr="001F224B"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48EA52A2" w14:textId="77777777" w:rsidR="00BA2DD8" w:rsidRPr="001F224B" w:rsidRDefault="00BA2DD8" w:rsidP="000608C7">
            <w:pPr>
              <w:jc w:val="right"/>
              <w:rPr>
                <w:sz w:val="13"/>
                <w:szCs w:val="13"/>
              </w:rPr>
            </w:pPr>
          </w:p>
        </w:tc>
        <w:tc>
          <w:tcPr>
            <w:tcW w:w="851" w:type="dxa"/>
            <w:tcBorders>
              <w:top w:val="nil"/>
              <w:left w:val="dotted" w:sz="4" w:space="0" w:color="auto"/>
              <w:bottom w:val="nil"/>
              <w:right w:val="dotted" w:sz="4" w:space="0" w:color="auto"/>
            </w:tcBorders>
            <w:vAlign w:val="bottom"/>
          </w:tcPr>
          <w:p w14:paraId="6070E718" w14:textId="77777777" w:rsidR="00BA2DD8" w:rsidRPr="001F224B"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665E602E" w14:textId="77777777" w:rsidR="00BA2DD8" w:rsidRPr="001F224B" w:rsidRDefault="00BA2DD8" w:rsidP="000608C7">
            <w:pPr>
              <w:ind w:right="-92"/>
              <w:jc w:val="right"/>
              <w:rPr>
                <w:sz w:val="13"/>
                <w:szCs w:val="13"/>
              </w:rPr>
            </w:pPr>
          </w:p>
        </w:tc>
        <w:tc>
          <w:tcPr>
            <w:tcW w:w="778" w:type="dxa"/>
            <w:tcBorders>
              <w:top w:val="nil"/>
              <w:left w:val="dotted" w:sz="4" w:space="0" w:color="auto"/>
              <w:bottom w:val="nil"/>
              <w:right w:val="dotted" w:sz="4" w:space="0" w:color="auto"/>
            </w:tcBorders>
            <w:vAlign w:val="bottom"/>
          </w:tcPr>
          <w:p w14:paraId="4D9CA418" w14:textId="77777777" w:rsidR="00BA2DD8" w:rsidRPr="001F224B" w:rsidRDefault="00BA2DD8" w:rsidP="000608C7">
            <w:pPr>
              <w:jc w:val="right"/>
              <w:rPr>
                <w:sz w:val="13"/>
                <w:szCs w:val="13"/>
              </w:rPr>
            </w:pPr>
          </w:p>
        </w:tc>
        <w:tc>
          <w:tcPr>
            <w:tcW w:w="923" w:type="dxa"/>
            <w:tcBorders>
              <w:top w:val="nil"/>
              <w:left w:val="dotted" w:sz="4" w:space="0" w:color="auto"/>
              <w:bottom w:val="nil"/>
              <w:right w:val="dotted" w:sz="4" w:space="0" w:color="auto"/>
            </w:tcBorders>
            <w:vAlign w:val="bottom"/>
          </w:tcPr>
          <w:p w14:paraId="0D500F54" w14:textId="77777777" w:rsidR="00BA2DD8" w:rsidRPr="001F224B" w:rsidRDefault="00BA2DD8" w:rsidP="000608C7">
            <w:pPr>
              <w:jc w:val="right"/>
              <w:rPr>
                <w:sz w:val="13"/>
                <w:szCs w:val="13"/>
              </w:rPr>
            </w:pPr>
          </w:p>
        </w:tc>
        <w:tc>
          <w:tcPr>
            <w:tcW w:w="822" w:type="dxa"/>
            <w:tcBorders>
              <w:top w:val="nil"/>
              <w:left w:val="dotted" w:sz="4" w:space="0" w:color="auto"/>
              <w:bottom w:val="nil"/>
              <w:right w:val="dotted" w:sz="4" w:space="0" w:color="auto"/>
            </w:tcBorders>
            <w:vAlign w:val="bottom"/>
          </w:tcPr>
          <w:p w14:paraId="5368BE7D" w14:textId="77777777" w:rsidR="00BA2DD8" w:rsidRPr="001F224B" w:rsidRDefault="00BA2DD8" w:rsidP="000608C7">
            <w:pPr>
              <w:jc w:val="right"/>
              <w:rPr>
                <w:sz w:val="13"/>
                <w:szCs w:val="13"/>
              </w:rPr>
            </w:pPr>
          </w:p>
        </w:tc>
        <w:tc>
          <w:tcPr>
            <w:tcW w:w="879" w:type="dxa"/>
            <w:tcBorders>
              <w:top w:val="nil"/>
              <w:left w:val="dotted" w:sz="4" w:space="0" w:color="auto"/>
              <w:bottom w:val="nil"/>
              <w:right w:val="dotted" w:sz="4" w:space="0" w:color="auto"/>
            </w:tcBorders>
            <w:vAlign w:val="bottom"/>
          </w:tcPr>
          <w:p w14:paraId="7460AB5B" w14:textId="77777777" w:rsidR="00BA2DD8" w:rsidRPr="001F224B" w:rsidRDefault="00BA2DD8" w:rsidP="000608C7">
            <w:pPr>
              <w:jc w:val="right"/>
              <w:rPr>
                <w:sz w:val="13"/>
                <w:szCs w:val="13"/>
              </w:rPr>
            </w:pPr>
          </w:p>
        </w:tc>
        <w:tc>
          <w:tcPr>
            <w:tcW w:w="591" w:type="dxa"/>
            <w:gridSpan w:val="2"/>
            <w:tcBorders>
              <w:top w:val="nil"/>
              <w:left w:val="dotted" w:sz="4" w:space="0" w:color="auto"/>
              <w:bottom w:val="nil"/>
              <w:right w:val="dotted" w:sz="4" w:space="0" w:color="auto"/>
            </w:tcBorders>
            <w:vAlign w:val="bottom"/>
          </w:tcPr>
          <w:p w14:paraId="3B9ABC1E" w14:textId="77777777" w:rsidR="00BA2DD8" w:rsidRPr="001F224B" w:rsidRDefault="00BA2DD8" w:rsidP="000608C7">
            <w:pPr>
              <w:jc w:val="right"/>
              <w:rPr>
                <w:sz w:val="13"/>
                <w:szCs w:val="13"/>
              </w:rPr>
            </w:pPr>
          </w:p>
        </w:tc>
        <w:tc>
          <w:tcPr>
            <w:tcW w:w="807" w:type="dxa"/>
            <w:tcBorders>
              <w:top w:val="nil"/>
              <w:left w:val="dotted" w:sz="4" w:space="0" w:color="auto"/>
              <w:bottom w:val="nil"/>
              <w:right w:val="single" w:sz="4" w:space="0" w:color="auto"/>
            </w:tcBorders>
            <w:vAlign w:val="bottom"/>
          </w:tcPr>
          <w:p w14:paraId="3A2FA0B1" w14:textId="77777777" w:rsidR="00BA2DD8" w:rsidRPr="001F224B" w:rsidRDefault="00BA2DD8" w:rsidP="000608C7">
            <w:pPr>
              <w:jc w:val="right"/>
              <w:rPr>
                <w:sz w:val="13"/>
                <w:szCs w:val="13"/>
              </w:rPr>
            </w:pPr>
          </w:p>
        </w:tc>
      </w:tr>
      <w:tr w:rsidR="00F63977" w:rsidRPr="001F224B" w14:paraId="5B23C47E" w14:textId="77777777" w:rsidTr="00907C70">
        <w:trPr>
          <w:trHeight w:val="19"/>
        </w:trPr>
        <w:tc>
          <w:tcPr>
            <w:tcW w:w="465" w:type="dxa"/>
            <w:tcBorders>
              <w:top w:val="nil"/>
              <w:left w:val="single" w:sz="4" w:space="0" w:color="auto"/>
              <w:bottom w:val="nil"/>
              <w:right w:val="single" w:sz="4" w:space="0" w:color="auto"/>
            </w:tcBorders>
          </w:tcPr>
          <w:p w14:paraId="0905182D" w14:textId="77777777" w:rsidR="00F63977" w:rsidRPr="001F224B" w:rsidRDefault="00F63977" w:rsidP="00F63977">
            <w:pPr>
              <w:rPr>
                <w:b/>
                <w:bCs/>
                <w:sz w:val="13"/>
                <w:szCs w:val="13"/>
              </w:rPr>
            </w:pPr>
            <w:r w:rsidRPr="001F224B">
              <w:rPr>
                <w:b/>
                <w:bCs/>
                <w:sz w:val="13"/>
                <w:szCs w:val="13"/>
              </w:rPr>
              <w:t>I.</w:t>
            </w:r>
          </w:p>
        </w:tc>
        <w:tc>
          <w:tcPr>
            <w:tcW w:w="2925" w:type="dxa"/>
            <w:tcBorders>
              <w:top w:val="nil"/>
              <w:left w:val="single" w:sz="4" w:space="0" w:color="auto"/>
              <w:bottom w:val="nil"/>
              <w:right w:val="single" w:sz="4" w:space="0" w:color="auto"/>
            </w:tcBorders>
          </w:tcPr>
          <w:p w14:paraId="237D3058" w14:textId="77777777" w:rsidR="00F63977" w:rsidRPr="001F224B" w:rsidRDefault="00F63977" w:rsidP="00F63977">
            <w:pPr>
              <w:rPr>
                <w:b/>
                <w:bCs/>
                <w:sz w:val="13"/>
                <w:szCs w:val="13"/>
              </w:rPr>
            </w:pPr>
            <w:r w:rsidRPr="001F224B">
              <w:rPr>
                <w:b/>
                <w:bCs/>
                <w:sz w:val="13"/>
                <w:szCs w:val="13"/>
              </w:rPr>
              <w:t xml:space="preserve">Önceki Dönem Sonu Bakiyesi </w:t>
            </w:r>
          </w:p>
        </w:tc>
        <w:tc>
          <w:tcPr>
            <w:tcW w:w="754" w:type="dxa"/>
            <w:tcBorders>
              <w:top w:val="nil"/>
              <w:left w:val="single" w:sz="4" w:space="0" w:color="auto"/>
              <w:bottom w:val="nil"/>
              <w:right w:val="dotted" w:sz="4" w:space="0" w:color="auto"/>
            </w:tcBorders>
            <w:vAlign w:val="bottom"/>
          </w:tcPr>
          <w:p w14:paraId="14B46A13" w14:textId="0DB79B08" w:rsidR="00F63977" w:rsidRPr="001F224B" w:rsidRDefault="00F63977" w:rsidP="00F63977">
            <w:pPr>
              <w:jc w:val="right"/>
              <w:rPr>
                <w:b/>
                <w:sz w:val="13"/>
                <w:szCs w:val="13"/>
              </w:rPr>
            </w:pPr>
            <w:r w:rsidRPr="001F224B">
              <w:rPr>
                <w:b/>
                <w:sz w:val="13"/>
                <w:szCs w:val="13"/>
              </w:rPr>
              <w:t>2.500.000</w:t>
            </w:r>
          </w:p>
        </w:tc>
        <w:tc>
          <w:tcPr>
            <w:tcW w:w="992" w:type="dxa"/>
            <w:tcBorders>
              <w:top w:val="nil"/>
              <w:left w:val="dotted" w:sz="4" w:space="0" w:color="auto"/>
              <w:bottom w:val="nil"/>
              <w:right w:val="dotted" w:sz="4" w:space="0" w:color="auto"/>
            </w:tcBorders>
            <w:vAlign w:val="bottom"/>
          </w:tcPr>
          <w:p w14:paraId="68562707" w14:textId="7853B1B7" w:rsidR="00F63977" w:rsidRPr="001F224B" w:rsidRDefault="00F63977" w:rsidP="00F63977">
            <w:pPr>
              <w:jc w:val="right"/>
              <w:rPr>
                <w:b/>
                <w:sz w:val="13"/>
                <w:szCs w:val="13"/>
              </w:rPr>
            </w:pPr>
            <w:r w:rsidRPr="001F224B">
              <w:rPr>
                <w:b/>
                <w:sz w:val="13"/>
                <w:szCs w:val="13"/>
              </w:rPr>
              <w:t>4.038</w:t>
            </w:r>
          </w:p>
        </w:tc>
        <w:tc>
          <w:tcPr>
            <w:tcW w:w="709" w:type="dxa"/>
            <w:tcBorders>
              <w:top w:val="nil"/>
              <w:left w:val="dotted" w:sz="4" w:space="0" w:color="auto"/>
              <w:bottom w:val="nil"/>
              <w:right w:val="dotted" w:sz="4" w:space="0" w:color="auto"/>
            </w:tcBorders>
            <w:vAlign w:val="bottom"/>
          </w:tcPr>
          <w:p w14:paraId="4C24265D" w14:textId="4C9FF08B"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21E08A10" w14:textId="444C36A5" w:rsidR="00F63977" w:rsidRPr="001F224B" w:rsidRDefault="00F63977" w:rsidP="00F63977">
            <w:pPr>
              <w:jc w:val="right"/>
              <w:rPr>
                <w:b/>
                <w:sz w:val="13"/>
                <w:szCs w:val="13"/>
              </w:rPr>
            </w:pPr>
            <w:r w:rsidRPr="001F224B">
              <w:rPr>
                <w:b/>
                <w:sz w:val="13"/>
                <w:szCs w:val="13"/>
              </w:rPr>
              <w:t xml:space="preserve">206.074 </w:t>
            </w:r>
          </w:p>
        </w:tc>
        <w:tc>
          <w:tcPr>
            <w:tcW w:w="676" w:type="dxa"/>
            <w:tcBorders>
              <w:top w:val="nil"/>
              <w:left w:val="dotted" w:sz="4" w:space="0" w:color="auto"/>
              <w:bottom w:val="nil"/>
              <w:right w:val="dotted" w:sz="4" w:space="0" w:color="auto"/>
            </w:tcBorders>
            <w:vAlign w:val="bottom"/>
          </w:tcPr>
          <w:p w14:paraId="3E1D5E35" w14:textId="3BE419F9"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07B3DB4B" w14:textId="7FD29288" w:rsidR="00F63977" w:rsidRPr="001F224B" w:rsidRDefault="00F63977" w:rsidP="00F63977">
            <w:pPr>
              <w:jc w:val="right"/>
              <w:rPr>
                <w:b/>
                <w:sz w:val="13"/>
                <w:szCs w:val="13"/>
              </w:rPr>
            </w:pPr>
            <w:r w:rsidRPr="001F224B">
              <w:rPr>
                <w:b/>
                <w:sz w:val="13"/>
                <w:szCs w:val="13"/>
              </w:rPr>
              <w:t xml:space="preserve">(506) </w:t>
            </w:r>
          </w:p>
        </w:tc>
        <w:tc>
          <w:tcPr>
            <w:tcW w:w="708" w:type="dxa"/>
            <w:tcBorders>
              <w:top w:val="nil"/>
              <w:left w:val="dotted" w:sz="4" w:space="0" w:color="auto"/>
              <w:bottom w:val="nil"/>
              <w:right w:val="dotted" w:sz="4" w:space="0" w:color="auto"/>
            </w:tcBorders>
            <w:vAlign w:val="bottom"/>
          </w:tcPr>
          <w:p w14:paraId="19F07D07" w14:textId="299B3F13"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39F93289" w14:textId="0B912424"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28148611" w14:textId="3A7A61FD" w:rsidR="00F63977" w:rsidRPr="001F224B" w:rsidRDefault="00F63977" w:rsidP="00F63977">
            <w:pPr>
              <w:jc w:val="right"/>
              <w:rPr>
                <w:b/>
                <w:sz w:val="13"/>
                <w:szCs w:val="13"/>
              </w:rPr>
            </w:pPr>
            <w:r w:rsidRPr="001F224B">
              <w:rPr>
                <w:b/>
                <w:sz w:val="13"/>
                <w:szCs w:val="13"/>
              </w:rPr>
              <w:t>149.405</w:t>
            </w:r>
          </w:p>
        </w:tc>
        <w:tc>
          <w:tcPr>
            <w:tcW w:w="708" w:type="dxa"/>
            <w:tcBorders>
              <w:top w:val="nil"/>
              <w:left w:val="dotted" w:sz="4" w:space="0" w:color="auto"/>
              <w:bottom w:val="nil"/>
              <w:right w:val="dotted" w:sz="4" w:space="0" w:color="auto"/>
            </w:tcBorders>
            <w:vAlign w:val="bottom"/>
          </w:tcPr>
          <w:p w14:paraId="3667FAEA" w14:textId="2825B896" w:rsidR="00F63977" w:rsidRPr="001F224B" w:rsidRDefault="00F63977" w:rsidP="00F63977">
            <w:pPr>
              <w:jc w:val="right"/>
              <w:rPr>
                <w:b/>
                <w:sz w:val="13"/>
                <w:szCs w:val="13"/>
              </w:rPr>
            </w:pPr>
            <w:r w:rsidRPr="001F224B">
              <w:rPr>
                <w:b/>
                <w:sz w:val="13"/>
                <w:szCs w:val="13"/>
              </w:rPr>
              <w:t>10.931</w:t>
            </w:r>
          </w:p>
        </w:tc>
        <w:tc>
          <w:tcPr>
            <w:tcW w:w="778" w:type="dxa"/>
            <w:tcBorders>
              <w:top w:val="nil"/>
              <w:left w:val="dotted" w:sz="4" w:space="0" w:color="auto"/>
              <w:bottom w:val="nil"/>
              <w:right w:val="dotted" w:sz="4" w:space="0" w:color="auto"/>
            </w:tcBorders>
            <w:vAlign w:val="bottom"/>
          </w:tcPr>
          <w:p w14:paraId="4E11BA73" w14:textId="5B9A6D86" w:rsidR="00F63977" w:rsidRPr="001F224B" w:rsidRDefault="00F63977" w:rsidP="00F63977">
            <w:pPr>
              <w:jc w:val="right"/>
              <w:rPr>
                <w:b/>
                <w:sz w:val="13"/>
                <w:szCs w:val="13"/>
              </w:rPr>
            </w:pPr>
            <w:r w:rsidRPr="001F224B">
              <w:rPr>
                <w:b/>
                <w:sz w:val="13"/>
                <w:szCs w:val="13"/>
              </w:rPr>
              <w:t>3.969.773</w:t>
            </w:r>
          </w:p>
        </w:tc>
        <w:tc>
          <w:tcPr>
            <w:tcW w:w="923" w:type="dxa"/>
            <w:tcBorders>
              <w:top w:val="nil"/>
              <w:left w:val="dotted" w:sz="4" w:space="0" w:color="auto"/>
              <w:bottom w:val="nil"/>
              <w:right w:val="dotted" w:sz="4" w:space="0" w:color="auto"/>
            </w:tcBorders>
            <w:vAlign w:val="bottom"/>
          </w:tcPr>
          <w:p w14:paraId="192AA6A5" w14:textId="1DC74C99" w:rsidR="00F63977" w:rsidRPr="001F224B" w:rsidRDefault="00F63977" w:rsidP="00F63977">
            <w:pPr>
              <w:jc w:val="right"/>
              <w:rPr>
                <w:b/>
                <w:sz w:val="13"/>
                <w:szCs w:val="13"/>
              </w:rPr>
            </w:pPr>
            <w:r w:rsidRPr="001F224B">
              <w:rPr>
                <w:b/>
                <w:sz w:val="13"/>
                <w:szCs w:val="13"/>
              </w:rPr>
              <w:t>4.042.957</w:t>
            </w:r>
          </w:p>
        </w:tc>
        <w:tc>
          <w:tcPr>
            <w:tcW w:w="822" w:type="dxa"/>
            <w:tcBorders>
              <w:top w:val="nil"/>
              <w:left w:val="dotted" w:sz="4" w:space="0" w:color="auto"/>
              <w:bottom w:val="nil"/>
              <w:right w:val="dotted" w:sz="4" w:space="0" w:color="auto"/>
            </w:tcBorders>
            <w:vAlign w:val="bottom"/>
          </w:tcPr>
          <w:p w14:paraId="1447CBC1" w14:textId="7DC468D8" w:rsidR="00F63977" w:rsidRPr="001F224B" w:rsidRDefault="00F63977" w:rsidP="00F63977">
            <w:pPr>
              <w:jc w:val="right"/>
              <w:rPr>
                <w:b/>
                <w:sz w:val="13"/>
                <w:szCs w:val="13"/>
              </w:rPr>
            </w:pPr>
            <w:r w:rsidRPr="001F224B">
              <w:rPr>
                <w:b/>
                <w:sz w:val="13"/>
                <w:szCs w:val="13"/>
              </w:rPr>
              <w:t>-</w:t>
            </w:r>
          </w:p>
        </w:tc>
        <w:tc>
          <w:tcPr>
            <w:tcW w:w="879" w:type="dxa"/>
            <w:tcBorders>
              <w:top w:val="nil"/>
              <w:left w:val="dotted" w:sz="4" w:space="0" w:color="auto"/>
              <w:bottom w:val="nil"/>
              <w:right w:val="dotted" w:sz="4" w:space="0" w:color="auto"/>
            </w:tcBorders>
            <w:vAlign w:val="bottom"/>
          </w:tcPr>
          <w:p w14:paraId="21606D5A" w14:textId="0EEC993A" w:rsidR="00F63977" w:rsidRPr="001F224B" w:rsidRDefault="00F63977" w:rsidP="00F63977">
            <w:pPr>
              <w:jc w:val="right"/>
              <w:rPr>
                <w:b/>
                <w:sz w:val="13"/>
                <w:szCs w:val="13"/>
              </w:rPr>
            </w:pPr>
            <w:r w:rsidRPr="001F224B">
              <w:rPr>
                <w:b/>
                <w:sz w:val="13"/>
                <w:szCs w:val="13"/>
              </w:rPr>
              <w:t>10.882.672</w:t>
            </w:r>
          </w:p>
        </w:tc>
        <w:tc>
          <w:tcPr>
            <w:tcW w:w="591" w:type="dxa"/>
            <w:gridSpan w:val="2"/>
            <w:tcBorders>
              <w:top w:val="nil"/>
              <w:left w:val="dotted" w:sz="4" w:space="0" w:color="auto"/>
              <w:bottom w:val="nil"/>
              <w:right w:val="dotted" w:sz="4" w:space="0" w:color="auto"/>
            </w:tcBorders>
            <w:vAlign w:val="bottom"/>
          </w:tcPr>
          <w:p w14:paraId="0B4FDF0E" w14:textId="2DF35971" w:rsidR="00F63977" w:rsidRPr="001F224B" w:rsidRDefault="00F63977" w:rsidP="00F63977">
            <w:pPr>
              <w:jc w:val="right"/>
              <w:rPr>
                <w:b/>
                <w:sz w:val="13"/>
                <w:szCs w:val="13"/>
              </w:rPr>
            </w:pPr>
            <w:r w:rsidRPr="001F224B">
              <w:rPr>
                <w:b/>
                <w:bCs/>
                <w:sz w:val="13"/>
                <w:szCs w:val="13"/>
              </w:rPr>
              <w:t>-</w:t>
            </w:r>
          </w:p>
        </w:tc>
        <w:tc>
          <w:tcPr>
            <w:tcW w:w="807" w:type="dxa"/>
            <w:tcBorders>
              <w:top w:val="nil"/>
              <w:left w:val="dotted" w:sz="4" w:space="0" w:color="auto"/>
              <w:bottom w:val="nil"/>
            </w:tcBorders>
            <w:vAlign w:val="bottom"/>
          </w:tcPr>
          <w:p w14:paraId="122CC8E5" w14:textId="02AA9A32" w:rsidR="00F63977" w:rsidRPr="001F224B" w:rsidRDefault="00F63977" w:rsidP="00F63977">
            <w:pPr>
              <w:jc w:val="right"/>
              <w:rPr>
                <w:b/>
                <w:sz w:val="13"/>
                <w:szCs w:val="13"/>
              </w:rPr>
            </w:pPr>
            <w:r w:rsidRPr="001F224B">
              <w:rPr>
                <w:b/>
                <w:sz w:val="13"/>
                <w:szCs w:val="13"/>
              </w:rPr>
              <w:t>10.882.672</w:t>
            </w:r>
          </w:p>
        </w:tc>
      </w:tr>
      <w:tr w:rsidR="00F63977" w:rsidRPr="001F224B" w14:paraId="75F62873" w14:textId="77777777" w:rsidTr="00907C70">
        <w:trPr>
          <w:trHeight w:val="19"/>
        </w:trPr>
        <w:tc>
          <w:tcPr>
            <w:tcW w:w="465" w:type="dxa"/>
            <w:tcBorders>
              <w:top w:val="nil"/>
              <w:left w:val="single" w:sz="4" w:space="0" w:color="auto"/>
              <w:bottom w:val="nil"/>
              <w:right w:val="single" w:sz="4" w:space="0" w:color="auto"/>
            </w:tcBorders>
          </w:tcPr>
          <w:p w14:paraId="063604AC" w14:textId="77777777" w:rsidR="00F63977" w:rsidRPr="001F224B" w:rsidRDefault="00F63977" w:rsidP="00F63977">
            <w:pPr>
              <w:rPr>
                <w:b/>
                <w:bCs/>
                <w:sz w:val="13"/>
                <w:szCs w:val="13"/>
              </w:rPr>
            </w:pPr>
            <w:r w:rsidRPr="001F224B">
              <w:rPr>
                <w:b/>
                <w:bCs/>
                <w:sz w:val="13"/>
                <w:szCs w:val="13"/>
              </w:rPr>
              <w:t>II.</w:t>
            </w:r>
          </w:p>
        </w:tc>
        <w:tc>
          <w:tcPr>
            <w:tcW w:w="2925" w:type="dxa"/>
            <w:tcBorders>
              <w:top w:val="nil"/>
              <w:left w:val="single" w:sz="4" w:space="0" w:color="auto"/>
              <w:bottom w:val="nil"/>
              <w:right w:val="single" w:sz="4" w:space="0" w:color="auto"/>
            </w:tcBorders>
          </w:tcPr>
          <w:p w14:paraId="615DE75D" w14:textId="77777777" w:rsidR="00F63977" w:rsidRPr="001F224B" w:rsidRDefault="00F63977" w:rsidP="00F63977">
            <w:pPr>
              <w:rPr>
                <w:b/>
                <w:bCs/>
                <w:sz w:val="13"/>
                <w:szCs w:val="13"/>
              </w:rPr>
            </w:pPr>
            <w:r w:rsidRPr="001F224B">
              <w:rPr>
                <w:b/>
                <w:bCs/>
                <w:sz w:val="13"/>
                <w:szCs w:val="13"/>
              </w:rPr>
              <w:t>TMS 8 Uyarınca Yapılan Düzeltmeler</w:t>
            </w:r>
          </w:p>
        </w:tc>
        <w:tc>
          <w:tcPr>
            <w:tcW w:w="754" w:type="dxa"/>
            <w:tcBorders>
              <w:top w:val="nil"/>
              <w:left w:val="single" w:sz="4" w:space="0" w:color="auto"/>
              <w:bottom w:val="nil"/>
              <w:right w:val="dotted" w:sz="4" w:space="0" w:color="auto"/>
            </w:tcBorders>
            <w:vAlign w:val="bottom"/>
          </w:tcPr>
          <w:p w14:paraId="6A81D36B" w14:textId="636E905A" w:rsidR="00F63977" w:rsidRPr="001F224B" w:rsidRDefault="00F63977" w:rsidP="00F63977">
            <w:pPr>
              <w:jc w:val="right"/>
              <w:rPr>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11989AA6" w14:textId="02A358C2" w:rsidR="00F63977" w:rsidRPr="001F224B" w:rsidRDefault="00F63977" w:rsidP="00F63977">
            <w:pPr>
              <w:jc w:val="right"/>
              <w:rPr>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6717F90" w14:textId="00079D7B" w:rsidR="00F63977" w:rsidRPr="001F224B" w:rsidRDefault="00F63977" w:rsidP="00F63977">
            <w:pPr>
              <w:jc w:val="right"/>
              <w:rPr>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6B37860F" w14:textId="5CDB8F5C" w:rsidR="00F63977" w:rsidRPr="001F224B" w:rsidRDefault="00F63977" w:rsidP="00F63977">
            <w:pPr>
              <w:jc w:val="right"/>
              <w:rPr>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4C1EE9FB" w14:textId="1B004D99" w:rsidR="00F63977" w:rsidRPr="001F224B" w:rsidRDefault="00F63977" w:rsidP="00F63977">
            <w:pPr>
              <w:jc w:val="right"/>
              <w:rPr>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590317D3" w14:textId="23E4561E" w:rsidR="00F63977" w:rsidRPr="001F224B" w:rsidRDefault="00F63977" w:rsidP="00F63977">
            <w:pPr>
              <w:jc w:val="right"/>
              <w:rPr>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66B5EB17" w14:textId="6D0CBC32" w:rsidR="00F63977" w:rsidRPr="001F224B" w:rsidRDefault="00F63977" w:rsidP="00F63977">
            <w:pPr>
              <w:jc w:val="right"/>
              <w:rPr>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6C08D1B5" w14:textId="43042CD0" w:rsidR="00F63977" w:rsidRPr="001F224B" w:rsidRDefault="00F63977" w:rsidP="00F63977">
            <w:pPr>
              <w:jc w:val="right"/>
              <w:rPr>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2961EC5D" w14:textId="0A9A7295" w:rsidR="00F63977" w:rsidRPr="001F224B" w:rsidRDefault="00F63977" w:rsidP="00F63977">
            <w:pPr>
              <w:jc w:val="right"/>
              <w:rPr>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2CB57CEF" w14:textId="13CA9CA9" w:rsidR="00F63977" w:rsidRPr="001F224B" w:rsidRDefault="00F63977" w:rsidP="00F63977">
            <w:pPr>
              <w:jc w:val="right"/>
              <w:rPr>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4986ABCC" w14:textId="22CC2809" w:rsidR="00F63977" w:rsidRPr="001F224B" w:rsidRDefault="00F63977" w:rsidP="00F63977">
            <w:pPr>
              <w:jc w:val="right"/>
              <w:rPr>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4E799C2E" w14:textId="6BEA3202" w:rsidR="00F63977" w:rsidRPr="001F224B" w:rsidRDefault="00F63977" w:rsidP="00F63977">
            <w:pPr>
              <w:jc w:val="right"/>
              <w:rPr>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2A698035" w14:textId="57634247" w:rsidR="00F63977" w:rsidRPr="001F224B" w:rsidRDefault="00F63977" w:rsidP="00F63977">
            <w:pPr>
              <w:jc w:val="right"/>
              <w:rPr>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2C682F85" w14:textId="163CC17A" w:rsidR="00F63977" w:rsidRPr="001F224B" w:rsidRDefault="00F63977" w:rsidP="00F63977">
            <w:pPr>
              <w:jc w:val="right"/>
              <w:rPr>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3F3D8FC" w14:textId="6043603C" w:rsidR="00F63977" w:rsidRPr="001F224B" w:rsidRDefault="00F63977" w:rsidP="00F63977">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2CD802F4" w14:textId="2362D2C7" w:rsidR="00F63977" w:rsidRPr="001F224B" w:rsidRDefault="00F63977" w:rsidP="00F63977">
            <w:pPr>
              <w:jc w:val="right"/>
              <w:rPr>
                <w:sz w:val="13"/>
                <w:szCs w:val="13"/>
              </w:rPr>
            </w:pPr>
            <w:r w:rsidRPr="001F224B">
              <w:rPr>
                <w:b/>
                <w:sz w:val="13"/>
                <w:szCs w:val="13"/>
              </w:rPr>
              <w:t xml:space="preserve"> - </w:t>
            </w:r>
          </w:p>
        </w:tc>
      </w:tr>
      <w:tr w:rsidR="00F63977" w:rsidRPr="001F224B" w14:paraId="3BF813EE" w14:textId="77777777" w:rsidTr="00907C70">
        <w:trPr>
          <w:trHeight w:val="19"/>
        </w:trPr>
        <w:tc>
          <w:tcPr>
            <w:tcW w:w="465" w:type="dxa"/>
            <w:tcBorders>
              <w:top w:val="nil"/>
              <w:left w:val="single" w:sz="4" w:space="0" w:color="auto"/>
              <w:bottom w:val="nil"/>
              <w:right w:val="single" w:sz="4" w:space="0" w:color="auto"/>
            </w:tcBorders>
          </w:tcPr>
          <w:p w14:paraId="7F7AAD7F" w14:textId="77777777" w:rsidR="00F63977" w:rsidRPr="001F224B" w:rsidRDefault="00F63977" w:rsidP="00F63977">
            <w:pPr>
              <w:rPr>
                <w:b/>
                <w:bCs/>
                <w:sz w:val="13"/>
                <w:szCs w:val="13"/>
              </w:rPr>
            </w:pPr>
            <w:r w:rsidRPr="001F224B">
              <w:rPr>
                <w:sz w:val="13"/>
                <w:szCs w:val="13"/>
              </w:rPr>
              <w:t>2.1</w:t>
            </w:r>
          </w:p>
        </w:tc>
        <w:tc>
          <w:tcPr>
            <w:tcW w:w="2925" w:type="dxa"/>
            <w:tcBorders>
              <w:top w:val="nil"/>
              <w:left w:val="single" w:sz="4" w:space="0" w:color="auto"/>
              <w:bottom w:val="nil"/>
              <w:right w:val="single" w:sz="4" w:space="0" w:color="auto"/>
            </w:tcBorders>
          </w:tcPr>
          <w:p w14:paraId="205EECBB" w14:textId="77777777" w:rsidR="00F63977" w:rsidRPr="001F224B" w:rsidRDefault="00F63977" w:rsidP="00F63977">
            <w:pPr>
              <w:rPr>
                <w:b/>
                <w:bCs/>
                <w:sz w:val="13"/>
                <w:szCs w:val="13"/>
              </w:rPr>
            </w:pPr>
            <w:r w:rsidRPr="001F224B">
              <w:rPr>
                <w:sz w:val="13"/>
                <w:szCs w:val="13"/>
              </w:rPr>
              <w:t>Hataların Düzeltilmesinin Etkisi</w:t>
            </w:r>
          </w:p>
        </w:tc>
        <w:tc>
          <w:tcPr>
            <w:tcW w:w="754" w:type="dxa"/>
            <w:tcBorders>
              <w:top w:val="nil"/>
              <w:left w:val="single" w:sz="4" w:space="0" w:color="auto"/>
              <w:bottom w:val="nil"/>
              <w:right w:val="dotted" w:sz="4" w:space="0" w:color="auto"/>
            </w:tcBorders>
            <w:vAlign w:val="bottom"/>
          </w:tcPr>
          <w:p w14:paraId="74AC84B1" w14:textId="357164F0" w:rsidR="00F63977" w:rsidRPr="001F224B" w:rsidRDefault="00F63977" w:rsidP="00F63977">
            <w:pPr>
              <w:jc w:val="right"/>
              <w:rPr>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196B7470" w14:textId="01470AC4"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4A5EA329" w14:textId="2083B18D" w:rsidR="00F63977" w:rsidRPr="001F224B" w:rsidRDefault="00F63977" w:rsidP="00F63977">
            <w:pPr>
              <w:jc w:val="right"/>
              <w:rPr>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2BA637C2" w14:textId="4EC6F190" w:rsidR="00F63977" w:rsidRPr="001F224B" w:rsidRDefault="00F63977" w:rsidP="00F63977">
            <w:pPr>
              <w:jc w:val="right"/>
              <w:rPr>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22B5DB7B" w14:textId="1ADDE64B" w:rsidR="00F63977" w:rsidRPr="001F224B" w:rsidRDefault="00F63977" w:rsidP="00F63977">
            <w:pPr>
              <w:jc w:val="right"/>
              <w:rPr>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35B1B488" w14:textId="066E0647"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7D679DBE" w14:textId="2B54EDD8"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0B1B8826" w14:textId="3758909A" w:rsidR="00F63977" w:rsidRPr="001F224B" w:rsidRDefault="00F63977" w:rsidP="00F63977">
            <w:pPr>
              <w:jc w:val="right"/>
              <w:rPr>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3A42D2AD" w14:textId="14530D47"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30990B85" w14:textId="662C8BFD" w:rsidR="00F63977" w:rsidRPr="001F224B" w:rsidRDefault="00F63977" w:rsidP="00F63977">
            <w:pPr>
              <w:jc w:val="right"/>
              <w:rPr>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vAlign w:val="bottom"/>
          </w:tcPr>
          <w:p w14:paraId="7A5BAA88" w14:textId="5ADBDB1B" w:rsidR="00F63977" w:rsidRPr="001F224B" w:rsidRDefault="00F63977" w:rsidP="00F63977">
            <w:pPr>
              <w:jc w:val="right"/>
              <w:rPr>
                <w:sz w:val="13"/>
                <w:szCs w:val="13"/>
              </w:rPr>
            </w:pPr>
            <w:r w:rsidRPr="001F224B">
              <w:rPr>
                <w:sz w:val="13"/>
                <w:szCs w:val="13"/>
              </w:rPr>
              <w:t xml:space="preserve"> - </w:t>
            </w:r>
          </w:p>
        </w:tc>
        <w:tc>
          <w:tcPr>
            <w:tcW w:w="923" w:type="dxa"/>
            <w:tcBorders>
              <w:top w:val="nil"/>
              <w:left w:val="dotted" w:sz="4" w:space="0" w:color="auto"/>
              <w:bottom w:val="nil"/>
              <w:right w:val="dotted" w:sz="4" w:space="0" w:color="auto"/>
            </w:tcBorders>
            <w:vAlign w:val="bottom"/>
          </w:tcPr>
          <w:p w14:paraId="29AA0C9B" w14:textId="7DD71E82" w:rsidR="00F63977" w:rsidRPr="001F224B" w:rsidRDefault="00F63977" w:rsidP="00F63977">
            <w:pPr>
              <w:jc w:val="right"/>
              <w:rPr>
                <w:sz w:val="13"/>
                <w:szCs w:val="13"/>
              </w:rPr>
            </w:pPr>
            <w:r w:rsidRPr="001F224B">
              <w:rPr>
                <w:sz w:val="13"/>
                <w:szCs w:val="13"/>
              </w:rPr>
              <w:t xml:space="preserve"> - </w:t>
            </w:r>
          </w:p>
        </w:tc>
        <w:tc>
          <w:tcPr>
            <w:tcW w:w="822" w:type="dxa"/>
            <w:tcBorders>
              <w:top w:val="nil"/>
              <w:left w:val="dotted" w:sz="4" w:space="0" w:color="auto"/>
              <w:bottom w:val="nil"/>
              <w:right w:val="dotted" w:sz="4" w:space="0" w:color="auto"/>
            </w:tcBorders>
            <w:vAlign w:val="bottom"/>
          </w:tcPr>
          <w:p w14:paraId="7BB2710B" w14:textId="49AB8589" w:rsidR="00F63977" w:rsidRPr="001F224B" w:rsidRDefault="00F63977" w:rsidP="00F63977">
            <w:pPr>
              <w:jc w:val="right"/>
              <w:rPr>
                <w:sz w:val="13"/>
                <w:szCs w:val="13"/>
              </w:rPr>
            </w:pPr>
            <w:r w:rsidRPr="001F224B">
              <w:rPr>
                <w:sz w:val="13"/>
                <w:szCs w:val="13"/>
              </w:rPr>
              <w:t xml:space="preserve"> - </w:t>
            </w:r>
          </w:p>
        </w:tc>
        <w:tc>
          <w:tcPr>
            <w:tcW w:w="879" w:type="dxa"/>
            <w:tcBorders>
              <w:top w:val="nil"/>
              <w:left w:val="dotted" w:sz="4" w:space="0" w:color="auto"/>
              <w:bottom w:val="nil"/>
              <w:right w:val="dotted" w:sz="4" w:space="0" w:color="auto"/>
            </w:tcBorders>
            <w:vAlign w:val="bottom"/>
          </w:tcPr>
          <w:p w14:paraId="07A7B1EE" w14:textId="1DCC04C1" w:rsidR="00F63977" w:rsidRPr="001F224B" w:rsidRDefault="00F63977" w:rsidP="00F63977">
            <w:pPr>
              <w:jc w:val="right"/>
              <w:rPr>
                <w:sz w:val="13"/>
                <w:szCs w:val="13"/>
              </w:rPr>
            </w:pPr>
            <w:r w:rsidRPr="001F224B">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47619F8C" w14:textId="26D43B78" w:rsidR="00F63977" w:rsidRPr="001F224B" w:rsidRDefault="00F63977" w:rsidP="00F63977">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07329E85" w14:textId="37D2E282" w:rsidR="00F63977" w:rsidRPr="001F224B" w:rsidRDefault="00F63977" w:rsidP="00F63977">
            <w:pPr>
              <w:jc w:val="right"/>
              <w:rPr>
                <w:sz w:val="13"/>
                <w:szCs w:val="13"/>
              </w:rPr>
            </w:pPr>
            <w:r w:rsidRPr="001F224B">
              <w:rPr>
                <w:sz w:val="13"/>
                <w:szCs w:val="13"/>
              </w:rPr>
              <w:t xml:space="preserve"> - </w:t>
            </w:r>
          </w:p>
        </w:tc>
      </w:tr>
      <w:tr w:rsidR="00F63977" w:rsidRPr="001F224B" w14:paraId="621E9264" w14:textId="77777777" w:rsidTr="00907C70">
        <w:trPr>
          <w:trHeight w:val="19"/>
        </w:trPr>
        <w:tc>
          <w:tcPr>
            <w:tcW w:w="465" w:type="dxa"/>
            <w:tcBorders>
              <w:top w:val="nil"/>
              <w:left w:val="single" w:sz="4" w:space="0" w:color="auto"/>
              <w:bottom w:val="nil"/>
              <w:right w:val="single" w:sz="4" w:space="0" w:color="auto"/>
            </w:tcBorders>
          </w:tcPr>
          <w:p w14:paraId="37217378" w14:textId="77777777" w:rsidR="00F63977" w:rsidRPr="001F224B" w:rsidRDefault="00F63977" w:rsidP="00F63977">
            <w:pPr>
              <w:rPr>
                <w:bCs/>
                <w:sz w:val="13"/>
                <w:szCs w:val="13"/>
              </w:rPr>
            </w:pPr>
            <w:r w:rsidRPr="001F224B">
              <w:rPr>
                <w:bCs/>
                <w:sz w:val="13"/>
                <w:szCs w:val="13"/>
              </w:rPr>
              <w:t>2.2</w:t>
            </w:r>
          </w:p>
        </w:tc>
        <w:tc>
          <w:tcPr>
            <w:tcW w:w="2925" w:type="dxa"/>
            <w:tcBorders>
              <w:top w:val="nil"/>
              <w:left w:val="single" w:sz="4" w:space="0" w:color="auto"/>
              <w:bottom w:val="nil"/>
              <w:right w:val="single" w:sz="4" w:space="0" w:color="auto"/>
            </w:tcBorders>
          </w:tcPr>
          <w:p w14:paraId="19578C8D" w14:textId="77777777" w:rsidR="00F63977" w:rsidRPr="001F224B" w:rsidRDefault="00F63977" w:rsidP="00F63977">
            <w:pPr>
              <w:rPr>
                <w:b/>
                <w:bCs/>
                <w:sz w:val="13"/>
                <w:szCs w:val="13"/>
              </w:rPr>
            </w:pPr>
            <w:r w:rsidRPr="001F224B">
              <w:rPr>
                <w:sz w:val="13"/>
                <w:szCs w:val="13"/>
              </w:rPr>
              <w:t>Muhasebe Politikasında Yapılan Değişikliklerin Etkisi</w:t>
            </w:r>
          </w:p>
        </w:tc>
        <w:tc>
          <w:tcPr>
            <w:tcW w:w="754" w:type="dxa"/>
            <w:tcBorders>
              <w:top w:val="nil"/>
              <w:left w:val="single" w:sz="4" w:space="0" w:color="auto"/>
              <w:bottom w:val="nil"/>
              <w:right w:val="dotted" w:sz="4" w:space="0" w:color="auto"/>
            </w:tcBorders>
            <w:vAlign w:val="bottom"/>
          </w:tcPr>
          <w:p w14:paraId="4EB7BB6A" w14:textId="65E81033" w:rsidR="00F63977" w:rsidRPr="001F224B" w:rsidRDefault="00F63977" w:rsidP="00F63977">
            <w:pPr>
              <w:jc w:val="right"/>
              <w:rPr>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799DA234" w14:textId="45DD3FF2"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2F6496C8" w14:textId="7A889246" w:rsidR="00F63977" w:rsidRPr="001F224B" w:rsidRDefault="00F63977" w:rsidP="00F63977">
            <w:pPr>
              <w:jc w:val="right"/>
              <w:rPr>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40F95418" w14:textId="62F5E990" w:rsidR="00F63977" w:rsidRPr="001F224B" w:rsidRDefault="00F63977" w:rsidP="00F63977">
            <w:pPr>
              <w:jc w:val="right"/>
              <w:rPr>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381BE39A" w14:textId="2EC17A23" w:rsidR="00F63977" w:rsidRPr="001F224B" w:rsidRDefault="00F63977" w:rsidP="00F63977">
            <w:pPr>
              <w:jc w:val="right"/>
              <w:rPr>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20F75E58" w14:textId="30A79922"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4CEB0FD0" w14:textId="2FEEE189"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70CA8117" w14:textId="47678314" w:rsidR="00F63977" w:rsidRPr="001F224B" w:rsidRDefault="00F63977" w:rsidP="00F63977">
            <w:pPr>
              <w:jc w:val="right"/>
              <w:rPr>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23C74A17" w14:textId="027B93B1"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2F721C37" w14:textId="27427A66" w:rsidR="00F63977" w:rsidRPr="001F224B" w:rsidRDefault="00F63977" w:rsidP="00F63977">
            <w:pPr>
              <w:jc w:val="right"/>
              <w:rPr>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vAlign w:val="bottom"/>
          </w:tcPr>
          <w:p w14:paraId="47B124E0" w14:textId="0CA37ECB" w:rsidR="00F63977" w:rsidRPr="001F224B" w:rsidRDefault="00F63977" w:rsidP="00F63977">
            <w:pPr>
              <w:jc w:val="right"/>
              <w:rPr>
                <w:sz w:val="13"/>
                <w:szCs w:val="13"/>
              </w:rPr>
            </w:pPr>
            <w:r w:rsidRPr="001F224B">
              <w:rPr>
                <w:sz w:val="13"/>
                <w:szCs w:val="13"/>
              </w:rPr>
              <w:t xml:space="preserve"> - </w:t>
            </w:r>
          </w:p>
        </w:tc>
        <w:tc>
          <w:tcPr>
            <w:tcW w:w="923" w:type="dxa"/>
            <w:tcBorders>
              <w:top w:val="nil"/>
              <w:left w:val="dotted" w:sz="4" w:space="0" w:color="auto"/>
              <w:bottom w:val="nil"/>
              <w:right w:val="dotted" w:sz="4" w:space="0" w:color="auto"/>
            </w:tcBorders>
            <w:vAlign w:val="bottom"/>
          </w:tcPr>
          <w:p w14:paraId="71E0765F" w14:textId="01F17691" w:rsidR="00F63977" w:rsidRPr="001F224B" w:rsidRDefault="00F63977" w:rsidP="00F63977">
            <w:pPr>
              <w:jc w:val="right"/>
              <w:rPr>
                <w:sz w:val="13"/>
                <w:szCs w:val="13"/>
              </w:rPr>
            </w:pPr>
            <w:r w:rsidRPr="001F224B">
              <w:rPr>
                <w:sz w:val="13"/>
                <w:szCs w:val="13"/>
              </w:rPr>
              <w:t xml:space="preserve"> - </w:t>
            </w:r>
          </w:p>
        </w:tc>
        <w:tc>
          <w:tcPr>
            <w:tcW w:w="822" w:type="dxa"/>
            <w:tcBorders>
              <w:top w:val="nil"/>
              <w:left w:val="dotted" w:sz="4" w:space="0" w:color="auto"/>
              <w:bottom w:val="nil"/>
              <w:right w:val="dotted" w:sz="4" w:space="0" w:color="auto"/>
            </w:tcBorders>
            <w:vAlign w:val="bottom"/>
          </w:tcPr>
          <w:p w14:paraId="4B2A01EA" w14:textId="6568DF30" w:rsidR="00F63977" w:rsidRPr="001F224B" w:rsidRDefault="00F63977" w:rsidP="00F63977">
            <w:pPr>
              <w:jc w:val="right"/>
              <w:rPr>
                <w:sz w:val="13"/>
                <w:szCs w:val="13"/>
              </w:rPr>
            </w:pPr>
            <w:r w:rsidRPr="001F224B">
              <w:rPr>
                <w:sz w:val="13"/>
                <w:szCs w:val="13"/>
              </w:rPr>
              <w:t xml:space="preserve"> - </w:t>
            </w:r>
          </w:p>
        </w:tc>
        <w:tc>
          <w:tcPr>
            <w:tcW w:w="879" w:type="dxa"/>
            <w:tcBorders>
              <w:top w:val="nil"/>
              <w:left w:val="dotted" w:sz="4" w:space="0" w:color="auto"/>
              <w:bottom w:val="nil"/>
              <w:right w:val="dotted" w:sz="4" w:space="0" w:color="auto"/>
            </w:tcBorders>
            <w:vAlign w:val="bottom"/>
          </w:tcPr>
          <w:p w14:paraId="5C1AB7BF" w14:textId="5BAD40EA" w:rsidR="00F63977" w:rsidRPr="001F224B" w:rsidRDefault="00F63977" w:rsidP="00F63977">
            <w:pPr>
              <w:jc w:val="right"/>
              <w:rPr>
                <w:sz w:val="13"/>
                <w:szCs w:val="13"/>
              </w:rPr>
            </w:pPr>
            <w:r w:rsidRPr="001F224B">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08080610" w14:textId="3F5024B3" w:rsidR="00F63977" w:rsidRPr="001F224B" w:rsidRDefault="00F63977" w:rsidP="00F63977">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36DD47F7" w14:textId="19BF4964" w:rsidR="00F63977" w:rsidRPr="001F224B" w:rsidRDefault="00F63977" w:rsidP="00F63977">
            <w:pPr>
              <w:jc w:val="right"/>
              <w:rPr>
                <w:sz w:val="13"/>
                <w:szCs w:val="13"/>
              </w:rPr>
            </w:pPr>
            <w:r w:rsidRPr="001F224B">
              <w:rPr>
                <w:sz w:val="13"/>
                <w:szCs w:val="13"/>
              </w:rPr>
              <w:t xml:space="preserve"> - </w:t>
            </w:r>
          </w:p>
        </w:tc>
      </w:tr>
      <w:tr w:rsidR="00F63977" w:rsidRPr="001F224B" w14:paraId="652753A2" w14:textId="77777777" w:rsidTr="008C59FC">
        <w:trPr>
          <w:trHeight w:val="19"/>
        </w:trPr>
        <w:tc>
          <w:tcPr>
            <w:tcW w:w="465" w:type="dxa"/>
            <w:tcBorders>
              <w:top w:val="nil"/>
              <w:left w:val="single" w:sz="4" w:space="0" w:color="auto"/>
              <w:bottom w:val="nil"/>
              <w:right w:val="single" w:sz="4" w:space="0" w:color="auto"/>
            </w:tcBorders>
          </w:tcPr>
          <w:p w14:paraId="49E2E0FE" w14:textId="77777777" w:rsidR="00F63977" w:rsidRPr="001F224B" w:rsidRDefault="00F63977" w:rsidP="00F63977">
            <w:pPr>
              <w:rPr>
                <w:sz w:val="13"/>
                <w:szCs w:val="13"/>
              </w:rPr>
            </w:pPr>
            <w:r w:rsidRPr="001F224B">
              <w:rPr>
                <w:b/>
                <w:bCs/>
                <w:sz w:val="13"/>
                <w:szCs w:val="13"/>
              </w:rPr>
              <w:t>III.</w:t>
            </w:r>
          </w:p>
        </w:tc>
        <w:tc>
          <w:tcPr>
            <w:tcW w:w="2925" w:type="dxa"/>
            <w:tcBorders>
              <w:top w:val="nil"/>
              <w:left w:val="single" w:sz="4" w:space="0" w:color="auto"/>
              <w:bottom w:val="nil"/>
              <w:right w:val="single" w:sz="4" w:space="0" w:color="auto"/>
            </w:tcBorders>
          </w:tcPr>
          <w:p w14:paraId="1FDE41DF" w14:textId="77777777" w:rsidR="00F63977" w:rsidRPr="001F224B" w:rsidRDefault="00F63977" w:rsidP="00F63977">
            <w:pPr>
              <w:rPr>
                <w:sz w:val="13"/>
                <w:szCs w:val="13"/>
              </w:rPr>
            </w:pPr>
            <w:r w:rsidRPr="001F224B">
              <w:rPr>
                <w:b/>
                <w:bCs/>
                <w:sz w:val="13"/>
                <w:szCs w:val="13"/>
              </w:rPr>
              <w:t>Yeni Bakiye (I+II)</w:t>
            </w:r>
          </w:p>
        </w:tc>
        <w:tc>
          <w:tcPr>
            <w:tcW w:w="754" w:type="dxa"/>
            <w:tcBorders>
              <w:top w:val="nil"/>
              <w:left w:val="single" w:sz="4" w:space="0" w:color="auto"/>
              <w:bottom w:val="nil"/>
              <w:right w:val="dotted" w:sz="4" w:space="0" w:color="auto"/>
            </w:tcBorders>
            <w:vAlign w:val="bottom"/>
          </w:tcPr>
          <w:p w14:paraId="2C91DA6F" w14:textId="78B3CFB6" w:rsidR="00F63977" w:rsidRPr="001F224B" w:rsidRDefault="00F63977" w:rsidP="00F63977">
            <w:pPr>
              <w:jc w:val="right"/>
              <w:rPr>
                <w:b/>
                <w:sz w:val="13"/>
                <w:szCs w:val="13"/>
              </w:rPr>
            </w:pPr>
            <w:r w:rsidRPr="001F224B">
              <w:rPr>
                <w:b/>
                <w:sz w:val="13"/>
                <w:szCs w:val="13"/>
              </w:rPr>
              <w:t>2.500.000</w:t>
            </w:r>
          </w:p>
        </w:tc>
        <w:tc>
          <w:tcPr>
            <w:tcW w:w="992" w:type="dxa"/>
            <w:tcBorders>
              <w:top w:val="nil"/>
              <w:left w:val="dotted" w:sz="4" w:space="0" w:color="auto"/>
              <w:bottom w:val="nil"/>
              <w:right w:val="dotted" w:sz="4" w:space="0" w:color="auto"/>
            </w:tcBorders>
            <w:vAlign w:val="bottom"/>
          </w:tcPr>
          <w:p w14:paraId="7275A6AB" w14:textId="682ABB9A" w:rsidR="00F63977" w:rsidRPr="001F224B" w:rsidRDefault="00F63977" w:rsidP="00F63977">
            <w:pPr>
              <w:jc w:val="right"/>
              <w:rPr>
                <w:b/>
                <w:sz w:val="13"/>
                <w:szCs w:val="13"/>
              </w:rPr>
            </w:pPr>
            <w:r w:rsidRPr="001F224B">
              <w:rPr>
                <w:b/>
                <w:sz w:val="13"/>
                <w:szCs w:val="13"/>
              </w:rPr>
              <w:t>4.038</w:t>
            </w:r>
          </w:p>
        </w:tc>
        <w:tc>
          <w:tcPr>
            <w:tcW w:w="709" w:type="dxa"/>
            <w:tcBorders>
              <w:top w:val="nil"/>
              <w:left w:val="dotted" w:sz="4" w:space="0" w:color="auto"/>
              <w:bottom w:val="nil"/>
              <w:right w:val="dotted" w:sz="4" w:space="0" w:color="auto"/>
            </w:tcBorders>
            <w:vAlign w:val="bottom"/>
          </w:tcPr>
          <w:p w14:paraId="2687DFDD" w14:textId="29C7DCC0"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45A3F0EF" w14:textId="2311F59C" w:rsidR="00F63977" w:rsidRPr="001F224B" w:rsidRDefault="00F63977" w:rsidP="00F63977">
            <w:pPr>
              <w:jc w:val="right"/>
              <w:rPr>
                <w:b/>
                <w:sz w:val="13"/>
                <w:szCs w:val="13"/>
              </w:rPr>
            </w:pPr>
            <w:r w:rsidRPr="001F224B">
              <w:rPr>
                <w:b/>
                <w:sz w:val="13"/>
                <w:szCs w:val="13"/>
              </w:rPr>
              <w:t xml:space="preserve">206.074 </w:t>
            </w:r>
          </w:p>
        </w:tc>
        <w:tc>
          <w:tcPr>
            <w:tcW w:w="676" w:type="dxa"/>
            <w:tcBorders>
              <w:top w:val="nil"/>
              <w:left w:val="dotted" w:sz="4" w:space="0" w:color="auto"/>
              <w:bottom w:val="nil"/>
              <w:right w:val="dotted" w:sz="4" w:space="0" w:color="auto"/>
            </w:tcBorders>
            <w:vAlign w:val="bottom"/>
          </w:tcPr>
          <w:p w14:paraId="3D5EDDE3" w14:textId="6DA664D9"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7B7317DE" w14:textId="42D7901B" w:rsidR="00F63977" w:rsidRPr="001F224B" w:rsidRDefault="00F63977" w:rsidP="00F63977">
            <w:pPr>
              <w:jc w:val="right"/>
              <w:rPr>
                <w:b/>
                <w:sz w:val="13"/>
                <w:szCs w:val="13"/>
              </w:rPr>
            </w:pPr>
            <w:r w:rsidRPr="001F224B">
              <w:rPr>
                <w:b/>
                <w:sz w:val="13"/>
                <w:szCs w:val="13"/>
              </w:rPr>
              <w:t xml:space="preserve">(506) </w:t>
            </w:r>
          </w:p>
        </w:tc>
        <w:tc>
          <w:tcPr>
            <w:tcW w:w="708" w:type="dxa"/>
            <w:tcBorders>
              <w:top w:val="nil"/>
              <w:left w:val="dotted" w:sz="4" w:space="0" w:color="auto"/>
              <w:bottom w:val="nil"/>
              <w:right w:val="dotted" w:sz="4" w:space="0" w:color="auto"/>
            </w:tcBorders>
            <w:vAlign w:val="bottom"/>
          </w:tcPr>
          <w:p w14:paraId="096787A7" w14:textId="042D0397"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63CBC9A3" w14:textId="76233FF8"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1C03665B" w14:textId="3510A1B4" w:rsidR="00F63977" w:rsidRPr="001F224B" w:rsidRDefault="00F63977" w:rsidP="00F63977">
            <w:pPr>
              <w:jc w:val="right"/>
              <w:rPr>
                <w:b/>
                <w:sz w:val="13"/>
                <w:szCs w:val="13"/>
              </w:rPr>
            </w:pPr>
            <w:r w:rsidRPr="001F224B">
              <w:rPr>
                <w:b/>
                <w:sz w:val="13"/>
                <w:szCs w:val="13"/>
              </w:rPr>
              <w:t>149.405</w:t>
            </w:r>
          </w:p>
        </w:tc>
        <w:tc>
          <w:tcPr>
            <w:tcW w:w="708" w:type="dxa"/>
            <w:tcBorders>
              <w:top w:val="nil"/>
              <w:left w:val="dotted" w:sz="4" w:space="0" w:color="auto"/>
              <w:bottom w:val="nil"/>
              <w:right w:val="dotted" w:sz="4" w:space="0" w:color="auto"/>
            </w:tcBorders>
            <w:vAlign w:val="bottom"/>
          </w:tcPr>
          <w:p w14:paraId="497A795D" w14:textId="6E1903A7" w:rsidR="00F63977" w:rsidRPr="001F224B" w:rsidRDefault="00F63977" w:rsidP="00F63977">
            <w:pPr>
              <w:jc w:val="right"/>
              <w:rPr>
                <w:b/>
                <w:sz w:val="13"/>
                <w:szCs w:val="13"/>
              </w:rPr>
            </w:pPr>
            <w:r w:rsidRPr="001F224B">
              <w:rPr>
                <w:b/>
                <w:sz w:val="13"/>
                <w:szCs w:val="13"/>
              </w:rPr>
              <w:t>10.931</w:t>
            </w:r>
          </w:p>
        </w:tc>
        <w:tc>
          <w:tcPr>
            <w:tcW w:w="778" w:type="dxa"/>
            <w:tcBorders>
              <w:top w:val="nil"/>
              <w:left w:val="dotted" w:sz="4" w:space="0" w:color="auto"/>
              <w:bottom w:val="nil"/>
              <w:right w:val="dotted" w:sz="4" w:space="0" w:color="auto"/>
            </w:tcBorders>
            <w:vAlign w:val="bottom"/>
          </w:tcPr>
          <w:p w14:paraId="7A8EC97C" w14:textId="3EE2D20B" w:rsidR="00F63977" w:rsidRPr="001F224B" w:rsidRDefault="00F63977" w:rsidP="00F63977">
            <w:pPr>
              <w:jc w:val="right"/>
              <w:rPr>
                <w:b/>
                <w:sz w:val="13"/>
                <w:szCs w:val="13"/>
              </w:rPr>
            </w:pPr>
            <w:r w:rsidRPr="001F224B">
              <w:rPr>
                <w:b/>
                <w:sz w:val="13"/>
                <w:szCs w:val="13"/>
              </w:rPr>
              <w:t>3.969.773</w:t>
            </w:r>
          </w:p>
        </w:tc>
        <w:tc>
          <w:tcPr>
            <w:tcW w:w="923" w:type="dxa"/>
            <w:tcBorders>
              <w:top w:val="nil"/>
              <w:left w:val="dotted" w:sz="4" w:space="0" w:color="auto"/>
              <w:bottom w:val="nil"/>
              <w:right w:val="dotted" w:sz="4" w:space="0" w:color="auto"/>
            </w:tcBorders>
            <w:vAlign w:val="bottom"/>
          </w:tcPr>
          <w:p w14:paraId="52D49F0B" w14:textId="18779369" w:rsidR="00F63977" w:rsidRPr="001F224B" w:rsidRDefault="00F63977" w:rsidP="00F63977">
            <w:pPr>
              <w:jc w:val="right"/>
              <w:rPr>
                <w:b/>
                <w:sz w:val="13"/>
                <w:szCs w:val="13"/>
              </w:rPr>
            </w:pPr>
            <w:r w:rsidRPr="001F224B">
              <w:rPr>
                <w:b/>
                <w:sz w:val="13"/>
                <w:szCs w:val="13"/>
              </w:rPr>
              <w:t>4.042.957</w:t>
            </w:r>
          </w:p>
        </w:tc>
        <w:tc>
          <w:tcPr>
            <w:tcW w:w="822" w:type="dxa"/>
            <w:tcBorders>
              <w:top w:val="nil"/>
              <w:left w:val="dotted" w:sz="4" w:space="0" w:color="auto"/>
              <w:bottom w:val="nil"/>
              <w:right w:val="dotted" w:sz="4" w:space="0" w:color="auto"/>
            </w:tcBorders>
            <w:vAlign w:val="bottom"/>
          </w:tcPr>
          <w:p w14:paraId="41E652B8" w14:textId="580BBB8B" w:rsidR="00F63977" w:rsidRPr="001F224B" w:rsidRDefault="00F63977" w:rsidP="00F63977">
            <w:pPr>
              <w:jc w:val="right"/>
              <w:rPr>
                <w:b/>
                <w:sz w:val="13"/>
                <w:szCs w:val="13"/>
              </w:rPr>
            </w:pPr>
            <w:r w:rsidRPr="001F224B">
              <w:rPr>
                <w:b/>
                <w:sz w:val="13"/>
                <w:szCs w:val="13"/>
              </w:rPr>
              <w:t>-</w:t>
            </w:r>
          </w:p>
        </w:tc>
        <w:tc>
          <w:tcPr>
            <w:tcW w:w="879" w:type="dxa"/>
            <w:tcBorders>
              <w:top w:val="nil"/>
              <w:left w:val="dotted" w:sz="4" w:space="0" w:color="auto"/>
              <w:bottom w:val="nil"/>
              <w:right w:val="dotted" w:sz="4" w:space="0" w:color="auto"/>
            </w:tcBorders>
          </w:tcPr>
          <w:p w14:paraId="3C0041FF" w14:textId="47EFC113" w:rsidR="00F63977" w:rsidRPr="001F224B" w:rsidRDefault="00F63977" w:rsidP="00F63977">
            <w:pPr>
              <w:jc w:val="right"/>
              <w:rPr>
                <w:b/>
                <w:sz w:val="13"/>
                <w:szCs w:val="13"/>
              </w:rPr>
            </w:pPr>
            <w:r w:rsidRPr="001F224B">
              <w:rPr>
                <w:b/>
                <w:sz w:val="13"/>
                <w:szCs w:val="13"/>
              </w:rPr>
              <w:t>10.882.672</w:t>
            </w:r>
          </w:p>
        </w:tc>
        <w:tc>
          <w:tcPr>
            <w:tcW w:w="591" w:type="dxa"/>
            <w:gridSpan w:val="2"/>
            <w:tcBorders>
              <w:top w:val="nil"/>
              <w:left w:val="dotted" w:sz="4" w:space="0" w:color="auto"/>
              <w:bottom w:val="nil"/>
              <w:right w:val="dotted" w:sz="4" w:space="0" w:color="auto"/>
            </w:tcBorders>
            <w:vAlign w:val="bottom"/>
          </w:tcPr>
          <w:p w14:paraId="70F0B5B7" w14:textId="40355B7F" w:rsidR="00F63977" w:rsidRPr="001F224B" w:rsidRDefault="00F63977" w:rsidP="00F63977">
            <w:pPr>
              <w:jc w:val="right"/>
              <w:rPr>
                <w:b/>
                <w:sz w:val="13"/>
                <w:szCs w:val="13"/>
              </w:rPr>
            </w:pPr>
            <w:r w:rsidRPr="001F224B">
              <w:rPr>
                <w:b/>
                <w:bCs/>
                <w:sz w:val="13"/>
                <w:szCs w:val="13"/>
              </w:rPr>
              <w:t>-</w:t>
            </w:r>
          </w:p>
        </w:tc>
        <w:tc>
          <w:tcPr>
            <w:tcW w:w="807" w:type="dxa"/>
            <w:tcBorders>
              <w:top w:val="nil"/>
              <w:left w:val="dotted" w:sz="4" w:space="0" w:color="auto"/>
              <w:bottom w:val="nil"/>
            </w:tcBorders>
          </w:tcPr>
          <w:p w14:paraId="5D7824C4" w14:textId="652F0DC2" w:rsidR="00F63977" w:rsidRPr="001F224B" w:rsidRDefault="00F63977" w:rsidP="00F63977">
            <w:pPr>
              <w:jc w:val="right"/>
              <w:rPr>
                <w:b/>
                <w:sz w:val="13"/>
                <w:szCs w:val="13"/>
              </w:rPr>
            </w:pPr>
            <w:r w:rsidRPr="001F224B">
              <w:rPr>
                <w:b/>
                <w:sz w:val="13"/>
                <w:szCs w:val="13"/>
              </w:rPr>
              <w:t>10.882.672</w:t>
            </w:r>
          </w:p>
        </w:tc>
      </w:tr>
      <w:tr w:rsidR="00F63977" w:rsidRPr="001F224B" w14:paraId="295AAC93" w14:textId="77777777" w:rsidTr="008C59FC">
        <w:trPr>
          <w:trHeight w:val="19"/>
        </w:trPr>
        <w:tc>
          <w:tcPr>
            <w:tcW w:w="465" w:type="dxa"/>
            <w:tcBorders>
              <w:top w:val="nil"/>
              <w:left w:val="single" w:sz="4" w:space="0" w:color="auto"/>
              <w:bottom w:val="nil"/>
              <w:right w:val="single" w:sz="4" w:space="0" w:color="auto"/>
            </w:tcBorders>
          </w:tcPr>
          <w:p w14:paraId="30C0654A" w14:textId="77777777" w:rsidR="00F63977" w:rsidRPr="001F224B" w:rsidRDefault="00F63977" w:rsidP="00F63977">
            <w:pPr>
              <w:rPr>
                <w:sz w:val="13"/>
                <w:szCs w:val="13"/>
              </w:rPr>
            </w:pPr>
            <w:r w:rsidRPr="001F224B">
              <w:rPr>
                <w:b/>
                <w:bCs/>
                <w:sz w:val="13"/>
                <w:szCs w:val="13"/>
              </w:rPr>
              <w:t>IV.</w:t>
            </w:r>
          </w:p>
        </w:tc>
        <w:tc>
          <w:tcPr>
            <w:tcW w:w="2925" w:type="dxa"/>
            <w:tcBorders>
              <w:top w:val="nil"/>
              <w:left w:val="single" w:sz="4" w:space="0" w:color="auto"/>
              <w:bottom w:val="nil"/>
              <w:right w:val="single" w:sz="4" w:space="0" w:color="auto"/>
            </w:tcBorders>
          </w:tcPr>
          <w:p w14:paraId="5FFA8FE3" w14:textId="77777777" w:rsidR="00F63977" w:rsidRPr="001F224B" w:rsidRDefault="00F63977" w:rsidP="00F63977">
            <w:pPr>
              <w:rPr>
                <w:sz w:val="13"/>
                <w:szCs w:val="13"/>
              </w:rPr>
            </w:pPr>
            <w:r w:rsidRPr="001F224B">
              <w:rPr>
                <w:b/>
                <w:sz w:val="13"/>
                <w:szCs w:val="13"/>
              </w:rPr>
              <w:t>Toplam Kapsamlı Gelir</w:t>
            </w:r>
          </w:p>
        </w:tc>
        <w:tc>
          <w:tcPr>
            <w:tcW w:w="754" w:type="dxa"/>
            <w:tcBorders>
              <w:top w:val="nil"/>
              <w:left w:val="single" w:sz="4" w:space="0" w:color="auto"/>
              <w:bottom w:val="nil"/>
              <w:right w:val="dotted" w:sz="4" w:space="0" w:color="auto"/>
            </w:tcBorders>
            <w:vAlign w:val="bottom"/>
          </w:tcPr>
          <w:p w14:paraId="2A6EE6A9" w14:textId="14504151" w:rsidR="00F63977" w:rsidRPr="001F224B" w:rsidRDefault="00F63977" w:rsidP="00F63977">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7B93AA26" w14:textId="550D55AF"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6AF35BF4" w14:textId="50B52888"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151B8C11" w14:textId="59A39A13"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5CD9155B" w14:textId="6720E4FF" w:rsidR="00F63977" w:rsidRPr="001F224B" w:rsidRDefault="00F63977" w:rsidP="00F63977">
            <w:pPr>
              <w:jc w:val="right"/>
              <w:rPr>
                <w:b/>
                <w:sz w:val="13"/>
                <w:szCs w:val="13"/>
              </w:rPr>
            </w:pPr>
          </w:p>
        </w:tc>
        <w:tc>
          <w:tcPr>
            <w:tcW w:w="710" w:type="dxa"/>
            <w:tcBorders>
              <w:top w:val="nil"/>
              <w:left w:val="dotted" w:sz="4" w:space="0" w:color="auto"/>
              <w:bottom w:val="nil"/>
              <w:right w:val="dotted" w:sz="4" w:space="0" w:color="auto"/>
            </w:tcBorders>
            <w:vAlign w:val="bottom"/>
          </w:tcPr>
          <w:p w14:paraId="0F153235" w14:textId="56D60305" w:rsidR="00F63977" w:rsidRPr="001F224B" w:rsidRDefault="00F63977" w:rsidP="00F63977">
            <w:pPr>
              <w:jc w:val="right"/>
              <w:rPr>
                <w:b/>
                <w:sz w:val="13"/>
                <w:szCs w:val="13"/>
              </w:rPr>
            </w:pPr>
            <w:r w:rsidRPr="001F224B">
              <w:rPr>
                <w:b/>
                <w:sz w:val="13"/>
                <w:szCs w:val="13"/>
              </w:rPr>
              <w:t>-</w:t>
            </w:r>
          </w:p>
        </w:tc>
        <w:tc>
          <w:tcPr>
            <w:tcW w:w="708" w:type="dxa"/>
            <w:tcBorders>
              <w:top w:val="nil"/>
              <w:left w:val="dotted" w:sz="4" w:space="0" w:color="auto"/>
              <w:bottom w:val="nil"/>
              <w:right w:val="dotted" w:sz="4" w:space="0" w:color="auto"/>
            </w:tcBorders>
            <w:vAlign w:val="bottom"/>
          </w:tcPr>
          <w:p w14:paraId="3B33CF2E" w14:textId="5F0BEEB4"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4D9FECD4" w14:textId="62E7AE9F"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0B4D680C" w14:textId="70E980F0" w:rsidR="00F63977" w:rsidRPr="001F224B" w:rsidRDefault="00F63977" w:rsidP="00F63977">
            <w:pPr>
              <w:jc w:val="right"/>
              <w:rPr>
                <w:b/>
                <w:sz w:val="13"/>
                <w:szCs w:val="13"/>
              </w:rPr>
            </w:pPr>
            <w:r w:rsidRPr="001F224B">
              <w:rPr>
                <w:b/>
                <w:sz w:val="13"/>
                <w:szCs w:val="13"/>
              </w:rPr>
              <w:t>(2.243)</w:t>
            </w:r>
          </w:p>
        </w:tc>
        <w:tc>
          <w:tcPr>
            <w:tcW w:w="708" w:type="dxa"/>
            <w:tcBorders>
              <w:top w:val="nil"/>
              <w:left w:val="dotted" w:sz="4" w:space="0" w:color="auto"/>
              <w:bottom w:val="nil"/>
              <w:right w:val="dotted" w:sz="4" w:space="0" w:color="auto"/>
            </w:tcBorders>
            <w:vAlign w:val="bottom"/>
          </w:tcPr>
          <w:p w14:paraId="339D3E78" w14:textId="4B650913" w:rsidR="00F63977" w:rsidRPr="001F224B" w:rsidRDefault="00F63977" w:rsidP="00F63977">
            <w:pPr>
              <w:jc w:val="right"/>
              <w:rPr>
                <w:b/>
                <w:sz w:val="13"/>
                <w:szCs w:val="13"/>
              </w:rPr>
            </w:pPr>
            <w:r w:rsidRPr="001F224B">
              <w:rPr>
                <w:b/>
                <w:sz w:val="13"/>
                <w:szCs w:val="13"/>
              </w:rPr>
              <w:t xml:space="preserve">- </w:t>
            </w:r>
          </w:p>
        </w:tc>
        <w:tc>
          <w:tcPr>
            <w:tcW w:w="778" w:type="dxa"/>
            <w:tcBorders>
              <w:top w:val="nil"/>
              <w:left w:val="dotted" w:sz="4" w:space="0" w:color="auto"/>
              <w:bottom w:val="nil"/>
              <w:right w:val="dotted" w:sz="4" w:space="0" w:color="auto"/>
            </w:tcBorders>
            <w:vAlign w:val="bottom"/>
          </w:tcPr>
          <w:p w14:paraId="32725E95" w14:textId="463C1A72" w:rsidR="00F63977" w:rsidRPr="001F224B" w:rsidRDefault="00F63977" w:rsidP="00F63977">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68A33D90" w14:textId="4EC7A3D2" w:rsidR="00F63977" w:rsidRPr="001F224B" w:rsidRDefault="00F63977" w:rsidP="00F63977">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597DA96F" w14:textId="6C86E4F7" w:rsidR="00F63977" w:rsidRPr="001F224B" w:rsidRDefault="00F63977" w:rsidP="00F63977">
            <w:pPr>
              <w:jc w:val="right"/>
              <w:rPr>
                <w:b/>
                <w:sz w:val="13"/>
                <w:szCs w:val="13"/>
              </w:rPr>
            </w:pPr>
            <w:r w:rsidRPr="001F224B">
              <w:rPr>
                <w:b/>
                <w:sz w:val="13"/>
                <w:szCs w:val="13"/>
              </w:rPr>
              <w:t>2.732.550</w:t>
            </w:r>
          </w:p>
        </w:tc>
        <w:tc>
          <w:tcPr>
            <w:tcW w:w="879" w:type="dxa"/>
            <w:tcBorders>
              <w:top w:val="nil"/>
              <w:left w:val="dotted" w:sz="4" w:space="0" w:color="auto"/>
              <w:bottom w:val="nil"/>
              <w:right w:val="dotted" w:sz="4" w:space="0" w:color="auto"/>
            </w:tcBorders>
          </w:tcPr>
          <w:p w14:paraId="44D9E549" w14:textId="4D3F2948" w:rsidR="00F63977" w:rsidRPr="001F224B" w:rsidRDefault="00F63977" w:rsidP="00F63977">
            <w:pPr>
              <w:jc w:val="right"/>
              <w:rPr>
                <w:b/>
                <w:sz w:val="13"/>
                <w:szCs w:val="13"/>
              </w:rPr>
            </w:pPr>
            <w:r w:rsidRPr="001F224B">
              <w:rPr>
                <w:b/>
                <w:sz w:val="13"/>
                <w:szCs w:val="13"/>
              </w:rPr>
              <w:t>2.730.307</w:t>
            </w:r>
          </w:p>
        </w:tc>
        <w:tc>
          <w:tcPr>
            <w:tcW w:w="591" w:type="dxa"/>
            <w:gridSpan w:val="2"/>
            <w:tcBorders>
              <w:top w:val="nil"/>
              <w:left w:val="dotted" w:sz="4" w:space="0" w:color="auto"/>
              <w:bottom w:val="nil"/>
              <w:right w:val="dotted" w:sz="4" w:space="0" w:color="auto"/>
            </w:tcBorders>
            <w:vAlign w:val="bottom"/>
          </w:tcPr>
          <w:p w14:paraId="763DF2D0" w14:textId="5697B09F"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tcPr>
          <w:p w14:paraId="419918D6" w14:textId="3707E242" w:rsidR="00F63977" w:rsidRPr="001F224B" w:rsidRDefault="00F63977" w:rsidP="00F63977">
            <w:pPr>
              <w:jc w:val="right"/>
              <w:rPr>
                <w:b/>
                <w:sz w:val="13"/>
                <w:szCs w:val="13"/>
              </w:rPr>
            </w:pPr>
            <w:r w:rsidRPr="001F224B">
              <w:rPr>
                <w:b/>
                <w:sz w:val="13"/>
                <w:szCs w:val="13"/>
              </w:rPr>
              <w:t>2.730.307</w:t>
            </w:r>
          </w:p>
        </w:tc>
      </w:tr>
      <w:tr w:rsidR="00F63977" w:rsidRPr="001F224B" w14:paraId="18938C59" w14:textId="77777777" w:rsidTr="008C59FC">
        <w:trPr>
          <w:trHeight w:val="19"/>
        </w:trPr>
        <w:tc>
          <w:tcPr>
            <w:tcW w:w="465" w:type="dxa"/>
            <w:tcBorders>
              <w:top w:val="nil"/>
              <w:left w:val="single" w:sz="4" w:space="0" w:color="auto"/>
              <w:bottom w:val="nil"/>
              <w:right w:val="single" w:sz="4" w:space="0" w:color="auto"/>
            </w:tcBorders>
          </w:tcPr>
          <w:p w14:paraId="169B4D49" w14:textId="77777777" w:rsidR="00F63977" w:rsidRPr="001F224B" w:rsidRDefault="00F63977" w:rsidP="00F63977">
            <w:pPr>
              <w:rPr>
                <w:b/>
                <w:bCs/>
                <w:sz w:val="13"/>
                <w:szCs w:val="13"/>
              </w:rPr>
            </w:pPr>
            <w:r w:rsidRPr="001F224B">
              <w:rPr>
                <w:b/>
                <w:bCs/>
                <w:sz w:val="13"/>
                <w:szCs w:val="13"/>
              </w:rPr>
              <w:t>V.</w:t>
            </w:r>
          </w:p>
        </w:tc>
        <w:tc>
          <w:tcPr>
            <w:tcW w:w="2925" w:type="dxa"/>
            <w:tcBorders>
              <w:top w:val="nil"/>
              <w:left w:val="single" w:sz="4" w:space="0" w:color="auto"/>
              <w:bottom w:val="nil"/>
              <w:right w:val="single" w:sz="4" w:space="0" w:color="auto"/>
            </w:tcBorders>
          </w:tcPr>
          <w:p w14:paraId="5EF0A0BD" w14:textId="77777777" w:rsidR="00F63977" w:rsidRPr="001F224B" w:rsidRDefault="00F63977" w:rsidP="00F63977">
            <w:pPr>
              <w:rPr>
                <w:b/>
                <w:bCs/>
                <w:sz w:val="13"/>
                <w:szCs w:val="13"/>
              </w:rPr>
            </w:pPr>
            <w:r w:rsidRPr="001F224B">
              <w:rPr>
                <w:b/>
                <w:sz w:val="13"/>
                <w:szCs w:val="13"/>
              </w:rPr>
              <w:t>Nakden Gerçekleştirilen Sermaye Artırımı</w:t>
            </w:r>
          </w:p>
        </w:tc>
        <w:tc>
          <w:tcPr>
            <w:tcW w:w="754" w:type="dxa"/>
            <w:tcBorders>
              <w:top w:val="nil"/>
              <w:left w:val="single" w:sz="4" w:space="0" w:color="auto"/>
              <w:bottom w:val="nil"/>
              <w:right w:val="dotted" w:sz="4" w:space="0" w:color="auto"/>
            </w:tcBorders>
            <w:vAlign w:val="bottom"/>
          </w:tcPr>
          <w:p w14:paraId="50536DD7" w14:textId="78591527" w:rsidR="00F63977" w:rsidRPr="001F224B" w:rsidRDefault="00F63977" w:rsidP="00F63977">
            <w:pPr>
              <w:jc w:val="right"/>
              <w:rPr>
                <w:b/>
                <w:sz w:val="13"/>
                <w:szCs w:val="13"/>
              </w:rPr>
            </w:pPr>
            <w:r w:rsidRPr="001F224B">
              <w:rPr>
                <w:b/>
                <w:sz w:val="13"/>
                <w:szCs w:val="13"/>
              </w:rPr>
              <w:t>3.000.000</w:t>
            </w:r>
          </w:p>
        </w:tc>
        <w:tc>
          <w:tcPr>
            <w:tcW w:w="992" w:type="dxa"/>
            <w:tcBorders>
              <w:top w:val="nil"/>
              <w:left w:val="dotted" w:sz="4" w:space="0" w:color="auto"/>
              <w:bottom w:val="nil"/>
              <w:right w:val="dotted" w:sz="4" w:space="0" w:color="auto"/>
            </w:tcBorders>
            <w:vAlign w:val="bottom"/>
          </w:tcPr>
          <w:p w14:paraId="2BA9C2A0" w14:textId="2B4D99A3" w:rsidR="00F63977" w:rsidRPr="001F224B" w:rsidRDefault="00F63977" w:rsidP="00F63977">
            <w:pPr>
              <w:jc w:val="right"/>
              <w:rPr>
                <w:b/>
                <w:sz w:val="13"/>
                <w:szCs w:val="13"/>
              </w:rPr>
            </w:pPr>
            <w:r w:rsidRPr="001F224B">
              <w:rPr>
                <w:b/>
                <w:sz w:val="13"/>
                <w:szCs w:val="13"/>
              </w:rPr>
              <w:t>1.383</w:t>
            </w:r>
          </w:p>
        </w:tc>
        <w:tc>
          <w:tcPr>
            <w:tcW w:w="709" w:type="dxa"/>
            <w:tcBorders>
              <w:top w:val="nil"/>
              <w:left w:val="dotted" w:sz="4" w:space="0" w:color="auto"/>
              <w:bottom w:val="nil"/>
              <w:right w:val="dotted" w:sz="4" w:space="0" w:color="auto"/>
            </w:tcBorders>
            <w:vAlign w:val="bottom"/>
          </w:tcPr>
          <w:p w14:paraId="2A9C2EB8" w14:textId="6CF82571"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44B92455" w14:textId="42405EAD"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0DB3A267" w14:textId="64409CBD"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3F6A14DF" w14:textId="66B6B350"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63AF857A" w14:textId="39B7BFE4"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5FA08AAF" w14:textId="6D0FDFD6"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2CF554F6" w14:textId="65C1F323"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5AC91EBB" w14:textId="07F88274"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70ACE311" w14:textId="241D1403" w:rsidR="00F63977" w:rsidRPr="001F224B" w:rsidRDefault="00F63977" w:rsidP="00F63977">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338FFC09" w14:textId="249886A6" w:rsidR="00F63977" w:rsidRPr="001F224B" w:rsidRDefault="00F63977" w:rsidP="00F63977">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35C4BEA9" w14:textId="5C60C6AE"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tcPr>
          <w:p w14:paraId="57D3279E" w14:textId="76225584" w:rsidR="00F63977" w:rsidRPr="001F224B" w:rsidRDefault="00F63977" w:rsidP="00F63977">
            <w:pPr>
              <w:jc w:val="right"/>
              <w:rPr>
                <w:b/>
                <w:sz w:val="13"/>
                <w:szCs w:val="13"/>
              </w:rPr>
            </w:pPr>
            <w:r w:rsidRPr="001F224B">
              <w:rPr>
                <w:b/>
                <w:sz w:val="13"/>
                <w:szCs w:val="13"/>
              </w:rPr>
              <w:t>3.001.383</w:t>
            </w:r>
          </w:p>
        </w:tc>
        <w:tc>
          <w:tcPr>
            <w:tcW w:w="591" w:type="dxa"/>
            <w:gridSpan w:val="2"/>
            <w:tcBorders>
              <w:top w:val="nil"/>
              <w:left w:val="dotted" w:sz="4" w:space="0" w:color="auto"/>
              <w:bottom w:val="nil"/>
              <w:right w:val="dotted" w:sz="4" w:space="0" w:color="auto"/>
            </w:tcBorders>
            <w:vAlign w:val="bottom"/>
          </w:tcPr>
          <w:p w14:paraId="5AA3CA83" w14:textId="596109B1" w:rsidR="00F63977" w:rsidRPr="001F224B" w:rsidRDefault="00F63977" w:rsidP="00F63977">
            <w:pPr>
              <w:jc w:val="right"/>
              <w:rPr>
                <w:b/>
                <w:sz w:val="13"/>
                <w:szCs w:val="13"/>
              </w:rPr>
            </w:pPr>
            <w:r w:rsidRPr="001F224B">
              <w:rPr>
                <w:b/>
                <w:sz w:val="13"/>
                <w:szCs w:val="13"/>
              </w:rPr>
              <w:t xml:space="preserve">- </w:t>
            </w:r>
          </w:p>
        </w:tc>
        <w:tc>
          <w:tcPr>
            <w:tcW w:w="807" w:type="dxa"/>
            <w:tcBorders>
              <w:top w:val="nil"/>
              <w:left w:val="dotted" w:sz="4" w:space="0" w:color="auto"/>
              <w:bottom w:val="nil"/>
            </w:tcBorders>
          </w:tcPr>
          <w:p w14:paraId="589CF5EE" w14:textId="5AEAAB6D" w:rsidR="00F63977" w:rsidRPr="001F224B" w:rsidRDefault="00F63977" w:rsidP="00F63977">
            <w:pPr>
              <w:jc w:val="right"/>
              <w:rPr>
                <w:b/>
                <w:sz w:val="13"/>
                <w:szCs w:val="13"/>
              </w:rPr>
            </w:pPr>
            <w:r w:rsidRPr="001F224B">
              <w:rPr>
                <w:b/>
                <w:sz w:val="13"/>
                <w:szCs w:val="13"/>
              </w:rPr>
              <w:t>3.001.383</w:t>
            </w:r>
          </w:p>
        </w:tc>
      </w:tr>
      <w:tr w:rsidR="00F63977" w:rsidRPr="001F224B" w14:paraId="47A856CE" w14:textId="77777777" w:rsidTr="00907C70">
        <w:trPr>
          <w:trHeight w:val="19"/>
        </w:trPr>
        <w:tc>
          <w:tcPr>
            <w:tcW w:w="465" w:type="dxa"/>
            <w:tcBorders>
              <w:top w:val="nil"/>
              <w:left w:val="single" w:sz="4" w:space="0" w:color="auto"/>
              <w:bottom w:val="nil"/>
              <w:right w:val="single" w:sz="4" w:space="0" w:color="auto"/>
            </w:tcBorders>
          </w:tcPr>
          <w:p w14:paraId="6F7BE07C" w14:textId="77777777" w:rsidR="00F63977" w:rsidRPr="001F224B" w:rsidRDefault="00F63977" w:rsidP="00F63977">
            <w:pPr>
              <w:rPr>
                <w:b/>
                <w:bCs/>
                <w:sz w:val="13"/>
                <w:szCs w:val="13"/>
              </w:rPr>
            </w:pPr>
            <w:r w:rsidRPr="001F224B">
              <w:rPr>
                <w:b/>
                <w:bCs/>
                <w:sz w:val="13"/>
                <w:szCs w:val="13"/>
              </w:rPr>
              <w:t>VI.</w:t>
            </w:r>
          </w:p>
        </w:tc>
        <w:tc>
          <w:tcPr>
            <w:tcW w:w="2925" w:type="dxa"/>
            <w:tcBorders>
              <w:top w:val="nil"/>
              <w:left w:val="single" w:sz="4" w:space="0" w:color="auto"/>
              <w:bottom w:val="nil"/>
              <w:right w:val="single" w:sz="4" w:space="0" w:color="auto"/>
            </w:tcBorders>
          </w:tcPr>
          <w:p w14:paraId="7E5FF10D" w14:textId="77777777" w:rsidR="00F63977" w:rsidRPr="001F224B" w:rsidRDefault="00F63977" w:rsidP="00F63977">
            <w:pPr>
              <w:rPr>
                <w:b/>
                <w:bCs/>
                <w:sz w:val="13"/>
                <w:szCs w:val="13"/>
              </w:rPr>
            </w:pPr>
            <w:r w:rsidRPr="001F224B">
              <w:rPr>
                <w:b/>
                <w:sz w:val="13"/>
                <w:szCs w:val="13"/>
              </w:rPr>
              <w:t>İç Kaynaklardan Gerçekleştirilen Sermaye Artırımı</w:t>
            </w:r>
          </w:p>
        </w:tc>
        <w:tc>
          <w:tcPr>
            <w:tcW w:w="754" w:type="dxa"/>
            <w:tcBorders>
              <w:top w:val="nil"/>
              <w:left w:val="single" w:sz="4" w:space="0" w:color="auto"/>
              <w:bottom w:val="nil"/>
              <w:right w:val="dotted" w:sz="4" w:space="0" w:color="auto"/>
            </w:tcBorders>
            <w:vAlign w:val="bottom"/>
          </w:tcPr>
          <w:p w14:paraId="41AF713D" w14:textId="03DD1195" w:rsidR="00F63977" w:rsidRPr="001F224B" w:rsidRDefault="00F63977" w:rsidP="00F63977">
            <w:pPr>
              <w:jc w:val="right"/>
              <w:rPr>
                <w:b/>
                <w:sz w:val="13"/>
                <w:szCs w:val="13"/>
              </w:rPr>
            </w:pPr>
            <w:r w:rsidRPr="001F224B">
              <w:rPr>
                <w:b/>
                <w:sz w:val="13"/>
                <w:szCs w:val="13"/>
              </w:rPr>
              <w:t xml:space="preserve">- </w:t>
            </w:r>
          </w:p>
        </w:tc>
        <w:tc>
          <w:tcPr>
            <w:tcW w:w="992" w:type="dxa"/>
            <w:tcBorders>
              <w:top w:val="nil"/>
              <w:left w:val="dotted" w:sz="4" w:space="0" w:color="auto"/>
              <w:bottom w:val="nil"/>
              <w:right w:val="dotted" w:sz="4" w:space="0" w:color="auto"/>
            </w:tcBorders>
            <w:vAlign w:val="bottom"/>
          </w:tcPr>
          <w:p w14:paraId="02981232" w14:textId="1973D40C"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1EFEC442" w14:textId="4644066D"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2EBBE562" w14:textId="2668F04B"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795B9D11" w14:textId="36423A83"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4AA5856B" w14:textId="0BE9930D"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AFC379B" w14:textId="16B0DB49"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48EE1810" w14:textId="3F1594D3"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711E0716" w14:textId="7366E0CF"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2802B8B3" w14:textId="304905D3"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0B747F7A" w14:textId="1E3A79AF" w:rsidR="00F63977" w:rsidRPr="001F224B" w:rsidRDefault="00F63977" w:rsidP="00F63977">
            <w:pPr>
              <w:jc w:val="right"/>
              <w:rPr>
                <w:b/>
                <w:sz w:val="13"/>
                <w:szCs w:val="13"/>
              </w:rPr>
            </w:pPr>
            <w:r w:rsidRPr="001F224B">
              <w:rPr>
                <w:b/>
                <w:sz w:val="13"/>
                <w:szCs w:val="13"/>
              </w:rPr>
              <w:t>-</w:t>
            </w:r>
          </w:p>
        </w:tc>
        <w:tc>
          <w:tcPr>
            <w:tcW w:w="923" w:type="dxa"/>
            <w:tcBorders>
              <w:top w:val="nil"/>
              <w:left w:val="dotted" w:sz="4" w:space="0" w:color="auto"/>
              <w:bottom w:val="nil"/>
              <w:right w:val="dotted" w:sz="4" w:space="0" w:color="auto"/>
            </w:tcBorders>
            <w:vAlign w:val="bottom"/>
          </w:tcPr>
          <w:p w14:paraId="0F4B13A3" w14:textId="710E76D1" w:rsidR="00F63977" w:rsidRPr="001F224B" w:rsidRDefault="00F63977" w:rsidP="00F63977">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4E3CFD0D" w14:textId="0A7CABFB"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14C4B557" w14:textId="4DD92A4D" w:rsidR="00F63977" w:rsidRPr="001F224B" w:rsidRDefault="00F63977" w:rsidP="00F63977">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596D875F" w14:textId="5C07252E"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59EF2D43" w14:textId="0520E6DC" w:rsidR="00F63977" w:rsidRPr="001F224B" w:rsidRDefault="00F63977" w:rsidP="00F63977">
            <w:pPr>
              <w:jc w:val="right"/>
              <w:rPr>
                <w:b/>
                <w:sz w:val="13"/>
                <w:szCs w:val="13"/>
              </w:rPr>
            </w:pPr>
            <w:r w:rsidRPr="001F224B">
              <w:rPr>
                <w:b/>
                <w:sz w:val="13"/>
                <w:szCs w:val="13"/>
              </w:rPr>
              <w:t xml:space="preserve"> - </w:t>
            </w:r>
          </w:p>
        </w:tc>
      </w:tr>
      <w:tr w:rsidR="00F63977" w:rsidRPr="001F224B" w14:paraId="2F71152D" w14:textId="77777777" w:rsidTr="00907C70">
        <w:trPr>
          <w:trHeight w:val="19"/>
        </w:trPr>
        <w:tc>
          <w:tcPr>
            <w:tcW w:w="465" w:type="dxa"/>
            <w:tcBorders>
              <w:top w:val="nil"/>
              <w:left w:val="single" w:sz="4" w:space="0" w:color="auto"/>
              <w:bottom w:val="nil"/>
              <w:right w:val="single" w:sz="4" w:space="0" w:color="auto"/>
            </w:tcBorders>
          </w:tcPr>
          <w:p w14:paraId="2016F328" w14:textId="77777777" w:rsidR="00F63977" w:rsidRPr="001F224B" w:rsidRDefault="00F63977" w:rsidP="00F63977">
            <w:pPr>
              <w:rPr>
                <w:b/>
                <w:bCs/>
                <w:sz w:val="13"/>
                <w:szCs w:val="13"/>
              </w:rPr>
            </w:pPr>
            <w:r w:rsidRPr="001F224B">
              <w:rPr>
                <w:b/>
                <w:bCs/>
                <w:sz w:val="13"/>
                <w:szCs w:val="13"/>
              </w:rPr>
              <w:t>VII.</w:t>
            </w:r>
          </w:p>
        </w:tc>
        <w:tc>
          <w:tcPr>
            <w:tcW w:w="2925" w:type="dxa"/>
            <w:tcBorders>
              <w:top w:val="nil"/>
              <w:left w:val="single" w:sz="4" w:space="0" w:color="auto"/>
              <w:bottom w:val="nil"/>
              <w:right w:val="single" w:sz="4" w:space="0" w:color="auto"/>
            </w:tcBorders>
          </w:tcPr>
          <w:p w14:paraId="2B7B0299" w14:textId="77777777" w:rsidR="00F63977" w:rsidRPr="001F224B" w:rsidRDefault="00F63977" w:rsidP="00F63977">
            <w:pPr>
              <w:rPr>
                <w:b/>
                <w:bCs/>
                <w:sz w:val="13"/>
                <w:szCs w:val="13"/>
              </w:rPr>
            </w:pPr>
            <w:r w:rsidRPr="001F224B">
              <w:rPr>
                <w:b/>
                <w:sz w:val="13"/>
                <w:szCs w:val="13"/>
              </w:rPr>
              <w:t>Ödenmiş Sermaye Enflasyon Düzeltme Farkı</w:t>
            </w:r>
          </w:p>
        </w:tc>
        <w:tc>
          <w:tcPr>
            <w:tcW w:w="754" w:type="dxa"/>
            <w:tcBorders>
              <w:top w:val="nil"/>
              <w:left w:val="single" w:sz="4" w:space="0" w:color="auto"/>
              <w:bottom w:val="nil"/>
              <w:right w:val="dotted" w:sz="4" w:space="0" w:color="auto"/>
            </w:tcBorders>
            <w:vAlign w:val="bottom"/>
          </w:tcPr>
          <w:p w14:paraId="291F82D9" w14:textId="2DE88205" w:rsidR="00F63977" w:rsidRPr="001F224B" w:rsidRDefault="00F63977" w:rsidP="00F63977">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38EB7B73" w14:textId="230A4016"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3CEBC298" w14:textId="2944B485"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3B951690" w14:textId="3BD1F69F"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618F67E1" w14:textId="6EE495DF"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55910D36" w14:textId="5BD28856"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38B4AEBA" w14:textId="4606B2F6"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069FF4CF" w14:textId="197E0E78"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417F5781" w14:textId="0C49D503"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D4CD371" w14:textId="77282770"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17587F41" w14:textId="2BB7B260" w:rsidR="00F63977" w:rsidRPr="001F224B" w:rsidRDefault="00F63977" w:rsidP="00F63977">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391694FD" w14:textId="3AD117BC" w:rsidR="00F63977" w:rsidRPr="001F224B" w:rsidRDefault="00F63977" w:rsidP="00F63977">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325E867A" w14:textId="461A20D8"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6F59C49E" w14:textId="627DF3F4" w:rsidR="00F63977" w:rsidRPr="001F224B" w:rsidRDefault="00F63977" w:rsidP="00F63977">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61D8DA7B" w14:textId="72EDECC3"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57428EE7" w14:textId="356CBE2D" w:rsidR="00F63977" w:rsidRPr="001F224B" w:rsidRDefault="00F63977" w:rsidP="00F63977">
            <w:pPr>
              <w:jc w:val="right"/>
              <w:rPr>
                <w:b/>
                <w:sz w:val="13"/>
                <w:szCs w:val="13"/>
              </w:rPr>
            </w:pPr>
            <w:r w:rsidRPr="001F224B">
              <w:rPr>
                <w:b/>
                <w:sz w:val="13"/>
                <w:szCs w:val="13"/>
              </w:rPr>
              <w:t xml:space="preserve"> - </w:t>
            </w:r>
          </w:p>
        </w:tc>
      </w:tr>
      <w:tr w:rsidR="00F63977" w:rsidRPr="001F224B" w14:paraId="291FA151" w14:textId="77777777" w:rsidTr="00907C70">
        <w:trPr>
          <w:trHeight w:val="19"/>
        </w:trPr>
        <w:tc>
          <w:tcPr>
            <w:tcW w:w="465" w:type="dxa"/>
            <w:tcBorders>
              <w:top w:val="nil"/>
              <w:left w:val="single" w:sz="4" w:space="0" w:color="auto"/>
              <w:bottom w:val="nil"/>
              <w:right w:val="single" w:sz="4" w:space="0" w:color="auto"/>
            </w:tcBorders>
          </w:tcPr>
          <w:p w14:paraId="20463059" w14:textId="77777777" w:rsidR="00F63977" w:rsidRPr="001F224B" w:rsidRDefault="00F63977" w:rsidP="00F63977">
            <w:pPr>
              <w:rPr>
                <w:b/>
                <w:bCs/>
                <w:sz w:val="13"/>
                <w:szCs w:val="13"/>
              </w:rPr>
            </w:pPr>
            <w:r w:rsidRPr="001F224B">
              <w:rPr>
                <w:b/>
                <w:bCs/>
                <w:sz w:val="13"/>
                <w:szCs w:val="13"/>
              </w:rPr>
              <w:t>VIII</w:t>
            </w:r>
          </w:p>
        </w:tc>
        <w:tc>
          <w:tcPr>
            <w:tcW w:w="2925" w:type="dxa"/>
            <w:tcBorders>
              <w:top w:val="nil"/>
              <w:left w:val="single" w:sz="4" w:space="0" w:color="auto"/>
              <w:bottom w:val="nil"/>
              <w:right w:val="single" w:sz="4" w:space="0" w:color="auto"/>
            </w:tcBorders>
          </w:tcPr>
          <w:p w14:paraId="3FB9875F" w14:textId="77777777" w:rsidR="00F63977" w:rsidRPr="001F224B" w:rsidRDefault="00F63977" w:rsidP="00F63977">
            <w:pPr>
              <w:rPr>
                <w:b/>
                <w:bCs/>
                <w:sz w:val="13"/>
                <w:szCs w:val="13"/>
              </w:rPr>
            </w:pPr>
            <w:r w:rsidRPr="001F224B">
              <w:rPr>
                <w:b/>
                <w:sz w:val="13"/>
                <w:szCs w:val="13"/>
              </w:rPr>
              <w:t xml:space="preserve">Hisse Senedine Dönüştürülebilir Tahviller </w:t>
            </w:r>
          </w:p>
        </w:tc>
        <w:tc>
          <w:tcPr>
            <w:tcW w:w="754" w:type="dxa"/>
            <w:tcBorders>
              <w:top w:val="nil"/>
              <w:left w:val="single" w:sz="4" w:space="0" w:color="auto"/>
              <w:bottom w:val="nil"/>
              <w:right w:val="dotted" w:sz="4" w:space="0" w:color="auto"/>
            </w:tcBorders>
            <w:vAlign w:val="bottom"/>
          </w:tcPr>
          <w:p w14:paraId="4B8B1476" w14:textId="5494DE30" w:rsidR="00F63977" w:rsidRPr="001F224B" w:rsidRDefault="00F63977" w:rsidP="00F63977">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319CE19D" w14:textId="60A6C17C"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6A880957" w14:textId="21C7ED91"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7FDB4F7B" w14:textId="06872D16"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1B850BB6" w14:textId="4C832387"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5A1EF97E" w14:textId="60B0667F"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71562F56" w14:textId="71A1D3FD"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1262EAE9" w14:textId="27BD6752"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77DA9913" w14:textId="0D4B49EB"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182F6318" w14:textId="147807D3"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6CF9467D" w14:textId="7A270579" w:rsidR="00F63977" w:rsidRPr="001F224B" w:rsidRDefault="00F63977" w:rsidP="00F63977">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32122126" w14:textId="038942B0" w:rsidR="00F63977" w:rsidRPr="001F224B" w:rsidRDefault="00F63977" w:rsidP="00F63977">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7C8E6C78" w14:textId="1E941936"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7EE4243C" w14:textId="075D2BD1" w:rsidR="00F63977" w:rsidRPr="001F224B" w:rsidRDefault="00F63977" w:rsidP="00F63977">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114F20B0" w14:textId="29B7E9D7"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23A5C267" w14:textId="08732B42" w:rsidR="00F63977" w:rsidRPr="001F224B" w:rsidRDefault="00F63977" w:rsidP="00F63977">
            <w:pPr>
              <w:jc w:val="right"/>
              <w:rPr>
                <w:b/>
                <w:sz w:val="13"/>
                <w:szCs w:val="13"/>
              </w:rPr>
            </w:pPr>
            <w:r w:rsidRPr="001F224B">
              <w:rPr>
                <w:b/>
                <w:sz w:val="13"/>
                <w:szCs w:val="13"/>
              </w:rPr>
              <w:t xml:space="preserve"> - </w:t>
            </w:r>
          </w:p>
        </w:tc>
      </w:tr>
      <w:tr w:rsidR="00F63977" w:rsidRPr="001F224B" w14:paraId="3CA73683" w14:textId="77777777" w:rsidTr="00907C70">
        <w:trPr>
          <w:trHeight w:val="19"/>
        </w:trPr>
        <w:tc>
          <w:tcPr>
            <w:tcW w:w="465" w:type="dxa"/>
            <w:tcBorders>
              <w:top w:val="nil"/>
              <w:left w:val="single" w:sz="4" w:space="0" w:color="auto"/>
              <w:bottom w:val="nil"/>
              <w:right w:val="single" w:sz="4" w:space="0" w:color="auto"/>
            </w:tcBorders>
          </w:tcPr>
          <w:p w14:paraId="3D7C673C" w14:textId="77777777" w:rsidR="00F63977" w:rsidRPr="001F224B" w:rsidRDefault="00F63977" w:rsidP="00F63977">
            <w:pPr>
              <w:rPr>
                <w:b/>
                <w:bCs/>
                <w:sz w:val="13"/>
                <w:szCs w:val="13"/>
              </w:rPr>
            </w:pPr>
            <w:r w:rsidRPr="001F224B">
              <w:rPr>
                <w:b/>
                <w:bCs/>
                <w:sz w:val="13"/>
                <w:szCs w:val="13"/>
              </w:rPr>
              <w:t>IX.</w:t>
            </w:r>
          </w:p>
        </w:tc>
        <w:tc>
          <w:tcPr>
            <w:tcW w:w="2925" w:type="dxa"/>
            <w:tcBorders>
              <w:top w:val="nil"/>
              <w:left w:val="single" w:sz="4" w:space="0" w:color="auto"/>
              <w:bottom w:val="nil"/>
              <w:right w:val="single" w:sz="4" w:space="0" w:color="auto"/>
            </w:tcBorders>
          </w:tcPr>
          <w:p w14:paraId="68913539" w14:textId="77777777" w:rsidR="00F63977" w:rsidRPr="001F224B" w:rsidRDefault="00F63977" w:rsidP="00F63977">
            <w:pPr>
              <w:rPr>
                <w:b/>
                <w:bCs/>
                <w:sz w:val="13"/>
                <w:szCs w:val="13"/>
              </w:rPr>
            </w:pPr>
            <w:r w:rsidRPr="001F224B">
              <w:rPr>
                <w:b/>
                <w:sz w:val="13"/>
                <w:szCs w:val="13"/>
              </w:rPr>
              <w:t>Sermaye Benzeri Borçlanma Araçları</w:t>
            </w:r>
          </w:p>
        </w:tc>
        <w:tc>
          <w:tcPr>
            <w:tcW w:w="754" w:type="dxa"/>
            <w:tcBorders>
              <w:top w:val="nil"/>
              <w:left w:val="single" w:sz="4" w:space="0" w:color="auto"/>
              <w:bottom w:val="nil"/>
              <w:right w:val="dotted" w:sz="4" w:space="0" w:color="auto"/>
            </w:tcBorders>
            <w:vAlign w:val="bottom"/>
          </w:tcPr>
          <w:p w14:paraId="25B3B00A" w14:textId="08E08939" w:rsidR="00F63977" w:rsidRPr="001F224B" w:rsidRDefault="00F63977" w:rsidP="00F63977">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79752B6C" w14:textId="0FEB372B"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1F0FCC7E" w14:textId="7A394054"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3C24B3CC" w14:textId="37282DD7"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67127186" w14:textId="35B544BB"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499A0868" w14:textId="45A698F6"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354158BF" w14:textId="752B00B7"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6F65E7F" w14:textId="3303B0F7"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5493F013" w14:textId="78819B9D"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A6DDCBF" w14:textId="56BEC6A9"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73BA6F0A" w14:textId="52402B75" w:rsidR="00F63977" w:rsidRPr="001F224B" w:rsidRDefault="00F63977" w:rsidP="00F63977">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5242C2CD" w14:textId="01F59174" w:rsidR="00F63977" w:rsidRPr="001F224B" w:rsidRDefault="00F63977" w:rsidP="00F63977">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6638092A" w14:textId="713A0DFF"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0EC4702B" w14:textId="0B0487EC" w:rsidR="00F63977" w:rsidRPr="001F224B" w:rsidRDefault="00F63977" w:rsidP="00F63977">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210FE848" w14:textId="58101558"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7A4ED0A5" w14:textId="02B65ABE" w:rsidR="00F63977" w:rsidRPr="001F224B" w:rsidRDefault="00F63977" w:rsidP="00F63977">
            <w:pPr>
              <w:jc w:val="right"/>
              <w:rPr>
                <w:b/>
                <w:sz w:val="13"/>
                <w:szCs w:val="13"/>
              </w:rPr>
            </w:pPr>
            <w:r w:rsidRPr="001F224B">
              <w:rPr>
                <w:b/>
                <w:sz w:val="13"/>
                <w:szCs w:val="13"/>
              </w:rPr>
              <w:t xml:space="preserve"> - </w:t>
            </w:r>
          </w:p>
        </w:tc>
      </w:tr>
      <w:tr w:rsidR="00F63977" w:rsidRPr="001F224B" w14:paraId="76055676" w14:textId="77777777" w:rsidTr="008C59FC">
        <w:trPr>
          <w:trHeight w:val="19"/>
        </w:trPr>
        <w:tc>
          <w:tcPr>
            <w:tcW w:w="465" w:type="dxa"/>
            <w:tcBorders>
              <w:top w:val="nil"/>
              <w:left w:val="single" w:sz="4" w:space="0" w:color="auto"/>
              <w:bottom w:val="nil"/>
              <w:right w:val="single" w:sz="4" w:space="0" w:color="auto"/>
            </w:tcBorders>
          </w:tcPr>
          <w:p w14:paraId="75E32112" w14:textId="77777777" w:rsidR="00F63977" w:rsidRPr="001F224B" w:rsidRDefault="00F63977" w:rsidP="00F63977">
            <w:pPr>
              <w:rPr>
                <w:b/>
                <w:bCs/>
                <w:sz w:val="13"/>
                <w:szCs w:val="13"/>
              </w:rPr>
            </w:pPr>
            <w:r w:rsidRPr="001F224B">
              <w:rPr>
                <w:b/>
                <w:bCs/>
                <w:sz w:val="13"/>
                <w:szCs w:val="13"/>
              </w:rPr>
              <w:t>X.</w:t>
            </w:r>
          </w:p>
        </w:tc>
        <w:tc>
          <w:tcPr>
            <w:tcW w:w="2925" w:type="dxa"/>
            <w:tcBorders>
              <w:top w:val="nil"/>
              <w:left w:val="single" w:sz="4" w:space="0" w:color="auto"/>
              <w:bottom w:val="nil"/>
              <w:right w:val="single" w:sz="4" w:space="0" w:color="auto"/>
            </w:tcBorders>
          </w:tcPr>
          <w:p w14:paraId="25789572" w14:textId="77777777" w:rsidR="00F63977" w:rsidRPr="001F224B" w:rsidRDefault="00F63977" w:rsidP="00F63977">
            <w:pPr>
              <w:rPr>
                <w:b/>
                <w:bCs/>
                <w:sz w:val="13"/>
                <w:szCs w:val="13"/>
              </w:rPr>
            </w:pPr>
            <w:r w:rsidRPr="001F224B">
              <w:rPr>
                <w:b/>
                <w:sz w:val="13"/>
                <w:szCs w:val="13"/>
              </w:rPr>
              <w:t>Diğer Değişiklikler Nedeniyle Artış /Azalış</w:t>
            </w:r>
          </w:p>
        </w:tc>
        <w:tc>
          <w:tcPr>
            <w:tcW w:w="754" w:type="dxa"/>
            <w:tcBorders>
              <w:top w:val="nil"/>
              <w:left w:val="single" w:sz="4" w:space="0" w:color="auto"/>
              <w:bottom w:val="nil"/>
              <w:right w:val="dotted" w:sz="4" w:space="0" w:color="auto"/>
            </w:tcBorders>
            <w:vAlign w:val="bottom"/>
          </w:tcPr>
          <w:p w14:paraId="1E09EB17" w14:textId="7D0228C2" w:rsidR="00F63977" w:rsidRPr="001F224B" w:rsidRDefault="00F63977" w:rsidP="00F63977">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7D8C9F6D" w14:textId="4CD0C857"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16CD2325" w14:textId="799DE59F"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56C9F05F" w14:textId="5913B342"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1C17539E" w14:textId="5E5A1239"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45EF857A" w14:textId="206DE649"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10E07230" w14:textId="28AB2E75"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0D895F40" w14:textId="14FF0855"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6A17DC7C" w14:textId="75C75C1E"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307270C4" w14:textId="5468C566"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tcPr>
          <w:p w14:paraId="315CE260" w14:textId="3BB42F09" w:rsidR="00F63977" w:rsidRPr="001F224B" w:rsidRDefault="00F63977" w:rsidP="00F63977">
            <w:pPr>
              <w:jc w:val="right"/>
              <w:rPr>
                <w:b/>
                <w:sz w:val="13"/>
                <w:szCs w:val="13"/>
              </w:rPr>
            </w:pPr>
            <w:r w:rsidRPr="001F224B">
              <w:rPr>
                <w:b/>
                <w:sz w:val="13"/>
                <w:szCs w:val="13"/>
              </w:rPr>
              <w:t>11</w:t>
            </w:r>
          </w:p>
        </w:tc>
        <w:tc>
          <w:tcPr>
            <w:tcW w:w="923" w:type="dxa"/>
            <w:tcBorders>
              <w:top w:val="nil"/>
              <w:left w:val="dotted" w:sz="4" w:space="0" w:color="auto"/>
              <w:bottom w:val="nil"/>
              <w:right w:val="dotted" w:sz="4" w:space="0" w:color="auto"/>
            </w:tcBorders>
            <w:vAlign w:val="bottom"/>
          </w:tcPr>
          <w:p w14:paraId="5365482D" w14:textId="049B1EF7" w:rsidR="00F63977" w:rsidRPr="001F224B" w:rsidRDefault="00F63977" w:rsidP="00F63977">
            <w:pPr>
              <w:jc w:val="right"/>
              <w:rPr>
                <w:b/>
                <w:sz w:val="13"/>
                <w:szCs w:val="13"/>
              </w:rPr>
            </w:pPr>
            <w:r w:rsidRPr="001F224B">
              <w:rPr>
                <w:b/>
                <w:sz w:val="13"/>
                <w:szCs w:val="13"/>
              </w:rPr>
              <w:t xml:space="preserve">256 </w:t>
            </w:r>
          </w:p>
        </w:tc>
        <w:tc>
          <w:tcPr>
            <w:tcW w:w="822" w:type="dxa"/>
            <w:tcBorders>
              <w:top w:val="nil"/>
              <w:left w:val="dotted" w:sz="4" w:space="0" w:color="auto"/>
              <w:bottom w:val="nil"/>
              <w:right w:val="dotted" w:sz="4" w:space="0" w:color="auto"/>
            </w:tcBorders>
            <w:vAlign w:val="bottom"/>
          </w:tcPr>
          <w:p w14:paraId="6F8ED53D" w14:textId="63FF37C0"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55977EC5" w14:textId="202C9545" w:rsidR="00F63977" w:rsidRPr="001F224B" w:rsidRDefault="00F63977" w:rsidP="00F63977">
            <w:pPr>
              <w:jc w:val="right"/>
              <w:rPr>
                <w:b/>
                <w:sz w:val="13"/>
                <w:szCs w:val="13"/>
              </w:rPr>
            </w:pPr>
            <w:r w:rsidRPr="001F224B">
              <w:rPr>
                <w:b/>
                <w:sz w:val="13"/>
                <w:szCs w:val="13"/>
              </w:rPr>
              <w:t xml:space="preserve">267 </w:t>
            </w:r>
          </w:p>
        </w:tc>
        <w:tc>
          <w:tcPr>
            <w:tcW w:w="591" w:type="dxa"/>
            <w:gridSpan w:val="2"/>
            <w:tcBorders>
              <w:top w:val="nil"/>
              <w:left w:val="dotted" w:sz="4" w:space="0" w:color="auto"/>
              <w:bottom w:val="nil"/>
              <w:right w:val="dotted" w:sz="4" w:space="0" w:color="auto"/>
            </w:tcBorders>
            <w:vAlign w:val="bottom"/>
          </w:tcPr>
          <w:p w14:paraId="2FE71DEA" w14:textId="37CA307A"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50736563" w14:textId="7678CDC1" w:rsidR="00F63977" w:rsidRPr="001F224B" w:rsidRDefault="00F63977" w:rsidP="00F63977">
            <w:pPr>
              <w:jc w:val="right"/>
              <w:rPr>
                <w:b/>
                <w:sz w:val="13"/>
                <w:szCs w:val="13"/>
              </w:rPr>
            </w:pPr>
            <w:r w:rsidRPr="001F224B">
              <w:rPr>
                <w:b/>
                <w:sz w:val="13"/>
                <w:szCs w:val="13"/>
              </w:rPr>
              <w:t xml:space="preserve">267 </w:t>
            </w:r>
          </w:p>
        </w:tc>
      </w:tr>
      <w:tr w:rsidR="00F63977" w:rsidRPr="001F224B" w14:paraId="246F33AB" w14:textId="77777777" w:rsidTr="008C59FC">
        <w:trPr>
          <w:trHeight w:val="19"/>
        </w:trPr>
        <w:tc>
          <w:tcPr>
            <w:tcW w:w="465" w:type="dxa"/>
            <w:tcBorders>
              <w:top w:val="nil"/>
              <w:left w:val="single" w:sz="4" w:space="0" w:color="auto"/>
              <w:bottom w:val="nil"/>
              <w:right w:val="single" w:sz="4" w:space="0" w:color="auto"/>
            </w:tcBorders>
          </w:tcPr>
          <w:p w14:paraId="45D2E25B" w14:textId="77777777" w:rsidR="00F63977" w:rsidRPr="001F224B" w:rsidRDefault="00F63977" w:rsidP="00F63977">
            <w:pPr>
              <w:rPr>
                <w:b/>
                <w:bCs/>
                <w:sz w:val="13"/>
                <w:szCs w:val="13"/>
              </w:rPr>
            </w:pPr>
            <w:r w:rsidRPr="001F224B">
              <w:rPr>
                <w:b/>
                <w:bCs/>
                <w:sz w:val="13"/>
                <w:szCs w:val="13"/>
              </w:rPr>
              <w:t>XI.</w:t>
            </w:r>
          </w:p>
        </w:tc>
        <w:tc>
          <w:tcPr>
            <w:tcW w:w="2925" w:type="dxa"/>
            <w:tcBorders>
              <w:top w:val="nil"/>
              <w:left w:val="single" w:sz="4" w:space="0" w:color="auto"/>
              <w:bottom w:val="nil"/>
              <w:right w:val="single" w:sz="4" w:space="0" w:color="auto"/>
            </w:tcBorders>
          </w:tcPr>
          <w:p w14:paraId="46428FB4" w14:textId="77777777" w:rsidR="00F63977" w:rsidRPr="001F224B" w:rsidRDefault="00F63977" w:rsidP="00F63977">
            <w:pPr>
              <w:rPr>
                <w:b/>
                <w:bCs/>
                <w:sz w:val="13"/>
                <w:szCs w:val="13"/>
              </w:rPr>
            </w:pPr>
            <w:r w:rsidRPr="001F224B">
              <w:rPr>
                <w:b/>
                <w:sz w:val="13"/>
                <w:szCs w:val="13"/>
              </w:rPr>
              <w:t>Kar Dağıtımı</w:t>
            </w:r>
          </w:p>
        </w:tc>
        <w:tc>
          <w:tcPr>
            <w:tcW w:w="754" w:type="dxa"/>
            <w:tcBorders>
              <w:top w:val="nil"/>
              <w:left w:val="single" w:sz="4" w:space="0" w:color="auto"/>
              <w:bottom w:val="nil"/>
              <w:right w:val="dotted" w:sz="4" w:space="0" w:color="auto"/>
            </w:tcBorders>
            <w:vAlign w:val="bottom"/>
          </w:tcPr>
          <w:p w14:paraId="028FD3A5" w14:textId="593D29CB" w:rsidR="00F63977" w:rsidRPr="001F224B" w:rsidRDefault="00F63977" w:rsidP="00F63977">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62B71FF4" w14:textId="36692265"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651CAA2" w14:textId="5192C2FB" w:rsidR="00F63977" w:rsidRPr="001F224B" w:rsidRDefault="00F63977" w:rsidP="00F63977">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2AD75E0D" w14:textId="1F1F323B" w:rsidR="00F63977" w:rsidRPr="001F224B" w:rsidRDefault="00F63977" w:rsidP="00F63977">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233FF137" w14:textId="6CE3BDEA" w:rsidR="00F63977" w:rsidRPr="001F224B" w:rsidRDefault="00F63977" w:rsidP="00F63977">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6715924F" w14:textId="3F0B2229"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19ADDE8" w14:textId="5AE55B96" w:rsidR="00F63977" w:rsidRPr="001F224B" w:rsidRDefault="00F63977" w:rsidP="00F63977">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6D3FD4C3" w14:textId="4D17C0A3" w:rsidR="00F63977" w:rsidRPr="001F224B" w:rsidRDefault="00F63977" w:rsidP="00F63977">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44D2219E" w14:textId="4FFF7BF7" w:rsidR="00F63977" w:rsidRPr="001F224B" w:rsidRDefault="00F63977" w:rsidP="00F63977">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C609013" w14:textId="16494525" w:rsidR="00F63977" w:rsidRPr="001F224B" w:rsidRDefault="00F63977" w:rsidP="00F63977">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tcPr>
          <w:p w14:paraId="2F841566" w14:textId="38B63975" w:rsidR="00F63977" w:rsidRPr="001F224B" w:rsidRDefault="00F63977" w:rsidP="00F63977">
            <w:pPr>
              <w:jc w:val="right"/>
              <w:rPr>
                <w:b/>
                <w:sz w:val="13"/>
                <w:szCs w:val="13"/>
              </w:rPr>
            </w:pPr>
            <w:r w:rsidRPr="001F224B">
              <w:rPr>
                <w:b/>
                <w:sz w:val="13"/>
                <w:szCs w:val="13"/>
              </w:rPr>
              <w:t>4.043.213</w:t>
            </w:r>
          </w:p>
        </w:tc>
        <w:tc>
          <w:tcPr>
            <w:tcW w:w="923" w:type="dxa"/>
            <w:tcBorders>
              <w:top w:val="nil"/>
              <w:left w:val="dotted" w:sz="4" w:space="0" w:color="auto"/>
              <w:bottom w:val="nil"/>
              <w:right w:val="dotted" w:sz="4" w:space="0" w:color="auto"/>
            </w:tcBorders>
          </w:tcPr>
          <w:p w14:paraId="7935C47D" w14:textId="0CEBA740" w:rsidR="00F63977" w:rsidRPr="001F224B" w:rsidRDefault="00F63977" w:rsidP="00F63977">
            <w:pPr>
              <w:jc w:val="right"/>
              <w:rPr>
                <w:b/>
                <w:sz w:val="13"/>
                <w:szCs w:val="13"/>
              </w:rPr>
            </w:pPr>
            <w:r w:rsidRPr="001F224B">
              <w:rPr>
                <w:b/>
                <w:sz w:val="13"/>
                <w:szCs w:val="13"/>
              </w:rPr>
              <w:t>(4.043.213)</w:t>
            </w:r>
          </w:p>
        </w:tc>
        <w:tc>
          <w:tcPr>
            <w:tcW w:w="822" w:type="dxa"/>
            <w:tcBorders>
              <w:top w:val="nil"/>
              <w:left w:val="dotted" w:sz="4" w:space="0" w:color="auto"/>
              <w:bottom w:val="nil"/>
              <w:right w:val="dotted" w:sz="4" w:space="0" w:color="auto"/>
            </w:tcBorders>
            <w:vAlign w:val="bottom"/>
          </w:tcPr>
          <w:p w14:paraId="1EBFF8D5" w14:textId="7863BFB0" w:rsidR="00F63977" w:rsidRPr="001F224B" w:rsidRDefault="00F63977" w:rsidP="00F63977">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45B9BBF3" w14:textId="7CDFC337" w:rsidR="00F63977" w:rsidRPr="001F224B" w:rsidRDefault="00F63977" w:rsidP="00F63977">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016C3871" w14:textId="56BA45D2" w:rsidR="00F63977" w:rsidRPr="001F224B" w:rsidRDefault="00F63977" w:rsidP="00F63977">
            <w:pPr>
              <w:jc w:val="right"/>
              <w:rPr>
                <w:b/>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2FBDEE64" w14:textId="27325308" w:rsidR="00F63977" w:rsidRPr="001F224B" w:rsidRDefault="00F63977" w:rsidP="00F63977">
            <w:pPr>
              <w:jc w:val="right"/>
              <w:rPr>
                <w:b/>
                <w:sz w:val="13"/>
                <w:szCs w:val="13"/>
              </w:rPr>
            </w:pPr>
            <w:r w:rsidRPr="001F224B">
              <w:rPr>
                <w:b/>
                <w:sz w:val="13"/>
                <w:szCs w:val="13"/>
              </w:rPr>
              <w:t xml:space="preserve"> - </w:t>
            </w:r>
          </w:p>
        </w:tc>
      </w:tr>
      <w:tr w:rsidR="00F63977" w:rsidRPr="001F224B" w14:paraId="647B9460" w14:textId="77777777" w:rsidTr="00907C70">
        <w:trPr>
          <w:trHeight w:val="19"/>
        </w:trPr>
        <w:tc>
          <w:tcPr>
            <w:tcW w:w="465" w:type="dxa"/>
            <w:tcBorders>
              <w:top w:val="nil"/>
              <w:left w:val="single" w:sz="4" w:space="0" w:color="auto"/>
              <w:bottom w:val="nil"/>
              <w:right w:val="single" w:sz="4" w:space="0" w:color="auto"/>
            </w:tcBorders>
          </w:tcPr>
          <w:p w14:paraId="591DF515" w14:textId="77777777" w:rsidR="00F63977" w:rsidRPr="001F224B" w:rsidRDefault="00F63977" w:rsidP="00F63977">
            <w:pPr>
              <w:rPr>
                <w:b/>
                <w:bCs/>
                <w:sz w:val="13"/>
                <w:szCs w:val="13"/>
              </w:rPr>
            </w:pPr>
            <w:r w:rsidRPr="001F224B">
              <w:rPr>
                <w:sz w:val="13"/>
                <w:szCs w:val="13"/>
              </w:rPr>
              <w:t>11.1</w:t>
            </w:r>
          </w:p>
        </w:tc>
        <w:tc>
          <w:tcPr>
            <w:tcW w:w="2925" w:type="dxa"/>
            <w:tcBorders>
              <w:top w:val="nil"/>
              <w:left w:val="single" w:sz="4" w:space="0" w:color="auto"/>
              <w:bottom w:val="nil"/>
              <w:right w:val="single" w:sz="4" w:space="0" w:color="auto"/>
            </w:tcBorders>
          </w:tcPr>
          <w:p w14:paraId="6D501389" w14:textId="77777777" w:rsidR="00F63977" w:rsidRPr="001F224B" w:rsidRDefault="00F63977" w:rsidP="00F63977">
            <w:pPr>
              <w:rPr>
                <w:b/>
                <w:bCs/>
                <w:sz w:val="13"/>
                <w:szCs w:val="13"/>
              </w:rPr>
            </w:pPr>
            <w:r w:rsidRPr="001F224B">
              <w:rPr>
                <w:sz w:val="13"/>
                <w:szCs w:val="13"/>
              </w:rPr>
              <w:t>Dağıtılan Temettü</w:t>
            </w:r>
          </w:p>
        </w:tc>
        <w:tc>
          <w:tcPr>
            <w:tcW w:w="754" w:type="dxa"/>
            <w:tcBorders>
              <w:top w:val="nil"/>
              <w:left w:val="single" w:sz="4" w:space="0" w:color="auto"/>
              <w:bottom w:val="nil"/>
              <w:right w:val="dotted" w:sz="4" w:space="0" w:color="auto"/>
            </w:tcBorders>
            <w:vAlign w:val="bottom"/>
          </w:tcPr>
          <w:p w14:paraId="340A5C51" w14:textId="5DD36F35" w:rsidR="00F63977" w:rsidRPr="001F224B" w:rsidRDefault="00F63977" w:rsidP="00F63977">
            <w:pPr>
              <w:jc w:val="right"/>
              <w:rPr>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0C84587C" w14:textId="1DF4620A"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4C434458" w14:textId="1A655894" w:rsidR="00F63977" w:rsidRPr="001F224B" w:rsidRDefault="00F63977" w:rsidP="00F63977">
            <w:pPr>
              <w:jc w:val="right"/>
              <w:rPr>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4BA1BFC1" w14:textId="5A3E73D6" w:rsidR="00F63977" w:rsidRPr="001F224B" w:rsidRDefault="00F63977" w:rsidP="00F63977">
            <w:pPr>
              <w:jc w:val="right"/>
              <w:rPr>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17463C83" w14:textId="6BBE07D6" w:rsidR="00F63977" w:rsidRPr="001F224B" w:rsidRDefault="00F63977" w:rsidP="00F63977">
            <w:pPr>
              <w:jc w:val="right"/>
              <w:rPr>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7C8C288E" w14:textId="4646EF51"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27FCCDEB" w14:textId="03C12AB1"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28746D70" w14:textId="309A86CF" w:rsidR="00F63977" w:rsidRPr="001F224B" w:rsidRDefault="00F63977" w:rsidP="00F63977">
            <w:pPr>
              <w:jc w:val="right"/>
              <w:rPr>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15973CF4" w14:textId="34B8918C"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660A1941" w14:textId="52E64171" w:rsidR="00F63977" w:rsidRPr="001F224B" w:rsidRDefault="00F63977" w:rsidP="00F63977">
            <w:pPr>
              <w:jc w:val="right"/>
              <w:rPr>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vAlign w:val="bottom"/>
          </w:tcPr>
          <w:p w14:paraId="2C77D0CB" w14:textId="73293C80" w:rsidR="00F63977" w:rsidRPr="001F224B" w:rsidRDefault="00F63977" w:rsidP="00F63977">
            <w:pPr>
              <w:jc w:val="right"/>
              <w:rPr>
                <w:sz w:val="13"/>
                <w:szCs w:val="13"/>
              </w:rPr>
            </w:pPr>
            <w:r w:rsidRPr="001F224B">
              <w:rPr>
                <w:sz w:val="13"/>
                <w:szCs w:val="13"/>
              </w:rPr>
              <w:t xml:space="preserve"> - </w:t>
            </w:r>
          </w:p>
        </w:tc>
        <w:tc>
          <w:tcPr>
            <w:tcW w:w="923" w:type="dxa"/>
            <w:tcBorders>
              <w:top w:val="nil"/>
              <w:left w:val="dotted" w:sz="4" w:space="0" w:color="auto"/>
              <w:bottom w:val="nil"/>
              <w:right w:val="dotted" w:sz="4" w:space="0" w:color="auto"/>
            </w:tcBorders>
            <w:vAlign w:val="bottom"/>
          </w:tcPr>
          <w:p w14:paraId="0B91D118" w14:textId="5A2E019B" w:rsidR="00F63977" w:rsidRPr="001F224B" w:rsidRDefault="00F63977" w:rsidP="00F63977">
            <w:pPr>
              <w:jc w:val="right"/>
              <w:rPr>
                <w:sz w:val="13"/>
                <w:szCs w:val="13"/>
              </w:rPr>
            </w:pPr>
            <w:r w:rsidRPr="001F224B">
              <w:rPr>
                <w:sz w:val="13"/>
                <w:szCs w:val="13"/>
              </w:rPr>
              <w:t xml:space="preserve"> - </w:t>
            </w:r>
          </w:p>
        </w:tc>
        <w:tc>
          <w:tcPr>
            <w:tcW w:w="822" w:type="dxa"/>
            <w:tcBorders>
              <w:top w:val="nil"/>
              <w:left w:val="dotted" w:sz="4" w:space="0" w:color="auto"/>
              <w:bottom w:val="nil"/>
              <w:right w:val="dotted" w:sz="4" w:space="0" w:color="auto"/>
            </w:tcBorders>
            <w:vAlign w:val="bottom"/>
          </w:tcPr>
          <w:p w14:paraId="740F34EC" w14:textId="58AAD1D3" w:rsidR="00F63977" w:rsidRPr="001F224B" w:rsidRDefault="00F63977" w:rsidP="00F63977">
            <w:pPr>
              <w:jc w:val="right"/>
              <w:rPr>
                <w:sz w:val="13"/>
                <w:szCs w:val="13"/>
              </w:rPr>
            </w:pPr>
            <w:r w:rsidRPr="001F224B">
              <w:rPr>
                <w:sz w:val="13"/>
                <w:szCs w:val="13"/>
              </w:rPr>
              <w:t xml:space="preserve"> - </w:t>
            </w:r>
          </w:p>
        </w:tc>
        <w:tc>
          <w:tcPr>
            <w:tcW w:w="879" w:type="dxa"/>
            <w:tcBorders>
              <w:top w:val="nil"/>
              <w:left w:val="dotted" w:sz="4" w:space="0" w:color="auto"/>
              <w:bottom w:val="nil"/>
              <w:right w:val="dotted" w:sz="4" w:space="0" w:color="auto"/>
            </w:tcBorders>
            <w:vAlign w:val="bottom"/>
          </w:tcPr>
          <w:p w14:paraId="066E2C36" w14:textId="408D6166" w:rsidR="00F63977" w:rsidRPr="001F224B" w:rsidRDefault="00F63977" w:rsidP="00F63977">
            <w:pPr>
              <w:jc w:val="right"/>
              <w:rPr>
                <w:sz w:val="13"/>
                <w:szCs w:val="13"/>
              </w:rPr>
            </w:pPr>
            <w:r w:rsidRPr="001F224B">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4BA2CB70" w14:textId="0F5C8E04" w:rsidR="00F63977" w:rsidRPr="001F224B" w:rsidRDefault="00F63977" w:rsidP="00F63977">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3F636DE4" w14:textId="3D67464D" w:rsidR="00F63977" w:rsidRPr="001F224B" w:rsidRDefault="00F63977" w:rsidP="00F63977">
            <w:pPr>
              <w:jc w:val="right"/>
              <w:rPr>
                <w:sz w:val="13"/>
                <w:szCs w:val="13"/>
              </w:rPr>
            </w:pPr>
            <w:r w:rsidRPr="001F224B">
              <w:rPr>
                <w:sz w:val="13"/>
                <w:szCs w:val="13"/>
              </w:rPr>
              <w:t xml:space="preserve"> - </w:t>
            </w:r>
          </w:p>
        </w:tc>
      </w:tr>
      <w:tr w:rsidR="00F63977" w:rsidRPr="001F224B" w14:paraId="72103CF5" w14:textId="77777777" w:rsidTr="008C59FC">
        <w:trPr>
          <w:trHeight w:val="19"/>
        </w:trPr>
        <w:tc>
          <w:tcPr>
            <w:tcW w:w="465" w:type="dxa"/>
            <w:tcBorders>
              <w:top w:val="nil"/>
              <w:left w:val="single" w:sz="4" w:space="0" w:color="auto"/>
              <w:bottom w:val="nil"/>
              <w:right w:val="single" w:sz="4" w:space="0" w:color="auto"/>
            </w:tcBorders>
          </w:tcPr>
          <w:p w14:paraId="73F80AD4" w14:textId="77777777" w:rsidR="00F63977" w:rsidRPr="001F224B" w:rsidRDefault="00F63977" w:rsidP="00F63977">
            <w:pPr>
              <w:rPr>
                <w:b/>
                <w:bCs/>
                <w:sz w:val="13"/>
                <w:szCs w:val="13"/>
              </w:rPr>
            </w:pPr>
            <w:r w:rsidRPr="001F224B">
              <w:rPr>
                <w:sz w:val="13"/>
                <w:szCs w:val="13"/>
              </w:rPr>
              <w:t>11.2</w:t>
            </w:r>
          </w:p>
        </w:tc>
        <w:tc>
          <w:tcPr>
            <w:tcW w:w="2925" w:type="dxa"/>
            <w:tcBorders>
              <w:top w:val="nil"/>
              <w:left w:val="single" w:sz="4" w:space="0" w:color="auto"/>
              <w:bottom w:val="nil"/>
              <w:right w:val="single" w:sz="4" w:space="0" w:color="auto"/>
            </w:tcBorders>
          </w:tcPr>
          <w:p w14:paraId="0DC44CB2" w14:textId="77777777" w:rsidR="00F63977" w:rsidRPr="001F224B" w:rsidRDefault="00F63977" w:rsidP="00F63977">
            <w:pPr>
              <w:rPr>
                <w:b/>
                <w:bCs/>
                <w:sz w:val="13"/>
                <w:szCs w:val="13"/>
              </w:rPr>
            </w:pPr>
            <w:r w:rsidRPr="001F224B">
              <w:rPr>
                <w:sz w:val="13"/>
                <w:szCs w:val="13"/>
              </w:rPr>
              <w:t>Yedeklere Aktarılan Tutarlar</w:t>
            </w:r>
          </w:p>
        </w:tc>
        <w:tc>
          <w:tcPr>
            <w:tcW w:w="754" w:type="dxa"/>
            <w:tcBorders>
              <w:top w:val="nil"/>
              <w:left w:val="single" w:sz="4" w:space="0" w:color="auto"/>
              <w:bottom w:val="nil"/>
              <w:right w:val="dotted" w:sz="4" w:space="0" w:color="auto"/>
            </w:tcBorders>
            <w:vAlign w:val="bottom"/>
          </w:tcPr>
          <w:p w14:paraId="3EBF0EDF" w14:textId="3D2550C6" w:rsidR="00F63977" w:rsidRPr="001F224B" w:rsidRDefault="00F63977" w:rsidP="00F63977">
            <w:pPr>
              <w:jc w:val="right"/>
              <w:rPr>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42AA626B" w14:textId="07B6783E"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1D8E81CF" w14:textId="02891074" w:rsidR="00F63977" w:rsidRPr="001F224B" w:rsidRDefault="00F63977" w:rsidP="00F63977">
            <w:pPr>
              <w:jc w:val="right"/>
              <w:rPr>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7F169AFE" w14:textId="08814864" w:rsidR="00F63977" w:rsidRPr="001F224B" w:rsidRDefault="00F63977" w:rsidP="00F63977">
            <w:pPr>
              <w:jc w:val="right"/>
              <w:rPr>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2144F657" w14:textId="669EB9DC" w:rsidR="00F63977" w:rsidRPr="001F224B" w:rsidRDefault="00F63977" w:rsidP="00F63977">
            <w:pPr>
              <w:jc w:val="right"/>
              <w:rPr>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6DAB2904" w14:textId="15479C1F"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5A516E3F" w14:textId="79E8E3F8"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00FF4108" w14:textId="7104C91D" w:rsidR="00F63977" w:rsidRPr="001F224B" w:rsidRDefault="00F63977" w:rsidP="00F63977">
            <w:pPr>
              <w:jc w:val="right"/>
              <w:rPr>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5B6E70B9" w14:textId="401FE83C"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36E7587A" w14:textId="2E98AA4B" w:rsidR="00F63977" w:rsidRPr="001F224B" w:rsidRDefault="00F63977" w:rsidP="00F63977">
            <w:pPr>
              <w:jc w:val="right"/>
              <w:rPr>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tcPr>
          <w:p w14:paraId="643A1B82" w14:textId="276ED49B" w:rsidR="00F63977" w:rsidRPr="001F224B" w:rsidRDefault="00F63977" w:rsidP="00F63977">
            <w:pPr>
              <w:jc w:val="right"/>
              <w:rPr>
                <w:sz w:val="13"/>
                <w:szCs w:val="13"/>
              </w:rPr>
            </w:pPr>
            <w:r w:rsidRPr="001F224B">
              <w:rPr>
                <w:bCs/>
                <w:sz w:val="13"/>
                <w:szCs w:val="13"/>
              </w:rPr>
              <w:t>4.043.213</w:t>
            </w:r>
          </w:p>
        </w:tc>
        <w:tc>
          <w:tcPr>
            <w:tcW w:w="923" w:type="dxa"/>
            <w:tcBorders>
              <w:top w:val="nil"/>
              <w:left w:val="dotted" w:sz="4" w:space="0" w:color="auto"/>
              <w:bottom w:val="nil"/>
              <w:right w:val="dotted" w:sz="4" w:space="0" w:color="auto"/>
            </w:tcBorders>
          </w:tcPr>
          <w:p w14:paraId="243E263E" w14:textId="4460F5FD" w:rsidR="00F63977" w:rsidRPr="001F224B" w:rsidRDefault="00F63977" w:rsidP="00F63977">
            <w:pPr>
              <w:jc w:val="right"/>
              <w:rPr>
                <w:sz w:val="13"/>
                <w:szCs w:val="13"/>
              </w:rPr>
            </w:pPr>
            <w:r w:rsidRPr="001F224B">
              <w:rPr>
                <w:bCs/>
                <w:sz w:val="13"/>
                <w:szCs w:val="13"/>
              </w:rPr>
              <w:t>(4.043.213)</w:t>
            </w:r>
          </w:p>
        </w:tc>
        <w:tc>
          <w:tcPr>
            <w:tcW w:w="822" w:type="dxa"/>
            <w:tcBorders>
              <w:top w:val="nil"/>
              <w:left w:val="dotted" w:sz="4" w:space="0" w:color="auto"/>
              <w:bottom w:val="nil"/>
              <w:right w:val="dotted" w:sz="4" w:space="0" w:color="auto"/>
            </w:tcBorders>
            <w:vAlign w:val="bottom"/>
          </w:tcPr>
          <w:p w14:paraId="7F4DCE18" w14:textId="159C2AC7" w:rsidR="00F63977" w:rsidRPr="001F224B" w:rsidRDefault="00F63977" w:rsidP="00F63977">
            <w:pPr>
              <w:jc w:val="right"/>
              <w:rPr>
                <w:sz w:val="13"/>
                <w:szCs w:val="13"/>
              </w:rPr>
            </w:pPr>
            <w:r w:rsidRPr="001F224B">
              <w:rPr>
                <w:sz w:val="13"/>
                <w:szCs w:val="13"/>
              </w:rPr>
              <w:t xml:space="preserve"> - </w:t>
            </w:r>
          </w:p>
        </w:tc>
        <w:tc>
          <w:tcPr>
            <w:tcW w:w="879" w:type="dxa"/>
            <w:tcBorders>
              <w:top w:val="nil"/>
              <w:left w:val="dotted" w:sz="4" w:space="0" w:color="auto"/>
              <w:bottom w:val="nil"/>
              <w:right w:val="dotted" w:sz="4" w:space="0" w:color="auto"/>
            </w:tcBorders>
            <w:vAlign w:val="bottom"/>
          </w:tcPr>
          <w:p w14:paraId="66E86A0C" w14:textId="6491A45D" w:rsidR="00F63977" w:rsidRPr="001F224B" w:rsidRDefault="00F63977" w:rsidP="00F63977">
            <w:pPr>
              <w:jc w:val="right"/>
              <w:rPr>
                <w:sz w:val="13"/>
                <w:szCs w:val="13"/>
              </w:rPr>
            </w:pPr>
            <w:r w:rsidRPr="001F224B">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7D394DF5" w14:textId="47236949" w:rsidR="00F63977" w:rsidRPr="001F224B" w:rsidRDefault="00F63977" w:rsidP="00F63977">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1A70BD06" w14:textId="5382F1C5" w:rsidR="00F63977" w:rsidRPr="001F224B" w:rsidRDefault="00F63977" w:rsidP="00F63977">
            <w:pPr>
              <w:jc w:val="right"/>
              <w:rPr>
                <w:sz w:val="13"/>
                <w:szCs w:val="13"/>
              </w:rPr>
            </w:pPr>
            <w:r w:rsidRPr="001F224B">
              <w:rPr>
                <w:sz w:val="13"/>
                <w:szCs w:val="13"/>
              </w:rPr>
              <w:t xml:space="preserve"> - </w:t>
            </w:r>
          </w:p>
        </w:tc>
      </w:tr>
      <w:tr w:rsidR="00F63977" w:rsidRPr="001F224B" w14:paraId="2E3BD4D5" w14:textId="77777777" w:rsidTr="00907C70">
        <w:trPr>
          <w:trHeight w:val="19"/>
        </w:trPr>
        <w:tc>
          <w:tcPr>
            <w:tcW w:w="465" w:type="dxa"/>
            <w:tcBorders>
              <w:top w:val="nil"/>
              <w:left w:val="single" w:sz="4" w:space="0" w:color="auto"/>
              <w:bottom w:val="nil"/>
              <w:right w:val="single" w:sz="4" w:space="0" w:color="auto"/>
            </w:tcBorders>
          </w:tcPr>
          <w:p w14:paraId="73FF8287" w14:textId="77777777" w:rsidR="00F63977" w:rsidRPr="001F224B" w:rsidRDefault="00F63977" w:rsidP="00F63977">
            <w:pPr>
              <w:rPr>
                <w:b/>
                <w:bCs/>
                <w:sz w:val="13"/>
                <w:szCs w:val="13"/>
              </w:rPr>
            </w:pPr>
            <w:r w:rsidRPr="001F224B">
              <w:rPr>
                <w:sz w:val="13"/>
                <w:szCs w:val="13"/>
              </w:rPr>
              <w:t>11.3</w:t>
            </w:r>
          </w:p>
        </w:tc>
        <w:tc>
          <w:tcPr>
            <w:tcW w:w="2925" w:type="dxa"/>
            <w:tcBorders>
              <w:top w:val="nil"/>
              <w:left w:val="single" w:sz="4" w:space="0" w:color="auto"/>
              <w:bottom w:val="nil"/>
              <w:right w:val="single" w:sz="4" w:space="0" w:color="auto"/>
            </w:tcBorders>
          </w:tcPr>
          <w:p w14:paraId="2C3F7B3E" w14:textId="77777777" w:rsidR="00F63977" w:rsidRPr="001F224B" w:rsidRDefault="00F63977" w:rsidP="00F63977">
            <w:pPr>
              <w:rPr>
                <w:b/>
                <w:bCs/>
                <w:sz w:val="13"/>
                <w:szCs w:val="13"/>
              </w:rPr>
            </w:pPr>
            <w:r w:rsidRPr="001F224B">
              <w:rPr>
                <w:sz w:val="13"/>
                <w:szCs w:val="13"/>
              </w:rPr>
              <w:t xml:space="preserve">Diğer </w:t>
            </w:r>
          </w:p>
        </w:tc>
        <w:tc>
          <w:tcPr>
            <w:tcW w:w="754" w:type="dxa"/>
            <w:tcBorders>
              <w:top w:val="nil"/>
              <w:left w:val="single" w:sz="4" w:space="0" w:color="auto"/>
              <w:bottom w:val="dotted" w:sz="4" w:space="0" w:color="auto"/>
              <w:right w:val="dotted" w:sz="4" w:space="0" w:color="auto"/>
            </w:tcBorders>
            <w:vAlign w:val="bottom"/>
          </w:tcPr>
          <w:p w14:paraId="1A67B94A" w14:textId="530064CD" w:rsidR="00F63977" w:rsidRPr="001F224B" w:rsidRDefault="00F63977" w:rsidP="00F63977">
            <w:pPr>
              <w:jc w:val="right"/>
              <w:rPr>
                <w:sz w:val="13"/>
                <w:szCs w:val="13"/>
              </w:rPr>
            </w:pPr>
            <w:r w:rsidRPr="001F224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83C1577" w14:textId="05C659B1"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541037F1" w14:textId="299C221D" w:rsidR="00F63977" w:rsidRPr="001F224B" w:rsidRDefault="00F63977" w:rsidP="00F63977">
            <w:pPr>
              <w:jc w:val="right"/>
              <w:rPr>
                <w:sz w:val="13"/>
                <w:szCs w:val="13"/>
              </w:rPr>
            </w:pPr>
            <w:r w:rsidRPr="001F224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0D3EFDDB" w14:textId="4B0FC0B6" w:rsidR="00F63977" w:rsidRPr="001F224B" w:rsidRDefault="00F63977" w:rsidP="00F63977">
            <w:pPr>
              <w:jc w:val="right"/>
              <w:rPr>
                <w:sz w:val="13"/>
                <w:szCs w:val="13"/>
              </w:rPr>
            </w:pPr>
            <w:r w:rsidRPr="001F224B">
              <w:rPr>
                <w:sz w:val="13"/>
                <w:szCs w:val="13"/>
              </w:rPr>
              <w:t xml:space="preserve"> - </w:t>
            </w:r>
          </w:p>
        </w:tc>
        <w:tc>
          <w:tcPr>
            <w:tcW w:w="676" w:type="dxa"/>
            <w:tcBorders>
              <w:top w:val="nil"/>
              <w:left w:val="dotted" w:sz="4" w:space="0" w:color="auto"/>
              <w:bottom w:val="dotted" w:sz="4" w:space="0" w:color="auto"/>
              <w:right w:val="dotted" w:sz="4" w:space="0" w:color="auto"/>
            </w:tcBorders>
            <w:vAlign w:val="bottom"/>
          </w:tcPr>
          <w:p w14:paraId="449D8437" w14:textId="3FE0D021" w:rsidR="00F63977" w:rsidRPr="001F224B" w:rsidRDefault="00F63977" w:rsidP="00F63977">
            <w:pPr>
              <w:jc w:val="right"/>
              <w:rPr>
                <w:sz w:val="13"/>
                <w:szCs w:val="13"/>
              </w:rPr>
            </w:pPr>
            <w:r w:rsidRPr="001F224B">
              <w:rPr>
                <w:sz w:val="13"/>
                <w:szCs w:val="13"/>
              </w:rPr>
              <w:t xml:space="preserve"> - </w:t>
            </w:r>
          </w:p>
        </w:tc>
        <w:tc>
          <w:tcPr>
            <w:tcW w:w="710" w:type="dxa"/>
            <w:tcBorders>
              <w:top w:val="nil"/>
              <w:left w:val="dotted" w:sz="4" w:space="0" w:color="auto"/>
              <w:bottom w:val="dotted" w:sz="4" w:space="0" w:color="auto"/>
              <w:right w:val="dotted" w:sz="4" w:space="0" w:color="auto"/>
            </w:tcBorders>
            <w:vAlign w:val="bottom"/>
          </w:tcPr>
          <w:p w14:paraId="69E5FAA9" w14:textId="6676BE93"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dotted" w:sz="4" w:space="0" w:color="auto"/>
              <w:right w:val="dotted" w:sz="4" w:space="0" w:color="auto"/>
            </w:tcBorders>
            <w:vAlign w:val="bottom"/>
          </w:tcPr>
          <w:p w14:paraId="36CE0694" w14:textId="041EE1E6" w:rsidR="00F63977" w:rsidRPr="001F224B" w:rsidRDefault="00F63977" w:rsidP="00F63977">
            <w:pPr>
              <w:jc w:val="right"/>
              <w:rPr>
                <w:sz w:val="13"/>
                <w:szCs w:val="13"/>
              </w:rPr>
            </w:pPr>
            <w:r w:rsidRPr="001F224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18DF25CC" w14:textId="608CE7FE" w:rsidR="00F63977" w:rsidRPr="001F224B" w:rsidRDefault="00F63977" w:rsidP="00F63977">
            <w:pPr>
              <w:jc w:val="right"/>
              <w:rPr>
                <w:sz w:val="13"/>
                <w:szCs w:val="13"/>
              </w:rPr>
            </w:pPr>
            <w:r w:rsidRPr="001F224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43B9C845" w14:textId="3DD998C5" w:rsidR="00F63977" w:rsidRPr="001F224B" w:rsidRDefault="00F63977" w:rsidP="00F63977">
            <w:pPr>
              <w:jc w:val="right"/>
              <w:rPr>
                <w:sz w:val="13"/>
                <w:szCs w:val="13"/>
              </w:rPr>
            </w:pPr>
            <w:r w:rsidRPr="001F224B">
              <w:rPr>
                <w:sz w:val="13"/>
                <w:szCs w:val="13"/>
              </w:rPr>
              <w:t xml:space="preserve"> - </w:t>
            </w:r>
          </w:p>
        </w:tc>
        <w:tc>
          <w:tcPr>
            <w:tcW w:w="708" w:type="dxa"/>
            <w:tcBorders>
              <w:top w:val="nil"/>
              <w:left w:val="dotted" w:sz="4" w:space="0" w:color="auto"/>
              <w:bottom w:val="dotted" w:sz="4" w:space="0" w:color="auto"/>
              <w:right w:val="dotted" w:sz="4" w:space="0" w:color="auto"/>
            </w:tcBorders>
            <w:vAlign w:val="bottom"/>
          </w:tcPr>
          <w:p w14:paraId="4944CBA5" w14:textId="61353C3E" w:rsidR="00F63977" w:rsidRPr="001F224B" w:rsidRDefault="00F63977" w:rsidP="00F63977">
            <w:pPr>
              <w:jc w:val="right"/>
              <w:rPr>
                <w:sz w:val="13"/>
                <w:szCs w:val="13"/>
              </w:rPr>
            </w:pPr>
            <w:r w:rsidRPr="001F224B">
              <w:rPr>
                <w:sz w:val="13"/>
                <w:szCs w:val="13"/>
              </w:rPr>
              <w:t xml:space="preserve"> - </w:t>
            </w:r>
          </w:p>
        </w:tc>
        <w:tc>
          <w:tcPr>
            <w:tcW w:w="778" w:type="dxa"/>
            <w:tcBorders>
              <w:top w:val="nil"/>
              <w:left w:val="dotted" w:sz="4" w:space="0" w:color="auto"/>
              <w:bottom w:val="dotted" w:sz="4" w:space="0" w:color="auto"/>
              <w:right w:val="dotted" w:sz="4" w:space="0" w:color="auto"/>
            </w:tcBorders>
            <w:vAlign w:val="bottom"/>
          </w:tcPr>
          <w:p w14:paraId="6F4544D7" w14:textId="245E7A5E" w:rsidR="00F63977" w:rsidRPr="001F224B" w:rsidRDefault="00F63977" w:rsidP="00F63977">
            <w:pPr>
              <w:jc w:val="right"/>
              <w:rPr>
                <w:sz w:val="13"/>
                <w:szCs w:val="13"/>
              </w:rPr>
            </w:pPr>
            <w:r w:rsidRPr="001F224B">
              <w:rPr>
                <w:sz w:val="13"/>
                <w:szCs w:val="13"/>
              </w:rPr>
              <w:t xml:space="preserve"> - </w:t>
            </w:r>
          </w:p>
        </w:tc>
        <w:tc>
          <w:tcPr>
            <w:tcW w:w="923" w:type="dxa"/>
            <w:tcBorders>
              <w:top w:val="nil"/>
              <w:left w:val="dotted" w:sz="4" w:space="0" w:color="auto"/>
              <w:bottom w:val="dotted" w:sz="4" w:space="0" w:color="auto"/>
              <w:right w:val="dotted" w:sz="4" w:space="0" w:color="auto"/>
            </w:tcBorders>
            <w:vAlign w:val="bottom"/>
          </w:tcPr>
          <w:p w14:paraId="4F6EEC62" w14:textId="43430BCC" w:rsidR="00F63977" w:rsidRPr="001F224B" w:rsidRDefault="00F63977" w:rsidP="00F63977">
            <w:pPr>
              <w:jc w:val="right"/>
              <w:rPr>
                <w:sz w:val="13"/>
                <w:szCs w:val="13"/>
              </w:rPr>
            </w:pPr>
            <w:r w:rsidRPr="001F224B">
              <w:rPr>
                <w:sz w:val="13"/>
                <w:szCs w:val="13"/>
              </w:rPr>
              <w:t xml:space="preserve"> - </w:t>
            </w:r>
          </w:p>
        </w:tc>
        <w:tc>
          <w:tcPr>
            <w:tcW w:w="822" w:type="dxa"/>
            <w:tcBorders>
              <w:top w:val="nil"/>
              <w:left w:val="dotted" w:sz="4" w:space="0" w:color="auto"/>
              <w:bottom w:val="dotted" w:sz="4" w:space="0" w:color="auto"/>
              <w:right w:val="dotted" w:sz="4" w:space="0" w:color="auto"/>
            </w:tcBorders>
            <w:vAlign w:val="bottom"/>
          </w:tcPr>
          <w:p w14:paraId="6D6F443D" w14:textId="6CE41D3E" w:rsidR="00F63977" w:rsidRPr="001F224B" w:rsidRDefault="00F63977" w:rsidP="00F63977">
            <w:pPr>
              <w:jc w:val="right"/>
              <w:rPr>
                <w:sz w:val="13"/>
                <w:szCs w:val="13"/>
              </w:rPr>
            </w:pPr>
            <w:r w:rsidRPr="001F224B">
              <w:rPr>
                <w:sz w:val="13"/>
                <w:szCs w:val="13"/>
              </w:rPr>
              <w:t xml:space="preserve"> - </w:t>
            </w:r>
          </w:p>
        </w:tc>
        <w:tc>
          <w:tcPr>
            <w:tcW w:w="879" w:type="dxa"/>
            <w:tcBorders>
              <w:top w:val="nil"/>
              <w:left w:val="dotted" w:sz="4" w:space="0" w:color="auto"/>
              <w:bottom w:val="dotted" w:sz="4" w:space="0" w:color="auto"/>
              <w:right w:val="dotted" w:sz="4" w:space="0" w:color="auto"/>
            </w:tcBorders>
            <w:vAlign w:val="bottom"/>
          </w:tcPr>
          <w:p w14:paraId="6099D3CA" w14:textId="4CAA595A" w:rsidR="00F63977" w:rsidRPr="001F224B" w:rsidRDefault="00F63977" w:rsidP="00F63977">
            <w:pPr>
              <w:jc w:val="right"/>
              <w:rPr>
                <w:sz w:val="13"/>
                <w:szCs w:val="13"/>
              </w:rPr>
            </w:pPr>
            <w:r w:rsidRPr="001F224B">
              <w:rPr>
                <w:sz w:val="13"/>
                <w:szCs w:val="13"/>
              </w:rPr>
              <w:t xml:space="preserve"> - </w:t>
            </w:r>
          </w:p>
        </w:tc>
        <w:tc>
          <w:tcPr>
            <w:tcW w:w="591" w:type="dxa"/>
            <w:gridSpan w:val="2"/>
            <w:tcBorders>
              <w:top w:val="nil"/>
              <w:left w:val="dotted" w:sz="4" w:space="0" w:color="auto"/>
              <w:bottom w:val="dotted" w:sz="4" w:space="0" w:color="auto"/>
              <w:right w:val="dotted" w:sz="4" w:space="0" w:color="auto"/>
            </w:tcBorders>
            <w:vAlign w:val="bottom"/>
          </w:tcPr>
          <w:p w14:paraId="085EE180" w14:textId="39169681" w:rsidR="00F63977" w:rsidRPr="001F224B" w:rsidRDefault="00F63977" w:rsidP="00F63977">
            <w:pPr>
              <w:jc w:val="right"/>
              <w:rPr>
                <w:sz w:val="13"/>
                <w:szCs w:val="13"/>
              </w:rPr>
            </w:pPr>
            <w:r w:rsidRPr="001F224B">
              <w:rPr>
                <w:b/>
                <w:sz w:val="13"/>
                <w:szCs w:val="13"/>
              </w:rPr>
              <w:t>-</w:t>
            </w:r>
          </w:p>
        </w:tc>
        <w:tc>
          <w:tcPr>
            <w:tcW w:w="807" w:type="dxa"/>
            <w:tcBorders>
              <w:top w:val="nil"/>
              <w:left w:val="dotted" w:sz="4" w:space="0" w:color="auto"/>
              <w:bottom w:val="dotted" w:sz="4" w:space="0" w:color="auto"/>
            </w:tcBorders>
            <w:vAlign w:val="bottom"/>
          </w:tcPr>
          <w:p w14:paraId="3AFD9B4E" w14:textId="22915052" w:rsidR="00F63977" w:rsidRPr="001F224B" w:rsidRDefault="00F63977" w:rsidP="00F63977">
            <w:pPr>
              <w:jc w:val="right"/>
              <w:rPr>
                <w:sz w:val="13"/>
                <w:szCs w:val="13"/>
              </w:rPr>
            </w:pPr>
            <w:r w:rsidRPr="001F224B">
              <w:rPr>
                <w:sz w:val="13"/>
                <w:szCs w:val="13"/>
              </w:rPr>
              <w:t xml:space="preserve"> - </w:t>
            </w:r>
          </w:p>
        </w:tc>
      </w:tr>
      <w:tr w:rsidR="00F63977" w:rsidRPr="001F224B" w14:paraId="11A9EC54" w14:textId="77777777" w:rsidTr="00907C70">
        <w:trPr>
          <w:trHeight w:val="19"/>
        </w:trPr>
        <w:tc>
          <w:tcPr>
            <w:tcW w:w="465" w:type="dxa"/>
            <w:tcBorders>
              <w:top w:val="dotted" w:sz="4" w:space="0" w:color="auto"/>
              <w:left w:val="single" w:sz="4" w:space="0" w:color="auto"/>
              <w:bottom w:val="single" w:sz="4" w:space="0" w:color="auto"/>
              <w:right w:val="single" w:sz="4" w:space="0" w:color="auto"/>
            </w:tcBorders>
          </w:tcPr>
          <w:p w14:paraId="4EC7731A" w14:textId="77777777" w:rsidR="00F63977" w:rsidRPr="001F224B" w:rsidRDefault="00F63977" w:rsidP="00F63977">
            <w:pPr>
              <w:rPr>
                <w:b/>
                <w:bCs/>
                <w:sz w:val="13"/>
                <w:szCs w:val="13"/>
              </w:rPr>
            </w:pPr>
          </w:p>
        </w:tc>
        <w:tc>
          <w:tcPr>
            <w:tcW w:w="2925" w:type="dxa"/>
            <w:tcBorders>
              <w:top w:val="dotted" w:sz="4" w:space="0" w:color="auto"/>
              <w:left w:val="single" w:sz="4" w:space="0" w:color="auto"/>
              <w:bottom w:val="single" w:sz="4" w:space="0" w:color="auto"/>
              <w:right w:val="single" w:sz="4" w:space="0" w:color="auto"/>
            </w:tcBorders>
          </w:tcPr>
          <w:p w14:paraId="54979831" w14:textId="77777777" w:rsidR="00F63977" w:rsidRPr="001F224B" w:rsidRDefault="00F63977" w:rsidP="00F63977">
            <w:pPr>
              <w:rPr>
                <w:b/>
                <w:bCs/>
                <w:sz w:val="13"/>
                <w:szCs w:val="13"/>
              </w:rPr>
            </w:pPr>
            <w:r w:rsidRPr="001F224B">
              <w:rPr>
                <w:b/>
                <w:bCs/>
                <w:sz w:val="13"/>
                <w:szCs w:val="13"/>
              </w:rPr>
              <w:t>Dönem Sonu Bakiyesi  (III+IV+…...+X+XI)</w:t>
            </w:r>
          </w:p>
        </w:tc>
        <w:tc>
          <w:tcPr>
            <w:tcW w:w="754" w:type="dxa"/>
            <w:tcBorders>
              <w:top w:val="dotted" w:sz="4" w:space="0" w:color="auto"/>
              <w:right w:val="dotted" w:sz="4" w:space="0" w:color="auto"/>
            </w:tcBorders>
            <w:vAlign w:val="bottom"/>
          </w:tcPr>
          <w:p w14:paraId="56B67148" w14:textId="46594A6F" w:rsidR="00F63977" w:rsidRPr="001F224B" w:rsidRDefault="00F63977" w:rsidP="00F63977">
            <w:pPr>
              <w:ind w:left="-106" w:right="-42"/>
              <w:jc w:val="right"/>
              <w:rPr>
                <w:b/>
                <w:sz w:val="13"/>
                <w:szCs w:val="13"/>
              </w:rPr>
            </w:pPr>
            <w:r w:rsidRPr="001F224B">
              <w:rPr>
                <w:b/>
                <w:sz w:val="13"/>
                <w:szCs w:val="13"/>
              </w:rPr>
              <w:t xml:space="preserve">5.500.000 </w:t>
            </w:r>
          </w:p>
        </w:tc>
        <w:tc>
          <w:tcPr>
            <w:tcW w:w="992" w:type="dxa"/>
            <w:tcBorders>
              <w:top w:val="dotted" w:sz="4" w:space="0" w:color="auto"/>
              <w:left w:val="dotted" w:sz="4" w:space="0" w:color="auto"/>
              <w:right w:val="dotted" w:sz="4" w:space="0" w:color="auto"/>
            </w:tcBorders>
            <w:vAlign w:val="bottom"/>
          </w:tcPr>
          <w:p w14:paraId="3024BD0F" w14:textId="3272A87E" w:rsidR="00F63977" w:rsidRPr="001F224B" w:rsidRDefault="00F63977" w:rsidP="00F63977">
            <w:pPr>
              <w:jc w:val="right"/>
              <w:rPr>
                <w:b/>
                <w:sz w:val="13"/>
                <w:szCs w:val="13"/>
              </w:rPr>
            </w:pPr>
            <w:r w:rsidRPr="001F224B">
              <w:rPr>
                <w:b/>
                <w:sz w:val="13"/>
                <w:szCs w:val="13"/>
              </w:rPr>
              <w:t xml:space="preserve">5.421 </w:t>
            </w:r>
          </w:p>
        </w:tc>
        <w:tc>
          <w:tcPr>
            <w:tcW w:w="709" w:type="dxa"/>
            <w:tcBorders>
              <w:top w:val="dotted" w:sz="4" w:space="0" w:color="auto"/>
              <w:left w:val="dotted" w:sz="4" w:space="0" w:color="auto"/>
              <w:right w:val="dotted" w:sz="4" w:space="0" w:color="auto"/>
            </w:tcBorders>
            <w:vAlign w:val="bottom"/>
          </w:tcPr>
          <w:p w14:paraId="0C75C37E" w14:textId="433969B4" w:rsidR="00F63977" w:rsidRPr="001F224B" w:rsidRDefault="00F63977" w:rsidP="00F63977">
            <w:pPr>
              <w:jc w:val="right"/>
              <w:rPr>
                <w:b/>
                <w:sz w:val="13"/>
                <w:szCs w:val="13"/>
              </w:rPr>
            </w:pPr>
            <w:r w:rsidRPr="001F224B">
              <w:rPr>
                <w:b/>
                <w:sz w:val="13"/>
                <w:szCs w:val="13"/>
              </w:rPr>
              <w:t xml:space="preserve"> - </w:t>
            </w:r>
          </w:p>
        </w:tc>
        <w:tc>
          <w:tcPr>
            <w:tcW w:w="850" w:type="dxa"/>
            <w:tcBorders>
              <w:top w:val="dotted" w:sz="4" w:space="0" w:color="auto"/>
              <w:left w:val="dotted" w:sz="4" w:space="0" w:color="auto"/>
              <w:right w:val="dotted" w:sz="4" w:space="0" w:color="auto"/>
            </w:tcBorders>
            <w:vAlign w:val="bottom"/>
          </w:tcPr>
          <w:p w14:paraId="1CD9607D" w14:textId="61109CC8" w:rsidR="00F63977" w:rsidRPr="001F224B" w:rsidRDefault="00F63977" w:rsidP="00F63977">
            <w:pPr>
              <w:jc w:val="right"/>
              <w:rPr>
                <w:b/>
                <w:sz w:val="13"/>
                <w:szCs w:val="13"/>
              </w:rPr>
            </w:pPr>
            <w:r w:rsidRPr="001F224B">
              <w:rPr>
                <w:b/>
                <w:sz w:val="13"/>
                <w:szCs w:val="13"/>
              </w:rPr>
              <w:t xml:space="preserve">206.074 </w:t>
            </w:r>
          </w:p>
        </w:tc>
        <w:tc>
          <w:tcPr>
            <w:tcW w:w="676" w:type="dxa"/>
            <w:tcBorders>
              <w:top w:val="dotted" w:sz="4" w:space="0" w:color="auto"/>
              <w:left w:val="dotted" w:sz="4" w:space="0" w:color="auto"/>
              <w:right w:val="dotted" w:sz="4" w:space="0" w:color="auto"/>
            </w:tcBorders>
            <w:vAlign w:val="bottom"/>
          </w:tcPr>
          <w:p w14:paraId="5A57593A" w14:textId="31EE215D" w:rsidR="00F63977" w:rsidRPr="001F224B" w:rsidRDefault="00F63977" w:rsidP="00F63977">
            <w:pPr>
              <w:jc w:val="right"/>
              <w:rPr>
                <w:b/>
                <w:sz w:val="13"/>
                <w:szCs w:val="13"/>
              </w:rPr>
            </w:pPr>
            <w:r w:rsidRPr="001F224B">
              <w:rPr>
                <w:b/>
                <w:sz w:val="13"/>
                <w:szCs w:val="13"/>
              </w:rPr>
              <w:t xml:space="preserve"> - </w:t>
            </w:r>
          </w:p>
        </w:tc>
        <w:tc>
          <w:tcPr>
            <w:tcW w:w="710" w:type="dxa"/>
            <w:tcBorders>
              <w:top w:val="dotted" w:sz="4" w:space="0" w:color="auto"/>
              <w:left w:val="dotted" w:sz="4" w:space="0" w:color="auto"/>
              <w:right w:val="dotted" w:sz="4" w:space="0" w:color="auto"/>
            </w:tcBorders>
            <w:vAlign w:val="bottom"/>
          </w:tcPr>
          <w:p w14:paraId="6406DA4A" w14:textId="0AE329A7" w:rsidR="00F63977" w:rsidRPr="001F224B" w:rsidRDefault="00F63977" w:rsidP="00F63977">
            <w:pPr>
              <w:jc w:val="right"/>
              <w:rPr>
                <w:b/>
                <w:sz w:val="13"/>
                <w:szCs w:val="13"/>
              </w:rPr>
            </w:pPr>
            <w:r w:rsidRPr="001F224B">
              <w:rPr>
                <w:b/>
                <w:sz w:val="13"/>
                <w:szCs w:val="13"/>
              </w:rPr>
              <w:t>(506)</w:t>
            </w:r>
          </w:p>
        </w:tc>
        <w:tc>
          <w:tcPr>
            <w:tcW w:w="708" w:type="dxa"/>
            <w:tcBorders>
              <w:top w:val="dotted" w:sz="4" w:space="0" w:color="auto"/>
              <w:left w:val="dotted" w:sz="4" w:space="0" w:color="auto"/>
              <w:right w:val="dotted" w:sz="4" w:space="0" w:color="auto"/>
            </w:tcBorders>
            <w:vAlign w:val="bottom"/>
          </w:tcPr>
          <w:p w14:paraId="75F12903" w14:textId="687C31B3" w:rsidR="00F63977" w:rsidRPr="001F224B" w:rsidRDefault="00F63977" w:rsidP="00F63977">
            <w:pPr>
              <w:jc w:val="right"/>
              <w:rPr>
                <w:b/>
                <w:sz w:val="13"/>
                <w:szCs w:val="13"/>
              </w:rPr>
            </w:pPr>
            <w:r w:rsidRPr="001F224B">
              <w:rPr>
                <w:b/>
                <w:sz w:val="13"/>
                <w:szCs w:val="13"/>
              </w:rPr>
              <w:t xml:space="preserve"> - </w:t>
            </w:r>
          </w:p>
        </w:tc>
        <w:tc>
          <w:tcPr>
            <w:tcW w:w="709" w:type="dxa"/>
            <w:tcBorders>
              <w:top w:val="dotted" w:sz="4" w:space="0" w:color="auto"/>
              <w:left w:val="dotted" w:sz="4" w:space="0" w:color="auto"/>
              <w:right w:val="dotted" w:sz="4" w:space="0" w:color="auto"/>
            </w:tcBorders>
            <w:vAlign w:val="bottom"/>
          </w:tcPr>
          <w:p w14:paraId="3FBF5A04" w14:textId="283EA3C0" w:rsidR="00F63977" w:rsidRPr="001F224B" w:rsidRDefault="00F63977" w:rsidP="00F63977">
            <w:pPr>
              <w:jc w:val="right"/>
              <w:rPr>
                <w:b/>
                <w:sz w:val="13"/>
                <w:szCs w:val="13"/>
              </w:rPr>
            </w:pPr>
            <w:r w:rsidRPr="001F224B">
              <w:rPr>
                <w:b/>
                <w:sz w:val="13"/>
                <w:szCs w:val="13"/>
              </w:rPr>
              <w:t xml:space="preserve"> - </w:t>
            </w:r>
          </w:p>
        </w:tc>
        <w:tc>
          <w:tcPr>
            <w:tcW w:w="851" w:type="dxa"/>
            <w:tcBorders>
              <w:top w:val="dotted" w:sz="4" w:space="0" w:color="auto"/>
              <w:left w:val="dotted" w:sz="4" w:space="0" w:color="auto"/>
              <w:right w:val="dotted" w:sz="4" w:space="0" w:color="auto"/>
            </w:tcBorders>
            <w:vAlign w:val="bottom"/>
          </w:tcPr>
          <w:p w14:paraId="2AED2418" w14:textId="164DEAFC" w:rsidR="00F63977" w:rsidRPr="001F224B" w:rsidRDefault="00F63977" w:rsidP="00F63977">
            <w:pPr>
              <w:jc w:val="right"/>
              <w:rPr>
                <w:b/>
                <w:sz w:val="13"/>
                <w:szCs w:val="13"/>
              </w:rPr>
            </w:pPr>
            <w:r w:rsidRPr="001F224B">
              <w:rPr>
                <w:b/>
                <w:sz w:val="13"/>
                <w:szCs w:val="13"/>
              </w:rPr>
              <w:t>147.162</w:t>
            </w:r>
          </w:p>
        </w:tc>
        <w:tc>
          <w:tcPr>
            <w:tcW w:w="708" w:type="dxa"/>
            <w:tcBorders>
              <w:top w:val="dotted" w:sz="4" w:space="0" w:color="auto"/>
              <w:left w:val="dotted" w:sz="4" w:space="0" w:color="auto"/>
              <w:right w:val="dotted" w:sz="4" w:space="0" w:color="auto"/>
            </w:tcBorders>
            <w:vAlign w:val="bottom"/>
          </w:tcPr>
          <w:p w14:paraId="668E81FC" w14:textId="1C1AC8E7" w:rsidR="00F63977" w:rsidRPr="001F224B" w:rsidRDefault="00F63977" w:rsidP="00F63977">
            <w:pPr>
              <w:jc w:val="right"/>
              <w:rPr>
                <w:b/>
                <w:sz w:val="13"/>
                <w:szCs w:val="13"/>
              </w:rPr>
            </w:pPr>
            <w:r w:rsidRPr="001F224B">
              <w:rPr>
                <w:b/>
                <w:sz w:val="13"/>
                <w:szCs w:val="13"/>
              </w:rPr>
              <w:t>10.931</w:t>
            </w:r>
          </w:p>
        </w:tc>
        <w:tc>
          <w:tcPr>
            <w:tcW w:w="778" w:type="dxa"/>
            <w:tcBorders>
              <w:top w:val="dotted" w:sz="4" w:space="0" w:color="auto"/>
              <w:left w:val="dotted" w:sz="4" w:space="0" w:color="auto"/>
              <w:right w:val="dotted" w:sz="4" w:space="0" w:color="auto"/>
            </w:tcBorders>
            <w:vAlign w:val="bottom"/>
          </w:tcPr>
          <w:p w14:paraId="041D9584" w14:textId="10B96117" w:rsidR="00F63977" w:rsidRPr="001F224B" w:rsidRDefault="00F63977" w:rsidP="00F63977">
            <w:pPr>
              <w:jc w:val="right"/>
              <w:rPr>
                <w:b/>
                <w:sz w:val="13"/>
                <w:szCs w:val="13"/>
              </w:rPr>
            </w:pPr>
            <w:r w:rsidRPr="001F224B">
              <w:rPr>
                <w:b/>
                <w:sz w:val="13"/>
                <w:szCs w:val="13"/>
              </w:rPr>
              <w:t>8.012.997</w:t>
            </w:r>
          </w:p>
        </w:tc>
        <w:tc>
          <w:tcPr>
            <w:tcW w:w="923" w:type="dxa"/>
            <w:tcBorders>
              <w:top w:val="dotted" w:sz="4" w:space="0" w:color="auto"/>
              <w:left w:val="dotted" w:sz="4" w:space="0" w:color="auto"/>
              <w:right w:val="dotted" w:sz="4" w:space="0" w:color="auto"/>
            </w:tcBorders>
            <w:vAlign w:val="bottom"/>
          </w:tcPr>
          <w:p w14:paraId="7DFD8AD1" w14:textId="33590F8D" w:rsidR="00F63977" w:rsidRPr="001F224B" w:rsidRDefault="00F63977" w:rsidP="00F63977">
            <w:pPr>
              <w:jc w:val="right"/>
              <w:rPr>
                <w:b/>
                <w:sz w:val="13"/>
                <w:szCs w:val="13"/>
              </w:rPr>
            </w:pPr>
            <w:r w:rsidRPr="001F224B">
              <w:rPr>
                <w:b/>
                <w:sz w:val="13"/>
                <w:szCs w:val="13"/>
              </w:rPr>
              <w:t xml:space="preserve">- </w:t>
            </w:r>
          </w:p>
        </w:tc>
        <w:tc>
          <w:tcPr>
            <w:tcW w:w="822" w:type="dxa"/>
            <w:tcBorders>
              <w:top w:val="dotted" w:sz="4" w:space="0" w:color="auto"/>
              <w:left w:val="dotted" w:sz="4" w:space="0" w:color="auto"/>
              <w:right w:val="dotted" w:sz="4" w:space="0" w:color="auto"/>
            </w:tcBorders>
            <w:vAlign w:val="bottom"/>
          </w:tcPr>
          <w:p w14:paraId="02C37807" w14:textId="4244BD85" w:rsidR="00F63977" w:rsidRPr="001F224B" w:rsidRDefault="00F63977" w:rsidP="00F63977">
            <w:pPr>
              <w:jc w:val="right"/>
              <w:rPr>
                <w:b/>
                <w:sz w:val="13"/>
                <w:szCs w:val="13"/>
              </w:rPr>
            </w:pPr>
            <w:r w:rsidRPr="001F224B">
              <w:rPr>
                <w:b/>
                <w:sz w:val="13"/>
                <w:szCs w:val="13"/>
              </w:rPr>
              <w:t>2.732.550</w:t>
            </w:r>
          </w:p>
        </w:tc>
        <w:tc>
          <w:tcPr>
            <w:tcW w:w="879" w:type="dxa"/>
            <w:tcBorders>
              <w:top w:val="dotted" w:sz="4" w:space="0" w:color="auto"/>
              <w:left w:val="dotted" w:sz="4" w:space="0" w:color="auto"/>
              <w:right w:val="dotted" w:sz="4" w:space="0" w:color="auto"/>
            </w:tcBorders>
            <w:vAlign w:val="bottom"/>
          </w:tcPr>
          <w:p w14:paraId="1FE06103" w14:textId="1FF8C883" w:rsidR="00F63977" w:rsidRPr="001F224B" w:rsidRDefault="00F63977" w:rsidP="00F63977">
            <w:pPr>
              <w:jc w:val="right"/>
              <w:rPr>
                <w:b/>
                <w:sz w:val="13"/>
                <w:szCs w:val="13"/>
              </w:rPr>
            </w:pPr>
            <w:r w:rsidRPr="001F224B">
              <w:rPr>
                <w:b/>
                <w:sz w:val="13"/>
                <w:szCs w:val="13"/>
              </w:rPr>
              <w:t>16.614.629</w:t>
            </w:r>
          </w:p>
        </w:tc>
        <w:tc>
          <w:tcPr>
            <w:tcW w:w="591" w:type="dxa"/>
            <w:gridSpan w:val="2"/>
            <w:tcBorders>
              <w:top w:val="dotted" w:sz="4" w:space="0" w:color="auto"/>
              <w:left w:val="dotted" w:sz="4" w:space="0" w:color="auto"/>
              <w:right w:val="dotted" w:sz="4" w:space="0" w:color="auto"/>
            </w:tcBorders>
            <w:vAlign w:val="bottom"/>
          </w:tcPr>
          <w:p w14:paraId="7DF679F8" w14:textId="4503D1D3" w:rsidR="00F63977" w:rsidRPr="001F224B" w:rsidRDefault="00F63977" w:rsidP="00F63977">
            <w:pPr>
              <w:jc w:val="right"/>
              <w:rPr>
                <w:b/>
                <w:sz w:val="13"/>
                <w:szCs w:val="13"/>
              </w:rPr>
            </w:pPr>
            <w:r w:rsidRPr="001F224B">
              <w:rPr>
                <w:b/>
                <w:sz w:val="13"/>
                <w:szCs w:val="13"/>
              </w:rPr>
              <w:t>-</w:t>
            </w:r>
          </w:p>
        </w:tc>
        <w:tc>
          <w:tcPr>
            <w:tcW w:w="807" w:type="dxa"/>
            <w:tcBorders>
              <w:top w:val="dotted" w:sz="4" w:space="0" w:color="auto"/>
              <w:left w:val="dotted" w:sz="4" w:space="0" w:color="auto"/>
            </w:tcBorders>
            <w:vAlign w:val="bottom"/>
          </w:tcPr>
          <w:p w14:paraId="73B213AE" w14:textId="0412E812" w:rsidR="00F63977" w:rsidRPr="001F224B" w:rsidRDefault="00F63977" w:rsidP="00F63977">
            <w:pPr>
              <w:jc w:val="right"/>
              <w:rPr>
                <w:b/>
                <w:sz w:val="13"/>
                <w:szCs w:val="13"/>
              </w:rPr>
            </w:pPr>
            <w:r w:rsidRPr="001F224B">
              <w:rPr>
                <w:b/>
                <w:sz w:val="13"/>
                <w:szCs w:val="13"/>
              </w:rPr>
              <w:t>16.614.629</w:t>
            </w:r>
          </w:p>
        </w:tc>
      </w:tr>
      <w:tr w:rsidR="00BA2DD8" w:rsidRPr="001F224B" w14:paraId="1EC67629" w14:textId="77777777" w:rsidTr="005D2E7F">
        <w:trPr>
          <w:trHeight w:val="19"/>
        </w:trPr>
        <w:tc>
          <w:tcPr>
            <w:tcW w:w="465" w:type="dxa"/>
            <w:tcBorders>
              <w:top w:val="single" w:sz="4" w:space="0" w:color="auto"/>
              <w:left w:val="single" w:sz="4" w:space="0" w:color="auto"/>
              <w:bottom w:val="nil"/>
            </w:tcBorders>
          </w:tcPr>
          <w:p w14:paraId="3EDC1E91" w14:textId="77777777" w:rsidR="00BA2DD8" w:rsidRPr="001F224B" w:rsidRDefault="00BA2DD8" w:rsidP="00BA2DD8">
            <w:pPr>
              <w:rPr>
                <w:b/>
                <w:bCs/>
                <w:sz w:val="13"/>
                <w:szCs w:val="13"/>
              </w:rPr>
            </w:pPr>
          </w:p>
        </w:tc>
        <w:tc>
          <w:tcPr>
            <w:tcW w:w="2925" w:type="dxa"/>
            <w:tcBorders>
              <w:top w:val="single" w:sz="4" w:space="0" w:color="auto"/>
              <w:bottom w:val="nil"/>
              <w:right w:val="single" w:sz="4" w:space="0" w:color="auto"/>
            </w:tcBorders>
            <w:shd w:val="clear" w:color="auto" w:fill="auto"/>
          </w:tcPr>
          <w:p w14:paraId="1D8D8887" w14:textId="77777777" w:rsidR="00BA2DD8" w:rsidRPr="001F224B" w:rsidRDefault="00BA2DD8" w:rsidP="00BA2DD8">
            <w:pPr>
              <w:jc w:val="center"/>
              <w:rPr>
                <w:b/>
                <w:bCs/>
                <w:sz w:val="13"/>
                <w:szCs w:val="13"/>
              </w:rPr>
            </w:pPr>
            <w:r w:rsidRPr="001F224B">
              <w:rPr>
                <w:b/>
                <w:bCs/>
                <w:sz w:val="13"/>
                <w:szCs w:val="13"/>
              </w:rPr>
              <w:t>Cari Dönem</w:t>
            </w:r>
          </w:p>
        </w:tc>
        <w:tc>
          <w:tcPr>
            <w:tcW w:w="754" w:type="dxa"/>
            <w:tcBorders>
              <w:top w:val="single" w:sz="4" w:space="0" w:color="auto"/>
              <w:left w:val="single" w:sz="4" w:space="0" w:color="auto"/>
              <w:bottom w:val="nil"/>
              <w:right w:val="dotted" w:sz="4" w:space="0" w:color="auto"/>
            </w:tcBorders>
            <w:vAlign w:val="bottom"/>
          </w:tcPr>
          <w:p w14:paraId="59BB7371" w14:textId="77777777" w:rsidR="00BA2DD8" w:rsidRPr="001F224B" w:rsidRDefault="00BA2DD8" w:rsidP="000608C7">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07488C12" w14:textId="77777777" w:rsidR="00BA2DD8" w:rsidRPr="001F224B" w:rsidRDefault="00BA2DD8" w:rsidP="000608C7">
            <w:pPr>
              <w:jc w:val="right"/>
              <w:rPr>
                <w:sz w:val="12"/>
                <w:szCs w:val="12"/>
              </w:rPr>
            </w:pPr>
          </w:p>
        </w:tc>
        <w:tc>
          <w:tcPr>
            <w:tcW w:w="709" w:type="dxa"/>
            <w:tcBorders>
              <w:top w:val="single" w:sz="4" w:space="0" w:color="auto"/>
              <w:left w:val="dotted" w:sz="4" w:space="0" w:color="auto"/>
              <w:bottom w:val="nil"/>
              <w:right w:val="dotted" w:sz="4" w:space="0" w:color="auto"/>
            </w:tcBorders>
            <w:vAlign w:val="bottom"/>
          </w:tcPr>
          <w:p w14:paraId="05325619" w14:textId="77777777" w:rsidR="00BA2DD8" w:rsidRPr="001F224B" w:rsidRDefault="00BA2DD8" w:rsidP="000608C7">
            <w:pPr>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771DC276" w14:textId="77777777" w:rsidR="00BA2DD8" w:rsidRPr="001F224B" w:rsidRDefault="00BA2DD8" w:rsidP="000608C7">
            <w:pPr>
              <w:jc w:val="right"/>
              <w:rPr>
                <w:sz w:val="12"/>
                <w:szCs w:val="12"/>
              </w:rPr>
            </w:pPr>
            <w:r w:rsidRPr="001F224B">
              <w:rPr>
                <w:sz w:val="12"/>
                <w:szCs w:val="12"/>
              </w:rPr>
              <w:t xml:space="preserve"> </w:t>
            </w:r>
          </w:p>
        </w:tc>
        <w:tc>
          <w:tcPr>
            <w:tcW w:w="676" w:type="dxa"/>
            <w:tcBorders>
              <w:top w:val="single" w:sz="4" w:space="0" w:color="auto"/>
              <w:left w:val="dotted" w:sz="4" w:space="0" w:color="auto"/>
              <w:bottom w:val="nil"/>
              <w:right w:val="dotted" w:sz="4" w:space="0" w:color="auto"/>
            </w:tcBorders>
            <w:vAlign w:val="bottom"/>
          </w:tcPr>
          <w:p w14:paraId="4BBA30B6" w14:textId="77777777" w:rsidR="00BA2DD8" w:rsidRPr="001F224B" w:rsidRDefault="00BA2DD8" w:rsidP="000608C7">
            <w:pPr>
              <w:jc w:val="right"/>
              <w:rPr>
                <w:sz w:val="12"/>
                <w:szCs w:val="12"/>
              </w:rPr>
            </w:pPr>
          </w:p>
        </w:tc>
        <w:tc>
          <w:tcPr>
            <w:tcW w:w="710" w:type="dxa"/>
            <w:tcBorders>
              <w:top w:val="single" w:sz="4" w:space="0" w:color="auto"/>
              <w:left w:val="dotted" w:sz="4" w:space="0" w:color="auto"/>
              <w:bottom w:val="nil"/>
              <w:right w:val="dotted" w:sz="4" w:space="0" w:color="auto"/>
            </w:tcBorders>
            <w:vAlign w:val="bottom"/>
          </w:tcPr>
          <w:p w14:paraId="40EB9C18" w14:textId="77777777" w:rsidR="00BA2DD8" w:rsidRPr="001F224B" w:rsidRDefault="00BA2DD8" w:rsidP="000608C7">
            <w:pPr>
              <w:jc w:val="right"/>
              <w:rPr>
                <w:sz w:val="12"/>
                <w:szCs w:val="12"/>
              </w:rPr>
            </w:pPr>
          </w:p>
        </w:tc>
        <w:tc>
          <w:tcPr>
            <w:tcW w:w="708" w:type="dxa"/>
            <w:tcBorders>
              <w:top w:val="single" w:sz="4" w:space="0" w:color="auto"/>
              <w:left w:val="dotted" w:sz="4" w:space="0" w:color="auto"/>
              <w:bottom w:val="nil"/>
              <w:right w:val="dotted" w:sz="4" w:space="0" w:color="auto"/>
            </w:tcBorders>
            <w:vAlign w:val="bottom"/>
          </w:tcPr>
          <w:p w14:paraId="29D026BA" w14:textId="77777777" w:rsidR="00BA2DD8" w:rsidRPr="001F224B" w:rsidRDefault="00BA2DD8" w:rsidP="000608C7">
            <w:pPr>
              <w:jc w:val="right"/>
              <w:rPr>
                <w:sz w:val="12"/>
                <w:szCs w:val="12"/>
              </w:rPr>
            </w:pPr>
            <w:r w:rsidRPr="001F224B">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316A7787" w14:textId="77777777" w:rsidR="00BA2DD8" w:rsidRPr="001F224B" w:rsidRDefault="00BA2DD8" w:rsidP="000608C7">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5C78343B" w14:textId="77777777" w:rsidR="00BA2DD8" w:rsidRPr="001F224B" w:rsidRDefault="00BA2DD8" w:rsidP="000608C7">
            <w:pPr>
              <w:jc w:val="right"/>
              <w:rPr>
                <w:sz w:val="12"/>
                <w:szCs w:val="12"/>
              </w:rPr>
            </w:pPr>
            <w:r w:rsidRPr="001F224B">
              <w:rPr>
                <w:sz w:val="12"/>
                <w:szCs w:val="12"/>
              </w:rPr>
              <w:t xml:space="preserve"> </w:t>
            </w:r>
          </w:p>
        </w:tc>
        <w:tc>
          <w:tcPr>
            <w:tcW w:w="708" w:type="dxa"/>
            <w:tcBorders>
              <w:top w:val="single" w:sz="4" w:space="0" w:color="auto"/>
              <w:left w:val="dotted" w:sz="4" w:space="0" w:color="auto"/>
              <w:bottom w:val="nil"/>
              <w:right w:val="dotted" w:sz="4" w:space="0" w:color="auto"/>
            </w:tcBorders>
            <w:vAlign w:val="bottom"/>
          </w:tcPr>
          <w:p w14:paraId="0A78B280" w14:textId="77777777" w:rsidR="00BA2DD8" w:rsidRPr="001F224B" w:rsidRDefault="00BA2DD8" w:rsidP="000608C7">
            <w:pPr>
              <w:ind w:right="-92"/>
              <w:jc w:val="right"/>
              <w:rPr>
                <w:sz w:val="12"/>
                <w:szCs w:val="12"/>
              </w:rPr>
            </w:pPr>
          </w:p>
        </w:tc>
        <w:tc>
          <w:tcPr>
            <w:tcW w:w="778" w:type="dxa"/>
            <w:tcBorders>
              <w:top w:val="single" w:sz="4" w:space="0" w:color="auto"/>
              <w:left w:val="dotted" w:sz="4" w:space="0" w:color="auto"/>
              <w:bottom w:val="nil"/>
              <w:right w:val="dotted" w:sz="4" w:space="0" w:color="auto"/>
            </w:tcBorders>
            <w:vAlign w:val="bottom"/>
          </w:tcPr>
          <w:p w14:paraId="53647DAA" w14:textId="77777777" w:rsidR="00BA2DD8" w:rsidRPr="001F224B" w:rsidRDefault="00BA2DD8" w:rsidP="000608C7">
            <w:pPr>
              <w:jc w:val="right"/>
              <w:rPr>
                <w:sz w:val="12"/>
                <w:szCs w:val="12"/>
              </w:rPr>
            </w:pPr>
            <w:r w:rsidRPr="001F224B">
              <w:rPr>
                <w:sz w:val="12"/>
                <w:szCs w:val="12"/>
              </w:rPr>
              <w:t xml:space="preserve"> </w:t>
            </w:r>
          </w:p>
        </w:tc>
        <w:tc>
          <w:tcPr>
            <w:tcW w:w="923" w:type="dxa"/>
            <w:tcBorders>
              <w:top w:val="single" w:sz="4" w:space="0" w:color="auto"/>
              <w:left w:val="dotted" w:sz="4" w:space="0" w:color="auto"/>
              <w:bottom w:val="nil"/>
              <w:right w:val="dotted" w:sz="4" w:space="0" w:color="auto"/>
            </w:tcBorders>
            <w:vAlign w:val="bottom"/>
          </w:tcPr>
          <w:p w14:paraId="5135C031" w14:textId="77777777" w:rsidR="00BA2DD8" w:rsidRPr="001F224B" w:rsidRDefault="00BA2DD8" w:rsidP="000608C7">
            <w:pPr>
              <w:jc w:val="right"/>
              <w:rPr>
                <w:sz w:val="12"/>
                <w:szCs w:val="12"/>
              </w:rPr>
            </w:pPr>
            <w:r w:rsidRPr="001F224B">
              <w:rPr>
                <w:sz w:val="12"/>
                <w:szCs w:val="12"/>
              </w:rPr>
              <w:t xml:space="preserve"> </w:t>
            </w:r>
          </w:p>
        </w:tc>
        <w:tc>
          <w:tcPr>
            <w:tcW w:w="822" w:type="dxa"/>
            <w:tcBorders>
              <w:top w:val="single" w:sz="4" w:space="0" w:color="auto"/>
              <w:left w:val="dotted" w:sz="4" w:space="0" w:color="auto"/>
              <w:bottom w:val="nil"/>
              <w:right w:val="dotted" w:sz="4" w:space="0" w:color="auto"/>
            </w:tcBorders>
            <w:vAlign w:val="bottom"/>
          </w:tcPr>
          <w:p w14:paraId="161B050D" w14:textId="77777777" w:rsidR="00BA2DD8" w:rsidRPr="001F224B" w:rsidRDefault="00BA2DD8" w:rsidP="000608C7">
            <w:pPr>
              <w:jc w:val="right"/>
              <w:rPr>
                <w:sz w:val="12"/>
                <w:szCs w:val="12"/>
              </w:rPr>
            </w:pPr>
          </w:p>
        </w:tc>
        <w:tc>
          <w:tcPr>
            <w:tcW w:w="879" w:type="dxa"/>
            <w:tcBorders>
              <w:top w:val="single" w:sz="4" w:space="0" w:color="auto"/>
              <w:left w:val="dotted" w:sz="4" w:space="0" w:color="auto"/>
              <w:bottom w:val="nil"/>
              <w:right w:val="dotted" w:sz="4" w:space="0" w:color="auto"/>
            </w:tcBorders>
            <w:vAlign w:val="bottom"/>
          </w:tcPr>
          <w:p w14:paraId="259D70C2" w14:textId="77777777" w:rsidR="00BA2DD8" w:rsidRPr="001F224B" w:rsidRDefault="00BA2DD8" w:rsidP="000608C7">
            <w:pPr>
              <w:jc w:val="right"/>
              <w:rPr>
                <w:sz w:val="12"/>
                <w:szCs w:val="12"/>
              </w:rPr>
            </w:pPr>
          </w:p>
        </w:tc>
        <w:tc>
          <w:tcPr>
            <w:tcW w:w="591" w:type="dxa"/>
            <w:gridSpan w:val="2"/>
            <w:tcBorders>
              <w:top w:val="single" w:sz="4" w:space="0" w:color="auto"/>
              <w:left w:val="dotted" w:sz="4" w:space="0" w:color="auto"/>
              <w:bottom w:val="nil"/>
              <w:right w:val="dotted" w:sz="4" w:space="0" w:color="auto"/>
            </w:tcBorders>
            <w:vAlign w:val="bottom"/>
          </w:tcPr>
          <w:p w14:paraId="23FB7C53" w14:textId="77777777" w:rsidR="00BA2DD8" w:rsidRPr="001F224B" w:rsidRDefault="00BA2DD8" w:rsidP="000608C7">
            <w:pPr>
              <w:jc w:val="right"/>
              <w:rPr>
                <w:sz w:val="12"/>
                <w:szCs w:val="12"/>
              </w:rPr>
            </w:pPr>
          </w:p>
        </w:tc>
        <w:tc>
          <w:tcPr>
            <w:tcW w:w="807" w:type="dxa"/>
            <w:tcBorders>
              <w:top w:val="single" w:sz="4" w:space="0" w:color="auto"/>
              <w:left w:val="dotted" w:sz="4" w:space="0" w:color="auto"/>
              <w:bottom w:val="nil"/>
            </w:tcBorders>
            <w:vAlign w:val="bottom"/>
          </w:tcPr>
          <w:p w14:paraId="01DD3853" w14:textId="77777777" w:rsidR="00BA2DD8" w:rsidRPr="001F224B" w:rsidRDefault="00BA2DD8" w:rsidP="000608C7">
            <w:pPr>
              <w:jc w:val="right"/>
              <w:rPr>
                <w:sz w:val="12"/>
                <w:szCs w:val="12"/>
              </w:rPr>
            </w:pPr>
          </w:p>
        </w:tc>
      </w:tr>
      <w:tr w:rsidR="00BA2DD8" w:rsidRPr="001F224B" w14:paraId="778B2947" w14:textId="77777777" w:rsidTr="00DC2796">
        <w:trPr>
          <w:trHeight w:val="72"/>
        </w:trPr>
        <w:tc>
          <w:tcPr>
            <w:tcW w:w="465" w:type="dxa"/>
            <w:tcBorders>
              <w:top w:val="nil"/>
              <w:left w:val="single" w:sz="4" w:space="0" w:color="auto"/>
              <w:bottom w:val="nil"/>
            </w:tcBorders>
          </w:tcPr>
          <w:p w14:paraId="3EAFCA9B" w14:textId="77777777" w:rsidR="00BA2DD8" w:rsidRPr="001F224B" w:rsidRDefault="00BA2DD8" w:rsidP="00BA2DD8">
            <w:pPr>
              <w:rPr>
                <w:b/>
                <w:bCs/>
                <w:sz w:val="13"/>
                <w:szCs w:val="13"/>
              </w:rPr>
            </w:pPr>
          </w:p>
        </w:tc>
        <w:tc>
          <w:tcPr>
            <w:tcW w:w="2925" w:type="dxa"/>
            <w:tcBorders>
              <w:top w:val="nil"/>
              <w:bottom w:val="nil"/>
              <w:right w:val="single" w:sz="4" w:space="0" w:color="auto"/>
            </w:tcBorders>
            <w:shd w:val="clear" w:color="auto" w:fill="auto"/>
          </w:tcPr>
          <w:p w14:paraId="78FC6044" w14:textId="5EC9B958" w:rsidR="00BA2DD8" w:rsidRPr="001F224B" w:rsidRDefault="00A1696E" w:rsidP="00BA2DD8">
            <w:pPr>
              <w:jc w:val="center"/>
              <w:rPr>
                <w:b/>
                <w:bCs/>
                <w:sz w:val="13"/>
                <w:szCs w:val="13"/>
              </w:rPr>
            </w:pPr>
            <w:r w:rsidRPr="001F224B">
              <w:rPr>
                <w:b/>
                <w:sz w:val="13"/>
                <w:szCs w:val="13"/>
              </w:rPr>
              <w:t>3</w:t>
            </w:r>
            <w:r w:rsidR="00F63977" w:rsidRPr="001F224B">
              <w:rPr>
                <w:b/>
                <w:sz w:val="13"/>
                <w:szCs w:val="13"/>
              </w:rPr>
              <w:t>0</w:t>
            </w:r>
            <w:r w:rsidRPr="001F224B">
              <w:rPr>
                <w:b/>
                <w:sz w:val="13"/>
                <w:szCs w:val="13"/>
              </w:rPr>
              <w:t xml:space="preserve"> </w:t>
            </w:r>
            <w:r w:rsidR="00F63977" w:rsidRPr="001F224B">
              <w:rPr>
                <w:b/>
                <w:sz w:val="13"/>
                <w:szCs w:val="13"/>
              </w:rPr>
              <w:t>Haziran</w:t>
            </w:r>
            <w:r w:rsidRPr="001F224B">
              <w:rPr>
                <w:b/>
                <w:sz w:val="13"/>
                <w:szCs w:val="13"/>
              </w:rPr>
              <w:t xml:space="preserve"> </w:t>
            </w:r>
            <w:r w:rsidR="00BA2DD8" w:rsidRPr="001F224B">
              <w:rPr>
                <w:b/>
                <w:sz w:val="13"/>
                <w:szCs w:val="13"/>
              </w:rPr>
              <w:t>202</w:t>
            </w:r>
            <w:r w:rsidR="00E732C0" w:rsidRPr="001F224B">
              <w:rPr>
                <w:b/>
                <w:sz w:val="13"/>
                <w:szCs w:val="13"/>
              </w:rPr>
              <w:t>5</w:t>
            </w:r>
          </w:p>
        </w:tc>
        <w:tc>
          <w:tcPr>
            <w:tcW w:w="754" w:type="dxa"/>
            <w:tcBorders>
              <w:top w:val="nil"/>
              <w:left w:val="single" w:sz="4" w:space="0" w:color="auto"/>
              <w:bottom w:val="nil"/>
              <w:right w:val="dotted" w:sz="4" w:space="0" w:color="auto"/>
            </w:tcBorders>
            <w:vAlign w:val="bottom"/>
          </w:tcPr>
          <w:p w14:paraId="0506073E" w14:textId="77777777" w:rsidR="00BA2DD8" w:rsidRPr="001F224B" w:rsidRDefault="00BA2DD8" w:rsidP="000608C7">
            <w:pPr>
              <w:jc w:val="right"/>
              <w:rPr>
                <w:sz w:val="13"/>
                <w:szCs w:val="13"/>
              </w:rPr>
            </w:pPr>
          </w:p>
        </w:tc>
        <w:tc>
          <w:tcPr>
            <w:tcW w:w="992" w:type="dxa"/>
            <w:tcBorders>
              <w:top w:val="nil"/>
              <w:left w:val="dotted" w:sz="4" w:space="0" w:color="auto"/>
              <w:bottom w:val="nil"/>
              <w:right w:val="dotted" w:sz="4" w:space="0" w:color="auto"/>
            </w:tcBorders>
            <w:vAlign w:val="bottom"/>
          </w:tcPr>
          <w:p w14:paraId="535096C9" w14:textId="77777777" w:rsidR="00BA2DD8" w:rsidRPr="001F224B"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55B57EE0" w14:textId="77777777" w:rsidR="00BA2DD8" w:rsidRPr="001F224B" w:rsidRDefault="00BA2DD8" w:rsidP="000608C7">
            <w:pPr>
              <w:jc w:val="right"/>
              <w:rPr>
                <w:sz w:val="13"/>
                <w:szCs w:val="13"/>
              </w:rPr>
            </w:pPr>
          </w:p>
        </w:tc>
        <w:tc>
          <w:tcPr>
            <w:tcW w:w="850" w:type="dxa"/>
            <w:tcBorders>
              <w:top w:val="nil"/>
              <w:left w:val="dotted" w:sz="4" w:space="0" w:color="auto"/>
              <w:bottom w:val="nil"/>
              <w:right w:val="dotted" w:sz="4" w:space="0" w:color="auto"/>
            </w:tcBorders>
            <w:vAlign w:val="bottom"/>
          </w:tcPr>
          <w:p w14:paraId="2ED139C2" w14:textId="77777777" w:rsidR="00BA2DD8" w:rsidRPr="001F224B" w:rsidRDefault="00BA2DD8" w:rsidP="000608C7">
            <w:pPr>
              <w:jc w:val="right"/>
              <w:rPr>
                <w:sz w:val="13"/>
                <w:szCs w:val="13"/>
              </w:rPr>
            </w:pPr>
          </w:p>
        </w:tc>
        <w:tc>
          <w:tcPr>
            <w:tcW w:w="676" w:type="dxa"/>
            <w:tcBorders>
              <w:top w:val="nil"/>
              <w:left w:val="dotted" w:sz="4" w:space="0" w:color="auto"/>
              <w:bottom w:val="nil"/>
              <w:right w:val="dotted" w:sz="4" w:space="0" w:color="auto"/>
            </w:tcBorders>
            <w:vAlign w:val="bottom"/>
          </w:tcPr>
          <w:p w14:paraId="2BA18DE9" w14:textId="77777777" w:rsidR="00BA2DD8" w:rsidRPr="001F224B" w:rsidRDefault="00BA2DD8" w:rsidP="000608C7">
            <w:pPr>
              <w:jc w:val="right"/>
              <w:rPr>
                <w:sz w:val="13"/>
                <w:szCs w:val="13"/>
              </w:rPr>
            </w:pPr>
          </w:p>
        </w:tc>
        <w:tc>
          <w:tcPr>
            <w:tcW w:w="710" w:type="dxa"/>
            <w:tcBorders>
              <w:top w:val="nil"/>
              <w:left w:val="dotted" w:sz="4" w:space="0" w:color="auto"/>
              <w:bottom w:val="nil"/>
              <w:right w:val="dotted" w:sz="4" w:space="0" w:color="auto"/>
            </w:tcBorders>
            <w:vAlign w:val="bottom"/>
          </w:tcPr>
          <w:p w14:paraId="6FCDF397" w14:textId="77777777" w:rsidR="00BA2DD8" w:rsidRPr="001F224B"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4B06E0CA" w14:textId="77777777" w:rsidR="00BA2DD8" w:rsidRPr="001F224B"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61EA85D0" w14:textId="77777777" w:rsidR="00BA2DD8" w:rsidRPr="001F224B" w:rsidRDefault="00BA2DD8" w:rsidP="000608C7">
            <w:pPr>
              <w:jc w:val="right"/>
              <w:rPr>
                <w:sz w:val="13"/>
                <w:szCs w:val="13"/>
              </w:rPr>
            </w:pPr>
          </w:p>
        </w:tc>
        <w:tc>
          <w:tcPr>
            <w:tcW w:w="851" w:type="dxa"/>
            <w:tcBorders>
              <w:top w:val="nil"/>
              <w:left w:val="dotted" w:sz="4" w:space="0" w:color="auto"/>
              <w:bottom w:val="nil"/>
              <w:right w:val="dotted" w:sz="4" w:space="0" w:color="auto"/>
            </w:tcBorders>
            <w:vAlign w:val="bottom"/>
          </w:tcPr>
          <w:p w14:paraId="7D1C73FF" w14:textId="77777777" w:rsidR="00BA2DD8" w:rsidRPr="001F224B"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479AEC02" w14:textId="77777777" w:rsidR="00BA2DD8" w:rsidRPr="001F224B" w:rsidRDefault="00BA2DD8" w:rsidP="000608C7">
            <w:pPr>
              <w:ind w:right="-92"/>
              <w:jc w:val="right"/>
              <w:rPr>
                <w:sz w:val="13"/>
                <w:szCs w:val="13"/>
              </w:rPr>
            </w:pPr>
          </w:p>
        </w:tc>
        <w:tc>
          <w:tcPr>
            <w:tcW w:w="778" w:type="dxa"/>
            <w:tcBorders>
              <w:top w:val="nil"/>
              <w:left w:val="dotted" w:sz="4" w:space="0" w:color="auto"/>
              <w:bottom w:val="nil"/>
              <w:right w:val="dotted" w:sz="4" w:space="0" w:color="auto"/>
            </w:tcBorders>
            <w:vAlign w:val="bottom"/>
          </w:tcPr>
          <w:p w14:paraId="1D5CD1A2" w14:textId="77777777" w:rsidR="00BA2DD8" w:rsidRPr="001F224B" w:rsidRDefault="00BA2DD8" w:rsidP="000608C7">
            <w:pPr>
              <w:jc w:val="right"/>
              <w:rPr>
                <w:sz w:val="13"/>
                <w:szCs w:val="13"/>
              </w:rPr>
            </w:pPr>
          </w:p>
        </w:tc>
        <w:tc>
          <w:tcPr>
            <w:tcW w:w="923" w:type="dxa"/>
            <w:tcBorders>
              <w:top w:val="nil"/>
              <w:left w:val="dotted" w:sz="4" w:space="0" w:color="auto"/>
              <w:bottom w:val="nil"/>
              <w:right w:val="dotted" w:sz="4" w:space="0" w:color="auto"/>
            </w:tcBorders>
            <w:vAlign w:val="bottom"/>
          </w:tcPr>
          <w:p w14:paraId="0CE30394" w14:textId="77777777" w:rsidR="00BA2DD8" w:rsidRPr="001F224B" w:rsidRDefault="00BA2DD8" w:rsidP="000608C7">
            <w:pPr>
              <w:jc w:val="right"/>
              <w:rPr>
                <w:sz w:val="13"/>
                <w:szCs w:val="13"/>
              </w:rPr>
            </w:pPr>
          </w:p>
        </w:tc>
        <w:tc>
          <w:tcPr>
            <w:tcW w:w="822" w:type="dxa"/>
            <w:tcBorders>
              <w:top w:val="nil"/>
              <w:left w:val="dotted" w:sz="4" w:space="0" w:color="auto"/>
              <w:bottom w:val="nil"/>
              <w:right w:val="dotted" w:sz="4" w:space="0" w:color="auto"/>
            </w:tcBorders>
            <w:vAlign w:val="bottom"/>
          </w:tcPr>
          <w:p w14:paraId="7C0D026E" w14:textId="77777777" w:rsidR="00BA2DD8" w:rsidRPr="001F224B" w:rsidRDefault="00BA2DD8" w:rsidP="000608C7">
            <w:pPr>
              <w:jc w:val="right"/>
              <w:rPr>
                <w:sz w:val="13"/>
                <w:szCs w:val="13"/>
              </w:rPr>
            </w:pPr>
          </w:p>
        </w:tc>
        <w:tc>
          <w:tcPr>
            <w:tcW w:w="879" w:type="dxa"/>
            <w:tcBorders>
              <w:top w:val="nil"/>
              <w:left w:val="dotted" w:sz="4" w:space="0" w:color="auto"/>
              <w:bottom w:val="nil"/>
              <w:right w:val="dotted" w:sz="4" w:space="0" w:color="auto"/>
            </w:tcBorders>
            <w:vAlign w:val="bottom"/>
          </w:tcPr>
          <w:p w14:paraId="1A23229C" w14:textId="77777777" w:rsidR="00BA2DD8" w:rsidRPr="001F224B" w:rsidRDefault="00BA2DD8" w:rsidP="000608C7">
            <w:pPr>
              <w:jc w:val="right"/>
              <w:rPr>
                <w:sz w:val="13"/>
                <w:szCs w:val="13"/>
              </w:rPr>
            </w:pPr>
          </w:p>
        </w:tc>
        <w:tc>
          <w:tcPr>
            <w:tcW w:w="591" w:type="dxa"/>
            <w:gridSpan w:val="2"/>
            <w:tcBorders>
              <w:top w:val="nil"/>
              <w:left w:val="dotted" w:sz="4" w:space="0" w:color="auto"/>
              <w:bottom w:val="nil"/>
              <w:right w:val="dotted" w:sz="4" w:space="0" w:color="auto"/>
            </w:tcBorders>
            <w:vAlign w:val="bottom"/>
          </w:tcPr>
          <w:p w14:paraId="50F37CD5" w14:textId="77777777" w:rsidR="00BA2DD8" w:rsidRPr="001F224B" w:rsidRDefault="00BA2DD8" w:rsidP="000608C7">
            <w:pPr>
              <w:jc w:val="right"/>
              <w:rPr>
                <w:sz w:val="13"/>
                <w:szCs w:val="13"/>
              </w:rPr>
            </w:pPr>
          </w:p>
        </w:tc>
        <w:tc>
          <w:tcPr>
            <w:tcW w:w="807" w:type="dxa"/>
            <w:tcBorders>
              <w:top w:val="nil"/>
              <w:left w:val="dotted" w:sz="4" w:space="0" w:color="auto"/>
              <w:bottom w:val="nil"/>
            </w:tcBorders>
            <w:vAlign w:val="bottom"/>
          </w:tcPr>
          <w:p w14:paraId="2808E021" w14:textId="77777777" w:rsidR="00BA2DD8" w:rsidRPr="001F224B" w:rsidRDefault="00BA2DD8" w:rsidP="000608C7">
            <w:pPr>
              <w:jc w:val="right"/>
              <w:rPr>
                <w:sz w:val="13"/>
                <w:szCs w:val="13"/>
              </w:rPr>
            </w:pPr>
          </w:p>
        </w:tc>
      </w:tr>
      <w:tr w:rsidR="009D13D5" w:rsidRPr="001F224B" w14:paraId="2B1529E0" w14:textId="77777777" w:rsidTr="00665791">
        <w:trPr>
          <w:trHeight w:val="19"/>
        </w:trPr>
        <w:tc>
          <w:tcPr>
            <w:tcW w:w="465" w:type="dxa"/>
            <w:tcBorders>
              <w:top w:val="nil"/>
              <w:left w:val="single" w:sz="4" w:space="0" w:color="auto"/>
              <w:bottom w:val="nil"/>
            </w:tcBorders>
          </w:tcPr>
          <w:p w14:paraId="30BB7A16" w14:textId="77777777" w:rsidR="009D13D5" w:rsidRPr="001F224B" w:rsidRDefault="009D13D5" w:rsidP="009D13D5">
            <w:pPr>
              <w:rPr>
                <w:b/>
                <w:bCs/>
                <w:sz w:val="13"/>
                <w:szCs w:val="13"/>
              </w:rPr>
            </w:pPr>
            <w:r w:rsidRPr="001F224B">
              <w:rPr>
                <w:b/>
                <w:bCs/>
                <w:sz w:val="13"/>
                <w:szCs w:val="13"/>
              </w:rPr>
              <w:t>I.</w:t>
            </w:r>
          </w:p>
        </w:tc>
        <w:tc>
          <w:tcPr>
            <w:tcW w:w="2925" w:type="dxa"/>
            <w:tcBorders>
              <w:top w:val="nil"/>
              <w:bottom w:val="nil"/>
              <w:right w:val="single" w:sz="4" w:space="0" w:color="auto"/>
            </w:tcBorders>
          </w:tcPr>
          <w:p w14:paraId="23476A0C" w14:textId="77777777" w:rsidR="009D13D5" w:rsidRPr="001F224B" w:rsidRDefault="009D13D5" w:rsidP="009D13D5">
            <w:pPr>
              <w:rPr>
                <w:b/>
                <w:bCs/>
                <w:sz w:val="13"/>
                <w:szCs w:val="13"/>
              </w:rPr>
            </w:pPr>
            <w:r w:rsidRPr="001F224B">
              <w:rPr>
                <w:b/>
                <w:bCs/>
                <w:sz w:val="13"/>
                <w:szCs w:val="13"/>
              </w:rPr>
              <w:t xml:space="preserve">Önceki Dönem Sonu Bakiyesi </w:t>
            </w:r>
          </w:p>
        </w:tc>
        <w:tc>
          <w:tcPr>
            <w:tcW w:w="754" w:type="dxa"/>
            <w:tcBorders>
              <w:top w:val="nil"/>
              <w:left w:val="single" w:sz="4" w:space="0" w:color="auto"/>
              <w:bottom w:val="nil"/>
              <w:right w:val="dotted" w:sz="4" w:space="0" w:color="auto"/>
            </w:tcBorders>
          </w:tcPr>
          <w:p w14:paraId="05BC0FDA" w14:textId="158A44B6" w:rsidR="009D13D5" w:rsidRPr="001F224B" w:rsidRDefault="009D13D5" w:rsidP="009D13D5">
            <w:pPr>
              <w:jc w:val="right"/>
              <w:rPr>
                <w:b/>
                <w:sz w:val="13"/>
                <w:szCs w:val="13"/>
              </w:rPr>
            </w:pPr>
            <w:r w:rsidRPr="001F224B">
              <w:rPr>
                <w:b/>
                <w:sz w:val="13"/>
                <w:szCs w:val="13"/>
              </w:rPr>
              <w:t>5.500.000</w:t>
            </w:r>
          </w:p>
        </w:tc>
        <w:tc>
          <w:tcPr>
            <w:tcW w:w="992" w:type="dxa"/>
            <w:tcBorders>
              <w:top w:val="nil"/>
              <w:left w:val="dotted" w:sz="4" w:space="0" w:color="auto"/>
              <w:bottom w:val="nil"/>
              <w:right w:val="dotted" w:sz="4" w:space="0" w:color="auto"/>
            </w:tcBorders>
          </w:tcPr>
          <w:p w14:paraId="1AB8C83C" w14:textId="24270204" w:rsidR="009D13D5" w:rsidRPr="001F224B" w:rsidRDefault="009D13D5" w:rsidP="009D13D5">
            <w:pPr>
              <w:jc w:val="right"/>
              <w:rPr>
                <w:b/>
                <w:sz w:val="13"/>
                <w:szCs w:val="13"/>
              </w:rPr>
            </w:pPr>
            <w:r w:rsidRPr="001F224B">
              <w:rPr>
                <w:b/>
                <w:sz w:val="13"/>
                <w:szCs w:val="13"/>
              </w:rPr>
              <w:t>5.421</w:t>
            </w:r>
          </w:p>
        </w:tc>
        <w:tc>
          <w:tcPr>
            <w:tcW w:w="709" w:type="dxa"/>
            <w:tcBorders>
              <w:top w:val="nil"/>
              <w:left w:val="dotted" w:sz="4" w:space="0" w:color="auto"/>
              <w:bottom w:val="nil"/>
              <w:right w:val="dotted" w:sz="4" w:space="0" w:color="auto"/>
            </w:tcBorders>
            <w:vAlign w:val="bottom"/>
          </w:tcPr>
          <w:p w14:paraId="3DE65574" w14:textId="7AD4BDE2"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tcPr>
          <w:p w14:paraId="48690AB2" w14:textId="5B242F77" w:rsidR="009D13D5" w:rsidRPr="001F224B" w:rsidRDefault="009D13D5" w:rsidP="009D13D5">
            <w:pPr>
              <w:jc w:val="right"/>
              <w:rPr>
                <w:b/>
                <w:sz w:val="13"/>
                <w:szCs w:val="13"/>
              </w:rPr>
            </w:pPr>
            <w:r w:rsidRPr="001F224B">
              <w:rPr>
                <w:b/>
                <w:sz w:val="13"/>
                <w:szCs w:val="13"/>
              </w:rPr>
              <w:t>206.074</w:t>
            </w:r>
          </w:p>
        </w:tc>
        <w:tc>
          <w:tcPr>
            <w:tcW w:w="676" w:type="dxa"/>
            <w:tcBorders>
              <w:top w:val="nil"/>
              <w:left w:val="dotted" w:sz="4" w:space="0" w:color="auto"/>
              <w:bottom w:val="nil"/>
              <w:right w:val="dotted" w:sz="4" w:space="0" w:color="auto"/>
            </w:tcBorders>
            <w:vAlign w:val="bottom"/>
          </w:tcPr>
          <w:p w14:paraId="00CC3A6A" w14:textId="5EA16467"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tcPr>
          <w:p w14:paraId="35E9AFA1" w14:textId="5C5B3E77" w:rsidR="009D13D5" w:rsidRPr="001F224B" w:rsidRDefault="009D13D5" w:rsidP="009D13D5">
            <w:pPr>
              <w:jc w:val="right"/>
              <w:rPr>
                <w:b/>
                <w:sz w:val="13"/>
                <w:szCs w:val="13"/>
              </w:rPr>
            </w:pPr>
            <w:r w:rsidRPr="001F224B">
              <w:rPr>
                <w:b/>
                <w:sz w:val="13"/>
                <w:szCs w:val="13"/>
              </w:rPr>
              <w:t>2.483</w:t>
            </w:r>
          </w:p>
        </w:tc>
        <w:tc>
          <w:tcPr>
            <w:tcW w:w="708" w:type="dxa"/>
            <w:tcBorders>
              <w:top w:val="nil"/>
              <w:left w:val="dotted" w:sz="4" w:space="0" w:color="auto"/>
              <w:bottom w:val="nil"/>
              <w:right w:val="dotted" w:sz="4" w:space="0" w:color="auto"/>
            </w:tcBorders>
            <w:vAlign w:val="bottom"/>
          </w:tcPr>
          <w:p w14:paraId="61037307" w14:textId="460877C3"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5C60BA0B" w14:textId="0825A685"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tcPr>
          <w:p w14:paraId="05CE246C" w14:textId="7DD65381" w:rsidR="009D13D5" w:rsidRPr="001F224B" w:rsidRDefault="009D13D5" w:rsidP="009D13D5">
            <w:pPr>
              <w:jc w:val="right"/>
              <w:rPr>
                <w:b/>
                <w:sz w:val="13"/>
                <w:szCs w:val="13"/>
              </w:rPr>
            </w:pPr>
            <w:r w:rsidRPr="001F224B">
              <w:rPr>
                <w:b/>
                <w:sz w:val="13"/>
                <w:szCs w:val="13"/>
              </w:rPr>
              <w:t>92.004</w:t>
            </w:r>
          </w:p>
        </w:tc>
        <w:tc>
          <w:tcPr>
            <w:tcW w:w="708" w:type="dxa"/>
            <w:tcBorders>
              <w:top w:val="nil"/>
              <w:left w:val="dotted" w:sz="4" w:space="0" w:color="auto"/>
              <w:bottom w:val="nil"/>
              <w:right w:val="dotted" w:sz="4" w:space="0" w:color="auto"/>
            </w:tcBorders>
          </w:tcPr>
          <w:p w14:paraId="5057F057" w14:textId="36D2572B" w:rsidR="009D13D5" w:rsidRPr="001F224B" w:rsidRDefault="009D13D5" w:rsidP="009D13D5">
            <w:pPr>
              <w:jc w:val="right"/>
              <w:rPr>
                <w:b/>
                <w:sz w:val="13"/>
                <w:szCs w:val="13"/>
              </w:rPr>
            </w:pPr>
            <w:r w:rsidRPr="001F224B">
              <w:rPr>
                <w:b/>
                <w:sz w:val="13"/>
                <w:szCs w:val="13"/>
              </w:rPr>
              <w:t>10.931</w:t>
            </w:r>
          </w:p>
        </w:tc>
        <w:tc>
          <w:tcPr>
            <w:tcW w:w="778" w:type="dxa"/>
            <w:tcBorders>
              <w:top w:val="nil"/>
              <w:left w:val="dotted" w:sz="4" w:space="0" w:color="auto"/>
              <w:bottom w:val="nil"/>
              <w:right w:val="dotted" w:sz="4" w:space="0" w:color="auto"/>
            </w:tcBorders>
          </w:tcPr>
          <w:p w14:paraId="58AC20C8" w14:textId="0CF1AB0D" w:rsidR="009D13D5" w:rsidRPr="001F224B" w:rsidRDefault="009D13D5" w:rsidP="009D13D5">
            <w:pPr>
              <w:jc w:val="right"/>
              <w:rPr>
                <w:b/>
                <w:sz w:val="13"/>
                <w:szCs w:val="13"/>
              </w:rPr>
            </w:pPr>
            <w:r w:rsidRPr="001F224B">
              <w:rPr>
                <w:b/>
                <w:sz w:val="13"/>
                <w:szCs w:val="13"/>
              </w:rPr>
              <w:t>8.012.952</w:t>
            </w:r>
          </w:p>
        </w:tc>
        <w:tc>
          <w:tcPr>
            <w:tcW w:w="923" w:type="dxa"/>
            <w:tcBorders>
              <w:top w:val="nil"/>
              <w:left w:val="dotted" w:sz="4" w:space="0" w:color="auto"/>
              <w:bottom w:val="nil"/>
              <w:right w:val="dotted" w:sz="4" w:space="0" w:color="auto"/>
            </w:tcBorders>
          </w:tcPr>
          <w:p w14:paraId="5E727710" w14:textId="468A6161" w:rsidR="009D13D5" w:rsidRPr="001F224B" w:rsidRDefault="009D13D5" w:rsidP="009D13D5">
            <w:pPr>
              <w:jc w:val="right"/>
              <w:rPr>
                <w:b/>
                <w:sz w:val="13"/>
                <w:szCs w:val="13"/>
              </w:rPr>
            </w:pPr>
            <w:r w:rsidRPr="001F224B">
              <w:rPr>
                <w:b/>
                <w:sz w:val="13"/>
                <w:szCs w:val="13"/>
              </w:rPr>
              <w:t>6.175.535</w:t>
            </w:r>
          </w:p>
        </w:tc>
        <w:tc>
          <w:tcPr>
            <w:tcW w:w="822" w:type="dxa"/>
            <w:tcBorders>
              <w:top w:val="nil"/>
              <w:left w:val="dotted" w:sz="4" w:space="0" w:color="auto"/>
              <w:bottom w:val="nil"/>
              <w:right w:val="dotted" w:sz="4" w:space="0" w:color="auto"/>
            </w:tcBorders>
            <w:vAlign w:val="bottom"/>
          </w:tcPr>
          <w:p w14:paraId="684E9BEB" w14:textId="30AB4F92"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tcPr>
          <w:p w14:paraId="2AC070EC" w14:textId="4526BC02" w:rsidR="009D13D5" w:rsidRPr="001F224B" w:rsidRDefault="009D13D5" w:rsidP="009D13D5">
            <w:pPr>
              <w:jc w:val="right"/>
              <w:rPr>
                <w:b/>
                <w:sz w:val="13"/>
                <w:szCs w:val="13"/>
              </w:rPr>
            </w:pPr>
            <w:r w:rsidRPr="001F224B">
              <w:rPr>
                <w:b/>
                <w:sz w:val="13"/>
                <w:szCs w:val="13"/>
              </w:rPr>
              <w:t>20.005.400</w:t>
            </w:r>
          </w:p>
        </w:tc>
        <w:tc>
          <w:tcPr>
            <w:tcW w:w="591" w:type="dxa"/>
            <w:gridSpan w:val="2"/>
            <w:tcBorders>
              <w:top w:val="nil"/>
              <w:left w:val="dotted" w:sz="4" w:space="0" w:color="auto"/>
              <w:bottom w:val="nil"/>
              <w:right w:val="dotted" w:sz="4" w:space="0" w:color="auto"/>
            </w:tcBorders>
            <w:vAlign w:val="bottom"/>
          </w:tcPr>
          <w:p w14:paraId="33B8CC73" w14:textId="4A69CC9C" w:rsidR="009D13D5" w:rsidRPr="001F224B" w:rsidRDefault="009D13D5" w:rsidP="009D13D5">
            <w:pPr>
              <w:jc w:val="right"/>
              <w:rPr>
                <w:b/>
                <w:sz w:val="13"/>
                <w:szCs w:val="13"/>
              </w:rPr>
            </w:pPr>
            <w:r w:rsidRPr="001F224B">
              <w:rPr>
                <w:b/>
                <w:sz w:val="13"/>
                <w:szCs w:val="13"/>
              </w:rPr>
              <w:t>-</w:t>
            </w:r>
          </w:p>
        </w:tc>
        <w:tc>
          <w:tcPr>
            <w:tcW w:w="807" w:type="dxa"/>
            <w:tcBorders>
              <w:top w:val="nil"/>
              <w:left w:val="dotted" w:sz="4" w:space="0" w:color="auto"/>
              <w:bottom w:val="nil"/>
              <w:right w:val="single" w:sz="4" w:space="0" w:color="000000"/>
            </w:tcBorders>
          </w:tcPr>
          <w:p w14:paraId="538832E4" w14:textId="0534877A" w:rsidR="009D13D5" w:rsidRPr="001F224B" w:rsidRDefault="009D13D5" w:rsidP="009D13D5">
            <w:pPr>
              <w:jc w:val="right"/>
              <w:rPr>
                <w:bCs/>
                <w:sz w:val="13"/>
                <w:szCs w:val="13"/>
              </w:rPr>
            </w:pPr>
            <w:r w:rsidRPr="001F224B">
              <w:rPr>
                <w:bCs/>
                <w:sz w:val="13"/>
                <w:szCs w:val="13"/>
              </w:rPr>
              <w:t>20.005.400</w:t>
            </w:r>
          </w:p>
        </w:tc>
      </w:tr>
      <w:tr w:rsidR="009D13D5" w:rsidRPr="001F224B" w14:paraId="7630CF85" w14:textId="77777777" w:rsidTr="000B2784">
        <w:trPr>
          <w:trHeight w:val="19"/>
        </w:trPr>
        <w:tc>
          <w:tcPr>
            <w:tcW w:w="465" w:type="dxa"/>
            <w:tcBorders>
              <w:top w:val="nil"/>
              <w:left w:val="single" w:sz="4" w:space="0" w:color="auto"/>
              <w:bottom w:val="nil"/>
            </w:tcBorders>
          </w:tcPr>
          <w:p w14:paraId="65F43011" w14:textId="77777777" w:rsidR="009D13D5" w:rsidRPr="001F224B" w:rsidRDefault="009D13D5" w:rsidP="009D13D5">
            <w:pPr>
              <w:rPr>
                <w:b/>
                <w:bCs/>
                <w:sz w:val="13"/>
                <w:szCs w:val="13"/>
              </w:rPr>
            </w:pPr>
            <w:r w:rsidRPr="001F224B">
              <w:rPr>
                <w:b/>
                <w:bCs/>
                <w:sz w:val="13"/>
                <w:szCs w:val="13"/>
              </w:rPr>
              <w:t>II.</w:t>
            </w:r>
          </w:p>
        </w:tc>
        <w:tc>
          <w:tcPr>
            <w:tcW w:w="2925" w:type="dxa"/>
            <w:tcBorders>
              <w:top w:val="nil"/>
              <w:bottom w:val="nil"/>
              <w:right w:val="single" w:sz="4" w:space="0" w:color="auto"/>
            </w:tcBorders>
          </w:tcPr>
          <w:p w14:paraId="63E4F722" w14:textId="77777777" w:rsidR="009D13D5" w:rsidRPr="001F224B" w:rsidRDefault="009D13D5" w:rsidP="009D13D5">
            <w:pPr>
              <w:rPr>
                <w:b/>
                <w:bCs/>
                <w:sz w:val="13"/>
                <w:szCs w:val="13"/>
              </w:rPr>
            </w:pPr>
            <w:r w:rsidRPr="001F224B">
              <w:rPr>
                <w:b/>
                <w:bCs/>
                <w:sz w:val="13"/>
                <w:szCs w:val="13"/>
              </w:rPr>
              <w:t>TMS 8 Uyarınca Yapılan Düzeltmeler</w:t>
            </w:r>
          </w:p>
        </w:tc>
        <w:tc>
          <w:tcPr>
            <w:tcW w:w="754" w:type="dxa"/>
            <w:tcBorders>
              <w:top w:val="nil"/>
              <w:left w:val="single" w:sz="4" w:space="0" w:color="auto"/>
              <w:bottom w:val="nil"/>
              <w:right w:val="dotted" w:sz="4" w:space="0" w:color="auto"/>
            </w:tcBorders>
            <w:vAlign w:val="bottom"/>
          </w:tcPr>
          <w:p w14:paraId="61E9AFF6" w14:textId="5C127C41" w:rsidR="009D13D5" w:rsidRPr="001F224B" w:rsidRDefault="009D13D5" w:rsidP="009D13D5">
            <w:pPr>
              <w:jc w:val="right"/>
              <w:rPr>
                <w:bCs/>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5D105DB0" w14:textId="43954ABD" w:rsidR="009D13D5" w:rsidRPr="001F224B" w:rsidRDefault="009D13D5" w:rsidP="009D13D5">
            <w:pPr>
              <w:jc w:val="right"/>
              <w:rPr>
                <w:bCs/>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57E7034D" w14:textId="71854599" w:rsidR="009D13D5" w:rsidRPr="001F224B" w:rsidRDefault="009D13D5" w:rsidP="009D13D5">
            <w:pPr>
              <w:jc w:val="right"/>
              <w:rPr>
                <w:bCs/>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54767D0F" w14:textId="7EF64830" w:rsidR="009D13D5" w:rsidRPr="001F224B" w:rsidRDefault="009D13D5" w:rsidP="009D13D5">
            <w:pPr>
              <w:jc w:val="right"/>
              <w:rPr>
                <w:bCs/>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60A88B5A" w14:textId="39C3FBDC" w:rsidR="009D13D5" w:rsidRPr="001F224B" w:rsidRDefault="009D13D5" w:rsidP="009D13D5">
            <w:pPr>
              <w:jc w:val="right"/>
              <w:rPr>
                <w:bCs/>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3CF6F2E8" w14:textId="598C841C" w:rsidR="009D13D5" w:rsidRPr="001F224B" w:rsidRDefault="009D13D5" w:rsidP="009D13D5">
            <w:pPr>
              <w:jc w:val="right"/>
              <w:rPr>
                <w:bCs/>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68D187BE" w14:textId="3FB84592" w:rsidR="009D13D5" w:rsidRPr="001F224B" w:rsidRDefault="009D13D5" w:rsidP="009D13D5">
            <w:pPr>
              <w:jc w:val="right"/>
              <w:rPr>
                <w:bCs/>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49517F94" w14:textId="57798265" w:rsidR="009D13D5" w:rsidRPr="001F224B" w:rsidRDefault="009D13D5" w:rsidP="009D13D5">
            <w:pPr>
              <w:jc w:val="right"/>
              <w:rPr>
                <w:bCs/>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56983EC2" w14:textId="7F5A5F7E" w:rsidR="009D13D5" w:rsidRPr="001F224B" w:rsidRDefault="009D13D5" w:rsidP="009D13D5">
            <w:pPr>
              <w:jc w:val="right"/>
              <w:rPr>
                <w:bCs/>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29AC8B32" w14:textId="48CE965C" w:rsidR="009D13D5" w:rsidRPr="001F224B" w:rsidRDefault="009D13D5" w:rsidP="009D13D5">
            <w:pPr>
              <w:jc w:val="right"/>
              <w:rPr>
                <w:bCs/>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5B64B429" w14:textId="00FBF81C" w:rsidR="009D13D5" w:rsidRPr="001F224B" w:rsidRDefault="009D13D5" w:rsidP="009D13D5">
            <w:pPr>
              <w:jc w:val="right"/>
              <w:rPr>
                <w:bCs/>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41606F2C" w14:textId="47906B54" w:rsidR="009D13D5" w:rsidRPr="001F224B" w:rsidRDefault="009D13D5" w:rsidP="009D13D5">
            <w:pPr>
              <w:jc w:val="right"/>
              <w:rPr>
                <w:bCs/>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2B95C281" w14:textId="3C95C0EE" w:rsidR="009D13D5" w:rsidRPr="001F224B" w:rsidRDefault="009D13D5" w:rsidP="009D13D5">
            <w:pPr>
              <w:jc w:val="right"/>
              <w:rPr>
                <w:bCs/>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2B538856" w14:textId="6C873E62" w:rsidR="009D13D5" w:rsidRPr="001F224B" w:rsidRDefault="009D13D5" w:rsidP="009D13D5">
            <w:pPr>
              <w:jc w:val="right"/>
              <w:rPr>
                <w:bCs/>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EA20AEF" w14:textId="616EEE7A" w:rsidR="009D13D5" w:rsidRPr="001F224B" w:rsidRDefault="009D13D5" w:rsidP="009D13D5">
            <w:pPr>
              <w:jc w:val="right"/>
              <w:rPr>
                <w:bCs/>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698A356F" w14:textId="0FA42762" w:rsidR="009D13D5" w:rsidRPr="001F224B" w:rsidRDefault="009D13D5" w:rsidP="009D13D5">
            <w:pPr>
              <w:jc w:val="right"/>
              <w:rPr>
                <w:bCs/>
                <w:sz w:val="13"/>
                <w:szCs w:val="13"/>
              </w:rPr>
            </w:pPr>
            <w:r w:rsidRPr="001F224B">
              <w:rPr>
                <w:bCs/>
                <w:sz w:val="13"/>
                <w:szCs w:val="13"/>
              </w:rPr>
              <w:t xml:space="preserve"> - </w:t>
            </w:r>
          </w:p>
        </w:tc>
      </w:tr>
      <w:tr w:rsidR="009D13D5" w:rsidRPr="001F224B" w14:paraId="34EDED23" w14:textId="77777777" w:rsidTr="000B2784">
        <w:trPr>
          <w:trHeight w:val="19"/>
        </w:trPr>
        <w:tc>
          <w:tcPr>
            <w:tcW w:w="465" w:type="dxa"/>
            <w:tcBorders>
              <w:top w:val="nil"/>
              <w:left w:val="single" w:sz="4" w:space="0" w:color="auto"/>
              <w:bottom w:val="nil"/>
            </w:tcBorders>
          </w:tcPr>
          <w:p w14:paraId="4996063F" w14:textId="77777777" w:rsidR="009D13D5" w:rsidRPr="001F224B" w:rsidRDefault="009D13D5" w:rsidP="009D13D5">
            <w:pPr>
              <w:rPr>
                <w:b/>
                <w:bCs/>
                <w:sz w:val="13"/>
                <w:szCs w:val="13"/>
              </w:rPr>
            </w:pPr>
            <w:r w:rsidRPr="001F224B">
              <w:rPr>
                <w:sz w:val="13"/>
                <w:szCs w:val="13"/>
              </w:rPr>
              <w:t>2.1</w:t>
            </w:r>
          </w:p>
        </w:tc>
        <w:tc>
          <w:tcPr>
            <w:tcW w:w="2925" w:type="dxa"/>
            <w:tcBorders>
              <w:top w:val="nil"/>
              <w:bottom w:val="nil"/>
              <w:right w:val="single" w:sz="4" w:space="0" w:color="auto"/>
            </w:tcBorders>
          </w:tcPr>
          <w:p w14:paraId="1B7A6C24" w14:textId="77777777" w:rsidR="009D13D5" w:rsidRPr="001F224B" w:rsidRDefault="009D13D5" w:rsidP="009D13D5">
            <w:pPr>
              <w:rPr>
                <w:b/>
                <w:bCs/>
                <w:sz w:val="13"/>
                <w:szCs w:val="13"/>
              </w:rPr>
            </w:pPr>
            <w:r w:rsidRPr="001F224B">
              <w:rPr>
                <w:sz w:val="13"/>
                <w:szCs w:val="13"/>
              </w:rPr>
              <w:t>Hataların Düzeltilmesinin Etkisi</w:t>
            </w:r>
          </w:p>
        </w:tc>
        <w:tc>
          <w:tcPr>
            <w:tcW w:w="754" w:type="dxa"/>
            <w:tcBorders>
              <w:top w:val="nil"/>
              <w:left w:val="single" w:sz="4" w:space="0" w:color="auto"/>
              <w:bottom w:val="nil"/>
              <w:right w:val="dotted" w:sz="4" w:space="0" w:color="auto"/>
            </w:tcBorders>
            <w:vAlign w:val="bottom"/>
          </w:tcPr>
          <w:p w14:paraId="42935EF8" w14:textId="18EC09B6" w:rsidR="009D13D5" w:rsidRPr="001F224B" w:rsidRDefault="009D13D5" w:rsidP="009D13D5">
            <w:pPr>
              <w:jc w:val="right"/>
              <w:rPr>
                <w:bCs/>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2AAF2B48" w14:textId="76AD6FD0" w:rsidR="009D13D5" w:rsidRPr="001F224B" w:rsidRDefault="009D13D5" w:rsidP="009D13D5">
            <w:pPr>
              <w:jc w:val="right"/>
              <w:rPr>
                <w:bCs/>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1D1C452C" w14:textId="4AFD6DBB" w:rsidR="009D13D5" w:rsidRPr="001F224B" w:rsidRDefault="009D13D5" w:rsidP="009D13D5">
            <w:pPr>
              <w:jc w:val="right"/>
              <w:rPr>
                <w:bCs/>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60965E8E" w14:textId="5D06F36D" w:rsidR="009D13D5" w:rsidRPr="001F224B" w:rsidRDefault="009D13D5" w:rsidP="009D13D5">
            <w:pPr>
              <w:jc w:val="right"/>
              <w:rPr>
                <w:bCs/>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03B668EC" w14:textId="188E044F" w:rsidR="009D13D5" w:rsidRPr="001F224B" w:rsidRDefault="009D13D5" w:rsidP="009D13D5">
            <w:pPr>
              <w:jc w:val="right"/>
              <w:rPr>
                <w:bCs/>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07E3D877" w14:textId="4DBFA4BF"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4AF3FF95" w14:textId="2AD6961F" w:rsidR="009D13D5" w:rsidRPr="001F224B" w:rsidRDefault="009D13D5" w:rsidP="009D13D5">
            <w:pPr>
              <w:jc w:val="right"/>
              <w:rPr>
                <w:bCs/>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0DA0D35E" w14:textId="7C9EF661" w:rsidR="009D13D5" w:rsidRPr="001F224B" w:rsidRDefault="009D13D5" w:rsidP="009D13D5">
            <w:pPr>
              <w:jc w:val="right"/>
              <w:rPr>
                <w:bCs/>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6DD987A0" w14:textId="0DC27465"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4D34F418" w14:textId="7E819E15" w:rsidR="009D13D5" w:rsidRPr="001F224B" w:rsidRDefault="009D13D5" w:rsidP="009D13D5">
            <w:pPr>
              <w:jc w:val="right"/>
              <w:rPr>
                <w:bCs/>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vAlign w:val="bottom"/>
          </w:tcPr>
          <w:p w14:paraId="03851703" w14:textId="3EA82878" w:rsidR="009D13D5" w:rsidRPr="001F224B" w:rsidRDefault="009D13D5" w:rsidP="009D13D5">
            <w:pPr>
              <w:jc w:val="right"/>
              <w:rPr>
                <w:bCs/>
                <w:sz w:val="13"/>
                <w:szCs w:val="13"/>
              </w:rPr>
            </w:pPr>
            <w:r w:rsidRPr="001F224B">
              <w:rPr>
                <w:sz w:val="13"/>
                <w:szCs w:val="13"/>
              </w:rPr>
              <w:t xml:space="preserve"> - </w:t>
            </w:r>
          </w:p>
        </w:tc>
        <w:tc>
          <w:tcPr>
            <w:tcW w:w="923" w:type="dxa"/>
            <w:tcBorders>
              <w:top w:val="nil"/>
              <w:left w:val="dotted" w:sz="4" w:space="0" w:color="auto"/>
              <w:bottom w:val="nil"/>
              <w:right w:val="dotted" w:sz="4" w:space="0" w:color="auto"/>
            </w:tcBorders>
            <w:vAlign w:val="bottom"/>
          </w:tcPr>
          <w:p w14:paraId="23D07CD9" w14:textId="37956779" w:rsidR="009D13D5" w:rsidRPr="001F224B" w:rsidRDefault="009D13D5" w:rsidP="009D13D5">
            <w:pPr>
              <w:jc w:val="right"/>
              <w:rPr>
                <w:bCs/>
                <w:sz w:val="13"/>
                <w:szCs w:val="13"/>
              </w:rPr>
            </w:pPr>
            <w:r w:rsidRPr="001F224B">
              <w:rPr>
                <w:sz w:val="13"/>
                <w:szCs w:val="13"/>
              </w:rPr>
              <w:t xml:space="preserve"> - </w:t>
            </w:r>
          </w:p>
        </w:tc>
        <w:tc>
          <w:tcPr>
            <w:tcW w:w="822" w:type="dxa"/>
            <w:tcBorders>
              <w:top w:val="nil"/>
              <w:left w:val="dotted" w:sz="4" w:space="0" w:color="auto"/>
              <w:bottom w:val="nil"/>
              <w:right w:val="dotted" w:sz="4" w:space="0" w:color="auto"/>
            </w:tcBorders>
            <w:vAlign w:val="bottom"/>
          </w:tcPr>
          <w:p w14:paraId="10525180" w14:textId="11983925" w:rsidR="009D13D5" w:rsidRPr="001F224B" w:rsidRDefault="009D13D5" w:rsidP="009D13D5">
            <w:pPr>
              <w:jc w:val="right"/>
              <w:rPr>
                <w:bCs/>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410D459C" w14:textId="7CAAAD36" w:rsidR="009D13D5" w:rsidRPr="001F224B" w:rsidRDefault="009D13D5" w:rsidP="009D13D5">
            <w:pPr>
              <w:jc w:val="right"/>
              <w:rPr>
                <w:bCs/>
                <w:sz w:val="13"/>
                <w:szCs w:val="13"/>
              </w:rPr>
            </w:pPr>
            <w:r w:rsidRPr="001F224B">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5344EA9" w14:textId="0AACB205" w:rsidR="009D13D5" w:rsidRPr="001F224B" w:rsidRDefault="009D13D5" w:rsidP="009D13D5">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32BA6CD5" w14:textId="1FFCD62B" w:rsidR="009D13D5" w:rsidRPr="001F224B" w:rsidRDefault="009D13D5" w:rsidP="009D13D5">
            <w:pPr>
              <w:jc w:val="right"/>
              <w:rPr>
                <w:bCs/>
                <w:sz w:val="13"/>
                <w:szCs w:val="13"/>
              </w:rPr>
            </w:pPr>
            <w:r w:rsidRPr="001F224B">
              <w:rPr>
                <w:bCs/>
                <w:sz w:val="13"/>
                <w:szCs w:val="13"/>
              </w:rPr>
              <w:t xml:space="preserve"> - </w:t>
            </w:r>
          </w:p>
        </w:tc>
      </w:tr>
      <w:tr w:rsidR="009D13D5" w:rsidRPr="001F224B" w14:paraId="7462AF3F" w14:textId="77777777" w:rsidTr="000B2784">
        <w:trPr>
          <w:trHeight w:val="19"/>
        </w:trPr>
        <w:tc>
          <w:tcPr>
            <w:tcW w:w="465" w:type="dxa"/>
            <w:tcBorders>
              <w:top w:val="nil"/>
              <w:left w:val="single" w:sz="4" w:space="0" w:color="auto"/>
              <w:bottom w:val="nil"/>
            </w:tcBorders>
          </w:tcPr>
          <w:p w14:paraId="26AF35AD" w14:textId="77777777" w:rsidR="009D13D5" w:rsidRPr="001F224B" w:rsidRDefault="009D13D5" w:rsidP="009D13D5">
            <w:pPr>
              <w:rPr>
                <w:bCs/>
                <w:sz w:val="13"/>
                <w:szCs w:val="13"/>
              </w:rPr>
            </w:pPr>
            <w:r w:rsidRPr="001F224B">
              <w:rPr>
                <w:bCs/>
                <w:sz w:val="13"/>
                <w:szCs w:val="13"/>
              </w:rPr>
              <w:t>2.2</w:t>
            </w:r>
          </w:p>
        </w:tc>
        <w:tc>
          <w:tcPr>
            <w:tcW w:w="2925" w:type="dxa"/>
            <w:tcBorders>
              <w:top w:val="nil"/>
              <w:bottom w:val="nil"/>
              <w:right w:val="single" w:sz="4" w:space="0" w:color="auto"/>
            </w:tcBorders>
          </w:tcPr>
          <w:p w14:paraId="2AAAFF25" w14:textId="77777777" w:rsidR="009D13D5" w:rsidRPr="001F224B" w:rsidRDefault="009D13D5" w:rsidP="009D13D5">
            <w:pPr>
              <w:rPr>
                <w:b/>
                <w:bCs/>
                <w:sz w:val="13"/>
                <w:szCs w:val="13"/>
              </w:rPr>
            </w:pPr>
            <w:r w:rsidRPr="001F224B">
              <w:rPr>
                <w:sz w:val="13"/>
                <w:szCs w:val="13"/>
              </w:rPr>
              <w:t>Muhasebe Politikasında Yapılan Değişikliklerin Etkisi</w:t>
            </w:r>
          </w:p>
        </w:tc>
        <w:tc>
          <w:tcPr>
            <w:tcW w:w="754" w:type="dxa"/>
            <w:tcBorders>
              <w:top w:val="nil"/>
              <w:left w:val="single" w:sz="4" w:space="0" w:color="auto"/>
              <w:bottom w:val="nil"/>
              <w:right w:val="dotted" w:sz="4" w:space="0" w:color="auto"/>
            </w:tcBorders>
            <w:vAlign w:val="bottom"/>
          </w:tcPr>
          <w:p w14:paraId="7D0B0B59" w14:textId="39BD2AFD" w:rsidR="009D13D5" w:rsidRPr="001F224B" w:rsidRDefault="009D13D5" w:rsidP="009D13D5">
            <w:pPr>
              <w:jc w:val="right"/>
              <w:rPr>
                <w:bCs/>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2BBF5E87" w14:textId="57345E05" w:rsidR="009D13D5" w:rsidRPr="001F224B" w:rsidRDefault="009D13D5" w:rsidP="009D13D5">
            <w:pPr>
              <w:jc w:val="right"/>
              <w:rPr>
                <w:bCs/>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679A2AFF" w14:textId="59AA9D6B" w:rsidR="009D13D5" w:rsidRPr="001F224B" w:rsidRDefault="009D13D5" w:rsidP="009D13D5">
            <w:pPr>
              <w:jc w:val="right"/>
              <w:rPr>
                <w:bCs/>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20705D31" w14:textId="0C7FA262" w:rsidR="009D13D5" w:rsidRPr="001F224B" w:rsidRDefault="009D13D5" w:rsidP="009D13D5">
            <w:pPr>
              <w:jc w:val="right"/>
              <w:rPr>
                <w:bCs/>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11B3F180" w14:textId="32F7A125" w:rsidR="009D13D5" w:rsidRPr="001F224B" w:rsidRDefault="009D13D5" w:rsidP="009D13D5">
            <w:pPr>
              <w:jc w:val="right"/>
              <w:rPr>
                <w:bCs/>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3F448707" w14:textId="5C73C008"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42FCF4FB" w14:textId="7EE7C97F" w:rsidR="009D13D5" w:rsidRPr="001F224B" w:rsidRDefault="009D13D5" w:rsidP="009D13D5">
            <w:pPr>
              <w:jc w:val="right"/>
              <w:rPr>
                <w:bCs/>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7D4F0810" w14:textId="456693E3" w:rsidR="009D13D5" w:rsidRPr="001F224B" w:rsidRDefault="009D13D5" w:rsidP="009D13D5">
            <w:pPr>
              <w:jc w:val="right"/>
              <w:rPr>
                <w:bCs/>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5BF54792" w14:textId="432E0293"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6BC78C52" w14:textId="56576700" w:rsidR="009D13D5" w:rsidRPr="001F224B" w:rsidRDefault="009D13D5" w:rsidP="009D13D5">
            <w:pPr>
              <w:jc w:val="right"/>
              <w:rPr>
                <w:bCs/>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vAlign w:val="bottom"/>
          </w:tcPr>
          <w:p w14:paraId="615F0F49" w14:textId="02345838" w:rsidR="009D13D5" w:rsidRPr="001F224B" w:rsidRDefault="009D13D5" w:rsidP="009D13D5">
            <w:pPr>
              <w:jc w:val="right"/>
              <w:rPr>
                <w:bCs/>
                <w:sz w:val="13"/>
                <w:szCs w:val="13"/>
              </w:rPr>
            </w:pPr>
            <w:r w:rsidRPr="001F224B">
              <w:rPr>
                <w:sz w:val="13"/>
                <w:szCs w:val="13"/>
              </w:rPr>
              <w:t xml:space="preserve"> - </w:t>
            </w:r>
          </w:p>
        </w:tc>
        <w:tc>
          <w:tcPr>
            <w:tcW w:w="923" w:type="dxa"/>
            <w:tcBorders>
              <w:top w:val="nil"/>
              <w:left w:val="dotted" w:sz="4" w:space="0" w:color="auto"/>
              <w:bottom w:val="nil"/>
              <w:right w:val="dotted" w:sz="4" w:space="0" w:color="auto"/>
            </w:tcBorders>
            <w:vAlign w:val="bottom"/>
          </w:tcPr>
          <w:p w14:paraId="16DA5A22" w14:textId="1D72E465" w:rsidR="009D13D5" w:rsidRPr="001F224B" w:rsidRDefault="009D13D5" w:rsidP="009D13D5">
            <w:pPr>
              <w:jc w:val="right"/>
              <w:rPr>
                <w:bCs/>
                <w:sz w:val="13"/>
                <w:szCs w:val="13"/>
              </w:rPr>
            </w:pPr>
            <w:r w:rsidRPr="001F224B">
              <w:rPr>
                <w:sz w:val="13"/>
                <w:szCs w:val="13"/>
              </w:rPr>
              <w:t xml:space="preserve"> - </w:t>
            </w:r>
          </w:p>
        </w:tc>
        <w:tc>
          <w:tcPr>
            <w:tcW w:w="822" w:type="dxa"/>
            <w:tcBorders>
              <w:top w:val="nil"/>
              <w:left w:val="dotted" w:sz="4" w:space="0" w:color="auto"/>
              <w:bottom w:val="nil"/>
              <w:right w:val="dotted" w:sz="4" w:space="0" w:color="auto"/>
            </w:tcBorders>
            <w:vAlign w:val="bottom"/>
          </w:tcPr>
          <w:p w14:paraId="51C0926F" w14:textId="61533C62" w:rsidR="009D13D5" w:rsidRPr="001F224B" w:rsidRDefault="009D13D5" w:rsidP="009D13D5">
            <w:pPr>
              <w:jc w:val="right"/>
              <w:rPr>
                <w:bCs/>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63BE7C1F" w14:textId="1723A8E5" w:rsidR="009D13D5" w:rsidRPr="001F224B" w:rsidRDefault="009D13D5" w:rsidP="009D13D5">
            <w:pPr>
              <w:jc w:val="right"/>
              <w:rPr>
                <w:bCs/>
                <w:sz w:val="13"/>
                <w:szCs w:val="13"/>
              </w:rPr>
            </w:pPr>
            <w:r w:rsidRPr="001F224B">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1DAC9C43" w14:textId="4D74DB4D" w:rsidR="009D13D5" w:rsidRPr="001F224B" w:rsidRDefault="009D13D5" w:rsidP="009D13D5">
            <w:pPr>
              <w:jc w:val="right"/>
              <w:rPr>
                <w:sz w:val="13"/>
                <w:szCs w:val="13"/>
              </w:rPr>
            </w:pPr>
            <w:r w:rsidRPr="001F224B">
              <w:rPr>
                <w:sz w:val="13"/>
                <w:szCs w:val="13"/>
              </w:rPr>
              <w:t xml:space="preserve"> - </w:t>
            </w:r>
          </w:p>
        </w:tc>
        <w:tc>
          <w:tcPr>
            <w:tcW w:w="807" w:type="dxa"/>
            <w:tcBorders>
              <w:top w:val="nil"/>
              <w:left w:val="dotted" w:sz="4" w:space="0" w:color="auto"/>
              <w:bottom w:val="nil"/>
            </w:tcBorders>
            <w:vAlign w:val="bottom"/>
          </w:tcPr>
          <w:p w14:paraId="01F37881" w14:textId="0B03DFF0" w:rsidR="009D13D5" w:rsidRPr="001F224B" w:rsidRDefault="009D13D5" w:rsidP="009D13D5">
            <w:pPr>
              <w:jc w:val="right"/>
              <w:rPr>
                <w:bCs/>
                <w:sz w:val="13"/>
                <w:szCs w:val="13"/>
              </w:rPr>
            </w:pPr>
            <w:r w:rsidRPr="001F224B">
              <w:rPr>
                <w:bCs/>
                <w:sz w:val="13"/>
                <w:szCs w:val="13"/>
              </w:rPr>
              <w:t xml:space="preserve"> - </w:t>
            </w:r>
          </w:p>
        </w:tc>
      </w:tr>
      <w:tr w:rsidR="009D13D5" w:rsidRPr="001F224B" w14:paraId="68863435" w14:textId="77777777" w:rsidTr="00665791">
        <w:trPr>
          <w:trHeight w:val="19"/>
        </w:trPr>
        <w:tc>
          <w:tcPr>
            <w:tcW w:w="465" w:type="dxa"/>
            <w:tcBorders>
              <w:top w:val="nil"/>
              <w:left w:val="single" w:sz="4" w:space="0" w:color="auto"/>
              <w:bottom w:val="nil"/>
            </w:tcBorders>
          </w:tcPr>
          <w:p w14:paraId="09D89BD2" w14:textId="44D79B6F" w:rsidR="009D13D5" w:rsidRPr="001F224B" w:rsidRDefault="009D13D5" w:rsidP="009D13D5">
            <w:pPr>
              <w:rPr>
                <w:bCs/>
                <w:sz w:val="13"/>
                <w:szCs w:val="13"/>
              </w:rPr>
            </w:pPr>
            <w:r w:rsidRPr="001F224B">
              <w:rPr>
                <w:b/>
                <w:bCs/>
                <w:sz w:val="13"/>
                <w:szCs w:val="13"/>
              </w:rPr>
              <w:t>III.</w:t>
            </w:r>
          </w:p>
        </w:tc>
        <w:tc>
          <w:tcPr>
            <w:tcW w:w="2925" w:type="dxa"/>
            <w:tcBorders>
              <w:top w:val="nil"/>
              <w:bottom w:val="nil"/>
              <w:right w:val="single" w:sz="4" w:space="0" w:color="auto"/>
            </w:tcBorders>
          </w:tcPr>
          <w:p w14:paraId="55DE876D" w14:textId="1E72BC1B" w:rsidR="009D13D5" w:rsidRPr="001F224B" w:rsidRDefault="009D13D5" w:rsidP="009D13D5">
            <w:pPr>
              <w:rPr>
                <w:sz w:val="13"/>
                <w:szCs w:val="13"/>
              </w:rPr>
            </w:pPr>
            <w:r w:rsidRPr="001F224B">
              <w:rPr>
                <w:b/>
                <w:bCs/>
                <w:sz w:val="13"/>
                <w:szCs w:val="13"/>
              </w:rPr>
              <w:t>Yeni Bakiye (I+II)</w:t>
            </w:r>
          </w:p>
        </w:tc>
        <w:tc>
          <w:tcPr>
            <w:tcW w:w="754" w:type="dxa"/>
            <w:tcBorders>
              <w:top w:val="nil"/>
              <w:left w:val="single" w:sz="4" w:space="0" w:color="auto"/>
              <w:bottom w:val="nil"/>
              <w:right w:val="dotted" w:sz="4" w:space="0" w:color="auto"/>
            </w:tcBorders>
          </w:tcPr>
          <w:p w14:paraId="54FE4D05" w14:textId="19F06572" w:rsidR="009D13D5" w:rsidRPr="001F224B" w:rsidRDefault="009D13D5" w:rsidP="009D13D5">
            <w:pPr>
              <w:jc w:val="right"/>
              <w:rPr>
                <w:b/>
                <w:sz w:val="13"/>
                <w:szCs w:val="13"/>
              </w:rPr>
            </w:pPr>
            <w:r w:rsidRPr="001F224B">
              <w:rPr>
                <w:b/>
                <w:sz w:val="13"/>
                <w:szCs w:val="13"/>
              </w:rPr>
              <w:t>5.500.000</w:t>
            </w:r>
          </w:p>
        </w:tc>
        <w:tc>
          <w:tcPr>
            <w:tcW w:w="992" w:type="dxa"/>
            <w:tcBorders>
              <w:top w:val="nil"/>
              <w:left w:val="dotted" w:sz="4" w:space="0" w:color="auto"/>
              <w:bottom w:val="nil"/>
              <w:right w:val="dotted" w:sz="4" w:space="0" w:color="auto"/>
            </w:tcBorders>
          </w:tcPr>
          <w:p w14:paraId="3ADD8C4A" w14:textId="14710C76" w:rsidR="009D13D5" w:rsidRPr="001F224B" w:rsidRDefault="009D13D5" w:rsidP="009D13D5">
            <w:pPr>
              <w:jc w:val="right"/>
              <w:rPr>
                <w:b/>
                <w:sz w:val="13"/>
                <w:szCs w:val="13"/>
              </w:rPr>
            </w:pPr>
            <w:r w:rsidRPr="001F224B">
              <w:rPr>
                <w:b/>
                <w:sz w:val="13"/>
                <w:szCs w:val="13"/>
              </w:rPr>
              <w:t>5.421</w:t>
            </w:r>
          </w:p>
        </w:tc>
        <w:tc>
          <w:tcPr>
            <w:tcW w:w="709" w:type="dxa"/>
            <w:tcBorders>
              <w:top w:val="nil"/>
              <w:left w:val="dotted" w:sz="4" w:space="0" w:color="auto"/>
              <w:bottom w:val="nil"/>
              <w:right w:val="dotted" w:sz="4" w:space="0" w:color="auto"/>
            </w:tcBorders>
            <w:vAlign w:val="bottom"/>
          </w:tcPr>
          <w:p w14:paraId="605BB3B2" w14:textId="3D80BD41"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tcPr>
          <w:p w14:paraId="39099213" w14:textId="218C6E96" w:rsidR="009D13D5" w:rsidRPr="001F224B" w:rsidRDefault="009D13D5" w:rsidP="009D13D5">
            <w:pPr>
              <w:jc w:val="right"/>
              <w:rPr>
                <w:b/>
                <w:sz w:val="13"/>
                <w:szCs w:val="13"/>
              </w:rPr>
            </w:pPr>
            <w:r w:rsidRPr="001F224B">
              <w:rPr>
                <w:b/>
                <w:sz w:val="13"/>
                <w:szCs w:val="13"/>
              </w:rPr>
              <w:t>206.074</w:t>
            </w:r>
          </w:p>
        </w:tc>
        <w:tc>
          <w:tcPr>
            <w:tcW w:w="676" w:type="dxa"/>
            <w:tcBorders>
              <w:top w:val="nil"/>
              <w:left w:val="dotted" w:sz="4" w:space="0" w:color="auto"/>
              <w:bottom w:val="nil"/>
              <w:right w:val="dotted" w:sz="4" w:space="0" w:color="auto"/>
            </w:tcBorders>
            <w:vAlign w:val="bottom"/>
          </w:tcPr>
          <w:p w14:paraId="3F35B7A6" w14:textId="1C9C690B"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tcPr>
          <w:p w14:paraId="0AD31F7E" w14:textId="7AF30E48" w:rsidR="009D13D5" w:rsidRPr="001F224B" w:rsidRDefault="009D13D5" w:rsidP="009D13D5">
            <w:pPr>
              <w:jc w:val="right"/>
              <w:rPr>
                <w:b/>
                <w:sz w:val="13"/>
                <w:szCs w:val="13"/>
              </w:rPr>
            </w:pPr>
            <w:r w:rsidRPr="001F224B">
              <w:rPr>
                <w:b/>
                <w:sz w:val="13"/>
                <w:szCs w:val="13"/>
              </w:rPr>
              <w:t>2.483</w:t>
            </w:r>
          </w:p>
        </w:tc>
        <w:tc>
          <w:tcPr>
            <w:tcW w:w="708" w:type="dxa"/>
            <w:tcBorders>
              <w:top w:val="nil"/>
              <w:left w:val="dotted" w:sz="4" w:space="0" w:color="auto"/>
              <w:bottom w:val="nil"/>
              <w:right w:val="dotted" w:sz="4" w:space="0" w:color="auto"/>
            </w:tcBorders>
            <w:vAlign w:val="bottom"/>
          </w:tcPr>
          <w:p w14:paraId="606BE37D" w14:textId="73653C4B"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6030D86" w14:textId="57DB33B6"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nil"/>
              <w:bottom w:val="nil"/>
              <w:right w:val="dotted" w:sz="4" w:space="0" w:color="auto"/>
            </w:tcBorders>
            <w:shd w:val="clear" w:color="auto" w:fill="auto"/>
          </w:tcPr>
          <w:p w14:paraId="5E2AA2B9" w14:textId="44D95554" w:rsidR="009D13D5" w:rsidRPr="001F224B" w:rsidRDefault="009D13D5" w:rsidP="009D13D5">
            <w:pPr>
              <w:jc w:val="right"/>
              <w:rPr>
                <w:b/>
                <w:sz w:val="13"/>
                <w:szCs w:val="13"/>
              </w:rPr>
            </w:pPr>
            <w:r w:rsidRPr="001F224B">
              <w:rPr>
                <w:b/>
                <w:sz w:val="13"/>
                <w:szCs w:val="13"/>
              </w:rPr>
              <w:t>92.004</w:t>
            </w:r>
          </w:p>
        </w:tc>
        <w:tc>
          <w:tcPr>
            <w:tcW w:w="708" w:type="dxa"/>
            <w:tcBorders>
              <w:top w:val="nil"/>
              <w:left w:val="dotted" w:sz="4" w:space="0" w:color="auto"/>
              <w:bottom w:val="nil"/>
              <w:right w:val="dotted" w:sz="4" w:space="0" w:color="auto"/>
            </w:tcBorders>
          </w:tcPr>
          <w:p w14:paraId="24B17344" w14:textId="263A8ECB" w:rsidR="009D13D5" w:rsidRPr="001F224B" w:rsidRDefault="009D13D5" w:rsidP="009D13D5">
            <w:pPr>
              <w:jc w:val="right"/>
              <w:rPr>
                <w:b/>
                <w:sz w:val="13"/>
                <w:szCs w:val="13"/>
              </w:rPr>
            </w:pPr>
            <w:r w:rsidRPr="001F224B">
              <w:rPr>
                <w:b/>
                <w:sz w:val="13"/>
                <w:szCs w:val="13"/>
              </w:rPr>
              <w:t>10.931</w:t>
            </w:r>
          </w:p>
        </w:tc>
        <w:tc>
          <w:tcPr>
            <w:tcW w:w="778" w:type="dxa"/>
            <w:tcBorders>
              <w:top w:val="nil"/>
              <w:left w:val="dotted" w:sz="4" w:space="0" w:color="auto"/>
              <w:bottom w:val="nil"/>
              <w:right w:val="dotted" w:sz="4" w:space="0" w:color="auto"/>
            </w:tcBorders>
          </w:tcPr>
          <w:p w14:paraId="469FCC4C" w14:textId="15FA45E7" w:rsidR="009D13D5" w:rsidRPr="001F224B" w:rsidRDefault="009D13D5" w:rsidP="009D13D5">
            <w:pPr>
              <w:jc w:val="right"/>
              <w:rPr>
                <w:b/>
                <w:sz w:val="13"/>
                <w:szCs w:val="13"/>
              </w:rPr>
            </w:pPr>
            <w:r w:rsidRPr="001F224B">
              <w:rPr>
                <w:b/>
                <w:sz w:val="13"/>
                <w:szCs w:val="13"/>
              </w:rPr>
              <w:t>8.012.952</w:t>
            </w:r>
          </w:p>
        </w:tc>
        <w:tc>
          <w:tcPr>
            <w:tcW w:w="923" w:type="dxa"/>
            <w:tcBorders>
              <w:top w:val="nil"/>
              <w:left w:val="dotted" w:sz="4" w:space="0" w:color="auto"/>
              <w:bottom w:val="nil"/>
              <w:right w:val="dotted" w:sz="4" w:space="0" w:color="auto"/>
            </w:tcBorders>
          </w:tcPr>
          <w:p w14:paraId="7B6D5C38" w14:textId="0236B4B4" w:rsidR="009D13D5" w:rsidRPr="001F224B" w:rsidRDefault="009D13D5" w:rsidP="009D13D5">
            <w:pPr>
              <w:jc w:val="right"/>
              <w:rPr>
                <w:b/>
                <w:sz w:val="13"/>
                <w:szCs w:val="13"/>
              </w:rPr>
            </w:pPr>
            <w:r w:rsidRPr="001F224B">
              <w:rPr>
                <w:b/>
                <w:sz w:val="13"/>
                <w:szCs w:val="13"/>
              </w:rPr>
              <w:t>6.175.535</w:t>
            </w:r>
          </w:p>
        </w:tc>
        <w:tc>
          <w:tcPr>
            <w:tcW w:w="822" w:type="dxa"/>
            <w:tcBorders>
              <w:top w:val="nil"/>
              <w:left w:val="dotted" w:sz="4" w:space="0" w:color="auto"/>
              <w:bottom w:val="nil"/>
              <w:right w:val="dotted" w:sz="4" w:space="0" w:color="auto"/>
            </w:tcBorders>
            <w:vAlign w:val="bottom"/>
          </w:tcPr>
          <w:p w14:paraId="2D77BDAA" w14:textId="2FE63603"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tcPr>
          <w:p w14:paraId="65B3FD32" w14:textId="3DF68661" w:rsidR="009D13D5" w:rsidRPr="001F224B" w:rsidRDefault="009D13D5" w:rsidP="009D13D5">
            <w:pPr>
              <w:jc w:val="right"/>
              <w:rPr>
                <w:b/>
                <w:sz w:val="13"/>
                <w:szCs w:val="13"/>
              </w:rPr>
            </w:pPr>
            <w:r w:rsidRPr="001F224B">
              <w:rPr>
                <w:b/>
                <w:sz w:val="13"/>
                <w:szCs w:val="13"/>
              </w:rPr>
              <w:t>20.005.400</w:t>
            </w:r>
          </w:p>
        </w:tc>
        <w:tc>
          <w:tcPr>
            <w:tcW w:w="591" w:type="dxa"/>
            <w:gridSpan w:val="2"/>
            <w:tcBorders>
              <w:top w:val="nil"/>
              <w:left w:val="dotted" w:sz="4" w:space="0" w:color="auto"/>
              <w:bottom w:val="nil"/>
              <w:right w:val="dotted" w:sz="4" w:space="0" w:color="auto"/>
            </w:tcBorders>
            <w:vAlign w:val="bottom"/>
          </w:tcPr>
          <w:p w14:paraId="45054A38" w14:textId="028C3F84" w:rsidR="009D13D5" w:rsidRPr="001F224B" w:rsidRDefault="009D13D5" w:rsidP="009D13D5">
            <w:pPr>
              <w:jc w:val="right"/>
              <w:rPr>
                <w:b/>
                <w:sz w:val="13"/>
                <w:szCs w:val="13"/>
              </w:rPr>
            </w:pPr>
            <w:r w:rsidRPr="001F224B">
              <w:rPr>
                <w:b/>
                <w:sz w:val="13"/>
                <w:szCs w:val="13"/>
              </w:rPr>
              <w:t>-</w:t>
            </w:r>
          </w:p>
        </w:tc>
        <w:tc>
          <w:tcPr>
            <w:tcW w:w="807" w:type="dxa"/>
            <w:tcBorders>
              <w:top w:val="nil"/>
              <w:left w:val="dotted" w:sz="4" w:space="0" w:color="auto"/>
              <w:bottom w:val="nil"/>
            </w:tcBorders>
          </w:tcPr>
          <w:p w14:paraId="76FD2520" w14:textId="247328C2" w:rsidR="009D13D5" w:rsidRPr="001F224B" w:rsidRDefault="009D13D5" w:rsidP="009D13D5">
            <w:pPr>
              <w:jc w:val="right"/>
              <w:rPr>
                <w:b/>
                <w:sz w:val="13"/>
                <w:szCs w:val="13"/>
              </w:rPr>
            </w:pPr>
            <w:r w:rsidRPr="001F224B">
              <w:rPr>
                <w:b/>
                <w:sz w:val="13"/>
                <w:szCs w:val="13"/>
              </w:rPr>
              <w:t>20.005.400</w:t>
            </w:r>
          </w:p>
        </w:tc>
      </w:tr>
      <w:tr w:rsidR="009D13D5" w:rsidRPr="001F224B" w14:paraId="6DA3480C" w14:textId="77777777" w:rsidTr="00F071BD">
        <w:trPr>
          <w:trHeight w:val="19"/>
        </w:trPr>
        <w:tc>
          <w:tcPr>
            <w:tcW w:w="465" w:type="dxa"/>
            <w:tcBorders>
              <w:top w:val="nil"/>
              <w:left w:val="single" w:sz="4" w:space="0" w:color="auto"/>
              <w:bottom w:val="nil"/>
            </w:tcBorders>
          </w:tcPr>
          <w:p w14:paraId="3868CEF1" w14:textId="1A264CC2" w:rsidR="009D13D5" w:rsidRPr="001F224B" w:rsidRDefault="009D13D5" w:rsidP="009D13D5">
            <w:pPr>
              <w:rPr>
                <w:bCs/>
                <w:sz w:val="13"/>
                <w:szCs w:val="13"/>
              </w:rPr>
            </w:pPr>
            <w:r w:rsidRPr="001F224B">
              <w:rPr>
                <w:b/>
                <w:bCs/>
                <w:sz w:val="13"/>
                <w:szCs w:val="13"/>
              </w:rPr>
              <w:t>IV.</w:t>
            </w:r>
          </w:p>
        </w:tc>
        <w:tc>
          <w:tcPr>
            <w:tcW w:w="2925" w:type="dxa"/>
            <w:tcBorders>
              <w:top w:val="nil"/>
              <w:bottom w:val="nil"/>
              <w:right w:val="single" w:sz="4" w:space="0" w:color="auto"/>
            </w:tcBorders>
          </w:tcPr>
          <w:p w14:paraId="27D7C0BB" w14:textId="4A5B71B0" w:rsidR="009D13D5" w:rsidRPr="001F224B" w:rsidRDefault="009D13D5" w:rsidP="009D13D5">
            <w:pPr>
              <w:rPr>
                <w:sz w:val="13"/>
                <w:szCs w:val="13"/>
              </w:rPr>
            </w:pPr>
            <w:r w:rsidRPr="001F224B">
              <w:rPr>
                <w:b/>
                <w:sz w:val="13"/>
                <w:szCs w:val="13"/>
              </w:rPr>
              <w:t>Toplam Kapsamlı Gelir</w:t>
            </w:r>
          </w:p>
        </w:tc>
        <w:tc>
          <w:tcPr>
            <w:tcW w:w="754" w:type="dxa"/>
            <w:tcBorders>
              <w:top w:val="nil"/>
              <w:left w:val="single" w:sz="4" w:space="0" w:color="auto"/>
              <w:bottom w:val="nil"/>
              <w:right w:val="dotted" w:sz="4" w:space="0" w:color="auto"/>
            </w:tcBorders>
            <w:vAlign w:val="bottom"/>
          </w:tcPr>
          <w:p w14:paraId="1B097CDC" w14:textId="5433EC68" w:rsidR="009D13D5" w:rsidRPr="001F224B" w:rsidRDefault="009D13D5" w:rsidP="009D13D5">
            <w:pPr>
              <w:jc w:val="right"/>
              <w:rPr>
                <w:b/>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5607BCDE" w14:textId="34BF2FBE" w:rsidR="009D13D5" w:rsidRPr="001F224B" w:rsidRDefault="009D13D5" w:rsidP="009D13D5">
            <w:pPr>
              <w:jc w:val="right"/>
              <w:rPr>
                <w:b/>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01E56C4A" w14:textId="276B677B"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59780BFA" w14:textId="5A75EC3C" w:rsidR="009D13D5" w:rsidRPr="001F224B" w:rsidRDefault="009D13D5" w:rsidP="009D13D5">
            <w:pPr>
              <w:jc w:val="right"/>
              <w:rPr>
                <w:b/>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6D705F65" w14:textId="59CAF19C" w:rsidR="009D13D5" w:rsidRPr="001F224B" w:rsidRDefault="009D13D5" w:rsidP="009D13D5">
            <w:pPr>
              <w:jc w:val="right"/>
              <w:rPr>
                <w:b/>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0B0893EA" w14:textId="7B23FE84" w:rsidR="009D13D5" w:rsidRPr="001F224B" w:rsidRDefault="009D13D5" w:rsidP="009D13D5">
            <w:pPr>
              <w:jc w:val="right"/>
              <w:rPr>
                <w:b/>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631F32F9" w14:textId="28D925E8"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3EF378C9" w14:textId="4A155731"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nil"/>
              <w:bottom w:val="nil"/>
              <w:right w:val="dotted" w:sz="4" w:space="0" w:color="auto"/>
            </w:tcBorders>
            <w:shd w:val="clear" w:color="auto" w:fill="auto"/>
          </w:tcPr>
          <w:p w14:paraId="1D6D9A4D" w14:textId="556928D8" w:rsidR="009D13D5" w:rsidRPr="001F224B" w:rsidRDefault="009D13D5" w:rsidP="009D13D5">
            <w:pPr>
              <w:jc w:val="right"/>
              <w:rPr>
                <w:b/>
                <w:sz w:val="13"/>
                <w:szCs w:val="13"/>
              </w:rPr>
            </w:pPr>
            <w:r w:rsidRPr="001F224B">
              <w:rPr>
                <w:b/>
                <w:sz w:val="13"/>
                <w:szCs w:val="13"/>
              </w:rPr>
              <w:t>8.344</w:t>
            </w:r>
          </w:p>
        </w:tc>
        <w:tc>
          <w:tcPr>
            <w:tcW w:w="708" w:type="dxa"/>
            <w:tcBorders>
              <w:top w:val="nil"/>
              <w:left w:val="dotted" w:sz="4" w:space="0" w:color="auto"/>
              <w:bottom w:val="nil"/>
              <w:right w:val="dotted" w:sz="4" w:space="0" w:color="auto"/>
            </w:tcBorders>
            <w:vAlign w:val="bottom"/>
          </w:tcPr>
          <w:p w14:paraId="10C5494D" w14:textId="703BC6E2"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7B99D3D4" w14:textId="123365DD" w:rsidR="009D13D5" w:rsidRPr="001F224B" w:rsidRDefault="009D13D5" w:rsidP="009D13D5">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57606972" w14:textId="3038D61C" w:rsidR="009D13D5" w:rsidRPr="001F224B" w:rsidRDefault="009D13D5" w:rsidP="009D13D5">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tcPr>
          <w:p w14:paraId="28BA16F4" w14:textId="5BB74CE5" w:rsidR="009D13D5" w:rsidRPr="001F224B" w:rsidRDefault="009D13D5" w:rsidP="009D13D5">
            <w:pPr>
              <w:jc w:val="right"/>
              <w:rPr>
                <w:b/>
                <w:sz w:val="13"/>
                <w:szCs w:val="13"/>
              </w:rPr>
            </w:pPr>
            <w:r w:rsidRPr="001F224B">
              <w:rPr>
                <w:b/>
                <w:sz w:val="13"/>
                <w:szCs w:val="13"/>
              </w:rPr>
              <w:t>4.013.756</w:t>
            </w:r>
          </w:p>
        </w:tc>
        <w:tc>
          <w:tcPr>
            <w:tcW w:w="879" w:type="dxa"/>
            <w:tcBorders>
              <w:top w:val="nil"/>
              <w:left w:val="dotted" w:sz="4" w:space="0" w:color="auto"/>
              <w:bottom w:val="nil"/>
              <w:right w:val="dotted" w:sz="4" w:space="0" w:color="auto"/>
            </w:tcBorders>
          </w:tcPr>
          <w:p w14:paraId="060F4EA2" w14:textId="051AD546" w:rsidR="009D13D5" w:rsidRPr="001F224B" w:rsidRDefault="009D13D5" w:rsidP="009D13D5">
            <w:pPr>
              <w:jc w:val="right"/>
              <w:rPr>
                <w:b/>
                <w:sz w:val="13"/>
                <w:szCs w:val="13"/>
              </w:rPr>
            </w:pPr>
            <w:r w:rsidRPr="001F224B">
              <w:rPr>
                <w:b/>
                <w:sz w:val="13"/>
                <w:szCs w:val="13"/>
              </w:rPr>
              <w:t>4.022.100</w:t>
            </w:r>
          </w:p>
        </w:tc>
        <w:tc>
          <w:tcPr>
            <w:tcW w:w="591" w:type="dxa"/>
            <w:gridSpan w:val="2"/>
            <w:tcBorders>
              <w:top w:val="nil"/>
              <w:left w:val="dotted" w:sz="4" w:space="0" w:color="auto"/>
              <w:bottom w:val="nil"/>
              <w:right w:val="dotted" w:sz="4" w:space="0" w:color="auto"/>
            </w:tcBorders>
            <w:vAlign w:val="bottom"/>
          </w:tcPr>
          <w:p w14:paraId="144854FA" w14:textId="5381B6FF"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tcPr>
          <w:p w14:paraId="35F0B02C" w14:textId="27B0D9C3" w:rsidR="009D13D5" w:rsidRPr="001F224B" w:rsidRDefault="009D13D5" w:rsidP="009D13D5">
            <w:pPr>
              <w:jc w:val="right"/>
              <w:rPr>
                <w:b/>
                <w:sz w:val="13"/>
                <w:szCs w:val="13"/>
              </w:rPr>
            </w:pPr>
            <w:r w:rsidRPr="001F224B">
              <w:rPr>
                <w:b/>
                <w:sz w:val="13"/>
                <w:szCs w:val="13"/>
              </w:rPr>
              <w:t>4.022.100</w:t>
            </w:r>
          </w:p>
        </w:tc>
      </w:tr>
      <w:tr w:rsidR="009D13D5" w:rsidRPr="001F224B" w14:paraId="714745B7" w14:textId="77777777" w:rsidTr="009844CA">
        <w:trPr>
          <w:trHeight w:val="19"/>
        </w:trPr>
        <w:tc>
          <w:tcPr>
            <w:tcW w:w="465" w:type="dxa"/>
            <w:tcBorders>
              <w:top w:val="nil"/>
              <w:left w:val="single" w:sz="4" w:space="0" w:color="auto"/>
              <w:bottom w:val="nil"/>
            </w:tcBorders>
          </w:tcPr>
          <w:p w14:paraId="1B867ED8" w14:textId="77777777" w:rsidR="009D13D5" w:rsidRPr="001F224B" w:rsidRDefault="009D13D5" w:rsidP="009D13D5">
            <w:pPr>
              <w:rPr>
                <w:b/>
                <w:bCs/>
                <w:sz w:val="13"/>
                <w:szCs w:val="13"/>
              </w:rPr>
            </w:pPr>
            <w:r w:rsidRPr="001F224B">
              <w:rPr>
                <w:b/>
                <w:bCs/>
                <w:sz w:val="13"/>
                <w:szCs w:val="13"/>
              </w:rPr>
              <w:t>V.</w:t>
            </w:r>
          </w:p>
        </w:tc>
        <w:tc>
          <w:tcPr>
            <w:tcW w:w="2925" w:type="dxa"/>
            <w:tcBorders>
              <w:top w:val="nil"/>
              <w:bottom w:val="nil"/>
              <w:right w:val="single" w:sz="4" w:space="0" w:color="auto"/>
            </w:tcBorders>
          </w:tcPr>
          <w:p w14:paraId="11BCF6D1" w14:textId="77777777" w:rsidR="009D13D5" w:rsidRPr="001F224B" w:rsidRDefault="009D13D5" w:rsidP="009D13D5">
            <w:pPr>
              <w:rPr>
                <w:b/>
                <w:bCs/>
                <w:sz w:val="13"/>
                <w:szCs w:val="13"/>
              </w:rPr>
            </w:pPr>
            <w:r w:rsidRPr="001F224B">
              <w:rPr>
                <w:b/>
                <w:sz w:val="13"/>
                <w:szCs w:val="13"/>
              </w:rPr>
              <w:t>Nakden Gerçekleştirilen Sermaye Artırımı</w:t>
            </w:r>
          </w:p>
        </w:tc>
        <w:tc>
          <w:tcPr>
            <w:tcW w:w="754" w:type="dxa"/>
            <w:tcBorders>
              <w:top w:val="nil"/>
              <w:left w:val="single" w:sz="4" w:space="0" w:color="auto"/>
              <w:bottom w:val="nil"/>
              <w:right w:val="dotted" w:sz="4" w:space="0" w:color="auto"/>
            </w:tcBorders>
          </w:tcPr>
          <w:p w14:paraId="19557B4E" w14:textId="1E6A95D6" w:rsidR="009D13D5" w:rsidRPr="001F224B" w:rsidRDefault="009D13D5" w:rsidP="009D13D5">
            <w:pPr>
              <w:jc w:val="right"/>
              <w:rPr>
                <w:b/>
                <w:sz w:val="13"/>
                <w:szCs w:val="13"/>
              </w:rPr>
            </w:pPr>
            <w:r w:rsidRPr="001F224B">
              <w:rPr>
                <w:b/>
                <w:sz w:val="13"/>
                <w:szCs w:val="13"/>
              </w:rPr>
              <w:t>4.500.000</w:t>
            </w:r>
          </w:p>
        </w:tc>
        <w:tc>
          <w:tcPr>
            <w:tcW w:w="992" w:type="dxa"/>
            <w:tcBorders>
              <w:top w:val="nil"/>
              <w:left w:val="dotted" w:sz="4" w:space="0" w:color="auto"/>
              <w:bottom w:val="nil"/>
              <w:right w:val="dotted" w:sz="4" w:space="0" w:color="auto"/>
            </w:tcBorders>
          </w:tcPr>
          <w:p w14:paraId="7F682ED5" w14:textId="60239787" w:rsidR="009D13D5" w:rsidRPr="001F224B" w:rsidRDefault="009D13D5" w:rsidP="009D13D5">
            <w:pPr>
              <w:jc w:val="right"/>
              <w:rPr>
                <w:b/>
                <w:sz w:val="13"/>
                <w:szCs w:val="13"/>
              </w:rPr>
            </w:pPr>
            <w:r w:rsidRPr="001F224B">
              <w:rPr>
                <w:b/>
                <w:sz w:val="13"/>
                <w:szCs w:val="13"/>
              </w:rPr>
              <w:t>826</w:t>
            </w:r>
          </w:p>
        </w:tc>
        <w:tc>
          <w:tcPr>
            <w:tcW w:w="709" w:type="dxa"/>
            <w:tcBorders>
              <w:top w:val="nil"/>
              <w:left w:val="dotted" w:sz="4" w:space="0" w:color="auto"/>
              <w:bottom w:val="nil"/>
              <w:right w:val="dotted" w:sz="4" w:space="0" w:color="auto"/>
            </w:tcBorders>
            <w:vAlign w:val="bottom"/>
          </w:tcPr>
          <w:p w14:paraId="5AD996DD" w14:textId="05C1C93C" w:rsidR="009D13D5" w:rsidRPr="001F224B" w:rsidRDefault="009D13D5" w:rsidP="009D13D5">
            <w:pPr>
              <w:jc w:val="right"/>
              <w:rPr>
                <w:b/>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687D954B" w14:textId="357767DF" w:rsidR="009D13D5" w:rsidRPr="001F224B" w:rsidRDefault="009D13D5" w:rsidP="009D13D5">
            <w:pPr>
              <w:jc w:val="right"/>
              <w:rPr>
                <w:b/>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34D54580" w14:textId="552C80DD" w:rsidR="009D13D5" w:rsidRPr="001F224B" w:rsidRDefault="009D13D5" w:rsidP="009D13D5">
            <w:pPr>
              <w:jc w:val="right"/>
              <w:rPr>
                <w:b/>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74D7FE83" w14:textId="0B0D5262" w:rsidR="009D13D5" w:rsidRPr="001F224B" w:rsidRDefault="009D13D5" w:rsidP="009D13D5">
            <w:pPr>
              <w:jc w:val="right"/>
              <w:rPr>
                <w:b/>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1D4BDE94" w14:textId="359D2AF9" w:rsidR="009D13D5" w:rsidRPr="001F224B" w:rsidRDefault="009D13D5" w:rsidP="009D13D5">
            <w:pPr>
              <w:jc w:val="right"/>
              <w:rPr>
                <w:b/>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02A69854" w14:textId="64153B5E" w:rsidR="009D13D5" w:rsidRPr="001F224B" w:rsidRDefault="009D13D5" w:rsidP="009D13D5">
            <w:pPr>
              <w:jc w:val="right"/>
              <w:rPr>
                <w:b/>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4C2E89B5" w14:textId="3BCC4945" w:rsidR="009D13D5" w:rsidRPr="001F224B" w:rsidRDefault="009D13D5" w:rsidP="009D13D5">
            <w:pPr>
              <w:jc w:val="right"/>
              <w:rPr>
                <w:b/>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3065D1A1" w14:textId="691E8A4B"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4D27D50B" w14:textId="60C88D1A" w:rsidR="009D13D5" w:rsidRPr="001F224B" w:rsidRDefault="009D13D5" w:rsidP="009D13D5">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0C24F2BF" w14:textId="74BE8598" w:rsidR="009D13D5" w:rsidRPr="001F224B" w:rsidRDefault="009D13D5" w:rsidP="009D13D5">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tcPr>
          <w:p w14:paraId="00814482" w14:textId="0AC9817B" w:rsidR="009D13D5" w:rsidRPr="001F224B" w:rsidRDefault="009D13D5" w:rsidP="009D13D5">
            <w:pPr>
              <w:jc w:val="right"/>
              <w:rPr>
                <w:b/>
                <w:sz w:val="13"/>
                <w:szCs w:val="13"/>
              </w:rPr>
            </w:pPr>
            <w:r w:rsidRPr="001F224B">
              <w:rPr>
                <w:b/>
                <w:sz w:val="13"/>
                <w:szCs w:val="13"/>
              </w:rPr>
              <w:t>-</w:t>
            </w:r>
          </w:p>
        </w:tc>
        <w:tc>
          <w:tcPr>
            <w:tcW w:w="879" w:type="dxa"/>
            <w:tcBorders>
              <w:top w:val="nil"/>
              <w:left w:val="dotted" w:sz="4" w:space="0" w:color="auto"/>
              <w:bottom w:val="nil"/>
              <w:right w:val="dotted" w:sz="4" w:space="0" w:color="auto"/>
            </w:tcBorders>
          </w:tcPr>
          <w:p w14:paraId="7A2DEEC3" w14:textId="79F7E7EC" w:rsidR="009D13D5" w:rsidRPr="001F224B" w:rsidRDefault="009D13D5" w:rsidP="009D13D5">
            <w:pPr>
              <w:jc w:val="right"/>
              <w:rPr>
                <w:b/>
                <w:sz w:val="13"/>
                <w:szCs w:val="13"/>
              </w:rPr>
            </w:pPr>
            <w:r w:rsidRPr="001F224B">
              <w:rPr>
                <w:b/>
                <w:sz w:val="13"/>
                <w:szCs w:val="13"/>
              </w:rPr>
              <w:t>4.500.826</w:t>
            </w:r>
          </w:p>
        </w:tc>
        <w:tc>
          <w:tcPr>
            <w:tcW w:w="591" w:type="dxa"/>
            <w:gridSpan w:val="2"/>
            <w:tcBorders>
              <w:top w:val="nil"/>
              <w:left w:val="dotted" w:sz="4" w:space="0" w:color="auto"/>
              <w:bottom w:val="nil"/>
              <w:right w:val="dotted" w:sz="4" w:space="0" w:color="auto"/>
            </w:tcBorders>
            <w:vAlign w:val="bottom"/>
          </w:tcPr>
          <w:p w14:paraId="4F2DB03E" w14:textId="32563D17" w:rsidR="009D13D5" w:rsidRPr="001F224B" w:rsidRDefault="009D13D5" w:rsidP="009D13D5">
            <w:pPr>
              <w:jc w:val="right"/>
              <w:rPr>
                <w:b/>
                <w:sz w:val="13"/>
                <w:szCs w:val="13"/>
              </w:rPr>
            </w:pPr>
            <w:r w:rsidRPr="001F224B">
              <w:rPr>
                <w:b/>
                <w:sz w:val="13"/>
                <w:szCs w:val="13"/>
              </w:rPr>
              <w:t xml:space="preserve">- </w:t>
            </w:r>
          </w:p>
        </w:tc>
        <w:tc>
          <w:tcPr>
            <w:tcW w:w="807" w:type="dxa"/>
            <w:tcBorders>
              <w:top w:val="nil"/>
              <w:left w:val="dotted" w:sz="4" w:space="0" w:color="auto"/>
              <w:bottom w:val="nil"/>
            </w:tcBorders>
          </w:tcPr>
          <w:p w14:paraId="26CF1437" w14:textId="469EDC4A" w:rsidR="009D13D5" w:rsidRPr="001F224B" w:rsidRDefault="009D13D5" w:rsidP="009D13D5">
            <w:pPr>
              <w:jc w:val="right"/>
              <w:rPr>
                <w:b/>
                <w:sz w:val="13"/>
                <w:szCs w:val="13"/>
              </w:rPr>
            </w:pPr>
            <w:r w:rsidRPr="001F224B">
              <w:rPr>
                <w:b/>
                <w:sz w:val="13"/>
                <w:szCs w:val="13"/>
              </w:rPr>
              <w:t>4.500.826</w:t>
            </w:r>
          </w:p>
        </w:tc>
      </w:tr>
      <w:tr w:rsidR="009D13D5" w:rsidRPr="001F224B" w14:paraId="792C0C42" w14:textId="77777777" w:rsidTr="00C678E9">
        <w:trPr>
          <w:trHeight w:val="19"/>
        </w:trPr>
        <w:tc>
          <w:tcPr>
            <w:tcW w:w="465" w:type="dxa"/>
            <w:tcBorders>
              <w:top w:val="nil"/>
              <w:left w:val="single" w:sz="4" w:space="0" w:color="auto"/>
              <w:bottom w:val="nil"/>
            </w:tcBorders>
          </w:tcPr>
          <w:p w14:paraId="16FF240C" w14:textId="5A7BB1B8" w:rsidR="009D13D5" w:rsidRPr="001F224B" w:rsidRDefault="009D13D5" w:rsidP="009D13D5">
            <w:pPr>
              <w:rPr>
                <w:b/>
                <w:bCs/>
                <w:sz w:val="13"/>
                <w:szCs w:val="13"/>
              </w:rPr>
            </w:pPr>
            <w:r w:rsidRPr="001F224B">
              <w:rPr>
                <w:b/>
                <w:bCs/>
                <w:sz w:val="13"/>
                <w:szCs w:val="13"/>
              </w:rPr>
              <w:t>VI.</w:t>
            </w:r>
          </w:p>
        </w:tc>
        <w:tc>
          <w:tcPr>
            <w:tcW w:w="2925" w:type="dxa"/>
            <w:tcBorders>
              <w:top w:val="nil"/>
              <w:bottom w:val="nil"/>
              <w:right w:val="single" w:sz="4" w:space="0" w:color="auto"/>
            </w:tcBorders>
          </w:tcPr>
          <w:p w14:paraId="55168E5D" w14:textId="565DCDC3" w:rsidR="009D13D5" w:rsidRPr="001F224B" w:rsidRDefault="009D13D5" w:rsidP="009D13D5">
            <w:pPr>
              <w:rPr>
                <w:b/>
                <w:sz w:val="13"/>
                <w:szCs w:val="13"/>
              </w:rPr>
            </w:pPr>
            <w:r w:rsidRPr="001F224B">
              <w:rPr>
                <w:b/>
                <w:sz w:val="13"/>
                <w:szCs w:val="13"/>
              </w:rPr>
              <w:t>İç Kaynaklardan Gerçekleştirilen Sermaye Artırımı</w:t>
            </w:r>
          </w:p>
        </w:tc>
        <w:tc>
          <w:tcPr>
            <w:tcW w:w="754" w:type="dxa"/>
            <w:tcBorders>
              <w:top w:val="nil"/>
              <w:left w:val="single" w:sz="4" w:space="0" w:color="auto"/>
              <w:bottom w:val="nil"/>
              <w:right w:val="dotted" w:sz="4" w:space="0" w:color="auto"/>
            </w:tcBorders>
            <w:vAlign w:val="bottom"/>
          </w:tcPr>
          <w:p w14:paraId="5D6073DA" w14:textId="15EEDAAF" w:rsidR="009D13D5" w:rsidRPr="001F224B" w:rsidRDefault="009D13D5" w:rsidP="009D13D5">
            <w:pPr>
              <w:jc w:val="right"/>
              <w:rPr>
                <w:b/>
                <w:sz w:val="13"/>
                <w:szCs w:val="13"/>
              </w:rPr>
            </w:pPr>
            <w:r w:rsidRPr="001F224B">
              <w:rPr>
                <w:b/>
                <w:sz w:val="13"/>
                <w:szCs w:val="13"/>
              </w:rPr>
              <w:t xml:space="preserve">- </w:t>
            </w:r>
          </w:p>
        </w:tc>
        <w:tc>
          <w:tcPr>
            <w:tcW w:w="992" w:type="dxa"/>
            <w:tcBorders>
              <w:top w:val="nil"/>
              <w:left w:val="dotted" w:sz="4" w:space="0" w:color="auto"/>
              <w:bottom w:val="nil"/>
              <w:right w:val="dotted" w:sz="4" w:space="0" w:color="auto"/>
            </w:tcBorders>
            <w:vAlign w:val="bottom"/>
          </w:tcPr>
          <w:p w14:paraId="58496BE1" w14:textId="78BE9AA5"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13BC6FFB" w14:textId="7BB36515"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3F20B079" w14:textId="424117B6" w:rsidR="009D13D5" w:rsidRPr="001F224B" w:rsidRDefault="009D13D5" w:rsidP="009D13D5">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641EE5F3" w14:textId="264D1F05"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10688CDF" w14:textId="127D0169"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15F10894" w14:textId="3C4E24FB"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5AE2C6C4" w14:textId="62065F50"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48F04576" w14:textId="31A0A79F"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4A5AE29" w14:textId="1425A289"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2317431F" w14:textId="3FCAB417" w:rsidR="009D13D5" w:rsidRPr="001F224B" w:rsidRDefault="009D13D5" w:rsidP="009D13D5">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4E76C923" w14:textId="663909FA" w:rsidR="009D13D5" w:rsidRPr="001F224B" w:rsidRDefault="009D13D5" w:rsidP="009D13D5">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3E0F2B7E" w14:textId="0E85AED9"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67044A33" w14:textId="1BF0F67C" w:rsidR="009D13D5" w:rsidRPr="001F224B" w:rsidRDefault="009D13D5" w:rsidP="009D13D5">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2A9F8708" w14:textId="7C7E3782"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vAlign w:val="bottom"/>
          </w:tcPr>
          <w:p w14:paraId="450C0517" w14:textId="3F11096F" w:rsidR="009D13D5" w:rsidRPr="001F224B" w:rsidRDefault="009D13D5" w:rsidP="009D13D5">
            <w:pPr>
              <w:jc w:val="right"/>
              <w:rPr>
                <w:b/>
                <w:sz w:val="13"/>
                <w:szCs w:val="13"/>
              </w:rPr>
            </w:pPr>
            <w:r w:rsidRPr="001F224B">
              <w:rPr>
                <w:b/>
                <w:sz w:val="13"/>
                <w:szCs w:val="13"/>
              </w:rPr>
              <w:t xml:space="preserve"> - </w:t>
            </w:r>
          </w:p>
        </w:tc>
      </w:tr>
      <w:tr w:rsidR="009D13D5" w:rsidRPr="001F224B" w14:paraId="38B96423" w14:textId="77777777" w:rsidTr="006A16FE">
        <w:trPr>
          <w:trHeight w:val="19"/>
        </w:trPr>
        <w:tc>
          <w:tcPr>
            <w:tcW w:w="465" w:type="dxa"/>
            <w:tcBorders>
              <w:top w:val="nil"/>
              <w:left w:val="single" w:sz="4" w:space="0" w:color="auto"/>
              <w:bottom w:val="nil"/>
            </w:tcBorders>
          </w:tcPr>
          <w:p w14:paraId="58E62F25" w14:textId="77777777" w:rsidR="009D13D5" w:rsidRPr="001F224B" w:rsidRDefault="009D13D5" w:rsidP="009D13D5">
            <w:pPr>
              <w:rPr>
                <w:b/>
                <w:bCs/>
                <w:sz w:val="13"/>
                <w:szCs w:val="13"/>
              </w:rPr>
            </w:pPr>
            <w:r w:rsidRPr="001F224B">
              <w:rPr>
                <w:b/>
                <w:bCs/>
                <w:sz w:val="13"/>
                <w:szCs w:val="13"/>
              </w:rPr>
              <w:t>VII.</w:t>
            </w:r>
          </w:p>
        </w:tc>
        <w:tc>
          <w:tcPr>
            <w:tcW w:w="2925" w:type="dxa"/>
            <w:tcBorders>
              <w:top w:val="nil"/>
              <w:bottom w:val="nil"/>
              <w:right w:val="single" w:sz="4" w:space="0" w:color="auto"/>
            </w:tcBorders>
          </w:tcPr>
          <w:p w14:paraId="11AB8E76" w14:textId="77777777" w:rsidR="009D13D5" w:rsidRPr="001F224B" w:rsidRDefault="009D13D5" w:rsidP="009D13D5">
            <w:pPr>
              <w:rPr>
                <w:b/>
                <w:bCs/>
                <w:sz w:val="13"/>
                <w:szCs w:val="13"/>
              </w:rPr>
            </w:pPr>
            <w:r w:rsidRPr="001F224B">
              <w:rPr>
                <w:b/>
                <w:sz w:val="13"/>
                <w:szCs w:val="13"/>
              </w:rPr>
              <w:t>Ödenmiş Sermaye Enflasyon Düzeltme Farkı</w:t>
            </w:r>
          </w:p>
        </w:tc>
        <w:tc>
          <w:tcPr>
            <w:tcW w:w="754" w:type="dxa"/>
            <w:tcBorders>
              <w:top w:val="nil"/>
              <w:left w:val="single" w:sz="4" w:space="0" w:color="auto"/>
              <w:bottom w:val="nil"/>
              <w:right w:val="dotted" w:sz="4" w:space="0" w:color="auto"/>
            </w:tcBorders>
            <w:vAlign w:val="bottom"/>
          </w:tcPr>
          <w:p w14:paraId="7D850D8B" w14:textId="5D785EE7" w:rsidR="009D13D5" w:rsidRPr="001F224B" w:rsidRDefault="009D13D5" w:rsidP="009D13D5">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7465950A" w14:textId="6AAC3C22"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78139119" w14:textId="48962944"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21B25EA6" w14:textId="4E360408" w:rsidR="009D13D5" w:rsidRPr="001F224B" w:rsidRDefault="009D13D5" w:rsidP="009D13D5">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52E5D5CE" w14:textId="4A7A3048"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56480EF6" w14:textId="7654D88B"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2572C604" w14:textId="3077FB58"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3F234857" w14:textId="36832581"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479B16FC" w14:textId="75BC3C28"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23CD922C" w14:textId="6E1CD403"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206D668C" w14:textId="3CFE95FC" w:rsidR="009D13D5" w:rsidRPr="001F224B" w:rsidRDefault="009D13D5" w:rsidP="009D13D5">
            <w:pPr>
              <w:jc w:val="right"/>
              <w:rPr>
                <w:b/>
                <w:sz w:val="13"/>
                <w:szCs w:val="13"/>
              </w:rPr>
            </w:pPr>
            <w:r w:rsidRPr="001F224B">
              <w:rPr>
                <w:b/>
                <w:sz w:val="13"/>
                <w:szCs w:val="13"/>
              </w:rPr>
              <w:t>-</w:t>
            </w:r>
          </w:p>
        </w:tc>
        <w:tc>
          <w:tcPr>
            <w:tcW w:w="923" w:type="dxa"/>
            <w:tcBorders>
              <w:top w:val="nil"/>
              <w:left w:val="dotted" w:sz="4" w:space="0" w:color="auto"/>
              <w:bottom w:val="nil"/>
              <w:right w:val="dotted" w:sz="4" w:space="0" w:color="auto"/>
            </w:tcBorders>
            <w:vAlign w:val="bottom"/>
          </w:tcPr>
          <w:p w14:paraId="2003C40E" w14:textId="02E18B71" w:rsidR="009D13D5" w:rsidRPr="001F224B" w:rsidRDefault="009D13D5" w:rsidP="009D13D5">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4B851398" w14:textId="57949EFB"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4B4D8523" w14:textId="5C3FD45D" w:rsidR="009D13D5" w:rsidRPr="001F224B" w:rsidRDefault="009D13D5" w:rsidP="009D13D5">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77F95E29" w14:textId="2790C236"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vAlign w:val="bottom"/>
          </w:tcPr>
          <w:p w14:paraId="349E51EB" w14:textId="3A7683C8" w:rsidR="009D13D5" w:rsidRPr="001F224B" w:rsidRDefault="009D13D5" w:rsidP="009D13D5">
            <w:pPr>
              <w:jc w:val="right"/>
              <w:rPr>
                <w:b/>
                <w:sz w:val="13"/>
                <w:szCs w:val="13"/>
              </w:rPr>
            </w:pPr>
            <w:r w:rsidRPr="001F224B">
              <w:rPr>
                <w:b/>
                <w:sz w:val="13"/>
                <w:szCs w:val="13"/>
              </w:rPr>
              <w:t xml:space="preserve"> - </w:t>
            </w:r>
          </w:p>
        </w:tc>
      </w:tr>
      <w:tr w:rsidR="009D13D5" w:rsidRPr="001F224B" w14:paraId="218E4419" w14:textId="77777777" w:rsidTr="006A16FE">
        <w:trPr>
          <w:trHeight w:val="19"/>
        </w:trPr>
        <w:tc>
          <w:tcPr>
            <w:tcW w:w="465" w:type="dxa"/>
            <w:tcBorders>
              <w:top w:val="nil"/>
              <w:left w:val="single" w:sz="4" w:space="0" w:color="auto"/>
              <w:bottom w:val="nil"/>
            </w:tcBorders>
          </w:tcPr>
          <w:p w14:paraId="3B435C4C" w14:textId="77777777" w:rsidR="009D13D5" w:rsidRPr="001F224B" w:rsidRDefault="009D13D5" w:rsidP="009D13D5">
            <w:pPr>
              <w:rPr>
                <w:b/>
                <w:bCs/>
                <w:sz w:val="13"/>
                <w:szCs w:val="13"/>
              </w:rPr>
            </w:pPr>
            <w:r w:rsidRPr="001F224B">
              <w:rPr>
                <w:b/>
                <w:bCs/>
                <w:sz w:val="13"/>
                <w:szCs w:val="13"/>
              </w:rPr>
              <w:t>VIII</w:t>
            </w:r>
          </w:p>
        </w:tc>
        <w:tc>
          <w:tcPr>
            <w:tcW w:w="2925" w:type="dxa"/>
            <w:tcBorders>
              <w:top w:val="nil"/>
              <w:bottom w:val="nil"/>
              <w:right w:val="single" w:sz="4" w:space="0" w:color="auto"/>
            </w:tcBorders>
          </w:tcPr>
          <w:p w14:paraId="22389153" w14:textId="77777777" w:rsidR="009D13D5" w:rsidRPr="001F224B" w:rsidRDefault="009D13D5" w:rsidP="009D13D5">
            <w:pPr>
              <w:rPr>
                <w:b/>
                <w:bCs/>
                <w:sz w:val="13"/>
                <w:szCs w:val="13"/>
              </w:rPr>
            </w:pPr>
            <w:r w:rsidRPr="001F224B">
              <w:rPr>
                <w:b/>
                <w:sz w:val="13"/>
                <w:szCs w:val="13"/>
              </w:rPr>
              <w:t xml:space="preserve">Hisse Senedine Dönüştürülebilir Tahviller </w:t>
            </w:r>
          </w:p>
        </w:tc>
        <w:tc>
          <w:tcPr>
            <w:tcW w:w="754" w:type="dxa"/>
            <w:tcBorders>
              <w:top w:val="nil"/>
              <w:left w:val="single" w:sz="4" w:space="0" w:color="auto"/>
              <w:bottom w:val="nil"/>
              <w:right w:val="dotted" w:sz="4" w:space="0" w:color="auto"/>
            </w:tcBorders>
            <w:vAlign w:val="bottom"/>
          </w:tcPr>
          <w:p w14:paraId="6F2BDC17" w14:textId="551F81FE" w:rsidR="009D13D5" w:rsidRPr="001F224B" w:rsidRDefault="009D13D5" w:rsidP="009D13D5">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00A74E61" w14:textId="63900655"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D7681A2" w14:textId="3DE0CE7C"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3657E5A4" w14:textId="5FF5A517" w:rsidR="009D13D5" w:rsidRPr="001F224B" w:rsidRDefault="009D13D5" w:rsidP="009D13D5">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651195FC" w14:textId="2D9203D0"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6EB3DF21" w14:textId="5362F0B6"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0583D520" w14:textId="01377BF0"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D93E1E7" w14:textId="659992FB"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1D4E1404" w14:textId="0F142D3A"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5762A0AA" w14:textId="6BCCECAE"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7DBA70F9" w14:textId="76730C41" w:rsidR="009D13D5" w:rsidRPr="001F224B" w:rsidRDefault="009D13D5" w:rsidP="009D13D5">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748CEAC7" w14:textId="379EADCF" w:rsidR="009D13D5" w:rsidRPr="001F224B" w:rsidRDefault="009D13D5" w:rsidP="009D13D5">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5D17CAE7" w14:textId="623EBF9A"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74CFEE6F" w14:textId="49082301" w:rsidR="009D13D5" w:rsidRPr="001F224B" w:rsidRDefault="009D13D5" w:rsidP="009D13D5">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67FB1574" w14:textId="5195483F"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vAlign w:val="bottom"/>
          </w:tcPr>
          <w:p w14:paraId="2672EA2B" w14:textId="3CB80576" w:rsidR="009D13D5" w:rsidRPr="001F224B" w:rsidRDefault="009D13D5" w:rsidP="009D13D5">
            <w:pPr>
              <w:jc w:val="right"/>
              <w:rPr>
                <w:b/>
                <w:sz w:val="13"/>
                <w:szCs w:val="13"/>
              </w:rPr>
            </w:pPr>
            <w:r w:rsidRPr="001F224B">
              <w:rPr>
                <w:b/>
                <w:sz w:val="13"/>
                <w:szCs w:val="13"/>
              </w:rPr>
              <w:t xml:space="preserve"> - </w:t>
            </w:r>
          </w:p>
        </w:tc>
      </w:tr>
      <w:tr w:rsidR="009D13D5" w:rsidRPr="001F224B" w14:paraId="35122C9A" w14:textId="77777777" w:rsidTr="006A16FE">
        <w:trPr>
          <w:trHeight w:val="19"/>
        </w:trPr>
        <w:tc>
          <w:tcPr>
            <w:tcW w:w="465" w:type="dxa"/>
            <w:tcBorders>
              <w:top w:val="nil"/>
              <w:left w:val="single" w:sz="4" w:space="0" w:color="auto"/>
              <w:bottom w:val="nil"/>
            </w:tcBorders>
          </w:tcPr>
          <w:p w14:paraId="69D729B4" w14:textId="77777777" w:rsidR="009D13D5" w:rsidRPr="001F224B" w:rsidRDefault="009D13D5" w:rsidP="009D13D5">
            <w:pPr>
              <w:rPr>
                <w:b/>
                <w:bCs/>
                <w:sz w:val="13"/>
                <w:szCs w:val="13"/>
              </w:rPr>
            </w:pPr>
            <w:r w:rsidRPr="001F224B">
              <w:rPr>
                <w:b/>
                <w:bCs/>
                <w:sz w:val="13"/>
                <w:szCs w:val="13"/>
              </w:rPr>
              <w:t>IX.</w:t>
            </w:r>
          </w:p>
        </w:tc>
        <w:tc>
          <w:tcPr>
            <w:tcW w:w="2925" w:type="dxa"/>
            <w:tcBorders>
              <w:top w:val="nil"/>
              <w:bottom w:val="nil"/>
              <w:right w:val="single" w:sz="4" w:space="0" w:color="auto"/>
            </w:tcBorders>
          </w:tcPr>
          <w:p w14:paraId="7E67C830" w14:textId="77777777" w:rsidR="009D13D5" w:rsidRPr="001F224B" w:rsidRDefault="009D13D5" w:rsidP="009D13D5">
            <w:pPr>
              <w:rPr>
                <w:b/>
                <w:bCs/>
                <w:sz w:val="13"/>
                <w:szCs w:val="13"/>
              </w:rPr>
            </w:pPr>
            <w:r w:rsidRPr="001F224B">
              <w:rPr>
                <w:b/>
                <w:sz w:val="13"/>
                <w:szCs w:val="13"/>
              </w:rPr>
              <w:t>Sermaye Benzeri Borçlanma Araçları</w:t>
            </w:r>
          </w:p>
        </w:tc>
        <w:tc>
          <w:tcPr>
            <w:tcW w:w="754" w:type="dxa"/>
            <w:tcBorders>
              <w:top w:val="nil"/>
              <w:left w:val="single" w:sz="4" w:space="0" w:color="auto"/>
              <w:bottom w:val="nil"/>
              <w:right w:val="dotted" w:sz="4" w:space="0" w:color="auto"/>
            </w:tcBorders>
            <w:vAlign w:val="bottom"/>
          </w:tcPr>
          <w:p w14:paraId="6E77C58E" w14:textId="42C13B30" w:rsidR="009D13D5" w:rsidRPr="001F224B" w:rsidRDefault="009D13D5" w:rsidP="009D13D5">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03E2DCFD" w14:textId="04BD4B25"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314487E3" w14:textId="16ACB365"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2D1DEF3A" w14:textId="73C1691D" w:rsidR="009D13D5" w:rsidRPr="001F224B" w:rsidRDefault="009D13D5" w:rsidP="009D13D5">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706F3CCA" w14:textId="06991C6A"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767BFE7A" w14:textId="4C766AA9"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0DDE7A25" w14:textId="2F89AF33"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2B009F9B" w14:textId="067715DC"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51F7BFB2" w14:textId="6A3580D0"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2881E6F5" w14:textId="6875F9C6"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vAlign w:val="bottom"/>
          </w:tcPr>
          <w:p w14:paraId="1A860FEF" w14:textId="3D970937" w:rsidR="009D13D5" w:rsidRPr="001F224B" w:rsidRDefault="009D13D5" w:rsidP="009D13D5">
            <w:pPr>
              <w:jc w:val="right"/>
              <w:rPr>
                <w:b/>
                <w:sz w:val="13"/>
                <w:szCs w:val="13"/>
              </w:rPr>
            </w:pPr>
            <w:r w:rsidRPr="001F224B">
              <w:rPr>
                <w:b/>
                <w:sz w:val="13"/>
                <w:szCs w:val="13"/>
              </w:rPr>
              <w:t xml:space="preserve"> - </w:t>
            </w:r>
          </w:p>
        </w:tc>
        <w:tc>
          <w:tcPr>
            <w:tcW w:w="923" w:type="dxa"/>
            <w:tcBorders>
              <w:top w:val="nil"/>
              <w:left w:val="dotted" w:sz="4" w:space="0" w:color="auto"/>
              <w:bottom w:val="nil"/>
              <w:right w:val="dotted" w:sz="4" w:space="0" w:color="auto"/>
            </w:tcBorders>
            <w:vAlign w:val="bottom"/>
          </w:tcPr>
          <w:p w14:paraId="241E0FE1" w14:textId="26D3FD77" w:rsidR="009D13D5" w:rsidRPr="001F224B" w:rsidRDefault="009D13D5" w:rsidP="009D13D5">
            <w:pPr>
              <w:jc w:val="right"/>
              <w:rPr>
                <w:b/>
                <w:sz w:val="13"/>
                <w:szCs w:val="13"/>
              </w:rPr>
            </w:pPr>
            <w:r w:rsidRPr="001F224B">
              <w:rPr>
                <w:b/>
                <w:sz w:val="13"/>
                <w:szCs w:val="13"/>
              </w:rPr>
              <w:t xml:space="preserve"> - </w:t>
            </w:r>
          </w:p>
        </w:tc>
        <w:tc>
          <w:tcPr>
            <w:tcW w:w="822" w:type="dxa"/>
            <w:tcBorders>
              <w:top w:val="nil"/>
              <w:left w:val="dotted" w:sz="4" w:space="0" w:color="auto"/>
              <w:bottom w:val="nil"/>
              <w:right w:val="dotted" w:sz="4" w:space="0" w:color="auto"/>
            </w:tcBorders>
            <w:vAlign w:val="bottom"/>
          </w:tcPr>
          <w:p w14:paraId="3053EC3A" w14:textId="3FEBEFF1"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1E9A3D79" w14:textId="7101F2D8" w:rsidR="009D13D5" w:rsidRPr="001F224B" w:rsidRDefault="009D13D5" w:rsidP="009D13D5">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1E34FA9D" w14:textId="6B0C6B2A"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vAlign w:val="bottom"/>
          </w:tcPr>
          <w:p w14:paraId="717F2097" w14:textId="5A104D7A" w:rsidR="009D13D5" w:rsidRPr="001F224B" w:rsidRDefault="009D13D5" w:rsidP="009D13D5">
            <w:pPr>
              <w:jc w:val="right"/>
              <w:rPr>
                <w:b/>
                <w:sz w:val="13"/>
                <w:szCs w:val="13"/>
              </w:rPr>
            </w:pPr>
            <w:r w:rsidRPr="001F224B">
              <w:rPr>
                <w:b/>
                <w:sz w:val="13"/>
                <w:szCs w:val="13"/>
              </w:rPr>
              <w:t xml:space="preserve"> - </w:t>
            </w:r>
          </w:p>
        </w:tc>
      </w:tr>
      <w:tr w:rsidR="009D13D5" w:rsidRPr="001F224B" w14:paraId="41663A14" w14:textId="77777777" w:rsidTr="0095606A">
        <w:trPr>
          <w:trHeight w:val="19"/>
        </w:trPr>
        <w:tc>
          <w:tcPr>
            <w:tcW w:w="465" w:type="dxa"/>
            <w:tcBorders>
              <w:top w:val="nil"/>
              <w:left w:val="single" w:sz="4" w:space="0" w:color="auto"/>
              <w:bottom w:val="nil"/>
            </w:tcBorders>
          </w:tcPr>
          <w:p w14:paraId="1545F194" w14:textId="77777777" w:rsidR="009D13D5" w:rsidRPr="001F224B" w:rsidRDefault="009D13D5" w:rsidP="009D13D5">
            <w:pPr>
              <w:rPr>
                <w:b/>
                <w:bCs/>
                <w:sz w:val="13"/>
                <w:szCs w:val="13"/>
              </w:rPr>
            </w:pPr>
            <w:r w:rsidRPr="001F224B">
              <w:rPr>
                <w:b/>
                <w:bCs/>
                <w:sz w:val="13"/>
                <w:szCs w:val="13"/>
              </w:rPr>
              <w:t>X.</w:t>
            </w:r>
          </w:p>
        </w:tc>
        <w:tc>
          <w:tcPr>
            <w:tcW w:w="2925" w:type="dxa"/>
            <w:tcBorders>
              <w:top w:val="nil"/>
              <w:bottom w:val="nil"/>
              <w:right w:val="single" w:sz="4" w:space="0" w:color="auto"/>
            </w:tcBorders>
          </w:tcPr>
          <w:p w14:paraId="3751883E" w14:textId="77777777" w:rsidR="009D13D5" w:rsidRPr="001F224B" w:rsidRDefault="009D13D5" w:rsidP="009D13D5">
            <w:pPr>
              <w:rPr>
                <w:b/>
                <w:bCs/>
                <w:sz w:val="13"/>
                <w:szCs w:val="13"/>
              </w:rPr>
            </w:pPr>
            <w:r w:rsidRPr="001F224B">
              <w:rPr>
                <w:b/>
                <w:sz w:val="13"/>
                <w:szCs w:val="13"/>
              </w:rPr>
              <w:t>Diğer Değişiklikler Nedeniyle Artış /Azalış</w:t>
            </w:r>
          </w:p>
        </w:tc>
        <w:tc>
          <w:tcPr>
            <w:tcW w:w="754" w:type="dxa"/>
            <w:tcBorders>
              <w:top w:val="nil"/>
              <w:left w:val="single" w:sz="4" w:space="0" w:color="auto"/>
              <w:bottom w:val="nil"/>
              <w:right w:val="dotted" w:sz="4" w:space="0" w:color="auto"/>
            </w:tcBorders>
            <w:vAlign w:val="bottom"/>
          </w:tcPr>
          <w:p w14:paraId="4DE48552" w14:textId="325F34BC" w:rsidR="009D13D5" w:rsidRPr="001F224B" w:rsidRDefault="009D13D5" w:rsidP="009D13D5">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52DB699D" w14:textId="2E693BC6"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466F892C" w14:textId="6BDFE565"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3FEE2E5B" w14:textId="7B5AC96B" w:rsidR="009D13D5" w:rsidRPr="001F224B" w:rsidRDefault="009D13D5" w:rsidP="009D13D5">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2F753CF0" w14:textId="1A2071ED"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3FAFA1E6" w14:textId="362F8454" w:rsidR="009D13D5" w:rsidRPr="001F224B" w:rsidRDefault="00440696" w:rsidP="009D13D5">
            <w:pPr>
              <w:jc w:val="right"/>
              <w:rPr>
                <w:b/>
                <w:sz w:val="13"/>
                <w:szCs w:val="13"/>
              </w:rPr>
            </w:pPr>
            <w:r w:rsidRPr="001F224B">
              <w:rPr>
                <w:b/>
                <w:sz w:val="13"/>
                <w:szCs w:val="13"/>
              </w:rPr>
              <w:t>82</w:t>
            </w:r>
            <w:r w:rsidR="009D13D5" w:rsidRPr="001F224B">
              <w:rPr>
                <w:b/>
                <w:sz w:val="13"/>
                <w:szCs w:val="13"/>
              </w:rPr>
              <w:t xml:space="preserve"> </w:t>
            </w:r>
          </w:p>
        </w:tc>
        <w:tc>
          <w:tcPr>
            <w:tcW w:w="708" w:type="dxa"/>
            <w:tcBorders>
              <w:top w:val="nil"/>
              <w:left w:val="dotted" w:sz="4" w:space="0" w:color="auto"/>
              <w:bottom w:val="nil"/>
              <w:right w:val="dotted" w:sz="4" w:space="0" w:color="auto"/>
            </w:tcBorders>
            <w:vAlign w:val="bottom"/>
          </w:tcPr>
          <w:p w14:paraId="4FE2BECF" w14:textId="741FDCC6"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48BEE543" w14:textId="2356BB73"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5E6E21EA" w14:textId="33E2C66A"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2180166" w14:textId="19946231"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tcPr>
          <w:p w14:paraId="2DFA7568" w14:textId="194AFE29" w:rsidR="009D13D5" w:rsidRPr="001F224B" w:rsidRDefault="009D13D5" w:rsidP="009D13D5">
            <w:pPr>
              <w:jc w:val="right"/>
              <w:rPr>
                <w:b/>
                <w:sz w:val="13"/>
                <w:szCs w:val="13"/>
              </w:rPr>
            </w:pPr>
            <w:r w:rsidRPr="001F224B">
              <w:rPr>
                <w:b/>
                <w:sz w:val="13"/>
                <w:szCs w:val="13"/>
              </w:rPr>
              <w:t>268</w:t>
            </w:r>
          </w:p>
        </w:tc>
        <w:tc>
          <w:tcPr>
            <w:tcW w:w="923" w:type="dxa"/>
            <w:tcBorders>
              <w:top w:val="nil"/>
              <w:left w:val="nil"/>
              <w:bottom w:val="nil"/>
              <w:right w:val="dotted" w:sz="4" w:space="0" w:color="auto"/>
            </w:tcBorders>
            <w:shd w:val="clear" w:color="auto" w:fill="auto"/>
          </w:tcPr>
          <w:p w14:paraId="7C76D7F7" w14:textId="753F0430" w:rsidR="009D13D5" w:rsidRPr="001F224B" w:rsidRDefault="009D13D5" w:rsidP="009D13D5">
            <w:pPr>
              <w:jc w:val="right"/>
              <w:rPr>
                <w:b/>
                <w:sz w:val="13"/>
                <w:szCs w:val="13"/>
              </w:rPr>
            </w:pPr>
            <w:r w:rsidRPr="001F224B">
              <w:rPr>
                <w:b/>
                <w:sz w:val="13"/>
                <w:szCs w:val="13"/>
              </w:rPr>
              <w:t>-</w:t>
            </w:r>
          </w:p>
        </w:tc>
        <w:tc>
          <w:tcPr>
            <w:tcW w:w="822" w:type="dxa"/>
            <w:tcBorders>
              <w:top w:val="nil"/>
              <w:left w:val="dotted" w:sz="4" w:space="0" w:color="auto"/>
              <w:bottom w:val="nil"/>
              <w:right w:val="dotted" w:sz="4" w:space="0" w:color="auto"/>
            </w:tcBorders>
            <w:vAlign w:val="bottom"/>
          </w:tcPr>
          <w:p w14:paraId="76481FFB" w14:textId="56284E97"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tcPr>
          <w:p w14:paraId="47FFC6C3" w14:textId="505792F6" w:rsidR="009D13D5" w:rsidRPr="001F224B" w:rsidRDefault="009D13D5" w:rsidP="009D13D5">
            <w:pPr>
              <w:jc w:val="right"/>
              <w:rPr>
                <w:b/>
                <w:sz w:val="13"/>
                <w:szCs w:val="13"/>
              </w:rPr>
            </w:pPr>
            <w:r w:rsidRPr="001F224B">
              <w:rPr>
                <w:b/>
                <w:sz w:val="13"/>
                <w:szCs w:val="13"/>
              </w:rPr>
              <w:t>350</w:t>
            </w:r>
          </w:p>
        </w:tc>
        <w:tc>
          <w:tcPr>
            <w:tcW w:w="591" w:type="dxa"/>
            <w:gridSpan w:val="2"/>
            <w:tcBorders>
              <w:top w:val="nil"/>
              <w:left w:val="dotted" w:sz="4" w:space="0" w:color="auto"/>
              <w:bottom w:val="nil"/>
              <w:right w:val="dotted" w:sz="4" w:space="0" w:color="auto"/>
            </w:tcBorders>
            <w:vAlign w:val="bottom"/>
          </w:tcPr>
          <w:p w14:paraId="3A78F3F1" w14:textId="04941CA6"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tcPr>
          <w:p w14:paraId="4D333ADE" w14:textId="548DA245" w:rsidR="009D13D5" w:rsidRPr="001F224B" w:rsidRDefault="009D13D5" w:rsidP="009D13D5">
            <w:pPr>
              <w:jc w:val="right"/>
              <w:rPr>
                <w:b/>
                <w:sz w:val="13"/>
                <w:szCs w:val="13"/>
              </w:rPr>
            </w:pPr>
            <w:r w:rsidRPr="001F224B">
              <w:rPr>
                <w:b/>
                <w:sz w:val="13"/>
                <w:szCs w:val="13"/>
              </w:rPr>
              <w:t>350</w:t>
            </w:r>
          </w:p>
        </w:tc>
      </w:tr>
      <w:tr w:rsidR="009D13D5" w:rsidRPr="001F224B" w14:paraId="5D32905F" w14:textId="77777777" w:rsidTr="00347126">
        <w:trPr>
          <w:trHeight w:val="19"/>
        </w:trPr>
        <w:tc>
          <w:tcPr>
            <w:tcW w:w="465" w:type="dxa"/>
            <w:tcBorders>
              <w:top w:val="nil"/>
              <w:left w:val="single" w:sz="4" w:space="0" w:color="auto"/>
              <w:bottom w:val="nil"/>
            </w:tcBorders>
          </w:tcPr>
          <w:p w14:paraId="09CEEC88" w14:textId="77777777" w:rsidR="009D13D5" w:rsidRPr="001F224B" w:rsidRDefault="009D13D5" w:rsidP="009D13D5">
            <w:pPr>
              <w:rPr>
                <w:b/>
                <w:bCs/>
                <w:sz w:val="13"/>
                <w:szCs w:val="13"/>
              </w:rPr>
            </w:pPr>
            <w:r w:rsidRPr="001F224B">
              <w:rPr>
                <w:b/>
                <w:bCs/>
                <w:sz w:val="13"/>
                <w:szCs w:val="13"/>
              </w:rPr>
              <w:t>XI.</w:t>
            </w:r>
          </w:p>
        </w:tc>
        <w:tc>
          <w:tcPr>
            <w:tcW w:w="2925" w:type="dxa"/>
            <w:tcBorders>
              <w:top w:val="nil"/>
              <w:bottom w:val="nil"/>
              <w:right w:val="single" w:sz="4" w:space="0" w:color="auto"/>
            </w:tcBorders>
          </w:tcPr>
          <w:p w14:paraId="6254DA05" w14:textId="77777777" w:rsidR="009D13D5" w:rsidRPr="001F224B" w:rsidRDefault="009D13D5" w:rsidP="009D13D5">
            <w:pPr>
              <w:rPr>
                <w:b/>
                <w:bCs/>
                <w:sz w:val="13"/>
                <w:szCs w:val="13"/>
              </w:rPr>
            </w:pPr>
            <w:r w:rsidRPr="001F224B">
              <w:rPr>
                <w:b/>
                <w:sz w:val="13"/>
                <w:szCs w:val="13"/>
              </w:rPr>
              <w:t>Kar Dağıtımı</w:t>
            </w:r>
          </w:p>
        </w:tc>
        <w:tc>
          <w:tcPr>
            <w:tcW w:w="754" w:type="dxa"/>
            <w:tcBorders>
              <w:top w:val="nil"/>
              <w:left w:val="single" w:sz="4" w:space="0" w:color="auto"/>
              <w:bottom w:val="nil"/>
              <w:right w:val="dotted" w:sz="4" w:space="0" w:color="auto"/>
            </w:tcBorders>
            <w:vAlign w:val="bottom"/>
          </w:tcPr>
          <w:p w14:paraId="6C3CEFFE" w14:textId="2B4C816C" w:rsidR="009D13D5" w:rsidRPr="001F224B" w:rsidRDefault="009D13D5" w:rsidP="009D13D5">
            <w:pPr>
              <w:jc w:val="right"/>
              <w:rPr>
                <w:b/>
                <w:sz w:val="13"/>
                <w:szCs w:val="13"/>
              </w:rPr>
            </w:pPr>
            <w:r w:rsidRPr="001F224B">
              <w:rPr>
                <w:b/>
                <w:sz w:val="13"/>
                <w:szCs w:val="13"/>
              </w:rPr>
              <w:t xml:space="preserve"> - </w:t>
            </w:r>
          </w:p>
        </w:tc>
        <w:tc>
          <w:tcPr>
            <w:tcW w:w="992" w:type="dxa"/>
            <w:tcBorders>
              <w:top w:val="nil"/>
              <w:left w:val="dotted" w:sz="4" w:space="0" w:color="auto"/>
              <w:bottom w:val="nil"/>
              <w:right w:val="dotted" w:sz="4" w:space="0" w:color="auto"/>
            </w:tcBorders>
            <w:vAlign w:val="bottom"/>
          </w:tcPr>
          <w:p w14:paraId="78CFDEFA" w14:textId="7C1B05C3"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59AA18D3" w14:textId="5C729D5D" w:rsidR="009D13D5" w:rsidRPr="001F224B" w:rsidRDefault="009D13D5" w:rsidP="009D13D5">
            <w:pPr>
              <w:jc w:val="right"/>
              <w:rPr>
                <w:b/>
                <w:sz w:val="13"/>
                <w:szCs w:val="13"/>
              </w:rPr>
            </w:pPr>
            <w:r w:rsidRPr="001F224B">
              <w:rPr>
                <w:b/>
                <w:sz w:val="13"/>
                <w:szCs w:val="13"/>
              </w:rPr>
              <w:t xml:space="preserve"> - </w:t>
            </w:r>
          </w:p>
        </w:tc>
        <w:tc>
          <w:tcPr>
            <w:tcW w:w="850" w:type="dxa"/>
            <w:tcBorders>
              <w:top w:val="nil"/>
              <w:left w:val="dotted" w:sz="4" w:space="0" w:color="auto"/>
              <w:bottom w:val="nil"/>
              <w:right w:val="dotted" w:sz="4" w:space="0" w:color="auto"/>
            </w:tcBorders>
            <w:vAlign w:val="bottom"/>
          </w:tcPr>
          <w:p w14:paraId="6D87482B" w14:textId="45A1AA07" w:rsidR="009D13D5" w:rsidRPr="001F224B" w:rsidRDefault="009D13D5" w:rsidP="009D13D5">
            <w:pPr>
              <w:jc w:val="right"/>
              <w:rPr>
                <w:b/>
                <w:sz w:val="13"/>
                <w:szCs w:val="13"/>
              </w:rPr>
            </w:pPr>
            <w:r w:rsidRPr="001F224B">
              <w:rPr>
                <w:b/>
                <w:sz w:val="13"/>
                <w:szCs w:val="13"/>
              </w:rPr>
              <w:t xml:space="preserve"> - </w:t>
            </w:r>
          </w:p>
        </w:tc>
        <w:tc>
          <w:tcPr>
            <w:tcW w:w="676" w:type="dxa"/>
            <w:tcBorders>
              <w:top w:val="nil"/>
              <w:left w:val="dotted" w:sz="4" w:space="0" w:color="auto"/>
              <w:bottom w:val="nil"/>
              <w:right w:val="dotted" w:sz="4" w:space="0" w:color="auto"/>
            </w:tcBorders>
            <w:vAlign w:val="bottom"/>
          </w:tcPr>
          <w:p w14:paraId="79E87A93" w14:textId="5CF5DB2D" w:rsidR="009D13D5" w:rsidRPr="001F224B" w:rsidRDefault="009D13D5" w:rsidP="009D13D5">
            <w:pPr>
              <w:jc w:val="right"/>
              <w:rPr>
                <w:b/>
                <w:sz w:val="13"/>
                <w:szCs w:val="13"/>
              </w:rPr>
            </w:pPr>
            <w:r w:rsidRPr="001F224B">
              <w:rPr>
                <w:b/>
                <w:sz w:val="13"/>
                <w:szCs w:val="13"/>
              </w:rPr>
              <w:t xml:space="preserve"> - </w:t>
            </w:r>
          </w:p>
        </w:tc>
        <w:tc>
          <w:tcPr>
            <w:tcW w:w="710" w:type="dxa"/>
            <w:tcBorders>
              <w:top w:val="nil"/>
              <w:left w:val="dotted" w:sz="4" w:space="0" w:color="auto"/>
              <w:bottom w:val="nil"/>
              <w:right w:val="dotted" w:sz="4" w:space="0" w:color="auto"/>
            </w:tcBorders>
            <w:vAlign w:val="bottom"/>
          </w:tcPr>
          <w:p w14:paraId="66B35B67" w14:textId="40153B9E"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09C65DF5" w14:textId="637A4C88" w:rsidR="009D13D5" w:rsidRPr="001F224B" w:rsidRDefault="009D13D5" w:rsidP="009D13D5">
            <w:pPr>
              <w:jc w:val="right"/>
              <w:rPr>
                <w:b/>
                <w:sz w:val="13"/>
                <w:szCs w:val="13"/>
              </w:rPr>
            </w:pPr>
            <w:r w:rsidRPr="001F224B">
              <w:rPr>
                <w:b/>
                <w:sz w:val="13"/>
                <w:szCs w:val="13"/>
              </w:rPr>
              <w:t xml:space="preserve"> - </w:t>
            </w:r>
          </w:p>
        </w:tc>
        <w:tc>
          <w:tcPr>
            <w:tcW w:w="709" w:type="dxa"/>
            <w:tcBorders>
              <w:top w:val="nil"/>
              <w:left w:val="dotted" w:sz="4" w:space="0" w:color="auto"/>
              <w:bottom w:val="nil"/>
              <w:right w:val="dotted" w:sz="4" w:space="0" w:color="auto"/>
            </w:tcBorders>
            <w:vAlign w:val="bottom"/>
          </w:tcPr>
          <w:p w14:paraId="1A0F23D3" w14:textId="00F4DC11" w:rsidR="009D13D5" w:rsidRPr="001F224B" w:rsidRDefault="009D13D5" w:rsidP="009D13D5">
            <w:pPr>
              <w:jc w:val="right"/>
              <w:rPr>
                <w:b/>
                <w:sz w:val="13"/>
                <w:szCs w:val="13"/>
              </w:rPr>
            </w:pPr>
            <w:r w:rsidRPr="001F224B">
              <w:rPr>
                <w:b/>
                <w:sz w:val="13"/>
                <w:szCs w:val="13"/>
              </w:rPr>
              <w:t xml:space="preserve"> - </w:t>
            </w:r>
          </w:p>
        </w:tc>
        <w:tc>
          <w:tcPr>
            <w:tcW w:w="851" w:type="dxa"/>
            <w:tcBorders>
              <w:top w:val="nil"/>
              <w:left w:val="dotted" w:sz="4" w:space="0" w:color="auto"/>
              <w:bottom w:val="nil"/>
              <w:right w:val="dotted" w:sz="4" w:space="0" w:color="auto"/>
            </w:tcBorders>
            <w:vAlign w:val="bottom"/>
          </w:tcPr>
          <w:p w14:paraId="51DE0262" w14:textId="5EAACC59" w:rsidR="009D13D5" w:rsidRPr="001F224B" w:rsidRDefault="009D13D5" w:rsidP="009D13D5">
            <w:pPr>
              <w:jc w:val="right"/>
              <w:rPr>
                <w:b/>
                <w:sz w:val="13"/>
                <w:szCs w:val="13"/>
              </w:rPr>
            </w:pPr>
            <w:r w:rsidRPr="001F224B">
              <w:rPr>
                <w:b/>
                <w:sz w:val="13"/>
                <w:szCs w:val="13"/>
              </w:rPr>
              <w:t xml:space="preserve"> - </w:t>
            </w:r>
          </w:p>
        </w:tc>
        <w:tc>
          <w:tcPr>
            <w:tcW w:w="708" w:type="dxa"/>
            <w:tcBorders>
              <w:top w:val="nil"/>
              <w:left w:val="dotted" w:sz="4" w:space="0" w:color="auto"/>
              <w:bottom w:val="nil"/>
              <w:right w:val="dotted" w:sz="4" w:space="0" w:color="auto"/>
            </w:tcBorders>
            <w:vAlign w:val="bottom"/>
          </w:tcPr>
          <w:p w14:paraId="4D0E544D" w14:textId="7852FB4F" w:rsidR="009D13D5" w:rsidRPr="001F224B" w:rsidRDefault="009D13D5" w:rsidP="009D13D5">
            <w:pPr>
              <w:jc w:val="right"/>
              <w:rPr>
                <w:b/>
                <w:sz w:val="13"/>
                <w:szCs w:val="13"/>
              </w:rPr>
            </w:pPr>
            <w:r w:rsidRPr="001F224B">
              <w:rPr>
                <w:b/>
                <w:sz w:val="13"/>
                <w:szCs w:val="13"/>
              </w:rPr>
              <w:t xml:space="preserve"> - </w:t>
            </w:r>
          </w:p>
        </w:tc>
        <w:tc>
          <w:tcPr>
            <w:tcW w:w="778" w:type="dxa"/>
            <w:tcBorders>
              <w:top w:val="nil"/>
              <w:left w:val="dotted" w:sz="4" w:space="0" w:color="auto"/>
              <w:bottom w:val="nil"/>
              <w:right w:val="dotted" w:sz="4" w:space="0" w:color="auto"/>
            </w:tcBorders>
          </w:tcPr>
          <w:p w14:paraId="39C4DAA0" w14:textId="171C95D0" w:rsidR="009D13D5" w:rsidRPr="001F224B" w:rsidRDefault="009D13D5" w:rsidP="009D13D5">
            <w:pPr>
              <w:jc w:val="right"/>
              <w:rPr>
                <w:b/>
                <w:sz w:val="13"/>
                <w:szCs w:val="13"/>
              </w:rPr>
            </w:pPr>
            <w:r w:rsidRPr="001F224B">
              <w:rPr>
                <w:b/>
                <w:sz w:val="13"/>
                <w:szCs w:val="13"/>
              </w:rPr>
              <w:t>6.175.535</w:t>
            </w:r>
          </w:p>
        </w:tc>
        <w:tc>
          <w:tcPr>
            <w:tcW w:w="923" w:type="dxa"/>
            <w:tcBorders>
              <w:top w:val="nil"/>
              <w:left w:val="nil"/>
              <w:bottom w:val="nil"/>
              <w:right w:val="dotted" w:sz="4" w:space="0" w:color="auto"/>
            </w:tcBorders>
            <w:shd w:val="clear" w:color="auto" w:fill="auto"/>
          </w:tcPr>
          <w:p w14:paraId="5003FEFF" w14:textId="780D3038" w:rsidR="009D13D5" w:rsidRPr="001F224B" w:rsidRDefault="009D13D5" w:rsidP="009D13D5">
            <w:pPr>
              <w:ind w:left="-37"/>
              <w:jc w:val="right"/>
              <w:rPr>
                <w:b/>
                <w:sz w:val="13"/>
                <w:szCs w:val="13"/>
              </w:rPr>
            </w:pPr>
            <w:r w:rsidRPr="001F224B">
              <w:rPr>
                <w:b/>
                <w:sz w:val="13"/>
                <w:szCs w:val="13"/>
              </w:rPr>
              <w:t>(6.175.535)</w:t>
            </w:r>
          </w:p>
        </w:tc>
        <w:tc>
          <w:tcPr>
            <w:tcW w:w="822" w:type="dxa"/>
            <w:tcBorders>
              <w:top w:val="nil"/>
              <w:left w:val="dotted" w:sz="4" w:space="0" w:color="auto"/>
              <w:bottom w:val="nil"/>
              <w:right w:val="dotted" w:sz="4" w:space="0" w:color="auto"/>
            </w:tcBorders>
            <w:vAlign w:val="bottom"/>
          </w:tcPr>
          <w:p w14:paraId="445A526E" w14:textId="5602DB95" w:rsidR="009D13D5" w:rsidRPr="001F224B" w:rsidRDefault="009D13D5" w:rsidP="009D13D5">
            <w:pPr>
              <w:jc w:val="right"/>
              <w:rPr>
                <w:b/>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58191EF9" w14:textId="382FC353" w:rsidR="009D13D5" w:rsidRPr="001F224B" w:rsidRDefault="009D13D5" w:rsidP="009D13D5">
            <w:pPr>
              <w:jc w:val="right"/>
              <w:rPr>
                <w:b/>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56C62E91" w14:textId="613FE5D3" w:rsidR="009D13D5" w:rsidRPr="001F224B" w:rsidRDefault="009D13D5" w:rsidP="009D13D5">
            <w:pPr>
              <w:jc w:val="right"/>
              <w:rPr>
                <w:b/>
                <w:sz w:val="13"/>
                <w:szCs w:val="13"/>
              </w:rPr>
            </w:pPr>
            <w:r w:rsidRPr="001F224B">
              <w:rPr>
                <w:b/>
                <w:sz w:val="13"/>
                <w:szCs w:val="13"/>
              </w:rPr>
              <w:t xml:space="preserve"> - </w:t>
            </w:r>
          </w:p>
        </w:tc>
        <w:tc>
          <w:tcPr>
            <w:tcW w:w="807" w:type="dxa"/>
            <w:tcBorders>
              <w:top w:val="nil"/>
              <w:left w:val="dotted" w:sz="4" w:space="0" w:color="auto"/>
              <w:bottom w:val="nil"/>
            </w:tcBorders>
          </w:tcPr>
          <w:p w14:paraId="0BF55109" w14:textId="6DE1035E" w:rsidR="009D13D5" w:rsidRPr="001F224B" w:rsidRDefault="009D13D5" w:rsidP="009D13D5">
            <w:pPr>
              <w:jc w:val="right"/>
              <w:rPr>
                <w:b/>
                <w:sz w:val="13"/>
                <w:szCs w:val="13"/>
              </w:rPr>
            </w:pPr>
            <w:r w:rsidRPr="001F224B">
              <w:rPr>
                <w:b/>
                <w:sz w:val="13"/>
                <w:szCs w:val="13"/>
              </w:rPr>
              <w:t>-</w:t>
            </w:r>
          </w:p>
        </w:tc>
      </w:tr>
      <w:tr w:rsidR="009D13D5" w:rsidRPr="001F224B" w14:paraId="4E5D9349" w14:textId="77777777" w:rsidTr="00347126">
        <w:trPr>
          <w:trHeight w:val="19"/>
        </w:trPr>
        <w:tc>
          <w:tcPr>
            <w:tcW w:w="465" w:type="dxa"/>
            <w:tcBorders>
              <w:top w:val="nil"/>
              <w:left w:val="single" w:sz="4" w:space="0" w:color="auto"/>
              <w:bottom w:val="nil"/>
            </w:tcBorders>
          </w:tcPr>
          <w:p w14:paraId="77D97F00" w14:textId="77777777" w:rsidR="009D13D5" w:rsidRPr="001F224B" w:rsidRDefault="009D13D5" w:rsidP="009D13D5">
            <w:pPr>
              <w:rPr>
                <w:b/>
                <w:bCs/>
                <w:sz w:val="13"/>
                <w:szCs w:val="13"/>
              </w:rPr>
            </w:pPr>
            <w:r w:rsidRPr="001F224B">
              <w:rPr>
                <w:sz w:val="13"/>
                <w:szCs w:val="13"/>
              </w:rPr>
              <w:t>11.1</w:t>
            </w:r>
          </w:p>
        </w:tc>
        <w:tc>
          <w:tcPr>
            <w:tcW w:w="2925" w:type="dxa"/>
            <w:tcBorders>
              <w:top w:val="nil"/>
              <w:bottom w:val="nil"/>
              <w:right w:val="single" w:sz="4" w:space="0" w:color="auto"/>
            </w:tcBorders>
          </w:tcPr>
          <w:p w14:paraId="6DEA11D1" w14:textId="77777777" w:rsidR="009D13D5" w:rsidRPr="001F224B" w:rsidRDefault="009D13D5" w:rsidP="009D13D5">
            <w:pPr>
              <w:rPr>
                <w:b/>
                <w:bCs/>
                <w:sz w:val="13"/>
                <w:szCs w:val="13"/>
              </w:rPr>
            </w:pPr>
            <w:r w:rsidRPr="001F224B">
              <w:rPr>
                <w:sz w:val="13"/>
                <w:szCs w:val="13"/>
              </w:rPr>
              <w:t>Dağıtılan Temettü</w:t>
            </w:r>
          </w:p>
        </w:tc>
        <w:tc>
          <w:tcPr>
            <w:tcW w:w="754" w:type="dxa"/>
            <w:tcBorders>
              <w:top w:val="nil"/>
              <w:left w:val="single" w:sz="4" w:space="0" w:color="auto"/>
              <w:bottom w:val="nil"/>
              <w:right w:val="dotted" w:sz="4" w:space="0" w:color="auto"/>
            </w:tcBorders>
            <w:vAlign w:val="bottom"/>
          </w:tcPr>
          <w:p w14:paraId="47BA71A4" w14:textId="20F428C2" w:rsidR="009D13D5" w:rsidRPr="001F224B" w:rsidRDefault="009D13D5" w:rsidP="009D13D5">
            <w:pPr>
              <w:jc w:val="right"/>
              <w:rPr>
                <w:bCs/>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56A67E03" w14:textId="288C1C26" w:rsidR="009D13D5" w:rsidRPr="001F224B" w:rsidRDefault="009D13D5" w:rsidP="009D13D5">
            <w:pPr>
              <w:jc w:val="right"/>
              <w:rPr>
                <w:bCs/>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4C3D2656" w14:textId="5704E23B" w:rsidR="009D13D5" w:rsidRPr="001F224B" w:rsidRDefault="009D13D5" w:rsidP="009D13D5">
            <w:pPr>
              <w:jc w:val="right"/>
              <w:rPr>
                <w:bCs/>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60F484A3" w14:textId="38DC4C59" w:rsidR="009D13D5" w:rsidRPr="001F224B" w:rsidRDefault="009D13D5" w:rsidP="009D13D5">
            <w:pPr>
              <w:jc w:val="right"/>
              <w:rPr>
                <w:bCs/>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1F91416D" w14:textId="538588C2" w:rsidR="009D13D5" w:rsidRPr="001F224B" w:rsidRDefault="009D13D5" w:rsidP="009D13D5">
            <w:pPr>
              <w:jc w:val="right"/>
              <w:rPr>
                <w:bCs/>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2287AEC4" w14:textId="56E2D355"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4A486992" w14:textId="5E28A463" w:rsidR="009D13D5" w:rsidRPr="001F224B" w:rsidRDefault="009D13D5" w:rsidP="009D13D5">
            <w:pPr>
              <w:jc w:val="right"/>
              <w:rPr>
                <w:bCs/>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5706F41C" w14:textId="5FF3D0AC" w:rsidR="009D13D5" w:rsidRPr="001F224B" w:rsidRDefault="009D13D5" w:rsidP="009D13D5">
            <w:pPr>
              <w:jc w:val="right"/>
              <w:rPr>
                <w:bCs/>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40CFA97E" w14:textId="3D695499"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79A62003" w14:textId="6BB3D30B" w:rsidR="009D13D5" w:rsidRPr="001F224B" w:rsidRDefault="009D13D5" w:rsidP="009D13D5">
            <w:pPr>
              <w:jc w:val="right"/>
              <w:rPr>
                <w:bCs/>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tcPr>
          <w:p w14:paraId="7526F9BD" w14:textId="1328F3CE" w:rsidR="009D13D5" w:rsidRPr="001F224B" w:rsidRDefault="009D13D5" w:rsidP="009D13D5">
            <w:pPr>
              <w:jc w:val="right"/>
              <w:rPr>
                <w:bCs/>
                <w:sz w:val="13"/>
                <w:szCs w:val="13"/>
              </w:rPr>
            </w:pPr>
            <w:r w:rsidRPr="001F224B">
              <w:rPr>
                <w:bCs/>
                <w:sz w:val="13"/>
                <w:szCs w:val="13"/>
              </w:rPr>
              <w:t>-</w:t>
            </w:r>
          </w:p>
        </w:tc>
        <w:tc>
          <w:tcPr>
            <w:tcW w:w="923" w:type="dxa"/>
            <w:tcBorders>
              <w:top w:val="nil"/>
              <w:left w:val="nil"/>
              <w:bottom w:val="nil"/>
              <w:right w:val="dotted" w:sz="4" w:space="0" w:color="auto"/>
            </w:tcBorders>
            <w:shd w:val="clear" w:color="auto" w:fill="auto"/>
          </w:tcPr>
          <w:p w14:paraId="7347C22A" w14:textId="08BE7A5B" w:rsidR="009D13D5" w:rsidRPr="001F224B" w:rsidRDefault="009D13D5" w:rsidP="009D13D5">
            <w:pPr>
              <w:jc w:val="right"/>
              <w:rPr>
                <w:bCs/>
                <w:sz w:val="13"/>
                <w:szCs w:val="13"/>
              </w:rPr>
            </w:pPr>
            <w:r w:rsidRPr="001F224B">
              <w:rPr>
                <w:bCs/>
                <w:sz w:val="13"/>
                <w:szCs w:val="13"/>
              </w:rPr>
              <w:t>-</w:t>
            </w:r>
          </w:p>
        </w:tc>
        <w:tc>
          <w:tcPr>
            <w:tcW w:w="822" w:type="dxa"/>
            <w:tcBorders>
              <w:top w:val="nil"/>
              <w:left w:val="dotted" w:sz="4" w:space="0" w:color="auto"/>
              <w:bottom w:val="nil"/>
              <w:right w:val="dotted" w:sz="4" w:space="0" w:color="auto"/>
            </w:tcBorders>
            <w:vAlign w:val="bottom"/>
          </w:tcPr>
          <w:p w14:paraId="22F0C4DD" w14:textId="3AF2CC7A" w:rsidR="009D13D5" w:rsidRPr="001F224B" w:rsidRDefault="009D13D5" w:rsidP="009D13D5">
            <w:pPr>
              <w:jc w:val="right"/>
              <w:rPr>
                <w:bCs/>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09BD12A7" w14:textId="12D794A1" w:rsidR="009D13D5" w:rsidRPr="001F224B" w:rsidRDefault="009D13D5" w:rsidP="009D13D5">
            <w:pPr>
              <w:jc w:val="right"/>
              <w:rPr>
                <w:bCs/>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5814545" w14:textId="7AAE6643" w:rsidR="009D13D5" w:rsidRPr="001F224B" w:rsidRDefault="009D13D5" w:rsidP="009D13D5">
            <w:pPr>
              <w:jc w:val="right"/>
              <w:rPr>
                <w:sz w:val="13"/>
                <w:szCs w:val="13"/>
              </w:rPr>
            </w:pPr>
            <w:r w:rsidRPr="001F224B">
              <w:rPr>
                <w:sz w:val="13"/>
                <w:szCs w:val="13"/>
              </w:rPr>
              <w:t xml:space="preserve"> - </w:t>
            </w:r>
          </w:p>
        </w:tc>
        <w:tc>
          <w:tcPr>
            <w:tcW w:w="807" w:type="dxa"/>
            <w:tcBorders>
              <w:top w:val="nil"/>
              <w:left w:val="dotted" w:sz="4" w:space="0" w:color="auto"/>
              <w:bottom w:val="nil"/>
            </w:tcBorders>
          </w:tcPr>
          <w:p w14:paraId="3B4B2F2D" w14:textId="174C1328" w:rsidR="009D13D5" w:rsidRPr="001F224B" w:rsidRDefault="009D13D5" w:rsidP="009D13D5">
            <w:pPr>
              <w:jc w:val="right"/>
              <w:rPr>
                <w:bCs/>
                <w:sz w:val="13"/>
                <w:szCs w:val="13"/>
              </w:rPr>
            </w:pPr>
            <w:r w:rsidRPr="001F224B">
              <w:rPr>
                <w:bCs/>
                <w:sz w:val="13"/>
                <w:szCs w:val="13"/>
              </w:rPr>
              <w:t>-</w:t>
            </w:r>
          </w:p>
        </w:tc>
      </w:tr>
      <w:tr w:rsidR="009D13D5" w:rsidRPr="001F224B" w14:paraId="44D854AC" w14:textId="77777777" w:rsidTr="00347126">
        <w:trPr>
          <w:trHeight w:val="19"/>
        </w:trPr>
        <w:tc>
          <w:tcPr>
            <w:tcW w:w="465" w:type="dxa"/>
            <w:tcBorders>
              <w:top w:val="nil"/>
              <w:left w:val="single" w:sz="4" w:space="0" w:color="auto"/>
              <w:bottom w:val="nil"/>
            </w:tcBorders>
          </w:tcPr>
          <w:p w14:paraId="76E82B5C" w14:textId="77777777" w:rsidR="009D13D5" w:rsidRPr="001F224B" w:rsidRDefault="009D13D5" w:rsidP="009D13D5">
            <w:pPr>
              <w:rPr>
                <w:b/>
                <w:bCs/>
                <w:sz w:val="13"/>
                <w:szCs w:val="13"/>
              </w:rPr>
            </w:pPr>
            <w:r w:rsidRPr="001F224B">
              <w:rPr>
                <w:sz w:val="13"/>
                <w:szCs w:val="13"/>
              </w:rPr>
              <w:t>11.2</w:t>
            </w:r>
          </w:p>
        </w:tc>
        <w:tc>
          <w:tcPr>
            <w:tcW w:w="2925" w:type="dxa"/>
            <w:tcBorders>
              <w:top w:val="nil"/>
              <w:bottom w:val="nil"/>
              <w:right w:val="single" w:sz="4" w:space="0" w:color="auto"/>
            </w:tcBorders>
          </w:tcPr>
          <w:p w14:paraId="43D47271" w14:textId="77777777" w:rsidR="009D13D5" w:rsidRPr="001F224B" w:rsidRDefault="009D13D5" w:rsidP="009D13D5">
            <w:pPr>
              <w:rPr>
                <w:b/>
                <w:bCs/>
                <w:sz w:val="13"/>
                <w:szCs w:val="13"/>
              </w:rPr>
            </w:pPr>
            <w:r w:rsidRPr="001F224B">
              <w:rPr>
                <w:sz w:val="13"/>
                <w:szCs w:val="13"/>
              </w:rPr>
              <w:t>Yedeklere Aktarılan Tutarlar</w:t>
            </w:r>
          </w:p>
        </w:tc>
        <w:tc>
          <w:tcPr>
            <w:tcW w:w="754" w:type="dxa"/>
            <w:tcBorders>
              <w:top w:val="nil"/>
              <w:left w:val="single" w:sz="4" w:space="0" w:color="auto"/>
              <w:bottom w:val="nil"/>
              <w:right w:val="dotted" w:sz="4" w:space="0" w:color="auto"/>
            </w:tcBorders>
            <w:vAlign w:val="bottom"/>
          </w:tcPr>
          <w:p w14:paraId="48372301" w14:textId="5B5BB6C6" w:rsidR="009D13D5" w:rsidRPr="001F224B" w:rsidRDefault="009D13D5" w:rsidP="009D13D5">
            <w:pPr>
              <w:jc w:val="right"/>
              <w:rPr>
                <w:bCs/>
                <w:sz w:val="13"/>
                <w:szCs w:val="13"/>
              </w:rPr>
            </w:pPr>
            <w:r w:rsidRPr="001F224B">
              <w:rPr>
                <w:sz w:val="13"/>
                <w:szCs w:val="13"/>
              </w:rPr>
              <w:t xml:space="preserve"> - </w:t>
            </w:r>
          </w:p>
        </w:tc>
        <w:tc>
          <w:tcPr>
            <w:tcW w:w="992" w:type="dxa"/>
            <w:tcBorders>
              <w:top w:val="nil"/>
              <w:left w:val="dotted" w:sz="4" w:space="0" w:color="auto"/>
              <w:bottom w:val="nil"/>
              <w:right w:val="dotted" w:sz="4" w:space="0" w:color="auto"/>
            </w:tcBorders>
            <w:vAlign w:val="bottom"/>
          </w:tcPr>
          <w:p w14:paraId="0646C1EC" w14:textId="060AB39A" w:rsidR="009D13D5" w:rsidRPr="001F224B" w:rsidRDefault="009D13D5" w:rsidP="009D13D5">
            <w:pPr>
              <w:jc w:val="right"/>
              <w:rPr>
                <w:bCs/>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638A2511" w14:textId="7764E037" w:rsidR="009D13D5" w:rsidRPr="001F224B" w:rsidRDefault="009D13D5" w:rsidP="009D13D5">
            <w:pPr>
              <w:jc w:val="right"/>
              <w:rPr>
                <w:bCs/>
                <w:sz w:val="13"/>
                <w:szCs w:val="13"/>
              </w:rPr>
            </w:pPr>
            <w:r w:rsidRPr="001F224B">
              <w:rPr>
                <w:sz w:val="13"/>
                <w:szCs w:val="13"/>
              </w:rPr>
              <w:t xml:space="preserve"> - </w:t>
            </w:r>
          </w:p>
        </w:tc>
        <w:tc>
          <w:tcPr>
            <w:tcW w:w="850" w:type="dxa"/>
            <w:tcBorders>
              <w:top w:val="nil"/>
              <w:left w:val="dotted" w:sz="4" w:space="0" w:color="auto"/>
              <w:bottom w:val="nil"/>
              <w:right w:val="dotted" w:sz="4" w:space="0" w:color="auto"/>
            </w:tcBorders>
            <w:vAlign w:val="bottom"/>
          </w:tcPr>
          <w:p w14:paraId="45BCEF11" w14:textId="6EFB152F" w:rsidR="009D13D5" w:rsidRPr="001F224B" w:rsidRDefault="009D13D5" w:rsidP="009D13D5">
            <w:pPr>
              <w:jc w:val="right"/>
              <w:rPr>
                <w:bCs/>
                <w:sz w:val="13"/>
                <w:szCs w:val="13"/>
              </w:rPr>
            </w:pPr>
            <w:r w:rsidRPr="001F224B">
              <w:rPr>
                <w:sz w:val="13"/>
                <w:szCs w:val="13"/>
              </w:rPr>
              <w:t xml:space="preserve"> - </w:t>
            </w:r>
          </w:p>
        </w:tc>
        <w:tc>
          <w:tcPr>
            <w:tcW w:w="676" w:type="dxa"/>
            <w:tcBorders>
              <w:top w:val="nil"/>
              <w:left w:val="dotted" w:sz="4" w:space="0" w:color="auto"/>
              <w:bottom w:val="nil"/>
              <w:right w:val="dotted" w:sz="4" w:space="0" w:color="auto"/>
            </w:tcBorders>
            <w:vAlign w:val="bottom"/>
          </w:tcPr>
          <w:p w14:paraId="7C2C3C9C" w14:textId="1458D791" w:rsidR="009D13D5" w:rsidRPr="001F224B" w:rsidRDefault="009D13D5" w:rsidP="009D13D5">
            <w:pPr>
              <w:jc w:val="right"/>
              <w:rPr>
                <w:bCs/>
                <w:sz w:val="13"/>
                <w:szCs w:val="13"/>
              </w:rPr>
            </w:pPr>
            <w:r w:rsidRPr="001F224B">
              <w:rPr>
                <w:sz w:val="13"/>
                <w:szCs w:val="13"/>
              </w:rPr>
              <w:t xml:space="preserve"> - </w:t>
            </w:r>
          </w:p>
        </w:tc>
        <w:tc>
          <w:tcPr>
            <w:tcW w:w="710" w:type="dxa"/>
            <w:tcBorders>
              <w:top w:val="nil"/>
              <w:left w:val="dotted" w:sz="4" w:space="0" w:color="auto"/>
              <w:bottom w:val="nil"/>
              <w:right w:val="dotted" w:sz="4" w:space="0" w:color="auto"/>
            </w:tcBorders>
            <w:vAlign w:val="bottom"/>
          </w:tcPr>
          <w:p w14:paraId="481E19EB" w14:textId="0AF75F45"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45D51FEB" w14:textId="7A39979B" w:rsidR="009D13D5" w:rsidRPr="001F224B" w:rsidRDefault="009D13D5" w:rsidP="009D13D5">
            <w:pPr>
              <w:jc w:val="right"/>
              <w:rPr>
                <w:bCs/>
                <w:sz w:val="13"/>
                <w:szCs w:val="13"/>
              </w:rPr>
            </w:pPr>
            <w:r w:rsidRPr="001F224B">
              <w:rPr>
                <w:sz w:val="13"/>
                <w:szCs w:val="13"/>
              </w:rPr>
              <w:t xml:space="preserve"> - </w:t>
            </w:r>
          </w:p>
        </w:tc>
        <w:tc>
          <w:tcPr>
            <w:tcW w:w="709" w:type="dxa"/>
            <w:tcBorders>
              <w:top w:val="nil"/>
              <w:left w:val="dotted" w:sz="4" w:space="0" w:color="auto"/>
              <w:bottom w:val="nil"/>
              <w:right w:val="dotted" w:sz="4" w:space="0" w:color="auto"/>
            </w:tcBorders>
            <w:vAlign w:val="bottom"/>
          </w:tcPr>
          <w:p w14:paraId="1C364228" w14:textId="7E4460FD" w:rsidR="009D13D5" w:rsidRPr="001F224B" w:rsidRDefault="009D13D5" w:rsidP="009D13D5">
            <w:pPr>
              <w:jc w:val="right"/>
              <w:rPr>
                <w:bCs/>
                <w:sz w:val="13"/>
                <w:szCs w:val="13"/>
              </w:rPr>
            </w:pPr>
            <w:r w:rsidRPr="001F224B">
              <w:rPr>
                <w:sz w:val="13"/>
                <w:szCs w:val="13"/>
              </w:rPr>
              <w:t xml:space="preserve"> - </w:t>
            </w:r>
          </w:p>
        </w:tc>
        <w:tc>
          <w:tcPr>
            <w:tcW w:w="851" w:type="dxa"/>
            <w:tcBorders>
              <w:top w:val="nil"/>
              <w:left w:val="dotted" w:sz="4" w:space="0" w:color="auto"/>
              <w:bottom w:val="nil"/>
              <w:right w:val="dotted" w:sz="4" w:space="0" w:color="auto"/>
            </w:tcBorders>
            <w:vAlign w:val="bottom"/>
          </w:tcPr>
          <w:p w14:paraId="6894AC74" w14:textId="49C1AD85" w:rsidR="009D13D5" w:rsidRPr="001F224B" w:rsidRDefault="009D13D5" w:rsidP="009D13D5">
            <w:pPr>
              <w:jc w:val="right"/>
              <w:rPr>
                <w:bCs/>
                <w:sz w:val="13"/>
                <w:szCs w:val="13"/>
              </w:rPr>
            </w:pPr>
            <w:r w:rsidRPr="001F224B">
              <w:rPr>
                <w:sz w:val="13"/>
                <w:szCs w:val="13"/>
              </w:rPr>
              <w:t xml:space="preserve"> - </w:t>
            </w:r>
          </w:p>
        </w:tc>
        <w:tc>
          <w:tcPr>
            <w:tcW w:w="708" w:type="dxa"/>
            <w:tcBorders>
              <w:top w:val="nil"/>
              <w:left w:val="dotted" w:sz="4" w:space="0" w:color="auto"/>
              <w:bottom w:val="nil"/>
              <w:right w:val="dotted" w:sz="4" w:space="0" w:color="auto"/>
            </w:tcBorders>
            <w:vAlign w:val="bottom"/>
          </w:tcPr>
          <w:p w14:paraId="2AA8D9A0" w14:textId="4E49D81F" w:rsidR="009D13D5" w:rsidRPr="001F224B" w:rsidRDefault="009D13D5" w:rsidP="009D13D5">
            <w:pPr>
              <w:jc w:val="right"/>
              <w:rPr>
                <w:bCs/>
                <w:sz w:val="13"/>
                <w:szCs w:val="13"/>
              </w:rPr>
            </w:pPr>
            <w:r w:rsidRPr="001F224B">
              <w:rPr>
                <w:sz w:val="13"/>
                <w:szCs w:val="13"/>
              </w:rPr>
              <w:t xml:space="preserve"> - </w:t>
            </w:r>
          </w:p>
        </w:tc>
        <w:tc>
          <w:tcPr>
            <w:tcW w:w="778" w:type="dxa"/>
            <w:tcBorders>
              <w:top w:val="nil"/>
              <w:left w:val="dotted" w:sz="4" w:space="0" w:color="auto"/>
              <w:bottom w:val="nil"/>
              <w:right w:val="dotted" w:sz="4" w:space="0" w:color="auto"/>
            </w:tcBorders>
          </w:tcPr>
          <w:p w14:paraId="2AB18FCA" w14:textId="2AB648BB" w:rsidR="009D13D5" w:rsidRPr="001F224B" w:rsidRDefault="009D13D5" w:rsidP="009D13D5">
            <w:pPr>
              <w:jc w:val="right"/>
              <w:rPr>
                <w:bCs/>
                <w:sz w:val="13"/>
                <w:szCs w:val="13"/>
              </w:rPr>
            </w:pPr>
            <w:r w:rsidRPr="001F224B">
              <w:rPr>
                <w:bCs/>
                <w:sz w:val="13"/>
                <w:szCs w:val="13"/>
              </w:rPr>
              <w:t>6.175.535</w:t>
            </w:r>
          </w:p>
        </w:tc>
        <w:tc>
          <w:tcPr>
            <w:tcW w:w="923" w:type="dxa"/>
            <w:tcBorders>
              <w:top w:val="nil"/>
              <w:left w:val="nil"/>
              <w:bottom w:val="nil"/>
              <w:right w:val="dotted" w:sz="4" w:space="0" w:color="auto"/>
            </w:tcBorders>
            <w:shd w:val="clear" w:color="auto" w:fill="auto"/>
          </w:tcPr>
          <w:p w14:paraId="78E608DA" w14:textId="0E245180" w:rsidR="009D13D5" w:rsidRPr="001F224B" w:rsidRDefault="009D13D5" w:rsidP="009D13D5">
            <w:pPr>
              <w:ind w:left="-178"/>
              <w:jc w:val="right"/>
              <w:rPr>
                <w:bCs/>
                <w:sz w:val="13"/>
                <w:szCs w:val="13"/>
              </w:rPr>
            </w:pPr>
            <w:r w:rsidRPr="001F224B">
              <w:rPr>
                <w:bCs/>
                <w:sz w:val="13"/>
                <w:szCs w:val="13"/>
              </w:rPr>
              <w:t>(6.175.535)</w:t>
            </w:r>
          </w:p>
        </w:tc>
        <w:tc>
          <w:tcPr>
            <w:tcW w:w="822" w:type="dxa"/>
            <w:tcBorders>
              <w:top w:val="nil"/>
              <w:left w:val="dotted" w:sz="4" w:space="0" w:color="auto"/>
              <w:bottom w:val="nil"/>
              <w:right w:val="dotted" w:sz="4" w:space="0" w:color="auto"/>
            </w:tcBorders>
            <w:vAlign w:val="bottom"/>
          </w:tcPr>
          <w:p w14:paraId="2BEE968C" w14:textId="5386C73A" w:rsidR="009D13D5" w:rsidRPr="001F224B" w:rsidRDefault="009D13D5" w:rsidP="009D13D5">
            <w:pPr>
              <w:jc w:val="right"/>
              <w:rPr>
                <w:bCs/>
                <w:sz w:val="13"/>
                <w:szCs w:val="13"/>
              </w:rPr>
            </w:pPr>
            <w:r w:rsidRPr="001F224B">
              <w:rPr>
                <w:b/>
                <w:sz w:val="13"/>
                <w:szCs w:val="13"/>
              </w:rPr>
              <w:t xml:space="preserve"> - </w:t>
            </w:r>
          </w:p>
        </w:tc>
        <w:tc>
          <w:tcPr>
            <w:tcW w:w="879" w:type="dxa"/>
            <w:tcBorders>
              <w:top w:val="nil"/>
              <w:left w:val="dotted" w:sz="4" w:space="0" w:color="auto"/>
              <w:bottom w:val="nil"/>
              <w:right w:val="dotted" w:sz="4" w:space="0" w:color="auto"/>
            </w:tcBorders>
            <w:vAlign w:val="bottom"/>
          </w:tcPr>
          <w:p w14:paraId="7B123C5E" w14:textId="4DFB9572" w:rsidR="009D13D5" w:rsidRPr="001F224B" w:rsidRDefault="009D13D5" w:rsidP="009D13D5">
            <w:pPr>
              <w:jc w:val="right"/>
              <w:rPr>
                <w:bCs/>
                <w:sz w:val="13"/>
                <w:szCs w:val="13"/>
              </w:rPr>
            </w:pPr>
            <w:r w:rsidRPr="001F224B">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05A2D53E" w14:textId="0E04498E" w:rsidR="009D13D5" w:rsidRPr="001F224B" w:rsidRDefault="009D13D5" w:rsidP="009D13D5">
            <w:pPr>
              <w:jc w:val="right"/>
              <w:rPr>
                <w:sz w:val="13"/>
                <w:szCs w:val="13"/>
              </w:rPr>
            </w:pPr>
            <w:r w:rsidRPr="001F224B">
              <w:rPr>
                <w:sz w:val="13"/>
                <w:szCs w:val="13"/>
              </w:rPr>
              <w:t xml:space="preserve"> - </w:t>
            </w:r>
          </w:p>
        </w:tc>
        <w:tc>
          <w:tcPr>
            <w:tcW w:w="807" w:type="dxa"/>
            <w:tcBorders>
              <w:top w:val="nil"/>
              <w:left w:val="dotted" w:sz="4" w:space="0" w:color="auto"/>
              <w:bottom w:val="nil"/>
            </w:tcBorders>
          </w:tcPr>
          <w:p w14:paraId="52DB5F00" w14:textId="5BC8D395" w:rsidR="009D13D5" w:rsidRPr="001F224B" w:rsidRDefault="009D13D5" w:rsidP="009D13D5">
            <w:pPr>
              <w:jc w:val="right"/>
              <w:rPr>
                <w:bCs/>
                <w:sz w:val="13"/>
                <w:szCs w:val="13"/>
              </w:rPr>
            </w:pPr>
            <w:r w:rsidRPr="001F224B">
              <w:rPr>
                <w:bCs/>
                <w:sz w:val="13"/>
                <w:szCs w:val="13"/>
              </w:rPr>
              <w:t>-</w:t>
            </w:r>
          </w:p>
        </w:tc>
      </w:tr>
      <w:tr w:rsidR="009D13D5" w:rsidRPr="001F224B" w14:paraId="1A65D1D2" w14:textId="77777777" w:rsidTr="00A44FE7">
        <w:trPr>
          <w:trHeight w:val="19"/>
        </w:trPr>
        <w:tc>
          <w:tcPr>
            <w:tcW w:w="465" w:type="dxa"/>
            <w:tcBorders>
              <w:top w:val="nil"/>
              <w:left w:val="single" w:sz="4" w:space="0" w:color="auto"/>
              <w:bottom w:val="single" w:sz="4" w:space="0" w:color="auto"/>
            </w:tcBorders>
          </w:tcPr>
          <w:p w14:paraId="3A3523E0" w14:textId="77777777" w:rsidR="009D13D5" w:rsidRPr="001F224B" w:rsidRDefault="009D13D5" w:rsidP="009D13D5">
            <w:pPr>
              <w:rPr>
                <w:b/>
                <w:bCs/>
                <w:sz w:val="13"/>
                <w:szCs w:val="13"/>
              </w:rPr>
            </w:pPr>
            <w:r w:rsidRPr="001F224B">
              <w:rPr>
                <w:sz w:val="13"/>
                <w:szCs w:val="13"/>
              </w:rPr>
              <w:t>11.3</w:t>
            </w:r>
          </w:p>
        </w:tc>
        <w:tc>
          <w:tcPr>
            <w:tcW w:w="2925" w:type="dxa"/>
            <w:tcBorders>
              <w:top w:val="nil"/>
              <w:bottom w:val="single" w:sz="4" w:space="0" w:color="auto"/>
              <w:right w:val="single" w:sz="4" w:space="0" w:color="auto"/>
            </w:tcBorders>
          </w:tcPr>
          <w:p w14:paraId="23AE169A" w14:textId="77777777" w:rsidR="009D13D5" w:rsidRPr="001F224B" w:rsidRDefault="009D13D5" w:rsidP="009D13D5">
            <w:pPr>
              <w:rPr>
                <w:b/>
                <w:bCs/>
                <w:sz w:val="13"/>
                <w:szCs w:val="13"/>
              </w:rPr>
            </w:pPr>
            <w:r w:rsidRPr="001F224B">
              <w:rPr>
                <w:sz w:val="13"/>
                <w:szCs w:val="13"/>
              </w:rPr>
              <w:t xml:space="preserve">Diğer </w:t>
            </w:r>
          </w:p>
        </w:tc>
        <w:tc>
          <w:tcPr>
            <w:tcW w:w="754" w:type="dxa"/>
            <w:tcBorders>
              <w:top w:val="nil"/>
              <w:left w:val="single" w:sz="4" w:space="0" w:color="auto"/>
              <w:bottom w:val="dotted" w:sz="4" w:space="0" w:color="auto"/>
              <w:right w:val="dotted" w:sz="4" w:space="0" w:color="auto"/>
            </w:tcBorders>
            <w:vAlign w:val="bottom"/>
          </w:tcPr>
          <w:p w14:paraId="68A5DDB2" w14:textId="3078B26F" w:rsidR="009D13D5" w:rsidRPr="001F224B" w:rsidRDefault="009D13D5" w:rsidP="009D13D5">
            <w:pPr>
              <w:jc w:val="right"/>
              <w:rPr>
                <w:sz w:val="13"/>
                <w:szCs w:val="13"/>
              </w:rPr>
            </w:pPr>
            <w:r w:rsidRPr="001F224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3E36E801" w14:textId="4B7937CA" w:rsidR="009D13D5" w:rsidRPr="001F224B" w:rsidRDefault="009D13D5" w:rsidP="009D13D5">
            <w:pPr>
              <w:jc w:val="right"/>
              <w:rPr>
                <w:sz w:val="13"/>
                <w:szCs w:val="13"/>
              </w:rPr>
            </w:pPr>
            <w:r w:rsidRPr="001F224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5B6F4F3F" w14:textId="2896D497" w:rsidR="009D13D5" w:rsidRPr="001F224B" w:rsidRDefault="009D13D5" w:rsidP="009D13D5">
            <w:pPr>
              <w:jc w:val="right"/>
              <w:rPr>
                <w:sz w:val="13"/>
                <w:szCs w:val="13"/>
              </w:rPr>
            </w:pPr>
            <w:r w:rsidRPr="001F224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83FF868" w14:textId="1B2C3CFC" w:rsidR="009D13D5" w:rsidRPr="001F224B" w:rsidRDefault="009D13D5" w:rsidP="009D13D5">
            <w:pPr>
              <w:jc w:val="right"/>
              <w:rPr>
                <w:sz w:val="13"/>
                <w:szCs w:val="13"/>
              </w:rPr>
            </w:pPr>
            <w:r w:rsidRPr="001F224B">
              <w:rPr>
                <w:sz w:val="13"/>
                <w:szCs w:val="13"/>
              </w:rPr>
              <w:t xml:space="preserve"> - </w:t>
            </w:r>
          </w:p>
        </w:tc>
        <w:tc>
          <w:tcPr>
            <w:tcW w:w="676" w:type="dxa"/>
            <w:tcBorders>
              <w:top w:val="nil"/>
              <w:left w:val="dotted" w:sz="4" w:space="0" w:color="auto"/>
              <w:bottom w:val="dotted" w:sz="4" w:space="0" w:color="auto"/>
              <w:right w:val="dotted" w:sz="4" w:space="0" w:color="auto"/>
            </w:tcBorders>
            <w:vAlign w:val="bottom"/>
          </w:tcPr>
          <w:p w14:paraId="2929836D" w14:textId="3C4D8C44" w:rsidR="009D13D5" w:rsidRPr="001F224B" w:rsidRDefault="009D13D5" w:rsidP="009D13D5">
            <w:pPr>
              <w:jc w:val="right"/>
              <w:rPr>
                <w:sz w:val="13"/>
                <w:szCs w:val="13"/>
              </w:rPr>
            </w:pPr>
            <w:r w:rsidRPr="001F224B">
              <w:rPr>
                <w:sz w:val="13"/>
                <w:szCs w:val="13"/>
              </w:rPr>
              <w:t xml:space="preserve"> - </w:t>
            </w:r>
          </w:p>
        </w:tc>
        <w:tc>
          <w:tcPr>
            <w:tcW w:w="710" w:type="dxa"/>
            <w:tcBorders>
              <w:top w:val="nil"/>
              <w:left w:val="dotted" w:sz="4" w:space="0" w:color="auto"/>
              <w:bottom w:val="dotted" w:sz="4" w:space="0" w:color="auto"/>
              <w:right w:val="dotted" w:sz="4" w:space="0" w:color="auto"/>
            </w:tcBorders>
            <w:vAlign w:val="bottom"/>
          </w:tcPr>
          <w:p w14:paraId="38A3B7AD" w14:textId="6A4F7EC5" w:rsidR="009D13D5" w:rsidRPr="001F224B" w:rsidRDefault="009D13D5" w:rsidP="009D13D5">
            <w:pPr>
              <w:jc w:val="right"/>
              <w:rPr>
                <w:sz w:val="13"/>
                <w:szCs w:val="13"/>
              </w:rPr>
            </w:pPr>
            <w:r w:rsidRPr="001F224B">
              <w:rPr>
                <w:sz w:val="13"/>
                <w:szCs w:val="13"/>
              </w:rPr>
              <w:t xml:space="preserve"> - </w:t>
            </w:r>
          </w:p>
        </w:tc>
        <w:tc>
          <w:tcPr>
            <w:tcW w:w="708" w:type="dxa"/>
            <w:tcBorders>
              <w:top w:val="nil"/>
              <w:left w:val="dotted" w:sz="4" w:space="0" w:color="auto"/>
              <w:bottom w:val="dotted" w:sz="4" w:space="0" w:color="auto"/>
              <w:right w:val="dotted" w:sz="4" w:space="0" w:color="auto"/>
            </w:tcBorders>
            <w:vAlign w:val="bottom"/>
          </w:tcPr>
          <w:p w14:paraId="7BCA41D5" w14:textId="729FA3AF" w:rsidR="009D13D5" w:rsidRPr="001F224B" w:rsidRDefault="009D13D5" w:rsidP="009D13D5">
            <w:pPr>
              <w:jc w:val="right"/>
              <w:rPr>
                <w:sz w:val="13"/>
                <w:szCs w:val="13"/>
              </w:rPr>
            </w:pPr>
            <w:r w:rsidRPr="001F224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194C8E5A" w14:textId="437A096F" w:rsidR="009D13D5" w:rsidRPr="001F224B" w:rsidRDefault="009D13D5" w:rsidP="009D13D5">
            <w:pPr>
              <w:jc w:val="right"/>
              <w:rPr>
                <w:sz w:val="13"/>
                <w:szCs w:val="13"/>
              </w:rPr>
            </w:pPr>
            <w:r w:rsidRPr="001F224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28FDE3D8" w14:textId="21BDE1E1" w:rsidR="009D13D5" w:rsidRPr="001F224B" w:rsidRDefault="009D13D5" w:rsidP="009D13D5">
            <w:pPr>
              <w:jc w:val="right"/>
              <w:rPr>
                <w:sz w:val="13"/>
                <w:szCs w:val="13"/>
              </w:rPr>
            </w:pPr>
            <w:r w:rsidRPr="001F224B">
              <w:rPr>
                <w:sz w:val="13"/>
                <w:szCs w:val="13"/>
              </w:rPr>
              <w:t xml:space="preserve"> - </w:t>
            </w:r>
          </w:p>
        </w:tc>
        <w:tc>
          <w:tcPr>
            <w:tcW w:w="708" w:type="dxa"/>
            <w:tcBorders>
              <w:top w:val="nil"/>
              <w:left w:val="dotted" w:sz="4" w:space="0" w:color="auto"/>
              <w:bottom w:val="dotted" w:sz="4" w:space="0" w:color="auto"/>
              <w:right w:val="dotted" w:sz="4" w:space="0" w:color="auto"/>
            </w:tcBorders>
            <w:vAlign w:val="bottom"/>
          </w:tcPr>
          <w:p w14:paraId="2F1AA472" w14:textId="6B121722" w:rsidR="009D13D5" w:rsidRPr="001F224B" w:rsidRDefault="009D13D5" w:rsidP="009D13D5">
            <w:pPr>
              <w:jc w:val="right"/>
              <w:rPr>
                <w:sz w:val="13"/>
                <w:szCs w:val="13"/>
              </w:rPr>
            </w:pPr>
            <w:r w:rsidRPr="001F224B">
              <w:rPr>
                <w:sz w:val="13"/>
                <w:szCs w:val="13"/>
              </w:rPr>
              <w:t xml:space="preserve"> - </w:t>
            </w:r>
          </w:p>
        </w:tc>
        <w:tc>
          <w:tcPr>
            <w:tcW w:w="778" w:type="dxa"/>
            <w:tcBorders>
              <w:top w:val="nil"/>
              <w:left w:val="dotted" w:sz="4" w:space="0" w:color="auto"/>
              <w:bottom w:val="dotted" w:sz="4" w:space="0" w:color="auto"/>
              <w:right w:val="dotted" w:sz="4" w:space="0" w:color="auto"/>
            </w:tcBorders>
            <w:vAlign w:val="bottom"/>
          </w:tcPr>
          <w:p w14:paraId="2C236E20" w14:textId="2B085662" w:rsidR="009D13D5" w:rsidRPr="001F224B" w:rsidRDefault="009D13D5" w:rsidP="009D13D5">
            <w:pPr>
              <w:jc w:val="right"/>
              <w:rPr>
                <w:sz w:val="13"/>
                <w:szCs w:val="13"/>
              </w:rPr>
            </w:pPr>
            <w:r w:rsidRPr="001F224B">
              <w:rPr>
                <w:sz w:val="13"/>
                <w:szCs w:val="13"/>
              </w:rPr>
              <w:t xml:space="preserve"> - </w:t>
            </w:r>
          </w:p>
        </w:tc>
        <w:tc>
          <w:tcPr>
            <w:tcW w:w="923" w:type="dxa"/>
            <w:tcBorders>
              <w:top w:val="nil"/>
              <w:left w:val="nil"/>
              <w:bottom w:val="dotted" w:sz="4" w:space="0" w:color="auto"/>
              <w:right w:val="dotted" w:sz="4" w:space="0" w:color="auto"/>
            </w:tcBorders>
            <w:shd w:val="clear" w:color="auto" w:fill="auto"/>
            <w:vAlign w:val="bottom"/>
          </w:tcPr>
          <w:p w14:paraId="66448AC1" w14:textId="2387025B" w:rsidR="009D13D5" w:rsidRPr="001F224B" w:rsidRDefault="009D13D5" w:rsidP="009D13D5">
            <w:pPr>
              <w:jc w:val="right"/>
              <w:rPr>
                <w:sz w:val="13"/>
                <w:szCs w:val="13"/>
              </w:rPr>
            </w:pPr>
            <w:r w:rsidRPr="001F224B">
              <w:rPr>
                <w:sz w:val="13"/>
                <w:szCs w:val="13"/>
              </w:rPr>
              <w:t xml:space="preserve"> - </w:t>
            </w:r>
          </w:p>
        </w:tc>
        <w:tc>
          <w:tcPr>
            <w:tcW w:w="822" w:type="dxa"/>
            <w:tcBorders>
              <w:top w:val="nil"/>
              <w:left w:val="dotted" w:sz="4" w:space="0" w:color="auto"/>
              <w:bottom w:val="dotted" w:sz="4" w:space="0" w:color="auto"/>
              <w:right w:val="dotted" w:sz="4" w:space="0" w:color="auto"/>
            </w:tcBorders>
          </w:tcPr>
          <w:p w14:paraId="6E8BF2BD" w14:textId="51AC73C3" w:rsidR="009D13D5" w:rsidRPr="001F224B" w:rsidRDefault="009D13D5" w:rsidP="009D13D5">
            <w:pPr>
              <w:jc w:val="right"/>
              <w:rPr>
                <w:sz w:val="13"/>
                <w:szCs w:val="13"/>
              </w:rPr>
            </w:pPr>
            <w:r w:rsidRPr="001F224B">
              <w:rPr>
                <w:sz w:val="13"/>
                <w:szCs w:val="13"/>
              </w:rPr>
              <w:t xml:space="preserve"> - </w:t>
            </w:r>
          </w:p>
        </w:tc>
        <w:tc>
          <w:tcPr>
            <w:tcW w:w="879" w:type="dxa"/>
            <w:tcBorders>
              <w:top w:val="nil"/>
              <w:left w:val="dotted" w:sz="4" w:space="0" w:color="auto"/>
              <w:bottom w:val="dotted" w:sz="4" w:space="0" w:color="auto"/>
              <w:right w:val="dotted" w:sz="4" w:space="0" w:color="auto"/>
            </w:tcBorders>
            <w:vAlign w:val="bottom"/>
          </w:tcPr>
          <w:p w14:paraId="09EC3AB1" w14:textId="77AC2844" w:rsidR="009D13D5" w:rsidRPr="001F224B" w:rsidRDefault="009D13D5" w:rsidP="009D13D5">
            <w:pPr>
              <w:jc w:val="right"/>
              <w:rPr>
                <w:sz w:val="13"/>
                <w:szCs w:val="13"/>
              </w:rPr>
            </w:pPr>
            <w:r w:rsidRPr="001F224B">
              <w:rPr>
                <w:sz w:val="13"/>
                <w:szCs w:val="13"/>
              </w:rPr>
              <w:t xml:space="preserve"> - </w:t>
            </w:r>
          </w:p>
        </w:tc>
        <w:tc>
          <w:tcPr>
            <w:tcW w:w="591" w:type="dxa"/>
            <w:gridSpan w:val="2"/>
            <w:tcBorders>
              <w:top w:val="nil"/>
              <w:left w:val="dotted" w:sz="4" w:space="0" w:color="auto"/>
              <w:bottom w:val="dotted" w:sz="4" w:space="0" w:color="auto"/>
              <w:right w:val="dotted" w:sz="4" w:space="0" w:color="auto"/>
            </w:tcBorders>
            <w:vAlign w:val="bottom"/>
          </w:tcPr>
          <w:p w14:paraId="46945FDB" w14:textId="23D1D8A6" w:rsidR="009D13D5" w:rsidRPr="001F224B" w:rsidRDefault="009D13D5" w:rsidP="009D13D5">
            <w:pPr>
              <w:jc w:val="right"/>
              <w:rPr>
                <w:sz w:val="13"/>
                <w:szCs w:val="13"/>
              </w:rPr>
            </w:pPr>
            <w:r w:rsidRPr="001F224B">
              <w:rPr>
                <w:sz w:val="13"/>
                <w:szCs w:val="13"/>
              </w:rPr>
              <w:t>-</w:t>
            </w:r>
          </w:p>
        </w:tc>
        <w:tc>
          <w:tcPr>
            <w:tcW w:w="807" w:type="dxa"/>
            <w:tcBorders>
              <w:top w:val="nil"/>
              <w:left w:val="dotted" w:sz="4" w:space="0" w:color="auto"/>
              <w:bottom w:val="dotted" w:sz="4" w:space="0" w:color="auto"/>
            </w:tcBorders>
            <w:vAlign w:val="bottom"/>
          </w:tcPr>
          <w:p w14:paraId="452E404E" w14:textId="7457DA84" w:rsidR="009D13D5" w:rsidRPr="001F224B" w:rsidRDefault="009D13D5" w:rsidP="009D13D5">
            <w:pPr>
              <w:jc w:val="right"/>
              <w:rPr>
                <w:b/>
                <w:bCs/>
                <w:sz w:val="13"/>
                <w:szCs w:val="13"/>
              </w:rPr>
            </w:pPr>
            <w:r w:rsidRPr="001F224B">
              <w:rPr>
                <w:b/>
                <w:bCs/>
                <w:sz w:val="13"/>
                <w:szCs w:val="13"/>
              </w:rPr>
              <w:t xml:space="preserve"> - </w:t>
            </w:r>
          </w:p>
        </w:tc>
      </w:tr>
      <w:tr w:rsidR="009D13D5" w:rsidRPr="001F224B" w14:paraId="673AF822" w14:textId="77777777" w:rsidTr="00DC2796">
        <w:trPr>
          <w:trHeight w:val="90"/>
        </w:trPr>
        <w:tc>
          <w:tcPr>
            <w:tcW w:w="465" w:type="dxa"/>
            <w:tcBorders>
              <w:top w:val="single" w:sz="4" w:space="0" w:color="auto"/>
              <w:left w:val="single" w:sz="4" w:space="0" w:color="auto"/>
              <w:right w:val="nil"/>
            </w:tcBorders>
          </w:tcPr>
          <w:p w14:paraId="4F2F24D4" w14:textId="77777777" w:rsidR="009D13D5" w:rsidRPr="001F224B" w:rsidRDefault="009D13D5" w:rsidP="009D13D5">
            <w:pPr>
              <w:rPr>
                <w:b/>
                <w:bCs/>
                <w:sz w:val="13"/>
                <w:szCs w:val="13"/>
              </w:rPr>
            </w:pPr>
          </w:p>
        </w:tc>
        <w:tc>
          <w:tcPr>
            <w:tcW w:w="2925" w:type="dxa"/>
            <w:tcBorders>
              <w:top w:val="single" w:sz="4" w:space="0" w:color="auto"/>
              <w:left w:val="nil"/>
            </w:tcBorders>
          </w:tcPr>
          <w:p w14:paraId="5EA4B40D" w14:textId="77777777" w:rsidR="009D13D5" w:rsidRPr="001F224B" w:rsidRDefault="009D13D5" w:rsidP="009D13D5">
            <w:pPr>
              <w:rPr>
                <w:b/>
                <w:bCs/>
                <w:sz w:val="13"/>
                <w:szCs w:val="13"/>
              </w:rPr>
            </w:pPr>
            <w:r w:rsidRPr="001F224B">
              <w:rPr>
                <w:b/>
                <w:bCs/>
                <w:sz w:val="13"/>
                <w:szCs w:val="13"/>
              </w:rPr>
              <w:t>Dönem Sonu Bakiyesi  (III+IV+…...+X+XI)</w:t>
            </w:r>
          </w:p>
        </w:tc>
        <w:tc>
          <w:tcPr>
            <w:tcW w:w="754" w:type="dxa"/>
            <w:tcBorders>
              <w:top w:val="dotted" w:sz="4" w:space="0" w:color="auto"/>
              <w:right w:val="dotted" w:sz="4" w:space="0" w:color="auto"/>
            </w:tcBorders>
          </w:tcPr>
          <w:p w14:paraId="6F9C4B29" w14:textId="709019B9" w:rsidR="009D13D5" w:rsidRPr="001F224B" w:rsidRDefault="009D13D5" w:rsidP="009D13D5">
            <w:pPr>
              <w:ind w:left="-381"/>
              <w:jc w:val="right"/>
              <w:rPr>
                <w:b/>
                <w:sz w:val="13"/>
                <w:szCs w:val="13"/>
              </w:rPr>
            </w:pPr>
            <w:r w:rsidRPr="001F224B">
              <w:rPr>
                <w:b/>
                <w:sz w:val="13"/>
                <w:szCs w:val="13"/>
              </w:rPr>
              <w:t>10.000.000</w:t>
            </w:r>
          </w:p>
        </w:tc>
        <w:tc>
          <w:tcPr>
            <w:tcW w:w="992" w:type="dxa"/>
            <w:tcBorders>
              <w:top w:val="dotted" w:sz="4" w:space="0" w:color="auto"/>
              <w:left w:val="dotted" w:sz="4" w:space="0" w:color="auto"/>
              <w:right w:val="dotted" w:sz="4" w:space="0" w:color="auto"/>
            </w:tcBorders>
          </w:tcPr>
          <w:p w14:paraId="59FC4813" w14:textId="6DFC4F11" w:rsidR="009D13D5" w:rsidRPr="001F224B" w:rsidRDefault="009D13D5" w:rsidP="009D13D5">
            <w:pPr>
              <w:jc w:val="right"/>
              <w:rPr>
                <w:b/>
                <w:sz w:val="13"/>
                <w:szCs w:val="13"/>
              </w:rPr>
            </w:pPr>
            <w:r w:rsidRPr="001F224B">
              <w:rPr>
                <w:b/>
                <w:sz w:val="13"/>
                <w:szCs w:val="13"/>
              </w:rPr>
              <w:t>6.247</w:t>
            </w:r>
          </w:p>
        </w:tc>
        <w:tc>
          <w:tcPr>
            <w:tcW w:w="709" w:type="dxa"/>
            <w:tcBorders>
              <w:top w:val="dotted" w:sz="4" w:space="0" w:color="auto"/>
              <w:left w:val="dotted" w:sz="4" w:space="0" w:color="auto"/>
              <w:right w:val="dotted" w:sz="4" w:space="0" w:color="auto"/>
            </w:tcBorders>
          </w:tcPr>
          <w:p w14:paraId="3E65D532" w14:textId="42141358" w:rsidR="009D13D5" w:rsidRPr="001F224B" w:rsidRDefault="009D13D5" w:rsidP="009D13D5">
            <w:pPr>
              <w:jc w:val="right"/>
              <w:rPr>
                <w:b/>
                <w:sz w:val="13"/>
                <w:szCs w:val="13"/>
              </w:rPr>
            </w:pPr>
            <w:r w:rsidRPr="001F224B">
              <w:rPr>
                <w:b/>
                <w:sz w:val="13"/>
                <w:szCs w:val="13"/>
              </w:rPr>
              <w:t>-</w:t>
            </w:r>
          </w:p>
        </w:tc>
        <w:tc>
          <w:tcPr>
            <w:tcW w:w="850" w:type="dxa"/>
            <w:tcBorders>
              <w:top w:val="dotted" w:sz="4" w:space="0" w:color="auto"/>
              <w:left w:val="dotted" w:sz="4" w:space="0" w:color="auto"/>
              <w:right w:val="dotted" w:sz="4" w:space="0" w:color="auto"/>
            </w:tcBorders>
          </w:tcPr>
          <w:p w14:paraId="63B0C643" w14:textId="69C53F21" w:rsidR="009D13D5" w:rsidRPr="001F224B" w:rsidRDefault="009D13D5" w:rsidP="009D13D5">
            <w:pPr>
              <w:jc w:val="right"/>
              <w:rPr>
                <w:b/>
                <w:sz w:val="13"/>
                <w:szCs w:val="13"/>
              </w:rPr>
            </w:pPr>
            <w:r w:rsidRPr="001F224B">
              <w:rPr>
                <w:b/>
                <w:sz w:val="13"/>
                <w:szCs w:val="13"/>
              </w:rPr>
              <w:t>206.074</w:t>
            </w:r>
          </w:p>
        </w:tc>
        <w:tc>
          <w:tcPr>
            <w:tcW w:w="676" w:type="dxa"/>
            <w:tcBorders>
              <w:top w:val="dotted" w:sz="4" w:space="0" w:color="auto"/>
              <w:left w:val="dotted" w:sz="4" w:space="0" w:color="auto"/>
              <w:right w:val="dotted" w:sz="4" w:space="0" w:color="auto"/>
            </w:tcBorders>
          </w:tcPr>
          <w:p w14:paraId="0FB2F626" w14:textId="2F7C60FF" w:rsidR="009D13D5" w:rsidRPr="001F224B" w:rsidRDefault="009D13D5" w:rsidP="009D13D5">
            <w:pPr>
              <w:jc w:val="right"/>
              <w:rPr>
                <w:b/>
                <w:sz w:val="13"/>
                <w:szCs w:val="13"/>
              </w:rPr>
            </w:pPr>
            <w:r w:rsidRPr="001F224B">
              <w:rPr>
                <w:b/>
                <w:sz w:val="13"/>
                <w:szCs w:val="13"/>
              </w:rPr>
              <w:t>-</w:t>
            </w:r>
          </w:p>
        </w:tc>
        <w:tc>
          <w:tcPr>
            <w:tcW w:w="710" w:type="dxa"/>
            <w:tcBorders>
              <w:top w:val="dotted" w:sz="4" w:space="0" w:color="auto"/>
              <w:left w:val="dotted" w:sz="4" w:space="0" w:color="auto"/>
              <w:right w:val="dotted" w:sz="4" w:space="0" w:color="auto"/>
            </w:tcBorders>
          </w:tcPr>
          <w:p w14:paraId="5F99C24E" w14:textId="17A678E5" w:rsidR="009D13D5" w:rsidRPr="001F224B" w:rsidRDefault="009D13D5" w:rsidP="009D13D5">
            <w:pPr>
              <w:jc w:val="right"/>
              <w:rPr>
                <w:b/>
                <w:sz w:val="13"/>
                <w:szCs w:val="13"/>
              </w:rPr>
            </w:pPr>
            <w:r w:rsidRPr="001F224B">
              <w:rPr>
                <w:b/>
                <w:sz w:val="13"/>
                <w:szCs w:val="13"/>
              </w:rPr>
              <w:t>2.565</w:t>
            </w:r>
          </w:p>
        </w:tc>
        <w:tc>
          <w:tcPr>
            <w:tcW w:w="708" w:type="dxa"/>
            <w:tcBorders>
              <w:top w:val="dotted" w:sz="4" w:space="0" w:color="auto"/>
              <w:left w:val="dotted" w:sz="4" w:space="0" w:color="auto"/>
              <w:right w:val="dotted" w:sz="4" w:space="0" w:color="auto"/>
            </w:tcBorders>
          </w:tcPr>
          <w:p w14:paraId="28C01483" w14:textId="4AC75EAF" w:rsidR="009D13D5" w:rsidRPr="001F224B" w:rsidRDefault="009D13D5" w:rsidP="009D13D5">
            <w:pPr>
              <w:jc w:val="right"/>
              <w:rPr>
                <w:b/>
                <w:sz w:val="13"/>
                <w:szCs w:val="13"/>
              </w:rPr>
            </w:pPr>
            <w:r w:rsidRPr="001F224B">
              <w:rPr>
                <w:b/>
                <w:sz w:val="13"/>
                <w:szCs w:val="13"/>
              </w:rPr>
              <w:t>-</w:t>
            </w:r>
          </w:p>
        </w:tc>
        <w:tc>
          <w:tcPr>
            <w:tcW w:w="709" w:type="dxa"/>
            <w:tcBorders>
              <w:top w:val="dotted" w:sz="4" w:space="0" w:color="auto"/>
              <w:left w:val="dotted" w:sz="4" w:space="0" w:color="auto"/>
              <w:right w:val="dotted" w:sz="4" w:space="0" w:color="auto"/>
            </w:tcBorders>
          </w:tcPr>
          <w:p w14:paraId="6BDFA7D3" w14:textId="4F121D8A" w:rsidR="009D13D5" w:rsidRPr="001F224B" w:rsidRDefault="009D13D5" w:rsidP="009D13D5">
            <w:pPr>
              <w:jc w:val="right"/>
              <w:rPr>
                <w:b/>
                <w:sz w:val="13"/>
                <w:szCs w:val="13"/>
              </w:rPr>
            </w:pPr>
            <w:r w:rsidRPr="001F224B">
              <w:rPr>
                <w:b/>
                <w:sz w:val="13"/>
                <w:szCs w:val="13"/>
              </w:rPr>
              <w:t>-</w:t>
            </w:r>
          </w:p>
        </w:tc>
        <w:tc>
          <w:tcPr>
            <w:tcW w:w="851" w:type="dxa"/>
            <w:tcBorders>
              <w:top w:val="dotted" w:sz="4" w:space="0" w:color="auto"/>
              <w:left w:val="dotted" w:sz="4" w:space="0" w:color="auto"/>
              <w:right w:val="dotted" w:sz="4" w:space="0" w:color="auto"/>
            </w:tcBorders>
          </w:tcPr>
          <w:p w14:paraId="7E36395E" w14:textId="2C0AFA73" w:rsidR="009D13D5" w:rsidRPr="001F224B" w:rsidRDefault="009D13D5" w:rsidP="009D13D5">
            <w:pPr>
              <w:jc w:val="right"/>
              <w:rPr>
                <w:b/>
                <w:sz w:val="13"/>
                <w:szCs w:val="13"/>
              </w:rPr>
            </w:pPr>
            <w:r w:rsidRPr="001F224B">
              <w:rPr>
                <w:b/>
                <w:sz w:val="13"/>
                <w:szCs w:val="13"/>
              </w:rPr>
              <w:t>100.348</w:t>
            </w:r>
          </w:p>
        </w:tc>
        <w:tc>
          <w:tcPr>
            <w:tcW w:w="708" w:type="dxa"/>
            <w:tcBorders>
              <w:top w:val="dotted" w:sz="4" w:space="0" w:color="auto"/>
              <w:left w:val="dotted" w:sz="4" w:space="0" w:color="auto"/>
              <w:right w:val="dotted" w:sz="4" w:space="0" w:color="auto"/>
            </w:tcBorders>
          </w:tcPr>
          <w:p w14:paraId="0143C4C3" w14:textId="2043D6E0" w:rsidR="009D13D5" w:rsidRPr="001F224B" w:rsidRDefault="009D13D5" w:rsidP="009D13D5">
            <w:pPr>
              <w:jc w:val="right"/>
              <w:rPr>
                <w:b/>
                <w:sz w:val="13"/>
                <w:szCs w:val="13"/>
              </w:rPr>
            </w:pPr>
            <w:r w:rsidRPr="001F224B">
              <w:rPr>
                <w:b/>
                <w:sz w:val="13"/>
                <w:szCs w:val="13"/>
              </w:rPr>
              <w:t>10.931</w:t>
            </w:r>
          </w:p>
        </w:tc>
        <w:tc>
          <w:tcPr>
            <w:tcW w:w="778" w:type="dxa"/>
            <w:tcBorders>
              <w:top w:val="dotted" w:sz="4" w:space="0" w:color="auto"/>
              <w:left w:val="dotted" w:sz="4" w:space="0" w:color="auto"/>
              <w:right w:val="dotted" w:sz="4" w:space="0" w:color="auto"/>
            </w:tcBorders>
          </w:tcPr>
          <w:p w14:paraId="1FE018D3" w14:textId="70EA2D9C" w:rsidR="009D13D5" w:rsidRPr="001F224B" w:rsidRDefault="009D13D5" w:rsidP="009D13D5">
            <w:pPr>
              <w:ind w:left="-397"/>
              <w:jc w:val="right"/>
              <w:rPr>
                <w:b/>
                <w:sz w:val="13"/>
                <w:szCs w:val="13"/>
              </w:rPr>
            </w:pPr>
            <w:r w:rsidRPr="001F224B">
              <w:rPr>
                <w:b/>
                <w:sz w:val="13"/>
                <w:szCs w:val="13"/>
              </w:rPr>
              <w:t>14.188.755</w:t>
            </w:r>
          </w:p>
        </w:tc>
        <w:tc>
          <w:tcPr>
            <w:tcW w:w="923" w:type="dxa"/>
            <w:tcBorders>
              <w:top w:val="dotted" w:sz="4" w:space="0" w:color="auto"/>
              <w:left w:val="nil"/>
              <w:bottom w:val="single" w:sz="4" w:space="0" w:color="auto"/>
              <w:right w:val="dotted" w:sz="4" w:space="0" w:color="auto"/>
            </w:tcBorders>
            <w:shd w:val="clear" w:color="auto" w:fill="auto"/>
          </w:tcPr>
          <w:p w14:paraId="73252207" w14:textId="09E35CEC" w:rsidR="009D13D5" w:rsidRPr="001F224B" w:rsidRDefault="009D13D5" w:rsidP="009D13D5">
            <w:pPr>
              <w:jc w:val="right"/>
              <w:rPr>
                <w:b/>
                <w:sz w:val="13"/>
                <w:szCs w:val="13"/>
              </w:rPr>
            </w:pPr>
            <w:r w:rsidRPr="001F224B">
              <w:rPr>
                <w:b/>
                <w:sz w:val="13"/>
                <w:szCs w:val="13"/>
              </w:rPr>
              <w:t>-</w:t>
            </w:r>
          </w:p>
        </w:tc>
        <w:tc>
          <w:tcPr>
            <w:tcW w:w="822" w:type="dxa"/>
            <w:tcBorders>
              <w:top w:val="dotted" w:sz="4" w:space="0" w:color="auto"/>
              <w:left w:val="dotted" w:sz="4" w:space="0" w:color="auto"/>
              <w:right w:val="dotted" w:sz="4" w:space="0" w:color="auto"/>
            </w:tcBorders>
          </w:tcPr>
          <w:p w14:paraId="729767E7" w14:textId="51DB1021" w:rsidR="009D13D5" w:rsidRPr="001F224B" w:rsidRDefault="009D13D5" w:rsidP="009D13D5">
            <w:pPr>
              <w:jc w:val="right"/>
              <w:rPr>
                <w:b/>
                <w:sz w:val="13"/>
                <w:szCs w:val="13"/>
              </w:rPr>
            </w:pPr>
            <w:r w:rsidRPr="001F224B">
              <w:rPr>
                <w:b/>
                <w:sz w:val="13"/>
                <w:szCs w:val="13"/>
              </w:rPr>
              <w:t>4.013.756</w:t>
            </w:r>
          </w:p>
        </w:tc>
        <w:tc>
          <w:tcPr>
            <w:tcW w:w="879" w:type="dxa"/>
            <w:tcBorders>
              <w:top w:val="dotted" w:sz="4" w:space="0" w:color="auto"/>
              <w:left w:val="dotted" w:sz="4" w:space="0" w:color="auto"/>
              <w:right w:val="dotted" w:sz="4" w:space="0" w:color="auto"/>
            </w:tcBorders>
          </w:tcPr>
          <w:p w14:paraId="2657F507" w14:textId="0549FD8B" w:rsidR="009D13D5" w:rsidRPr="001F224B" w:rsidRDefault="009D13D5" w:rsidP="009D13D5">
            <w:pPr>
              <w:jc w:val="right"/>
              <w:rPr>
                <w:b/>
                <w:sz w:val="13"/>
                <w:szCs w:val="13"/>
              </w:rPr>
            </w:pPr>
            <w:r w:rsidRPr="001F224B">
              <w:rPr>
                <w:b/>
                <w:sz w:val="13"/>
                <w:szCs w:val="13"/>
              </w:rPr>
              <w:t>28.528.676</w:t>
            </w:r>
          </w:p>
        </w:tc>
        <w:tc>
          <w:tcPr>
            <w:tcW w:w="591" w:type="dxa"/>
            <w:gridSpan w:val="2"/>
            <w:tcBorders>
              <w:top w:val="dotted" w:sz="4" w:space="0" w:color="auto"/>
              <w:left w:val="dotted" w:sz="4" w:space="0" w:color="auto"/>
              <w:right w:val="dotted" w:sz="4" w:space="0" w:color="auto"/>
            </w:tcBorders>
            <w:vAlign w:val="bottom"/>
          </w:tcPr>
          <w:p w14:paraId="175FCF2F" w14:textId="455B6A16" w:rsidR="009D13D5" w:rsidRPr="001F224B" w:rsidRDefault="009D13D5" w:rsidP="009D13D5">
            <w:pPr>
              <w:jc w:val="right"/>
              <w:rPr>
                <w:b/>
                <w:bCs/>
                <w:sz w:val="13"/>
                <w:szCs w:val="13"/>
              </w:rPr>
            </w:pPr>
            <w:r w:rsidRPr="001F224B">
              <w:rPr>
                <w:b/>
                <w:sz w:val="13"/>
                <w:szCs w:val="13"/>
              </w:rPr>
              <w:t>-</w:t>
            </w:r>
          </w:p>
        </w:tc>
        <w:tc>
          <w:tcPr>
            <w:tcW w:w="807" w:type="dxa"/>
            <w:tcBorders>
              <w:top w:val="dotted" w:sz="4" w:space="0" w:color="auto"/>
              <w:left w:val="dotted" w:sz="4" w:space="0" w:color="auto"/>
            </w:tcBorders>
          </w:tcPr>
          <w:p w14:paraId="519BF60B" w14:textId="70FE4F9F" w:rsidR="009D13D5" w:rsidRPr="001F224B" w:rsidRDefault="009D13D5" w:rsidP="009D13D5">
            <w:pPr>
              <w:jc w:val="right"/>
              <w:rPr>
                <w:b/>
                <w:bCs/>
                <w:sz w:val="13"/>
                <w:szCs w:val="13"/>
              </w:rPr>
            </w:pPr>
            <w:r w:rsidRPr="001F224B">
              <w:rPr>
                <w:b/>
                <w:sz w:val="13"/>
                <w:szCs w:val="13"/>
              </w:rPr>
              <w:t>28.528.676</w:t>
            </w:r>
          </w:p>
        </w:tc>
      </w:tr>
    </w:tbl>
    <w:p w14:paraId="5C4E1F05" w14:textId="77777777" w:rsidR="00BD057D" w:rsidRPr="001F224B" w:rsidRDefault="00BD057D" w:rsidP="00BD057D">
      <w:pPr>
        <w:jc w:val="both"/>
        <w:rPr>
          <w:sz w:val="13"/>
          <w:szCs w:val="13"/>
        </w:rPr>
      </w:pPr>
      <w:r w:rsidRPr="001F224B">
        <w:rPr>
          <w:sz w:val="13"/>
          <w:szCs w:val="13"/>
        </w:rPr>
        <w:t>1. Duran varlıklar birikmiş yeniden değerleme artışları/azalışları,</w:t>
      </w:r>
    </w:p>
    <w:p w14:paraId="3C08E785" w14:textId="77777777" w:rsidR="00BD057D" w:rsidRPr="001F224B" w:rsidRDefault="00BD057D" w:rsidP="00BD057D">
      <w:pPr>
        <w:jc w:val="both"/>
        <w:rPr>
          <w:sz w:val="13"/>
          <w:szCs w:val="13"/>
        </w:rPr>
      </w:pPr>
      <w:r w:rsidRPr="001F224B">
        <w:rPr>
          <w:sz w:val="13"/>
          <w:szCs w:val="13"/>
        </w:rPr>
        <w:t>2. Tanımlanmış fayda planlarının birikmiş yeniden ölçüm kazançları/kayıpları,</w:t>
      </w:r>
    </w:p>
    <w:p w14:paraId="3CA6B7F4" w14:textId="77777777" w:rsidR="00BD057D" w:rsidRPr="001F224B" w:rsidRDefault="00BD057D" w:rsidP="00BD057D">
      <w:pPr>
        <w:jc w:val="both"/>
        <w:rPr>
          <w:sz w:val="13"/>
          <w:szCs w:val="13"/>
        </w:rPr>
      </w:pPr>
      <w:r w:rsidRPr="001F224B">
        <w:rPr>
          <w:sz w:val="13"/>
          <w:szCs w:val="13"/>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62EBCEED" w14:textId="77777777" w:rsidR="00BD057D" w:rsidRPr="001F224B" w:rsidRDefault="00BD057D" w:rsidP="00BD057D">
      <w:pPr>
        <w:jc w:val="both"/>
        <w:rPr>
          <w:sz w:val="13"/>
          <w:szCs w:val="13"/>
        </w:rPr>
      </w:pPr>
      <w:r w:rsidRPr="001F224B">
        <w:rPr>
          <w:sz w:val="13"/>
          <w:szCs w:val="13"/>
        </w:rPr>
        <w:t>4. Yabancı para çevirim farkları,</w:t>
      </w:r>
    </w:p>
    <w:p w14:paraId="0B6E3849" w14:textId="77777777" w:rsidR="00BD057D" w:rsidRPr="001F224B" w:rsidRDefault="00BD057D" w:rsidP="00BD057D">
      <w:pPr>
        <w:jc w:val="both"/>
        <w:rPr>
          <w:sz w:val="13"/>
          <w:szCs w:val="13"/>
        </w:rPr>
      </w:pPr>
      <w:r w:rsidRPr="001F224B">
        <w:rPr>
          <w:sz w:val="13"/>
          <w:szCs w:val="13"/>
        </w:rPr>
        <w:t>5. Gerçeğe uygun değer farkı diğer kapsamlı gelire yansıtılan finansal varlıkların birikmiş yeniden değerleme ve/veya sınıflandırma kazançları/kayıpları,</w:t>
      </w:r>
    </w:p>
    <w:p w14:paraId="1E72085C" w14:textId="77777777" w:rsidR="00EE6128" w:rsidRPr="001F224B" w:rsidRDefault="00BD057D" w:rsidP="00BD057D">
      <w:pPr>
        <w:jc w:val="both"/>
        <w:rPr>
          <w:sz w:val="13"/>
          <w:szCs w:val="13"/>
        </w:rPr>
      </w:pPr>
      <w:r w:rsidRPr="001F224B">
        <w:rPr>
          <w:sz w:val="13"/>
          <w:szCs w:val="13"/>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A473B0" w:rsidRPr="001F224B">
        <w:rPr>
          <w:sz w:val="13"/>
          <w:szCs w:val="13"/>
        </w:rPr>
        <w:t xml:space="preserve"> </w:t>
      </w:r>
      <w:r w:rsidRPr="001F224B">
        <w:rPr>
          <w:sz w:val="13"/>
          <w:szCs w:val="13"/>
        </w:rPr>
        <w:t>ifade eder.</w:t>
      </w:r>
    </w:p>
    <w:p w14:paraId="17B781F9" w14:textId="77777777" w:rsidR="00960813" w:rsidRPr="001F224B" w:rsidRDefault="00960813" w:rsidP="0032648B">
      <w:pPr>
        <w:jc w:val="both"/>
        <w:rPr>
          <w:sz w:val="10"/>
          <w:szCs w:val="10"/>
        </w:rPr>
      </w:pPr>
    </w:p>
    <w:p w14:paraId="3E37DE62" w14:textId="4D388BD6" w:rsidR="00264EEA" w:rsidRPr="001F224B" w:rsidRDefault="00023526" w:rsidP="00264EEA">
      <w:pPr>
        <w:tabs>
          <w:tab w:val="left" w:pos="4608"/>
        </w:tabs>
        <w:rPr>
          <w:bCs/>
          <w:sz w:val="16"/>
          <w:szCs w:val="16"/>
        </w:rPr>
        <w:sectPr w:rsidR="00264EEA" w:rsidRPr="001F224B" w:rsidSect="00473FDF">
          <w:headerReference w:type="first" r:id="rId91"/>
          <w:footerReference w:type="first" r:id="rId92"/>
          <w:pgSz w:w="16840" w:h="11907" w:orient="landscape" w:code="9"/>
          <w:pgMar w:top="1701" w:right="510" w:bottom="964" w:left="567" w:header="624" w:footer="397" w:gutter="0"/>
          <w:cols w:space="708"/>
          <w:titlePg/>
          <w:docGrid w:linePitch="326"/>
        </w:sectPr>
      </w:pPr>
      <w:r w:rsidRPr="001F224B">
        <w:rPr>
          <w:bCs/>
          <w:sz w:val="16"/>
          <w:szCs w:val="16"/>
        </w:rPr>
        <w:tab/>
      </w:r>
      <w:r w:rsidR="00D11895" w:rsidRPr="001F224B">
        <w:rPr>
          <w:bCs/>
          <w:sz w:val="16"/>
          <w:szCs w:val="16"/>
        </w:rPr>
        <w:t>İlişikteki açıklama ve dipnotlar bu</w:t>
      </w:r>
      <w:r w:rsidR="00A6228C" w:rsidRPr="001F224B">
        <w:rPr>
          <w:bCs/>
          <w:sz w:val="16"/>
          <w:szCs w:val="16"/>
        </w:rPr>
        <w:t xml:space="preserve"> konsolide</w:t>
      </w:r>
      <w:r w:rsidR="00D11895" w:rsidRPr="001F224B">
        <w:rPr>
          <w:bCs/>
          <w:sz w:val="16"/>
          <w:szCs w:val="16"/>
        </w:rPr>
        <w:t xml:space="preserve"> finansal tabloların tamamlayıcı parçalarıdır.</w:t>
      </w:r>
    </w:p>
    <w:tbl>
      <w:tblPr>
        <w:tblW w:w="9764" w:type="dxa"/>
        <w:tblInd w:w="18" w:type="dxa"/>
        <w:tblLayout w:type="fixed"/>
        <w:tblCellMar>
          <w:left w:w="0" w:type="dxa"/>
          <w:right w:w="0" w:type="dxa"/>
        </w:tblCellMar>
        <w:tblLook w:val="0000" w:firstRow="0" w:lastRow="0" w:firstColumn="0" w:lastColumn="0" w:noHBand="0" w:noVBand="0"/>
      </w:tblPr>
      <w:tblGrid>
        <w:gridCol w:w="544"/>
        <w:gridCol w:w="5529"/>
        <w:gridCol w:w="283"/>
        <w:gridCol w:w="1560"/>
        <w:gridCol w:w="1848"/>
      </w:tblGrid>
      <w:tr w:rsidR="0089116F" w:rsidRPr="001F224B" w14:paraId="5D4BCBB2" w14:textId="77777777" w:rsidTr="0089116F">
        <w:trPr>
          <w:trHeight w:val="248"/>
        </w:trPr>
        <w:tc>
          <w:tcPr>
            <w:tcW w:w="6073" w:type="dxa"/>
            <w:gridSpan w:val="2"/>
            <w:tcBorders>
              <w:top w:val="single" w:sz="4" w:space="0" w:color="auto"/>
              <w:left w:val="single" w:sz="4" w:space="0" w:color="auto"/>
            </w:tcBorders>
            <w:shd w:val="clear" w:color="auto" w:fill="auto"/>
            <w:noWrap/>
            <w:tcMar>
              <w:top w:w="18" w:type="dxa"/>
              <w:left w:w="18" w:type="dxa"/>
              <w:bottom w:w="0" w:type="dxa"/>
              <w:right w:w="18" w:type="dxa"/>
            </w:tcMar>
            <w:vAlign w:val="bottom"/>
          </w:tcPr>
          <w:p w14:paraId="4665CA2F" w14:textId="77777777" w:rsidR="0089116F" w:rsidRPr="001F224B" w:rsidRDefault="0089116F" w:rsidP="00264EEA">
            <w:pPr>
              <w:spacing w:line="226" w:lineRule="auto"/>
              <w:rPr>
                <w:rFonts w:eastAsia="Arial Unicode MS"/>
                <w:b/>
                <w:bCs/>
                <w:sz w:val="13"/>
                <w:szCs w:val="13"/>
              </w:rPr>
            </w:pPr>
            <w:bookmarkStart w:id="4" w:name="OLE_LINK8"/>
            <w:r w:rsidRPr="001F224B">
              <w:rPr>
                <w:rFonts w:eastAsia="Arial Unicode MS"/>
                <w:b/>
                <w:bCs/>
                <w:sz w:val="13"/>
                <w:szCs w:val="13"/>
              </w:rPr>
              <w:t>VI.         KONSOLİDE  NAKIT AKIŞ TABLOSU</w:t>
            </w:r>
          </w:p>
        </w:tc>
        <w:tc>
          <w:tcPr>
            <w:tcW w:w="283" w:type="dxa"/>
            <w:tcBorders>
              <w:top w:val="single" w:sz="4" w:space="0" w:color="auto"/>
              <w:left w:val="nil"/>
              <w:bottom w:val="single" w:sz="4" w:space="0" w:color="auto"/>
              <w:right w:val="nil"/>
            </w:tcBorders>
          </w:tcPr>
          <w:p w14:paraId="4A0A4FC1" w14:textId="4A442E19" w:rsidR="0089116F" w:rsidRPr="001F224B" w:rsidRDefault="0089116F" w:rsidP="00264EEA">
            <w:pPr>
              <w:spacing w:line="226" w:lineRule="auto"/>
              <w:ind w:right="-160"/>
              <w:jc w:val="right"/>
              <w:rPr>
                <w:rFonts w:eastAsia="Arial Unicode MS"/>
                <w:b/>
                <w:bCs/>
                <w:sz w:val="13"/>
                <w:szCs w:val="13"/>
              </w:rPr>
            </w:pPr>
          </w:p>
        </w:tc>
        <w:tc>
          <w:tcPr>
            <w:tcW w:w="3408" w:type="dxa"/>
            <w:gridSpan w:val="2"/>
            <w:tcBorders>
              <w:top w:val="single" w:sz="4" w:space="0" w:color="auto"/>
              <w:left w:val="nil"/>
              <w:right w:val="single" w:sz="4" w:space="0" w:color="auto"/>
            </w:tcBorders>
            <w:shd w:val="clear" w:color="auto" w:fill="auto"/>
            <w:noWrap/>
            <w:tcMar>
              <w:top w:w="18" w:type="dxa"/>
              <w:left w:w="18" w:type="dxa"/>
              <w:bottom w:w="0" w:type="dxa"/>
              <w:right w:w="18" w:type="dxa"/>
            </w:tcMar>
            <w:vAlign w:val="bottom"/>
          </w:tcPr>
          <w:p w14:paraId="08A2816C" w14:textId="77777777" w:rsidR="0089116F" w:rsidRPr="001F224B" w:rsidRDefault="0089116F" w:rsidP="00264EEA">
            <w:pPr>
              <w:spacing w:line="226" w:lineRule="auto"/>
              <w:ind w:right="-160"/>
              <w:jc w:val="right"/>
              <w:rPr>
                <w:rFonts w:eastAsia="Arial Unicode MS"/>
                <w:b/>
                <w:bCs/>
                <w:sz w:val="13"/>
                <w:szCs w:val="13"/>
              </w:rPr>
            </w:pPr>
          </w:p>
        </w:tc>
      </w:tr>
      <w:tr w:rsidR="0089116F" w:rsidRPr="001F224B" w14:paraId="3141A3FB" w14:textId="77777777" w:rsidTr="0089116F">
        <w:trPr>
          <w:trHeight w:val="350"/>
        </w:trPr>
        <w:tc>
          <w:tcPr>
            <w:tcW w:w="544" w:type="dxa"/>
            <w:tcBorders>
              <w:top w:val="single" w:sz="4" w:space="0" w:color="auto"/>
              <w:left w:val="single" w:sz="4" w:space="0" w:color="auto"/>
              <w:right w:val="nil"/>
            </w:tcBorders>
            <w:shd w:val="clear" w:color="auto" w:fill="auto"/>
            <w:noWrap/>
            <w:tcMar>
              <w:top w:w="18" w:type="dxa"/>
              <w:left w:w="18" w:type="dxa"/>
              <w:bottom w:w="0" w:type="dxa"/>
              <w:right w:w="18" w:type="dxa"/>
            </w:tcMar>
            <w:vAlign w:val="bottom"/>
          </w:tcPr>
          <w:p w14:paraId="3FD26619" w14:textId="77777777" w:rsidR="0089116F" w:rsidRPr="001F224B" w:rsidRDefault="0089116F" w:rsidP="00A1696E">
            <w:pPr>
              <w:spacing w:line="226" w:lineRule="auto"/>
              <w:rPr>
                <w:rFonts w:eastAsia="Arial Unicode MS"/>
                <w:b/>
                <w:bCs/>
                <w:sz w:val="13"/>
                <w:szCs w:val="13"/>
              </w:rPr>
            </w:pPr>
            <w:r w:rsidRPr="001F224B">
              <w:rPr>
                <w:b/>
                <w:bCs/>
                <w:sz w:val="13"/>
                <w:szCs w:val="13"/>
              </w:rPr>
              <w:t> </w:t>
            </w:r>
            <w:r w:rsidRPr="001F224B">
              <w:rPr>
                <w:sz w:val="13"/>
                <w:szCs w:val="13"/>
              </w:rPr>
              <w:t> </w:t>
            </w:r>
          </w:p>
        </w:tc>
        <w:tc>
          <w:tcPr>
            <w:tcW w:w="5529"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5A39F48" w14:textId="77777777" w:rsidR="0089116F" w:rsidRPr="001F224B" w:rsidRDefault="0089116F" w:rsidP="00A1696E">
            <w:pPr>
              <w:spacing w:line="226" w:lineRule="auto"/>
              <w:rPr>
                <w:rFonts w:eastAsia="Arial Unicode MS"/>
                <w:b/>
                <w:bCs/>
                <w:sz w:val="13"/>
                <w:szCs w:val="13"/>
              </w:rPr>
            </w:pPr>
            <w:r w:rsidRPr="001F224B">
              <w:rPr>
                <w:b/>
                <w:bCs/>
                <w:sz w:val="13"/>
                <w:szCs w:val="13"/>
              </w:rPr>
              <w:t> </w:t>
            </w:r>
          </w:p>
        </w:tc>
        <w:tc>
          <w:tcPr>
            <w:tcW w:w="1843" w:type="dxa"/>
            <w:gridSpan w:val="2"/>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479863F9" w14:textId="29439A88" w:rsidR="0089116F" w:rsidRPr="001F224B" w:rsidRDefault="0089116F" w:rsidP="00A1696E">
            <w:pPr>
              <w:ind w:right="-73"/>
              <w:jc w:val="center"/>
              <w:rPr>
                <w:b/>
                <w:sz w:val="13"/>
                <w:szCs w:val="13"/>
              </w:rPr>
            </w:pPr>
            <w:r w:rsidRPr="001F224B">
              <w:rPr>
                <w:b/>
                <w:sz w:val="13"/>
                <w:szCs w:val="13"/>
              </w:rPr>
              <w:t>Sınırlı Denetimden Geçmiş</w:t>
            </w:r>
          </w:p>
          <w:p w14:paraId="4B94A753" w14:textId="77777777" w:rsidR="0089116F" w:rsidRPr="001F224B" w:rsidRDefault="0089116F" w:rsidP="00A1696E">
            <w:pPr>
              <w:ind w:right="-73"/>
              <w:jc w:val="center"/>
              <w:rPr>
                <w:rFonts w:eastAsia="Arial Unicode MS"/>
                <w:b/>
                <w:bCs/>
                <w:sz w:val="13"/>
                <w:szCs w:val="13"/>
              </w:rPr>
            </w:pPr>
            <w:r w:rsidRPr="001F224B">
              <w:rPr>
                <w:b/>
                <w:sz w:val="13"/>
                <w:szCs w:val="13"/>
              </w:rPr>
              <w:t>Cari Dönem</w:t>
            </w:r>
          </w:p>
          <w:p w14:paraId="20E3E99B" w14:textId="29052401" w:rsidR="0089116F" w:rsidRPr="001F224B" w:rsidRDefault="0089116F" w:rsidP="00A1696E">
            <w:pPr>
              <w:ind w:right="-73"/>
              <w:jc w:val="center"/>
              <w:rPr>
                <w:rFonts w:eastAsia="Arial Unicode MS"/>
                <w:b/>
                <w:bCs/>
                <w:sz w:val="13"/>
                <w:szCs w:val="13"/>
              </w:rPr>
            </w:pPr>
            <w:r w:rsidRPr="001F224B">
              <w:rPr>
                <w:b/>
                <w:sz w:val="13"/>
                <w:szCs w:val="13"/>
              </w:rPr>
              <w:t>1 Ocak-3</w:t>
            </w:r>
            <w:r w:rsidR="00D7505B" w:rsidRPr="001F224B">
              <w:rPr>
                <w:b/>
                <w:sz w:val="13"/>
                <w:szCs w:val="13"/>
              </w:rPr>
              <w:t>0 Haziran</w:t>
            </w:r>
            <w:r w:rsidRPr="001F224B">
              <w:rPr>
                <w:b/>
                <w:sz w:val="13"/>
                <w:szCs w:val="13"/>
              </w:rPr>
              <w:t xml:space="preserve"> 2025</w:t>
            </w:r>
          </w:p>
        </w:tc>
        <w:tc>
          <w:tcPr>
            <w:tcW w:w="1848" w:type="dxa"/>
            <w:tcBorders>
              <w:top w:val="single" w:sz="4" w:space="0" w:color="auto"/>
              <w:left w:val="single" w:sz="4" w:space="0" w:color="auto"/>
              <w:right w:val="single" w:sz="4" w:space="0" w:color="auto"/>
            </w:tcBorders>
            <w:shd w:val="clear" w:color="auto" w:fill="auto"/>
            <w:vAlign w:val="bottom"/>
          </w:tcPr>
          <w:p w14:paraId="667C34DC" w14:textId="2251720D" w:rsidR="0089116F" w:rsidRPr="001F224B" w:rsidRDefault="0089116F" w:rsidP="00A1696E">
            <w:pPr>
              <w:ind w:right="-73"/>
              <w:jc w:val="center"/>
              <w:rPr>
                <w:b/>
                <w:sz w:val="13"/>
                <w:szCs w:val="13"/>
              </w:rPr>
            </w:pPr>
            <w:r w:rsidRPr="001F224B">
              <w:rPr>
                <w:b/>
                <w:sz w:val="13"/>
                <w:szCs w:val="13"/>
              </w:rPr>
              <w:t>Sınırlı Denetimden Geçmiş</w:t>
            </w:r>
          </w:p>
          <w:p w14:paraId="4604C2CC" w14:textId="77777777" w:rsidR="0089116F" w:rsidRPr="001F224B" w:rsidRDefault="0089116F" w:rsidP="00A1696E">
            <w:pPr>
              <w:ind w:right="-73"/>
              <w:jc w:val="center"/>
              <w:rPr>
                <w:rFonts w:eastAsia="Arial Unicode MS"/>
                <w:b/>
                <w:bCs/>
                <w:sz w:val="13"/>
                <w:szCs w:val="13"/>
              </w:rPr>
            </w:pPr>
            <w:r w:rsidRPr="001F224B">
              <w:rPr>
                <w:b/>
                <w:sz w:val="13"/>
                <w:szCs w:val="13"/>
              </w:rPr>
              <w:t>Önceki Dönem</w:t>
            </w:r>
          </w:p>
          <w:p w14:paraId="7211D5BD" w14:textId="3F779C27" w:rsidR="0089116F" w:rsidRPr="001F224B" w:rsidRDefault="0089116F" w:rsidP="00A1696E">
            <w:pPr>
              <w:ind w:right="-73"/>
              <w:jc w:val="center"/>
              <w:rPr>
                <w:b/>
                <w:sz w:val="13"/>
                <w:szCs w:val="13"/>
              </w:rPr>
            </w:pPr>
            <w:r w:rsidRPr="001F224B">
              <w:rPr>
                <w:b/>
                <w:sz w:val="13"/>
                <w:szCs w:val="13"/>
              </w:rPr>
              <w:t>1 Ocak-3</w:t>
            </w:r>
            <w:r w:rsidR="00D7505B" w:rsidRPr="001F224B">
              <w:rPr>
                <w:b/>
                <w:sz w:val="13"/>
                <w:szCs w:val="13"/>
              </w:rPr>
              <w:t>0</w:t>
            </w:r>
            <w:r w:rsidRPr="001F224B">
              <w:rPr>
                <w:b/>
                <w:sz w:val="13"/>
                <w:szCs w:val="13"/>
              </w:rPr>
              <w:t xml:space="preserve"> </w:t>
            </w:r>
            <w:r w:rsidR="00D7505B" w:rsidRPr="001F224B">
              <w:rPr>
                <w:b/>
                <w:sz w:val="13"/>
                <w:szCs w:val="13"/>
              </w:rPr>
              <w:t>Haziran</w:t>
            </w:r>
            <w:r w:rsidRPr="001F224B">
              <w:rPr>
                <w:b/>
                <w:sz w:val="13"/>
                <w:szCs w:val="13"/>
              </w:rPr>
              <w:t xml:space="preserve"> 2024</w:t>
            </w:r>
          </w:p>
        </w:tc>
      </w:tr>
      <w:tr w:rsidR="0089116F" w:rsidRPr="001F224B" w14:paraId="266D33CF" w14:textId="77777777" w:rsidTr="0089116F">
        <w:trPr>
          <w:trHeight w:val="72"/>
        </w:trPr>
        <w:tc>
          <w:tcPr>
            <w:tcW w:w="544" w:type="dxa"/>
            <w:tcBorders>
              <w:top w:val="single" w:sz="4" w:space="0" w:color="auto"/>
              <w:left w:val="single" w:sz="4" w:space="0" w:color="auto"/>
            </w:tcBorders>
            <w:shd w:val="clear" w:color="auto" w:fill="auto"/>
            <w:noWrap/>
            <w:tcMar>
              <w:top w:w="18" w:type="dxa"/>
              <w:left w:w="18" w:type="dxa"/>
              <w:bottom w:w="0" w:type="dxa"/>
              <w:right w:w="18" w:type="dxa"/>
            </w:tcMar>
            <w:vAlign w:val="bottom"/>
          </w:tcPr>
          <w:p w14:paraId="3E3C9273" w14:textId="77777777" w:rsidR="0089116F" w:rsidRPr="001F224B" w:rsidRDefault="0089116F" w:rsidP="00A1696E">
            <w:pPr>
              <w:spacing w:line="226" w:lineRule="auto"/>
              <w:rPr>
                <w:rFonts w:eastAsia="Arial Unicode MS"/>
                <w:b/>
                <w:bCs/>
                <w:sz w:val="13"/>
                <w:szCs w:val="13"/>
              </w:rPr>
            </w:pPr>
          </w:p>
        </w:tc>
        <w:tc>
          <w:tcPr>
            <w:tcW w:w="5529" w:type="dxa"/>
            <w:tcBorders>
              <w:top w:val="single" w:sz="4" w:space="0" w:color="auto"/>
              <w:right w:val="single" w:sz="4" w:space="0" w:color="auto"/>
            </w:tcBorders>
            <w:shd w:val="clear" w:color="auto" w:fill="auto"/>
            <w:noWrap/>
            <w:tcMar>
              <w:top w:w="18" w:type="dxa"/>
              <w:left w:w="18" w:type="dxa"/>
              <w:bottom w:w="0" w:type="dxa"/>
              <w:right w:w="18" w:type="dxa"/>
            </w:tcMar>
            <w:vAlign w:val="bottom"/>
          </w:tcPr>
          <w:p w14:paraId="34CB1D72" w14:textId="77777777" w:rsidR="0089116F" w:rsidRPr="001F224B" w:rsidRDefault="0089116F" w:rsidP="00A1696E">
            <w:pPr>
              <w:spacing w:line="226" w:lineRule="auto"/>
              <w:rPr>
                <w:rFonts w:eastAsia="Arial Unicode MS"/>
                <w:b/>
                <w:bCs/>
                <w:sz w:val="13"/>
                <w:szCs w:val="13"/>
              </w:rPr>
            </w:pPr>
          </w:p>
        </w:tc>
        <w:tc>
          <w:tcPr>
            <w:tcW w:w="1843" w:type="dxa"/>
            <w:gridSpan w:val="2"/>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6F3565D1" w14:textId="10B052CE" w:rsidR="0089116F" w:rsidRPr="001F224B" w:rsidRDefault="0089116F" w:rsidP="00A1696E">
            <w:pPr>
              <w:spacing w:line="226" w:lineRule="auto"/>
              <w:jc w:val="right"/>
              <w:rPr>
                <w:rFonts w:eastAsia="Arial Unicode MS"/>
                <w:sz w:val="13"/>
                <w:szCs w:val="13"/>
              </w:rPr>
            </w:pPr>
          </w:p>
        </w:tc>
        <w:tc>
          <w:tcPr>
            <w:tcW w:w="1848" w:type="dxa"/>
            <w:tcBorders>
              <w:top w:val="single" w:sz="4" w:space="0" w:color="auto"/>
              <w:left w:val="single" w:sz="4" w:space="0" w:color="auto"/>
              <w:right w:val="single" w:sz="4" w:space="0" w:color="auto"/>
            </w:tcBorders>
            <w:shd w:val="clear" w:color="auto" w:fill="auto"/>
          </w:tcPr>
          <w:p w14:paraId="6E900719" w14:textId="77777777" w:rsidR="0089116F" w:rsidRPr="001F224B" w:rsidRDefault="0089116F" w:rsidP="00A1696E">
            <w:pPr>
              <w:spacing w:line="226" w:lineRule="auto"/>
              <w:jc w:val="right"/>
              <w:rPr>
                <w:rFonts w:eastAsia="Arial Unicode MS"/>
                <w:sz w:val="13"/>
                <w:szCs w:val="13"/>
              </w:rPr>
            </w:pPr>
          </w:p>
        </w:tc>
      </w:tr>
      <w:tr w:rsidR="0089116F" w:rsidRPr="001F224B" w14:paraId="687FC605"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tcPr>
          <w:p w14:paraId="46694B10" w14:textId="77777777" w:rsidR="0089116F" w:rsidRPr="001F224B" w:rsidRDefault="0089116F" w:rsidP="00A1696E">
            <w:pPr>
              <w:spacing w:line="226" w:lineRule="auto"/>
              <w:rPr>
                <w:rFonts w:eastAsia="Arial Unicode MS"/>
                <w:b/>
                <w:bCs/>
                <w:sz w:val="13"/>
                <w:szCs w:val="13"/>
              </w:rPr>
            </w:pPr>
            <w:r w:rsidRPr="001F224B">
              <w:rPr>
                <w:rFonts w:eastAsia="Arial Unicode MS"/>
                <w:b/>
                <w:bCs/>
                <w:sz w:val="13"/>
                <w:szCs w:val="13"/>
              </w:rPr>
              <w:t>A.</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0718DDC" w14:textId="77777777" w:rsidR="0089116F" w:rsidRPr="001F224B" w:rsidRDefault="0089116F" w:rsidP="00A1696E">
            <w:pPr>
              <w:spacing w:line="226" w:lineRule="auto"/>
              <w:rPr>
                <w:b/>
                <w:bCs/>
                <w:sz w:val="13"/>
                <w:szCs w:val="13"/>
              </w:rPr>
            </w:pPr>
            <w:r w:rsidRPr="001F224B">
              <w:rPr>
                <w:rFonts w:eastAsia="Arial Unicode MS"/>
                <w:b/>
                <w:bCs/>
                <w:sz w:val="13"/>
                <w:szCs w:val="13"/>
              </w:rPr>
              <w:t>BANKACILIK FAALİYETLERİNE İLİŞKİN NAKİT AKIMLARI</w:t>
            </w:r>
          </w:p>
        </w:tc>
        <w:tc>
          <w:tcPr>
            <w:tcW w:w="1843" w:type="dxa"/>
            <w:gridSpan w:val="2"/>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F5C2417" w14:textId="64CA2F4C" w:rsidR="0089116F" w:rsidRPr="001F224B" w:rsidRDefault="0089116F" w:rsidP="00A1696E">
            <w:pPr>
              <w:jc w:val="right"/>
              <w:rPr>
                <w:bCs/>
                <w:sz w:val="13"/>
                <w:szCs w:val="13"/>
              </w:rPr>
            </w:pPr>
          </w:p>
        </w:tc>
        <w:tc>
          <w:tcPr>
            <w:tcW w:w="1848" w:type="dxa"/>
            <w:tcBorders>
              <w:left w:val="single" w:sz="4" w:space="0" w:color="auto"/>
              <w:right w:val="single" w:sz="4" w:space="0" w:color="auto"/>
            </w:tcBorders>
            <w:shd w:val="clear" w:color="auto" w:fill="auto"/>
          </w:tcPr>
          <w:p w14:paraId="7CE140CC" w14:textId="77777777" w:rsidR="0089116F" w:rsidRPr="001F224B" w:rsidRDefault="0089116F" w:rsidP="00A1696E">
            <w:pPr>
              <w:jc w:val="right"/>
              <w:rPr>
                <w:bCs/>
                <w:sz w:val="13"/>
                <w:szCs w:val="13"/>
              </w:rPr>
            </w:pPr>
          </w:p>
        </w:tc>
      </w:tr>
      <w:tr w:rsidR="0089116F" w:rsidRPr="001F224B" w14:paraId="61A263C7"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tcPr>
          <w:p w14:paraId="08DCAE06" w14:textId="77777777" w:rsidR="0089116F" w:rsidRPr="001F224B" w:rsidRDefault="0089116F" w:rsidP="00A1696E">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50CC77E" w14:textId="77777777" w:rsidR="0089116F" w:rsidRPr="001F224B" w:rsidRDefault="0089116F" w:rsidP="00A1696E">
            <w:pPr>
              <w:spacing w:line="226" w:lineRule="auto"/>
              <w:rPr>
                <w:rFonts w:eastAsia="Arial Unicode MS"/>
                <w:bCs/>
                <w:sz w:val="13"/>
                <w:szCs w:val="13"/>
              </w:rPr>
            </w:pPr>
          </w:p>
        </w:tc>
        <w:tc>
          <w:tcPr>
            <w:tcW w:w="1843" w:type="dxa"/>
            <w:gridSpan w:val="2"/>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64DDFCD" w14:textId="04D0B8ED" w:rsidR="0089116F" w:rsidRPr="001F224B" w:rsidRDefault="0089116F" w:rsidP="00A1696E">
            <w:pPr>
              <w:jc w:val="right"/>
              <w:rPr>
                <w:bCs/>
                <w:sz w:val="13"/>
                <w:szCs w:val="13"/>
              </w:rPr>
            </w:pPr>
          </w:p>
        </w:tc>
        <w:tc>
          <w:tcPr>
            <w:tcW w:w="1848" w:type="dxa"/>
            <w:tcBorders>
              <w:left w:val="single" w:sz="4" w:space="0" w:color="auto"/>
              <w:right w:val="single" w:sz="4" w:space="0" w:color="auto"/>
            </w:tcBorders>
            <w:shd w:val="clear" w:color="auto" w:fill="auto"/>
          </w:tcPr>
          <w:p w14:paraId="148F89B3" w14:textId="77777777" w:rsidR="0089116F" w:rsidRPr="001F224B" w:rsidRDefault="0089116F" w:rsidP="00A1696E">
            <w:pPr>
              <w:jc w:val="right"/>
              <w:rPr>
                <w:bCs/>
                <w:sz w:val="13"/>
                <w:szCs w:val="13"/>
              </w:rPr>
            </w:pPr>
          </w:p>
        </w:tc>
      </w:tr>
      <w:tr w:rsidR="00D7505B" w:rsidRPr="001F224B" w14:paraId="2429453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DDABBA3" w14:textId="77777777" w:rsidR="00D7505B" w:rsidRPr="001F224B" w:rsidRDefault="00D7505B" w:rsidP="00D7505B">
            <w:pPr>
              <w:spacing w:line="226" w:lineRule="auto"/>
              <w:rPr>
                <w:rFonts w:eastAsia="Arial Unicode MS"/>
                <w:b/>
                <w:bCs/>
                <w:sz w:val="13"/>
                <w:szCs w:val="13"/>
              </w:rPr>
            </w:pPr>
            <w:r w:rsidRPr="001F224B">
              <w:rPr>
                <w:rFonts w:eastAsia="Arial Unicode MS"/>
                <w:b/>
                <w:sz w:val="13"/>
                <w:szCs w:val="13"/>
              </w:rPr>
              <w:t>1.1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B5D16BC" w14:textId="77777777" w:rsidR="00D7505B" w:rsidRPr="001F224B" w:rsidRDefault="00D7505B" w:rsidP="00D7505B">
            <w:pPr>
              <w:spacing w:line="226" w:lineRule="auto"/>
              <w:rPr>
                <w:rFonts w:eastAsia="Arial Unicode MS"/>
                <w:b/>
                <w:bCs/>
                <w:sz w:val="13"/>
                <w:szCs w:val="13"/>
              </w:rPr>
            </w:pPr>
            <w:r w:rsidRPr="001F224B">
              <w:rPr>
                <w:rFonts w:eastAsia="Arial Unicode MS"/>
                <w:b/>
                <w:sz w:val="13"/>
                <w:szCs w:val="13"/>
              </w:rPr>
              <w:t>Bankacılık Faaliyet Konusu Varlık ve Yükümlülüklerdeki Değişim Öncesi Faaliyet Karı</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3DFED0" w14:textId="5AC6D72E" w:rsidR="00D7505B" w:rsidRPr="001F224B" w:rsidRDefault="00191988" w:rsidP="00D7505B">
            <w:pPr>
              <w:jc w:val="right"/>
              <w:rPr>
                <w:b/>
                <w:bCs/>
                <w:sz w:val="13"/>
                <w:szCs w:val="13"/>
              </w:rPr>
            </w:pPr>
            <w:r w:rsidRPr="001F224B">
              <w:rPr>
                <w:b/>
                <w:bCs/>
                <w:sz w:val="13"/>
                <w:szCs w:val="13"/>
              </w:rPr>
              <w:t>2.500.255</w:t>
            </w:r>
          </w:p>
        </w:tc>
        <w:tc>
          <w:tcPr>
            <w:tcW w:w="1848" w:type="dxa"/>
            <w:tcBorders>
              <w:top w:val="nil"/>
              <w:left w:val="single" w:sz="4" w:space="0" w:color="auto"/>
              <w:bottom w:val="nil"/>
              <w:right w:val="single" w:sz="4" w:space="0" w:color="auto"/>
            </w:tcBorders>
          </w:tcPr>
          <w:p w14:paraId="4E656D91" w14:textId="5EF3FA18" w:rsidR="00D7505B" w:rsidRPr="001F224B" w:rsidRDefault="00D7505B" w:rsidP="00D7505B">
            <w:pPr>
              <w:jc w:val="right"/>
              <w:rPr>
                <w:b/>
                <w:bCs/>
                <w:sz w:val="13"/>
                <w:szCs w:val="13"/>
              </w:rPr>
            </w:pPr>
            <w:r w:rsidRPr="001F224B">
              <w:rPr>
                <w:b/>
                <w:bCs/>
                <w:sz w:val="13"/>
                <w:szCs w:val="13"/>
              </w:rPr>
              <w:t>3.659.293</w:t>
            </w:r>
          </w:p>
        </w:tc>
      </w:tr>
      <w:tr w:rsidR="00D7505B" w:rsidRPr="001F224B" w14:paraId="66DA9EB7"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E5049C2" w14:textId="77777777" w:rsidR="00D7505B" w:rsidRPr="001F224B" w:rsidRDefault="00D7505B" w:rsidP="00D7505B">
            <w:pPr>
              <w:spacing w:line="226" w:lineRule="auto"/>
              <w:rPr>
                <w:sz w:val="13"/>
                <w:szCs w:val="13"/>
              </w:rPr>
            </w:pPr>
            <w:r w:rsidRPr="001F224B">
              <w:rPr>
                <w:sz w:val="13"/>
                <w:szCs w:val="13"/>
              </w:rPr>
              <w:t> </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92A72F7" w14:textId="77777777" w:rsidR="00D7505B" w:rsidRPr="001F224B" w:rsidRDefault="00D7505B" w:rsidP="00D7505B">
            <w:pPr>
              <w:spacing w:line="226" w:lineRule="auto"/>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C893F40" w14:textId="2F46E36C"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384C6C11" w14:textId="50CE4A1A" w:rsidR="00D7505B" w:rsidRPr="001F224B" w:rsidRDefault="00D7505B" w:rsidP="00D7505B">
            <w:pPr>
              <w:jc w:val="right"/>
              <w:rPr>
                <w:b/>
                <w:bCs/>
                <w:sz w:val="13"/>
                <w:szCs w:val="13"/>
              </w:rPr>
            </w:pPr>
          </w:p>
        </w:tc>
      </w:tr>
      <w:tr w:rsidR="009C600D" w:rsidRPr="001F224B" w14:paraId="4429E3B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C07CAD0"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1FC82D4" w14:textId="77777777" w:rsidR="009C600D" w:rsidRPr="001F224B" w:rsidRDefault="009C600D" w:rsidP="009C600D">
            <w:pPr>
              <w:rPr>
                <w:rFonts w:eastAsia="Arial Unicode MS"/>
                <w:sz w:val="13"/>
                <w:szCs w:val="13"/>
              </w:rPr>
            </w:pPr>
            <w:r w:rsidRPr="001F224B">
              <w:rPr>
                <w:rFonts w:eastAsia="Arial Unicode MS"/>
                <w:sz w:val="13"/>
                <w:szCs w:val="13"/>
              </w:rPr>
              <w:t xml:space="preserve">Alınan Faizler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F33BCD5" w14:textId="67C7FB48" w:rsidR="009C600D" w:rsidRPr="001F224B" w:rsidRDefault="009C600D" w:rsidP="009C600D">
            <w:pPr>
              <w:jc w:val="right"/>
              <w:rPr>
                <w:sz w:val="13"/>
                <w:szCs w:val="13"/>
              </w:rPr>
            </w:pPr>
            <w:r w:rsidRPr="001F224B">
              <w:rPr>
                <w:sz w:val="13"/>
                <w:szCs w:val="13"/>
              </w:rPr>
              <w:t>11.387.153</w:t>
            </w:r>
          </w:p>
        </w:tc>
        <w:tc>
          <w:tcPr>
            <w:tcW w:w="1848" w:type="dxa"/>
            <w:tcBorders>
              <w:top w:val="nil"/>
              <w:left w:val="single" w:sz="4" w:space="0" w:color="auto"/>
              <w:bottom w:val="nil"/>
              <w:right w:val="single" w:sz="4" w:space="0" w:color="auto"/>
            </w:tcBorders>
          </w:tcPr>
          <w:p w14:paraId="0EE00B9B" w14:textId="6271900F" w:rsidR="009C600D" w:rsidRPr="001F224B" w:rsidRDefault="009C600D" w:rsidP="009C600D">
            <w:pPr>
              <w:jc w:val="right"/>
              <w:rPr>
                <w:bCs/>
                <w:sz w:val="13"/>
                <w:szCs w:val="13"/>
              </w:rPr>
            </w:pPr>
            <w:r w:rsidRPr="001F224B">
              <w:rPr>
                <w:sz w:val="13"/>
                <w:szCs w:val="13"/>
              </w:rPr>
              <w:t>11.193.889</w:t>
            </w:r>
          </w:p>
        </w:tc>
      </w:tr>
      <w:tr w:rsidR="009C600D" w:rsidRPr="001F224B" w14:paraId="03582790"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611DC58"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63ECEEC" w14:textId="77777777" w:rsidR="009C600D" w:rsidRPr="001F224B" w:rsidRDefault="009C600D" w:rsidP="009C600D">
            <w:pPr>
              <w:rPr>
                <w:rFonts w:eastAsia="Arial Unicode MS"/>
                <w:sz w:val="13"/>
                <w:szCs w:val="13"/>
              </w:rPr>
            </w:pPr>
            <w:r w:rsidRPr="001F224B">
              <w:rPr>
                <w:rFonts w:eastAsia="Arial Unicode MS"/>
                <w:sz w:val="13"/>
                <w:szCs w:val="13"/>
              </w:rPr>
              <w:t>Ödenen Faizler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294FAFD" w14:textId="53AF07E8" w:rsidR="009C600D" w:rsidRPr="001F224B" w:rsidRDefault="009C600D" w:rsidP="009C600D">
            <w:pPr>
              <w:jc w:val="right"/>
              <w:rPr>
                <w:sz w:val="13"/>
                <w:szCs w:val="13"/>
              </w:rPr>
            </w:pPr>
            <w:r w:rsidRPr="001F224B">
              <w:rPr>
                <w:sz w:val="13"/>
                <w:szCs w:val="13"/>
              </w:rPr>
              <w:t>(6.133.626)</w:t>
            </w:r>
          </w:p>
        </w:tc>
        <w:tc>
          <w:tcPr>
            <w:tcW w:w="1848" w:type="dxa"/>
            <w:tcBorders>
              <w:top w:val="nil"/>
              <w:left w:val="single" w:sz="4" w:space="0" w:color="auto"/>
              <w:bottom w:val="nil"/>
              <w:right w:val="single" w:sz="4" w:space="0" w:color="auto"/>
            </w:tcBorders>
          </w:tcPr>
          <w:p w14:paraId="586DB225" w14:textId="422E11C0" w:rsidR="009C600D" w:rsidRPr="001F224B" w:rsidRDefault="009C600D" w:rsidP="009C600D">
            <w:pPr>
              <w:jc w:val="right"/>
              <w:rPr>
                <w:bCs/>
                <w:sz w:val="13"/>
                <w:szCs w:val="13"/>
              </w:rPr>
            </w:pPr>
            <w:r w:rsidRPr="001F224B">
              <w:rPr>
                <w:sz w:val="13"/>
                <w:szCs w:val="13"/>
              </w:rPr>
              <w:t>(5.864.178)</w:t>
            </w:r>
          </w:p>
        </w:tc>
      </w:tr>
      <w:tr w:rsidR="009C600D" w:rsidRPr="001F224B" w14:paraId="6D77A85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7F264ED"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916B8FB" w14:textId="77777777" w:rsidR="009C600D" w:rsidRPr="001F224B" w:rsidRDefault="009C600D" w:rsidP="009C600D">
            <w:pPr>
              <w:rPr>
                <w:rFonts w:eastAsia="Arial Unicode MS"/>
                <w:sz w:val="13"/>
                <w:szCs w:val="13"/>
              </w:rPr>
            </w:pPr>
            <w:r w:rsidRPr="001F224B">
              <w:rPr>
                <w:rFonts w:eastAsia="Arial Unicode MS"/>
                <w:sz w:val="13"/>
                <w:szCs w:val="13"/>
              </w:rPr>
              <w:t>Alınan Temettüler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C349B4" w14:textId="0190B0ED" w:rsidR="009C600D" w:rsidRPr="001F224B" w:rsidRDefault="009C600D" w:rsidP="009C600D">
            <w:pPr>
              <w:jc w:val="right"/>
              <w:rPr>
                <w:sz w:val="13"/>
                <w:szCs w:val="13"/>
              </w:rPr>
            </w:pPr>
            <w:r w:rsidRPr="001F224B">
              <w:rPr>
                <w:sz w:val="13"/>
                <w:szCs w:val="13"/>
              </w:rPr>
              <w:t>47.636</w:t>
            </w:r>
          </w:p>
        </w:tc>
        <w:tc>
          <w:tcPr>
            <w:tcW w:w="1848" w:type="dxa"/>
            <w:tcBorders>
              <w:top w:val="nil"/>
              <w:left w:val="single" w:sz="4" w:space="0" w:color="auto"/>
              <w:bottom w:val="nil"/>
              <w:right w:val="single" w:sz="4" w:space="0" w:color="auto"/>
            </w:tcBorders>
          </w:tcPr>
          <w:p w14:paraId="79EF5408" w14:textId="4DF675A4" w:rsidR="009C600D" w:rsidRPr="001F224B" w:rsidRDefault="009C600D" w:rsidP="009C600D">
            <w:pPr>
              <w:jc w:val="right"/>
              <w:rPr>
                <w:bCs/>
                <w:sz w:val="13"/>
                <w:szCs w:val="13"/>
              </w:rPr>
            </w:pPr>
            <w:r w:rsidRPr="001F224B">
              <w:rPr>
                <w:sz w:val="13"/>
                <w:szCs w:val="13"/>
              </w:rPr>
              <w:t>7.204</w:t>
            </w:r>
          </w:p>
        </w:tc>
      </w:tr>
      <w:tr w:rsidR="009C600D" w:rsidRPr="001F224B" w14:paraId="0A934C0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2823879"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8BD4136" w14:textId="77777777" w:rsidR="009C600D" w:rsidRPr="001F224B" w:rsidRDefault="009C600D" w:rsidP="009C600D">
            <w:pPr>
              <w:rPr>
                <w:rFonts w:eastAsia="Arial Unicode MS"/>
                <w:sz w:val="13"/>
                <w:szCs w:val="13"/>
              </w:rPr>
            </w:pPr>
            <w:r w:rsidRPr="001F224B">
              <w:rPr>
                <w:rFonts w:eastAsia="Arial Unicode MS"/>
                <w:sz w:val="13"/>
                <w:szCs w:val="13"/>
              </w:rPr>
              <w:t>Alınan Ücret ve Komisyonlar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7BAADB" w14:textId="0C1D2CB4" w:rsidR="009C600D" w:rsidRPr="001F224B" w:rsidRDefault="00191988" w:rsidP="009C600D">
            <w:pPr>
              <w:jc w:val="right"/>
              <w:rPr>
                <w:sz w:val="13"/>
                <w:szCs w:val="13"/>
              </w:rPr>
            </w:pPr>
            <w:r w:rsidRPr="001F224B">
              <w:rPr>
                <w:sz w:val="13"/>
                <w:szCs w:val="13"/>
              </w:rPr>
              <w:t>171.340</w:t>
            </w:r>
          </w:p>
        </w:tc>
        <w:tc>
          <w:tcPr>
            <w:tcW w:w="1848" w:type="dxa"/>
            <w:tcBorders>
              <w:top w:val="nil"/>
              <w:left w:val="single" w:sz="4" w:space="0" w:color="auto"/>
              <w:bottom w:val="nil"/>
              <w:right w:val="single" w:sz="4" w:space="0" w:color="auto"/>
            </w:tcBorders>
          </w:tcPr>
          <w:p w14:paraId="16565F50" w14:textId="7B30D744" w:rsidR="009C600D" w:rsidRPr="001F224B" w:rsidRDefault="009C600D" w:rsidP="009C600D">
            <w:pPr>
              <w:jc w:val="right"/>
              <w:rPr>
                <w:bCs/>
                <w:sz w:val="13"/>
                <w:szCs w:val="13"/>
              </w:rPr>
            </w:pPr>
            <w:r w:rsidRPr="001F224B">
              <w:rPr>
                <w:sz w:val="13"/>
                <w:szCs w:val="13"/>
              </w:rPr>
              <w:t>107.430</w:t>
            </w:r>
          </w:p>
        </w:tc>
      </w:tr>
      <w:tr w:rsidR="009C600D" w:rsidRPr="001F224B" w14:paraId="4DE77A2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FD8FC84"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25C2879" w14:textId="77777777" w:rsidR="009C600D" w:rsidRPr="001F224B" w:rsidRDefault="009C600D" w:rsidP="009C600D">
            <w:pPr>
              <w:rPr>
                <w:rFonts w:eastAsia="Arial Unicode MS"/>
                <w:sz w:val="13"/>
                <w:szCs w:val="13"/>
              </w:rPr>
            </w:pPr>
            <w:r w:rsidRPr="001F224B">
              <w:rPr>
                <w:rFonts w:eastAsia="Arial Unicode MS"/>
                <w:sz w:val="13"/>
                <w:szCs w:val="13"/>
              </w:rPr>
              <w:t>Elde Edilen Diğer Kazançlar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4897F9A" w14:textId="3B5B159F" w:rsidR="009C600D" w:rsidRPr="001F224B" w:rsidRDefault="009C600D" w:rsidP="009C600D">
            <w:pPr>
              <w:jc w:val="right"/>
              <w:rPr>
                <w:sz w:val="13"/>
                <w:szCs w:val="13"/>
              </w:rPr>
            </w:pPr>
            <w:r w:rsidRPr="001F224B">
              <w:rPr>
                <w:sz w:val="13"/>
                <w:szCs w:val="13"/>
              </w:rPr>
              <w:t>4.107</w:t>
            </w:r>
          </w:p>
        </w:tc>
        <w:tc>
          <w:tcPr>
            <w:tcW w:w="1848" w:type="dxa"/>
            <w:tcBorders>
              <w:top w:val="nil"/>
              <w:left w:val="single" w:sz="4" w:space="0" w:color="auto"/>
              <w:bottom w:val="nil"/>
              <w:right w:val="single" w:sz="4" w:space="0" w:color="auto"/>
            </w:tcBorders>
          </w:tcPr>
          <w:p w14:paraId="19F10207" w14:textId="125D4827" w:rsidR="009C600D" w:rsidRPr="001F224B" w:rsidRDefault="009C600D" w:rsidP="009C600D">
            <w:pPr>
              <w:jc w:val="right"/>
              <w:rPr>
                <w:bCs/>
                <w:sz w:val="13"/>
                <w:szCs w:val="13"/>
              </w:rPr>
            </w:pPr>
            <w:r w:rsidRPr="001F224B">
              <w:rPr>
                <w:sz w:val="13"/>
                <w:szCs w:val="13"/>
              </w:rPr>
              <w:t>1.915</w:t>
            </w:r>
          </w:p>
        </w:tc>
      </w:tr>
      <w:tr w:rsidR="009C600D" w:rsidRPr="001F224B" w14:paraId="3F761D7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446A33B"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4F0DF94" w14:textId="77777777" w:rsidR="009C600D" w:rsidRPr="001F224B" w:rsidRDefault="009C600D" w:rsidP="009C600D">
            <w:pPr>
              <w:rPr>
                <w:rFonts w:eastAsia="Arial Unicode MS"/>
                <w:sz w:val="13"/>
                <w:szCs w:val="13"/>
              </w:rPr>
            </w:pPr>
            <w:r w:rsidRPr="001F224B">
              <w:rPr>
                <w:rFonts w:eastAsia="Arial Unicode MS"/>
                <w:sz w:val="13"/>
                <w:szCs w:val="13"/>
              </w:rPr>
              <w:t>Zarar Olarak Muhasebeleştirilen Donuk Alacaklardan Tahsilatlar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7BE261B" w14:textId="6D431A73" w:rsidR="009C600D" w:rsidRPr="001F224B" w:rsidRDefault="009C600D" w:rsidP="009C600D">
            <w:pPr>
              <w:jc w:val="right"/>
              <w:rPr>
                <w:sz w:val="13"/>
                <w:szCs w:val="13"/>
              </w:rPr>
            </w:pPr>
            <w:r w:rsidRPr="001F224B">
              <w:rPr>
                <w:sz w:val="13"/>
                <w:szCs w:val="13"/>
              </w:rPr>
              <w:t>121.601</w:t>
            </w:r>
          </w:p>
        </w:tc>
        <w:tc>
          <w:tcPr>
            <w:tcW w:w="1848" w:type="dxa"/>
            <w:tcBorders>
              <w:top w:val="nil"/>
              <w:left w:val="single" w:sz="4" w:space="0" w:color="auto"/>
              <w:bottom w:val="nil"/>
              <w:right w:val="single" w:sz="4" w:space="0" w:color="auto"/>
            </w:tcBorders>
          </w:tcPr>
          <w:p w14:paraId="24C89E85" w14:textId="33E3A75D" w:rsidR="009C600D" w:rsidRPr="001F224B" w:rsidRDefault="009C600D" w:rsidP="009C600D">
            <w:pPr>
              <w:jc w:val="right"/>
              <w:rPr>
                <w:bCs/>
                <w:sz w:val="13"/>
                <w:szCs w:val="13"/>
              </w:rPr>
            </w:pPr>
            <w:r w:rsidRPr="001F224B">
              <w:rPr>
                <w:sz w:val="13"/>
                <w:szCs w:val="13"/>
              </w:rPr>
              <w:t>108.878</w:t>
            </w:r>
          </w:p>
        </w:tc>
      </w:tr>
      <w:tr w:rsidR="009C600D" w:rsidRPr="001F224B" w14:paraId="5DC5C7E6"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154830B"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1.1.7</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23414AA" w14:textId="77777777" w:rsidR="009C600D" w:rsidRPr="001F224B" w:rsidRDefault="009C600D" w:rsidP="009C600D">
            <w:pPr>
              <w:rPr>
                <w:rFonts w:eastAsia="Arial Unicode MS"/>
                <w:sz w:val="13"/>
                <w:szCs w:val="13"/>
              </w:rPr>
            </w:pPr>
            <w:r w:rsidRPr="001F224B">
              <w:rPr>
                <w:rFonts w:eastAsia="Arial Unicode MS"/>
                <w:sz w:val="13"/>
                <w:szCs w:val="13"/>
              </w:rPr>
              <w:t>Personele ve Hizmet Tedarik Edenlere Yapılan Nakit Ödemeler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3098529" w14:textId="0B2AF13D" w:rsidR="009C600D" w:rsidRPr="001F224B" w:rsidRDefault="009C600D" w:rsidP="009C600D">
            <w:pPr>
              <w:jc w:val="right"/>
              <w:rPr>
                <w:sz w:val="13"/>
                <w:szCs w:val="13"/>
              </w:rPr>
            </w:pPr>
            <w:r w:rsidRPr="001F224B">
              <w:rPr>
                <w:sz w:val="13"/>
                <w:szCs w:val="13"/>
              </w:rPr>
              <w:t>(747.678)</w:t>
            </w:r>
          </w:p>
        </w:tc>
        <w:tc>
          <w:tcPr>
            <w:tcW w:w="1848" w:type="dxa"/>
            <w:tcBorders>
              <w:top w:val="nil"/>
              <w:left w:val="single" w:sz="4" w:space="0" w:color="auto"/>
              <w:bottom w:val="nil"/>
              <w:right w:val="single" w:sz="4" w:space="0" w:color="auto"/>
            </w:tcBorders>
          </w:tcPr>
          <w:p w14:paraId="4F467A11" w14:textId="54B0E776" w:rsidR="009C600D" w:rsidRPr="001F224B" w:rsidRDefault="009C600D" w:rsidP="009C600D">
            <w:pPr>
              <w:jc w:val="right"/>
              <w:rPr>
                <w:bCs/>
                <w:sz w:val="13"/>
                <w:szCs w:val="13"/>
              </w:rPr>
            </w:pPr>
            <w:r w:rsidRPr="001F224B">
              <w:rPr>
                <w:sz w:val="13"/>
                <w:szCs w:val="13"/>
              </w:rPr>
              <w:t>(468.612)</w:t>
            </w:r>
          </w:p>
        </w:tc>
      </w:tr>
      <w:tr w:rsidR="009C600D" w:rsidRPr="001F224B" w14:paraId="6BF1A8DF"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792A7B6"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1.1.8</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038ACD6" w14:textId="77777777" w:rsidR="009C600D" w:rsidRPr="001F224B" w:rsidRDefault="009C600D" w:rsidP="009C600D">
            <w:pPr>
              <w:rPr>
                <w:rFonts w:eastAsia="Arial Unicode MS"/>
                <w:sz w:val="13"/>
                <w:szCs w:val="13"/>
              </w:rPr>
            </w:pPr>
            <w:r w:rsidRPr="001F224B">
              <w:rPr>
                <w:rFonts w:eastAsia="Arial Unicode MS"/>
                <w:sz w:val="13"/>
                <w:szCs w:val="13"/>
              </w:rPr>
              <w:t>Ödenen Vergiler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4B5EAA" w14:textId="073F99D9" w:rsidR="009C600D" w:rsidRPr="001F224B" w:rsidRDefault="009C600D" w:rsidP="009C600D">
            <w:pPr>
              <w:jc w:val="right"/>
              <w:rPr>
                <w:sz w:val="13"/>
                <w:szCs w:val="13"/>
              </w:rPr>
            </w:pPr>
            <w:r w:rsidRPr="001F224B">
              <w:rPr>
                <w:sz w:val="13"/>
                <w:szCs w:val="13"/>
              </w:rPr>
              <w:t>(1.523.960)</w:t>
            </w:r>
          </w:p>
        </w:tc>
        <w:tc>
          <w:tcPr>
            <w:tcW w:w="1848" w:type="dxa"/>
            <w:tcBorders>
              <w:top w:val="nil"/>
              <w:left w:val="single" w:sz="4" w:space="0" w:color="auto"/>
              <w:bottom w:val="nil"/>
              <w:right w:val="single" w:sz="4" w:space="0" w:color="auto"/>
            </w:tcBorders>
          </w:tcPr>
          <w:p w14:paraId="1B7B8031" w14:textId="73972D9E" w:rsidR="009C600D" w:rsidRPr="001F224B" w:rsidRDefault="009C600D" w:rsidP="009C600D">
            <w:pPr>
              <w:jc w:val="right"/>
              <w:rPr>
                <w:bCs/>
                <w:sz w:val="13"/>
                <w:szCs w:val="13"/>
              </w:rPr>
            </w:pPr>
            <w:r w:rsidRPr="001F224B">
              <w:rPr>
                <w:sz w:val="13"/>
                <w:szCs w:val="13"/>
              </w:rPr>
              <w:t>(1.013.402)</w:t>
            </w:r>
          </w:p>
        </w:tc>
      </w:tr>
      <w:tr w:rsidR="009C600D" w:rsidRPr="001F224B" w14:paraId="189995FC"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0E86162"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1.1.9</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DECB581" w14:textId="77777777" w:rsidR="009C600D" w:rsidRPr="001F224B" w:rsidRDefault="009C600D" w:rsidP="009C600D">
            <w:pPr>
              <w:rPr>
                <w:rFonts w:eastAsia="Arial Unicode MS"/>
                <w:sz w:val="13"/>
                <w:szCs w:val="13"/>
              </w:rPr>
            </w:pPr>
            <w:r w:rsidRPr="001F224B">
              <w:rPr>
                <w:rFonts w:eastAsia="Arial Unicode MS"/>
                <w:sz w:val="13"/>
                <w:szCs w:val="13"/>
              </w:rPr>
              <w:t xml:space="preserve">Diğer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FC0BF3" w14:textId="5FD5A7C9" w:rsidR="009C600D" w:rsidRPr="001F224B" w:rsidRDefault="009C600D" w:rsidP="009C600D">
            <w:pPr>
              <w:jc w:val="right"/>
              <w:rPr>
                <w:sz w:val="13"/>
                <w:szCs w:val="13"/>
              </w:rPr>
            </w:pPr>
            <w:r w:rsidRPr="001F224B">
              <w:rPr>
                <w:sz w:val="13"/>
                <w:szCs w:val="13"/>
              </w:rPr>
              <w:t>(826.318)</w:t>
            </w:r>
          </w:p>
        </w:tc>
        <w:tc>
          <w:tcPr>
            <w:tcW w:w="1848" w:type="dxa"/>
            <w:tcBorders>
              <w:top w:val="nil"/>
              <w:left w:val="single" w:sz="4" w:space="0" w:color="auto"/>
              <w:bottom w:val="nil"/>
              <w:right w:val="single" w:sz="4" w:space="0" w:color="auto"/>
            </w:tcBorders>
          </w:tcPr>
          <w:p w14:paraId="4C634D4E" w14:textId="56CB9940" w:rsidR="009C600D" w:rsidRPr="001F224B" w:rsidRDefault="009C600D" w:rsidP="009C600D">
            <w:pPr>
              <w:jc w:val="right"/>
              <w:rPr>
                <w:bCs/>
                <w:sz w:val="13"/>
                <w:szCs w:val="13"/>
              </w:rPr>
            </w:pPr>
            <w:r w:rsidRPr="001F224B">
              <w:rPr>
                <w:sz w:val="13"/>
                <w:szCs w:val="13"/>
              </w:rPr>
              <w:t>(413.831)</w:t>
            </w:r>
          </w:p>
        </w:tc>
      </w:tr>
      <w:tr w:rsidR="00D7505B" w:rsidRPr="001F224B" w14:paraId="71A90B2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71BA68F" w14:textId="77777777" w:rsidR="00D7505B" w:rsidRPr="001F224B" w:rsidRDefault="00D7505B" w:rsidP="00D7505B">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AD196C3"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35919660" w14:textId="5460E855"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2D42AB0E" w14:textId="77777777" w:rsidR="00D7505B" w:rsidRPr="001F224B" w:rsidRDefault="00D7505B" w:rsidP="00D7505B">
            <w:pPr>
              <w:jc w:val="right"/>
              <w:rPr>
                <w:b/>
                <w:bCs/>
                <w:sz w:val="13"/>
                <w:szCs w:val="13"/>
              </w:rPr>
            </w:pPr>
          </w:p>
        </w:tc>
      </w:tr>
      <w:tr w:rsidR="00D7505B" w:rsidRPr="001F224B" w14:paraId="16747DB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D1ECE68"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1.2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1E15ECC"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Bankacılık Faaliyetleri Konusu Varlık ve Yükümlülüklerdeki Değişim</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FE8B0E" w14:textId="69C420E7" w:rsidR="00D7505B" w:rsidRPr="001F224B" w:rsidRDefault="009C600D" w:rsidP="00D7505B">
            <w:pPr>
              <w:jc w:val="right"/>
              <w:rPr>
                <w:b/>
                <w:bCs/>
                <w:sz w:val="13"/>
                <w:szCs w:val="13"/>
              </w:rPr>
            </w:pPr>
            <w:r w:rsidRPr="001F224B">
              <w:rPr>
                <w:b/>
                <w:bCs/>
                <w:sz w:val="13"/>
                <w:szCs w:val="13"/>
              </w:rPr>
              <w:t>2.779.202</w:t>
            </w:r>
          </w:p>
        </w:tc>
        <w:tc>
          <w:tcPr>
            <w:tcW w:w="1848" w:type="dxa"/>
            <w:tcBorders>
              <w:top w:val="nil"/>
              <w:left w:val="single" w:sz="4" w:space="0" w:color="auto"/>
              <w:bottom w:val="nil"/>
              <w:right w:val="single" w:sz="4" w:space="0" w:color="auto"/>
            </w:tcBorders>
          </w:tcPr>
          <w:p w14:paraId="092974DA" w14:textId="653A819A" w:rsidR="00D7505B" w:rsidRPr="001F224B" w:rsidRDefault="00D7505B" w:rsidP="00D7505B">
            <w:pPr>
              <w:jc w:val="right"/>
              <w:rPr>
                <w:b/>
                <w:bCs/>
                <w:sz w:val="13"/>
                <w:szCs w:val="13"/>
              </w:rPr>
            </w:pPr>
            <w:r w:rsidRPr="001F224B">
              <w:rPr>
                <w:b/>
                <w:bCs/>
                <w:sz w:val="13"/>
                <w:szCs w:val="13"/>
              </w:rPr>
              <w:t>(7.266.810)</w:t>
            </w:r>
          </w:p>
        </w:tc>
      </w:tr>
      <w:tr w:rsidR="00D7505B" w:rsidRPr="001F224B" w14:paraId="09B9FE6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E081AB2" w14:textId="77777777" w:rsidR="00D7505B" w:rsidRPr="001F224B" w:rsidRDefault="00D7505B" w:rsidP="00D7505B">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7F4D523"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36A17B94" w14:textId="24C77665"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6C0EAAC3" w14:textId="398F1BCD" w:rsidR="00D7505B" w:rsidRPr="001F224B" w:rsidRDefault="00D7505B" w:rsidP="00D7505B">
            <w:pPr>
              <w:jc w:val="right"/>
              <w:rPr>
                <w:b/>
                <w:bCs/>
                <w:sz w:val="13"/>
                <w:szCs w:val="13"/>
              </w:rPr>
            </w:pPr>
            <w:r w:rsidRPr="001F224B">
              <w:rPr>
                <w:sz w:val="13"/>
                <w:szCs w:val="13"/>
              </w:rPr>
              <w:t> </w:t>
            </w:r>
          </w:p>
        </w:tc>
      </w:tr>
      <w:tr w:rsidR="009C600D" w:rsidRPr="001F224B" w14:paraId="195934F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F6200D9"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DC76498" w14:textId="77777777" w:rsidR="009C600D" w:rsidRPr="001F224B" w:rsidRDefault="009C600D" w:rsidP="009C600D">
            <w:pPr>
              <w:rPr>
                <w:rFonts w:eastAsia="Arial Unicode MS"/>
                <w:sz w:val="13"/>
                <w:szCs w:val="13"/>
              </w:rPr>
            </w:pPr>
            <w:r w:rsidRPr="001F224B">
              <w:rPr>
                <w:rFonts w:eastAsia="Arial Unicode MS"/>
                <w:sz w:val="13"/>
                <w:szCs w:val="13"/>
              </w:rPr>
              <w:t>Gerçeğe Uygun Değer Farkı K/Z'a Yansıtılan FV'larda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56AD3F0" w14:textId="002245D5" w:rsidR="009C600D" w:rsidRPr="001F224B" w:rsidRDefault="009C600D" w:rsidP="009C600D">
            <w:pPr>
              <w:jc w:val="right"/>
              <w:rPr>
                <w:sz w:val="13"/>
                <w:szCs w:val="13"/>
              </w:rPr>
            </w:pPr>
            <w:r w:rsidRPr="001F224B">
              <w:rPr>
                <w:sz w:val="13"/>
                <w:szCs w:val="13"/>
              </w:rPr>
              <w:t>(85.787)</w:t>
            </w:r>
          </w:p>
        </w:tc>
        <w:tc>
          <w:tcPr>
            <w:tcW w:w="1848" w:type="dxa"/>
            <w:tcBorders>
              <w:top w:val="nil"/>
              <w:left w:val="single" w:sz="4" w:space="0" w:color="auto"/>
              <w:bottom w:val="nil"/>
              <w:right w:val="single" w:sz="4" w:space="0" w:color="auto"/>
            </w:tcBorders>
          </w:tcPr>
          <w:p w14:paraId="7E518B48" w14:textId="6EBEAD6A" w:rsidR="009C600D" w:rsidRPr="001F224B" w:rsidRDefault="009C600D" w:rsidP="009C600D">
            <w:pPr>
              <w:jc w:val="right"/>
              <w:rPr>
                <w:bCs/>
                <w:sz w:val="13"/>
                <w:szCs w:val="13"/>
              </w:rPr>
            </w:pPr>
            <w:r w:rsidRPr="001F224B">
              <w:rPr>
                <w:sz w:val="13"/>
                <w:szCs w:val="13"/>
              </w:rPr>
              <w:t xml:space="preserve"> (34.271)</w:t>
            </w:r>
          </w:p>
        </w:tc>
      </w:tr>
      <w:tr w:rsidR="009C600D" w:rsidRPr="001F224B" w14:paraId="39662FFF"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E524359"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4EE6FB9" w14:textId="77777777" w:rsidR="009C600D" w:rsidRPr="001F224B" w:rsidRDefault="009C600D" w:rsidP="009C600D">
            <w:pPr>
              <w:rPr>
                <w:rFonts w:eastAsia="Arial Unicode MS"/>
                <w:sz w:val="13"/>
                <w:szCs w:val="13"/>
              </w:rPr>
            </w:pPr>
            <w:r w:rsidRPr="001F224B">
              <w:rPr>
                <w:rFonts w:eastAsia="Arial Unicode MS"/>
                <w:sz w:val="13"/>
                <w:szCs w:val="13"/>
              </w:rPr>
              <w:t>Bankalar Hesabındaki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40BD23" w14:textId="1C6B35B7" w:rsidR="009C600D" w:rsidRPr="001F224B" w:rsidRDefault="009C600D" w:rsidP="009C600D">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30A4B2A5" w14:textId="07178F88" w:rsidR="009C600D" w:rsidRPr="001F224B" w:rsidRDefault="009C600D" w:rsidP="009C600D">
            <w:pPr>
              <w:jc w:val="right"/>
              <w:rPr>
                <w:b/>
                <w:bCs/>
                <w:sz w:val="13"/>
                <w:szCs w:val="13"/>
              </w:rPr>
            </w:pPr>
            <w:r w:rsidRPr="001F224B">
              <w:rPr>
                <w:sz w:val="13"/>
                <w:szCs w:val="13"/>
              </w:rPr>
              <w:t xml:space="preserve"> -   </w:t>
            </w:r>
          </w:p>
        </w:tc>
      </w:tr>
      <w:tr w:rsidR="009C600D" w:rsidRPr="001F224B" w14:paraId="52D1F060"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04C0B20"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0539B06" w14:textId="77777777" w:rsidR="009C600D" w:rsidRPr="001F224B" w:rsidRDefault="009C600D" w:rsidP="009C600D">
            <w:pPr>
              <w:rPr>
                <w:rFonts w:eastAsia="Arial Unicode MS"/>
                <w:sz w:val="13"/>
                <w:szCs w:val="13"/>
              </w:rPr>
            </w:pPr>
            <w:r w:rsidRPr="001F224B">
              <w:rPr>
                <w:rFonts w:eastAsia="Arial Unicode MS"/>
                <w:sz w:val="13"/>
                <w:szCs w:val="13"/>
              </w:rPr>
              <w:t>Kredilerdeki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26F0B33" w14:textId="4205E427" w:rsidR="009C600D" w:rsidRPr="001F224B" w:rsidRDefault="009C600D" w:rsidP="009C600D">
            <w:pPr>
              <w:jc w:val="right"/>
              <w:rPr>
                <w:sz w:val="13"/>
                <w:szCs w:val="13"/>
              </w:rPr>
            </w:pPr>
            <w:r w:rsidRPr="001F224B">
              <w:rPr>
                <w:sz w:val="13"/>
                <w:szCs w:val="13"/>
              </w:rPr>
              <w:t>(1.639.586)</w:t>
            </w:r>
          </w:p>
        </w:tc>
        <w:tc>
          <w:tcPr>
            <w:tcW w:w="1848" w:type="dxa"/>
            <w:tcBorders>
              <w:top w:val="nil"/>
              <w:left w:val="single" w:sz="4" w:space="0" w:color="auto"/>
              <w:bottom w:val="nil"/>
              <w:right w:val="single" w:sz="4" w:space="0" w:color="auto"/>
            </w:tcBorders>
          </w:tcPr>
          <w:p w14:paraId="390D6B16" w14:textId="053D664A" w:rsidR="009C600D" w:rsidRPr="001F224B" w:rsidRDefault="009C600D" w:rsidP="009C600D">
            <w:pPr>
              <w:jc w:val="right"/>
              <w:rPr>
                <w:bCs/>
                <w:sz w:val="13"/>
                <w:szCs w:val="13"/>
              </w:rPr>
            </w:pPr>
            <w:r w:rsidRPr="001F224B">
              <w:rPr>
                <w:sz w:val="13"/>
                <w:szCs w:val="13"/>
              </w:rPr>
              <w:t>(744.101)</w:t>
            </w:r>
          </w:p>
        </w:tc>
      </w:tr>
      <w:tr w:rsidR="009C600D" w:rsidRPr="001F224B" w14:paraId="6E0F80E3"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AFF745B"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51FACF7" w14:textId="77777777" w:rsidR="009C600D" w:rsidRPr="001F224B" w:rsidRDefault="009C600D" w:rsidP="009C600D">
            <w:pPr>
              <w:rPr>
                <w:rFonts w:eastAsia="Arial Unicode MS"/>
                <w:sz w:val="13"/>
                <w:szCs w:val="13"/>
              </w:rPr>
            </w:pPr>
            <w:r w:rsidRPr="001F224B">
              <w:rPr>
                <w:rFonts w:eastAsia="Arial Unicode MS"/>
                <w:sz w:val="13"/>
                <w:szCs w:val="13"/>
              </w:rPr>
              <w:t>Diğer Varlıklarda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B3B3467" w14:textId="09A4E0C3" w:rsidR="009C600D" w:rsidRPr="001F224B" w:rsidRDefault="009C600D" w:rsidP="009C600D">
            <w:pPr>
              <w:jc w:val="right"/>
              <w:rPr>
                <w:sz w:val="13"/>
                <w:szCs w:val="13"/>
              </w:rPr>
            </w:pPr>
            <w:r w:rsidRPr="001F224B">
              <w:rPr>
                <w:sz w:val="13"/>
                <w:szCs w:val="13"/>
              </w:rPr>
              <w:t>508.121</w:t>
            </w:r>
          </w:p>
        </w:tc>
        <w:tc>
          <w:tcPr>
            <w:tcW w:w="1848" w:type="dxa"/>
            <w:tcBorders>
              <w:top w:val="nil"/>
              <w:left w:val="single" w:sz="4" w:space="0" w:color="auto"/>
              <w:bottom w:val="nil"/>
              <w:right w:val="single" w:sz="4" w:space="0" w:color="auto"/>
            </w:tcBorders>
          </w:tcPr>
          <w:p w14:paraId="295647DC" w14:textId="03A610F9" w:rsidR="009C600D" w:rsidRPr="001F224B" w:rsidRDefault="009C600D" w:rsidP="009C600D">
            <w:pPr>
              <w:jc w:val="right"/>
              <w:rPr>
                <w:bCs/>
                <w:sz w:val="13"/>
                <w:szCs w:val="13"/>
              </w:rPr>
            </w:pPr>
            <w:r w:rsidRPr="001F224B">
              <w:rPr>
                <w:sz w:val="13"/>
                <w:szCs w:val="13"/>
              </w:rPr>
              <w:t xml:space="preserve">(9.334) </w:t>
            </w:r>
          </w:p>
        </w:tc>
      </w:tr>
      <w:tr w:rsidR="009C600D" w:rsidRPr="001F224B" w14:paraId="1A78B0BF"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3D0669E"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CFDB9CD" w14:textId="77777777" w:rsidR="009C600D" w:rsidRPr="001F224B" w:rsidRDefault="009C600D" w:rsidP="009C600D">
            <w:pPr>
              <w:rPr>
                <w:rFonts w:eastAsia="Arial Unicode MS"/>
                <w:sz w:val="13"/>
                <w:szCs w:val="13"/>
              </w:rPr>
            </w:pPr>
            <w:r w:rsidRPr="001F224B">
              <w:rPr>
                <w:rFonts w:eastAsia="Arial Unicode MS"/>
                <w:sz w:val="13"/>
                <w:szCs w:val="13"/>
              </w:rPr>
              <w:t>Bankaların Mevduatlarında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CDD7B9" w14:textId="1C77C4E3" w:rsidR="009C600D" w:rsidRPr="001F224B" w:rsidRDefault="009C600D" w:rsidP="009C600D">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3FD99D6A" w14:textId="4EDDF68F" w:rsidR="009C600D" w:rsidRPr="001F224B" w:rsidRDefault="009C600D" w:rsidP="009C600D">
            <w:pPr>
              <w:jc w:val="right"/>
              <w:rPr>
                <w:bCs/>
                <w:sz w:val="13"/>
                <w:szCs w:val="13"/>
              </w:rPr>
            </w:pPr>
            <w:r w:rsidRPr="001F224B">
              <w:rPr>
                <w:sz w:val="13"/>
                <w:szCs w:val="13"/>
              </w:rPr>
              <w:t xml:space="preserve">- </w:t>
            </w:r>
          </w:p>
        </w:tc>
      </w:tr>
      <w:tr w:rsidR="009C600D" w:rsidRPr="001F224B" w14:paraId="05BC252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3213C92"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D1D74D2" w14:textId="77777777" w:rsidR="009C600D" w:rsidRPr="001F224B" w:rsidRDefault="009C600D" w:rsidP="009C600D">
            <w:pPr>
              <w:rPr>
                <w:rFonts w:eastAsia="Arial Unicode MS"/>
                <w:sz w:val="13"/>
                <w:szCs w:val="13"/>
              </w:rPr>
            </w:pPr>
            <w:r w:rsidRPr="001F224B">
              <w:rPr>
                <w:rFonts w:eastAsia="Arial Unicode MS"/>
                <w:sz w:val="13"/>
                <w:szCs w:val="13"/>
              </w:rPr>
              <w:t>Diğer Mevduatlarda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177693" w14:textId="6E801228" w:rsidR="009C600D" w:rsidRPr="001F224B" w:rsidRDefault="009C600D" w:rsidP="009C600D">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652CE0E2" w14:textId="611E72C9" w:rsidR="009C600D" w:rsidRPr="001F224B" w:rsidRDefault="009C600D" w:rsidP="009C600D">
            <w:pPr>
              <w:jc w:val="right"/>
              <w:rPr>
                <w:bCs/>
                <w:sz w:val="13"/>
                <w:szCs w:val="13"/>
              </w:rPr>
            </w:pPr>
            <w:r w:rsidRPr="001F224B">
              <w:rPr>
                <w:sz w:val="13"/>
                <w:szCs w:val="13"/>
              </w:rPr>
              <w:t xml:space="preserve"> -   </w:t>
            </w:r>
          </w:p>
        </w:tc>
      </w:tr>
      <w:tr w:rsidR="009C600D" w:rsidRPr="001F224B" w14:paraId="0B2F1AA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DE93377"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1.2.7</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66812DB" w14:textId="77777777" w:rsidR="009C600D" w:rsidRPr="001F224B" w:rsidRDefault="009C600D" w:rsidP="009C600D">
            <w:pPr>
              <w:rPr>
                <w:rFonts w:eastAsia="Arial Unicode MS"/>
                <w:sz w:val="13"/>
                <w:szCs w:val="13"/>
              </w:rPr>
            </w:pPr>
            <w:r w:rsidRPr="001F224B">
              <w:rPr>
                <w:rFonts w:eastAsia="Arial Unicode MS"/>
                <w:sz w:val="13"/>
                <w:szCs w:val="13"/>
              </w:rPr>
              <w:t>Gerçeğe Uygun Değer Farkı K/Z'a Yansıtılan FY'lerde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A81EFF" w14:textId="7EC11B74" w:rsidR="009C600D" w:rsidRPr="001F224B" w:rsidRDefault="009C600D" w:rsidP="009C600D">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19B9E266" w14:textId="28DE47B8" w:rsidR="009C600D" w:rsidRPr="001F224B" w:rsidRDefault="009C600D" w:rsidP="009C600D">
            <w:pPr>
              <w:jc w:val="right"/>
              <w:rPr>
                <w:bCs/>
                <w:sz w:val="13"/>
                <w:szCs w:val="13"/>
              </w:rPr>
            </w:pPr>
            <w:r w:rsidRPr="001F224B">
              <w:rPr>
                <w:sz w:val="13"/>
                <w:szCs w:val="13"/>
              </w:rPr>
              <w:t xml:space="preserve"> -   </w:t>
            </w:r>
          </w:p>
        </w:tc>
      </w:tr>
      <w:tr w:rsidR="009C600D" w:rsidRPr="001F224B" w14:paraId="32E810E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91E49F8"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1.2.8</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A0865A5" w14:textId="77777777" w:rsidR="009C600D" w:rsidRPr="001F224B" w:rsidRDefault="009C600D" w:rsidP="009C600D">
            <w:pPr>
              <w:rPr>
                <w:rFonts w:eastAsia="Arial Unicode MS"/>
                <w:sz w:val="13"/>
                <w:szCs w:val="13"/>
              </w:rPr>
            </w:pPr>
            <w:r w:rsidRPr="001F224B">
              <w:rPr>
                <w:rFonts w:eastAsia="Arial Unicode MS"/>
                <w:sz w:val="13"/>
                <w:szCs w:val="13"/>
              </w:rPr>
              <w:t>Alınan Kredilerdeki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302768" w14:textId="33ACE9BF" w:rsidR="009C600D" w:rsidRPr="001F224B" w:rsidRDefault="009C600D" w:rsidP="009C600D">
            <w:pPr>
              <w:jc w:val="right"/>
              <w:rPr>
                <w:sz w:val="13"/>
                <w:szCs w:val="13"/>
              </w:rPr>
            </w:pPr>
            <w:r w:rsidRPr="001F224B">
              <w:rPr>
                <w:sz w:val="13"/>
                <w:szCs w:val="13"/>
              </w:rPr>
              <w:t>2.742.468</w:t>
            </w:r>
          </w:p>
        </w:tc>
        <w:tc>
          <w:tcPr>
            <w:tcW w:w="1848" w:type="dxa"/>
            <w:tcBorders>
              <w:top w:val="nil"/>
              <w:left w:val="single" w:sz="4" w:space="0" w:color="auto"/>
              <w:bottom w:val="nil"/>
              <w:right w:val="single" w:sz="4" w:space="0" w:color="auto"/>
            </w:tcBorders>
          </w:tcPr>
          <w:p w14:paraId="7564B105" w14:textId="1E8217C8" w:rsidR="009C600D" w:rsidRPr="001F224B" w:rsidRDefault="009C600D" w:rsidP="009C600D">
            <w:pPr>
              <w:jc w:val="right"/>
              <w:rPr>
                <w:bCs/>
                <w:sz w:val="13"/>
                <w:szCs w:val="13"/>
              </w:rPr>
            </w:pPr>
            <w:r w:rsidRPr="001F224B">
              <w:rPr>
                <w:sz w:val="13"/>
                <w:szCs w:val="13"/>
              </w:rPr>
              <w:t>(6.590.232)</w:t>
            </w:r>
          </w:p>
        </w:tc>
      </w:tr>
      <w:tr w:rsidR="009C600D" w:rsidRPr="001F224B" w14:paraId="418C1D23"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BDDC3D7"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1.2.9</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5AED8FC" w14:textId="77777777" w:rsidR="009C600D" w:rsidRPr="001F224B" w:rsidRDefault="009C600D" w:rsidP="009C600D">
            <w:pPr>
              <w:rPr>
                <w:rFonts w:eastAsia="Arial Unicode MS"/>
                <w:sz w:val="13"/>
                <w:szCs w:val="13"/>
              </w:rPr>
            </w:pPr>
            <w:r w:rsidRPr="001F224B">
              <w:rPr>
                <w:rFonts w:eastAsia="Arial Unicode MS"/>
                <w:sz w:val="13"/>
                <w:szCs w:val="13"/>
              </w:rPr>
              <w:t>Vadesi Gelmiş Borçlarda Net Artış (Azalış)</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C71922" w14:textId="33D2FE02" w:rsidR="009C600D" w:rsidRPr="001F224B" w:rsidRDefault="009C600D" w:rsidP="009C600D">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041C022D" w14:textId="77FCEC3A" w:rsidR="009C600D" w:rsidRPr="001F224B" w:rsidRDefault="009C600D" w:rsidP="009C600D">
            <w:pPr>
              <w:jc w:val="right"/>
              <w:rPr>
                <w:bCs/>
                <w:sz w:val="13"/>
                <w:szCs w:val="13"/>
              </w:rPr>
            </w:pPr>
            <w:r w:rsidRPr="001F224B">
              <w:rPr>
                <w:sz w:val="13"/>
                <w:szCs w:val="13"/>
              </w:rPr>
              <w:t xml:space="preserve"> -   </w:t>
            </w:r>
          </w:p>
        </w:tc>
      </w:tr>
      <w:tr w:rsidR="009C600D" w:rsidRPr="001F224B" w14:paraId="6A6E41A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746A8AC" w14:textId="77777777" w:rsidR="009C600D" w:rsidRPr="001F224B" w:rsidRDefault="009C600D" w:rsidP="009C600D">
            <w:pPr>
              <w:spacing w:line="226" w:lineRule="auto"/>
              <w:rPr>
                <w:rFonts w:eastAsia="Arial Unicode MS"/>
                <w:bCs/>
                <w:sz w:val="13"/>
                <w:szCs w:val="13"/>
              </w:rPr>
            </w:pPr>
            <w:r w:rsidRPr="001F224B">
              <w:rPr>
                <w:rFonts w:eastAsia="Arial Unicode MS"/>
                <w:bCs/>
                <w:sz w:val="13"/>
                <w:szCs w:val="13"/>
              </w:rPr>
              <w:t>1.2.10</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CC1A9F9" w14:textId="77777777" w:rsidR="009C600D" w:rsidRPr="001F224B" w:rsidRDefault="009C600D" w:rsidP="009C600D">
            <w:pPr>
              <w:rPr>
                <w:rFonts w:eastAsia="Arial Unicode MS"/>
                <w:sz w:val="13"/>
                <w:szCs w:val="13"/>
              </w:rPr>
            </w:pPr>
            <w:r w:rsidRPr="001F224B">
              <w:rPr>
                <w:rFonts w:eastAsia="Arial Unicode MS"/>
                <w:sz w:val="13"/>
                <w:szCs w:val="13"/>
              </w:rPr>
              <w:t xml:space="preserve">Diğer Borçlarda Net Artış (Azalış) </w:t>
            </w:r>
          </w:p>
        </w:tc>
        <w:tc>
          <w:tcPr>
            <w:tcW w:w="1843" w:type="dxa"/>
            <w:gridSpan w:val="2"/>
            <w:tcBorders>
              <w:top w:val="nil"/>
              <w:left w:val="single" w:sz="4" w:space="0" w:color="auto"/>
              <w:bottom w:val="nil"/>
              <w:right w:val="single" w:sz="4" w:space="0" w:color="auto"/>
            </w:tcBorders>
            <w:shd w:val="clear" w:color="000000" w:fill="FFFFFF"/>
            <w:noWrap/>
            <w:tcMar>
              <w:top w:w="18" w:type="dxa"/>
              <w:left w:w="18" w:type="dxa"/>
              <w:bottom w:w="0" w:type="dxa"/>
              <w:right w:w="18" w:type="dxa"/>
            </w:tcMar>
          </w:tcPr>
          <w:p w14:paraId="1CA286FB" w14:textId="5B272390" w:rsidR="009C600D" w:rsidRPr="001F224B" w:rsidRDefault="009C600D" w:rsidP="009C600D">
            <w:pPr>
              <w:jc w:val="right"/>
              <w:rPr>
                <w:sz w:val="13"/>
                <w:szCs w:val="13"/>
              </w:rPr>
            </w:pPr>
            <w:r w:rsidRPr="001F224B">
              <w:rPr>
                <w:sz w:val="13"/>
                <w:szCs w:val="13"/>
              </w:rPr>
              <w:t>1.253.986</w:t>
            </w:r>
          </w:p>
        </w:tc>
        <w:tc>
          <w:tcPr>
            <w:tcW w:w="1848" w:type="dxa"/>
            <w:tcBorders>
              <w:top w:val="nil"/>
              <w:left w:val="single" w:sz="4" w:space="0" w:color="auto"/>
              <w:bottom w:val="nil"/>
              <w:right w:val="single" w:sz="4" w:space="0" w:color="auto"/>
            </w:tcBorders>
          </w:tcPr>
          <w:p w14:paraId="222116A3" w14:textId="2C43FCDF" w:rsidR="009C600D" w:rsidRPr="001F224B" w:rsidRDefault="009C600D" w:rsidP="009C600D">
            <w:pPr>
              <w:jc w:val="right"/>
              <w:rPr>
                <w:bCs/>
                <w:sz w:val="13"/>
                <w:szCs w:val="13"/>
              </w:rPr>
            </w:pPr>
            <w:r w:rsidRPr="001F224B">
              <w:rPr>
                <w:sz w:val="13"/>
                <w:szCs w:val="13"/>
              </w:rPr>
              <w:t xml:space="preserve"> 111.128 </w:t>
            </w:r>
          </w:p>
        </w:tc>
      </w:tr>
      <w:tr w:rsidR="00D7505B" w:rsidRPr="001F224B" w14:paraId="23B2682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2DAA194"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8757DC9"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0E676BC1" w14:textId="6F15B359"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309D7586" w14:textId="77777777" w:rsidR="00D7505B" w:rsidRPr="001F224B" w:rsidRDefault="00D7505B" w:rsidP="00D7505B">
            <w:pPr>
              <w:jc w:val="right"/>
              <w:rPr>
                <w:b/>
                <w:bCs/>
                <w:sz w:val="13"/>
                <w:szCs w:val="13"/>
              </w:rPr>
            </w:pPr>
          </w:p>
        </w:tc>
      </w:tr>
      <w:tr w:rsidR="00D7505B" w:rsidRPr="001F224B" w14:paraId="4DB3424D"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E535FAA"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F89C404"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Bankacılık Faaliyetlerinden Kaynaklanan Net Nakit Akımı</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3319D53" w14:textId="452AD392" w:rsidR="00D7505B" w:rsidRPr="001F224B" w:rsidRDefault="00191988" w:rsidP="00D7505B">
            <w:pPr>
              <w:jc w:val="right"/>
              <w:rPr>
                <w:b/>
                <w:bCs/>
                <w:sz w:val="13"/>
                <w:szCs w:val="13"/>
              </w:rPr>
            </w:pPr>
            <w:r w:rsidRPr="001F224B">
              <w:rPr>
                <w:b/>
                <w:bCs/>
                <w:sz w:val="13"/>
                <w:szCs w:val="13"/>
              </w:rPr>
              <w:t>5.279.457</w:t>
            </w:r>
          </w:p>
        </w:tc>
        <w:tc>
          <w:tcPr>
            <w:tcW w:w="1848" w:type="dxa"/>
            <w:tcBorders>
              <w:top w:val="nil"/>
              <w:left w:val="single" w:sz="4" w:space="0" w:color="auto"/>
              <w:bottom w:val="nil"/>
              <w:right w:val="single" w:sz="4" w:space="0" w:color="auto"/>
            </w:tcBorders>
          </w:tcPr>
          <w:p w14:paraId="316D6B1F" w14:textId="4BCF576A" w:rsidR="00D7505B" w:rsidRPr="001F224B" w:rsidRDefault="00D7505B" w:rsidP="00D7505B">
            <w:pPr>
              <w:jc w:val="right"/>
              <w:rPr>
                <w:b/>
                <w:bCs/>
                <w:sz w:val="13"/>
                <w:szCs w:val="13"/>
              </w:rPr>
            </w:pPr>
            <w:r w:rsidRPr="001F224B">
              <w:rPr>
                <w:b/>
                <w:sz w:val="13"/>
                <w:szCs w:val="13"/>
              </w:rPr>
              <w:t>(3.607.517)</w:t>
            </w:r>
          </w:p>
        </w:tc>
      </w:tr>
      <w:tr w:rsidR="00D7505B" w:rsidRPr="001F224B" w14:paraId="058B08B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1036D18"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B7D2BDA" w14:textId="77777777" w:rsidR="00D7505B" w:rsidRPr="001F224B" w:rsidRDefault="00D7505B" w:rsidP="00D7505B">
            <w:pPr>
              <w:spacing w:line="226" w:lineRule="auto"/>
              <w:rPr>
                <w:rFonts w:eastAsia="Arial Unicode MS"/>
                <w:b/>
                <w:bC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C082707" w14:textId="5976944A"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5FCE39C4" w14:textId="77777777" w:rsidR="00D7505B" w:rsidRPr="001F224B" w:rsidRDefault="00D7505B" w:rsidP="00D7505B">
            <w:pPr>
              <w:jc w:val="right"/>
              <w:rPr>
                <w:b/>
                <w:bCs/>
                <w:sz w:val="13"/>
                <w:szCs w:val="13"/>
              </w:rPr>
            </w:pPr>
          </w:p>
        </w:tc>
      </w:tr>
      <w:tr w:rsidR="00D7505B" w:rsidRPr="001F224B" w14:paraId="4A7973E1"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1DA3FA1"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B.</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CC7D396"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YATIRIM FAALİYETLERİNE İLİŞKİN NAKİT AKIMLARI</w:t>
            </w: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490D0200" w14:textId="39CFA13A"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1312920B" w14:textId="77777777" w:rsidR="00D7505B" w:rsidRPr="001F224B" w:rsidRDefault="00D7505B" w:rsidP="00D7505B">
            <w:pPr>
              <w:jc w:val="right"/>
              <w:rPr>
                <w:b/>
                <w:bCs/>
                <w:sz w:val="13"/>
                <w:szCs w:val="13"/>
              </w:rPr>
            </w:pPr>
          </w:p>
        </w:tc>
      </w:tr>
      <w:tr w:rsidR="00D7505B" w:rsidRPr="001F224B" w14:paraId="39832489"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05F6E4F"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81791EF"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1B46515F" w14:textId="71C5E2CA"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73AC714A" w14:textId="77777777" w:rsidR="00D7505B" w:rsidRPr="001F224B" w:rsidRDefault="00D7505B" w:rsidP="00D7505B">
            <w:pPr>
              <w:jc w:val="right"/>
              <w:rPr>
                <w:b/>
                <w:bCs/>
                <w:sz w:val="13"/>
                <w:szCs w:val="13"/>
              </w:rPr>
            </w:pPr>
          </w:p>
        </w:tc>
      </w:tr>
      <w:tr w:rsidR="00D7505B" w:rsidRPr="001F224B" w14:paraId="403EEE2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71D70F6"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II.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F837B5D"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Yatırım Faaliyetlerinden Kaynaklanan Net Nakit Akımı</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2206B23" w14:textId="1CC42F62" w:rsidR="00D7505B" w:rsidRPr="001F224B" w:rsidRDefault="009C600D" w:rsidP="00D7505B">
            <w:pPr>
              <w:jc w:val="right"/>
              <w:rPr>
                <w:b/>
                <w:bCs/>
                <w:sz w:val="13"/>
                <w:szCs w:val="13"/>
              </w:rPr>
            </w:pPr>
            <w:r w:rsidRPr="001F224B">
              <w:rPr>
                <w:b/>
                <w:bCs/>
                <w:sz w:val="13"/>
                <w:szCs w:val="13"/>
              </w:rPr>
              <w:t>2.457.335</w:t>
            </w:r>
          </w:p>
        </w:tc>
        <w:tc>
          <w:tcPr>
            <w:tcW w:w="1848" w:type="dxa"/>
            <w:tcBorders>
              <w:top w:val="nil"/>
              <w:left w:val="single" w:sz="4" w:space="0" w:color="auto"/>
              <w:bottom w:val="nil"/>
              <w:right w:val="single" w:sz="4" w:space="0" w:color="auto"/>
            </w:tcBorders>
          </w:tcPr>
          <w:p w14:paraId="20BAFB14" w14:textId="3C5E8D26" w:rsidR="00D7505B" w:rsidRPr="001F224B" w:rsidRDefault="00D7505B" w:rsidP="00D7505B">
            <w:pPr>
              <w:jc w:val="right"/>
              <w:rPr>
                <w:b/>
                <w:bCs/>
                <w:sz w:val="13"/>
                <w:szCs w:val="13"/>
              </w:rPr>
            </w:pPr>
            <w:r w:rsidRPr="001F224B">
              <w:rPr>
                <w:b/>
                <w:sz w:val="13"/>
                <w:szCs w:val="13"/>
              </w:rPr>
              <w:t>(296.408)</w:t>
            </w:r>
          </w:p>
        </w:tc>
      </w:tr>
      <w:tr w:rsidR="00D7505B" w:rsidRPr="001F224B" w14:paraId="24CDDC60"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944323A" w14:textId="77777777" w:rsidR="00D7505B" w:rsidRPr="001F224B" w:rsidRDefault="00D7505B" w:rsidP="00D7505B">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847BAE7"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52DA15F8" w14:textId="08490FCF"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1389B412" w14:textId="77777777" w:rsidR="00D7505B" w:rsidRPr="001F224B" w:rsidRDefault="00D7505B" w:rsidP="00D7505B">
            <w:pPr>
              <w:jc w:val="right"/>
              <w:rPr>
                <w:b/>
                <w:bCs/>
                <w:sz w:val="13"/>
                <w:szCs w:val="13"/>
              </w:rPr>
            </w:pPr>
          </w:p>
        </w:tc>
      </w:tr>
      <w:tr w:rsidR="009C600D" w:rsidRPr="001F224B" w14:paraId="2CD3D2A8" w14:textId="77777777" w:rsidTr="0071013D">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88C0D72"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FEC7539" w14:textId="77777777" w:rsidR="009C600D" w:rsidRPr="001F224B" w:rsidRDefault="009C600D" w:rsidP="009C600D">
            <w:pPr>
              <w:rPr>
                <w:rFonts w:eastAsia="Arial Unicode MS"/>
                <w:sz w:val="13"/>
                <w:szCs w:val="13"/>
              </w:rPr>
            </w:pPr>
            <w:r w:rsidRPr="001F224B">
              <w:rPr>
                <w:rFonts w:eastAsia="Arial Unicode MS"/>
                <w:sz w:val="13"/>
                <w:szCs w:val="13"/>
              </w:rPr>
              <w:t xml:space="preserve">İktisap Edilen İştirakler, Bağlı Ortaklıklar ve Birlikte Kontrol Edilen Ortaklıklar (İş Ortaklıkları)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5A0F5C" w14:textId="7B8C8E2D" w:rsidR="009C600D" w:rsidRPr="001F224B" w:rsidRDefault="006932B4" w:rsidP="009C600D">
            <w:pPr>
              <w:jc w:val="right"/>
              <w:rPr>
                <w:sz w:val="13"/>
                <w:szCs w:val="13"/>
              </w:rPr>
            </w:pPr>
            <w:r w:rsidRPr="001F224B">
              <w:rPr>
                <w:sz w:val="13"/>
                <w:szCs w:val="13"/>
              </w:rPr>
              <w:t>-</w:t>
            </w:r>
          </w:p>
        </w:tc>
        <w:tc>
          <w:tcPr>
            <w:tcW w:w="1848" w:type="dxa"/>
            <w:tcBorders>
              <w:top w:val="nil"/>
              <w:left w:val="single" w:sz="4" w:space="0" w:color="auto"/>
              <w:bottom w:val="nil"/>
              <w:right w:val="single" w:sz="4" w:space="0" w:color="auto"/>
            </w:tcBorders>
          </w:tcPr>
          <w:p w14:paraId="730BF571" w14:textId="17E84A7B" w:rsidR="009C600D" w:rsidRPr="001F224B" w:rsidRDefault="009C600D" w:rsidP="009C600D">
            <w:pPr>
              <w:jc w:val="right"/>
              <w:rPr>
                <w:b/>
                <w:bCs/>
                <w:sz w:val="13"/>
                <w:szCs w:val="13"/>
              </w:rPr>
            </w:pPr>
            <w:r w:rsidRPr="001F224B">
              <w:rPr>
                <w:sz w:val="13"/>
                <w:szCs w:val="13"/>
              </w:rPr>
              <w:t xml:space="preserve"> -   </w:t>
            </w:r>
          </w:p>
        </w:tc>
      </w:tr>
      <w:tr w:rsidR="009C600D" w:rsidRPr="001F224B" w14:paraId="1965E124" w14:textId="77777777" w:rsidTr="0071013D">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545525E"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F75CA18" w14:textId="77777777" w:rsidR="009C600D" w:rsidRPr="001F224B" w:rsidRDefault="009C600D" w:rsidP="009C600D">
            <w:pPr>
              <w:rPr>
                <w:rFonts w:eastAsia="Arial Unicode MS"/>
                <w:sz w:val="13"/>
                <w:szCs w:val="13"/>
              </w:rPr>
            </w:pPr>
            <w:r w:rsidRPr="001F224B">
              <w:rPr>
                <w:rFonts w:eastAsia="Arial Unicode MS"/>
                <w:sz w:val="13"/>
                <w:szCs w:val="13"/>
              </w:rPr>
              <w:t xml:space="preserve">Elden Çıkarılan İştirakler, Bağlı Ortaklıklar ve Birlikte Kontrol Edilen Ortaklıklar (İş Ortaklıkları)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4D6F4C7" w14:textId="345FC8F1" w:rsidR="009C600D" w:rsidRPr="001F224B" w:rsidRDefault="009C600D" w:rsidP="009C600D">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05794C04" w14:textId="0E83A9CB" w:rsidR="009C600D" w:rsidRPr="001F224B" w:rsidRDefault="009C600D" w:rsidP="009C600D">
            <w:pPr>
              <w:jc w:val="right"/>
              <w:rPr>
                <w:b/>
                <w:bCs/>
                <w:sz w:val="13"/>
                <w:szCs w:val="13"/>
              </w:rPr>
            </w:pPr>
            <w:r w:rsidRPr="001F224B">
              <w:rPr>
                <w:sz w:val="13"/>
                <w:szCs w:val="13"/>
              </w:rPr>
              <w:t xml:space="preserve"> -   </w:t>
            </w:r>
          </w:p>
        </w:tc>
      </w:tr>
      <w:tr w:rsidR="009C600D" w:rsidRPr="001F224B" w14:paraId="7C429CF5"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47AD194"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6C7211D" w14:textId="77777777" w:rsidR="009C600D" w:rsidRPr="001F224B" w:rsidRDefault="009C600D" w:rsidP="009C600D">
            <w:pPr>
              <w:rPr>
                <w:rFonts w:eastAsia="Arial Unicode MS"/>
                <w:sz w:val="13"/>
                <w:szCs w:val="13"/>
              </w:rPr>
            </w:pPr>
            <w:r w:rsidRPr="001F224B">
              <w:rPr>
                <w:rFonts w:eastAsia="Arial Unicode MS"/>
                <w:sz w:val="13"/>
                <w:szCs w:val="13"/>
              </w:rPr>
              <w:t xml:space="preserve">Satın Alınan Menkul ve Gayrimenkuller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4E233C" w14:textId="26187D72" w:rsidR="009C600D" w:rsidRPr="001F224B" w:rsidRDefault="006932B4" w:rsidP="009C600D">
            <w:pPr>
              <w:jc w:val="right"/>
              <w:rPr>
                <w:sz w:val="13"/>
                <w:szCs w:val="13"/>
              </w:rPr>
            </w:pPr>
            <w:r w:rsidRPr="001F224B">
              <w:rPr>
                <w:sz w:val="13"/>
                <w:szCs w:val="13"/>
              </w:rPr>
              <w:t>(</w:t>
            </w:r>
            <w:r w:rsidR="009C600D" w:rsidRPr="001F224B">
              <w:rPr>
                <w:sz w:val="13"/>
                <w:szCs w:val="13"/>
              </w:rPr>
              <w:t>33.879</w:t>
            </w:r>
            <w:r w:rsidRPr="001F224B">
              <w:rPr>
                <w:sz w:val="13"/>
                <w:szCs w:val="13"/>
              </w:rPr>
              <w:t>)</w:t>
            </w:r>
          </w:p>
        </w:tc>
        <w:tc>
          <w:tcPr>
            <w:tcW w:w="1848" w:type="dxa"/>
            <w:tcBorders>
              <w:top w:val="nil"/>
              <w:left w:val="single" w:sz="4" w:space="0" w:color="auto"/>
              <w:bottom w:val="nil"/>
              <w:right w:val="single" w:sz="4" w:space="0" w:color="auto"/>
            </w:tcBorders>
          </w:tcPr>
          <w:p w14:paraId="10AA9C80" w14:textId="1278399F" w:rsidR="009C600D" w:rsidRPr="001F224B" w:rsidRDefault="009C600D" w:rsidP="009C600D">
            <w:pPr>
              <w:jc w:val="right"/>
              <w:rPr>
                <w:bCs/>
                <w:sz w:val="13"/>
                <w:szCs w:val="13"/>
              </w:rPr>
            </w:pPr>
            <w:r w:rsidRPr="001F224B">
              <w:rPr>
                <w:sz w:val="13"/>
                <w:szCs w:val="13"/>
              </w:rPr>
              <w:t xml:space="preserve"> (34.530)</w:t>
            </w:r>
          </w:p>
        </w:tc>
      </w:tr>
      <w:tr w:rsidR="009C600D" w:rsidRPr="001F224B" w14:paraId="57ABA2E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28C67A1"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F705271" w14:textId="77777777" w:rsidR="009C600D" w:rsidRPr="001F224B" w:rsidRDefault="009C600D" w:rsidP="009C600D">
            <w:pPr>
              <w:rPr>
                <w:rFonts w:eastAsia="Arial Unicode MS"/>
                <w:sz w:val="13"/>
                <w:szCs w:val="13"/>
              </w:rPr>
            </w:pPr>
            <w:r w:rsidRPr="001F224B">
              <w:rPr>
                <w:rFonts w:eastAsia="Arial Unicode MS"/>
                <w:sz w:val="13"/>
                <w:szCs w:val="13"/>
              </w:rPr>
              <w:t>Elden Çıkarılan Menkul ve Gayrimenkuller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17B9C8" w14:textId="44CB2DEF" w:rsidR="009C600D" w:rsidRPr="001F224B" w:rsidRDefault="009C600D" w:rsidP="009C600D">
            <w:pPr>
              <w:jc w:val="right"/>
              <w:rPr>
                <w:sz w:val="13"/>
                <w:szCs w:val="13"/>
              </w:rPr>
            </w:pPr>
            <w:r w:rsidRPr="001F224B">
              <w:rPr>
                <w:sz w:val="13"/>
                <w:szCs w:val="13"/>
              </w:rPr>
              <w:t>49</w:t>
            </w:r>
          </w:p>
        </w:tc>
        <w:tc>
          <w:tcPr>
            <w:tcW w:w="1848" w:type="dxa"/>
            <w:tcBorders>
              <w:top w:val="nil"/>
              <w:left w:val="single" w:sz="4" w:space="0" w:color="auto"/>
              <w:bottom w:val="nil"/>
              <w:right w:val="single" w:sz="4" w:space="0" w:color="auto"/>
            </w:tcBorders>
          </w:tcPr>
          <w:p w14:paraId="103EE388" w14:textId="2D5D3C25" w:rsidR="009C600D" w:rsidRPr="001F224B" w:rsidRDefault="009C600D" w:rsidP="009C600D">
            <w:pPr>
              <w:jc w:val="right"/>
              <w:rPr>
                <w:bCs/>
                <w:sz w:val="13"/>
                <w:szCs w:val="13"/>
              </w:rPr>
            </w:pPr>
            <w:r w:rsidRPr="001F224B">
              <w:rPr>
                <w:sz w:val="13"/>
                <w:szCs w:val="13"/>
              </w:rPr>
              <w:t xml:space="preserve"> 18 </w:t>
            </w:r>
          </w:p>
        </w:tc>
      </w:tr>
      <w:tr w:rsidR="009C600D" w:rsidRPr="001F224B" w14:paraId="4A24A98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E94A711"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7DA37C0" w14:textId="77777777" w:rsidR="009C600D" w:rsidRPr="001F224B" w:rsidRDefault="009C600D" w:rsidP="009C600D">
            <w:pPr>
              <w:rPr>
                <w:rFonts w:eastAsia="Arial Unicode MS"/>
                <w:sz w:val="13"/>
                <w:szCs w:val="13"/>
              </w:rPr>
            </w:pPr>
            <w:r w:rsidRPr="001F224B">
              <w:rPr>
                <w:rFonts w:eastAsia="Arial Unicode MS"/>
                <w:sz w:val="13"/>
                <w:szCs w:val="13"/>
              </w:rPr>
              <w:t>Elde Edilen Gerçeğe Uygun Değer Farkı Diğer Kapsamlı Gelire Yansıtılan Finansal Varlıklar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99B543" w14:textId="037170E0" w:rsidR="009C600D" w:rsidRPr="001F224B" w:rsidRDefault="006932B4" w:rsidP="009C600D">
            <w:pPr>
              <w:jc w:val="right"/>
              <w:rPr>
                <w:sz w:val="13"/>
                <w:szCs w:val="13"/>
              </w:rPr>
            </w:pPr>
            <w:r w:rsidRPr="001F224B">
              <w:rPr>
                <w:sz w:val="13"/>
                <w:szCs w:val="13"/>
              </w:rPr>
              <w:t>(</w:t>
            </w:r>
            <w:r w:rsidR="009C600D" w:rsidRPr="001F224B">
              <w:rPr>
                <w:sz w:val="13"/>
                <w:szCs w:val="13"/>
              </w:rPr>
              <w:t>22.909.878</w:t>
            </w:r>
            <w:r w:rsidRPr="001F224B">
              <w:rPr>
                <w:sz w:val="13"/>
                <w:szCs w:val="13"/>
              </w:rPr>
              <w:t>)</w:t>
            </w:r>
          </w:p>
        </w:tc>
        <w:tc>
          <w:tcPr>
            <w:tcW w:w="1848" w:type="dxa"/>
            <w:tcBorders>
              <w:top w:val="nil"/>
              <w:left w:val="single" w:sz="4" w:space="0" w:color="auto"/>
              <w:bottom w:val="nil"/>
              <w:right w:val="single" w:sz="4" w:space="0" w:color="auto"/>
            </w:tcBorders>
          </w:tcPr>
          <w:p w14:paraId="48CBB67D" w14:textId="5F05D9B6" w:rsidR="009C600D" w:rsidRPr="001F224B" w:rsidRDefault="009C600D" w:rsidP="009C600D">
            <w:pPr>
              <w:jc w:val="right"/>
              <w:rPr>
                <w:bCs/>
                <w:sz w:val="13"/>
                <w:szCs w:val="13"/>
              </w:rPr>
            </w:pPr>
            <w:r w:rsidRPr="001F224B">
              <w:rPr>
                <w:sz w:val="13"/>
                <w:szCs w:val="13"/>
              </w:rPr>
              <w:t xml:space="preserve"> (17.593.878)</w:t>
            </w:r>
          </w:p>
        </w:tc>
      </w:tr>
      <w:tr w:rsidR="009C600D" w:rsidRPr="001F224B" w14:paraId="34D1574F"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B87C0BB"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1F9C457" w14:textId="77777777" w:rsidR="009C600D" w:rsidRPr="001F224B" w:rsidRDefault="009C600D" w:rsidP="009C600D">
            <w:pPr>
              <w:rPr>
                <w:rFonts w:eastAsia="Arial Unicode MS"/>
                <w:sz w:val="13"/>
                <w:szCs w:val="13"/>
              </w:rPr>
            </w:pPr>
            <w:r w:rsidRPr="001F224B">
              <w:rPr>
                <w:rFonts w:eastAsia="Arial Unicode MS"/>
                <w:sz w:val="13"/>
                <w:szCs w:val="13"/>
              </w:rPr>
              <w:t>Elden Çıkarılan Gerçeğe Uygun Değer Farkı Diğer Kapsamlı Gelire Yansıtılan Finansal Varlıklar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5EE0192" w14:textId="49C088E8" w:rsidR="009C600D" w:rsidRPr="001F224B" w:rsidRDefault="009C600D" w:rsidP="009C600D">
            <w:pPr>
              <w:jc w:val="right"/>
              <w:rPr>
                <w:sz w:val="13"/>
                <w:szCs w:val="13"/>
              </w:rPr>
            </w:pPr>
            <w:r w:rsidRPr="001F224B">
              <w:rPr>
                <w:sz w:val="13"/>
                <w:szCs w:val="13"/>
              </w:rPr>
              <w:t>24.397.665</w:t>
            </w:r>
          </w:p>
        </w:tc>
        <w:tc>
          <w:tcPr>
            <w:tcW w:w="1848" w:type="dxa"/>
            <w:tcBorders>
              <w:top w:val="nil"/>
              <w:left w:val="single" w:sz="4" w:space="0" w:color="auto"/>
              <w:bottom w:val="nil"/>
              <w:right w:val="single" w:sz="4" w:space="0" w:color="auto"/>
            </w:tcBorders>
          </w:tcPr>
          <w:p w14:paraId="16BEE7DA" w14:textId="4495055C" w:rsidR="009C600D" w:rsidRPr="001F224B" w:rsidRDefault="009C600D" w:rsidP="009C600D">
            <w:pPr>
              <w:jc w:val="right"/>
              <w:rPr>
                <w:bCs/>
                <w:sz w:val="13"/>
                <w:szCs w:val="13"/>
              </w:rPr>
            </w:pPr>
            <w:r w:rsidRPr="001F224B">
              <w:rPr>
                <w:sz w:val="13"/>
                <w:szCs w:val="13"/>
              </w:rPr>
              <w:t xml:space="preserve"> 13.043.515 </w:t>
            </w:r>
          </w:p>
        </w:tc>
      </w:tr>
      <w:tr w:rsidR="009C600D" w:rsidRPr="001F224B" w14:paraId="2CD30A37"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E0F459E"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2.7</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AEEA906" w14:textId="77777777" w:rsidR="009C600D" w:rsidRPr="001F224B" w:rsidRDefault="009C600D" w:rsidP="009C600D">
            <w:pPr>
              <w:rPr>
                <w:rFonts w:eastAsia="Arial Unicode MS"/>
                <w:sz w:val="13"/>
                <w:szCs w:val="13"/>
              </w:rPr>
            </w:pPr>
            <w:r w:rsidRPr="001F224B">
              <w:rPr>
                <w:rFonts w:eastAsia="Arial Unicode MS"/>
                <w:sz w:val="13"/>
                <w:szCs w:val="13"/>
              </w:rPr>
              <w:t>Satın Alınan İtfa Edilmiş Maliyeti ile Ölçülen Finansal Varlıklar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D710DE" w14:textId="57963CD7" w:rsidR="009C600D" w:rsidRPr="001F224B" w:rsidRDefault="006932B4" w:rsidP="009C600D">
            <w:pPr>
              <w:jc w:val="right"/>
              <w:rPr>
                <w:sz w:val="13"/>
                <w:szCs w:val="13"/>
              </w:rPr>
            </w:pPr>
            <w:r w:rsidRPr="001F224B">
              <w:rPr>
                <w:sz w:val="13"/>
                <w:szCs w:val="13"/>
              </w:rPr>
              <w:t>(</w:t>
            </w:r>
            <w:r w:rsidR="009C600D" w:rsidRPr="001F224B">
              <w:rPr>
                <w:sz w:val="13"/>
                <w:szCs w:val="13"/>
              </w:rPr>
              <w:t>1.384.986</w:t>
            </w:r>
            <w:r w:rsidRPr="001F224B">
              <w:rPr>
                <w:sz w:val="13"/>
                <w:szCs w:val="13"/>
              </w:rPr>
              <w:t>)</w:t>
            </w:r>
          </w:p>
        </w:tc>
        <w:tc>
          <w:tcPr>
            <w:tcW w:w="1848" w:type="dxa"/>
            <w:tcBorders>
              <w:top w:val="nil"/>
              <w:left w:val="single" w:sz="4" w:space="0" w:color="auto"/>
              <w:bottom w:val="nil"/>
              <w:right w:val="single" w:sz="4" w:space="0" w:color="auto"/>
            </w:tcBorders>
          </w:tcPr>
          <w:p w14:paraId="55AEC547" w14:textId="029669C6" w:rsidR="009C600D" w:rsidRPr="001F224B" w:rsidRDefault="009C600D" w:rsidP="009C600D">
            <w:pPr>
              <w:jc w:val="right"/>
              <w:rPr>
                <w:bCs/>
                <w:sz w:val="13"/>
                <w:szCs w:val="13"/>
              </w:rPr>
            </w:pPr>
            <w:r w:rsidRPr="001F224B">
              <w:rPr>
                <w:sz w:val="13"/>
                <w:szCs w:val="13"/>
              </w:rPr>
              <w:t xml:space="preserve"> (1.618.681)</w:t>
            </w:r>
          </w:p>
        </w:tc>
      </w:tr>
      <w:tr w:rsidR="009C600D" w:rsidRPr="001F224B" w14:paraId="362AC4F5"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73BA19E"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2.8</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5B408BD" w14:textId="77777777" w:rsidR="009C600D" w:rsidRPr="001F224B" w:rsidRDefault="009C600D" w:rsidP="009C600D">
            <w:pPr>
              <w:rPr>
                <w:rFonts w:eastAsia="Arial Unicode MS"/>
                <w:sz w:val="13"/>
                <w:szCs w:val="13"/>
              </w:rPr>
            </w:pPr>
            <w:r w:rsidRPr="001F224B">
              <w:rPr>
                <w:rFonts w:eastAsia="Arial Unicode MS"/>
                <w:sz w:val="13"/>
                <w:szCs w:val="13"/>
              </w:rPr>
              <w:t xml:space="preserve">Satılan İtfa Edilmiş Maliyeti ile Ölçülen Finansal Varlıklar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BFE212" w14:textId="2858E3CB" w:rsidR="009C600D" w:rsidRPr="001F224B" w:rsidRDefault="009C600D" w:rsidP="009C600D">
            <w:pPr>
              <w:jc w:val="right"/>
              <w:rPr>
                <w:sz w:val="13"/>
                <w:szCs w:val="13"/>
              </w:rPr>
            </w:pPr>
            <w:r w:rsidRPr="001F224B">
              <w:rPr>
                <w:sz w:val="13"/>
                <w:szCs w:val="13"/>
              </w:rPr>
              <w:t>2.412.815</w:t>
            </w:r>
          </w:p>
        </w:tc>
        <w:tc>
          <w:tcPr>
            <w:tcW w:w="1848" w:type="dxa"/>
            <w:tcBorders>
              <w:top w:val="nil"/>
              <w:left w:val="single" w:sz="4" w:space="0" w:color="auto"/>
              <w:bottom w:val="nil"/>
              <w:right w:val="single" w:sz="4" w:space="0" w:color="auto"/>
            </w:tcBorders>
          </w:tcPr>
          <w:p w14:paraId="6A50BB35" w14:textId="2B69BBCA" w:rsidR="009C600D" w:rsidRPr="001F224B" w:rsidRDefault="009C600D" w:rsidP="009C600D">
            <w:pPr>
              <w:jc w:val="right"/>
              <w:rPr>
                <w:bCs/>
                <w:sz w:val="13"/>
                <w:szCs w:val="13"/>
              </w:rPr>
            </w:pPr>
            <w:r w:rsidRPr="001F224B">
              <w:rPr>
                <w:sz w:val="13"/>
                <w:szCs w:val="13"/>
              </w:rPr>
              <w:t xml:space="preserve"> 5.922.560 </w:t>
            </w:r>
          </w:p>
        </w:tc>
      </w:tr>
      <w:tr w:rsidR="009C600D" w:rsidRPr="001F224B" w14:paraId="79CFC2A7"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1D2C9A4"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2.9</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E8E5BDD" w14:textId="77777777" w:rsidR="009C600D" w:rsidRPr="001F224B" w:rsidRDefault="009C600D" w:rsidP="009C600D">
            <w:pPr>
              <w:rPr>
                <w:rFonts w:eastAsia="Arial Unicode MS"/>
                <w:sz w:val="13"/>
                <w:szCs w:val="13"/>
              </w:rPr>
            </w:pPr>
            <w:r w:rsidRPr="001F224B">
              <w:rPr>
                <w:rFonts w:eastAsia="Arial Unicode MS"/>
                <w:sz w:val="13"/>
                <w:szCs w:val="13"/>
              </w:rPr>
              <w:t xml:space="preserve">Diğer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6670B79" w14:textId="28880ED2" w:rsidR="009C600D" w:rsidRPr="001F224B" w:rsidRDefault="006932B4" w:rsidP="009C600D">
            <w:pPr>
              <w:jc w:val="right"/>
              <w:rPr>
                <w:sz w:val="13"/>
                <w:szCs w:val="13"/>
              </w:rPr>
            </w:pPr>
            <w:r w:rsidRPr="001F224B">
              <w:rPr>
                <w:sz w:val="13"/>
                <w:szCs w:val="13"/>
              </w:rPr>
              <w:t>(</w:t>
            </w:r>
            <w:r w:rsidR="009C600D" w:rsidRPr="001F224B">
              <w:rPr>
                <w:sz w:val="13"/>
                <w:szCs w:val="13"/>
              </w:rPr>
              <w:t>24.451</w:t>
            </w:r>
            <w:r w:rsidRPr="001F224B">
              <w:rPr>
                <w:sz w:val="13"/>
                <w:szCs w:val="13"/>
              </w:rPr>
              <w:t>)</w:t>
            </w:r>
          </w:p>
        </w:tc>
        <w:tc>
          <w:tcPr>
            <w:tcW w:w="1848" w:type="dxa"/>
            <w:tcBorders>
              <w:top w:val="nil"/>
              <w:left w:val="single" w:sz="4" w:space="0" w:color="auto"/>
              <w:bottom w:val="nil"/>
              <w:right w:val="single" w:sz="4" w:space="0" w:color="auto"/>
            </w:tcBorders>
          </w:tcPr>
          <w:p w14:paraId="5A2FE0CB" w14:textId="0739373E" w:rsidR="009C600D" w:rsidRPr="001F224B" w:rsidRDefault="009C600D" w:rsidP="009C600D">
            <w:pPr>
              <w:jc w:val="right"/>
              <w:rPr>
                <w:b/>
                <w:bCs/>
                <w:sz w:val="13"/>
                <w:szCs w:val="13"/>
              </w:rPr>
            </w:pPr>
            <w:r w:rsidRPr="001F224B">
              <w:rPr>
                <w:sz w:val="13"/>
                <w:szCs w:val="13"/>
              </w:rPr>
              <w:t>(15.412)</w:t>
            </w:r>
          </w:p>
        </w:tc>
      </w:tr>
      <w:tr w:rsidR="00D7505B" w:rsidRPr="001F224B" w14:paraId="03BC710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26B8AFD"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2BFCB5F"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2E9F5F1" w14:textId="348F2582"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148D171D" w14:textId="77777777" w:rsidR="00D7505B" w:rsidRPr="001F224B" w:rsidRDefault="00D7505B" w:rsidP="00D7505B">
            <w:pPr>
              <w:jc w:val="right"/>
              <w:rPr>
                <w:b/>
                <w:bCs/>
                <w:sz w:val="13"/>
                <w:szCs w:val="13"/>
              </w:rPr>
            </w:pPr>
          </w:p>
        </w:tc>
      </w:tr>
      <w:tr w:rsidR="00D7505B" w:rsidRPr="001F224B" w14:paraId="4947D60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F49DE6E"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C.</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FE71293"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FİNANSMAN FAALİYETLERİNE İLİŞKİN NAKİT AKIMLARI</w:t>
            </w: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5EC091E7" w14:textId="4F525529"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1CAA388A" w14:textId="77777777" w:rsidR="00D7505B" w:rsidRPr="001F224B" w:rsidRDefault="00D7505B" w:rsidP="00D7505B">
            <w:pPr>
              <w:jc w:val="right"/>
              <w:rPr>
                <w:b/>
                <w:bCs/>
                <w:sz w:val="13"/>
                <w:szCs w:val="13"/>
              </w:rPr>
            </w:pPr>
          </w:p>
        </w:tc>
      </w:tr>
      <w:tr w:rsidR="00D7505B" w:rsidRPr="001F224B" w14:paraId="547E681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3E9D654"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CD038EC"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B24787E" w14:textId="3C969313"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412F73E8" w14:textId="77777777" w:rsidR="00D7505B" w:rsidRPr="001F224B" w:rsidRDefault="00D7505B" w:rsidP="00D7505B">
            <w:pPr>
              <w:jc w:val="right"/>
              <w:rPr>
                <w:b/>
                <w:bCs/>
                <w:sz w:val="13"/>
                <w:szCs w:val="13"/>
              </w:rPr>
            </w:pPr>
          </w:p>
        </w:tc>
      </w:tr>
      <w:tr w:rsidR="00D7505B" w:rsidRPr="001F224B" w14:paraId="52AECAF6"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06D22C4"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III.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5DB60D7"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Finansman Faaliyetlerinden Sağlanan Net Nakit</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1EF552" w14:textId="580569E4" w:rsidR="00D7505B" w:rsidRPr="001F224B" w:rsidRDefault="009C600D" w:rsidP="00D7505B">
            <w:pPr>
              <w:jc w:val="right"/>
              <w:rPr>
                <w:b/>
                <w:bCs/>
                <w:sz w:val="13"/>
                <w:szCs w:val="13"/>
              </w:rPr>
            </w:pPr>
            <w:r w:rsidRPr="001F224B">
              <w:rPr>
                <w:b/>
                <w:bCs/>
                <w:sz w:val="13"/>
                <w:szCs w:val="13"/>
              </w:rPr>
              <w:t>4.479.381</w:t>
            </w:r>
          </w:p>
        </w:tc>
        <w:tc>
          <w:tcPr>
            <w:tcW w:w="1848" w:type="dxa"/>
            <w:tcBorders>
              <w:top w:val="nil"/>
              <w:left w:val="single" w:sz="4" w:space="0" w:color="auto"/>
              <w:bottom w:val="nil"/>
              <w:right w:val="single" w:sz="4" w:space="0" w:color="auto"/>
            </w:tcBorders>
          </w:tcPr>
          <w:p w14:paraId="1AB5FCC5" w14:textId="25FDC0ED" w:rsidR="00D7505B" w:rsidRPr="001F224B" w:rsidRDefault="00D7505B" w:rsidP="00D7505B">
            <w:pPr>
              <w:jc w:val="right"/>
              <w:rPr>
                <w:b/>
                <w:bCs/>
                <w:sz w:val="13"/>
                <w:szCs w:val="13"/>
              </w:rPr>
            </w:pPr>
            <w:r w:rsidRPr="001F224B">
              <w:rPr>
                <w:b/>
                <w:bCs/>
                <w:sz w:val="13"/>
                <w:szCs w:val="13"/>
              </w:rPr>
              <w:t>2.988.508</w:t>
            </w:r>
          </w:p>
        </w:tc>
      </w:tr>
      <w:tr w:rsidR="00D7505B" w:rsidRPr="001F224B" w14:paraId="51E519F2"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6AD1E74"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A760EE0"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6E256CD5" w14:textId="27F4B102"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2CCD0FD5" w14:textId="135E7F71" w:rsidR="00D7505B" w:rsidRPr="001F224B" w:rsidRDefault="00D7505B" w:rsidP="00D7505B">
            <w:pPr>
              <w:jc w:val="right"/>
              <w:rPr>
                <w:b/>
                <w:bCs/>
                <w:sz w:val="13"/>
                <w:szCs w:val="13"/>
              </w:rPr>
            </w:pPr>
            <w:r w:rsidRPr="001F224B">
              <w:rPr>
                <w:b/>
                <w:bCs/>
                <w:sz w:val="13"/>
                <w:szCs w:val="13"/>
              </w:rPr>
              <w:t> </w:t>
            </w:r>
          </w:p>
        </w:tc>
      </w:tr>
      <w:tr w:rsidR="00D7505B" w:rsidRPr="001F224B" w14:paraId="30888AA6"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D214243" w14:textId="77777777" w:rsidR="00D7505B" w:rsidRPr="001F224B" w:rsidRDefault="00D7505B" w:rsidP="00D7505B">
            <w:pPr>
              <w:spacing w:line="226" w:lineRule="auto"/>
              <w:rPr>
                <w:rFonts w:eastAsia="Arial Unicode MS"/>
                <w:sz w:val="13"/>
                <w:szCs w:val="13"/>
              </w:rPr>
            </w:pPr>
            <w:r w:rsidRPr="001F224B">
              <w:rPr>
                <w:rFonts w:eastAsia="Arial Unicode MS"/>
                <w:sz w:val="13"/>
                <w:szCs w:val="13"/>
              </w:rPr>
              <w:t>3.1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FF7ED03" w14:textId="77777777" w:rsidR="00D7505B" w:rsidRPr="001F224B" w:rsidRDefault="00D7505B" w:rsidP="00D7505B">
            <w:pPr>
              <w:rPr>
                <w:rFonts w:eastAsia="Arial Unicode MS"/>
                <w:sz w:val="13"/>
                <w:szCs w:val="13"/>
              </w:rPr>
            </w:pPr>
            <w:r w:rsidRPr="001F224B">
              <w:rPr>
                <w:rFonts w:eastAsia="Arial Unicode MS"/>
                <w:sz w:val="13"/>
                <w:szCs w:val="13"/>
              </w:rPr>
              <w:t>Krediler ve İhraç Edilen Menkul Değerlerden Sağlanan Nakit</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54C82C7" w14:textId="1BC37F88" w:rsidR="00D7505B" w:rsidRPr="001F224B" w:rsidRDefault="00D7505B" w:rsidP="00D7505B">
            <w:pPr>
              <w:jc w:val="right"/>
              <w:rPr>
                <w:sz w:val="13"/>
                <w:szCs w:val="13"/>
              </w:rPr>
            </w:pPr>
            <w:r w:rsidRPr="001F224B">
              <w:rPr>
                <w:sz w:val="13"/>
                <w:szCs w:val="13"/>
              </w:rPr>
              <w:t>-</w:t>
            </w:r>
          </w:p>
        </w:tc>
        <w:tc>
          <w:tcPr>
            <w:tcW w:w="1848" w:type="dxa"/>
            <w:tcBorders>
              <w:top w:val="nil"/>
              <w:left w:val="single" w:sz="4" w:space="0" w:color="auto"/>
              <w:bottom w:val="nil"/>
              <w:right w:val="single" w:sz="4" w:space="0" w:color="auto"/>
            </w:tcBorders>
          </w:tcPr>
          <w:p w14:paraId="2341DB58" w14:textId="166F6C00" w:rsidR="00D7505B" w:rsidRPr="001F224B" w:rsidRDefault="00D7505B" w:rsidP="00D7505B">
            <w:pPr>
              <w:jc w:val="right"/>
              <w:rPr>
                <w:b/>
                <w:bCs/>
                <w:sz w:val="13"/>
                <w:szCs w:val="13"/>
              </w:rPr>
            </w:pPr>
            <w:r w:rsidRPr="001F224B">
              <w:rPr>
                <w:sz w:val="13"/>
                <w:szCs w:val="13"/>
              </w:rPr>
              <w:t>-</w:t>
            </w:r>
          </w:p>
        </w:tc>
      </w:tr>
      <w:tr w:rsidR="00D7505B" w:rsidRPr="001F224B" w14:paraId="15F9974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13BC751" w14:textId="77777777" w:rsidR="00D7505B" w:rsidRPr="001F224B" w:rsidRDefault="00D7505B" w:rsidP="00D7505B">
            <w:pPr>
              <w:spacing w:line="226" w:lineRule="auto"/>
              <w:rPr>
                <w:rFonts w:eastAsia="Arial Unicode MS"/>
                <w:sz w:val="13"/>
                <w:szCs w:val="13"/>
              </w:rPr>
            </w:pPr>
            <w:r w:rsidRPr="001F224B">
              <w:rPr>
                <w:rFonts w:eastAsia="Arial Unicode MS"/>
                <w:sz w:val="13"/>
                <w:szCs w:val="13"/>
              </w:rPr>
              <w:t>3.2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D5A2D10" w14:textId="77777777" w:rsidR="00D7505B" w:rsidRPr="001F224B" w:rsidRDefault="00D7505B" w:rsidP="00D7505B">
            <w:pPr>
              <w:rPr>
                <w:rFonts w:eastAsia="Arial Unicode MS"/>
                <w:sz w:val="13"/>
                <w:szCs w:val="13"/>
              </w:rPr>
            </w:pPr>
            <w:r w:rsidRPr="001F224B">
              <w:rPr>
                <w:rFonts w:eastAsia="Arial Unicode MS"/>
                <w:sz w:val="13"/>
                <w:szCs w:val="13"/>
              </w:rPr>
              <w:t>Krediler ve İhraç Edilen Menkul Değerlerden Kaynaklanan Nakit Çıkışı</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7FB953" w14:textId="4526FFD6" w:rsidR="00D7505B" w:rsidRPr="001F224B" w:rsidRDefault="00D7505B" w:rsidP="00D7505B">
            <w:pPr>
              <w:jc w:val="right"/>
              <w:rPr>
                <w:sz w:val="13"/>
                <w:szCs w:val="13"/>
              </w:rPr>
            </w:pPr>
            <w:r w:rsidRPr="001F224B">
              <w:rPr>
                <w:sz w:val="13"/>
                <w:szCs w:val="13"/>
              </w:rPr>
              <w:t xml:space="preserve">                              -   </w:t>
            </w:r>
          </w:p>
        </w:tc>
        <w:tc>
          <w:tcPr>
            <w:tcW w:w="1848" w:type="dxa"/>
            <w:tcBorders>
              <w:top w:val="nil"/>
              <w:left w:val="single" w:sz="4" w:space="0" w:color="auto"/>
              <w:bottom w:val="nil"/>
              <w:right w:val="single" w:sz="4" w:space="0" w:color="auto"/>
            </w:tcBorders>
          </w:tcPr>
          <w:p w14:paraId="39F56391" w14:textId="47157B04" w:rsidR="00D7505B" w:rsidRPr="001F224B" w:rsidRDefault="00D7505B" w:rsidP="00D7505B">
            <w:pPr>
              <w:jc w:val="right"/>
              <w:rPr>
                <w:b/>
                <w:bCs/>
                <w:sz w:val="13"/>
                <w:szCs w:val="13"/>
              </w:rPr>
            </w:pPr>
            <w:r w:rsidRPr="001F224B">
              <w:rPr>
                <w:sz w:val="13"/>
                <w:szCs w:val="13"/>
              </w:rPr>
              <w:t xml:space="preserve">                              -   </w:t>
            </w:r>
          </w:p>
        </w:tc>
      </w:tr>
      <w:tr w:rsidR="009C600D" w:rsidRPr="001F224B" w14:paraId="36461685"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32D6453"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3.3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F6E7C5A" w14:textId="77777777" w:rsidR="009C600D" w:rsidRPr="001F224B" w:rsidRDefault="009C600D" w:rsidP="009C600D">
            <w:pPr>
              <w:rPr>
                <w:rFonts w:eastAsia="Arial Unicode MS"/>
                <w:sz w:val="13"/>
                <w:szCs w:val="13"/>
              </w:rPr>
            </w:pPr>
            <w:r w:rsidRPr="001F224B">
              <w:rPr>
                <w:rFonts w:eastAsia="Arial Unicode MS"/>
                <w:sz w:val="13"/>
                <w:szCs w:val="13"/>
              </w:rPr>
              <w:t xml:space="preserve">İhraç Edilen Sermaye Araçları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A54503" w14:textId="49C58585" w:rsidR="009C600D" w:rsidRPr="001F224B" w:rsidRDefault="009C600D" w:rsidP="009C600D">
            <w:pPr>
              <w:jc w:val="right"/>
              <w:rPr>
                <w:sz w:val="13"/>
                <w:szCs w:val="13"/>
              </w:rPr>
            </w:pPr>
            <w:r w:rsidRPr="001F224B">
              <w:rPr>
                <w:sz w:val="13"/>
                <w:szCs w:val="13"/>
              </w:rPr>
              <w:t>4.500.826</w:t>
            </w:r>
          </w:p>
        </w:tc>
        <w:tc>
          <w:tcPr>
            <w:tcW w:w="1848" w:type="dxa"/>
            <w:tcBorders>
              <w:top w:val="nil"/>
              <w:left w:val="single" w:sz="4" w:space="0" w:color="auto"/>
              <w:bottom w:val="nil"/>
              <w:right w:val="single" w:sz="4" w:space="0" w:color="auto"/>
            </w:tcBorders>
          </w:tcPr>
          <w:p w14:paraId="1B556666" w14:textId="5F0CC52A" w:rsidR="009C600D" w:rsidRPr="001F224B" w:rsidRDefault="009C600D" w:rsidP="009C600D">
            <w:pPr>
              <w:jc w:val="right"/>
              <w:rPr>
                <w:b/>
                <w:bCs/>
                <w:sz w:val="13"/>
                <w:szCs w:val="13"/>
              </w:rPr>
            </w:pPr>
            <w:r w:rsidRPr="001F224B">
              <w:rPr>
                <w:sz w:val="13"/>
                <w:szCs w:val="13"/>
              </w:rPr>
              <w:t xml:space="preserve">3.001.383    </w:t>
            </w:r>
          </w:p>
        </w:tc>
      </w:tr>
      <w:tr w:rsidR="009C600D" w:rsidRPr="001F224B" w14:paraId="7C4965F0"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9DAC063"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3.4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813682A" w14:textId="77777777" w:rsidR="009C600D" w:rsidRPr="001F224B" w:rsidRDefault="009C600D" w:rsidP="009C600D">
            <w:pPr>
              <w:rPr>
                <w:rFonts w:eastAsia="Arial Unicode MS"/>
                <w:sz w:val="13"/>
                <w:szCs w:val="13"/>
              </w:rPr>
            </w:pPr>
            <w:r w:rsidRPr="001F224B">
              <w:rPr>
                <w:rFonts w:eastAsia="Arial Unicode MS"/>
                <w:sz w:val="13"/>
                <w:szCs w:val="13"/>
              </w:rPr>
              <w:t xml:space="preserve">Temettü Ödemeleri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8FD0B3" w14:textId="45556D9A" w:rsidR="009C600D" w:rsidRPr="001F224B" w:rsidRDefault="006932B4" w:rsidP="009C600D">
            <w:pPr>
              <w:jc w:val="right"/>
              <w:rPr>
                <w:sz w:val="13"/>
                <w:szCs w:val="13"/>
              </w:rPr>
            </w:pPr>
            <w:r w:rsidRPr="001F224B">
              <w:rPr>
                <w:sz w:val="13"/>
                <w:szCs w:val="13"/>
              </w:rPr>
              <w:t>-</w:t>
            </w:r>
          </w:p>
        </w:tc>
        <w:tc>
          <w:tcPr>
            <w:tcW w:w="1848" w:type="dxa"/>
            <w:tcBorders>
              <w:top w:val="nil"/>
              <w:left w:val="single" w:sz="4" w:space="0" w:color="auto"/>
              <w:bottom w:val="nil"/>
              <w:right w:val="single" w:sz="4" w:space="0" w:color="auto"/>
            </w:tcBorders>
          </w:tcPr>
          <w:p w14:paraId="17463AC5" w14:textId="56FF94F2" w:rsidR="009C600D" w:rsidRPr="001F224B" w:rsidRDefault="009C600D" w:rsidP="009C600D">
            <w:pPr>
              <w:jc w:val="right"/>
              <w:rPr>
                <w:b/>
                <w:bCs/>
                <w:sz w:val="13"/>
                <w:szCs w:val="13"/>
              </w:rPr>
            </w:pPr>
            <w:r w:rsidRPr="001F224B">
              <w:rPr>
                <w:sz w:val="13"/>
                <w:szCs w:val="13"/>
              </w:rPr>
              <w:t xml:space="preserve">                              -   </w:t>
            </w:r>
          </w:p>
        </w:tc>
      </w:tr>
      <w:tr w:rsidR="009C600D" w:rsidRPr="001F224B" w14:paraId="1780A5CE"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6D8A83E" w14:textId="77777777" w:rsidR="009C600D" w:rsidRPr="001F224B" w:rsidRDefault="009C600D" w:rsidP="009C600D">
            <w:pPr>
              <w:spacing w:line="226" w:lineRule="auto"/>
              <w:rPr>
                <w:rFonts w:eastAsia="Arial Unicode MS"/>
                <w:sz w:val="13"/>
                <w:szCs w:val="13"/>
              </w:rPr>
            </w:pPr>
            <w:r w:rsidRPr="001F224B">
              <w:rPr>
                <w:rFonts w:eastAsia="Arial Unicode MS"/>
                <w:sz w:val="13"/>
                <w:szCs w:val="13"/>
              </w:rPr>
              <w:t>3.5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0BB1655" w14:textId="77777777" w:rsidR="009C600D" w:rsidRPr="001F224B" w:rsidRDefault="009C600D" w:rsidP="009C600D">
            <w:pPr>
              <w:rPr>
                <w:rFonts w:eastAsia="Arial Unicode MS"/>
                <w:sz w:val="13"/>
                <w:szCs w:val="13"/>
              </w:rPr>
            </w:pPr>
            <w:r w:rsidRPr="001F224B">
              <w:rPr>
                <w:rFonts w:eastAsia="Arial Unicode MS"/>
                <w:sz w:val="13"/>
                <w:szCs w:val="13"/>
              </w:rPr>
              <w:t>Kiralamaya İlişkin Ödemeler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454A37C" w14:textId="21FEFA2E" w:rsidR="009C600D" w:rsidRPr="001F224B" w:rsidRDefault="006932B4" w:rsidP="009C600D">
            <w:pPr>
              <w:jc w:val="right"/>
              <w:rPr>
                <w:sz w:val="13"/>
                <w:szCs w:val="13"/>
              </w:rPr>
            </w:pPr>
            <w:r w:rsidRPr="001F224B">
              <w:rPr>
                <w:sz w:val="13"/>
                <w:szCs w:val="13"/>
              </w:rPr>
              <w:t>(</w:t>
            </w:r>
            <w:r w:rsidR="009C600D" w:rsidRPr="001F224B">
              <w:rPr>
                <w:sz w:val="13"/>
                <w:szCs w:val="13"/>
              </w:rPr>
              <w:t>21.445</w:t>
            </w:r>
            <w:r w:rsidRPr="001F224B">
              <w:rPr>
                <w:sz w:val="13"/>
                <w:szCs w:val="13"/>
              </w:rPr>
              <w:t>)</w:t>
            </w:r>
          </w:p>
        </w:tc>
        <w:tc>
          <w:tcPr>
            <w:tcW w:w="1848" w:type="dxa"/>
            <w:tcBorders>
              <w:top w:val="nil"/>
              <w:left w:val="single" w:sz="4" w:space="0" w:color="auto"/>
              <w:bottom w:val="nil"/>
              <w:right w:val="single" w:sz="4" w:space="0" w:color="auto"/>
            </w:tcBorders>
          </w:tcPr>
          <w:p w14:paraId="3E106F0A" w14:textId="31135CBA" w:rsidR="009C600D" w:rsidRPr="001F224B" w:rsidRDefault="009C600D" w:rsidP="009C600D">
            <w:pPr>
              <w:jc w:val="right"/>
              <w:rPr>
                <w:b/>
                <w:bCs/>
                <w:sz w:val="13"/>
                <w:szCs w:val="13"/>
              </w:rPr>
            </w:pPr>
            <w:r w:rsidRPr="001F224B">
              <w:rPr>
                <w:sz w:val="13"/>
                <w:szCs w:val="13"/>
              </w:rPr>
              <w:t>(12.875)</w:t>
            </w:r>
          </w:p>
        </w:tc>
      </w:tr>
      <w:tr w:rsidR="00D7505B" w:rsidRPr="001F224B" w14:paraId="65D81A39"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D659B24" w14:textId="77777777" w:rsidR="00D7505B" w:rsidRPr="001F224B" w:rsidRDefault="00D7505B" w:rsidP="00D7505B">
            <w:pPr>
              <w:spacing w:line="226" w:lineRule="auto"/>
              <w:rPr>
                <w:rFonts w:eastAsia="Arial Unicode MS"/>
                <w:sz w:val="13"/>
                <w:szCs w:val="13"/>
              </w:rPr>
            </w:pPr>
            <w:r w:rsidRPr="001F224B">
              <w:rPr>
                <w:rFonts w:eastAsia="Arial Unicode MS"/>
                <w:sz w:val="13"/>
                <w:szCs w:val="13"/>
              </w:rPr>
              <w:t>3.6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DFD7C9B" w14:textId="77777777" w:rsidR="00D7505B" w:rsidRPr="001F224B" w:rsidRDefault="00D7505B" w:rsidP="00D7505B">
            <w:pPr>
              <w:rPr>
                <w:rFonts w:eastAsia="Arial Unicode MS"/>
                <w:sz w:val="13"/>
                <w:szCs w:val="13"/>
              </w:rPr>
            </w:pPr>
            <w:r w:rsidRPr="001F224B">
              <w:rPr>
                <w:rFonts w:eastAsia="Arial Unicode MS"/>
                <w:sz w:val="13"/>
                <w:szCs w:val="13"/>
              </w:rPr>
              <w:t xml:space="preserve">Diğer </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A23FEC" w14:textId="3050A8F4" w:rsidR="00D7505B" w:rsidRPr="001F224B" w:rsidRDefault="00D7505B" w:rsidP="00D7505B">
            <w:pPr>
              <w:jc w:val="right"/>
              <w:rPr>
                <w:sz w:val="13"/>
                <w:szCs w:val="13"/>
              </w:rPr>
            </w:pPr>
            <w:r w:rsidRPr="001F224B">
              <w:rPr>
                <w:sz w:val="13"/>
                <w:szCs w:val="13"/>
              </w:rPr>
              <w:t>-</w:t>
            </w:r>
          </w:p>
        </w:tc>
        <w:tc>
          <w:tcPr>
            <w:tcW w:w="1848" w:type="dxa"/>
            <w:tcBorders>
              <w:top w:val="nil"/>
              <w:left w:val="single" w:sz="4" w:space="0" w:color="auto"/>
              <w:bottom w:val="nil"/>
              <w:right w:val="single" w:sz="4" w:space="0" w:color="auto"/>
            </w:tcBorders>
          </w:tcPr>
          <w:p w14:paraId="6B7AECB7" w14:textId="792FB953" w:rsidR="00D7505B" w:rsidRPr="001F224B" w:rsidRDefault="00D7505B" w:rsidP="00D7505B">
            <w:pPr>
              <w:jc w:val="right"/>
              <w:rPr>
                <w:b/>
                <w:bCs/>
                <w:sz w:val="13"/>
                <w:szCs w:val="13"/>
              </w:rPr>
            </w:pPr>
            <w:r w:rsidRPr="001F224B">
              <w:rPr>
                <w:sz w:val="13"/>
                <w:szCs w:val="13"/>
              </w:rPr>
              <w:t xml:space="preserve">                              -   </w:t>
            </w:r>
          </w:p>
        </w:tc>
      </w:tr>
      <w:tr w:rsidR="00D7505B" w:rsidRPr="001F224B" w14:paraId="61F540E6"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E72D7BF" w14:textId="77777777" w:rsidR="00D7505B" w:rsidRPr="001F224B" w:rsidRDefault="00D7505B" w:rsidP="00D7505B">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6CB8877" w14:textId="77777777" w:rsidR="00D7505B" w:rsidRPr="001F224B" w:rsidRDefault="00D7505B" w:rsidP="00D7505B">
            <w:pPr>
              <w:spacing w:line="226" w:lineRule="auto"/>
              <w:rPr>
                <w:rFonts w:eastAsia="Arial Unicode M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493EFB0C" w14:textId="50D72EA0" w:rsidR="00D7505B" w:rsidRPr="001F224B" w:rsidRDefault="00D7505B" w:rsidP="00D7505B">
            <w:pPr>
              <w:jc w:val="right"/>
              <w:rPr>
                <w:sz w:val="13"/>
                <w:szCs w:val="13"/>
              </w:rPr>
            </w:pPr>
          </w:p>
        </w:tc>
        <w:tc>
          <w:tcPr>
            <w:tcW w:w="1848" w:type="dxa"/>
            <w:tcBorders>
              <w:top w:val="nil"/>
              <w:left w:val="single" w:sz="4" w:space="0" w:color="auto"/>
              <w:bottom w:val="nil"/>
              <w:right w:val="single" w:sz="4" w:space="0" w:color="auto"/>
            </w:tcBorders>
          </w:tcPr>
          <w:p w14:paraId="1031CF95" w14:textId="2313C516" w:rsidR="00D7505B" w:rsidRPr="001F224B" w:rsidRDefault="00D7505B" w:rsidP="00D7505B">
            <w:pPr>
              <w:jc w:val="right"/>
              <w:rPr>
                <w:b/>
                <w:bCs/>
                <w:sz w:val="13"/>
                <w:szCs w:val="13"/>
              </w:rPr>
            </w:pPr>
            <w:r w:rsidRPr="001F224B">
              <w:rPr>
                <w:sz w:val="13"/>
                <w:szCs w:val="13"/>
              </w:rPr>
              <w:t> </w:t>
            </w:r>
          </w:p>
        </w:tc>
      </w:tr>
      <w:tr w:rsidR="00D7505B" w:rsidRPr="001F224B" w14:paraId="1654FEB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8C7931F"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IV.</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B63BE64"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Yabancı Para Çevrim Farklarının Nakit ve Nakde Eşdeğer Varlıklar Üzerindeki Etkisi</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8BC9A8" w14:textId="3571E1D6" w:rsidR="00D7505B" w:rsidRPr="001F224B" w:rsidRDefault="009C600D" w:rsidP="00D7505B">
            <w:pPr>
              <w:jc w:val="right"/>
              <w:rPr>
                <w:b/>
                <w:bCs/>
                <w:sz w:val="13"/>
                <w:szCs w:val="13"/>
              </w:rPr>
            </w:pPr>
            <w:r w:rsidRPr="001F224B">
              <w:rPr>
                <w:b/>
                <w:bCs/>
                <w:sz w:val="13"/>
                <w:szCs w:val="13"/>
              </w:rPr>
              <w:t>1.155.283</w:t>
            </w:r>
          </w:p>
        </w:tc>
        <w:tc>
          <w:tcPr>
            <w:tcW w:w="1848" w:type="dxa"/>
            <w:tcBorders>
              <w:top w:val="nil"/>
              <w:left w:val="single" w:sz="4" w:space="0" w:color="auto"/>
              <w:bottom w:val="nil"/>
              <w:right w:val="single" w:sz="4" w:space="0" w:color="auto"/>
            </w:tcBorders>
          </w:tcPr>
          <w:p w14:paraId="19C42F3D" w14:textId="70571F64" w:rsidR="00D7505B" w:rsidRPr="001F224B" w:rsidRDefault="00D7505B" w:rsidP="00D7505B">
            <w:pPr>
              <w:jc w:val="right"/>
              <w:rPr>
                <w:b/>
                <w:bCs/>
                <w:sz w:val="13"/>
                <w:szCs w:val="13"/>
              </w:rPr>
            </w:pPr>
            <w:r w:rsidRPr="001F224B">
              <w:rPr>
                <w:b/>
                <w:bCs/>
                <w:sz w:val="13"/>
                <w:szCs w:val="13"/>
              </w:rPr>
              <w:t>(227.863)</w:t>
            </w:r>
          </w:p>
        </w:tc>
      </w:tr>
      <w:tr w:rsidR="00D7505B" w:rsidRPr="001F224B" w14:paraId="0F20ECD6"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5BC9E3A"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00EF88D" w14:textId="77777777" w:rsidR="00D7505B" w:rsidRPr="001F224B" w:rsidRDefault="00D7505B" w:rsidP="00D7505B">
            <w:pPr>
              <w:spacing w:line="226" w:lineRule="auto"/>
              <w:rPr>
                <w:rFonts w:eastAsia="Arial Unicode MS"/>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621F21" w14:textId="4BB38350" w:rsidR="00D7505B" w:rsidRPr="001F224B" w:rsidRDefault="00D7505B" w:rsidP="00D7505B">
            <w:pPr>
              <w:jc w:val="right"/>
              <w:rPr>
                <w:b/>
                <w:bCs/>
                <w:sz w:val="13"/>
                <w:szCs w:val="13"/>
              </w:rPr>
            </w:pPr>
          </w:p>
        </w:tc>
        <w:tc>
          <w:tcPr>
            <w:tcW w:w="1848" w:type="dxa"/>
            <w:tcBorders>
              <w:top w:val="nil"/>
              <w:left w:val="single" w:sz="4" w:space="0" w:color="auto"/>
              <w:bottom w:val="nil"/>
              <w:right w:val="single" w:sz="4" w:space="0" w:color="auto"/>
            </w:tcBorders>
          </w:tcPr>
          <w:p w14:paraId="6450E9A9" w14:textId="77777777" w:rsidR="00D7505B" w:rsidRPr="001F224B" w:rsidRDefault="00D7505B" w:rsidP="00D7505B">
            <w:pPr>
              <w:jc w:val="right"/>
              <w:rPr>
                <w:b/>
                <w:bCs/>
                <w:sz w:val="13"/>
                <w:szCs w:val="13"/>
              </w:rPr>
            </w:pPr>
          </w:p>
        </w:tc>
      </w:tr>
      <w:tr w:rsidR="00D7505B" w:rsidRPr="001F224B" w14:paraId="7FB96E7C"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D2A8B8E"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V.</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438C12B"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Nakit ve Nakde Eşdeğer Varlıklardaki Net (Azalış)/Artış (I+II+III+IV)</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576EC0" w14:textId="652E420B" w:rsidR="00D7505B" w:rsidRPr="001F224B" w:rsidRDefault="00191988" w:rsidP="00D7505B">
            <w:pPr>
              <w:jc w:val="right"/>
              <w:rPr>
                <w:b/>
                <w:bCs/>
                <w:sz w:val="13"/>
                <w:szCs w:val="13"/>
              </w:rPr>
            </w:pPr>
            <w:r w:rsidRPr="001F224B">
              <w:rPr>
                <w:b/>
                <w:bCs/>
                <w:sz w:val="13"/>
                <w:szCs w:val="13"/>
              </w:rPr>
              <w:t>13.371.456</w:t>
            </w:r>
          </w:p>
        </w:tc>
        <w:tc>
          <w:tcPr>
            <w:tcW w:w="1848" w:type="dxa"/>
            <w:tcBorders>
              <w:top w:val="nil"/>
              <w:left w:val="single" w:sz="4" w:space="0" w:color="auto"/>
              <w:bottom w:val="nil"/>
              <w:right w:val="single" w:sz="4" w:space="0" w:color="auto"/>
            </w:tcBorders>
          </w:tcPr>
          <w:p w14:paraId="6540BDAC" w14:textId="3E3E2CC9" w:rsidR="00D7505B" w:rsidRPr="001F224B" w:rsidRDefault="00D7505B" w:rsidP="00D7505B">
            <w:pPr>
              <w:jc w:val="right"/>
              <w:rPr>
                <w:b/>
                <w:bCs/>
                <w:sz w:val="13"/>
                <w:szCs w:val="13"/>
              </w:rPr>
            </w:pPr>
            <w:r w:rsidRPr="001F224B">
              <w:rPr>
                <w:rFonts w:ascii="Times" w:hAnsi="Times" w:cs="Times"/>
                <w:b/>
                <w:bCs/>
                <w:sz w:val="13"/>
                <w:szCs w:val="13"/>
              </w:rPr>
              <w:t>(1.143.280)</w:t>
            </w:r>
          </w:p>
        </w:tc>
      </w:tr>
      <w:tr w:rsidR="00D7505B" w:rsidRPr="001F224B" w14:paraId="63E20CD8"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7D086AF"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5CB8FF5" w14:textId="77777777" w:rsidR="00D7505B" w:rsidRPr="001F224B" w:rsidRDefault="00D7505B" w:rsidP="00D7505B">
            <w:pPr>
              <w:spacing w:line="226" w:lineRule="auto"/>
              <w:rPr>
                <w:rFonts w:eastAsia="Arial Unicode MS"/>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5EA689" w14:textId="4FD73B32" w:rsidR="00D7505B" w:rsidRPr="001F224B" w:rsidRDefault="00D7505B" w:rsidP="00D7505B">
            <w:pPr>
              <w:jc w:val="right"/>
              <w:rPr>
                <w:b/>
                <w:bCs/>
                <w:sz w:val="13"/>
                <w:szCs w:val="13"/>
              </w:rPr>
            </w:pPr>
          </w:p>
        </w:tc>
        <w:tc>
          <w:tcPr>
            <w:tcW w:w="1848" w:type="dxa"/>
            <w:tcBorders>
              <w:top w:val="nil"/>
              <w:left w:val="single" w:sz="4" w:space="0" w:color="auto"/>
              <w:bottom w:val="nil"/>
              <w:right w:val="single" w:sz="4" w:space="0" w:color="auto"/>
            </w:tcBorders>
          </w:tcPr>
          <w:p w14:paraId="4327AB43" w14:textId="709C337C" w:rsidR="00D7505B" w:rsidRPr="001F224B" w:rsidRDefault="00D7505B" w:rsidP="00D7505B">
            <w:pPr>
              <w:jc w:val="right"/>
              <w:rPr>
                <w:b/>
                <w:bCs/>
                <w:sz w:val="13"/>
                <w:szCs w:val="13"/>
              </w:rPr>
            </w:pPr>
            <w:r w:rsidRPr="001F224B">
              <w:rPr>
                <w:sz w:val="13"/>
                <w:szCs w:val="13"/>
              </w:rPr>
              <w:t> </w:t>
            </w:r>
          </w:p>
        </w:tc>
      </w:tr>
      <w:tr w:rsidR="00D7505B" w:rsidRPr="001F224B" w14:paraId="7F4A192B"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2139CB2"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VI.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56F5DE2"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Dönem Başındaki Nakit ve Nakde Eşdeğer Varlıklar</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71A5CE" w14:textId="2274A0AF" w:rsidR="00D7505B" w:rsidRPr="001F224B" w:rsidRDefault="009C600D" w:rsidP="00D7505B">
            <w:pPr>
              <w:jc w:val="right"/>
              <w:rPr>
                <w:b/>
                <w:bCs/>
                <w:sz w:val="13"/>
                <w:szCs w:val="13"/>
              </w:rPr>
            </w:pPr>
            <w:r w:rsidRPr="001F224B">
              <w:rPr>
                <w:b/>
                <w:bCs/>
                <w:sz w:val="13"/>
                <w:szCs w:val="13"/>
              </w:rPr>
              <w:t>21.747.715</w:t>
            </w:r>
          </w:p>
        </w:tc>
        <w:tc>
          <w:tcPr>
            <w:tcW w:w="1848" w:type="dxa"/>
            <w:tcBorders>
              <w:top w:val="nil"/>
              <w:left w:val="single" w:sz="4" w:space="0" w:color="auto"/>
              <w:bottom w:val="nil"/>
              <w:right w:val="single" w:sz="4" w:space="0" w:color="auto"/>
            </w:tcBorders>
          </w:tcPr>
          <w:p w14:paraId="3EF2AFAB" w14:textId="6BE4F86E" w:rsidR="00D7505B" w:rsidRPr="001F224B" w:rsidRDefault="00D7505B" w:rsidP="00D7505B">
            <w:pPr>
              <w:jc w:val="right"/>
              <w:rPr>
                <w:b/>
                <w:bCs/>
                <w:sz w:val="13"/>
                <w:szCs w:val="13"/>
              </w:rPr>
            </w:pPr>
            <w:r w:rsidRPr="001F224B">
              <w:rPr>
                <w:rFonts w:ascii="Times" w:hAnsi="Times" w:cs="Times"/>
                <w:b/>
                <w:bCs/>
                <w:sz w:val="13"/>
                <w:szCs w:val="13"/>
              </w:rPr>
              <w:t>21.412.207</w:t>
            </w:r>
          </w:p>
        </w:tc>
      </w:tr>
      <w:tr w:rsidR="00D7505B" w:rsidRPr="001F224B" w14:paraId="780B86C5" w14:textId="77777777" w:rsidTr="00891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8B495F5" w14:textId="77777777" w:rsidR="00D7505B" w:rsidRPr="001F224B" w:rsidRDefault="00D7505B" w:rsidP="00D7505B">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2E9C447" w14:textId="77777777" w:rsidR="00D7505B" w:rsidRPr="001F224B" w:rsidRDefault="00D7505B" w:rsidP="00D7505B">
            <w:pPr>
              <w:spacing w:line="226" w:lineRule="auto"/>
              <w:rPr>
                <w:rFonts w:eastAsia="Arial Unicode MS"/>
                <w:b/>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1B9D53" w14:textId="3958525D" w:rsidR="00D7505B" w:rsidRPr="001F224B" w:rsidRDefault="00D7505B" w:rsidP="00D7505B">
            <w:pPr>
              <w:jc w:val="right"/>
              <w:rPr>
                <w:b/>
                <w:bCs/>
                <w:sz w:val="13"/>
                <w:szCs w:val="13"/>
              </w:rPr>
            </w:pPr>
          </w:p>
        </w:tc>
        <w:tc>
          <w:tcPr>
            <w:tcW w:w="1848" w:type="dxa"/>
            <w:tcBorders>
              <w:top w:val="nil"/>
              <w:left w:val="single" w:sz="4" w:space="0" w:color="auto"/>
              <w:bottom w:val="nil"/>
              <w:right w:val="single" w:sz="4" w:space="0" w:color="auto"/>
            </w:tcBorders>
          </w:tcPr>
          <w:p w14:paraId="276F6893" w14:textId="1CC85B2F" w:rsidR="00D7505B" w:rsidRPr="001F224B" w:rsidRDefault="00D7505B" w:rsidP="00D7505B">
            <w:pPr>
              <w:jc w:val="right"/>
              <w:rPr>
                <w:b/>
                <w:bCs/>
                <w:sz w:val="13"/>
                <w:szCs w:val="13"/>
              </w:rPr>
            </w:pPr>
            <w:r w:rsidRPr="001F224B">
              <w:rPr>
                <w:sz w:val="13"/>
                <w:szCs w:val="13"/>
              </w:rPr>
              <w:t> </w:t>
            </w:r>
          </w:p>
        </w:tc>
      </w:tr>
      <w:tr w:rsidR="00D7505B" w:rsidRPr="001F224B" w14:paraId="33B3FCBD" w14:textId="77777777" w:rsidTr="0089116F">
        <w:trPr>
          <w:trHeight w:val="170"/>
        </w:trPr>
        <w:tc>
          <w:tcPr>
            <w:tcW w:w="544" w:type="dxa"/>
            <w:tcBorders>
              <w:left w:val="single" w:sz="4" w:space="0" w:color="auto"/>
              <w:bottom w:val="single" w:sz="4" w:space="0" w:color="auto"/>
            </w:tcBorders>
            <w:shd w:val="clear" w:color="auto" w:fill="auto"/>
            <w:noWrap/>
            <w:tcMar>
              <w:top w:w="18" w:type="dxa"/>
              <w:left w:w="18" w:type="dxa"/>
              <w:bottom w:w="0" w:type="dxa"/>
              <w:right w:w="18" w:type="dxa"/>
            </w:tcMar>
            <w:vAlign w:val="bottom"/>
          </w:tcPr>
          <w:p w14:paraId="6D3E3CAF" w14:textId="77777777" w:rsidR="00D7505B" w:rsidRPr="001F224B" w:rsidRDefault="00D7505B" w:rsidP="00D7505B">
            <w:pPr>
              <w:spacing w:line="226" w:lineRule="auto"/>
              <w:rPr>
                <w:rFonts w:eastAsia="Arial Unicode MS"/>
                <w:b/>
                <w:bCs/>
                <w:sz w:val="13"/>
                <w:szCs w:val="13"/>
              </w:rPr>
            </w:pPr>
            <w:r w:rsidRPr="001F224B">
              <w:rPr>
                <w:rFonts w:eastAsia="Arial Unicode MS"/>
                <w:b/>
                <w:bCs/>
                <w:sz w:val="13"/>
                <w:szCs w:val="13"/>
              </w:rPr>
              <w:t>VII.</w:t>
            </w:r>
          </w:p>
        </w:tc>
        <w:tc>
          <w:tcPr>
            <w:tcW w:w="5529" w:type="dxa"/>
            <w:tcBorders>
              <w:bottom w:val="single" w:sz="4" w:space="0" w:color="auto"/>
              <w:right w:val="single" w:sz="4" w:space="0" w:color="auto"/>
            </w:tcBorders>
            <w:shd w:val="clear" w:color="auto" w:fill="auto"/>
            <w:noWrap/>
            <w:tcMar>
              <w:top w:w="18" w:type="dxa"/>
              <w:left w:w="18" w:type="dxa"/>
              <w:bottom w:w="0" w:type="dxa"/>
              <w:right w:w="18" w:type="dxa"/>
            </w:tcMar>
            <w:vAlign w:val="bottom"/>
          </w:tcPr>
          <w:p w14:paraId="07AAEF01" w14:textId="77777777" w:rsidR="00D7505B" w:rsidRPr="001F224B" w:rsidRDefault="00D7505B" w:rsidP="00D7505B">
            <w:pPr>
              <w:spacing w:line="226" w:lineRule="auto"/>
              <w:rPr>
                <w:rFonts w:eastAsia="Arial Unicode MS"/>
                <w:b/>
                <w:sz w:val="13"/>
                <w:szCs w:val="13"/>
              </w:rPr>
            </w:pPr>
            <w:r w:rsidRPr="001F224B">
              <w:rPr>
                <w:rFonts w:eastAsia="Arial Unicode MS"/>
                <w:b/>
                <w:sz w:val="13"/>
                <w:szCs w:val="13"/>
              </w:rPr>
              <w:t>Dönem Sonundaki Nakit ve Nakde Eşdeğer Varlıklar</w:t>
            </w:r>
          </w:p>
        </w:tc>
        <w:tc>
          <w:tcPr>
            <w:tcW w:w="1843" w:type="dxa"/>
            <w:gridSpan w:val="2"/>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439F9C5B" w14:textId="3BA55B57" w:rsidR="00D7505B" w:rsidRPr="001F224B" w:rsidRDefault="00191988" w:rsidP="00D7505B">
            <w:pPr>
              <w:jc w:val="right"/>
              <w:rPr>
                <w:b/>
                <w:bCs/>
                <w:sz w:val="13"/>
                <w:szCs w:val="13"/>
              </w:rPr>
            </w:pPr>
            <w:r w:rsidRPr="001F224B">
              <w:rPr>
                <w:b/>
                <w:bCs/>
                <w:sz w:val="13"/>
                <w:szCs w:val="13"/>
              </w:rPr>
              <w:t>35.119.171</w:t>
            </w:r>
          </w:p>
        </w:tc>
        <w:tc>
          <w:tcPr>
            <w:tcW w:w="1848" w:type="dxa"/>
            <w:tcBorders>
              <w:top w:val="nil"/>
              <w:left w:val="single" w:sz="4" w:space="0" w:color="auto"/>
              <w:bottom w:val="single" w:sz="4" w:space="0" w:color="auto"/>
              <w:right w:val="single" w:sz="4" w:space="0" w:color="auto"/>
            </w:tcBorders>
          </w:tcPr>
          <w:p w14:paraId="5D3E223A" w14:textId="4D925742" w:rsidR="00D7505B" w:rsidRPr="001F224B" w:rsidRDefault="00D7505B" w:rsidP="00D7505B">
            <w:pPr>
              <w:jc w:val="right"/>
              <w:rPr>
                <w:b/>
                <w:bCs/>
                <w:sz w:val="13"/>
                <w:szCs w:val="13"/>
              </w:rPr>
            </w:pPr>
            <w:r w:rsidRPr="001F224B">
              <w:rPr>
                <w:b/>
                <w:bCs/>
                <w:sz w:val="13"/>
                <w:szCs w:val="13"/>
              </w:rPr>
              <w:t>20.268.927</w:t>
            </w:r>
          </w:p>
        </w:tc>
      </w:tr>
      <w:bookmarkEnd w:id="4"/>
    </w:tbl>
    <w:p w14:paraId="30E9BCF3" w14:textId="77777777" w:rsidR="00264EEA" w:rsidRPr="001F224B" w:rsidRDefault="00264EEA" w:rsidP="00264EEA">
      <w:pPr>
        <w:jc w:val="center"/>
        <w:rPr>
          <w:bCs/>
          <w:sz w:val="16"/>
          <w:szCs w:val="16"/>
        </w:rPr>
      </w:pPr>
    </w:p>
    <w:p w14:paraId="0496C0A6" w14:textId="77777777" w:rsidR="00264EEA" w:rsidRPr="001F224B" w:rsidRDefault="00264EEA" w:rsidP="00264EEA">
      <w:pPr>
        <w:rPr>
          <w:sz w:val="16"/>
          <w:szCs w:val="16"/>
        </w:rPr>
      </w:pPr>
    </w:p>
    <w:p w14:paraId="2F9DC9E7" w14:textId="77777777" w:rsidR="00264EEA" w:rsidRPr="001F224B" w:rsidRDefault="00264EEA" w:rsidP="00264EEA">
      <w:pPr>
        <w:rPr>
          <w:sz w:val="16"/>
          <w:szCs w:val="16"/>
        </w:rPr>
      </w:pPr>
    </w:p>
    <w:p w14:paraId="5AE497FB" w14:textId="77777777" w:rsidR="00264EEA" w:rsidRPr="001F224B" w:rsidRDefault="00264EEA" w:rsidP="00264EEA">
      <w:pPr>
        <w:rPr>
          <w:sz w:val="16"/>
          <w:szCs w:val="16"/>
        </w:rPr>
      </w:pPr>
    </w:p>
    <w:p w14:paraId="446FBCF0" w14:textId="77777777" w:rsidR="00264EEA" w:rsidRPr="001F224B" w:rsidRDefault="00264EEA" w:rsidP="00264EEA">
      <w:pPr>
        <w:rPr>
          <w:sz w:val="16"/>
          <w:szCs w:val="16"/>
        </w:rPr>
      </w:pPr>
    </w:p>
    <w:p w14:paraId="37CC6D6C" w14:textId="77777777" w:rsidR="00264EEA" w:rsidRPr="001F224B" w:rsidRDefault="00264EEA" w:rsidP="00264EEA">
      <w:pPr>
        <w:rPr>
          <w:sz w:val="16"/>
          <w:szCs w:val="16"/>
        </w:rPr>
      </w:pPr>
    </w:p>
    <w:p w14:paraId="53C13B01" w14:textId="77777777" w:rsidR="00264EEA" w:rsidRPr="001F224B" w:rsidRDefault="00264EEA" w:rsidP="00264EEA">
      <w:pPr>
        <w:jc w:val="center"/>
        <w:rPr>
          <w:bCs/>
          <w:sz w:val="16"/>
          <w:szCs w:val="16"/>
        </w:rPr>
      </w:pPr>
    </w:p>
    <w:p w14:paraId="64DA1557" w14:textId="6F31A705" w:rsidR="00A1696E" w:rsidRPr="001F224B" w:rsidRDefault="00264EEA" w:rsidP="00D27A20">
      <w:pPr>
        <w:tabs>
          <w:tab w:val="left" w:pos="3259"/>
        </w:tabs>
        <w:jc w:val="center"/>
        <w:rPr>
          <w:bCs/>
          <w:sz w:val="16"/>
          <w:szCs w:val="16"/>
        </w:rPr>
        <w:sectPr w:rsidR="00A1696E" w:rsidRPr="001F224B" w:rsidSect="00F5305D">
          <w:headerReference w:type="first" r:id="rId93"/>
          <w:pgSz w:w="11907" w:h="16840" w:code="9"/>
          <w:pgMar w:top="1524" w:right="964" w:bottom="567" w:left="1134" w:header="624" w:footer="397" w:gutter="0"/>
          <w:cols w:space="708"/>
          <w:titlePg/>
          <w:docGrid w:linePitch="326"/>
        </w:sectPr>
      </w:pPr>
      <w:r w:rsidRPr="001F224B">
        <w:rPr>
          <w:bCs/>
          <w:sz w:val="16"/>
          <w:szCs w:val="16"/>
        </w:rPr>
        <w:t>İlişikteki açıklama ve dipnotlar bu konsolide finansal tabloların tamamlayıcı parçalarıdır</w:t>
      </w:r>
    </w:p>
    <w:p w14:paraId="429A0FB8" w14:textId="77777777" w:rsidR="00F679CE" w:rsidRPr="001F224B" w:rsidRDefault="00F679CE" w:rsidP="00F679CE">
      <w:pPr>
        <w:tabs>
          <w:tab w:val="left" w:pos="567"/>
        </w:tabs>
        <w:spacing w:before="120"/>
        <w:rPr>
          <w:b/>
          <w:bCs/>
          <w:sz w:val="22"/>
          <w:szCs w:val="22"/>
        </w:rPr>
      </w:pPr>
      <w:bookmarkStart w:id="5" w:name="_Hlk102031097"/>
      <w:r w:rsidRPr="001F224B">
        <w:rPr>
          <w:b/>
          <w:bCs/>
          <w:sz w:val="22"/>
          <w:szCs w:val="22"/>
        </w:rPr>
        <w:t>ÜÇÜNCÜ BÖLÜM</w:t>
      </w:r>
    </w:p>
    <w:p w14:paraId="5EF47344" w14:textId="77777777" w:rsidR="005478E8" w:rsidRPr="001F224B" w:rsidRDefault="005478E8" w:rsidP="005478E8">
      <w:pPr>
        <w:tabs>
          <w:tab w:val="left" w:pos="567"/>
        </w:tabs>
        <w:spacing w:before="60" w:afterLines="60" w:after="144"/>
        <w:rPr>
          <w:b/>
          <w:bCs/>
          <w:sz w:val="22"/>
          <w:szCs w:val="22"/>
        </w:rPr>
      </w:pPr>
      <w:r w:rsidRPr="001F224B">
        <w:rPr>
          <w:b/>
          <w:bCs/>
          <w:sz w:val="22"/>
          <w:szCs w:val="22"/>
        </w:rPr>
        <w:t>MUHASEBE POLİTİKALARI</w:t>
      </w:r>
    </w:p>
    <w:p w14:paraId="3271080A" w14:textId="203D530F" w:rsidR="00F679CE" w:rsidRPr="001F224B" w:rsidRDefault="00F679CE" w:rsidP="00F679CE">
      <w:pPr>
        <w:pStyle w:val="BodyTextIndent"/>
        <w:numPr>
          <w:ilvl w:val="0"/>
          <w:numId w:val="3"/>
        </w:numPr>
        <w:tabs>
          <w:tab w:val="clear" w:pos="720"/>
          <w:tab w:val="num" w:pos="862"/>
        </w:tabs>
        <w:spacing w:after="100"/>
        <w:ind w:left="567" w:hanging="425"/>
        <w:rPr>
          <w:b/>
          <w:bCs/>
          <w:sz w:val="22"/>
          <w:szCs w:val="22"/>
        </w:rPr>
      </w:pPr>
      <w:r w:rsidRPr="001F224B">
        <w:rPr>
          <w:b/>
          <w:bCs/>
          <w:sz w:val="22"/>
          <w:szCs w:val="22"/>
        </w:rPr>
        <w:t>Sunum esaslarına ilişkin açıklamalar</w:t>
      </w:r>
    </w:p>
    <w:p w14:paraId="354E3B07" w14:textId="77777777" w:rsidR="00F679CE" w:rsidRPr="001F224B" w:rsidRDefault="00F679CE" w:rsidP="00F679CE">
      <w:pPr>
        <w:pStyle w:val="BodyTextIndent"/>
        <w:numPr>
          <w:ilvl w:val="1"/>
          <w:numId w:val="1"/>
        </w:numPr>
        <w:tabs>
          <w:tab w:val="clear" w:pos="1070"/>
          <w:tab w:val="num" w:pos="567"/>
        </w:tabs>
        <w:spacing w:after="100" w:line="228" w:lineRule="auto"/>
        <w:ind w:left="567" w:hanging="567"/>
        <w:rPr>
          <w:b/>
          <w:bCs/>
          <w:sz w:val="22"/>
          <w:szCs w:val="22"/>
        </w:rPr>
      </w:pPr>
      <w:r w:rsidRPr="001F224B">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14:paraId="153B5BC1" w14:textId="1B533363" w:rsidR="00F679CE" w:rsidRPr="001F224B" w:rsidRDefault="00F06156" w:rsidP="00F679CE">
      <w:pPr>
        <w:spacing w:after="100"/>
        <w:ind w:left="567"/>
        <w:jc w:val="both"/>
        <w:rPr>
          <w:sz w:val="22"/>
          <w:szCs w:val="22"/>
        </w:rPr>
      </w:pPr>
      <w:r w:rsidRPr="001F224B">
        <w:rPr>
          <w:sz w:val="22"/>
          <w:szCs w:val="22"/>
        </w:rPr>
        <w:t xml:space="preserve">Ana Ortaklık </w:t>
      </w:r>
      <w:r w:rsidR="00F679CE" w:rsidRPr="001F224B">
        <w:rPr>
          <w:sz w:val="22"/>
          <w:szCs w:val="22"/>
        </w:rPr>
        <w:t xml:space="preserve">Banka, 5411 Sayılı Bankacılık Kanunu’nun 37’nci maddesi uyarınca, yasal kayıtlarını,  </w:t>
      </w:r>
      <w:r w:rsidRPr="001F224B">
        <w:rPr>
          <w:sz w:val="22"/>
          <w:szCs w:val="22"/>
        </w:rPr>
        <w:t xml:space="preserve">konsolide </w:t>
      </w:r>
      <w:r w:rsidR="00F679CE" w:rsidRPr="001F224B">
        <w:rPr>
          <w:sz w:val="22"/>
          <w:szCs w:val="22"/>
        </w:rPr>
        <w:t>finansal tablolarını ve finansal tablolarına baz teşkil eden dokümanlarını Bankacılık Düzenleme ve Denetleme Kurumu (“BDDK”) tarafından yayımlanan Bankaların Muhasebe Uygulamalarına ve Belgelerin Saklanmasına İlişkin Usul ve Esaslar Hakkında Yönetmelik’e, BDDK tarafından muhasebe ve finansal raporlama esaslarına ilişkin yayımlanan diğer yönetmelik, tebliğ ve genelgeler ile yapılan açıklamalara ve bunlar ile düzenlenmeyen konularda Kamu Gözetimi, Muhasebe ve Denetim Standartları Kurumu (“KGK”) tarafından yayımlanan Türkiye Muhasebe Standartları (“TMS”) ve Türkiye Finansal Raporlama Standartları (“TFRS”) ile bunlara ilişkin ek ve yorumlara (bundan sonra hep birlikte “BDDK Muhasebe ve Finansal Raporlama Mevzuatı” olarak anılacaktır) uygun olarak hazırlamaktadır.</w:t>
      </w:r>
    </w:p>
    <w:p w14:paraId="1109BCE1" w14:textId="3384E8A4" w:rsidR="006A7B0E" w:rsidRPr="001F224B" w:rsidRDefault="006A7B0E" w:rsidP="006A7B0E">
      <w:pPr>
        <w:spacing w:after="100"/>
        <w:ind w:left="567"/>
        <w:jc w:val="both"/>
        <w:rPr>
          <w:sz w:val="22"/>
          <w:szCs w:val="22"/>
        </w:rPr>
      </w:pPr>
      <w:r w:rsidRPr="001F224B">
        <w:rPr>
          <w:sz w:val="22"/>
          <w:szCs w:val="22"/>
        </w:rPr>
        <w:t xml:space="preserve">İlişikteki </w:t>
      </w:r>
      <w:r w:rsidR="00871C25" w:rsidRPr="001F224B">
        <w:rPr>
          <w:sz w:val="22"/>
          <w:szCs w:val="22"/>
        </w:rPr>
        <w:t>30 Haziran</w:t>
      </w:r>
      <w:r w:rsidRPr="001F224B">
        <w:rPr>
          <w:sz w:val="22"/>
          <w:szCs w:val="22"/>
        </w:rPr>
        <w:t xml:space="preserve"> 202</w:t>
      </w:r>
      <w:r w:rsidR="00E732C0" w:rsidRPr="001F224B">
        <w:rPr>
          <w:sz w:val="22"/>
          <w:szCs w:val="22"/>
        </w:rPr>
        <w:t>5</w:t>
      </w:r>
      <w:r w:rsidRPr="001F224B">
        <w:rPr>
          <w:sz w:val="22"/>
          <w:szCs w:val="22"/>
        </w:rPr>
        <w:t xml:space="preserve"> hesap dönemine ait konsolide finansal tablolar </w:t>
      </w:r>
      <w:r w:rsidRPr="001F224B">
        <w:t xml:space="preserve">ile bunların açıklama ve </w:t>
      </w:r>
      <w:r w:rsidRPr="001F224B">
        <w:rPr>
          <w:sz w:val="22"/>
          <w:szCs w:val="22"/>
        </w:rPr>
        <w:t>dipnotları, 28 Haziran 2012 tarihli ve 28337 sayılı Resmi Gazete’de yayımlanan “Bankalarca Kamuya Açıklanacak Finansal Tablolar ile Bunlara İlişkin Açıklama ve Dipnotlar Hakkında Tebliğ”</w:t>
      </w:r>
      <w:r w:rsidR="007B1606" w:rsidRPr="001F224B">
        <w:rPr>
          <w:sz w:val="22"/>
          <w:szCs w:val="22"/>
        </w:rPr>
        <w:t>, 8 Kasım 2006 tarihli ve 26340 sayılı Resmi Gazete’de yayımlanan “Bankaların Konsolide Finansal Tablolarının Düzenlenmesine İlişkin Tebliğ”</w:t>
      </w:r>
      <w:r w:rsidRPr="001F224B">
        <w:rPr>
          <w:sz w:val="22"/>
          <w:szCs w:val="22"/>
        </w:rPr>
        <w:t xml:space="preserve"> ve 23 Ekim 2015 tarih ve 29511 sayılı Resmi Gazete’de yayımlanan “Bankalarca Risk Yönetimine İlişkin Kamuya Yapılacak Açıklamalar Hakkında Tebliğ” ile bu tebliğlere ek ve değişiklikler getiren tebliğlere uygun olarak hazırlanmıştır.</w:t>
      </w:r>
    </w:p>
    <w:p w14:paraId="0AF31987" w14:textId="77777777" w:rsidR="00F679CE" w:rsidRPr="001F224B" w:rsidRDefault="00F679CE" w:rsidP="00F679CE">
      <w:pPr>
        <w:spacing w:after="100"/>
        <w:ind w:left="567" w:hanging="567"/>
        <w:jc w:val="both"/>
        <w:rPr>
          <w:b/>
          <w:sz w:val="22"/>
          <w:szCs w:val="22"/>
        </w:rPr>
      </w:pPr>
      <w:r w:rsidRPr="001F224B">
        <w:rPr>
          <w:b/>
          <w:sz w:val="22"/>
          <w:szCs w:val="22"/>
        </w:rPr>
        <w:t>b.</w:t>
      </w:r>
      <w:r w:rsidRPr="001F224B">
        <w:rPr>
          <w:b/>
          <w:sz w:val="22"/>
          <w:szCs w:val="22"/>
        </w:rPr>
        <w:tab/>
        <w:t>Muhasebe politikaları ve açıklamalarındaki değişiklikler:</w:t>
      </w:r>
    </w:p>
    <w:p w14:paraId="6FD3E176" w14:textId="5A78096D" w:rsidR="002A5808" w:rsidRPr="001F224B" w:rsidRDefault="0078680F" w:rsidP="0078680F">
      <w:pPr>
        <w:pStyle w:val="BodyText"/>
        <w:tabs>
          <w:tab w:val="clear" w:pos="0"/>
          <w:tab w:val="clear" w:pos="720"/>
          <w:tab w:val="left" w:pos="1549"/>
        </w:tabs>
        <w:spacing w:before="120" w:after="120"/>
        <w:ind w:left="567"/>
        <w:rPr>
          <w:sz w:val="22"/>
          <w:szCs w:val="22"/>
        </w:rPr>
      </w:pPr>
      <w:r w:rsidRPr="001F224B">
        <w:rPr>
          <w:sz w:val="22"/>
          <w:szCs w:val="22"/>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KGK’nın 23 Kasım 2023 tarihinde yaptığı açıklamaya istinaden, TFRS uygulayan işletmelerin 31 Aralık 2023 tarihinde veya sonrasında sona eren yıllık raporlama dönemine ait finansal tablolarının TMS 29’da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edilmiştir. Bu kapsamda BDDK’nın sırasıyla 12 Aralık 2023 tarihli ve 10744 sayılı ve 5 Aralık 2024 tarihli ve 11021 sayılı kararları uyarınca 2024 ve 2025 yıllarında bankalar ile finansal kiralama, faktoring, finansman, tasarruf finansman ve varlık yönetim şirketlerinin finansal tablolarının TMS 29 kapsamında yapılması gereken enflasyon düzeltmesine tabi tutulmamasına karar verilmiştir. Buna istinaden Ana Ortaklık Banka’nın </w:t>
      </w:r>
      <w:r w:rsidR="00A17325" w:rsidRPr="001F224B">
        <w:rPr>
          <w:sz w:val="22"/>
          <w:szCs w:val="22"/>
        </w:rPr>
        <w:t>30 Haziran</w:t>
      </w:r>
      <w:r w:rsidRPr="001F224B">
        <w:rPr>
          <w:sz w:val="22"/>
          <w:szCs w:val="22"/>
        </w:rPr>
        <w:t xml:space="preserve"> 202</w:t>
      </w:r>
      <w:r w:rsidR="00E732C0" w:rsidRPr="001F224B">
        <w:rPr>
          <w:sz w:val="22"/>
          <w:szCs w:val="22"/>
        </w:rPr>
        <w:t>5</w:t>
      </w:r>
      <w:r w:rsidRPr="001F224B">
        <w:rPr>
          <w:sz w:val="22"/>
          <w:szCs w:val="22"/>
        </w:rPr>
        <w:t xml:space="preserve"> tarihli finansal tablolarında TMS 29 uygulanmamıştır. </w:t>
      </w:r>
    </w:p>
    <w:p w14:paraId="20D5C7D9" w14:textId="620C94D6" w:rsidR="00443B33" w:rsidRPr="001F224B" w:rsidRDefault="00B95ACB" w:rsidP="00443B33">
      <w:pPr>
        <w:spacing w:after="100"/>
        <w:ind w:left="567"/>
        <w:jc w:val="both"/>
        <w:rPr>
          <w:sz w:val="22"/>
          <w:szCs w:val="22"/>
        </w:rPr>
      </w:pPr>
      <w:r w:rsidRPr="001F224B">
        <w:rPr>
          <w:sz w:val="22"/>
          <w:szCs w:val="22"/>
        </w:rPr>
        <w:t>Grup</w:t>
      </w:r>
      <w:r w:rsidR="00443B33" w:rsidRPr="001F224B">
        <w:rPr>
          <w:sz w:val="22"/>
          <w:szCs w:val="22"/>
        </w:rPr>
        <w:t xml:space="preserve">, konsolide finansal tablolarını hazırlarken, konsolidasyona tabi tuttuğu bağlı ortaklıkları Kalkınma Yatırım Varlık Kiralama A.Ş. ve Kalkınma Girişim Sermayesi Portföy Yönetimi A.Ş.’nin TMS 29’a göre </w:t>
      </w:r>
      <w:r w:rsidR="00EA66D9" w:rsidRPr="001F224B">
        <w:rPr>
          <w:sz w:val="22"/>
          <w:szCs w:val="22"/>
        </w:rPr>
        <w:t>enflasyon muhasebesi uygulanmamış finansal tabloları</w:t>
      </w:r>
      <w:r w:rsidR="00085FEC" w:rsidRPr="001F224B">
        <w:rPr>
          <w:sz w:val="22"/>
          <w:szCs w:val="22"/>
        </w:rPr>
        <w:t>nı</w:t>
      </w:r>
      <w:r w:rsidR="00EA66D9" w:rsidRPr="001F224B">
        <w:rPr>
          <w:sz w:val="22"/>
          <w:szCs w:val="22"/>
        </w:rPr>
        <w:t xml:space="preserve"> </w:t>
      </w:r>
      <w:r w:rsidR="00443B33" w:rsidRPr="001F224B">
        <w:rPr>
          <w:sz w:val="22"/>
          <w:szCs w:val="22"/>
        </w:rPr>
        <w:t>kullanmıştır.</w:t>
      </w:r>
    </w:p>
    <w:p w14:paraId="72C24952" w14:textId="4D50FE5C" w:rsidR="00490520" w:rsidRPr="001F224B" w:rsidRDefault="00490520" w:rsidP="00490520">
      <w:pPr>
        <w:pStyle w:val="ListParagraph"/>
        <w:spacing w:after="100"/>
        <w:ind w:left="142"/>
        <w:jc w:val="both"/>
        <w:rPr>
          <w:b/>
          <w:sz w:val="22"/>
          <w:szCs w:val="22"/>
        </w:rPr>
      </w:pPr>
      <w:r w:rsidRPr="001F224B">
        <w:rPr>
          <w:b/>
          <w:sz w:val="22"/>
          <w:szCs w:val="22"/>
        </w:rPr>
        <w:t>c.     Diğer hususlar:</w:t>
      </w:r>
    </w:p>
    <w:p w14:paraId="66E1F48F" w14:textId="13159C37" w:rsidR="0042686A" w:rsidRPr="001F224B" w:rsidRDefault="00085FEC" w:rsidP="0042686A">
      <w:pPr>
        <w:spacing w:after="100"/>
        <w:ind w:left="567"/>
        <w:jc w:val="both"/>
        <w:rPr>
          <w:sz w:val="22"/>
          <w:szCs w:val="22"/>
        </w:rPr>
      </w:pPr>
      <w:r w:rsidRPr="001F224B">
        <w:rPr>
          <w:sz w:val="22"/>
          <w:szCs w:val="22"/>
        </w:rPr>
        <w:t>Bulunmamaktadır.</w:t>
      </w:r>
    </w:p>
    <w:p w14:paraId="3F169630" w14:textId="2CB44C66" w:rsidR="00085FEC" w:rsidRPr="001F224B" w:rsidRDefault="00085FEC" w:rsidP="0042686A">
      <w:pPr>
        <w:spacing w:after="100"/>
        <w:ind w:left="567"/>
        <w:jc w:val="both"/>
        <w:rPr>
          <w:sz w:val="22"/>
          <w:szCs w:val="22"/>
        </w:rPr>
      </w:pPr>
    </w:p>
    <w:p w14:paraId="1BE3A9B1" w14:textId="4AFDE47C" w:rsidR="00085FEC" w:rsidRPr="001F224B" w:rsidRDefault="00085FEC" w:rsidP="0042686A">
      <w:pPr>
        <w:spacing w:after="100"/>
        <w:ind w:left="567"/>
        <w:jc w:val="both"/>
        <w:rPr>
          <w:sz w:val="22"/>
          <w:szCs w:val="22"/>
        </w:rPr>
      </w:pPr>
    </w:p>
    <w:p w14:paraId="093350FA" w14:textId="71D04372" w:rsidR="002A5808" w:rsidRPr="001F224B" w:rsidRDefault="002A5808">
      <w:pPr>
        <w:rPr>
          <w:sz w:val="22"/>
          <w:szCs w:val="22"/>
        </w:rPr>
      </w:pPr>
      <w:r w:rsidRPr="001F224B">
        <w:rPr>
          <w:sz w:val="22"/>
          <w:szCs w:val="22"/>
        </w:rPr>
        <w:br w:type="page"/>
      </w:r>
    </w:p>
    <w:p w14:paraId="11A78DAE" w14:textId="6B8E6519" w:rsidR="00490520" w:rsidRPr="001F224B" w:rsidRDefault="00490520" w:rsidP="00490520">
      <w:pPr>
        <w:tabs>
          <w:tab w:val="left" w:pos="567"/>
        </w:tabs>
        <w:spacing w:before="120"/>
        <w:rPr>
          <w:b/>
          <w:bCs/>
          <w:sz w:val="22"/>
          <w:szCs w:val="22"/>
        </w:rPr>
      </w:pPr>
      <w:r w:rsidRPr="001F224B">
        <w:rPr>
          <w:b/>
          <w:bCs/>
          <w:sz w:val="22"/>
          <w:szCs w:val="22"/>
        </w:rPr>
        <w:t>ÜÇÜNCÜ BÖLÜM</w:t>
      </w:r>
      <w:r w:rsidR="009F26AF" w:rsidRPr="001F224B">
        <w:rPr>
          <w:b/>
          <w:bCs/>
          <w:sz w:val="22"/>
          <w:szCs w:val="22"/>
        </w:rPr>
        <w:t xml:space="preserve"> (Devamı)</w:t>
      </w:r>
    </w:p>
    <w:p w14:paraId="63F2FB30" w14:textId="1FA9E620" w:rsidR="00490520" w:rsidRPr="001F224B" w:rsidRDefault="00490520" w:rsidP="00490520">
      <w:pPr>
        <w:tabs>
          <w:tab w:val="left" w:pos="567"/>
        </w:tabs>
        <w:spacing w:before="60" w:afterLines="60" w:after="144"/>
        <w:rPr>
          <w:b/>
          <w:bCs/>
          <w:sz w:val="22"/>
          <w:szCs w:val="22"/>
        </w:rPr>
      </w:pPr>
      <w:r w:rsidRPr="001F224B">
        <w:rPr>
          <w:b/>
          <w:bCs/>
          <w:sz w:val="22"/>
          <w:szCs w:val="22"/>
        </w:rPr>
        <w:t>MUHASEBE POLİTİKALARI</w:t>
      </w:r>
      <w:r w:rsidR="009F26AF" w:rsidRPr="001F224B">
        <w:rPr>
          <w:b/>
          <w:bCs/>
          <w:sz w:val="22"/>
          <w:szCs w:val="22"/>
        </w:rPr>
        <w:t xml:space="preserve"> (Devamı)</w:t>
      </w:r>
    </w:p>
    <w:bookmarkEnd w:id="5"/>
    <w:p w14:paraId="2B108B11" w14:textId="6BA81A39" w:rsidR="00546BAC" w:rsidRPr="001F224B" w:rsidRDefault="00940F25" w:rsidP="0042686A">
      <w:pPr>
        <w:pStyle w:val="ListParagraph"/>
        <w:numPr>
          <w:ilvl w:val="0"/>
          <w:numId w:val="3"/>
        </w:numPr>
        <w:tabs>
          <w:tab w:val="num" w:pos="567"/>
        </w:tabs>
        <w:spacing w:after="120"/>
        <w:ind w:hanging="436"/>
        <w:jc w:val="both"/>
        <w:rPr>
          <w:b/>
          <w:bCs/>
          <w:sz w:val="22"/>
          <w:szCs w:val="22"/>
        </w:rPr>
      </w:pPr>
      <w:r w:rsidRPr="001F224B">
        <w:rPr>
          <w:b/>
          <w:bCs/>
          <w:sz w:val="22"/>
          <w:szCs w:val="22"/>
        </w:rPr>
        <w:t>Konsolide f</w:t>
      </w:r>
      <w:r w:rsidR="00546BAC" w:rsidRPr="001F224B">
        <w:rPr>
          <w:b/>
          <w:bCs/>
          <w:sz w:val="22"/>
          <w:szCs w:val="22"/>
        </w:rPr>
        <w:t>inansal tabloların hazırlanmasında kullanılan değerleme esasları</w:t>
      </w:r>
    </w:p>
    <w:p w14:paraId="47C89E30" w14:textId="412E8B5F" w:rsidR="00227D4B" w:rsidRPr="001F224B" w:rsidRDefault="00940F25" w:rsidP="00024823">
      <w:pPr>
        <w:tabs>
          <w:tab w:val="left" w:pos="567"/>
          <w:tab w:val="left" w:pos="851"/>
        </w:tabs>
        <w:spacing w:before="120" w:after="120"/>
        <w:ind w:left="567" w:right="28"/>
        <w:jc w:val="both"/>
        <w:rPr>
          <w:sz w:val="22"/>
          <w:szCs w:val="22"/>
        </w:rPr>
      </w:pPr>
      <w:r w:rsidRPr="001F224B">
        <w:rPr>
          <w:sz w:val="22"/>
          <w:szCs w:val="22"/>
        </w:rPr>
        <w:t xml:space="preserve">Konsolide finansal </w:t>
      </w:r>
      <w:r w:rsidR="00546BAC" w:rsidRPr="001F224B">
        <w:rPr>
          <w:sz w:val="22"/>
          <w:szCs w:val="22"/>
        </w:rPr>
        <w:t xml:space="preserve">tabloların hazırlanmasına ilişkin izlenen muhasebe politikaları ve kullanılan değerleme esasları </w:t>
      </w:r>
      <w:r w:rsidR="006C4E47" w:rsidRPr="001F224B">
        <w:rPr>
          <w:sz w:val="22"/>
          <w:szCs w:val="22"/>
        </w:rPr>
        <w:t xml:space="preserve">BDDK Muhasebe ve Finansal Raporlama Mevzuatı’nda </w:t>
      </w:r>
      <w:r w:rsidR="00546BAC" w:rsidRPr="001F224B">
        <w:rPr>
          <w:sz w:val="22"/>
          <w:szCs w:val="22"/>
        </w:rPr>
        <w:t xml:space="preserve">belirtildiği şekilde uygulanmıştır. </w:t>
      </w:r>
      <w:r w:rsidR="00170E79" w:rsidRPr="001F224B">
        <w:rPr>
          <w:sz w:val="22"/>
          <w:szCs w:val="22"/>
        </w:rPr>
        <w:t>Söz konusu muhasebe politikalar</w:t>
      </w:r>
      <w:r w:rsidR="00457815" w:rsidRPr="001F224B">
        <w:rPr>
          <w:sz w:val="22"/>
          <w:szCs w:val="22"/>
        </w:rPr>
        <w:t xml:space="preserve">ı ve değerleme </w:t>
      </w:r>
      <w:r w:rsidR="00073BB2" w:rsidRPr="001F224B">
        <w:rPr>
          <w:sz w:val="22"/>
          <w:szCs w:val="22"/>
        </w:rPr>
        <w:t>esasları II-</w:t>
      </w:r>
      <w:r w:rsidR="00064CED" w:rsidRPr="001F224B">
        <w:rPr>
          <w:sz w:val="22"/>
          <w:szCs w:val="22"/>
        </w:rPr>
        <w:t>XXVI</w:t>
      </w:r>
      <w:r w:rsidR="00073BB2" w:rsidRPr="001F224B">
        <w:rPr>
          <w:sz w:val="22"/>
          <w:szCs w:val="22"/>
        </w:rPr>
        <w:t xml:space="preserve"> </w:t>
      </w:r>
      <w:r w:rsidR="007B69B8" w:rsidRPr="001F224B">
        <w:rPr>
          <w:sz w:val="22"/>
          <w:szCs w:val="22"/>
        </w:rPr>
        <w:t xml:space="preserve">no’lu dipnotlarda </w:t>
      </w:r>
      <w:r w:rsidR="00170E79" w:rsidRPr="001F224B">
        <w:rPr>
          <w:sz w:val="22"/>
          <w:szCs w:val="22"/>
        </w:rPr>
        <w:t>açıklanmaktadır.</w:t>
      </w:r>
    </w:p>
    <w:p w14:paraId="48DF115B" w14:textId="77777777" w:rsidR="00227D4B" w:rsidRPr="001F224B" w:rsidRDefault="00227D4B" w:rsidP="00227D4B">
      <w:pPr>
        <w:pStyle w:val="BodyText"/>
        <w:tabs>
          <w:tab w:val="left" w:pos="540"/>
        </w:tabs>
        <w:spacing w:before="120" w:after="100"/>
        <w:ind w:left="567"/>
        <w:rPr>
          <w:sz w:val="22"/>
          <w:szCs w:val="22"/>
        </w:rPr>
      </w:pPr>
      <w:r w:rsidRPr="001F224B">
        <w:rPr>
          <w:sz w:val="22"/>
          <w:szCs w:val="22"/>
        </w:rPr>
        <w:t xml:space="preserve">Konsolide finansal tablolar, gerçeğe uygun değerleri ile gösterilen finansal varlık ve yükümlülükler dışında, tarihi maliyet esası baz alınarak Bin Türk Lirası (“TL”) olarak hazırlanmıştır. </w:t>
      </w:r>
    </w:p>
    <w:p w14:paraId="3C2500C2" w14:textId="2B02EA41" w:rsidR="00546BAC" w:rsidRPr="001F224B" w:rsidRDefault="00546BAC" w:rsidP="0042686A">
      <w:pPr>
        <w:pStyle w:val="ListParagraph"/>
        <w:numPr>
          <w:ilvl w:val="0"/>
          <w:numId w:val="3"/>
        </w:numPr>
        <w:spacing w:after="100"/>
        <w:ind w:left="567" w:hanging="294"/>
        <w:jc w:val="both"/>
        <w:rPr>
          <w:b/>
          <w:bCs/>
          <w:sz w:val="22"/>
          <w:szCs w:val="22"/>
        </w:rPr>
      </w:pPr>
      <w:bookmarkStart w:id="6" w:name="_Hlk102031977"/>
      <w:r w:rsidRPr="001F224B">
        <w:rPr>
          <w:b/>
          <w:bCs/>
          <w:sz w:val="22"/>
          <w:szCs w:val="22"/>
        </w:rPr>
        <w:t>Finansal araçların kullanım stratejisi ve yabancı para cinsinden işlemlere ilişkin açıklamalar</w:t>
      </w:r>
      <w:bookmarkEnd w:id="6"/>
    </w:p>
    <w:p w14:paraId="47983B96" w14:textId="77777777" w:rsidR="002972B3" w:rsidRPr="001F224B" w:rsidRDefault="00A623C1" w:rsidP="002972B3">
      <w:pPr>
        <w:tabs>
          <w:tab w:val="left" w:pos="567"/>
        </w:tabs>
        <w:spacing w:before="120" w:after="100"/>
        <w:ind w:left="567" w:right="28"/>
        <w:jc w:val="both"/>
        <w:rPr>
          <w:sz w:val="22"/>
          <w:szCs w:val="22"/>
        </w:rPr>
      </w:pPr>
      <w:r w:rsidRPr="001F224B">
        <w:rPr>
          <w:sz w:val="22"/>
          <w:szCs w:val="22"/>
        </w:rPr>
        <w:t xml:space="preserve">Ana Ortaklık </w:t>
      </w:r>
      <w:r w:rsidR="002972B3" w:rsidRPr="001F224B">
        <w:rPr>
          <w:sz w:val="22"/>
          <w:szCs w:val="22"/>
        </w:rPr>
        <w:t xml:space="preserve">Banka bilançosunun pasif hesapları ağırlıklı olarak, yurt içi ve yurt dışı piyasalardan temin edilen kaynaklardan oluşmaktadır. Yurt içinden sağlanan kaynakların önemli bir bölümü Türkiye Cumhuriyet Merkez Bankası’ndan, T.C. Hazine ve Maliye Bakanlığı aracılığı ile İslam Kalkınma Bankası, Alman Kalkınma Bankası ve OPEC Uluslararası Kalkınma Fonu gibi uluslararası kuruluşlardan sağlanan kaynaklar ve bütçe kaynaklı fonlardan, bir kısmı da bilanço yönetimi çerçevesinde kısa vadeli para piyasası işlemleri aracılığıyla sağlanan fonlardan oluşmaktadır. Çeşitli sektörlere plase edilmek üzere T.C. Hazine ve Maliye Bakanlığı tarafından aktarılan fonlarda Banka aracılık görevini üstlenmektedir. Yurt dışından sağlanan kaynaklar ise Dünya Bankası’nın yanı sıra, Avrupa Yatırım Bankası, Avrupa Konseyi Kalkınma Bankası, İslam Kalkınma Bankası, </w:t>
      </w:r>
      <w:bookmarkStart w:id="7" w:name="_Hlk180152185"/>
      <w:r w:rsidR="002972B3" w:rsidRPr="001F224B">
        <w:rPr>
          <w:sz w:val="22"/>
          <w:szCs w:val="22"/>
        </w:rPr>
        <w:t>Uluslararası İslami Ticaret Finansman Kuruluşu</w:t>
      </w:r>
      <w:bookmarkEnd w:id="7"/>
      <w:r w:rsidR="002972B3" w:rsidRPr="001F224B">
        <w:rPr>
          <w:sz w:val="22"/>
          <w:szCs w:val="22"/>
        </w:rPr>
        <w:t>, Japonya Uluslararası İşbirliği Bankası,</w:t>
      </w:r>
      <w:r w:rsidR="002972B3" w:rsidRPr="001F224B">
        <w:t xml:space="preserve"> </w:t>
      </w:r>
      <w:r w:rsidR="002972B3" w:rsidRPr="001F224B">
        <w:rPr>
          <w:sz w:val="22"/>
          <w:szCs w:val="22"/>
        </w:rPr>
        <w:t xml:space="preserve">Karadeniz Ticaret ve Kalkınma Bankası, Asya Altyapı Yatırım Bankası, Alman Kalkınma Bankası ve Çin Kalkınma Bankası’ndan temin edilmiş orta ve uzun vadeli krediler ile Fransız Kalkınma Ajansı tahsisli olarak ihraç edilmiş olan menkul kıymetlerdir. </w:t>
      </w:r>
    </w:p>
    <w:p w14:paraId="58CECBEE" w14:textId="3632B865" w:rsidR="00546BAC" w:rsidRPr="001F224B" w:rsidRDefault="00546BAC" w:rsidP="00B417B1">
      <w:pPr>
        <w:tabs>
          <w:tab w:val="left" w:pos="567"/>
        </w:tabs>
        <w:spacing w:before="120" w:after="100"/>
        <w:ind w:left="567" w:right="28"/>
        <w:jc w:val="both"/>
        <w:rPr>
          <w:sz w:val="22"/>
          <w:szCs w:val="22"/>
        </w:rPr>
      </w:pPr>
      <w:r w:rsidRPr="001F224B">
        <w:rPr>
          <w:sz w:val="22"/>
          <w:szCs w:val="22"/>
        </w:rPr>
        <w:t>Temin edilen kaynakların kullandırılmasında aktif-pasif uyumu gözetilmek suretiyle, borçlanma koşullarına uygun kredilendirme yapısına özen gösterilerek; vade, kur ve likidite riskinden korunmaya çalışılmaktadır. Taşınan kur riski, faiz riski ve likidite riski düzenli olarak ölçülmekte ve izlenmekte, piyasa verilerindeki değişimlerin sonucunda gerekli tedbirler alınarak, bilanço yönetimi belirlenen risk limitleri ve yasal limitler dahilinde yapılmaktadır.</w:t>
      </w:r>
      <w:r w:rsidR="00B417B1" w:rsidRPr="001F224B">
        <w:rPr>
          <w:sz w:val="22"/>
          <w:szCs w:val="22"/>
        </w:rPr>
        <w:t xml:space="preserve"> </w:t>
      </w:r>
      <w:r w:rsidR="00A623C1" w:rsidRPr="001F224B">
        <w:rPr>
          <w:sz w:val="22"/>
          <w:szCs w:val="22"/>
        </w:rPr>
        <w:t xml:space="preserve">Ana Ortaklık </w:t>
      </w:r>
      <w:r w:rsidRPr="001F224B">
        <w:rPr>
          <w:sz w:val="22"/>
          <w:szCs w:val="22"/>
        </w:rPr>
        <w:t xml:space="preserve">Banka’nın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14:paraId="0C783C89" w14:textId="0D171342" w:rsidR="00546BAC" w:rsidRPr="001F224B" w:rsidRDefault="00546BAC" w:rsidP="00B417B1">
      <w:pPr>
        <w:tabs>
          <w:tab w:val="left" w:pos="567"/>
        </w:tabs>
        <w:spacing w:before="120" w:after="100"/>
        <w:ind w:left="567" w:right="28"/>
        <w:jc w:val="both"/>
        <w:rPr>
          <w:sz w:val="22"/>
          <w:szCs w:val="22"/>
        </w:rPr>
      </w:pPr>
      <w:r w:rsidRPr="001F224B">
        <w:rPr>
          <w:sz w:val="22"/>
          <w:szCs w:val="22"/>
        </w:rPr>
        <w:t xml:space="preserve">Ticari plasmanlar; </w:t>
      </w:r>
      <w:r w:rsidR="00A623C1" w:rsidRPr="001F224B">
        <w:rPr>
          <w:sz w:val="22"/>
          <w:szCs w:val="22"/>
        </w:rPr>
        <w:t xml:space="preserve">Ana Ortaklık </w:t>
      </w:r>
      <w:r w:rsidRPr="001F224B">
        <w:rPr>
          <w:sz w:val="22"/>
          <w:szCs w:val="22"/>
        </w:rPr>
        <w:t xml:space="preserve">Banka’ya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Piyasalardaki kur, faiz ve fiyat hareketleri yakından izlenmekte; pozisyon alınırken yasal sınırlar yanında </w:t>
      </w:r>
      <w:r w:rsidR="00112BFF" w:rsidRPr="001F224B">
        <w:rPr>
          <w:sz w:val="22"/>
          <w:szCs w:val="22"/>
        </w:rPr>
        <w:t xml:space="preserve">Ana Ortaklık </w:t>
      </w:r>
      <w:r w:rsidRPr="001F224B">
        <w:rPr>
          <w:sz w:val="22"/>
          <w:szCs w:val="22"/>
        </w:rPr>
        <w:t xml:space="preserve">Banka’nın geçmiş dönemlerde elde ettiği birikim dikkate alınarak geliştirilen işlem ve kontrol limitleri esas alınmaktadır. Bu yolla limit aşımlarına sebebiyet verilmemesi de sağlanmaktadır. </w:t>
      </w:r>
    </w:p>
    <w:p w14:paraId="494A72C3" w14:textId="77777777" w:rsidR="00B417B1" w:rsidRPr="001F224B" w:rsidRDefault="00B417B1" w:rsidP="00B417B1">
      <w:pPr>
        <w:tabs>
          <w:tab w:val="left" w:pos="567"/>
        </w:tabs>
        <w:spacing w:before="120" w:after="100"/>
        <w:ind w:left="567" w:right="28"/>
        <w:jc w:val="both"/>
        <w:rPr>
          <w:sz w:val="22"/>
          <w:szCs w:val="22"/>
        </w:rPr>
      </w:pPr>
    </w:p>
    <w:p w14:paraId="6EA9C7BF" w14:textId="41F98DCD" w:rsidR="00024823" w:rsidRPr="001F224B" w:rsidRDefault="00024823" w:rsidP="00A0277A">
      <w:pPr>
        <w:tabs>
          <w:tab w:val="left" w:pos="567"/>
        </w:tabs>
        <w:spacing w:before="120" w:after="100"/>
        <w:ind w:left="567" w:right="28"/>
        <w:jc w:val="both"/>
        <w:rPr>
          <w:sz w:val="22"/>
          <w:szCs w:val="22"/>
        </w:rPr>
      </w:pPr>
    </w:p>
    <w:p w14:paraId="1DC1B9EE" w14:textId="1EC74BC6" w:rsidR="0042686A" w:rsidRPr="001F224B" w:rsidRDefault="0042686A" w:rsidP="00A0277A">
      <w:pPr>
        <w:tabs>
          <w:tab w:val="left" w:pos="567"/>
        </w:tabs>
        <w:spacing w:before="120" w:after="100"/>
        <w:ind w:left="567" w:right="28"/>
        <w:jc w:val="both"/>
        <w:rPr>
          <w:sz w:val="22"/>
          <w:szCs w:val="22"/>
        </w:rPr>
      </w:pPr>
    </w:p>
    <w:p w14:paraId="5EB2BF5F" w14:textId="377FFA1F" w:rsidR="0042686A" w:rsidRPr="001F224B" w:rsidRDefault="0042686A" w:rsidP="00A0277A">
      <w:pPr>
        <w:tabs>
          <w:tab w:val="left" w:pos="567"/>
        </w:tabs>
        <w:spacing w:before="120" w:after="100"/>
        <w:ind w:left="567" w:right="28"/>
        <w:jc w:val="both"/>
        <w:rPr>
          <w:sz w:val="22"/>
          <w:szCs w:val="22"/>
        </w:rPr>
      </w:pPr>
    </w:p>
    <w:p w14:paraId="43AB4483" w14:textId="091539CC" w:rsidR="0042686A" w:rsidRPr="001F224B" w:rsidRDefault="0042686A" w:rsidP="00A0277A">
      <w:pPr>
        <w:tabs>
          <w:tab w:val="left" w:pos="567"/>
        </w:tabs>
        <w:spacing w:before="120" w:after="100"/>
        <w:ind w:left="567" w:right="28"/>
        <w:jc w:val="both"/>
        <w:rPr>
          <w:sz w:val="22"/>
          <w:szCs w:val="22"/>
        </w:rPr>
      </w:pPr>
    </w:p>
    <w:p w14:paraId="0E56F9D7" w14:textId="17DD7CD0" w:rsidR="0042686A" w:rsidRPr="001F224B" w:rsidRDefault="0042686A" w:rsidP="00A0277A">
      <w:pPr>
        <w:tabs>
          <w:tab w:val="left" w:pos="567"/>
        </w:tabs>
        <w:spacing w:before="120" w:after="100"/>
        <w:ind w:left="567" w:right="28"/>
        <w:jc w:val="both"/>
        <w:rPr>
          <w:sz w:val="22"/>
          <w:szCs w:val="22"/>
        </w:rPr>
      </w:pPr>
    </w:p>
    <w:p w14:paraId="2709F65B" w14:textId="77777777" w:rsidR="0042686A" w:rsidRPr="001F224B" w:rsidRDefault="0042686A" w:rsidP="00A0277A">
      <w:pPr>
        <w:tabs>
          <w:tab w:val="left" w:pos="567"/>
        </w:tabs>
        <w:spacing w:before="120" w:after="100"/>
        <w:ind w:left="567" w:right="28"/>
        <w:jc w:val="both"/>
        <w:rPr>
          <w:sz w:val="22"/>
          <w:szCs w:val="22"/>
        </w:rPr>
      </w:pPr>
    </w:p>
    <w:p w14:paraId="0E864AFE" w14:textId="6A4E9E08" w:rsidR="00490520" w:rsidRPr="001F224B" w:rsidRDefault="00490520" w:rsidP="00A0277A">
      <w:pPr>
        <w:tabs>
          <w:tab w:val="left" w:pos="567"/>
        </w:tabs>
        <w:spacing w:before="120" w:after="100"/>
        <w:ind w:left="567" w:right="28"/>
        <w:jc w:val="both"/>
        <w:rPr>
          <w:sz w:val="22"/>
          <w:szCs w:val="22"/>
        </w:rPr>
      </w:pPr>
    </w:p>
    <w:p w14:paraId="6511992E" w14:textId="77777777" w:rsidR="0061326F" w:rsidRPr="001F224B" w:rsidRDefault="0061326F" w:rsidP="00A0277A">
      <w:pPr>
        <w:tabs>
          <w:tab w:val="left" w:pos="567"/>
        </w:tabs>
        <w:spacing w:before="120" w:after="100"/>
        <w:ind w:left="567" w:right="28"/>
        <w:jc w:val="both"/>
        <w:rPr>
          <w:sz w:val="22"/>
          <w:szCs w:val="22"/>
        </w:rPr>
      </w:pPr>
    </w:p>
    <w:p w14:paraId="43DB49E7" w14:textId="00750A51" w:rsidR="003D1A9B" w:rsidRPr="001F224B" w:rsidRDefault="000608C7" w:rsidP="003D1A9B">
      <w:pPr>
        <w:rPr>
          <w:sz w:val="22"/>
          <w:szCs w:val="22"/>
        </w:rPr>
      </w:pPr>
      <w:r w:rsidRPr="001F224B">
        <w:rPr>
          <w:sz w:val="22"/>
          <w:szCs w:val="22"/>
        </w:rPr>
        <w:br w:type="page"/>
      </w:r>
      <w:r w:rsidR="003D1A9B" w:rsidRPr="001F224B">
        <w:rPr>
          <w:b/>
          <w:bCs/>
          <w:sz w:val="22"/>
          <w:szCs w:val="22"/>
        </w:rPr>
        <w:t>ÜÇÜNCÜ BÖLÜM (Devamı)</w:t>
      </w:r>
    </w:p>
    <w:p w14:paraId="4EAEF99C" w14:textId="77777777" w:rsidR="003D1A9B" w:rsidRPr="001F224B" w:rsidRDefault="003D1A9B" w:rsidP="003D1A9B">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29AAB595" w14:textId="29E188AC" w:rsidR="003D1A9B" w:rsidRPr="001F224B" w:rsidRDefault="003D1A9B" w:rsidP="003D1A9B">
      <w:pPr>
        <w:tabs>
          <w:tab w:val="left" w:pos="426"/>
        </w:tabs>
        <w:spacing w:before="120" w:after="100"/>
        <w:ind w:left="567" w:right="28" w:hanging="567"/>
        <w:jc w:val="both"/>
        <w:rPr>
          <w:sz w:val="22"/>
          <w:szCs w:val="22"/>
        </w:rPr>
      </w:pPr>
      <w:r w:rsidRPr="001F224B">
        <w:rPr>
          <w:b/>
          <w:bCs/>
          <w:sz w:val="22"/>
          <w:szCs w:val="22"/>
        </w:rPr>
        <w:t>III.  Finansal araçların kullanım stratejisi ve yabancı para cinsinden işlemlere ilişkin açıklamalar (Devamı)</w:t>
      </w:r>
    </w:p>
    <w:p w14:paraId="7BB6F8A2" w14:textId="290DC28F" w:rsidR="00546BAC" w:rsidRPr="001F224B" w:rsidRDefault="00546BAC" w:rsidP="00A0277A">
      <w:pPr>
        <w:tabs>
          <w:tab w:val="left" w:pos="567"/>
        </w:tabs>
        <w:spacing w:before="120" w:after="100"/>
        <w:ind w:left="567" w:right="28"/>
        <w:jc w:val="both"/>
        <w:rPr>
          <w:sz w:val="22"/>
          <w:szCs w:val="22"/>
        </w:rPr>
      </w:pPr>
      <w:r w:rsidRPr="001F224B">
        <w:rPr>
          <w:sz w:val="22"/>
          <w:szCs w:val="22"/>
        </w:rPr>
        <w:t>Yabancı para işlemlerin yürütülmesinde ise, aşağıda belirtilen uygulamalar yapılmaktadı</w:t>
      </w:r>
      <w:r w:rsidR="002A5808" w:rsidRPr="001F224B">
        <w:rPr>
          <w:sz w:val="22"/>
          <w:szCs w:val="22"/>
        </w:rPr>
        <w:t>r:</w:t>
      </w:r>
    </w:p>
    <w:p w14:paraId="356D46C7" w14:textId="77777777" w:rsidR="00546BAC" w:rsidRPr="001F224B" w:rsidRDefault="00546BAC" w:rsidP="00A0277A">
      <w:pPr>
        <w:tabs>
          <w:tab w:val="left" w:pos="993"/>
        </w:tabs>
        <w:spacing w:before="120" w:after="100"/>
        <w:ind w:left="993" w:right="28" w:hanging="426"/>
        <w:jc w:val="both"/>
        <w:rPr>
          <w:sz w:val="22"/>
          <w:szCs w:val="22"/>
        </w:rPr>
      </w:pPr>
      <w:r w:rsidRPr="001F224B">
        <w:rPr>
          <w:bCs/>
          <w:sz w:val="22"/>
          <w:szCs w:val="22"/>
        </w:rPr>
        <w:t>a.</w:t>
      </w:r>
      <w:r w:rsidRPr="001F224B">
        <w:rPr>
          <w:bCs/>
          <w:sz w:val="22"/>
          <w:szCs w:val="22"/>
        </w:rPr>
        <w:tab/>
      </w:r>
      <w:r w:rsidRPr="001F224B">
        <w:rPr>
          <w:sz w:val="22"/>
          <w:szCs w:val="22"/>
        </w:rPr>
        <w:t xml:space="preserve">Yabancı para aktif ve pasif parasal kalemler dönem sonunda geçerli olan </w:t>
      </w:r>
      <w:r w:rsidR="00A623C1" w:rsidRPr="001F224B">
        <w:rPr>
          <w:sz w:val="22"/>
          <w:szCs w:val="22"/>
        </w:rPr>
        <w:t xml:space="preserve">Ana Ortaklık </w:t>
      </w:r>
      <w:r w:rsidRPr="001F224B">
        <w:rPr>
          <w:sz w:val="22"/>
          <w:szCs w:val="22"/>
        </w:rPr>
        <w:t>Banka döviz alış kurlarından Türk Lirası’na (TL) çevrilmiş ve oluşan kur farkları kambiyo karı veya zararı olarak kayıtlara yansıtılmıştır.</w:t>
      </w:r>
    </w:p>
    <w:p w14:paraId="3C4117BC" w14:textId="77777777" w:rsidR="00546BAC" w:rsidRPr="001F224B" w:rsidRDefault="00546BAC" w:rsidP="00A0277A">
      <w:pPr>
        <w:tabs>
          <w:tab w:val="left" w:pos="993"/>
        </w:tabs>
        <w:spacing w:before="120" w:after="100"/>
        <w:ind w:left="993" w:right="28" w:hanging="426"/>
        <w:jc w:val="both"/>
        <w:rPr>
          <w:sz w:val="22"/>
          <w:szCs w:val="22"/>
        </w:rPr>
      </w:pPr>
      <w:r w:rsidRPr="001F224B">
        <w:rPr>
          <w:bCs/>
          <w:sz w:val="22"/>
          <w:szCs w:val="22"/>
        </w:rPr>
        <w:t>b.</w:t>
      </w:r>
      <w:r w:rsidRPr="001F224B">
        <w:rPr>
          <w:bCs/>
          <w:sz w:val="22"/>
          <w:szCs w:val="22"/>
        </w:rPr>
        <w:tab/>
      </w:r>
      <w:r w:rsidRPr="001F224B">
        <w:rPr>
          <w:sz w:val="22"/>
          <w:szCs w:val="22"/>
        </w:rPr>
        <w:t xml:space="preserve">Bilanço tarihi </w:t>
      </w:r>
      <w:r w:rsidR="00301207" w:rsidRPr="001F224B">
        <w:rPr>
          <w:sz w:val="22"/>
          <w:szCs w:val="22"/>
        </w:rPr>
        <w:t xml:space="preserve">itibarıyla </w:t>
      </w:r>
      <w:r w:rsidRPr="001F224B">
        <w:rPr>
          <w:sz w:val="22"/>
          <w:szCs w:val="22"/>
        </w:rPr>
        <w:t>aktifleştirilen kur farkı bulunmamaktadır.</w:t>
      </w:r>
    </w:p>
    <w:p w14:paraId="2838602A" w14:textId="28D39679" w:rsidR="00546BAC" w:rsidRPr="001F224B" w:rsidRDefault="00546BAC" w:rsidP="00A0277A">
      <w:pPr>
        <w:tabs>
          <w:tab w:val="left" w:pos="993"/>
        </w:tabs>
        <w:spacing w:before="120" w:after="100"/>
        <w:ind w:left="993" w:right="28" w:hanging="426"/>
        <w:jc w:val="both"/>
        <w:rPr>
          <w:sz w:val="22"/>
          <w:szCs w:val="22"/>
        </w:rPr>
      </w:pPr>
      <w:r w:rsidRPr="001F224B">
        <w:rPr>
          <w:bCs/>
          <w:sz w:val="22"/>
          <w:szCs w:val="22"/>
        </w:rPr>
        <w:t>c.</w:t>
      </w:r>
      <w:r w:rsidRPr="001F224B">
        <w:rPr>
          <w:bCs/>
          <w:sz w:val="22"/>
          <w:szCs w:val="22"/>
        </w:rPr>
        <w:tab/>
      </w:r>
      <w:r w:rsidRPr="001F224B">
        <w:rPr>
          <w:sz w:val="22"/>
          <w:szCs w:val="22"/>
        </w:rPr>
        <w:t xml:space="preserve">Kur riski yönetim politikasının temel esasları: Yasal yükümlülükler arasında yer alan Yabancı Para Net Genel Pozisyon/Özkaynak Rasyosu’nun çizdiği temel sınırlar çerçevesinde hazırlanan modellemeler doğrultusunda, periyodik olarak toplanan Aktif Pasif Komitesi tarafından </w:t>
      </w:r>
      <w:r w:rsidR="00755824" w:rsidRPr="001F224B">
        <w:rPr>
          <w:sz w:val="22"/>
          <w:szCs w:val="22"/>
        </w:rPr>
        <w:t xml:space="preserve"> </w:t>
      </w:r>
      <w:r w:rsidRPr="001F224B">
        <w:rPr>
          <w:sz w:val="22"/>
          <w:szCs w:val="22"/>
        </w:rPr>
        <w:t xml:space="preserve">kur ve parite riskinden korunmaya yönelik kararlar alınmakta ve alınan kararlar titizlikle uygulanmaktadır. Parite riskinden korunmak amacıyla döviz pozisyonu tekil ve genel pozisyon dikkate alınarak yönetilmektedir. </w:t>
      </w:r>
    </w:p>
    <w:p w14:paraId="15CDEF12" w14:textId="792A0ED5" w:rsidR="00A623C1" w:rsidRPr="001F224B" w:rsidRDefault="00546BAC" w:rsidP="008808C3">
      <w:pPr>
        <w:tabs>
          <w:tab w:val="left" w:pos="993"/>
        </w:tabs>
        <w:spacing w:before="120" w:after="100"/>
        <w:ind w:left="992" w:right="28" w:hanging="425"/>
        <w:jc w:val="both"/>
        <w:rPr>
          <w:sz w:val="22"/>
          <w:szCs w:val="22"/>
        </w:rPr>
      </w:pPr>
      <w:r w:rsidRPr="001F224B">
        <w:rPr>
          <w:bCs/>
          <w:sz w:val="22"/>
          <w:szCs w:val="22"/>
        </w:rPr>
        <w:t>d.</w:t>
      </w:r>
      <w:r w:rsidRPr="001F224B">
        <w:rPr>
          <w:bCs/>
          <w:sz w:val="22"/>
          <w:szCs w:val="22"/>
        </w:rPr>
        <w:tab/>
      </w:r>
      <w:r w:rsidRPr="001F224B">
        <w:rPr>
          <w:sz w:val="22"/>
          <w:szCs w:val="22"/>
        </w:rPr>
        <w:t xml:space="preserve">Yabancı para işlemler, işlem tarihinde geçerli olan kurlardan hesaplanmakta olup, bu tür işlemlerden kaynaklanan kar/zararlar ait oldukları dönemin </w:t>
      </w:r>
      <w:r w:rsidR="0088467E" w:rsidRPr="001F224B">
        <w:rPr>
          <w:sz w:val="22"/>
          <w:szCs w:val="22"/>
        </w:rPr>
        <w:t>kar veya zarar</w:t>
      </w:r>
      <w:r w:rsidRPr="001F224B">
        <w:rPr>
          <w:sz w:val="22"/>
          <w:szCs w:val="22"/>
        </w:rPr>
        <w:t xml:space="preserve"> tablosuna yansıtılmaktadır. </w:t>
      </w:r>
    </w:p>
    <w:p w14:paraId="0B35DADC" w14:textId="4C44E5C8" w:rsidR="00B734A2" w:rsidRPr="001F224B" w:rsidRDefault="00B734A2" w:rsidP="004771A7">
      <w:pPr>
        <w:pStyle w:val="ListParagraph"/>
        <w:numPr>
          <w:ilvl w:val="0"/>
          <w:numId w:val="3"/>
        </w:numPr>
        <w:tabs>
          <w:tab w:val="clear" w:pos="720"/>
          <w:tab w:val="num" w:pos="567"/>
        </w:tabs>
        <w:spacing w:after="100"/>
        <w:ind w:hanging="436"/>
        <w:jc w:val="both"/>
        <w:rPr>
          <w:b/>
          <w:bCs/>
          <w:sz w:val="22"/>
          <w:szCs w:val="22"/>
        </w:rPr>
      </w:pPr>
      <w:r w:rsidRPr="001F224B">
        <w:rPr>
          <w:b/>
          <w:bCs/>
          <w:sz w:val="22"/>
          <w:szCs w:val="22"/>
        </w:rPr>
        <w:t>Konsolide edilen ortaklıklara ilişkin açıklamalar</w:t>
      </w:r>
    </w:p>
    <w:p w14:paraId="2C19D070" w14:textId="77777777" w:rsidR="00B734A2" w:rsidRPr="001F224B" w:rsidRDefault="00B734A2" w:rsidP="00DE7F91">
      <w:pPr>
        <w:pStyle w:val="ListParagraph"/>
        <w:numPr>
          <w:ilvl w:val="0"/>
          <w:numId w:val="16"/>
        </w:numPr>
        <w:spacing w:after="100"/>
        <w:ind w:left="567" w:hanging="283"/>
        <w:jc w:val="both"/>
        <w:rPr>
          <w:b/>
          <w:sz w:val="22"/>
          <w:szCs w:val="22"/>
        </w:rPr>
      </w:pPr>
      <w:r w:rsidRPr="001F224B">
        <w:rPr>
          <w:b/>
          <w:sz w:val="22"/>
          <w:szCs w:val="22"/>
        </w:rPr>
        <w:t>Uygulanan konsolidasyon</w:t>
      </w:r>
      <w:r w:rsidRPr="001F224B">
        <w:rPr>
          <w:b/>
          <w:spacing w:val="-3"/>
          <w:sz w:val="22"/>
          <w:szCs w:val="22"/>
        </w:rPr>
        <w:t xml:space="preserve"> </w:t>
      </w:r>
      <w:r w:rsidRPr="001F224B">
        <w:rPr>
          <w:b/>
          <w:sz w:val="22"/>
          <w:szCs w:val="22"/>
        </w:rPr>
        <w:t>esasları:</w:t>
      </w:r>
    </w:p>
    <w:p w14:paraId="755E1A19" w14:textId="3A63061B" w:rsidR="00B734A2" w:rsidRPr="001F224B" w:rsidRDefault="00B734A2" w:rsidP="00B734A2">
      <w:pPr>
        <w:pStyle w:val="ListParagraph"/>
        <w:spacing w:after="100"/>
        <w:ind w:left="567"/>
        <w:jc w:val="both"/>
        <w:rPr>
          <w:sz w:val="22"/>
          <w:szCs w:val="22"/>
        </w:rPr>
      </w:pPr>
      <w:r w:rsidRPr="001F224B">
        <w:rPr>
          <w:sz w:val="22"/>
          <w:szCs w:val="22"/>
        </w:rPr>
        <w:t xml:space="preserve">8 Kasım 2006 tarih ve 26340 sayılı Resmi Gazete’de yayınlanan “Bankaların Konsolide Finansal Tablolarının Düzenlenmesine İlişkin Tebliğ” ve “TFRS - 10 Konsolide Finansal Tablolar” da belirlenen yöntem, usul ve esaslara uyularak, konsolide </w:t>
      </w:r>
      <w:r w:rsidR="00BD533D" w:rsidRPr="001F224B">
        <w:rPr>
          <w:sz w:val="22"/>
          <w:szCs w:val="22"/>
        </w:rPr>
        <w:t>finansal</w:t>
      </w:r>
      <w:r w:rsidRPr="001F224B">
        <w:rPr>
          <w:sz w:val="22"/>
          <w:szCs w:val="22"/>
        </w:rPr>
        <w:t xml:space="preserve"> tablolar hazırlanmaktadır.</w:t>
      </w:r>
    </w:p>
    <w:p w14:paraId="4AEA2896" w14:textId="0A300572" w:rsidR="00FC28E9" w:rsidRPr="001F224B" w:rsidRDefault="00FC28E9" w:rsidP="00DE7F91">
      <w:pPr>
        <w:pStyle w:val="ListParagraph"/>
        <w:numPr>
          <w:ilvl w:val="0"/>
          <w:numId w:val="16"/>
        </w:numPr>
        <w:spacing w:after="100"/>
        <w:ind w:left="567" w:hanging="283"/>
        <w:jc w:val="both"/>
        <w:rPr>
          <w:b/>
          <w:sz w:val="22"/>
          <w:szCs w:val="22"/>
        </w:rPr>
      </w:pPr>
      <w:r w:rsidRPr="001F224B">
        <w:rPr>
          <w:b/>
          <w:sz w:val="22"/>
          <w:szCs w:val="22"/>
        </w:rPr>
        <w:t>Bağlı ortaklıkların konsolide edilme</w:t>
      </w:r>
      <w:r w:rsidRPr="001F224B">
        <w:rPr>
          <w:b/>
          <w:spacing w:val="2"/>
          <w:sz w:val="22"/>
          <w:szCs w:val="22"/>
        </w:rPr>
        <w:t xml:space="preserve"> </w:t>
      </w:r>
      <w:r w:rsidRPr="001F224B">
        <w:rPr>
          <w:b/>
          <w:sz w:val="22"/>
          <w:szCs w:val="22"/>
        </w:rPr>
        <w:t>esasları</w:t>
      </w:r>
      <w:r w:rsidR="006F392A" w:rsidRPr="001F224B">
        <w:rPr>
          <w:b/>
          <w:sz w:val="22"/>
          <w:szCs w:val="22"/>
        </w:rPr>
        <w:t>:</w:t>
      </w:r>
    </w:p>
    <w:p w14:paraId="1423D61D" w14:textId="400A956E" w:rsidR="00FC28E9" w:rsidRPr="001F224B" w:rsidRDefault="00FC28E9" w:rsidP="006C0F89">
      <w:pPr>
        <w:pStyle w:val="BodyText"/>
        <w:tabs>
          <w:tab w:val="clear" w:pos="0"/>
        </w:tabs>
        <w:spacing w:before="125" w:line="249" w:lineRule="auto"/>
        <w:ind w:left="567" w:right="28"/>
        <w:rPr>
          <w:sz w:val="22"/>
          <w:szCs w:val="22"/>
        </w:rPr>
      </w:pPr>
      <w:r w:rsidRPr="001F224B">
        <w:rPr>
          <w:sz w:val="22"/>
          <w:szCs w:val="22"/>
        </w:rPr>
        <w:t>Sermayesi veya yönetimi doğrudan veya dolaylı olarak Ana Ortaklık Banka tarafından kontrol edilen bağlı o</w:t>
      </w:r>
      <w:r w:rsidR="00A6228C" w:rsidRPr="001F224B">
        <w:rPr>
          <w:sz w:val="22"/>
          <w:szCs w:val="22"/>
        </w:rPr>
        <w:t>rtaklıklar, Ana Ortaklık Banka’</w:t>
      </w:r>
      <w:r w:rsidRPr="001F224B">
        <w:rPr>
          <w:sz w:val="22"/>
          <w:szCs w:val="22"/>
        </w:rPr>
        <w:t>nın</w:t>
      </w:r>
      <w:r w:rsidRPr="001F224B">
        <w:t xml:space="preserve"> </w:t>
      </w:r>
      <w:r w:rsidRPr="001F224B">
        <w:rPr>
          <w:sz w:val="22"/>
          <w:szCs w:val="22"/>
        </w:rPr>
        <w:t xml:space="preserve">yaptığı yatırım üzerinde güce ve yatırım yaptığı tüzel kişilikle olan ilişkisinden dolayı  getirilere sahip olduğu ve elde edeceği getirilerin miktarını etkileyebilmek için yatırım yaptığı işletme üzerindeki gücünü kullanma imkânına </w:t>
      </w:r>
      <w:r w:rsidR="0007574D" w:rsidRPr="001F224B">
        <w:rPr>
          <w:sz w:val="22"/>
          <w:szCs w:val="22"/>
        </w:rPr>
        <w:t>haiz</w:t>
      </w:r>
      <w:r w:rsidRPr="001F224B">
        <w:rPr>
          <w:sz w:val="22"/>
          <w:szCs w:val="22"/>
        </w:rPr>
        <w:t xml:space="preserve"> olduğu ortaklıklardır.</w:t>
      </w:r>
    </w:p>
    <w:p w14:paraId="3DD9E549" w14:textId="27FF2A5A" w:rsidR="0007574D" w:rsidRPr="001F224B" w:rsidRDefault="00A6228C" w:rsidP="006C0F89">
      <w:pPr>
        <w:pStyle w:val="BodyText"/>
        <w:tabs>
          <w:tab w:val="clear" w:pos="0"/>
        </w:tabs>
        <w:spacing w:before="125" w:line="249" w:lineRule="auto"/>
        <w:ind w:left="567" w:right="28"/>
        <w:rPr>
          <w:sz w:val="22"/>
          <w:szCs w:val="22"/>
        </w:rPr>
      </w:pPr>
      <w:r w:rsidRPr="001F224B">
        <w:rPr>
          <w:sz w:val="22"/>
          <w:szCs w:val="22"/>
        </w:rPr>
        <w:t xml:space="preserve">Bağlı ortaklıklar, faaliyet sonuçları, aktif ve özkaynak büyüklükleri bazında, tam konsolidasyon yöntemi kullanılmak suretiyle konsolide edilmektedir. Tam konsolidasyon yöntemine göre, bağlı ortaklıkların bilanço, </w:t>
      </w:r>
      <w:r w:rsidR="00BD533D" w:rsidRPr="001F224B">
        <w:rPr>
          <w:sz w:val="22"/>
          <w:szCs w:val="22"/>
        </w:rPr>
        <w:t>kar veya zarar</w:t>
      </w:r>
      <w:r w:rsidRPr="001F224B">
        <w:rPr>
          <w:sz w:val="22"/>
          <w:szCs w:val="22"/>
        </w:rPr>
        <w:t xml:space="preserve"> tablosu ve bilanço dışı kalemlerinin yüzde yüzü Ana Ortaklık Banka’nın bilanço, </w:t>
      </w:r>
      <w:r w:rsidR="00BD533D" w:rsidRPr="001F224B">
        <w:rPr>
          <w:sz w:val="22"/>
          <w:szCs w:val="22"/>
        </w:rPr>
        <w:t>kar veya zarar</w:t>
      </w:r>
      <w:r w:rsidRPr="001F224B">
        <w:rPr>
          <w:sz w:val="22"/>
          <w:szCs w:val="22"/>
        </w:rPr>
        <w:t xml:space="preserve"> tablosu ve bilanço dışı kalemleri ile konsolide edilmiştir. Banka’nın  bağlı ortaklıklarındaki yatırımlarının defter değeri ile bağlı ortaklıklarının sermayesi netleştirilmiştir. Konsolidasyon kapsamındaki ortaklıklar arasındaki işlemlerden kaynaklanan bakiyeler karşılıklı olarak mahsup edilmiştir</w:t>
      </w:r>
      <w:r w:rsidR="0007574D" w:rsidRPr="001F224B">
        <w:rPr>
          <w:sz w:val="22"/>
          <w:szCs w:val="22"/>
        </w:rPr>
        <w:t>.</w:t>
      </w:r>
    </w:p>
    <w:p w14:paraId="2D6C7DE7" w14:textId="064F8317" w:rsidR="000A79C1" w:rsidRPr="001F224B" w:rsidRDefault="000A79C1" w:rsidP="006C0F89">
      <w:pPr>
        <w:pStyle w:val="BodyText"/>
        <w:tabs>
          <w:tab w:val="clear" w:pos="0"/>
        </w:tabs>
        <w:spacing w:before="125" w:line="249" w:lineRule="auto"/>
        <w:ind w:left="567" w:right="28"/>
        <w:rPr>
          <w:sz w:val="22"/>
          <w:szCs w:val="22"/>
        </w:rPr>
      </w:pPr>
      <w:r w:rsidRPr="001F224B">
        <w:rPr>
          <w:sz w:val="22"/>
          <w:szCs w:val="22"/>
        </w:rPr>
        <w:t>Ana Ortaklık Banka ve konsolide edilen bağlı ortaklıkları raporun geri kalanında “Grup” olarak anılacaktır.</w:t>
      </w:r>
    </w:p>
    <w:p w14:paraId="6B3DF7AF" w14:textId="25EDA7C2" w:rsidR="0007574D" w:rsidRPr="001F224B" w:rsidRDefault="0007574D" w:rsidP="006C0F89">
      <w:pPr>
        <w:pStyle w:val="BodyText"/>
        <w:tabs>
          <w:tab w:val="clear" w:pos="0"/>
        </w:tabs>
        <w:spacing w:before="125" w:line="249" w:lineRule="auto"/>
        <w:ind w:left="567" w:right="28"/>
        <w:rPr>
          <w:sz w:val="22"/>
          <w:szCs w:val="22"/>
        </w:rPr>
      </w:pPr>
      <w:r w:rsidRPr="001F224B">
        <w:rPr>
          <w:sz w:val="22"/>
          <w:szCs w:val="22"/>
        </w:rPr>
        <w:t>Konsolidasyon kapsamındaki ortaklı</w:t>
      </w:r>
      <w:r w:rsidR="00BD1898" w:rsidRPr="001F224B">
        <w:rPr>
          <w:sz w:val="22"/>
          <w:szCs w:val="22"/>
        </w:rPr>
        <w:t>kların</w:t>
      </w:r>
      <w:r w:rsidRPr="001F224B">
        <w:rPr>
          <w:sz w:val="22"/>
          <w:szCs w:val="22"/>
        </w:rPr>
        <w:t xml:space="preserve"> unvan</w:t>
      </w:r>
      <w:r w:rsidR="00592BE2" w:rsidRPr="001F224B">
        <w:rPr>
          <w:sz w:val="22"/>
          <w:szCs w:val="22"/>
        </w:rPr>
        <w:t>ı</w:t>
      </w:r>
      <w:r w:rsidRPr="001F224B">
        <w:rPr>
          <w:sz w:val="22"/>
          <w:szCs w:val="22"/>
        </w:rPr>
        <w:t>, ana merkez</w:t>
      </w:r>
      <w:r w:rsidR="00592BE2" w:rsidRPr="001F224B">
        <w:rPr>
          <w:sz w:val="22"/>
          <w:szCs w:val="22"/>
        </w:rPr>
        <w:t xml:space="preserve">inin </w:t>
      </w:r>
      <w:r w:rsidRPr="001F224B">
        <w:rPr>
          <w:sz w:val="22"/>
          <w:szCs w:val="22"/>
        </w:rPr>
        <w:t xml:space="preserve"> bulunduğu yer, faaliyet konu</w:t>
      </w:r>
      <w:r w:rsidR="00592BE2" w:rsidRPr="001F224B">
        <w:rPr>
          <w:sz w:val="22"/>
          <w:szCs w:val="22"/>
        </w:rPr>
        <w:t>su,</w:t>
      </w:r>
      <w:r w:rsidRPr="001F224B">
        <w:rPr>
          <w:sz w:val="22"/>
          <w:szCs w:val="22"/>
        </w:rPr>
        <w:t xml:space="preserve"> etkin ve doğrudan ortaklık oranı aşağıdaki gibidir:</w:t>
      </w:r>
    </w:p>
    <w:p w14:paraId="2949802A" w14:textId="77777777" w:rsidR="00121967" w:rsidRPr="001F224B" w:rsidRDefault="00121967" w:rsidP="006C0F89">
      <w:pPr>
        <w:pStyle w:val="BodyText"/>
        <w:tabs>
          <w:tab w:val="clear" w:pos="0"/>
        </w:tabs>
        <w:spacing w:before="125" w:line="249" w:lineRule="auto"/>
        <w:ind w:left="567" w:right="28"/>
        <w:rPr>
          <w:sz w:val="22"/>
          <w:szCs w:val="22"/>
        </w:rPr>
      </w:pPr>
    </w:p>
    <w:tbl>
      <w:tblPr>
        <w:tblStyle w:val="TableNormal1"/>
        <w:tblW w:w="9497" w:type="dxa"/>
        <w:tblInd w:w="562" w:type="dxa"/>
        <w:tblLayout w:type="fixed"/>
        <w:tblLook w:val="01E0" w:firstRow="1" w:lastRow="1" w:firstColumn="1" w:lastColumn="1" w:noHBand="0" w:noVBand="0"/>
      </w:tblPr>
      <w:tblGrid>
        <w:gridCol w:w="2977"/>
        <w:gridCol w:w="142"/>
        <w:gridCol w:w="1701"/>
        <w:gridCol w:w="429"/>
        <w:gridCol w:w="1215"/>
        <w:gridCol w:w="344"/>
        <w:gridCol w:w="989"/>
        <w:gridCol w:w="339"/>
        <w:gridCol w:w="1361"/>
      </w:tblGrid>
      <w:tr w:rsidR="00453BE7" w:rsidRPr="001F224B" w14:paraId="34B8513B" w14:textId="77777777" w:rsidTr="00121967">
        <w:trPr>
          <w:trHeight w:val="484"/>
        </w:trPr>
        <w:tc>
          <w:tcPr>
            <w:tcW w:w="3119" w:type="dxa"/>
            <w:gridSpan w:val="2"/>
            <w:tcBorders>
              <w:top w:val="single" w:sz="4" w:space="0" w:color="000000"/>
              <w:left w:val="single" w:sz="4" w:space="0" w:color="000000"/>
            </w:tcBorders>
            <w:vAlign w:val="bottom"/>
          </w:tcPr>
          <w:p w14:paraId="2B0563FD" w14:textId="77777777" w:rsidR="00453BE7" w:rsidRPr="001F224B" w:rsidRDefault="00453BE7" w:rsidP="000F0767">
            <w:pPr>
              <w:pStyle w:val="TableParagraph"/>
              <w:jc w:val="center"/>
              <w:rPr>
                <w:b/>
                <w:sz w:val="18"/>
                <w:szCs w:val="18"/>
              </w:rPr>
            </w:pPr>
          </w:p>
          <w:p w14:paraId="08D9BB0D" w14:textId="77777777" w:rsidR="00453BE7" w:rsidRPr="001F224B" w:rsidRDefault="00453BE7" w:rsidP="000F0767">
            <w:pPr>
              <w:pStyle w:val="TableParagraph"/>
              <w:jc w:val="center"/>
              <w:rPr>
                <w:b/>
                <w:sz w:val="18"/>
                <w:szCs w:val="18"/>
              </w:rPr>
            </w:pPr>
            <w:proofErr w:type="spellStart"/>
            <w:r w:rsidRPr="001F224B">
              <w:rPr>
                <w:b/>
                <w:sz w:val="18"/>
                <w:szCs w:val="18"/>
              </w:rPr>
              <w:t>Unvanı</w:t>
            </w:r>
            <w:proofErr w:type="spellEnd"/>
          </w:p>
        </w:tc>
        <w:tc>
          <w:tcPr>
            <w:tcW w:w="2130" w:type="dxa"/>
            <w:gridSpan w:val="2"/>
            <w:tcBorders>
              <w:top w:val="single" w:sz="4" w:space="0" w:color="000000"/>
            </w:tcBorders>
            <w:vAlign w:val="bottom"/>
          </w:tcPr>
          <w:p w14:paraId="7E4B4DBF" w14:textId="77777777" w:rsidR="0091474D" w:rsidRPr="001F224B" w:rsidRDefault="0091474D" w:rsidP="000F0767">
            <w:pPr>
              <w:pStyle w:val="TableParagraph"/>
              <w:spacing w:before="1"/>
              <w:ind w:left="380" w:right="291"/>
              <w:jc w:val="center"/>
              <w:rPr>
                <w:b/>
                <w:sz w:val="18"/>
                <w:szCs w:val="18"/>
              </w:rPr>
            </w:pPr>
            <w:proofErr w:type="spellStart"/>
            <w:r w:rsidRPr="001F224B">
              <w:rPr>
                <w:b/>
                <w:sz w:val="18"/>
                <w:szCs w:val="18"/>
              </w:rPr>
              <w:t>Faaliyet</w:t>
            </w:r>
            <w:proofErr w:type="spellEnd"/>
            <w:r w:rsidRPr="001F224B">
              <w:rPr>
                <w:b/>
                <w:sz w:val="18"/>
                <w:szCs w:val="18"/>
              </w:rPr>
              <w:t xml:space="preserve"> Merkezi</w:t>
            </w:r>
          </w:p>
          <w:p w14:paraId="442BE461" w14:textId="29F287BB" w:rsidR="00453BE7" w:rsidRPr="001F224B" w:rsidRDefault="0091474D" w:rsidP="000F0767">
            <w:pPr>
              <w:pStyle w:val="TableParagraph"/>
              <w:spacing w:before="1"/>
              <w:ind w:left="380" w:right="291"/>
              <w:jc w:val="center"/>
              <w:rPr>
                <w:b/>
                <w:sz w:val="18"/>
                <w:szCs w:val="18"/>
              </w:rPr>
            </w:pPr>
            <w:r w:rsidRPr="001F224B">
              <w:rPr>
                <w:b/>
                <w:sz w:val="18"/>
                <w:szCs w:val="18"/>
              </w:rPr>
              <w:t>(</w:t>
            </w:r>
            <w:proofErr w:type="spellStart"/>
            <w:r w:rsidRPr="001F224B">
              <w:rPr>
                <w:b/>
                <w:sz w:val="18"/>
                <w:szCs w:val="18"/>
              </w:rPr>
              <w:t>Şehir</w:t>
            </w:r>
            <w:proofErr w:type="spellEnd"/>
            <w:r w:rsidRPr="001F224B">
              <w:rPr>
                <w:b/>
                <w:sz w:val="18"/>
                <w:szCs w:val="18"/>
              </w:rPr>
              <w:t xml:space="preserve">/ </w:t>
            </w:r>
            <w:proofErr w:type="spellStart"/>
            <w:r w:rsidRPr="001F224B">
              <w:rPr>
                <w:b/>
                <w:sz w:val="18"/>
                <w:szCs w:val="18"/>
              </w:rPr>
              <w:t>Ülke</w:t>
            </w:r>
            <w:proofErr w:type="spellEnd"/>
            <w:r w:rsidRPr="001F224B">
              <w:rPr>
                <w:b/>
                <w:sz w:val="18"/>
                <w:szCs w:val="18"/>
              </w:rPr>
              <w:t>)</w:t>
            </w:r>
          </w:p>
        </w:tc>
        <w:tc>
          <w:tcPr>
            <w:tcW w:w="1559" w:type="dxa"/>
            <w:gridSpan w:val="2"/>
            <w:tcBorders>
              <w:top w:val="single" w:sz="4" w:space="0" w:color="000000"/>
            </w:tcBorders>
            <w:vAlign w:val="bottom"/>
          </w:tcPr>
          <w:p w14:paraId="62E5459D" w14:textId="77777777" w:rsidR="00453BE7" w:rsidRPr="001F224B" w:rsidRDefault="00453BE7" w:rsidP="000F0767">
            <w:pPr>
              <w:pStyle w:val="TableParagraph"/>
              <w:jc w:val="center"/>
              <w:rPr>
                <w:b/>
                <w:sz w:val="18"/>
                <w:szCs w:val="18"/>
              </w:rPr>
            </w:pPr>
          </w:p>
          <w:p w14:paraId="10AC72DA" w14:textId="77777777" w:rsidR="00453BE7" w:rsidRPr="001F224B" w:rsidRDefault="00453BE7" w:rsidP="000F0767">
            <w:pPr>
              <w:pStyle w:val="TableParagraph"/>
              <w:jc w:val="center"/>
              <w:rPr>
                <w:b/>
                <w:sz w:val="18"/>
                <w:szCs w:val="18"/>
              </w:rPr>
            </w:pPr>
          </w:p>
          <w:p w14:paraId="42BECE5E" w14:textId="77777777" w:rsidR="00453BE7" w:rsidRPr="001F224B" w:rsidRDefault="00453BE7" w:rsidP="000F0767">
            <w:pPr>
              <w:pStyle w:val="TableParagraph"/>
              <w:jc w:val="center"/>
              <w:rPr>
                <w:b/>
                <w:sz w:val="18"/>
                <w:szCs w:val="18"/>
              </w:rPr>
            </w:pPr>
          </w:p>
          <w:p w14:paraId="2CFFB654" w14:textId="77777777" w:rsidR="00453BE7" w:rsidRPr="001F224B" w:rsidRDefault="00453BE7" w:rsidP="000F0767">
            <w:pPr>
              <w:pStyle w:val="TableParagraph"/>
              <w:jc w:val="center"/>
              <w:rPr>
                <w:b/>
                <w:sz w:val="18"/>
                <w:szCs w:val="18"/>
              </w:rPr>
            </w:pPr>
          </w:p>
          <w:p w14:paraId="6902879C" w14:textId="77777777" w:rsidR="00453BE7" w:rsidRPr="001F224B" w:rsidRDefault="00453BE7" w:rsidP="000F0767">
            <w:pPr>
              <w:pStyle w:val="TableParagraph"/>
              <w:jc w:val="center"/>
              <w:rPr>
                <w:sz w:val="18"/>
                <w:szCs w:val="18"/>
              </w:rPr>
            </w:pPr>
            <w:proofErr w:type="spellStart"/>
            <w:r w:rsidRPr="001F224B">
              <w:rPr>
                <w:b/>
                <w:sz w:val="18"/>
                <w:szCs w:val="18"/>
              </w:rPr>
              <w:t>Faaliyet</w:t>
            </w:r>
            <w:proofErr w:type="spellEnd"/>
            <w:r w:rsidRPr="001F224B">
              <w:rPr>
                <w:b/>
                <w:sz w:val="18"/>
                <w:szCs w:val="18"/>
              </w:rPr>
              <w:t xml:space="preserve"> </w:t>
            </w:r>
            <w:proofErr w:type="spellStart"/>
            <w:r w:rsidRPr="001F224B">
              <w:rPr>
                <w:b/>
                <w:sz w:val="18"/>
                <w:szCs w:val="18"/>
              </w:rPr>
              <w:t>konusu</w:t>
            </w:r>
            <w:proofErr w:type="spellEnd"/>
          </w:p>
        </w:tc>
        <w:tc>
          <w:tcPr>
            <w:tcW w:w="1328" w:type="dxa"/>
            <w:gridSpan w:val="2"/>
            <w:tcBorders>
              <w:top w:val="single" w:sz="4" w:space="0" w:color="000000"/>
            </w:tcBorders>
            <w:vAlign w:val="bottom"/>
          </w:tcPr>
          <w:p w14:paraId="2119565F" w14:textId="77777777" w:rsidR="00453BE7" w:rsidRPr="001F224B" w:rsidRDefault="00453BE7" w:rsidP="000F0767">
            <w:pPr>
              <w:pStyle w:val="TableParagraph"/>
              <w:spacing w:before="10"/>
              <w:jc w:val="center"/>
              <w:rPr>
                <w:sz w:val="18"/>
                <w:szCs w:val="18"/>
              </w:rPr>
            </w:pPr>
          </w:p>
          <w:p w14:paraId="64134729" w14:textId="10606F04" w:rsidR="00453BE7" w:rsidRPr="001F224B" w:rsidRDefault="00652016" w:rsidP="000F0767">
            <w:pPr>
              <w:pStyle w:val="TableParagraph"/>
              <w:ind w:left="435" w:right="169" w:hanging="94"/>
              <w:jc w:val="center"/>
              <w:rPr>
                <w:b/>
                <w:sz w:val="18"/>
                <w:szCs w:val="18"/>
              </w:rPr>
            </w:pPr>
            <w:proofErr w:type="spellStart"/>
            <w:r w:rsidRPr="001F224B">
              <w:rPr>
                <w:b/>
                <w:sz w:val="18"/>
                <w:szCs w:val="18"/>
              </w:rPr>
              <w:t>Etkin</w:t>
            </w:r>
            <w:proofErr w:type="spellEnd"/>
            <w:r w:rsidR="00453BE7" w:rsidRPr="001F224B">
              <w:rPr>
                <w:b/>
                <w:sz w:val="18"/>
                <w:szCs w:val="18"/>
              </w:rPr>
              <w:t xml:space="preserve"> </w:t>
            </w:r>
            <w:proofErr w:type="spellStart"/>
            <w:r w:rsidR="00453BE7" w:rsidRPr="001F224B">
              <w:rPr>
                <w:b/>
                <w:sz w:val="18"/>
                <w:szCs w:val="18"/>
              </w:rPr>
              <w:t>ortaklık</w:t>
            </w:r>
            <w:proofErr w:type="spellEnd"/>
            <w:r w:rsidR="00453BE7" w:rsidRPr="001F224B">
              <w:rPr>
                <w:b/>
                <w:sz w:val="18"/>
                <w:szCs w:val="18"/>
              </w:rPr>
              <w:t xml:space="preserve"> </w:t>
            </w:r>
            <w:proofErr w:type="spellStart"/>
            <w:r w:rsidR="00453BE7" w:rsidRPr="001F224B">
              <w:rPr>
                <w:b/>
                <w:sz w:val="18"/>
                <w:szCs w:val="18"/>
              </w:rPr>
              <w:t>oranları</w:t>
            </w:r>
            <w:proofErr w:type="spellEnd"/>
            <w:r w:rsidR="00453BE7" w:rsidRPr="001F224B">
              <w:rPr>
                <w:b/>
                <w:sz w:val="18"/>
                <w:szCs w:val="18"/>
              </w:rPr>
              <w:t xml:space="preserve"> (%)</w:t>
            </w:r>
          </w:p>
        </w:tc>
        <w:tc>
          <w:tcPr>
            <w:tcW w:w="1361" w:type="dxa"/>
            <w:tcBorders>
              <w:top w:val="single" w:sz="4" w:space="0" w:color="000000"/>
              <w:right w:val="single" w:sz="4" w:space="0" w:color="000000"/>
            </w:tcBorders>
            <w:vAlign w:val="bottom"/>
          </w:tcPr>
          <w:p w14:paraId="0F056CC9" w14:textId="77777777" w:rsidR="00453BE7" w:rsidRPr="001F224B" w:rsidRDefault="00453BE7" w:rsidP="000F0767">
            <w:pPr>
              <w:pStyle w:val="TableParagraph"/>
              <w:spacing w:before="1"/>
              <w:ind w:left="192" w:right="98" w:firstLine="146"/>
              <w:jc w:val="center"/>
              <w:rPr>
                <w:b/>
                <w:sz w:val="18"/>
                <w:szCs w:val="18"/>
              </w:rPr>
            </w:pPr>
          </w:p>
          <w:p w14:paraId="5E2B0DAB" w14:textId="77777777" w:rsidR="00453BE7" w:rsidRPr="001F224B" w:rsidRDefault="00453BE7" w:rsidP="000F0767">
            <w:pPr>
              <w:pStyle w:val="TableParagraph"/>
              <w:spacing w:before="1"/>
              <w:ind w:left="192" w:right="98" w:firstLine="146"/>
              <w:jc w:val="center"/>
              <w:rPr>
                <w:b/>
                <w:sz w:val="18"/>
                <w:szCs w:val="18"/>
              </w:rPr>
            </w:pPr>
            <w:proofErr w:type="spellStart"/>
            <w:r w:rsidRPr="001F224B">
              <w:rPr>
                <w:b/>
                <w:sz w:val="18"/>
                <w:szCs w:val="18"/>
              </w:rPr>
              <w:t>Doğrudan</w:t>
            </w:r>
            <w:proofErr w:type="spellEnd"/>
            <w:r w:rsidRPr="001F224B">
              <w:rPr>
                <w:b/>
                <w:sz w:val="18"/>
                <w:szCs w:val="18"/>
              </w:rPr>
              <w:t xml:space="preserve"> ve</w:t>
            </w:r>
            <w:r w:rsidRPr="001F224B">
              <w:rPr>
                <w:b/>
                <w:w w:val="99"/>
                <w:sz w:val="18"/>
                <w:szCs w:val="18"/>
              </w:rPr>
              <w:t xml:space="preserve"> </w:t>
            </w:r>
            <w:proofErr w:type="spellStart"/>
            <w:r w:rsidRPr="001F224B">
              <w:rPr>
                <w:b/>
                <w:sz w:val="18"/>
                <w:szCs w:val="18"/>
              </w:rPr>
              <w:t>dolaylı</w:t>
            </w:r>
            <w:proofErr w:type="spellEnd"/>
            <w:r w:rsidRPr="001F224B">
              <w:rPr>
                <w:b/>
                <w:sz w:val="18"/>
                <w:szCs w:val="18"/>
              </w:rPr>
              <w:t xml:space="preserve"> </w:t>
            </w:r>
            <w:proofErr w:type="spellStart"/>
            <w:r w:rsidRPr="001F224B">
              <w:rPr>
                <w:b/>
                <w:sz w:val="18"/>
                <w:szCs w:val="18"/>
              </w:rPr>
              <w:t>ortaklık</w:t>
            </w:r>
            <w:proofErr w:type="spellEnd"/>
            <w:r w:rsidRPr="001F224B">
              <w:rPr>
                <w:b/>
                <w:w w:val="99"/>
                <w:sz w:val="18"/>
                <w:szCs w:val="18"/>
              </w:rPr>
              <w:t xml:space="preserve"> </w:t>
            </w:r>
            <w:proofErr w:type="spellStart"/>
            <w:r w:rsidRPr="001F224B">
              <w:rPr>
                <w:b/>
                <w:sz w:val="18"/>
                <w:szCs w:val="18"/>
              </w:rPr>
              <w:t>oranları</w:t>
            </w:r>
            <w:proofErr w:type="spellEnd"/>
            <w:r w:rsidRPr="001F224B">
              <w:rPr>
                <w:b/>
                <w:sz w:val="18"/>
                <w:szCs w:val="18"/>
              </w:rPr>
              <w:t xml:space="preserve"> (%)</w:t>
            </w:r>
          </w:p>
        </w:tc>
      </w:tr>
      <w:tr w:rsidR="00453BE7" w:rsidRPr="001F224B" w14:paraId="39C537AC" w14:textId="77777777" w:rsidTr="000E40C4">
        <w:trPr>
          <w:trHeight w:val="273"/>
        </w:trPr>
        <w:tc>
          <w:tcPr>
            <w:tcW w:w="2977" w:type="dxa"/>
            <w:tcBorders>
              <w:top w:val="single" w:sz="4" w:space="0" w:color="000000"/>
              <w:left w:val="single" w:sz="4" w:space="0" w:color="000000"/>
              <w:bottom w:val="single" w:sz="4" w:space="0" w:color="000000"/>
            </w:tcBorders>
            <w:vAlign w:val="bottom"/>
          </w:tcPr>
          <w:p w14:paraId="1E1124CB" w14:textId="77777777" w:rsidR="00453BE7" w:rsidRPr="001F224B" w:rsidRDefault="00453BE7" w:rsidP="000F0767">
            <w:pPr>
              <w:pStyle w:val="TableParagraph"/>
              <w:spacing w:before="117"/>
              <w:ind w:left="107"/>
              <w:jc w:val="center"/>
              <w:rPr>
                <w:sz w:val="18"/>
                <w:szCs w:val="18"/>
              </w:rPr>
            </w:pPr>
            <w:r w:rsidRPr="001F224B">
              <w:rPr>
                <w:sz w:val="18"/>
                <w:szCs w:val="18"/>
              </w:rPr>
              <w:t xml:space="preserve">Kalkınma </w:t>
            </w:r>
            <w:proofErr w:type="spellStart"/>
            <w:r w:rsidRPr="001F224B">
              <w:rPr>
                <w:sz w:val="18"/>
                <w:szCs w:val="18"/>
              </w:rPr>
              <w:t>Girişim</w:t>
            </w:r>
            <w:proofErr w:type="spellEnd"/>
            <w:r w:rsidRPr="001F224B">
              <w:rPr>
                <w:sz w:val="18"/>
                <w:szCs w:val="18"/>
              </w:rPr>
              <w:t xml:space="preserve"> </w:t>
            </w:r>
            <w:proofErr w:type="spellStart"/>
            <w:r w:rsidRPr="001F224B">
              <w:rPr>
                <w:sz w:val="18"/>
                <w:szCs w:val="18"/>
              </w:rPr>
              <w:t>Sermayesi</w:t>
            </w:r>
            <w:proofErr w:type="spellEnd"/>
            <w:r w:rsidRPr="001F224B">
              <w:rPr>
                <w:sz w:val="18"/>
                <w:szCs w:val="18"/>
              </w:rPr>
              <w:t xml:space="preserve"> Portföy Yönetimi A.Ş.</w:t>
            </w:r>
          </w:p>
        </w:tc>
        <w:tc>
          <w:tcPr>
            <w:tcW w:w="1843" w:type="dxa"/>
            <w:gridSpan w:val="2"/>
            <w:tcBorders>
              <w:top w:val="single" w:sz="4" w:space="0" w:color="000000"/>
              <w:bottom w:val="single" w:sz="4" w:space="0" w:color="000000"/>
            </w:tcBorders>
            <w:vAlign w:val="bottom"/>
          </w:tcPr>
          <w:p w14:paraId="12BD49DA" w14:textId="77777777" w:rsidR="00453BE7" w:rsidRPr="001F224B" w:rsidRDefault="00453BE7" w:rsidP="000F0767">
            <w:pPr>
              <w:pStyle w:val="TableParagraph"/>
              <w:spacing w:before="117"/>
              <w:ind w:left="571"/>
              <w:jc w:val="center"/>
              <w:rPr>
                <w:sz w:val="18"/>
                <w:szCs w:val="18"/>
              </w:rPr>
            </w:pPr>
            <w:r w:rsidRPr="001F224B">
              <w:rPr>
                <w:sz w:val="18"/>
                <w:szCs w:val="18"/>
              </w:rPr>
              <w:t>İstanbul/Türkiye</w:t>
            </w:r>
          </w:p>
        </w:tc>
        <w:tc>
          <w:tcPr>
            <w:tcW w:w="1644" w:type="dxa"/>
            <w:gridSpan w:val="2"/>
            <w:tcBorders>
              <w:top w:val="single" w:sz="4" w:space="0" w:color="000000"/>
              <w:bottom w:val="single" w:sz="4" w:space="0" w:color="000000"/>
            </w:tcBorders>
            <w:vAlign w:val="bottom"/>
          </w:tcPr>
          <w:p w14:paraId="02C6FC54" w14:textId="7111A336" w:rsidR="00453BE7" w:rsidRPr="001F224B" w:rsidRDefault="00453BE7" w:rsidP="000F0767">
            <w:pPr>
              <w:pStyle w:val="TableParagraph"/>
              <w:spacing w:before="117"/>
              <w:ind w:left="708"/>
              <w:jc w:val="center"/>
              <w:rPr>
                <w:sz w:val="18"/>
                <w:szCs w:val="18"/>
              </w:rPr>
            </w:pPr>
            <w:r w:rsidRPr="001F224B">
              <w:rPr>
                <w:sz w:val="18"/>
                <w:szCs w:val="18"/>
              </w:rPr>
              <w:t>Portföy Yönet</w:t>
            </w:r>
            <w:r w:rsidR="00165C70" w:rsidRPr="001F224B">
              <w:rPr>
                <w:sz w:val="18"/>
                <w:szCs w:val="18"/>
              </w:rPr>
              <w:t>i</w:t>
            </w:r>
            <w:r w:rsidRPr="001F224B">
              <w:rPr>
                <w:sz w:val="18"/>
                <w:szCs w:val="18"/>
              </w:rPr>
              <w:t>m</w:t>
            </w:r>
            <w:r w:rsidR="00165C70" w:rsidRPr="001F224B">
              <w:rPr>
                <w:sz w:val="18"/>
                <w:szCs w:val="18"/>
              </w:rPr>
              <w:t>i</w:t>
            </w:r>
          </w:p>
        </w:tc>
        <w:tc>
          <w:tcPr>
            <w:tcW w:w="1333" w:type="dxa"/>
            <w:gridSpan w:val="2"/>
            <w:tcBorders>
              <w:top w:val="single" w:sz="4" w:space="0" w:color="000000"/>
              <w:bottom w:val="single" w:sz="4" w:space="0" w:color="000000"/>
            </w:tcBorders>
            <w:vAlign w:val="bottom"/>
          </w:tcPr>
          <w:p w14:paraId="26CAC49C" w14:textId="77777777" w:rsidR="00453BE7" w:rsidRPr="001F224B" w:rsidRDefault="00453BE7" w:rsidP="000F0767">
            <w:pPr>
              <w:pStyle w:val="TableParagraph"/>
              <w:spacing w:before="117"/>
              <w:ind w:left="325" w:hanging="325"/>
              <w:rPr>
                <w:sz w:val="18"/>
                <w:szCs w:val="18"/>
              </w:rPr>
            </w:pPr>
            <w:r w:rsidRPr="001F224B">
              <w:rPr>
                <w:w w:val="95"/>
                <w:sz w:val="18"/>
                <w:szCs w:val="18"/>
              </w:rPr>
              <w:t>100</w:t>
            </w:r>
          </w:p>
        </w:tc>
        <w:tc>
          <w:tcPr>
            <w:tcW w:w="1700" w:type="dxa"/>
            <w:gridSpan w:val="2"/>
            <w:tcBorders>
              <w:top w:val="single" w:sz="4" w:space="0" w:color="000000"/>
              <w:bottom w:val="single" w:sz="4" w:space="0" w:color="000000"/>
              <w:right w:val="single" w:sz="4" w:space="0" w:color="000000"/>
            </w:tcBorders>
            <w:vAlign w:val="bottom"/>
          </w:tcPr>
          <w:p w14:paraId="4BE560F3" w14:textId="77777777" w:rsidR="00453BE7" w:rsidRPr="001F224B" w:rsidRDefault="00453BE7" w:rsidP="000F0767">
            <w:pPr>
              <w:pStyle w:val="TableParagraph"/>
              <w:spacing w:before="117"/>
              <w:ind w:right="417"/>
              <w:rPr>
                <w:sz w:val="18"/>
                <w:szCs w:val="18"/>
              </w:rPr>
            </w:pPr>
            <w:r w:rsidRPr="001F224B">
              <w:rPr>
                <w:w w:val="95"/>
                <w:sz w:val="18"/>
                <w:szCs w:val="18"/>
              </w:rPr>
              <w:t>100</w:t>
            </w:r>
          </w:p>
        </w:tc>
      </w:tr>
      <w:tr w:rsidR="00453BE7" w:rsidRPr="001F224B" w14:paraId="2529D77E" w14:textId="77777777" w:rsidTr="000E40C4">
        <w:trPr>
          <w:trHeight w:val="279"/>
        </w:trPr>
        <w:tc>
          <w:tcPr>
            <w:tcW w:w="2977" w:type="dxa"/>
            <w:tcBorders>
              <w:top w:val="single" w:sz="4" w:space="0" w:color="000000"/>
              <w:left w:val="single" w:sz="4" w:space="0" w:color="000000"/>
              <w:bottom w:val="single" w:sz="4" w:space="0" w:color="auto"/>
            </w:tcBorders>
            <w:vAlign w:val="bottom"/>
          </w:tcPr>
          <w:p w14:paraId="5DF5A2D1" w14:textId="77777777" w:rsidR="00453BE7" w:rsidRPr="001F224B" w:rsidRDefault="00453BE7" w:rsidP="000F0767">
            <w:pPr>
              <w:pStyle w:val="TableParagraph"/>
              <w:spacing w:before="117"/>
              <w:ind w:left="107"/>
              <w:jc w:val="center"/>
              <w:rPr>
                <w:sz w:val="18"/>
                <w:szCs w:val="18"/>
              </w:rPr>
            </w:pPr>
            <w:r w:rsidRPr="001F224B">
              <w:rPr>
                <w:sz w:val="18"/>
                <w:szCs w:val="18"/>
              </w:rPr>
              <w:t xml:space="preserve">Kalkınma Yatırım </w:t>
            </w:r>
            <w:proofErr w:type="spellStart"/>
            <w:r w:rsidRPr="001F224B">
              <w:rPr>
                <w:sz w:val="18"/>
                <w:szCs w:val="18"/>
              </w:rPr>
              <w:t>Varlık</w:t>
            </w:r>
            <w:proofErr w:type="spellEnd"/>
            <w:r w:rsidRPr="001F224B">
              <w:rPr>
                <w:sz w:val="18"/>
                <w:szCs w:val="18"/>
              </w:rPr>
              <w:t xml:space="preserve"> </w:t>
            </w:r>
            <w:proofErr w:type="spellStart"/>
            <w:r w:rsidRPr="001F224B">
              <w:rPr>
                <w:sz w:val="18"/>
                <w:szCs w:val="18"/>
              </w:rPr>
              <w:t>Kiralama</w:t>
            </w:r>
            <w:proofErr w:type="spellEnd"/>
            <w:r w:rsidRPr="001F224B">
              <w:rPr>
                <w:sz w:val="18"/>
                <w:szCs w:val="18"/>
              </w:rPr>
              <w:t xml:space="preserve"> A.Ş.</w:t>
            </w:r>
          </w:p>
        </w:tc>
        <w:tc>
          <w:tcPr>
            <w:tcW w:w="1843" w:type="dxa"/>
            <w:gridSpan w:val="2"/>
            <w:tcBorders>
              <w:top w:val="single" w:sz="4" w:space="0" w:color="000000"/>
              <w:bottom w:val="single" w:sz="4" w:space="0" w:color="auto"/>
            </w:tcBorders>
            <w:vAlign w:val="bottom"/>
          </w:tcPr>
          <w:p w14:paraId="337403E5" w14:textId="77777777" w:rsidR="00453BE7" w:rsidRPr="001F224B" w:rsidRDefault="00453BE7" w:rsidP="000F0767">
            <w:pPr>
              <w:pStyle w:val="TableParagraph"/>
              <w:spacing w:before="117"/>
              <w:ind w:left="571"/>
              <w:jc w:val="center"/>
              <w:rPr>
                <w:sz w:val="18"/>
                <w:szCs w:val="18"/>
              </w:rPr>
            </w:pPr>
            <w:r w:rsidRPr="001F224B">
              <w:rPr>
                <w:sz w:val="18"/>
                <w:szCs w:val="18"/>
              </w:rPr>
              <w:t>İstanbul/Türkiye</w:t>
            </w:r>
          </w:p>
        </w:tc>
        <w:tc>
          <w:tcPr>
            <w:tcW w:w="1644" w:type="dxa"/>
            <w:gridSpan w:val="2"/>
            <w:tcBorders>
              <w:top w:val="single" w:sz="4" w:space="0" w:color="000000"/>
              <w:bottom w:val="single" w:sz="4" w:space="0" w:color="auto"/>
            </w:tcBorders>
            <w:vAlign w:val="bottom"/>
          </w:tcPr>
          <w:p w14:paraId="04C6251D" w14:textId="77777777" w:rsidR="00453BE7" w:rsidRPr="001F224B" w:rsidRDefault="00453BE7" w:rsidP="000F0767">
            <w:pPr>
              <w:pStyle w:val="TableParagraph"/>
              <w:spacing w:before="117"/>
              <w:ind w:left="708"/>
              <w:jc w:val="center"/>
              <w:rPr>
                <w:sz w:val="18"/>
                <w:szCs w:val="18"/>
              </w:rPr>
            </w:pPr>
            <w:proofErr w:type="spellStart"/>
            <w:r w:rsidRPr="001F224B">
              <w:rPr>
                <w:sz w:val="18"/>
                <w:szCs w:val="18"/>
              </w:rPr>
              <w:t>Varlık</w:t>
            </w:r>
            <w:proofErr w:type="spellEnd"/>
            <w:r w:rsidRPr="001F224B">
              <w:rPr>
                <w:sz w:val="18"/>
                <w:szCs w:val="18"/>
              </w:rPr>
              <w:t xml:space="preserve"> </w:t>
            </w:r>
            <w:proofErr w:type="spellStart"/>
            <w:r w:rsidRPr="001F224B">
              <w:rPr>
                <w:sz w:val="18"/>
                <w:szCs w:val="18"/>
              </w:rPr>
              <w:t>Kiralama</w:t>
            </w:r>
            <w:proofErr w:type="spellEnd"/>
          </w:p>
        </w:tc>
        <w:tc>
          <w:tcPr>
            <w:tcW w:w="1333" w:type="dxa"/>
            <w:gridSpan w:val="2"/>
            <w:tcBorders>
              <w:top w:val="single" w:sz="4" w:space="0" w:color="000000"/>
              <w:bottom w:val="single" w:sz="4" w:space="0" w:color="auto"/>
            </w:tcBorders>
            <w:vAlign w:val="bottom"/>
          </w:tcPr>
          <w:p w14:paraId="408A7080" w14:textId="77777777" w:rsidR="00453BE7" w:rsidRPr="001F224B" w:rsidRDefault="00453BE7" w:rsidP="000F0767">
            <w:pPr>
              <w:pStyle w:val="TableParagraph"/>
              <w:spacing w:before="117"/>
              <w:ind w:left="325" w:hanging="325"/>
              <w:rPr>
                <w:w w:val="95"/>
                <w:sz w:val="18"/>
                <w:szCs w:val="18"/>
              </w:rPr>
            </w:pPr>
            <w:r w:rsidRPr="001F224B">
              <w:rPr>
                <w:w w:val="95"/>
                <w:sz w:val="18"/>
                <w:szCs w:val="18"/>
              </w:rPr>
              <w:t>100</w:t>
            </w:r>
          </w:p>
        </w:tc>
        <w:tc>
          <w:tcPr>
            <w:tcW w:w="1700" w:type="dxa"/>
            <w:gridSpan w:val="2"/>
            <w:tcBorders>
              <w:top w:val="single" w:sz="4" w:space="0" w:color="000000"/>
              <w:bottom w:val="single" w:sz="4" w:space="0" w:color="auto"/>
              <w:right w:val="single" w:sz="4" w:space="0" w:color="000000"/>
            </w:tcBorders>
            <w:vAlign w:val="bottom"/>
          </w:tcPr>
          <w:p w14:paraId="1A0AA35D" w14:textId="77777777" w:rsidR="00453BE7" w:rsidRPr="001F224B" w:rsidRDefault="00453BE7" w:rsidP="000F0767">
            <w:pPr>
              <w:pStyle w:val="TableParagraph"/>
              <w:spacing w:before="117"/>
              <w:ind w:right="417"/>
              <w:rPr>
                <w:w w:val="95"/>
                <w:sz w:val="18"/>
                <w:szCs w:val="18"/>
              </w:rPr>
            </w:pPr>
            <w:r w:rsidRPr="001F224B">
              <w:rPr>
                <w:w w:val="95"/>
                <w:sz w:val="18"/>
                <w:szCs w:val="18"/>
              </w:rPr>
              <w:t>100</w:t>
            </w:r>
          </w:p>
        </w:tc>
      </w:tr>
    </w:tbl>
    <w:p w14:paraId="4C0CAF06" w14:textId="2650EAEE" w:rsidR="003D1A9B" w:rsidRPr="001F224B" w:rsidRDefault="000608C7" w:rsidP="003D1A9B">
      <w:pPr>
        <w:rPr>
          <w:sz w:val="22"/>
          <w:szCs w:val="22"/>
        </w:rPr>
      </w:pPr>
      <w:r w:rsidRPr="001F224B">
        <w:rPr>
          <w:sz w:val="22"/>
          <w:szCs w:val="22"/>
        </w:rPr>
        <w:br w:type="page"/>
      </w:r>
      <w:r w:rsidR="003D1A9B" w:rsidRPr="001F224B">
        <w:rPr>
          <w:b/>
          <w:bCs/>
          <w:sz w:val="22"/>
          <w:szCs w:val="22"/>
        </w:rPr>
        <w:t>ÜÇÜNCÜ BÖLÜM (Devamı)</w:t>
      </w:r>
    </w:p>
    <w:p w14:paraId="1DA347B5" w14:textId="77777777" w:rsidR="003D1A9B" w:rsidRPr="001F224B" w:rsidRDefault="003D1A9B" w:rsidP="003D1A9B">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2532BEFB" w14:textId="6F4DAD72" w:rsidR="00C3370F" w:rsidRPr="001F224B" w:rsidRDefault="00C3370F" w:rsidP="0042686A">
      <w:pPr>
        <w:pStyle w:val="ListParagraph"/>
        <w:numPr>
          <w:ilvl w:val="0"/>
          <w:numId w:val="3"/>
        </w:numPr>
        <w:spacing w:before="120" w:after="100"/>
        <w:ind w:left="567" w:hanging="283"/>
        <w:jc w:val="both"/>
        <w:rPr>
          <w:b/>
          <w:bCs/>
          <w:sz w:val="22"/>
          <w:szCs w:val="22"/>
        </w:rPr>
      </w:pPr>
      <w:r w:rsidRPr="001F224B">
        <w:rPr>
          <w:b/>
          <w:bCs/>
          <w:sz w:val="22"/>
          <w:szCs w:val="22"/>
        </w:rPr>
        <w:t>Konsolidasyon kapsamında bulunmayan iştirakler, bağlı ortaklıklar ve birlikte kontrol edilen ortaklıkların konsolide finansal tablolarda gösterimi</w:t>
      </w:r>
    </w:p>
    <w:p w14:paraId="6FBE1ADD" w14:textId="1717CA25" w:rsidR="002050F0" w:rsidRPr="001F224B" w:rsidRDefault="00707F58" w:rsidP="00394479">
      <w:pPr>
        <w:pStyle w:val="BodyText"/>
        <w:tabs>
          <w:tab w:val="clear" w:pos="0"/>
          <w:tab w:val="clear" w:pos="567"/>
          <w:tab w:val="clear" w:pos="720"/>
        </w:tabs>
        <w:spacing w:before="125" w:line="249" w:lineRule="auto"/>
        <w:ind w:left="567" w:right="28"/>
        <w:rPr>
          <w:sz w:val="22"/>
          <w:szCs w:val="22"/>
        </w:rPr>
      </w:pPr>
      <w:r w:rsidRPr="001F224B">
        <w:rPr>
          <w:sz w:val="22"/>
          <w:szCs w:val="22"/>
        </w:rPr>
        <w:t>Konsolidasyon kapsamın</w:t>
      </w:r>
      <w:r w:rsidR="00C3370F" w:rsidRPr="001F224B">
        <w:rPr>
          <w:sz w:val="22"/>
          <w:szCs w:val="22"/>
        </w:rPr>
        <w:t xml:space="preserve">a </w:t>
      </w:r>
      <w:r w:rsidRPr="001F224B">
        <w:rPr>
          <w:sz w:val="22"/>
          <w:szCs w:val="22"/>
        </w:rPr>
        <w:t>alın</w:t>
      </w:r>
      <w:r w:rsidR="00C3370F" w:rsidRPr="001F224B">
        <w:rPr>
          <w:sz w:val="22"/>
          <w:szCs w:val="22"/>
        </w:rPr>
        <w:t xml:space="preserve">mayan iştirakler, bağlı ortaklıklar ve birlikte kontrol edilen ortaklar, </w:t>
      </w:r>
      <w:r w:rsidR="007E16F6" w:rsidRPr="001F224B">
        <w:rPr>
          <w:sz w:val="22"/>
          <w:szCs w:val="22"/>
        </w:rPr>
        <w:t>TMS 27 “Bireysel Finansal Tablolara İlişkin Türkiye Muhasebe Standardı” uyarınca maliyet değeriyle muhasebeleştirilmekte ve varsa değer düşüklüğü netleştirildikten sonra finansal tablolara yansıtılmaktadır</w:t>
      </w:r>
      <w:r w:rsidR="00C3370F" w:rsidRPr="001F224B">
        <w:rPr>
          <w:sz w:val="22"/>
          <w:szCs w:val="22"/>
        </w:rPr>
        <w:t>.</w:t>
      </w:r>
    </w:p>
    <w:p w14:paraId="39855A46" w14:textId="1203CFC0" w:rsidR="00204D88" w:rsidRPr="001F224B" w:rsidRDefault="00204D88" w:rsidP="007E6D42">
      <w:pPr>
        <w:pStyle w:val="ListParagraph"/>
        <w:numPr>
          <w:ilvl w:val="0"/>
          <w:numId w:val="3"/>
        </w:numPr>
        <w:tabs>
          <w:tab w:val="clear" w:pos="720"/>
          <w:tab w:val="num" w:pos="567"/>
        </w:tabs>
        <w:spacing w:before="120" w:after="100"/>
        <w:ind w:hanging="436"/>
        <w:jc w:val="both"/>
        <w:rPr>
          <w:b/>
          <w:bCs/>
          <w:sz w:val="22"/>
          <w:szCs w:val="22"/>
        </w:rPr>
      </w:pPr>
      <w:r w:rsidRPr="001F224B">
        <w:rPr>
          <w:b/>
          <w:bCs/>
          <w:sz w:val="22"/>
          <w:szCs w:val="22"/>
        </w:rPr>
        <w:t>Vadeli işlem ve opsiyon sözleşmeleri ile türev ürünlere ilişkin açıklamalar</w:t>
      </w:r>
    </w:p>
    <w:p w14:paraId="0A15C97A" w14:textId="7A7F4EE5" w:rsidR="00707F58" w:rsidRPr="001F224B" w:rsidRDefault="00707F58" w:rsidP="000608C7">
      <w:pPr>
        <w:pStyle w:val="ListParagraph"/>
        <w:autoSpaceDE w:val="0"/>
        <w:autoSpaceDN w:val="0"/>
        <w:adjustRightInd w:val="0"/>
        <w:spacing w:after="120"/>
        <w:ind w:left="567"/>
        <w:jc w:val="both"/>
        <w:rPr>
          <w:sz w:val="22"/>
          <w:szCs w:val="22"/>
        </w:rPr>
      </w:pPr>
      <w:r w:rsidRPr="001F224B">
        <w:rPr>
          <w:sz w:val="22"/>
          <w:szCs w:val="22"/>
        </w:rPr>
        <w:t xml:space="preserve">Ana Ortaklık Banka’nın türev işlemlerini ağırlıklı olarak vadeli döviz alım-satım ve para swap işlemleri </w:t>
      </w:r>
      <w:r w:rsidRPr="001F224B">
        <w:rPr>
          <w:bCs/>
          <w:sz w:val="22"/>
          <w:szCs w:val="22"/>
        </w:rPr>
        <w:t>oluşturmaktadır</w:t>
      </w:r>
      <w:r w:rsidRPr="001F224B">
        <w:rPr>
          <w:sz w:val="22"/>
          <w:szCs w:val="22"/>
        </w:rPr>
        <w:t>. Ana Ortaklık Banka’nın ana sözleşmesinden ayrıştırılmak suretiyle oluşturulan türev ürünleri bulunmamaktadır</w:t>
      </w:r>
      <w:r w:rsidR="00204D88" w:rsidRPr="001F224B">
        <w:rPr>
          <w:sz w:val="22"/>
          <w:szCs w:val="22"/>
        </w:rPr>
        <w:t xml:space="preserve">. </w:t>
      </w:r>
    </w:p>
    <w:p w14:paraId="6DC4D216" w14:textId="5F41040D" w:rsidR="00707F58" w:rsidRPr="001F224B" w:rsidRDefault="00707F58" w:rsidP="00707F58">
      <w:pPr>
        <w:pStyle w:val="ListParagraph"/>
        <w:tabs>
          <w:tab w:val="left" w:pos="426"/>
        </w:tabs>
        <w:spacing w:before="60" w:afterLines="60" w:after="144"/>
        <w:ind w:left="567" w:hanging="1004"/>
        <w:jc w:val="both"/>
        <w:rPr>
          <w:b/>
          <w:bCs/>
          <w:sz w:val="22"/>
          <w:szCs w:val="22"/>
        </w:rPr>
      </w:pPr>
      <w:r w:rsidRPr="001F224B">
        <w:rPr>
          <w:sz w:val="22"/>
          <w:szCs w:val="22"/>
        </w:rPr>
        <w:t xml:space="preserve">                  Türev ürünler, TFRS 9 Finansal Araçlar kapsamında “Türev Finansal Varlıkların Gerçeğe Uygun Değer Farkı Kar Zarara Yansıtılan” veya “Türev Finansal Varlıkların Gerçeğe Uygun Değer Farkı Diğer Kapsamlı Gelire Yansıtılan” olarak sınıflandırılmaktadır. Türev finansal araçlar, sözleşme tarihindeki gerçeğe uygun değerleri ile kayıt altına alınmakta ve sonraki raporlama dönemlerinde gerçeğe uygun değerleri ile yeniden değerlenmektedir. Değerleme farkının negatif ya da pozitif olmasına göre söz konusu farklar bilançoda ilgili hesaplarda gösterilmektedir. Türev işlemlerden doğan alacak ve yükümlülük sözleşme tutarları üzerinden nazım hesaplara kaydedilmektedir. Gerçeğe uygun değer farkı kar/zarara yansıtılan türev işlemlerin gerçeğe uygun değerinde meydana gelen farklar, </w:t>
      </w:r>
      <w:r w:rsidR="00BA2DDE" w:rsidRPr="001F224B">
        <w:rPr>
          <w:sz w:val="22"/>
          <w:szCs w:val="22"/>
        </w:rPr>
        <w:t>kar veya zarar</w:t>
      </w:r>
      <w:r w:rsidRPr="001F224B">
        <w:rPr>
          <w:sz w:val="22"/>
          <w:szCs w:val="22"/>
        </w:rPr>
        <w:t xml:space="preserve"> tablosunda ticari kâr/zarar kaleminde türev finansal işlemlerden kâr/zarar altında muhasebeleştirilmektedir.</w:t>
      </w:r>
    </w:p>
    <w:p w14:paraId="5C7B8D9E" w14:textId="3745AA6E" w:rsidR="00546BAC" w:rsidRPr="001F224B" w:rsidRDefault="00546BAC" w:rsidP="007E6D42">
      <w:pPr>
        <w:pStyle w:val="ListParagraph"/>
        <w:numPr>
          <w:ilvl w:val="0"/>
          <w:numId w:val="3"/>
        </w:numPr>
        <w:tabs>
          <w:tab w:val="clear" w:pos="720"/>
          <w:tab w:val="num" w:pos="567"/>
        </w:tabs>
        <w:spacing w:after="100"/>
        <w:ind w:hanging="294"/>
        <w:jc w:val="both"/>
        <w:rPr>
          <w:b/>
          <w:bCs/>
          <w:sz w:val="22"/>
          <w:szCs w:val="22"/>
        </w:rPr>
      </w:pPr>
      <w:r w:rsidRPr="001F224B">
        <w:rPr>
          <w:b/>
          <w:bCs/>
          <w:sz w:val="22"/>
          <w:szCs w:val="22"/>
        </w:rPr>
        <w:t>Faiz gelir ve giderine ilişkin açıklamalar</w:t>
      </w:r>
    </w:p>
    <w:p w14:paraId="0AF4DFDC" w14:textId="77777777" w:rsidR="00546BAC" w:rsidRPr="001F224B" w:rsidRDefault="00546BAC" w:rsidP="000608C7">
      <w:pPr>
        <w:pStyle w:val="ListParagraph"/>
        <w:autoSpaceDE w:val="0"/>
        <w:autoSpaceDN w:val="0"/>
        <w:adjustRightInd w:val="0"/>
        <w:spacing w:after="120"/>
        <w:ind w:left="567"/>
        <w:jc w:val="both"/>
        <w:rPr>
          <w:sz w:val="22"/>
          <w:szCs w:val="22"/>
        </w:rPr>
      </w:pPr>
      <w:r w:rsidRPr="001F224B">
        <w:rPr>
          <w:sz w:val="22"/>
          <w:szCs w:val="22"/>
        </w:rPr>
        <w:t xml:space="preserve">Faiz gelirleri ve giderleri, etkin faiz yöntemi (finansal varlığın </w:t>
      </w:r>
      <w:r w:rsidRPr="001F224B">
        <w:rPr>
          <w:bCs/>
          <w:sz w:val="22"/>
          <w:szCs w:val="22"/>
        </w:rPr>
        <w:t>ya</w:t>
      </w:r>
      <w:r w:rsidRPr="001F224B">
        <w:rPr>
          <w:sz w:val="22"/>
          <w:szCs w:val="22"/>
        </w:rPr>
        <w:t xml:space="preserve"> da yükümlülüğün gelecekteki nakit akımlarının bugünkü net değerine eşitleyen oran) ile tahakkuk esasına göre muhasebeleştirilir. </w:t>
      </w:r>
    </w:p>
    <w:p w14:paraId="6F3CBF41" w14:textId="30D650FC" w:rsidR="00546BAC" w:rsidRPr="001F224B" w:rsidRDefault="00546BAC" w:rsidP="000608C7">
      <w:pPr>
        <w:pStyle w:val="ListParagraph"/>
        <w:autoSpaceDE w:val="0"/>
        <w:autoSpaceDN w:val="0"/>
        <w:adjustRightInd w:val="0"/>
        <w:spacing w:after="120"/>
        <w:ind w:left="567"/>
        <w:jc w:val="both"/>
        <w:rPr>
          <w:sz w:val="22"/>
          <w:szCs w:val="22"/>
        </w:rPr>
      </w:pPr>
      <w:r w:rsidRPr="001F224B">
        <w:rPr>
          <w:sz w:val="22"/>
          <w:szCs w:val="22"/>
        </w:rPr>
        <w:t xml:space="preserve">Faiz içeren bir menkul kıymetin ediniminden önce ödenmemiş faiz tahakkukunun olması durumunda; sonradan tahsil edilen faiz, edinim öncesi ve edinim sonrası dönemlere </w:t>
      </w:r>
      <w:r w:rsidRPr="001F224B">
        <w:rPr>
          <w:bCs/>
          <w:sz w:val="22"/>
          <w:szCs w:val="22"/>
        </w:rPr>
        <w:t>ayrılır</w:t>
      </w:r>
      <w:r w:rsidRPr="001F224B">
        <w:rPr>
          <w:sz w:val="22"/>
          <w:szCs w:val="22"/>
        </w:rPr>
        <w:t xml:space="preserve"> ve yalnızca elde tutulması esnasında kazanılan faizler </w:t>
      </w:r>
      <w:r w:rsidR="00304C8F" w:rsidRPr="001F224B">
        <w:rPr>
          <w:sz w:val="22"/>
          <w:szCs w:val="22"/>
        </w:rPr>
        <w:t>kar veya zarar</w:t>
      </w:r>
      <w:r w:rsidRPr="001F224B">
        <w:rPr>
          <w:sz w:val="22"/>
          <w:szCs w:val="22"/>
        </w:rPr>
        <w:t xml:space="preserve"> tablosunda faiz gelirleri içerisinde gösterilir.</w:t>
      </w:r>
    </w:p>
    <w:p w14:paraId="088213A2" w14:textId="490D817B" w:rsidR="00A0277A" w:rsidRPr="001F224B" w:rsidRDefault="00112BFF" w:rsidP="000608C7">
      <w:pPr>
        <w:pStyle w:val="ListParagraph"/>
        <w:autoSpaceDE w:val="0"/>
        <w:autoSpaceDN w:val="0"/>
        <w:adjustRightInd w:val="0"/>
        <w:spacing w:after="120"/>
        <w:ind w:left="567"/>
        <w:jc w:val="both"/>
        <w:rPr>
          <w:bCs/>
          <w:sz w:val="22"/>
          <w:szCs w:val="22"/>
        </w:rPr>
      </w:pPr>
      <w:r w:rsidRPr="001F224B">
        <w:rPr>
          <w:sz w:val="22"/>
          <w:szCs w:val="22"/>
        </w:rPr>
        <w:t xml:space="preserve">Ana Ortaklık </w:t>
      </w:r>
      <w:r w:rsidR="005D3DCC" w:rsidRPr="001F224B">
        <w:rPr>
          <w:sz w:val="22"/>
          <w:szCs w:val="22"/>
        </w:rPr>
        <w:t>Banka, 22 Haziran 2016 tarih ve 29750 sayılı Resmi Gazete’de yayımlanarak 1 Ocak 2018 itibar</w:t>
      </w:r>
      <w:r w:rsidR="00A20933" w:rsidRPr="001F224B">
        <w:rPr>
          <w:sz w:val="22"/>
          <w:szCs w:val="22"/>
        </w:rPr>
        <w:t>ı</w:t>
      </w:r>
      <w:r w:rsidR="005D3DCC" w:rsidRPr="001F224B">
        <w:rPr>
          <w:sz w:val="22"/>
          <w:szCs w:val="22"/>
        </w:rPr>
        <w:t>yl</w:t>
      </w:r>
      <w:r w:rsidR="00767B53" w:rsidRPr="001F224B">
        <w:rPr>
          <w:sz w:val="22"/>
          <w:szCs w:val="22"/>
        </w:rPr>
        <w:t>a</w:t>
      </w:r>
      <w:r w:rsidR="005D3DCC" w:rsidRPr="001F224B">
        <w:rPr>
          <w:sz w:val="22"/>
          <w:szCs w:val="22"/>
        </w:rPr>
        <w:t xml:space="preserve"> yürürlüğe giren </w:t>
      </w:r>
      <w:r w:rsidR="005D3DCC" w:rsidRPr="001F224B">
        <w:rPr>
          <w:bCs/>
          <w:sz w:val="22"/>
          <w:szCs w:val="22"/>
        </w:rPr>
        <w:t>“Kredilerin Sınıflandırılması ve Bunlar İçin Ayrılacak Karşılıklara İlişkin Usul Ve Esaslar Hakkında Yönetmelik” çerçevesinde donuk alacak haline gelmiş kredilerin ve diğer alacakların faiz tahakkuk ve reeskontlarını iptal etmemekte ve söz konusu tutarları faiz gelirlerinde izlemek</w:t>
      </w:r>
      <w:r w:rsidR="00CB30F5" w:rsidRPr="001F224B">
        <w:rPr>
          <w:bCs/>
          <w:sz w:val="22"/>
          <w:szCs w:val="22"/>
        </w:rPr>
        <w:t>tedir.</w:t>
      </w:r>
      <w:r w:rsidR="005D3DCC" w:rsidRPr="001F224B">
        <w:rPr>
          <w:bCs/>
          <w:sz w:val="22"/>
          <w:szCs w:val="22"/>
        </w:rPr>
        <w:t xml:space="preserve"> TFRS 9 metodolojisi kapsamında </w:t>
      </w:r>
      <w:r w:rsidR="00C269A8" w:rsidRPr="001F224B">
        <w:rPr>
          <w:bCs/>
          <w:sz w:val="22"/>
          <w:szCs w:val="22"/>
        </w:rPr>
        <w:t>faiz tahak</w:t>
      </w:r>
      <w:r w:rsidR="00CB30F5" w:rsidRPr="001F224B">
        <w:rPr>
          <w:bCs/>
          <w:sz w:val="22"/>
          <w:szCs w:val="22"/>
        </w:rPr>
        <w:t xml:space="preserve">kuk ve reeskontları ilave edilmiş tutarlar üzerinden </w:t>
      </w:r>
      <w:r w:rsidR="005D3DCC" w:rsidRPr="001F224B">
        <w:rPr>
          <w:bCs/>
          <w:sz w:val="22"/>
          <w:szCs w:val="22"/>
        </w:rPr>
        <w:t>beklenen zarar karşılığı hesaplaması gerçekleştirmektedir.</w:t>
      </w:r>
    </w:p>
    <w:p w14:paraId="0137DA70" w14:textId="765BAB09" w:rsidR="00546BAC" w:rsidRPr="001F224B" w:rsidRDefault="00B36D66" w:rsidP="007E6D42">
      <w:pPr>
        <w:pStyle w:val="ListParagraph"/>
        <w:numPr>
          <w:ilvl w:val="0"/>
          <w:numId w:val="3"/>
        </w:numPr>
        <w:tabs>
          <w:tab w:val="clear" w:pos="720"/>
          <w:tab w:val="num" w:pos="567"/>
        </w:tabs>
        <w:spacing w:after="100"/>
        <w:ind w:hanging="294"/>
        <w:jc w:val="both"/>
        <w:rPr>
          <w:b/>
          <w:bCs/>
          <w:sz w:val="22"/>
          <w:szCs w:val="22"/>
        </w:rPr>
      </w:pPr>
      <w:r w:rsidRPr="001F224B">
        <w:rPr>
          <w:b/>
          <w:bCs/>
          <w:sz w:val="22"/>
          <w:szCs w:val="22"/>
        </w:rPr>
        <w:t>Ücret ve komisyon gelir ve giderlerine ilişkin açıklamalar</w:t>
      </w:r>
    </w:p>
    <w:p w14:paraId="5C38FE7B" w14:textId="77777777" w:rsidR="00662A16" w:rsidRPr="001F224B" w:rsidRDefault="00662A16" w:rsidP="00297FE2">
      <w:pPr>
        <w:pStyle w:val="ListParagraph"/>
        <w:autoSpaceDE w:val="0"/>
        <w:autoSpaceDN w:val="0"/>
        <w:adjustRightInd w:val="0"/>
        <w:spacing w:after="120"/>
        <w:ind w:left="567"/>
        <w:jc w:val="both"/>
        <w:rPr>
          <w:sz w:val="22"/>
          <w:szCs w:val="22"/>
        </w:rPr>
      </w:pPr>
      <w:r w:rsidRPr="001F224B">
        <w:rPr>
          <w:sz w:val="22"/>
          <w:szCs w:val="22"/>
        </w:rPr>
        <w:t>Kredilerden alınan ücret ve komisyonların kredinin faiz oranı ile ilişkilendirilemeyen kısımları ve bankacılık hizmet gelirleri TFRS 15 “Müşteri Sözleşmelerinden Hasılat Standardı”na uygun olarak 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tahakkuk esasına göre kayıtlara intikal ettirilmekte, sözleşmeler yoluyla sağlanan ya da üçüncü bir gerçek veya tüzel kişi için varlık alımı veya satımı gibi işlemlere ilişkin hizmetler yoluyla sağlanan gelirler tahsil edildiği tarihlerde gelir olarak kaydedilmektedir.</w:t>
      </w:r>
    </w:p>
    <w:p w14:paraId="73099E9E" w14:textId="6EC69792" w:rsidR="003D1A9B" w:rsidRPr="001F224B" w:rsidRDefault="003D1A9B" w:rsidP="000167FA">
      <w:pPr>
        <w:autoSpaceDE w:val="0"/>
        <w:autoSpaceDN w:val="0"/>
        <w:adjustRightInd w:val="0"/>
        <w:spacing w:after="120"/>
        <w:ind w:left="600"/>
        <w:jc w:val="both"/>
        <w:rPr>
          <w:sz w:val="22"/>
          <w:szCs w:val="22"/>
        </w:rPr>
      </w:pPr>
    </w:p>
    <w:p w14:paraId="53B1BF2A" w14:textId="64FF834D" w:rsidR="00E30409" w:rsidRPr="001F224B" w:rsidRDefault="00E30409" w:rsidP="000167FA">
      <w:pPr>
        <w:autoSpaceDE w:val="0"/>
        <w:autoSpaceDN w:val="0"/>
        <w:adjustRightInd w:val="0"/>
        <w:spacing w:after="120"/>
        <w:ind w:left="600"/>
        <w:jc w:val="both"/>
        <w:rPr>
          <w:sz w:val="22"/>
          <w:szCs w:val="22"/>
        </w:rPr>
      </w:pPr>
    </w:p>
    <w:p w14:paraId="395D0108" w14:textId="3FFD6480" w:rsidR="00E30409" w:rsidRPr="001F224B" w:rsidRDefault="00E30409" w:rsidP="000167FA">
      <w:pPr>
        <w:autoSpaceDE w:val="0"/>
        <w:autoSpaceDN w:val="0"/>
        <w:adjustRightInd w:val="0"/>
        <w:spacing w:after="120"/>
        <w:ind w:left="600"/>
        <w:jc w:val="both"/>
        <w:rPr>
          <w:sz w:val="22"/>
          <w:szCs w:val="22"/>
        </w:rPr>
      </w:pPr>
    </w:p>
    <w:p w14:paraId="77055F1C" w14:textId="0745AEA8" w:rsidR="000608C7" w:rsidRPr="001F224B" w:rsidRDefault="000608C7">
      <w:pPr>
        <w:rPr>
          <w:sz w:val="22"/>
          <w:szCs w:val="22"/>
        </w:rPr>
      </w:pPr>
      <w:r w:rsidRPr="001F224B">
        <w:rPr>
          <w:sz w:val="22"/>
          <w:szCs w:val="22"/>
        </w:rPr>
        <w:br w:type="page"/>
      </w:r>
    </w:p>
    <w:p w14:paraId="4846DAFE" w14:textId="77777777" w:rsidR="003D1A9B" w:rsidRPr="001F224B" w:rsidRDefault="003D1A9B" w:rsidP="003D1A9B">
      <w:pPr>
        <w:pStyle w:val="ListParagraph"/>
        <w:tabs>
          <w:tab w:val="left" w:pos="0"/>
        </w:tabs>
        <w:spacing w:before="120"/>
        <w:ind w:left="0"/>
        <w:rPr>
          <w:b/>
          <w:bCs/>
          <w:sz w:val="22"/>
          <w:szCs w:val="22"/>
        </w:rPr>
      </w:pPr>
      <w:r w:rsidRPr="001F224B">
        <w:rPr>
          <w:b/>
          <w:bCs/>
          <w:sz w:val="22"/>
          <w:szCs w:val="22"/>
        </w:rPr>
        <w:t>ÜÇÜNCÜ BÖLÜM (Devamı)</w:t>
      </w:r>
    </w:p>
    <w:p w14:paraId="614C3031" w14:textId="77777777" w:rsidR="003D1A9B" w:rsidRPr="001F224B" w:rsidRDefault="003D1A9B" w:rsidP="003D1A9B">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2C6D6DE3" w14:textId="35BD63DE" w:rsidR="00B36D66" w:rsidRPr="001F224B" w:rsidRDefault="00B36D66" w:rsidP="007E6D42">
      <w:pPr>
        <w:pStyle w:val="ListParagraph"/>
        <w:numPr>
          <w:ilvl w:val="0"/>
          <w:numId w:val="3"/>
        </w:numPr>
        <w:tabs>
          <w:tab w:val="clear" w:pos="720"/>
          <w:tab w:val="num" w:pos="567"/>
        </w:tabs>
        <w:spacing w:before="120" w:after="120"/>
        <w:ind w:hanging="436"/>
        <w:jc w:val="both"/>
        <w:rPr>
          <w:b/>
          <w:bCs/>
          <w:sz w:val="16"/>
          <w:szCs w:val="16"/>
        </w:rPr>
      </w:pPr>
      <w:r w:rsidRPr="001F224B">
        <w:rPr>
          <w:b/>
          <w:bCs/>
          <w:sz w:val="22"/>
          <w:szCs w:val="22"/>
        </w:rPr>
        <w:t>Finansal varlıklara ilişkin açıklamalar</w:t>
      </w:r>
    </w:p>
    <w:p w14:paraId="6F06768A" w14:textId="4D82F9D6" w:rsidR="00E8167A" w:rsidRPr="001F224B" w:rsidRDefault="00546BAC" w:rsidP="00B417B1">
      <w:pPr>
        <w:spacing w:before="120" w:after="120"/>
        <w:ind w:left="567"/>
        <w:jc w:val="both"/>
        <w:rPr>
          <w:sz w:val="16"/>
          <w:szCs w:val="16"/>
        </w:rPr>
      </w:pPr>
      <w:r w:rsidRPr="001F224B">
        <w:rPr>
          <w:sz w:val="22"/>
          <w:szCs w:val="22"/>
        </w:rPr>
        <w:t xml:space="preserve">Finansal varlıklar, temelde </w:t>
      </w:r>
      <w:r w:rsidR="00C25217" w:rsidRPr="001F224B">
        <w:rPr>
          <w:sz w:val="22"/>
          <w:szCs w:val="22"/>
        </w:rPr>
        <w:t>Grup’un</w:t>
      </w:r>
      <w:r w:rsidRPr="001F224B">
        <w:rPr>
          <w:sz w:val="22"/>
          <w:szCs w:val="22"/>
        </w:rPr>
        <w:t xml:space="preserve"> ticari faaliyet ve operasyonlarını meydana getirmektedir. Bu araçlar finansal tablolardaki likiditeyi, kredi ve faiz riskini ortaya çıkarma, etkileme ve azaltabilme özelliğine sahiptir.</w:t>
      </w:r>
      <w:r w:rsidR="00B417B1" w:rsidRPr="001F224B">
        <w:rPr>
          <w:sz w:val="16"/>
          <w:szCs w:val="16"/>
        </w:rPr>
        <w:t xml:space="preserve"> </w:t>
      </w:r>
      <w:r w:rsidR="00C25217" w:rsidRPr="001F224B">
        <w:rPr>
          <w:sz w:val="22"/>
          <w:szCs w:val="22"/>
        </w:rPr>
        <w:t>Grup,</w:t>
      </w:r>
      <w:r w:rsidR="000529A8" w:rsidRPr="001F224B">
        <w:rPr>
          <w:sz w:val="22"/>
          <w:szCs w:val="22"/>
        </w:rPr>
        <w:t xml:space="preserve"> finansal varlıklarını TFRS 9 Standardının “Finansal Tablolara Alma ve Finansal Tablo Dışı Bırakma” bölümü hükümlerine uygun şekilde finansal tablolarına almakta ve tablolarından çıkarmaktadır. </w:t>
      </w:r>
    </w:p>
    <w:p w14:paraId="65FE7DA6" w14:textId="5F763733" w:rsidR="000529A8" w:rsidRPr="001F224B" w:rsidRDefault="000529A8" w:rsidP="0050610D">
      <w:pPr>
        <w:spacing w:before="120" w:after="120"/>
        <w:ind w:left="567"/>
        <w:jc w:val="both"/>
        <w:rPr>
          <w:sz w:val="22"/>
          <w:szCs w:val="22"/>
        </w:rPr>
      </w:pPr>
      <w:r w:rsidRPr="001F224B">
        <w:rPr>
          <w:sz w:val="22"/>
          <w:szCs w:val="22"/>
        </w:rPr>
        <w:t xml:space="preserve">Finansal varlıklar, finansal varlığa ilişkin sözleşme hükümlerine taraf olunduğunda finansal durum tablosuna alınmakta ve ilk defa finansal tablolara alınırken gerçeğe uygun değerinden ölçülmektedir (TFRS 15 Müşteri Sözleşmelerinden Hasılat </w:t>
      </w:r>
      <w:r w:rsidR="003429FC" w:rsidRPr="001F224B">
        <w:rPr>
          <w:sz w:val="22"/>
          <w:szCs w:val="22"/>
        </w:rPr>
        <w:t>S</w:t>
      </w:r>
      <w:r w:rsidRPr="001F224B">
        <w:rPr>
          <w:sz w:val="22"/>
          <w:szCs w:val="22"/>
        </w:rPr>
        <w:t>tandardı kapsamındaki ticari alacaklar hariç olmak üzere).</w:t>
      </w:r>
      <w:r w:rsidRPr="001F224B">
        <w:rPr>
          <w:color w:val="000000"/>
          <w:sz w:val="22"/>
          <w:szCs w:val="22"/>
        </w:rPr>
        <w:t xml:space="preserve"> </w:t>
      </w:r>
    </w:p>
    <w:p w14:paraId="6F272A56" w14:textId="77777777" w:rsidR="00FC090E" w:rsidRPr="001F224B" w:rsidRDefault="000529A8" w:rsidP="0050610D">
      <w:pPr>
        <w:spacing w:before="120" w:after="120"/>
        <w:ind w:left="567"/>
        <w:jc w:val="both"/>
        <w:rPr>
          <w:sz w:val="16"/>
          <w:szCs w:val="16"/>
        </w:rPr>
      </w:pPr>
      <w:r w:rsidRPr="001F224B">
        <w:rPr>
          <w:sz w:val="22"/>
          <w:szCs w:val="22"/>
        </w:rPr>
        <w:t>Finansal varlıklar TFRS 9 Standardının sınıflandırma hükümleri kapsamında aşağıdaki hususlar esas alınarak, sonraki muhasebeleştirmede itfa edilmiş maliyeti üzerinden, gerçeğe uygun değer değişimi diğer kapsamlı gelire yansıtılarak veya gerçeğe uygun değer değişimi k</w:t>
      </w:r>
      <w:r w:rsidR="002C10B1" w:rsidRPr="001F224B">
        <w:rPr>
          <w:sz w:val="22"/>
          <w:szCs w:val="22"/>
        </w:rPr>
        <w:t>a</w:t>
      </w:r>
      <w:r w:rsidRPr="001F224B">
        <w:rPr>
          <w:sz w:val="22"/>
          <w:szCs w:val="22"/>
        </w:rPr>
        <w:t>r veya zarara yansıtılarak ölçülen olarak sınıflandırılır</w:t>
      </w:r>
      <w:r w:rsidRPr="001F224B">
        <w:rPr>
          <w:sz w:val="16"/>
          <w:szCs w:val="16"/>
        </w:rPr>
        <w:t>:</w:t>
      </w:r>
    </w:p>
    <w:p w14:paraId="4C9007B3" w14:textId="77777777" w:rsidR="000529A8" w:rsidRPr="001F224B" w:rsidRDefault="00FC090E" w:rsidP="0050610D">
      <w:pPr>
        <w:spacing w:before="120" w:after="120"/>
        <w:ind w:left="567"/>
        <w:jc w:val="both"/>
        <w:rPr>
          <w:sz w:val="16"/>
          <w:szCs w:val="16"/>
        </w:rPr>
      </w:pPr>
      <w:r w:rsidRPr="001F224B">
        <w:rPr>
          <w:sz w:val="22"/>
          <w:szCs w:val="22"/>
        </w:rPr>
        <w:t>-</w:t>
      </w:r>
      <w:r w:rsidR="00ED0822" w:rsidRPr="001F224B">
        <w:rPr>
          <w:sz w:val="22"/>
          <w:szCs w:val="22"/>
        </w:rPr>
        <w:t xml:space="preserve"> </w:t>
      </w:r>
      <w:r w:rsidR="000529A8" w:rsidRPr="001F224B">
        <w:rPr>
          <w:sz w:val="22"/>
          <w:szCs w:val="22"/>
        </w:rPr>
        <w:t>Finansal varlıkların yönetimi için işletmenin kullandığı iş modeli,</w:t>
      </w:r>
    </w:p>
    <w:p w14:paraId="4C842B94" w14:textId="77777777" w:rsidR="00AF370C" w:rsidRPr="001F224B" w:rsidRDefault="00ED0822" w:rsidP="0050610D">
      <w:pPr>
        <w:spacing w:before="120" w:after="120"/>
        <w:ind w:left="567"/>
        <w:jc w:val="both"/>
        <w:rPr>
          <w:sz w:val="22"/>
          <w:szCs w:val="22"/>
        </w:rPr>
      </w:pPr>
      <w:r w:rsidRPr="001F224B">
        <w:rPr>
          <w:sz w:val="22"/>
          <w:szCs w:val="22"/>
        </w:rPr>
        <w:t xml:space="preserve">- </w:t>
      </w:r>
      <w:r w:rsidR="000529A8" w:rsidRPr="001F224B">
        <w:rPr>
          <w:sz w:val="22"/>
          <w:szCs w:val="22"/>
        </w:rPr>
        <w:t>Finansal varlığın sözleşmeye bağlı nakit akışlarının özellikleri.</w:t>
      </w:r>
    </w:p>
    <w:p w14:paraId="422BD8F2" w14:textId="77777777" w:rsidR="00204D88" w:rsidRPr="001F224B" w:rsidRDefault="00204D88" w:rsidP="0050610D">
      <w:pPr>
        <w:spacing w:before="120" w:after="120"/>
        <w:ind w:left="567"/>
        <w:jc w:val="both"/>
        <w:rPr>
          <w:sz w:val="22"/>
          <w:szCs w:val="22"/>
        </w:rPr>
      </w:pPr>
      <w:bookmarkStart w:id="8" w:name="OLE_LINK2"/>
      <w:r w:rsidRPr="001F224B">
        <w:rPr>
          <w:sz w:val="22"/>
          <w:szCs w:val="22"/>
        </w:rPr>
        <w:t xml:space="preserve">Finansal varlıklarının sınıflandırılmasını belirlemek için İş Modeli Testi ve Nakit Akış Özellikleri Testi gerçekleştirilir. Söz konusu finansal varlıkların alım ve satım işlemleri “teslim tarihine” göre muhasebeleştirilmektedir. Finansal varlıkların sınıflandırılma şekli “Sözleşmeye Bağlı Nakit Akışların Sadece Faiz ve Anaparadan Oluşup Oluşmadığının Testi ve İş Modeli </w:t>
      </w:r>
      <w:r w:rsidR="00D53A5D" w:rsidRPr="001F224B">
        <w:rPr>
          <w:sz w:val="22"/>
          <w:szCs w:val="22"/>
        </w:rPr>
        <w:t>D</w:t>
      </w:r>
      <w:r w:rsidRPr="001F224B">
        <w:rPr>
          <w:sz w:val="22"/>
          <w:szCs w:val="22"/>
        </w:rPr>
        <w:t>eğerlendirmesi” dikkate alınarak, elde edildikleri tarihlerde kararlaştırılmaktadır. Finansal varlıkların yönetimi için kullanılan iş modeli değiştirildiğinde, bu değişiklikten etkilenen tüm finansal varlıklar yeniden sınıflandırılır.</w:t>
      </w:r>
    </w:p>
    <w:p w14:paraId="272EA378" w14:textId="77777777" w:rsidR="00546BAC" w:rsidRPr="001F224B" w:rsidRDefault="00546BAC" w:rsidP="0050610D">
      <w:pPr>
        <w:spacing w:before="120" w:after="120"/>
        <w:ind w:left="567"/>
        <w:jc w:val="both"/>
        <w:rPr>
          <w:b/>
          <w:i/>
          <w:sz w:val="22"/>
          <w:szCs w:val="22"/>
        </w:rPr>
      </w:pPr>
      <w:r w:rsidRPr="001F224B">
        <w:rPr>
          <w:b/>
          <w:bCs/>
          <w:i/>
          <w:sz w:val="22"/>
          <w:szCs w:val="22"/>
        </w:rPr>
        <w:t>Gerçeğe Uygun Değer Farkı Kar/Zarara Yansıtılan Finansal Varlıklar</w:t>
      </w:r>
      <w:r w:rsidRPr="001F224B">
        <w:rPr>
          <w:b/>
          <w:i/>
          <w:sz w:val="22"/>
          <w:szCs w:val="22"/>
        </w:rPr>
        <w:t xml:space="preserve">: </w:t>
      </w:r>
    </w:p>
    <w:p w14:paraId="4341E71E" w14:textId="77777777" w:rsidR="00546BAC" w:rsidRPr="001F224B" w:rsidRDefault="00C269A8" w:rsidP="0050610D">
      <w:pPr>
        <w:spacing w:before="120" w:after="120"/>
        <w:ind w:left="567"/>
        <w:jc w:val="both"/>
        <w:rPr>
          <w:sz w:val="22"/>
          <w:szCs w:val="22"/>
        </w:rPr>
      </w:pPr>
      <w:r w:rsidRPr="001F224B">
        <w:rPr>
          <w:sz w:val="22"/>
          <w:szCs w:val="22"/>
        </w:rPr>
        <w:t>Gerçeğe uygun değer farkı kar/zarara yansıtılan finansal varlıklar</w:t>
      </w:r>
      <w:r w:rsidR="00546BAC" w:rsidRPr="001F224B">
        <w:rPr>
          <w:bCs/>
          <w:sz w:val="22"/>
          <w:szCs w:val="22"/>
        </w:rPr>
        <w:t>;</w:t>
      </w:r>
      <w:r w:rsidR="00546BAC" w:rsidRPr="001F224B">
        <w:rPr>
          <w:b/>
          <w:bCs/>
          <w:sz w:val="22"/>
          <w:szCs w:val="22"/>
        </w:rPr>
        <w:t xml:space="preserve"> </w:t>
      </w:r>
      <w:r w:rsidR="00546BAC" w:rsidRPr="001F224B">
        <w:rPr>
          <w:sz w:val="22"/>
          <w:szCs w:val="22"/>
        </w:rPr>
        <w:t>esas itibar</w:t>
      </w:r>
      <w:r w:rsidR="00301207" w:rsidRPr="001F224B">
        <w:rPr>
          <w:sz w:val="22"/>
          <w:szCs w:val="22"/>
        </w:rPr>
        <w:t>ı</w:t>
      </w:r>
      <w:r w:rsidR="00546BAC" w:rsidRPr="001F224B">
        <w:rPr>
          <w:sz w:val="22"/>
          <w:szCs w:val="22"/>
        </w:rPr>
        <w:t xml:space="preserve">yla yakın bir tarihte satılmak ya da geri alınmak amacıyla edinilmiş kısa vadede kar amacı güdülen menkul değerlerdir. </w:t>
      </w:r>
    </w:p>
    <w:p w14:paraId="524C5066" w14:textId="5214B178" w:rsidR="00546BAC" w:rsidRPr="001F224B" w:rsidRDefault="00C269A8" w:rsidP="0050610D">
      <w:pPr>
        <w:widowControl w:val="0"/>
        <w:tabs>
          <w:tab w:val="left" w:pos="567"/>
        </w:tabs>
        <w:spacing w:before="120" w:after="120"/>
        <w:ind w:left="567" w:right="28"/>
        <w:jc w:val="both"/>
        <w:rPr>
          <w:sz w:val="22"/>
          <w:szCs w:val="22"/>
        </w:rPr>
      </w:pPr>
      <w:r w:rsidRPr="001F224B">
        <w:rPr>
          <w:sz w:val="22"/>
          <w:szCs w:val="22"/>
        </w:rPr>
        <w:t>Gerçeğe uygun değer farkı kar/zarara yansıtılan finansal varlıklar</w:t>
      </w:r>
      <w:r w:rsidR="00546BAC" w:rsidRPr="001F224B">
        <w:rPr>
          <w:sz w:val="22"/>
          <w:szCs w:val="22"/>
          <w:shd w:val="clear" w:color="auto" w:fill="FFFFFF"/>
        </w:rPr>
        <w:t>, bilançoya maliyet değerleri ile yansıtılmakta ve kayda alınmalarını müteakiben gerçeğe uygun değerleri ile değerlemeye tabi tutulmaktadır.</w:t>
      </w:r>
      <w:r w:rsidR="00546BAC" w:rsidRPr="001F224B">
        <w:rPr>
          <w:sz w:val="22"/>
          <w:szCs w:val="22"/>
        </w:rPr>
        <w:t xml:space="preserve"> </w:t>
      </w:r>
      <w:r w:rsidR="008A5B54" w:rsidRPr="001F224B">
        <w:rPr>
          <w:sz w:val="22"/>
          <w:szCs w:val="22"/>
        </w:rPr>
        <w:t xml:space="preserve">Gerçeğe uygun değerler, </w:t>
      </w:r>
      <w:r w:rsidR="00B45267" w:rsidRPr="001F224B">
        <w:rPr>
          <w:sz w:val="22"/>
          <w:szCs w:val="22"/>
        </w:rPr>
        <w:t>Borsa İstanbul’da (BIST) işlem gören menkul kıymetler için bilanço tarihinde BIST’te oluşan ağırlıklı ortalama takas fiyatları; işlem görmeyenler için ise yatırımcı değerleme ve fiyat raporları kullanılarak bulunur</w:t>
      </w:r>
      <w:r w:rsidR="00546BAC" w:rsidRPr="001F224B">
        <w:rPr>
          <w:sz w:val="22"/>
          <w:szCs w:val="22"/>
        </w:rPr>
        <w:t xml:space="preserve">. </w:t>
      </w:r>
    </w:p>
    <w:p w14:paraId="54B5457A" w14:textId="0C64FBC5" w:rsidR="00546BAC" w:rsidRPr="001F224B" w:rsidRDefault="00C269A8" w:rsidP="0050610D">
      <w:pPr>
        <w:tabs>
          <w:tab w:val="left" w:pos="567"/>
        </w:tabs>
        <w:spacing w:before="120" w:after="120"/>
        <w:ind w:left="567"/>
        <w:jc w:val="both"/>
        <w:rPr>
          <w:sz w:val="22"/>
          <w:szCs w:val="22"/>
        </w:rPr>
      </w:pPr>
      <w:r w:rsidRPr="001F224B">
        <w:rPr>
          <w:sz w:val="22"/>
          <w:szCs w:val="22"/>
        </w:rPr>
        <w:t>Gerçeğe uygun değer farkı kar/zarara yansıtılan finansal varlıklar</w:t>
      </w:r>
      <w:r w:rsidR="00546BAC" w:rsidRPr="001F224B">
        <w:rPr>
          <w:sz w:val="22"/>
          <w:szCs w:val="22"/>
        </w:rPr>
        <w:t>ın değerlemeleri sonucunda oluşan kazanç veya kayıplar kar/zarar hesaplarına yansıtılmaktadır. Alım satım amaçlı finansal varlıkların elde tutulması esnasında elde etme maliyeti ile iskonto edilmiş değeri arasındaki olumlu fark “Faiz Gelirleri”</w:t>
      </w:r>
      <w:r w:rsidR="00D53A5D" w:rsidRPr="001F224B">
        <w:rPr>
          <w:sz w:val="22"/>
          <w:szCs w:val="22"/>
        </w:rPr>
        <w:t xml:space="preserve"> hesabında</w:t>
      </w:r>
      <w:r w:rsidR="00546BAC" w:rsidRPr="001F224B">
        <w:rPr>
          <w:sz w:val="22"/>
          <w:szCs w:val="22"/>
        </w:rPr>
        <w:t xml:space="preserve">, varlığın gerçeğe uygun değerinin iskonto edilmiş değerinin üzerinde olması halinde aradaki olumlu fark “Sermaye Piyasası İşlemleri Karları” hesabında, gerçeğe uygun değerin iskonto edilmiş değerin altında olması halinde ise aradaki olumsuz fark “Sermaye Piyasası İşlemleri Zararları” hesabına kaydedilmektedir. </w:t>
      </w:r>
    </w:p>
    <w:p w14:paraId="191B656C" w14:textId="0EA0E4B9" w:rsidR="0050610D" w:rsidRPr="001F224B" w:rsidRDefault="0050610D" w:rsidP="00450C08">
      <w:pPr>
        <w:tabs>
          <w:tab w:val="left" w:pos="567"/>
        </w:tabs>
        <w:spacing w:before="60" w:after="60"/>
        <w:ind w:left="567"/>
        <w:jc w:val="both"/>
        <w:rPr>
          <w:sz w:val="22"/>
          <w:szCs w:val="22"/>
        </w:rPr>
      </w:pPr>
    </w:p>
    <w:p w14:paraId="4D733AC3" w14:textId="36D423E2" w:rsidR="0050610D" w:rsidRPr="001F224B" w:rsidRDefault="0050610D">
      <w:pPr>
        <w:rPr>
          <w:sz w:val="22"/>
          <w:szCs w:val="22"/>
        </w:rPr>
      </w:pPr>
      <w:r w:rsidRPr="001F224B">
        <w:rPr>
          <w:sz w:val="22"/>
          <w:szCs w:val="22"/>
        </w:rPr>
        <w:br w:type="page"/>
      </w:r>
    </w:p>
    <w:p w14:paraId="652EAB95" w14:textId="77777777" w:rsidR="0050610D" w:rsidRPr="001F224B" w:rsidRDefault="0050610D" w:rsidP="0050610D">
      <w:pPr>
        <w:pStyle w:val="ListParagraph"/>
        <w:tabs>
          <w:tab w:val="left" w:pos="0"/>
        </w:tabs>
        <w:spacing w:before="120"/>
        <w:ind w:left="0"/>
        <w:rPr>
          <w:b/>
          <w:bCs/>
          <w:sz w:val="22"/>
          <w:szCs w:val="22"/>
        </w:rPr>
      </w:pPr>
      <w:r w:rsidRPr="001F224B">
        <w:rPr>
          <w:b/>
          <w:bCs/>
          <w:sz w:val="22"/>
          <w:szCs w:val="22"/>
        </w:rPr>
        <w:t>ÜÇÜNCÜ BÖLÜM (Devamı)</w:t>
      </w:r>
    </w:p>
    <w:p w14:paraId="4A796924" w14:textId="77777777" w:rsidR="0050610D" w:rsidRPr="001F224B" w:rsidRDefault="0050610D" w:rsidP="0050610D">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2EC36724" w14:textId="22001367" w:rsidR="0050610D" w:rsidRPr="001F224B" w:rsidRDefault="000C5853" w:rsidP="000C5853">
      <w:pPr>
        <w:spacing w:before="120" w:after="120"/>
        <w:jc w:val="both"/>
        <w:rPr>
          <w:b/>
          <w:bCs/>
          <w:sz w:val="16"/>
          <w:szCs w:val="16"/>
        </w:rPr>
      </w:pPr>
      <w:r w:rsidRPr="001F224B">
        <w:rPr>
          <w:b/>
          <w:bCs/>
          <w:sz w:val="22"/>
          <w:szCs w:val="22"/>
        </w:rPr>
        <w:t xml:space="preserve">IX.     </w:t>
      </w:r>
      <w:r w:rsidR="0050610D" w:rsidRPr="001F224B">
        <w:rPr>
          <w:b/>
          <w:bCs/>
          <w:sz w:val="22"/>
          <w:szCs w:val="22"/>
        </w:rPr>
        <w:t>Finansal varlıklara ilişkin açıklamalar (Devamı)</w:t>
      </w:r>
    </w:p>
    <w:p w14:paraId="49372CCA" w14:textId="77777777" w:rsidR="00546BAC" w:rsidRPr="001F224B" w:rsidRDefault="00063806" w:rsidP="0050610D">
      <w:pPr>
        <w:spacing w:before="120" w:after="120"/>
        <w:ind w:left="567"/>
        <w:jc w:val="both"/>
        <w:rPr>
          <w:b/>
          <w:i/>
          <w:sz w:val="22"/>
          <w:szCs w:val="22"/>
        </w:rPr>
      </w:pPr>
      <w:r w:rsidRPr="001F224B">
        <w:rPr>
          <w:b/>
          <w:i/>
          <w:sz w:val="22"/>
          <w:szCs w:val="22"/>
        </w:rPr>
        <w:t>Gerçeğe Uygun Değer Farkı Diğer Kapsa</w:t>
      </w:r>
      <w:r w:rsidR="00005288" w:rsidRPr="001F224B">
        <w:rPr>
          <w:b/>
          <w:i/>
          <w:sz w:val="22"/>
          <w:szCs w:val="22"/>
        </w:rPr>
        <w:t>m</w:t>
      </w:r>
      <w:r w:rsidRPr="001F224B">
        <w:rPr>
          <w:b/>
          <w:i/>
          <w:sz w:val="22"/>
          <w:szCs w:val="22"/>
        </w:rPr>
        <w:t>lı Gelire Yansıtılan Finansal Varlıklar</w:t>
      </w:r>
      <w:r w:rsidR="00546BAC" w:rsidRPr="001F224B">
        <w:rPr>
          <w:b/>
          <w:bCs/>
          <w:i/>
          <w:sz w:val="22"/>
          <w:szCs w:val="22"/>
        </w:rPr>
        <w:t>:</w:t>
      </w:r>
      <w:r w:rsidR="00546BAC" w:rsidRPr="001F224B">
        <w:rPr>
          <w:b/>
          <w:i/>
          <w:sz w:val="22"/>
          <w:szCs w:val="22"/>
        </w:rPr>
        <w:t xml:space="preserve"> </w:t>
      </w:r>
    </w:p>
    <w:p w14:paraId="64BE288F" w14:textId="77777777" w:rsidR="00943C91" w:rsidRPr="001F224B" w:rsidRDefault="00943C91" w:rsidP="0050610D">
      <w:pPr>
        <w:spacing w:before="120" w:after="120"/>
        <w:ind w:left="567"/>
        <w:jc w:val="both"/>
        <w:rPr>
          <w:sz w:val="22"/>
          <w:szCs w:val="22"/>
        </w:rPr>
      </w:pPr>
      <w:r w:rsidRPr="001F224B">
        <w:rPr>
          <w:sz w:val="22"/>
          <w:szCs w:val="22"/>
        </w:rPr>
        <w:t>Finansal varlığın, sözleşmeye bağlı nakit akışlarının tahsil edilmesini ve finansal varlığın satılmasını amaçlayan bir iş modeli kapsamında elde tutulması ve finansal varlığa ilişkin sözleşme şartlarının, belirli tarihlerde sadece anapara ve anapara bakiyesinden kaynaklanan faiz ödemelerini içeren nakit akışlarına yol açması durumunda söz konusu finansal varlık, gerçeğe uygun değer farkı diğer kapsamlı gelire yansıtılan olarak sınıflandırılmaktadır.</w:t>
      </w:r>
    </w:p>
    <w:p w14:paraId="6E26D45B" w14:textId="77777777" w:rsidR="00920804" w:rsidRPr="001F224B" w:rsidRDefault="008E169F" w:rsidP="0050610D">
      <w:pPr>
        <w:spacing w:before="120" w:after="120"/>
        <w:ind w:left="567"/>
        <w:jc w:val="both"/>
        <w:rPr>
          <w:sz w:val="22"/>
          <w:szCs w:val="22"/>
        </w:rPr>
      </w:pPr>
      <w:r w:rsidRPr="001F224B">
        <w:rPr>
          <w:sz w:val="22"/>
          <w:szCs w:val="22"/>
        </w:rPr>
        <w:t>Gerçeğe uygun değer farkı diğer kapsa</w:t>
      </w:r>
      <w:r w:rsidR="00005288" w:rsidRPr="001F224B">
        <w:rPr>
          <w:sz w:val="22"/>
          <w:szCs w:val="22"/>
        </w:rPr>
        <w:t>m</w:t>
      </w:r>
      <w:r w:rsidRPr="001F224B">
        <w:rPr>
          <w:sz w:val="22"/>
          <w:szCs w:val="22"/>
        </w:rPr>
        <w:t>lı gelire yansıtılan</w:t>
      </w:r>
      <w:r w:rsidRPr="001F224B">
        <w:rPr>
          <w:i/>
          <w:sz w:val="22"/>
          <w:szCs w:val="22"/>
        </w:rPr>
        <w:t xml:space="preserve"> </w:t>
      </w:r>
      <w:r w:rsidR="00546BAC" w:rsidRPr="001F224B">
        <w:rPr>
          <w:sz w:val="22"/>
          <w:szCs w:val="22"/>
        </w:rPr>
        <w:t xml:space="preserve">finansal varlıklar, ilk kayda alınmalarında işlem maliyetlerini de içeren elde etme maliyeti ile muhasebeleştirilmektedir. İlk kayda alımdan sonra </w:t>
      </w:r>
      <w:r w:rsidR="004606D6" w:rsidRPr="001F224B">
        <w:rPr>
          <w:sz w:val="22"/>
          <w:szCs w:val="22"/>
        </w:rPr>
        <w:t>gerçeğe uygun değer farkı diğer kapsamlı gelire yansıtılan</w:t>
      </w:r>
      <w:r w:rsidR="004606D6" w:rsidRPr="001F224B">
        <w:rPr>
          <w:i/>
          <w:sz w:val="22"/>
          <w:szCs w:val="22"/>
        </w:rPr>
        <w:t xml:space="preserve"> </w:t>
      </w:r>
      <w:r w:rsidR="004606D6" w:rsidRPr="001F224B">
        <w:rPr>
          <w:sz w:val="22"/>
          <w:szCs w:val="22"/>
        </w:rPr>
        <w:t>finansal varlıkların</w:t>
      </w:r>
      <w:r w:rsidR="00546BAC" w:rsidRPr="001F224B">
        <w:rPr>
          <w:sz w:val="22"/>
          <w:szCs w:val="22"/>
        </w:rPr>
        <w:t xml:space="preserve"> değerlemesi gerçeğe uygun değeri üzerinden yapılmaktadır. Borsa İstanbul’da (BIST) işlem gören menkul kıymetler için gerçeğe uygun değerler bilanço tarihinde BIST’te oluşan ağırlıklı ortalama takas fiyatları kullanılarak bulunur. </w:t>
      </w:r>
    </w:p>
    <w:p w14:paraId="443370D4" w14:textId="77777777" w:rsidR="00E30409" w:rsidRPr="001F224B" w:rsidRDefault="00546BAC" w:rsidP="0050610D">
      <w:pPr>
        <w:spacing w:before="120" w:after="120"/>
        <w:ind w:left="567"/>
        <w:jc w:val="both"/>
        <w:rPr>
          <w:sz w:val="22"/>
          <w:szCs w:val="22"/>
        </w:rPr>
      </w:pPr>
      <w:r w:rsidRPr="001F224B">
        <w:rPr>
          <w:sz w:val="22"/>
          <w:szCs w:val="22"/>
        </w:rPr>
        <w:t xml:space="preserve">Gerçeğe uygun değere esas teşkil eden fiyat oluşumlarının aktif piyasa koşulları içerisinde gerçekleşmemesi durumunda gerçeğe uygun değerin güvenilir bir şekilde belirlenmediği kabul edilmekte ve iç verim yöntemi ile hesaplanan iskonto edilmiş değer, gerçeğe uygun değer olarak kabul edilmektedir. Gerçeğe uygun değer ile maliyet arasındaki fark faiz gelir reeskontu veya değer azalış karşılığı olarak muhasebeleştirilir. </w:t>
      </w:r>
      <w:r w:rsidR="00A54C6F" w:rsidRPr="001F224B">
        <w:rPr>
          <w:sz w:val="22"/>
          <w:szCs w:val="22"/>
        </w:rPr>
        <w:t xml:space="preserve">Gerçeğe uygun değer farkı diğer kapsamlı gelire yansıtılan finansal varlıklar </w:t>
      </w:r>
      <w:r w:rsidRPr="001F224B">
        <w:rPr>
          <w:sz w:val="22"/>
          <w:szCs w:val="22"/>
        </w:rPr>
        <w:t xml:space="preserve">içinde yer alan sabit ve değişken faizli menkul kıymetlere ilişkin faiz gelirleri, etkin faiz oranı kullanılarak iskonto edilmiş değerleri ile maliyet değerleri arasındaki farkı göstermekte olup menkul değerlerden alınan faiz gelirleri içinde muhasebeleştirilmektedir. </w:t>
      </w:r>
    </w:p>
    <w:p w14:paraId="30853240" w14:textId="77777777" w:rsidR="00E30409" w:rsidRPr="001F224B" w:rsidRDefault="00546BAC" w:rsidP="0050610D">
      <w:pPr>
        <w:spacing w:before="120" w:after="120"/>
        <w:ind w:left="567"/>
        <w:jc w:val="both"/>
        <w:rPr>
          <w:sz w:val="22"/>
          <w:szCs w:val="22"/>
        </w:rPr>
      </w:pPr>
      <w:r w:rsidRPr="001F224B">
        <w:rPr>
          <w:sz w:val="22"/>
          <w:szCs w:val="22"/>
        </w:rPr>
        <w:t>Gerçeğe uygun değerdeki değişikliklerden kaynaklanan ve menkullerin iskonto edilmiş değeri ile gerçeğe uygun değeri arasındaki farkı ifade eden gerçekleşmemiş kar veya zararlar özkaynak kalemleri içerisinde “</w:t>
      </w:r>
      <w:r w:rsidR="004606D6" w:rsidRPr="001F224B">
        <w:rPr>
          <w:sz w:val="22"/>
          <w:szCs w:val="22"/>
        </w:rPr>
        <w:t>K</w:t>
      </w:r>
      <w:r w:rsidR="002C10B1" w:rsidRPr="001F224B">
        <w:rPr>
          <w:sz w:val="22"/>
          <w:szCs w:val="22"/>
        </w:rPr>
        <w:t>a</w:t>
      </w:r>
      <w:r w:rsidR="004606D6" w:rsidRPr="001F224B">
        <w:rPr>
          <w:sz w:val="22"/>
          <w:szCs w:val="22"/>
        </w:rPr>
        <w:t>r veya Zararda Yeniden Sınıflandırılacak Birikmiş Diğer Kapsamlı Gelirler veya Giderler</w:t>
      </w:r>
      <w:r w:rsidRPr="001F224B">
        <w:rPr>
          <w:sz w:val="22"/>
          <w:szCs w:val="22"/>
        </w:rPr>
        <w:t>” hesabı altında gösterilmektedir.</w:t>
      </w:r>
    </w:p>
    <w:p w14:paraId="62ADA22A" w14:textId="047C52E8" w:rsidR="00643303" w:rsidRPr="001F224B" w:rsidRDefault="00546BAC" w:rsidP="0050610D">
      <w:pPr>
        <w:spacing w:before="120" w:after="120"/>
        <w:ind w:left="567"/>
        <w:jc w:val="both"/>
        <w:rPr>
          <w:sz w:val="22"/>
          <w:szCs w:val="22"/>
        </w:rPr>
      </w:pPr>
      <w:r w:rsidRPr="001F224B">
        <w:rPr>
          <w:sz w:val="22"/>
          <w:szCs w:val="22"/>
        </w:rPr>
        <w:t xml:space="preserve"> </w:t>
      </w:r>
      <w:r w:rsidR="00A54C6F" w:rsidRPr="001F224B">
        <w:rPr>
          <w:sz w:val="22"/>
          <w:szCs w:val="22"/>
        </w:rPr>
        <w:t>Gerçeğe uygun değer farkı diğer kapsamlı gelire yansıtılan finansal varlıkların</w:t>
      </w:r>
      <w:r w:rsidRPr="001F224B">
        <w:rPr>
          <w:sz w:val="22"/>
          <w:szCs w:val="22"/>
        </w:rPr>
        <w:t xml:space="preserve"> elden çıkarılması durumunda özkaynaklarda menkul değerler değer artış fonu hesabında izlenen bunlara ait değer artış/azalışları </w:t>
      </w:r>
      <w:r w:rsidR="00D53A5D" w:rsidRPr="001F224B">
        <w:rPr>
          <w:sz w:val="22"/>
          <w:szCs w:val="22"/>
        </w:rPr>
        <w:t xml:space="preserve">kar veya zarar </w:t>
      </w:r>
      <w:r w:rsidRPr="001F224B">
        <w:rPr>
          <w:sz w:val="22"/>
          <w:szCs w:val="22"/>
        </w:rPr>
        <w:t xml:space="preserve">tablosuna yansıtılmaktadır. </w:t>
      </w:r>
    </w:p>
    <w:p w14:paraId="0F57BCF4" w14:textId="77777777" w:rsidR="0050610D" w:rsidRPr="001F224B" w:rsidRDefault="0050610D" w:rsidP="0050610D">
      <w:pPr>
        <w:spacing w:before="120" w:after="120"/>
        <w:ind w:left="567"/>
        <w:jc w:val="both"/>
        <w:rPr>
          <w:b/>
          <w:bCs/>
          <w:i/>
          <w:sz w:val="22"/>
          <w:szCs w:val="22"/>
        </w:rPr>
      </w:pPr>
      <w:r w:rsidRPr="001F224B">
        <w:rPr>
          <w:b/>
          <w:bCs/>
          <w:i/>
          <w:sz w:val="22"/>
          <w:szCs w:val="22"/>
        </w:rPr>
        <w:t>Gerçeğe Uygun Değer Farkı Diğer Kapsamlı Gelire Yansıtılan Özkaynak Araçları:</w:t>
      </w:r>
    </w:p>
    <w:p w14:paraId="33F899A2" w14:textId="77777777" w:rsidR="0050610D" w:rsidRPr="001F224B" w:rsidRDefault="0050610D" w:rsidP="0050610D">
      <w:pPr>
        <w:spacing w:before="120" w:after="120"/>
        <w:ind w:left="567" w:firstLine="33"/>
        <w:jc w:val="both"/>
        <w:rPr>
          <w:bCs/>
          <w:sz w:val="22"/>
          <w:szCs w:val="22"/>
        </w:rPr>
      </w:pPr>
      <w:r w:rsidRPr="001F224B">
        <w:rPr>
          <w:bCs/>
          <w:sz w:val="22"/>
          <w:szCs w:val="22"/>
        </w:rPr>
        <w:t>İlk kayda alım esnasında,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Söz konusu tercih her bir finansal araç için ayrı ayrı yapılmaktadır.</w:t>
      </w:r>
    </w:p>
    <w:p w14:paraId="632AB025" w14:textId="77777777" w:rsidR="0050610D" w:rsidRPr="001F224B" w:rsidRDefault="0050610D" w:rsidP="0050610D">
      <w:pPr>
        <w:spacing w:before="120" w:after="120"/>
        <w:ind w:left="567" w:firstLine="34"/>
        <w:jc w:val="both"/>
        <w:rPr>
          <w:bCs/>
          <w:sz w:val="22"/>
          <w:szCs w:val="22"/>
        </w:rPr>
      </w:pPr>
      <w:r w:rsidRPr="001F224B">
        <w:rPr>
          <w:bCs/>
          <w:sz w:val="22"/>
          <w:szCs w:val="22"/>
        </w:rPr>
        <w:t>Diğer kapsamlı gelir tablosunda muhasebeleştirilen ilgili gerçeğe uygun değer farkları, sonraki dönemlerde kar veya zarara aktarılamayıp geçmiş yıllar kar/zararlarına transfer edilmektedir. Bu tür yatırımlardan sağlanan temettüler ise açıkça yatırım maliyetinin bir kısmının geri kazanılması niteliğinde olmadıkça, kar veya zarar olarak finansal tablolara alınmaktadır. Özkaynak yatırımları için TFRS 9 değer düşüklüğü hükümleri geçerli değildir.</w:t>
      </w:r>
    </w:p>
    <w:p w14:paraId="0C00A21C" w14:textId="77777777" w:rsidR="0050610D" w:rsidRPr="001F224B" w:rsidRDefault="0050610D" w:rsidP="00450C08">
      <w:pPr>
        <w:spacing w:before="60" w:after="60"/>
        <w:ind w:left="567"/>
        <w:jc w:val="both"/>
        <w:rPr>
          <w:sz w:val="22"/>
          <w:szCs w:val="22"/>
        </w:rPr>
      </w:pPr>
    </w:p>
    <w:p w14:paraId="3A330FE2" w14:textId="6C58749F" w:rsidR="003A3FAC" w:rsidRPr="001F224B" w:rsidRDefault="003A3FAC">
      <w:pPr>
        <w:rPr>
          <w:sz w:val="22"/>
          <w:szCs w:val="22"/>
        </w:rPr>
      </w:pPr>
      <w:r w:rsidRPr="001F224B">
        <w:rPr>
          <w:sz w:val="22"/>
          <w:szCs w:val="22"/>
        </w:rPr>
        <w:br w:type="page"/>
      </w:r>
    </w:p>
    <w:p w14:paraId="4ABD4AED" w14:textId="77777777" w:rsidR="003A3FAC" w:rsidRPr="001F224B" w:rsidRDefault="003A3FAC" w:rsidP="003A3FAC">
      <w:pPr>
        <w:pStyle w:val="ListParagraph"/>
        <w:tabs>
          <w:tab w:val="left" w:pos="0"/>
        </w:tabs>
        <w:ind w:left="0"/>
        <w:rPr>
          <w:b/>
          <w:bCs/>
          <w:sz w:val="22"/>
          <w:szCs w:val="22"/>
        </w:rPr>
      </w:pPr>
      <w:r w:rsidRPr="001F224B">
        <w:rPr>
          <w:b/>
          <w:bCs/>
          <w:sz w:val="22"/>
          <w:szCs w:val="22"/>
        </w:rPr>
        <w:t>ÜÇÜNCÜ BÖLÜM (Devamı)</w:t>
      </w:r>
    </w:p>
    <w:p w14:paraId="5AF036DE" w14:textId="77777777" w:rsidR="003A3FAC" w:rsidRPr="001F224B" w:rsidRDefault="003A3FAC" w:rsidP="003A3FAC">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4C75DB82" w14:textId="77F50EFC" w:rsidR="003A3FAC" w:rsidRPr="001F224B" w:rsidRDefault="003A3FAC" w:rsidP="003A3FAC">
      <w:pPr>
        <w:jc w:val="both"/>
        <w:rPr>
          <w:b/>
          <w:sz w:val="22"/>
          <w:szCs w:val="22"/>
        </w:rPr>
      </w:pPr>
      <w:r w:rsidRPr="001F224B">
        <w:rPr>
          <w:b/>
          <w:sz w:val="22"/>
          <w:szCs w:val="22"/>
        </w:rPr>
        <w:t>IX.     Finansal varlıklara ilişkin açıklamalar (Devamı)</w:t>
      </w:r>
    </w:p>
    <w:p w14:paraId="6072E38A" w14:textId="77777777" w:rsidR="003A3FAC" w:rsidRPr="001F224B" w:rsidRDefault="003A3FAC" w:rsidP="003A3FAC">
      <w:pPr>
        <w:spacing w:before="120" w:after="120"/>
        <w:ind w:left="567"/>
        <w:jc w:val="both"/>
        <w:rPr>
          <w:b/>
          <w:bCs/>
          <w:i/>
          <w:sz w:val="22"/>
          <w:szCs w:val="22"/>
        </w:rPr>
      </w:pPr>
      <w:r w:rsidRPr="001F224B">
        <w:rPr>
          <w:b/>
          <w:bCs/>
          <w:i/>
          <w:sz w:val="22"/>
          <w:szCs w:val="22"/>
        </w:rPr>
        <w:t>Gerçeğe Uygun Değer Farkı Diğer Kapsamlı Gelire Yansıtılan Özkaynak Araçları (Devamı):</w:t>
      </w:r>
    </w:p>
    <w:p w14:paraId="329012C1" w14:textId="77777777" w:rsidR="003A3FAC" w:rsidRPr="001F224B" w:rsidRDefault="003A3FAC" w:rsidP="003A3FAC">
      <w:pPr>
        <w:spacing w:before="120" w:after="120"/>
        <w:ind w:left="567"/>
        <w:jc w:val="both"/>
        <w:rPr>
          <w:bCs/>
          <w:sz w:val="22"/>
          <w:szCs w:val="22"/>
        </w:rPr>
      </w:pPr>
      <w:r w:rsidRPr="001F224B">
        <w:rPr>
          <w:sz w:val="22"/>
          <w:szCs w:val="22"/>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muhasebeleştirilmektedir. Ancak, bazı istisnai durumlarda,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durumunda mümkün olabilir.</w:t>
      </w:r>
    </w:p>
    <w:p w14:paraId="5C2C45FC" w14:textId="77777777" w:rsidR="003A3FAC" w:rsidRPr="001F224B" w:rsidRDefault="003A3FAC" w:rsidP="003A3FAC">
      <w:pPr>
        <w:spacing w:before="120"/>
        <w:ind w:left="567"/>
        <w:jc w:val="both"/>
        <w:rPr>
          <w:b/>
          <w:bCs/>
          <w:i/>
          <w:sz w:val="22"/>
          <w:szCs w:val="22"/>
        </w:rPr>
      </w:pPr>
      <w:r w:rsidRPr="001F224B">
        <w:rPr>
          <w:b/>
          <w:i/>
          <w:sz w:val="22"/>
          <w:szCs w:val="22"/>
        </w:rPr>
        <w:t>İtfa Edilmiş Maliyeti ile Ölçülen Finansal Yatırımlar ve Krediler</w:t>
      </w:r>
      <w:r w:rsidRPr="001F224B">
        <w:rPr>
          <w:b/>
          <w:bCs/>
          <w:i/>
          <w:sz w:val="22"/>
          <w:szCs w:val="22"/>
        </w:rPr>
        <w:t>:</w:t>
      </w:r>
    </w:p>
    <w:p w14:paraId="2985C684" w14:textId="77777777" w:rsidR="003A3FAC" w:rsidRPr="001F224B" w:rsidRDefault="003A3FAC" w:rsidP="003A3FAC">
      <w:pPr>
        <w:spacing w:before="120"/>
        <w:ind w:left="567"/>
        <w:jc w:val="both"/>
        <w:rPr>
          <w:b/>
          <w:bCs/>
          <w:i/>
          <w:sz w:val="22"/>
          <w:szCs w:val="22"/>
        </w:rPr>
      </w:pPr>
      <w:r w:rsidRPr="001F224B">
        <w:rPr>
          <w:i/>
          <w:sz w:val="22"/>
          <w:szCs w:val="22"/>
        </w:rPr>
        <w:t>İtfa Edilmiş Maliyeti ile Ölçülen Finansal Yatırımlar</w:t>
      </w:r>
    </w:p>
    <w:p w14:paraId="0C1D73FF" w14:textId="77777777" w:rsidR="003A3FAC" w:rsidRPr="001F224B" w:rsidRDefault="003A3FAC" w:rsidP="003A3FAC">
      <w:pPr>
        <w:tabs>
          <w:tab w:val="left" w:pos="0"/>
        </w:tabs>
        <w:spacing w:before="120"/>
        <w:ind w:left="567"/>
        <w:jc w:val="both"/>
        <w:rPr>
          <w:sz w:val="22"/>
          <w:szCs w:val="22"/>
        </w:rPr>
      </w:pPr>
      <w:r w:rsidRPr="001F224B">
        <w:rPr>
          <w:sz w:val="22"/>
          <w:szCs w:val="22"/>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60F7C065" w14:textId="77777777" w:rsidR="003A3FAC" w:rsidRPr="001F224B" w:rsidRDefault="003A3FAC" w:rsidP="003A3FAC">
      <w:pPr>
        <w:spacing w:before="120"/>
        <w:ind w:left="567"/>
        <w:jc w:val="both"/>
        <w:rPr>
          <w:bCs/>
          <w:sz w:val="22"/>
          <w:szCs w:val="22"/>
        </w:rPr>
      </w:pPr>
      <w:r w:rsidRPr="001F224B">
        <w:rPr>
          <w:sz w:val="22"/>
          <w:szCs w:val="22"/>
        </w:rPr>
        <w:t xml:space="preserve">İtfa edilmiş maliyeti ile ölçülen finansal varlıklar ilk kayda alımdan sonra, var ise değer azalışı için ayrılan karşılık düşülerek veya faiz gelir reeskontu yapılarak, etkin faiz yöntemiyle hesaplanan iskonto edilmiş maliyeti ile muhasebeleştirilmektedir. </w:t>
      </w:r>
      <w:proofErr w:type="spellStart"/>
      <w:r w:rsidRPr="001F224B">
        <w:rPr>
          <w:sz w:val="22"/>
          <w:szCs w:val="22"/>
          <w:lang w:val="en-US"/>
        </w:rPr>
        <w:t>İtfa</w:t>
      </w:r>
      <w:proofErr w:type="spellEnd"/>
      <w:r w:rsidRPr="001F224B">
        <w:rPr>
          <w:sz w:val="22"/>
          <w:szCs w:val="22"/>
          <w:lang w:val="en-US"/>
        </w:rPr>
        <w:t xml:space="preserve"> </w:t>
      </w:r>
      <w:proofErr w:type="spellStart"/>
      <w:r w:rsidRPr="001F224B">
        <w:rPr>
          <w:sz w:val="22"/>
          <w:szCs w:val="22"/>
          <w:lang w:val="en-US"/>
        </w:rPr>
        <w:t>Edilmiş</w:t>
      </w:r>
      <w:proofErr w:type="spellEnd"/>
      <w:r w:rsidRPr="001F224B">
        <w:rPr>
          <w:sz w:val="22"/>
          <w:szCs w:val="22"/>
          <w:lang w:val="en-US"/>
        </w:rPr>
        <w:t xml:space="preserve"> </w:t>
      </w:r>
      <w:proofErr w:type="spellStart"/>
      <w:r w:rsidRPr="001F224B">
        <w:rPr>
          <w:sz w:val="22"/>
          <w:szCs w:val="22"/>
          <w:lang w:val="en-US"/>
        </w:rPr>
        <w:t>Maliyeti</w:t>
      </w:r>
      <w:proofErr w:type="spellEnd"/>
      <w:r w:rsidRPr="001F224B">
        <w:rPr>
          <w:sz w:val="22"/>
          <w:szCs w:val="22"/>
          <w:lang w:val="en-US"/>
        </w:rPr>
        <w:t xml:space="preserve"> </w:t>
      </w:r>
      <w:proofErr w:type="spellStart"/>
      <w:r w:rsidRPr="001F224B">
        <w:rPr>
          <w:sz w:val="22"/>
          <w:szCs w:val="22"/>
          <w:lang w:val="en-US"/>
        </w:rPr>
        <w:t>ile</w:t>
      </w:r>
      <w:proofErr w:type="spellEnd"/>
      <w:r w:rsidRPr="001F224B">
        <w:rPr>
          <w:sz w:val="22"/>
          <w:szCs w:val="22"/>
          <w:lang w:val="en-US"/>
        </w:rPr>
        <w:t xml:space="preserve"> </w:t>
      </w:r>
      <w:proofErr w:type="spellStart"/>
      <w:r w:rsidRPr="001F224B">
        <w:rPr>
          <w:sz w:val="22"/>
          <w:szCs w:val="22"/>
          <w:lang w:val="en-US"/>
        </w:rPr>
        <w:t>Ölçülen</w:t>
      </w:r>
      <w:proofErr w:type="spellEnd"/>
      <w:r w:rsidRPr="001F224B">
        <w:rPr>
          <w:sz w:val="22"/>
          <w:szCs w:val="22"/>
          <w:lang w:val="en-US"/>
        </w:rPr>
        <w:t xml:space="preserve"> Finansal </w:t>
      </w:r>
      <w:proofErr w:type="spellStart"/>
      <w:r w:rsidRPr="001F224B">
        <w:rPr>
          <w:sz w:val="22"/>
          <w:szCs w:val="22"/>
          <w:lang w:val="en-US"/>
        </w:rPr>
        <w:t>Varlıklardan</w:t>
      </w:r>
      <w:proofErr w:type="spellEnd"/>
      <w:r w:rsidRPr="001F224B">
        <w:rPr>
          <w:bCs/>
          <w:sz w:val="22"/>
          <w:szCs w:val="22"/>
        </w:rPr>
        <w:t xml:space="preserve"> kazanılmış olan faizler, faiz geliri olarak kaydedilmektedir.</w:t>
      </w:r>
    </w:p>
    <w:p w14:paraId="1B9CDCD4" w14:textId="77777777" w:rsidR="003A3FAC" w:rsidRPr="001F224B" w:rsidRDefault="003A3FAC" w:rsidP="003A3FAC">
      <w:pPr>
        <w:spacing w:before="120"/>
        <w:ind w:left="567"/>
        <w:jc w:val="both"/>
        <w:rPr>
          <w:sz w:val="22"/>
          <w:szCs w:val="22"/>
        </w:rPr>
      </w:pPr>
      <w:r w:rsidRPr="001F224B">
        <w:rPr>
          <w:sz w:val="22"/>
          <w:szCs w:val="22"/>
        </w:rPr>
        <w:t>Ana Ortaklık Banka’nın menkul kıymet portföyünde gerçeğe uygun değer farkı diğer kapsamlı gelire yansıtılan finansal varlıklar ve itfa edilmiş maliyeti ile ölçülen finansal varlıklar olarak sınıflandırılmış tüketici fiyatlarına (TÜFE) endeksli tahviller bulunmaktadır. T.C. Hazine ve Maliye Bakanlığı’nın TÜFE’ye Endeksli Tahviller Yatırımcı Kılavuzu’nda belirtildiği üzere, bu kıymetlerin fiili kupon tahsilat tutarlarının hesaplamasında kullanılan referans endeksler iki ay öncesinin TÜFE’sine göre oluşturulmaktadır. Söz konusu kıymetlerin değerlemesi de bu kılavuzda belirtilen referans endeks formülü çerçevesinde, etkin faiz yöntemine göre yapılmaktadır.</w:t>
      </w:r>
    </w:p>
    <w:p w14:paraId="6BD06756" w14:textId="77777777" w:rsidR="003A3FAC" w:rsidRPr="001F224B" w:rsidRDefault="003A3FAC" w:rsidP="003A3FAC">
      <w:pPr>
        <w:spacing w:before="120"/>
        <w:ind w:left="567"/>
        <w:jc w:val="both"/>
        <w:rPr>
          <w:sz w:val="22"/>
          <w:szCs w:val="22"/>
        </w:rPr>
      </w:pPr>
      <w:r w:rsidRPr="001F224B">
        <w:rPr>
          <w:bCs/>
          <w:i/>
          <w:sz w:val="22"/>
          <w:szCs w:val="22"/>
        </w:rPr>
        <w:t>Krediler</w:t>
      </w:r>
      <w:r w:rsidRPr="001F224B">
        <w:rPr>
          <w:sz w:val="22"/>
          <w:szCs w:val="22"/>
        </w:rPr>
        <w:t xml:space="preserve"> </w:t>
      </w:r>
    </w:p>
    <w:p w14:paraId="35194288" w14:textId="77777777" w:rsidR="003A3FAC" w:rsidRPr="001F224B" w:rsidRDefault="003A3FAC" w:rsidP="003A3FAC">
      <w:pPr>
        <w:spacing w:before="120"/>
        <w:ind w:left="567"/>
        <w:jc w:val="both"/>
        <w:rPr>
          <w:sz w:val="22"/>
          <w:szCs w:val="22"/>
        </w:rPr>
      </w:pPr>
      <w:r w:rsidRPr="001F224B">
        <w:rPr>
          <w:sz w:val="22"/>
          <w:szCs w:val="22"/>
        </w:rPr>
        <w:t>Krediler ve alacaklar; borçluya para, mal veya hizmet sağlama yoluyla yaratılan, sabit veya belirlenebilir nitelikte ödemelere sahip olan ve aktif bir piyasada işlem görmeyen finansal varlıklardır.</w:t>
      </w:r>
    </w:p>
    <w:p w14:paraId="251A31A7" w14:textId="77777777" w:rsidR="003A3FAC" w:rsidRPr="001F224B" w:rsidRDefault="003A3FAC" w:rsidP="003A3FAC">
      <w:pPr>
        <w:spacing w:before="120"/>
        <w:ind w:left="567"/>
        <w:jc w:val="both"/>
        <w:rPr>
          <w:sz w:val="22"/>
          <w:szCs w:val="22"/>
        </w:rPr>
      </w:pPr>
      <w:r w:rsidRPr="001F224B">
        <w:rPr>
          <w:sz w:val="22"/>
          <w:szCs w:val="22"/>
        </w:rPr>
        <w:t>Krediler elde etme maliyeti ile muhasebeleştirilmekte, etkin faiz yöntemi ile iskonto edilmiş maliyet tutarı üzerinden değerlenmektedir. Bunların teminatı olarak alınan varlıklarla ilgili olarak ödenen harç, işlem gideri ve bunun gibi diğer masraflar işlem maliyetinin bir bölümü olarak kabul edilmekte ve müşteriye yansıtılmaktadır.</w:t>
      </w:r>
    </w:p>
    <w:p w14:paraId="78EF89C3" w14:textId="77777777" w:rsidR="003A3FAC" w:rsidRPr="001F224B" w:rsidRDefault="003A3FAC" w:rsidP="003A3FAC">
      <w:pPr>
        <w:spacing w:before="120"/>
        <w:ind w:left="567"/>
        <w:jc w:val="both"/>
        <w:rPr>
          <w:sz w:val="22"/>
          <w:szCs w:val="22"/>
        </w:rPr>
      </w:pPr>
      <w:r w:rsidRPr="001F224B">
        <w:rPr>
          <w:sz w:val="22"/>
          <w:szCs w:val="22"/>
        </w:rPr>
        <w:t xml:space="preserve">Kullandırılan nakdi kredilerde yatırım ve işletme kredileri ile bankalar ve leasing şirketleri kanalı ile kullandırılan krediler (APEX yöntemi) bulunmaktadır. </w:t>
      </w:r>
    </w:p>
    <w:p w14:paraId="18850397" w14:textId="77777777" w:rsidR="003A3FAC" w:rsidRPr="001F224B" w:rsidRDefault="003A3FAC" w:rsidP="003A3FAC">
      <w:pPr>
        <w:spacing w:before="120"/>
        <w:ind w:left="567"/>
        <w:jc w:val="both"/>
        <w:rPr>
          <w:sz w:val="22"/>
          <w:szCs w:val="22"/>
        </w:rPr>
      </w:pPr>
      <w:r w:rsidRPr="001F224B">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14:paraId="43CEF5FF" w14:textId="77777777" w:rsidR="003A3FAC" w:rsidRPr="001F224B" w:rsidRDefault="003A3FAC" w:rsidP="003A3FAC">
      <w:pPr>
        <w:spacing w:before="60" w:after="60"/>
        <w:ind w:left="567"/>
        <w:jc w:val="both"/>
        <w:rPr>
          <w:sz w:val="22"/>
          <w:szCs w:val="22"/>
        </w:rPr>
        <w:sectPr w:rsidR="003A3FAC" w:rsidRPr="001F224B" w:rsidSect="00F5305D">
          <w:headerReference w:type="first" r:id="rId94"/>
          <w:pgSz w:w="11907" w:h="16840" w:code="9"/>
          <w:pgMar w:top="1524" w:right="964" w:bottom="567" w:left="1134" w:header="624" w:footer="397" w:gutter="0"/>
          <w:cols w:space="708"/>
          <w:titlePg/>
          <w:docGrid w:linePitch="326"/>
        </w:sectPr>
      </w:pPr>
      <w:r w:rsidRPr="001F224B">
        <w:rPr>
          <w:sz w:val="22"/>
          <w:szCs w:val="22"/>
        </w:rPr>
        <w:t>Ana Ortaklık Banka yönetimi tarafından düzenli aralıklarla kredi portföyü izlenmekte ve kullandırılan kredilerin tahsil edilemeyeceğine ilişkin şüphelerin görülmesi durumunda, sorunlu hale gelmiş olarak kabul edilen krediler, 22 Haziran 2016 tarih ve 29750 Sayılı Resmi Gazete’de yayımlanmış olan ve en son 18 Ekim 2018 tarih ve 30569 sayılı Resmi Gazete’de yayınlanan yönetmelik ile değişiklik yapılan “Kredilerin Sınıflandırılması ve Bunlar İçin Ayrılacak Karşılıklara İlişkin Usul ve Esaslar Hakkında Yönetmelik (Karşılıklar Yönetmeliği)”te yer alan esaslar ve TFRS 9 çerçevesinde sınıflandırılmaktadır.</w:t>
      </w:r>
    </w:p>
    <w:p w14:paraId="5D1B77CB" w14:textId="77777777" w:rsidR="003A3FAC" w:rsidRPr="001F224B" w:rsidRDefault="003A3FAC" w:rsidP="003A3FAC">
      <w:pPr>
        <w:pStyle w:val="ListParagraph"/>
        <w:tabs>
          <w:tab w:val="left" w:pos="0"/>
        </w:tabs>
        <w:spacing w:before="120"/>
        <w:ind w:left="0"/>
        <w:rPr>
          <w:b/>
          <w:bCs/>
          <w:sz w:val="22"/>
          <w:szCs w:val="22"/>
        </w:rPr>
      </w:pPr>
      <w:r w:rsidRPr="001F224B">
        <w:rPr>
          <w:b/>
          <w:bCs/>
          <w:sz w:val="22"/>
          <w:szCs w:val="22"/>
        </w:rPr>
        <w:t>ÜÇÜNCÜ BÖLÜM (Devamı)</w:t>
      </w:r>
    </w:p>
    <w:p w14:paraId="01CF7CEB" w14:textId="77777777" w:rsidR="003A3FAC" w:rsidRPr="001F224B" w:rsidRDefault="003A3FAC" w:rsidP="003A3FAC">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0FF7F281" w14:textId="13168365" w:rsidR="003A3FAC" w:rsidRPr="001F224B" w:rsidRDefault="003A3FAC" w:rsidP="003A3FAC">
      <w:pPr>
        <w:jc w:val="both"/>
        <w:rPr>
          <w:b/>
          <w:sz w:val="22"/>
          <w:szCs w:val="22"/>
        </w:rPr>
      </w:pPr>
      <w:r w:rsidRPr="001F224B">
        <w:rPr>
          <w:b/>
          <w:sz w:val="22"/>
          <w:szCs w:val="22"/>
        </w:rPr>
        <w:t>IX.     Finansal varlıklara ilişkin açıklamalar (Devamı)</w:t>
      </w:r>
    </w:p>
    <w:p w14:paraId="361EFC02" w14:textId="0F4CDF13" w:rsidR="003A3FAC" w:rsidRPr="001F224B" w:rsidRDefault="003A3FAC" w:rsidP="003A3FAC">
      <w:pPr>
        <w:pStyle w:val="ListParagraph"/>
        <w:tabs>
          <w:tab w:val="left" w:pos="0"/>
          <w:tab w:val="left" w:pos="851"/>
        </w:tabs>
        <w:suppressAutoHyphens/>
        <w:spacing w:before="120"/>
        <w:ind w:left="567"/>
        <w:jc w:val="both"/>
        <w:rPr>
          <w:b/>
          <w:i/>
          <w:sz w:val="22"/>
          <w:szCs w:val="22"/>
        </w:rPr>
      </w:pPr>
      <w:r w:rsidRPr="001F224B">
        <w:rPr>
          <w:b/>
          <w:i/>
          <w:sz w:val="22"/>
          <w:szCs w:val="22"/>
        </w:rPr>
        <w:t>İtfa Edilmiş Maliyeti ile Ölçülen Finansal Yatırımlar ve Krediler (Devamı)</w:t>
      </w:r>
      <w:r w:rsidR="00E96324" w:rsidRPr="001F224B">
        <w:rPr>
          <w:b/>
          <w:i/>
          <w:sz w:val="22"/>
          <w:szCs w:val="22"/>
        </w:rPr>
        <w:t>:</w:t>
      </w:r>
    </w:p>
    <w:p w14:paraId="3D83A741" w14:textId="77777777" w:rsidR="0056214E" w:rsidRPr="001F224B" w:rsidRDefault="0056214E" w:rsidP="0056214E">
      <w:pPr>
        <w:spacing w:before="120"/>
        <w:ind w:left="567"/>
        <w:jc w:val="both"/>
        <w:rPr>
          <w:i/>
          <w:sz w:val="22"/>
          <w:szCs w:val="22"/>
        </w:rPr>
      </w:pPr>
      <w:r w:rsidRPr="001F224B">
        <w:rPr>
          <w:bCs/>
          <w:i/>
          <w:sz w:val="22"/>
          <w:szCs w:val="22"/>
        </w:rPr>
        <w:t>Krediler</w:t>
      </w:r>
      <w:r w:rsidRPr="001F224B">
        <w:rPr>
          <w:i/>
          <w:sz w:val="22"/>
          <w:szCs w:val="22"/>
        </w:rPr>
        <w:t xml:space="preserve"> (Devamı)</w:t>
      </w:r>
    </w:p>
    <w:p w14:paraId="43E1E260" w14:textId="77777777" w:rsidR="003A3FAC" w:rsidRPr="001F224B" w:rsidRDefault="003A3FAC" w:rsidP="003A3FAC">
      <w:pPr>
        <w:spacing w:before="120"/>
        <w:ind w:left="567"/>
        <w:jc w:val="both"/>
        <w:rPr>
          <w:sz w:val="22"/>
          <w:szCs w:val="22"/>
        </w:rPr>
      </w:pPr>
      <w:r w:rsidRPr="001F224B">
        <w:rPr>
          <w:sz w:val="22"/>
          <w:szCs w:val="22"/>
        </w:rPr>
        <w:t>24 Ekim 2018 tarih ve 7147 sayılı Türkiye Kalkınma ve Yatırım Bankası A.Ş. Hakkında Kanun ile 5411 sayılı Bankacılık Kanunu’nun 53’üncü maddesinin birinci fıkrasının Ana Ortaklık Banka hakkında uygulanmamasına; kredilerin sınıflanması, izlenmesi, takibe alınması, karşılık oranları ve teminatlara ilişkin usul ve esasların Ana Ortaklık Banka Yönetim Kurulunca belirlenmesine karar verilmiştir. Bu kapsamda Ana Ortaklık Banka, kredilerin sınıflandırma ve karşılık ayırma işlemlerinin TFRS 9 Standardı ve Karşılıklar Yönetmeliği ile uyumlu olarak gerçekleştirilmesine karar vermiştir.</w:t>
      </w:r>
    </w:p>
    <w:p w14:paraId="4BB655E4" w14:textId="77777777" w:rsidR="003A3FAC" w:rsidRPr="001F224B" w:rsidRDefault="003A3FAC" w:rsidP="003A3FAC">
      <w:pPr>
        <w:tabs>
          <w:tab w:val="left" w:pos="0"/>
          <w:tab w:val="left" w:pos="851"/>
        </w:tabs>
        <w:suppressAutoHyphens/>
        <w:spacing w:before="120"/>
        <w:ind w:left="567"/>
        <w:jc w:val="both"/>
        <w:rPr>
          <w:b/>
          <w:i/>
          <w:sz w:val="22"/>
          <w:szCs w:val="22"/>
        </w:rPr>
      </w:pPr>
      <w:r w:rsidRPr="001F224B">
        <w:rPr>
          <w:b/>
          <w:bCs/>
          <w:i/>
          <w:sz w:val="22"/>
          <w:szCs w:val="22"/>
        </w:rPr>
        <w:t>Nakit ve Nakit Benzeri Değerler</w:t>
      </w:r>
      <w:r w:rsidRPr="001F224B">
        <w:rPr>
          <w:b/>
          <w:i/>
          <w:sz w:val="22"/>
          <w:szCs w:val="22"/>
        </w:rPr>
        <w:t xml:space="preserve">: </w:t>
      </w:r>
    </w:p>
    <w:p w14:paraId="2D09DD94" w14:textId="77777777" w:rsidR="003A3FAC" w:rsidRPr="001F224B" w:rsidRDefault="003A3FAC" w:rsidP="003A3FAC">
      <w:pPr>
        <w:tabs>
          <w:tab w:val="left" w:pos="0"/>
        </w:tabs>
        <w:spacing w:before="120"/>
        <w:ind w:left="567"/>
        <w:jc w:val="both"/>
        <w:rPr>
          <w:sz w:val="22"/>
          <w:szCs w:val="22"/>
        </w:rPr>
      </w:pPr>
      <w:r w:rsidRPr="001F224B">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p>
    <w:p w14:paraId="6E8630C2" w14:textId="61BB629A" w:rsidR="003A3FAC" w:rsidRPr="001F224B" w:rsidRDefault="003A3FAC" w:rsidP="003A3FAC">
      <w:pPr>
        <w:pStyle w:val="ListParagraph"/>
        <w:numPr>
          <w:ilvl w:val="0"/>
          <w:numId w:val="3"/>
        </w:numPr>
        <w:tabs>
          <w:tab w:val="left" w:pos="567"/>
        </w:tabs>
        <w:spacing w:before="120"/>
        <w:ind w:hanging="436"/>
        <w:jc w:val="both"/>
        <w:rPr>
          <w:b/>
          <w:sz w:val="22"/>
          <w:szCs w:val="22"/>
        </w:rPr>
      </w:pPr>
      <w:r w:rsidRPr="001F224B">
        <w:rPr>
          <w:b/>
          <w:sz w:val="22"/>
          <w:szCs w:val="22"/>
        </w:rPr>
        <w:t xml:space="preserve"> Finansal varlıklarda değer düşüklüğüne ilişkin açıklamalar</w:t>
      </w:r>
    </w:p>
    <w:p w14:paraId="2D0972F2" w14:textId="77777777" w:rsidR="003A3FAC" w:rsidRPr="001F224B" w:rsidRDefault="003A3FAC" w:rsidP="003A3FAC">
      <w:pPr>
        <w:spacing w:before="120"/>
        <w:ind w:left="567"/>
        <w:jc w:val="both"/>
        <w:rPr>
          <w:sz w:val="22"/>
          <w:szCs w:val="22"/>
        </w:rPr>
      </w:pPr>
      <w:r w:rsidRPr="001F224B">
        <w:rPr>
          <w:sz w:val="22"/>
          <w:szCs w:val="22"/>
        </w:rPr>
        <w:t>Ana Ortaklık Banka, 1 Ocak 2019 tarihinden itibaren değer düşüklüğü karşılıklarını “Kredilerin Sınıflandırılması ve Bunlar İçin Ayrılacak Karşılıklara İlişkin Usul ve Esaslar Hakkında Yönetmelik” uyarınca TFRS 9 hükümlerine uygun olarak ayırmaya başlamıştır. Bu çerçevede, BDDK’nın ilgili mevzuatı çerçevesinde uygulanan kredi karşılıkları ayırma yöntemi, beklenen kredi zararı modeli ile değiştirilmiştir.</w:t>
      </w:r>
    </w:p>
    <w:p w14:paraId="5E8B7A1D" w14:textId="77777777" w:rsidR="003A3FAC" w:rsidRPr="001F224B" w:rsidRDefault="003A3FAC" w:rsidP="003A3FAC">
      <w:pPr>
        <w:tabs>
          <w:tab w:val="left" w:pos="567"/>
          <w:tab w:val="left" w:pos="851"/>
        </w:tabs>
        <w:spacing w:before="120" w:after="120"/>
        <w:ind w:left="567" w:right="28"/>
        <w:jc w:val="both"/>
        <w:rPr>
          <w:sz w:val="22"/>
          <w:szCs w:val="22"/>
        </w:rPr>
      </w:pPr>
      <w:r w:rsidRPr="001F224B">
        <w:rPr>
          <w:sz w:val="22"/>
          <w:szCs w:val="22"/>
        </w:rPr>
        <w:t>Beklenen kredi zararı (BKZ)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w:t>
      </w:r>
    </w:p>
    <w:p w14:paraId="27D8A053" w14:textId="77777777" w:rsidR="003A3FAC" w:rsidRPr="001F224B" w:rsidRDefault="003A3FAC" w:rsidP="003A3FAC">
      <w:pPr>
        <w:spacing w:before="120"/>
        <w:ind w:left="567"/>
        <w:jc w:val="both"/>
        <w:rPr>
          <w:sz w:val="22"/>
          <w:szCs w:val="22"/>
        </w:rPr>
      </w:pPr>
      <w:r w:rsidRPr="001F224B">
        <w:rPr>
          <w:sz w:val="22"/>
          <w:szCs w:val="22"/>
        </w:rPr>
        <w:t>BKZ modelinin yol gösterici prensibi, finansal araçların kredi riskindeki artış ya da iyileşmenin genel görünümünü yansıtmaktır. Kayıp karşılığı veya karşılık olarak tanımlanan BKZ miktarı, kredinin ilk verilişinden itibaren kredi riskindeki artışın derecesine bağlıdır.</w:t>
      </w:r>
    </w:p>
    <w:p w14:paraId="3C8B584F" w14:textId="04CA1C4B" w:rsidR="003A3FAC" w:rsidRPr="001F224B" w:rsidRDefault="003A3FAC" w:rsidP="003A3FAC">
      <w:pPr>
        <w:spacing w:before="120"/>
        <w:ind w:left="567"/>
        <w:jc w:val="both"/>
        <w:rPr>
          <w:sz w:val="22"/>
          <w:szCs w:val="22"/>
        </w:rPr>
      </w:pPr>
      <w:r w:rsidRPr="001F224B">
        <w:rPr>
          <w:sz w:val="22"/>
          <w:szCs w:val="22"/>
        </w:rPr>
        <w:t>TFRS 9 Finansal Araçlar kapsamında, beklenen kredi kaybının ölçümüne ilişkin üç temel unsur dikkate alınmaktadır. Bunlar</w:t>
      </w:r>
      <w:r w:rsidR="002A5808" w:rsidRPr="001F224B">
        <w:rPr>
          <w:sz w:val="22"/>
          <w:szCs w:val="22"/>
        </w:rPr>
        <w:t>:</w:t>
      </w:r>
    </w:p>
    <w:p w14:paraId="48C7A577" w14:textId="77777777" w:rsidR="003A3FAC" w:rsidRPr="001F224B" w:rsidRDefault="003A3FAC" w:rsidP="003A3FAC">
      <w:pPr>
        <w:spacing w:before="120"/>
        <w:ind w:left="567"/>
        <w:jc w:val="both"/>
        <w:rPr>
          <w:sz w:val="22"/>
          <w:szCs w:val="22"/>
        </w:rPr>
      </w:pPr>
      <w:r w:rsidRPr="001F224B">
        <w:rPr>
          <w:sz w:val="22"/>
          <w:szCs w:val="22"/>
        </w:rPr>
        <w:t xml:space="preserve">(a) muhtemel sonuç aralığı değerlendirilerek belirlenen tarafsız ve olasılıklara göre ağırlıklandırılmış tutar, </w:t>
      </w:r>
    </w:p>
    <w:p w14:paraId="2E23AD1C" w14:textId="77777777" w:rsidR="003A3FAC" w:rsidRPr="001F224B" w:rsidRDefault="003A3FAC" w:rsidP="003A3FAC">
      <w:pPr>
        <w:spacing w:before="120"/>
        <w:ind w:left="567"/>
        <w:jc w:val="both"/>
        <w:rPr>
          <w:sz w:val="22"/>
          <w:szCs w:val="22"/>
        </w:rPr>
      </w:pPr>
      <w:r w:rsidRPr="001F224B">
        <w:rPr>
          <w:sz w:val="22"/>
          <w:szCs w:val="22"/>
        </w:rPr>
        <w:t>(b) paranın zaman değeri,</w:t>
      </w:r>
    </w:p>
    <w:p w14:paraId="29B4CDB6" w14:textId="77777777" w:rsidR="003A3FAC" w:rsidRPr="001F224B" w:rsidRDefault="003A3FAC" w:rsidP="003A3FAC">
      <w:pPr>
        <w:spacing w:before="120"/>
        <w:ind w:left="567"/>
        <w:jc w:val="both"/>
        <w:rPr>
          <w:sz w:val="22"/>
          <w:szCs w:val="22"/>
        </w:rPr>
      </w:pPr>
      <w:r w:rsidRPr="001F224B">
        <w:rPr>
          <w:sz w:val="22"/>
          <w:szCs w:val="22"/>
        </w:rPr>
        <w:t xml:space="preserve">(c) geçmiş olaylar, mevcut koşullar ve gelecekteki ekonomik koşullara ilişkin tahminler hakkında raporlama tarihi itibarıyla aşırı maliyet veya çabaya katlanılmadan elde edilebilen, makul ve desteklenebilir bilgidir. </w:t>
      </w:r>
    </w:p>
    <w:p w14:paraId="18447DFC" w14:textId="77777777" w:rsidR="003A3FAC" w:rsidRPr="001F224B" w:rsidRDefault="003A3FAC" w:rsidP="003A3FAC">
      <w:pPr>
        <w:spacing w:before="120"/>
        <w:ind w:left="567"/>
        <w:jc w:val="both"/>
        <w:rPr>
          <w:sz w:val="22"/>
          <w:szCs w:val="22"/>
        </w:rPr>
      </w:pPr>
      <w:r w:rsidRPr="001F224B">
        <w:rPr>
          <w:sz w:val="22"/>
          <w:szCs w:val="22"/>
        </w:rPr>
        <w:t xml:space="preserve">Bu üç unsur dikkate alınarak, Ana Ortaklık Banka’nın tarihsel verisinden yararlanılarak kredi riskinin modellenmesi ve her bir kredi için beklenen kayıp tutarı hesaplaması gerçekleştirilmektedir. Hesaplanan beklenen zararın gelecekteki değeri ifade etmesi nedeniyle bu tutarın iskontolama faktörü ile bugünkü değeri hesaplanmaktadır. </w:t>
      </w:r>
    </w:p>
    <w:p w14:paraId="16A1EF3C" w14:textId="77777777" w:rsidR="003A3FAC" w:rsidRPr="001F224B" w:rsidRDefault="003A3FAC" w:rsidP="003A3FAC">
      <w:pPr>
        <w:spacing w:before="120"/>
        <w:ind w:left="567"/>
        <w:jc w:val="both"/>
        <w:rPr>
          <w:sz w:val="22"/>
          <w:szCs w:val="22"/>
        </w:rPr>
      </w:pPr>
      <w:r w:rsidRPr="001F224B">
        <w:rPr>
          <w:sz w:val="22"/>
          <w:szCs w:val="22"/>
        </w:rPr>
        <w:t xml:space="preserve">Kredi riskinin ilk muhasebeleştirilmesinden itibaren kredi riskinde meydana gelen değişiklikleri yansıtmak amacıyla beklenen kayıp hesaplamalarının gerçekleştirildiği her bir raporlama tarihindeki kayıp karşılığı güncellenmektedir. </w:t>
      </w:r>
    </w:p>
    <w:p w14:paraId="5D639D99" w14:textId="77777777" w:rsidR="003A3FAC" w:rsidRPr="001F224B" w:rsidRDefault="003A3FAC" w:rsidP="003A3FAC">
      <w:pPr>
        <w:rPr>
          <w:sz w:val="22"/>
          <w:szCs w:val="22"/>
        </w:rPr>
      </w:pPr>
      <w:r w:rsidRPr="001F224B">
        <w:rPr>
          <w:sz w:val="22"/>
          <w:szCs w:val="22"/>
        </w:rPr>
        <w:br w:type="page"/>
      </w:r>
    </w:p>
    <w:p w14:paraId="7C77F402" w14:textId="472A7B74" w:rsidR="004E6D69" w:rsidRPr="001F224B" w:rsidRDefault="004E6D69" w:rsidP="003A3FAC">
      <w:pPr>
        <w:spacing w:before="60" w:after="60"/>
        <w:ind w:left="567"/>
        <w:jc w:val="both"/>
        <w:rPr>
          <w:sz w:val="22"/>
          <w:szCs w:val="22"/>
        </w:rPr>
        <w:sectPr w:rsidR="004E6D69" w:rsidRPr="001F224B" w:rsidSect="00F5305D">
          <w:headerReference w:type="first" r:id="rId95"/>
          <w:pgSz w:w="11907" w:h="16840" w:code="9"/>
          <w:pgMar w:top="1524" w:right="964" w:bottom="567" w:left="1134" w:header="624" w:footer="397" w:gutter="0"/>
          <w:cols w:space="708"/>
          <w:titlePg/>
          <w:docGrid w:linePitch="326"/>
        </w:sectPr>
      </w:pPr>
    </w:p>
    <w:p w14:paraId="0D52B9DD" w14:textId="77777777" w:rsidR="007D12F0" w:rsidRPr="001F224B" w:rsidRDefault="007D12F0" w:rsidP="007D12F0">
      <w:pPr>
        <w:pStyle w:val="ListParagraph"/>
        <w:tabs>
          <w:tab w:val="left" w:pos="0"/>
        </w:tabs>
        <w:spacing w:before="120"/>
        <w:ind w:left="0"/>
        <w:rPr>
          <w:b/>
          <w:bCs/>
          <w:sz w:val="22"/>
          <w:szCs w:val="22"/>
        </w:rPr>
      </w:pPr>
      <w:bookmarkStart w:id="9" w:name="_Hlk132458935"/>
      <w:bookmarkEnd w:id="8"/>
      <w:r w:rsidRPr="001F224B">
        <w:rPr>
          <w:b/>
          <w:bCs/>
          <w:sz w:val="22"/>
          <w:szCs w:val="22"/>
        </w:rPr>
        <w:t>ÜÇÜNCÜ BÖLÜM (Devamı)</w:t>
      </w:r>
    </w:p>
    <w:p w14:paraId="39B0FF7E" w14:textId="77777777" w:rsidR="007D12F0" w:rsidRPr="001F224B" w:rsidRDefault="007D12F0" w:rsidP="007D12F0">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5646650E" w14:textId="39F59FE0" w:rsidR="000A4C95" w:rsidRPr="001F224B" w:rsidRDefault="00970A21" w:rsidP="000A4C95">
      <w:pPr>
        <w:spacing w:before="120"/>
        <w:jc w:val="both"/>
        <w:rPr>
          <w:sz w:val="22"/>
          <w:szCs w:val="22"/>
        </w:rPr>
      </w:pPr>
      <w:r w:rsidRPr="001F224B">
        <w:rPr>
          <w:b/>
          <w:bCs/>
          <w:sz w:val="22"/>
          <w:szCs w:val="22"/>
        </w:rPr>
        <w:t>X</w:t>
      </w:r>
      <w:r w:rsidR="00F034E4" w:rsidRPr="001F224B">
        <w:rPr>
          <w:b/>
          <w:bCs/>
          <w:sz w:val="22"/>
          <w:szCs w:val="22"/>
        </w:rPr>
        <w:t>.</w:t>
      </w:r>
      <w:r w:rsidR="000A4C95" w:rsidRPr="001F224B">
        <w:rPr>
          <w:b/>
          <w:bCs/>
          <w:sz w:val="22"/>
          <w:szCs w:val="22"/>
        </w:rPr>
        <w:t xml:space="preserve"> </w:t>
      </w:r>
      <w:r w:rsidRPr="001F224B">
        <w:rPr>
          <w:b/>
          <w:bCs/>
          <w:sz w:val="22"/>
          <w:szCs w:val="22"/>
        </w:rPr>
        <w:t xml:space="preserve">   </w:t>
      </w:r>
      <w:r w:rsidR="005F2097" w:rsidRPr="001F224B">
        <w:rPr>
          <w:b/>
          <w:bCs/>
          <w:sz w:val="22"/>
          <w:szCs w:val="22"/>
        </w:rPr>
        <w:t xml:space="preserve">  </w:t>
      </w:r>
      <w:r w:rsidR="000A4C95" w:rsidRPr="001F224B">
        <w:rPr>
          <w:b/>
          <w:bCs/>
          <w:sz w:val="22"/>
          <w:szCs w:val="22"/>
        </w:rPr>
        <w:t>Finansal varlıklarda değer dü</w:t>
      </w:r>
      <w:r w:rsidR="00A854C7" w:rsidRPr="001F224B">
        <w:rPr>
          <w:b/>
          <w:bCs/>
          <w:sz w:val="22"/>
          <w:szCs w:val="22"/>
        </w:rPr>
        <w:t>şüklüğüne ilişkin açıklamalar (D</w:t>
      </w:r>
      <w:r w:rsidR="000A4C95" w:rsidRPr="001F224B">
        <w:rPr>
          <w:b/>
          <w:bCs/>
          <w:sz w:val="22"/>
          <w:szCs w:val="22"/>
        </w:rPr>
        <w:t>evamı)</w:t>
      </w:r>
    </w:p>
    <w:bookmarkEnd w:id="9"/>
    <w:p w14:paraId="3AB951BE" w14:textId="117BF883" w:rsidR="000A4C95" w:rsidRPr="001F224B" w:rsidRDefault="00112BFF" w:rsidP="00D60FFC">
      <w:pPr>
        <w:spacing w:before="120"/>
        <w:ind w:left="567"/>
        <w:jc w:val="both"/>
        <w:rPr>
          <w:sz w:val="22"/>
          <w:szCs w:val="22"/>
        </w:rPr>
      </w:pPr>
      <w:r w:rsidRPr="001F224B">
        <w:rPr>
          <w:sz w:val="22"/>
          <w:szCs w:val="22"/>
        </w:rPr>
        <w:t xml:space="preserve">Ana Ortaklık </w:t>
      </w:r>
      <w:r w:rsidR="00220BAA" w:rsidRPr="001F224B">
        <w:rPr>
          <w:sz w:val="22"/>
          <w:szCs w:val="22"/>
        </w:rPr>
        <w:t xml:space="preserve">Banka her raporlama tarihinde, finansal araçtaki kredi riskinde ilk defa finansal tablolara alınmasından bu yana önemli bir artış olup olmadığını değerlendirir. </w:t>
      </w:r>
      <w:r w:rsidR="00C3370F" w:rsidRPr="001F224B">
        <w:rPr>
          <w:sz w:val="22"/>
          <w:szCs w:val="22"/>
        </w:rPr>
        <w:t xml:space="preserve">Ana Ortaklık </w:t>
      </w:r>
      <w:r w:rsidR="00220BAA" w:rsidRPr="001F224B">
        <w:rPr>
          <w:sz w:val="22"/>
          <w:szCs w:val="22"/>
        </w:rPr>
        <w:t xml:space="preserve">Banka, bu değerlendirmeyi yaparken, finansal aracın beklenen ömrü boyunca temerrüt riskinde meydana gelen değişikliği kullanır. Bu değerlendirmeyi yapmak için </w:t>
      </w:r>
      <w:r w:rsidRPr="001F224B">
        <w:rPr>
          <w:sz w:val="22"/>
          <w:szCs w:val="22"/>
        </w:rPr>
        <w:t xml:space="preserve">Ana Ortaklık </w:t>
      </w:r>
      <w:r w:rsidR="00220BAA" w:rsidRPr="001F224B">
        <w:rPr>
          <w:sz w:val="22"/>
          <w:szCs w:val="22"/>
        </w:rPr>
        <w:t xml:space="preserve">Banka raporlama tarihi itibarıyla finansal araca ilişkin temerrüt riski ile ilk defa finansal tablolara alma tarihi itibarıyla finansal araca ilişkin temerrüt riskini karşılaştırır ve aşırı maliyet veya </w:t>
      </w:r>
      <w:r w:rsidR="006B166E" w:rsidRPr="001F224B">
        <w:rPr>
          <w:sz w:val="22"/>
          <w:szCs w:val="22"/>
        </w:rPr>
        <w:t>çabaya katlanılmadan elde edilebilen, ilk defa finansal tablolara alınmasından bu yana kredi riskindeki</w:t>
      </w:r>
      <w:r w:rsidR="00220BAA" w:rsidRPr="001F224B">
        <w:rPr>
          <w:sz w:val="22"/>
          <w:szCs w:val="22"/>
        </w:rPr>
        <w:t xml:space="preserve"> </w:t>
      </w:r>
      <w:r w:rsidR="006B166E" w:rsidRPr="001F224B">
        <w:rPr>
          <w:sz w:val="22"/>
          <w:szCs w:val="22"/>
        </w:rPr>
        <w:t>önemli artışların göstergesi olan makul ve desteklenebilir bilgileri dikkate alır.</w:t>
      </w:r>
    </w:p>
    <w:p w14:paraId="25346F4A" w14:textId="3CF68D8E" w:rsidR="00FB1B7F" w:rsidRPr="001F224B" w:rsidRDefault="00FB1B7F" w:rsidP="00FB1B7F">
      <w:pPr>
        <w:spacing w:before="120"/>
        <w:ind w:left="567"/>
        <w:jc w:val="both"/>
        <w:rPr>
          <w:sz w:val="22"/>
          <w:szCs w:val="22"/>
        </w:rPr>
      </w:pPr>
      <w:bookmarkStart w:id="10" w:name="_Hlk132458976"/>
      <w:bookmarkStart w:id="11" w:name="_Toc536023456"/>
      <w:r w:rsidRPr="001F224B">
        <w:rPr>
          <w:sz w:val="22"/>
          <w:szCs w:val="22"/>
        </w:rPr>
        <w:t>TFRS 9 beklenen kayıp hesaplamalarında 30 Haziran 2024 itibarıyla  yeni rating metodoloji ve modelleri ile yeni TFRS 9 metodoloji ve modelleri kullanılmaya başlanmıştır. Söz konusu modellerde müşteriler Kurumsal-KOBİ, Proje Finansmanı ve Finansal Kurumlar (</w:t>
      </w:r>
      <w:r w:rsidR="0056214E" w:rsidRPr="001F224B">
        <w:rPr>
          <w:sz w:val="22"/>
          <w:szCs w:val="22"/>
        </w:rPr>
        <w:t>B</w:t>
      </w:r>
      <w:r w:rsidRPr="001F224B">
        <w:rPr>
          <w:sz w:val="22"/>
          <w:szCs w:val="22"/>
        </w:rPr>
        <w:t>ankalar dahil) olacak şekilde segmente edilmiştir.</w:t>
      </w:r>
    </w:p>
    <w:p w14:paraId="679E35EF" w14:textId="77777777" w:rsidR="00FB1B7F" w:rsidRPr="001F224B" w:rsidRDefault="00FB1B7F" w:rsidP="00FB1B7F">
      <w:pPr>
        <w:spacing w:before="120"/>
        <w:ind w:left="567"/>
        <w:jc w:val="both"/>
        <w:rPr>
          <w:sz w:val="22"/>
          <w:szCs w:val="22"/>
        </w:rPr>
      </w:pPr>
      <w:r w:rsidRPr="001F224B">
        <w:rPr>
          <w:sz w:val="22"/>
          <w:szCs w:val="22"/>
        </w:rPr>
        <w:t>TFRS 9 değer düşüklüğünde kredi risklilik seviyesinin her aşamada arttığı 3 aşamalı bir yaklaşım kullanılmaktadır:</w:t>
      </w:r>
    </w:p>
    <w:p w14:paraId="3B87F9AD" w14:textId="77777777" w:rsidR="00FB1B7F" w:rsidRPr="001F224B" w:rsidRDefault="00FB1B7F" w:rsidP="00FB1B7F">
      <w:pPr>
        <w:spacing w:before="120"/>
        <w:ind w:left="567"/>
        <w:jc w:val="both"/>
        <w:rPr>
          <w:sz w:val="22"/>
          <w:szCs w:val="22"/>
        </w:rPr>
      </w:pPr>
      <w:r w:rsidRPr="001F224B">
        <w:rPr>
          <w:sz w:val="22"/>
          <w:szCs w:val="22"/>
        </w:rPr>
        <w:t>Aşama 1: Kredinin verilişinden itibaren kredi kalitesinde herhangi bir bozulma göstermeyen tüm hesapları ifade eder. Düşük kredi riskine sahip olarak tanımlanan tüm hesapların kredi riskinde önemli derece artış olup olmadığı periyodik olarak kontrol edilmeksizin Aşama 1 olarak sınıflandırılacaklardır. Aşama 1’de sınıflandırılan tüm hesaplar için 12 aylık karşılık hesaplaması gerçekleştirilmektedir.</w:t>
      </w:r>
    </w:p>
    <w:p w14:paraId="6A82323E" w14:textId="77777777" w:rsidR="00FB1B7F" w:rsidRPr="001F224B" w:rsidRDefault="00FB1B7F" w:rsidP="00FB1B7F">
      <w:pPr>
        <w:spacing w:before="120"/>
        <w:ind w:left="567"/>
        <w:jc w:val="both"/>
        <w:rPr>
          <w:sz w:val="22"/>
          <w:szCs w:val="22"/>
        </w:rPr>
      </w:pPr>
      <w:r w:rsidRPr="001F224B">
        <w:rPr>
          <w:sz w:val="22"/>
          <w:szCs w:val="22"/>
        </w:rPr>
        <w:t>Aşama 2: Kredinin verilişinden itibaren kredi kalitesinde önemli derecede bozulma gösteren tüm hesapları ifade eder. Aşama 2’de sınıflandırılan tüm hesaplar için ömür boyu karşılık hesaplaması gerçekleştirilmektedir.</w:t>
      </w:r>
    </w:p>
    <w:p w14:paraId="1FCE70E8" w14:textId="77777777" w:rsidR="00FB1B7F" w:rsidRPr="001F224B" w:rsidRDefault="00FB1B7F" w:rsidP="00FB1B7F">
      <w:pPr>
        <w:spacing w:before="120" w:after="120"/>
        <w:ind w:left="567"/>
        <w:jc w:val="both"/>
        <w:rPr>
          <w:sz w:val="22"/>
          <w:szCs w:val="22"/>
        </w:rPr>
      </w:pPr>
      <w:r w:rsidRPr="001F224B">
        <w:rPr>
          <w:sz w:val="22"/>
          <w:szCs w:val="22"/>
        </w:rPr>
        <w:t>Aşama 3: Tüm değer düşüklüğüne uğrayan varlıkları ifade eder. Aşama 3’te sınıflandırılan tüm hesaplar için ömür boyu karşılık hesaplaması gerçekleştirilmektedir.</w:t>
      </w:r>
    </w:p>
    <w:p w14:paraId="4DCE3BD6" w14:textId="4628857B" w:rsidR="00FB1B7F" w:rsidRPr="001F224B" w:rsidRDefault="00FB1B7F" w:rsidP="00FB1B7F">
      <w:pPr>
        <w:spacing w:before="120" w:after="120"/>
        <w:ind w:left="567"/>
        <w:jc w:val="both"/>
        <w:rPr>
          <w:sz w:val="22"/>
          <w:szCs w:val="22"/>
        </w:rPr>
      </w:pPr>
      <w:r w:rsidRPr="001F224B">
        <w:rPr>
          <w:sz w:val="22"/>
          <w:szCs w:val="22"/>
        </w:rPr>
        <w:t>Ana Ortaklık Banka tarafından gerçekleştirilen mevcut karşılık hesaplamalarında Sepet 3’te yer alan finansal varlıklar münferit değerlendirmeye tabi tutulabilmekte olup  gerekçeleri ile birlikte Yönetim Kurulu tarafından nihai değerlendirme gerçekleştirilmektedir. Bu bağlamda Banka beklenen kredi zararı hesaplamasında, münferit değerlemeler yapmak yoluyla etkinin yüksek olabileceği düşünülen müşteriler için ilave karşılıklar tesis edebilmektedir.</w:t>
      </w:r>
    </w:p>
    <w:p w14:paraId="7BDA6C7C" w14:textId="77777777" w:rsidR="00FB1B7F" w:rsidRPr="001F224B" w:rsidRDefault="00FB1B7F" w:rsidP="00FB1B7F">
      <w:pPr>
        <w:spacing w:before="120" w:after="120"/>
        <w:ind w:left="567"/>
        <w:jc w:val="both"/>
        <w:rPr>
          <w:b/>
          <w:bCs/>
          <w:sz w:val="22"/>
          <w:szCs w:val="22"/>
        </w:rPr>
      </w:pPr>
      <w:r w:rsidRPr="001F224B">
        <w:rPr>
          <w:sz w:val="22"/>
          <w:szCs w:val="22"/>
        </w:rPr>
        <w:t>TFRS 9 Aşama 1’de yer alan tüm krediler için 12 aylık ve kalan diğer tüm krediler için ise ömür boyu karşılık hesaplaması gerekmektedir.</w:t>
      </w:r>
    </w:p>
    <w:p w14:paraId="187DA9DF" w14:textId="1F0335B6" w:rsidR="00220BAA" w:rsidRPr="001F224B" w:rsidRDefault="00220BAA" w:rsidP="00220BAA">
      <w:pPr>
        <w:pStyle w:val="BoxText"/>
        <w:spacing w:before="120" w:after="120"/>
        <w:ind w:firstLine="567"/>
        <w:rPr>
          <w:b/>
          <w:sz w:val="22"/>
          <w:szCs w:val="22"/>
          <w:lang w:val="tr-TR"/>
        </w:rPr>
      </w:pPr>
      <w:r w:rsidRPr="001F224B">
        <w:rPr>
          <w:b/>
          <w:sz w:val="22"/>
          <w:szCs w:val="22"/>
          <w:lang w:val="tr-TR"/>
        </w:rPr>
        <w:t>Kredi Riskinde Önemli Derecede Artış</w:t>
      </w:r>
      <w:r w:rsidR="00886F8D" w:rsidRPr="001F224B">
        <w:rPr>
          <w:b/>
          <w:sz w:val="22"/>
          <w:szCs w:val="22"/>
          <w:lang w:val="tr-TR"/>
        </w:rPr>
        <w:t>:</w:t>
      </w:r>
    </w:p>
    <w:bookmarkEnd w:id="10"/>
    <w:p w14:paraId="4FF55CA1" w14:textId="33510BB7" w:rsidR="00FB1B7F" w:rsidRPr="001F224B" w:rsidRDefault="00FB1B7F" w:rsidP="00FB1B7F">
      <w:pPr>
        <w:pStyle w:val="BoxText"/>
        <w:spacing w:before="120" w:after="120"/>
        <w:ind w:left="567"/>
        <w:rPr>
          <w:bCs w:val="0"/>
          <w:noProof/>
          <w:sz w:val="22"/>
          <w:szCs w:val="22"/>
          <w:lang w:val="tr-TR" w:eastAsia="tr-TR"/>
        </w:rPr>
      </w:pPr>
      <w:r w:rsidRPr="001F224B">
        <w:rPr>
          <w:bCs w:val="0"/>
          <w:noProof/>
          <w:sz w:val="22"/>
          <w:szCs w:val="22"/>
          <w:lang w:val="tr-TR" w:eastAsia="tr-TR"/>
        </w:rPr>
        <w:t>Birinci grup altında sınıflandırılan müşteriler, aşağıdaki kriterleri sağlaması durumunda ikinci grup altında sınıflandırılır</w:t>
      </w:r>
      <w:r w:rsidR="006052C6" w:rsidRPr="001F224B">
        <w:rPr>
          <w:bCs w:val="0"/>
          <w:noProof/>
          <w:sz w:val="22"/>
          <w:szCs w:val="22"/>
          <w:lang w:val="tr-TR" w:eastAsia="tr-TR"/>
        </w:rPr>
        <w:t>:</w:t>
      </w:r>
    </w:p>
    <w:p w14:paraId="12EF7FBB" w14:textId="77777777" w:rsidR="00FB1B7F" w:rsidRPr="001F224B" w:rsidRDefault="00FB1B7F" w:rsidP="00FB1B7F">
      <w:pPr>
        <w:pStyle w:val="BoxText"/>
        <w:numPr>
          <w:ilvl w:val="0"/>
          <w:numId w:val="35"/>
        </w:numPr>
        <w:spacing w:before="120" w:after="120"/>
        <w:rPr>
          <w:bCs w:val="0"/>
          <w:noProof/>
          <w:sz w:val="22"/>
          <w:szCs w:val="22"/>
          <w:lang w:val="tr-TR" w:eastAsia="tr-TR"/>
        </w:rPr>
      </w:pPr>
      <w:r w:rsidRPr="001F224B">
        <w:rPr>
          <w:bCs w:val="0"/>
          <w:noProof/>
          <w:sz w:val="22"/>
          <w:szCs w:val="22"/>
          <w:lang w:val="tr-TR" w:eastAsia="tr-TR"/>
        </w:rPr>
        <w:t>Müşterinin maksimum gecikme gün sayısının 30’un üzerinde olması</w:t>
      </w:r>
    </w:p>
    <w:p w14:paraId="0903EA5A" w14:textId="77777777" w:rsidR="00FB1B7F" w:rsidRPr="001F224B" w:rsidRDefault="00FB1B7F" w:rsidP="00FB1B7F">
      <w:pPr>
        <w:pStyle w:val="BoxText"/>
        <w:numPr>
          <w:ilvl w:val="0"/>
          <w:numId w:val="35"/>
        </w:numPr>
        <w:spacing w:before="120" w:after="120"/>
        <w:rPr>
          <w:bCs w:val="0"/>
          <w:noProof/>
          <w:sz w:val="22"/>
          <w:szCs w:val="22"/>
          <w:lang w:val="tr-TR" w:eastAsia="tr-TR"/>
        </w:rPr>
      </w:pPr>
      <w:r w:rsidRPr="001F224B">
        <w:rPr>
          <w:bCs w:val="0"/>
          <w:noProof/>
          <w:sz w:val="22"/>
          <w:szCs w:val="22"/>
          <w:lang w:val="tr-TR" w:eastAsia="tr-TR"/>
        </w:rPr>
        <w:t>Finansal güçlük çeken borçluya imtiyaz tanınarak yeniden yapılandırma yapılması</w:t>
      </w:r>
    </w:p>
    <w:p w14:paraId="764221C2" w14:textId="77777777" w:rsidR="00FB1B7F" w:rsidRPr="001F224B" w:rsidRDefault="00FB1B7F" w:rsidP="00FB1B7F">
      <w:pPr>
        <w:pStyle w:val="BoxText"/>
        <w:numPr>
          <w:ilvl w:val="0"/>
          <w:numId w:val="35"/>
        </w:numPr>
        <w:spacing w:before="120" w:after="120"/>
        <w:rPr>
          <w:bCs w:val="0"/>
          <w:noProof/>
          <w:sz w:val="22"/>
          <w:szCs w:val="22"/>
          <w:lang w:val="tr-TR" w:eastAsia="tr-TR"/>
        </w:rPr>
      </w:pPr>
      <w:r w:rsidRPr="001F224B">
        <w:rPr>
          <w:bCs w:val="0"/>
          <w:noProof/>
          <w:sz w:val="22"/>
          <w:szCs w:val="22"/>
          <w:lang w:val="tr-TR" w:eastAsia="tr-TR"/>
        </w:rPr>
        <w:t>Müşterinin yakın izleme kriterlerine sahip olması</w:t>
      </w:r>
    </w:p>
    <w:p w14:paraId="62160FFA" w14:textId="77777777" w:rsidR="00FB1B7F" w:rsidRPr="001F224B" w:rsidRDefault="00FB1B7F" w:rsidP="00FB1B7F">
      <w:pPr>
        <w:pStyle w:val="ListParagraph"/>
        <w:numPr>
          <w:ilvl w:val="0"/>
          <w:numId w:val="35"/>
        </w:numPr>
        <w:jc w:val="both"/>
        <w:rPr>
          <w:noProof/>
          <w:sz w:val="22"/>
          <w:szCs w:val="22"/>
        </w:rPr>
      </w:pPr>
      <w:r w:rsidRPr="001F224B">
        <w:rPr>
          <w:noProof/>
          <w:sz w:val="22"/>
          <w:szCs w:val="22"/>
        </w:rPr>
        <w:t xml:space="preserve">Kredi riskinde önemli artış kriteri: Kurumsal-KOBİ Derecelendirme Modeli ile derecelendirilmiş müşteriler için en son mali bilanço baz alınarak elde edilmiş derece ile bir yıl önceki derecesi arasındaki derece kötüleşmesi 4 dereceden fazla olursa ve güncel derecesi C grubu ratinglerine denk gelen bir ratingte ise (9, 10, 11 ratingleri) veya güncel derecesi en kötü derece sınıfı olan 11 olarak hesaplanmış ise kredi riskinde önemli artış kriteri gerçekleşmiş olur. Eğer müşterinin bir yıl önceki rating notu bulunmuyor ise bunun yerine 1 yıl içerisindeki ilk rating notu dikkate alınır. </w:t>
      </w:r>
    </w:p>
    <w:p w14:paraId="227EA502" w14:textId="77777777" w:rsidR="00342D4B" w:rsidRPr="001F224B" w:rsidRDefault="00342D4B" w:rsidP="00342D4B">
      <w:pPr>
        <w:spacing w:before="120"/>
        <w:ind w:left="567"/>
        <w:jc w:val="both"/>
        <w:rPr>
          <w:noProof/>
          <w:sz w:val="22"/>
          <w:szCs w:val="22"/>
        </w:rPr>
      </w:pPr>
    </w:p>
    <w:p w14:paraId="620488FF" w14:textId="77777777" w:rsidR="00777BB2" w:rsidRPr="001F224B" w:rsidRDefault="00777BB2" w:rsidP="00342D4B">
      <w:pPr>
        <w:pStyle w:val="ListParagraph"/>
        <w:tabs>
          <w:tab w:val="left" w:pos="0"/>
        </w:tabs>
        <w:spacing w:before="120"/>
        <w:ind w:left="0"/>
        <w:rPr>
          <w:b/>
          <w:bCs/>
          <w:sz w:val="22"/>
          <w:szCs w:val="22"/>
        </w:rPr>
      </w:pPr>
    </w:p>
    <w:p w14:paraId="2E07BC02" w14:textId="1D47AEAB" w:rsidR="00342D4B" w:rsidRPr="001F224B" w:rsidRDefault="00342D4B" w:rsidP="00342D4B">
      <w:pPr>
        <w:pStyle w:val="ListParagraph"/>
        <w:tabs>
          <w:tab w:val="left" w:pos="0"/>
        </w:tabs>
        <w:spacing w:before="120"/>
        <w:ind w:left="0"/>
        <w:rPr>
          <w:b/>
          <w:bCs/>
          <w:sz w:val="22"/>
          <w:szCs w:val="22"/>
        </w:rPr>
      </w:pPr>
      <w:r w:rsidRPr="001F224B">
        <w:rPr>
          <w:b/>
          <w:bCs/>
          <w:sz w:val="22"/>
          <w:szCs w:val="22"/>
        </w:rPr>
        <w:t>ÜÇÜNCÜ BÖLÜM (Devamı)</w:t>
      </w:r>
    </w:p>
    <w:p w14:paraId="79C4642D" w14:textId="77777777" w:rsidR="00342D4B" w:rsidRPr="001F224B" w:rsidRDefault="00342D4B" w:rsidP="00342D4B">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7E440F2D" w14:textId="593038B8" w:rsidR="00342D4B" w:rsidRPr="001F224B" w:rsidRDefault="00342D4B" w:rsidP="00342D4B">
      <w:pPr>
        <w:spacing w:before="120"/>
        <w:jc w:val="both"/>
        <w:rPr>
          <w:sz w:val="22"/>
          <w:szCs w:val="22"/>
        </w:rPr>
      </w:pPr>
      <w:r w:rsidRPr="001F224B">
        <w:rPr>
          <w:b/>
          <w:bCs/>
          <w:sz w:val="22"/>
          <w:szCs w:val="22"/>
        </w:rPr>
        <w:t>X.      Finansal varlıklarda değer düşüklüğüne ilişkin açıklamalar (Devamı)</w:t>
      </w:r>
    </w:p>
    <w:p w14:paraId="140722DE" w14:textId="29FCCE20" w:rsidR="00342D4B" w:rsidRPr="001F224B" w:rsidRDefault="00342D4B" w:rsidP="00342D4B">
      <w:pPr>
        <w:pStyle w:val="BoxText"/>
        <w:spacing w:before="120" w:after="120"/>
        <w:ind w:firstLine="567"/>
        <w:rPr>
          <w:b/>
          <w:sz w:val="22"/>
          <w:szCs w:val="22"/>
          <w:lang w:val="tr-TR"/>
        </w:rPr>
      </w:pPr>
      <w:r w:rsidRPr="001F224B">
        <w:rPr>
          <w:b/>
          <w:sz w:val="22"/>
          <w:szCs w:val="22"/>
          <w:lang w:val="tr-TR"/>
        </w:rPr>
        <w:t>Kredi Riskinde Önemli Derecede Artış</w:t>
      </w:r>
      <w:r w:rsidR="00886F8D" w:rsidRPr="001F224B">
        <w:rPr>
          <w:b/>
          <w:sz w:val="22"/>
          <w:szCs w:val="22"/>
          <w:lang w:val="tr-TR"/>
        </w:rPr>
        <w:t>:</w:t>
      </w:r>
    </w:p>
    <w:p w14:paraId="4A6B21B3" w14:textId="77777777" w:rsidR="00FB1B7F" w:rsidRPr="001F224B" w:rsidRDefault="00FB1B7F" w:rsidP="00FB1B7F">
      <w:pPr>
        <w:spacing w:before="120"/>
        <w:ind w:left="567"/>
        <w:jc w:val="both"/>
        <w:rPr>
          <w:noProof/>
          <w:sz w:val="22"/>
          <w:szCs w:val="22"/>
        </w:rPr>
      </w:pPr>
      <w:r w:rsidRPr="001F224B">
        <w:rPr>
          <w:noProof/>
          <w:sz w:val="22"/>
          <w:szCs w:val="22"/>
        </w:rPr>
        <w:t xml:space="preserve">Proje Finansmanı portföyünde bulunan ve Proje Finansmanı Derecelendirme Modeli ile derecelendirilmiş müşteriler için güncel derece notu en kötü sınıfta (8 – Zayıf) ise kredi riskinde önemli artış kriteri gerçekleşmiş olur.  Eğer müşterinin bir yıl önceki rating notu bulunmuyor ise bunun yerine 1 yıl içerisindeki ilk rating notu dikkate alınır. </w:t>
      </w:r>
    </w:p>
    <w:p w14:paraId="0AF89EA1" w14:textId="77777777" w:rsidR="00FB1B7F" w:rsidRPr="001F224B" w:rsidRDefault="00FB1B7F" w:rsidP="00FB1B7F">
      <w:pPr>
        <w:spacing w:before="120"/>
        <w:ind w:left="567"/>
        <w:jc w:val="both"/>
        <w:rPr>
          <w:noProof/>
          <w:sz w:val="22"/>
          <w:szCs w:val="22"/>
        </w:rPr>
      </w:pPr>
      <w:r w:rsidRPr="001F224B">
        <w:rPr>
          <w:noProof/>
          <w:sz w:val="22"/>
          <w:szCs w:val="22"/>
        </w:rPr>
        <w:t>Kredi riskinde önemli derecede artış kriterinin değerlendirilebilmesi amacıyla müşteriler periyodik olarak (asgari yılda bir) değerlendirilmekte ve derecelendirme notları güncellenmektedir. Yıl içerisinde kredi riskinde önemli derecede bozulma sinyali alınan borçlular için değerlendirme periyodu kısaltılmaktadır.</w:t>
      </w:r>
    </w:p>
    <w:p w14:paraId="7EEA4EB7" w14:textId="77777777" w:rsidR="00FB1B7F" w:rsidRPr="001F224B" w:rsidRDefault="00FB1B7F" w:rsidP="00FB1B7F">
      <w:pPr>
        <w:spacing w:before="120" w:after="120"/>
        <w:ind w:left="567"/>
        <w:jc w:val="both"/>
        <w:rPr>
          <w:b/>
          <w:noProof/>
          <w:sz w:val="22"/>
          <w:szCs w:val="22"/>
        </w:rPr>
      </w:pPr>
      <w:r w:rsidRPr="001F224B">
        <w:rPr>
          <w:noProof/>
          <w:sz w:val="22"/>
          <w:szCs w:val="22"/>
        </w:rPr>
        <w:t>İkinci grup altında sınıflandırma kriterleri tüm Banka müşterileri için çalışmakta, buna ek olarak olumsuz piyasa istihbaratı olması durumunda ikinci grup altında sınıflandırma yapılabilmektedir. TFRS 9 kapsamında belirlenen sınıflandırma kuralları tüm portföyler için çalışmaktadır.</w:t>
      </w:r>
    </w:p>
    <w:p w14:paraId="74F0D15B" w14:textId="627C6EF3" w:rsidR="00342D4B" w:rsidRPr="001F224B" w:rsidRDefault="00342D4B" w:rsidP="00342D4B">
      <w:pPr>
        <w:pStyle w:val="ListParagraph"/>
        <w:spacing w:after="120"/>
        <w:ind w:left="567"/>
        <w:jc w:val="both"/>
        <w:rPr>
          <w:b/>
          <w:noProof/>
          <w:sz w:val="22"/>
          <w:szCs w:val="22"/>
        </w:rPr>
      </w:pPr>
      <w:r w:rsidRPr="001F224B">
        <w:rPr>
          <w:b/>
          <w:noProof/>
          <w:sz w:val="22"/>
          <w:szCs w:val="22"/>
        </w:rPr>
        <w:t>Temerrüt Tanımı</w:t>
      </w:r>
      <w:r w:rsidR="00886F8D" w:rsidRPr="001F224B">
        <w:rPr>
          <w:b/>
          <w:noProof/>
          <w:sz w:val="22"/>
          <w:szCs w:val="22"/>
        </w:rPr>
        <w:t>:</w:t>
      </w:r>
    </w:p>
    <w:p w14:paraId="559C8732" w14:textId="77777777" w:rsidR="00342D4B" w:rsidRPr="001F224B" w:rsidRDefault="00342D4B" w:rsidP="00342D4B">
      <w:pPr>
        <w:spacing w:after="120"/>
        <w:ind w:left="567"/>
        <w:jc w:val="both"/>
        <w:rPr>
          <w:noProof/>
          <w:sz w:val="22"/>
          <w:szCs w:val="22"/>
        </w:rPr>
      </w:pPr>
      <w:r w:rsidRPr="001F224B">
        <w:rPr>
          <w:noProof/>
          <w:sz w:val="22"/>
          <w:szCs w:val="22"/>
        </w:rPr>
        <w:t xml:space="preserve">TFRS 9 Standardının “TFRS 9 uyarınca İşletme temerrüt riskinin belirlenmesi amacıyla temerrüdü tanımlarken, ilgili finansal araca ilişkin işletme içi kredi risk yönetimi amaçları açısından kullanılan tanım ile tutarlı bir temerrüt tanımı kullanır ve uygun olması durumunda nitel göstergeleri (örneğin finansal taahhütleri) dikkate alır. Ancak işletme, daha uzun süreli bir gecikme olduğunda temerrüdün ortaya çıkacağını ortaya koyan makul ve desteklenebilir bilgilere sahip olmadığı sürece temerrüdün, finansal aracın vadesi 90 gün geçtikten sonra meydana gelmeyeceğine yönelik aksi ispat edilebilir bir ön kabul vardır. Bu amaçlar için kullanılan temerrüt tanımı, diğer bir temerrüt tanımının belirli bir finansal araç için daha uygun olduğunu kanıtlayan bilgiler elde edilebilir olmadıkça tüm finansal araçlara tutarlı bir şekilde uygulanır.” maddesi uyarınca ilgili temerrüt tanımı modelleme kapsamında kullanılmıştır. </w:t>
      </w:r>
    </w:p>
    <w:p w14:paraId="70FB5BCF" w14:textId="77777777" w:rsidR="00342D4B" w:rsidRPr="001F224B" w:rsidRDefault="00342D4B" w:rsidP="00342D4B">
      <w:pPr>
        <w:spacing w:after="120"/>
        <w:ind w:left="567"/>
        <w:jc w:val="both"/>
        <w:rPr>
          <w:noProof/>
          <w:sz w:val="22"/>
          <w:szCs w:val="22"/>
        </w:rPr>
      </w:pPr>
      <w:r w:rsidRPr="001F224B">
        <w:rPr>
          <w:noProof/>
          <w:sz w:val="22"/>
          <w:szCs w:val="22"/>
        </w:rPr>
        <w:t>Banka’da kullanılan temerrüt tanımı aşağıdaki gibidir:</w:t>
      </w:r>
    </w:p>
    <w:p w14:paraId="75FDFB73" w14:textId="77777777" w:rsidR="00342D4B" w:rsidRPr="001F224B" w:rsidRDefault="00342D4B" w:rsidP="00342D4B">
      <w:pPr>
        <w:pStyle w:val="ListParagraph"/>
        <w:numPr>
          <w:ilvl w:val="0"/>
          <w:numId w:val="12"/>
        </w:numPr>
        <w:spacing w:after="120"/>
        <w:jc w:val="both"/>
        <w:rPr>
          <w:noProof/>
          <w:sz w:val="22"/>
          <w:szCs w:val="22"/>
        </w:rPr>
      </w:pPr>
      <w:r w:rsidRPr="001F224B">
        <w:rPr>
          <w:noProof/>
          <w:sz w:val="22"/>
          <w:szCs w:val="22"/>
        </w:rPr>
        <w:t xml:space="preserve">90 gün üzeri gecikme gün sayısına sahip olan müşteriler (Müşteri gecikme gün sayısı ilgili raporlama tarihinde müşterinin mevcut kredilerinin en yüksek gecikme gün sayısını ifade etmektedir.) </w:t>
      </w:r>
    </w:p>
    <w:p w14:paraId="2BA4504F" w14:textId="77777777" w:rsidR="00342D4B" w:rsidRPr="001F224B" w:rsidRDefault="00342D4B" w:rsidP="00342D4B">
      <w:pPr>
        <w:pStyle w:val="ListParagraph"/>
        <w:numPr>
          <w:ilvl w:val="0"/>
          <w:numId w:val="12"/>
        </w:numPr>
        <w:spacing w:after="120"/>
        <w:jc w:val="both"/>
        <w:rPr>
          <w:noProof/>
          <w:sz w:val="22"/>
          <w:szCs w:val="22"/>
        </w:rPr>
      </w:pPr>
      <w:r w:rsidRPr="001F224B">
        <w:rPr>
          <w:noProof/>
          <w:sz w:val="22"/>
          <w:szCs w:val="22"/>
        </w:rPr>
        <w:t>Banka tarafından teminat amaçlı alınan teminat mektubunun tazmin edilmesi</w:t>
      </w:r>
    </w:p>
    <w:p w14:paraId="59A99EF8" w14:textId="77777777" w:rsidR="00342D4B" w:rsidRPr="001F224B" w:rsidRDefault="00342D4B" w:rsidP="00342D4B">
      <w:pPr>
        <w:pStyle w:val="ListParagraph"/>
        <w:numPr>
          <w:ilvl w:val="0"/>
          <w:numId w:val="12"/>
        </w:numPr>
        <w:spacing w:after="120"/>
        <w:jc w:val="both"/>
        <w:rPr>
          <w:noProof/>
          <w:sz w:val="22"/>
          <w:szCs w:val="22"/>
        </w:rPr>
      </w:pPr>
      <w:r w:rsidRPr="001F224B">
        <w:rPr>
          <w:noProof/>
          <w:sz w:val="22"/>
          <w:szCs w:val="22"/>
        </w:rPr>
        <w:t>Teminatlara başvurulmaksızın borçlunun Bankaya olan borçlarını tamamen ödeyemeyeceğine Banka tarafından kanaat getirilmesi.</w:t>
      </w:r>
    </w:p>
    <w:p w14:paraId="5B4479BE" w14:textId="5AB94B80" w:rsidR="00342D4B" w:rsidRPr="001F224B" w:rsidRDefault="00342D4B" w:rsidP="00342D4B">
      <w:pPr>
        <w:spacing w:before="120"/>
        <w:ind w:left="567"/>
        <w:jc w:val="both"/>
        <w:rPr>
          <w:b/>
          <w:sz w:val="22"/>
          <w:szCs w:val="22"/>
        </w:rPr>
      </w:pPr>
      <w:r w:rsidRPr="001F224B">
        <w:rPr>
          <w:b/>
          <w:sz w:val="22"/>
          <w:szCs w:val="22"/>
        </w:rPr>
        <w:t>12 Aylık Beklenen Kayıp</w:t>
      </w:r>
      <w:r w:rsidR="00886F8D" w:rsidRPr="001F224B">
        <w:rPr>
          <w:b/>
          <w:sz w:val="22"/>
          <w:szCs w:val="22"/>
        </w:rPr>
        <w:t>:</w:t>
      </w:r>
      <w:r w:rsidRPr="001F224B">
        <w:rPr>
          <w:b/>
          <w:sz w:val="22"/>
          <w:szCs w:val="22"/>
        </w:rPr>
        <w:t xml:space="preserve"> </w:t>
      </w:r>
    </w:p>
    <w:p w14:paraId="6CFF4C35" w14:textId="77777777" w:rsidR="00342D4B" w:rsidRPr="001F224B" w:rsidRDefault="00342D4B" w:rsidP="00342D4B">
      <w:pPr>
        <w:spacing w:before="120"/>
        <w:ind w:left="567"/>
        <w:jc w:val="both"/>
        <w:rPr>
          <w:sz w:val="22"/>
          <w:szCs w:val="22"/>
        </w:rPr>
      </w:pPr>
      <w:r w:rsidRPr="001F224B">
        <w:rPr>
          <w:sz w:val="22"/>
          <w:szCs w:val="22"/>
        </w:rPr>
        <w:t>12 aylık kredi kaybı, raporlama tarihinden sonraki 12 ay içerisinde ilgili kredinin olası temerrüt durumundan kaynaklanabilecek beklenen kredi zararının bir kısmına karşılık gelmektedir.</w:t>
      </w:r>
      <w:r w:rsidRPr="001F224B">
        <w:rPr>
          <w:b/>
          <w:sz w:val="22"/>
          <w:szCs w:val="22"/>
        </w:rPr>
        <w:t xml:space="preserve"> </w:t>
      </w:r>
    </w:p>
    <w:p w14:paraId="191B7375" w14:textId="77777777" w:rsidR="00342D4B" w:rsidRPr="001F224B" w:rsidRDefault="00342D4B" w:rsidP="00342D4B">
      <w:pPr>
        <w:rPr>
          <w:b/>
          <w:sz w:val="22"/>
          <w:szCs w:val="22"/>
        </w:rPr>
      </w:pPr>
      <w:r w:rsidRPr="001F224B">
        <w:rPr>
          <w:b/>
          <w:sz w:val="22"/>
          <w:szCs w:val="22"/>
        </w:rPr>
        <w:br w:type="page"/>
      </w:r>
    </w:p>
    <w:bookmarkEnd w:id="11"/>
    <w:p w14:paraId="6B220535" w14:textId="77777777" w:rsidR="009F68BC" w:rsidRPr="001F224B" w:rsidRDefault="009F68BC" w:rsidP="009F68BC">
      <w:pPr>
        <w:pStyle w:val="ListParagraph"/>
        <w:tabs>
          <w:tab w:val="left" w:pos="0"/>
        </w:tabs>
        <w:spacing w:before="120"/>
        <w:ind w:left="0"/>
        <w:rPr>
          <w:b/>
          <w:bCs/>
          <w:sz w:val="22"/>
          <w:szCs w:val="22"/>
        </w:rPr>
      </w:pPr>
      <w:r w:rsidRPr="001F224B">
        <w:rPr>
          <w:b/>
          <w:bCs/>
          <w:sz w:val="22"/>
          <w:szCs w:val="22"/>
        </w:rPr>
        <w:t>ÜÇÜNCÜ BÖLÜM (Devamı)</w:t>
      </w:r>
    </w:p>
    <w:p w14:paraId="132EC349" w14:textId="77777777" w:rsidR="009F68BC" w:rsidRPr="001F224B" w:rsidRDefault="009F68BC" w:rsidP="009F68BC">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040672E8" w14:textId="11924492" w:rsidR="009F68BC" w:rsidRPr="001F224B" w:rsidRDefault="00970A21" w:rsidP="009F68BC">
      <w:pPr>
        <w:spacing w:before="120"/>
        <w:jc w:val="both"/>
        <w:rPr>
          <w:sz w:val="22"/>
          <w:szCs w:val="22"/>
        </w:rPr>
      </w:pPr>
      <w:r w:rsidRPr="001F224B">
        <w:rPr>
          <w:b/>
          <w:bCs/>
          <w:sz w:val="22"/>
          <w:szCs w:val="22"/>
        </w:rPr>
        <w:t>X</w:t>
      </w:r>
      <w:r w:rsidR="009F68BC" w:rsidRPr="001F224B">
        <w:rPr>
          <w:b/>
          <w:bCs/>
          <w:sz w:val="22"/>
          <w:szCs w:val="22"/>
        </w:rPr>
        <w:t xml:space="preserve">. </w:t>
      </w:r>
      <w:r w:rsidRPr="001F224B">
        <w:rPr>
          <w:b/>
          <w:bCs/>
          <w:sz w:val="22"/>
          <w:szCs w:val="22"/>
        </w:rPr>
        <w:t xml:space="preserve">    </w:t>
      </w:r>
      <w:r w:rsidR="005F2097" w:rsidRPr="001F224B">
        <w:rPr>
          <w:b/>
          <w:bCs/>
          <w:sz w:val="22"/>
          <w:szCs w:val="22"/>
        </w:rPr>
        <w:t xml:space="preserve"> </w:t>
      </w:r>
      <w:r w:rsidR="009F68BC" w:rsidRPr="001F224B">
        <w:rPr>
          <w:b/>
          <w:bCs/>
          <w:sz w:val="22"/>
          <w:szCs w:val="22"/>
        </w:rPr>
        <w:t>Finansal varlıklarda değer düşüklüğüne ilişkin açıklamalar (Devamı)</w:t>
      </w:r>
    </w:p>
    <w:p w14:paraId="0672E848" w14:textId="335D4B10" w:rsidR="006B166E" w:rsidRPr="001F224B" w:rsidRDefault="005A38B5" w:rsidP="006B166E">
      <w:pPr>
        <w:spacing w:before="120"/>
        <w:ind w:left="567"/>
        <w:jc w:val="both"/>
        <w:rPr>
          <w:b/>
          <w:sz w:val="22"/>
          <w:szCs w:val="22"/>
        </w:rPr>
      </w:pPr>
      <w:r w:rsidRPr="001F224B">
        <w:rPr>
          <w:b/>
          <w:sz w:val="22"/>
          <w:szCs w:val="22"/>
        </w:rPr>
        <w:t>Ömür B</w:t>
      </w:r>
      <w:r w:rsidR="006B166E" w:rsidRPr="001F224B">
        <w:rPr>
          <w:b/>
          <w:sz w:val="22"/>
          <w:szCs w:val="22"/>
        </w:rPr>
        <w:t xml:space="preserve">oyu Beklenen </w:t>
      </w:r>
      <w:r w:rsidR="00064CED" w:rsidRPr="001F224B">
        <w:rPr>
          <w:b/>
          <w:sz w:val="22"/>
          <w:szCs w:val="22"/>
        </w:rPr>
        <w:t>Kayıp</w:t>
      </w:r>
      <w:r w:rsidR="00886F8D" w:rsidRPr="001F224B">
        <w:rPr>
          <w:b/>
          <w:sz w:val="22"/>
          <w:szCs w:val="22"/>
        </w:rPr>
        <w:t>:</w:t>
      </w:r>
    </w:p>
    <w:p w14:paraId="41C1A80F" w14:textId="77777777" w:rsidR="00D22E3B" w:rsidRPr="001F224B" w:rsidRDefault="00D22E3B" w:rsidP="00D22E3B">
      <w:pPr>
        <w:spacing w:before="120"/>
        <w:ind w:left="567"/>
        <w:jc w:val="both"/>
        <w:rPr>
          <w:sz w:val="22"/>
          <w:szCs w:val="22"/>
        </w:rPr>
      </w:pPr>
      <w:r w:rsidRPr="001F224B">
        <w:rPr>
          <w:sz w:val="22"/>
          <w:szCs w:val="22"/>
        </w:rPr>
        <w:t xml:space="preserve">Ömür boyu kayıplar, raporlama tarihi sonrasında ilgili finansal aracın beklenen yaşam süresi boyunca yaşanabilecek tüm olası temerrüt olaylarından kaynaklanmaktadır. Yaşam süresi, finansal aracın vadesi ile ilgilidir. </w:t>
      </w:r>
    </w:p>
    <w:p w14:paraId="3D5920EA" w14:textId="77777777" w:rsidR="00D22E3B" w:rsidRPr="001F224B" w:rsidRDefault="00D22E3B" w:rsidP="00D22E3B">
      <w:pPr>
        <w:spacing w:before="120"/>
        <w:ind w:left="567"/>
        <w:jc w:val="both"/>
        <w:rPr>
          <w:sz w:val="22"/>
          <w:szCs w:val="22"/>
        </w:rPr>
      </w:pPr>
      <w:r w:rsidRPr="001F224B">
        <w:rPr>
          <w:sz w:val="22"/>
          <w:szCs w:val="22"/>
        </w:rPr>
        <w:t>TFRS 9 uyarınca ayrılacak karşılık tutarlarının hesaplanmasında kullanılacak olan risk parametrelerinden birisi Temerrüt Olasılığı (TO) bilgisidir. Temerrüt Olasılığı canlı bir kredinin temerrüde düşme olasılığını ifade etmektedir. TO hesaplaması geçmiş veriler, mevcut koşullar ve ileriye dönük makroekonomik beklentiler göz önünde bulundurarak gerçekleştirilmektedir.</w:t>
      </w:r>
    </w:p>
    <w:p w14:paraId="1F508634" w14:textId="77777777" w:rsidR="00D22E3B" w:rsidRPr="001F224B" w:rsidRDefault="00D22E3B" w:rsidP="00D22E3B">
      <w:pPr>
        <w:spacing w:before="120"/>
        <w:ind w:left="567"/>
        <w:jc w:val="both"/>
        <w:rPr>
          <w:sz w:val="22"/>
          <w:szCs w:val="22"/>
        </w:rPr>
      </w:pPr>
      <w:r w:rsidRPr="001F224B">
        <w:rPr>
          <w:sz w:val="22"/>
          <w:szCs w:val="22"/>
        </w:rPr>
        <w:t>Banka’nın kullanıma aldığı yeni modellerinde, Kurumsal-Kobi ve Proje Finansmanı segmentleri için değerlendirme yapılırken, kalitatif ve kantitatif puanlar dikkate alınmaktadır. Şirketin kalitatif ve kantitatif puanları belirlendikten sonra, söz konusu puanlar şirket ölçeğine göre ağırlıklandırılarak şirketin rating puanı hesaplanmaktadır.</w:t>
      </w:r>
    </w:p>
    <w:p w14:paraId="6F394085" w14:textId="3E2CF281" w:rsidR="00D22E3B" w:rsidRPr="001F224B" w:rsidRDefault="00D22E3B" w:rsidP="00D22E3B">
      <w:pPr>
        <w:spacing w:before="120"/>
        <w:ind w:left="567"/>
        <w:jc w:val="both"/>
        <w:rPr>
          <w:sz w:val="22"/>
          <w:szCs w:val="22"/>
        </w:rPr>
      </w:pPr>
      <w:r w:rsidRPr="001F224B">
        <w:rPr>
          <w:sz w:val="22"/>
          <w:szCs w:val="22"/>
        </w:rPr>
        <w:t>Uygulamaya alınan yeni metodolojide Finansal kurumlar (</w:t>
      </w:r>
      <w:r w:rsidR="0056214E" w:rsidRPr="001F224B">
        <w:rPr>
          <w:sz w:val="22"/>
          <w:szCs w:val="22"/>
        </w:rPr>
        <w:t>B</w:t>
      </w:r>
      <w:r w:rsidRPr="001F224B">
        <w:rPr>
          <w:sz w:val="22"/>
          <w:szCs w:val="22"/>
        </w:rPr>
        <w:t xml:space="preserve">ankalardan olan alacaklar dahil) portföyü ise uluslararası kabul görmüş derecelendirme kuruluşlarının derecelendirme notları ile değerlendirilmektedir. Eğer derecelendirme kuruluşu tarafından verilmiş bir rating yoksa bu durumda finansal kurumun bulunduğu ülke ratingi dikkate alınmaktadır. </w:t>
      </w:r>
    </w:p>
    <w:p w14:paraId="2ECF2F2B" w14:textId="77777777" w:rsidR="00EB26CB" w:rsidRPr="001F224B" w:rsidRDefault="00EB26CB" w:rsidP="00EB26CB">
      <w:pPr>
        <w:spacing w:before="120"/>
        <w:ind w:left="567"/>
        <w:jc w:val="both"/>
        <w:rPr>
          <w:bCs/>
          <w:sz w:val="22"/>
          <w:szCs w:val="22"/>
        </w:rPr>
      </w:pPr>
      <w:r w:rsidRPr="001F224B">
        <w:rPr>
          <w:sz w:val="22"/>
          <w:szCs w:val="22"/>
        </w:rPr>
        <w:t xml:space="preserve">30 Haziran 2024 tarihi itibarıyla uygulanan yeni makro modellerde, </w:t>
      </w:r>
      <w:r w:rsidRPr="001F224B">
        <w:rPr>
          <w:bCs/>
          <w:sz w:val="22"/>
          <w:szCs w:val="22"/>
        </w:rPr>
        <w:t>Kurumsal-Kobi portföyü ve Finansal Kurumlar portföyü için ileriye dönük makro etkiyi içeren temerrüt olasılıklarının hesaplanabilmesi adına her iki portföy için de Vasicek’in tek faktörlü açıklayıcı modele dayanan yaklaşımı kullanılmıştır. Bu yaklaşım için kullanılacak sistemik risk faktörü, en kapsamlı makro-ekonomik göstergelerden birisi olarak kabul edilen ve sektörde sistemik risk faktörü için yaygın olarak kullanılaran GSYİH büyümesi oranı dikkate alınmıştır. Söz konusu sistemik risk faktörü yıllık periyotlarda gözden geçirilerek revize edilmektedir.</w:t>
      </w:r>
    </w:p>
    <w:p w14:paraId="2F990D58" w14:textId="77777777" w:rsidR="00D22E3B" w:rsidRPr="001F224B" w:rsidRDefault="00D22E3B" w:rsidP="00D22E3B">
      <w:pPr>
        <w:spacing w:before="120"/>
        <w:ind w:left="567"/>
        <w:jc w:val="both"/>
        <w:rPr>
          <w:bCs/>
          <w:sz w:val="22"/>
          <w:szCs w:val="22"/>
        </w:rPr>
      </w:pPr>
      <w:r w:rsidRPr="001F224B">
        <w:rPr>
          <w:bCs/>
          <w:sz w:val="22"/>
          <w:szCs w:val="22"/>
        </w:rPr>
        <w:t>Proje Finansmanı portföyünde ise temerrüt olasılıkların elde edilebilmesi adına BDDK Kredi Riskine Esas Tutarın İçsel Derecelendirmeye Dayalı Yaklaşımlar İle Hesaplanmasına İlişkin Tebliğ  (İDDY) 37’nci paragrafına göre ihtisas kredileri için kullanılacak Beklenen Kayıp (EL) değerlerinin TFRS kapsamında da kullanılmasına karar verilmiş ve bu değerler üzerinden</w:t>
      </w:r>
      <w:r w:rsidRPr="001F224B">
        <w:t xml:space="preserve"> </w:t>
      </w:r>
      <w:r w:rsidRPr="001F224B">
        <w:rPr>
          <w:bCs/>
          <w:sz w:val="22"/>
          <w:szCs w:val="22"/>
        </w:rPr>
        <w:t xml:space="preserve">rating gruplarına göre uygulanacak temerrüt olasılıkları elde edilmiştir. </w:t>
      </w:r>
    </w:p>
    <w:p w14:paraId="1DA1AFDB" w14:textId="77777777" w:rsidR="00D22E3B" w:rsidRPr="001F224B" w:rsidRDefault="00D22E3B" w:rsidP="00D22E3B">
      <w:pPr>
        <w:spacing w:before="120"/>
        <w:ind w:left="567"/>
        <w:jc w:val="both"/>
        <w:rPr>
          <w:b/>
          <w:sz w:val="22"/>
          <w:szCs w:val="22"/>
        </w:rPr>
      </w:pPr>
      <w:r w:rsidRPr="001F224B">
        <w:rPr>
          <w:sz w:val="22"/>
          <w:szCs w:val="22"/>
        </w:rPr>
        <w:t>Baz senaryo değerinin yanısıra olumlu ve olumsuz senaryolar dikkate alınarak, portföy temerrüt oranının temel bir makro değişken ile korelasyonuna dayanan yaklaşım ile her bir rating grubu için gelecek dönem tahminlemesi gerçekleştirilmektedir.</w:t>
      </w:r>
    </w:p>
    <w:p w14:paraId="53107690" w14:textId="0B2A7AC8" w:rsidR="00342D4B" w:rsidRPr="001F224B" w:rsidRDefault="00342D4B" w:rsidP="00342D4B">
      <w:pPr>
        <w:pStyle w:val="ListParagraph"/>
        <w:tabs>
          <w:tab w:val="left" w:pos="0"/>
        </w:tabs>
        <w:spacing w:before="120" w:after="120"/>
        <w:ind w:left="0"/>
        <w:rPr>
          <w:b/>
          <w:bCs/>
          <w:sz w:val="22"/>
          <w:szCs w:val="22"/>
        </w:rPr>
      </w:pPr>
    </w:p>
    <w:p w14:paraId="77B4F8BC" w14:textId="74B73955" w:rsidR="00D22E3B" w:rsidRPr="001F224B" w:rsidRDefault="00D22E3B" w:rsidP="00342D4B">
      <w:pPr>
        <w:pStyle w:val="ListParagraph"/>
        <w:tabs>
          <w:tab w:val="left" w:pos="0"/>
        </w:tabs>
        <w:spacing w:before="120" w:after="120"/>
        <w:ind w:left="0"/>
        <w:rPr>
          <w:b/>
          <w:bCs/>
          <w:sz w:val="22"/>
          <w:szCs w:val="22"/>
        </w:rPr>
      </w:pPr>
    </w:p>
    <w:p w14:paraId="341F6798" w14:textId="33D5F37B" w:rsidR="00D22E3B" w:rsidRPr="001F224B" w:rsidRDefault="00D22E3B" w:rsidP="00342D4B">
      <w:pPr>
        <w:pStyle w:val="ListParagraph"/>
        <w:tabs>
          <w:tab w:val="left" w:pos="0"/>
        </w:tabs>
        <w:spacing w:before="120" w:after="120"/>
        <w:ind w:left="0"/>
        <w:rPr>
          <w:b/>
          <w:bCs/>
          <w:sz w:val="22"/>
          <w:szCs w:val="22"/>
        </w:rPr>
      </w:pPr>
    </w:p>
    <w:p w14:paraId="31EA978B" w14:textId="0FC46B84" w:rsidR="00D22E3B" w:rsidRPr="001F224B" w:rsidRDefault="00D22E3B" w:rsidP="00342D4B">
      <w:pPr>
        <w:pStyle w:val="ListParagraph"/>
        <w:tabs>
          <w:tab w:val="left" w:pos="0"/>
        </w:tabs>
        <w:spacing w:before="120" w:after="120"/>
        <w:ind w:left="0"/>
        <w:rPr>
          <w:b/>
          <w:bCs/>
          <w:sz w:val="22"/>
          <w:szCs w:val="22"/>
        </w:rPr>
      </w:pPr>
    </w:p>
    <w:p w14:paraId="7D5D6D62" w14:textId="043A3EEB" w:rsidR="00D22E3B" w:rsidRPr="001F224B" w:rsidRDefault="00D22E3B" w:rsidP="00342D4B">
      <w:pPr>
        <w:pStyle w:val="ListParagraph"/>
        <w:tabs>
          <w:tab w:val="left" w:pos="0"/>
        </w:tabs>
        <w:spacing w:before="120" w:after="120"/>
        <w:ind w:left="0"/>
        <w:rPr>
          <w:b/>
          <w:bCs/>
          <w:sz w:val="22"/>
          <w:szCs w:val="22"/>
        </w:rPr>
      </w:pPr>
    </w:p>
    <w:p w14:paraId="498C69A7" w14:textId="2ABE12EC" w:rsidR="00D22E3B" w:rsidRPr="001F224B" w:rsidRDefault="00D22E3B" w:rsidP="00342D4B">
      <w:pPr>
        <w:pStyle w:val="ListParagraph"/>
        <w:tabs>
          <w:tab w:val="left" w:pos="0"/>
        </w:tabs>
        <w:spacing w:before="120" w:after="120"/>
        <w:ind w:left="0"/>
        <w:rPr>
          <w:b/>
          <w:bCs/>
          <w:sz w:val="22"/>
          <w:szCs w:val="22"/>
        </w:rPr>
      </w:pPr>
    </w:p>
    <w:p w14:paraId="58E8A6BF" w14:textId="7051E45F" w:rsidR="00D22E3B" w:rsidRPr="001F224B" w:rsidRDefault="00D22E3B" w:rsidP="00342D4B">
      <w:pPr>
        <w:pStyle w:val="ListParagraph"/>
        <w:tabs>
          <w:tab w:val="left" w:pos="0"/>
        </w:tabs>
        <w:spacing w:before="120" w:after="120"/>
        <w:ind w:left="0"/>
        <w:rPr>
          <w:b/>
          <w:bCs/>
          <w:sz w:val="22"/>
          <w:szCs w:val="22"/>
        </w:rPr>
      </w:pPr>
    </w:p>
    <w:p w14:paraId="10B2FB70" w14:textId="3D64B2F5" w:rsidR="00D22E3B" w:rsidRPr="001F224B" w:rsidRDefault="00D22E3B" w:rsidP="00342D4B">
      <w:pPr>
        <w:pStyle w:val="ListParagraph"/>
        <w:tabs>
          <w:tab w:val="left" w:pos="0"/>
        </w:tabs>
        <w:spacing w:before="120" w:after="120"/>
        <w:ind w:left="0"/>
        <w:rPr>
          <w:b/>
          <w:bCs/>
          <w:sz w:val="22"/>
          <w:szCs w:val="22"/>
        </w:rPr>
      </w:pPr>
    </w:p>
    <w:p w14:paraId="5B322E7A" w14:textId="77777777" w:rsidR="00D22E3B" w:rsidRPr="001F224B" w:rsidRDefault="00D22E3B" w:rsidP="00342D4B">
      <w:pPr>
        <w:pStyle w:val="ListParagraph"/>
        <w:tabs>
          <w:tab w:val="left" w:pos="0"/>
        </w:tabs>
        <w:spacing w:before="120" w:after="120"/>
        <w:ind w:left="0"/>
        <w:rPr>
          <w:b/>
          <w:bCs/>
          <w:sz w:val="22"/>
          <w:szCs w:val="22"/>
        </w:rPr>
      </w:pPr>
    </w:p>
    <w:p w14:paraId="15191466" w14:textId="77777777" w:rsidR="00342D4B" w:rsidRPr="001F224B" w:rsidRDefault="00342D4B" w:rsidP="009F68BC">
      <w:pPr>
        <w:pStyle w:val="ListParagraph"/>
        <w:tabs>
          <w:tab w:val="left" w:pos="0"/>
        </w:tabs>
        <w:spacing w:before="120"/>
        <w:ind w:left="0"/>
        <w:rPr>
          <w:b/>
          <w:bCs/>
          <w:sz w:val="22"/>
          <w:szCs w:val="22"/>
        </w:rPr>
      </w:pPr>
    </w:p>
    <w:p w14:paraId="1E30BBAC" w14:textId="77777777" w:rsidR="00342D4B" w:rsidRPr="001F224B" w:rsidRDefault="00342D4B" w:rsidP="009F68BC">
      <w:pPr>
        <w:pStyle w:val="ListParagraph"/>
        <w:tabs>
          <w:tab w:val="left" w:pos="0"/>
        </w:tabs>
        <w:spacing w:before="120"/>
        <w:ind w:left="0"/>
        <w:rPr>
          <w:b/>
          <w:bCs/>
          <w:sz w:val="22"/>
          <w:szCs w:val="22"/>
        </w:rPr>
      </w:pPr>
    </w:p>
    <w:p w14:paraId="6B650EC4" w14:textId="4E9C7DF1" w:rsidR="009F68BC" w:rsidRPr="001F224B" w:rsidRDefault="009F68BC" w:rsidP="009F68BC">
      <w:pPr>
        <w:pStyle w:val="ListParagraph"/>
        <w:tabs>
          <w:tab w:val="left" w:pos="0"/>
        </w:tabs>
        <w:spacing w:before="120"/>
        <w:ind w:left="0"/>
        <w:rPr>
          <w:b/>
          <w:bCs/>
          <w:sz w:val="22"/>
          <w:szCs w:val="22"/>
        </w:rPr>
      </w:pPr>
      <w:r w:rsidRPr="001F224B">
        <w:rPr>
          <w:b/>
          <w:bCs/>
          <w:sz w:val="22"/>
          <w:szCs w:val="22"/>
        </w:rPr>
        <w:t>ÜÇÜNCÜ BÖLÜM (Devamı)</w:t>
      </w:r>
    </w:p>
    <w:p w14:paraId="1EF46C6B" w14:textId="77777777" w:rsidR="009F68BC" w:rsidRPr="001F224B" w:rsidRDefault="009F68BC" w:rsidP="009F68BC">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73E59830" w14:textId="1D157D3B" w:rsidR="00546BAC" w:rsidRPr="001F224B" w:rsidRDefault="00546BAC" w:rsidP="0042686A">
      <w:pPr>
        <w:pStyle w:val="1tipi"/>
        <w:numPr>
          <w:ilvl w:val="0"/>
          <w:numId w:val="3"/>
        </w:numPr>
        <w:tabs>
          <w:tab w:val="clear" w:pos="1134"/>
          <w:tab w:val="left" w:pos="567"/>
        </w:tabs>
        <w:spacing w:before="120" w:after="120"/>
        <w:ind w:hanging="436"/>
        <w:rPr>
          <w:rFonts w:ascii="Times New Roman" w:hAnsi="Times New Roman" w:cs="Times New Roman"/>
          <w:sz w:val="22"/>
          <w:szCs w:val="22"/>
          <w:lang w:val="tr-TR"/>
        </w:rPr>
      </w:pPr>
      <w:r w:rsidRPr="001F224B">
        <w:rPr>
          <w:rFonts w:ascii="Times New Roman" w:hAnsi="Times New Roman" w:cs="Times New Roman"/>
          <w:b/>
          <w:bCs/>
          <w:sz w:val="22"/>
          <w:szCs w:val="22"/>
          <w:lang w:val="tr-TR"/>
        </w:rPr>
        <w:t>Finansal araçların netleştirilmesine ilişkin açıklamalar</w:t>
      </w:r>
    </w:p>
    <w:p w14:paraId="0BD76911" w14:textId="2CF5646A" w:rsidR="00DE014F" w:rsidRPr="001F224B" w:rsidRDefault="00DE014F" w:rsidP="00E07346">
      <w:pPr>
        <w:pStyle w:val="ListParagraph"/>
        <w:spacing w:before="120"/>
        <w:ind w:left="567"/>
        <w:jc w:val="both"/>
        <w:rPr>
          <w:sz w:val="22"/>
          <w:szCs w:val="22"/>
        </w:rPr>
      </w:pPr>
      <w:r w:rsidRPr="001F224B">
        <w:rPr>
          <w:sz w:val="22"/>
          <w:szCs w:val="22"/>
        </w:rPr>
        <w:t xml:space="preserve">Finansal varlıklar ve yükümlülükler, Grup’un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gösterilmektedir. </w:t>
      </w:r>
    </w:p>
    <w:p w14:paraId="574680E2" w14:textId="5C7200CC" w:rsidR="00546BAC" w:rsidRPr="001F224B" w:rsidRDefault="00546BAC" w:rsidP="0042686A">
      <w:pPr>
        <w:pStyle w:val="ListParagraph"/>
        <w:numPr>
          <w:ilvl w:val="0"/>
          <w:numId w:val="3"/>
        </w:numPr>
        <w:tabs>
          <w:tab w:val="left" w:pos="567"/>
        </w:tabs>
        <w:spacing w:before="120"/>
        <w:ind w:hanging="436"/>
        <w:jc w:val="both"/>
        <w:rPr>
          <w:b/>
          <w:bCs/>
          <w:sz w:val="22"/>
          <w:szCs w:val="22"/>
        </w:rPr>
      </w:pPr>
      <w:r w:rsidRPr="001F224B">
        <w:rPr>
          <w:b/>
          <w:bCs/>
          <w:sz w:val="22"/>
          <w:szCs w:val="22"/>
        </w:rPr>
        <w:t>Satış ve geri alış anlaşmaları ve menkul değerlerin ödünç verilmesi işlemlerine ilişkin açıklamalar</w:t>
      </w:r>
    </w:p>
    <w:p w14:paraId="46CB2FC6" w14:textId="6975998F" w:rsidR="00546BAC" w:rsidRPr="001F224B" w:rsidRDefault="00546BAC" w:rsidP="005514FC">
      <w:pPr>
        <w:spacing w:before="120"/>
        <w:ind w:left="567"/>
        <w:jc w:val="both"/>
        <w:rPr>
          <w:sz w:val="22"/>
          <w:szCs w:val="22"/>
        </w:rPr>
      </w:pPr>
      <w:r w:rsidRPr="001F224B">
        <w:rPr>
          <w:sz w:val="22"/>
          <w:szCs w:val="22"/>
        </w:rPr>
        <w:t xml:space="preserve">Tekrar geri alım anlaşmaları çerçevesinde satılan menkul kıymetler (repo), Tek Düzen Hesap Planı’na uygun olarak bilanço hesaplarında takip edilmektedir. Buna göre, repo anlaşması çerçevesinde müşterilere satılan devlet tahvili ve hazine bonoları ilgili menkul değer hesapları altında “Repoya Konu Edilenler” olarak sınıflandırılmakta ve </w:t>
      </w:r>
      <w:r w:rsidR="00491115" w:rsidRPr="001F224B">
        <w:rPr>
          <w:sz w:val="22"/>
          <w:szCs w:val="22"/>
        </w:rPr>
        <w:t>Grup</w:t>
      </w:r>
      <w:r w:rsidRPr="001F224B">
        <w:rPr>
          <w:sz w:val="22"/>
          <w:szCs w:val="22"/>
        </w:rPr>
        <w:t xml:space="preserve"> portföyünde tutuluş amaçlarına göre rayiç değerleri veya iç verim oranına göre iskonto edilmiş bedelleri ile değerlenmektedir. Repo işlemlerinden elde edilen fonlar ise pasif hesaplarda ayrı bir kalem olarak yansıtılmakta ve faiz gideri için reeskont kaydedilmektedir. </w:t>
      </w:r>
    </w:p>
    <w:p w14:paraId="642F01F8" w14:textId="64CA4FB2" w:rsidR="00381693" w:rsidRPr="001F224B" w:rsidRDefault="00546BAC" w:rsidP="00B127B7">
      <w:pPr>
        <w:spacing w:before="120"/>
        <w:ind w:left="567"/>
        <w:jc w:val="both"/>
        <w:rPr>
          <w:sz w:val="22"/>
          <w:szCs w:val="22"/>
        </w:rPr>
      </w:pPr>
      <w:r w:rsidRPr="001F224B">
        <w:rPr>
          <w:sz w:val="22"/>
          <w:szCs w:val="22"/>
        </w:rPr>
        <w:t>Geri satım taahhüdü ile alınmış menkul kıymetler (ters repo) ise “Para Piyasalarından Alacaklar”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bulunmamaktadır.</w:t>
      </w:r>
    </w:p>
    <w:p w14:paraId="6F1D83C9" w14:textId="1C956D13" w:rsidR="00381693" w:rsidRPr="001F224B" w:rsidRDefault="00381693" w:rsidP="00381693">
      <w:pPr>
        <w:pStyle w:val="ListParagraph"/>
        <w:numPr>
          <w:ilvl w:val="0"/>
          <w:numId w:val="3"/>
        </w:numPr>
        <w:tabs>
          <w:tab w:val="clear" w:pos="720"/>
          <w:tab w:val="num" w:pos="567"/>
        </w:tabs>
        <w:spacing w:before="120"/>
        <w:ind w:left="567" w:hanging="141"/>
        <w:jc w:val="both"/>
        <w:rPr>
          <w:b/>
          <w:sz w:val="22"/>
          <w:szCs w:val="22"/>
        </w:rPr>
      </w:pPr>
      <w:r w:rsidRPr="001F224B">
        <w:rPr>
          <w:b/>
          <w:sz w:val="22"/>
          <w:szCs w:val="22"/>
        </w:rPr>
        <w:t>Satış amaçlı elde tutulan ve durdurulan faaliyetlere ilişkin duran varlıklar ile bunlara ilişkin borçlar hakkında açıklamalar</w:t>
      </w:r>
    </w:p>
    <w:p w14:paraId="47F78775" w14:textId="780B8A6F" w:rsidR="00583734" w:rsidRPr="001F224B" w:rsidRDefault="00583734" w:rsidP="00583734">
      <w:pPr>
        <w:pStyle w:val="ListParagraph"/>
        <w:autoSpaceDE w:val="0"/>
        <w:autoSpaceDN w:val="0"/>
        <w:spacing w:before="120"/>
        <w:ind w:left="567"/>
        <w:jc w:val="both"/>
        <w:rPr>
          <w:sz w:val="22"/>
          <w:szCs w:val="22"/>
        </w:rPr>
      </w:pPr>
      <w:r w:rsidRPr="001F224B">
        <w:rPr>
          <w:sz w:val="22"/>
          <w:szCs w:val="22"/>
        </w:rPr>
        <w:t xml:space="preserve">Satış amaçlı elde tutulan duran varlıklar ve durdurulan faaliyetlere ilişkin duran varlıklar ile bunlara ilişkin borçlar, finansal tablolarda TFRS 5 “Satış Amaçlı Elde Tutulan Duran Varlıklar ve Durdurulan Faaliyetler Standardı” hükümlerine uygun olarak muhasebeleştirilmektedir. Satış amaçlı elde tutulan varlık olarak sınıflandırılan bir duran varlık (veya elden çıkarılacak duran varlık grubu) defter değeri ile satış maliyeti düşülmüş gerçeğe uygun değerinden düşük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w:t>
      </w:r>
    </w:p>
    <w:p w14:paraId="2256DBD2" w14:textId="77777777" w:rsidR="00381693" w:rsidRPr="001F224B" w:rsidRDefault="00381693" w:rsidP="00381693">
      <w:pPr>
        <w:tabs>
          <w:tab w:val="left" w:pos="567"/>
        </w:tabs>
        <w:spacing w:before="120"/>
        <w:ind w:left="567"/>
        <w:jc w:val="both"/>
        <w:rPr>
          <w:sz w:val="22"/>
          <w:szCs w:val="22"/>
        </w:rPr>
      </w:pPr>
      <w:r w:rsidRPr="001F224B">
        <w:rPr>
          <w:sz w:val="22"/>
          <w:szCs w:val="22"/>
        </w:rPr>
        <w:t>Ayrıca varlık, gerçeğe uygun değeri ile uyumlu bir fiyat ile aktif olarak pazarlanıyor olmalıdır.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 Ana Ortaklık Banka’nın satış amaçlı elde tutulan duran varlığı bulunmamaktadır.</w:t>
      </w:r>
    </w:p>
    <w:p w14:paraId="793BDCB4" w14:textId="77777777" w:rsidR="00381693" w:rsidRPr="001F224B" w:rsidRDefault="00381693" w:rsidP="00381693">
      <w:pPr>
        <w:autoSpaceDE w:val="0"/>
        <w:autoSpaceDN w:val="0"/>
        <w:spacing w:before="120"/>
        <w:ind w:left="567"/>
        <w:jc w:val="both"/>
        <w:rPr>
          <w:sz w:val="22"/>
          <w:szCs w:val="22"/>
        </w:rPr>
      </w:pPr>
      <w:r w:rsidRPr="001F224B">
        <w:rPr>
          <w:sz w:val="22"/>
          <w:szCs w:val="22"/>
        </w:rPr>
        <w:t>Durdurulan bir faaliyet, Ana Ortaklık Banka’nın elden çıkarılan veya satış amacıyla elde tutulan olarak sınıflandırılan bölümüdür. Durdurulan faaliyetlere ilişkin sonuçlar kar veya zarar tablosunda ayrı olarak sunulur. Ana Ortaklık Banka’nın durdurulan faaliyeti bulunmamaktadır.</w:t>
      </w:r>
    </w:p>
    <w:p w14:paraId="71845003" w14:textId="08A95BAF" w:rsidR="009F68BC" w:rsidRPr="001F224B" w:rsidRDefault="009F68BC">
      <w:pPr>
        <w:rPr>
          <w:sz w:val="22"/>
          <w:szCs w:val="22"/>
        </w:rPr>
      </w:pPr>
      <w:r w:rsidRPr="001F224B">
        <w:rPr>
          <w:sz w:val="22"/>
          <w:szCs w:val="22"/>
        </w:rPr>
        <w:br w:type="page"/>
      </w:r>
    </w:p>
    <w:p w14:paraId="7BFE7534" w14:textId="77777777" w:rsidR="009F68BC" w:rsidRPr="001F224B" w:rsidRDefault="009F68BC" w:rsidP="009F68BC">
      <w:pPr>
        <w:pStyle w:val="ListParagraph"/>
        <w:tabs>
          <w:tab w:val="left" w:pos="0"/>
        </w:tabs>
        <w:spacing w:before="120"/>
        <w:ind w:left="0"/>
        <w:rPr>
          <w:b/>
          <w:bCs/>
          <w:sz w:val="22"/>
          <w:szCs w:val="22"/>
        </w:rPr>
      </w:pPr>
      <w:r w:rsidRPr="001F224B">
        <w:rPr>
          <w:b/>
          <w:bCs/>
          <w:sz w:val="22"/>
          <w:szCs w:val="22"/>
        </w:rPr>
        <w:t>ÜÇÜNCÜ BÖLÜM (Devamı)</w:t>
      </w:r>
    </w:p>
    <w:p w14:paraId="6BE33E4E" w14:textId="77777777" w:rsidR="009F68BC" w:rsidRPr="001F224B" w:rsidRDefault="009F68BC" w:rsidP="009F68BC">
      <w:pPr>
        <w:pStyle w:val="ListParagraph"/>
        <w:tabs>
          <w:tab w:val="left" w:pos="0"/>
        </w:tabs>
        <w:spacing w:before="60" w:afterLines="60" w:after="144"/>
        <w:ind w:left="0"/>
        <w:rPr>
          <w:b/>
          <w:bCs/>
          <w:sz w:val="22"/>
          <w:szCs w:val="22"/>
        </w:rPr>
      </w:pPr>
      <w:r w:rsidRPr="001F224B">
        <w:rPr>
          <w:b/>
          <w:bCs/>
          <w:sz w:val="22"/>
          <w:szCs w:val="22"/>
        </w:rPr>
        <w:t>MUHASEBE POLİTİKALARI (Devamı)</w:t>
      </w:r>
    </w:p>
    <w:p w14:paraId="7B681815" w14:textId="2B863903" w:rsidR="00546BAC" w:rsidRPr="001F224B" w:rsidRDefault="00546BAC" w:rsidP="003F2B7A">
      <w:pPr>
        <w:pStyle w:val="ListParagraph"/>
        <w:numPr>
          <w:ilvl w:val="0"/>
          <w:numId w:val="3"/>
        </w:numPr>
        <w:tabs>
          <w:tab w:val="left" w:pos="567"/>
        </w:tabs>
        <w:spacing w:before="120"/>
        <w:ind w:hanging="294"/>
        <w:jc w:val="both"/>
        <w:rPr>
          <w:sz w:val="22"/>
          <w:szCs w:val="22"/>
        </w:rPr>
      </w:pPr>
      <w:r w:rsidRPr="001F224B">
        <w:rPr>
          <w:b/>
          <w:bCs/>
          <w:sz w:val="22"/>
          <w:szCs w:val="22"/>
        </w:rPr>
        <w:t>Şerefiye ve diğer maddi olmayan duran varlıklara ilişkin açıklamalar</w:t>
      </w:r>
    </w:p>
    <w:p w14:paraId="6370D450" w14:textId="77777777" w:rsidR="00546BAC" w:rsidRPr="001F224B" w:rsidRDefault="00546BAC" w:rsidP="005514FC">
      <w:pPr>
        <w:spacing w:before="120"/>
        <w:ind w:left="567"/>
        <w:jc w:val="both"/>
        <w:rPr>
          <w:sz w:val="22"/>
          <w:szCs w:val="22"/>
          <w:lang w:eastAsia="en-US"/>
        </w:rPr>
      </w:pPr>
      <w:r w:rsidRPr="001F224B">
        <w:rPr>
          <w:sz w:val="22"/>
          <w:szCs w:val="22"/>
          <w:lang w:eastAsia="en-US"/>
        </w:rPr>
        <w:t>Bilanço tarihi itibar</w:t>
      </w:r>
      <w:r w:rsidR="00301207" w:rsidRPr="001F224B">
        <w:rPr>
          <w:sz w:val="22"/>
          <w:szCs w:val="22"/>
          <w:lang w:eastAsia="en-US"/>
        </w:rPr>
        <w:t>ı</w:t>
      </w:r>
      <w:r w:rsidRPr="001F224B">
        <w:rPr>
          <w:sz w:val="22"/>
          <w:szCs w:val="22"/>
          <w:lang w:eastAsia="en-US"/>
        </w:rPr>
        <w:t xml:space="preserve">yla ilişikteki finansal tablolarda şerefiye bulunmamaktadır. </w:t>
      </w:r>
    </w:p>
    <w:p w14:paraId="7A8DF679" w14:textId="77777777" w:rsidR="00546BAC" w:rsidRPr="001F224B" w:rsidRDefault="00546BAC" w:rsidP="005514FC">
      <w:pPr>
        <w:spacing w:before="120"/>
        <w:ind w:left="567"/>
        <w:jc w:val="both"/>
        <w:rPr>
          <w:sz w:val="22"/>
          <w:szCs w:val="22"/>
          <w:lang w:eastAsia="en-US"/>
        </w:rPr>
      </w:pPr>
      <w:r w:rsidRPr="001F224B">
        <w:rPr>
          <w:sz w:val="22"/>
          <w:szCs w:val="22"/>
          <w:lang w:eastAsia="en-US"/>
        </w:rPr>
        <w:t>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finansal tablolarda gösterilmektedir.</w:t>
      </w:r>
    </w:p>
    <w:p w14:paraId="33357200" w14:textId="77777777" w:rsidR="00546BAC" w:rsidRPr="001F224B" w:rsidRDefault="00546BAC" w:rsidP="005514FC">
      <w:pPr>
        <w:spacing w:before="120"/>
        <w:ind w:left="567"/>
        <w:jc w:val="both"/>
        <w:rPr>
          <w:sz w:val="2"/>
          <w:szCs w:val="2"/>
          <w:lang w:eastAsia="en-US"/>
        </w:rPr>
      </w:pPr>
    </w:p>
    <w:p w14:paraId="626DD010" w14:textId="7F2B173A" w:rsidR="003C7BB4" w:rsidRPr="001F224B" w:rsidRDefault="003C7BB4" w:rsidP="003C7BB4">
      <w:pPr>
        <w:ind w:left="567"/>
        <w:jc w:val="both"/>
        <w:rPr>
          <w:sz w:val="22"/>
          <w:szCs w:val="22"/>
          <w:lang w:eastAsia="en-US"/>
        </w:rPr>
      </w:pPr>
      <w:r w:rsidRPr="001F224B">
        <w:rPr>
          <w:sz w:val="22"/>
          <w:szCs w:val="22"/>
          <w:lang w:eastAsia="en-US"/>
        </w:rPr>
        <w:t xml:space="preserve">Maddi olmayan duran varlıklar, bu varlıkların tahmini faydalı ömürlerine göre %33,33 veya %6,67 olarak belirlenen amortisman oranı ile doğrusal amortisman yöntemi kullanılarak itfa edilmektedir. Varlığın faydalı ömrünün tespiti, varlığın beklenen kullanım süresi, teknik, teknolojik veya diğer türdeki eskime ve varlıktan beklenen ekonomik faydayı elde etmek için gerekli olan bakım masrafları gibi hususların değerlendirilmesi suretiyle yapılmıştır. </w:t>
      </w:r>
    </w:p>
    <w:p w14:paraId="79542A86" w14:textId="77777777" w:rsidR="00B11D23" w:rsidRPr="001F224B" w:rsidRDefault="00B11D23" w:rsidP="00B11D23">
      <w:pPr>
        <w:spacing w:before="120"/>
        <w:ind w:left="567"/>
        <w:jc w:val="both"/>
        <w:rPr>
          <w:sz w:val="22"/>
          <w:szCs w:val="22"/>
          <w:lang w:eastAsia="en-US"/>
        </w:rPr>
      </w:pPr>
      <w:r w:rsidRPr="001F224B">
        <w:rPr>
          <w:sz w:val="22"/>
          <w:szCs w:val="22"/>
          <w:lang w:eastAsia="en-US"/>
        </w:rPr>
        <w:t>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harcamalar “Doğrusal amortisman yöntemi” kullanılarak itfa edilmektedir.</w:t>
      </w:r>
    </w:p>
    <w:p w14:paraId="6E398B22" w14:textId="302FE264" w:rsidR="00381693" w:rsidRPr="001F224B" w:rsidRDefault="00381693" w:rsidP="00381693">
      <w:pPr>
        <w:pStyle w:val="ListParagraph"/>
        <w:numPr>
          <w:ilvl w:val="0"/>
          <w:numId w:val="3"/>
        </w:numPr>
        <w:tabs>
          <w:tab w:val="clear" w:pos="720"/>
          <w:tab w:val="num" w:pos="567"/>
        </w:tabs>
        <w:spacing w:before="120"/>
        <w:ind w:hanging="294"/>
        <w:jc w:val="both"/>
        <w:rPr>
          <w:b/>
          <w:bCs/>
          <w:sz w:val="22"/>
          <w:szCs w:val="22"/>
        </w:rPr>
      </w:pPr>
      <w:r w:rsidRPr="001F224B">
        <w:rPr>
          <w:b/>
          <w:bCs/>
          <w:sz w:val="22"/>
          <w:szCs w:val="22"/>
        </w:rPr>
        <w:t>Maddi duran varlıklara ilişkin açıklamalar</w:t>
      </w:r>
    </w:p>
    <w:p w14:paraId="309B802D" w14:textId="77777777" w:rsidR="00381693" w:rsidRPr="001F224B" w:rsidRDefault="00381693" w:rsidP="00381693">
      <w:pPr>
        <w:spacing w:before="120"/>
        <w:ind w:left="567"/>
        <w:jc w:val="both"/>
        <w:rPr>
          <w:sz w:val="22"/>
          <w:szCs w:val="22"/>
        </w:rPr>
      </w:pPr>
      <w:r w:rsidRPr="001F224B">
        <w:rPr>
          <w:sz w:val="22"/>
          <w:szCs w:val="22"/>
        </w:rPr>
        <w:t>Maddi duran varlıkların ilk kayıtları elde etme tutarları ve varlığın kullanılabilir hale getirilebilmesi için gerekli diğer doğrudan giderlerin ilavesi suretiyle bulunmuş maliyet bedeli üzerinden yapılmakta ve ekspertiz sonuçlarının maliyet bedellerinin üstünde olması durumunda herhangi bir yeniden değerleme işlemine tabi tutulmamaktadır. Maddi duran varlıklar, kayda alınmalarını izleyen dönemde maliyet bedelinden birikmiş amortismanların ve varsa birikmiş değer azalışlarının düşülmesinden sonra kalan tutarları üzerinden finansal tablolarda gösterilmektedir.</w:t>
      </w:r>
    </w:p>
    <w:p w14:paraId="52063359" w14:textId="77777777" w:rsidR="00381693" w:rsidRPr="001F224B" w:rsidRDefault="00381693" w:rsidP="00381693">
      <w:pPr>
        <w:spacing w:before="120"/>
        <w:ind w:left="567"/>
        <w:jc w:val="both"/>
        <w:rPr>
          <w:sz w:val="22"/>
          <w:szCs w:val="22"/>
        </w:rPr>
      </w:pPr>
      <w:r w:rsidRPr="001F224B">
        <w:rPr>
          <w:sz w:val="22"/>
          <w:szCs w:val="22"/>
        </w:rPr>
        <w:t>Maddi duran varlıkların elden çıkartılması ya da bir maddi duran varlığın hizmetten alınması sonucu oluşan kar ve zararlar, ilgili maddi duran varlığın net satış hasılatı ile net defter değeri arasındaki fark olarak belirlenerek kar veya zarar tablosuna dahil edilir.</w:t>
      </w:r>
    </w:p>
    <w:p w14:paraId="52ECCC00" w14:textId="77777777" w:rsidR="00381693" w:rsidRPr="001F224B" w:rsidRDefault="00381693" w:rsidP="00381693">
      <w:pPr>
        <w:spacing w:before="120"/>
        <w:ind w:left="567"/>
        <w:jc w:val="both"/>
        <w:rPr>
          <w:bCs/>
          <w:sz w:val="22"/>
          <w:szCs w:val="22"/>
        </w:rPr>
      </w:pPr>
      <w:r w:rsidRPr="001F224B">
        <w:rPr>
          <w:sz w:val="22"/>
          <w:szCs w:val="22"/>
        </w:rPr>
        <w:t xml:space="preserve">Maddi duran 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r w:rsidRPr="001F224B">
        <w:rPr>
          <w:bCs/>
          <w:sz w:val="22"/>
          <w:szCs w:val="22"/>
        </w:rPr>
        <w:t>Maddi duran varlıkların üzerinde rehin, ipotek ve diğer tedbirler veya bunların alımı için verilen taahhütler ya da bunlar üzerindeki tasarruf haklarının kullanılmasını sınırlayan bir husus mevcut değildir.</w:t>
      </w:r>
    </w:p>
    <w:p w14:paraId="615B00B4" w14:textId="45C2C4C6" w:rsidR="00381693" w:rsidRPr="001F224B" w:rsidRDefault="00381693" w:rsidP="00381693">
      <w:pPr>
        <w:spacing w:before="120" w:after="120"/>
        <w:ind w:left="540"/>
        <w:jc w:val="both"/>
        <w:rPr>
          <w:sz w:val="22"/>
          <w:szCs w:val="22"/>
        </w:rPr>
      </w:pPr>
      <w:r w:rsidRPr="001F224B">
        <w:rPr>
          <w:sz w:val="22"/>
          <w:szCs w:val="22"/>
        </w:rPr>
        <w:t>Maddi duran varlıklar, normal amortisman yöntemi ile faydalı ömür esasına göre amortismana tabi tutulmuştur. Maddi duran varlıkların amortismanında kullanılan oranlar aşağıdaki gibidir</w:t>
      </w:r>
      <w:r w:rsidR="006052C6" w:rsidRPr="001F224B">
        <w:rPr>
          <w:sz w:val="22"/>
          <w:szCs w:val="22"/>
        </w:rPr>
        <w:t>:</w:t>
      </w:r>
    </w:p>
    <w:tbl>
      <w:tblPr>
        <w:tblW w:w="9355" w:type="dxa"/>
        <w:tblInd w:w="426" w:type="dxa"/>
        <w:tblLook w:val="04A0" w:firstRow="1" w:lastRow="0" w:firstColumn="1" w:lastColumn="0" w:noHBand="0" w:noVBand="1"/>
      </w:tblPr>
      <w:tblGrid>
        <w:gridCol w:w="2976"/>
        <w:gridCol w:w="3118"/>
        <w:gridCol w:w="3261"/>
      </w:tblGrid>
      <w:tr w:rsidR="00381693" w:rsidRPr="001F224B" w14:paraId="44004079" w14:textId="77777777" w:rsidTr="000608C7">
        <w:tc>
          <w:tcPr>
            <w:tcW w:w="2976" w:type="dxa"/>
          </w:tcPr>
          <w:p w14:paraId="7B36D806" w14:textId="77777777" w:rsidR="00381693" w:rsidRPr="001F224B" w:rsidRDefault="00381693" w:rsidP="002065BC">
            <w:pPr>
              <w:jc w:val="both"/>
              <w:rPr>
                <w:sz w:val="22"/>
                <w:szCs w:val="22"/>
              </w:rPr>
            </w:pPr>
          </w:p>
        </w:tc>
        <w:tc>
          <w:tcPr>
            <w:tcW w:w="3118" w:type="dxa"/>
          </w:tcPr>
          <w:p w14:paraId="020A47D5" w14:textId="77777777" w:rsidR="00381693" w:rsidRPr="001F224B" w:rsidRDefault="00381693" w:rsidP="002065BC">
            <w:pPr>
              <w:jc w:val="center"/>
              <w:rPr>
                <w:sz w:val="22"/>
                <w:szCs w:val="22"/>
                <w:u w:val="single"/>
              </w:rPr>
            </w:pPr>
            <w:r w:rsidRPr="001F224B">
              <w:rPr>
                <w:sz w:val="22"/>
                <w:szCs w:val="22"/>
                <w:u w:val="single"/>
              </w:rPr>
              <w:t>Tahmini Ekonomik Ömür (Yıl)</w:t>
            </w:r>
          </w:p>
        </w:tc>
        <w:tc>
          <w:tcPr>
            <w:tcW w:w="3261" w:type="dxa"/>
          </w:tcPr>
          <w:p w14:paraId="5F726E59" w14:textId="77777777" w:rsidR="00381693" w:rsidRPr="001F224B" w:rsidRDefault="00381693" w:rsidP="002065BC">
            <w:pPr>
              <w:jc w:val="right"/>
              <w:rPr>
                <w:sz w:val="22"/>
                <w:szCs w:val="22"/>
                <w:u w:val="single"/>
              </w:rPr>
            </w:pPr>
            <w:r w:rsidRPr="001F224B">
              <w:rPr>
                <w:sz w:val="22"/>
                <w:szCs w:val="22"/>
                <w:u w:val="single"/>
              </w:rPr>
              <w:t>Amortisman Oranı (%)</w:t>
            </w:r>
          </w:p>
        </w:tc>
      </w:tr>
      <w:tr w:rsidR="00381693" w:rsidRPr="001F224B" w14:paraId="3A5AA563" w14:textId="77777777" w:rsidTr="000608C7">
        <w:tc>
          <w:tcPr>
            <w:tcW w:w="2976" w:type="dxa"/>
          </w:tcPr>
          <w:p w14:paraId="58B64144" w14:textId="77777777" w:rsidR="00381693" w:rsidRPr="001F224B" w:rsidRDefault="00381693" w:rsidP="002065BC">
            <w:pPr>
              <w:ind w:left="29"/>
              <w:jc w:val="both"/>
              <w:rPr>
                <w:sz w:val="22"/>
                <w:szCs w:val="22"/>
              </w:rPr>
            </w:pPr>
            <w:r w:rsidRPr="001F224B">
              <w:rPr>
                <w:sz w:val="22"/>
                <w:szCs w:val="22"/>
              </w:rPr>
              <w:t>Binalar</w:t>
            </w:r>
          </w:p>
        </w:tc>
        <w:tc>
          <w:tcPr>
            <w:tcW w:w="3118" w:type="dxa"/>
          </w:tcPr>
          <w:p w14:paraId="62F2A957" w14:textId="77777777" w:rsidR="00381693" w:rsidRPr="001F224B" w:rsidRDefault="00381693" w:rsidP="002065BC">
            <w:pPr>
              <w:jc w:val="right"/>
              <w:rPr>
                <w:sz w:val="22"/>
                <w:szCs w:val="22"/>
              </w:rPr>
            </w:pPr>
            <w:r w:rsidRPr="001F224B">
              <w:rPr>
                <w:sz w:val="22"/>
                <w:szCs w:val="22"/>
              </w:rPr>
              <w:t>50</w:t>
            </w:r>
          </w:p>
        </w:tc>
        <w:tc>
          <w:tcPr>
            <w:tcW w:w="3261" w:type="dxa"/>
          </w:tcPr>
          <w:p w14:paraId="12574E11" w14:textId="77777777" w:rsidR="00381693" w:rsidRPr="001F224B" w:rsidRDefault="00381693" w:rsidP="002065BC">
            <w:pPr>
              <w:jc w:val="right"/>
              <w:rPr>
                <w:sz w:val="22"/>
                <w:szCs w:val="22"/>
              </w:rPr>
            </w:pPr>
            <w:r w:rsidRPr="001F224B">
              <w:rPr>
                <w:sz w:val="22"/>
                <w:szCs w:val="22"/>
              </w:rPr>
              <w:t>2</w:t>
            </w:r>
          </w:p>
        </w:tc>
      </w:tr>
      <w:tr w:rsidR="00381693" w:rsidRPr="001F224B" w14:paraId="56CF5887" w14:textId="77777777" w:rsidTr="000608C7">
        <w:tc>
          <w:tcPr>
            <w:tcW w:w="2976" w:type="dxa"/>
          </w:tcPr>
          <w:p w14:paraId="42879E2E" w14:textId="77777777" w:rsidR="00381693" w:rsidRPr="001F224B" w:rsidRDefault="00381693" w:rsidP="002065BC">
            <w:pPr>
              <w:ind w:left="29"/>
              <w:jc w:val="both"/>
              <w:rPr>
                <w:sz w:val="22"/>
                <w:szCs w:val="22"/>
              </w:rPr>
            </w:pPr>
            <w:r w:rsidRPr="001F224B">
              <w:rPr>
                <w:sz w:val="22"/>
                <w:szCs w:val="22"/>
              </w:rPr>
              <w:t>Kasalar</w:t>
            </w:r>
          </w:p>
        </w:tc>
        <w:tc>
          <w:tcPr>
            <w:tcW w:w="3118" w:type="dxa"/>
          </w:tcPr>
          <w:p w14:paraId="67CC3508" w14:textId="77777777" w:rsidR="00381693" w:rsidRPr="001F224B" w:rsidRDefault="00381693" w:rsidP="002065BC">
            <w:pPr>
              <w:jc w:val="right"/>
              <w:rPr>
                <w:sz w:val="22"/>
                <w:szCs w:val="22"/>
              </w:rPr>
            </w:pPr>
            <w:r w:rsidRPr="001F224B">
              <w:rPr>
                <w:sz w:val="22"/>
                <w:szCs w:val="22"/>
              </w:rPr>
              <w:t xml:space="preserve">50 </w:t>
            </w:r>
          </w:p>
        </w:tc>
        <w:tc>
          <w:tcPr>
            <w:tcW w:w="3261" w:type="dxa"/>
          </w:tcPr>
          <w:p w14:paraId="201B6A72" w14:textId="77777777" w:rsidR="00381693" w:rsidRPr="001F224B" w:rsidRDefault="00381693" w:rsidP="002065BC">
            <w:pPr>
              <w:jc w:val="right"/>
              <w:rPr>
                <w:sz w:val="22"/>
                <w:szCs w:val="22"/>
              </w:rPr>
            </w:pPr>
            <w:r w:rsidRPr="001F224B">
              <w:rPr>
                <w:sz w:val="22"/>
                <w:szCs w:val="22"/>
              </w:rPr>
              <w:t>2</w:t>
            </w:r>
          </w:p>
        </w:tc>
      </w:tr>
      <w:tr w:rsidR="00381693" w:rsidRPr="001F224B" w14:paraId="4B8E2BDE" w14:textId="77777777" w:rsidTr="000608C7">
        <w:tc>
          <w:tcPr>
            <w:tcW w:w="2976" w:type="dxa"/>
          </w:tcPr>
          <w:p w14:paraId="6B8406F6" w14:textId="77777777" w:rsidR="00381693" w:rsidRPr="001F224B" w:rsidRDefault="00381693" w:rsidP="002065BC">
            <w:pPr>
              <w:ind w:left="29"/>
              <w:jc w:val="both"/>
              <w:rPr>
                <w:sz w:val="22"/>
                <w:szCs w:val="22"/>
              </w:rPr>
            </w:pPr>
            <w:r w:rsidRPr="001F224B">
              <w:rPr>
                <w:sz w:val="22"/>
                <w:szCs w:val="22"/>
              </w:rPr>
              <w:t>Araçlar</w:t>
            </w:r>
          </w:p>
        </w:tc>
        <w:tc>
          <w:tcPr>
            <w:tcW w:w="3118" w:type="dxa"/>
          </w:tcPr>
          <w:p w14:paraId="430BF5FE" w14:textId="77777777" w:rsidR="00381693" w:rsidRPr="001F224B" w:rsidRDefault="00381693" w:rsidP="002065BC">
            <w:pPr>
              <w:jc w:val="right"/>
              <w:rPr>
                <w:sz w:val="22"/>
                <w:szCs w:val="22"/>
              </w:rPr>
            </w:pPr>
            <w:r w:rsidRPr="001F224B">
              <w:rPr>
                <w:sz w:val="22"/>
                <w:szCs w:val="22"/>
              </w:rPr>
              <w:t xml:space="preserve">5 </w:t>
            </w:r>
          </w:p>
        </w:tc>
        <w:tc>
          <w:tcPr>
            <w:tcW w:w="3261" w:type="dxa"/>
          </w:tcPr>
          <w:p w14:paraId="3CE8D708" w14:textId="77777777" w:rsidR="00381693" w:rsidRPr="001F224B" w:rsidRDefault="00381693" w:rsidP="002065BC">
            <w:pPr>
              <w:jc w:val="right"/>
              <w:rPr>
                <w:sz w:val="22"/>
                <w:szCs w:val="22"/>
              </w:rPr>
            </w:pPr>
            <w:r w:rsidRPr="001F224B">
              <w:rPr>
                <w:sz w:val="22"/>
                <w:szCs w:val="22"/>
              </w:rPr>
              <w:t>20</w:t>
            </w:r>
          </w:p>
        </w:tc>
      </w:tr>
      <w:tr w:rsidR="00381693" w:rsidRPr="001F224B" w14:paraId="2D4EDFED" w14:textId="77777777" w:rsidTr="000608C7">
        <w:tc>
          <w:tcPr>
            <w:tcW w:w="2976" w:type="dxa"/>
          </w:tcPr>
          <w:p w14:paraId="2835B4F3" w14:textId="77777777" w:rsidR="00381693" w:rsidRPr="001F224B" w:rsidRDefault="00381693" w:rsidP="002065BC">
            <w:pPr>
              <w:ind w:left="29"/>
              <w:jc w:val="both"/>
            </w:pPr>
            <w:r w:rsidRPr="001F224B">
              <w:rPr>
                <w:sz w:val="22"/>
                <w:szCs w:val="22"/>
              </w:rPr>
              <w:t>Diğer Menkuller</w:t>
            </w:r>
          </w:p>
        </w:tc>
        <w:tc>
          <w:tcPr>
            <w:tcW w:w="3118" w:type="dxa"/>
          </w:tcPr>
          <w:p w14:paraId="2F6B84D4" w14:textId="77777777" w:rsidR="00381693" w:rsidRPr="001F224B" w:rsidRDefault="00381693" w:rsidP="002065BC">
            <w:pPr>
              <w:jc w:val="right"/>
              <w:rPr>
                <w:sz w:val="22"/>
                <w:szCs w:val="22"/>
              </w:rPr>
            </w:pPr>
            <w:r w:rsidRPr="001F224B">
              <w:rPr>
                <w:sz w:val="22"/>
                <w:szCs w:val="22"/>
              </w:rPr>
              <w:t xml:space="preserve">3-15 </w:t>
            </w:r>
          </w:p>
        </w:tc>
        <w:tc>
          <w:tcPr>
            <w:tcW w:w="3261" w:type="dxa"/>
          </w:tcPr>
          <w:p w14:paraId="4AD3757C" w14:textId="77777777" w:rsidR="00381693" w:rsidRPr="001F224B" w:rsidRDefault="00381693" w:rsidP="002065BC">
            <w:pPr>
              <w:jc w:val="right"/>
            </w:pPr>
            <w:r w:rsidRPr="001F224B">
              <w:rPr>
                <w:sz w:val="22"/>
                <w:szCs w:val="22"/>
              </w:rPr>
              <w:t>6,66-33,33</w:t>
            </w:r>
          </w:p>
        </w:tc>
      </w:tr>
    </w:tbl>
    <w:p w14:paraId="45F164AF" w14:textId="02A22948" w:rsidR="00381693" w:rsidRPr="001F224B" w:rsidRDefault="00E10A9C" w:rsidP="00381693">
      <w:pPr>
        <w:pStyle w:val="NormalWeb"/>
        <w:spacing w:before="120" w:beforeAutospacing="0" w:after="0" w:afterAutospacing="0"/>
        <w:ind w:left="567"/>
        <w:jc w:val="both"/>
        <w:rPr>
          <w:rFonts w:ascii="Times New Roman" w:cs="Times New Roman"/>
          <w:i/>
          <w:iCs/>
          <w:sz w:val="12"/>
          <w:szCs w:val="12"/>
          <w:lang w:val="tr-TR"/>
        </w:rPr>
      </w:pPr>
      <w:r w:rsidRPr="001F224B">
        <w:rPr>
          <w:rFonts w:ascii="Times New Roman" w:cs="Times New Roman"/>
          <w:sz w:val="22"/>
          <w:szCs w:val="22"/>
          <w:lang w:val="tr-TR"/>
        </w:rPr>
        <w:t>Ekonomik ömür</w:t>
      </w:r>
      <w:r w:rsidR="00381693" w:rsidRPr="001F224B">
        <w:rPr>
          <w:rFonts w:ascii="Times New Roman" w:cs="Times New Roman"/>
          <w:sz w:val="22"/>
          <w:szCs w:val="22"/>
          <w:lang w:val="tr-TR"/>
        </w:rPr>
        <w:t xml:space="preserve"> tahmininde, cari dönemde önemli bir etkisi olan ya da sonraki dönemlerde önemli bir etkisi olması beklenen değişiklik</w:t>
      </w:r>
      <w:r w:rsidR="00381693" w:rsidRPr="001F224B">
        <w:rPr>
          <w:rFonts w:ascii="Times New Roman" w:cs="Times New Roman"/>
          <w:i/>
          <w:iCs/>
          <w:sz w:val="22"/>
          <w:szCs w:val="22"/>
          <w:lang w:val="tr-TR"/>
        </w:rPr>
        <w:t xml:space="preserve"> </w:t>
      </w:r>
      <w:r w:rsidR="00381693" w:rsidRPr="001F224B">
        <w:rPr>
          <w:rFonts w:ascii="Times New Roman" w:eastAsia="Times New Roman" w:cs="Times New Roman"/>
          <w:bCs/>
          <w:sz w:val="22"/>
          <w:szCs w:val="22"/>
          <w:lang w:val="tr-TR" w:eastAsia="tr-TR"/>
        </w:rPr>
        <w:t xml:space="preserve">bulunmamaktadır. </w:t>
      </w:r>
    </w:p>
    <w:p w14:paraId="1D5961DD" w14:textId="77777777" w:rsidR="009F68BC" w:rsidRPr="001F224B" w:rsidRDefault="009F68BC">
      <w:pPr>
        <w:rPr>
          <w:sz w:val="22"/>
          <w:szCs w:val="22"/>
          <w:lang w:eastAsia="en-US"/>
        </w:rPr>
      </w:pPr>
      <w:r w:rsidRPr="001F224B">
        <w:rPr>
          <w:sz w:val="22"/>
          <w:szCs w:val="22"/>
          <w:lang w:eastAsia="en-US"/>
        </w:rPr>
        <w:br w:type="page"/>
      </w:r>
    </w:p>
    <w:p w14:paraId="69EF5D7D" w14:textId="77777777" w:rsidR="00161174" w:rsidRPr="001F224B" w:rsidRDefault="00161174" w:rsidP="00161174">
      <w:pPr>
        <w:pStyle w:val="ListParagraph"/>
        <w:spacing w:before="120"/>
        <w:ind w:left="0"/>
        <w:rPr>
          <w:b/>
          <w:bCs/>
          <w:sz w:val="22"/>
          <w:szCs w:val="22"/>
        </w:rPr>
      </w:pPr>
      <w:r w:rsidRPr="001F224B">
        <w:rPr>
          <w:b/>
          <w:bCs/>
          <w:sz w:val="22"/>
          <w:szCs w:val="22"/>
        </w:rPr>
        <w:t>ÜÇÜNCÜ BÖLÜM (Devamı)</w:t>
      </w:r>
    </w:p>
    <w:p w14:paraId="1EE27328" w14:textId="77777777" w:rsidR="00161174" w:rsidRPr="001F224B" w:rsidRDefault="00161174" w:rsidP="00161174">
      <w:pPr>
        <w:pStyle w:val="ListParagraph"/>
        <w:tabs>
          <w:tab w:val="left" w:pos="142"/>
        </w:tabs>
        <w:spacing w:before="60" w:afterLines="60" w:after="144"/>
        <w:ind w:left="142" w:hanging="142"/>
        <w:rPr>
          <w:b/>
          <w:bCs/>
          <w:sz w:val="22"/>
          <w:szCs w:val="22"/>
        </w:rPr>
      </w:pPr>
      <w:r w:rsidRPr="001F224B">
        <w:rPr>
          <w:b/>
          <w:bCs/>
          <w:sz w:val="22"/>
          <w:szCs w:val="22"/>
        </w:rPr>
        <w:t>MUHASEBE POLİTİKALARI (Devamı)</w:t>
      </w:r>
    </w:p>
    <w:p w14:paraId="70688AD6" w14:textId="02C3C979" w:rsidR="00161174" w:rsidRPr="001F224B" w:rsidRDefault="00161174" w:rsidP="00122451">
      <w:pPr>
        <w:tabs>
          <w:tab w:val="left" w:pos="567"/>
        </w:tabs>
        <w:spacing w:before="120"/>
        <w:rPr>
          <w:b/>
          <w:bCs/>
          <w:sz w:val="22"/>
          <w:szCs w:val="22"/>
        </w:rPr>
      </w:pPr>
      <w:r w:rsidRPr="001F224B">
        <w:rPr>
          <w:b/>
          <w:bCs/>
          <w:sz w:val="22"/>
          <w:szCs w:val="22"/>
        </w:rPr>
        <w:t xml:space="preserve">XVI. </w:t>
      </w:r>
      <w:r w:rsidR="00122451" w:rsidRPr="001F224B">
        <w:rPr>
          <w:b/>
          <w:bCs/>
          <w:sz w:val="22"/>
          <w:szCs w:val="22"/>
        </w:rPr>
        <w:t xml:space="preserve">  </w:t>
      </w:r>
      <w:r w:rsidRPr="001F224B">
        <w:rPr>
          <w:b/>
          <w:bCs/>
          <w:sz w:val="22"/>
          <w:szCs w:val="22"/>
        </w:rPr>
        <w:t>Kiralama işlemlerine ilişkin açıklamalar</w:t>
      </w:r>
    </w:p>
    <w:p w14:paraId="75A3349E" w14:textId="77777777" w:rsidR="00161174" w:rsidRPr="001F224B" w:rsidRDefault="00161174" w:rsidP="00161174">
      <w:pPr>
        <w:spacing w:before="120"/>
        <w:ind w:left="567"/>
        <w:jc w:val="both"/>
        <w:rPr>
          <w:sz w:val="22"/>
          <w:szCs w:val="22"/>
        </w:rPr>
      </w:pPr>
      <w:r w:rsidRPr="001F224B">
        <w:rPr>
          <w:bCs/>
          <w:sz w:val="22"/>
          <w:szCs w:val="22"/>
        </w:rPr>
        <w:t>“TFRS 16 Kiralamalar” Standardı, 1 Ocak 2019 tarihi itibarıyla uygulanmak üzere 16 Nisan 2018 tarihli ve 29826 sayılı Resmi Gazete’de yayımlanmıştır.</w:t>
      </w:r>
      <w:r w:rsidRPr="001F224B">
        <w:rPr>
          <w:sz w:val="22"/>
          <w:szCs w:val="22"/>
        </w:rPr>
        <w:t xml:space="preserve"> </w:t>
      </w:r>
    </w:p>
    <w:p w14:paraId="11267B6D" w14:textId="5F1F4491" w:rsidR="00161174" w:rsidRPr="001F224B" w:rsidRDefault="00161174" w:rsidP="00161174">
      <w:pPr>
        <w:spacing w:before="120"/>
        <w:ind w:left="567"/>
        <w:jc w:val="both"/>
        <w:rPr>
          <w:b/>
          <w:bCs/>
          <w:i/>
          <w:iCs/>
          <w:sz w:val="22"/>
          <w:szCs w:val="22"/>
        </w:rPr>
      </w:pPr>
      <w:r w:rsidRPr="001F224B">
        <w:rPr>
          <w:b/>
          <w:bCs/>
          <w:i/>
          <w:iCs/>
          <w:sz w:val="22"/>
          <w:szCs w:val="22"/>
        </w:rPr>
        <w:t>Kiracı olarak Ana Ortaklık Banka</w:t>
      </w:r>
      <w:r w:rsidR="00886F8D" w:rsidRPr="001F224B">
        <w:rPr>
          <w:b/>
          <w:bCs/>
          <w:i/>
          <w:iCs/>
          <w:sz w:val="22"/>
          <w:szCs w:val="22"/>
        </w:rPr>
        <w:t>:</w:t>
      </w:r>
    </w:p>
    <w:p w14:paraId="0C59B8FA" w14:textId="77777777" w:rsidR="00161174" w:rsidRPr="001F224B" w:rsidRDefault="00161174" w:rsidP="00161174">
      <w:pPr>
        <w:spacing w:before="120"/>
        <w:ind w:left="567"/>
        <w:jc w:val="both"/>
        <w:rPr>
          <w:sz w:val="22"/>
          <w:szCs w:val="22"/>
        </w:rPr>
      </w:pPr>
      <w:r w:rsidRPr="001F224B">
        <w:rPr>
          <w:bCs/>
          <w:sz w:val="22"/>
          <w:szCs w:val="22"/>
        </w:rPr>
        <w:t>“TFRS 16 Kiralamalar” Standardı,  kiracılar açısından finansal kiralama – faaliyet kiralaması ayrımını kaldırmakta ve tüm kiralama işlemleri için tek bir muhasebeleştirme modeli getirmektedir. Standarda göre kiracı, kiralamanın fiilen başladığı tarihte finansal tablolarına bir “kullanım hakkı veren varlık” ve bir “kira yükümlülüğü” yansıtır. Kullanım hakkı veren varlığın başlangıç maliyeti, kira yükümlülüğü ile kiracı tarafından yüklenilen başlangıçtaki doğrudan maliyetlerin toplamından alınan kiralama teşviklerinin düşülmesi suretiyle ölçülür. Kira başlangıcından sonraki ölçümlerde ise maliyet yöntemi kullanılır. Bu yöntemde, kullanım hakkı veren varlık maliyet bedelinden birikmiş amortisman ve birikmiş değer düşüklüğü karşılıkları düşülerek ölçülür. Kira yükümlülüğü başlangıçta, kiralama süresi boyunca yapılacak kira ödemelerinin bugünkü değeri üzerinden ölçülür. Sonraki ölçümlerde yükümlülüğün d</w:t>
      </w:r>
      <w:r w:rsidRPr="001F224B">
        <w:rPr>
          <w:sz w:val="22"/>
          <w:szCs w:val="22"/>
        </w:rPr>
        <w:t>efter değeri, kira yükümlülüğündeki faizi yansıtacak şekilde artırılır, yapılan kira ödemelerini yansıtacak şekilde azaltılır. TFRS 16, 12 ay ve daha kısa süreli kiralamalar ile değeri düşük varlıklarla ilgili kiralamalara istisna getirmiştir.</w:t>
      </w:r>
    </w:p>
    <w:p w14:paraId="691A0105" w14:textId="65E56711" w:rsidR="00161174" w:rsidRPr="001F224B" w:rsidRDefault="00161174" w:rsidP="00161174">
      <w:pPr>
        <w:spacing w:before="120"/>
        <w:ind w:left="567"/>
        <w:jc w:val="both"/>
        <w:rPr>
          <w:sz w:val="22"/>
          <w:szCs w:val="22"/>
        </w:rPr>
      </w:pPr>
      <w:r w:rsidRPr="001F224B">
        <w:rPr>
          <w:bCs/>
          <w:sz w:val="22"/>
          <w:szCs w:val="22"/>
        </w:rPr>
        <w:t xml:space="preserve">Finansal kiralama işlemlerinde kiracı durumunda olan Grup, 12 aydan daha uzun tüm kiralama işlemlerini, finansal durum tablosunda varlık ve yükümlülük olarak muhasebeleştirmektedir. Kiralamaya konu varlığa ilişkin amortisman gideri ile kira ödemelerindeki faiz gideri kar/zarar tablosunda raporlanmaktadır. </w:t>
      </w:r>
      <w:r w:rsidRPr="001F224B">
        <w:rPr>
          <w:sz w:val="22"/>
          <w:szCs w:val="22"/>
        </w:rPr>
        <w:t>Kira yükümlülüğü başlangıçta, kiralama süresi boyunca yapılacak kira ödemelerinin bugünkü değeri üzerinden Grup’un TL alternatif kaynak maliyeti oranı kullanılarak ölçülmüştür.</w:t>
      </w:r>
    </w:p>
    <w:p w14:paraId="25A6117B" w14:textId="4D96454B" w:rsidR="00161174" w:rsidRPr="001F224B" w:rsidRDefault="00161174" w:rsidP="00161174">
      <w:pPr>
        <w:spacing w:before="120"/>
        <w:ind w:left="567"/>
        <w:jc w:val="both"/>
        <w:rPr>
          <w:b/>
          <w:bCs/>
          <w:i/>
          <w:iCs/>
          <w:sz w:val="22"/>
          <w:szCs w:val="22"/>
        </w:rPr>
      </w:pPr>
      <w:r w:rsidRPr="001F224B">
        <w:rPr>
          <w:b/>
          <w:bCs/>
          <w:i/>
          <w:iCs/>
          <w:sz w:val="22"/>
          <w:szCs w:val="22"/>
        </w:rPr>
        <w:t>Kiraya veren olarak Ana Ortaklık Banka</w:t>
      </w:r>
      <w:r w:rsidR="00886F8D" w:rsidRPr="001F224B">
        <w:rPr>
          <w:b/>
          <w:bCs/>
          <w:i/>
          <w:iCs/>
          <w:sz w:val="22"/>
          <w:szCs w:val="22"/>
        </w:rPr>
        <w:t>:</w:t>
      </w:r>
    </w:p>
    <w:p w14:paraId="6EF96E67" w14:textId="77777777" w:rsidR="00161174" w:rsidRPr="001F224B" w:rsidRDefault="00161174" w:rsidP="00161174">
      <w:pPr>
        <w:spacing w:before="120"/>
        <w:ind w:left="567"/>
        <w:jc w:val="both"/>
        <w:rPr>
          <w:bCs/>
          <w:sz w:val="22"/>
          <w:szCs w:val="22"/>
        </w:rPr>
      </w:pPr>
      <w:r w:rsidRPr="001F224B">
        <w:rPr>
          <w:bCs/>
          <w:sz w:val="22"/>
          <w:szCs w:val="22"/>
        </w:rPr>
        <w:t xml:space="preserve">“TFRS 16 Kiralamalar” Standardına göre kiraya verenler açısından finansal kiralama – faaliyet kiralaması ayrımı devam etmektedir. Kiraya veren, kiralama sözleşmesine konu olan varlığın mülkiyetine sahip olmaktan kaynaklanan önemli risk ve faydaları kiracıya devrediyorsa, bu sözleşmeyi finansal kiralama olarak sınıflandıracaktır. Diğer kiralamalar ise faaliyet kiralaması olarak sınıflandırılacaktır. </w:t>
      </w:r>
      <w:r w:rsidRPr="001F224B">
        <w:rPr>
          <w:sz w:val="22"/>
          <w:szCs w:val="22"/>
        </w:rPr>
        <w:t xml:space="preserve">Ana Ortaklık </w:t>
      </w:r>
      <w:r w:rsidRPr="001F224B">
        <w:rPr>
          <w:bCs/>
          <w:sz w:val="22"/>
          <w:szCs w:val="22"/>
        </w:rPr>
        <w:t xml:space="preserve">Banka’nın finansal kiralama işlemleri dışında kalan ve Bankacılık işlemlerinde kullanılmayan varlıklarının kiraya verilmesinden doğan alacakları kiralama işleminden alacaklar hesabında izlenmekte ve tahakkuk esasına göre muhasebeleştirilmektedir. </w:t>
      </w:r>
    </w:p>
    <w:p w14:paraId="720D53A2" w14:textId="18ED2730" w:rsidR="00161174" w:rsidRPr="001F224B" w:rsidRDefault="00161174" w:rsidP="00161174">
      <w:pPr>
        <w:pStyle w:val="ListParagraph"/>
        <w:spacing w:before="120"/>
        <w:ind w:left="0"/>
        <w:jc w:val="both"/>
        <w:rPr>
          <w:b/>
          <w:bCs/>
          <w:sz w:val="22"/>
          <w:szCs w:val="22"/>
        </w:rPr>
      </w:pPr>
      <w:r w:rsidRPr="001F224B">
        <w:rPr>
          <w:b/>
          <w:bCs/>
          <w:sz w:val="22"/>
          <w:szCs w:val="22"/>
        </w:rPr>
        <w:t>XVII. Karşılıklar ve koşullu yükümlülüklere ilişkin açıklamalar</w:t>
      </w:r>
    </w:p>
    <w:p w14:paraId="044E758D" w14:textId="77777777" w:rsidR="00161174" w:rsidRPr="001F224B" w:rsidRDefault="00161174" w:rsidP="00161174">
      <w:pPr>
        <w:spacing w:before="120"/>
        <w:ind w:left="567"/>
        <w:jc w:val="both"/>
        <w:rPr>
          <w:rFonts w:eastAsia="Arial Unicode MS"/>
          <w:bCs/>
          <w:sz w:val="22"/>
          <w:szCs w:val="22"/>
        </w:rPr>
      </w:pPr>
      <w:r w:rsidRPr="001F224B">
        <w:rPr>
          <w:rFonts w:eastAsia="Arial Unicode MS"/>
          <w:bCs/>
          <w:sz w:val="22"/>
          <w:szCs w:val="22"/>
        </w:rPr>
        <w:t>Grup,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14:paraId="510053E6" w14:textId="77777777" w:rsidR="00161174" w:rsidRPr="001F224B" w:rsidRDefault="00161174" w:rsidP="00161174">
      <w:pPr>
        <w:spacing w:before="120"/>
        <w:ind w:left="567"/>
        <w:jc w:val="both"/>
        <w:rPr>
          <w:rFonts w:eastAsia="Arial Unicode MS"/>
          <w:bCs/>
          <w:sz w:val="22"/>
          <w:szCs w:val="22"/>
        </w:rPr>
      </w:pPr>
      <w:r w:rsidRPr="001F224B">
        <w:rPr>
          <w:rFonts w:eastAsia="Arial Unicode MS"/>
          <w:bCs/>
          <w:sz w:val="22"/>
          <w:szCs w:val="22"/>
        </w:rPr>
        <w:t>Krediler ve diğer alacaklar için ayrılan beklenen zarar karşılıkları dışında kalan karşılıklar ve koşullu yükümlülükler “Karşılıklar, Koşullu Borçlar ve Koşullu Varlıklara İlişkin Türkiye Muhasebe Standardı”na (TMS 37) uygun olarak muhasebeleştirilmektedir.</w:t>
      </w:r>
    </w:p>
    <w:p w14:paraId="149F88CE" w14:textId="77777777" w:rsidR="00161174" w:rsidRPr="001F224B" w:rsidRDefault="00161174" w:rsidP="00161174">
      <w:pPr>
        <w:spacing w:before="120"/>
        <w:ind w:left="567"/>
        <w:jc w:val="both"/>
        <w:rPr>
          <w:rFonts w:eastAsia="Arial Unicode MS"/>
          <w:bCs/>
          <w:sz w:val="22"/>
          <w:szCs w:val="22"/>
        </w:rPr>
      </w:pPr>
      <w:r w:rsidRPr="001F224B">
        <w:rPr>
          <w:rFonts w:eastAsia="Arial Unicode MS"/>
          <w:bCs/>
          <w:sz w:val="22"/>
          <w:szCs w:val="22"/>
        </w:rPr>
        <w:t>Mali bünyeyi etkileyebilecek boyuttaki işlemlerden verileri net olanlar için bu verilere dayanılarak, aksi durumda olanlar için ise tahmini olarak karşılık ayrılmaktadır.</w:t>
      </w:r>
    </w:p>
    <w:p w14:paraId="65843B3A" w14:textId="77777777" w:rsidR="00161174" w:rsidRPr="001F224B" w:rsidRDefault="00161174">
      <w:pPr>
        <w:rPr>
          <w:bCs/>
          <w:sz w:val="22"/>
          <w:szCs w:val="22"/>
        </w:rPr>
      </w:pPr>
      <w:r w:rsidRPr="001F224B">
        <w:rPr>
          <w:bCs/>
          <w:sz w:val="22"/>
          <w:szCs w:val="22"/>
        </w:rPr>
        <w:br w:type="page"/>
      </w:r>
    </w:p>
    <w:p w14:paraId="7A39AD34" w14:textId="77777777" w:rsidR="00161174" w:rsidRPr="001F224B" w:rsidRDefault="00161174" w:rsidP="00161174">
      <w:pPr>
        <w:pStyle w:val="ListParagraph"/>
        <w:tabs>
          <w:tab w:val="left" w:pos="142"/>
        </w:tabs>
        <w:spacing w:before="120"/>
        <w:ind w:left="0"/>
        <w:rPr>
          <w:b/>
          <w:bCs/>
          <w:sz w:val="22"/>
          <w:szCs w:val="22"/>
        </w:rPr>
      </w:pPr>
      <w:r w:rsidRPr="001F224B">
        <w:rPr>
          <w:b/>
          <w:bCs/>
          <w:sz w:val="22"/>
          <w:szCs w:val="22"/>
        </w:rPr>
        <w:t>ÜÇÜNCÜ BÖLÜM (Devamı)</w:t>
      </w:r>
    </w:p>
    <w:p w14:paraId="11B6AE5C" w14:textId="77777777" w:rsidR="00161174" w:rsidRPr="001F224B" w:rsidRDefault="00161174" w:rsidP="00161174">
      <w:pPr>
        <w:pStyle w:val="ListParagraph"/>
        <w:tabs>
          <w:tab w:val="left" w:pos="142"/>
        </w:tabs>
        <w:spacing w:before="60" w:afterLines="60" w:after="144"/>
        <w:ind w:left="0"/>
        <w:rPr>
          <w:b/>
          <w:bCs/>
          <w:sz w:val="22"/>
          <w:szCs w:val="22"/>
        </w:rPr>
      </w:pPr>
      <w:r w:rsidRPr="001F224B">
        <w:rPr>
          <w:b/>
          <w:bCs/>
          <w:sz w:val="22"/>
          <w:szCs w:val="22"/>
        </w:rPr>
        <w:t>MUHASEBE POLİTİKALARI (Devamı)</w:t>
      </w:r>
    </w:p>
    <w:p w14:paraId="284BCCAD" w14:textId="5D052737" w:rsidR="00161174" w:rsidRPr="001F224B" w:rsidRDefault="00161174" w:rsidP="003E1995">
      <w:pPr>
        <w:spacing w:before="120"/>
        <w:ind w:left="-142"/>
        <w:jc w:val="both"/>
        <w:rPr>
          <w:b/>
          <w:bCs/>
          <w:sz w:val="22"/>
          <w:szCs w:val="22"/>
        </w:rPr>
      </w:pPr>
      <w:r w:rsidRPr="001F224B">
        <w:rPr>
          <w:b/>
          <w:bCs/>
          <w:sz w:val="22"/>
          <w:szCs w:val="22"/>
        </w:rPr>
        <w:t>XVIII. Çalışanların haklarına ilişkin yükümlülüklere ilişkin açıklamalar</w:t>
      </w:r>
    </w:p>
    <w:p w14:paraId="4DA87013" w14:textId="77777777" w:rsidR="00CF6282" w:rsidRPr="001F224B" w:rsidRDefault="00CF6282" w:rsidP="00CF6282">
      <w:pPr>
        <w:spacing w:before="120"/>
        <w:ind w:left="567"/>
        <w:jc w:val="both"/>
        <w:rPr>
          <w:sz w:val="22"/>
          <w:szCs w:val="22"/>
        </w:rPr>
      </w:pPr>
      <w:r w:rsidRPr="001F224B">
        <w:rPr>
          <w:sz w:val="22"/>
          <w:szCs w:val="22"/>
        </w:rPr>
        <w:t>Çalışanların haklarına ilişkin yükümlülükler, “Çalışanlara Sağlanan Faydalara İlişkin Türkiye Muhasebe Standardı” (TMS 19) hükümlerine göre muhasebeleştirilmiştir.</w:t>
      </w:r>
    </w:p>
    <w:p w14:paraId="51E0587A" w14:textId="77777777" w:rsidR="00CF6282" w:rsidRPr="001F224B" w:rsidRDefault="00CF6282" w:rsidP="00CF6282">
      <w:pPr>
        <w:spacing w:before="120"/>
        <w:ind w:left="540"/>
        <w:jc w:val="both"/>
        <w:rPr>
          <w:rFonts w:eastAsia="Arial Unicode MS"/>
          <w:bCs/>
          <w:sz w:val="22"/>
          <w:szCs w:val="22"/>
        </w:rPr>
      </w:pPr>
      <w:bookmarkStart w:id="12" w:name="_Hlk195688203"/>
      <w:r w:rsidRPr="001F224B">
        <w:rPr>
          <w:rFonts w:eastAsia="Arial Unicode MS"/>
          <w:bCs/>
          <w:sz w:val="22"/>
          <w:szCs w:val="22"/>
        </w:rPr>
        <w:t>Türk yasaları ve sendika sözleşmelerine göre kıdem tazminatları emeklilik veya işten çıkarılma durumunda ödenmektedir. Personelin, Banka’daki çalışma statüsü ve bağlı olduğu sosyal güvenlik kurumu mevzuatı uyarınca, 5434 sayılı Kanun ile ilişkilendirilenlere emekli ikramiyesi, 4857 sayılı Kanun ile ilişkilendirilenlere ise kıdem tazminatı hesaplanmaktadır.</w:t>
      </w:r>
    </w:p>
    <w:p w14:paraId="26AF166A" w14:textId="77777777" w:rsidR="00CF6282" w:rsidRPr="001F224B" w:rsidRDefault="00CF6282" w:rsidP="00CF6282">
      <w:pPr>
        <w:spacing w:before="120"/>
        <w:ind w:left="539"/>
        <w:jc w:val="both"/>
        <w:rPr>
          <w:rFonts w:eastAsia="Calibri"/>
          <w:sz w:val="22"/>
          <w:szCs w:val="22"/>
        </w:rPr>
      </w:pPr>
      <w:r w:rsidRPr="001F224B">
        <w:rPr>
          <w:rFonts w:eastAsia="Calibri"/>
          <w:sz w:val="22"/>
          <w:szCs w:val="22"/>
          <w:lang w:eastAsia="en-US"/>
        </w:rPr>
        <w:t xml:space="preserve">Çalışan haklarından doğabilecek toplam yükümlülüğün hesaplanmasındaki ana varsayım, her hizmet yılı için olan azami yükümlülük tutarının enflasyona paralel olarak artacak olmasıdır. Dolayısıyla uygulanan </w:t>
      </w:r>
      <w:proofErr w:type="spellStart"/>
      <w:r w:rsidRPr="001F224B">
        <w:rPr>
          <w:rFonts w:eastAsia="Calibri"/>
          <w:sz w:val="22"/>
          <w:szCs w:val="22"/>
          <w:lang w:eastAsia="en-US"/>
        </w:rPr>
        <w:t>iskonto</w:t>
      </w:r>
      <w:proofErr w:type="spellEnd"/>
      <w:r w:rsidRPr="001F224B">
        <w:rPr>
          <w:rFonts w:eastAsia="Calibri"/>
          <w:sz w:val="22"/>
          <w:szCs w:val="22"/>
          <w:lang w:eastAsia="en-US"/>
        </w:rPr>
        <w:t xml:space="preserve"> oranı, negatif olmamak üzere gelecek enflasyon etkilerinin düzeltilmesinden sonraki beklenen reel oranı ifade eder. Bu nedenle </w:t>
      </w:r>
      <w:r w:rsidRPr="001F224B">
        <w:rPr>
          <w:sz w:val="22"/>
          <w:szCs w:val="22"/>
        </w:rPr>
        <w:t xml:space="preserve">30 Haziran </w:t>
      </w:r>
      <w:r w:rsidRPr="001F224B">
        <w:rPr>
          <w:rFonts w:eastAsia="Calibri"/>
          <w:sz w:val="22"/>
          <w:szCs w:val="22"/>
          <w:lang w:eastAsia="en-US"/>
        </w:rPr>
        <w:t xml:space="preserve">2025  tarihi itibarıyla karşılıklar geleceğe ilişkin çalışanların emekliliğinden kaynaklanacak muhtemel yükümlülüğünün bugünkü değeri tahmin edilerek hesaplanır. İlgili bilanço tarihindeki karşılıklar, </w:t>
      </w:r>
      <w:r w:rsidRPr="001F224B">
        <w:rPr>
          <w:rFonts w:eastAsia="Calibri"/>
          <w:sz w:val="22"/>
          <w:szCs w:val="22"/>
        </w:rPr>
        <w:t xml:space="preserve">%3,01 reel </w:t>
      </w:r>
      <w:proofErr w:type="spellStart"/>
      <w:r w:rsidRPr="001F224B">
        <w:rPr>
          <w:rFonts w:eastAsia="Calibri"/>
          <w:sz w:val="22"/>
          <w:szCs w:val="22"/>
        </w:rPr>
        <w:t>iskonto</w:t>
      </w:r>
      <w:proofErr w:type="spellEnd"/>
      <w:r w:rsidRPr="001F224B">
        <w:rPr>
          <w:rFonts w:eastAsia="Calibri"/>
          <w:sz w:val="22"/>
          <w:szCs w:val="22"/>
        </w:rPr>
        <w:t xml:space="preserve"> oranı kullanılmak suretiyle hesaplanmıştır (31 Aralık 2024: %3,01). Banka’nın kıdem tazminatı karşılığının hesaplanmasında 1 Temmuz 2025 tarihi itibarıyla geçerli olan, 53.919,68 tam TL tavan tutarı dikkate alınmıştır (31 Aralık 2024: 46.655,43 tam TL).</w:t>
      </w:r>
      <w:bookmarkEnd w:id="12"/>
      <w:r w:rsidRPr="001F224B">
        <w:rPr>
          <w:rFonts w:eastAsia="Calibri"/>
          <w:sz w:val="22"/>
          <w:szCs w:val="22"/>
        </w:rPr>
        <w:t xml:space="preserve"> </w:t>
      </w:r>
    </w:p>
    <w:p w14:paraId="43002D47" w14:textId="29BE4D76" w:rsidR="00161174" w:rsidRPr="001F224B" w:rsidRDefault="00161174" w:rsidP="00161174">
      <w:pPr>
        <w:spacing w:before="120"/>
        <w:ind w:left="426" w:hanging="426"/>
        <w:jc w:val="both"/>
        <w:rPr>
          <w:b/>
          <w:bCs/>
          <w:sz w:val="22"/>
          <w:szCs w:val="22"/>
        </w:rPr>
      </w:pPr>
      <w:r w:rsidRPr="001F224B">
        <w:rPr>
          <w:b/>
          <w:bCs/>
          <w:sz w:val="22"/>
          <w:szCs w:val="22"/>
        </w:rPr>
        <w:t xml:space="preserve"> XIX. Vergi uygulamalarına ilişkin açıklamalar</w:t>
      </w:r>
    </w:p>
    <w:p w14:paraId="5F0252B9" w14:textId="77777777" w:rsidR="00024527" w:rsidRPr="001F224B" w:rsidRDefault="00024527" w:rsidP="00024527">
      <w:pPr>
        <w:spacing w:before="120" w:after="120"/>
        <w:ind w:left="567"/>
        <w:jc w:val="both"/>
        <w:rPr>
          <w:b/>
          <w:i/>
          <w:sz w:val="22"/>
          <w:szCs w:val="22"/>
        </w:rPr>
      </w:pPr>
      <w:r w:rsidRPr="001F224B">
        <w:rPr>
          <w:b/>
          <w:i/>
          <w:sz w:val="22"/>
          <w:szCs w:val="22"/>
        </w:rPr>
        <w:t>Cari Vergi</w:t>
      </w:r>
      <w:r w:rsidRPr="001F224B">
        <w:rPr>
          <w:b/>
          <w:sz w:val="22"/>
          <w:szCs w:val="22"/>
          <w:lang w:eastAsia="x-none"/>
        </w:rPr>
        <w:t>:</w:t>
      </w:r>
    </w:p>
    <w:p w14:paraId="550C41A3" w14:textId="77777777" w:rsidR="00E411F0" w:rsidRPr="001F224B" w:rsidRDefault="00E411F0" w:rsidP="00E411F0">
      <w:pPr>
        <w:spacing w:before="120"/>
        <w:ind w:left="539"/>
        <w:jc w:val="both"/>
        <w:rPr>
          <w:rFonts w:eastAsia="Calibri"/>
          <w:sz w:val="22"/>
          <w:szCs w:val="22"/>
          <w:lang w:eastAsia="en-US"/>
        </w:rPr>
      </w:pPr>
      <w:bookmarkStart w:id="13" w:name="_Hlk157764240"/>
      <w:r w:rsidRPr="001F224B">
        <w:rPr>
          <w:rFonts w:eastAsia="Calibri"/>
          <w:sz w:val="22"/>
          <w:szCs w:val="22"/>
          <w:lang w:eastAsia="en-US"/>
        </w:rPr>
        <w:t>5520 sayılı Kanun’un “Kurumlar vergisi ve geçici vergi oranı” başlıklı 32’nci maddesinin birinci fıkrasında 15 Temmuz 2023 tarihli ve 32249 sayılı Resmî Gazete'de yayımlanarak yürürlüğe giren 7456 Sayılı 6 Şubat 2023 Tarihinde Meydana Gelen Depremlerin Yol Açtığı Ekonomik Kayıpların Telafisi İçin Ek Motorlu Taşıtlar Vergisi İhdası ile Bazı Kanunlarda ve 375 Sayılı Kanun Hükmünde Kararnamede Değişiklik Yapılması Hakkında Kanun’un 21’inci maddesinin yürürlüğü hakkında 1 Ekim 2023 tarihi itibarıyla verilmesi gereken beyannamelerden başlamak üzere; 2023 yılı ve izleyen vergilendirme dönemlerinde elde edilen kurum kazançlarına uygulanmak üzere; bankalar, finansal kiralama, faktoring, finansman ve tasarruf finansman şirketleri, elektronik ödeme ve para kuruluşları, yetkili döviz müesseseleri, varlık yönetim şirketleri, sermaye piyasası kurumları ile sigorta ve reasürans şirketleri ve emeklilik şirketlerinin kurum kazançları kurumlar vergisi için %30 oran esas alınmaktadır.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 Türkiye’deki bir işyeri ya da daimi temsilcisi aracılığı ile gelir elde eden dar mükellef kurumlar ile 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7EBD8737" w14:textId="77777777" w:rsidR="00024527" w:rsidRPr="001F224B" w:rsidRDefault="00024527" w:rsidP="00024527">
      <w:pPr>
        <w:rPr>
          <w:b/>
          <w:bCs/>
          <w:sz w:val="22"/>
          <w:szCs w:val="22"/>
        </w:rPr>
      </w:pPr>
      <w:r w:rsidRPr="001F224B">
        <w:rPr>
          <w:b/>
          <w:bCs/>
          <w:sz w:val="22"/>
          <w:szCs w:val="22"/>
        </w:rPr>
        <w:br w:type="page"/>
      </w:r>
    </w:p>
    <w:p w14:paraId="47F93866" w14:textId="77777777" w:rsidR="00024527" w:rsidRPr="001F224B" w:rsidRDefault="00024527" w:rsidP="00024527">
      <w:pPr>
        <w:pStyle w:val="ListParagraph"/>
        <w:tabs>
          <w:tab w:val="left" w:pos="0"/>
        </w:tabs>
        <w:spacing w:before="120" w:after="120"/>
        <w:ind w:left="0"/>
        <w:rPr>
          <w:b/>
          <w:bCs/>
          <w:sz w:val="22"/>
          <w:szCs w:val="22"/>
        </w:rPr>
      </w:pPr>
      <w:bookmarkStart w:id="14" w:name="_Hlk149036405"/>
      <w:r w:rsidRPr="001F224B">
        <w:rPr>
          <w:b/>
          <w:bCs/>
          <w:sz w:val="22"/>
          <w:szCs w:val="22"/>
        </w:rPr>
        <w:t>ÜÇÜNCÜ BÖLÜM (Devamı)</w:t>
      </w:r>
    </w:p>
    <w:p w14:paraId="3EF57ECA" w14:textId="77777777" w:rsidR="00024527" w:rsidRPr="001F224B" w:rsidRDefault="00024527" w:rsidP="00024527">
      <w:pPr>
        <w:pStyle w:val="ListParagraph"/>
        <w:tabs>
          <w:tab w:val="left" w:pos="0"/>
        </w:tabs>
        <w:spacing w:before="120" w:afterLines="60" w:after="144"/>
        <w:ind w:left="0"/>
        <w:rPr>
          <w:b/>
          <w:bCs/>
          <w:sz w:val="22"/>
          <w:szCs w:val="22"/>
        </w:rPr>
      </w:pPr>
      <w:r w:rsidRPr="001F224B">
        <w:rPr>
          <w:b/>
          <w:bCs/>
          <w:sz w:val="22"/>
          <w:szCs w:val="22"/>
        </w:rPr>
        <w:t>MUHASEBE POLİTİKALARI (Devamı)</w:t>
      </w:r>
    </w:p>
    <w:p w14:paraId="6B0DEE23" w14:textId="16B80E17" w:rsidR="00024527" w:rsidRPr="001F224B" w:rsidRDefault="00024527" w:rsidP="00024527">
      <w:pPr>
        <w:spacing w:before="120" w:after="120"/>
        <w:ind w:left="567" w:hanging="567"/>
        <w:jc w:val="both"/>
        <w:rPr>
          <w:b/>
          <w:bCs/>
          <w:sz w:val="22"/>
          <w:szCs w:val="22"/>
        </w:rPr>
      </w:pPr>
      <w:r w:rsidRPr="001F224B">
        <w:rPr>
          <w:b/>
          <w:bCs/>
          <w:sz w:val="22"/>
          <w:szCs w:val="22"/>
        </w:rPr>
        <w:t>XIX.Vergi uygulamalarına ilişkin açıklamalar (Devamı)</w:t>
      </w:r>
    </w:p>
    <w:p w14:paraId="10759DFE" w14:textId="77777777" w:rsidR="00024527" w:rsidRPr="001F224B" w:rsidRDefault="00024527" w:rsidP="00024527">
      <w:pPr>
        <w:spacing w:before="60" w:after="60"/>
        <w:ind w:left="567"/>
        <w:jc w:val="both"/>
        <w:rPr>
          <w:iCs/>
          <w:color w:val="000000"/>
          <w:sz w:val="22"/>
          <w:szCs w:val="22"/>
        </w:rPr>
      </w:pPr>
      <w:r w:rsidRPr="001F224B">
        <w:rPr>
          <w:b/>
          <w:i/>
          <w:sz w:val="22"/>
          <w:szCs w:val="22"/>
        </w:rPr>
        <w:t>Cari Vergi (Devamı)</w:t>
      </w:r>
      <w:r w:rsidRPr="001F224B">
        <w:rPr>
          <w:b/>
          <w:sz w:val="22"/>
          <w:szCs w:val="22"/>
          <w:lang w:eastAsia="x-none"/>
        </w:rPr>
        <w:t>:</w:t>
      </w:r>
    </w:p>
    <w:bookmarkEnd w:id="13"/>
    <w:p w14:paraId="53792EC9" w14:textId="77777777" w:rsidR="00E411F0" w:rsidRPr="001F224B" w:rsidRDefault="00E411F0" w:rsidP="00E411F0">
      <w:pPr>
        <w:spacing w:before="60" w:after="60"/>
        <w:ind w:left="567"/>
        <w:jc w:val="both"/>
        <w:rPr>
          <w:iCs/>
          <w:color w:val="000000"/>
          <w:sz w:val="22"/>
          <w:szCs w:val="22"/>
        </w:rPr>
      </w:pPr>
      <w:r w:rsidRPr="001F224B">
        <w:rPr>
          <w:iCs/>
          <w:color w:val="000000"/>
          <w:sz w:val="22"/>
          <w:szCs w:val="22"/>
        </w:rPr>
        <w:t xml:space="preserve">Kurumlar üçer aylık mali karları üzerinden geçerli kurumlar vergisi oranından geçici vergi hesaplar ve o dönemi izleyen ikinci ayın 17’nci gününe kadar beyan edip 17’nci günü akşamına kadar öderler. Yıl içinde ödenen geçici vergi o yıla ait olup izleyen yıl verilecek kurumlar vergisi beyannamesi üzerinden hesaplanacak kurumlar vergisinden mahsup edilir. </w:t>
      </w:r>
    </w:p>
    <w:p w14:paraId="6B04BFDD" w14:textId="77777777" w:rsidR="00E411F0" w:rsidRPr="001F224B" w:rsidRDefault="00E411F0" w:rsidP="00E411F0">
      <w:pPr>
        <w:spacing w:before="60" w:after="60"/>
        <w:ind w:left="567"/>
        <w:jc w:val="both"/>
        <w:rPr>
          <w:sz w:val="22"/>
          <w:szCs w:val="22"/>
        </w:rPr>
      </w:pPr>
      <w:r w:rsidRPr="001F224B">
        <w:rPr>
          <w:sz w:val="22"/>
          <w:szCs w:val="22"/>
        </w:rPr>
        <w:t xml:space="preserve">Mahsuba rağmen ödenmiş geçici vergi tutarı kalması durumunda bu tutar nakden iade alınabileceği gibi devlete karşı olan diğer mali borçlara da mahsup edilebilir. Bankaca uygulanan önemli vergi istisnalarından olan Kurumlar Vergisi Kanunu, 5.1.e. maddesinde bulunan Taşınmaz Satış İstisnasına göre, Kurumların en az iki tam yıl (730 gün) süreyle aktiflerinde yer alan taşınmazların satışından doğan kazançlarına %50 istisna uygulanmakta iken 7456 sayılı Kanun’la beraber yürürlüğe girdiği tarih olan 15 Temmuz 2023  tarihinden önce kurumların aktifinde yer alan taşınmazların satışından doğan kazançların %25 istisnası olup, 15 Temmuz 2023 tarihi sonrası iktisap edilen taşınmazlar bu madde kapsamında kurumlar vergisi istisnası uygulamayacaktır. İştirak hisseleri ile aynı süreyle sahip oldukları kurucu senetleri, intifa senetleri ve rüçhan haklarının satışından doğan kazançların </w:t>
      </w:r>
      <w:bookmarkStart w:id="15" w:name="_Hlk187913960"/>
      <w:r w:rsidRPr="001F224B">
        <w:rPr>
          <w:sz w:val="22"/>
          <w:szCs w:val="22"/>
        </w:rPr>
        <w:t>%75'lik kurumlar vergisinden istisna olan kısım 27 Kasım 2024 tarih ve 32735 sayılı Resmi Gazetede yayımlanan 9160 sayılı Cumhurbaşkanı Kararı %50 ye düşürülmüştür.</w:t>
      </w:r>
      <w:bookmarkEnd w:id="15"/>
      <w:r w:rsidRPr="001F224B">
        <w:rPr>
          <w:sz w:val="22"/>
          <w:szCs w:val="22"/>
        </w:rPr>
        <w:t xml:space="preserve"> 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 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3041823D" w14:textId="77777777" w:rsidR="00E411F0" w:rsidRPr="001F224B" w:rsidRDefault="00E411F0" w:rsidP="00E411F0">
      <w:pPr>
        <w:spacing w:before="60" w:after="60"/>
        <w:ind w:left="567"/>
        <w:jc w:val="both"/>
        <w:rPr>
          <w:sz w:val="22"/>
          <w:szCs w:val="22"/>
        </w:rPr>
      </w:pPr>
      <w:r w:rsidRPr="001F224B">
        <w:rPr>
          <w:sz w:val="22"/>
          <w:szCs w:val="22"/>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w:t>
      </w:r>
      <w:bookmarkStart w:id="16" w:name="_msoanchor_1"/>
      <w:bookmarkEnd w:id="16"/>
      <w:r w:rsidRPr="001F224B">
        <w:rPr>
          <w:sz w:val="22"/>
          <w:szCs w:val="22"/>
        </w:rPr>
        <w:t xml:space="preserve"> için %75'lik kısmı da kurumlar vergisinden istisnadır. </w:t>
      </w:r>
    </w:p>
    <w:p w14:paraId="5C2E28DD" w14:textId="77777777" w:rsidR="00E411F0" w:rsidRPr="001F224B" w:rsidRDefault="00E411F0" w:rsidP="00E411F0">
      <w:pPr>
        <w:spacing w:before="60" w:after="60"/>
        <w:ind w:left="567"/>
        <w:jc w:val="both"/>
        <w:rPr>
          <w:sz w:val="22"/>
          <w:szCs w:val="22"/>
        </w:rPr>
      </w:pPr>
      <w:r w:rsidRPr="001F224B">
        <w:rPr>
          <w:sz w:val="22"/>
          <w:szCs w:val="22"/>
        </w:rPr>
        <w:t>20 Ocak 2022 tarihinde Türkiye Büyük Millet Meclisi gündeminde kabul edilen “Vergi Usul Kanunu ile Kurumlar Vergisi Kanununda Değişiklik Yapılmasına Dair Kanun” ile enflasyon muhasebesinin 31 Aralık 2023 tarihli bilançodan başlamak üzere uygulanmasına karar verilmiştir.</w:t>
      </w:r>
    </w:p>
    <w:p w14:paraId="71E283CB" w14:textId="77777777" w:rsidR="00E411F0" w:rsidRPr="001F224B" w:rsidRDefault="00E411F0" w:rsidP="00E411F0">
      <w:pPr>
        <w:spacing w:before="60" w:after="60"/>
        <w:ind w:left="567"/>
        <w:jc w:val="both"/>
        <w:rPr>
          <w:sz w:val="22"/>
          <w:szCs w:val="22"/>
        </w:rPr>
      </w:pPr>
      <w:r w:rsidRPr="001F224B">
        <w:rPr>
          <w:sz w:val="22"/>
          <w:szCs w:val="22"/>
        </w:rPr>
        <w:t>30 Aralık 2023 tarihli ve 32415 sayılı Resm</w:t>
      </w:r>
      <w:r w:rsidRPr="001F224B">
        <w:rPr>
          <w:iCs/>
          <w:color w:val="000000"/>
          <w:sz w:val="22"/>
          <w:szCs w:val="22"/>
        </w:rPr>
        <w:t xml:space="preserve">î Gazete’de yayımlanarak yürürlüğe giren 555 Sıra No’lu </w:t>
      </w:r>
      <w:r w:rsidRPr="001F224B">
        <w:rPr>
          <w:sz w:val="22"/>
          <w:szCs w:val="22"/>
        </w:rPr>
        <w:t>VUK Tebliği ile Enflasyon Muhasebesi uygulanmasına ilişkin düzenlemeler belirlenmiştir. 2023 yılı  değerleme farkları özkaynak altına atılacak, gelir tablosu ile ilişkilendirilmeyecek olup 2023 hesap dönemi sonuna ait bilançonun enflasyon düzeltmesine tabi tutulmasından kaynaklanan (düzeltme sonrası tespit edilen) geçmiş yıl kârı vergiye tabi tutulmayacak ve geçmiş yıl zararı ise zarar olarak kabul edilmeyecektir.</w:t>
      </w:r>
    </w:p>
    <w:p w14:paraId="19E6F6F6" w14:textId="77777777" w:rsidR="00E411F0" w:rsidRPr="001F224B" w:rsidRDefault="00E411F0" w:rsidP="00E411F0">
      <w:pPr>
        <w:spacing w:before="60" w:after="60"/>
        <w:ind w:left="567"/>
        <w:jc w:val="both"/>
        <w:rPr>
          <w:sz w:val="22"/>
          <w:szCs w:val="22"/>
        </w:rPr>
      </w:pPr>
      <w:r w:rsidRPr="001F224B">
        <w:rPr>
          <w:sz w:val="22"/>
          <w:szCs w:val="22"/>
        </w:rPr>
        <w:t>Öte yandan 28 Aralık 2023 tarihli 32413 sayılı 7491 sayılı Kanun’un 17. Maddesi gereğince “Bankalar, 21 Kasım 2021 tarihli ve 6361 sayılı Finansal Kiralama, Faktoring, Finansman ve Tasarruf Finansman Şirketleri Kanunu kapsamındaki şirketler, ödeme ve elektronik para kuruluşları, yetkili döviz müesseseleri, varlık yönetimi şirketleri, sermaye piyasaları olmak üzere 2024 ve 2025 hesap dönemlerinde yapılan enflasyon düzeltmesinden kaynaklanan kar/zarar farkı, kazancın tespitinde dikkate alınmaz. Bu fıkra kapsamında belirlenen dönemleri geçici vergi dönemleri de dahil olmak üzere bir hesap dönemi kadar uzatmaya Cumhurbaşkanı yetkilidir.” hükmüyle enflasyon düzeltmesi yapacak olup düzeltme sonucu ortaya çıkan değerleme farkları vergi matrahına etki etmeyecektir.</w:t>
      </w:r>
    </w:p>
    <w:p w14:paraId="6490E792" w14:textId="77777777" w:rsidR="00024527" w:rsidRPr="001F224B" w:rsidRDefault="00024527" w:rsidP="00024527">
      <w:pPr>
        <w:spacing w:before="60" w:after="60"/>
        <w:ind w:left="567"/>
        <w:jc w:val="both"/>
        <w:rPr>
          <w:sz w:val="22"/>
          <w:szCs w:val="22"/>
        </w:rPr>
      </w:pPr>
    </w:p>
    <w:p w14:paraId="2610AA60" w14:textId="13FE39AB" w:rsidR="00024527" w:rsidRPr="001F224B" w:rsidRDefault="00024527" w:rsidP="00024527">
      <w:pPr>
        <w:pStyle w:val="ListParagraph"/>
        <w:tabs>
          <w:tab w:val="left" w:pos="0"/>
        </w:tabs>
        <w:spacing w:before="120" w:after="120"/>
        <w:ind w:left="0"/>
        <w:rPr>
          <w:b/>
          <w:bCs/>
          <w:sz w:val="22"/>
          <w:szCs w:val="22"/>
        </w:rPr>
      </w:pPr>
      <w:r w:rsidRPr="001F224B">
        <w:rPr>
          <w:b/>
          <w:bCs/>
          <w:sz w:val="22"/>
          <w:szCs w:val="22"/>
        </w:rPr>
        <w:t>ÜÇÜNCÜ BÖLÜM (Devamı)</w:t>
      </w:r>
    </w:p>
    <w:p w14:paraId="6864F2A6" w14:textId="77777777" w:rsidR="00024527" w:rsidRPr="001F224B" w:rsidRDefault="00024527" w:rsidP="00024527">
      <w:pPr>
        <w:pStyle w:val="ListParagraph"/>
        <w:tabs>
          <w:tab w:val="left" w:pos="0"/>
        </w:tabs>
        <w:spacing w:before="120" w:afterLines="60" w:after="144"/>
        <w:ind w:left="0"/>
        <w:rPr>
          <w:b/>
          <w:bCs/>
          <w:sz w:val="22"/>
          <w:szCs w:val="22"/>
        </w:rPr>
      </w:pPr>
      <w:r w:rsidRPr="001F224B">
        <w:rPr>
          <w:b/>
          <w:bCs/>
          <w:sz w:val="22"/>
          <w:szCs w:val="22"/>
        </w:rPr>
        <w:t>MUHASEBE POLİTİKALARI (Devamı)</w:t>
      </w:r>
    </w:p>
    <w:p w14:paraId="03BDB8FA" w14:textId="15613BAE" w:rsidR="00024527" w:rsidRPr="001F224B" w:rsidRDefault="00024527" w:rsidP="00024527">
      <w:pPr>
        <w:spacing w:before="120" w:after="120"/>
        <w:ind w:left="567" w:hanging="567"/>
        <w:jc w:val="both"/>
        <w:rPr>
          <w:b/>
          <w:bCs/>
          <w:sz w:val="22"/>
          <w:szCs w:val="22"/>
        </w:rPr>
      </w:pPr>
      <w:r w:rsidRPr="001F224B">
        <w:rPr>
          <w:b/>
          <w:bCs/>
          <w:sz w:val="22"/>
          <w:szCs w:val="22"/>
        </w:rPr>
        <w:t>XIX.Vergi uygulamalarına ilişkin açıklamalar (Devamı)</w:t>
      </w:r>
    </w:p>
    <w:p w14:paraId="206E0D2A" w14:textId="77777777" w:rsidR="00024527" w:rsidRPr="001F224B" w:rsidRDefault="00024527" w:rsidP="00024527">
      <w:pPr>
        <w:spacing w:before="60" w:after="60"/>
        <w:ind w:left="567"/>
        <w:jc w:val="both"/>
        <w:rPr>
          <w:b/>
          <w:sz w:val="22"/>
          <w:szCs w:val="22"/>
          <w:lang w:eastAsia="x-none"/>
        </w:rPr>
      </w:pPr>
      <w:r w:rsidRPr="001F224B">
        <w:rPr>
          <w:b/>
          <w:i/>
          <w:sz w:val="22"/>
          <w:szCs w:val="22"/>
        </w:rPr>
        <w:t>Cari Vergi (Devamı)</w:t>
      </w:r>
      <w:r w:rsidRPr="001F224B">
        <w:rPr>
          <w:b/>
          <w:sz w:val="22"/>
          <w:szCs w:val="22"/>
          <w:lang w:eastAsia="x-none"/>
        </w:rPr>
        <w:t>:</w:t>
      </w:r>
    </w:p>
    <w:p w14:paraId="385A0A9E" w14:textId="77777777" w:rsidR="00E411F0" w:rsidRPr="001F224B" w:rsidRDefault="00E411F0" w:rsidP="00E411F0">
      <w:pPr>
        <w:spacing w:before="60" w:after="60"/>
        <w:ind w:left="567"/>
        <w:jc w:val="both"/>
        <w:rPr>
          <w:sz w:val="22"/>
          <w:szCs w:val="22"/>
        </w:rPr>
      </w:pPr>
      <w:r w:rsidRPr="001F224B">
        <w:rPr>
          <w:sz w:val="22"/>
          <w:szCs w:val="22"/>
        </w:rPr>
        <w:t xml:space="preserve">15 Şubat 2025 tarihli ve 32814 sayılı Resmi Gazete’de yayımlanan Vergi Usul Kanunu Genel Tebliği (Sıra No: 582) ile, kapsam dâhilinde olan mükelleflerce </w:t>
      </w:r>
      <w:r w:rsidRPr="001F224B">
        <w:rPr>
          <w:color w:val="000000"/>
          <w:sz w:val="22"/>
          <w:szCs w:val="22"/>
          <w:shd w:val="clear" w:color="auto" w:fill="FFFFFF"/>
        </w:rPr>
        <w:t>2025</w:t>
      </w:r>
      <w:r w:rsidRPr="001F224B">
        <w:rPr>
          <w:rFonts w:ascii="Open Sans" w:hAnsi="Open Sans" w:cs="Open Sans"/>
          <w:color w:val="000000"/>
          <w:sz w:val="21"/>
          <w:szCs w:val="21"/>
          <w:shd w:val="clear" w:color="auto" w:fill="FFFFFF"/>
        </w:rPr>
        <w:t xml:space="preserve"> </w:t>
      </w:r>
      <w:r w:rsidRPr="001F224B">
        <w:rPr>
          <w:sz w:val="22"/>
          <w:szCs w:val="22"/>
        </w:rPr>
        <w:t xml:space="preserve">hesap döneminin birinci, ikinci ve üçüncü geçici vergi dönemlerinde enflasyon düzeltmesi yapılmayacağı ve bu dönemlere ilişkin verilecek geçici gelir/kurumlar vergisi beyannamelerine bilanço eklenmeyeceği belirtilmiştir. </w:t>
      </w:r>
    </w:p>
    <w:p w14:paraId="71562DF5" w14:textId="77777777" w:rsidR="00E411F0" w:rsidRPr="001F224B" w:rsidRDefault="00E411F0" w:rsidP="00E411F0">
      <w:pPr>
        <w:autoSpaceDE w:val="0"/>
        <w:autoSpaceDN w:val="0"/>
        <w:spacing w:before="40" w:after="40"/>
        <w:ind w:left="567"/>
        <w:jc w:val="both"/>
        <w:rPr>
          <w:sz w:val="22"/>
          <w:szCs w:val="22"/>
        </w:rPr>
      </w:pPr>
      <w:r w:rsidRPr="001F224B">
        <w:rPr>
          <w:sz w:val="22"/>
          <w:szCs w:val="22"/>
        </w:rPr>
        <w:t>524 sayılı Kanun'un 36. maddesiyle Kurumlar Vergisi Kanunu'na “Yurt içi asgari kurumlar vergisi” başlıklı 32/C maddesi eklenmiş olup söz konusu hükme ilişkin 1 Seri No.lu Kurumlar Vergisi Genel Tebliği’nde Değişiklik Yapılmasına Dair Tebliğ’inin 13. maddesinde yapılan açıklamalara göre, ilgili hükümler dikkate alınarak 2025 yılı ve izleyen vergilendirme dönemlerinde elde edilen kazançlarda hesaplanan kurumlar vergisi, indirim ve istisnalar düşülmeden önceki kurum kazancının %10’undan az olamayacaktır.  </w:t>
      </w:r>
    </w:p>
    <w:p w14:paraId="122DF2B0" w14:textId="77777777" w:rsidR="00E411F0" w:rsidRPr="001F224B" w:rsidRDefault="00E411F0" w:rsidP="00E411F0">
      <w:pPr>
        <w:spacing w:before="60" w:after="60"/>
        <w:ind w:left="567"/>
        <w:jc w:val="both"/>
        <w:rPr>
          <w:sz w:val="22"/>
          <w:szCs w:val="22"/>
        </w:rPr>
      </w:pPr>
      <w:r w:rsidRPr="001F224B">
        <w:rPr>
          <w:sz w:val="22"/>
          <w:szCs w:val="22"/>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07C405F5" w14:textId="77777777" w:rsidR="00E411F0" w:rsidRPr="001F224B" w:rsidRDefault="00E411F0" w:rsidP="00E411F0">
      <w:pPr>
        <w:spacing w:before="60" w:after="60"/>
        <w:ind w:left="567"/>
        <w:jc w:val="both"/>
        <w:rPr>
          <w:b/>
          <w:i/>
          <w:sz w:val="22"/>
          <w:szCs w:val="22"/>
        </w:rPr>
      </w:pPr>
      <w:r w:rsidRPr="001F224B">
        <w:rPr>
          <w:sz w:val="22"/>
          <w:szCs w:val="22"/>
        </w:rPr>
        <w:t>Kurumlar vergisi beyannameleri hesap döneminin kapandığı ayı takip eden dördüncü ayın 30’uncu günü akşamına kadar bağlı bulunulan vergi dairesine verilir ve 30’uncu günü akşamına kadar tahakkuk eden vergi ödenir. Bununla beraber vergi incelemesine yetkili makamlar beş yıl zarfında muhasebe kayıtlarını inceleyebilir ve hatalı işlem tespit edilirse ödenecek vergi miktarları değişebilir.</w:t>
      </w:r>
    </w:p>
    <w:p w14:paraId="06254E71" w14:textId="77777777" w:rsidR="00E411F0" w:rsidRPr="001F224B" w:rsidRDefault="00E411F0" w:rsidP="00E411F0">
      <w:pPr>
        <w:spacing w:before="60" w:after="60"/>
        <w:ind w:left="567"/>
        <w:jc w:val="both"/>
        <w:rPr>
          <w:b/>
          <w:sz w:val="22"/>
          <w:szCs w:val="22"/>
          <w:lang w:eastAsia="x-none"/>
        </w:rPr>
      </w:pPr>
      <w:r w:rsidRPr="001F224B">
        <w:rPr>
          <w:b/>
          <w:i/>
          <w:sz w:val="22"/>
          <w:szCs w:val="22"/>
        </w:rPr>
        <w:t>Ertelenmiş Vergi</w:t>
      </w:r>
      <w:r w:rsidRPr="001F224B">
        <w:rPr>
          <w:b/>
          <w:sz w:val="22"/>
          <w:szCs w:val="22"/>
          <w:lang w:eastAsia="x-none"/>
        </w:rPr>
        <w:t>:</w:t>
      </w:r>
    </w:p>
    <w:p w14:paraId="603EEEA2" w14:textId="77777777" w:rsidR="00E411F0" w:rsidRPr="001F224B" w:rsidRDefault="00E411F0" w:rsidP="00E411F0">
      <w:pPr>
        <w:tabs>
          <w:tab w:val="left" w:pos="630"/>
        </w:tabs>
        <w:spacing w:before="120"/>
        <w:ind w:left="567"/>
        <w:jc w:val="both"/>
        <w:rPr>
          <w:sz w:val="22"/>
          <w:szCs w:val="22"/>
        </w:rPr>
      </w:pPr>
      <w:r w:rsidRPr="001F224B">
        <w:rPr>
          <w:sz w:val="22"/>
          <w:szCs w:val="22"/>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varlığı veya yükümlülüğü hesaplanmaz. 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 Ertelenmiş vergi varlık ve yükümlülükleri ilgili dönem geçerli vergi oranları dikkate alınarak hesaplanmaktadır. 15 Temmuz 2023 tarihli ve 32249 sayılı Resmî Gazete’de yayımlanan 7456 sayılı Kanun kapsamında, bankalar ve belirli finans kurumları için uygulanacak %30 kurumlar vergisi oranı dikkate alınarak ertelenmiş vergi hesaplamaları yapılmıştır.</w:t>
      </w:r>
    </w:p>
    <w:p w14:paraId="6955B5C9" w14:textId="77777777" w:rsidR="00E411F0" w:rsidRPr="001F224B" w:rsidRDefault="00E411F0" w:rsidP="00E411F0">
      <w:pPr>
        <w:tabs>
          <w:tab w:val="left" w:pos="630"/>
        </w:tabs>
        <w:spacing w:before="120"/>
        <w:ind w:left="567"/>
        <w:jc w:val="both"/>
        <w:rPr>
          <w:sz w:val="22"/>
          <w:szCs w:val="22"/>
        </w:rPr>
      </w:pPr>
      <w:r w:rsidRPr="001F224B">
        <w:rPr>
          <w:sz w:val="22"/>
          <w:szCs w:val="22"/>
        </w:rPr>
        <w:t>Bununla birlikte ertelenmiş vergi, aynı veya farklı bir dönemde doğrudan özsermaye ile ilişkilendirilen varlıklarla ilgili ise doğrudan özsermaye hesap grubuyla ilişkilendirilir. Hesaplanan ertelenmiş vergi varlığı ile ertelenmiş vergi borçları finansal tablolarda netleştirilerek gösterilmektedir.</w:t>
      </w:r>
    </w:p>
    <w:p w14:paraId="182BC04E" w14:textId="77777777" w:rsidR="00E411F0" w:rsidRPr="001F224B" w:rsidRDefault="00E411F0" w:rsidP="00E411F0">
      <w:pPr>
        <w:spacing w:before="60" w:after="60"/>
        <w:ind w:left="567"/>
        <w:jc w:val="both"/>
        <w:rPr>
          <w:b/>
          <w:i/>
          <w:sz w:val="22"/>
          <w:szCs w:val="22"/>
        </w:rPr>
      </w:pPr>
      <w:r w:rsidRPr="001F224B">
        <w:rPr>
          <w:sz w:val="22"/>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gelir veya gider kalemlerini hariç tuttuğundan dolayı, kar veya zarar tablosunda belirtilen kardan farklılık gösterir.</w:t>
      </w:r>
    </w:p>
    <w:p w14:paraId="62F564B8" w14:textId="77777777" w:rsidR="00024527" w:rsidRPr="001F224B" w:rsidRDefault="00024527" w:rsidP="00024527">
      <w:pPr>
        <w:spacing w:before="60" w:after="60"/>
        <w:ind w:left="567"/>
        <w:jc w:val="both"/>
        <w:rPr>
          <w:b/>
          <w:i/>
          <w:sz w:val="22"/>
          <w:szCs w:val="22"/>
        </w:rPr>
      </w:pPr>
    </w:p>
    <w:p w14:paraId="7B25C9F8" w14:textId="77777777" w:rsidR="00024527" w:rsidRPr="001F224B" w:rsidRDefault="00024527" w:rsidP="00024527">
      <w:pPr>
        <w:spacing w:before="60" w:after="60"/>
        <w:ind w:left="567"/>
        <w:jc w:val="both"/>
        <w:rPr>
          <w:b/>
          <w:i/>
          <w:sz w:val="22"/>
          <w:szCs w:val="22"/>
        </w:rPr>
      </w:pPr>
    </w:p>
    <w:p w14:paraId="73C23B35" w14:textId="77777777" w:rsidR="00024527" w:rsidRPr="001F224B" w:rsidRDefault="00024527" w:rsidP="00024527">
      <w:pPr>
        <w:pStyle w:val="ListParagraph"/>
        <w:tabs>
          <w:tab w:val="left" w:pos="0"/>
        </w:tabs>
        <w:spacing w:before="120" w:after="120"/>
        <w:ind w:left="0"/>
        <w:rPr>
          <w:b/>
          <w:bCs/>
          <w:sz w:val="22"/>
          <w:szCs w:val="22"/>
        </w:rPr>
      </w:pPr>
      <w:r w:rsidRPr="001F224B">
        <w:rPr>
          <w:b/>
          <w:bCs/>
          <w:sz w:val="22"/>
          <w:szCs w:val="22"/>
        </w:rPr>
        <w:t>ÜÇÜNCÜ BÖLÜM (Devamı)</w:t>
      </w:r>
    </w:p>
    <w:p w14:paraId="7D6653DD" w14:textId="77777777" w:rsidR="00024527" w:rsidRPr="001F224B" w:rsidRDefault="00024527" w:rsidP="00024527">
      <w:pPr>
        <w:pStyle w:val="ListParagraph"/>
        <w:tabs>
          <w:tab w:val="left" w:pos="0"/>
        </w:tabs>
        <w:spacing w:before="120" w:afterLines="60" w:after="144"/>
        <w:ind w:left="0"/>
        <w:rPr>
          <w:b/>
          <w:bCs/>
          <w:sz w:val="22"/>
          <w:szCs w:val="22"/>
        </w:rPr>
      </w:pPr>
      <w:r w:rsidRPr="001F224B">
        <w:rPr>
          <w:b/>
          <w:bCs/>
          <w:sz w:val="22"/>
          <w:szCs w:val="22"/>
        </w:rPr>
        <w:t>MUHASEBE POLİTİKALARI (Devamı)</w:t>
      </w:r>
    </w:p>
    <w:p w14:paraId="59AC4FFA" w14:textId="0357B1CE" w:rsidR="00024527" w:rsidRPr="001F224B" w:rsidRDefault="00024527" w:rsidP="00024527">
      <w:pPr>
        <w:spacing w:before="120" w:after="120"/>
        <w:ind w:left="567" w:hanging="567"/>
        <w:jc w:val="both"/>
        <w:rPr>
          <w:b/>
          <w:bCs/>
          <w:sz w:val="22"/>
          <w:szCs w:val="22"/>
        </w:rPr>
      </w:pPr>
      <w:r w:rsidRPr="001F224B">
        <w:rPr>
          <w:b/>
          <w:bCs/>
          <w:sz w:val="22"/>
          <w:szCs w:val="22"/>
        </w:rPr>
        <w:t>XIX.</w:t>
      </w:r>
      <w:r w:rsidR="00A52F57" w:rsidRPr="001F224B">
        <w:rPr>
          <w:b/>
          <w:bCs/>
          <w:sz w:val="22"/>
          <w:szCs w:val="22"/>
        </w:rPr>
        <w:t xml:space="preserve"> </w:t>
      </w:r>
      <w:r w:rsidRPr="001F224B">
        <w:rPr>
          <w:b/>
          <w:bCs/>
          <w:sz w:val="22"/>
          <w:szCs w:val="22"/>
        </w:rPr>
        <w:t>Vergi uygulamalarına ilişkin açıklamalar (Devamı)</w:t>
      </w:r>
    </w:p>
    <w:p w14:paraId="42850C0D" w14:textId="74F09CD1" w:rsidR="00024527" w:rsidRPr="001F224B" w:rsidRDefault="00024527" w:rsidP="00024527">
      <w:pPr>
        <w:spacing w:before="60" w:after="60"/>
        <w:ind w:left="567"/>
        <w:jc w:val="both"/>
        <w:rPr>
          <w:b/>
          <w:sz w:val="22"/>
          <w:szCs w:val="22"/>
          <w:lang w:eastAsia="x-none"/>
        </w:rPr>
      </w:pPr>
      <w:r w:rsidRPr="001F224B">
        <w:rPr>
          <w:b/>
          <w:i/>
          <w:sz w:val="22"/>
          <w:szCs w:val="22"/>
        </w:rPr>
        <w:t xml:space="preserve">Ertelenmiş Vergi </w:t>
      </w:r>
      <w:r w:rsidRPr="001F224B">
        <w:rPr>
          <w:b/>
          <w:bCs/>
          <w:i/>
          <w:sz w:val="22"/>
          <w:szCs w:val="22"/>
        </w:rPr>
        <w:t>(Devamı)</w:t>
      </w:r>
      <w:r w:rsidRPr="001F224B">
        <w:rPr>
          <w:b/>
          <w:bCs/>
          <w:sz w:val="22"/>
          <w:szCs w:val="22"/>
        </w:rPr>
        <w:t xml:space="preserve"> </w:t>
      </w:r>
      <w:r w:rsidRPr="001F224B">
        <w:rPr>
          <w:b/>
          <w:sz w:val="22"/>
          <w:szCs w:val="22"/>
          <w:lang w:eastAsia="x-none"/>
        </w:rPr>
        <w:t>:</w:t>
      </w:r>
    </w:p>
    <w:bookmarkEnd w:id="14"/>
    <w:p w14:paraId="53BB6B8A" w14:textId="77777777" w:rsidR="00E411F0" w:rsidRPr="001F224B" w:rsidRDefault="00E411F0" w:rsidP="00E411F0">
      <w:pPr>
        <w:tabs>
          <w:tab w:val="left" w:pos="630"/>
        </w:tabs>
        <w:spacing w:before="120"/>
        <w:ind w:left="567"/>
        <w:jc w:val="both"/>
        <w:rPr>
          <w:sz w:val="22"/>
          <w:szCs w:val="22"/>
        </w:rPr>
      </w:pPr>
      <w:r w:rsidRPr="001F224B">
        <w:rPr>
          <w:sz w:val="22"/>
          <w:szCs w:val="22"/>
        </w:rPr>
        <w:t>5411 sayılı Bankacılık Kanunu’nun 53. maddesi uyarınca krediler ve diğer alacaklar ile ilgili olarak ayrılan özel karşılıkların tamamı aynı maddenin 2. fıkrasına istinaden ayrıldıkları yılda kurumlar vergisi matrahının belirlenmesinde gider olarak dikkate alınmaktadır.</w:t>
      </w:r>
    </w:p>
    <w:p w14:paraId="58197176" w14:textId="77777777" w:rsidR="00E411F0" w:rsidRPr="001F224B" w:rsidRDefault="00E411F0" w:rsidP="00E411F0">
      <w:pPr>
        <w:tabs>
          <w:tab w:val="left" w:pos="630"/>
        </w:tabs>
        <w:spacing w:before="120"/>
        <w:ind w:left="567"/>
        <w:jc w:val="both"/>
        <w:rPr>
          <w:sz w:val="22"/>
          <w:szCs w:val="22"/>
        </w:rPr>
      </w:pPr>
      <w:r w:rsidRPr="001F224B">
        <w:rPr>
          <w:sz w:val="22"/>
          <w:szCs w:val="22"/>
        </w:rPr>
        <w:t>Ödenecek cari vergi tutarları, peşin ödenen vergi tutarlarıyla ilişkili olduğundan netleştirilmektedir. Ertelenmiş vergi alacağı ve yükümlülüğü de netleştirilmektedir. Birinci ve ikinci aşama karşılıklar için TFRS 9 kapsamında ertelenmiş vergi hesaplaması yapılmaktadır.</w:t>
      </w:r>
    </w:p>
    <w:p w14:paraId="63229E05" w14:textId="77777777" w:rsidR="00E411F0" w:rsidRPr="001F224B" w:rsidRDefault="00E411F0" w:rsidP="00E411F0">
      <w:pPr>
        <w:tabs>
          <w:tab w:val="left" w:pos="630"/>
        </w:tabs>
        <w:spacing w:before="120"/>
        <w:ind w:left="567"/>
        <w:jc w:val="both"/>
        <w:rPr>
          <w:b/>
          <w:sz w:val="22"/>
          <w:szCs w:val="22"/>
          <w:lang w:eastAsia="x-none"/>
        </w:rPr>
      </w:pPr>
      <w:r w:rsidRPr="001F224B">
        <w:rPr>
          <w:b/>
          <w:sz w:val="22"/>
          <w:szCs w:val="22"/>
        </w:rPr>
        <w:t>Transfer fiyatlandırması</w:t>
      </w:r>
      <w:r w:rsidRPr="001F224B">
        <w:rPr>
          <w:b/>
          <w:sz w:val="22"/>
          <w:szCs w:val="22"/>
          <w:lang w:eastAsia="x-none"/>
        </w:rPr>
        <w:t>:</w:t>
      </w:r>
    </w:p>
    <w:p w14:paraId="42152412" w14:textId="77777777" w:rsidR="00E411F0" w:rsidRPr="001F224B" w:rsidRDefault="00E411F0" w:rsidP="00E411F0">
      <w:pPr>
        <w:tabs>
          <w:tab w:val="left" w:pos="630"/>
        </w:tabs>
        <w:spacing w:before="120"/>
        <w:ind w:left="567"/>
        <w:jc w:val="both"/>
        <w:rPr>
          <w:b/>
          <w:sz w:val="22"/>
          <w:szCs w:val="22"/>
        </w:rPr>
      </w:pPr>
      <w:r w:rsidRPr="001F224B">
        <w:rPr>
          <w:sz w:val="22"/>
          <w:szCs w:val="22"/>
        </w:rPr>
        <w:t>Transfer fiyatlandırması konusu Kurumlar Vergisi Kanunu’nun “Transfer fiyatlandırması yoluyla örtülü kazanç dağıtımı” başlıklı 13. maddesi ile düzenleme altına alınmış, konu hakkında uygulamaya yönelik ayrıntılı açıklamalara ise “Transfer Fiyatlandırması Yoluyla Örtülü Kazanç Dağıtımı Hakkında Genel Tebliğ”de yer verilmiştir. Söz konusu düzenlemeler uyarınca, ilişkili kişilerle/kuruluşlarla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6F95B8D2" w14:textId="1475AF24" w:rsidR="007136E4" w:rsidRPr="001F224B" w:rsidRDefault="007136E4" w:rsidP="00931312">
      <w:pPr>
        <w:pStyle w:val="ListParagraph"/>
        <w:tabs>
          <w:tab w:val="left" w:pos="0"/>
          <w:tab w:val="left" w:pos="709"/>
        </w:tabs>
        <w:spacing w:before="120" w:after="120"/>
        <w:ind w:left="0"/>
        <w:rPr>
          <w:b/>
          <w:bCs/>
          <w:sz w:val="22"/>
          <w:szCs w:val="22"/>
        </w:rPr>
      </w:pPr>
      <w:r w:rsidRPr="001F224B">
        <w:rPr>
          <w:b/>
          <w:bCs/>
          <w:sz w:val="22"/>
          <w:szCs w:val="22"/>
        </w:rPr>
        <w:t xml:space="preserve">XX.  </w:t>
      </w:r>
      <w:r w:rsidR="00A52F57" w:rsidRPr="001F224B">
        <w:rPr>
          <w:b/>
          <w:bCs/>
          <w:sz w:val="22"/>
          <w:szCs w:val="22"/>
        </w:rPr>
        <w:t xml:space="preserve">  </w:t>
      </w:r>
      <w:r w:rsidRPr="001F224B">
        <w:rPr>
          <w:b/>
          <w:bCs/>
          <w:sz w:val="22"/>
          <w:szCs w:val="22"/>
        </w:rPr>
        <w:t>Borçlanmalara ilişkin ilave açıklamalar</w:t>
      </w:r>
    </w:p>
    <w:p w14:paraId="5DE039F0" w14:textId="77777777" w:rsidR="007136E4" w:rsidRPr="001F224B" w:rsidRDefault="007136E4" w:rsidP="00A52F57">
      <w:pPr>
        <w:tabs>
          <w:tab w:val="left" w:pos="630"/>
        </w:tabs>
        <w:spacing w:before="120"/>
        <w:ind w:left="567"/>
        <w:jc w:val="both"/>
        <w:rPr>
          <w:sz w:val="22"/>
          <w:szCs w:val="22"/>
        </w:rPr>
      </w:pPr>
      <w:r w:rsidRPr="001F224B">
        <w:rPr>
          <w:sz w:val="22"/>
          <w:szCs w:val="22"/>
        </w:rPr>
        <w:t>Ana Ortaklık Banka, finansal yükümlülüklerini kayda alınmalarını izleyen dönemlerde “etkin faiz oranı (iç verim) yöntemi” ile değerlemektedir. Borçlanma araçlarının muhasebeleştirilme ve değerleme yöntemleri ile borçlanmayı temsil eden yükümlülükler açısından riskten korunma tekniklerini uygulamayı gerektiren borçlanma bulunmamaktadır.</w:t>
      </w:r>
    </w:p>
    <w:p w14:paraId="7E1B8A85" w14:textId="3BC2B5B5" w:rsidR="007136E4" w:rsidRPr="001F224B" w:rsidRDefault="007136E4" w:rsidP="00A52F57">
      <w:pPr>
        <w:tabs>
          <w:tab w:val="left" w:pos="630"/>
        </w:tabs>
        <w:spacing w:before="120"/>
        <w:ind w:left="567"/>
        <w:jc w:val="both"/>
        <w:rPr>
          <w:sz w:val="22"/>
          <w:szCs w:val="22"/>
        </w:rPr>
      </w:pPr>
      <w:r w:rsidRPr="001F224B">
        <w:rPr>
          <w:sz w:val="22"/>
          <w:szCs w:val="22"/>
        </w:rPr>
        <w:t xml:space="preserve">Ana Ortaklık </w:t>
      </w:r>
      <w:r w:rsidR="006C6D16" w:rsidRPr="001F224B">
        <w:rPr>
          <w:sz w:val="22"/>
          <w:szCs w:val="22"/>
        </w:rPr>
        <w:t>Banka sağlamış ve sağlamakta olduğu finansal desteği, yurt içi ve yurt dışı piyasalardan kaynak temin ederek sürdürmektedir. Yurt içinden sağlanan kaynaklar Türkiye Cumhuriyet Merkez Bankası, T.C. Hazine ve Maliye Bakanlığı aracılığı ile İslam Kalkınma Bankası, Alman Kalkınma Bankası ve OPEC Uluslararası Kalkınma Fonu gibi uluslararası kuruluşlardan temin edilmektedir. Banka, bunların yanı sıra yurt içinde çeşitli Bütçe kaynaklı fonların kullandırılmasında aracılık görevini üstlenmektedir. Bu kaynaktan kredi kullandırımı bitmiş olup, T.C. Hazine ve Maliye Bakanlığı’ndan yeni kaynak aktarımı olmamıştır. Temin edilen fonlar aktarım tarihinde Banka’nın kaynak hesaplarına kaydedilmektedir. Bu fonların vade ve faiz oranları kamu otoritesi tarafından Yatırımları Teşvik Tebliğleri ile belirlenmektedir</w:t>
      </w:r>
    </w:p>
    <w:p w14:paraId="6B2B337C" w14:textId="77777777" w:rsidR="00A84B59" w:rsidRPr="001F224B" w:rsidRDefault="00162ABF" w:rsidP="00A52F57">
      <w:pPr>
        <w:tabs>
          <w:tab w:val="left" w:pos="630"/>
        </w:tabs>
        <w:spacing w:before="120"/>
        <w:ind w:left="567"/>
        <w:jc w:val="both"/>
        <w:rPr>
          <w:sz w:val="22"/>
          <w:szCs w:val="22"/>
        </w:rPr>
      </w:pPr>
      <w:r w:rsidRPr="001F224B">
        <w:rPr>
          <w:sz w:val="22"/>
          <w:szCs w:val="22"/>
        </w:rPr>
        <w:t xml:space="preserve">Ana Ortaklık Banka’nın </w:t>
      </w:r>
      <w:r w:rsidR="00A84B59" w:rsidRPr="001F224B">
        <w:rPr>
          <w:sz w:val="22"/>
          <w:szCs w:val="22"/>
        </w:rPr>
        <w:t>yurt dışından sağlamış olduğu mevcut kaynakları ise Dünya Bankası’ndan, Avrupa Yatırım Bankası’ndan, Avrupa Konseyi Kalkınma Bankası’ndan, İslam Kalkınma Bankası’ndan, Uluslararası İslami Ticaret Finansman Kuruluşu’ndan, Karadeniz Ticaret ve Kalkınma Bankası’ndan, Japonya Uluslararası İşbirliği Bankası’ndan, Asya Altyapı Yatırım Bankası’ndan, Alman Kalkınma Bankası’ndan ve Çin Kalkınma Bankası’ndan temin edilen orta ve uzun vadeli krediler ile Fransız Kalkınma Ajansı tahsisli olarak ihraç edilmiş olan menkul kıymetler olup, temin edildiği tarihte ve temin tarihindeki maliyeti ile Banka hesaplarına kaydedilmektedir.</w:t>
      </w:r>
    </w:p>
    <w:p w14:paraId="0D8DE1F1" w14:textId="7363173A" w:rsidR="00162ABF" w:rsidRPr="001F224B" w:rsidRDefault="00162ABF" w:rsidP="00A52F57">
      <w:pPr>
        <w:tabs>
          <w:tab w:val="left" w:pos="630"/>
        </w:tabs>
        <w:spacing w:before="120"/>
        <w:ind w:left="567"/>
        <w:jc w:val="both"/>
        <w:rPr>
          <w:sz w:val="22"/>
          <w:szCs w:val="22"/>
        </w:rPr>
      </w:pPr>
      <w:r w:rsidRPr="001F224B">
        <w:rPr>
          <w:sz w:val="22"/>
          <w:szCs w:val="22"/>
        </w:rPr>
        <w:t>Ana Ortaklık Banka genel olarak vade, faiz oranı, faiz tipi ve döviz cinsi olarak borçlanma koşullarına paralel kredilendirmeyi tercih ederek vade, kur riski ve likidite riskinden korunmayı amaçlamaktadır.</w:t>
      </w:r>
    </w:p>
    <w:p w14:paraId="17218410" w14:textId="77777777" w:rsidR="00162ABF" w:rsidRPr="001F224B" w:rsidRDefault="00162ABF" w:rsidP="00A52F57">
      <w:pPr>
        <w:tabs>
          <w:tab w:val="left" w:pos="630"/>
        </w:tabs>
        <w:spacing w:before="120"/>
        <w:ind w:left="567"/>
        <w:jc w:val="both"/>
        <w:rPr>
          <w:sz w:val="22"/>
          <w:szCs w:val="22"/>
        </w:rPr>
      </w:pPr>
      <w:r w:rsidRPr="001F224B">
        <w:rPr>
          <w:sz w:val="22"/>
          <w:szCs w:val="22"/>
        </w:rPr>
        <w:t>Ana Ortaklık Banka’nın halihazırda ihraç edilmiş hisse senedine dönüştürülebilir tahvili bulunmamaktadır.</w:t>
      </w:r>
    </w:p>
    <w:p w14:paraId="0506C17B" w14:textId="77777777" w:rsidR="00024527" w:rsidRPr="001F224B" w:rsidRDefault="00024527" w:rsidP="00931312">
      <w:pPr>
        <w:spacing w:before="120" w:after="120"/>
        <w:ind w:firstLine="22"/>
        <w:jc w:val="both"/>
        <w:rPr>
          <w:b/>
          <w:bCs/>
          <w:sz w:val="22"/>
          <w:szCs w:val="22"/>
        </w:rPr>
      </w:pPr>
    </w:p>
    <w:p w14:paraId="7F7DFD01" w14:textId="77777777" w:rsidR="00024527" w:rsidRPr="001F224B" w:rsidRDefault="00024527" w:rsidP="00931312">
      <w:pPr>
        <w:spacing w:before="120" w:after="120"/>
        <w:ind w:firstLine="22"/>
        <w:jc w:val="both"/>
        <w:rPr>
          <w:b/>
          <w:bCs/>
          <w:sz w:val="22"/>
          <w:szCs w:val="22"/>
        </w:rPr>
      </w:pPr>
    </w:p>
    <w:p w14:paraId="4495302A" w14:textId="77777777" w:rsidR="00024527" w:rsidRPr="001F224B" w:rsidRDefault="00024527" w:rsidP="00931312">
      <w:pPr>
        <w:spacing w:before="120" w:after="120"/>
        <w:ind w:firstLine="22"/>
        <w:jc w:val="both"/>
        <w:rPr>
          <w:b/>
          <w:bCs/>
          <w:sz w:val="22"/>
          <w:szCs w:val="22"/>
        </w:rPr>
      </w:pPr>
    </w:p>
    <w:p w14:paraId="132D3341" w14:textId="2C25505D" w:rsidR="00024527" w:rsidRPr="001F224B" w:rsidRDefault="00024527" w:rsidP="00931312">
      <w:pPr>
        <w:spacing w:before="120" w:after="120"/>
        <w:ind w:firstLine="22"/>
        <w:jc w:val="both"/>
        <w:rPr>
          <w:b/>
          <w:bCs/>
          <w:sz w:val="22"/>
          <w:szCs w:val="22"/>
        </w:rPr>
      </w:pPr>
    </w:p>
    <w:p w14:paraId="2E88B908" w14:textId="77777777" w:rsidR="00A52F57" w:rsidRPr="001F224B" w:rsidRDefault="00A52F57" w:rsidP="00D166D2">
      <w:pPr>
        <w:tabs>
          <w:tab w:val="left" w:pos="567"/>
          <w:tab w:val="left" w:pos="709"/>
        </w:tabs>
        <w:spacing w:before="120" w:after="120"/>
        <w:ind w:firstLine="22"/>
        <w:jc w:val="both"/>
        <w:rPr>
          <w:b/>
          <w:bCs/>
          <w:sz w:val="22"/>
          <w:szCs w:val="22"/>
        </w:rPr>
      </w:pPr>
    </w:p>
    <w:p w14:paraId="400A8892" w14:textId="77777777" w:rsidR="00024527" w:rsidRPr="001F224B" w:rsidRDefault="00024527" w:rsidP="00024527">
      <w:pPr>
        <w:pStyle w:val="ListParagraph"/>
        <w:tabs>
          <w:tab w:val="left" w:pos="0"/>
        </w:tabs>
        <w:spacing w:before="120" w:after="120"/>
        <w:ind w:left="0"/>
        <w:rPr>
          <w:b/>
          <w:bCs/>
          <w:sz w:val="22"/>
          <w:szCs w:val="22"/>
        </w:rPr>
      </w:pPr>
      <w:r w:rsidRPr="001F224B">
        <w:rPr>
          <w:b/>
          <w:bCs/>
          <w:sz w:val="22"/>
          <w:szCs w:val="22"/>
        </w:rPr>
        <w:t>ÜÇÜNCÜ BÖLÜM (Devamı)</w:t>
      </w:r>
    </w:p>
    <w:p w14:paraId="6F263289" w14:textId="77777777" w:rsidR="00024527" w:rsidRPr="001F224B" w:rsidRDefault="00024527" w:rsidP="00024527">
      <w:pPr>
        <w:pStyle w:val="ListParagraph"/>
        <w:tabs>
          <w:tab w:val="left" w:pos="0"/>
        </w:tabs>
        <w:spacing w:before="120" w:after="120"/>
        <w:ind w:left="0"/>
        <w:rPr>
          <w:b/>
          <w:bCs/>
          <w:sz w:val="22"/>
          <w:szCs w:val="22"/>
        </w:rPr>
      </w:pPr>
      <w:r w:rsidRPr="001F224B">
        <w:rPr>
          <w:b/>
          <w:bCs/>
          <w:sz w:val="22"/>
          <w:szCs w:val="22"/>
        </w:rPr>
        <w:t>MUHASEBE POLİTİKALARI (Devamı)</w:t>
      </w:r>
    </w:p>
    <w:p w14:paraId="7BD42569" w14:textId="2A6581B1" w:rsidR="00162ABF" w:rsidRPr="001F224B" w:rsidRDefault="00162ABF" w:rsidP="00931312">
      <w:pPr>
        <w:spacing w:before="120" w:after="120"/>
        <w:ind w:firstLine="22"/>
        <w:jc w:val="both"/>
        <w:rPr>
          <w:b/>
          <w:bCs/>
          <w:sz w:val="22"/>
          <w:szCs w:val="22"/>
        </w:rPr>
      </w:pPr>
      <w:r w:rsidRPr="001F224B">
        <w:rPr>
          <w:b/>
          <w:bCs/>
          <w:sz w:val="22"/>
          <w:szCs w:val="22"/>
        </w:rPr>
        <w:t>XXI.    İhraç edilen hisse senetlerine ilişkin açıklamalar</w:t>
      </w:r>
    </w:p>
    <w:p w14:paraId="6B2CCC34" w14:textId="17ED65B5" w:rsidR="00F66BBE" w:rsidRPr="001F224B" w:rsidRDefault="00F66BBE" w:rsidP="00F66BBE">
      <w:pPr>
        <w:tabs>
          <w:tab w:val="left" w:pos="709"/>
          <w:tab w:val="left" w:pos="993"/>
        </w:tabs>
        <w:spacing w:before="120" w:after="120"/>
        <w:ind w:left="709"/>
        <w:jc w:val="both"/>
        <w:rPr>
          <w:sz w:val="22"/>
          <w:szCs w:val="22"/>
        </w:rPr>
      </w:pPr>
      <w:r w:rsidRPr="001F224B">
        <w:rPr>
          <w:sz w:val="22"/>
          <w:szCs w:val="22"/>
        </w:rPr>
        <w:t>Ana Ortaklık Banka’nın çıkarılmış sermayesi cari dönemde 4.500.000 TL nominal değerli payların ihracı suretiyle 18 Haziran 2025 tarihinde 5.500.000 TL’den 10.000.000 TL'ye yükseltilmiştir.</w:t>
      </w:r>
    </w:p>
    <w:p w14:paraId="2DE9CEC5" w14:textId="67AD8CC1" w:rsidR="00162ABF" w:rsidRPr="001F224B" w:rsidRDefault="00162ABF" w:rsidP="00931312">
      <w:pPr>
        <w:tabs>
          <w:tab w:val="left" w:pos="709"/>
          <w:tab w:val="left" w:pos="993"/>
        </w:tabs>
        <w:spacing w:before="120" w:after="120"/>
        <w:jc w:val="both"/>
        <w:rPr>
          <w:b/>
          <w:sz w:val="22"/>
          <w:szCs w:val="22"/>
        </w:rPr>
      </w:pPr>
      <w:r w:rsidRPr="001F224B">
        <w:rPr>
          <w:b/>
          <w:sz w:val="22"/>
          <w:szCs w:val="22"/>
        </w:rPr>
        <w:t>XXII.   Aval ve kabullere ilişkin açıklamalar</w:t>
      </w:r>
    </w:p>
    <w:p w14:paraId="7DAE2F55" w14:textId="60882B59" w:rsidR="00162ABF" w:rsidRPr="001F224B" w:rsidRDefault="00162ABF" w:rsidP="00931312">
      <w:pPr>
        <w:tabs>
          <w:tab w:val="left" w:pos="993"/>
        </w:tabs>
        <w:spacing w:before="120" w:after="120"/>
        <w:ind w:left="709"/>
        <w:jc w:val="both"/>
        <w:rPr>
          <w:sz w:val="22"/>
          <w:szCs w:val="22"/>
        </w:rPr>
      </w:pPr>
      <w:r w:rsidRPr="001F224B">
        <w:rPr>
          <w:sz w:val="22"/>
          <w:szCs w:val="22"/>
        </w:rPr>
        <w:t xml:space="preserve">Aval ve kabuller, </w:t>
      </w:r>
      <w:r w:rsidR="00C65DED" w:rsidRPr="001F224B">
        <w:rPr>
          <w:sz w:val="22"/>
          <w:szCs w:val="22"/>
        </w:rPr>
        <w:t xml:space="preserve">Ana Ortaklık </w:t>
      </w:r>
      <w:r w:rsidRPr="001F224B">
        <w:rPr>
          <w:sz w:val="22"/>
          <w:szCs w:val="22"/>
        </w:rPr>
        <w:t xml:space="preserve">Banka’nın olası borç taahhütleri olarak “Nazım Hesaplar” altında gösterilmektedir. Cari  ve önceki dönemde </w:t>
      </w:r>
      <w:r w:rsidR="00C65DED" w:rsidRPr="001F224B">
        <w:rPr>
          <w:sz w:val="22"/>
          <w:szCs w:val="22"/>
        </w:rPr>
        <w:t xml:space="preserve">Ana Ortaklık </w:t>
      </w:r>
      <w:r w:rsidRPr="001F224B">
        <w:rPr>
          <w:sz w:val="22"/>
          <w:szCs w:val="22"/>
        </w:rPr>
        <w:t xml:space="preserve">Banka’nın aval ve kabulleri bulunmamaktadır. </w:t>
      </w:r>
    </w:p>
    <w:p w14:paraId="1E5AD2EE" w14:textId="0B0B83BF" w:rsidR="00162ABF" w:rsidRPr="001F224B" w:rsidRDefault="00162ABF" w:rsidP="00931312">
      <w:pPr>
        <w:tabs>
          <w:tab w:val="left" w:pos="567"/>
          <w:tab w:val="left" w:pos="993"/>
        </w:tabs>
        <w:spacing w:before="120" w:after="120"/>
        <w:jc w:val="both"/>
        <w:rPr>
          <w:b/>
          <w:sz w:val="22"/>
          <w:szCs w:val="22"/>
        </w:rPr>
      </w:pPr>
      <w:r w:rsidRPr="001F224B">
        <w:rPr>
          <w:b/>
          <w:sz w:val="22"/>
          <w:szCs w:val="22"/>
        </w:rPr>
        <w:t>XXIII.  Devlet teşviklerine ilişkin açıklamalar</w:t>
      </w:r>
    </w:p>
    <w:p w14:paraId="1D5AC277" w14:textId="31811114" w:rsidR="00162ABF" w:rsidRPr="001F224B" w:rsidRDefault="00162ABF" w:rsidP="00931312">
      <w:pPr>
        <w:tabs>
          <w:tab w:val="left" w:pos="993"/>
        </w:tabs>
        <w:spacing w:before="120" w:after="120"/>
        <w:ind w:left="709"/>
        <w:jc w:val="both"/>
        <w:rPr>
          <w:sz w:val="22"/>
          <w:szCs w:val="22"/>
        </w:rPr>
      </w:pPr>
      <w:r w:rsidRPr="001F224B">
        <w:rPr>
          <w:sz w:val="22"/>
          <w:szCs w:val="22"/>
        </w:rPr>
        <w:t>Grup’un cari ve önceki dönemde yararlanmış olduğu devlet teşviği bulunmamaktadır.</w:t>
      </w:r>
    </w:p>
    <w:p w14:paraId="20F4AB18" w14:textId="28E197D0" w:rsidR="005C4D58" w:rsidRPr="001F224B" w:rsidRDefault="005C4D58" w:rsidP="00931312">
      <w:pPr>
        <w:pStyle w:val="ListParagraph"/>
        <w:numPr>
          <w:ilvl w:val="0"/>
          <w:numId w:val="26"/>
        </w:numPr>
        <w:tabs>
          <w:tab w:val="num" w:pos="567"/>
          <w:tab w:val="left" w:pos="709"/>
        </w:tabs>
        <w:spacing w:before="120" w:after="120"/>
        <w:ind w:left="0" w:firstLine="0"/>
        <w:jc w:val="both"/>
        <w:rPr>
          <w:b/>
          <w:bCs/>
          <w:sz w:val="22"/>
          <w:szCs w:val="22"/>
        </w:rPr>
      </w:pPr>
      <w:r w:rsidRPr="001F224B">
        <w:rPr>
          <w:b/>
          <w:bCs/>
          <w:sz w:val="22"/>
          <w:szCs w:val="22"/>
        </w:rPr>
        <w:t>Hisse başına kazanç</w:t>
      </w:r>
    </w:p>
    <w:p w14:paraId="655484BE" w14:textId="77777777" w:rsidR="005C4D58" w:rsidRPr="001F224B" w:rsidRDefault="005C4D58" w:rsidP="00931312">
      <w:pPr>
        <w:tabs>
          <w:tab w:val="left" w:pos="993"/>
        </w:tabs>
        <w:spacing w:before="120" w:after="120"/>
        <w:ind w:left="709"/>
        <w:jc w:val="both"/>
        <w:rPr>
          <w:sz w:val="22"/>
          <w:szCs w:val="22"/>
        </w:rPr>
      </w:pPr>
      <w:r w:rsidRPr="001F224B">
        <w:rPr>
          <w:sz w:val="22"/>
          <w:szCs w:val="22"/>
        </w:rPr>
        <w:t>Kar veya zarar tablosunda belirtilen hisse başına kazanç, net karın/zararın ilgili yıl içerisinde çıkarılmış bulunan hisse senetlerinin ağırlıklı ortalama adedine bölünmesiyle bulunmaktadır.</w:t>
      </w:r>
    </w:p>
    <w:tbl>
      <w:tblPr>
        <w:tblW w:w="4693" w:type="pct"/>
        <w:tblInd w:w="577" w:type="dxa"/>
        <w:tblCellMar>
          <w:left w:w="70" w:type="dxa"/>
          <w:right w:w="70" w:type="dxa"/>
        </w:tblCellMar>
        <w:tblLook w:val="04A0" w:firstRow="1" w:lastRow="0" w:firstColumn="1" w:lastColumn="0" w:noHBand="0" w:noVBand="1"/>
      </w:tblPr>
      <w:tblGrid>
        <w:gridCol w:w="5373"/>
        <w:gridCol w:w="1983"/>
        <w:gridCol w:w="1841"/>
      </w:tblGrid>
      <w:tr w:rsidR="005C4D58" w:rsidRPr="001F224B" w14:paraId="2A60B535" w14:textId="77777777" w:rsidTr="006D51D5">
        <w:trPr>
          <w:trHeight w:val="323"/>
        </w:trPr>
        <w:tc>
          <w:tcPr>
            <w:tcW w:w="2921" w:type="pct"/>
            <w:tcBorders>
              <w:top w:val="single" w:sz="4" w:space="0" w:color="auto"/>
              <w:left w:val="single" w:sz="4" w:space="0" w:color="auto"/>
              <w:right w:val="single" w:sz="4" w:space="0" w:color="auto"/>
            </w:tcBorders>
            <w:shd w:val="clear" w:color="000000" w:fill="FFFFFF"/>
            <w:noWrap/>
            <w:vAlign w:val="bottom"/>
            <w:hideMark/>
          </w:tcPr>
          <w:p w14:paraId="767562BC" w14:textId="77777777" w:rsidR="005C4D58" w:rsidRPr="001F224B" w:rsidRDefault="005C4D58" w:rsidP="009261A0">
            <w:pPr>
              <w:jc w:val="both"/>
              <w:rPr>
                <w:color w:val="000000"/>
                <w:sz w:val="20"/>
                <w:szCs w:val="20"/>
              </w:rPr>
            </w:pPr>
          </w:p>
        </w:tc>
        <w:tc>
          <w:tcPr>
            <w:tcW w:w="1078" w:type="pct"/>
            <w:vMerge w:val="restart"/>
            <w:tcBorders>
              <w:top w:val="single" w:sz="4" w:space="0" w:color="auto"/>
              <w:left w:val="nil"/>
              <w:right w:val="single" w:sz="4" w:space="0" w:color="auto"/>
            </w:tcBorders>
            <w:shd w:val="clear" w:color="000000" w:fill="FFFFFF"/>
            <w:noWrap/>
            <w:vAlign w:val="bottom"/>
          </w:tcPr>
          <w:p w14:paraId="1059ADDA" w14:textId="77777777" w:rsidR="005C4D58" w:rsidRPr="001F224B" w:rsidRDefault="005C4D58" w:rsidP="009261A0">
            <w:pPr>
              <w:jc w:val="center"/>
              <w:rPr>
                <w:b/>
                <w:bCs/>
                <w:color w:val="000000"/>
                <w:sz w:val="20"/>
                <w:szCs w:val="20"/>
              </w:rPr>
            </w:pPr>
            <w:r w:rsidRPr="001F224B">
              <w:rPr>
                <w:b/>
                <w:bCs/>
                <w:color w:val="000000"/>
                <w:sz w:val="20"/>
                <w:szCs w:val="20"/>
              </w:rPr>
              <w:t>Cari Dönem</w:t>
            </w:r>
          </w:p>
          <w:p w14:paraId="5B6F38DE" w14:textId="1B78EC69" w:rsidR="005C4D58" w:rsidRPr="001F224B" w:rsidRDefault="005C4D58" w:rsidP="009261A0">
            <w:pPr>
              <w:jc w:val="center"/>
              <w:rPr>
                <w:b/>
                <w:bCs/>
                <w:color w:val="000000"/>
                <w:sz w:val="20"/>
                <w:szCs w:val="20"/>
              </w:rPr>
            </w:pPr>
            <w:r w:rsidRPr="001F224B">
              <w:rPr>
                <w:b/>
                <w:bCs/>
                <w:color w:val="000000"/>
                <w:sz w:val="20"/>
                <w:szCs w:val="20"/>
              </w:rPr>
              <w:t>(3</w:t>
            </w:r>
            <w:r w:rsidR="00584D7F" w:rsidRPr="001F224B">
              <w:rPr>
                <w:b/>
                <w:bCs/>
                <w:color w:val="000000"/>
                <w:sz w:val="20"/>
                <w:szCs w:val="20"/>
              </w:rPr>
              <w:t>0</w:t>
            </w:r>
            <w:r w:rsidRPr="001F224B">
              <w:rPr>
                <w:b/>
                <w:bCs/>
                <w:color w:val="000000"/>
                <w:sz w:val="20"/>
                <w:szCs w:val="20"/>
              </w:rPr>
              <w:t>.</w:t>
            </w:r>
            <w:r w:rsidR="00ED2BA3" w:rsidRPr="001F224B">
              <w:rPr>
                <w:b/>
                <w:bCs/>
                <w:color w:val="000000"/>
                <w:sz w:val="20"/>
                <w:szCs w:val="20"/>
              </w:rPr>
              <w:t>0</w:t>
            </w:r>
            <w:r w:rsidR="00584D7F" w:rsidRPr="001F224B">
              <w:rPr>
                <w:b/>
                <w:bCs/>
                <w:color w:val="000000"/>
                <w:sz w:val="20"/>
                <w:szCs w:val="20"/>
              </w:rPr>
              <w:t>6</w:t>
            </w:r>
            <w:r w:rsidRPr="001F224B">
              <w:rPr>
                <w:b/>
                <w:bCs/>
                <w:color w:val="000000"/>
                <w:sz w:val="20"/>
                <w:szCs w:val="20"/>
              </w:rPr>
              <w:t>.202</w:t>
            </w:r>
            <w:r w:rsidR="00ED2BA3" w:rsidRPr="001F224B">
              <w:rPr>
                <w:b/>
                <w:bCs/>
                <w:color w:val="000000"/>
                <w:sz w:val="20"/>
                <w:szCs w:val="20"/>
              </w:rPr>
              <w:t>5</w:t>
            </w:r>
            <w:r w:rsidRPr="001F224B">
              <w:rPr>
                <w:b/>
                <w:bCs/>
                <w:color w:val="000000"/>
                <w:sz w:val="20"/>
                <w:szCs w:val="20"/>
              </w:rPr>
              <w:t>)</w:t>
            </w:r>
          </w:p>
        </w:tc>
        <w:tc>
          <w:tcPr>
            <w:tcW w:w="1001" w:type="pct"/>
            <w:vMerge w:val="restart"/>
            <w:tcBorders>
              <w:top w:val="single" w:sz="4" w:space="0" w:color="auto"/>
              <w:left w:val="nil"/>
              <w:right w:val="single" w:sz="4" w:space="0" w:color="auto"/>
            </w:tcBorders>
            <w:shd w:val="clear" w:color="000000" w:fill="FFFFFF"/>
            <w:vAlign w:val="bottom"/>
          </w:tcPr>
          <w:p w14:paraId="54E59116" w14:textId="77777777" w:rsidR="005C4D58" w:rsidRPr="001F224B" w:rsidRDefault="005C4D58" w:rsidP="009261A0">
            <w:pPr>
              <w:jc w:val="center"/>
              <w:rPr>
                <w:b/>
                <w:bCs/>
                <w:color w:val="000000"/>
                <w:sz w:val="20"/>
                <w:szCs w:val="20"/>
              </w:rPr>
            </w:pPr>
            <w:r w:rsidRPr="001F224B">
              <w:rPr>
                <w:b/>
                <w:bCs/>
                <w:color w:val="000000"/>
                <w:sz w:val="20"/>
                <w:szCs w:val="20"/>
              </w:rPr>
              <w:t>Önceki Dönem</w:t>
            </w:r>
          </w:p>
          <w:p w14:paraId="05FBDD2D" w14:textId="29E8316F" w:rsidR="005C4D58" w:rsidRPr="001F224B" w:rsidRDefault="005C4D58" w:rsidP="009261A0">
            <w:pPr>
              <w:jc w:val="center"/>
              <w:rPr>
                <w:b/>
                <w:bCs/>
                <w:color w:val="000000"/>
                <w:sz w:val="20"/>
                <w:szCs w:val="20"/>
              </w:rPr>
            </w:pPr>
            <w:r w:rsidRPr="001F224B">
              <w:rPr>
                <w:b/>
                <w:bCs/>
                <w:color w:val="000000"/>
                <w:sz w:val="20"/>
                <w:szCs w:val="20"/>
              </w:rPr>
              <w:t>(3</w:t>
            </w:r>
            <w:r w:rsidR="00584D7F" w:rsidRPr="001F224B">
              <w:rPr>
                <w:b/>
                <w:bCs/>
                <w:color w:val="000000"/>
                <w:sz w:val="20"/>
                <w:szCs w:val="20"/>
              </w:rPr>
              <w:t>0</w:t>
            </w:r>
            <w:r w:rsidRPr="001F224B">
              <w:rPr>
                <w:b/>
                <w:bCs/>
                <w:color w:val="000000"/>
                <w:sz w:val="20"/>
                <w:szCs w:val="20"/>
              </w:rPr>
              <w:t>.</w:t>
            </w:r>
            <w:r w:rsidR="00584D7F" w:rsidRPr="001F224B">
              <w:rPr>
                <w:b/>
                <w:bCs/>
                <w:color w:val="000000"/>
                <w:sz w:val="20"/>
                <w:szCs w:val="20"/>
              </w:rPr>
              <w:t>06</w:t>
            </w:r>
            <w:r w:rsidRPr="001F224B">
              <w:rPr>
                <w:b/>
                <w:bCs/>
                <w:color w:val="000000"/>
                <w:sz w:val="20"/>
                <w:szCs w:val="20"/>
              </w:rPr>
              <w:t>.202</w:t>
            </w:r>
            <w:r w:rsidR="00ED2BA3" w:rsidRPr="001F224B">
              <w:rPr>
                <w:b/>
                <w:bCs/>
                <w:color w:val="000000"/>
                <w:sz w:val="20"/>
                <w:szCs w:val="20"/>
              </w:rPr>
              <w:t>4</w:t>
            </w:r>
            <w:r w:rsidRPr="001F224B">
              <w:rPr>
                <w:b/>
                <w:bCs/>
                <w:color w:val="000000"/>
                <w:sz w:val="20"/>
                <w:szCs w:val="20"/>
              </w:rPr>
              <w:t>)</w:t>
            </w:r>
          </w:p>
        </w:tc>
      </w:tr>
      <w:tr w:rsidR="005C4D58" w:rsidRPr="001F224B" w14:paraId="3F38A149" w14:textId="77777777" w:rsidTr="006D51D5">
        <w:trPr>
          <w:trHeight w:val="323"/>
        </w:trPr>
        <w:tc>
          <w:tcPr>
            <w:tcW w:w="2921" w:type="pct"/>
            <w:tcBorders>
              <w:left w:val="single" w:sz="4" w:space="0" w:color="auto"/>
              <w:bottom w:val="single" w:sz="4" w:space="0" w:color="auto"/>
              <w:right w:val="single" w:sz="4" w:space="0" w:color="auto"/>
            </w:tcBorders>
            <w:shd w:val="clear" w:color="000000" w:fill="FFFFFF"/>
            <w:noWrap/>
            <w:vAlign w:val="bottom"/>
          </w:tcPr>
          <w:p w14:paraId="5B146C06" w14:textId="77777777" w:rsidR="005C4D58" w:rsidRPr="001F224B" w:rsidRDefault="005C4D58" w:rsidP="009261A0">
            <w:pPr>
              <w:jc w:val="both"/>
              <w:rPr>
                <w:color w:val="000000"/>
                <w:sz w:val="20"/>
                <w:szCs w:val="20"/>
              </w:rPr>
            </w:pPr>
          </w:p>
        </w:tc>
        <w:tc>
          <w:tcPr>
            <w:tcW w:w="1078" w:type="pct"/>
            <w:vMerge/>
            <w:tcBorders>
              <w:left w:val="nil"/>
              <w:bottom w:val="single" w:sz="4" w:space="0" w:color="auto"/>
              <w:right w:val="single" w:sz="4" w:space="0" w:color="auto"/>
            </w:tcBorders>
            <w:shd w:val="clear" w:color="000000" w:fill="FFFFFF"/>
            <w:noWrap/>
            <w:vAlign w:val="bottom"/>
          </w:tcPr>
          <w:p w14:paraId="3980FDBE" w14:textId="77777777" w:rsidR="005C4D58" w:rsidRPr="001F224B" w:rsidRDefault="005C4D58" w:rsidP="009261A0">
            <w:pPr>
              <w:jc w:val="right"/>
              <w:rPr>
                <w:color w:val="000000"/>
                <w:sz w:val="20"/>
                <w:szCs w:val="20"/>
              </w:rPr>
            </w:pPr>
          </w:p>
        </w:tc>
        <w:tc>
          <w:tcPr>
            <w:tcW w:w="1001" w:type="pct"/>
            <w:vMerge/>
            <w:tcBorders>
              <w:left w:val="nil"/>
              <w:bottom w:val="single" w:sz="4" w:space="0" w:color="auto"/>
              <w:right w:val="single" w:sz="4" w:space="0" w:color="auto"/>
            </w:tcBorders>
            <w:shd w:val="clear" w:color="000000" w:fill="FFFFFF"/>
            <w:vAlign w:val="bottom"/>
          </w:tcPr>
          <w:p w14:paraId="24933A84" w14:textId="77777777" w:rsidR="005C4D58" w:rsidRPr="001F224B" w:rsidRDefault="005C4D58" w:rsidP="009261A0">
            <w:pPr>
              <w:jc w:val="right"/>
              <w:rPr>
                <w:color w:val="000000"/>
                <w:sz w:val="20"/>
                <w:szCs w:val="20"/>
              </w:rPr>
            </w:pPr>
          </w:p>
        </w:tc>
      </w:tr>
      <w:tr w:rsidR="00D741E1" w:rsidRPr="001F224B" w14:paraId="0FABB808" w14:textId="77777777" w:rsidTr="00D741E1">
        <w:trPr>
          <w:trHeight w:val="323"/>
        </w:trPr>
        <w:tc>
          <w:tcPr>
            <w:tcW w:w="292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7A90445C" w14:textId="77777777" w:rsidR="00D741E1" w:rsidRPr="001F224B" w:rsidRDefault="00D741E1" w:rsidP="00D741E1">
            <w:pPr>
              <w:jc w:val="both"/>
              <w:rPr>
                <w:color w:val="000000"/>
                <w:sz w:val="20"/>
                <w:szCs w:val="20"/>
              </w:rPr>
            </w:pPr>
            <w:r w:rsidRPr="001F224B">
              <w:rPr>
                <w:color w:val="000000"/>
                <w:sz w:val="20"/>
                <w:szCs w:val="20"/>
              </w:rPr>
              <w:t>Net Dönem Karı</w:t>
            </w:r>
          </w:p>
        </w:tc>
        <w:tc>
          <w:tcPr>
            <w:tcW w:w="1078" w:type="pct"/>
            <w:tcBorders>
              <w:top w:val="single" w:sz="4" w:space="0" w:color="auto"/>
              <w:left w:val="nil"/>
              <w:bottom w:val="single" w:sz="4" w:space="0" w:color="auto"/>
              <w:right w:val="single" w:sz="4" w:space="0" w:color="auto"/>
            </w:tcBorders>
            <w:shd w:val="clear" w:color="auto" w:fill="auto"/>
            <w:noWrap/>
            <w:vAlign w:val="bottom"/>
          </w:tcPr>
          <w:p w14:paraId="0B9B6B45" w14:textId="7FD36711" w:rsidR="00D741E1" w:rsidRPr="001F224B" w:rsidRDefault="00D741E1" w:rsidP="00D741E1">
            <w:pPr>
              <w:jc w:val="right"/>
              <w:rPr>
                <w:color w:val="000000"/>
                <w:sz w:val="20"/>
                <w:szCs w:val="20"/>
              </w:rPr>
            </w:pPr>
            <w:r w:rsidRPr="001F224B">
              <w:rPr>
                <w:color w:val="000000"/>
                <w:sz w:val="20"/>
                <w:szCs w:val="20"/>
              </w:rPr>
              <w:t>4.013.756</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bottom"/>
          </w:tcPr>
          <w:p w14:paraId="646EF4A1" w14:textId="0233824A" w:rsidR="00D741E1" w:rsidRPr="001F224B" w:rsidRDefault="00D741E1" w:rsidP="00D741E1">
            <w:pPr>
              <w:jc w:val="right"/>
              <w:rPr>
                <w:color w:val="000000"/>
                <w:sz w:val="20"/>
                <w:szCs w:val="20"/>
              </w:rPr>
            </w:pPr>
            <w:r w:rsidRPr="001F224B">
              <w:rPr>
                <w:color w:val="000000"/>
                <w:sz w:val="20"/>
                <w:szCs w:val="20"/>
              </w:rPr>
              <w:t>2.732.550</w:t>
            </w:r>
          </w:p>
        </w:tc>
      </w:tr>
      <w:tr w:rsidR="00D741E1" w:rsidRPr="001F224B" w14:paraId="2E24ECD8" w14:textId="77777777" w:rsidTr="00D741E1">
        <w:trPr>
          <w:trHeight w:val="323"/>
        </w:trPr>
        <w:tc>
          <w:tcPr>
            <w:tcW w:w="2921" w:type="pct"/>
            <w:tcBorders>
              <w:top w:val="nil"/>
              <w:left w:val="single" w:sz="4" w:space="0" w:color="auto"/>
              <w:bottom w:val="single" w:sz="4" w:space="0" w:color="auto"/>
              <w:right w:val="single" w:sz="4" w:space="0" w:color="auto"/>
            </w:tcBorders>
            <w:shd w:val="clear" w:color="000000" w:fill="FFFFFF"/>
            <w:noWrap/>
            <w:vAlign w:val="bottom"/>
            <w:hideMark/>
          </w:tcPr>
          <w:p w14:paraId="49BFC1D4" w14:textId="77777777" w:rsidR="00D741E1" w:rsidRPr="001F224B" w:rsidRDefault="00D741E1" w:rsidP="00D741E1">
            <w:pPr>
              <w:jc w:val="both"/>
              <w:rPr>
                <w:color w:val="000000"/>
                <w:sz w:val="20"/>
                <w:szCs w:val="20"/>
              </w:rPr>
            </w:pPr>
            <w:r w:rsidRPr="001F224B">
              <w:rPr>
                <w:color w:val="000000"/>
                <w:sz w:val="20"/>
                <w:szCs w:val="20"/>
              </w:rPr>
              <w:t>Çıkarılmış Adi Hisselerin Ağırlıklı Ortalama Adedi (Bin)</w:t>
            </w:r>
          </w:p>
        </w:tc>
        <w:tc>
          <w:tcPr>
            <w:tcW w:w="1078" w:type="pct"/>
            <w:tcBorders>
              <w:top w:val="single" w:sz="4" w:space="0" w:color="auto"/>
              <w:left w:val="nil"/>
              <w:bottom w:val="single" w:sz="4" w:space="0" w:color="auto"/>
              <w:right w:val="single" w:sz="4" w:space="0" w:color="auto"/>
            </w:tcBorders>
            <w:shd w:val="clear" w:color="auto" w:fill="auto"/>
            <w:noWrap/>
            <w:vAlign w:val="bottom"/>
          </w:tcPr>
          <w:p w14:paraId="5C7BC153" w14:textId="04515B70" w:rsidR="00D741E1" w:rsidRPr="001F224B" w:rsidRDefault="00D741E1" w:rsidP="00D741E1">
            <w:pPr>
              <w:jc w:val="right"/>
              <w:rPr>
                <w:color w:val="000000"/>
                <w:sz w:val="20"/>
                <w:szCs w:val="20"/>
              </w:rPr>
            </w:pPr>
            <w:r w:rsidRPr="001F224B">
              <w:rPr>
                <w:color w:val="000000"/>
                <w:sz w:val="20"/>
                <w:szCs w:val="20"/>
              </w:rPr>
              <w:t>579.834.254</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bottom"/>
          </w:tcPr>
          <w:p w14:paraId="12B468CB" w14:textId="3B3CE28D" w:rsidR="00D741E1" w:rsidRPr="001F224B" w:rsidRDefault="00D741E1" w:rsidP="00D741E1">
            <w:pPr>
              <w:jc w:val="right"/>
              <w:rPr>
                <w:color w:val="000000"/>
                <w:sz w:val="20"/>
                <w:szCs w:val="20"/>
              </w:rPr>
            </w:pPr>
            <w:r w:rsidRPr="001F224B">
              <w:rPr>
                <w:color w:val="000000"/>
                <w:sz w:val="20"/>
                <w:szCs w:val="20"/>
              </w:rPr>
              <w:t>350.549.451</w:t>
            </w:r>
          </w:p>
        </w:tc>
      </w:tr>
      <w:tr w:rsidR="00D741E1" w:rsidRPr="001F224B" w14:paraId="723C1BE8" w14:textId="77777777" w:rsidTr="00D741E1">
        <w:trPr>
          <w:trHeight w:val="323"/>
        </w:trPr>
        <w:tc>
          <w:tcPr>
            <w:tcW w:w="2921" w:type="pct"/>
            <w:tcBorders>
              <w:top w:val="nil"/>
              <w:left w:val="single" w:sz="4" w:space="0" w:color="auto"/>
              <w:bottom w:val="single" w:sz="4" w:space="0" w:color="auto"/>
              <w:right w:val="single" w:sz="4" w:space="0" w:color="auto"/>
            </w:tcBorders>
            <w:shd w:val="clear" w:color="000000" w:fill="FFFFFF"/>
            <w:noWrap/>
            <w:vAlign w:val="bottom"/>
            <w:hideMark/>
          </w:tcPr>
          <w:p w14:paraId="599EDDAE" w14:textId="77777777" w:rsidR="00D741E1" w:rsidRPr="001F224B" w:rsidRDefault="00D741E1" w:rsidP="00D741E1">
            <w:pPr>
              <w:jc w:val="both"/>
              <w:rPr>
                <w:b/>
                <w:bCs/>
                <w:color w:val="000000"/>
                <w:sz w:val="20"/>
                <w:szCs w:val="20"/>
              </w:rPr>
            </w:pPr>
            <w:r w:rsidRPr="001F224B">
              <w:rPr>
                <w:b/>
                <w:bCs/>
                <w:color w:val="000000"/>
                <w:sz w:val="20"/>
                <w:szCs w:val="20"/>
              </w:rPr>
              <w:t>Hisse Başına Kar (Tam TL)</w:t>
            </w:r>
          </w:p>
        </w:tc>
        <w:tc>
          <w:tcPr>
            <w:tcW w:w="1078" w:type="pct"/>
            <w:tcBorders>
              <w:top w:val="single" w:sz="4" w:space="0" w:color="auto"/>
              <w:left w:val="nil"/>
              <w:bottom w:val="single" w:sz="4" w:space="0" w:color="auto"/>
              <w:right w:val="single" w:sz="4" w:space="0" w:color="auto"/>
            </w:tcBorders>
            <w:shd w:val="clear" w:color="auto" w:fill="auto"/>
            <w:noWrap/>
            <w:vAlign w:val="bottom"/>
          </w:tcPr>
          <w:p w14:paraId="3EAB336E" w14:textId="308B018C" w:rsidR="00D741E1" w:rsidRPr="001F224B" w:rsidRDefault="00D741E1" w:rsidP="00D741E1">
            <w:pPr>
              <w:jc w:val="right"/>
              <w:rPr>
                <w:color w:val="000000"/>
                <w:sz w:val="20"/>
                <w:szCs w:val="20"/>
              </w:rPr>
            </w:pPr>
            <w:r w:rsidRPr="001F224B">
              <w:rPr>
                <w:color w:val="000000"/>
                <w:sz w:val="20"/>
                <w:szCs w:val="20"/>
              </w:rPr>
              <w:t>0,00692</w:t>
            </w:r>
          </w:p>
        </w:tc>
        <w:tc>
          <w:tcPr>
            <w:tcW w:w="1001" w:type="pct"/>
            <w:tcBorders>
              <w:top w:val="single" w:sz="4" w:space="0" w:color="auto"/>
              <w:left w:val="nil"/>
              <w:bottom w:val="single" w:sz="4" w:space="0" w:color="auto"/>
              <w:right w:val="single" w:sz="4" w:space="0" w:color="auto"/>
            </w:tcBorders>
            <w:shd w:val="clear" w:color="auto" w:fill="auto"/>
            <w:vAlign w:val="bottom"/>
          </w:tcPr>
          <w:p w14:paraId="48E0C6EC" w14:textId="1647B15A" w:rsidR="00D741E1" w:rsidRPr="001F224B" w:rsidRDefault="00D741E1" w:rsidP="00D741E1">
            <w:pPr>
              <w:jc w:val="right"/>
              <w:rPr>
                <w:color w:val="000000"/>
                <w:sz w:val="20"/>
                <w:szCs w:val="20"/>
              </w:rPr>
            </w:pPr>
            <w:r w:rsidRPr="001F224B">
              <w:rPr>
                <w:color w:val="000000"/>
                <w:sz w:val="20"/>
                <w:szCs w:val="20"/>
              </w:rPr>
              <w:t>0,00779</w:t>
            </w:r>
          </w:p>
        </w:tc>
      </w:tr>
    </w:tbl>
    <w:p w14:paraId="36106382" w14:textId="77777777" w:rsidR="00024527" w:rsidRPr="001F224B" w:rsidRDefault="00024527" w:rsidP="00024527">
      <w:pPr>
        <w:tabs>
          <w:tab w:val="num" w:pos="567"/>
          <w:tab w:val="left" w:pos="709"/>
        </w:tabs>
        <w:spacing w:before="120" w:after="120"/>
        <w:ind w:left="567"/>
        <w:jc w:val="both"/>
        <w:rPr>
          <w:sz w:val="22"/>
          <w:szCs w:val="22"/>
        </w:rPr>
      </w:pPr>
      <w:r w:rsidRPr="001F224B">
        <w:rPr>
          <w:sz w:val="22"/>
          <w:szCs w:val="22"/>
        </w:rPr>
        <w:t>Türkiye’de şirketler sermayelerini halihazırda bulunan hissedarlarına, geçmiş yıl kazançlarından dağıttıkları “bedelsiz hisse” yolu ile artırabilmektedirler. Bu tip “bedelsiz hisse” dağıtımları, hisse başına kazanç hesaplamalarında, ihraç edilmiş hisse gibi değerlendirilir. Buna göre bu hesaplamalarda kullanılan ağırlıklı ortalama hisse adedi, söz konusu hisse dağıtımlarının geçmişe dönük etkileri de dikkate alınarak bulunur. İhraç edilmiş hisse adedinin bilanço tarihinden sonra, mali tabloların hazırlanmış olduğu tarihten önce bedelsiz hisse adedi dağıtılması sebebiyle artması durumunda hisse başına kazanç hesaplaması toplam yeni hisse adedi dikkate alınarak yapılmaktadır.</w:t>
      </w:r>
    </w:p>
    <w:p w14:paraId="2DC640C1" w14:textId="77777777" w:rsidR="00024527" w:rsidRPr="001F224B" w:rsidRDefault="00024527" w:rsidP="00024527">
      <w:pPr>
        <w:tabs>
          <w:tab w:val="left" w:pos="567"/>
          <w:tab w:val="left" w:pos="993"/>
        </w:tabs>
        <w:spacing w:before="120" w:after="120"/>
        <w:ind w:left="-142"/>
        <w:jc w:val="both"/>
        <w:rPr>
          <w:b/>
          <w:sz w:val="22"/>
          <w:szCs w:val="22"/>
        </w:rPr>
      </w:pPr>
      <w:r w:rsidRPr="001F224B">
        <w:rPr>
          <w:b/>
          <w:sz w:val="22"/>
          <w:szCs w:val="22"/>
        </w:rPr>
        <w:t>XXV.   İlişkili taraflar</w:t>
      </w:r>
    </w:p>
    <w:p w14:paraId="29AEED61" w14:textId="1D4AA791" w:rsidR="00024527" w:rsidRPr="001F224B" w:rsidRDefault="00024527" w:rsidP="00024527">
      <w:pPr>
        <w:tabs>
          <w:tab w:val="left" w:pos="567"/>
        </w:tabs>
        <w:spacing w:before="120" w:after="100"/>
        <w:ind w:left="567" w:right="28"/>
        <w:jc w:val="both"/>
        <w:rPr>
          <w:sz w:val="22"/>
          <w:szCs w:val="22"/>
        </w:rPr>
      </w:pPr>
      <w:r w:rsidRPr="001F224B">
        <w:rPr>
          <w:sz w:val="22"/>
          <w:szCs w:val="22"/>
        </w:rPr>
        <w:t>Bu finansal tabloların amacı doğrultusunda ortaklar, üst düzey yöneticiler ve yönetim kurulu üyeleri, aileleri ve kendileri tarafından kontrol edilen veya kendilerine bağlı şirketler ile birlikte, iştirakler ve müşterek yönetime tabi ortaklıklar TMS 24 İlişkili Taraf Açıklamaları standardı kapsamında ilişkili taraflar olarak kabul edilmiştir. İlişkili taraflarla yapılan işlemler Beşinci Bölüm V nolu dipnotta gösterilmiştir.</w:t>
      </w:r>
    </w:p>
    <w:p w14:paraId="36D55DBB" w14:textId="77777777" w:rsidR="00024527" w:rsidRPr="001F224B" w:rsidRDefault="00024527" w:rsidP="00024527">
      <w:pPr>
        <w:tabs>
          <w:tab w:val="left" w:pos="567"/>
          <w:tab w:val="left" w:pos="993"/>
        </w:tabs>
        <w:spacing w:before="120" w:after="120"/>
        <w:ind w:left="-142"/>
        <w:jc w:val="both"/>
        <w:rPr>
          <w:b/>
          <w:sz w:val="22"/>
          <w:szCs w:val="22"/>
        </w:rPr>
      </w:pPr>
      <w:r w:rsidRPr="001F224B">
        <w:rPr>
          <w:b/>
          <w:sz w:val="22"/>
          <w:szCs w:val="22"/>
        </w:rPr>
        <w:t>XXVI.  Raporlamanın bölümlemeye göre yapılmasına ilişkin açıklamalar</w:t>
      </w:r>
    </w:p>
    <w:p w14:paraId="3279B151" w14:textId="77777777" w:rsidR="00024527" w:rsidRPr="001F224B" w:rsidRDefault="00024527" w:rsidP="00024527">
      <w:pPr>
        <w:tabs>
          <w:tab w:val="left" w:pos="709"/>
        </w:tabs>
        <w:spacing w:before="120" w:after="120"/>
        <w:ind w:left="567"/>
        <w:jc w:val="both"/>
        <w:rPr>
          <w:bCs/>
          <w:sz w:val="22"/>
          <w:szCs w:val="22"/>
        </w:rPr>
      </w:pPr>
      <w:r w:rsidRPr="001F224B">
        <w:rPr>
          <w:sz w:val="22"/>
          <w:szCs w:val="22"/>
        </w:rPr>
        <w:t xml:space="preserve">Ana Ortaklık </w:t>
      </w:r>
      <w:r w:rsidRPr="001F224B">
        <w:rPr>
          <w:bCs/>
          <w:sz w:val="22"/>
          <w:szCs w:val="22"/>
        </w:rPr>
        <w:t>Banka misyonu gereği, ağırlıklı olarak kurumsal bankacılık ve yatırım bankacılığı alanlarında faaliyet göstermektedir. Kurumsal bankacılık orta ve büyük ölçekli anonim şirket statüsündeki müşterilere finansal çözümler ve bankacılık hizmetleri sunmaktadır. Sunulan hizmetler arasında yatırım kredileri, proje finansmanı, TL ve döviz bazında işletme kredileri, akreditif, garanti ve teminat mektuplarını da kapsayan dış ticaret işlemleri hizmetleri bulunmaktadır. Banka, gelirinin tamamına yakınını yurt içinden elde etmektedir.</w:t>
      </w:r>
    </w:p>
    <w:p w14:paraId="019436DD" w14:textId="77777777" w:rsidR="00024527" w:rsidRPr="001F224B" w:rsidRDefault="00024527" w:rsidP="00024527">
      <w:pPr>
        <w:tabs>
          <w:tab w:val="left" w:pos="709"/>
        </w:tabs>
        <w:spacing w:before="120" w:after="120"/>
        <w:ind w:left="567"/>
        <w:jc w:val="both"/>
        <w:rPr>
          <w:bCs/>
          <w:sz w:val="22"/>
          <w:szCs w:val="22"/>
        </w:rPr>
      </w:pPr>
      <w:r w:rsidRPr="001F224B">
        <w:rPr>
          <w:bCs/>
          <w:sz w:val="22"/>
          <w:szCs w:val="22"/>
        </w:rPr>
        <w:t>Yatırım bankacılığı faaliyetleri kapsamında Ana Ortaklık Banka’nın hazine bonosu, devlet tahvili alım-satımı, repo işlemleri, para swapları ve vadeli döviz alım-satım işlemleri, sermaye piyasaları danışmanlığı, finansal danışmanlık, birleşme ve satın alma danışmanlığı yapılmaktadır. Yatırım bankacılığı faaliyet gelirleri içerisinde Hazine işlemleri faaliyetlerinden elde edilen gelirler yer almaktadır.</w:t>
      </w:r>
    </w:p>
    <w:p w14:paraId="2E0965DF" w14:textId="68B40B66" w:rsidR="00024527" w:rsidRPr="001F224B" w:rsidRDefault="002B00E2" w:rsidP="00024527">
      <w:pPr>
        <w:tabs>
          <w:tab w:val="left" w:pos="567"/>
        </w:tabs>
        <w:spacing w:before="120" w:after="120"/>
        <w:ind w:left="567"/>
        <w:jc w:val="both"/>
        <w:rPr>
          <w:bCs/>
          <w:sz w:val="22"/>
          <w:szCs w:val="22"/>
        </w:rPr>
      </w:pPr>
      <w:r w:rsidRPr="001F224B">
        <w:rPr>
          <w:bCs/>
          <w:sz w:val="22"/>
          <w:szCs w:val="22"/>
        </w:rPr>
        <w:t>30 Haziran</w:t>
      </w:r>
      <w:r w:rsidR="00024527" w:rsidRPr="001F224B">
        <w:rPr>
          <w:bCs/>
          <w:sz w:val="22"/>
          <w:szCs w:val="22"/>
        </w:rPr>
        <w:t xml:space="preserve"> 2025 tarihi itibarıyla hazırlanan konsolide faaliyet bölümlemesine ilişkin bilgiler tablosuna aşağıda yer verilmiştir:</w:t>
      </w:r>
    </w:p>
    <w:p w14:paraId="15367144" w14:textId="702AD2DB" w:rsidR="00931312" w:rsidRPr="001F224B" w:rsidRDefault="00024527">
      <w:pPr>
        <w:rPr>
          <w:sz w:val="22"/>
          <w:szCs w:val="22"/>
        </w:rPr>
      </w:pPr>
      <w:r w:rsidRPr="001F224B">
        <w:rPr>
          <w:sz w:val="22"/>
          <w:szCs w:val="22"/>
        </w:rPr>
        <w:br w:type="page"/>
      </w:r>
    </w:p>
    <w:p w14:paraId="5CD6698B" w14:textId="77777777" w:rsidR="00F61885" w:rsidRPr="001F224B" w:rsidRDefault="00F61885" w:rsidP="00F61885">
      <w:pPr>
        <w:pStyle w:val="ListParagraph"/>
        <w:tabs>
          <w:tab w:val="left" w:pos="0"/>
        </w:tabs>
        <w:spacing w:before="120"/>
        <w:ind w:left="0"/>
        <w:rPr>
          <w:b/>
          <w:bCs/>
          <w:sz w:val="22"/>
          <w:szCs w:val="22"/>
        </w:rPr>
      </w:pPr>
      <w:r w:rsidRPr="001F224B">
        <w:rPr>
          <w:b/>
          <w:bCs/>
          <w:sz w:val="22"/>
          <w:szCs w:val="22"/>
        </w:rPr>
        <w:t>ÜÇÜNCÜ BÖLÜM (Devamı)</w:t>
      </w:r>
    </w:p>
    <w:p w14:paraId="326A66ED" w14:textId="4E62B0A7" w:rsidR="00F61885" w:rsidRPr="001F224B" w:rsidRDefault="00F61885" w:rsidP="006F4B94">
      <w:pPr>
        <w:pStyle w:val="ListParagraph"/>
        <w:tabs>
          <w:tab w:val="left" w:pos="0"/>
        </w:tabs>
        <w:spacing w:before="120" w:after="120"/>
        <w:ind w:left="0"/>
        <w:rPr>
          <w:b/>
          <w:bCs/>
          <w:sz w:val="22"/>
          <w:szCs w:val="22"/>
        </w:rPr>
      </w:pPr>
      <w:r w:rsidRPr="001F224B">
        <w:rPr>
          <w:b/>
          <w:bCs/>
          <w:sz w:val="22"/>
          <w:szCs w:val="22"/>
        </w:rPr>
        <w:t>MUHASEBE POLİTİKALARI (Devamı)</w:t>
      </w:r>
    </w:p>
    <w:p w14:paraId="3DE30614" w14:textId="684AAE7D" w:rsidR="00162ABF" w:rsidRPr="001F224B" w:rsidRDefault="00162ABF" w:rsidP="006F4B94">
      <w:pPr>
        <w:pStyle w:val="ListParagraph"/>
        <w:tabs>
          <w:tab w:val="left" w:pos="0"/>
        </w:tabs>
        <w:spacing w:before="120" w:after="120"/>
        <w:ind w:left="0"/>
        <w:rPr>
          <w:b/>
          <w:bCs/>
          <w:sz w:val="22"/>
          <w:szCs w:val="22"/>
        </w:rPr>
      </w:pPr>
      <w:bookmarkStart w:id="17" w:name="_Hlk126765604"/>
      <w:r w:rsidRPr="001F224B">
        <w:rPr>
          <w:b/>
          <w:bCs/>
          <w:sz w:val="22"/>
          <w:szCs w:val="22"/>
        </w:rPr>
        <w:t>XXV</w:t>
      </w:r>
      <w:r w:rsidR="005C4D58" w:rsidRPr="001F224B">
        <w:rPr>
          <w:b/>
          <w:bCs/>
          <w:sz w:val="22"/>
          <w:szCs w:val="22"/>
        </w:rPr>
        <w:t>I</w:t>
      </w:r>
      <w:r w:rsidRPr="001F224B">
        <w:rPr>
          <w:b/>
          <w:bCs/>
          <w:sz w:val="22"/>
          <w:szCs w:val="22"/>
        </w:rPr>
        <w:t xml:space="preserve">.  Raporlamanın bölümlemeye göre yapılmasına ilişkin </w:t>
      </w:r>
      <w:r w:rsidR="00EA66D9" w:rsidRPr="001F224B">
        <w:rPr>
          <w:b/>
          <w:bCs/>
          <w:sz w:val="22"/>
          <w:szCs w:val="22"/>
        </w:rPr>
        <w:t>açıklamalar</w:t>
      </w:r>
      <w:r w:rsidR="00BD715F" w:rsidRPr="001F224B">
        <w:rPr>
          <w:b/>
          <w:bCs/>
          <w:sz w:val="22"/>
          <w:szCs w:val="22"/>
        </w:rPr>
        <w:t xml:space="preserve"> (Devamı)</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85"/>
        <w:gridCol w:w="10"/>
        <w:gridCol w:w="1265"/>
        <w:gridCol w:w="1134"/>
        <w:gridCol w:w="1418"/>
        <w:gridCol w:w="1417"/>
      </w:tblGrid>
      <w:tr w:rsidR="00F61885" w:rsidRPr="001F224B" w14:paraId="2B636088" w14:textId="77777777" w:rsidTr="00B37146">
        <w:trPr>
          <w:trHeight w:val="276"/>
          <w:jc w:val="center"/>
        </w:trPr>
        <w:tc>
          <w:tcPr>
            <w:tcW w:w="4395" w:type="dxa"/>
            <w:gridSpan w:val="2"/>
            <w:vMerge w:val="restart"/>
            <w:shd w:val="clear" w:color="auto" w:fill="auto"/>
            <w:vAlign w:val="bottom"/>
            <w:hideMark/>
          </w:tcPr>
          <w:p w14:paraId="78F18B71" w14:textId="75B2523A" w:rsidR="00F61885" w:rsidRPr="001F224B" w:rsidRDefault="00F61885" w:rsidP="00B37146">
            <w:pPr>
              <w:rPr>
                <w:b/>
                <w:bCs/>
                <w:sz w:val="20"/>
                <w:szCs w:val="20"/>
              </w:rPr>
            </w:pPr>
            <w:bookmarkStart w:id="18" w:name="OLE_LINK5"/>
            <w:bookmarkEnd w:id="17"/>
            <w:r w:rsidRPr="001F224B">
              <w:rPr>
                <w:b/>
                <w:bCs/>
                <w:sz w:val="20"/>
                <w:szCs w:val="20"/>
              </w:rPr>
              <w:t>Cari Dönem (3</w:t>
            </w:r>
            <w:r w:rsidR="00273130" w:rsidRPr="001F224B">
              <w:rPr>
                <w:b/>
                <w:bCs/>
                <w:sz w:val="20"/>
                <w:szCs w:val="20"/>
              </w:rPr>
              <w:t>0</w:t>
            </w:r>
            <w:r w:rsidRPr="001F224B">
              <w:rPr>
                <w:b/>
                <w:bCs/>
                <w:sz w:val="20"/>
                <w:szCs w:val="20"/>
              </w:rPr>
              <w:t>.</w:t>
            </w:r>
            <w:r w:rsidR="004805E4" w:rsidRPr="001F224B">
              <w:rPr>
                <w:b/>
                <w:bCs/>
                <w:sz w:val="20"/>
                <w:szCs w:val="20"/>
              </w:rPr>
              <w:t>0</w:t>
            </w:r>
            <w:r w:rsidR="00273130" w:rsidRPr="001F224B">
              <w:rPr>
                <w:b/>
                <w:bCs/>
                <w:sz w:val="20"/>
                <w:szCs w:val="20"/>
              </w:rPr>
              <w:t>6</w:t>
            </w:r>
            <w:r w:rsidRPr="001F224B">
              <w:rPr>
                <w:b/>
                <w:bCs/>
                <w:sz w:val="20"/>
                <w:szCs w:val="20"/>
              </w:rPr>
              <w:t>.202</w:t>
            </w:r>
            <w:r w:rsidR="004805E4" w:rsidRPr="001F224B">
              <w:rPr>
                <w:b/>
                <w:bCs/>
                <w:sz w:val="20"/>
                <w:szCs w:val="20"/>
              </w:rPr>
              <w:t>5</w:t>
            </w:r>
            <w:r w:rsidRPr="001F224B">
              <w:rPr>
                <w:b/>
                <w:bCs/>
                <w:sz w:val="20"/>
                <w:szCs w:val="20"/>
              </w:rPr>
              <w:t>)</w:t>
            </w:r>
          </w:p>
          <w:p w14:paraId="657F63E9" w14:textId="77777777" w:rsidR="00F61885" w:rsidRPr="001F224B" w:rsidRDefault="00F61885" w:rsidP="00B37146">
            <w:pPr>
              <w:rPr>
                <w:b/>
                <w:bCs/>
                <w:sz w:val="20"/>
                <w:szCs w:val="20"/>
              </w:rPr>
            </w:pPr>
          </w:p>
        </w:tc>
        <w:tc>
          <w:tcPr>
            <w:tcW w:w="1265" w:type="dxa"/>
            <w:vMerge w:val="restart"/>
            <w:shd w:val="clear" w:color="auto" w:fill="auto"/>
            <w:vAlign w:val="center"/>
            <w:hideMark/>
          </w:tcPr>
          <w:p w14:paraId="6328D735" w14:textId="77777777" w:rsidR="00F61885" w:rsidRPr="001F224B" w:rsidRDefault="00F61885" w:rsidP="00B37146">
            <w:pPr>
              <w:ind w:right="70"/>
              <w:jc w:val="center"/>
              <w:rPr>
                <w:b/>
                <w:bCs/>
                <w:sz w:val="20"/>
                <w:szCs w:val="20"/>
              </w:rPr>
            </w:pPr>
            <w:r w:rsidRPr="001F224B">
              <w:rPr>
                <w:b/>
                <w:bCs/>
                <w:sz w:val="20"/>
                <w:szCs w:val="20"/>
              </w:rPr>
              <w:t>Yatırım</w:t>
            </w:r>
          </w:p>
          <w:p w14:paraId="30D4E5DF" w14:textId="77777777" w:rsidR="00F61885" w:rsidRPr="001F224B" w:rsidRDefault="00F61885" w:rsidP="00B37146">
            <w:pPr>
              <w:ind w:right="70"/>
              <w:jc w:val="center"/>
              <w:rPr>
                <w:b/>
                <w:bCs/>
                <w:sz w:val="20"/>
                <w:szCs w:val="20"/>
              </w:rPr>
            </w:pPr>
            <w:r w:rsidRPr="001F224B">
              <w:rPr>
                <w:b/>
                <w:bCs/>
                <w:sz w:val="20"/>
                <w:szCs w:val="20"/>
              </w:rPr>
              <w:t>Bankacılığı</w:t>
            </w:r>
          </w:p>
          <w:p w14:paraId="728358C7" w14:textId="77777777" w:rsidR="00F61885" w:rsidRPr="001F224B" w:rsidRDefault="00F61885" w:rsidP="00B37146">
            <w:pPr>
              <w:ind w:right="70"/>
              <w:jc w:val="center"/>
              <w:rPr>
                <w:b/>
                <w:bCs/>
                <w:sz w:val="20"/>
                <w:szCs w:val="20"/>
              </w:rPr>
            </w:pPr>
            <w:r w:rsidRPr="001F224B">
              <w:rPr>
                <w:b/>
                <w:bCs/>
                <w:sz w:val="20"/>
                <w:szCs w:val="20"/>
              </w:rPr>
              <w:t>(Hazine)</w:t>
            </w:r>
          </w:p>
        </w:tc>
        <w:tc>
          <w:tcPr>
            <w:tcW w:w="1134" w:type="dxa"/>
            <w:vMerge w:val="restart"/>
            <w:shd w:val="clear" w:color="auto" w:fill="auto"/>
            <w:vAlign w:val="center"/>
            <w:hideMark/>
          </w:tcPr>
          <w:p w14:paraId="33F1B00C" w14:textId="77777777" w:rsidR="00F61885" w:rsidRPr="001F224B" w:rsidRDefault="00F61885" w:rsidP="00B37146">
            <w:pPr>
              <w:ind w:right="70"/>
              <w:jc w:val="center"/>
              <w:rPr>
                <w:b/>
                <w:bCs/>
                <w:sz w:val="20"/>
                <w:szCs w:val="20"/>
              </w:rPr>
            </w:pPr>
            <w:r w:rsidRPr="001F224B">
              <w:rPr>
                <w:b/>
                <w:bCs/>
                <w:sz w:val="20"/>
                <w:szCs w:val="20"/>
              </w:rPr>
              <w:t>Kurumsal</w:t>
            </w:r>
          </w:p>
          <w:p w14:paraId="59FB899C" w14:textId="77777777" w:rsidR="00F61885" w:rsidRPr="001F224B" w:rsidRDefault="00F61885" w:rsidP="00B37146">
            <w:pPr>
              <w:ind w:right="70"/>
              <w:jc w:val="center"/>
              <w:rPr>
                <w:b/>
                <w:bCs/>
                <w:sz w:val="20"/>
                <w:szCs w:val="20"/>
              </w:rPr>
            </w:pPr>
            <w:r w:rsidRPr="001F224B">
              <w:rPr>
                <w:b/>
                <w:bCs/>
                <w:sz w:val="20"/>
                <w:szCs w:val="20"/>
              </w:rPr>
              <w:t>Bankacılık</w:t>
            </w:r>
          </w:p>
        </w:tc>
        <w:tc>
          <w:tcPr>
            <w:tcW w:w="1418" w:type="dxa"/>
            <w:vMerge w:val="restart"/>
            <w:shd w:val="clear" w:color="auto" w:fill="auto"/>
            <w:vAlign w:val="center"/>
            <w:hideMark/>
          </w:tcPr>
          <w:p w14:paraId="21DB09EE" w14:textId="77777777" w:rsidR="00F61885" w:rsidRPr="001F224B" w:rsidRDefault="00F61885" w:rsidP="00B37146">
            <w:pPr>
              <w:ind w:right="70"/>
              <w:jc w:val="center"/>
              <w:rPr>
                <w:b/>
                <w:bCs/>
                <w:sz w:val="20"/>
                <w:szCs w:val="20"/>
              </w:rPr>
            </w:pPr>
            <w:r w:rsidRPr="001F224B">
              <w:rPr>
                <w:b/>
                <w:bCs/>
                <w:sz w:val="20"/>
                <w:szCs w:val="20"/>
              </w:rPr>
              <w:t>Diğer</w:t>
            </w:r>
          </w:p>
        </w:tc>
        <w:tc>
          <w:tcPr>
            <w:tcW w:w="1417" w:type="dxa"/>
            <w:vMerge w:val="restart"/>
            <w:shd w:val="clear" w:color="auto" w:fill="auto"/>
            <w:vAlign w:val="center"/>
            <w:hideMark/>
          </w:tcPr>
          <w:p w14:paraId="6B18A448" w14:textId="77777777" w:rsidR="00F61885" w:rsidRPr="001F224B" w:rsidRDefault="00F61885" w:rsidP="00B37146">
            <w:pPr>
              <w:ind w:right="70"/>
              <w:jc w:val="center"/>
              <w:rPr>
                <w:b/>
                <w:bCs/>
                <w:sz w:val="20"/>
                <w:szCs w:val="20"/>
              </w:rPr>
            </w:pPr>
            <w:r w:rsidRPr="001F224B">
              <w:rPr>
                <w:b/>
                <w:bCs/>
                <w:sz w:val="20"/>
                <w:szCs w:val="20"/>
              </w:rPr>
              <w:t>Grup’un Toplam Faaliyeti</w:t>
            </w:r>
          </w:p>
        </w:tc>
      </w:tr>
      <w:tr w:rsidR="00F61885" w:rsidRPr="001F224B" w14:paraId="5A9E2D99" w14:textId="77777777" w:rsidTr="00B37146">
        <w:trPr>
          <w:trHeight w:val="276"/>
          <w:jc w:val="center"/>
        </w:trPr>
        <w:tc>
          <w:tcPr>
            <w:tcW w:w="4395" w:type="dxa"/>
            <w:gridSpan w:val="2"/>
            <w:vMerge/>
            <w:vAlign w:val="bottom"/>
            <w:hideMark/>
          </w:tcPr>
          <w:p w14:paraId="1E7B1D58" w14:textId="77777777" w:rsidR="00F61885" w:rsidRPr="001F224B" w:rsidRDefault="00F61885" w:rsidP="00B37146">
            <w:pPr>
              <w:rPr>
                <w:b/>
                <w:bCs/>
                <w:sz w:val="20"/>
                <w:szCs w:val="20"/>
              </w:rPr>
            </w:pPr>
          </w:p>
        </w:tc>
        <w:tc>
          <w:tcPr>
            <w:tcW w:w="1265" w:type="dxa"/>
            <w:vMerge/>
            <w:vAlign w:val="bottom"/>
            <w:hideMark/>
          </w:tcPr>
          <w:p w14:paraId="74218DEF" w14:textId="77777777" w:rsidR="00F61885" w:rsidRPr="001F224B" w:rsidRDefault="00F61885" w:rsidP="00B37146">
            <w:pPr>
              <w:rPr>
                <w:b/>
                <w:bCs/>
                <w:sz w:val="20"/>
                <w:szCs w:val="20"/>
              </w:rPr>
            </w:pPr>
          </w:p>
        </w:tc>
        <w:tc>
          <w:tcPr>
            <w:tcW w:w="1134" w:type="dxa"/>
            <w:vMerge/>
            <w:vAlign w:val="bottom"/>
            <w:hideMark/>
          </w:tcPr>
          <w:p w14:paraId="464F0947" w14:textId="77777777" w:rsidR="00F61885" w:rsidRPr="001F224B" w:rsidRDefault="00F61885" w:rsidP="00B37146">
            <w:pPr>
              <w:rPr>
                <w:b/>
                <w:bCs/>
                <w:sz w:val="20"/>
                <w:szCs w:val="20"/>
              </w:rPr>
            </w:pPr>
          </w:p>
        </w:tc>
        <w:tc>
          <w:tcPr>
            <w:tcW w:w="1418" w:type="dxa"/>
            <w:vMerge/>
            <w:vAlign w:val="bottom"/>
            <w:hideMark/>
          </w:tcPr>
          <w:p w14:paraId="6123C195" w14:textId="77777777" w:rsidR="00F61885" w:rsidRPr="001F224B" w:rsidRDefault="00F61885" w:rsidP="00B37146">
            <w:pPr>
              <w:rPr>
                <w:b/>
                <w:bCs/>
                <w:sz w:val="20"/>
                <w:szCs w:val="20"/>
              </w:rPr>
            </w:pPr>
          </w:p>
        </w:tc>
        <w:tc>
          <w:tcPr>
            <w:tcW w:w="1417" w:type="dxa"/>
            <w:vMerge/>
            <w:vAlign w:val="bottom"/>
            <w:hideMark/>
          </w:tcPr>
          <w:p w14:paraId="33C65456" w14:textId="77777777" w:rsidR="00F61885" w:rsidRPr="001F224B" w:rsidRDefault="00F61885" w:rsidP="00B37146">
            <w:pPr>
              <w:rPr>
                <w:b/>
                <w:bCs/>
                <w:sz w:val="20"/>
                <w:szCs w:val="20"/>
              </w:rPr>
            </w:pPr>
          </w:p>
        </w:tc>
      </w:tr>
      <w:tr w:rsidR="000573E0" w:rsidRPr="001F224B" w14:paraId="0D13946A" w14:textId="77777777" w:rsidTr="000573E0">
        <w:trPr>
          <w:trHeight w:val="255"/>
          <w:jc w:val="center"/>
        </w:trPr>
        <w:tc>
          <w:tcPr>
            <w:tcW w:w="4385" w:type="dxa"/>
            <w:shd w:val="clear" w:color="auto" w:fill="auto"/>
            <w:vAlign w:val="bottom"/>
            <w:hideMark/>
          </w:tcPr>
          <w:p w14:paraId="014835EE" w14:textId="4585554F" w:rsidR="000573E0" w:rsidRPr="001F224B" w:rsidRDefault="000573E0" w:rsidP="000573E0">
            <w:pPr>
              <w:rPr>
                <w:sz w:val="20"/>
                <w:szCs w:val="20"/>
              </w:rPr>
            </w:pPr>
            <w:r w:rsidRPr="001F224B">
              <w:rPr>
                <w:sz w:val="20"/>
                <w:szCs w:val="20"/>
              </w:rPr>
              <w:t>Net Faiz Geliri/(Gideri)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4A499BCA" w14:textId="0C8643EA" w:rsidR="000573E0" w:rsidRPr="001F224B" w:rsidRDefault="000573E0" w:rsidP="000573E0">
            <w:pPr>
              <w:jc w:val="right"/>
              <w:rPr>
                <w:sz w:val="20"/>
                <w:szCs w:val="20"/>
              </w:rPr>
            </w:pPr>
            <w:r w:rsidRPr="001F224B">
              <w:rPr>
                <w:sz w:val="20"/>
                <w:szCs w:val="20"/>
              </w:rPr>
              <w:t>7.218.066</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4EA744C" w14:textId="1ABB3D95" w:rsidR="000573E0" w:rsidRPr="001F224B" w:rsidRDefault="000573E0" w:rsidP="000573E0">
            <w:pPr>
              <w:jc w:val="right"/>
              <w:rPr>
                <w:sz w:val="20"/>
                <w:szCs w:val="20"/>
              </w:rPr>
            </w:pPr>
            <w:r w:rsidRPr="001F224B">
              <w:rPr>
                <w:sz w:val="20"/>
                <w:szCs w:val="20"/>
              </w:rPr>
              <w:t>(392.586)</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317C335E" w14:textId="39157387" w:rsidR="000573E0" w:rsidRPr="001F224B" w:rsidRDefault="000573E0" w:rsidP="000573E0">
            <w:pPr>
              <w:jc w:val="right"/>
              <w:rPr>
                <w:sz w:val="20"/>
                <w:szCs w:val="20"/>
              </w:rPr>
            </w:pPr>
            <w:r w:rsidRPr="001F224B">
              <w:rPr>
                <w:sz w:val="20"/>
                <w:szCs w:val="20"/>
              </w:rPr>
              <w:t>(4.651)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CB79FD" w14:textId="6FB5D9CF" w:rsidR="000573E0" w:rsidRPr="001F224B" w:rsidRDefault="000573E0" w:rsidP="000573E0">
            <w:pPr>
              <w:jc w:val="right"/>
              <w:rPr>
                <w:sz w:val="20"/>
                <w:szCs w:val="20"/>
              </w:rPr>
            </w:pPr>
            <w:r w:rsidRPr="001F224B">
              <w:rPr>
                <w:sz w:val="20"/>
                <w:szCs w:val="20"/>
              </w:rPr>
              <w:t>6.820.829</w:t>
            </w:r>
          </w:p>
        </w:tc>
      </w:tr>
      <w:tr w:rsidR="000573E0" w:rsidRPr="001F224B" w14:paraId="464C0815" w14:textId="77777777" w:rsidTr="000573E0">
        <w:trPr>
          <w:trHeight w:val="255"/>
          <w:jc w:val="center"/>
        </w:trPr>
        <w:tc>
          <w:tcPr>
            <w:tcW w:w="4385" w:type="dxa"/>
            <w:shd w:val="clear" w:color="auto" w:fill="auto"/>
            <w:vAlign w:val="bottom"/>
            <w:hideMark/>
          </w:tcPr>
          <w:p w14:paraId="43314E25" w14:textId="310056B8" w:rsidR="000573E0" w:rsidRPr="001F224B" w:rsidRDefault="000573E0" w:rsidP="000573E0">
            <w:pPr>
              <w:rPr>
                <w:sz w:val="20"/>
                <w:szCs w:val="20"/>
              </w:rPr>
            </w:pPr>
            <w:r w:rsidRPr="001F224B">
              <w:rPr>
                <w:sz w:val="20"/>
                <w:szCs w:val="20"/>
              </w:rPr>
              <w:t>Net Ücret ve Komisyon Gelirleri/(Giderleri)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558FBEA7" w14:textId="225A740B" w:rsidR="000573E0" w:rsidRPr="001F224B" w:rsidRDefault="000573E0" w:rsidP="000573E0">
            <w:pPr>
              <w:jc w:val="right"/>
              <w:rPr>
                <w:sz w:val="20"/>
                <w:szCs w:val="20"/>
              </w:rPr>
            </w:pPr>
            <w:r w:rsidRPr="001F224B">
              <w:rPr>
                <w:sz w:val="20"/>
                <w:szCs w:val="20"/>
              </w:rPr>
              <w:t>(11.562)</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691E503" w14:textId="29B6F4EF" w:rsidR="000573E0" w:rsidRPr="001F224B" w:rsidRDefault="000573E0" w:rsidP="000573E0">
            <w:pPr>
              <w:jc w:val="right"/>
              <w:rPr>
                <w:sz w:val="20"/>
                <w:szCs w:val="20"/>
              </w:rPr>
            </w:pPr>
            <w:r w:rsidRPr="001F224B">
              <w:rPr>
                <w:sz w:val="20"/>
                <w:szCs w:val="20"/>
              </w:rPr>
              <w:t>133.791</w:t>
            </w:r>
          </w:p>
        </w:tc>
        <w:tc>
          <w:tcPr>
            <w:tcW w:w="1418" w:type="dxa"/>
            <w:tcBorders>
              <w:top w:val="single" w:sz="4" w:space="0" w:color="auto"/>
              <w:left w:val="single" w:sz="4" w:space="0" w:color="auto"/>
              <w:bottom w:val="single" w:sz="4" w:space="0" w:color="auto"/>
              <w:right w:val="single" w:sz="4" w:space="0" w:color="auto"/>
            </w:tcBorders>
            <w:vAlign w:val="bottom"/>
            <w:hideMark/>
          </w:tcPr>
          <w:p w14:paraId="260B5D7D" w14:textId="10056D88" w:rsidR="000573E0" w:rsidRPr="001F224B" w:rsidRDefault="000573E0" w:rsidP="000573E0">
            <w:pPr>
              <w:jc w:val="right"/>
              <w:rPr>
                <w:sz w:val="20"/>
                <w:szCs w:val="20"/>
              </w:rPr>
            </w:pPr>
            <w:r w:rsidRPr="001F224B">
              <w:rPr>
                <w:sz w:val="20"/>
                <w:szCs w:val="20"/>
              </w:rPr>
              <w:t>36.467</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D0E3D22" w14:textId="4B789FA6" w:rsidR="000573E0" w:rsidRPr="001F224B" w:rsidRDefault="000573E0" w:rsidP="000573E0">
            <w:pPr>
              <w:jc w:val="right"/>
              <w:rPr>
                <w:sz w:val="20"/>
                <w:szCs w:val="20"/>
              </w:rPr>
            </w:pPr>
            <w:r w:rsidRPr="001F224B">
              <w:rPr>
                <w:sz w:val="20"/>
                <w:szCs w:val="20"/>
              </w:rPr>
              <w:t>158.696</w:t>
            </w:r>
          </w:p>
        </w:tc>
      </w:tr>
      <w:tr w:rsidR="000573E0" w:rsidRPr="001F224B" w14:paraId="78BBB90C" w14:textId="77777777" w:rsidTr="000573E0">
        <w:trPr>
          <w:trHeight w:val="255"/>
          <w:jc w:val="center"/>
        </w:trPr>
        <w:tc>
          <w:tcPr>
            <w:tcW w:w="4385" w:type="dxa"/>
            <w:tcBorders>
              <w:right w:val="single" w:sz="4" w:space="0" w:color="auto"/>
            </w:tcBorders>
            <w:shd w:val="clear" w:color="auto" w:fill="auto"/>
            <w:vAlign w:val="bottom"/>
            <w:hideMark/>
          </w:tcPr>
          <w:p w14:paraId="6DDEF973" w14:textId="77777777" w:rsidR="000573E0" w:rsidRPr="001F224B" w:rsidRDefault="000573E0" w:rsidP="000573E0">
            <w:pPr>
              <w:rPr>
                <w:sz w:val="20"/>
                <w:szCs w:val="20"/>
              </w:rPr>
            </w:pPr>
            <w:r w:rsidRPr="001F224B">
              <w:rPr>
                <w:sz w:val="20"/>
                <w:szCs w:val="20"/>
              </w:rPr>
              <w:t>Diğer Gelirler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14993B" w14:textId="007DD180" w:rsidR="000573E0" w:rsidRPr="001F224B" w:rsidRDefault="000573E0" w:rsidP="000573E0">
            <w:pPr>
              <w:jc w:val="right"/>
              <w:rPr>
                <w:sz w:val="20"/>
                <w:szCs w:val="20"/>
              </w:rPr>
            </w:pPr>
            <w:r w:rsidRPr="001F224B">
              <w:rPr>
                <w:sz w:val="20"/>
                <w:szCs w:val="20"/>
              </w:rPr>
              <w:t>1.138.244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472801" w14:textId="6312C338" w:rsidR="000573E0" w:rsidRPr="001F224B" w:rsidRDefault="000573E0" w:rsidP="000573E0">
            <w:pPr>
              <w:jc w:val="right"/>
              <w:rPr>
                <w:sz w:val="20"/>
                <w:szCs w:val="20"/>
              </w:rPr>
            </w:pPr>
            <w:r w:rsidRPr="001F224B">
              <w:rPr>
                <w:sz w:val="20"/>
                <w:szCs w:val="20"/>
              </w:rPr>
              <w:t>652.383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D6715A" w14:textId="3E4648FB" w:rsidR="000573E0" w:rsidRPr="001F224B" w:rsidRDefault="000573E0" w:rsidP="000573E0">
            <w:pPr>
              <w:jc w:val="right"/>
              <w:rPr>
                <w:sz w:val="20"/>
                <w:szCs w:val="20"/>
              </w:rPr>
            </w:pPr>
            <w:r w:rsidRPr="001F224B">
              <w:rPr>
                <w:sz w:val="20"/>
                <w:szCs w:val="20"/>
              </w:rPr>
              <w:t>638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C74C03" w14:textId="7B4F303E" w:rsidR="000573E0" w:rsidRPr="001F224B" w:rsidRDefault="000573E0" w:rsidP="000573E0">
            <w:pPr>
              <w:jc w:val="right"/>
              <w:rPr>
                <w:sz w:val="20"/>
                <w:szCs w:val="20"/>
              </w:rPr>
            </w:pPr>
            <w:r w:rsidRPr="001F224B">
              <w:rPr>
                <w:sz w:val="20"/>
                <w:szCs w:val="20"/>
              </w:rPr>
              <w:t>1.791.265</w:t>
            </w:r>
          </w:p>
        </w:tc>
      </w:tr>
      <w:tr w:rsidR="000573E0" w:rsidRPr="001F224B" w14:paraId="19AAEAFD" w14:textId="77777777" w:rsidTr="000573E0">
        <w:trPr>
          <w:trHeight w:val="255"/>
          <w:jc w:val="center"/>
        </w:trPr>
        <w:tc>
          <w:tcPr>
            <w:tcW w:w="4385" w:type="dxa"/>
            <w:tcBorders>
              <w:right w:val="single" w:sz="4" w:space="0" w:color="auto"/>
            </w:tcBorders>
            <w:shd w:val="clear" w:color="auto" w:fill="auto"/>
            <w:vAlign w:val="bottom"/>
            <w:hideMark/>
          </w:tcPr>
          <w:p w14:paraId="54B6F6C6" w14:textId="77777777" w:rsidR="000573E0" w:rsidRPr="001F224B" w:rsidRDefault="000573E0" w:rsidP="000573E0">
            <w:pPr>
              <w:rPr>
                <w:sz w:val="20"/>
                <w:szCs w:val="20"/>
              </w:rPr>
            </w:pPr>
            <w:r w:rsidRPr="001F224B">
              <w:rPr>
                <w:sz w:val="20"/>
                <w:szCs w:val="20"/>
              </w:rPr>
              <w:t>Diğer Giderler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25E13A" w14:textId="1572546E" w:rsidR="000573E0" w:rsidRPr="001F224B" w:rsidRDefault="000573E0" w:rsidP="000573E0">
            <w:pPr>
              <w:jc w:val="right"/>
              <w:rPr>
                <w:sz w:val="20"/>
                <w:szCs w:val="20"/>
              </w:rPr>
            </w:pPr>
            <w:r w:rsidRPr="001F224B">
              <w:rPr>
                <w:sz w:val="20"/>
                <w:szCs w:val="20"/>
              </w:rPr>
              <w:t>(972.922)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3E12A2" w14:textId="6E1EA7EC" w:rsidR="000573E0" w:rsidRPr="001F224B" w:rsidRDefault="000573E0" w:rsidP="000573E0">
            <w:pPr>
              <w:jc w:val="right"/>
              <w:rPr>
                <w:sz w:val="20"/>
                <w:szCs w:val="20"/>
              </w:rPr>
            </w:pPr>
            <w:r w:rsidRPr="001F224B">
              <w:rPr>
                <w:sz w:val="20"/>
                <w:szCs w:val="20"/>
              </w:rPr>
              <w:t>(957.018)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5DC344" w14:textId="1F7F64AF" w:rsidR="000573E0" w:rsidRPr="001F224B" w:rsidRDefault="000573E0" w:rsidP="000573E0">
            <w:pPr>
              <w:jc w:val="right"/>
              <w:rPr>
                <w:sz w:val="20"/>
                <w:szCs w:val="20"/>
              </w:rPr>
            </w:pPr>
            <w:r w:rsidRPr="001F224B">
              <w:rPr>
                <w:sz w:val="20"/>
                <w:szCs w:val="20"/>
              </w:rPr>
              <w:t>(1.072.766)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18EF8E" w14:textId="3CC5F58E" w:rsidR="000573E0" w:rsidRPr="001F224B" w:rsidRDefault="000573E0" w:rsidP="000573E0">
            <w:pPr>
              <w:jc w:val="right"/>
              <w:rPr>
                <w:sz w:val="20"/>
                <w:szCs w:val="20"/>
              </w:rPr>
            </w:pPr>
            <w:r w:rsidRPr="001F224B">
              <w:rPr>
                <w:sz w:val="20"/>
                <w:szCs w:val="20"/>
              </w:rPr>
              <w:t>(3.002.706)</w:t>
            </w:r>
          </w:p>
        </w:tc>
      </w:tr>
      <w:tr w:rsidR="000573E0" w:rsidRPr="001F224B" w14:paraId="3514B736" w14:textId="77777777" w:rsidTr="000573E0">
        <w:trPr>
          <w:trHeight w:val="255"/>
          <w:jc w:val="center"/>
        </w:trPr>
        <w:tc>
          <w:tcPr>
            <w:tcW w:w="4385" w:type="dxa"/>
            <w:shd w:val="clear" w:color="auto" w:fill="auto"/>
            <w:vAlign w:val="bottom"/>
            <w:hideMark/>
          </w:tcPr>
          <w:p w14:paraId="4D059B90" w14:textId="061F2586" w:rsidR="000573E0" w:rsidRPr="001F224B" w:rsidRDefault="000573E0" w:rsidP="000573E0">
            <w:pPr>
              <w:rPr>
                <w:sz w:val="20"/>
                <w:szCs w:val="20"/>
              </w:rPr>
            </w:pPr>
            <w:r w:rsidRPr="001F224B">
              <w:rPr>
                <w:sz w:val="20"/>
                <w:szCs w:val="20"/>
              </w:rPr>
              <w:t>Vergi Öncesi Kar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6B2DD13B" w14:textId="09425309" w:rsidR="000573E0" w:rsidRPr="001F224B" w:rsidRDefault="000573E0" w:rsidP="000573E0">
            <w:pPr>
              <w:jc w:val="right"/>
              <w:rPr>
                <w:sz w:val="20"/>
                <w:szCs w:val="20"/>
              </w:rPr>
            </w:pPr>
            <w:r w:rsidRPr="001F224B">
              <w:rPr>
                <w:sz w:val="20"/>
                <w:szCs w:val="20"/>
              </w:rPr>
              <w:t>7.371.826</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7C0B02E" w14:textId="2F0F906E" w:rsidR="000573E0" w:rsidRPr="001F224B" w:rsidRDefault="000573E0" w:rsidP="000573E0">
            <w:pPr>
              <w:jc w:val="right"/>
              <w:rPr>
                <w:sz w:val="20"/>
                <w:szCs w:val="20"/>
              </w:rPr>
            </w:pPr>
            <w:r w:rsidRPr="001F224B">
              <w:rPr>
                <w:sz w:val="20"/>
                <w:szCs w:val="20"/>
              </w:rPr>
              <w:t>-563.430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633B658" w14:textId="33BAD6C1" w:rsidR="000573E0" w:rsidRPr="001F224B" w:rsidRDefault="000573E0" w:rsidP="000573E0">
            <w:pPr>
              <w:jc w:val="right"/>
              <w:rPr>
                <w:sz w:val="20"/>
                <w:szCs w:val="20"/>
              </w:rPr>
            </w:pPr>
            <w:r w:rsidRPr="001F224B">
              <w:rPr>
                <w:sz w:val="20"/>
                <w:szCs w:val="20"/>
              </w:rPr>
              <w:t>(1.040.312)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8E71B72" w14:textId="7D07A34F" w:rsidR="000573E0" w:rsidRPr="001F224B" w:rsidRDefault="000573E0" w:rsidP="000573E0">
            <w:pPr>
              <w:jc w:val="right"/>
              <w:rPr>
                <w:sz w:val="20"/>
                <w:szCs w:val="20"/>
              </w:rPr>
            </w:pPr>
            <w:r w:rsidRPr="001F224B">
              <w:rPr>
                <w:sz w:val="20"/>
                <w:szCs w:val="20"/>
              </w:rPr>
              <w:t>5.768.084</w:t>
            </w:r>
          </w:p>
        </w:tc>
      </w:tr>
      <w:tr w:rsidR="000573E0" w:rsidRPr="001F224B" w14:paraId="2AE12E47" w14:textId="77777777" w:rsidTr="000573E0">
        <w:trPr>
          <w:trHeight w:val="255"/>
          <w:jc w:val="center"/>
        </w:trPr>
        <w:tc>
          <w:tcPr>
            <w:tcW w:w="4385" w:type="dxa"/>
            <w:shd w:val="clear" w:color="auto" w:fill="auto"/>
            <w:vAlign w:val="bottom"/>
            <w:hideMark/>
          </w:tcPr>
          <w:p w14:paraId="76C56170" w14:textId="77777777" w:rsidR="000573E0" w:rsidRPr="001F224B" w:rsidRDefault="000573E0" w:rsidP="000573E0">
            <w:pPr>
              <w:rPr>
                <w:sz w:val="20"/>
                <w:szCs w:val="20"/>
              </w:rPr>
            </w:pPr>
            <w:r w:rsidRPr="001F224B">
              <w:rPr>
                <w:sz w:val="20"/>
                <w:szCs w:val="20"/>
              </w:rPr>
              <w:t>Vergi Karşılığı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D380931" w14:textId="3130D3CF" w:rsidR="000573E0" w:rsidRPr="001F224B" w:rsidRDefault="000573E0" w:rsidP="000573E0">
            <w:pPr>
              <w:jc w:val="right"/>
              <w:rPr>
                <w:sz w:val="20"/>
                <w:szCs w:val="20"/>
              </w:rPr>
            </w:pPr>
            <w:r w:rsidRPr="001F224B">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9C547E3" w14:textId="13D08F58" w:rsidR="000573E0" w:rsidRPr="001F224B" w:rsidRDefault="000573E0" w:rsidP="000573E0">
            <w:pPr>
              <w:jc w:val="right"/>
              <w:rPr>
                <w:sz w:val="20"/>
                <w:szCs w:val="20"/>
              </w:rPr>
            </w:pPr>
            <w:r w:rsidRPr="001F224B">
              <w:rPr>
                <w:sz w:val="20"/>
                <w:szCs w:val="20"/>
              </w:rPr>
              <w:t>-</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06393F3" w14:textId="2A291CE5" w:rsidR="000573E0" w:rsidRPr="001F224B" w:rsidRDefault="000573E0" w:rsidP="000573E0">
            <w:pPr>
              <w:jc w:val="right"/>
              <w:rPr>
                <w:sz w:val="20"/>
                <w:szCs w:val="20"/>
              </w:rPr>
            </w:pPr>
            <w:r w:rsidRPr="001F224B">
              <w:rPr>
                <w:sz w:val="20"/>
                <w:szCs w:val="20"/>
              </w:rPr>
              <w:t>(1.754.328)</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72FABDD" w14:textId="3155FC48" w:rsidR="000573E0" w:rsidRPr="001F224B" w:rsidRDefault="000573E0" w:rsidP="000573E0">
            <w:pPr>
              <w:jc w:val="right"/>
              <w:rPr>
                <w:sz w:val="20"/>
                <w:szCs w:val="20"/>
              </w:rPr>
            </w:pPr>
            <w:r w:rsidRPr="001F224B">
              <w:rPr>
                <w:sz w:val="20"/>
                <w:szCs w:val="20"/>
              </w:rPr>
              <w:t>(1.754.328)</w:t>
            </w:r>
          </w:p>
        </w:tc>
      </w:tr>
      <w:tr w:rsidR="000573E0" w:rsidRPr="001F224B" w14:paraId="52443A19" w14:textId="77777777" w:rsidTr="000573E0">
        <w:trPr>
          <w:trHeight w:val="270"/>
          <w:jc w:val="center"/>
        </w:trPr>
        <w:tc>
          <w:tcPr>
            <w:tcW w:w="4385" w:type="dxa"/>
            <w:shd w:val="clear" w:color="auto" w:fill="auto"/>
            <w:vAlign w:val="bottom"/>
            <w:hideMark/>
          </w:tcPr>
          <w:p w14:paraId="1BB93056" w14:textId="77777777" w:rsidR="000573E0" w:rsidRPr="001F224B" w:rsidRDefault="000573E0" w:rsidP="000573E0">
            <w:pPr>
              <w:rPr>
                <w:b/>
                <w:bCs/>
                <w:sz w:val="20"/>
                <w:szCs w:val="20"/>
              </w:rPr>
            </w:pPr>
            <w:r w:rsidRPr="001F224B">
              <w:rPr>
                <w:b/>
                <w:bCs/>
                <w:sz w:val="20"/>
                <w:szCs w:val="20"/>
              </w:rPr>
              <w:t>Net Dönem Karı/(Zararı)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A802537" w14:textId="15AEE26F" w:rsidR="000573E0" w:rsidRPr="001F224B" w:rsidRDefault="000573E0" w:rsidP="000573E0">
            <w:pPr>
              <w:jc w:val="right"/>
              <w:rPr>
                <w:sz w:val="20"/>
                <w:szCs w:val="20"/>
              </w:rPr>
            </w:pPr>
            <w:r w:rsidRPr="001F224B">
              <w:rPr>
                <w:sz w:val="20"/>
                <w:szCs w:val="20"/>
              </w:rPr>
              <w:t>7.371.826</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1207DE2" w14:textId="6561711B" w:rsidR="000573E0" w:rsidRPr="001F224B" w:rsidRDefault="000573E0" w:rsidP="000573E0">
            <w:pPr>
              <w:jc w:val="right"/>
              <w:rPr>
                <w:sz w:val="20"/>
                <w:szCs w:val="20"/>
              </w:rPr>
            </w:pPr>
            <w:r w:rsidRPr="001F224B">
              <w:rPr>
                <w:sz w:val="20"/>
                <w:szCs w:val="20"/>
              </w:rPr>
              <w:t>(563.430)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268A04D8" w14:textId="5E827FC3" w:rsidR="000573E0" w:rsidRPr="001F224B" w:rsidRDefault="000573E0" w:rsidP="000573E0">
            <w:pPr>
              <w:jc w:val="right"/>
              <w:rPr>
                <w:sz w:val="20"/>
                <w:szCs w:val="20"/>
              </w:rPr>
            </w:pPr>
            <w:r w:rsidRPr="001F224B">
              <w:rPr>
                <w:sz w:val="20"/>
                <w:szCs w:val="20"/>
              </w:rPr>
              <w:t>(2.794.640)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7E89FB9" w14:textId="25023D5C" w:rsidR="000573E0" w:rsidRPr="001F224B" w:rsidRDefault="000573E0" w:rsidP="000573E0">
            <w:pPr>
              <w:jc w:val="right"/>
              <w:rPr>
                <w:sz w:val="20"/>
                <w:szCs w:val="20"/>
              </w:rPr>
            </w:pPr>
            <w:r w:rsidRPr="001F224B">
              <w:rPr>
                <w:sz w:val="20"/>
                <w:szCs w:val="20"/>
              </w:rPr>
              <w:t>4.013.756</w:t>
            </w:r>
          </w:p>
        </w:tc>
      </w:tr>
      <w:tr w:rsidR="000573E0" w:rsidRPr="001F224B" w14:paraId="29694CCD" w14:textId="77777777" w:rsidTr="000573E0">
        <w:trPr>
          <w:trHeight w:val="270"/>
          <w:jc w:val="center"/>
        </w:trPr>
        <w:tc>
          <w:tcPr>
            <w:tcW w:w="4385" w:type="dxa"/>
            <w:shd w:val="clear" w:color="auto" w:fill="auto"/>
            <w:vAlign w:val="bottom"/>
          </w:tcPr>
          <w:p w14:paraId="1E75AC46" w14:textId="77777777" w:rsidR="000573E0" w:rsidRPr="001F224B" w:rsidRDefault="000573E0" w:rsidP="000573E0">
            <w:pPr>
              <w:rPr>
                <w:b/>
                <w:bCs/>
                <w:sz w:val="20"/>
                <w:szCs w:val="20"/>
              </w:rPr>
            </w:pPr>
            <w:r w:rsidRPr="001F224B">
              <w:rPr>
                <w:b/>
                <w:bCs/>
                <w:sz w:val="20"/>
                <w:szCs w:val="20"/>
              </w:rPr>
              <w:t>Grubun Karı / Zararı</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235EAF15" w14:textId="66337469" w:rsidR="000573E0" w:rsidRPr="001F224B" w:rsidRDefault="000573E0" w:rsidP="000573E0">
            <w:pPr>
              <w:jc w:val="right"/>
              <w:rPr>
                <w:b/>
                <w:bCs/>
                <w:sz w:val="20"/>
                <w:szCs w:val="20"/>
              </w:rPr>
            </w:pPr>
            <w:r w:rsidRPr="001F224B">
              <w:rPr>
                <w:b/>
                <w:bCs/>
                <w:sz w:val="20"/>
                <w:szCs w:val="20"/>
              </w:rPr>
              <w:t>7.371.826</w:t>
            </w:r>
          </w:p>
        </w:tc>
        <w:tc>
          <w:tcPr>
            <w:tcW w:w="1134" w:type="dxa"/>
            <w:tcBorders>
              <w:top w:val="single" w:sz="4" w:space="0" w:color="auto"/>
              <w:left w:val="single" w:sz="4" w:space="0" w:color="auto"/>
              <w:bottom w:val="single" w:sz="4" w:space="0" w:color="auto"/>
              <w:right w:val="single" w:sz="4" w:space="0" w:color="auto"/>
            </w:tcBorders>
            <w:vAlign w:val="bottom"/>
          </w:tcPr>
          <w:p w14:paraId="026F6E35" w14:textId="21F0A62E" w:rsidR="000573E0" w:rsidRPr="001F224B" w:rsidRDefault="000573E0" w:rsidP="000573E0">
            <w:pPr>
              <w:jc w:val="right"/>
              <w:rPr>
                <w:b/>
                <w:bCs/>
                <w:sz w:val="20"/>
                <w:szCs w:val="20"/>
              </w:rPr>
            </w:pPr>
            <w:r w:rsidRPr="001F224B">
              <w:rPr>
                <w:b/>
                <w:bCs/>
                <w:sz w:val="20"/>
                <w:szCs w:val="20"/>
              </w:rPr>
              <w:t>(563.430)</w:t>
            </w:r>
          </w:p>
        </w:tc>
        <w:tc>
          <w:tcPr>
            <w:tcW w:w="1418" w:type="dxa"/>
            <w:tcBorders>
              <w:top w:val="single" w:sz="4" w:space="0" w:color="auto"/>
              <w:left w:val="single" w:sz="4" w:space="0" w:color="auto"/>
              <w:bottom w:val="single" w:sz="4" w:space="0" w:color="auto"/>
              <w:right w:val="single" w:sz="4" w:space="0" w:color="auto"/>
            </w:tcBorders>
            <w:vAlign w:val="bottom"/>
          </w:tcPr>
          <w:p w14:paraId="07E395DD" w14:textId="755444D6" w:rsidR="000573E0" w:rsidRPr="001F224B" w:rsidRDefault="000573E0" w:rsidP="000573E0">
            <w:pPr>
              <w:jc w:val="right"/>
              <w:rPr>
                <w:b/>
                <w:bCs/>
                <w:sz w:val="20"/>
                <w:szCs w:val="20"/>
              </w:rPr>
            </w:pPr>
            <w:r w:rsidRPr="001F224B">
              <w:rPr>
                <w:b/>
                <w:bCs/>
                <w:sz w:val="20"/>
                <w:szCs w:val="20"/>
              </w:rPr>
              <w:t>(2.794.640)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40F8F204" w14:textId="4FA30FA0" w:rsidR="000573E0" w:rsidRPr="001F224B" w:rsidRDefault="000573E0" w:rsidP="000573E0">
            <w:pPr>
              <w:jc w:val="right"/>
              <w:rPr>
                <w:b/>
                <w:bCs/>
                <w:sz w:val="20"/>
                <w:szCs w:val="20"/>
              </w:rPr>
            </w:pPr>
            <w:r w:rsidRPr="001F224B">
              <w:rPr>
                <w:b/>
                <w:bCs/>
                <w:sz w:val="20"/>
                <w:szCs w:val="20"/>
              </w:rPr>
              <w:t>4.013.756</w:t>
            </w:r>
          </w:p>
        </w:tc>
      </w:tr>
      <w:tr w:rsidR="00AF78D6" w:rsidRPr="001F224B" w14:paraId="7E83017A" w14:textId="77777777" w:rsidTr="000573E0">
        <w:trPr>
          <w:trHeight w:val="270"/>
          <w:jc w:val="center"/>
        </w:trPr>
        <w:tc>
          <w:tcPr>
            <w:tcW w:w="4385" w:type="dxa"/>
            <w:shd w:val="clear" w:color="auto" w:fill="auto"/>
            <w:vAlign w:val="bottom"/>
          </w:tcPr>
          <w:p w14:paraId="47B4185C" w14:textId="77777777" w:rsidR="00AF78D6" w:rsidRPr="001F224B" w:rsidRDefault="00AF78D6" w:rsidP="00AF78D6">
            <w:pPr>
              <w:rPr>
                <w:b/>
                <w:bCs/>
                <w:sz w:val="20"/>
                <w:szCs w:val="20"/>
              </w:rPr>
            </w:pPr>
            <w:r w:rsidRPr="001F224B">
              <w:rPr>
                <w:b/>
                <w:bCs/>
                <w:sz w:val="20"/>
                <w:szCs w:val="20"/>
              </w:rPr>
              <w:t>Azınlık Hakları Karı / Zararı (-)</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63174AA0" w14:textId="557EED75" w:rsidR="00AF78D6" w:rsidRPr="001F224B" w:rsidRDefault="00AF78D6" w:rsidP="00AF78D6">
            <w:pPr>
              <w:jc w:val="right"/>
              <w:rPr>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0F96C7BA" w14:textId="38C0BF7D" w:rsidR="00AF78D6" w:rsidRPr="001F224B" w:rsidRDefault="00AF78D6" w:rsidP="00AF78D6">
            <w:pPr>
              <w:jc w:val="right"/>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678D7C1" w14:textId="14952533" w:rsidR="00AF78D6" w:rsidRPr="001F224B" w:rsidRDefault="00AF78D6" w:rsidP="00AF78D6">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04F9CEE6" w14:textId="3B85BC4A" w:rsidR="00AF78D6" w:rsidRPr="001F224B" w:rsidRDefault="00AF78D6" w:rsidP="00AF78D6">
            <w:pPr>
              <w:jc w:val="right"/>
              <w:rPr>
                <w:sz w:val="20"/>
                <w:szCs w:val="20"/>
              </w:rPr>
            </w:pPr>
          </w:p>
        </w:tc>
      </w:tr>
      <w:tr w:rsidR="00AF78D6" w:rsidRPr="001F224B" w14:paraId="018A1F64" w14:textId="77777777" w:rsidTr="000573E0">
        <w:trPr>
          <w:trHeight w:val="270"/>
          <w:jc w:val="center"/>
        </w:trPr>
        <w:tc>
          <w:tcPr>
            <w:tcW w:w="4385" w:type="dxa"/>
            <w:shd w:val="clear" w:color="auto" w:fill="auto"/>
            <w:vAlign w:val="bottom"/>
            <w:hideMark/>
          </w:tcPr>
          <w:p w14:paraId="02DCA0CE" w14:textId="3F6796ED" w:rsidR="00AF78D6" w:rsidRPr="001F224B" w:rsidRDefault="00AF78D6" w:rsidP="00AF78D6">
            <w:pPr>
              <w:rPr>
                <w:b/>
                <w:bCs/>
                <w:sz w:val="20"/>
                <w:szCs w:val="20"/>
              </w:rPr>
            </w:pPr>
            <w:r w:rsidRPr="001F224B">
              <w:rPr>
                <w:b/>
                <w:bCs/>
                <w:sz w:val="20"/>
                <w:szCs w:val="20"/>
              </w:rPr>
              <w:t>Cari Dönem (3</w:t>
            </w:r>
            <w:r w:rsidR="00273130" w:rsidRPr="001F224B">
              <w:rPr>
                <w:b/>
                <w:bCs/>
                <w:sz w:val="20"/>
                <w:szCs w:val="20"/>
              </w:rPr>
              <w:t>0</w:t>
            </w:r>
            <w:r w:rsidRPr="001F224B">
              <w:rPr>
                <w:b/>
                <w:bCs/>
                <w:sz w:val="20"/>
                <w:szCs w:val="20"/>
              </w:rPr>
              <w:t>.</w:t>
            </w:r>
            <w:r w:rsidR="004805E4" w:rsidRPr="001F224B">
              <w:rPr>
                <w:b/>
                <w:bCs/>
                <w:sz w:val="20"/>
                <w:szCs w:val="20"/>
              </w:rPr>
              <w:t>0</w:t>
            </w:r>
            <w:r w:rsidR="00273130" w:rsidRPr="001F224B">
              <w:rPr>
                <w:b/>
                <w:bCs/>
                <w:sz w:val="20"/>
                <w:szCs w:val="20"/>
              </w:rPr>
              <w:t>6</w:t>
            </w:r>
            <w:r w:rsidRPr="001F224B">
              <w:rPr>
                <w:b/>
                <w:bCs/>
                <w:sz w:val="20"/>
                <w:szCs w:val="20"/>
              </w:rPr>
              <w:t>.202</w:t>
            </w:r>
            <w:r w:rsidR="004805E4" w:rsidRPr="001F224B">
              <w:rPr>
                <w:b/>
                <w:bCs/>
                <w:sz w:val="20"/>
                <w:szCs w:val="20"/>
              </w:rPr>
              <w:t>5</w:t>
            </w:r>
            <w:r w:rsidRPr="001F224B">
              <w:rPr>
                <w:b/>
                <w:bCs/>
                <w:sz w:val="20"/>
                <w:szCs w:val="20"/>
              </w:rPr>
              <w:t>)</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6511BF7F" w14:textId="7065A150" w:rsidR="00AF78D6" w:rsidRPr="001F224B" w:rsidRDefault="00AF78D6" w:rsidP="00AF78D6">
            <w:pPr>
              <w:jc w:val="right"/>
              <w:rPr>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4EC61F9" w14:textId="756CF7A6" w:rsidR="00AF78D6" w:rsidRPr="001F224B" w:rsidRDefault="00AF78D6" w:rsidP="00AF78D6">
            <w:pPr>
              <w:jc w:val="right"/>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B778173" w14:textId="23F126DF" w:rsidR="00AF78D6" w:rsidRPr="001F224B" w:rsidRDefault="00AF78D6" w:rsidP="00AF78D6">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22ADD326" w14:textId="0168938D" w:rsidR="00AF78D6" w:rsidRPr="001F224B" w:rsidRDefault="00AF78D6" w:rsidP="00AF78D6">
            <w:pPr>
              <w:jc w:val="right"/>
              <w:rPr>
                <w:sz w:val="20"/>
                <w:szCs w:val="20"/>
              </w:rPr>
            </w:pPr>
          </w:p>
        </w:tc>
      </w:tr>
      <w:tr w:rsidR="000573E0" w:rsidRPr="001F224B" w14:paraId="48C72E8D" w14:textId="77777777" w:rsidTr="000573E0">
        <w:trPr>
          <w:trHeight w:val="255"/>
          <w:jc w:val="center"/>
        </w:trPr>
        <w:tc>
          <w:tcPr>
            <w:tcW w:w="4385" w:type="dxa"/>
            <w:shd w:val="clear" w:color="auto" w:fill="auto"/>
            <w:vAlign w:val="bottom"/>
            <w:hideMark/>
          </w:tcPr>
          <w:p w14:paraId="2AE2F6DA" w14:textId="77777777" w:rsidR="000573E0" w:rsidRPr="001F224B" w:rsidRDefault="000573E0" w:rsidP="000573E0">
            <w:pPr>
              <w:rPr>
                <w:sz w:val="20"/>
                <w:szCs w:val="20"/>
              </w:rPr>
            </w:pPr>
            <w:r w:rsidRPr="001F224B">
              <w:rPr>
                <w:sz w:val="20"/>
                <w:szCs w:val="20"/>
              </w:rPr>
              <w:t>Bölüm Varlıkları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6024D386" w14:textId="164D5F1E" w:rsidR="000573E0" w:rsidRPr="001F224B" w:rsidRDefault="000573E0" w:rsidP="000573E0">
            <w:pPr>
              <w:jc w:val="right"/>
              <w:rPr>
                <w:sz w:val="20"/>
                <w:szCs w:val="20"/>
              </w:rPr>
            </w:pPr>
            <w:r w:rsidRPr="001F224B">
              <w:rPr>
                <w:sz w:val="20"/>
                <w:szCs w:val="20"/>
              </w:rPr>
              <w:t>74.994.159</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FD3A836" w14:textId="03D39115" w:rsidR="000573E0" w:rsidRPr="001F224B" w:rsidRDefault="000573E0" w:rsidP="000573E0">
            <w:pPr>
              <w:ind w:left="-204"/>
              <w:jc w:val="right"/>
              <w:rPr>
                <w:sz w:val="20"/>
                <w:szCs w:val="20"/>
              </w:rPr>
            </w:pPr>
            <w:r w:rsidRPr="001F224B">
              <w:rPr>
                <w:sz w:val="20"/>
                <w:szCs w:val="20"/>
              </w:rPr>
              <w:t>109.137.234</w:t>
            </w:r>
          </w:p>
        </w:tc>
        <w:tc>
          <w:tcPr>
            <w:tcW w:w="1418" w:type="dxa"/>
            <w:tcBorders>
              <w:top w:val="single" w:sz="4" w:space="0" w:color="auto"/>
              <w:left w:val="single" w:sz="4" w:space="0" w:color="auto"/>
              <w:bottom w:val="single" w:sz="4" w:space="0" w:color="auto"/>
              <w:right w:val="single" w:sz="4" w:space="0" w:color="auto"/>
            </w:tcBorders>
            <w:vAlign w:val="bottom"/>
            <w:hideMark/>
          </w:tcPr>
          <w:p w14:paraId="75E910C2" w14:textId="2A721FA8" w:rsidR="000573E0" w:rsidRPr="001F224B" w:rsidRDefault="000573E0" w:rsidP="000573E0">
            <w:pPr>
              <w:jc w:val="right"/>
              <w:rPr>
                <w:sz w:val="20"/>
                <w:szCs w:val="20"/>
              </w:rPr>
            </w:pPr>
            <w:r w:rsidRPr="001F224B">
              <w:rPr>
                <w:sz w:val="20"/>
                <w:szCs w:val="20"/>
              </w:rPr>
              <w:t>1.350.216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934C71C" w14:textId="50EA127F" w:rsidR="000573E0" w:rsidRPr="001F224B" w:rsidRDefault="000573E0" w:rsidP="000573E0">
            <w:pPr>
              <w:jc w:val="right"/>
              <w:rPr>
                <w:sz w:val="20"/>
                <w:szCs w:val="20"/>
              </w:rPr>
            </w:pPr>
            <w:r w:rsidRPr="001F224B">
              <w:rPr>
                <w:sz w:val="20"/>
                <w:szCs w:val="20"/>
              </w:rPr>
              <w:t>185.481.609</w:t>
            </w:r>
          </w:p>
        </w:tc>
      </w:tr>
      <w:tr w:rsidR="000573E0" w:rsidRPr="001F224B" w14:paraId="3A391C81" w14:textId="77777777" w:rsidTr="000573E0">
        <w:trPr>
          <w:trHeight w:val="255"/>
          <w:jc w:val="center"/>
        </w:trPr>
        <w:tc>
          <w:tcPr>
            <w:tcW w:w="4385" w:type="dxa"/>
            <w:shd w:val="clear" w:color="auto" w:fill="auto"/>
            <w:vAlign w:val="bottom"/>
            <w:hideMark/>
          </w:tcPr>
          <w:p w14:paraId="1C51A59A" w14:textId="77777777" w:rsidR="000573E0" w:rsidRPr="001F224B" w:rsidRDefault="000573E0" w:rsidP="000573E0">
            <w:pPr>
              <w:rPr>
                <w:sz w:val="20"/>
                <w:szCs w:val="20"/>
              </w:rPr>
            </w:pPr>
            <w:r w:rsidRPr="001F224B">
              <w:rPr>
                <w:sz w:val="20"/>
                <w:szCs w:val="20"/>
              </w:rPr>
              <w:t>İştirak ve Bağlı Ortaklıklar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34AB846" w14:textId="383226AE" w:rsidR="000573E0" w:rsidRPr="001F224B" w:rsidRDefault="000573E0" w:rsidP="000573E0">
            <w:pPr>
              <w:jc w:val="right"/>
              <w:rPr>
                <w:sz w:val="20"/>
                <w:szCs w:val="20"/>
              </w:rPr>
            </w:pPr>
            <w:r w:rsidRPr="001F224B">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48C192A" w14:textId="6C9522B0" w:rsidR="000573E0" w:rsidRPr="001F224B" w:rsidRDefault="000573E0" w:rsidP="000573E0">
            <w:pPr>
              <w:jc w:val="right"/>
              <w:rPr>
                <w:sz w:val="20"/>
                <w:szCs w:val="20"/>
              </w:rPr>
            </w:pPr>
            <w:r w:rsidRPr="001F224B">
              <w:rPr>
                <w:sz w:val="20"/>
                <w:szCs w:val="20"/>
              </w:rPr>
              <w:t>10.586</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DAE41E4" w14:textId="3C2851EA" w:rsidR="000573E0" w:rsidRPr="001F224B" w:rsidRDefault="000573E0" w:rsidP="000573E0">
            <w:pPr>
              <w:jc w:val="right"/>
              <w:rPr>
                <w:sz w:val="20"/>
                <w:szCs w:val="20"/>
              </w:rPr>
            </w:pPr>
            <w:r w:rsidRPr="001F224B">
              <w:rPr>
                <w:sz w:val="20"/>
                <w:szCs w:val="20"/>
              </w:rPr>
              <w:t>-</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122AC4E" w14:textId="12D7D022" w:rsidR="000573E0" w:rsidRPr="001F224B" w:rsidRDefault="000573E0" w:rsidP="000573E0">
            <w:pPr>
              <w:jc w:val="right"/>
              <w:rPr>
                <w:sz w:val="20"/>
                <w:szCs w:val="20"/>
              </w:rPr>
            </w:pPr>
            <w:r w:rsidRPr="001F224B">
              <w:rPr>
                <w:sz w:val="20"/>
                <w:szCs w:val="20"/>
              </w:rPr>
              <w:t>10.586</w:t>
            </w:r>
          </w:p>
        </w:tc>
      </w:tr>
      <w:tr w:rsidR="000573E0" w:rsidRPr="001F224B" w14:paraId="09AB1CC8" w14:textId="77777777" w:rsidTr="000573E0">
        <w:trPr>
          <w:trHeight w:val="255"/>
          <w:jc w:val="center"/>
        </w:trPr>
        <w:tc>
          <w:tcPr>
            <w:tcW w:w="4385" w:type="dxa"/>
            <w:shd w:val="clear" w:color="auto" w:fill="auto"/>
            <w:vAlign w:val="bottom"/>
            <w:hideMark/>
          </w:tcPr>
          <w:p w14:paraId="3C07577B" w14:textId="77777777" w:rsidR="000573E0" w:rsidRPr="001F224B" w:rsidRDefault="000573E0" w:rsidP="000573E0">
            <w:pPr>
              <w:rPr>
                <w:b/>
                <w:bCs/>
                <w:sz w:val="20"/>
                <w:szCs w:val="20"/>
              </w:rPr>
            </w:pPr>
            <w:r w:rsidRPr="001F224B">
              <w:rPr>
                <w:b/>
                <w:bCs/>
                <w:sz w:val="20"/>
                <w:szCs w:val="20"/>
              </w:rPr>
              <w:t>Toplam Varlıklar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0B3E2A1" w14:textId="63AB127D" w:rsidR="000573E0" w:rsidRPr="001F224B" w:rsidRDefault="000573E0" w:rsidP="000573E0">
            <w:pPr>
              <w:jc w:val="right"/>
              <w:rPr>
                <w:b/>
                <w:bCs/>
                <w:sz w:val="20"/>
                <w:szCs w:val="20"/>
              </w:rPr>
            </w:pPr>
            <w:r w:rsidRPr="001F224B">
              <w:rPr>
                <w:b/>
                <w:bCs/>
                <w:sz w:val="20"/>
                <w:szCs w:val="20"/>
              </w:rPr>
              <w:t>74.994.159</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009DEE8" w14:textId="24E0828A" w:rsidR="000573E0" w:rsidRPr="001F224B" w:rsidRDefault="000573E0" w:rsidP="000573E0">
            <w:pPr>
              <w:ind w:left="-204"/>
              <w:jc w:val="right"/>
              <w:rPr>
                <w:b/>
                <w:bCs/>
                <w:sz w:val="20"/>
                <w:szCs w:val="20"/>
              </w:rPr>
            </w:pPr>
            <w:r w:rsidRPr="001F224B">
              <w:rPr>
                <w:b/>
                <w:bCs/>
                <w:sz w:val="20"/>
                <w:szCs w:val="20"/>
              </w:rPr>
              <w:t>109.147.820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5B92865" w14:textId="207118BD" w:rsidR="000573E0" w:rsidRPr="001F224B" w:rsidRDefault="000573E0" w:rsidP="000573E0">
            <w:pPr>
              <w:jc w:val="right"/>
              <w:rPr>
                <w:b/>
                <w:bCs/>
                <w:sz w:val="20"/>
                <w:szCs w:val="20"/>
              </w:rPr>
            </w:pPr>
            <w:r w:rsidRPr="001F224B">
              <w:rPr>
                <w:b/>
                <w:bCs/>
                <w:sz w:val="20"/>
                <w:szCs w:val="20"/>
              </w:rPr>
              <w:t>1.350.216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B4FA64A" w14:textId="70DC8550" w:rsidR="000573E0" w:rsidRPr="001F224B" w:rsidRDefault="000573E0" w:rsidP="000573E0">
            <w:pPr>
              <w:jc w:val="right"/>
              <w:rPr>
                <w:b/>
                <w:bCs/>
                <w:sz w:val="20"/>
                <w:szCs w:val="20"/>
              </w:rPr>
            </w:pPr>
            <w:r w:rsidRPr="001F224B">
              <w:rPr>
                <w:b/>
                <w:bCs/>
                <w:sz w:val="20"/>
                <w:szCs w:val="20"/>
              </w:rPr>
              <w:t>185.492.195</w:t>
            </w:r>
          </w:p>
        </w:tc>
      </w:tr>
      <w:tr w:rsidR="000573E0" w:rsidRPr="001F224B" w14:paraId="76E77257" w14:textId="77777777" w:rsidTr="000573E0">
        <w:trPr>
          <w:trHeight w:val="255"/>
          <w:jc w:val="center"/>
        </w:trPr>
        <w:tc>
          <w:tcPr>
            <w:tcW w:w="4385" w:type="dxa"/>
            <w:shd w:val="clear" w:color="auto" w:fill="auto"/>
            <w:vAlign w:val="bottom"/>
            <w:hideMark/>
          </w:tcPr>
          <w:p w14:paraId="047BEB78" w14:textId="77777777" w:rsidR="000573E0" w:rsidRPr="001F224B" w:rsidRDefault="000573E0" w:rsidP="000573E0">
            <w:pPr>
              <w:rPr>
                <w:sz w:val="20"/>
                <w:szCs w:val="20"/>
              </w:rPr>
            </w:pPr>
            <w:r w:rsidRPr="001F224B">
              <w:rPr>
                <w:sz w:val="20"/>
                <w:szCs w:val="20"/>
              </w:rPr>
              <w:t>Bölüm Yükümlülükleri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10500A9" w14:textId="4DF4A520" w:rsidR="000573E0" w:rsidRPr="001F224B" w:rsidRDefault="000573E0" w:rsidP="000573E0">
            <w:pPr>
              <w:jc w:val="right"/>
              <w:rPr>
                <w:sz w:val="20"/>
                <w:szCs w:val="20"/>
              </w:rPr>
            </w:pPr>
            <w:r w:rsidRPr="001F224B">
              <w:rPr>
                <w:sz w:val="20"/>
                <w:szCs w:val="20"/>
              </w:rPr>
              <w:t>4.960.018</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7F7115C" w14:textId="7B2E98F2" w:rsidR="000573E0" w:rsidRPr="001F224B" w:rsidRDefault="000573E0" w:rsidP="000573E0">
            <w:pPr>
              <w:ind w:left="-208"/>
              <w:jc w:val="right"/>
              <w:rPr>
                <w:sz w:val="20"/>
                <w:szCs w:val="20"/>
              </w:rPr>
            </w:pPr>
            <w:r w:rsidRPr="001F224B">
              <w:rPr>
                <w:sz w:val="20"/>
                <w:szCs w:val="20"/>
              </w:rPr>
              <w:t>149.069.115</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C61D894" w14:textId="4FC894A5" w:rsidR="000573E0" w:rsidRPr="001F224B" w:rsidRDefault="000573E0" w:rsidP="000573E0">
            <w:pPr>
              <w:jc w:val="right"/>
              <w:rPr>
                <w:sz w:val="20"/>
                <w:szCs w:val="20"/>
              </w:rPr>
            </w:pPr>
            <w:r w:rsidRPr="001F224B">
              <w:rPr>
                <w:sz w:val="20"/>
                <w:szCs w:val="20"/>
              </w:rPr>
              <w:t>2.934.386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0BE7DA9" w14:textId="32ADF675" w:rsidR="000573E0" w:rsidRPr="001F224B" w:rsidRDefault="000573E0" w:rsidP="000573E0">
            <w:pPr>
              <w:jc w:val="right"/>
              <w:rPr>
                <w:sz w:val="20"/>
                <w:szCs w:val="20"/>
              </w:rPr>
            </w:pPr>
            <w:r w:rsidRPr="001F224B">
              <w:rPr>
                <w:sz w:val="20"/>
                <w:szCs w:val="20"/>
              </w:rPr>
              <w:t>156.963.519</w:t>
            </w:r>
          </w:p>
        </w:tc>
      </w:tr>
      <w:tr w:rsidR="000573E0" w:rsidRPr="001F224B" w14:paraId="0A7AC17E" w14:textId="77777777" w:rsidTr="000573E0">
        <w:trPr>
          <w:trHeight w:val="255"/>
          <w:jc w:val="center"/>
        </w:trPr>
        <w:tc>
          <w:tcPr>
            <w:tcW w:w="4385" w:type="dxa"/>
            <w:shd w:val="clear" w:color="auto" w:fill="auto"/>
            <w:vAlign w:val="bottom"/>
            <w:hideMark/>
          </w:tcPr>
          <w:p w14:paraId="281A6B6B" w14:textId="77777777" w:rsidR="000573E0" w:rsidRPr="001F224B" w:rsidRDefault="000573E0" w:rsidP="000573E0">
            <w:pPr>
              <w:rPr>
                <w:sz w:val="20"/>
                <w:szCs w:val="20"/>
              </w:rPr>
            </w:pPr>
            <w:r w:rsidRPr="001F224B">
              <w:rPr>
                <w:sz w:val="20"/>
                <w:szCs w:val="20"/>
              </w:rPr>
              <w:t>Özkaynaklar</w:t>
            </w:r>
          </w:p>
        </w:tc>
        <w:tc>
          <w:tcPr>
            <w:tcW w:w="1275" w:type="dxa"/>
            <w:gridSpan w:val="2"/>
            <w:tcBorders>
              <w:top w:val="single" w:sz="4" w:space="0" w:color="auto"/>
              <w:left w:val="single" w:sz="4" w:space="0" w:color="auto"/>
              <w:bottom w:val="single" w:sz="4" w:space="0" w:color="auto"/>
              <w:right w:val="single" w:sz="4" w:space="0" w:color="auto"/>
            </w:tcBorders>
            <w:noWrap/>
            <w:vAlign w:val="bottom"/>
            <w:hideMark/>
          </w:tcPr>
          <w:p w14:paraId="1897AC6F" w14:textId="08BFDABF" w:rsidR="000573E0" w:rsidRPr="001F224B" w:rsidRDefault="000573E0" w:rsidP="000573E0">
            <w:pPr>
              <w:jc w:val="right"/>
              <w:rPr>
                <w:sz w:val="20"/>
                <w:szCs w:val="20"/>
              </w:rPr>
            </w:pPr>
            <w:r w:rsidRPr="001F224B">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DBED985" w14:textId="446F5E44" w:rsidR="000573E0" w:rsidRPr="001F224B" w:rsidRDefault="000573E0" w:rsidP="000573E0">
            <w:pPr>
              <w:jc w:val="right"/>
              <w:rPr>
                <w:sz w:val="20"/>
                <w:szCs w:val="20"/>
              </w:rPr>
            </w:pPr>
            <w:r w:rsidRPr="001F224B">
              <w:rPr>
                <w:sz w:val="20"/>
                <w:szCs w:val="20"/>
              </w:rPr>
              <w:t>-</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DAB89D2" w14:textId="2EAFC6F8" w:rsidR="000573E0" w:rsidRPr="001F224B" w:rsidRDefault="000573E0" w:rsidP="000573E0">
            <w:pPr>
              <w:jc w:val="right"/>
              <w:rPr>
                <w:sz w:val="20"/>
                <w:szCs w:val="20"/>
              </w:rPr>
            </w:pPr>
            <w:r w:rsidRPr="001F224B">
              <w:rPr>
                <w:sz w:val="20"/>
                <w:szCs w:val="20"/>
              </w:rPr>
              <w:t>28.528.676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8D33A91" w14:textId="104BCC02" w:rsidR="000573E0" w:rsidRPr="001F224B" w:rsidRDefault="000573E0" w:rsidP="000573E0">
            <w:pPr>
              <w:jc w:val="right"/>
              <w:rPr>
                <w:sz w:val="20"/>
                <w:szCs w:val="20"/>
              </w:rPr>
            </w:pPr>
            <w:r w:rsidRPr="001F224B">
              <w:rPr>
                <w:sz w:val="20"/>
                <w:szCs w:val="20"/>
              </w:rPr>
              <w:t>28.528.676</w:t>
            </w:r>
          </w:p>
        </w:tc>
      </w:tr>
      <w:tr w:rsidR="000573E0" w:rsidRPr="001F224B" w14:paraId="22984EB3" w14:textId="77777777" w:rsidTr="000573E0">
        <w:trPr>
          <w:trHeight w:val="255"/>
          <w:jc w:val="center"/>
        </w:trPr>
        <w:tc>
          <w:tcPr>
            <w:tcW w:w="4385" w:type="dxa"/>
            <w:shd w:val="clear" w:color="auto" w:fill="auto"/>
            <w:vAlign w:val="bottom"/>
            <w:hideMark/>
          </w:tcPr>
          <w:p w14:paraId="225DB912" w14:textId="77777777" w:rsidR="000573E0" w:rsidRPr="001F224B" w:rsidRDefault="000573E0" w:rsidP="000573E0">
            <w:pPr>
              <w:rPr>
                <w:b/>
                <w:bCs/>
                <w:sz w:val="20"/>
                <w:szCs w:val="20"/>
              </w:rPr>
            </w:pPr>
            <w:r w:rsidRPr="001F224B">
              <w:rPr>
                <w:b/>
                <w:bCs/>
                <w:sz w:val="20"/>
                <w:szCs w:val="20"/>
              </w:rPr>
              <w:t>Toplam Yükümlülükler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091A728" w14:textId="526E22BE" w:rsidR="000573E0" w:rsidRPr="001F224B" w:rsidRDefault="000573E0" w:rsidP="000573E0">
            <w:pPr>
              <w:jc w:val="right"/>
              <w:rPr>
                <w:b/>
                <w:bCs/>
                <w:sz w:val="20"/>
                <w:szCs w:val="20"/>
              </w:rPr>
            </w:pPr>
            <w:r w:rsidRPr="001F224B">
              <w:rPr>
                <w:b/>
                <w:bCs/>
                <w:sz w:val="20"/>
                <w:szCs w:val="20"/>
              </w:rPr>
              <w:t>4.960.018</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EC6652C" w14:textId="01D281BF" w:rsidR="000573E0" w:rsidRPr="001F224B" w:rsidRDefault="000573E0" w:rsidP="000573E0">
            <w:pPr>
              <w:ind w:left="-67"/>
              <w:jc w:val="right"/>
              <w:rPr>
                <w:b/>
                <w:bCs/>
                <w:sz w:val="20"/>
                <w:szCs w:val="20"/>
              </w:rPr>
            </w:pPr>
            <w:r w:rsidRPr="001F224B">
              <w:rPr>
                <w:b/>
                <w:bCs/>
                <w:sz w:val="20"/>
                <w:szCs w:val="20"/>
              </w:rPr>
              <w:t>149.069.115</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C24394D" w14:textId="2F0403F0" w:rsidR="000573E0" w:rsidRPr="001F224B" w:rsidRDefault="000573E0" w:rsidP="000573E0">
            <w:pPr>
              <w:jc w:val="right"/>
              <w:rPr>
                <w:b/>
                <w:bCs/>
                <w:sz w:val="20"/>
                <w:szCs w:val="20"/>
              </w:rPr>
            </w:pPr>
            <w:r w:rsidRPr="001F224B">
              <w:rPr>
                <w:b/>
                <w:bCs/>
                <w:sz w:val="20"/>
                <w:szCs w:val="20"/>
              </w:rPr>
              <w:t>31.463.062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4B72F24" w14:textId="58100B88" w:rsidR="000573E0" w:rsidRPr="001F224B" w:rsidRDefault="000573E0" w:rsidP="000573E0">
            <w:pPr>
              <w:jc w:val="right"/>
              <w:rPr>
                <w:b/>
                <w:bCs/>
                <w:sz w:val="20"/>
                <w:szCs w:val="20"/>
              </w:rPr>
            </w:pPr>
            <w:r w:rsidRPr="001F224B">
              <w:rPr>
                <w:b/>
                <w:bCs/>
                <w:sz w:val="20"/>
                <w:szCs w:val="20"/>
              </w:rPr>
              <w:t>185.492.195</w:t>
            </w:r>
          </w:p>
        </w:tc>
      </w:tr>
      <w:bookmarkEnd w:id="18"/>
    </w:tbl>
    <w:p w14:paraId="6F1A8649" w14:textId="77777777" w:rsidR="00F61885" w:rsidRPr="001F224B" w:rsidRDefault="00F61885" w:rsidP="009A1D11">
      <w:pPr>
        <w:tabs>
          <w:tab w:val="left" w:pos="630"/>
        </w:tabs>
        <w:spacing w:before="120"/>
        <w:ind w:left="567"/>
        <w:jc w:val="both"/>
        <w:rPr>
          <w:sz w:val="22"/>
          <w:szCs w:val="22"/>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85"/>
        <w:gridCol w:w="10"/>
        <w:gridCol w:w="1265"/>
        <w:gridCol w:w="1134"/>
        <w:gridCol w:w="1418"/>
        <w:gridCol w:w="1417"/>
      </w:tblGrid>
      <w:tr w:rsidR="00F61885" w:rsidRPr="001F224B" w14:paraId="0ED45B21" w14:textId="77777777" w:rsidTr="00B37146">
        <w:trPr>
          <w:trHeight w:val="276"/>
          <w:jc w:val="center"/>
        </w:trPr>
        <w:tc>
          <w:tcPr>
            <w:tcW w:w="4395" w:type="dxa"/>
            <w:gridSpan w:val="2"/>
            <w:vMerge w:val="restart"/>
            <w:shd w:val="clear" w:color="auto" w:fill="auto"/>
            <w:vAlign w:val="bottom"/>
            <w:hideMark/>
          </w:tcPr>
          <w:p w14:paraId="278D0B03" w14:textId="0E89805D" w:rsidR="00F61885" w:rsidRPr="001F224B" w:rsidRDefault="00F61885" w:rsidP="00B37146">
            <w:pPr>
              <w:rPr>
                <w:b/>
                <w:bCs/>
                <w:sz w:val="20"/>
                <w:szCs w:val="20"/>
              </w:rPr>
            </w:pPr>
            <w:r w:rsidRPr="001F224B">
              <w:rPr>
                <w:b/>
                <w:bCs/>
                <w:sz w:val="20"/>
                <w:szCs w:val="20"/>
              </w:rPr>
              <w:t>Önceki Dönem (3</w:t>
            </w:r>
            <w:r w:rsidR="001C4914" w:rsidRPr="001F224B">
              <w:rPr>
                <w:b/>
                <w:bCs/>
                <w:sz w:val="20"/>
                <w:szCs w:val="20"/>
              </w:rPr>
              <w:t>0</w:t>
            </w:r>
            <w:r w:rsidRPr="001F224B">
              <w:rPr>
                <w:b/>
                <w:bCs/>
                <w:sz w:val="20"/>
                <w:szCs w:val="20"/>
              </w:rPr>
              <w:t>.</w:t>
            </w:r>
            <w:r w:rsidR="009E077E" w:rsidRPr="001F224B">
              <w:rPr>
                <w:b/>
                <w:bCs/>
                <w:sz w:val="20"/>
                <w:szCs w:val="20"/>
              </w:rPr>
              <w:t>0</w:t>
            </w:r>
            <w:r w:rsidR="001C4914" w:rsidRPr="001F224B">
              <w:rPr>
                <w:b/>
                <w:bCs/>
                <w:sz w:val="20"/>
                <w:szCs w:val="20"/>
              </w:rPr>
              <w:t>6</w:t>
            </w:r>
            <w:r w:rsidRPr="001F224B">
              <w:rPr>
                <w:b/>
                <w:bCs/>
                <w:sz w:val="20"/>
                <w:szCs w:val="20"/>
              </w:rPr>
              <w:t>.202</w:t>
            </w:r>
            <w:r w:rsidR="009E077E" w:rsidRPr="001F224B">
              <w:rPr>
                <w:b/>
                <w:bCs/>
                <w:sz w:val="20"/>
                <w:szCs w:val="20"/>
              </w:rPr>
              <w:t>4</w:t>
            </w:r>
            <w:r w:rsidRPr="001F224B">
              <w:rPr>
                <w:b/>
                <w:bCs/>
                <w:sz w:val="20"/>
                <w:szCs w:val="20"/>
              </w:rPr>
              <w:t>)</w:t>
            </w:r>
          </w:p>
          <w:p w14:paraId="68EC4B2D" w14:textId="77777777" w:rsidR="00F61885" w:rsidRPr="001F224B" w:rsidRDefault="00F61885" w:rsidP="00B37146">
            <w:pPr>
              <w:rPr>
                <w:b/>
                <w:bCs/>
                <w:sz w:val="20"/>
                <w:szCs w:val="20"/>
              </w:rPr>
            </w:pPr>
          </w:p>
        </w:tc>
        <w:tc>
          <w:tcPr>
            <w:tcW w:w="1265" w:type="dxa"/>
            <w:vMerge w:val="restart"/>
            <w:shd w:val="clear" w:color="auto" w:fill="auto"/>
            <w:vAlign w:val="center"/>
            <w:hideMark/>
          </w:tcPr>
          <w:p w14:paraId="4C0CFC6D" w14:textId="77777777" w:rsidR="00F61885" w:rsidRPr="001F224B" w:rsidRDefault="00F61885" w:rsidP="00B37146">
            <w:pPr>
              <w:ind w:right="70"/>
              <w:jc w:val="center"/>
              <w:rPr>
                <w:b/>
                <w:bCs/>
                <w:sz w:val="20"/>
                <w:szCs w:val="20"/>
              </w:rPr>
            </w:pPr>
            <w:r w:rsidRPr="001F224B">
              <w:rPr>
                <w:b/>
                <w:bCs/>
                <w:sz w:val="20"/>
                <w:szCs w:val="20"/>
              </w:rPr>
              <w:t>Yatırım</w:t>
            </w:r>
          </w:p>
          <w:p w14:paraId="293CBDD6" w14:textId="77777777" w:rsidR="00F61885" w:rsidRPr="001F224B" w:rsidRDefault="00F61885" w:rsidP="00B37146">
            <w:pPr>
              <w:ind w:right="70"/>
              <w:jc w:val="center"/>
              <w:rPr>
                <w:b/>
                <w:bCs/>
                <w:sz w:val="20"/>
                <w:szCs w:val="20"/>
              </w:rPr>
            </w:pPr>
            <w:r w:rsidRPr="001F224B">
              <w:rPr>
                <w:b/>
                <w:bCs/>
                <w:sz w:val="20"/>
                <w:szCs w:val="20"/>
              </w:rPr>
              <w:t>Bankacılığı</w:t>
            </w:r>
          </w:p>
          <w:p w14:paraId="1A4B8539" w14:textId="77777777" w:rsidR="00F61885" w:rsidRPr="001F224B" w:rsidRDefault="00F61885" w:rsidP="00B37146">
            <w:pPr>
              <w:ind w:right="70"/>
              <w:jc w:val="center"/>
              <w:rPr>
                <w:b/>
                <w:bCs/>
                <w:sz w:val="20"/>
                <w:szCs w:val="20"/>
              </w:rPr>
            </w:pPr>
            <w:r w:rsidRPr="001F224B">
              <w:rPr>
                <w:b/>
                <w:bCs/>
                <w:sz w:val="20"/>
                <w:szCs w:val="20"/>
              </w:rPr>
              <w:t>(Hazine)</w:t>
            </w:r>
          </w:p>
        </w:tc>
        <w:tc>
          <w:tcPr>
            <w:tcW w:w="1134" w:type="dxa"/>
            <w:vMerge w:val="restart"/>
            <w:shd w:val="clear" w:color="auto" w:fill="auto"/>
            <w:vAlign w:val="center"/>
            <w:hideMark/>
          </w:tcPr>
          <w:p w14:paraId="5E42A450" w14:textId="77777777" w:rsidR="00F61885" w:rsidRPr="001F224B" w:rsidRDefault="00F61885" w:rsidP="00B37146">
            <w:pPr>
              <w:ind w:right="70"/>
              <w:jc w:val="center"/>
              <w:rPr>
                <w:b/>
                <w:bCs/>
                <w:sz w:val="20"/>
                <w:szCs w:val="20"/>
              </w:rPr>
            </w:pPr>
            <w:r w:rsidRPr="001F224B">
              <w:rPr>
                <w:b/>
                <w:bCs/>
                <w:sz w:val="20"/>
                <w:szCs w:val="20"/>
              </w:rPr>
              <w:t>Kurumsal</w:t>
            </w:r>
          </w:p>
          <w:p w14:paraId="3DA66B47" w14:textId="77777777" w:rsidR="00F61885" w:rsidRPr="001F224B" w:rsidRDefault="00F61885" w:rsidP="00B37146">
            <w:pPr>
              <w:ind w:right="70"/>
              <w:jc w:val="center"/>
              <w:rPr>
                <w:b/>
                <w:bCs/>
                <w:sz w:val="20"/>
                <w:szCs w:val="20"/>
              </w:rPr>
            </w:pPr>
            <w:r w:rsidRPr="001F224B">
              <w:rPr>
                <w:b/>
                <w:bCs/>
                <w:sz w:val="20"/>
                <w:szCs w:val="20"/>
              </w:rPr>
              <w:t>Bankacılık</w:t>
            </w:r>
          </w:p>
        </w:tc>
        <w:tc>
          <w:tcPr>
            <w:tcW w:w="1418" w:type="dxa"/>
            <w:vMerge w:val="restart"/>
            <w:shd w:val="clear" w:color="auto" w:fill="auto"/>
            <w:vAlign w:val="center"/>
            <w:hideMark/>
          </w:tcPr>
          <w:p w14:paraId="346E50F2" w14:textId="77777777" w:rsidR="00F61885" w:rsidRPr="001F224B" w:rsidRDefault="00F61885" w:rsidP="00B37146">
            <w:pPr>
              <w:ind w:right="70"/>
              <w:jc w:val="center"/>
              <w:rPr>
                <w:b/>
                <w:bCs/>
                <w:sz w:val="20"/>
                <w:szCs w:val="20"/>
              </w:rPr>
            </w:pPr>
            <w:r w:rsidRPr="001F224B">
              <w:rPr>
                <w:b/>
                <w:bCs/>
                <w:sz w:val="20"/>
                <w:szCs w:val="20"/>
              </w:rPr>
              <w:t>Diğer</w:t>
            </w:r>
          </w:p>
        </w:tc>
        <w:tc>
          <w:tcPr>
            <w:tcW w:w="1417" w:type="dxa"/>
            <w:vMerge w:val="restart"/>
            <w:shd w:val="clear" w:color="auto" w:fill="auto"/>
            <w:vAlign w:val="center"/>
            <w:hideMark/>
          </w:tcPr>
          <w:p w14:paraId="072418B4" w14:textId="77777777" w:rsidR="00F61885" w:rsidRPr="001F224B" w:rsidRDefault="00F61885" w:rsidP="00B37146">
            <w:pPr>
              <w:ind w:right="70"/>
              <w:jc w:val="center"/>
              <w:rPr>
                <w:b/>
                <w:bCs/>
                <w:sz w:val="20"/>
                <w:szCs w:val="20"/>
              </w:rPr>
            </w:pPr>
            <w:r w:rsidRPr="001F224B">
              <w:rPr>
                <w:b/>
                <w:bCs/>
                <w:sz w:val="20"/>
                <w:szCs w:val="20"/>
              </w:rPr>
              <w:t>Grup’un Toplam Faaliyeti</w:t>
            </w:r>
          </w:p>
        </w:tc>
      </w:tr>
      <w:tr w:rsidR="00F61885" w:rsidRPr="001F224B" w14:paraId="7F548DB7" w14:textId="77777777" w:rsidTr="00B37146">
        <w:trPr>
          <w:trHeight w:val="276"/>
          <w:jc w:val="center"/>
        </w:trPr>
        <w:tc>
          <w:tcPr>
            <w:tcW w:w="4395" w:type="dxa"/>
            <w:gridSpan w:val="2"/>
            <w:vMerge/>
            <w:vAlign w:val="bottom"/>
            <w:hideMark/>
          </w:tcPr>
          <w:p w14:paraId="03B8BB23" w14:textId="77777777" w:rsidR="00F61885" w:rsidRPr="001F224B" w:rsidRDefault="00F61885" w:rsidP="00B37146">
            <w:pPr>
              <w:rPr>
                <w:b/>
                <w:bCs/>
                <w:sz w:val="20"/>
                <w:szCs w:val="20"/>
              </w:rPr>
            </w:pPr>
          </w:p>
        </w:tc>
        <w:tc>
          <w:tcPr>
            <w:tcW w:w="1265" w:type="dxa"/>
            <w:vMerge/>
            <w:vAlign w:val="bottom"/>
            <w:hideMark/>
          </w:tcPr>
          <w:p w14:paraId="60EFDF64" w14:textId="77777777" w:rsidR="00F61885" w:rsidRPr="001F224B" w:rsidRDefault="00F61885" w:rsidP="00B37146">
            <w:pPr>
              <w:rPr>
                <w:b/>
                <w:bCs/>
                <w:sz w:val="20"/>
                <w:szCs w:val="20"/>
              </w:rPr>
            </w:pPr>
          </w:p>
        </w:tc>
        <w:tc>
          <w:tcPr>
            <w:tcW w:w="1134" w:type="dxa"/>
            <w:vMerge/>
            <w:vAlign w:val="bottom"/>
            <w:hideMark/>
          </w:tcPr>
          <w:p w14:paraId="6D59E993" w14:textId="77777777" w:rsidR="00F61885" w:rsidRPr="001F224B" w:rsidRDefault="00F61885" w:rsidP="00B37146">
            <w:pPr>
              <w:rPr>
                <w:b/>
                <w:bCs/>
                <w:sz w:val="20"/>
                <w:szCs w:val="20"/>
              </w:rPr>
            </w:pPr>
          </w:p>
        </w:tc>
        <w:tc>
          <w:tcPr>
            <w:tcW w:w="1418" w:type="dxa"/>
            <w:vMerge/>
            <w:vAlign w:val="bottom"/>
            <w:hideMark/>
          </w:tcPr>
          <w:p w14:paraId="2D629BF9" w14:textId="77777777" w:rsidR="00F61885" w:rsidRPr="001F224B" w:rsidRDefault="00F61885" w:rsidP="00B37146">
            <w:pPr>
              <w:rPr>
                <w:b/>
                <w:bCs/>
                <w:sz w:val="20"/>
                <w:szCs w:val="20"/>
              </w:rPr>
            </w:pPr>
          </w:p>
        </w:tc>
        <w:tc>
          <w:tcPr>
            <w:tcW w:w="1417" w:type="dxa"/>
            <w:vMerge/>
            <w:vAlign w:val="bottom"/>
            <w:hideMark/>
          </w:tcPr>
          <w:p w14:paraId="3B0664C4" w14:textId="77777777" w:rsidR="00F61885" w:rsidRPr="001F224B" w:rsidRDefault="00F61885" w:rsidP="00B37146">
            <w:pPr>
              <w:rPr>
                <w:b/>
                <w:bCs/>
                <w:sz w:val="20"/>
                <w:szCs w:val="20"/>
              </w:rPr>
            </w:pPr>
          </w:p>
        </w:tc>
      </w:tr>
      <w:tr w:rsidR="001C4914" w:rsidRPr="001F224B" w14:paraId="32C05714" w14:textId="77777777" w:rsidTr="00C22ACF">
        <w:trPr>
          <w:trHeight w:val="255"/>
          <w:jc w:val="center"/>
        </w:trPr>
        <w:tc>
          <w:tcPr>
            <w:tcW w:w="4385" w:type="dxa"/>
            <w:shd w:val="clear" w:color="auto" w:fill="auto"/>
            <w:vAlign w:val="bottom"/>
            <w:hideMark/>
          </w:tcPr>
          <w:p w14:paraId="69CD8F80" w14:textId="003FD73D" w:rsidR="001C4914" w:rsidRPr="001F224B" w:rsidRDefault="001C4914" w:rsidP="001C4914">
            <w:pPr>
              <w:rPr>
                <w:sz w:val="20"/>
                <w:szCs w:val="20"/>
              </w:rPr>
            </w:pPr>
            <w:r w:rsidRPr="001F224B">
              <w:rPr>
                <w:sz w:val="20"/>
                <w:szCs w:val="20"/>
              </w:rPr>
              <w:t>Net Faiz Geliri/(Gideri)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E07229B" w14:textId="2BE9525A" w:rsidR="001C4914" w:rsidRPr="001F224B" w:rsidRDefault="001C4914" w:rsidP="001C4914">
            <w:pPr>
              <w:jc w:val="right"/>
              <w:rPr>
                <w:sz w:val="20"/>
                <w:szCs w:val="20"/>
              </w:rPr>
            </w:pPr>
            <w:r w:rsidRPr="001F224B">
              <w:rPr>
                <w:sz w:val="20"/>
                <w:szCs w:val="20"/>
              </w:rPr>
              <w:t>6.018.979</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2C74683" w14:textId="4606DB62" w:rsidR="001C4914" w:rsidRPr="001F224B" w:rsidRDefault="001C4914" w:rsidP="001C4914">
            <w:pPr>
              <w:jc w:val="right"/>
              <w:rPr>
                <w:sz w:val="20"/>
                <w:szCs w:val="20"/>
              </w:rPr>
            </w:pPr>
            <w:r w:rsidRPr="001F224B">
              <w:rPr>
                <w:sz w:val="20"/>
                <w:szCs w:val="20"/>
              </w:rPr>
              <w:t>(460.682)</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1E8DDE3" w14:textId="7838333B" w:rsidR="001C4914" w:rsidRPr="001F224B" w:rsidRDefault="001C4914" w:rsidP="001C4914">
            <w:pPr>
              <w:jc w:val="right"/>
              <w:rPr>
                <w:sz w:val="20"/>
                <w:szCs w:val="20"/>
              </w:rPr>
            </w:pPr>
            <w:r w:rsidRPr="001F224B">
              <w:rPr>
                <w:sz w:val="20"/>
                <w:szCs w:val="20"/>
              </w:rPr>
              <w:t>(3.252)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D95468D" w14:textId="1ED3C43E" w:rsidR="001C4914" w:rsidRPr="001F224B" w:rsidRDefault="001C4914" w:rsidP="001C4914">
            <w:pPr>
              <w:jc w:val="right"/>
              <w:rPr>
                <w:sz w:val="20"/>
                <w:szCs w:val="20"/>
              </w:rPr>
            </w:pPr>
            <w:r w:rsidRPr="001F224B">
              <w:rPr>
                <w:sz w:val="20"/>
                <w:szCs w:val="20"/>
              </w:rPr>
              <w:t>5.555.045</w:t>
            </w:r>
          </w:p>
        </w:tc>
      </w:tr>
      <w:tr w:rsidR="001C4914" w:rsidRPr="001F224B" w14:paraId="67D625E3" w14:textId="77777777" w:rsidTr="00C22ACF">
        <w:trPr>
          <w:trHeight w:val="255"/>
          <w:jc w:val="center"/>
        </w:trPr>
        <w:tc>
          <w:tcPr>
            <w:tcW w:w="4385" w:type="dxa"/>
            <w:shd w:val="clear" w:color="auto" w:fill="auto"/>
            <w:vAlign w:val="bottom"/>
            <w:hideMark/>
          </w:tcPr>
          <w:p w14:paraId="17D97B86" w14:textId="7EA2B6B0" w:rsidR="001C4914" w:rsidRPr="001F224B" w:rsidRDefault="001C4914" w:rsidP="001C4914">
            <w:pPr>
              <w:rPr>
                <w:sz w:val="20"/>
                <w:szCs w:val="20"/>
              </w:rPr>
            </w:pPr>
            <w:r w:rsidRPr="001F224B">
              <w:rPr>
                <w:sz w:val="20"/>
                <w:szCs w:val="20"/>
              </w:rPr>
              <w:t>Net Ücret ve Komisyon Gelirleri/(Giderleri)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D6494AE" w14:textId="004EFDCD" w:rsidR="001C4914" w:rsidRPr="001F224B" w:rsidRDefault="001C4914" w:rsidP="001C4914">
            <w:pPr>
              <w:jc w:val="right"/>
              <w:rPr>
                <w:sz w:val="20"/>
                <w:szCs w:val="20"/>
              </w:rPr>
            </w:pPr>
            <w:r w:rsidRPr="001F224B">
              <w:rPr>
                <w:sz w:val="20"/>
                <w:szCs w:val="20"/>
              </w:rPr>
              <w:t>(12.171)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6A8983F" w14:textId="3EA69471" w:rsidR="001C4914" w:rsidRPr="001F224B" w:rsidRDefault="001C4914" w:rsidP="001C4914">
            <w:pPr>
              <w:jc w:val="right"/>
              <w:rPr>
                <w:sz w:val="20"/>
                <w:szCs w:val="20"/>
              </w:rPr>
            </w:pPr>
            <w:r w:rsidRPr="001F224B">
              <w:rPr>
                <w:sz w:val="20"/>
                <w:szCs w:val="20"/>
              </w:rPr>
              <w:t>99.317</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CE59C33" w14:textId="779F656E" w:rsidR="001C4914" w:rsidRPr="001F224B" w:rsidRDefault="001C4914" w:rsidP="001C4914">
            <w:pPr>
              <w:jc w:val="right"/>
              <w:rPr>
                <w:sz w:val="20"/>
                <w:szCs w:val="20"/>
              </w:rPr>
            </w:pPr>
            <w:r w:rsidRPr="001F224B">
              <w:rPr>
                <w:sz w:val="20"/>
                <w:szCs w:val="20"/>
              </w:rPr>
              <w:t>18.376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FA63F46" w14:textId="485BC7DA" w:rsidR="001C4914" w:rsidRPr="001F224B" w:rsidRDefault="001C4914" w:rsidP="001C4914">
            <w:pPr>
              <w:jc w:val="right"/>
              <w:rPr>
                <w:sz w:val="20"/>
                <w:szCs w:val="20"/>
              </w:rPr>
            </w:pPr>
            <w:r w:rsidRPr="001F224B">
              <w:rPr>
                <w:sz w:val="20"/>
                <w:szCs w:val="20"/>
              </w:rPr>
              <w:t>105.522</w:t>
            </w:r>
          </w:p>
        </w:tc>
      </w:tr>
      <w:tr w:rsidR="001C4914" w:rsidRPr="001F224B" w14:paraId="5AE67EEA" w14:textId="77777777" w:rsidTr="00B510B3">
        <w:trPr>
          <w:trHeight w:val="255"/>
          <w:jc w:val="center"/>
        </w:trPr>
        <w:tc>
          <w:tcPr>
            <w:tcW w:w="4385" w:type="dxa"/>
            <w:shd w:val="clear" w:color="auto" w:fill="auto"/>
            <w:vAlign w:val="bottom"/>
            <w:hideMark/>
          </w:tcPr>
          <w:p w14:paraId="1D785DEB" w14:textId="77777777" w:rsidR="001C4914" w:rsidRPr="001F224B" w:rsidRDefault="001C4914" w:rsidP="001C4914">
            <w:pPr>
              <w:rPr>
                <w:sz w:val="20"/>
                <w:szCs w:val="20"/>
              </w:rPr>
            </w:pPr>
            <w:r w:rsidRPr="001F224B">
              <w:rPr>
                <w:sz w:val="20"/>
                <w:szCs w:val="20"/>
              </w:rPr>
              <w:t>Diğer Gelirler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B7BBCA" w14:textId="47471B54" w:rsidR="001C4914" w:rsidRPr="001F224B" w:rsidRDefault="001C4914" w:rsidP="001C4914">
            <w:pPr>
              <w:jc w:val="right"/>
              <w:rPr>
                <w:sz w:val="20"/>
                <w:szCs w:val="20"/>
              </w:rPr>
            </w:pPr>
            <w:r w:rsidRPr="001F224B">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C0FCB" w14:textId="5684632B" w:rsidR="001C4914" w:rsidRPr="001F224B" w:rsidRDefault="001C4914" w:rsidP="001C4914">
            <w:pPr>
              <w:jc w:val="right"/>
              <w:rPr>
                <w:sz w:val="20"/>
                <w:szCs w:val="20"/>
              </w:rPr>
            </w:pPr>
            <w:r w:rsidRPr="001F224B">
              <w:rPr>
                <w:sz w:val="20"/>
                <w:szCs w:val="20"/>
              </w:rPr>
              <w:t>255.369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6CFA9" w14:textId="55C4609E" w:rsidR="001C4914" w:rsidRPr="001F224B" w:rsidRDefault="001C4914" w:rsidP="001C4914">
            <w:pPr>
              <w:jc w:val="right"/>
              <w:rPr>
                <w:sz w:val="20"/>
                <w:szCs w:val="20"/>
              </w:rPr>
            </w:pPr>
            <w:r w:rsidRPr="001F224B">
              <w:rPr>
                <w:sz w:val="20"/>
                <w:szCs w:val="20"/>
              </w:rPr>
              <w:t>6.126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97C69" w14:textId="55AAFE60" w:rsidR="001C4914" w:rsidRPr="001F224B" w:rsidRDefault="001C4914" w:rsidP="001C4914">
            <w:pPr>
              <w:jc w:val="right"/>
              <w:rPr>
                <w:sz w:val="20"/>
                <w:szCs w:val="20"/>
              </w:rPr>
            </w:pPr>
            <w:r w:rsidRPr="001F224B">
              <w:rPr>
                <w:sz w:val="20"/>
                <w:szCs w:val="20"/>
              </w:rPr>
              <w:t>261.495</w:t>
            </w:r>
          </w:p>
        </w:tc>
      </w:tr>
      <w:tr w:rsidR="001C4914" w:rsidRPr="001F224B" w14:paraId="65F25191" w14:textId="77777777" w:rsidTr="00B510B3">
        <w:trPr>
          <w:trHeight w:val="255"/>
          <w:jc w:val="center"/>
        </w:trPr>
        <w:tc>
          <w:tcPr>
            <w:tcW w:w="4385" w:type="dxa"/>
            <w:shd w:val="clear" w:color="auto" w:fill="auto"/>
            <w:vAlign w:val="bottom"/>
            <w:hideMark/>
          </w:tcPr>
          <w:p w14:paraId="579FCEBE" w14:textId="77777777" w:rsidR="001C4914" w:rsidRPr="001F224B" w:rsidRDefault="001C4914" w:rsidP="001C4914">
            <w:pPr>
              <w:rPr>
                <w:sz w:val="20"/>
                <w:szCs w:val="20"/>
              </w:rPr>
            </w:pPr>
            <w:r w:rsidRPr="001F224B">
              <w:rPr>
                <w:sz w:val="20"/>
                <w:szCs w:val="20"/>
              </w:rPr>
              <w:t>Diğer Giderler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CB32E8" w14:textId="016EDBA6" w:rsidR="001C4914" w:rsidRPr="001F224B" w:rsidRDefault="001C4914" w:rsidP="001C4914">
            <w:pPr>
              <w:jc w:val="right"/>
              <w:rPr>
                <w:sz w:val="20"/>
                <w:szCs w:val="20"/>
              </w:rPr>
            </w:pPr>
            <w:r w:rsidRPr="001F224B">
              <w:rPr>
                <w:sz w:val="20"/>
                <w:szCs w:val="20"/>
              </w:rPr>
              <w:t>(554.547)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CA6A1" w14:textId="67B84BB3" w:rsidR="001C4914" w:rsidRPr="001F224B" w:rsidRDefault="001C4914" w:rsidP="001C4914">
            <w:pPr>
              <w:jc w:val="right"/>
              <w:rPr>
                <w:sz w:val="20"/>
                <w:szCs w:val="20"/>
              </w:rPr>
            </w:pPr>
            <w:r w:rsidRPr="001F224B">
              <w:rPr>
                <w:sz w:val="20"/>
                <w:szCs w:val="20"/>
              </w:rPr>
              <w:t>(702.301)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138BE" w14:textId="528E8A0F" w:rsidR="001C4914" w:rsidRPr="001F224B" w:rsidRDefault="001C4914" w:rsidP="001C4914">
            <w:pPr>
              <w:jc w:val="right"/>
              <w:rPr>
                <w:sz w:val="20"/>
                <w:szCs w:val="20"/>
              </w:rPr>
            </w:pPr>
            <w:r w:rsidRPr="001F224B">
              <w:rPr>
                <w:sz w:val="20"/>
                <w:szCs w:val="20"/>
              </w:rPr>
              <w:t>(807.177)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AAB17" w14:textId="32BA04AD" w:rsidR="001C4914" w:rsidRPr="001F224B" w:rsidRDefault="001C4914" w:rsidP="001C4914">
            <w:pPr>
              <w:jc w:val="right"/>
              <w:rPr>
                <w:sz w:val="20"/>
                <w:szCs w:val="20"/>
              </w:rPr>
            </w:pPr>
            <w:r w:rsidRPr="001F224B">
              <w:rPr>
                <w:sz w:val="20"/>
                <w:szCs w:val="20"/>
              </w:rPr>
              <w:t>(2.064.025)</w:t>
            </w:r>
          </w:p>
        </w:tc>
      </w:tr>
      <w:tr w:rsidR="001C4914" w:rsidRPr="001F224B" w14:paraId="0F665617" w14:textId="77777777" w:rsidTr="00C22ACF">
        <w:trPr>
          <w:trHeight w:val="255"/>
          <w:jc w:val="center"/>
        </w:trPr>
        <w:tc>
          <w:tcPr>
            <w:tcW w:w="4385" w:type="dxa"/>
            <w:shd w:val="clear" w:color="auto" w:fill="auto"/>
            <w:vAlign w:val="bottom"/>
            <w:hideMark/>
          </w:tcPr>
          <w:p w14:paraId="1C301B11" w14:textId="0098F782" w:rsidR="001C4914" w:rsidRPr="001F224B" w:rsidRDefault="001C4914" w:rsidP="001C4914">
            <w:pPr>
              <w:rPr>
                <w:sz w:val="20"/>
                <w:szCs w:val="20"/>
              </w:rPr>
            </w:pPr>
            <w:r w:rsidRPr="001F224B">
              <w:rPr>
                <w:sz w:val="20"/>
                <w:szCs w:val="20"/>
              </w:rPr>
              <w:t>Vergi Öncesi Kar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7C8B2A85" w14:textId="5AA2F1A6" w:rsidR="001C4914" w:rsidRPr="001F224B" w:rsidRDefault="001C4914" w:rsidP="001C4914">
            <w:pPr>
              <w:jc w:val="right"/>
              <w:rPr>
                <w:sz w:val="20"/>
                <w:szCs w:val="20"/>
              </w:rPr>
            </w:pPr>
            <w:r w:rsidRPr="001F224B">
              <w:rPr>
                <w:sz w:val="20"/>
                <w:szCs w:val="20"/>
              </w:rPr>
              <w:t>5.452.261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1EB3E3C" w14:textId="579258DA" w:rsidR="001C4914" w:rsidRPr="001F224B" w:rsidRDefault="001C4914" w:rsidP="001C4914">
            <w:pPr>
              <w:jc w:val="right"/>
              <w:rPr>
                <w:sz w:val="20"/>
                <w:szCs w:val="20"/>
              </w:rPr>
            </w:pPr>
            <w:r w:rsidRPr="001F224B">
              <w:rPr>
                <w:sz w:val="20"/>
                <w:szCs w:val="20"/>
              </w:rPr>
              <w:t>(808.297)</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8BF3879" w14:textId="33007F40" w:rsidR="001C4914" w:rsidRPr="001F224B" w:rsidRDefault="001C4914" w:rsidP="001C4914">
            <w:pPr>
              <w:jc w:val="right"/>
              <w:rPr>
                <w:sz w:val="20"/>
                <w:szCs w:val="20"/>
              </w:rPr>
            </w:pPr>
            <w:r w:rsidRPr="001F224B">
              <w:rPr>
                <w:sz w:val="20"/>
                <w:szCs w:val="20"/>
              </w:rPr>
              <w:t>(785.927)</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AE6480A" w14:textId="6FFED537" w:rsidR="001C4914" w:rsidRPr="001F224B" w:rsidRDefault="001C4914" w:rsidP="001C4914">
            <w:pPr>
              <w:jc w:val="right"/>
              <w:rPr>
                <w:sz w:val="20"/>
                <w:szCs w:val="20"/>
              </w:rPr>
            </w:pPr>
            <w:r w:rsidRPr="001F224B">
              <w:rPr>
                <w:sz w:val="20"/>
                <w:szCs w:val="20"/>
              </w:rPr>
              <w:t>3.858.037</w:t>
            </w:r>
          </w:p>
        </w:tc>
      </w:tr>
      <w:tr w:rsidR="001C4914" w:rsidRPr="001F224B" w14:paraId="45F663A2" w14:textId="77777777" w:rsidTr="00C22ACF">
        <w:trPr>
          <w:trHeight w:val="255"/>
          <w:jc w:val="center"/>
        </w:trPr>
        <w:tc>
          <w:tcPr>
            <w:tcW w:w="4385" w:type="dxa"/>
            <w:shd w:val="clear" w:color="auto" w:fill="auto"/>
            <w:vAlign w:val="bottom"/>
            <w:hideMark/>
          </w:tcPr>
          <w:p w14:paraId="64017B82" w14:textId="77777777" w:rsidR="001C4914" w:rsidRPr="001F224B" w:rsidRDefault="001C4914" w:rsidP="001C4914">
            <w:pPr>
              <w:rPr>
                <w:sz w:val="20"/>
                <w:szCs w:val="20"/>
              </w:rPr>
            </w:pPr>
            <w:r w:rsidRPr="001F224B">
              <w:rPr>
                <w:sz w:val="20"/>
                <w:szCs w:val="20"/>
              </w:rPr>
              <w:t>Vergi Karşılığı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7EC0B30" w14:textId="16052372" w:rsidR="001C4914" w:rsidRPr="001F224B" w:rsidRDefault="001C4914" w:rsidP="001C4914">
            <w:pPr>
              <w:jc w:val="right"/>
              <w:rPr>
                <w:sz w:val="20"/>
                <w:szCs w:val="20"/>
              </w:rPr>
            </w:pPr>
            <w:r w:rsidRPr="001F224B">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575E590" w14:textId="1395B3BC" w:rsidR="001C4914" w:rsidRPr="001F224B" w:rsidRDefault="001C4914" w:rsidP="001C4914">
            <w:pPr>
              <w:jc w:val="right"/>
              <w:rPr>
                <w:sz w:val="20"/>
                <w:szCs w:val="20"/>
              </w:rPr>
            </w:pPr>
            <w:r w:rsidRPr="001F224B">
              <w:rPr>
                <w:sz w:val="20"/>
                <w:szCs w:val="20"/>
              </w:rPr>
              <w:t>-</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6F496D6" w14:textId="7E075D80" w:rsidR="001C4914" w:rsidRPr="001F224B" w:rsidRDefault="001C4914" w:rsidP="001C4914">
            <w:pPr>
              <w:jc w:val="right"/>
              <w:rPr>
                <w:sz w:val="20"/>
                <w:szCs w:val="20"/>
              </w:rPr>
            </w:pPr>
            <w:r w:rsidRPr="001F224B">
              <w:rPr>
                <w:sz w:val="20"/>
                <w:szCs w:val="20"/>
              </w:rPr>
              <w:t>(1.125.487)</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04B5B31" w14:textId="04BB7385" w:rsidR="001C4914" w:rsidRPr="001F224B" w:rsidRDefault="001C4914" w:rsidP="001C4914">
            <w:pPr>
              <w:jc w:val="right"/>
              <w:rPr>
                <w:sz w:val="20"/>
                <w:szCs w:val="20"/>
              </w:rPr>
            </w:pPr>
            <w:r w:rsidRPr="001F224B">
              <w:rPr>
                <w:sz w:val="20"/>
                <w:szCs w:val="20"/>
              </w:rPr>
              <w:t>(1.125.487)</w:t>
            </w:r>
          </w:p>
        </w:tc>
      </w:tr>
      <w:tr w:rsidR="001C4914" w:rsidRPr="001F224B" w14:paraId="61732064" w14:textId="77777777" w:rsidTr="00C22ACF">
        <w:trPr>
          <w:trHeight w:val="270"/>
          <w:jc w:val="center"/>
        </w:trPr>
        <w:tc>
          <w:tcPr>
            <w:tcW w:w="4385" w:type="dxa"/>
            <w:shd w:val="clear" w:color="auto" w:fill="auto"/>
            <w:vAlign w:val="bottom"/>
            <w:hideMark/>
          </w:tcPr>
          <w:p w14:paraId="185908DC" w14:textId="77777777" w:rsidR="001C4914" w:rsidRPr="001F224B" w:rsidRDefault="001C4914" w:rsidP="001C4914">
            <w:pPr>
              <w:rPr>
                <w:b/>
                <w:bCs/>
                <w:sz w:val="20"/>
                <w:szCs w:val="20"/>
              </w:rPr>
            </w:pPr>
            <w:r w:rsidRPr="001F224B">
              <w:rPr>
                <w:b/>
                <w:bCs/>
                <w:sz w:val="20"/>
                <w:szCs w:val="20"/>
              </w:rPr>
              <w:t>Net Dönem Karı/(Zararı)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AB58C95" w14:textId="344B1914" w:rsidR="001C4914" w:rsidRPr="001F224B" w:rsidRDefault="001C4914" w:rsidP="001C4914">
            <w:pPr>
              <w:jc w:val="right"/>
              <w:rPr>
                <w:b/>
                <w:sz w:val="20"/>
                <w:szCs w:val="20"/>
              </w:rPr>
            </w:pPr>
            <w:r w:rsidRPr="001F224B">
              <w:rPr>
                <w:b/>
                <w:bCs/>
                <w:sz w:val="20"/>
                <w:szCs w:val="20"/>
              </w:rPr>
              <w:t>5.452.261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1DEED80" w14:textId="6D8640BE" w:rsidR="001C4914" w:rsidRPr="001F224B" w:rsidRDefault="001C4914" w:rsidP="001C4914">
            <w:pPr>
              <w:jc w:val="right"/>
              <w:rPr>
                <w:b/>
                <w:sz w:val="20"/>
                <w:szCs w:val="20"/>
              </w:rPr>
            </w:pPr>
            <w:r w:rsidRPr="001F224B">
              <w:rPr>
                <w:b/>
                <w:bCs/>
                <w:sz w:val="20"/>
                <w:szCs w:val="20"/>
              </w:rPr>
              <w:t>(808.297)</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049F1E9" w14:textId="7A63533B" w:rsidR="001C4914" w:rsidRPr="001F224B" w:rsidRDefault="001C4914" w:rsidP="001C4914">
            <w:pPr>
              <w:jc w:val="right"/>
              <w:rPr>
                <w:b/>
                <w:sz w:val="20"/>
                <w:szCs w:val="20"/>
              </w:rPr>
            </w:pPr>
            <w:r w:rsidRPr="001F224B">
              <w:rPr>
                <w:b/>
                <w:bCs/>
                <w:sz w:val="20"/>
                <w:szCs w:val="20"/>
              </w:rPr>
              <w:t>(1.911.414)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FD24A25" w14:textId="08EE28CA" w:rsidR="001C4914" w:rsidRPr="001F224B" w:rsidRDefault="001C4914" w:rsidP="001C4914">
            <w:pPr>
              <w:jc w:val="right"/>
              <w:rPr>
                <w:b/>
                <w:sz w:val="20"/>
                <w:szCs w:val="20"/>
              </w:rPr>
            </w:pPr>
            <w:r w:rsidRPr="001F224B">
              <w:rPr>
                <w:b/>
                <w:bCs/>
                <w:sz w:val="20"/>
                <w:szCs w:val="20"/>
              </w:rPr>
              <w:t>2.732.550</w:t>
            </w:r>
          </w:p>
        </w:tc>
      </w:tr>
      <w:tr w:rsidR="001C4914" w:rsidRPr="001F224B" w14:paraId="299C5802" w14:textId="77777777" w:rsidTr="00C22ACF">
        <w:trPr>
          <w:trHeight w:val="270"/>
          <w:jc w:val="center"/>
        </w:trPr>
        <w:tc>
          <w:tcPr>
            <w:tcW w:w="4385" w:type="dxa"/>
            <w:shd w:val="clear" w:color="auto" w:fill="auto"/>
            <w:vAlign w:val="bottom"/>
          </w:tcPr>
          <w:p w14:paraId="18AE89F3" w14:textId="77777777" w:rsidR="001C4914" w:rsidRPr="001F224B" w:rsidRDefault="001C4914" w:rsidP="001C4914">
            <w:pPr>
              <w:rPr>
                <w:b/>
                <w:bCs/>
                <w:sz w:val="20"/>
                <w:szCs w:val="20"/>
              </w:rPr>
            </w:pPr>
            <w:r w:rsidRPr="001F224B">
              <w:rPr>
                <w:b/>
                <w:bCs/>
                <w:sz w:val="20"/>
                <w:szCs w:val="20"/>
              </w:rPr>
              <w:t>Grubun Karı / Zararı</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7AEEFF26" w14:textId="35B34326" w:rsidR="001C4914" w:rsidRPr="001F224B" w:rsidRDefault="001C4914" w:rsidP="001C4914">
            <w:pPr>
              <w:jc w:val="right"/>
              <w:rPr>
                <w:b/>
                <w:sz w:val="20"/>
                <w:szCs w:val="20"/>
              </w:rPr>
            </w:pPr>
            <w:r w:rsidRPr="001F224B">
              <w:rPr>
                <w:b/>
                <w:bCs/>
                <w:sz w:val="20"/>
                <w:szCs w:val="20"/>
              </w:rPr>
              <w:t>5.452.261</w:t>
            </w:r>
          </w:p>
        </w:tc>
        <w:tc>
          <w:tcPr>
            <w:tcW w:w="1134" w:type="dxa"/>
            <w:tcBorders>
              <w:top w:val="single" w:sz="4" w:space="0" w:color="auto"/>
              <w:left w:val="single" w:sz="4" w:space="0" w:color="auto"/>
              <w:bottom w:val="single" w:sz="4" w:space="0" w:color="auto"/>
              <w:right w:val="single" w:sz="4" w:space="0" w:color="auto"/>
            </w:tcBorders>
            <w:vAlign w:val="bottom"/>
          </w:tcPr>
          <w:p w14:paraId="3DBF46C5" w14:textId="2D7ECADC" w:rsidR="001C4914" w:rsidRPr="001F224B" w:rsidRDefault="001C4914" w:rsidP="001C4914">
            <w:pPr>
              <w:jc w:val="right"/>
              <w:rPr>
                <w:b/>
                <w:sz w:val="20"/>
                <w:szCs w:val="20"/>
              </w:rPr>
            </w:pPr>
            <w:r w:rsidRPr="001F224B">
              <w:rPr>
                <w:b/>
                <w:bCs/>
                <w:sz w:val="20"/>
                <w:szCs w:val="20"/>
              </w:rPr>
              <w:t>(808.297)</w:t>
            </w:r>
          </w:p>
        </w:tc>
        <w:tc>
          <w:tcPr>
            <w:tcW w:w="1418" w:type="dxa"/>
            <w:tcBorders>
              <w:top w:val="single" w:sz="4" w:space="0" w:color="auto"/>
              <w:left w:val="single" w:sz="4" w:space="0" w:color="auto"/>
              <w:bottom w:val="single" w:sz="4" w:space="0" w:color="auto"/>
              <w:right w:val="single" w:sz="4" w:space="0" w:color="auto"/>
            </w:tcBorders>
            <w:vAlign w:val="bottom"/>
          </w:tcPr>
          <w:p w14:paraId="6E0AD80B" w14:textId="5116566D" w:rsidR="001C4914" w:rsidRPr="001F224B" w:rsidRDefault="001C4914" w:rsidP="001C4914">
            <w:pPr>
              <w:jc w:val="right"/>
              <w:rPr>
                <w:b/>
                <w:sz w:val="20"/>
                <w:szCs w:val="20"/>
              </w:rPr>
            </w:pPr>
            <w:r w:rsidRPr="001F224B">
              <w:rPr>
                <w:b/>
                <w:bCs/>
                <w:sz w:val="20"/>
                <w:szCs w:val="20"/>
              </w:rPr>
              <w:t>(1.911.414)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310F0E17" w14:textId="1C20AEB5" w:rsidR="001C4914" w:rsidRPr="001F224B" w:rsidRDefault="001C4914" w:rsidP="001C4914">
            <w:pPr>
              <w:jc w:val="right"/>
              <w:rPr>
                <w:b/>
                <w:sz w:val="20"/>
                <w:szCs w:val="20"/>
              </w:rPr>
            </w:pPr>
            <w:r w:rsidRPr="001F224B">
              <w:rPr>
                <w:b/>
                <w:bCs/>
                <w:sz w:val="20"/>
                <w:szCs w:val="20"/>
              </w:rPr>
              <w:t>2.732.550</w:t>
            </w:r>
          </w:p>
        </w:tc>
      </w:tr>
      <w:tr w:rsidR="00EA66D9" w:rsidRPr="001F224B" w14:paraId="48217A53" w14:textId="77777777" w:rsidTr="00B37146">
        <w:trPr>
          <w:trHeight w:val="270"/>
          <w:jc w:val="center"/>
        </w:trPr>
        <w:tc>
          <w:tcPr>
            <w:tcW w:w="4385" w:type="dxa"/>
            <w:shd w:val="clear" w:color="auto" w:fill="auto"/>
            <w:vAlign w:val="bottom"/>
          </w:tcPr>
          <w:p w14:paraId="6DE8FB6C" w14:textId="77777777" w:rsidR="00EA66D9" w:rsidRPr="001F224B" w:rsidRDefault="00EA66D9" w:rsidP="00EA66D9">
            <w:pPr>
              <w:rPr>
                <w:b/>
                <w:bCs/>
                <w:sz w:val="20"/>
                <w:szCs w:val="20"/>
              </w:rPr>
            </w:pPr>
            <w:r w:rsidRPr="001F224B">
              <w:rPr>
                <w:b/>
                <w:bCs/>
                <w:sz w:val="20"/>
                <w:szCs w:val="20"/>
              </w:rPr>
              <w:t>Azınlık Hakları Karı / Zararı (-)</w:t>
            </w:r>
          </w:p>
        </w:tc>
        <w:tc>
          <w:tcPr>
            <w:tcW w:w="1275" w:type="dxa"/>
            <w:gridSpan w:val="2"/>
            <w:shd w:val="clear" w:color="auto" w:fill="auto"/>
            <w:vAlign w:val="center"/>
          </w:tcPr>
          <w:p w14:paraId="1E024F01" w14:textId="77777777" w:rsidR="00EA66D9" w:rsidRPr="001F224B" w:rsidRDefault="00EA66D9" w:rsidP="00EA66D9">
            <w:pPr>
              <w:jc w:val="right"/>
              <w:rPr>
                <w:b/>
                <w:sz w:val="20"/>
                <w:szCs w:val="20"/>
              </w:rPr>
            </w:pPr>
            <w:r w:rsidRPr="001F224B">
              <w:rPr>
                <w:b/>
                <w:sz w:val="20"/>
                <w:szCs w:val="20"/>
              </w:rPr>
              <w:t>-</w:t>
            </w:r>
          </w:p>
        </w:tc>
        <w:tc>
          <w:tcPr>
            <w:tcW w:w="1134" w:type="dxa"/>
            <w:shd w:val="clear" w:color="auto" w:fill="auto"/>
            <w:vAlign w:val="center"/>
          </w:tcPr>
          <w:p w14:paraId="599D9B13" w14:textId="77777777" w:rsidR="00EA66D9" w:rsidRPr="001F224B" w:rsidRDefault="00EA66D9" w:rsidP="00EA66D9">
            <w:pPr>
              <w:jc w:val="right"/>
              <w:rPr>
                <w:b/>
                <w:sz w:val="20"/>
                <w:szCs w:val="20"/>
              </w:rPr>
            </w:pPr>
            <w:r w:rsidRPr="001F224B">
              <w:rPr>
                <w:b/>
                <w:sz w:val="20"/>
                <w:szCs w:val="20"/>
              </w:rPr>
              <w:t>-</w:t>
            </w:r>
          </w:p>
        </w:tc>
        <w:tc>
          <w:tcPr>
            <w:tcW w:w="1418" w:type="dxa"/>
            <w:shd w:val="clear" w:color="auto" w:fill="auto"/>
            <w:vAlign w:val="center"/>
          </w:tcPr>
          <w:p w14:paraId="0E530D35" w14:textId="77777777" w:rsidR="00EA66D9" w:rsidRPr="001F224B" w:rsidRDefault="00EA66D9" w:rsidP="00EA66D9">
            <w:pPr>
              <w:jc w:val="right"/>
              <w:rPr>
                <w:b/>
                <w:sz w:val="20"/>
                <w:szCs w:val="20"/>
              </w:rPr>
            </w:pPr>
            <w:r w:rsidRPr="001F224B">
              <w:rPr>
                <w:b/>
                <w:sz w:val="20"/>
                <w:szCs w:val="20"/>
              </w:rPr>
              <w:t>-</w:t>
            </w:r>
          </w:p>
        </w:tc>
        <w:tc>
          <w:tcPr>
            <w:tcW w:w="1417" w:type="dxa"/>
            <w:shd w:val="clear" w:color="auto" w:fill="auto"/>
            <w:vAlign w:val="center"/>
          </w:tcPr>
          <w:p w14:paraId="232E73E9" w14:textId="77777777" w:rsidR="00EA66D9" w:rsidRPr="001F224B" w:rsidRDefault="00EA66D9" w:rsidP="00EA66D9">
            <w:pPr>
              <w:jc w:val="right"/>
              <w:rPr>
                <w:b/>
                <w:sz w:val="20"/>
                <w:szCs w:val="20"/>
              </w:rPr>
            </w:pPr>
            <w:r w:rsidRPr="001F224B">
              <w:rPr>
                <w:b/>
                <w:sz w:val="20"/>
                <w:szCs w:val="20"/>
              </w:rPr>
              <w:t>-</w:t>
            </w:r>
          </w:p>
        </w:tc>
      </w:tr>
      <w:tr w:rsidR="00EA66D9" w:rsidRPr="001F224B" w14:paraId="264A83FC" w14:textId="77777777" w:rsidTr="00B37146">
        <w:trPr>
          <w:trHeight w:val="270"/>
          <w:jc w:val="center"/>
        </w:trPr>
        <w:tc>
          <w:tcPr>
            <w:tcW w:w="4385" w:type="dxa"/>
            <w:shd w:val="clear" w:color="auto" w:fill="auto"/>
            <w:vAlign w:val="bottom"/>
            <w:hideMark/>
          </w:tcPr>
          <w:p w14:paraId="475EA356" w14:textId="15A242B1" w:rsidR="00EA66D9" w:rsidRPr="001F224B" w:rsidRDefault="00EA66D9" w:rsidP="00EA66D9">
            <w:pPr>
              <w:rPr>
                <w:b/>
                <w:bCs/>
                <w:sz w:val="20"/>
                <w:szCs w:val="20"/>
              </w:rPr>
            </w:pPr>
            <w:r w:rsidRPr="001F224B">
              <w:rPr>
                <w:b/>
                <w:bCs/>
                <w:sz w:val="20"/>
                <w:szCs w:val="20"/>
              </w:rPr>
              <w:t>Önceki Dönem (31.12.202</w:t>
            </w:r>
            <w:r w:rsidR="009E077E" w:rsidRPr="001F224B">
              <w:rPr>
                <w:b/>
                <w:bCs/>
                <w:sz w:val="20"/>
                <w:szCs w:val="20"/>
              </w:rPr>
              <w:t>4</w:t>
            </w:r>
            <w:r w:rsidRPr="001F224B">
              <w:rPr>
                <w:b/>
                <w:bCs/>
                <w:sz w:val="20"/>
                <w:szCs w:val="20"/>
              </w:rPr>
              <w:t>)</w:t>
            </w:r>
          </w:p>
        </w:tc>
        <w:tc>
          <w:tcPr>
            <w:tcW w:w="1275" w:type="dxa"/>
            <w:gridSpan w:val="2"/>
            <w:shd w:val="clear" w:color="auto" w:fill="auto"/>
            <w:vAlign w:val="center"/>
          </w:tcPr>
          <w:p w14:paraId="14ACE446" w14:textId="77777777" w:rsidR="00EA66D9" w:rsidRPr="001F224B" w:rsidRDefault="00EA66D9" w:rsidP="00EA66D9">
            <w:pPr>
              <w:jc w:val="right"/>
              <w:rPr>
                <w:sz w:val="20"/>
                <w:szCs w:val="20"/>
              </w:rPr>
            </w:pPr>
          </w:p>
        </w:tc>
        <w:tc>
          <w:tcPr>
            <w:tcW w:w="1134" w:type="dxa"/>
            <w:shd w:val="clear" w:color="auto" w:fill="auto"/>
            <w:vAlign w:val="center"/>
          </w:tcPr>
          <w:p w14:paraId="47BE1697" w14:textId="77777777" w:rsidR="00EA66D9" w:rsidRPr="001F224B" w:rsidRDefault="00EA66D9" w:rsidP="00EA66D9">
            <w:pPr>
              <w:jc w:val="right"/>
              <w:rPr>
                <w:sz w:val="20"/>
                <w:szCs w:val="20"/>
              </w:rPr>
            </w:pPr>
          </w:p>
        </w:tc>
        <w:tc>
          <w:tcPr>
            <w:tcW w:w="1418" w:type="dxa"/>
            <w:shd w:val="clear" w:color="auto" w:fill="auto"/>
            <w:vAlign w:val="center"/>
          </w:tcPr>
          <w:p w14:paraId="62756B6E" w14:textId="77777777" w:rsidR="00EA66D9" w:rsidRPr="001F224B" w:rsidRDefault="00EA66D9" w:rsidP="00EA66D9">
            <w:pPr>
              <w:jc w:val="right"/>
              <w:rPr>
                <w:sz w:val="20"/>
                <w:szCs w:val="20"/>
              </w:rPr>
            </w:pPr>
          </w:p>
        </w:tc>
        <w:tc>
          <w:tcPr>
            <w:tcW w:w="1417" w:type="dxa"/>
            <w:shd w:val="clear" w:color="000000" w:fill="FFFFFF"/>
            <w:vAlign w:val="center"/>
          </w:tcPr>
          <w:p w14:paraId="4DA74D3A" w14:textId="77777777" w:rsidR="00EA66D9" w:rsidRPr="001F224B" w:rsidRDefault="00EA66D9" w:rsidP="00EA66D9">
            <w:pPr>
              <w:jc w:val="right"/>
              <w:rPr>
                <w:sz w:val="20"/>
                <w:szCs w:val="20"/>
              </w:rPr>
            </w:pPr>
          </w:p>
        </w:tc>
      </w:tr>
      <w:tr w:rsidR="004805E4" w:rsidRPr="001F224B" w14:paraId="2368FA28" w14:textId="77777777" w:rsidTr="00B37146">
        <w:trPr>
          <w:trHeight w:val="255"/>
          <w:jc w:val="center"/>
        </w:trPr>
        <w:tc>
          <w:tcPr>
            <w:tcW w:w="4385" w:type="dxa"/>
            <w:shd w:val="clear" w:color="auto" w:fill="auto"/>
            <w:vAlign w:val="bottom"/>
            <w:hideMark/>
          </w:tcPr>
          <w:p w14:paraId="13B63331" w14:textId="77777777" w:rsidR="004805E4" w:rsidRPr="001F224B" w:rsidRDefault="004805E4" w:rsidP="004805E4">
            <w:pPr>
              <w:rPr>
                <w:sz w:val="20"/>
                <w:szCs w:val="20"/>
              </w:rPr>
            </w:pPr>
            <w:r w:rsidRPr="001F224B">
              <w:rPr>
                <w:sz w:val="20"/>
                <w:szCs w:val="20"/>
              </w:rPr>
              <w:t>Bölüm Varlıkları</w:t>
            </w:r>
          </w:p>
        </w:tc>
        <w:tc>
          <w:tcPr>
            <w:tcW w:w="1275" w:type="dxa"/>
            <w:gridSpan w:val="2"/>
            <w:shd w:val="clear" w:color="auto" w:fill="auto"/>
            <w:vAlign w:val="bottom"/>
            <w:hideMark/>
          </w:tcPr>
          <w:p w14:paraId="4FD68DB5" w14:textId="44973750" w:rsidR="004805E4" w:rsidRPr="001F224B" w:rsidRDefault="004805E4" w:rsidP="004805E4">
            <w:pPr>
              <w:jc w:val="right"/>
              <w:rPr>
                <w:sz w:val="20"/>
                <w:szCs w:val="20"/>
              </w:rPr>
            </w:pPr>
            <w:r w:rsidRPr="001F224B">
              <w:rPr>
                <w:sz w:val="20"/>
                <w:szCs w:val="20"/>
              </w:rPr>
              <w:t>58.667.080</w:t>
            </w:r>
          </w:p>
        </w:tc>
        <w:tc>
          <w:tcPr>
            <w:tcW w:w="1134" w:type="dxa"/>
            <w:shd w:val="clear" w:color="auto" w:fill="auto"/>
            <w:vAlign w:val="bottom"/>
            <w:hideMark/>
          </w:tcPr>
          <w:p w14:paraId="7507275A" w14:textId="27857CAA" w:rsidR="004805E4" w:rsidRPr="001F224B" w:rsidRDefault="004805E4" w:rsidP="004805E4">
            <w:pPr>
              <w:jc w:val="right"/>
              <w:rPr>
                <w:sz w:val="20"/>
                <w:szCs w:val="20"/>
              </w:rPr>
            </w:pPr>
            <w:r w:rsidRPr="001F224B">
              <w:rPr>
                <w:sz w:val="20"/>
                <w:szCs w:val="20"/>
              </w:rPr>
              <w:t>94.176.590</w:t>
            </w:r>
          </w:p>
        </w:tc>
        <w:tc>
          <w:tcPr>
            <w:tcW w:w="1418" w:type="dxa"/>
            <w:shd w:val="clear" w:color="auto" w:fill="auto"/>
            <w:vAlign w:val="bottom"/>
            <w:hideMark/>
          </w:tcPr>
          <w:p w14:paraId="2E7D964A" w14:textId="3E9FDA91" w:rsidR="004805E4" w:rsidRPr="001F224B" w:rsidRDefault="004805E4" w:rsidP="004805E4">
            <w:pPr>
              <w:jc w:val="right"/>
              <w:rPr>
                <w:sz w:val="20"/>
                <w:szCs w:val="20"/>
              </w:rPr>
            </w:pPr>
            <w:r w:rsidRPr="001F224B">
              <w:rPr>
                <w:sz w:val="20"/>
                <w:szCs w:val="20"/>
              </w:rPr>
              <w:t>740.213</w:t>
            </w:r>
          </w:p>
        </w:tc>
        <w:tc>
          <w:tcPr>
            <w:tcW w:w="1417" w:type="dxa"/>
            <w:shd w:val="clear" w:color="auto" w:fill="auto"/>
            <w:vAlign w:val="bottom"/>
            <w:hideMark/>
          </w:tcPr>
          <w:p w14:paraId="22FB729F" w14:textId="6F2ABB77" w:rsidR="004805E4" w:rsidRPr="001F224B" w:rsidRDefault="004805E4" w:rsidP="004805E4">
            <w:pPr>
              <w:jc w:val="right"/>
              <w:rPr>
                <w:sz w:val="20"/>
                <w:szCs w:val="20"/>
              </w:rPr>
            </w:pPr>
            <w:r w:rsidRPr="001F224B">
              <w:rPr>
                <w:sz w:val="20"/>
                <w:szCs w:val="20"/>
              </w:rPr>
              <w:t>153.583.883</w:t>
            </w:r>
          </w:p>
        </w:tc>
      </w:tr>
      <w:tr w:rsidR="004805E4" w:rsidRPr="001F224B" w14:paraId="0C6A7996" w14:textId="77777777" w:rsidTr="00B37146">
        <w:trPr>
          <w:trHeight w:val="255"/>
          <w:jc w:val="center"/>
        </w:trPr>
        <w:tc>
          <w:tcPr>
            <w:tcW w:w="4385" w:type="dxa"/>
            <w:shd w:val="clear" w:color="auto" w:fill="auto"/>
            <w:vAlign w:val="bottom"/>
            <w:hideMark/>
          </w:tcPr>
          <w:p w14:paraId="0D519372" w14:textId="77777777" w:rsidR="004805E4" w:rsidRPr="001F224B" w:rsidRDefault="004805E4" w:rsidP="004805E4">
            <w:pPr>
              <w:rPr>
                <w:sz w:val="20"/>
                <w:szCs w:val="20"/>
              </w:rPr>
            </w:pPr>
            <w:r w:rsidRPr="001F224B">
              <w:rPr>
                <w:sz w:val="20"/>
                <w:szCs w:val="20"/>
              </w:rPr>
              <w:t>İştirak ve Bağlı Ortaklıklar</w:t>
            </w:r>
          </w:p>
        </w:tc>
        <w:tc>
          <w:tcPr>
            <w:tcW w:w="1275" w:type="dxa"/>
            <w:gridSpan w:val="2"/>
            <w:shd w:val="clear" w:color="auto" w:fill="auto"/>
            <w:vAlign w:val="bottom"/>
            <w:hideMark/>
          </w:tcPr>
          <w:p w14:paraId="0D9237C3" w14:textId="61E9AF50" w:rsidR="004805E4" w:rsidRPr="001F224B" w:rsidRDefault="004805E4" w:rsidP="004805E4">
            <w:pPr>
              <w:jc w:val="right"/>
              <w:rPr>
                <w:sz w:val="20"/>
                <w:szCs w:val="20"/>
              </w:rPr>
            </w:pPr>
            <w:r w:rsidRPr="001F224B">
              <w:rPr>
                <w:sz w:val="20"/>
                <w:szCs w:val="20"/>
              </w:rPr>
              <w:t>-</w:t>
            </w:r>
          </w:p>
        </w:tc>
        <w:tc>
          <w:tcPr>
            <w:tcW w:w="1134" w:type="dxa"/>
            <w:shd w:val="clear" w:color="auto" w:fill="auto"/>
            <w:vAlign w:val="bottom"/>
            <w:hideMark/>
          </w:tcPr>
          <w:p w14:paraId="3D71E1EC" w14:textId="1BB7A84E" w:rsidR="004805E4" w:rsidRPr="001F224B" w:rsidRDefault="004805E4" w:rsidP="004805E4">
            <w:pPr>
              <w:jc w:val="right"/>
              <w:rPr>
                <w:sz w:val="20"/>
                <w:szCs w:val="20"/>
              </w:rPr>
            </w:pPr>
            <w:r w:rsidRPr="001F224B">
              <w:rPr>
                <w:sz w:val="20"/>
                <w:szCs w:val="20"/>
              </w:rPr>
              <w:t>10.586</w:t>
            </w:r>
          </w:p>
        </w:tc>
        <w:tc>
          <w:tcPr>
            <w:tcW w:w="1418" w:type="dxa"/>
            <w:shd w:val="clear" w:color="auto" w:fill="auto"/>
            <w:vAlign w:val="bottom"/>
            <w:hideMark/>
          </w:tcPr>
          <w:p w14:paraId="54F4E968" w14:textId="48758860" w:rsidR="004805E4" w:rsidRPr="001F224B" w:rsidRDefault="004805E4" w:rsidP="004805E4">
            <w:pPr>
              <w:jc w:val="right"/>
              <w:rPr>
                <w:sz w:val="20"/>
                <w:szCs w:val="20"/>
              </w:rPr>
            </w:pPr>
            <w:r w:rsidRPr="001F224B">
              <w:rPr>
                <w:sz w:val="20"/>
                <w:szCs w:val="20"/>
              </w:rPr>
              <w:t>-</w:t>
            </w:r>
          </w:p>
        </w:tc>
        <w:tc>
          <w:tcPr>
            <w:tcW w:w="1417" w:type="dxa"/>
            <w:shd w:val="clear" w:color="auto" w:fill="auto"/>
            <w:vAlign w:val="bottom"/>
            <w:hideMark/>
          </w:tcPr>
          <w:p w14:paraId="52AB3058" w14:textId="202657D8" w:rsidR="004805E4" w:rsidRPr="001F224B" w:rsidRDefault="004805E4" w:rsidP="004805E4">
            <w:pPr>
              <w:jc w:val="right"/>
              <w:rPr>
                <w:sz w:val="20"/>
                <w:szCs w:val="20"/>
              </w:rPr>
            </w:pPr>
            <w:r w:rsidRPr="001F224B">
              <w:rPr>
                <w:sz w:val="20"/>
                <w:szCs w:val="20"/>
              </w:rPr>
              <w:t>10.586</w:t>
            </w:r>
          </w:p>
        </w:tc>
      </w:tr>
      <w:tr w:rsidR="004805E4" w:rsidRPr="001F224B" w14:paraId="37167D67" w14:textId="77777777" w:rsidTr="00B37146">
        <w:trPr>
          <w:trHeight w:val="255"/>
          <w:jc w:val="center"/>
        </w:trPr>
        <w:tc>
          <w:tcPr>
            <w:tcW w:w="4385" w:type="dxa"/>
            <w:shd w:val="clear" w:color="auto" w:fill="auto"/>
            <w:vAlign w:val="bottom"/>
            <w:hideMark/>
          </w:tcPr>
          <w:p w14:paraId="6BC72C42" w14:textId="77777777" w:rsidR="004805E4" w:rsidRPr="001F224B" w:rsidRDefault="004805E4" w:rsidP="004805E4">
            <w:pPr>
              <w:rPr>
                <w:b/>
                <w:bCs/>
                <w:sz w:val="20"/>
                <w:szCs w:val="20"/>
              </w:rPr>
            </w:pPr>
            <w:r w:rsidRPr="001F224B">
              <w:rPr>
                <w:b/>
                <w:bCs/>
                <w:sz w:val="20"/>
                <w:szCs w:val="20"/>
              </w:rPr>
              <w:t>Toplam Varlıklar</w:t>
            </w:r>
          </w:p>
        </w:tc>
        <w:tc>
          <w:tcPr>
            <w:tcW w:w="1275" w:type="dxa"/>
            <w:gridSpan w:val="2"/>
            <w:shd w:val="clear" w:color="auto" w:fill="auto"/>
            <w:vAlign w:val="bottom"/>
            <w:hideMark/>
          </w:tcPr>
          <w:p w14:paraId="52F9C5BA" w14:textId="2487A241" w:rsidR="004805E4" w:rsidRPr="001F224B" w:rsidRDefault="004805E4" w:rsidP="004805E4">
            <w:pPr>
              <w:jc w:val="right"/>
              <w:rPr>
                <w:b/>
                <w:sz w:val="20"/>
                <w:szCs w:val="20"/>
              </w:rPr>
            </w:pPr>
            <w:r w:rsidRPr="001F224B">
              <w:rPr>
                <w:b/>
                <w:bCs/>
                <w:sz w:val="20"/>
                <w:szCs w:val="20"/>
              </w:rPr>
              <w:t>58.667.080</w:t>
            </w:r>
          </w:p>
        </w:tc>
        <w:tc>
          <w:tcPr>
            <w:tcW w:w="1134" w:type="dxa"/>
            <w:shd w:val="clear" w:color="auto" w:fill="auto"/>
            <w:vAlign w:val="bottom"/>
            <w:hideMark/>
          </w:tcPr>
          <w:p w14:paraId="5323642F" w14:textId="79F25689" w:rsidR="004805E4" w:rsidRPr="001F224B" w:rsidRDefault="004805E4" w:rsidP="004805E4">
            <w:pPr>
              <w:jc w:val="right"/>
              <w:rPr>
                <w:b/>
                <w:sz w:val="20"/>
                <w:szCs w:val="20"/>
              </w:rPr>
            </w:pPr>
            <w:r w:rsidRPr="001F224B">
              <w:rPr>
                <w:b/>
                <w:bCs/>
                <w:sz w:val="20"/>
                <w:szCs w:val="20"/>
              </w:rPr>
              <w:t>94.187.176</w:t>
            </w:r>
          </w:p>
        </w:tc>
        <w:tc>
          <w:tcPr>
            <w:tcW w:w="1418" w:type="dxa"/>
            <w:shd w:val="clear" w:color="auto" w:fill="auto"/>
            <w:vAlign w:val="bottom"/>
            <w:hideMark/>
          </w:tcPr>
          <w:p w14:paraId="0FC74355" w14:textId="436187CE" w:rsidR="004805E4" w:rsidRPr="001F224B" w:rsidRDefault="004805E4" w:rsidP="004805E4">
            <w:pPr>
              <w:jc w:val="right"/>
              <w:rPr>
                <w:b/>
                <w:sz w:val="20"/>
                <w:szCs w:val="20"/>
              </w:rPr>
            </w:pPr>
            <w:r w:rsidRPr="001F224B">
              <w:rPr>
                <w:b/>
                <w:bCs/>
                <w:sz w:val="20"/>
                <w:szCs w:val="20"/>
              </w:rPr>
              <w:t>740.213</w:t>
            </w:r>
          </w:p>
        </w:tc>
        <w:tc>
          <w:tcPr>
            <w:tcW w:w="1417" w:type="dxa"/>
            <w:shd w:val="clear" w:color="auto" w:fill="auto"/>
            <w:vAlign w:val="bottom"/>
            <w:hideMark/>
          </w:tcPr>
          <w:p w14:paraId="6A6EC8B3" w14:textId="178B418D" w:rsidR="004805E4" w:rsidRPr="001F224B" w:rsidRDefault="004805E4" w:rsidP="004805E4">
            <w:pPr>
              <w:jc w:val="right"/>
              <w:rPr>
                <w:b/>
                <w:sz w:val="20"/>
                <w:szCs w:val="20"/>
              </w:rPr>
            </w:pPr>
            <w:r w:rsidRPr="001F224B">
              <w:rPr>
                <w:b/>
                <w:bCs/>
                <w:sz w:val="20"/>
                <w:szCs w:val="20"/>
              </w:rPr>
              <w:t>153.594.469</w:t>
            </w:r>
          </w:p>
        </w:tc>
      </w:tr>
      <w:tr w:rsidR="004805E4" w:rsidRPr="001F224B" w14:paraId="52BE65F7" w14:textId="77777777" w:rsidTr="00B37146">
        <w:trPr>
          <w:trHeight w:val="255"/>
          <w:jc w:val="center"/>
        </w:trPr>
        <w:tc>
          <w:tcPr>
            <w:tcW w:w="4385" w:type="dxa"/>
            <w:shd w:val="clear" w:color="auto" w:fill="auto"/>
            <w:vAlign w:val="bottom"/>
            <w:hideMark/>
          </w:tcPr>
          <w:p w14:paraId="74D5B45A" w14:textId="77777777" w:rsidR="004805E4" w:rsidRPr="001F224B" w:rsidRDefault="004805E4" w:rsidP="004805E4">
            <w:pPr>
              <w:rPr>
                <w:sz w:val="20"/>
                <w:szCs w:val="20"/>
              </w:rPr>
            </w:pPr>
            <w:r w:rsidRPr="001F224B">
              <w:rPr>
                <w:sz w:val="20"/>
                <w:szCs w:val="20"/>
              </w:rPr>
              <w:t>Bölüm Yükümlülükleri</w:t>
            </w:r>
          </w:p>
        </w:tc>
        <w:tc>
          <w:tcPr>
            <w:tcW w:w="1275" w:type="dxa"/>
            <w:gridSpan w:val="2"/>
            <w:shd w:val="clear" w:color="auto" w:fill="auto"/>
            <w:vAlign w:val="bottom"/>
            <w:hideMark/>
          </w:tcPr>
          <w:p w14:paraId="4574DC07" w14:textId="461D131F" w:rsidR="004805E4" w:rsidRPr="001F224B" w:rsidRDefault="004805E4" w:rsidP="004805E4">
            <w:pPr>
              <w:jc w:val="right"/>
              <w:rPr>
                <w:sz w:val="20"/>
                <w:szCs w:val="20"/>
              </w:rPr>
            </w:pPr>
            <w:r w:rsidRPr="001F224B">
              <w:rPr>
                <w:sz w:val="20"/>
                <w:szCs w:val="20"/>
              </w:rPr>
              <w:t>5.727.176</w:t>
            </w:r>
          </w:p>
        </w:tc>
        <w:tc>
          <w:tcPr>
            <w:tcW w:w="1134" w:type="dxa"/>
            <w:shd w:val="clear" w:color="auto" w:fill="auto"/>
            <w:noWrap/>
            <w:vAlign w:val="bottom"/>
            <w:hideMark/>
          </w:tcPr>
          <w:p w14:paraId="2F29D1C9" w14:textId="3B1AD9DE" w:rsidR="004805E4" w:rsidRPr="001F224B" w:rsidRDefault="004805E4" w:rsidP="004805E4">
            <w:pPr>
              <w:ind w:left="-205"/>
              <w:jc w:val="right"/>
              <w:rPr>
                <w:sz w:val="20"/>
                <w:szCs w:val="20"/>
              </w:rPr>
            </w:pPr>
            <w:r w:rsidRPr="001F224B">
              <w:rPr>
                <w:sz w:val="20"/>
                <w:szCs w:val="20"/>
              </w:rPr>
              <w:t>125.732.076</w:t>
            </w:r>
          </w:p>
        </w:tc>
        <w:tc>
          <w:tcPr>
            <w:tcW w:w="1418" w:type="dxa"/>
            <w:shd w:val="clear" w:color="auto" w:fill="auto"/>
            <w:vAlign w:val="bottom"/>
            <w:hideMark/>
          </w:tcPr>
          <w:p w14:paraId="7261CC4E" w14:textId="728FCBBF" w:rsidR="004805E4" w:rsidRPr="001F224B" w:rsidRDefault="004805E4" w:rsidP="004805E4">
            <w:pPr>
              <w:jc w:val="right"/>
              <w:rPr>
                <w:sz w:val="20"/>
                <w:szCs w:val="20"/>
              </w:rPr>
            </w:pPr>
            <w:r w:rsidRPr="001F224B">
              <w:rPr>
                <w:sz w:val="20"/>
                <w:szCs w:val="20"/>
              </w:rPr>
              <w:t>2.129.817</w:t>
            </w:r>
          </w:p>
        </w:tc>
        <w:tc>
          <w:tcPr>
            <w:tcW w:w="1417" w:type="dxa"/>
            <w:shd w:val="clear" w:color="auto" w:fill="auto"/>
            <w:vAlign w:val="bottom"/>
            <w:hideMark/>
          </w:tcPr>
          <w:p w14:paraId="2CE7C6B2" w14:textId="35995016" w:rsidR="004805E4" w:rsidRPr="001F224B" w:rsidRDefault="004805E4" w:rsidP="004805E4">
            <w:pPr>
              <w:jc w:val="right"/>
              <w:rPr>
                <w:sz w:val="20"/>
                <w:szCs w:val="20"/>
              </w:rPr>
            </w:pPr>
            <w:r w:rsidRPr="001F224B">
              <w:rPr>
                <w:sz w:val="20"/>
                <w:szCs w:val="20"/>
              </w:rPr>
              <w:t>133.589.069</w:t>
            </w:r>
          </w:p>
        </w:tc>
      </w:tr>
      <w:tr w:rsidR="004805E4" w:rsidRPr="001F224B" w14:paraId="0FACEB16" w14:textId="77777777" w:rsidTr="00B37146">
        <w:trPr>
          <w:trHeight w:val="255"/>
          <w:jc w:val="center"/>
        </w:trPr>
        <w:tc>
          <w:tcPr>
            <w:tcW w:w="4385" w:type="dxa"/>
            <w:shd w:val="clear" w:color="auto" w:fill="auto"/>
            <w:vAlign w:val="bottom"/>
            <w:hideMark/>
          </w:tcPr>
          <w:p w14:paraId="6D5AA39F" w14:textId="77777777" w:rsidR="004805E4" w:rsidRPr="001F224B" w:rsidRDefault="004805E4" w:rsidP="004805E4">
            <w:pPr>
              <w:rPr>
                <w:sz w:val="20"/>
                <w:szCs w:val="20"/>
              </w:rPr>
            </w:pPr>
            <w:r w:rsidRPr="001F224B">
              <w:rPr>
                <w:sz w:val="20"/>
                <w:szCs w:val="20"/>
              </w:rPr>
              <w:t>Özkaynaklar</w:t>
            </w:r>
          </w:p>
        </w:tc>
        <w:tc>
          <w:tcPr>
            <w:tcW w:w="1275" w:type="dxa"/>
            <w:gridSpan w:val="2"/>
            <w:shd w:val="clear" w:color="auto" w:fill="auto"/>
            <w:noWrap/>
            <w:vAlign w:val="bottom"/>
            <w:hideMark/>
          </w:tcPr>
          <w:p w14:paraId="4944045F" w14:textId="49CA2BA1" w:rsidR="004805E4" w:rsidRPr="001F224B" w:rsidRDefault="004805E4" w:rsidP="004805E4">
            <w:pPr>
              <w:jc w:val="right"/>
              <w:rPr>
                <w:sz w:val="20"/>
                <w:szCs w:val="20"/>
              </w:rPr>
            </w:pPr>
            <w:r w:rsidRPr="001F224B">
              <w:rPr>
                <w:sz w:val="20"/>
                <w:szCs w:val="20"/>
              </w:rPr>
              <w:t>-</w:t>
            </w:r>
          </w:p>
        </w:tc>
        <w:tc>
          <w:tcPr>
            <w:tcW w:w="1134" w:type="dxa"/>
            <w:shd w:val="clear" w:color="auto" w:fill="auto"/>
            <w:vAlign w:val="bottom"/>
            <w:hideMark/>
          </w:tcPr>
          <w:p w14:paraId="516882DB" w14:textId="3CA8CB78" w:rsidR="004805E4" w:rsidRPr="001F224B" w:rsidRDefault="004805E4" w:rsidP="004805E4">
            <w:pPr>
              <w:jc w:val="right"/>
              <w:rPr>
                <w:sz w:val="20"/>
                <w:szCs w:val="20"/>
              </w:rPr>
            </w:pPr>
            <w:r w:rsidRPr="001F224B">
              <w:rPr>
                <w:sz w:val="20"/>
                <w:szCs w:val="20"/>
              </w:rPr>
              <w:t>-</w:t>
            </w:r>
          </w:p>
        </w:tc>
        <w:tc>
          <w:tcPr>
            <w:tcW w:w="1418" w:type="dxa"/>
            <w:shd w:val="clear" w:color="auto" w:fill="auto"/>
            <w:vAlign w:val="bottom"/>
            <w:hideMark/>
          </w:tcPr>
          <w:p w14:paraId="3170FD4D" w14:textId="3DE7A5E4" w:rsidR="004805E4" w:rsidRPr="001F224B" w:rsidRDefault="004805E4" w:rsidP="004805E4">
            <w:pPr>
              <w:jc w:val="right"/>
              <w:rPr>
                <w:sz w:val="20"/>
                <w:szCs w:val="20"/>
              </w:rPr>
            </w:pPr>
            <w:r w:rsidRPr="001F224B">
              <w:rPr>
                <w:sz w:val="20"/>
                <w:szCs w:val="20"/>
              </w:rPr>
              <w:t>20.005.400</w:t>
            </w:r>
          </w:p>
        </w:tc>
        <w:tc>
          <w:tcPr>
            <w:tcW w:w="1417" w:type="dxa"/>
            <w:shd w:val="clear" w:color="auto" w:fill="auto"/>
            <w:vAlign w:val="bottom"/>
            <w:hideMark/>
          </w:tcPr>
          <w:p w14:paraId="56B24278" w14:textId="3039B628" w:rsidR="004805E4" w:rsidRPr="001F224B" w:rsidRDefault="004805E4" w:rsidP="004805E4">
            <w:pPr>
              <w:jc w:val="right"/>
              <w:rPr>
                <w:sz w:val="20"/>
                <w:szCs w:val="20"/>
              </w:rPr>
            </w:pPr>
            <w:r w:rsidRPr="001F224B">
              <w:rPr>
                <w:sz w:val="20"/>
                <w:szCs w:val="20"/>
              </w:rPr>
              <w:t>20.005.400</w:t>
            </w:r>
          </w:p>
        </w:tc>
      </w:tr>
      <w:tr w:rsidR="004805E4" w:rsidRPr="001F224B" w14:paraId="446A137C" w14:textId="77777777" w:rsidTr="00B37146">
        <w:trPr>
          <w:trHeight w:val="255"/>
          <w:jc w:val="center"/>
        </w:trPr>
        <w:tc>
          <w:tcPr>
            <w:tcW w:w="4385" w:type="dxa"/>
            <w:shd w:val="clear" w:color="auto" w:fill="auto"/>
            <w:vAlign w:val="bottom"/>
            <w:hideMark/>
          </w:tcPr>
          <w:p w14:paraId="77C35746" w14:textId="77777777" w:rsidR="004805E4" w:rsidRPr="001F224B" w:rsidRDefault="004805E4" w:rsidP="004805E4">
            <w:pPr>
              <w:rPr>
                <w:b/>
                <w:bCs/>
                <w:sz w:val="20"/>
                <w:szCs w:val="20"/>
              </w:rPr>
            </w:pPr>
            <w:r w:rsidRPr="001F224B">
              <w:rPr>
                <w:b/>
                <w:bCs/>
                <w:sz w:val="20"/>
                <w:szCs w:val="20"/>
              </w:rPr>
              <w:t>Toplam Yükümlülükler</w:t>
            </w:r>
          </w:p>
        </w:tc>
        <w:tc>
          <w:tcPr>
            <w:tcW w:w="1275" w:type="dxa"/>
            <w:gridSpan w:val="2"/>
            <w:shd w:val="clear" w:color="auto" w:fill="auto"/>
            <w:vAlign w:val="bottom"/>
            <w:hideMark/>
          </w:tcPr>
          <w:p w14:paraId="1BF7FFAF" w14:textId="7E6F7AAA" w:rsidR="004805E4" w:rsidRPr="001F224B" w:rsidRDefault="004805E4" w:rsidP="004805E4">
            <w:pPr>
              <w:jc w:val="right"/>
              <w:rPr>
                <w:b/>
                <w:sz w:val="20"/>
                <w:szCs w:val="20"/>
              </w:rPr>
            </w:pPr>
            <w:r w:rsidRPr="001F224B">
              <w:rPr>
                <w:b/>
                <w:bCs/>
                <w:sz w:val="20"/>
                <w:szCs w:val="20"/>
              </w:rPr>
              <w:t>5.727.176</w:t>
            </w:r>
          </w:p>
        </w:tc>
        <w:tc>
          <w:tcPr>
            <w:tcW w:w="1134" w:type="dxa"/>
            <w:shd w:val="clear" w:color="auto" w:fill="auto"/>
            <w:vAlign w:val="bottom"/>
            <w:hideMark/>
          </w:tcPr>
          <w:p w14:paraId="14189BBE" w14:textId="46D72CD2" w:rsidR="004805E4" w:rsidRPr="001F224B" w:rsidRDefault="004805E4" w:rsidP="004805E4">
            <w:pPr>
              <w:ind w:left="-205"/>
              <w:jc w:val="right"/>
              <w:rPr>
                <w:b/>
                <w:sz w:val="20"/>
                <w:szCs w:val="20"/>
              </w:rPr>
            </w:pPr>
            <w:r w:rsidRPr="001F224B">
              <w:rPr>
                <w:b/>
                <w:bCs/>
                <w:sz w:val="20"/>
                <w:szCs w:val="20"/>
              </w:rPr>
              <w:t>125.732.076</w:t>
            </w:r>
          </w:p>
        </w:tc>
        <w:tc>
          <w:tcPr>
            <w:tcW w:w="1418" w:type="dxa"/>
            <w:shd w:val="clear" w:color="auto" w:fill="auto"/>
            <w:vAlign w:val="bottom"/>
            <w:hideMark/>
          </w:tcPr>
          <w:p w14:paraId="0F1B8039" w14:textId="5D51F352" w:rsidR="004805E4" w:rsidRPr="001F224B" w:rsidRDefault="004805E4" w:rsidP="004805E4">
            <w:pPr>
              <w:jc w:val="right"/>
              <w:rPr>
                <w:b/>
                <w:sz w:val="20"/>
                <w:szCs w:val="20"/>
              </w:rPr>
            </w:pPr>
            <w:r w:rsidRPr="001F224B">
              <w:rPr>
                <w:b/>
                <w:bCs/>
                <w:sz w:val="20"/>
                <w:szCs w:val="20"/>
              </w:rPr>
              <w:t>22.135.217</w:t>
            </w:r>
          </w:p>
        </w:tc>
        <w:tc>
          <w:tcPr>
            <w:tcW w:w="1417" w:type="dxa"/>
            <w:shd w:val="clear" w:color="auto" w:fill="auto"/>
            <w:vAlign w:val="bottom"/>
            <w:hideMark/>
          </w:tcPr>
          <w:p w14:paraId="2D12C707" w14:textId="4561E42E" w:rsidR="004805E4" w:rsidRPr="001F224B" w:rsidRDefault="004805E4" w:rsidP="004805E4">
            <w:pPr>
              <w:jc w:val="right"/>
              <w:rPr>
                <w:b/>
                <w:sz w:val="20"/>
                <w:szCs w:val="20"/>
              </w:rPr>
            </w:pPr>
            <w:r w:rsidRPr="001F224B">
              <w:rPr>
                <w:b/>
                <w:bCs/>
                <w:sz w:val="20"/>
                <w:szCs w:val="20"/>
              </w:rPr>
              <w:t>153.594.469</w:t>
            </w:r>
          </w:p>
        </w:tc>
      </w:tr>
    </w:tbl>
    <w:p w14:paraId="5F19DDA5" w14:textId="676DB150" w:rsidR="003A3FAC" w:rsidRPr="001F224B" w:rsidRDefault="003A3FAC" w:rsidP="009A1D11">
      <w:pPr>
        <w:tabs>
          <w:tab w:val="left" w:pos="630"/>
        </w:tabs>
        <w:spacing w:before="120"/>
        <w:ind w:left="567"/>
        <w:jc w:val="both"/>
        <w:rPr>
          <w:sz w:val="22"/>
          <w:szCs w:val="22"/>
        </w:rPr>
      </w:pPr>
    </w:p>
    <w:p w14:paraId="76384564" w14:textId="77777777" w:rsidR="003A3FAC" w:rsidRPr="001F224B" w:rsidRDefault="003A3FAC">
      <w:pPr>
        <w:rPr>
          <w:sz w:val="22"/>
          <w:szCs w:val="22"/>
        </w:rPr>
      </w:pPr>
      <w:r w:rsidRPr="001F224B">
        <w:rPr>
          <w:sz w:val="22"/>
          <w:szCs w:val="22"/>
        </w:rPr>
        <w:br w:type="page"/>
      </w:r>
    </w:p>
    <w:p w14:paraId="3C7AC246" w14:textId="77777777" w:rsidR="003A3FAC" w:rsidRPr="001F224B" w:rsidRDefault="003A3FAC" w:rsidP="003A3FAC">
      <w:pPr>
        <w:pStyle w:val="ListParagraph"/>
        <w:tabs>
          <w:tab w:val="left" w:pos="0"/>
        </w:tabs>
        <w:spacing w:before="120"/>
        <w:ind w:left="0"/>
        <w:rPr>
          <w:b/>
          <w:bCs/>
          <w:sz w:val="22"/>
          <w:szCs w:val="22"/>
        </w:rPr>
      </w:pPr>
      <w:r w:rsidRPr="001F224B">
        <w:rPr>
          <w:b/>
          <w:bCs/>
          <w:sz w:val="22"/>
          <w:szCs w:val="22"/>
        </w:rPr>
        <w:t>DÖRDÜNCÜ BÖLÜM</w:t>
      </w:r>
    </w:p>
    <w:p w14:paraId="4C7BB9F7" w14:textId="77777777" w:rsidR="003A3FAC" w:rsidRPr="001F224B" w:rsidRDefault="003A3FAC" w:rsidP="003A3FAC">
      <w:pPr>
        <w:pStyle w:val="ListParagraph"/>
        <w:tabs>
          <w:tab w:val="left" w:pos="0"/>
        </w:tabs>
        <w:spacing w:before="120"/>
        <w:ind w:left="0"/>
        <w:rPr>
          <w:b/>
          <w:bCs/>
          <w:sz w:val="22"/>
          <w:szCs w:val="22"/>
        </w:rPr>
      </w:pPr>
      <w:r w:rsidRPr="001F224B">
        <w:rPr>
          <w:b/>
          <w:bCs/>
          <w:sz w:val="22"/>
          <w:szCs w:val="22"/>
        </w:rPr>
        <w:t>KONSOLİDE MALİ BÜNYE VE RİSK YÖNETİMİNE İLİŞKİN BİLGİLER</w:t>
      </w:r>
    </w:p>
    <w:p w14:paraId="419A1DF5" w14:textId="1EA1A0BD" w:rsidR="003A3FAC" w:rsidRPr="001F224B" w:rsidRDefault="003A3FAC" w:rsidP="003A3FAC">
      <w:pPr>
        <w:spacing w:before="120"/>
        <w:ind w:left="567" w:hanging="567"/>
        <w:jc w:val="both"/>
        <w:rPr>
          <w:b/>
          <w:bCs/>
          <w:sz w:val="22"/>
          <w:szCs w:val="22"/>
        </w:rPr>
      </w:pPr>
      <w:r w:rsidRPr="001F224B">
        <w:rPr>
          <w:b/>
          <w:bCs/>
          <w:sz w:val="22"/>
          <w:szCs w:val="22"/>
        </w:rPr>
        <w:t>I.</w:t>
      </w:r>
      <w:r w:rsidRPr="001F224B">
        <w:rPr>
          <w:b/>
          <w:bCs/>
          <w:sz w:val="22"/>
          <w:szCs w:val="22"/>
        </w:rPr>
        <w:tab/>
        <w:t>Konsolide özkaynak kalemlerine ilişkin açıklamalar</w:t>
      </w:r>
    </w:p>
    <w:p w14:paraId="507C290D" w14:textId="77777777" w:rsidR="003A3FAC" w:rsidRPr="001F224B" w:rsidRDefault="003A3FAC" w:rsidP="00122451">
      <w:pPr>
        <w:spacing w:before="120" w:after="120"/>
        <w:ind w:left="567"/>
        <w:jc w:val="both"/>
        <w:rPr>
          <w:rFonts w:eastAsia="Calibri"/>
          <w:sz w:val="22"/>
          <w:szCs w:val="22"/>
        </w:rPr>
      </w:pPr>
      <w:r w:rsidRPr="001F224B">
        <w:rPr>
          <w:rFonts w:eastAsia="Calibri"/>
          <w:sz w:val="22"/>
          <w:szCs w:val="22"/>
        </w:rPr>
        <w:t>Konsolide Özkaynak tutarı ve sermaye yeterliliği standart oranı “Bankaların Özkaynaklarına İlişkin Yönetmelik” ile “Bankaların Sermaye Yeterliliğinin Ölçülmesine ve Değerlendirilmesine İlişkin Yönetmelik” çerçevesinde hesaplanmıştır.</w:t>
      </w:r>
    </w:p>
    <w:p w14:paraId="463FCAE3" w14:textId="187B87A9" w:rsidR="003A3FAC" w:rsidRPr="001F224B" w:rsidRDefault="003A3FAC" w:rsidP="00122451">
      <w:pPr>
        <w:spacing w:before="120" w:after="120"/>
        <w:ind w:left="567"/>
        <w:jc w:val="both"/>
        <w:rPr>
          <w:rFonts w:eastAsia="Calibri"/>
          <w:sz w:val="22"/>
          <w:szCs w:val="22"/>
        </w:rPr>
      </w:pPr>
      <w:r w:rsidRPr="001F224B">
        <w:rPr>
          <w:rFonts w:eastAsia="Calibri"/>
          <w:sz w:val="22"/>
          <w:szCs w:val="22"/>
        </w:rPr>
        <w:t xml:space="preserve">Grup’un </w:t>
      </w:r>
      <w:r w:rsidR="00886F8D" w:rsidRPr="001F224B">
        <w:rPr>
          <w:rFonts w:eastAsia="Calibri"/>
          <w:sz w:val="22"/>
          <w:szCs w:val="22"/>
        </w:rPr>
        <w:t>3</w:t>
      </w:r>
      <w:r w:rsidR="00C73120" w:rsidRPr="001F224B">
        <w:rPr>
          <w:rFonts w:eastAsia="Calibri"/>
          <w:sz w:val="22"/>
          <w:szCs w:val="22"/>
        </w:rPr>
        <w:t>0</w:t>
      </w:r>
      <w:r w:rsidR="00886F8D" w:rsidRPr="001F224B">
        <w:rPr>
          <w:rFonts w:eastAsia="Calibri"/>
          <w:sz w:val="22"/>
          <w:szCs w:val="22"/>
        </w:rPr>
        <w:t xml:space="preserve"> </w:t>
      </w:r>
      <w:r w:rsidR="00C73120" w:rsidRPr="001F224B">
        <w:rPr>
          <w:rFonts w:eastAsia="Calibri"/>
          <w:sz w:val="22"/>
          <w:szCs w:val="22"/>
        </w:rPr>
        <w:t>Haziran</w:t>
      </w:r>
      <w:r w:rsidRPr="001F224B">
        <w:rPr>
          <w:rFonts w:eastAsia="Calibri"/>
          <w:sz w:val="22"/>
          <w:szCs w:val="22"/>
        </w:rPr>
        <w:t xml:space="preserve"> 202</w:t>
      </w:r>
      <w:r w:rsidR="00EA5529" w:rsidRPr="001F224B">
        <w:rPr>
          <w:rFonts w:eastAsia="Calibri"/>
          <w:sz w:val="22"/>
          <w:szCs w:val="22"/>
        </w:rPr>
        <w:t>5</w:t>
      </w:r>
      <w:r w:rsidRPr="001F224B">
        <w:rPr>
          <w:rFonts w:eastAsia="Calibri"/>
          <w:sz w:val="22"/>
          <w:szCs w:val="22"/>
        </w:rPr>
        <w:t xml:space="preserve"> tarihi itibarıyla hesaplanan cari dönem konsolide özkaynak tutarı </w:t>
      </w:r>
      <w:r w:rsidR="00A02819" w:rsidRPr="001F224B">
        <w:rPr>
          <w:rFonts w:eastAsia="Calibri"/>
          <w:sz w:val="22"/>
          <w:szCs w:val="22"/>
        </w:rPr>
        <w:t xml:space="preserve">33.289.446 </w:t>
      </w:r>
      <w:r w:rsidRPr="001F224B">
        <w:rPr>
          <w:rFonts w:eastAsia="Calibri"/>
          <w:sz w:val="22"/>
          <w:szCs w:val="22"/>
        </w:rPr>
        <w:t>TL (31 Aralık 202</w:t>
      </w:r>
      <w:r w:rsidR="00EA5529" w:rsidRPr="001F224B">
        <w:rPr>
          <w:rFonts w:eastAsia="Calibri"/>
          <w:sz w:val="22"/>
          <w:szCs w:val="22"/>
        </w:rPr>
        <w:t>4</w:t>
      </w:r>
      <w:r w:rsidRPr="001F224B">
        <w:rPr>
          <w:rFonts w:eastAsia="Calibri"/>
          <w:sz w:val="22"/>
          <w:szCs w:val="22"/>
        </w:rPr>
        <w:t xml:space="preserve">: </w:t>
      </w:r>
      <w:r w:rsidR="00EA5529" w:rsidRPr="001F224B">
        <w:rPr>
          <w:rFonts w:eastAsia="Calibri"/>
          <w:sz w:val="22"/>
          <w:szCs w:val="22"/>
        </w:rPr>
        <w:t xml:space="preserve">24.238.319 </w:t>
      </w:r>
      <w:r w:rsidRPr="001F224B">
        <w:rPr>
          <w:rFonts w:eastAsia="Calibri"/>
          <w:sz w:val="22"/>
          <w:szCs w:val="22"/>
        </w:rPr>
        <w:t>TL), sermaye yeterliliği standart oranı da %</w:t>
      </w:r>
      <w:r w:rsidR="00676C8C" w:rsidRPr="001F224B">
        <w:rPr>
          <w:rFonts w:eastAsia="Calibri"/>
          <w:sz w:val="22"/>
          <w:szCs w:val="22"/>
        </w:rPr>
        <w:t>20,03’tür</w:t>
      </w:r>
      <w:r w:rsidRPr="001F224B">
        <w:rPr>
          <w:rFonts w:eastAsia="Calibri"/>
          <w:sz w:val="22"/>
          <w:szCs w:val="22"/>
        </w:rPr>
        <w:t xml:space="preserve"> (31 Aralık 202</w:t>
      </w:r>
      <w:r w:rsidR="00EA5529" w:rsidRPr="001F224B">
        <w:rPr>
          <w:rFonts w:eastAsia="Calibri"/>
          <w:sz w:val="22"/>
          <w:szCs w:val="22"/>
        </w:rPr>
        <w:t>4</w:t>
      </w:r>
      <w:r w:rsidRPr="001F224B">
        <w:rPr>
          <w:rFonts w:eastAsia="Calibri"/>
          <w:sz w:val="22"/>
          <w:szCs w:val="22"/>
        </w:rPr>
        <w:t xml:space="preserve">: </w:t>
      </w:r>
      <w:r w:rsidR="00EA5529" w:rsidRPr="001F224B">
        <w:rPr>
          <w:rFonts w:eastAsia="Calibri"/>
          <w:sz w:val="22"/>
          <w:szCs w:val="22"/>
        </w:rPr>
        <w:t>%17,98</w:t>
      </w:r>
      <w:r w:rsidRPr="001F224B">
        <w:rPr>
          <w:rFonts w:eastAsia="Calibri"/>
          <w:sz w:val="22"/>
          <w:szCs w:val="22"/>
        </w:rPr>
        <w:t xml:space="preserve">). Grup’un sermaye yeterliliği standart oranı ilgili mevzuat ile belirlenen asgari oranın üzerinde seyretmektedir. </w:t>
      </w:r>
    </w:p>
    <w:p w14:paraId="18574746" w14:textId="77777777" w:rsidR="003A3FAC" w:rsidRPr="001F224B" w:rsidRDefault="003A3FAC" w:rsidP="003A3FAC">
      <w:pPr>
        <w:spacing w:before="120" w:after="120"/>
        <w:ind w:left="567"/>
        <w:rPr>
          <w:b/>
          <w:bCs/>
          <w:noProof/>
          <w:sz w:val="22"/>
          <w:szCs w:val="22"/>
        </w:rPr>
      </w:pPr>
      <w:r w:rsidRPr="001F224B">
        <w:rPr>
          <w:b/>
          <w:bCs/>
          <w:noProof/>
          <w:sz w:val="22"/>
          <w:szCs w:val="22"/>
        </w:rPr>
        <w:t>Konsolide özkaynak kalemlerine ilişkin bilgiler:</w:t>
      </w:r>
    </w:p>
    <w:tbl>
      <w:tblPr>
        <w:tblW w:w="5142" w:type="pct"/>
        <w:tblCellMar>
          <w:left w:w="70" w:type="dxa"/>
          <w:right w:w="70" w:type="dxa"/>
        </w:tblCellMar>
        <w:tblLook w:val="04A0" w:firstRow="1" w:lastRow="0" w:firstColumn="1" w:lastColumn="0" w:noHBand="0" w:noVBand="1"/>
      </w:tblPr>
      <w:tblGrid>
        <w:gridCol w:w="6941"/>
        <w:gridCol w:w="1570"/>
        <w:gridCol w:w="1566"/>
      </w:tblGrid>
      <w:tr w:rsidR="006052C6" w:rsidRPr="001F224B" w14:paraId="55218FFB" w14:textId="4F48A8C2" w:rsidTr="00886F8D">
        <w:trPr>
          <w:trHeight w:val="227"/>
        </w:trPr>
        <w:tc>
          <w:tcPr>
            <w:tcW w:w="3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615FA" w14:textId="72718666" w:rsidR="006052C6" w:rsidRPr="001F224B" w:rsidRDefault="006052C6" w:rsidP="006052C6">
            <w:pPr>
              <w:tabs>
                <w:tab w:val="left" w:pos="6439"/>
              </w:tabs>
              <w:ind w:right="362"/>
              <w:rPr>
                <w:b/>
                <w:sz w:val="20"/>
                <w:szCs w:val="20"/>
              </w:rPr>
            </w:pPr>
          </w:p>
        </w:tc>
        <w:tc>
          <w:tcPr>
            <w:tcW w:w="779" w:type="pct"/>
            <w:tcBorders>
              <w:top w:val="single" w:sz="4" w:space="0" w:color="auto"/>
              <w:left w:val="nil"/>
              <w:bottom w:val="single" w:sz="4" w:space="0" w:color="auto"/>
              <w:right w:val="single" w:sz="4" w:space="0" w:color="auto"/>
            </w:tcBorders>
            <w:shd w:val="clear" w:color="auto" w:fill="auto"/>
            <w:noWrap/>
            <w:vAlign w:val="center"/>
            <w:hideMark/>
          </w:tcPr>
          <w:p w14:paraId="145294C0" w14:textId="77777777" w:rsidR="006052C6" w:rsidRPr="001F224B" w:rsidRDefault="006052C6" w:rsidP="006052C6">
            <w:pPr>
              <w:jc w:val="center"/>
              <w:rPr>
                <w:b/>
                <w:sz w:val="20"/>
                <w:szCs w:val="20"/>
              </w:rPr>
            </w:pPr>
            <w:r w:rsidRPr="001F224B">
              <w:rPr>
                <w:b/>
                <w:sz w:val="20"/>
                <w:szCs w:val="20"/>
              </w:rPr>
              <w:t>Cari Dönem</w:t>
            </w:r>
          </w:p>
          <w:p w14:paraId="3F214A43" w14:textId="3BF0B243" w:rsidR="006052C6" w:rsidRPr="001F224B" w:rsidRDefault="006052C6" w:rsidP="006052C6">
            <w:pPr>
              <w:jc w:val="center"/>
              <w:rPr>
                <w:b/>
                <w:sz w:val="20"/>
                <w:szCs w:val="20"/>
              </w:rPr>
            </w:pPr>
            <w:r w:rsidRPr="001F224B">
              <w:rPr>
                <w:b/>
                <w:sz w:val="20"/>
                <w:szCs w:val="20"/>
              </w:rPr>
              <w:t>(3</w:t>
            </w:r>
            <w:r w:rsidR="00C73120" w:rsidRPr="001F224B">
              <w:rPr>
                <w:b/>
                <w:sz w:val="20"/>
                <w:szCs w:val="20"/>
              </w:rPr>
              <w:t>0</w:t>
            </w:r>
            <w:r w:rsidRPr="001F224B">
              <w:rPr>
                <w:b/>
                <w:sz w:val="20"/>
                <w:szCs w:val="20"/>
              </w:rPr>
              <w:t>.</w:t>
            </w:r>
            <w:r w:rsidR="00EA5529" w:rsidRPr="001F224B">
              <w:rPr>
                <w:b/>
                <w:sz w:val="20"/>
                <w:szCs w:val="20"/>
              </w:rPr>
              <w:t>0</w:t>
            </w:r>
            <w:r w:rsidR="00C73120" w:rsidRPr="001F224B">
              <w:rPr>
                <w:b/>
                <w:sz w:val="20"/>
                <w:szCs w:val="20"/>
              </w:rPr>
              <w:t>6</w:t>
            </w:r>
            <w:r w:rsidR="00EA5529" w:rsidRPr="001F224B">
              <w:rPr>
                <w:b/>
                <w:sz w:val="20"/>
                <w:szCs w:val="20"/>
              </w:rPr>
              <w:t>.</w:t>
            </w:r>
            <w:r w:rsidRPr="001F224B">
              <w:rPr>
                <w:b/>
                <w:sz w:val="20"/>
                <w:szCs w:val="20"/>
              </w:rPr>
              <w:t>202</w:t>
            </w:r>
            <w:r w:rsidR="00EA5529" w:rsidRPr="001F224B">
              <w:rPr>
                <w:b/>
                <w:sz w:val="20"/>
                <w:szCs w:val="20"/>
              </w:rPr>
              <w:t>5</w:t>
            </w:r>
            <w:r w:rsidRPr="001F224B">
              <w:rPr>
                <w:b/>
                <w:sz w:val="20"/>
                <w:szCs w:val="20"/>
              </w:rPr>
              <w:t>)</w:t>
            </w:r>
          </w:p>
          <w:p w14:paraId="6C9617F2" w14:textId="73672E85" w:rsidR="006052C6" w:rsidRPr="001F224B" w:rsidRDefault="006052C6" w:rsidP="006052C6">
            <w:pPr>
              <w:jc w:val="center"/>
              <w:rPr>
                <w:b/>
                <w:bCs/>
                <w:sz w:val="20"/>
                <w:szCs w:val="20"/>
              </w:rPr>
            </w:pPr>
          </w:p>
        </w:tc>
        <w:tc>
          <w:tcPr>
            <w:tcW w:w="777" w:type="pct"/>
            <w:tcBorders>
              <w:top w:val="single" w:sz="4" w:space="0" w:color="auto"/>
              <w:left w:val="nil"/>
              <w:bottom w:val="single" w:sz="4" w:space="0" w:color="auto"/>
              <w:right w:val="single" w:sz="4" w:space="0" w:color="auto"/>
            </w:tcBorders>
          </w:tcPr>
          <w:p w14:paraId="35436A64" w14:textId="77777777" w:rsidR="006052C6" w:rsidRPr="001F224B" w:rsidRDefault="006052C6" w:rsidP="006052C6">
            <w:pPr>
              <w:jc w:val="center"/>
              <w:rPr>
                <w:b/>
                <w:sz w:val="20"/>
                <w:szCs w:val="20"/>
              </w:rPr>
            </w:pPr>
          </w:p>
          <w:p w14:paraId="76554116" w14:textId="5CDC4EF3" w:rsidR="006052C6" w:rsidRPr="001F224B" w:rsidRDefault="006052C6" w:rsidP="006052C6">
            <w:pPr>
              <w:jc w:val="center"/>
              <w:rPr>
                <w:b/>
                <w:sz w:val="20"/>
                <w:szCs w:val="20"/>
              </w:rPr>
            </w:pPr>
            <w:r w:rsidRPr="001F224B">
              <w:rPr>
                <w:b/>
                <w:sz w:val="20"/>
                <w:szCs w:val="20"/>
              </w:rPr>
              <w:t>Önceki Dönem (31.12.202</w:t>
            </w:r>
            <w:r w:rsidR="00EA5529" w:rsidRPr="001F224B">
              <w:rPr>
                <w:b/>
                <w:sz w:val="20"/>
                <w:szCs w:val="20"/>
              </w:rPr>
              <w:t>4</w:t>
            </w:r>
            <w:r w:rsidRPr="001F224B">
              <w:rPr>
                <w:b/>
                <w:sz w:val="20"/>
                <w:szCs w:val="20"/>
              </w:rPr>
              <w:t>)</w:t>
            </w:r>
          </w:p>
          <w:p w14:paraId="317F02DA" w14:textId="77777777" w:rsidR="006052C6" w:rsidRPr="001F224B" w:rsidRDefault="006052C6" w:rsidP="006052C6">
            <w:pPr>
              <w:jc w:val="center"/>
              <w:rPr>
                <w:b/>
                <w:bCs/>
                <w:sz w:val="20"/>
                <w:szCs w:val="20"/>
              </w:rPr>
            </w:pPr>
          </w:p>
        </w:tc>
      </w:tr>
      <w:tr w:rsidR="00886F8D" w:rsidRPr="001F224B" w14:paraId="25EDE81F" w14:textId="709D4001" w:rsidTr="00886F8D">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039D6DC6" w14:textId="77777777" w:rsidR="00886F8D" w:rsidRPr="001F224B" w:rsidRDefault="00886F8D" w:rsidP="00193FFF">
            <w:pPr>
              <w:rPr>
                <w:b/>
                <w:bCs/>
                <w:sz w:val="20"/>
                <w:szCs w:val="20"/>
              </w:rPr>
            </w:pPr>
            <w:r w:rsidRPr="001F224B">
              <w:rPr>
                <w:b/>
                <w:bCs/>
                <w:sz w:val="20"/>
                <w:szCs w:val="20"/>
              </w:rPr>
              <w:t>ÇEKİRDEK SERMAYE</w:t>
            </w:r>
          </w:p>
        </w:tc>
        <w:tc>
          <w:tcPr>
            <w:tcW w:w="779" w:type="pct"/>
            <w:tcBorders>
              <w:top w:val="nil"/>
              <w:left w:val="nil"/>
              <w:bottom w:val="single" w:sz="4" w:space="0" w:color="auto"/>
              <w:right w:val="single" w:sz="4" w:space="0" w:color="auto"/>
            </w:tcBorders>
            <w:shd w:val="clear" w:color="000000" w:fill="FFFFFF"/>
            <w:hideMark/>
          </w:tcPr>
          <w:p w14:paraId="4988F363" w14:textId="77777777" w:rsidR="00886F8D" w:rsidRPr="001F224B" w:rsidRDefault="00886F8D" w:rsidP="00193FFF">
            <w:pPr>
              <w:jc w:val="right"/>
              <w:rPr>
                <w:sz w:val="20"/>
                <w:szCs w:val="20"/>
              </w:rPr>
            </w:pPr>
          </w:p>
        </w:tc>
        <w:tc>
          <w:tcPr>
            <w:tcW w:w="777" w:type="pct"/>
            <w:tcBorders>
              <w:top w:val="nil"/>
              <w:left w:val="nil"/>
              <w:bottom w:val="single" w:sz="4" w:space="0" w:color="auto"/>
              <w:right w:val="single" w:sz="4" w:space="0" w:color="auto"/>
            </w:tcBorders>
            <w:shd w:val="clear" w:color="000000" w:fill="FFFFFF"/>
          </w:tcPr>
          <w:p w14:paraId="5BAD6C42" w14:textId="77777777" w:rsidR="00886F8D" w:rsidRPr="001F224B" w:rsidRDefault="00886F8D" w:rsidP="00193FFF">
            <w:pPr>
              <w:jc w:val="right"/>
              <w:rPr>
                <w:sz w:val="20"/>
                <w:szCs w:val="20"/>
              </w:rPr>
            </w:pPr>
          </w:p>
        </w:tc>
      </w:tr>
      <w:tr w:rsidR="002C293C" w:rsidRPr="001F224B" w14:paraId="0A0095E3" w14:textId="271F1098"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32EEA7DB" w14:textId="77777777" w:rsidR="002C293C" w:rsidRPr="001F224B" w:rsidRDefault="002C293C" w:rsidP="002C293C">
            <w:pPr>
              <w:jc w:val="both"/>
              <w:rPr>
                <w:sz w:val="20"/>
                <w:szCs w:val="20"/>
              </w:rPr>
            </w:pPr>
            <w:r w:rsidRPr="001F224B">
              <w:rPr>
                <w:sz w:val="20"/>
                <w:szCs w:val="20"/>
              </w:rPr>
              <w:t>Banka’nın tasfiyesi halinde alacak hakkı açısından diğer tüm alacaklardan sonra gelen ödenmiş sermaye</w:t>
            </w:r>
          </w:p>
        </w:tc>
        <w:tc>
          <w:tcPr>
            <w:tcW w:w="779" w:type="pct"/>
            <w:tcBorders>
              <w:top w:val="nil"/>
              <w:left w:val="nil"/>
              <w:bottom w:val="single" w:sz="4" w:space="0" w:color="auto"/>
              <w:right w:val="single" w:sz="4" w:space="0" w:color="auto"/>
            </w:tcBorders>
            <w:shd w:val="clear" w:color="000000" w:fill="FFFFFF"/>
            <w:vAlign w:val="bottom"/>
          </w:tcPr>
          <w:p w14:paraId="08AA580D" w14:textId="5882598E" w:rsidR="002C293C" w:rsidRPr="001F224B" w:rsidRDefault="002C293C" w:rsidP="002C293C">
            <w:pPr>
              <w:jc w:val="right"/>
              <w:rPr>
                <w:sz w:val="20"/>
                <w:szCs w:val="20"/>
              </w:rPr>
            </w:pPr>
            <w:r w:rsidRPr="001F224B">
              <w:rPr>
                <w:sz w:val="20"/>
                <w:szCs w:val="20"/>
              </w:rPr>
              <w:t>10.206.074</w:t>
            </w:r>
          </w:p>
        </w:tc>
        <w:tc>
          <w:tcPr>
            <w:tcW w:w="777" w:type="pct"/>
            <w:tcBorders>
              <w:top w:val="nil"/>
              <w:left w:val="nil"/>
              <w:bottom w:val="single" w:sz="4" w:space="0" w:color="auto"/>
              <w:right w:val="single" w:sz="4" w:space="0" w:color="auto"/>
            </w:tcBorders>
            <w:shd w:val="clear" w:color="000000" w:fill="FFFFFF"/>
            <w:vAlign w:val="bottom"/>
          </w:tcPr>
          <w:p w14:paraId="6DCC7148" w14:textId="5B7EA015" w:rsidR="002C293C" w:rsidRPr="001F224B" w:rsidRDefault="002C293C" w:rsidP="002C293C">
            <w:pPr>
              <w:jc w:val="right"/>
              <w:rPr>
                <w:sz w:val="20"/>
                <w:szCs w:val="20"/>
              </w:rPr>
            </w:pPr>
            <w:r w:rsidRPr="001F224B">
              <w:rPr>
                <w:sz w:val="20"/>
                <w:szCs w:val="20"/>
              </w:rPr>
              <w:t>5.706.074</w:t>
            </w:r>
          </w:p>
        </w:tc>
      </w:tr>
      <w:tr w:rsidR="002C293C" w:rsidRPr="001F224B" w14:paraId="5DBA6416" w14:textId="5722BDBB"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5382CA8E" w14:textId="77777777" w:rsidR="002C293C" w:rsidRPr="001F224B" w:rsidRDefault="002C293C" w:rsidP="002C293C">
            <w:pPr>
              <w:rPr>
                <w:sz w:val="20"/>
                <w:szCs w:val="20"/>
              </w:rPr>
            </w:pPr>
            <w:r w:rsidRPr="001F224B">
              <w:rPr>
                <w:sz w:val="20"/>
                <w:szCs w:val="20"/>
              </w:rPr>
              <w:t>Hisse senedi ihraç primleri</w:t>
            </w:r>
          </w:p>
        </w:tc>
        <w:tc>
          <w:tcPr>
            <w:tcW w:w="779" w:type="pct"/>
            <w:tcBorders>
              <w:top w:val="nil"/>
              <w:left w:val="nil"/>
              <w:bottom w:val="single" w:sz="4" w:space="0" w:color="auto"/>
              <w:right w:val="single" w:sz="4" w:space="0" w:color="auto"/>
            </w:tcBorders>
            <w:shd w:val="clear" w:color="000000" w:fill="FFFFFF"/>
            <w:vAlign w:val="bottom"/>
          </w:tcPr>
          <w:p w14:paraId="5BA1800D" w14:textId="28B2628E" w:rsidR="002C293C" w:rsidRPr="001F224B" w:rsidRDefault="002C293C" w:rsidP="002C293C">
            <w:pPr>
              <w:jc w:val="right"/>
              <w:rPr>
                <w:sz w:val="20"/>
                <w:szCs w:val="20"/>
              </w:rPr>
            </w:pPr>
            <w:r w:rsidRPr="001F224B">
              <w:rPr>
                <w:sz w:val="20"/>
                <w:szCs w:val="20"/>
              </w:rPr>
              <w:t>6.247</w:t>
            </w:r>
          </w:p>
        </w:tc>
        <w:tc>
          <w:tcPr>
            <w:tcW w:w="777" w:type="pct"/>
            <w:tcBorders>
              <w:top w:val="nil"/>
              <w:left w:val="nil"/>
              <w:bottom w:val="single" w:sz="4" w:space="0" w:color="auto"/>
              <w:right w:val="single" w:sz="4" w:space="0" w:color="auto"/>
            </w:tcBorders>
            <w:shd w:val="clear" w:color="000000" w:fill="FFFFFF"/>
            <w:vAlign w:val="bottom"/>
          </w:tcPr>
          <w:p w14:paraId="6AD5A265" w14:textId="02F7E8E6" w:rsidR="002C293C" w:rsidRPr="001F224B" w:rsidRDefault="002C293C" w:rsidP="002C293C">
            <w:pPr>
              <w:jc w:val="right"/>
              <w:rPr>
                <w:sz w:val="20"/>
                <w:szCs w:val="20"/>
              </w:rPr>
            </w:pPr>
            <w:r w:rsidRPr="001F224B">
              <w:rPr>
                <w:sz w:val="20"/>
                <w:szCs w:val="20"/>
              </w:rPr>
              <w:t>5.421</w:t>
            </w:r>
          </w:p>
        </w:tc>
      </w:tr>
      <w:tr w:rsidR="002C293C" w:rsidRPr="001F224B" w14:paraId="1CEB9A15" w14:textId="20C3F960"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529E9960" w14:textId="77777777" w:rsidR="002C293C" w:rsidRPr="001F224B" w:rsidRDefault="002C293C" w:rsidP="002C293C">
            <w:pPr>
              <w:rPr>
                <w:sz w:val="20"/>
                <w:szCs w:val="20"/>
              </w:rPr>
            </w:pPr>
            <w:r w:rsidRPr="001F224B">
              <w:rPr>
                <w:sz w:val="20"/>
                <w:szCs w:val="20"/>
              </w:rPr>
              <w:t>Yedek akçeler</w:t>
            </w:r>
          </w:p>
        </w:tc>
        <w:tc>
          <w:tcPr>
            <w:tcW w:w="779" w:type="pct"/>
            <w:tcBorders>
              <w:top w:val="nil"/>
              <w:left w:val="nil"/>
              <w:bottom w:val="single" w:sz="4" w:space="0" w:color="auto"/>
              <w:right w:val="single" w:sz="4" w:space="0" w:color="auto"/>
            </w:tcBorders>
            <w:shd w:val="clear" w:color="000000" w:fill="FFFFFF"/>
            <w:vAlign w:val="bottom"/>
          </w:tcPr>
          <w:p w14:paraId="296EDB9B" w14:textId="4A4847FD" w:rsidR="002C293C" w:rsidRPr="001F224B" w:rsidRDefault="002C293C" w:rsidP="002C293C">
            <w:pPr>
              <w:jc w:val="right"/>
              <w:rPr>
                <w:sz w:val="20"/>
                <w:szCs w:val="20"/>
              </w:rPr>
            </w:pPr>
            <w:r w:rsidRPr="001F224B">
              <w:rPr>
                <w:sz w:val="20"/>
                <w:szCs w:val="20"/>
              </w:rPr>
              <w:t>14.188.755</w:t>
            </w:r>
          </w:p>
        </w:tc>
        <w:tc>
          <w:tcPr>
            <w:tcW w:w="777" w:type="pct"/>
            <w:tcBorders>
              <w:top w:val="nil"/>
              <w:left w:val="nil"/>
              <w:bottom w:val="single" w:sz="4" w:space="0" w:color="auto"/>
              <w:right w:val="single" w:sz="4" w:space="0" w:color="auto"/>
            </w:tcBorders>
            <w:shd w:val="clear" w:color="000000" w:fill="FFFFFF"/>
            <w:vAlign w:val="bottom"/>
          </w:tcPr>
          <w:p w14:paraId="194294F2" w14:textId="6DB97480" w:rsidR="002C293C" w:rsidRPr="001F224B" w:rsidRDefault="002C293C" w:rsidP="002C293C">
            <w:pPr>
              <w:jc w:val="right"/>
              <w:rPr>
                <w:sz w:val="20"/>
                <w:szCs w:val="20"/>
              </w:rPr>
            </w:pPr>
            <w:r w:rsidRPr="001F224B">
              <w:rPr>
                <w:sz w:val="20"/>
                <w:szCs w:val="20"/>
              </w:rPr>
              <w:t>8.012.952</w:t>
            </w:r>
          </w:p>
        </w:tc>
      </w:tr>
      <w:tr w:rsidR="002C293C" w:rsidRPr="001F224B" w14:paraId="2F7D32CF" w14:textId="2A58BCD1"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1582EA21" w14:textId="77777777" w:rsidR="002C293C" w:rsidRPr="001F224B" w:rsidRDefault="002C293C" w:rsidP="002C293C">
            <w:pPr>
              <w:rPr>
                <w:sz w:val="20"/>
                <w:szCs w:val="20"/>
              </w:rPr>
            </w:pPr>
            <w:r w:rsidRPr="001F224B">
              <w:rPr>
                <w:sz w:val="20"/>
                <w:szCs w:val="20"/>
              </w:rPr>
              <w:t>Türkiye Muhasebe Standartları (TMS) uyarınca özkaynaklara yansıtılan kazançlar</w:t>
            </w:r>
          </w:p>
        </w:tc>
        <w:tc>
          <w:tcPr>
            <w:tcW w:w="779" w:type="pct"/>
            <w:tcBorders>
              <w:top w:val="nil"/>
              <w:left w:val="nil"/>
              <w:bottom w:val="single" w:sz="4" w:space="0" w:color="auto"/>
              <w:right w:val="single" w:sz="4" w:space="0" w:color="auto"/>
            </w:tcBorders>
            <w:shd w:val="clear" w:color="000000" w:fill="FFFFFF"/>
            <w:vAlign w:val="bottom"/>
          </w:tcPr>
          <w:p w14:paraId="5A5CA6F0" w14:textId="2C0520F4" w:rsidR="002C293C" w:rsidRPr="001F224B" w:rsidRDefault="002C293C" w:rsidP="002C293C">
            <w:pPr>
              <w:jc w:val="right"/>
              <w:rPr>
                <w:sz w:val="20"/>
                <w:szCs w:val="20"/>
              </w:rPr>
            </w:pPr>
            <w:r w:rsidRPr="001F224B">
              <w:rPr>
                <w:sz w:val="20"/>
                <w:szCs w:val="20"/>
              </w:rPr>
              <w:t>138.954</w:t>
            </w:r>
          </w:p>
        </w:tc>
        <w:tc>
          <w:tcPr>
            <w:tcW w:w="777" w:type="pct"/>
            <w:tcBorders>
              <w:top w:val="nil"/>
              <w:left w:val="nil"/>
              <w:bottom w:val="single" w:sz="4" w:space="0" w:color="auto"/>
              <w:right w:val="single" w:sz="4" w:space="0" w:color="auto"/>
            </w:tcBorders>
            <w:shd w:val="clear" w:color="000000" w:fill="FFFFFF"/>
            <w:vAlign w:val="bottom"/>
          </w:tcPr>
          <w:p w14:paraId="29505A8B" w14:textId="59EC9523" w:rsidR="002C293C" w:rsidRPr="001F224B" w:rsidRDefault="002C293C" w:rsidP="002C293C">
            <w:pPr>
              <w:jc w:val="right"/>
              <w:rPr>
                <w:sz w:val="20"/>
                <w:szCs w:val="20"/>
              </w:rPr>
            </w:pPr>
            <w:r w:rsidRPr="001F224B">
              <w:rPr>
                <w:sz w:val="20"/>
                <w:szCs w:val="20"/>
              </w:rPr>
              <w:t>136.994</w:t>
            </w:r>
          </w:p>
        </w:tc>
      </w:tr>
      <w:tr w:rsidR="002C293C" w:rsidRPr="001F224B" w14:paraId="51540457" w14:textId="0AAE5E51"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7112FF12" w14:textId="77777777" w:rsidR="002C293C" w:rsidRPr="001F224B" w:rsidRDefault="002C293C" w:rsidP="002C293C">
            <w:pPr>
              <w:rPr>
                <w:sz w:val="20"/>
                <w:szCs w:val="20"/>
              </w:rPr>
            </w:pPr>
            <w:r w:rsidRPr="001F224B">
              <w:rPr>
                <w:sz w:val="20"/>
                <w:szCs w:val="20"/>
              </w:rPr>
              <w:t>Kar</w:t>
            </w:r>
          </w:p>
        </w:tc>
        <w:tc>
          <w:tcPr>
            <w:tcW w:w="779" w:type="pct"/>
            <w:tcBorders>
              <w:top w:val="nil"/>
              <w:left w:val="nil"/>
              <w:bottom w:val="single" w:sz="4" w:space="0" w:color="auto"/>
              <w:right w:val="single" w:sz="4" w:space="0" w:color="auto"/>
            </w:tcBorders>
            <w:shd w:val="clear" w:color="000000" w:fill="FFFFFF"/>
            <w:vAlign w:val="bottom"/>
          </w:tcPr>
          <w:p w14:paraId="00D04782" w14:textId="05E8B6BC" w:rsidR="002C293C" w:rsidRPr="001F224B" w:rsidRDefault="002C293C" w:rsidP="002C293C">
            <w:pPr>
              <w:jc w:val="right"/>
              <w:rPr>
                <w:sz w:val="20"/>
                <w:szCs w:val="20"/>
              </w:rPr>
            </w:pPr>
            <w:r w:rsidRPr="001F224B">
              <w:rPr>
                <w:sz w:val="20"/>
                <w:szCs w:val="20"/>
              </w:rPr>
              <w:t>4.013.756</w:t>
            </w:r>
          </w:p>
        </w:tc>
        <w:tc>
          <w:tcPr>
            <w:tcW w:w="777" w:type="pct"/>
            <w:tcBorders>
              <w:top w:val="nil"/>
              <w:left w:val="nil"/>
              <w:bottom w:val="single" w:sz="4" w:space="0" w:color="auto"/>
              <w:right w:val="single" w:sz="4" w:space="0" w:color="auto"/>
            </w:tcBorders>
            <w:shd w:val="clear" w:color="000000" w:fill="FFFFFF"/>
            <w:vAlign w:val="bottom"/>
          </w:tcPr>
          <w:p w14:paraId="5E64F867" w14:textId="1103C2E1" w:rsidR="002C293C" w:rsidRPr="001F224B" w:rsidRDefault="002C293C" w:rsidP="002C293C">
            <w:pPr>
              <w:jc w:val="right"/>
              <w:rPr>
                <w:sz w:val="20"/>
                <w:szCs w:val="20"/>
              </w:rPr>
            </w:pPr>
            <w:r w:rsidRPr="001F224B">
              <w:rPr>
                <w:sz w:val="20"/>
                <w:szCs w:val="20"/>
              </w:rPr>
              <w:t>6.175.535</w:t>
            </w:r>
          </w:p>
        </w:tc>
      </w:tr>
      <w:tr w:rsidR="002C293C" w:rsidRPr="001F224B" w14:paraId="1D4E0520" w14:textId="629A8359"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1F376DB4" w14:textId="77777777" w:rsidR="002C293C" w:rsidRPr="001F224B" w:rsidRDefault="002C293C" w:rsidP="002C293C">
            <w:pPr>
              <w:ind w:firstLineChars="200" w:firstLine="400"/>
              <w:rPr>
                <w:sz w:val="20"/>
                <w:szCs w:val="20"/>
              </w:rPr>
            </w:pPr>
            <w:r w:rsidRPr="001F224B">
              <w:rPr>
                <w:sz w:val="20"/>
                <w:szCs w:val="20"/>
              </w:rPr>
              <w:t>Net Dönem Karı</w:t>
            </w:r>
          </w:p>
        </w:tc>
        <w:tc>
          <w:tcPr>
            <w:tcW w:w="779" w:type="pct"/>
            <w:tcBorders>
              <w:top w:val="nil"/>
              <w:left w:val="nil"/>
              <w:bottom w:val="single" w:sz="4" w:space="0" w:color="auto"/>
              <w:right w:val="single" w:sz="4" w:space="0" w:color="auto"/>
            </w:tcBorders>
            <w:shd w:val="clear" w:color="000000" w:fill="FFFFFF"/>
            <w:vAlign w:val="bottom"/>
          </w:tcPr>
          <w:p w14:paraId="2C784724" w14:textId="4909A5E2" w:rsidR="002C293C" w:rsidRPr="001F224B" w:rsidRDefault="002C293C" w:rsidP="002C293C">
            <w:pPr>
              <w:jc w:val="right"/>
              <w:rPr>
                <w:sz w:val="20"/>
                <w:szCs w:val="20"/>
              </w:rPr>
            </w:pPr>
            <w:r w:rsidRPr="001F224B">
              <w:rPr>
                <w:sz w:val="20"/>
                <w:szCs w:val="20"/>
              </w:rPr>
              <w:t>4.013.756</w:t>
            </w:r>
          </w:p>
        </w:tc>
        <w:tc>
          <w:tcPr>
            <w:tcW w:w="777" w:type="pct"/>
            <w:tcBorders>
              <w:top w:val="nil"/>
              <w:left w:val="nil"/>
              <w:bottom w:val="single" w:sz="4" w:space="0" w:color="auto"/>
              <w:right w:val="single" w:sz="4" w:space="0" w:color="auto"/>
            </w:tcBorders>
            <w:shd w:val="clear" w:color="000000" w:fill="FFFFFF"/>
            <w:vAlign w:val="bottom"/>
          </w:tcPr>
          <w:p w14:paraId="5CADD7CE" w14:textId="4214DD38" w:rsidR="002C293C" w:rsidRPr="001F224B" w:rsidRDefault="002C293C" w:rsidP="002C293C">
            <w:pPr>
              <w:jc w:val="right"/>
              <w:rPr>
                <w:sz w:val="20"/>
                <w:szCs w:val="20"/>
              </w:rPr>
            </w:pPr>
            <w:r w:rsidRPr="001F224B">
              <w:rPr>
                <w:sz w:val="20"/>
                <w:szCs w:val="20"/>
              </w:rPr>
              <w:t>6.175.535</w:t>
            </w:r>
          </w:p>
        </w:tc>
      </w:tr>
      <w:tr w:rsidR="00933158" w:rsidRPr="001F224B" w14:paraId="3E0FF837" w14:textId="143CD7F3"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55275652" w14:textId="77777777" w:rsidR="00933158" w:rsidRPr="001F224B" w:rsidRDefault="00933158" w:rsidP="00933158">
            <w:pPr>
              <w:ind w:firstLineChars="200" w:firstLine="400"/>
              <w:rPr>
                <w:sz w:val="20"/>
                <w:szCs w:val="20"/>
              </w:rPr>
            </w:pPr>
            <w:r w:rsidRPr="001F224B">
              <w:rPr>
                <w:sz w:val="20"/>
                <w:szCs w:val="20"/>
              </w:rPr>
              <w:t>Geçmiş Yıllar Karı</w:t>
            </w:r>
          </w:p>
        </w:tc>
        <w:tc>
          <w:tcPr>
            <w:tcW w:w="779" w:type="pct"/>
            <w:tcBorders>
              <w:top w:val="nil"/>
              <w:left w:val="nil"/>
              <w:bottom w:val="single" w:sz="4" w:space="0" w:color="auto"/>
              <w:right w:val="single" w:sz="4" w:space="0" w:color="auto"/>
            </w:tcBorders>
            <w:shd w:val="clear" w:color="000000" w:fill="FFFFFF"/>
            <w:vAlign w:val="bottom"/>
          </w:tcPr>
          <w:p w14:paraId="61275C62" w14:textId="27C66CA4" w:rsidR="00933158" w:rsidRPr="001F224B" w:rsidRDefault="002C293C" w:rsidP="00933158">
            <w:pPr>
              <w:jc w:val="right"/>
              <w:rPr>
                <w:sz w:val="20"/>
                <w:szCs w:val="20"/>
              </w:rPr>
            </w:pPr>
            <w:r w:rsidRPr="001F224B">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7D353E25" w14:textId="42FA853C" w:rsidR="00933158" w:rsidRPr="001F224B" w:rsidRDefault="00933158" w:rsidP="00933158">
            <w:pPr>
              <w:jc w:val="right"/>
              <w:rPr>
                <w:sz w:val="20"/>
                <w:szCs w:val="20"/>
              </w:rPr>
            </w:pPr>
            <w:r w:rsidRPr="001F224B">
              <w:rPr>
                <w:sz w:val="20"/>
                <w:szCs w:val="20"/>
              </w:rPr>
              <w:t>-</w:t>
            </w:r>
          </w:p>
        </w:tc>
      </w:tr>
      <w:tr w:rsidR="00933158" w:rsidRPr="001F224B" w14:paraId="1667E650" w14:textId="7E9E0C78"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05B21CF1" w14:textId="77777777" w:rsidR="00933158" w:rsidRPr="001F224B" w:rsidRDefault="00933158" w:rsidP="00933158">
            <w:pPr>
              <w:rPr>
                <w:sz w:val="20"/>
                <w:szCs w:val="20"/>
              </w:rPr>
            </w:pPr>
            <w:r w:rsidRPr="001F224B">
              <w:rPr>
                <w:sz w:val="20"/>
                <w:szCs w:val="20"/>
              </w:rPr>
              <w:t>İştirakler, bağlı ortaklıklar ve birlikte kontrol edilen ortaklıklardan bedelsiz olarak edinilen ve dönem karı içerisinde muhasebeleştirilmeyen hisseler</w:t>
            </w:r>
          </w:p>
        </w:tc>
        <w:tc>
          <w:tcPr>
            <w:tcW w:w="779" w:type="pct"/>
            <w:tcBorders>
              <w:top w:val="nil"/>
              <w:left w:val="nil"/>
              <w:bottom w:val="single" w:sz="4" w:space="0" w:color="auto"/>
              <w:right w:val="single" w:sz="4" w:space="0" w:color="auto"/>
            </w:tcBorders>
            <w:shd w:val="clear" w:color="000000" w:fill="FFFFFF"/>
            <w:vAlign w:val="bottom"/>
          </w:tcPr>
          <w:p w14:paraId="1D0CFD8E" w14:textId="0E72DED1" w:rsidR="00933158" w:rsidRPr="001F224B" w:rsidRDefault="00933158" w:rsidP="00933158">
            <w:pPr>
              <w:jc w:val="right"/>
              <w:rPr>
                <w:sz w:val="20"/>
                <w:szCs w:val="20"/>
              </w:rPr>
            </w:pPr>
            <w:r w:rsidRPr="001F224B">
              <w:rPr>
                <w:sz w:val="20"/>
                <w:szCs w:val="20"/>
              </w:rPr>
              <w:t>10.931</w:t>
            </w:r>
          </w:p>
        </w:tc>
        <w:tc>
          <w:tcPr>
            <w:tcW w:w="777" w:type="pct"/>
            <w:tcBorders>
              <w:top w:val="nil"/>
              <w:left w:val="nil"/>
              <w:bottom w:val="single" w:sz="4" w:space="0" w:color="auto"/>
              <w:right w:val="single" w:sz="4" w:space="0" w:color="auto"/>
            </w:tcBorders>
            <w:shd w:val="clear" w:color="000000" w:fill="FFFFFF"/>
            <w:vAlign w:val="bottom"/>
          </w:tcPr>
          <w:p w14:paraId="105161B1" w14:textId="72E52949" w:rsidR="00933158" w:rsidRPr="001F224B" w:rsidRDefault="00933158" w:rsidP="00933158">
            <w:pPr>
              <w:jc w:val="right"/>
              <w:rPr>
                <w:sz w:val="20"/>
                <w:szCs w:val="20"/>
              </w:rPr>
            </w:pPr>
            <w:r w:rsidRPr="001F224B">
              <w:rPr>
                <w:sz w:val="20"/>
                <w:szCs w:val="20"/>
              </w:rPr>
              <w:t>10.931</w:t>
            </w:r>
          </w:p>
        </w:tc>
      </w:tr>
      <w:tr w:rsidR="00933158" w:rsidRPr="001F224B" w14:paraId="0C829600" w14:textId="1D1D6DCA" w:rsidTr="002C293C">
        <w:trPr>
          <w:trHeight w:val="227"/>
        </w:trPr>
        <w:tc>
          <w:tcPr>
            <w:tcW w:w="3444" w:type="pct"/>
            <w:tcBorders>
              <w:top w:val="nil"/>
              <w:left w:val="single" w:sz="4" w:space="0" w:color="auto"/>
              <w:bottom w:val="single" w:sz="4" w:space="0" w:color="auto"/>
              <w:right w:val="single" w:sz="4" w:space="0" w:color="auto"/>
            </w:tcBorders>
            <w:shd w:val="clear" w:color="auto" w:fill="auto"/>
            <w:vAlign w:val="center"/>
          </w:tcPr>
          <w:p w14:paraId="2AFB479B" w14:textId="77777777" w:rsidR="00933158" w:rsidRPr="001F224B" w:rsidRDefault="00933158" w:rsidP="00933158">
            <w:pPr>
              <w:rPr>
                <w:b/>
                <w:bCs/>
                <w:sz w:val="20"/>
                <w:szCs w:val="20"/>
              </w:rPr>
            </w:pPr>
            <w:r w:rsidRPr="001F224B">
              <w:rPr>
                <w:sz w:val="20"/>
                <w:szCs w:val="20"/>
              </w:rPr>
              <w:t>Azınlık Payları</w:t>
            </w:r>
          </w:p>
        </w:tc>
        <w:tc>
          <w:tcPr>
            <w:tcW w:w="779" w:type="pct"/>
            <w:tcBorders>
              <w:top w:val="nil"/>
              <w:left w:val="nil"/>
              <w:bottom w:val="single" w:sz="4" w:space="0" w:color="auto"/>
              <w:right w:val="single" w:sz="4" w:space="0" w:color="auto"/>
            </w:tcBorders>
            <w:shd w:val="clear" w:color="000000" w:fill="FFFFFF"/>
            <w:vAlign w:val="bottom"/>
          </w:tcPr>
          <w:p w14:paraId="04F6D629" w14:textId="3AE47AEB" w:rsidR="00933158" w:rsidRPr="001F224B" w:rsidRDefault="00933158" w:rsidP="00933158">
            <w:pPr>
              <w:jc w:val="right"/>
              <w:rPr>
                <w:sz w:val="20"/>
                <w:szCs w:val="20"/>
              </w:rPr>
            </w:pPr>
            <w:r w:rsidRPr="001F224B">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0D09917D" w14:textId="7A2908EB" w:rsidR="00933158" w:rsidRPr="001F224B" w:rsidRDefault="00933158" w:rsidP="00933158">
            <w:pPr>
              <w:jc w:val="right"/>
              <w:rPr>
                <w:sz w:val="20"/>
                <w:szCs w:val="20"/>
              </w:rPr>
            </w:pPr>
            <w:r w:rsidRPr="001F224B">
              <w:rPr>
                <w:sz w:val="20"/>
                <w:szCs w:val="20"/>
              </w:rPr>
              <w:t>-</w:t>
            </w:r>
          </w:p>
        </w:tc>
      </w:tr>
      <w:tr w:rsidR="00933158" w:rsidRPr="001F224B" w14:paraId="6E03D270" w14:textId="431F173E"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08C12CD5" w14:textId="77777777" w:rsidR="00933158" w:rsidRPr="001F224B" w:rsidRDefault="00933158" w:rsidP="00933158">
            <w:pPr>
              <w:rPr>
                <w:b/>
                <w:bCs/>
                <w:sz w:val="20"/>
                <w:szCs w:val="20"/>
              </w:rPr>
            </w:pPr>
            <w:r w:rsidRPr="001F224B">
              <w:rPr>
                <w:b/>
                <w:bCs/>
                <w:sz w:val="20"/>
                <w:szCs w:val="20"/>
              </w:rPr>
              <w:t>İndirimler Öncesi Çekirdek Sermaye</w:t>
            </w:r>
          </w:p>
        </w:tc>
        <w:tc>
          <w:tcPr>
            <w:tcW w:w="779" w:type="pct"/>
            <w:tcBorders>
              <w:top w:val="nil"/>
              <w:left w:val="nil"/>
              <w:bottom w:val="single" w:sz="4" w:space="0" w:color="auto"/>
              <w:right w:val="single" w:sz="4" w:space="0" w:color="auto"/>
            </w:tcBorders>
            <w:shd w:val="clear" w:color="000000" w:fill="FFFFFF"/>
            <w:vAlign w:val="bottom"/>
          </w:tcPr>
          <w:p w14:paraId="75E1AF02" w14:textId="3FB0D9FE" w:rsidR="00933158" w:rsidRPr="001F224B" w:rsidRDefault="003322CA" w:rsidP="00933158">
            <w:pPr>
              <w:jc w:val="right"/>
              <w:rPr>
                <w:b/>
                <w:bCs/>
                <w:sz w:val="20"/>
                <w:szCs w:val="20"/>
              </w:rPr>
            </w:pPr>
            <w:r w:rsidRPr="001F224B">
              <w:rPr>
                <w:b/>
                <w:bCs/>
                <w:sz w:val="20"/>
                <w:szCs w:val="20"/>
              </w:rPr>
              <w:t>28.564.717</w:t>
            </w:r>
          </w:p>
        </w:tc>
        <w:tc>
          <w:tcPr>
            <w:tcW w:w="777" w:type="pct"/>
            <w:tcBorders>
              <w:top w:val="nil"/>
              <w:left w:val="nil"/>
              <w:bottom w:val="single" w:sz="4" w:space="0" w:color="auto"/>
              <w:right w:val="single" w:sz="4" w:space="0" w:color="auto"/>
            </w:tcBorders>
            <w:shd w:val="clear" w:color="000000" w:fill="FFFFFF"/>
            <w:vAlign w:val="bottom"/>
          </w:tcPr>
          <w:p w14:paraId="1ACB6D28" w14:textId="52462CD5" w:rsidR="00933158" w:rsidRPr="001F224B" w:rsidRDefault="00933158" w:rsidP="00933158">
            <w:pPr>
              <w:jc w:val="right"/>
              <w:rPr>
                <w:b/>
                <w:bCs/>
                <w:sz w:val="20"/>
                <w:szCs w:val="20"/>
              </w:rPr>
            </w:pPr>
            <w:r w:rsidRPr="001F224B">
              <w:rPr>
                <w:b/>
                <w:bCs/>
                <w:sz w:val="20"/>
                <w:szCs w:val="20"/>
              </w:rPr>
              <w:t>20.047.907</w:t>
            </w:r>
          </w:p>
        </w:tc>
      </w:tr>
      <w:tr w:rsidR="00EA5529" w:rsidRPr="001F224B" w14:paraId="58FD7083" w14:textId="092763E3" w:rsidTr="00886F8D">
        <w:trPr>
          <w:trHeight w:val="227"/>
        </w:trPr>
        <w:tc>
          <w:tcPr>
            <w:tcW w:w="3444" w:type="pct"/>
            <w:tcBorders>
              <w:top w:val="nil"/>
              <w:left w:val="single" w:sz="4" w:space="0" w:color="auto"/>
              <w:bottom w:val="nil"/>
              <w:right w:val="single" w:sz="4" w:space="0" w:color="auto"/>
            </w:tcBorders>
            <w:shd w:val="clear" w:color="auto" w:fill="auto"/>
            <w:vAlign w:val="center"/>
            <w:hideMark/>
          </w:tcPr>
          <w:p w14:paraId="23AD167D" w14:textId="77777777" w:rsidR="00EA5529" w:rsidRPr="001F224B" w:rsidRDefault="00EA5529" w:rsidP="00EA5529">
            <w:pPr>
              <w:rPr>
                <w:b/>
                <w:bCs/>
                <w:sz w:val="20"/>
                <w:szCs w:val="20"/>
              </w:rPr>
            </w:pPr>
            <w:r w:rsidRPr="001F224B">
              <w:rPr>
                <w:b/>
                <w:bCs/>
                <w:sz w:val="20"/>
                <w:szCs w:val="20"/>
              </w:rPr>
              <w:t>Çekirdek Sermayeden Yapılacak İndirimler</w:t>
            </w:r>
          </w:p>
        </w:tc>
        <w:tc>
          <w:tcPr>
            <w:tcW w:w="779" w:type="pct"/>
            <w:tcBorders>
              <w:top w:val="nil"/>
              <w:left w:val="nil"/>
              <w:bottom w:val="single" w:sz="4" w:space="0" w:color="auto"/>
              <w:right w:val="single" w:sz="4" w:space="0" w:color="auto"/>
            </w:tcBorders>
            <w:shd w:val="clear" w:color="000000" w:fill="FFFFFF"/>
            <w:vAlign w:val="bottom"/>
          </w:tcPr>
          <w:p w14:paraId="4244805E" w14:textId="77777777" w:rsidR="00EA5529" w:rsidRPr="001F224B" w:rsidRDefault="00EA5529" w:rsidP="00EA5529">
            <w:pPr>
              <w:jc w:val="right"/>
              <w:rPr>
                <w:sz w:val="20"/>
                <w:szCs w:val="20"/>
              </w:rPr>
            </w:pPr>
            <w:r w:rsidRPr="001F224B">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472FB276" w14:textId="5E6FCD61" w:rsidR="00EA5529" w:rsidRPr="001F224B" w:rsidRDefault="00EA5529" w:rsidP="00EA5529">
            <w:pPr>
              <w:jc w:val="right"/>
              <w:rPr>
                <w:sz w:val="20"/>
                <w:szCs w:val="20"/>
              </w:rPr>
            </w:pPr>
            <w:r w:rsidRPr="001F224B">
              <w:rPr>
                <w:sz w:val="20"/>
                <w:szCs w:val="20"/>
              </w:rPr>
              <w:t>-</w:t>
            </w:r>
          </w:p>
        </w:tc>
      </w:tr>
      <w:tr w:rsidR="00EA5529" w:rsidRPr="001F224B" w14:paraId="533B44F6" w14:textId="0BDE3F26"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DD22DAE" w14:textId="77777777" w:rsidR="00EA5529" w:rsidRPr="001F224B" w:rsidRDefault="00EA5529" w:rsidP="00EA5529">
            <w:pPr>
              <w:jc w:val="both"/>
              <w:rPr>
                <w:sz w:val="20"/>
                <w:szCs w:val="20"/>
              </w:rPr>
            </w:pPr>
            <w:r w:rsidRPr="001F224B">
              <w:rPr>
                <w:sz w:val="20"/>
                <w:szCs w:val="20"/>
              </w:rPr>
              <w:t xml:space="preserve">Bankaların Özkaynaklarına İlişkin Yönetmeliğin 9’uncu maddesinin birinci fıkrasının (i) bendi uyarınca hesaplanan değerleme ayarlamaları </w:t>
            </w:r>
          </w:p>
        </w:tc>
        <w:tc>
          <w:tcPr>
            <w:tcW w:w="779" w:type="pct"/>
            <w:tcBorders>
              <w:top w:val="nil"/>
              <w:left w:val="nil"/>
              <w:bottom w:val="single" w:sz="4" w:space="0" w:color="auto"/>
              <w:right w:val="single" w:sz="4" w:space="0" w:color="auto"/>
            </w:tcBorders>
            <w:shd w:val="clear" w:color="000000" w:fill="FFFFFF"/>
            <w:vAlign w:val="bottom"/>
          </w:tcPr>
          <w:p w14:paraId="532F28C1" w14:textId="77777777" w:rsidR="00EA5529" w:rsidRPr="001F224B" w:rsidRDefault="00EA5529" w:rsidP="00EA5529">
            <w:pPr>
              <w:jc w:val="right"/>
              <w:rPr>
                <w:sz w:val="20"/>
                <w:szCs w:val="20"/>
              </w:rPr>
            </w:pPr>
            <w:r w:rsidRPr="001F224B">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682945F5" w14:textId="2C05ECB3" w:rsidR="00EA5529" w:rsidRPr="001F224B" w:rsidRDefault="00EA5529" w:rsidP="00EA5529">
            <w:pPr>
              <w:jc w:val="right"/>
              <w:rPr>
                <w:sz w:val="20"/>
                <w:szCs w:val="20"/>
              </w:rPr>
            </w:pPr>
            <w:r w:rsidRPr="001F224B">
              <w:rPr>
                <w:sz w:val="20"/>
                <w:szCs w:val="20"/>
              </w:rPr>
              <w:t>-</w:t>
            </w:r>
          </w:p>
        </w:tc>
      </w:tr>
      <w:tr w:rsidR="003322CA" w:rsidRPr="001F224B" w14:paraId="6F92C908" w14:textId="126DA7D7" w:rsidTr="003322CA">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23D16AD5" w14:textId="77777777" w:rsidR="003322CA" w:rsidRPr="001F224B" w:rsidRDefault="003322CA" w:rsidP="003322CA">
            <w:pPr>
              <w:jc w:val="both"/>
              <w:rPr>
                <w:sz w:val="20"/>
                <w:szCs w:val="20"/>
              </w:rPr>
            </w:pPr>
            <w:r w:rsidRPr="001F224B">
              <w:rPr>
                <w:sz w:val="20"/>
                <w:szCs w:val="20"/>
              </w:rPr>
              <w:t>Net dönem zararı ile geçmiş yıllar zararı toplamının yedek akçelerle karşılanamayan kısmı ile TMS uyarınca özkaynaklara yansıtılan kayıplar</w:t>
            </w:r>
          </w:p>
        </w:tc>
        <w:tc>
          <w:tcPr>
            <w:tcW w:w="779" w:type="pct"/>
            <w:tcBorders>
              <w:top w:val="nil"/>
              <w:left w:val="nil"/>
              <w:bottom w:val="single" w:sz="4" w:space="0" w:color="auto"/>
              <w:right w:val="single" w:sz="4" w:space="0" w:color="auto"/>
            </w:tcBorders>
            <w:shd w:val="clear" w:color="000000" w:fill="FFFFFF"/>
            <w:vAlign w:val="bottom"/>
          </w:tcPr>
          <w:p w14:paraId="33FC4293" w14:textId="34040DEE" w:rsidR="003322CA" w:rsidRPr="001F224B" w:rsidRDefault="003322CA" w:rsidP="003322CA">
            <w:pPr>
              <w:jc w:val="right"/>
              <w:rPr>
                <w:sz w:val="20"/>
                <w:szCs w:val="20"/>
              </w:rPr>
            </w:pPr>
            <w:r w:rsidRPr="001F224B">
              <w:rPr>
                <w:sz w:val="20"/>
                <w:szCs w:val="20"/>
              </w:rPr>
              <w:t>50.530</w:t>
            </w:r>
          </w:p>
        </w:tc>
        <w:tc>
          <w:tcPr>
            <w:tcW w:w="777" w:type="pct"/>
            <w:tcBorders>
              <w:top w:val="nil"/>
              <w:left w:val="nil"/>
              <w:bottom w:val="single" w:sz="4" w:space="0" w:color="auto"/>
              <w:right w:val="single" w:sz="4" w:space="0" w:color="auto"/>
            </w:tcBorders>
            <w:shd w:val="clear" w:color="000000" w:fill="FFFFFF"/>
            <w:vAlign w:val="bottom"/>
          </w:tcPr>
          <w:p w14:paraId="13CCA2CC" w14:textId="5F8C1AA0" w:rsidR="003322CA" w:rsidRPr="001F224B" w:rsidRDefault="003322CA" w:rsidP="003322CA">
            <w:pPr>
              <w:jc w:val="right"/>
              <w:rPr>
                <w:sz w:val="20"/>
                <w:szCs w:val="20"/>
              </w:rPr>
            </w:pPr>
            <w:r w:rsidRPr="001F224B">
              <w:rPr>
                <w:sz w:val="20"/>
                <w:szCs w:val="20"/>
              </w:rPr>
              <w:t>50.933</w:t>
            </w:r>
          </w:p>
        </w:tc>
      </w:tr>
      <w:tr w:rsidR="003322CA" w:rsidRPr="001F224B" w14:paraId="3A00B27C" w14:textId="2C8E2EB9" w:rsidTr="003322CA">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6D372A9E" w14:textId="77777777" w:rsidR="003322CA" w:rsidRPr="001F224B" w:rsidRDefault="003322CA" w:rsidP="003322CA">
            <w:pPr>
              <w:rPr>
                <w:sz w:val="20"/>
                <w:szCs w:val="20"/>
              </w:rPr>
            </w:pPr>
            <w:r w:rsidRPr="001F224B">
              <w:rPr>
                <w:sz w:val="20"/>
                <w:szCs w:val="20"/>
              </w:rPr>
              <w:t>Faaliyet kiralaması geliştirme maliyetleri</w:t>
            </w:r>
          </w:p>
        </w:tc>
        <w:tc>
          <w:tcPr>
            <w:tcW w:w="779" w:type="pct"/>
            <w:tcBorders>
              <w:top w:val="nil"/>
              <w:left w:val="nil"/>
              <w:bottom w:val="single" w:sz="4" w:space="0" w:color="auto"/>
              <w:right w:val="single" w:sz="4" w:space="0" w:color="auto"/>
            </w:tcBorders>
            <w:shd w:val="clear" w:color="auto" w:fill="FFFFFF"/>
            <w:vAlign w:val="bottom"/>
          </w:tcPr>
          <w:p w14:paraId="786AF332" w14:textId="35DB52DF" w:rsidR="003322CA" w:rsidRPr="001F224B" w:rsidRDefault="003322CA" w:rsidP="003322CA">
            <w:pPr>
              <w:jc w:val="right"/>
              <w:rPr>
                <w:sz w:val="20"/>
                <w:szCs w:val="20"/>
              </w:rPr>
            </w:pPr>
            <w:r w:rsidRPr="001F224B">
              <w:rPr>
                <w:sz w:val="20"/>
                <w:szCs w:val="20"/>
              </w:rPr>
              <w:t>83</w:t>
            </w:r>
          </w:p>
        </w:tc>
        <w:tc>
          <w:tcPr>
            <w:tcW w:w="777" w:type="pct"/>
            <w:tcBorders>
              <w:top w:val="nil"/>
              <w:left w:val="nil"/>
              <w:bottom w:val="single" w:sz="4" w:space="0" w:color="auto"/>
              <w:right w:val="single" w:sz="4" w:space="0" w:color="auto"/>
            </w:tcBorders>
            <w:shd w:val="clear" w:color="auto" w:fill="FFFFFF"/>
            <w:vAlign w:val="bottom"/>
          </w:tcPr>
          <w:p w14:paraId="65A3350A" w14:textId="49FCDC0E" w:rsidR="003322CA" w:rsidRPr="001F224B" w:rsidRDefault="003322CA" w:rsidP="003322CA">
            <w:pPr>
              <w:jc w:val="right"/>
              <w:rPr>
                <w:sz w:val="20"/>
                <w:szCs w:val="20"/>
              </w:rPr>
            </w:pPr>
            <w:r w:rsidRPr="001F224B">
              <w:rPr>
                <w:sz w:val="20"/>
                <w:szCs w:val="20"/>
              </w:rPr>
              <w:t>193</w:t>
            </w:r>
          </w:p>
        </w:tc>
      </w:tr>
      <w:tr w:rsidR="003322CA" w:rsidRPr="001F224B" w14:paraId="5603FD3B" w14:textId="4136A590" w:rsidTr="003322CA">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47CC197C" w14:textId="77777777" w:rsidR="003322CA" w:rsidRPr="001F224B" w:rsidRDefault="003322CA" w:rsidP="003322CA">
            <w:pPr>
              <w:jc w:val="both"/>
              <w:rPr>
                <w:sz w:val="20"/>
                <w:szCs w:val="20"/>
              </w:rPr>
            </w:pPr>
            <w:r w:rsidRPr="001F224B">
              <w:rPr>
                <w:sz w:val="20"/>
                <w:szCs w:val="20"/>
              </w:rPr>
              <w:t xml:space="preserve">İlgili ertelenmiş vergi yükümlülüğü ile mahsup edildikten sonra kalan şerefiye </w:t>
            </w:r>
          </w:p>
        </w:tc>
        <w:tc>
          <w:tcPr>
            <w:tcW w:w="779" w:type="pct"/>
            <w:tcBorders>
              <w:top w:val="nil"/>
              <w:left w:val="nil"/>
              <w:bottom w:val="single" w:sz="4" w:space="0" w:color="auto"/>
              <w:right w:val="single" w:sz="4" w:space="0" w:color="auto"/>
            </w:tcBorders>
            <w:shd w:val="clear" w:color="000000" w:fill="FFFFFF"/>
            <w:vAlign w:val="bottom"/>
          </w:tcPr>
          <w:p w14:paraId="7BFA8D19" w14:textId="3A07075C" w:rsidR="003322CA" w:rsidRPr="001F224B" w:rsidRDefault="003322CA" w:rsidP="003322CA">
            <w:pPr>
              <w:jc w:val="right"/>
              <w:rPr>
                <w:sz w:val="20"/>
                <w:szCs w:val="20"/>
              </w:rPr>
            </w:pPr>
          </w:p>
        </w:tc>
        <w:tc>
          <w:tcPr>
            <w:tcW w:w="777" w:type="pct"/>
            <w:tcBorders>
              <w:top w:val="nil"/>
              <w:left w:val="nil"/>
              <w:bottom w:val="single" w:sz="4" w:space="0" w:color="auto"/>
              <w:right w:val="single" w:sz="4" w:space="0" w:color="auto"/>
            </w:tcBorders>
            <w:shd w:val="clear" w:color="000000" w:fill="FFFFFF"/>
            <w:vAlign w:val="bottom"/>
          </w:tcPr>
          <w:p w14:paraId="687A527D" w14:textId="13C3A1A6" w:rsidR="003322CA" w:rsidRPr="001F224B" w:rsidRDefault="003322CA" w:rsidP="003322CA">
            <w:pPr>
              <w:jc w:val="right"/>
              <w:rPr>
                <w:sz w:val="20"/>
                <w:szCs w:val="20"/>
              </w:rPr>
            </w:pPr>
            <w:r w:rsidRPr="001F224B">
              <w:rPr>
                <w:sz w:val="20"/>
                <w:szCs w:val="20"/>
              </w:rPr>
              <w:t>-</w:t>
            </w:r>
          </w:p>
        </w:tc>
      </w:tr>
      <w:tr w:rsidR="003322CA" w:rsidRPr="001F224B" w14:paraId="7658344C" w14:textId="37BB62B2" w:rsidTr="003322CA">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721691BA" w14:textId="77777777" w:rsidR="003322CA" w:rsidRPr="001F224B" w:rsidRDefault="003322CA" w:rsidP="003322CA">
            <w:pPr>
              <w:rPr>
                <w:sz w:val="20"/>
                <w:szCs w:val="20"/>
              </w:rPr>
            </w:pPr>
            <w:r w:rsidRPr="001F224B">
              <w:rPr>
                <w:sz w:val="20"/>
                <w:szCs w:val="20"/>
              </w:rPr>
              <w:t>İpotek hizmeti sunma hakları hariç olmak üzere ilgili ertelenmiş vergi yükümlülüğü ile mahsup edildikten sonra kalan diğer maddi olmayan duran varlıklar</w:t>
            </w:r>
          </w:p>
        </w:tc>
        <w:tc>
          <w:tcPr>
            <w:tcW w:w="779" w:type="pct"/>
            <w:tcBorders>
              <w:top w:val="nil"/>
              <w:left w:val="nil"/>
              <w:bottom w:val="single" w:sz="4" w:space="0" w:color="auto"/>
              <w:right w:val="single" w:sz="4" w:space="0" w:color="auto"/>
            </w:tcBorders>
            <w:shd w:val="clear" w:color="000000" w:fill="FFFFFF"/>
            <w:vAlign w:val="bottom"/>
          </w:tcPr>
          <w:p w14:paraId="66E18FD8" w14:textId="5E7ACAF8" w:rsidR="003322CA" w:rsidRPr="001F224B" w:rsidRDefault="003322CA" w:rsidP="003322CA">
            <w:pPr>
              <w:jc w:val="right"/>
              <w:rPr>
                <w:sz w:val="20"/>
                <w:szCs w:val="20"/>
              </w:rPr>
            </w:pPr>
            <w:r w:rsidRPr="001F224B">
              <w:rPr>
                <w:sz w:val="20"/>
                <w:szCs w:val="20"/>
              </w:rPr>
              <w:t>65.064</w:t>
            </w:r>
          </w:p>
        </w:tc>
        <w:tc>
          <w:tcPr>
            <w:tcW w:w="777" w:type="pct"/>
            <w:tcBorders>
              <w:top w:val="nil"/>
              <w:left w:val="nil"/>
              <w:bottom w:val="single" w:sz="4" w:space="0" w:color="auto"/>
              <w:right w:val="single" w:sz="4" w:space="0" w:color="auto"/>
            </w:tcBorders>
            <w:shd w:val="clear" w:color="000000" w:fill="FFFFFF"/>
            <w:vAlign w:val="bottom"/>
          </w:tcPr>
          <w:p w14:paraId="2AC625F9" w14:textId="1EC30731" w:rsidR="003322CA" w:rsidRPr="001F224B" w:rsidRDefault="003322CA" w:rsidP="003322CA">
            <w:pPr>
              <w:jc w:val="right"/>
              <w:rPr>
                <w:sz w:val="20"/>
                <w:szCs w:val="20"/>
              </w:rPr>
            </w:pPr>
            <w:r w:rsidRPr="001F224B">
              <w:rPr>
                <w:sz w:val="20"/>
                <w:szCs w:val="20"/>
              </w:rPr>
              <w:t>52.182</w:t>
            </w:r>
          </w:p>
        </w:tc>
      </w:tr>
      <w:tr w:rsidR="00933158" w:rsidRPr="001F224B" w14:paraId="79A42437" w14:textId="0EAB9D19"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30DB37DA" w14:textId="77777777" w:rsidR="00933158" w:rsidRPr="001F224B" w:rsidRDefault="00933158" w:rsidP="00933158">
            <w:pPr>
              <w:jc w:val="both"/>
              <w:rPr>
                <w:sz w:val="20"/>
                <w:szCs w:val="20"/>
              </w:rPr>
            </w:pPr>
            <w:r w:rsidRPr="001F224B">
              <w:rPr>
                <w:sz w:val="20"/>
                <w:szCs w:val="20"/>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79" w:type="pct"/>
            <w:tcBorders>
              <w:top w:val="single" w:sz="4" w:space="0" w:color="auto"/>
              <w:left w:val="nil"/>
              <w:bottom w:val="single" w:sz="4" w:space="0" w:color="auto"/>
              <w:right w:val="single" w:sz="4" w:space="0" w:color="auto"/>
            </w:tcBorders>
            <w:shd w:val="clear" w:color="000000" w:fill="FFFFFF"/>
            <w:vAlign w:val="bottom"/>
          </w:tcPr>
          <w:p w14:paraId="64FA83EE" w14:textId="4BCF39C3" w:rsidR="00933158" w:rsidRPr="001F224B" w:rsidRDefault="00933158" w:rsidP="00933158">
            <w:pPr>
              <w:jc w:val="right"/>
              <w:rPr>
                <w:sz w:val="20"/>
                <w:szCs w:val="20"/>
              </w:rPr>
            </w:pPr>
            <w:r w:rsidRPr="001F224B">
              <w:rPr>
                <w:sz w:val="20"/>
                <w:szCs w:val="20"/>
              </w:rPr>
              <w:t>- </w:t>
            </w:r>
          </w:p>
        </w:tc>
        <w:tc>
          <w:tcPr>
            <w:tcW w:w="777" w:type="pct"/>
            <w:tcBorders>
              <w:top w:val="single" w:sz="4" w:space="0" w:color="auto"/>
              <w:left w:val="nil"/>
              <w:bottom w:val="single" w:sz="4" w:space="0" w:color="auto"/>
              <w:right w:val="single" w:sz="4" w:space="0" w:color="auto"/>
            </w:tcBorders>
            <w:shd w:val="clear" w:color="000000" w:fill="FFFFFF"/>
            <w:vAlign w:val="bottom"/>
          </w:tcPr>
          <w:p w14:paraId="68B6812D" w14:textId="47D12D84" w:rsidR="00933158" w:rsidRPr="001F224B" w:rsidRDefault="00933158" w:rsidP="00933158">
            <w:pPr>
              <w:jc w:val="right"/>
              <w:rPr>
                <w:sz w:val="20"/>
                <w:szCs w:val="20"/>
              </w:rPr>
            </w:pPr>
            <w:r w:rsidRPr="001F224B">
              <w:rPr>
                <w:sz w:val="20"/>
                <w:szCs w:val="20"/>
              </w:rPr>
              <w:t>-</w:t>
            </w:r>
          </w:p>
        </w:tc>
      </w:tr>
      <w:tr w:rsidR="00EA5529" w:rsidRPr="001F224B" w14:paraId="10A9141B" w14:textId="3C8684EC"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90E3B42" w14:textId="77777777" w:rsidR="00EA5529" w:rsidRPr="001F224B" w:rsidRDefault="00EA5529" w:rsidP="00EA5529">
            <w:pPr>
              <w:rPr>
                <w:sz w:val="20"/>
                <w:szCs w:val="20"/>
              </w:rPr>
            </w:pPr>
            <w:r w:rsidRPr="001F224B">
              <w:rPr>
                <w:sz w:val="20"/>
                <w:szCs w:val="20"/>
              </w:rPr>
              <w:t xml:space="preserve">Gerçeğe uygun değeri üzerinden izlenmeyen varlık veya yükümlülüklerin nakit akış riskinden korunma işlemine konu edilmesi halinde ortaya çıkan farklar </w:t>
            </w:r>
          </w:p>
        </w:tc>
        <w:tc>
          <w:tcPr>
            <w:tcW w:w="779" w:type="pct"/>
            <w:tcBorders>
              <w:top w:val="single" w:sz="4" w:space="0" w:color="auto"/>
              <w:left w:val="nil"/>
              <w:bottom w:val="single" w:sz="4" w:space="0" w:color="auto"/>
              <w:right w:val="single" w:sz="4" w:space="0" w:color="auto"/>
            </w:tcBorders>
            <w:shd w:val="clear" w:color="000000" w:fill="FFFFFF"/>
            <w:vAlign w:val="bottom"/>
          </w:tcPr>
          <w:p w14:paraId="22040E66" w14:textId="77777777" w:rsidR="00EA5529" w:rsidRPr="001F224B" w:rsidRDefault="00EA5529" w:rsidP="00EA5529">
            <w:pPr>
              <w:jc w:val="right"/>
              <w:rPr>
                <w:sz w:val="20"/>
                <w:szCs w:val="20"/>
              </w:rPr>
            </w:pPr>
            <w:r w:rsidRPr="001F224B">
              <w:rPr>
                <w:sz w:val="20"/>
                <w:szCs w:val="20"/>
              </w:rPr>
              <w:t>-</w:t>
            </w:r>
          </w:p>
        </w:tc>
        <w:tc>
          <w:tcPr>
            <w:tcW w:w="777" w:type="pct"/>
            <w:tcBorders>
              <w:top w:val="single" w:sz="4" w:space="0" w:color="auto"/>
              <w:left w:val="nil"/>
              <w:bottom w:val="single" w:sz="4" w:space="0" w:color="auto"/>
              <w:right w:val="single" w:sz="4" w:space="0" w:color="auto"/>
            </w:tcBorders>
            <w:shd w:val="clear" w:color="000000" w:fill="FFFFFF"/>
            <w:vAlign w:val="bottom"/>
          </w:tcPr>
          <w:p w14:paraId="0FA628F4" w14:textId="32A60C51" w:rsidR="00EA5529" w:rsidRPr="001F224B" w:rsidRDefault="00EA5529" w:rsidP="00EA5529">
            <w:pPr>
              <w:jc w:val="right"/>
              <w:rPr>
                <w:sz w:val="20"/>
                <w:szCs w:val="20"/>
              </w:rPr>
            </w:pPr>
            <w:r w:rsidRPr="001F224B">
              <w:rPr>
                <w:sz w:val="20"/>
                <w:szCs w:val="20"/>
              </w:rPr>
              <w:t>-</w:t>
            </w:r>
          </w:p>
        </w:tc>
      </w:tr>
      <w:tr w:rsidR="00EA5529" w:rsidRPr="001F224B" w14:paraId="2B4F6C84" w14:textId="747DDC99"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41751A5D" w14:textId="77777777" w:rsidR="00EA5529" w:rsidRPr="001F224B" w:rsidRDefault="00EA5529" w:rsidP="00EA5529">
            <w:pPr>
              <w:jc w:val="both"/>
              <w:rPr>
                <w:sz w:val="20"/>
                <w:szCs w:val="20"/>
              </w:rPr>
            </w:pPr>
            <w:r w:rsidRPr="001F224B">
              <w:rPr>
                <w:sz w:val="20"/>
                <w:szCs w:val="20"/>
              </w:rPr>
              <w:t>Kredi Riskine Esas Tutarın İçsel Derecelendirmeye Dayalı Yaklaşımlar ile Hesaplanmasına İlişkin Tebliğ uyarınca hesaplanan toplam beklenen kayıp tutarının toplam karşılık tutarını aşan kısmı</w:t>
            </w:r>
          </w:p>
        </w:tc>
        <w:tc>
          <w:tcPr>
            <w:tcW w:w="779" w:type="pct"/>
            <w:tcBorders>
              <w:top w:val="single" w:sz="4" w:space="0" w:color="auto"/>
              <w:left w:val="nil"/>
              <w:bottom w:val="single" w:sz="4" w:space="0" w:color="auto"/>
              <w:right w:val="single" w:sz="4" w:space="0" w:color="auto"/>
            </w:tcBorders>
            <w:shd w:val="clear" w:color="000000" w:fill="FFFFFF"/>
            <w:vAlign w:val="bottom"/>
          </w:tcPr>
          <w:p w14:paraId="4481315C" w14:textId="77777777" w:rsidR="00EA5529" w:rsidRPr="001F224B" w:rsidRDefault="00EA5529" w:rsidP="00EA5529">
            <w:pPr>
              <w:jc w:val="right"/>
              <w:rPr>
                <w:sz w:val="20"/>
                <w:szCs w:val="20"/>
              </w:rPr>
            </w:pPr>
            <w:r w:rsidRPr="001F224B">
              <w:rPr>
                <w:sz w:val="20"/>
                <w:szCs w:val="20"/>
              </w:rPr>
              <w:t>-</w:t>
            </w:r>
          </w:p>
        </w:tc>
        <w:tc>
          <w:tcPr>
            <w:tcW w:w="777" w:type="pct"/>
            <w:tcBorders>
              <w:top w:val="single" w:sz="4" w:space="0" w:color="auto"/>
              <w:left w:val="nil"/>
              <w:bottom w:val="single" w:sz="4" w:space="0" w:color="auto"/>
              <w:right w:val="single" w:sz="4" w:space="0" w:color="auto"/>
            </w:tcBorders>
            <w:shd w:val="clear" w:color="000000" w:fill="FFFFFF"/>
            <w:vAlign w:val="bottom"/>
          </w:tcPr>
          <w:p w14:paraId="1B84D01F" w14:textId="74903E6E" w:rsidR="00EA5529" w:rsidRPr="001F224B" w:rsidRDefault="00EA5529" w:rsidP="00EA5529">
            <w:pPr>
              <w:jc w:val="right"/>
              <w:rPr>
                <w:sz w:val="20"/>
                <w:szCs w:val="20"/>
              </w:rPr>
            </w:pPr>
            <w:r w:rsidRPr="001F224B">
              <w:rPr>
                <w:sz w:val="20"/>
                <w:szCs w:val="20"/>
              </w:rPr>
              <w:t>-</w:t>
            </w:r>
          </w:p>
        </w:tc>
      </w:tr>
    </w:tbl>
    <w:p w14:paraId="242EB378" w14:textId="77777777" w:rsidR="003A3FAC" w:rsidRPr="001F224B" w:rsidRDefault="003A3FAC" w:rsidP="003A3FAC">
      <w:pPr>
        <w:tabs>
          <w:tab w:val="left" w:pos="709"/>
        </w:tabs>
        <w:ind w:left="709" w:hanging="709"/>
        <w:jc w:val="both"/>
        <w:rPr>
          <w:bCs/>
          <w:sz w:val="4"/>
          <w:szCs w:val="4"/>
        </w:rPr>
      </w:pPr>
      <w:r w:rsidRPr="001F224B">
        <w:rPr>
          <w:sz w:val="22"/>
          <w:szCs w:val="22"/>
        </w:rPr>
        <w:br w:type="page"/>
      </w:r>
    </w:p>
    <w:p w14:paraId="2EA7D59E" w14:textId="77777777" w:rsidR="003A3FAC" w:rsidRPr="001F224B" w:rsidRDefault="003A3FAC" w:rsidP="003A3FAC">
      <w:pPr>
        <w:pStyle w:val="ListParagraph"/>
        <w:tabs>
          <w:tab w:val="left" w:pos="0"/>
        </w:tabs>
        <w:ind w:left="0"/>
        <w:rPr>
          <w:b/>
          <w:bCs/>
          <w:sz w:val="22"/>
          <w:szCs w:val="22"/>
        </w:rPr>
      </w:pPr>
      <w:r w:rsidRPr="001F224B">
        <w:rPr>
          <w:b/>
          <w:bCs/>
          <w:sz w:val="22"/>
          <w:szCs w:val="22"/>
        </w:rPr>
        <w:t>DÖRDÜNCÜ BÖLÜM (Devamı)</w:t>
      </w:r>
    </w:p>
    <w:p w14:paraId="77BACBC3" w14:textId="77777777" w:rsidR="003A3FAC" w:rsidRPr="001F224B" w:rsidRDefault="003A3FAC" w:rsidP="003A3FAC">
      <w:pPr>
        <w:pStyle w:val="ListParagraph"/>
        <w:tabs>
          <w:tab w:val="left" w:pos="0"/>
        </w:tabs>
        <w:spacing w:before="120"/>
        <w:ind w:left="0"/>
        <w:rPr>
          <w:b/>
          <w:bCs/>
          <w:sz w:val="22"/>
          <w:szCs w:val="22"/>
        </w:rPr>
      </w:pPr>
      <w:r w:rsidRPr="001F224B">
        <w:rPr>
          <w:b/>
          <w:bCs/>
          <w:sz w:val="22"/>
          <w:szCs w:val="22"/>
        </w:rPr>
        <w:t>KONSOLİDE MALİ BÜNYE VE RİSK YÖNETİMİNE İLİŞKİN BİLGİLER (Devamı)</w:t>
      </w:r>
    </w:p>
    <w:p w14:paraId="5427EEFA" w14:textId="77777777" w:rsidR="003A3FAC" w:rsidRPr="001F224B" w:rsidRDefault="003A3FAC" w:rsidP="003A3FAC">
      <w:pPr>
        <w:tabs>
          <w:tab w:val="left" w:pos="567"/>
        </w:tabs>
        <w:spacing w:before="120" w:after="120"/>
        <w:ind w:left="567" w:hanging="567"/>
        <w:jc w:val="both"/>
        <w:rPr>
          <w:b/>
          <w:bCs/>
          <w:sz w:val="22"/>
          <w:szCs w:val="22"/>
        </w:rPr>
      </w:pPr>
      <w:r w:rsidRPr="001F224B">
        <w:rPr>
          <w:b/>
          <w:bCs/>
          <w:sz w:val="22"/>
          <w:szCs w:val="22"/>
        </w:rPr>
        <w:t>I.</w:t>
      </w:r>
      <w:r w:rsidRPr="001F224B">
        <w:rPr>
          <w:b/>
          <w:bCs/>
          <w:sz w:val="22"/>
          <w:szCs w:val="22"/>
        </w:rPr>
        <w:tab/>
        <w:t>Konsolide özkaynak kalemlerine ilişkin açıklamalar (Devamı)</w:t>
      </w:r>
    </w:p>
    <w:p w14:paraId="1B07BF78" w14:textId="77777777" w:rsidR="003A3FAC" w:rsidRPr="001F224B" w:rsidRDefault="003A3FAC" w:rsidP="003A3FAC">
      <w:pPr>
        <w:tabs>
          <w:tab w:val="left" w:pos="567"/>
        </w:tabs>
        <w:spacing w:before="120" w:after="120"/>
        <w:ind w:left="567"/>
        <w:rPr>
          <w:b/>
          <w:bCs/>
          <w:noProof/>
          <w:sz w:val="22"/>
          <w:szCs w:val="22"/>
        </w:rPr>
      </w:pPr>
      <w:r w:rsidRPr="001F224B">
        <w:rPr>
          <w:b/>
          <w:bCs/>
          <w:noProof/>
          <w:sz w:val="22"/>
          <w:szCs w:val="22"/>
        </w:rPr>
        <w:t>Konsolide özkaynak kalemlerine ilişkin bilgiler (Devamı):</w:t>
      </w:r>
    </w:p>
    <w:tbl>
      <w:tblPr>
        <w:tblW w:w="5289" w:type="pct"/>
        <w:tblCellMar>
          <w:left w:w="70" w:type="dxa"/>
          <w:right w:w="70" w:type="dxa"/>
        </w:tblCellMar>
        <w:tblLook w:val="04A0" w:firstRow="1" w:lastRow="0" w:firstColumn="1" w:lastColumn="0" w:noHBand="0" w:noVBand="1"/>
      </w:tblPr>
      <w:tblGrid>
        <w:gridCol w:w="6941"/>
        <w:gridCol w:w="1712"/>
        <w:gridCol w:w="1712"/>
      </w:tblGrid>
      <w:tr w:rsidR="00886F8D" w:rsidRPr="001F224B" w14:paraId="5D35116F" w14:textId="4C6CA84F" w:rsidTr="00886F8D">
        <w:trPr>
          <w:trHeight w:val="227"/>
        </w:trPr>
        <w:tc>
          <w:tcPr>
            <w:tcW w:w="334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491F7C" w14:textId="77777777" w:rsidR="00886F8D" w:rsidRPr="001F224B" w:rsidRDefault="00886F8D" w:rsidP="00886F8D">
            <w:pPr>
              <w:rPr>
                <w:sz w:val="20"/>
                <w:szCs w:val="20"/>
              </w:rPr>
            </w:pPr>
            <w:r w:rsidRPr="001F224B">
              <w:rPr>
                <w:sz w:val="20"/>
                <w:szCs w:val="20"/>
              </w:rPr>
              <w:t>Menkul kıymetleştirme işlemlerinden kaynaklanan kazançlar</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749970F"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2FE8712" w14:textId="27B96D9A" w:rsidR="00886F8D" w:rsidRPr="001F224B" w:rsidRDefault="00886F8D" w:rsidP="00886F8D">
            <w:pPr>
              <w:jc w:val="right"/>
              <w:rPr>
                <w:sz w:val="20"/>
                <w:szCs w:val="20"/>
              </w:rPr>
            </w:pPr>
            <w:r w:rsidRPr="001F224B">
              <w:rPr>
                <w:sz w:val="20"/>
                <w:szCs w:val="20"/>
              </w:rPr>
              <w:t>-</w:t>
            </w:r>
          </w:p>
        </w:tc>
      </w:tr>
      <w:tr w:rsidR="00886F8D" w:rsidRPr="001F224B" w14:paraId="5B03AFEC" w14:textId="2F52062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7EABA3F" w14:textId="77777777" w:rsidR="00886F8D" w:rsidRPr="001F224B" w:rsidRDefault="00886F8D" w:rsidP="00886F8D">
            <w:pPr>
              <w:jc w:val="both"/>
              <w:rPr>
                <w:sz w:val="20"/>
                <w:szCs w:val="20"/>
              </w:rPr>
            </w:pPr>
            <w:r w:rsidRPr="001F224B">
              <w:rPr>
                <w:sz w:val="20"/>
                <w:szCs w:val="20"/>
              </w:rPr>
              <w:t>Banka’nın yükümlülüklerinin gerçeğe uygun değerlerinde kredi değerliliğindeki değişikliklere bağlı olarak oluşan farklar sonucu ortaya çıkan gerçekleşmemiş kazançlar ve kayıplar</w:t>
            </w:r>
          </w:p>
        </w:tc>
        <w:tc>
          <w:tcPr>
            <w:tcW w:w="826" w:type="pct"/>
            <w:tcBorders>
              <w:top w:val="nil"/>
              <w:left w:val="nil"/>
              <w:bottom w:val="single" w:sz="4" w:space="0" w:color="auto"/>
              <w:right w:val="single" w:sz="4" w:space="0" w:color="auto"/>
            </w:tcBorders>
            <w:shd w:val="clear" w:color="000000" w:fill="FFFFFF"/>
            <w:vAlign w:val="bottom"/>
          </w:tcPr>
          <w:p w14:paraId="62F7E471"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4DF3D0A" w14:textId="0FAE68E4" w:rsidR="00886F8D" w:rsidRPr="001F224B" w:rsidRDefault="00886F8D" w:rsidP="00886F8D">
            <w:pPr>
              <w:jc w:val="right"/>
              <w:rPr>
                <w:sz w:val="20"/>
                <w:szCs w:val="20"/>
              </w:rPr>
            </w:pPr>
            <w:r w:rsidRPr="001F224B">
              <w:rPr>
                <w:sz w:val="20"/>
                <w:szCs w:val="20"/>
              </w:rPr>
              <w:t>-</w:t>
            </w:r>
          </w:p>
        </w:tc>
      </w:tr>
      <w:tr w:rsidR="00886F8D" w:rsidRPr="001F224B" w14:paraId="3574FF8F" w14:textId="5909A050"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3780C7A7" w14:textId="77777777" w:rsidR="00886F8D" w:rsidRPr="001F224B" w:rsidRDefault="00886F8D" w:rsidP="00886F8D">
            <w:pPr>
              <w:rPr>
                <w:sz w:val="20"/>
                <w:szCs w:val="20"/>
              </w:rPr>
            </w:pPr>
            <w:r w:rsidRPr="001F224B">
              <w:rPr>
                <w:sz w:val="20"/>
                <w:szCs w:val="20"/>
              </w:rPr>
              <w:t>Tanımlanmış fayda plan varlıklarının net tutarı</w:t>
            </w:r>
          </w:p>
        </w:tc>
        <w:tc>
          <w:tcPr>
            <w:tcW w:w="826" w:type="pct"/>
            <w:tcBorders>
              <w:top w:val="nil"/>
              <w:left w:val="nil"/>
              <w:bottom w:val="single" w:sz="4" w:space="0" w:color="auto"/>
              <w:right w:val="single" w:sz="4" w:space="0" w:color="auto"/>
            </w:tcBorders>
            <w:shd w:val="clear" w:color="000000" w:fill="FFFFFF"/>
            <w:vAlign w:val="bottom"/>
          </w:tcPr>
          <w:p w14:paraId="6278201E"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742A8F8" w14:textId="30FAB24B" w:rsidR="00886F8D" w:rsidRPr="001F224B" w:rsidRDefault="00886F8D" w:rsidP="00886F8D">
            <w:pPr>
              <w:jc w:val="right"/>
              <w:rPr>
                <w:sz w:val="20"/>
                <w:szCs w:val="20"/>
              </w:rPr>
            </w:pPr>
            <w:r w:rsidRPr="001F224B">
              <w:rPr>
                <w:sz w:val="20"/>
                <w:szCs w:val="20"/>
              </w:rPr>
              <w:t>-</w:t>
            </w:r>
          </w:p>
        </w:tc>
      </w:tr>
      <w:tr w:rsidR="00886F8D" w:rsidRPr="001F224B" w14:paraId="4FB141BE" w14:textId="0970AD8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647CD090" w14:textId="77777777" w:rsidR="00886F8D" w:rsidRPr="001F224B" w:rsidRDefault="00886F8D" w:rsidP="00886F8D">
            <w:pPr>
              <w:ind w:right="-70"/>
              <w:rPr>
                <w:sz w:val="20"/>
                <w:szCs w:val="20"/>
              </w:rPr>
            </w:pPr>
            <w:r w:rsidRPr="001F224B">
              <w:rPr>
                <w:sz w:val="20"/>
                <w:szCs w:val="20"/>
              </w:rPr>
              <w:t xml:space="preserve">Banka’nın kendi çekirdek sermayesine yapmış olduğu doğrudan veya dolaylı yatırımlar </w:t>
            </w:r>
          </w:p>
        </w:tc>
        <w:tc>
          <w:tcPr>
            <w:tcW w:w="826" w:type="pct"/>
            <w:tcBorders>
              <w:top w:val="nil"/>
              <w:left w:val="nil"/>
              <w:bottom w:val="single" w:sz="4" w:space="0" w:color="auto"/>
              <w:right w:val="single" w:sz="4" w:space="0" w:color="auto"/>
            </w:tcBorders>
            <w:shd w:val="clear" w:color="000000" w:fill="FFFFFF"/>
            <w:vAlign w:val="bottom"/>
          </w:tcPr>
          <w:p w14:paraId="235A0652"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209D9757" w14:textId="1C96BB51" w:rsidR="00886F8D" w:rsidRPr="001F224B" w:rsidRDefault="00886F8D" w:rsidP="00886F8D">
            <w:pPr>
              <w:jc w:val="right"/>
              <w:rPr>
                <w:sz w:val="20"/>
                <w:szCs w:val="20"/>
              </w:rPr>
            </w:pPr>
            <w:r w:rsidRPr="001F224B">
              <w:rPr>
                <w:sz w:val="20"/>
                <w:szCs w:val="20"/>
              </w:rPr>
              <w:t>-</w:t>
            </w:r>
          </w:p>
        </w:tc>
      </w:tr>
      <w:tr w:rsidR="00886F8D" w:rsidRPr="001F224B" w14:paraId="04EA30C3" w14:textId="7C1C386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E33FA93" w14:textId="77777777" w:rsidR="00886F8D" w:rsidRPr="001F224B" w:rsidRDefault="00886F8D" w:rsidP="00886F8D">
            <w:pPr>
              <w:rPr>
                <w:sz w:val="20"/>
                <w:szCs w:val="20"/>
              </w:rPr>
            </w:pPr>
            <w:r w:rsidRPr="001F224B">
              <w:rPr>
                <w:sz w:val="20"/>
                <w:szCs w:val="20"/>
              </w:rPr>
              <w:t xml:space="preserve">Kanunun 56’ncı maddesinin dördüncü fıkrasına aykırı olarak edinilen paylar </w:t>
            </w:r>
          </w:p>
        </w:tc>
        <w:tc>
          <w:tcPr>
            <w:tcW w:w="826" w:type="pct"/>
            <w:tcBorders>
              <w:top w:val="nil"/>
              <w:left w:val="nil"/>
              <w:bottom w:val="single" w:sz="4" w:space="0" w:color="auto"/>
              <w:right w:val="single" w:sz="4" w:space="0" w:color="auto"/>
            </w:tcBorders>
            <w:shd w:val="clear" w:color="000000" w:fill="FFFFFF"/>
            <w:vAlign w:val="bottom"/>
          </w:tcPr>
          <w:p w14:paraId="0B20D078"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659C6D8B" w14:textId="5D9CE49F" w:rsidR="00886F8D" w:rsidRPr="001F224B" w:rsidRDefault="00886F8D" w:rsidP="00886F8D">
            <w:pPr>
              <w:jc w:val="right"/>
              <w:rPr>
                <w:sz w:val="20"/>
                <w:szCs w:val="20"/>
              </w:rPr>
            </w:pPr>
            <w:r w:rsidRPr="001F224B">
              <w:rPr>
                <w:sz w:val="20"/>
                <w:szCs w:val="20"/>
              </w:rPr>
              <w:t>-</w:t>
            </w:r>
          </w:p>
        </w:tc>
      </w:tr>
      <w:tr w:rsidR="00886F8D" w:rsidRPr="001F224B" w14:paraId="4DECB039" w14:textId="302FFDBC" w:rsidTr="00886F8D">
        <w:trPr>
          <w:trHeight w:val="227"/>
        </w:trPr>
        <w:tc>
          <w:tcPr>
            <w:tcW w:w="33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275D5FEA" w14:textId="77777777" w:rsidR="00886F8D" w:rsidRPr="001F224B" w:rsidRDefault="00886F8D" w:rsidP="00886F8D">
            <w:pPr>
              <w:jc w:val="both"/>
              <w:rPr>
                <w:sz w:val="20"/>
                <w:szCs w:val="20"/>
              </w:rPr>
            </w:pPr>
            <w:r w:rsidRPr="001F224B">
              <w:rPr>
                <w:sz w:val="20"/>
                <w:szCs w:val="20"/>
              </w:rPr>
              <w:t xml:space="preserve">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4355AE4"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2EC60EF" w14:textId="66FB8B90" w:rsidR="00886F8D" w:rsidRPr="001F224B" w:rsidRDefault="00886F8D" w:rsidP="00886F8D">
            <w:pPr>
              <w:jc w:val="right"/>
              <w:rPr>
                <w:sz w:val="20"/>
                <w:szCs w:val="20"/>
              </w:rPr>
            </w:pPr>
            <w:r w:rsidRPr="001F224B">
              <w:rPr>
                <w:sz w:val="20"/>
                <w:szCs w:val="20"/>
              </w:rPr>
              <w:t>-</w:t>
            </w:r>
          </w:p>
        </w:tc>
      </w:tr>
      <w:tr w:rsidR="00886F8D" w:rsidRPr="001F224B" w14:paraId="41D07381" w14:textId="134EA62E"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0C315AEB" w14:textId="77777777" w:rsidR="00886F8D" w:rsidRPr="001F224B" w:rsidRDefault="00886F8D" w:rsidP="00886F8D">
            <w:pPr>
              <w:jc w:val="both"/>
              <w:rPr>
                <w:sz w:val="20"/>
                <w:szCs w:val="20"/>
              </w:rPr>
            </w:pPr>
            <w:r w:rsidRPr="001F224B">
              <w:rPr>
                <w:sz w:val="20"/>
                <w:szCs w:val="20"/>
              </w:rPr>
              <w:t xml:space="preserve">Ortaklık paylarının %10’dan daha fazlasına sahip olunan ve konsolide edilmeyen bankalar ve finansal kuruluşların çekirdek sermaye unsurlarına yapılan yatırımların net uzun pozisyonlarının çekirdek sermayenin %10’nunu aşan kısmı </w:t>
            </w:r>
          </w:p>
        </w:tc>
        <w:tc>
          <w:tcPr>
            <w:tcW w:w="826" w:type="pct"/>
            <w:tcBorders>
              <w:top w:val="nil"/>
              <w:left w:val="nil"/>
              <w:bottom w:val="single" w:sz="4" w:space="0" w:color="auto"/>
              <w:right w:val="single" w:sz="4" w:space="0" w:color="auto"/>
            </w:tcBorders>
            <w:shd w:val="clear" w:color="000000" w:fill="FFFFFF"/>
            <w:vAlign w:val="bottom"/>
          </w:tcPr>
          <w:p w14:paraId="5C79A589"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31A76307" w14:textId="5B26116A" w:rsidR="00886F8D" w:rsidRPr="001F224B" w:rsidRDefault="00886F8D" w:rsidP="00886F8D">
            <w:pPr>
              <w:jc w:val="right"/>
              <w:rPr>
                <w:sz w:val="20"/>
                <w:szCs w:val="20"/>
              </w:rPr>
            </w:pPr>
            <w:r w:rsidRPr="001F224B">
              <w:rPr>
                <w:sz w:val="20"/>
                <w:szCs w:val="20"/>
              </w:rPr>
              <w:t>-</w:t>
            </w:r>
          </w:p>
        </w:tc>
      </w:tr>
      <w:tr w:rsidR="00886F8D" w:rsidRPr="001F224B" w14:paraId="6E3A41A9" w14:textId="6C66F8BD"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4EBE391" w14:textId="77777777" w:rsidR="00886F8D" w:rsidRPr="001F224B" w:rsidRDefault="00886F8D" w:rsidP="00886F8D">
            <w:pPr>
              <w:rPr>
                <w:sz w:val="20"/>
                <w:szCs w:val="20"/>
              </w:rPr>
            </w:pPr>
            <w:r w:rsidRPr="001F224B">
              <w:rPr>
                <w:sz w:val="20"/>
                <w:szCs w:val="20"/>
              </w:rPr>
              <w:t>İpotek hizmeti sunma haklarının çekirdek sermayenin %10’nunu aşan kısmı</w:t>
            </w:r>
          </w:p>
        </w:tc>
        <w:tc>
          <w:tcPr>
            <w:tcW w:w="826" w:type="pct"/>
            <w:tcBorders>
              <w:top w:val="nil"/>
              <w:left w:val="nil"/>
              <w:bottom w:val="single" w:sz="4" w:space="0" w:color="auto"/>
              <w:right w:val="single" w:sz="4" w:space="0" w:color="auto"/>
            </w:tcBorders>
            <w:shd w:val="clear" w:color="000000" w:fill="FFFFFF"/>
            <w:vAlign w:val="bottom"/>
          </w:tcPr>
          <w:p w14:paraId="18862B5D"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6C656F0E" w14:textId="5E77043F" w:rsidR="00886F8D" w:rsidRPr="001F224B" w:rsidRDefault="00886F8D" w:rsidP="00886F8D">
            <w:pPr>
              <w:jc w:val="right"/>
              <w:rPr>
                <w:sz w:val="20"/>
                <w:szCs w:val="20"/>
              </w:rPr>
            </w:pPr>
            <w:r w:rsidRPr="001F224B">
              <w:rPr>
                <w:sz w:val="20"/>
                <w:szCs w:val="20"/>
              </w:rPr>
              <w:t>-</w:t>
            </w:r>
          </w:p>
        </w:tc>
      </w:tr>
      <w:tr w:rsidR="00886F8D" w:rsidRPr="001F224B" w14:paraId="27F11D08" w14:textId="416DBEB9"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4BF5D70C" w14:textId="77777777" w:rsidR="00886F8D" w:rsidRPr="001F224B" w:rsidRDefault="00886F8D" w:rsidP="00886F8D">
            <w:pPr>
              <w:jc w:val="both"/>
              <w:rPr>
                <w:sz w:val="20"/>
                <w:szCs w:val="20"/>
              </w:rPr>
            </w:pPr>
            <w:r w:rsidRPr="001F224B">
              <w:rPr>
                <w:sz w:val="20"/>
                <w:szCs w:val="20"/>
              </w:rPr>
              <w:t xml:space="preserve">Geçici farklara dayanan ertelenmiş vergi varlıklarının çekirdek sermayenin %10’nunu aşan kısmı </w:t>
            </w:r>
          </w:p>
        </w:tc>
        <w:tc>
          <w:tcPr>
            <w:tcW w:w="826" w:type="pct"/>
            <w:tcBorders>
              <w:top w:val="nil"/>
              <w:left w:val="nil"/>
              <w:bottom w:val="single" w:sz="4" w:space="0" w:color="auto"/>
              <w:right w:val="single" w:sz="4" w:space="0" w:color="auto"/>
            </w:tcBorders>
            <w:shd w:val="clear" w:color="000000" w:fill="FFFFFF"/>
            <w:vAlign w:val="bottom"/>
          </w:tcPr>
          <w:p w14:paraId="3147BB81"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CAD66F4" w14:textId="16EABE94" w:rsidR="00886F8D" w:rsidRPr="001F224B" w:rsidRDefault="00886F8D" w:rsidP="00886F8D">
            <w:pPr>
              <w:jc w:val="right"/>
              <w:rPr>
                <w:sz w:val="20"/>
                <w:szCs w:val="20"/>
              </w:rPr>
            </w:pPr>
            <w:r w:rsidRPr="001F224B">
              <w:rPr>
                <w:sz w:val="20"/>
                <w:szCs w:val="20"/>
              </w:rPr>
              <w:t>-</w:t>
            </w:r>
          </w:p>
        </w:tc>
      </w:tr>
      <w:tr w:rsidR="00886F8D" w:rsidRPr="001F224B" w14:paraId="4AC49E4A" w14:textId="276CB7BF"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67F37539" w14:textId="77777777" w:rsidR="00886F8D" w:rsidRPr="001F224B" w:rsidRDefault="00886F8D" w:rsidP="00886F8D">
            <w:pPr>
              <w:rPr>
                <w:sz w:val="20"/>
                <w:szCs w:val="20"/>
              </w:rPr>
            </w:pPr>
            <w:r w:rsidRPr="001F224B">
              <w:rPr>
                <w:sz w:val="20"/>
                <w:szCs w:val="20"/>
              </w:rPr>
              <w:t xml:space="preserve">Bankaların Özkaynaklarına İlişkin Yönetmeliğin Geçici 2’nci maddesinin ikinci fıkrası uyarınca çekirdek sermayenin %15’ini aşan tutarlar </w:t>
            </w:r>
          </w:p>
        </w:tc>
        <w:tc>
          <w:tcPr>
            <w:tcW w:w="826" w:type="pct"/>
            <w:tcBorders>
              <w:top w:val="nil"/>
              <w:left w:val="nil"/>
              <w:bottom w:val="single" w:sz="4" w:space="0" w:color="auto"/>
              <w:right w:val="single" w:sz="4" w:space="0" w:color="auto"/>
            </w:tcBorders>
            <w:shd w:val="clear" w:color="000000" w:fill="FFFFFF"/>
            <w:vAlign w:val="bottom"/>
          </w:tcPr>
          <w:p w14:paraId="01E50A31"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5A99EF49" w14:textId="469DF780" w:rsidR="00886F8D" w:rsidRPr="001F224B" w:rsidRDefault="00886F8D" w:rsidP="00886F8D">
            <w:pPr>
              <w:jc w:val="right"/>
              <w:rPr>
                <w:sz w:val="20"/>
                <w:szCs w:val="20"/>
              </w:rPr>
            </w:pPr>
            <w:r w:rsidRPr="001F224B">
              <w:rPr>
                <w:sz w:val="20"/>
                <w:szCs w:val="20"/>
              </w:rPr>
              <w:t>-</w:t>
            </w:r>
          </w:p>
        </w:tc>
      </w:tr>
      <w:tr w:rsidR="00886F8D" w:rsidRPr="001F224B" w14:paraId="08BCE5BC" w14:textId="5DADB39E" w:rsidTr="00933158">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3F96854" w14:textId="77777777" w:rsidR="00886F8D" w:rsidRPr="001F224B" w:rsidRDefault="00886F8D" w:rsidP="00886F8D">
            <w:pPr>
              <w:rPr>
                <w:sz w:val="20"/>
                <w:szCs w:val="20"/>
              </w:rPr>
            </w:pPr>
            <w:r w:rsidRPr="001F224B">
              <w:rPr>
                <w:sz w:val="20"/>
                <w:szCs w:val="20"/>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826" w:type="pct"/>
            <w:tcBorders>
              <w:top w:val="nil"/>
              <w:left w:val="nil"/>
              <w:bottom w:val="single" w:sz="4" w:space="0" w:color="auto"/>
              <w:right w:val="single" w:sz="4" w:space="0" w:color="auto"/>
            </w:tcBorders>
            <w:shd w:val="clear" w:color="000000" w:fill="FFFFFF"/>
            <w:vAlign w:val="bottom"/>
          </w:tcPr>
          <w:p w14:paraId="4224617E"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5BCB092" w14:textId="352CCB22" w:rsidR="00886F8D" w:rsidRPr="001F224B" w:rsidRDefault="00886F8D" w:rsidP="00886F8D">
            <w:pPr>
              <w:jc w:val="right"/>
              <w:rPr>
                <w:sz w:val="20"/>
                <w:szCs w:val="20"/>
              </w:rPr>
            </w:pPr>
            <w:r w:rsidRPr="001F224B">
              <w:rPr>
                <w:sz w:val="20"/>
                <w:szCs w:val="20"/>
              </w:rPr>
              <w:t>-</w:t>
            </w:r>
          </w:p>
        </w:tc>
      </w:tr>
      <w:tr w:rsidR="00886F8D" w:rsidRPr="001F224B" w14:paraId="2A60CB92" w14:textId="3C719A60" w:rsidTr="00933158">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1C6114C" w14:textId="77777777" w:rsidR="00886F8D" w:rsidRPr="001F224B" w:rsidRDefault="00886F8D" w:rsidP="00886F8D">
            <w:pPr>
              <w:rPr>
                <w:sz w:val="20"/>
                <w:szCs w:val="20"/>
              </w:rPr>
            </w:pPr>
            <w:r w:rsidRPr="001F224B">
              <w:rPr>
                <w:sz w:val="20"/>
                <w:szCs w:val="20"/>
              </w:rPr>
              <w:t xml:space="preserve">İpotek hizmeti sunma haklarından kaynaklanan aşım tutarı </w:t>
            </w:r>
          </w:p>
        </w:tc>
        <w:tc>
          <w:tcPr>
            <w:tcW w:w="826" w:type="pct"/>
            <w:tcBorders>
              <w:top w:val="nil"/>
              <w:left w:val="nil"/>
              <w:bottom w:val="single" w:sz="4" w:space="0" w:color="auto"/>
              <w:right w:val="single" w:sz="4" w:space="0" w:color="auto"/>
            </w:tcBorders>
            <w:shd w:val="clear" w:color="000000" w:fill="FFFFFF"/>
            <w:vAlign w:val="bottom"/>
          </w:tcPr>
          <w:p w14:paraId="36926CB2" w14:textId="77777777" w:rsidR="00886F8D" w:rsidRPr="001F224B" w:rsidRDefault="00886F8D" w:rsidP="00886F8D">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6687D04" w14:textId="1279A4D5" w:rsidR="00886F8D" w:rsidRPr="001F224B" w:rsidRDefault="00886F8D" w:rsidP="00886F8D">
            <w:pPr>
              <w:jc w:val="right"/>
              <w:rPr>
                <w:sz w:val="20"/>
                <w:szCs w:val="20"/>
              </w:rPr>
            </w:pPr>
            <w:r w:rsidRPr="001F224B">
              <w:rPr>
                <w:sz w:val="20"/>
                <w:szCs w:val="20"/>
              </w:rPr>
              <w:t>-</w:t>
            </w:r>
          </w:p>
        </w:tc>
      </w:tr>
      <w:tr w:rsidR="00EA5529" w:rsidRPr="001F224B" w14:paraId="2D6AB8A8" w14:textId="35E7D609" w:rsidTr="003322CA">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E6E70E3" w14:textId="77777777" w:rsidR="00EA5529" w:rsidRPr="001F224B" w:rsidRDefault="00EA5529" w:rsidP="00EA5529">
            <w:pPr>
              <w:rPr>
                <w:sz w:val="20"/>
                <w:szCs w:val="20"/>
              </w:rPr>
            </w:pPr>
            <w:r w:rsidRPr="001F224B">
              <w:rPr>
                <w:sz w:val="20"/>
                <w:szCs w:val="20"/>
              </w:rPr>
              <w:t xml:space="preserve">Geçici farklara dayanan ertelenmiş vergi varlıklarından kaynaklanan aşım tutarı </w:t>
            </w:r>
          </w:p>
        </w:tc>
        <w:tc>
          <w:tcPr>
            <w:tcW w:w="826" w:type="pct"/>
            <w:tcBorders>
              <w:top w:val="nil"/>
              <w:left w:val="nil"/>
              <w:bottom w:val="single" w:sz="4" w:space="0" w:color="auto"/>
              <w:right w:val="single" w:sz="4" w:space="0" w:color="auto"/>
            </w:tcBorders>
            <w:shd w:val="clear" w:color="000000" w:fill="FFFFFF"/>
            <w:vAlign w:val="bottom"/>
          </w:tcPr>
          <w:p w14:paraId="4DED8DEE" w14:textId="0B7F5AD8" w:rsidR="00EA5529" w:rsidRPr="001F224B" w:rsidRDefault="003322CA" w:rsidP="00EA5529">
            <w:pPr>
              <w:jc w:val="right"/>
              <w:rPr>
                <w:sz w:val="20"/>
                <w:szCs w:val="20"/>
              </w:rPr>
            </w:pPr>
            <w:r w:rsidRPr="001F224B">
              <w:rPr>
                <w:sz w:val="20"/>
                <w:szCs w:val="20"/>
              </w:rPr>
              <w:t>477.106</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C0FC10E" w14:textId="0123E931" w:rsidR="00EA5529" w:rsidRPr="001F224B" w:rsidRDefault="00EA5529" w:rsidP="00EA5529">
            <w:pPr>
              <w:jc w:val="right"/>
              <w:rPr>
                <w:sz w:val="20"/>
                <w:szCs w:val="20"/>
              </w:rPr>
            </w:pPr>
            <w:r w:rsidRPr="001F224B">
              <w:rPr>
                <w:sz w:val="20"/>
                <w:szCs w:val="20"/>
              </w:rPr>
              <w:t>479.355</w:t>
            </w:r>
          </w:p>
        </w:tc>
      </w:tr>
      <w:tr w:rsidR="00EA5529" w:rsidRPr="001F224B" w14:paraId="7322A99B" w14:textId="3194080D" w:rsidTr="003322CA">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23ACCA9" w14:textId="77777777" w:rsidR="00EA5529" w:rsidRPr="001F224B" w:rsidRDefault="00EA5529" w:rsidP="00EA5529">
            <w:pPr>
              <w:rPr>
                <w:sz w:val="20"/>
                <w:szCs w:val="20"/>
              </w:rPr>
            </w:pPr>
            <w:r w:rsidRPr="001F224B">
              <w:rPr>
                <w:sz w:val="20"/>
                <w:szCs w:val="20"/>
              </w:rPr>
              <w:t xml:space="preserve">Kurulca belirlenecek diğer kalemler </w:t>
            </w:r>
          </w:p>
        </w:tc>
        <w:tc>
          <w:tcPr>
            <w:tcW w:w="826" w:type="pct"/>
            <w:tcBorders>
              <w:top w:val="nil"/>
              <w:left w:val="nil"/>
              <w:bottom w:val="single" w:sz="4" w:space="0" w:color="auto"/>
              <w:right w:val="single" w:sz="4" w:space="0" w:color="auto"/>
            </w:tcBorders>
            <w:shd w:val="clear" w:color="000000" w:fill="FFFFFF"/>
            <w:vAlign w:val="bottom"/>
          </w:tcPr>
          <w:p w14:paraId="54CA621C" w14:textId="77777777"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C7D75C6" w14:textId="28DF74FD" w:rsidR="00EA5529" w:rsidRPr="001F224B" w:rsidRDefault="00EA5529" w:rsidP="00EA5529">
            <w:pPr>
              <w:jc w:val="right"/>
              <w:rPr>
                <w:sz w:val="20"/>
                <w:szCs w:val="20"/>
              </w:rPr>
            </w:pPr>
            <w:r w:rsidRPr="001F224B">
              <w:rPr>
                <w:sz w:val="20"/>
                <w:szCs w:val="20"/>
              </w:rPr>
              <w:t>-</w:t>
            </w:r>
          </w:p>
        </w:tc>
      </w:tr>
      <w:tr w:rsidR="00EA5529" w:rsidRPr="001F224B" w14:paraId="3E5A9B22" w14:textId="4F1B1EEF" w:rsidTr="003322CA">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13D18C8F" w14:textId="77777777" w:rsidR="00EA5529" w:rsidRPr="001F224B" w:rsidRDefault="00EA5529" w:rsidP="00EA5529">
            <w:pPr>
              <w:jc w:val="both"/>
              <w:rPr>
                <w:sz w:val="20"/>
                <w:szCs w:val="20"/>
              </w:rPr>
            </w:pPr>
            <w:r w:rsidRPr="001F224B">
              <w:rPr>
                <w:sz w:val="20"/>
                <w:szCs w:val="20"/>
              </w:rPr>
              <w:t xml:space="preserve">Yeterli ilave ana sermaye veya katkı sermaye bulunmaması halinde çekirdek sermayeden indirim yapılacak tutar </w:t>
            </w:r>
          </w:p>
        </w:tc>
        <w:tc>
          <w:tcPr>
            <w:tcW w:w="826" w:type="pct"/>
            <w:tcBorders>
              <w:top w:val="nil"/>
              <w:left w:val="nil"/>
              <w:bottom w:val="single" w:sz="4" w:space="0" w:color="auto"/>
              <w:right w:val="single" w:sz="4" w:space="0" w:color="auto"/>
            </w:tcBorders>
            <w:shd w:val="clear" w:color="000000" w:fill="FFFFFF"/>
            <w:vAlign w:val="bottom"/>
          </w:tcPr>
          <w:p w14:paraId="6909F721" w14:textId="77777777"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45EACAB" w14:textId="1CE858DF" w:rsidR="00EA5529" w:rsidRPr="001F224B" w:rsidRDefault="00EA5529" w:rsidP="00EA5529">
            <w:pPr>
              <w:jc w:val="right"/>
              <w:rPr>
                <w:sz w:val="20"/>
                <w:szCs w:val="20"/>
              </w:rPr>
            </w:pPr>
            <w:r w:rsidRPr="001F224B">
              <w:rPr>
                <w:sz w:val="20"/>
                <w:szCs w:val="20"/>
              </w:rPr>
              <w:t>-</w:t>
            </w:r>
          </w:p>
        </w:tc>
      </w:tr>
      <w:tr w:rsidR="003322CA" w:rsidRPr="001F224B" w14:paraId="55CC64B1" w14:textId="3ABF8191" w:rsidTr="003322CA">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34FE41A4" w14:textId="77777777" w:rsidR="003322CA" w:rsidRPr="001F224B" w:rsidRDefault="003322CA" w:rsidP="003322CA">
            <w:pPr>
              <w:rPr>
                <w:b/>
                <w:bCs/>
                <w:sz w:val="20"/>
                <w:szCs w:val="20"/>
              </w:rPr>
            </w:pPr>
            <w:r w:rsidRPr="001F224B">
              <w:rPr>
                <w:b/>
                <w:bCs/>
                <w:sz w:val="20"/>
                <w:szCs w:val="20"/>
              </w:rPr>
              <w:t>Çekirdek Sermayeden Yapılan İndirimler Toplamı</w:t>
            </w:r>
          </w:p>
        </w:tc>
        <w:tc>
          <w:tcPr>
            <w:tcW w:w="826" w:type="pct"/>
            <w:tcBorders>
              <w:top w:val="nil"/>
              <w:left w:val="nil"/>
              <w:bottom w:val="single" w:sz="4" w:space="0" w:color="auto"/>
              <w:right w:val="single" w:sz="4" w:space="0" w:color="auto"/>
            </w:tcBorders>
            <w:shd w:val="clear" w:color="000000" w:fill="FFFFFF"/>
            <w:vAlign w:val="bottom"/>
          </w:tcPr>
          <w:p w14:paraId="192905B3" w14:textId="0176FEB2" w:rsidR="003322CA" w:rsidRPr="001F224B" w:rsidRDefault="003322CA" w:rsidP="003322CA">
            <w:pPr>
              <w:jc w:val="right"/>
              <w:rPr>
                <w:b/>
                <w:sz w:val="20"/>
                <w:szCs w:val="20"/>
              </w:rPr>
            </w:pPr>
            <w:r w:rsidRPr="001F224B">
              <w:rPr>
                <w:b/>
                <w:sz w:val="20"/>
                <w:szCs w:val="20"/>
              </w:rPr>
              <w:t>592.783</w:t>
            </w:r>
          </w:p>
        </w:tc>
        <w:tc>
          <w:tcPr>
            <w:tcW w:w="826" w:type="pct"/>
            <w:tcBorders>
              <w:top w:val="single" w:sz="4" w:space="0" w:color="auto"/>
              <w:left w:val="nil"/>
              <w:bottom w:val="single" w:sz="4" w:space="0" w:color="auto"/>
              <w:right w:val="single" w:sz="4" w:space="0" w:color="auto"/>
            </w:tcBorders>
            <w:shd w:val="clear" w:color="000000" w:fill="FFFFFF"/>
          </w:tcPr>
          <w:p w14:paraId="1305CBFA" w14:textId="37F2DCFC" w:rsidR="003322CA" w:rsidRPr="001F224B" w:rsidRDefault="003322CA" w:rsidP="003322CA">
            <w:pPr>
              <w:jc w:val="right"/>
              <w:rPr>
                <w:b/>
                <w:bCs/>
                <w:sz w:val="20"/>
                <w:szCs w:val="20"/>
              </w:rPr>
            </w:pPr>
            <w:r w:rsidRPr="001F224B">
              <w:rPr>
                <w:b/>
                <w:sz w:val="20"/>
                <w:szCs w:val="20"/>
              </w:rPr>
              <w:t>582.663</w:t>
            </w:r>
          </w:p>
        </w:tc>
      </w:tr>
      <w:tr w:rsidR="003322CA" w:rsidRPr="001F224B" w14:paraId="1751DCCF" w14:textId="57678779" w:rsidTr="003322CA">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1D3FAAC7" w14:textId="77777777" w:rsidR="003322CA" w:rsidRPr="001F224B" w:rsidRDefault="003322CA" w:rsidP="003322CA">
            <w:pPr>
              <w:rPr>
                <w:b/>
                <w:bCs/>
                <w:sz w:val="20"/>
                <w:szCs w:val="20"/>
              </w:rPr>
            </w:pPr>
            <w:r w:rsidRPr="001F224B">
              <w:rPr>
                <w:b/>
                <w:bCs/>
                <w:sz w:val="20"/>
                <w:szCs w:val="20"/>
              </w:rPr>
              <w:t>Çekirdek Sermaye Toplamı</w:t>
            </w:r>
          </w:p>
        </w:tc>
        <w:tc>
          <w:tcPr>
            <w:tcW w:w="826" w:type="pct"/>
            <w:tcBorders>
              <w:top w:val="nil"/>
              <w:left w:val="nil"/>
              <w:bottom w:val="single" w:sz="4" w:space="0" w:color="auto"/>
              <w:right w:val="single" w:sz="4" w:space="0" w:color="auto"/>
            </w:tcBorders>
            <w:shd w:val="clear" w:color="000000" w:fill="FFFFFF"/>
            <w:vAlign w:val="bottom"/>
          </w:tcPr>
          <w:p w14:paraId="2E874AEB" w14:textId="52DE4163" w:rsidR="003322CA" w:rsidRPr="001F224B" w:rsidRDefault="003322CA" w:rsidP="003322CA">
            <w:pPr>
              <w:jc w:val="right"/>
              <w:rPr>
                <w:b/>
                <w:sz w:val="20"/>
                <w:szCs w:val="20"/>
              </w:rPr>
            </w:pPr>
            <w:r w:rsidRPr="001F224B">
              <w:rPr>
                <w:b/>
                <w:sz w:val="20"/>
                <w:szCs w:val="20"/>
              </w:rPr>
              <w:t>27.971.934</w:t>
            </w:r>
          </w:p>
        </w:tc>
        <w:tc>
          <w:tcPr>
            <w:tcW w:w="826" w:type="pct"/>
            <w:tcBorders>
              <w:top w:val="single" w:sz="4" w:space="0" w:color="auto"/>
              <w:left w:val="nil"/>
              <w:bottom w:val="single" w:sz="4" w:space="0" w:color="auto"/>
              <w:right w:val="single" w:sz="4" w:space="0" w:color="auto"/>
            </w:tcBorders>
            <w:shd w:val="clear" w:color="000000" w:fill="FFFFFF"/>
          </w:tcPr>
          <w:p w14:paraId="1B184D5A" w14:textId="5F827A24" w:rsidR="003322CA" w:rsidRPr="001F224B" w:rsidRDefault="003322CA" w:rsidP="003322CA">
            <w:pPr>
              <w:jc w:val="right"/>
              <w:rPr>
                <w:b/>
                <w:bCs/>
                <w:sz w:val="20"/>
                <w:szCs w:val="20"/>
              </w:rPr>
            </w:pPr>
            <w:r w:rsidRPr="001F224B">
              <w:rPr>
                <w:b/>
                <w:sz w:val="20"/>
                <w:szCs w:val="20"/>
              </w:rPr>
              <w:t>19.465.244</w:t>
            </w:r>
          </w:p>
        </w:tc>
      </w:tr>
      <w:tr w:rsidR="00EA5529" w:rsidRPr="001F224B" w14:paraId="74297F06" w14:textId="5834FFAD"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3A90B6F5" w14:textId="77777777" w:rsidR="00EA5529" w:rsidRPr="001F224B" w:rsidRDefault="00EA5529" w:rsidP="00EA5529">
            <w:pPr>
              <w:rPr>
                <w:b/>
                <w:bCs/>
                <w:sz w:val="20"/>
                <w:szCs w:val="20"/>
              </w:rPr>
            </w:pPr>
            <w:r w:rsidRPr="001F224B">
              <w:rPr>
                <w:b/>
                <w:bCs/>
                <w:sz w:val="20"/>
                <w:szCs w:val="20"/>
              </w:rPr>
              <w:t>İLAVE ANA SERMAYE</w:t>
            </w:r>
          </w:p>
        </w:tc>
        <w:tc>
          <w:tcPr>
            <w:tcW w:w="826" w:type="pct"/>
            <w:tcBorders>
              <w:top w:val="nil"/>
              <w:left w:val="nil"/>
              <w:bottom w:val="single" w:sz="4" w:space="0" w:color="auto"/>
              <w:right w:val="single" w:sz="4" w:space="0" w:color="auto"/>
            </w:tcBorders>
            <w:shd w:val="clear" w:color="000000" w:fill="FFFFFF"/>
            <w:vAlign w:val="bottom"/>
          </w:tcPr>
          <w:p w14:paraId="5CC7B2F6" w14:textId="77777777" w:rsidR="00EA5529" w:rsidRPr="001F224B" w:rsidRDefault="00EA5529" w:rsidP="00EA5529">
            <w:pPr>
              <w:jc w:val="right"/>
              <w:rPr>
                <w:sz w:val="20"/>
                <w:szCs w:val="20"/>
              </w:rPr>
            </w:pPr>
          </w:p>
        </w:tc>
        <w:tc>
          <w:tcPr>
            <w:tcW w:w="826" w:type="pct"/>
            <w:tcBorders>
              <w:top w:val="single" w:sz="4" w:space="0" w:color="auto"/>
              <w:left w:val="nil"/>
              <w:bottom w:val="single" w:sz="4" w:space="0" w:color="auto"/>
              <w:right w:val="single" w:sz="4" w:space="0" w:color="auto"/>
            </w:tcBorders>
            <w:shd w:val="clear" w:color="000000" w:fill="FFFFFF"/>
            <w:vAlign w:val="bottom"/>
          </w:tcPr>
          <w:p w14:paraId="020E7E5E" w14:textId="77777777" w:rsidR="00EA5529" w:rsidRPr="001F224B" w:rsidRDefault="00EA5529" w:rsidP="00EA5529">
            <w:pPr>
              <w:jc w:val="right"/>
              <w:rPr>
                <w:sz w:val="20"/>
                <w:szCs w:val="20"/>
              </w:rPr>
            </w:pPr>
          </w:p>
        </w:tc>
      </w:tr>
      <w:tr w:rsidR="00EA5529" w:rsidRPr="001F224B" w14:paraId="2A413A6A" w14:textId="5C3599F8"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6FB0C73" w14:textId="77777777" w:rsidR="00EA5529" w:rsidRPr="001F224B" w:rsidRDefault="00EA5529" w:rsidP="00EA5529">
            <w:pPr>
              <w:jc w:val="both"/>
              <w:rPr>
                <w:sz w:val="20"/>
                <w:szCs w:val="20"/>
              </w:rPr>
            </w:pPr>
            <w:r w:rsidRPr="001F224B">
              <w:rPr>
                <w:sz w:val="20"/>
                <w:szCs w:val="20"/>
              </w:rPr>
              <w:t xml:space="preserve">Çekirdek sermayeye dahil edilmeyen imtiyazlı paylara tekabül eden sermaye ile bunlara ilişkin ihraç primleri </w:t>
            </w:r>
          </w:p>
        </w:tc>
        <w:tc>
          <w:tcPr>
            <w:tcW w:w="826" w:type="pct"/>
            <w:tcBorders>
              <w:top w:val="nil"/>
              <w:left w:val="nil"/>
              <w:bottom w:val="single" w:sz="4" w:space="0" w:color="auto"/>
              <w:right w:val="single" w:sz="4" w:space="0" w:color="auto"/>
            </w:tcBorders>
            <w:shd w:val="clear" w:color="000000" w:fill="FFFFFF"/>
            <w:vAlign w:val="bottom"/>
          </w:tcPr>
          <w:p w14:paraId="1819A0F9" w14:textId="77777777"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3CF7E303" w14:textId="0125EF67" w:rsidR="00EA5529" w:rsidRPr="001F224B" w:rsidRDefault="00EA5529" w:rsidP="00EA5529">
            <w:pPr>
              <w:jc w:val="right"/>
              <w:rPr>
                <w:sz w:val="20"/>
                <w:szCs w:val="20"/>
              </w:rPr>
            </w:pPr>
            <w:r w:rsidRPr="001F224B">
              <w:rPr>
                <w:sz w:val="20"/>
                <w:szCs w:val="20"/>
              </w:rPr>
              <w:t>-</w:t>
            </w:r>
          </w:p>
        </w:tc>
      </w:tr>
      <w:tr w:rsidR="00EA5529" w:rsidRPr="001F224B" w14:paraId="3CF0A419" w14:textId="0C55A6C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236AB2B3" w14:textId="77777777" w:rsidR="00EA5529" w:rsidRPr="001F224B" w:rsidRDefault="00EA5529" w:rsidP="00EA5529">
            <w:pPr>
              <w:rPr>
                <w:sz w:val="20"/>
                <w:szCs w:val="20"/>
              </w:rPr>
            </w:pPr>
            <w:r w:rsidRPr="001F224B">
              <w:rPr>
                <w:sz w:val="20"/>
                <w:szCs w:val="20"/>
              </w:rPr>
              <w:t xml:space="preserve">Kurumca uygun görülen borçlanma araçları ve bunlara ilişkin ihraç primleri  </w:t>
            </w:r>
          </w:p>
        </w:tc>
        <w:tc>
          <w:tcPr>
            <w:tcW w:w="826" w:type="pct"/>
            <w:tcBorders>
              <w:top w:val="nil"/>
              <w:left w:val="nil"/>
              <w:bottom w:val="single" w:sz="4" w:space="0" w:color="auto"/>
              <w:right w:val="single" w:sz="4" w:space="0" w:color="auto"/>
            </w:tcBorders>
            <w:shd w:val="clear" w:color="000000" w:fill="FFFFFF"/>
            <w:vAlign w:val="bottom"/>
          </w:tcPr>
          <w:p w14:paraId="4F564DB9" w14:textId="44902218" w:rsidR="00EA5529" w:rsidRPr="001F224B" w:rsidRDefault="00EA5529" w:rsidP="00EA5529">
            <w:pPr>
              <w:jc w:val="right"/>
              <w:rPr>
                <w:sz w:val="20"/>
                <w:szCs w:val="20"/>
              </w:rPr>
            </w:pPr>
            <w:r w:rsidRPr="001F224B">
              <w:rPr>
                <w:sz w:val="20"/>
                <w:szCs w:val="20"/>
              </w:rPr>
              <w:t>1.500.000</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24998FC8" w14:textId="5CF9897B" w:rsidR="00EA5529" w:rsidRPr="001F224B" w:rsidRDefault="00EA5529" w:rsidP="00EA5529">
            <w:pPr>
              <w:jc w:val="right"/>
              <w:rPr>
                <w:sz w:val="20"/>
                <w:szCs w:val="20"/>
              </w:rPr>
            </w:pPr>
            <w:r w:rsidRPr="001F224B">
              <w:rPr>
                <w:sz w:val="20"/>
                <w:szCs w:val="20"/>
              </w:rPr>
              <w:t>1.500.000</w:t>
            </w:r>
          </w:p>
        </w:tc>
      </w:tr>
      <w:tr w:rsidR="00EA5529" w:rsidRPr="001F224B" w14:paraId="14DDE913" w14:textId="02C54161"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6D43084" w14:textId="77777777" w:rsidR="00EA5529" w:rsidRPr="001F224B" w:rsidRDefault="00EA5529" w:rsidP="00EA5529">
            <w:pPr>
              <w:jc w:val="both"/>
              <w:rPr>
                <w:sz w:val="20"/>
                <w:szCs w:val="20"/>
              </w:rPr>
            </w:pPr>
            <w:r w:rsidRPr="001F224B">
              <w:rPr>
                <w:sz w:val="20"/>
                <w:szCs w:val="20"/>
              </w:rPr>
              <w:t>Kurumca uygun görülen borçlanma araçları ve bunlara ilişkin ihraç primleri  (Geçici Madde 4 kapsamında olanlar)</w:t>
            </w:r>
          </w:p>
        </w:tc>
        <w:tc>
          <w:tcPr>
            <w:tcW w:w="826" w:type="pct"/>
            <w:tcBorders>
              <w:top w:val="nil"/>
              <w:left w:val="nil"/>
              <w:bottom w:val="single" w:sz="4" w:space="0" w:color="auto"/>
              <w:right w:val="single" w:sz="4" w:space="0" w:color="auto"/>
            </w:tcBorders>
            <w:shd w:val="clear" w:color="000000" w:fill="FFFFFF"/>
            <w:vAlign w:val="bottom"/>
          </w:tcPr>
          <w:p w14:paraId="45562533" w14:textId="1C1959E0"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B782A70" w14:textId="0D6616A0" w:rsidR="00EA5529" w:rsidRPr="001F224B" w:rsidRDefault="00EA5529" w:rsidP="00EA5529">
            <w:pPr>
              <w:jc w:val="right"/>
              <w:rPr>
                <w:sz w:val="20"/>
                <w:szCs w:val="20"/>
              </w:rPr>
            </w:pPr>
            <w:r w:rsidRPr="001F224B">
              <w:rPr>
                <w:sz w:val="20"/>
                <w:szCs w:val="20"/>
              </w:rPr>
              <w:t>-</w:t>
            </w:r>
          </w:p>
        </w:tc>
      </w:tr>
      <w:tr w:rsidR="00EA5529" w:rsidRPr="001F224B" w14:paraId="3EF40767" w14:textId="4B5398D8"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tcPr>
          <w:p w14:paraId="204345B0" w14:textId="77777777" w:rsidR="00EA5529" w:rsidRPr="001F224B" w:rsidRDefault="00EA5529" w:rsidP="00EA5529">
            <w:pPr>
              <w:rPr>
                <w:b/>
                <w:bCs/>
                <w:sz w:val="20"/>
                <w:szCs w:val="20"/>
              </w:rPr>
            </w:pPr>
            <w:r w:rsidRPr="001F224B">
              <w:rPr>
                <w:sz w:val="20"/>
                <w:szCs w:val="20"/>
              </w:rPr>
              <w:t>Üçüncü Kişilerin ilave ana sermayedeki payları</w:t>
            </w:r>
          </w:p>
        </w:tc>
        <w:tc>
          <w:tcPr>
            <w:tcW w:w="826" w:type="pct"/>
            <w:tcBorders>
              <w:top w:val="nil"/>
              <w:left w:val="nil"/>
              <w:bottom w:val="single" w:sz="4" w:space="0" w:color="auto"/>
              <w:right w:val="single" w:sz="4" w:space="0" w:color="auto"/>
            </w:tcBorders>
            <w:shd w:val="clear" w:color="000000" w:fill="FFFFFF"/>
            <w:vAlign w:val="bottom"/>
          </w:tcPr>
          <w:p w14:paraId="4FD524DD" w14:textId="4ED301EA"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8602B51" w14:textId="397562FE" w:rsidR="00EA5529" w:rsidRPr="001F224B" w:rsidRDefault="00EA5529" w:rsidP="00EA5529">
            <w:pPr>
              <w:jc w:val="right"/>
              <w:rPr>
                <w:sz w:val="20"/>
                <w:szCs w:val="20"/>
              </w:rPr>
            </w:pPr>
            <w:r w:rsidRPr="001F224B">
              <w:rPr>
                <w:sz w:val="20"/>
                <w:szCs w:val="20"/>
              </w:rPr>
              <w:t>-</w:t>
            </w:r>
          </w:p>
        </w:tc>
      </w:tr>
      <w:tr w:rsidR="00EA5529" w:rsidRPr="001F224B" w14:paraId="6902BB73" w14:textId="767F238C"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tcPr>
          <w:p w14:paraId="32CCE172" w14:textId="77777777" w:rsidR="00EA5529" w:rsidRPr="001F224B" w:rsidRDefault="00EA5529" w:rsidP="00EA5529">
            <w:pPr>
              <w:rPr>
                <w:b/>
                <w:bCs/>
                <w:sz w:val="20"/>
                <w:szCs w:val="20"/>
              </w:rPr>
            </w:pPr>
            <w:r w:rsidRPr="001F224B">
              <w:rPr>
                <w:sz w:val="20"/>
                <w:szCs w:val="20"/>
              </w:rPr>
              <w:t>Üçüncü Kişilerin ilave ana sermayedeki payları (Geçici Madde 3 kapsamında olanlar)</w:t>
            </w:r>
          </w:p>
        </w:tc>
        <w:tc>
          <w:tcPr>
            <w:tcW w:w="826" w:type="pct"/>
            <w:tcBorders>
              <w:top w:val="nil"/>
              <w:left w:val="nil"/>
              <w:bottom w:val="single" w:sz="4" w:space="0" w:color="auto"/>
              <w:right w:val="single" w:sz="4" w:space="0" w:color="auto"/>
            </w:tcBorders>
            <w:shd w:val="clear" w:color="000000" w:fill="FFFFFF"/>
            <w:vAlign w:val="bottom"/>
          </w:tcPr>
          <w:p w14:paraId="78F1A2E2" w14:textId="0FFD4C1F"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58E79AF" w14:textId="70265A53" w:rsidR="00EA5529" w:rsidRPr="001F224B" w:rsidRDefault="00EA5529" w:rsidP="00EA5529">
            <w:pPr>
              <w:jc w:val="right"/>
              <w:rPr>
                <w:sz w:val="20"/>
                <w:szCs w:val="20"/>
              </w:rPr>
            </w:pPr>
            <w:r w:rsidRPr="001F224B">
              <w:rPr>
                <w:sz w:val="20"/>
                <w:szCs w:val="20"/>
              </w:rPr>
              <w:t>-</w:t>
            </w:r>
          </w:p>
        </w:tc>
      </w:tr>
      <w:tr w:rsidR="00EA5529" w:rsidRPr="001F224B" w14:paraId="0C4D5789" w14:textId="038F95F1"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28DE14A7" w14:textId="77777777" w:rsidR="00EA5529" w:rsidRPr="001F224B" w:rsidRDefault="00EA5529" w:rsidP="00EA5529">
            <w:pPr>
              <w:rPr>
                <w:b/>
                <w:bCs/>
                <w:sz w:val="20"/>
                <w:szCs w:val="20"/>
              </w:rPr>
            </w:pPr>
            <w:r w:rsidRPr="001F224B">
              <w:rPr>
                <w:b/>
                <w:bCs/>
                <w:sz w:val="20"/>
                <w:szCs w:val="20"/>
              </w:rPr>
              <w:t>İndirimler Öncesi İlave Ana Sermaye</w:t>
            </w:r>
          </w:p>
        </w:tc>
        <w:tc>
          <w:tcPr>
            <w:tcW w:w="826" w:type="pct"/>
            <w:tcBorders>
              <w:top w:val="nil"/>
              <w:left w:val="nil"/>
              <w:bottom w:val="single" w:sz="4" w:space="0" w:color="auto"/>
              <w:right w:val="single" w:sz="4" w:space="0" w:color="auto"/>
            </w:tcBorders>
            <w:shd w:val="clear" w:color="000000" w:fill="FFFFFF"/>
            <w:vAlign w:val="bottom"/>
          </w:tcPr>
          <w:p w14:paraId="6ACB1764" w14:textId="400389DE" w:rsidR="00EA5529" w:rsidRPr="001F224B" w:rsidRDefault="00EA5529" w:rsidP="00EA5529">
            <w:pPr>
              <w:jc w:val="right"/>
              <w:rPr>
                <w:b/>
                <w:bCs/>
                <w:sz w:val="20"/>
                <w:szCs w:val="20"/>
              </w:rPr>
            </w:pPr>
            <w:r w:rsidRPr="001F224B">
              <w:rPr>
                <w:b/>
                <w:bCs/>
                <w:sz w:val="20"/>
                <w:szCs w:val="20"/>
              </w:rPr>
              <w:t>1.500.000</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5A49A58C" w14:textId="3D2DDE53" w:rsidR="00EA5529" w:rsidRPr="001F224B" w:rsidRDefault="00EA5529" w:rsidP="00EA5529">
            <w:pPr>
              <w:jc w:val="right"/>
              <w:rPr>
                <w:b/>
                <w:bCs/>
                <w:sz w:val="20"/>
                <w:szCs w:val="20"/>
              </w:rPr>
            </w:pPr>
            <w:r w:rsidRPr="001F224B">
              <w:rPr>
                <w:b/>
                <w:bCs/>
                <w:sz w:val="20"/>
                <w:szCs w:val="20"/>
              </w:rPr>
              <w:t>1.500.000</w:t>
            </w:r>
          </w:p>
        </w:tc>
      </w:tr>
      <w:tr w:rsidR="00EA5529" w:rsidRPr="001F224B" w14:paraId="73709B25" w14:textId="33CBD9DC"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0E23CE28" w14:textId="77777777" w:rsidR="00EA5529" w:rsidRPr="001F224B" w:rsidRDefault="00EA5529" w:rsidP="00EA5529">
            <w:pPr>
              <w:rPr>
                <w:b/>
                <w:bCs/>
                <w:sz w:val="20"/>
                <w:szCs w:val="20"/>
              </w:rPr>
            </w:pPr>
            <w:r w:rsidRPr="001F224B">
              <w:rPr>
                <w:b/>
                <w:bCs/>
                <w:sz w:val="20"/>
                <w:szCs w:val="20"/>
              </w:rPr>
              <w:t>İlave Ana Sermayeden Yapılacak İndirimler</w:t>
            </w:r>
          </w:p>
        </w:tc>
        <w:tc>
          <w:tcPr>
            <w:tcW w:w="826" w:type="pct"/>
            <w:tcBorders>
              <w:top w:val="nil"/>
              <w:left w:val="nil"/>
              <w:bottom w:val="single" w:sz="4" w:space="0" w:color="auto"/>
              <w:right w:val="single" w:sz="4" w:space="0" w:color="auto"/>
            </w:tcBorders>
            <w:shd w:val="clear" w:color="000000" w:fill="FFFFFF"/>
            <w:vAlign w:val="bottom"/>
          </w:tcPr>
          <w:p w14:paraId="0EA88E87" w14:textId="0C8EDC81" w:rsidR="00EA5529" w:rsidRPr="001F224B" w:rsidRDefault="00EA5529" w:rsidP="00EA5529">
            <w:pPr>
              <w:jc w:val="right"/>
              <w:rPr>
                <w:b/>
                <w:bCs/>
                <w:sz w:val="20"/>
                <w:szCs w:val="20"/>
              </w:rPr>
            </w:pPr>
            <w:r w:rsidRPr="001F224B">
              <w:rPr>
                <w:b/>
                <w:bCs/>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5AA40927" w14:textId="3C7AD0F0" w:rsidR="00EA5529" w:rsidRPr="001F224B" w:rsidRDefault="00EA5529" w:rsidP="00EA5529">
            <w:pPr>
              <w:jc w:val="right"/>
              <w:rPr>
                <w:b/>
                <w:bCs/>
                <w:sz w:val="20"/>
                <w:szCs w:val="20"/>
              </w:rPr>
            </w:pPr>
            <w:r w:rsidRPr="001F224B">
              <w:rPr>
                <w:b/>
                <w:bCs/>
                <w:sz w:val="20"/>
                <w:szCs w:val="20"/>
              </w:rPr>
              <w:t>-</w:t>
            </w:r>
          </w:p>
        </w:tc>
      </w:tr>
      <w:tr w:rsidR="00EA5529" w:rsidRPr="001F224B" w14:paraId="588D576F" w14:textId="5976343E"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41FCCCEF" w14:textId="77777777" w:rsidR="00EA5529" w:rsidRPr="001F224B" w:rsidRDefault="00EA5529" w:rsidP="00EA5529">
            <w:pPr>
              <w:rPr>
                <w:sz w:val="20"/>
                <w:szCs w:val="20"/>
              </w:rPr>
            </w:pPr>
            <w:r w:rsidRPr="001F224B">
              <w:rPr>
                <w:sz w:val="20"/>
                <w:szCs w:val="20"/>
              </w:rPr>
              <w:t xml:space="preserve">Banka’nın kendi ilave ana sermayesine yapmış olduğu doğrudan veya dolaylı yatırımlar  </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A4EB548" w14:textId="77777777"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36F853C4" w14:textId="10D611DA" w:rsidR="00EA5529" w:rsidRPr="001F224B" w:rsidRDefault="00EA5529" w:rsidP="00EA5529">
            <w:pPr>
              <w:jc w:val="right"/>
              <w:rPr>
                <w:sz w:val="20"/>
                <w:szCs w:val="20"/>
              </w:rPr>
            </w:pPr>
            <w:r w:rsidRPr="001F224B">
              <w:rPr>
                <w:sz w:val="20"/>
                <w:szCs w:val="20"/>
              </w:rPr>
              <w:t>-</w:t>
            </w:r>
          </w:p>
        </w:tc>
      </w:tr>
      <w:tr w:rsidR="00EA5529" w:rsidRPr="001F224B" w14:paraId="650FB7E1" w14:textId="0C3D2C1A" w:rsidTr="00886F8D">
        <w:trPr>
          <w:trHeight w:val="227"/>
        </w:trPr>
        <w:tc>
          <w:tcPr>
            <w:tcW w:w="33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416013B7" w14:textId="77777777" w:rsidR="00EA5529" w:rsidRPr="001F224B" w:rsidRDefault="00EA5529" w:rsidP="00EA5529">
            <w:pPr>
              <w:jc w:val="both"/>
              <w:rPr>
                <w:sz w:val="20"/>
                <w:szCs w:val="20"/>
              </w:rPr>
            </w:pPr>
            <w:r w:rsidRPr="001F224B">
              <w:rPr>
                <w:sz w:val="20"/>
                <w:szCs w:val="20"/>
              </w:rPr>
              <w:t>Banka’nın ilave ana sermaye kalemlerine yatırım yapan bankalar ile finansal kuruluşlar tarafından ihraç edilen ve Yönetmeliğin 7’nci maddesinde belirtilen şartları taşıyan özkaynak kalemlerine bankanın yaptığı yatırımlar</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DE13DE2" w14:textId="77777777"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278BC9A5" w14:textId="26FCC541" w:rsidR="00EA5529" w:rsidRPr="001F224B" w:rsidRDefault="00EA5529" w:rsidP="00EA5529">
            <w:pPr>
              <w:jc w:val="right"/>
              <w:rPr>
                <w:sz w:val="20"/>
                <w:szCs w:val="20"/>
              </w:rPr>
            </w:pPr>
            <w:r w:rsidRPr="001F224B">
              <w:rPr>
                <w:sz w:val="20"/>
                <w:szCs w:val="20"/>
              </w:rPr>
              <w:t>-</w:t>
            </w:r>
          </w:p>
        </w:tc>
      </w:tr>
      <w:tr w:rsidR="00EA5529" w:rsidRPr="001F224B" w14:paraId="5A803931" w14:textId="03C32B73" w:rsidTr="00886F8D">
        <w:trPr>
          <w:trHeight w:val="227"/>
        </w:trPr>
        <w:tc>
          <w:tcPr>
            <w:tcW w:w="33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270E1618" w14:textId="77777777" w:rsidR="00EA5529" w:rsidRPr="001F224B" w:rsidRDefault="00EA5529" w:rsidP="00EA5529">
            <w:pPr>
              <w:jc w:val="both"/>
              <w:rPr>
                <w:sz w:val="20"/>
                <w:szCs w:val="20"/>
              </w:rPr>
            </w:pPr>
            <w:r w:rsidRPr="001F224B">
              <w:rPr>
                <w:sz w:val="20"/>
                <w:szCs w:val="20"/>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62726B03" w14:textId="77777777" w:rsidR="00EA5529" w:rsidRPr="001F224B" w:rsidRDefault="00EA5529" w:rsidP="00EA5529">
            <w:pPr>
              <w:jc w:val="right"/>
              <w:rPr>
                <w:sz w:val="20"/>
                <w:szCs w:val="20"/>
              </w:rPr>
            </w:pPr>
            <w:r w:rsidRPr="001F224B">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2560780" w14:textId="7FEA0FBA" w:rsidR="00EA5529" w:rsidRPr="001F224B" w:rsidRDefault="00EA5529" w:rsidP="00EA5529">
            <w:pPr>
              <w:jc w:val="right"/>
              <w:rPr>
                <w:sz w:val="20"/>
                <w:szCs w:val="20"/>
              </w:rPr>
            </w:pPr>
            <w:r w:rsidRPr="001F224B">
              <w:rPr>
                <w:sz w:val="20"/>
                <w:szCs w:val="20"/>
              </w:rPr>
              <w:t>-</w:t>
            </w:r>
          </w:p>
        </w:tc>
      </w:tr>
    </w:tbl>
    <w:p w14:paraId="041EE43F" w14:textId="77777777" w:rsidR="003A3FAC" w:rsidRPr="001F224B" w:rsidRDefault="003A3FAC" w:rsidP="003A3FAC">
      <w:pPr>
        <w:rPr>
          <w:b/>
          <w:bCs/>
          <w:sz w:val="22"/>
          <w:szCs w:val="22"/>
        </w:rPr>
      </w:pPr>
      <w:r w:rsidRPr="001F224B">
        <w:rPr>
          <w:b/>
          <w:bCs/>
          <w:sz w:val="22"/>
          <w:szCs w:val="22"/>
        </w:rPr>
        <w:br w:type="page"/>
      </w:r>
    </w:p>
    <w:p w14:paraId="052F7799" w14:textId="77777777" w:rsidR="008D59A4" w:rsidRPr="001F224B" w:rsidRDefault="008D59A4" w:rsidP="00310CA5">
      <w:pPr>
        <w:pStyle w:val="ListParagraph"/>
        <w:tabs>
          <w:tab w:val="left" w:pos="0"/>
        </w:tabs>
        <w:ind w:left="0"/>
        <w:rPr>
          <w:b/>
          <w:bCs/>
          <w:sz w:val="22"/>
          <w:szCs w:val="22"/>
        </w:rPr>
      </w:pPr>
      <w:r w:rsidRPr="001F224B">
        <w:rPr>
          <w:b/>
          <w:bCs/>
          <w:sz w:val="22"/>
          <w:szCs w:val="22"/>
        </w:rPr>
        <w:t>DÖRDÜNCÜ BÖLÜM (Devamı)</w:t>
      </w:r>
    </w:p>
    <w:p w14:paraId="090BD9E3" w14:textId="77777777" w:rsidR="008D59A4" w:rsidRPr="001F224B" w:rsidRDefault="008D59A4" w:rsidP="00310CA5">
      <w:pPr>
        <w:pStyle w:val="ListParagraph"/>
        <w:tabs>
          <w:tab w:val="left" w:pos="0"/>
        </w:tabs>
        <w:spacing w:before="120"/>
        <w:ind w:left="0"/>
        <w:rPr>
          <w:b/>
          <w:bCs/>
          <w:sz w:val="22"/>
          <w:szCs w:val="22"/>
        </w:rPr>
      </w:pPr>
      <w:r w:rsidRPr="001F224B">
        <w:rPr>
          <w:b/>
          <w:bCs/>
          <w:sz w:val="22"/>
          <w:szCs w:val="22"/>
        </w:rPr>
        <w:t>KONSOLİDE MALİ BÜNYE VE RİSK YÖNETİMİNE İLİŞKİN BİLGİLER (Devamı)</w:t>
      </w:r>
    </w:p>
    <w:p w14:paraId="26B2A0E0" w14:textId="77777777" w:rsidR="008D59A4" w:rsidRPr="001F224B" w:rsidRDefault="008D59A4" w:rsidP="00310CA5">
      <w:pPr>
        <w:tabs>
          <w:tab w:val="left" w:pos="567"/>
        </w:tabs>
        <w:spacing w:before="120" w:after="120"/>
        <w:ind w:left="567" w:hanging="567"/>
        <w:jc w:val="both"/>
        <w:rPr>
          <w:b/>
          <w:bCs/>
          <w:sz w:val="22"/>
          <w:szCs w:val="22"/>
        </w:rPr>
      </w:pPr>
      <w:r w:rsidRPr="001F224B">
        <w:rPr>
          <w:b/>
          <w:bCs/>
          <w:sz w:val="22"/>
          <w:szCs w:val="22"/>
        </w:rPr>
        <w:t>I.</w:t>
      </w:r>
      <w:r w:rsidRPr="001F224B">
        <w:rPr>
          <w:b/>
          <w:bCs/>
          <w:sz w:val="22"/>
          <w:szCs w:val="22"/>
        </w:rPr>
        <w:tab/>
        <w:t>Konsolide özkaynak kalemlerine ilişkin açıklamalar (Devamı)</w:t>
      </w:r>
    </w:p>
    <w:p w14:paraId="2DD268D3" w14:textId="77777777" w:rsidR="008D59A4" w:rsidRPr="001F224B" w:rsidRDefault="008D59A4" w:rsidP="008D59A4">
      <w:pPr>
        <w:tabs>
          <w:tab w:val="left" w:pos="567"/>
        </w:tabs>
        <w:spacing w:before="120" w:after="120"/>
        <w:ind w:left="567"/>
        <w:rPr>
          <w:b/>
          <w:bCs/>
          <w:noProof/>
          <w:sz w:val="22"/>
          <w:szCs w:val="22"/>
        </w:rPr>
      </w:pPr>
      <w:r w:rsidRPr="001F224B">
        <w:rPr>
          <w:b/>
          <w:bCs/>
          <w:noProof/>
          <w:sz w:val="22"/>
          <w:szCs w:val="22"/>
        </w:rPr>
        <w:t>Konsolide özkaynak kalemlerine ilişkin bilgiler (Devamı):</w:t>
      </w:r>
    </w:p>
    <w:tbl>
      <w:tblPr>
        <w:tblW w:w="5309" w:type="pct"/>
        <w:tblCellMar>
          <w:left w:w="70" w:type="dxa"/>
          <w:right w:w="70" w:type="dxa"/>
        </w:tblCellMar>
        <w:tblLook w:val="04A0" w:firstRow="1" w:lastRow="0" w:firstColumn="1" w:lastColumn="0" w:noHBand="0" w:noVBand="1"/>
      </w:tblPr>
      <w:tblGrid>
        <w:gridCol w:w="6942"/>
        <w:gridCol w:w="1804"/>
        <w:gridCol w:w="1659"/>
      </w:tblGrid>
      <w:tr w:rsidR="00886F8D" w:rsidRPr="001F224B" w14:paraId="4591061E" w14:textId="39A9825E" w:rsidTr="007E6833">
        <w:trPr>
          <w:trHeight w:val="227"/>
        </w:trPr>
        <w:tc>
          <w:tcPr>
            <w:tcW w:w="33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2C67E4C" w14:textId="77777777" w:rsidR="00886F8D" w:rsidRPr="001F224B" w:rsidRDefault="00886F8D" w:rsidP="00886F8D">
            <w:pPr>
              <w:jc w:val="both"/>
              <w:rPr>
                <w:sz w:val="20"/>
                <w:szCs w:val="20"/>
              </w:rPr>
            </w:pPr>
            <w:r w:rsidRPr="001F224B">
              <w:rPr>
                <w:sz w:val="20"/>
                <w:szCs w:val="20"/>
              </w:rPr>
              <w:t>Ortaklık paylarının %10 veya daha fazlasına sahip olunan ve konsolide edilmeyen bankalar ve finansal kuruluşların ilave ana sermaye unsurlarına yapılan yatırımların net uzun pozisyonları toplamı</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13E7DBBD" w14:textId="630EE353" w:rsidR="00886F8D" w:rsidRPr="001F224B" w:rsidRDefault="00886F8D" w:rsidP="00886F8D">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5A93B0FB" w14:textId="4B31749F" w:rsidR="00886F8D" w:rsidRPr="001F224B" w:rsidRDefault="00886F8D" w:rsidP="00886F8D">
            <w:pPr>
              <w:jc w:val="right"/>
              <w:rPr>
                <w:sz w:val="20"/>
                <w:szCs w:val="20"/>
              </w:rPr>
            </w:pPr>
            <w:r w:rsidRPr="001F224B">
              <w:rPr>
                <w:sz w:val="20"/>
                <w:szCs w:val="20"/>
              </w:rPr>
              <w:t>-</w:t>
            </w:r>
          </w:p>
        </w:tc>
      </w:tr>
      <w:tr w:rsidR="00886F8D" w:rsidRPr="001F224B" w14:paraId="30F442E6" w14:textId="5B8F6BB4"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67A491AD" w14:textId="77777777" w:rsidR="00886F8D" w:rsidRPr="001F224B" w:rsidRDefault="00886F8D" w:rsidP="00886F8D">
            <w:pPr>
              <w:rPr>
                <w:sz w:val="20"/>
                <w:szCs w:val="20"/>
              </w:rPr>
            </w:pPr>
            <w:r w:rsidRPr="001F224B">
              <w:rPr>
                <w:sz w:val="20"/>
                <w:szCs w:val="20"/>
              </w:rPr>
              <w:t>Kurulca belirlenecek diğer kalemler</w:t>
            </w:r>
          </w:p>
        </w:tc>
        <w:tc>
          <w:tcPr>
            <w:tcW w:w="867" w:type="pct"/>
            <w:tcBorders>
              <w:top w:val="nil"/>
              <w:left w:val="nil"/>
              <w:bottom w:val="single" w:sz="4" w:space="0" w:color="auto"/>
              <w:right w:val="single" w:sz="4" w:space="0" w:color="auto"/>
            </w:tcBorders>
            <w:shd w:val="clear" w:color="000000" w:fill="FFFFFF"/>
            <w:vAlign w:val="bottom"/>
          </w:tcPr>
          <w:p w14:paraId="2F757F74" w14:textId="55F29CC5" w:rsidR="00886F8D" w:rsidRPr="001F224B" w:rsidRDefault="00886F8D" w:rsidP="00886F8D">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478BA3E" w14:textId="4353C816" w:rsidR="00886F8D" w:rsidRPr="001F224B" w:rsidRDefault="00886F8D" w:rsidP="00886F8D">
            <w:pPr>
              <w:jc w:val="right"/>
              <w:rPr>
                <w:sz w:val="20"/>
                <w:szCs w:val="20"/>
              </w:rPr>
            </w:pPr>
            <w:r w:rsidRPr="001F224B">
              <w:rPr>
                <w:sz w:val="20"/>
                <w:szCs w:val="20"/>
              </w:rPr>
              <w:t>-</w:t>
            </w:r>
          </w:p>
        </w:tc>
      </w:tr>
      <w:tr w:rsidR="00E7690A" w:rsidRPr="001F224B" w14:paraId="12742CC3" w14:textId="7DC6C41A"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25B72DE0" w14:textId="77777777" w:rsidR="00E7690A" w:rsidRPr="001F224B" w:rsidRDefault="00E7690A" w:rsidP="00E7690A">
            <w:pPr>
              <w:rPr>
                <w:b/>
                <w:bCs/>
                <w:sz w:val="20"/>
                <w:szCs w:val="20"/>
              </w:rPr>
            </w:pPr>
            <w:r w:rsidRPr="001F224B">
              <w:rPr>
                <w:b/>
                <w:bCs/>
                <w:sz w:val="20"/>
                <w:szCs w:val="20"/>
              </w:rPr>
              <w:t>Geçiş Sürecinde Ana Sermayeden İndirilmeye Devam Edecek Unsurlar</w:t>
            </w:r>
          </w:p>
        </w:tc>
        <w:tc>
          <w:tcPr>
            <w:tcW w:w="867" w:type="pct"/>
            <w:tcBorders>
              <w:top w:val="nil"/>
              <w:left w:val="nil"/>
              <w:bottom w:val="single" w:sz="4" w:space="0" w:color="auto"/>
              <w:right w:val="single" w:sz="4" w:space="0" w:color="auto"/>
            </w:tcBorders>
            <w:shd w:val="clear" w:color="000000" w:fill="FFFFFF"/>
            <w:vAlign w:val="bottom"/>
          </w:tcPr>
          <w:p w14:paraId="7F67A650" w14:textId="61023F00" w:rsidR="00E7690A" w:rsidRPr="001F224B" w:rsidRDefault="00E7690A" w:rsidP="00E7690A">
            <w:pPr>
              <w:jc w:val="right"/>
              <w:rPr>
                <w:b/>
                <w:bCs/>
                <w:sz w:val="20"/>
                <w:szCs w:val="20"/>
              </w:rPr>
            </w:pPr>
            <w:r w:rsidRPr="001F224B">
              <w:rPr>
                <w:b/>
                <w:bCs/>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7154E77" w14:textId="04300C9B" w:rsidR="00E7690A" w:rsidRPr="001F224B" w:rsidRDefault="00E7690A" w:rsidP="00E7690A">
            <w:pPr>
              <w:jc w:val="right"/>
              <w:rPr>
                <w:b/>
                <w:bCs/>
                <w:sz w:val="20"/>
                <w:szCs w:val="20"/>
              </w:rPr>
            </w:pPr>
            <w:r w:rsidRPr="001F224B">
              <w:rPr>
                <w:b/>
                <w:bCs/>
                <w:sz w:val="20"/>
                <w:szCs w:val="20"/>
              </w:rPr>
              <w:t>-</w:t>
            </w:r>
          </w:p>
        </w:tc>
      </w:tr>
      <w:tr w:rsidR="00886F8D" w:rsidRPr="001F224B" w14:paraId="623E3B5B" w14:textId="2B53265A"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DE5E7A5" w14:textId="6E7DC77E" w:rsidR="00886F8D" w:rsidRPr="001F224B" w:rsidRDefault="00886F8D" w:rsidP="00886F8D">
            <w:pPr>
              <w:jc w:val="both"/>
              <w:rPr>
                <w:sz w:val="20"/>
                <w:szCs w:val="20"/>
              </w:rPr>
            </w:pPr>
            <w:r w:rsidRPr="001F224B">
              <w:rPr>
                <w:sz w:val="20"/>
                <w:szCs w:val="20"/>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47F45E43" w14:textId="529E9C69" w:rsidR="00886F8D" w:rsidRPr="001F224B" w:rsidRDefault="00886F8D" w:rsidP="00886F8D">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09B13813" w14:textId="435A48AC" w:rsidR="00886F8D" w:rsidRPr="001F224B" w:rsidRDefault="00886F8D" w:rsidP="00886F8D">
            <w:pPr>
              <w:jc w:val="right"/>
              <w:rPr>
                <w:sz w:val="20"/>
                <w:szCs w:val="20"/>
              </w:rPr>
            </w:pPr>
            <w:r w:rsidRPr="001F224B">
              <w:rPr>
                <w:sz w:val="20"/>
                <w:szCs w:val="20"/>
              </w:rPr>
              <w:t>-</w:t>
            </w:r>
          </w:p>
        </w:tc>
      </w:tr>
      <w:tr w:rsidR="00886F8D" w:rsidRPr="001F224B" w14:paraId="6E7026BD" w14:textId="190204AB"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877FD82" w14:textId="62C09C3E" w:rsidR="00886F8D" w:rsidRPr="001F224B" w:rsidRDefault="00886F8D" w:rsidP="00886F8D">
            <w:pPr>
              <w:jc w:val="both"/>
              <w:rPr>
                <w:sz w:val="20"/>
                <w:szCs w:val="20"/>
              </w:rPr>
            </w:pPr>
            <w:r w:rsidRPr="001F224B">
              <w:rPr>
                <w:sz w:val="20"/>
                <w:szCs w:val="20"/>
              </w:rPr>
              <w:t>Net ertelenmiş vergi varlığı/vergi borcunun Bankaların Özkaynaklarına İlişkin Yönetmeliğin Geçici 2’nci maddesinin birinci fıkrası uyarınca çekirdek sermayeden indirilmeyen kısmı (-)</w:t>
            </w:r>
          </w:p>
        </w:tc>
        <w:tc>
          <w:tcPr>
            <w:tcW w:w="867" w:type="pct"/>
            <w:tcBorders>
              <w:top w:val="nil"/>
              <w:left w:val="nil"/>
              <w:bottom w:val="single" w:sz="4" w:space="0" w:color="auto"/>
              <w:right w:val="single" w:sz="4" w:space="0" w:color="auto"/>
            </w:tcBorders>
            <w:shd w:val="clear" w:color="000000" w:fill="FFFFFF"/>
            <w:vAlign w:val="bottom"/>
          </w:tcPr>
          <w:p w14:paraId="7E4529D5" w14:textId="0F3628E9" w:rsidR="00886F8D" w:rsidRPr="001F224B" w:rsidRDefault="00886F8D" w:rsidP="00886F8D">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C0B6C1E" w14:textId="79A2D9DB" w:rsidR="00886F8D" w:rsidRPr="001F224B" w:rsidRDefault="00886F8D" w:rsidP="00886F8D">
            <w:pPr>
              <w:jc w:val="right"/>
              <w:rPr>
                <w:sz w:val="20"/>
                <w:szCs w:val="20"/>
              </w:rPr>
            </w:pPr>
            <w:r w:rsidRPr="001F224B">
              <w:rPr>
                <w:sz w:val="20"/>
                <w:szCs w:val="20"/>
              </w:rPr>
              <w:t>-</w:t>
            </w:r>
          </w:p>
        </w:tc>
      </w:tr>
      <w:tr w:rsidR="00886F8D" w:rsidRPr="001F224B" w14:paraId="1A831223" w14:textId="431933B2"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5F8B232F" w14:textId="77777777" w:rsidR="00886F8D" w:rsidRPr="001F224B" w:rsidRDefault="00886F8D" w:rsidP="00886F8D">
            <w:pPr>
              <w:rPr>
                <w:sz w:val="20"/>
                <w:szCs w:val="20"/>
              </w:rPr>
            </w:pPr>
            <w:r w:rsidRPr="001F224B">
              <w:rPr>
                <w:sz w:val="20"/>
                <w:szCs w:val="20"/>
              </w:rPr>
              <w:t>Yeterli katkı sermaye bulunmaması halinde ilave ana sermayeden indirim yapılacak tutar (-)</w:t>
            </w:r>
          </w:p>
        </w:tc>
        <w:tc>
          <w:tcPr>
            <w:tcW w:w="867" w:type="pct"/>
            <w:tcBorders>
              <w:top w:val="nil"/>
              <w:left w:val="nil"/>
              <w:bottom w:val="single" w:sz="4" w:space="0" w:color="auto"/>
              <w:right w:val="single" w:sz="4" w:space="0" w:color="auto"/>
            </w:tcBorders>
            <w:shd w:val="clear" w:color="000000" w:fill="FFFFFF"/>
            <w:vAlign w:val="bottom"/>
          </w:tcPr>
          <w:p w14:paraId="77D1AC18" w14:textId="5354F41F" w:rsidR="00886F8D" w:rsidRPr="001F224B" w:rsidRDefault="00886F8D" w:rsidP="00886F8D">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1839FFB" w14:textId="778C99F2" w:rsidR="00886F8D" w:rsidRPr="001F224B" w:rsidRDefault="00886F8D" w:rsidP="00886F8D">
            <w:pPr>
              <w:jc w:val="right"/>
              <w:rPr>
                <w:sz w:val="20"/>
                <w:szCs w:val="20"/>
              </w:rPr>
            </w:pPr>
            <w:r w:rsidRPr="001F224B">
              <w:rPr>
                <w:sz w:val="20"/>
                <w:szCs w:val="20"/>
              </w:rPr>
              <w:t>-</w:t>
            </w:r>
          </w:p>
        </w:tc>
      </w:tr>
      <w:tr w:rsidR="00E7690A" w:rsidRPr="001F224B" w14:paraId="0D4F3234" w14:textId="2BD8AAA9"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315B82B6" w14:textId="77777777" w:rsidR="00E7690A" w:rsidRPr="001F224B" w:rsidRDefault="00E7690A" w:rsidP="00E7690A">
            <w:pPr>
              <w:jc w:val="both"/>
              <w:rPr>
                <w:b/>
                <w:bCs/>
                <w:sz w:val="20"/>
                <w:szCs w:val="20"/>
              </w:rPr>
            </w:pPr>
            <w:r w:rsidRPr="001F224B">
              <w:rPr>
                <w:b/>
                <w:bCs/>
                <w:sz w:val="20"/>
                <w:szCs w:val="20"/>
              </w:rPr>
              <w:t>İlave ana sermayeden yapılan indirimler toplamı</w:t>
            </w:r>
          </w:p>
        </w:tc>
        <w:tc>
          <w:tcPr>
            <w:tcW w:w="867" w:type="pct"/>
            <w:tcBorders>
              <w:top w:val="nil"/>
              <w:left w:val="nil"/>
              <w:bottom w:val="single" w:sz="4" w:space="0" w:color="auto"/>
              <w:right w:val="single" w:sz="4" w:space="0" w:color="auto"/>
            </w:tcBorders>
            <w:shd w:val="clear" w:color="000000" w:fill="FFFFFF"/>
            <w:vAlign w:val="bottom"/>
          </w:tcPr>
          <w:p w14:paraId="1EB24A39" w14:textId="3B3FEC91" w:rsidR="00E7690A" w:rsidRPr="001F224B" w:rsidRDefault="00E7690A" w:rsidP="00E7690A">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6D9BA6E1" w14:textId="47F35342" w:rsidR="00E7690A" w:rsidRPr="001F224B" w:rsidRDefault="00E7690A" w:rsidP="00E7690A">
            <w:pPr>
              <w:jc w:val="right"/>
              <w:rPr>
                <w:sz w:val="20"/>
                <w:szCs w:val="20"/>
              </w:rPr>
            </w:pPr>
            <w:r w:rsidRPr="001F224B">
              <w:rPr>
                <w:sz w:val="20"/>
                <w:szCs w:val="20"/>
              </w:rPr>
              <w:t>-</w:t>
            </w:r>
          </w:p>
        </w:tc>
      </w:tr>
      <w:tr w:rsidR="00EA5529" w:rsidRPr="001F224B" w14:paraId="159840BD" w14:textId="56CF55AE"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32459ACE" w14:textId="77777777" w:rsidR="00EA5529" w:rsidRPr="001F224B" w:rsidRDefault="00EA5529" w:rsidP="00EA5529">
            <w:pPr>
              <w:jc w:val="both"/>
              <w:rPr>
                <w:b/>
                <w:bCs/>
                <w:sz w:val="20"/>
                <w:szCs w:val="20"/>
              </w:rPr>
            </w:pPr>
            <w:r w:rsidRPr="001F224B">
              <w:rPr>
                <w:b/>
                <w:bCs/>
                <w:sz w:val="20"/>
                <w:szCs w:val="20"/>
              </w:rPr>
              <w:t>İlave Ana Sermaye Toplamı</w:t>
            </w:r>
          </w:p>
        </w:tc>
        <w:tc>
          <w:tcPr>
            <w:tcW w:w="867" w:type="pct"/>
            <w:tcBorders>
              <w:top w:val="nil"/>
              <w:left w:val="nil"/>
              <w:bottom w:val="single" w:sz="4" w:space="0" w:color="auto"/>
              <w:right w:val="single" w:sz="4" w:space="0" w:color="auto"/>
            </w:tcBorders>
            <w:shd w:val="clear" w:color="000000" w:fill="FFFFFF"/>
            <w:vAlign w:val="bottom"/>
          </w:tcPr>
          <w:p w14:paraId="3350A73B" w14:textId="2559EAAA" w:rsidR="00EA5529" w:rsidRPr="001F224B" w:rsidRDefault="00EA5529" w:rsidP="00EA5529">
            <w:pPr>
              <w:jc w:val="right"/>
              <w:rPr>
                <w:b/>
                <w:bCs/>
                <w:sz w:val="20"/>
                <w:szCs w:val="20"/>
              </w:rPr>
            </w:pPr>
            <w:r w:rsidRPr="001F224B">
              <w:rPr>
                <w:b/>
                <w:bCs/>
                <w:sz w:val="20"/>
                <w:szCs w:val="20"/>
              </w:rPr>
              <w:t>1.500.000</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3AC97AE3" w14:textId="7B64B0AA" w:rsidR="00EA5529" w:rsidRPr="001F224B" w:rsidRDefault="00EA5529" w:rsidP="00EA5529">
            <w:pPr>
              <w:jc w:val="right"/>
              <w:rPr>
                <w:b/>
                <w:bCs/>
                <w:sz w:val="20"/>
                <w:szCs w:val="20"/>
              </w:rPr>
            </w:pPr>
            <w:r w:rsidRPr="001F224B">
              <w:rPr>
                <w:b/>
                <w:bCs/>
                <w:sz w:val="20"/>
                <w:szCs w:val="20"/>
              </w:rPr>
              <w:t>1.500.000</w:t>
            </w:r>
          </w:p>
        </w:tc>
      </w:tr>
      <w:tr w:rsidR="00933158" w:rsidRPr="001F224B" w14:paraId="2386BC0A" w14:textId="67F3B779" w:rsidTr="00CF72A0">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CF84FA8" w14:textId="1236D922" w:rsidR="00933158" w:rsidRPr="001F224B" w:rsidRDefault="00933158" w:rsidP="00933158">
            <w:pPr>
              <w:jc w:val="both"/>
              <w:rPr>
                <w:b/>
                <w:bCs/>
                <w:sz w:val="20"/>
                <w:szCs w:val="20"/>
              </w:rPr>
            </w:pPr>
            <w:r w:rsidRPr="001F224B">
              <w:rPr>
                <w:b/>
                <w:bCs/>
                <w:sz w:val="20"/>
                <w:szCs w:val="20"/>
              </w:rPr>
              <w:t>Ana Sermaye Toplamı (Ana Sermaye = Çekirdek Sermaye + İlave Ana Sermaye)</w:t>
            </w:r>
          </w:p>
        </w:tc>
        <w:tc>
          <w:tcPr>
            <w:tcW w:w="867" w:type="pct"/>
            <w:tcBorders>
              <w:top w:val="nil"/>
              <w:left w:val="nil"/>
              <w:bottom w:val="single" w:sz="4" w:space="0" w:color="auto"/>
              <w:right w:val="single" w:sz="4" w:space="0" w:color="auto"/>
            </w:tcBorders>
            <w:shd w:val="clear" w:color="000000" w:fill="FFFFFF"/>
            <w:vAlign w:val="bottom"/>
          </w:tcPr>
          <w:p w14:paraId="2D148DF7" w14:textId="30FED444" w:rsidR="00933158" w:rsidRPr="001F224B" w:rsidRDefault="003322CA" w:rsidP="00933158">
            <w:pPr>
              <w:jc w:val="right"/>
              <w:rPr>
                <w:b/>
                <w:bCs/>
                <w:sz w:val="20"/>
                <w:szCs w:val="20"/>
              </w:rPr>
            </w:pPr>
            <w:r w:rsidRPr="001F224B">
              <w:rPr>
                <w:b/>
                <w:bCs/>
                <w:sz w:val="20"/>
                <w:szCs w:val="20"/>
              </w:rPr>
              <w:t>29.471.934</w:t>
            </w:r>
          </w:p>
        </w:tc>
        <w:tc>
          <w:tcPr>
            <w:tcW w:w="797" w:type="pct"/>
            <w:tcBorders>
              <w:top w:val="single" w:sz="4" w:space="0" w:color="auto"/>
              <w:left w:val="nil"/>
              <w:bottom w:val="single" w:sz="4" w:space="0" w:color="auto"/>
              <w:right w:val="single" w:sz="4" w:space="0" w:color="auto"/>
            </w:tcBorders>
            <w:shd w:val="clear" w:color="000000" w:fill="FFFFFF"/>
          </w:tcPr>
          <w:p w14:paraId="59BB3B85" w14:textId="3456C89A" w:rsidR="00933158" w:rsidRPr="001F224B" w:rsidRDefault="00933158" w:rsidP="00933158">
            <w:pPr>
              <w:jc w:val="right"/>
              <w:rPr>
                <w:b/>
                <w:bCs/>
                <w:sz w:val="20"/>
                <w:szCs w:val="20"/>
              </w:rPr>
            </w:pPr>
            <w:r w:rsidRPr="001F224B">
              <w:rPr>
                <w:b/>
                <w:bCs/>
                <w:sz w:val="20"/>
                <w:szCs w:val="20"/>
              </w:rPr>
              <w:t>20.965.244</w:t>
            </w:r>
          </w:p>
        </w:tc>
      </w:tr>
      <w:tr w:rsidR="00933158" w:rsidRPr="001F224B" w14:paraId="71399B83" w14:textId="29CD009A" w:rsidTr="00CF72A0">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2E87E23" w14:textId="77777777" w:rsidR="00933158" w:rsidRPr="001F224B" w:rsidRDefault="00933158" w:rsidP="00933158">
            <w:pPr>
              <w:rPr>
                <w:b/>
                <w:bCs/>
                <w:sz w:val="20"/>
                <w:szCs w:val="20"/>
              </w:rPr>
            </w:pPr>
            <w:r w:rsidRPr="001F224B">
              <w:rPr>
                <w:b/>
                <w:bCs/>
                <w:sz w:val="20"/>
                <w:szCs w:val="20"/>
              </w:rPr>
              <w:t>KATKI SERMAYE</w:t>
            </w:r>
          </w:p>
        </w:tc>
        <w:tc>
          <w:tcPr>
            <w:tcW w:w="867" w:type="pct"/>
            <w:tcBorders>
              <w:top w:val="nil"/>
              <w:left w:val="nil"/>
              <w:bottom w:val="single" w:sz="4" w:space="0" w:color="auto"/>
              <w:right w:val="single" w:sz="4" w:space="0" w:color="auto"/>
            </w:tcBorders>
            <w:shd w:val="clear" w:color="000000" w:fill="FFFFFF"/>
            <w:vAlign w:val="bottom"/>
          </w:tcPr>
          <w:p w14:paraId="2C3BC887" w14:textId="08684A85" w:rsidR="00933158" w:rsidRPr="001F224B" w:rsidRDefault="00933158" w:rsidP="00933158">
            <w:pPr>
              <w:jc w:val="right"/>
              <w:rPr>
                <w:b/>
                <w:bCs/>
                <w:sz w:val="20"/>
                <w:szCs w:val="20"/>
              </w:rPr>
            </w:pPr>
            <w:r w:rsidRPr="001F224B">
              <w:rPr>
                <w:b/>
                <w:bCs/>
                <w:sz w:val="20"/>
                <w:szCs w:val="20"/>
              </w:rPr>
              <w:t> </w:t>
            </w:r>
          </w:p>
        </w:tc>
        <w:tc>
          <w:tcPr>
            <w:tcW w:w="797" w:type="pct"/>
            <w:tcBorders>
              <w:top w:val="single" w:sz="4" w:space="0" w:color="auto"/>
              <w:left w:val="nil"/>
              <w:bottom w:val="single" w:sz="4" w:space="0" w:color="auto"/>
              <w:right w:val="single" w:sz="4" w:space="0" w:color="auto"/>
            </w:tcBorders>
            <w:shd w:val="clear" w:color="000000" w:fill="FFFFFF"/>
          </w:tcPr>
          <w:p w14:paraId="09F08C0A" w14:textId="77777777" w:rsidR="00933158" w:rsidRPr="001F224B" w:rsidRDefault="00933158" w:rsidP="00933158">
            <w:pPr>
              <w:jc w:val="right"/>
              <w:rPr>
                <w:sz w:val="20"/>
                <w:szCs w:val="20"/>
              </w:rPr>
            </w:pPr>
          </w:p>
        </w:tc>
      </w:tr>
      <w:tr w:rsidR="00933158" w:rsidRPr="001F224B" w14:paraId="719926DF" w14:textId="767AD3C7" w:rsidTr="00CF72A0">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A0FE10F" w14:textId="77777777" w:rsidR="00933158" w:rsidRPr="001F224B" w:rsidRDefault="00933158" w:rsidP="00933158">
            <w:pPr>
              <w:rPr>
                <w:sz w:val="20"/>
                <w:szCs w:val="20"/>
              </w:rPr>
            </w:pPr>
            <w:r w:rsidRPr="001F224B">
              <w:rPr>
                <w:sz w:val="20"/>
                <w:szCs w:val="20"/>
              </w:rPr>
              <w:t xml:space="preserve">Kurumca uygun görülen borçlanma araçları ve bunlara ilişkin ihraç primleri </w:t>
            </w:r>
          </w:p>
        </w:tc>
        <w:tc>
          <w:tcPr>
            <w:tcW w:w="867" w:type="pct"/>
            <w:tcBorders>
              <w:top w:val="nil"/>
              <w:left w:val="nil"/>
              <w:bottom w:val="single" w:sz="4" w:space="0" w:color="auto"/>
              <w:right w:val="single" w:sz="4" w:space="0" w:color="auto"/>
            </w:tcBorders>
            <w:shd w:val="clear" w:color="000000" w:fill="FFFFFF"/>
            <w:vAlign w:val="bottom"/>
          </w:tcPr>
          <w:p w14:paraId="5E39C8A6" w14:textId="753DAEBE" w:rsidR="00933158" w:rsidRPr="001F224B" w:rsidRDefault="003322CA" w:rsidP="00933158">
            <w:pPr>
              <w:jc w:val="right"/>
              <w:rPr>
                <w:sz w:val="20"/>
                <w:szCs w:val="20"/>
              </w:rPr>
            </w:pPr>
            <w:r w:rsidRPr="001F224B">
              <w:rPr>
                <w:sz w:val="20"/>
                <w:szCs w:val="20"/>
              </w:rPr>
              <w:t>2.625.464</w:t>
            </w:r>
          </w:p>
        </w:tc>
        <w:tc>
          <w:tcPr>
            <w:tcW w:w="797" w:type="pct"/>
            <w:tcBorders>
              <w:top w:val="single" w:sz="4" w:space="0" w:color="auto"/>
              <w:left w:val="nil"/>
              <w:bottom w:val="single" w:sz="4" w:space="0" w:color="auto"/>
              <w:right w:val="single" w:sz="4" w:space="0" w:color="auto"/>
            </w:tcBorders>
            <w:shd w:val="clear" w:color="000000" w:fill="FFFFFF"/>
          </w:tcPr>
          <w:p w14:paraId="649AF01E" w14:textId="2E95AD2B" w:rsidR="00933158" w:rsidRPr="001F224B" w:rsidRDefault="00933158" w:rsidP="00933158">
            <w:pPr>
              <w:jc w:val="right"/>
              <w:rPr>
                <w:sz w:val="20"/>
                <w:szCs w:val="20"/>
              </w:rPr>
            </w:pPr>
            <w:r w:rsidRPr="001F224B">
              <w:rPr>
                <w:sz w:val="20"/>
                <w:szCs w:val="20"/>
              </w:rPr>
              <w:t>2.060.311</w:t>
            </w:r>
          </w:p>
        </w:tc>
      </w:tr>
      <w:tr w:rsidR="00933158" w:rsidRPr="001F224B" w14:paraId="05D34D4C" w14:textId="726D78C8" w:rsidTr="00E7690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1B753625" w14:textId="77777777" w:rsidR="00933158" w:rsidRPr="001F224B" w:rsidRDefault="00933158" w:rsidP="00933158">
            <w:pPr>
              <w:jc w:val="both"/>
              <w:rPr>
                <w:sz w:val="20"/>
                <w:szCs w:val="20"/>
              </w:rPr>
            </w:pPr>
            <w:r w:rsidRPr="001F224B">
              <w:rPr>
                <w:sz w:val="20"/>
                <w:szCs w:val="20"/>
              </w:rPr>
              <w:t>Kurumca uygun görülen borçlanma araçları ve bunlara ilişkin ihraç primleri  (Geçici Madde 4 kapsamında olanlar)</w:t>
            </w:r>
          </w:p>
        </w:tc>
        <w:tc>
          <w:tcPr>
            <w:tcW w:w="867" w:type="pct"/>
            <w:tcBorders>
              <w:top w:val="nil"/>
              <w:left w:val="nil"/>
              <w:bottom w:val="single" w:sz="4" w:space="0" w:color="auto"/>
              <w:right w:val="single" w:sz="4" w:space="0" w:color="auto"/>
            </w:tcBorders>
            <w:shd w:val="clear" w:color="000000" w:fill="FFFFFF"/>
            <w:vAlign w:val="bottom"/>
          </w:tcPr>
          <w:p w14:paraId="7AAAEA1A" w14:textId="3801C1D8" w:rsidR="00933158" w:rsidRPr="001F224B" w:rsidRDefault="00933158" w:rsidP="00933158">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6B2716E" w14:textId="71113602" w:rsidR="00933158" w:rsidRPr="001F224B" w:rsidRDefault="00933158" w:rsidP="00933158">
            <w:pPr>
              <w:jc w:val="right"/>
              <w:rPr>
                <w:sz w:val="20"/>
                <w:szCs w:val="20"/>
              </w:rPr>
            </w:pPr>
            <w:r w:rsidRPr="001F224B">
              <w:rPr>
                <w:sz w:val="20"/>
                <w:szCs w:val="20"/>
              </w:rPr>
              <w:t>-</w:t>
            </w:r>
          </w:p>
        </w:tc>
      </w:tr>
      <w:tr w:rsidR="00933158" w:rsidRPr="001F224B" w14:paraId="2F9E551E" w14:textId="0BFFBB6E" w:rsidTr="00E7690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tcPr>
          <w:p w14:paraId="1649079F" w14:textId="77777777" w:rsidR="00933158" w:rsidRPr="001F224B" w:rsidRDefault="00933158" w:rsidP="00933158">
            <w:pPr>
              <w:rPr>
                <w:sz w:val="20"/>
                <w:szCs w:val="20"/>
              </w:rPr>
            </w:pPr>
            <w:r w:rsidRPr="001F224B">
              <w:rPr>
                <w:sz w:val="20"/>
                <w:szCs w:val="20"/>
              </w:rPr>
              <w:t>Üçüncü Kişilerin katkı sermayedeki payları</w:t>
            </w:r>
          </w:p>
        </w:tc>
        <w:tc>
          <w:tcPr>
            <w:tcW w:w="867" w:type="pct"/>
            <w:tcBorders>
              <w:top w:val="nil"/>
              <w:left w:val="nil"/>
              <w:bottom w:val="single" w:sz="4" w:space="0" w:color="auto"/>
              <w:right w:val="single" w:sz="4" w:space="0" w:color="auto"/>
            </w:tcBorders>
            <w:shd w:val="clear" w:color="000000" w:fill="FFFFFF"/>
            <w:vAlign w:val="bottom"/>
          </w:tcPr>
          <w:p w14:paraId="0AB61C48" w14:textId="72608424" w:rsidR="00933158" w:rsidRPr="001F224B" w:rsidRDefault="00933158" w:rsidP="00933158">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1ADB98C" w14:textId="29A0CCF9" w:rsidR="00933158" w:rsidRPr="001F224B" w:rsidRDefault="00933158" w:rsidP="00933158">
            <w:pPr>
              <w:jc w:val="right"/>
              <w:rPr>
                <w:sz w:val="20"/>
                <w:szCs w:val="20"/>
              </w:rPr>
            </w:pPr>
            <w:r w:rsidRPr="001F224B">
              <w:rPr>
                <w:sz w:val="20"/>
                <w:szCs w:val="20"/>
              </w:rPr>
              <w:t>-</w:t>
            </w:r>
          </w:p>
        </w:tc>
      </w:tr>
      <w:tr w:rsidR="00933158" w:rsidRPr="001F224B" w14:paraId="28F9F4E7" w14:textId="061A90EB" w:rsidTr="00E7690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tcPr>
          <w:p w14:paraId="683439F6" w14:textId="77777777" w:rsidR="00933158" w:rsidRPr="001F224B" w:rsidRDefault="00933158" w:rsidP="00933158">
            <w:pPr>
              <w:rPr>
                <w:sz w:val="20"/>
                <w:szCs w:val="20"/>
              </w:rPr>
            </w:pPr>
            <w:r w:rsidRPr="001F224B">
              <w:rPr>
                <w:sz w:val="20"/>
                <w:szCs w:val="20"/>
              </w:rPr>
              <w:t>Üçüncü Kişilerin katkı sermayedeki payları(Geçici Madde 3 kapsamında olanlar)</w:t>
            </w:r>
          </w:p>
        </w:tc>
        <w:tc>
          <w:tcPr>
            <w:tcW w:w="867" w:type="pct"/>
            <w:tcBorders>
              <w:top w:val="nil"/>
              <w:left w:val="nil"/>
              <w:bottom w:val="single" w:sz="4" w:space="0" w:color="auto"/>
              <w:right w:val="single" w:sz="4" w:space="0" w:color="auto"/>
            </w:tcBorders>
            <w:shd w:val="clear" w:color="000000" w:fill="FFFFFF"/>
            <w:vAlign w:val="bottom"/>
          </w:tcPr>
          <w:p w14:paraId="36A078F2" w14:textId="328AC452" w:rsidR="00933158" w:rsidRPr="001F224B" w:rsidRDefault="00933158" w:rsidP="00933158">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E8A1E69" w14:textId="036A7CD6" w:rsidR="00933158" w:rsidRPr="001F224B" w:rsidRDefault="00933158" w:rsidP="00933158">
            <w:pPr>
              <w:jc w:val="right"/>
              <w:rPr>
                <w:sz w:val="20"/>
                <w:szCs w:val="20"/>
              </w:rPr>
            </w:pPr>
            <w:r w:rsidRPr="001F224B">
              <w:rPr>
                <w:sz w:val="20"/>
                <w:szCs w:val="20"/>
              </w:rPr>
              <w:t>-</w:t>
            </w:r>
          </w:p>
        </w:tc>
      </w:tr>
      <w:tr w:rsidR="003322CA" w:rsidRPr="001F224B" w14:paraId="08B943AF" w14:textId="6E00F993"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1835031C" w14:textId="068C43CD" w:rsidR="003322CA" w:rsidRPr="001F224B" w:rsidRDefault="003322CA" w:rsidP="003322CA">
            <w:pPr>
              <w:rPr>
                <w:sz w:val="20"/>
                <w:szCs w:val="20"/>
              </w:rPr>
            </w:pPr>
            <w:r w:rsidRPr="001F224B">
              <w:rPr>
                <w:sz w:val="20"/>
                <w:szCs w:val="20"/>
              </w:rPr>
              <w:t>Karşılıklar (Bankaların Özkaynaklarına İlişkin Yönetmeliğin 8’inci maddesinin birinci fıkrasında belirtilen tutarlar)</w:t>
            </w:r>
          </w:p>
        </w:tc>
        <w:tc>
          <w:tcPr>
            <w:tcW w:w="867" w:type="pct"/>
            <w:tcBorders>
              <w:top w:val="nil"/>
              <w:left w:val="nil"/>
              <w:bottom w:val="single" w:sz="4" w:space="0" w:color="auto"/>
              <w:right w:val="single" w:sz="4" w:space="0" w:color="auto"/>
            </w:tcBorders>
            <w:shd w:val="clear" w:color="000000" w:fill="FFFFFF"/>
            <w:vAlign w:val="bottom"/>
          </w:tcPr>
          <w:p w14:paraId="44C4FDB2" w14:textId="47448F30" w:rsidR="003322CA" w:rsidRPr="001F224B" w:rsidRDefault="003322CA" w:rsidP="003322CA">
            <w:pPr>
              <w:jc w:val="right"/>
              <w:rPr>
                <w:sz w:val="20"/>
                <w:szCs w:val="20"/>
              </w:rPr>
            </w:pPr>
            <w:r w:rsidRPr="001F224B">
              <w:rPr>
                <w:sz w:val="20"/>
                <w:szCs w:val="20"/>
              </w:rPr>
              <w:t>1.192.048</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038D0F4A" w14:textId="6E8A90DA" w:rsidR="003322CA" w:rsidRPr="001F224B" w:rsidRDefault="003322CA" w:rsidP="003322CA">
            <w:pPr>
              <w:jc w:val="right"/>
              <w:rPr>
                <w:sz w:val="20"/>
                <w:szCs w:val="20"/>
              </w:rPr>
            </w:pPr>
            <w:r w:rsidRPr="001F224B">
              <w:rPr>
                <w:sz w:val="20"/>
                <w:szCs w:val="20"/>
              </w:rPr>
              <w:t>1.212.764</w:t>
            </w:r>
          </w:p>
        </w:tc>
      </w:tr>
      <w:tr w:rsidR="003322CA" w:rsidRPr="001F224B" w14:paraId="35B7169F" w14:textId="02B78F27"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6663DAE" w14:textId="77777777" w:rsidR="003322CA" w:rsidRPr="001F224B" w:rsidRDefault="003322CA" w:rsidP="003322CA">
            <w:pPr>
              <w:rPr>
                <w:b/>
                <w:bCs/>
                <w:sz w:val="20"/>
                <w:szCs w:val="20"/>
              </w:rPr>
            </w:pPr>
            <w:r w:rsidRPr="001F224B">
              <w:rPr>
                <w:b/>
                <w:bCs/>
                <w:sz w:val="20"/>
                <w:szCs w:val="20"/>
              </w:rPr>
              <w:t>İndirimler Öncesi Katkı Sermaye</w:t>
            </w:r>
            <w:r w:rsidRPr="001F224B">
              <w:rPr>
                <w:sz w:val="20"/>
                <w:szCs w:val="20"/>
              </w:rPr>
              <w:t xml:space="preserve"> </w:t>
            </w:r>
          </w:p>
        </w:tc>
        <w:tc>
          <w:tcPr>
            <w:tcW w:w="867" w:type="pct"/>
            <w:tcBorders>
              <w:top w:val="nil"/>
              <w:left w:val="nil"/>
              <w:bottom w:val="single" w:sz="4" w:space="0" w:color="auto"/>
              <w:right w:val="single" w:sz="4" w:space="0" w:color="auto"/>
            </w:tcBorders>
            <w:shd w:val="clear" w:color="000000" w:fill="FFFFFF"/>
            <w:vAlign w:val="bottom"/>
          </w:tcPr>
          <w:p w14:paraId="5B592363" w14:textId="2D9CA4A6" w:rsidR="003322CA" w:rsidRPr="001F224B" w:rsidRDefault="003322CA" w:rsidP="003322CA">
            <w:pPr>
              <w:jc w:val="right"/>
              <w:rPr>
                <w:b/>
                <w:bCs/>
                <w:sz w:val="20"/>
                <w:szCs w:val="20"/>
              </w:rPr>
            </w:pPr>
            <w:r w:rsidRPr="001F224B">
              <w:rPr>
                <w:b/>
                <w:bCs/>
                <w:sz w:val="20"/>
                <w:szCs w:val="20"/>
              </w:rPr>
              <w:t>3.817.512</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82D3401" w14:textId="46368C26" w:rsidR="003322CA" w:rsidRPr="001F224B" w:rsidRDefault="003322CA" w:rsidP="003322CA">
            <w:pPr>
              <w:jc w:val="right"/>
              <w:rPr>
                <w:b/>
                <w:bCs/>
                <w:sz w:val="20"/>
                <w:szCs w:val="20"/>
              </w:rPr>
            </w:pPr>
            <w:r w:rsidRPr="001F224B">
              <w:rPr>
                <w:b/>
                <w:bCs/>
                <w:sz w:val="20"/>
                <w:szCs w:val="20"/>
              </w:rPr>
              <w:t>3.273.075</w:t>
            </w:r>
          </w:p>
        </w:tc>
      </w:tr>
      <w:tr w:rsidR="00EA5529" w:rsidRPr="001F224B" w14:paraId="5E9F5B02" w14:textId="08D1B625"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BEB95F2" w14:textId="77777777" w:rsidR="00EA5529" w:rsidRPr="001F224B" w:rsidRDefault="00EA5529" w:rsidP="00EA5529">
            <w:pPr>
              <w:rPr>
                <w:b/>
                <w:bCs/>
                <w:sz w:val="20"/>
                <w:szCs w:val="20"/>
              </w:rPr>
            </w:pPr>
            <w:r w:rsidRPr="001F224B">
              <w:rPr>
                <w:b/>
                <w:bCs/>
                <w:sz w:val="20"/>
                <w:szCs w:val="20"/>
              </w:rPr>
              <w:t>Katkı Sermayeden Yapılacak İndirimler</w:t>
            </w:r>
          </w:p>
        </w:tc>
        <w:tc>
          <w:tcPr>
            <w:tcW w:w="867" w:type="pct"/>
            <w:tcBorders>
              <w:top w:val="nil"/>
              <w:left w:val="nil"/>
              <w:bottom w:val="single" w:sz="4" w:space="0" w:color="auto"/>
              <w:right w:val="single" w:sz="4" w:space="0" w:color="auto"/>
            </w:tcBorders>
            <w:shd w:val="clear" w:color="000000" w:fill="FFFFFF"/>
            <w:vAlign w:val="bottom"/>
          </w:tcPr>
          <w:p w14:paraId="27E449FE" w14:textId="39F54AFE" w:rsidR="00EA5529" w:rsidRPr="001F224B" w:rsidRDefault="00EA5529" w:rsidP="00EA5529">
            <w:pPr>
              <w:jc w:val="right"/>
              <w:rPr>
                <w:b/>
                <w:bCs/>
                <w:sz w:val="20"/>
                <w:szCs w:val="20"/>
              </w:rPr>
            </w:pPr>
            <w:r w:rsidRPr="001F224B">
              <w:rPr>
                <w:b/>
                <w:bCs/>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F17C574" w14:textId="0AA8A2A5" w:rsidR="00EA5529" w:rsidRPr="001F224B" w:rsidRDefault="00EA5529" w:rsidP="00EA5529">
            <w:pPr>
              <w:jc w:val="right"/>
              <w:rPr>
                <w:b/>
                <w:bCs/>
                <w:sz w:val="20"/>
                <w:szCs w:val="20"/>
              </w:rPr>
            </w:pPr>
            <w:r w:rsidRPr="001F224B">
              <w:rPr>
                <w:b/>
                <w:bCs/>
                <w:sz w:val="20"/>
                <w:szCs w:val="20"/>
              </w:rPr>
              <w:t>-</w:t>
            </w:r>
          </w:p>
        </w:tc>
      </w:tr>
      <w:tr w:rsidR="00EA5529" w:rsidRPr="001F224B" w14:paraId="0BD3E078" w14:textId="320A1E06"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22733BDD" w14:textId="77777777" w:rsidR="00EA5529" w:rsidRPr="001F224B" w:rsidRDefault="00EA5529" w:rsidP="00EA5529">
            <w:pPr>
              <w:rPr>
                <w:sz w:val="20"/>
                <w:szCs w:val="20"/>
              </w:rPr>
            </w:pPr>
            <w:r w:rsidRPr="001F224B">
              <w:rPr>
                <w:sz w:val="20"/>
                <w:szCs w:val="20"/>
              </w:rPr>
              <w:t>Banka’nın kendi katkı sermayesine yapmış olduğu doğrudan veya dolaylı yatırımlar (-)</w:t>
            </w:r>
          </w:p>
        </w:tc>
        <w:tc>
          <w:tcPr>
            <w:tcW w:w="867" w:type="pct"/>
            <w:tcBorders>
              <w:top w:val="single" w:sz="4" w:space="0" w:color="auto"/>
              <w:left w:val="nil"/>
              <w:bottom w:val="nil"/>
              <w:right w:val="single" w:sz="4" w:space="0" w:color="auto"/>
            </w:tcBorders>
            <w:shd w:val="clear" w:color="000000" w:fill="FFFFFF"/>
            <w:vAlign w:val="bottom"/>
          </w:tcPr>
          <w:p w14:paraId="39CC427C" w14:textId="68A02E1B"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485A2DAF" w14:textId="41C506F7" w:rsidR="00EA5529" w:rsidRPr="001F224B" w:rsidRDefault="00EA5529" w:rsidP="00EA5529">
            <w:pPr>
              <w:jc w:val="right"/>
              <w:rPr>
                <w:sz w:val="20"/>
                <w:szCs w:val="20"/>
              </w:rPr>
            </w:pPr>
            <w:r w:rsidRPr="001F224B">
              <w:rPr>
                <w:sz w:val="20"/>
                <w:szCs w:val="20"/>
              </w:rPr>
              <w:t>-</w:t>
            </w:r>
          </w:p>
        </w:tc>
      </w:tr>
      <w:tr w:rsidR="00EA5529" w:rsidRPr="001F224B" w14:paraId="5D900ED7" w14:textId="1CE06849"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5A570C12" w14:textId="781C4D41" w:rsidR="00EA5529" w:rsidRPr="001F224B" w:rsidRDefault="00EA5529" w:rsidP="00EA5529">
            <w:pPr>
              <w:jc w:val="both"/>
              <w:rPr>
                <w:sz w:val="20"/>
                <w:szCs w:val="20"/>
              </w:rPr>
            </w:pPr>
            <w:r w:rsidRPr="001F224B">
              <w:rPr>
                <w:sz w:val="20"/>
                <w:szCs w:val="20"/>
              </w:rPr>
              <w:t>Banka’nın katkı sermaye kalemlerine yatırım yapan bankalar ile finansal kuruluşlar tarafından ihraç edilen ve Yönetmeliğin 8’inci maddesinde belirtilen şartları taşıyan özkaynak kalemlerine bankanın yaptığı yatırımlar</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5876FC62" w14:textId="2D7C6FE8"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3B2C8469" w14:textId="7727DD76" w:rsidR="00EA5529" w:rsidRPr="001F224B" w:rsidRDefault="00EA5529" w:rsidP="00EA5529">
            <w:pPr>
              <w:jc w:val="right"/>
              <w:rPr>
                <w:sz w:val="20"/>
                <w:szCs w:val="20"/>
              </w:rPr>
            </w:pPr>
            <w:r w:rsidRPr="001F224B">
              <w:rPr>
                <w:sz w:val="20"/>
                <w:szCs w:val="20"/>
              </w:rPr>
              <w:t>-</w:t>
            </w:r>
          </w:p>
        </w:tc>
      </w:tr>
      <w:tr w:rsidR="00EA5529" w:rsidRPr="001F224B" w14:paraId="514DB2C6" w14:textId="67A413E8"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7A9633A1" w14:textId="6CC6D963" w:rsidR="00EA5529" w:rsidRPr="001F224B" w:rsidRDefault="00EA5529" w:rsidP="00EA5529">
            <w:pPr>
              <w:jc w:val="both"/>
              <w:rPr>
                <w:sz w:val="20"/>
                <w:szCs w:val="20"/>
              </w:rPr>
            </w:pPr>
            <w:r w:rsidRPr="001F224B">
              <w:rPr>
                <w:sz w:val="20"/>
                <w:szCs w:val="20"/>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867" w:type="pct"/>
            <w:tcBorders>
              <w:top w:val="nil"/>
              <w:left w:val="nil"/>
              <w:bottom w:val="single" w:sz="4" w:space="0" w:color="auto"/>
              <w:right w:val="single" w:sz="4" w:space="0" w:color="auto"/>
            </w:tcBorders>
            <w:shd w:val="clear" w:color="000000" w:fill="FFFFFF"/>
            <w:vAlign w:val="bottom"/>
          </w:tcPr>
          <w:p w14:paraId="6F47AC69" w14:textId="715E509B"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0353AC20" w14:textId="5F3AC399" w:rsidR="00EA5529" w:rsidRPr="001F224B" w:rsidRDefault="00EA5529" w:rsidP="00EA5529">
            <w:pPr>
              <w:jc w:val="right"/>
              <w:rPr>
                <w:sz w:val="20"/>
                <w:szCs w:val="20"/>
              </w:rPr>
            </w:pPr>
            <w:r w:rsidRPr="001F224B">
              <w:rPr>
                <w:sz w:val="20"/>
                <w:szCs w:val="20"/>
              </w:rPr>
              <w:t>-</w:t>
            </w:r>
          </w:p>
        </w:tc>
      </w:tr>
      <w:tr w:rsidR="00EA5529" w:rsidRPr="001F224B" w14:paraId="4E8FDF71" w14:textId="40B38DFF"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2CD03A7C" w14:textId="18B82B59" w:rsidR="00EA5529" w:rsidRPr="001F224B" w:rsidRDefault="00EA5529" w:rsidP="00EA5529">
            <w:pPr>
              <w:jc w:val="both"/>
              <w:rPr>
                <w:sz w:val="20"/>
                <w:szCs w:val="20"/>
              </w:rPr>
            </w:pPr>
            <w:r w:rsidRPr="001F224B">
              <w:rPr>
                <w:sz w:val="20"/>
                <w:szCs w:val="20"/>
              </w:rPr>
              <w:t>Ortaklık paylarının %10’ unu veya daha fazlasına sahip olunan ve konsolide edilmeyen bankalar ve finansal kuruluşların katkı sermaye unsurlarına yapılan yatırımların net uzun pozisyonları toplamı</w:t>
            </w:r>
          </w:p>
        </w:tc>
        <w:tc>
          <w:tcPr>
            <w:tcW w:w="867" w:type="pct"/>
            <w:tcBorders>
              <w:top w:val="nil"/>
              <w:left w:val="nil"/>
              <w:bottom w:val="single" w:sz="4" w:space="0" w:color="auto"/>
              <w:right w:val="single" w:sz="4" w:space="0" w:color="auto"/>
            </w:tcBorders>
            <w:shd w:val="clear" w:color="000000" w:fill="FFFFFF"/>
            <w:vAlign w:val="bottom"/>
          </w:tcPr>
          <w:p w14:paraId="4B6077BF" w14:textId="29397569"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418EF3A0" w14:textId="6F805033" w:rsidR="00EA5529" w:rsidRPr="001F224B" w:rsidRDefault="00EA5529" w:rsidP="00EA5529">
            <w:pPr>
              <w:jc w:val="right"/>
              <w:rPr>
                <w:sz w:val="20"/>
                <w:szCs w:val="20"/>
              </w:rPr>
            </w:pPr>
            <w:r w:rsidRPr="001F224B">
              <w:rPr>
                <w:sz w:val="20"/>
                <w:szCs w:val="20"/>
              </w:rPr>
              <w:t>-</w:t>
            </w:r>
          </w:p>
        </w:tc>
      </w:tr>
      <w:tr w:rsidR="00EA5529" w:rsidRPr="001F224B" w14:paraId="23038713" w14:textId="1F55680C"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07BDF4D" w14:textId="77777777" w:rsidR="00EA5529" w:rsidRPr="001F224B" w:rsidRDefault="00EA5529" w:rsidP="00EA5529">
            <w:pPr>
              <w:rPr>
                <w:sz w:val="20"/>
                <w:szCs w:val="20"/>
              </w:rPr>
            </w:pPr>
            <w:r w:rsidRPr="001F224B">
              <w:rPr>
                <w:sz w:val="20"/>
                <w:szCs w:val="20"/>
              </w:rPr>
              <w:t>Kurulca belirlenecek diğer kalemler (-)</w:t>
            </w:r>
          </w:p>
        </w:tc>
        <w:tc>
          <w:tcPr>
            <w:tcW w:w="867" w:type="pct"/>
            <w:tcBorders>
              <w:top w:val="nil"/>
              <w:left w:val="nil"/>
              <w:bottom w:val="single" w:sz="4" w:space="0" w:color="auto"/>
              <w:right w:val="single" w:sz="4" w:space="0" w:color="auto"/>
            </w:tcBorders>
            <w:shd w:val="clear" w:color="000000" w:fill="FFFFFF"/>
            <w:vAlign w:val="bottom"/>
          </w:tcPr>
          <w:p w14:paraId="2B323A02" w14:textId="4619BFC3"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3FD5B867" w14:textId="763A196C" w:rsidR="00EA5529" w:rsidRPr="001F224B" w:rsidRDefault="00EA5529" w:rsidP="00EA5529">
            <w:pPr>
              <w:jc w:val="right"/>
              <w:rPr>
                <w:sz w:val="20"/>
                <w:szCs w:val="20"/>
              </w:rPr>
            </w:pPr>
            <w:r w:rsidRPr="001F224B">
              <w:rPr>
                <w:sz w:val="20"/>
                <w:szCs w:val="20"/>
              </w:rPr>
              <w:t>-</w:t>
            </w:r>
          </w:p>
        </w:tc>
      </w:tr>
      <w:tr w:rsidR="00EA5529" w:rsidRPr="001F224B" w14:paraId="39F68170" w14:textId="590D0CCA"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5961A098" w14:textId="77777777" w:rsidR="00EA5529" w:rsidRPr="001F224B" w:rsidRDefault="00EA5529" w:rsidP="00EA5529">
            <w:pPr>
              <w:rPr>
                <w:b/>
                <w:bCs/>
                <w:sz w:val="20"/>
                <w:szCs w:val="20"/>
              </w:rPr>
            </w:pPr>
            <w:r w:rsidRPr="001F224B">
              <w:rPr>
                <w:b/>
                <w:bCs/>
                <w:sz w:val="20"/>
                <w:szCs w:val="20"/>
              </w:rPr>
              <w:t>Katkı Sermayeden Yapılan İndirimler Toplamı</w:t>
            </w:r>
          </w:p>
        </w:tc>
        <w:tc>
          <w:tcPr>
            <w:tcW w:w="867" w:type="pct"/>
            <w:tcBorders>
              <w:top w:val="nil"/>
              <w:left w:val="nil"/>
              <w:bottom w:val="single" w:sz="4" w:space="0" w:color="auto"/>
              <w:right w:val="single" w:sz="4" w:space="0" w:color="auto"/>
            </w:tcBorders>
            <w:shd w:val="clear" w:color="000000" w:fill="FFFFFF"/>
            <w:vAlign w:val="bottom"/>
          </w:tcPr>
          <w:p w14:paraId="115AC602" w14:textId="47AE2ADB"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542111F2" w14:textId="280F3682" w:rsidR="00EA5529" w:rsidRPr="001F224B" w:rsidRDefault="00EA5529" w:rsidP="00EA5529">
            <w:pPr>
              <w:jc w:val="right"/>
              <w:rPr>
                <w:sz w:val="20"/>
                <w:szCs w:val="20"/>
              </w:rPr>
            </w:pPr>
            <w:r w:rsidRPr="001F224B">
              <w:rPr>
                <w:sz w:val="20"/>
                <w:szCs w:val="20"/>
              </w:rPr>
              <w:t>-</w:t>
            </w:r>
          </w:p>
        </w:tc>
      </w:tr>
      <w:tr w:rsidR="003322CA" w:rsidRPr="001F224B" w14:paraId="16B09CE8" w14:textId="61CA477F"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0D06647" w14:textId="77777777" w:rsidR="003322CA" w:rsidRPr="001F224B" w:rsidRDefault="003322CA" w:rsidP="003322CA">
            <w:pPr>
              <w:rPr>
                <w:b/>
                <w:bCs/>
                <w:sz w:val="20"/>
                <w:szCs w:val="20"/>
              </w:rPr>
            </w:pPr>
            <w:r w:rsidRPr="001F224B">
              <w:rPr>
                <w:b/>
                <w:bCs/>
                <w:sz w:val="20"/>
                <w:szCs w:val="20"/>
              </w:rPr>
              <w:t>Katkı Sermaye Toplamı</w:t>
            </w:r>
          </w:p>
        </w:tc>
        <w:tc>
          <w:tcPr>
            <w:tcW w:w="867" w:type="pct"/>
            <w:tcBorders>
              <w:top w:val="nil"/>
              <w:left w:val="nil"/>
              <w:bottom w:val="single" w:sz="4" w:space="0" w:color="auto"/>
              <w:right w:val="single" w:sz="4" w:space="0" w:color="auto"/>
            </w:tcBorders>
            <w:shd w:val="clear" w:color="000000" w:fill="FFFFFF"/>
            <w:vAlign w:val="bottom"/>
          </w:tcPr>
          <w:p w14:paraId="15F07B4D" w14:textId="7DF5B8CE" w:rsidR="003322CA" w:rsidRPr="001F224B" w:rsidRDefault="003322CA" w:rsidP="003322CA">
            <w:pPr>
              <w:jc w:val="right"/>
              <w:rPr>
                <w:b/>
                <w:bCs/>
                <w:sz w:val="20"/>
                <w:szCs w:val="20"/>
              </w:rPr>
            </w:pPr>
            <w:r w:rsidRPr="001F224B">
              <w:rPr>
                <w:b/>
                <w:bCs/>
                <w:sz w:val="20"/>
                <w:szCs w:val="20"/>
              </w:rPr>
              <w:t>3.817.512</w:t>
            </w:r>
          </w:p>
        </w:tc>
        <w:tc>
          <w:tcPr>
            <w:tcW w:w="797" w:type="pct"/>
            <w:tcBorders>
              <w:top w:val="single" w:sz="4" w:space="0" w:color="auto"/>
              <w:left w:val="nil"/>
              <w:bottom w:val="single" w:sz="4" w:space="0" w:color="auto"/>
              <w:right w:val="single" w:sz="4" w:space="0" w:color="auto"/>
            </w:tcBorders>
            <w:shd w:val="clear" w:color="000000" w:fill="FFFFFF"/>
          </w:tcPr>
          <w:p w14:paraId="6CBBA0D1" w14:textId="39D45504" w:rsidR="003322CA" w:rsidRPr="001F224B" w:rsidRDefault="003322CA" w:rsidP="003322CA">
            <w:pPr>
              <w:jc w:val="right"/>
              <w:rPr>
                <w:b/>
                <w:bCs/>
                <w:sz w:val="20"/>
                <w:szCs w:val="20"/>
              </w:rPr>
            </w:pPr>
            <w:r w:rsidRPr="001F224B">
              <w:rPr>
                <w:b/>
                <w:bCs/>
                <w:sz w:val="20"/>
                <w:szCs w:val="20"/>
              </w:rPr>
              <w:t>3.273.075</w:t>
            </w:r>
          </w:p>
        </w:tc>
      </w:tr>
      <w:tr w:rsidR="003322CA" w:rsidRPr="001F224B" w14:paraId="1542A966" w14:textId="4CD091CC" w:rsidTr="003322C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10803990" w14:textId="77777777" w:rsidR="003322CA" w:rsidRPr="001F224B" w:rsidRDefault="003322CA" w:rsidP="003322CA">
            <w:pPr>
              <w:rPr>
                <w:b/>
                <w:bCs/>
                <w:sz w:val="20"/>
                <w:szCs w:val="20"/>
              </w:rPr>
            </w:pPr>
            <w:r w:rsidRPr="001F224B">
              <w:rPr>
                <w:b/>
                <w:bCs/>
                <w:sz w:val="20"/>
                <w:szCs w:val="20"/>
              </w:rPr>
              <w:t>Toplam Özkaynak (Ana Sermaye ve  Katkı Sermaye Toplamı)</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222D1584" w14:textId="14482786" w:rsidR="003322CA" w:rsidRPr="001F224B" w:rsidRDefault="003322CA" w:rsidP="003322CA">
            <w:pPr>
              <w:jc w:val="right"/>
              <w:rPr>
                <w:b/>
                <w:bCs/>
                <w:sz w:val="20"/>
                <w:szCs w:val="20"/>
              </w:rPr>
            </w:pPr>
            <w:r w:rsidRPr="001F224B">
              <w:rPr>
                <w:b/>
                <w:bCs/>
                <w:sz w:val="20"/>
                <w:szCs w:val="20"/>
              </w:rPr>
              <w:t>33.289.446</w:t>
            </w:r>
          </w:p>
        </w:tc>
        <w:tc>
          <w:tcPr>
            <w:tcW w:w="797" w:type="pct"/>
            <w:tcBorders>
              <w:top w:val="single" w:sz="4" w:space="0" w:color="auto"/>
              <w:left w:val="nil"/>
              <w:bottom w:val="single" w:sz="4" w:space="0" w:color="auto"/>
              <w:right w:val="single" w:sz="4" w:space="0" w:color="auto"/>
            </w:tcBorders>
            <w:shd w:val="clear" w:color="000000" w:fill="FFFFFF"/>
          </w:tcPr>
          <w:p w14:paraId="51E7F7D2" w14:textId="00291997" w:rsidR="003322CA" w:rsidRPr="001F224B" w:rsidRDefault="003322CA" w:rsidP="003322CA">
            <w:pPr>
              <w:jc w:val="right"/>
              <w:rPr>
                <w:b/>
                <w:bCs/>
                <w:sz w:val="20"/>
                <w:szCs w:val="20"/>
              </w:rPr>
            </w:pPr>
            <w:r w:rsidRPr="001F224B">
              <w:rPr>
                <w:b/>
                <w:bCs/>
                <w:sz w:val="20"/>
                <w:szCs w:val="20"/>
              </w:rPr>
              <w:t>24.238.319</w:t>
            </w:r>
          </w:p>
        </w:tc>
      </w:tr>
      <w:tr w:rsidR="00EA5529" w:rsidRPr="001F224B" w14:paraId="054D8AF2" w14:textId="64F5BBF7" w:rsidTr="003322CA">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39695E76" w14:textId="77777777" w:rsidR="00EA5529" w:rsidRPr="001F224B" w:rsidRDefault="00EA5529" w:rsidP="00EA5529">
            <w:pPr>
              <w:rPr>
                <w:b/>
                <w:bCs/>
                <w:sz w:val="20"/>
                <w:szCs w:val="20"/>
              </w:rPr>
            </w:pPr>
            <w:r w:rsidRPr="001F224B">
              <w:rPr>
                <w:b/>
                <w:bCs/>
                <w:sz w:val="20"/>
                <w:szCs w:val="20"/>
              </w:rPr>
              <w:t>Ana Sermaye ve Katkı Sermaye Toplamı (Toplam Özkaynak)</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1A599562" w14:textId="01335BFB"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6AFE1830" w14:textId="54BECC70" w:rsidR="00EA5529" w:rsidRPr="001F224B" w:rsidRDefault="00EA5529" w:rsidP="00EA5529">
            <w:pPr>
              <w:jc w:val="right"/>
              <w:rPr>
                <w:sz w:val="20"/>
                <w:szCs w:val="20"/>
              </w:rPr>
            </w:pPr>
            <w:r w:rsidRPr="001F224B">
              <w:rPr>
                <w:sz w:val="20"/>
                <w:szCs w:val="20"/>
              </w:rPr>
              <w:t>-</w:t>
            </w:r>
          </w:p>
        </w:tc>
      </w:tr>
      <w:tr w:rsidR="00EA5529" w:rsidRPr="001F224B" w14:paraId="1E77C3EC" w14:textId="1BC723C7" w:rsidTr="003322CA">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AD828AE" w14:textId="02FCC511" w:rsidR="00EA5529" w:rsidRPr="001F224B" w:rsidRDefault="00EA5529" w:rsidP="00EA5529">
            <w:pPr>
              <w:rPr>
                <w:sz w:val="20"/>
                <w:szCs w:val="20"/>
              </w:rPr>
            </w:pPr>
            <w:r w:rsidRPr="001F224B">
              <w:rPr>
                <w:sz w:val="20"/>
                <w:szCs w:val="20"/>
              </w:rPr>
              <w:t xml:space="preserve">Kanunun 50 ve 51’inci maddeleri hükümlerine aykırı olarak kullandırılan krediler </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219D489F" w14:textId="34DF6DB4"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70399E7F" w14:textId="77F8D494" w:rsidR="00EA5529" w:rsidRPr="001F224B" w:rsidRDefault="00EA5529" w:rsidP="00EA5529">
            <w:pPr>
              <w:jc w:val="right"/>
              <w:rPr>
                <w:sz w:val="20"/>
                <w:szCs w:val="20"/>
              </w:rPr>
            </w:pPr>
            <w:r w:rsidRPr="001F224B">
              <w:rPr>
                <w:sz w:val="20"/>
                <w:szCs w:val="20"/>
              </w:rPr>
              <w:t>-</w:t>
            </w:r>
          </w:p>
        </w:tc>
      </w:tr>
      <w:tr w:rsidR="00EA5529" w:rsidRPr="001F224B" w14:paraId="7403AABC" w14:textId="3C694DC5"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tcPr>
          <w:p w14:paraId="73A3E49C" w14:textId="57AACF58" w:rsidR="00EA5529" w:rsidRPr="001F224B" w:rsidRDefault="00EA5529" w:rsidP="00EA5529">
            <w:pPr>
              <w:jc w:val="both"/>
              <w:rPr>
                <w:sz w:val="20"/>
                <w:szCs w:val="20"/>
              </w:rPr>
            </w:pPr>
            <w:r w:rsidRPr="001F224B">
              <w:rPr>
                <w:sz w:val="20"/>
                <w:szCs w:val="20"/>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7186377E" w14:textId="29130425"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3F657636" w14:textId="424D6BA2" w:rsidR="00EA5529" w:rsidRPr="001F224B" w:rsidRDefault="00EA5529" w:rsidP="00EA5529">
            <w:pPr>
              <w:jc w:val="right"/>
              <w:rPr>
                <w:sz w:val="20"/>
                <w:szCs w:val="20"/>
              </w:rPr>
            </w:pPr>
            <w:r w:rsidRPr="001F224B">
              <w:rPr>
                <w:sz w:val="20"/>
                <w:szCs w:val="20"/>
              </w:rPr>
              <w:t>-</w:t>
            </w:r>
          </w:p>
        </w:tc>
      </w:tr>
      <w:tr w:rsidR="00EA5529" w:rsidRPr="001F224B" w14:paraId="0D14A87E" w14:textId="6407551B"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tcPr>
          <w:p w14:paraId="4BB9EEB9" w14:textId="77777777" w:rsidR="00EA5529" w:rsidRPr="001F224B" w:rsidRDefault="00EA5529" w:rsidP="00EA5529">
            <w:pPr>
              <w:rPr>
                <w:sz w:val="20"/>
                <w:szCs w:val="20"/>
              </w:rPr>
            </w:pPr>
            <w:r w:rsidRPr="001F224B">
              <w:rPr>
                <w:sz w:val="20"/>
                <w:szCs w:val="20"/>
              </w:rPr>
              <w:t>Kurulca belirlenecek diğer hesaplar</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370815EF" w14:textId="7058FFD4" w:rsidR="00EA5529" w:rsidRPr="001F224B" w:rsidRDefault="00EA5529" w:rsidP="00EA5529">
            <w:pPr>
              <w:jc w:val="right"/>
              <w:rPr>
                <w:sz w:val="20"/>
                <w:szCs w:val="20"/>
              </w:rPr>
            </w:pPr>
            <w:r w:rsidRPr="001F224B">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482A7773" w14:textId="03EA34F9" w:rsidR="00EA5529" w:rsidRPr="001F224B" w:rsidRDefault="00EA5529" w:rsidP="00EA5529">
            <w:pPr>
              <w:jc w:val="right"/>
              <w:rPr>
                <w:sz w:val="20"/>
                <w:szCs w:val="20"/>
              </w:rPr>
            </w:pPr>
            <w:r w:rsidRPr="001F224B">
              <w:rPr>
                <w:sz w:val="20"/>
                <w:szCs w:val="20"/>
              </w:rPr>
              <w:t>-</w:t>
            </w:r>
          </w:p>
        </w:tc>
      </w:tr>
    </w:tbl>
    <w:p w14:paraId="6C90ABB5" w14:textId="77777777" w:rsidR="000B63C5" w:rsidRPr="001F224B" w:rsidRDefault="000B63C5" w:rsidP="00134F98">
      <w:pPr>
        <w:tabs>
          <w:tab w:val="left" w:pos="567"/>
        </w:tabs>
        <w:spacing w:before="120" w:after="120"/>
        <w:rPr>
          <w:b/>
          <w:bCs/>
          <w:noProof/>
          <w:sz w:val="22"/>
          <w:szCs w:val="22"/>
        </w:rPr>
        <w:sectPr w:rsidR="000B63C5" w:rsidRPr="001F224B" w:rsidSect="00F5305D">
          <w:footerReference w:type="first" r:id="rId96"/>
          <w:pgSz w:w="11907" w:h="16840" w:code="9"/>
          <w:pgMar w:top="1468" w:right="964" w:bottom="567" w:left="1134" w:header="624" w:footer="397" w:gutter="0"/>
          <w:cols w:space="708"/>
          <w:titlePg/>
          <w:docGrid w:linePitch="326"/>
        </w:sectPr>
      </w:pPr>
    </w:p>
    <w:p w14:paraId="1854A5F3" w14:textId="77777777" w:rsidR="008D59A4" w:rsidRPr="001F224B" w:rsidRDefault="008D59A4" w:rsidP="00310CA5">
      <w:pPr>
        <w:pStyle w:val="ListParagraph"/>
        <w:tabs>
          <w:tab w:val="left" w:pos="0"/>
        </w:tabs>
        <w:ind w:left="0"/>
        <w:rPr>
          <w:b/>
          <w:bCs/>
          <w:sz w:val="22"/>
          <w:szCs w:val="22"/>
        </w:rPr>
      </w:pPr>
      <w:r w:rsidRPr="001F224B">
        <w:rPr>
          <w:b/>
          <w:bCs/>
          <w:sz w:val="22"/>
          <w:szCs w:val="22"/>
        </w:rPr>
        <w:t>DÖRDÜNCÜ BÖLÜM (Devamı)</w:t>
      </w:r>
    </w:p>
    <w:p w14:paraId="026F13B4" w14:textId="77777777" w:rsidR="008D59A4" w:rsidRPr="001F224B" w:rsidRDefault="008D59A4" w:rsidP="00310CA5">
      <w:pPr>
        <w:pStyle w:val="ListParagraph"/>
        <w:tabs>
          <w:tab w:val="left" w:pos="0"/>
        </w:tabs>
        <w:spacing w:before="120"/>
        <w:ind w:left="0"/>
        <w:rPr>
          <w:b/>
          <w:bCs/>
          <w:sz w:val="22"/>
          <w:szCs w:val="22"/>
        </w:rPr>
      </w:pPr>
      <w:r w:rsidRPr="001F224B">
        <w:rPr>
          <w:b/>
          <w:bCs/>
          <w:sz w:val="22"/>
          <w:szCs w:val="22"/>
        </w:rPr>
        <w:t>KONSOLİDE MALİ BÜNYE VE RİSK YÖNETİMİNE İLİŞKİN BİLGİLER (Devamı)</w:t>
      </w:r>
    </w:p>
    <w:p w14:paraId="7A538B3F" w14:textId="77777777" w:rsidR="008D59A4" w:rsidRPr="001F224B" w:rsidRDefault="008D59A4" w:rsidP="00310CA5">
      <w:pPr>
        <w:tabs>
          <w:tab w:val="left" w:pos="567"/>
        </w:tabs>
        <w:spacing w:before="120" w:after="120"/>
        <w:ind w:left="567" w:hanging="567"/>
        <w:jc w:val="both"/>
        <w:rPr>
          <w:b/>
          <w:bCs/>
          <w:sz w:val="22"/>
          <w:szCs w:val="22"/>
        </w:rPr>
      </w:pPr>
      <w:r w:rsidRPr="001F224B">
        <w:rPr>
          <w:b/>
          <w:bCs/>
          <w:sz w:val="22"/>
          <w:szCs w:val="22"/>
        </w:rPr>
        <w:t>I.</w:t>
      </w:r>
      <w:r w:rsidRPr="001F224B">
        <w:rPr>
          <w:b/>
          <w:bCs/>
          <w:sz w:val="22"/>
          <w:szCs w:val="22"/>
        </w:rPr>
        <w:tab/>
        <w:t>Konsolide özkaynak kalemlerine ilişkin açıklamalar (Devamı)</w:t>
      </w:r>
    </w:p>
    <w:p w14:paraId="7211EC31" w14:textId="77777777" w:rsidR="008D59A4" w:rsidRPr="001F224B" w:rsidRDefault="008D59A4" w:rsidP="008D59A4">
      <w:pPr>
        <w:tabs>
          <w:tab w:val="left" w:pos="567"/>
        </w:tabs>
        <w:spacing w:before="120" w:after="120"/>
        <w:ind w:left="567"/>
        <w:rPr>
          <w:b/>
          <w:bCs/>
          <w:noProof/>
          <w:sz w:val="22"/>
          <w:szCs w:val="22"/>
        </w:rPr>
      </w:pPr>
      <w:r w:rsidRPr="001F224B">
        <w:rPr>
          <w:b/>
          <w:bCs/>
          <w:noProof/>
          <w:sz w:val="22"/>
          <w:szCs w:val="22"/>
        </w:rPr>
        <w:t>Konsolide özkaynak kalemlerine ilişkin bilgiler (Devamı):</w:t>
      </w:r>
    </w:p>
    <w:tbl>
      <w:tblPr>
        <w:tblW w:w="5317" w:type="pct"/>
        <w:tblCellMar>
          <w:left w:w="70" w:type="dxa"/>
          <w:right w:w="70" w:type="dxa"/>
        </w:tblCellMar>
        <w:tblLook w:val="04A0" w:firstRow="1" w:lastRow="0" w:firstColumn="1" w:lastColumn="0" w:noHBand="0" w:noVBand="1"/>
      </w:tblPr>
      <w:tblGrid>
        <w:gridCol w:w="6939"/>
        <w:gridCol w:w="1739"/>
        <w:gridCol w:w="1737"/>
      </w:tblGrid>
      <w:tr w:rsidR="00886F8D" w:rsidRPr="001F224B" w14:paraId="7E09A8CE" w14:textId="48F8A715" w:rsidTr="00E7690A">
        <w:trPr>
          <w:trHeight w:val="227"/>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4C9D4A66" w14:textId="77777777" w:rsidR="00886F8D" w:rsidRPr="001F224B" w:rsidRDefault="00886F8D" w:rsidP="00886F8D">
            <w:pPr>
              <w:rPr>
                <w:b/>
                <w:bCs/>
                <w:sz w:val="20"/>
                <w:szCs w:val="20"/>
              </w:rPr>
            </w:pPr>
            <w:r w:rsidRPr="001F224B">
              <w:rPr>
                <w:b/>
                <w:bCs/>
                <w:sz w:val="20"/>
                <w:szCs w:val="20"/>
              </w:rPr>
              <w:t>Geçiş Sürecinde Ana Sermaye ve Katkı Sermaye Toplamından (Sermayeden) İndirilmeye Devam Edecek Unsurlar</w:t>
            </w:r>
          </w:p>
        </w:tc>
        <w:tc>
          <w:tcPr>
            <w:tcW w:w="835" w:type="pct"/>
            <w:tcBorders>
              <w:top w:val="single" w:sz="4" w:space="0" w:color="auto"/>
              <w:left w:val="nil"/>
              <w:bottom w:val="single" w:sz="4" w:space="0" w:color="auto"/>
              <w:right w:val="single" w:sz="4" w:space="0" w:color="auto"/>
            </w:tcBorders>
            <w:shd w:val="clear" w:color="000000" w:fill="FFFFFF"/>
            <w:vAlign w:val="bottom"/>
          </w:tcPr>
          <w:p w14:paraId="493C18AD" w14:textId="0EDD87EE" w:rsidR="00886F8D" w:rsidRPr="001F224B" w:rsidRDefault="00266F09" w:rsidP="00886F8D">
            <w:pPr>
              <w:jc w:val="right"/>
              <w:rPr>
                <w:b/>
                <w:bCs/>
                <w:sz w:val="20"/>
                <w:szCs w:val="20"/>
              </w:rPr>
            </w:pPr>
            <w:r w:rsidRPr="001F224B">
              <w:rPr>
                <w:b/>
                <w:bCs/>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52AF3113" w14:textId="23717888" w:rsidR="00886F8D" w:rsidRPr="001F224B" w:rsidRDefault="00886F8D" w:rsidP="00886F8D">
            <w:pPr>
              <w:jc w:val="right"/>
              <w:rPr>
                <w:b/>
                <w:bCs/>
                <w:sz w:val="20"/>
                <w:szCs w:val="20"/>
              </w:rPr>
            </w:pPr>
            <w:r w:rsidRPr="001F224B">
              <w:rPr>
                <w:b/>
                <w:sz w:val="20"/>
                <w:szCs w:val="20"/>
              </w:rPr>
              <w:t>-</w:t>
            </w:r>
          </w:p>
        </w:tc>
      </w:tr>
      <w:tr w:rsidR="00886F8D" w:rsidRPr="001F224B" w14:paraId="0B08BB8A" w14:textId="4679D8D6" w:rsidTr="00E7690A">
        <w:trPr>
          <w:trHeight w:val="227"/>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539DF19A" w14:textId="2FA3EC1E" w:rsidR="00886F8D" w:rsidRPr="001F224B" w:rsidRDefault="00886F8D" w:rsidP="00886F8D">
            <w:pPr>
              <w:jc w:val="both"/>
              <w:rPr>
                <w:sz w:val="20"/>
                <w:szCs w:val="20"/>
              </w:rPr>
            </w:pPr>
            <w:r w:rsidRPr="001F224B">
              <w:rPr>
                <w:sz w:val="20"/>
                <w:szCs w:val="20"/>
              </w:rPr>
              <w:t xml:space="preserve">Ortaklık paylarının yüzde %10’unu veya daha azına sahip olunan ve konsolide edilmeyen bankalar ve finansal kuruluşların özkaynak unsurlarına yapılan yatırımların net uzun pozisyonları toplamının, bankanın çekirdek sermayesinin %10’unu aşan kısmının, Bankaların Özkaynaklarına İlişkin Yönetmeliğin Geçici 2’nci maddesinin birinci fıkrası uyarınca çekirdek sermayeden, ilave ana sermayeden ve katkı sermayeden indirilmeyen kısmı </w:t>
            </w:r>
          </w:p>
        </w:tc>
        <w:tc>
          <w:tcPr>
            <w:tcW w:w="835" w:type="pct"/>
            <w:tcBorders>
              <w:top w:val="single" w:sz="4" w:space="0" w:color="auto"/>
              <w:left w:val="nil"/>
              <w:bottom w:val="nil"/>
              <w:right w:val="single" w:sz="4" w:space="0" w:color="auto"/>
            </w:tcBorders>
            <w:shd w:val="clear" w:color="000000" w:fill="FFFFFF"/>
            <w:vAlign w:val="bottom"/>
          </w:tcPr>
          <w:p w14:paraId="6D4A8A11" w14:textId="305367D2" w:rsidR="00886F8D" w:rsidRPr="001F224B" w:rsidRDefault="00886F8D" w:rsidP="00886F8D">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18EBEC34" w14:textId="5329C070" w:rsidR="00886F8D" w:rsidRPr="001F224B" w:rsidRDefault="00886F8D" w:rsidP="00886F8D">
            <w:pPr>
              <w:jc w:val="right"/>
              <w:rPr>
                <w:sz w:val="20"/>
                <w:szCs w:val="20"/>
              </w:rPr>
            </w:pPr>
            <w:r w:rsidRPr="001F224B">
              <w:rPr>
                <w:sz w:val="20"/>
                <w:szCs w:val="20"/>
              </w:rPr>
              <w:t>-</w:t>
            </w:r>
          </w:p>
        </w:tc>
      </w:tr>
      <w:tr w:rsidR="00886F8D" w:rsidRPr="001F224B" w14:paraId="7414241E" w14:textId="171D20F1"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690F52A1" w14:textId="64C95B45" w:rsidR="00886F8D" w:rsidRPr="001F224B" w:rsidRDefault="00886F8D" w:rsidP="00886F8D">
            <w:pPr>
              <w:jc w:val="both"/>
              <w:rPr>
                <w:sz w:val="20"/>
                <w:szCs w:val="20"/>
              </w:rPr>
            </w:pPr>
            <w:r w:rsidRPr="001F224B">
              <w:rPr>
                <w:sz w:val="20"/>
                <w:szCs w:val="20"/>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35" w:type="pct"/>
            <w:tcBorders>
              <w:top w:val="single" w:sz="4" w:space="0" w:color="auto"/>
              <w:left w:val="nil"/>
              <w:bottom w:val="single" w:sz="4" w:space="0" w:color="auto"/>
              <w:right w:val="single" w:sz="4" w:space="0" w:color="auto"/>
            </w:tcBorders>
            <w:shd w:val="clear" w:color="000000" w:fill="FFFFFF"/>
            <w:vAlign w:val="bottom"/>
          </w:tcPr>
          <w:p w14:paraId="0BE1DEDB" w14:textId="6C54475B" w:rsidR="00886F8D" w:rsidRPr="001F224B" w:rsidRDefault="00886F8D" w:rsidP="00886F8D">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4FAD4ED4" w14:textId="03C86A06" w:rsidR="00886F8D" w:rsidRPr="001F224B" w:rsidRDefault="00886F8D" w:rsidP="00886F8D">
            <w:pPr>
              <w:jc w:val="right"/>
              <w:rPr>
                <w:sz w:val="20"/>
                <w:szCs w:val="20"/>
              </w:rPr>
            </w:pPr>
            <w:r w:rsidRPr="001F224B">
              <w:rPr>
                <w:sz w:val="20"/>
                <w:szCs w:val="20"/>
              </w:rPr>
              <w:t>-</w:t>
            </w:r>
          </w:p>
        </w:tc>
      </w:tr>
      <w:tr w:rsidR="00886F8D" w:rsidRPr="001F224B" w14:paraId="584BE538" w14:textId="43C08F06"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43BA9918" w14:textId="6758FB69" w:rsidR="00886F8D" w:rsidRPr="001F224B" w:rsidRDefault="00886F8D" w:rsidP="00886F8D">
            <w:pPr>
              <w:jc w:val="both"/>
              <w:rPr>
                <w:sz w:val="20"/>
                <w:szCs w:val="20"/>
              </w:rPr>
            </w:pPr>
            <w:r w:rsidRPr="001F224B">
              <w:rPr>
                <w:sz w:val="20"/>
                <w:szCs w:val="20"/>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835" w:type="pct"/>
            <w:tcBorders>
              <w:top w:val="nil"/>
              <w:left w:val="nil"/>
              <w:bottom w:val="single" w:sz="4" w:space="0" w:color="auto"/>
              <w:right w:val="single" w:sz="4" w:space="0" w:color="auto"/>
            </w:tcBorders>
            <w:shd w:val="clear" w:color="000000" w:fill="FFFFFF"/>
            <w:vAlign w:val="bottom"/>
          </w:tcPr>
          <w:p w14:paraId="689013D8" w14:textId="25288DB6" w:rsidR="00886F8D" w:rsidRPr="001F224B" w:rsidRDefault="00886F8D" w:rsidP="00886F8D">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4CAD70AC" w14:textId="3A9819C8" w:rsidR="00886F8D" w:rsidRPr="001F224B" w:rsidRDefault="00886F8D" w:rsidP="00886F8D">
            <w:pPr>
              <w:jc w:val="right"/>
              <w:rPr>
                <w:sz w:val="20"/>
                <w:szCs w:val="20"/>
              </w:rPr>
            </w:pPr>
            <w:r w:rsidRPr="001F224B">
              <w:rPr>
                <w:sz w:val="20"/>
                <w:szCs w:val="20"/>
              </w:rPr>
              <w:t>-</w:t>
            </w:r>
          </w:p>
        </w:tc>
      </w:tr>
      <w:tr w:rsidR="00886F8D" w:rsidRPr="001F224B" w14:paraId="25EA5EBF" w14:textId="03D734F2"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2A57AB8" w14:textId="77777777" w:rsidR="00886F8D" w:rsidRPr="001F224B" w:rsidRDefault="00886F8D" w:rsidP="00886F8D">
            <w:pPr>
              <w:rPr>
                <w:b/>
                <w:bCs/>
                <w:sz w:val="20"/>
                <w:szCs w:val="20"/>
              </w:rPr>
            </w:pPr>
            <w:r w:rsidRPr="001F224B">
              <w:rPr>
                <w:b/>
                <w:bCs/>
                <w:sz w:val="20"/>
                <w:szCs w:val="20"/>
              </w:rPr>
              <w:t>ÖZKAYNAK</w:t>
            </w:r>
          </w:p>
        </w:tc>
        <w:tc>
          <w:tcPr>
            <w:tcW w:w="835" w:type="pct"/>
            <w:tcBorders>
              <w:top w:val="nil"/>
              <w:left w:val="nil"/>
              <w:bottom w:val="single" w:sz="4" w:space="0" w:color="auto"/>
              <w:right w:val="single" w:sz="4" w:space="0" w:color="auto"/>
            </w:tcBorders>
            <w:shd w:val="clear" w:color="auto" w:fill="auto"/>
            <w:vAlign w:val="bottom"/>
          </w:tcPr>
          <w:p w14:paraId="5161DBD4" w14:textId="77777777" w:rsidR="00886F8D" w:rsidRPr="001F224B" w:rsidRDefault="00886F8D" w:rsidP="00886F8D">
            <w:pPr>
              <w:jc w:val="right"/>
              <w:rPr>
                <w:sz w:val="20"/>
                <w:szCs w:val="20"/>
              </w:rPr>
            </w:pPr>
          </w:p>
        </w:tc>
        <w:tc>
          <w:tcPr>
            <w:tcW w:w="834" w:type="pct"/>
            <w:tcBorders>
              <w:top w:val="single" w:sz="4" w:space="0" w:color="auto"/>
              <w:left w:val="nil"/>
              <w:bottom w:val="single" w:sz="4" w:space="0" w:color="auto"/>
              <w:right w:val="single" w:sz="4" w:space="0" w:color="auto"/>
            </w:tcBorders>
            <w:vAlign w:val="bottom"/>
          </w:tcPr>
          <w:p w14:paraId="02C43D14" w14:textId="77777777" w:rsidR="00886F8D" w:rsidRPr="001F224B" w:rsidRDefault="00886F8D" w:rsidP="00886F8D">
            <w:pPr>
              <w:jc w:val="right"/>
              <w:rPr>
                <w:sz w:val="20"/>
                <w:szCs w:val="20"/>
              </w:rPr>
            </w:pPr>
          </w:p>
        </w:tc>
      </w:tr>
      <w:tr w:rsidR="00EA5529" w:rsidRPr="001F224B" w14:paraId="14BFD36C" w14:textId="6FBDB616"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2B418BE5" w14:textId="77777777" w:rsidR="00EA5529" w:rsidRPr="001F224B" w:rsidRDefault="00EA5529" w:rsidP="00EA5529">
            <w:pPr>
              <w:jc w:val="both"/>
              <w:rPr>
                <w:sz w:val="20"/>
                <w:szCs w:val="20"/>
              </w:rPr>
            </w:pPr>
            <w:r w:rsidRPr="001F224B">
              <w:rPr>
                <w:sz w:val="20"/>
                <w:szCs w:val="20"/>
              </w:rPr>
              <w:t xml:space="preserve">Toplam Özkaynak (Ana sermaye ve katkı sermaye toplamı) </w:t>
            </w:r>
          </w:p>
        </w:tc>
        <w:tc>
          <w:tcPr>
            <w:tcW w:w="835" w:type="pct"/>
            <w:tcBorders>
              <w:top w:val="nil"/>
              <w:left w:val="nil"/>
              <w:bottom w:val="single" w:sz="4" w:space="0" w:color="auto"/>
              <w:right w:val="single" w:sz="4" w:space="0" w:color="auto"/>
            </w:tcBorders>
            <w:shd w:val="clear" w:color="auto" w:fill="auto"/>
            <w:vAlign w:val="bottom"/>
          </w:tcPr>
          <w:p w14:paraId="0CA0A71D" w14:textId="5C8B1CC6" w:rsidR="00EA5529" w:rsidRPr="001F224B" w:rsidRDefault="00A02819" w:rsidP="00EA5529">
            <w:pPr>
              <w:jc w:val="right"/>
              <w:rPr>
                <w:b/>
                <w:bCs/>
                <w:sz w:val="20"/>
                <w:szCs w:val="20"/>
              </w:rPr>
            </w:pPr>
            <w:r w:rsidRPr="001F224B">
              <w:rPr>
                <w:b/>
                <w:bCs/>
                <w:sz w:val="20"/>
                <w:szCs w:val="20"/>
              </w:rPr>
              <w:t>33.289.446</w:t>
            </w:r>
          </w:p>
        </w:tc>
        <w:tc>
          <w:tcPr>
            <w:tcW w:w="834" w:type="pct"/>
            <w:tcBorders>
              <w:top w:val="single" w:sz="4" w:space="0" w:color="auto"/>
              <w:left w:val="nil"/>
              <w:bottom w:val="single" w:sz="4" w:space="0" w:color="auto"/>
              <w:right w:val="single" w:sz="4" w:space="0" w:color="auto"/>
            </w:tcBorders>
            <w:vAlign w:val="bottom"/>
          </w:tcPr>
          <w:p w14:paraId="56516395" w14:textId="775899C8" w:rsidR="00EA5529" w:rsidRPr="001F224B" w:rsidRDefault="00EA5529" w:rsidP="00EA5529">
            <w:pPr>
              <w:jc w:val="right"/>
              <w:rPr>
                <w:b/>
                <w:sz w:val="20"/>
                <w:szCs w:val="20"/>
              </w:rPr>
            </w:pPr>
            <w:r w:rsidRPr="001F224B">
              <w:rPr>
                <w:b/>
                <w:bCs/>
                <w:sz w:val="20"/>
                <w:szCs w:val="20"/>
              </w:rPr>
              <w:t>24.238.319</w:t>
            </w:r>
          </w:p>
        </w:tc>
      </w:tr>
      <w:tr w:rsidR="00EA5529" w:rsidRPr="001F224B" w14:paraId="67A8DD00" w14:textId="6F9CDD4A"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1E1E95DA" w14:textId="77777777" w:rsidR="00EA5529" w:rsidRPr="001F224B" w:rsidRDefault="00EA5529" w:rsidP="00EA5529">
            <w:pPr>
              <w:jc w:val="both"/>
              <w:rPr>
                <w:sz w:val="20"/>
                <w:szCs w:val="20"/>
              </w:rPr>
            </w:pPr>
            <w:r w:rsidRPr="001F224B">
              <w:rPr>
                <w:sz w:val="20"/>
                <w:szCs w:val="20"/>
              </w:rPr>
              <w:t xml:space="preserve">Toplam Risk Ağırlıklı Tutarlar </w:t>
            </w:r>
          </w:p>
        </w:tc>
        <w:tc>
          <w:tcPr>
            <w:tcW w:w="835" w:type="pct"/>
            <w:tcBorders>
              <w:top w:val="nil"/>
              <w:left w:val="nil"/>
              <w:bottom w:val="single" w:sz="4" w:space="0" w:color="auto"/>
              <w:right w:val="single" w:sz="4" w:space="0" w:color="auto"/>
            </w:tcBorders>
            <w:shd w:val="clear" w:color="auto" w:fill="auto"/>
            <w:vAlign w:val="bottom"/>
          </w:tcPr>
          <w:p w14:paraId="166787D7" w14:textId="4DC27798" w:rsidR="00EA5529" w:rsidRPr="001F224B" w:rsidRDefault="00B75AB2" w:rsidP="00EA5529">
            <w:pPr>
              <w:jc w:val="right"/>
              <w:rPr>
                <w:b/>
                <w:bCs/>
                <w:sz w:val="20"/>
                <w:szCs w:val="20"/>
              </w:rPr>
            </w:pPr>
            <w:r w:rsidRPr="001F224B">
              <w:rPr>
                <w:b/>
                <w:bCs/>
                <w:sz w:val="20"/>
                <w:szCs w:val="20"/>
              </w:rPr>
              <w:t>166.204.227</w:t>
            </w:r>
          </w:p>
        </w:tc>
        <w:tc>
          <w:tcPr>
            <w:tcW w:w="834" w:type="pct"/>
            <w:tcBorders>
              <w:top w:val="single" w:sz="4" w:space="0" w:color="auto"/>
              <w:left w:val="nil"/>
              <w:bottom w:val="single" w:sz="4" w:space="0" w:color="auto"/>
              <w:right w:val="single" w:sz="4" w:space="0" w:color="auto"/>
            </w:tcBorders>
            <w:vAlign w:val="bottom"/>
          </w:tcPr>
          <w:p w14:paraId="69E70147" w14:textId="1CEE7BD1" w:rsidR="00EA5529" w:rsidRPr="001F224B" w:rsidRDefault="00EA5529" w:rsidP="00EA5529">
            <w:pPr>
              <w:jc w:val="right"/>
              <w:rPr>
                <w:b/>
                <w:sz w:val="20"/>
                <w:szCs w:val="20"/>
              </w:rPr>
            </w:pPr>
            <w:r w:rsidRPr="001F224B">
              <w:rPr>
                <w:b/>
                <w:bCs/>
                <w:sz w:val="20"/>
                <w:szCs w:val="20"/>
              </w:rPr>
              <w:t>134.789.354</w:t>
            </w:r>
          </w:p>
        </w:tc>
      </w:tr>
      <w:tr w:rsidR="00EA5529" w:rsidRPr="001F224B" w14:paraId="3FDC10E1" w14:textId="586236C6"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5433400F" w14:textId="77777777" w:rsidR="00EA5529" w:rsidRPr="001F224B" w:rsidRDefault="00EA5529" w:rsidP="00EA5529">
            <w:pPr>
              <w:rPr>
                <w:b/>
                <w:bCs/>
                <w:sz w:val="20"/>
                <w:szCs w:val="20"/>
              </w:rPr>
            </w:pPr>
            <w:r w:rsidRPr="001F224B">
              <w:rPr>
                <w:b/>
                <w:bCs/>
                <w:sz w:val="20"/>
                <w:szCs w:val="20"/>
              </w:rPr>
              <w:t>SERMAYE YETERLİLİĞİ ORANLARI</w:t>
            </w:r>
          </w:p>
        </w:tc>
        <w:tc>
          <w:tcPr>
            <w:tcW w:w="835" w:type="pct"/>
            <w:tcBorders>
              <w:top w:val="nil"/>
              <w:left w:val="nil"/>
              <w:bottom w:val="single" w:sz="4" w:space="0" w:color="auto"/>
              <w:right w:val="single" w:sz="4" w:space="0" w:color="auto"/>
            </w:tcBorders>
            <w:shd w:val="clear" w:color="auto" w:fill="auto"/>
            <w:vAlign w:val="bottom"/>
          </w:tcPr>
          <w:p w14:paraId="4D2D7157" w14:textId="77777777" w:rsidR="00EA5529" w:rsidRPr="001F224B" w:rsidRDefault="00EA5529" w:rsidP="00EA5529">
            <w:pPr>
              <w:jc w:val="right"/>
              <w:rPr>
                <w:sz w:val="20"/>
                <w:szCs w:val="20"/>
              </w:rPr>
            </w:pPr>
          </w:p>
        </w:tc>
        <w:tc>
          <w:tcPr>
            <w:tcW w:w="834" w:type="pct"/>
            <w:tcBorders>
              <w:top w:val="single" w:sz="4" w:space="0" w:color="auto"/>
              <w:left w:val="nil"/>
              <w:bottom w:val="single" w:sz="4" w:space="0" w:color="auto"/>
              <w:right w:val="single" w:sz="4" w:space="0" w:color="auto"/>
            </w:tcBorders>
            <w:vAlign w:val="bottom"/>
          </w:tcPr>
          <w:p w14:paraId="65D8CB27" w14:textId="77777777" w:rsidR="00EA5529" w:rsidRPr="001F224B" w:rsidRDefault="00EA5529" w:rsidP="00EA5529">
            <w:pPr>
              <w:jc w:val="right"/>
              <w:rPr>
                <w:sz w:val="20"/>
                <w:szCs w:val="20"/>
              </w:rPr>
            </w:pPr>
          </w:p>
        </w:tc>
      </w:tr>
      <w:tr w:rsidR="00676C8C" w:rsidRPr="001F224B" w14:paraId="3E43D221" w14:textId="7AD3888B" w:rsidTr="00465373">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8805B21" w14:textId="77777777" w:rsidR="00676C8C" w:rsidRPr="001F224B" w:rsidRDefault="00676C8C" w:rsidP="00676C8C">
            <w:pPr>
              <w:jc w:val="both"/>
              <w:rPr>
                <w:sz w:val="20"/>
                <w:szCs w:val="20"/>
              </w:rPr>
            </w:pPr>
            <w:r w:rsidRPr="001F224B">
              <w:rPr>
                <w:sz w:val="20"/>
                <w:szCs w:val="20"/>
              </w:rPr>
              <w:t>Konsolide Çekirdek Sermaye Yeterliliği Oranı (%)</w:t>
            </w:r>
          </w:p>
        </w:tc>
        <w:tc>
          <w:tcPr>
            <w:tcW w:w="835" w:type="pct"/>
            <w:tcBorders>
              <w:top w:val="nil"/>
              <w:left w:val="nil"/>
              <w:bottom w:val="single" w:sz="4" w:space="0" w:color="auto"/>
              <w:right w:val="single" w:sz="4" w:space="0" w:color="auto"/>
            </w:tcBorders>
            <w:shd w:val="clear" w:color="auto" w:fill="auto"/>
          </w:tcPr>
          <w:p w14:paraId="6F35078F" w14:textId="2F321A39" w:rsidR="00676C8C" w:rsidRPr="001F224B" w:rsidRDefault="00676C8C" w:rsidP="00676C8C">
            <w:pPr>
              <w:jc w:val="right"/>
              <w:rPr>
                <w:bCs/>
                <w:sz w:val="20"/>
                <w:szCs w:val="20"/>
              </w:rPr>
            </w:pPr>
            <w:r w:rsidRPr="001F224B">
              <w:rPr>
                <w:bCs/>
                <w:sz w:val="20"/>
                <w:szCs w:val="20"/>
              </w:rPr>
              <w:t>16,83</w:t>
            </w:r>
          </w:p>
        </w:tc>
        <w:tc>
          <w:tcPr>
            <w:tcW w:w="834" w:type="pct"/>
            <w:tcBorders>
              <w:top w:val="single" w:sz="4" w:space="0" w:color="auto"/>
              <w:left w:val="nil"/>
              <w:bottom w:val="single" w:sz="4" w:space="0" w:color="auto"/>
              <w:right w:val="single" w:sz="4" w:space="0" w:color="auto"/>
            </w:tcBorders>
          </w:tcPr>
          <w:p w14:paraId="335F941F" w14:textId="0F86C95C" w:rsidR="00676C8C" w:rsidRPr="001F224B" w:rsidRDefault="00676C8C" w:rsidP="00676C8C">
            <w:pPr>
              <w:jc w:val="right"/>
              <w:rPr>
                <w:sz w:val="20"/>
                <w:szCs w:val="20"/>
              </w:rPr>
            </w:pPr>
            <w:r w:rsidRPr="001F224B">
              <w:rPr>
                <w:bCs/>
                <w:sz w:val="20"/>
                <w:szCs w:val="20"/>
              </w:rPr>
              <w:t>14,44</w:t>
            </w:r>
          </w:p>
        </w:tc>
      </w:tr>
      <w:tr w:rsidR="00676C8C" w:rsidRPr="001F224B" w14:paraId="27F19A88" w14:textId="10E89F73" w:rsidTr="00465373">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4AE10AAA" w14:textId="77777777" w:rsidR="00676C8C" w:rsidRPr="001F224B" w:rsidRDefault="00676C8C" w:rsidP="00676C8C">
            <w:pPr>
              <w:jc w:val="both"/>
              <w:rPr>
                <w:sz w:val="20"/>
                <w:szCs w:val="20"/>
              </w:rPr>
            </w:pPr>
            <w:r w:rsidRPr="001F224B">
              <w:rPr>
                <w:sz w:val="20"/>
                <w:szCs w:val="20"/>
              </w:rPr>
              <w:t>Konsolide Ana Sermaye Yeterliliği Oranı (%)</w:t>
            </w:r>
          </w:p>
        </w:tc>
        <w:tc>
          <w:tcPr>
            <w:tcW w:w="835" w:type="pct"/>
            <w:tcBorders>
              <w:top w:val="nil"/>
              <w:left w:val="nil"/>
              <w:bottom w:val="single" w:sz="4" w:space="0" w:color="auto"/>
              <w:right w:val="single" w:sz="4" w:space="0" w:color="auto"/>
            </w:tcBorders>
            <w:shd w:val="clear" w:color="auto" w:fill="auto"/>
          </w:tcPr>
          <w:p w14:paraId="3662EAF5" w14:textId="42A9E820" w:rsidR="00676C8C" w:rsidRPr="001F224B" w:rsidRDefault="001E0CD1" w:rsidP="00676C8C">
            <w:pPr>
              <w:jc w:val="right"/>
              <w:rPr>
                <w:bCs/>
                <w:sz w:val="20"/>
                <w:szCs w:val="20"/>
              </w:rPr>
            </w:pPr>
            <w:r w:rsidRPr="001F224B">
              <w:rPr>
                <w:bCs/>
                <w:sz w:val="20"/>
                <w:szCs w:val="20"/>
              </w:rPr>
              <w:t>17,73</w:t>
            </w:r>
          </w:p>
        </w:tc>
        <w:tc>
          <w:tcPr>
            <w:tcW w:w="834" w:type="pct"/>
            <w:tcBorders>
              <w:top w:val="single" w:sz="4" w:space="0" w:color="auto"/>
              <w:left w:val="nil"/>
              <w:bottom w:val="single" w:sz="4" w:space="0" w:color="auto"/>
              <w:right w:val="single" w:sz="4" w:space="0" w:color="auto"/>
            </w:tcBorders>
          </w:tcPr>
          <w:p w14:paraId="59956523" w14:textId="0F7FE2ED" w:rsidR="00676C8C" w:rsidRPr="001F224B" w:rsidRDefault="00676C8C" w:rsidP="00676C8C">
            <w:pPr>
              <w:jc w:val="right"/>
              <w:rPr>
                <w:sz w:val="20"/>
                <w:szCs w:val="20"/>
              </w:rPr>
            </w:pPr>
            <w:r w:rsidRPr="001F224B">
              <w:rPr>
                <w:bCs/>
                <w:sz w:val="20"/>
                <w:szCs w:val="20"/>
              </w:rPr>
              <w:t>15,55</w:t>
            </w:r>
          </w:p>
        </w:tc>
      </w:tr>
      <w:tr w:rsidR="00676C8C" w:rsidRPr="001F224B" w14:paraId="22069E21" w14:textId="0A2DA829" w:rsidTr="00465373">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AC212CB" w14:textId="77777777" w:rsidR="00676C8C" w:rsidRPr="001F224B" w:rsidRDefault="00676C8C" w:rsidP="00676C8C">
            <w:pPr>
              <w:jc w:val="both"/>
              <w:rPr>
                <w:sz w:val="20"/>
                <w:szCs w:val="20"/>
              </w:rPr>
            </w:pPr>
            <w:r w:rsidRPr="001F224B">
              <w:rPr>
                <w:sz w:val="20"/>
                <w:szCs w:val="20"/>
              </w:rPr>
              <w:t>Konsolide Sermaye Yeterliliği Oranı (%)</w:t>
            </w:r>
          </w:p>
        </w:tc>
        <w:tc>
          <w:tcPr>
            <w:tcW w:w="835" w:type="pct"/>
            <w:tcBorders>
              <w:top w:val="nil"/>
              <w:left w:val="nil"/>
              <w:bottom w:val="single" w:sz="4" w:space="0" w:color="auto"/>
              <w:right w:val="single" w:sz="4" w:space="0" w:color="auto"/>
            </w:tcBorders>
            <w:shd w:val="clear" w:color="auto" w:fill="auto"/>
          </w:tcPr>
          <w:p w14:paraId="0257E937" w14:textId="66F8162D" w:rsidR="00676C8C" w:rsidRPr="001F224B" w:rsidRDefault="00676C8C" w:rsidP="00676C8C">
            <w:pPr>
              <w:jc w:val="right"/>
              <w:rPr>
                <w:bCs/>
                <w:sz w:val="20"/>
                <w:szCs w:val="20"/>
              </w:rPr>
            </w:pPr>
            <w:r w:rsidRPr="001F224B">
              <w:rPr>
                <w:bCs/>
                <w:sz w:val="20"/>
                <w:szCs w:val="20"/>
              </w:rPr>
              <w:t>20,03</w:t>
            </w:r>
          </w:p>
        </w:tc>
        <w:tc>
          <w:tcPr>
            <w:tcW w:w="834" w:type="pct"/>
            <w:tcBorders>
              <w:top w:val="single" w:sz="4" w:space="0" w:color="auto"/>
              <w:left w:val="nil"/>
              <w:bottom w:val="single" w:sz="4" w:space="0" w:color="auto"/>
              <w:right w:val="single" w:sz="4" w:space="0" w:color="auto"/>
            </w:tcBorders>
          </w:tcPr>
          <w:p w14:paraId="1DC31705" w14:textId="5521FC72" w:rsidR="00676C8C" w:rsidRPr="001F224B" w:rsidRDefault="00676C8C" w:rsidP="00676C8C">
            <w:pPr>
              <w:jc w:val="right"/>
              <w:rPr>
                <w:sz w:val="20"/>
                <w:szCs w:val="20"/>
              </w:rPr>
            </w:pPr>
            <w:r w:rsidRPr="001F224B">
              <w:rPr>
                <w:bCs/>
                <w:sz w:val="20"/>
                <w:szCs w:val="20"/>
              </w:rPr>
              <w:t>17,98</w:t>
            </w:r>
          </w:p>
        </w:tc>
      </w:tr>
      <w:tr w:rsidR="00EA5529" w:rsidRPr="001F224B" w14:paraId="2E884CBA" w14:textId="49DB778D" w:rsidTr="009E6EB1">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2ED1FC3" w14:textId="77777777" w:rsidR="00EA5529" w:rsidRPr="001F224B" w:rsidRDefault="00EA5529" w:rsidP="00EA5529">
            <w:pPr>
              <w:rPr>
                <w:b/>
                <w:bCs/>
                <w:sz w:val="20"/>
                <w:szCs w:val="20"/>
              </w:rPr>
            </w:pPr>
            <w:r w:rsidRPr="001F224B">
              <w:rPr>
                <w:b/>
                <w:bCs/>
                <w:sz w:val="20"/>
                <w:szCs w:val="20"/>
              </w:rPr>
              <w:t>TAMPONLAR</w:t>
            </w:r>
          </w:p>
        </w:tc>
        <w:tc>
          <w:tcPr>
            <w:tcW w:w="835" w:type="pct"/>
            <w:tcBorders>
              <w:top w:val="nil"/>
              <w:left w:val="nil"/>
              <w:bottom w:val="single" w:sz="4" w:space="0" w:color="auto"/>
              <w:right w:val="single" w:sz="4" w:space="0" w:color="auto"/>
            </w:tcBorders>
            <w:shd w:val="clear" w:color="auto" w:fill="auto"/>
            <w:vAlign w:val="bottom"/>
          </w:tcPr>
          <w:p w14:paraId="0DE8695A" w14:textId="77777777" w:rsidR="00EA5529" w:rsidRPr="001F224B" w:rsidRDefault="00EA5529" w:rsidP="00EA5529">
            <w:pPr>
              <w:jc w:val="right"/>
              <w:rPr>
                <w:sz w:val="20"/>
                <w:szCs w:val="20"/>
              </w:rPr>
            </w:pPr>
          </w:p>
        </w:tc>
        <w:tc>
          <w:tcPr>
            <w:tcW w:w="834" w:type="pct"/>
            <w:tcBorders>
              <w:top w:val="single" w:sz="4" w:space="0" w:color="auto"/>
              <w:left w:val="nil"/>
              <w:bottom w:val="single" w:sz="4" w:space="0" w:color="auto"/>
              <w:right w:val="single" w:sz="4" w:space="0" w:color="auto"/>
            </w:tcBorders>
            <w:vAlign w:val="bottom"/>
          </w:tcPr>
          <w:p w14:paraId="7D0CA6BA" w14:textId="77777777" w:rsidR="00EA5529" w:rsidRPr="001F224B" w:rsidRDefault="00EA5529" w:rsidP="00EA5529">
            <w:pPr>
              <w:jc w:val="right"/>
              <w:rPr>
                <w:sz w:val="20"/>
                <w:szCs w:val="20"/>
              </w:rPr>
            </w:pPr>
          </w:p>
        </w:tc>
      </w:tr>
      <w:tr w:rsidR="00EA5529" w:rsidRPr="001F224B" w14:paraId="5180F03C" w14:textId="4FEBA8F0" w:rsidTr="009E6EB1">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3DF44A2C" w14:textId="77777777" w:rsidR="00EA5529" w:rsidRPr="001F224B" w:rsidRDefault="00EA5529" w:rsidP="00EA5529">
            <w:pPr>
              <w:jc w:val="both"/>
              <w:rPr>
                <w:sz w:val="20"/>
                <w:szCs w:val="20"/>
              </w:rPr>
            </w:pPr>
            <w:r w:rsidRPr="001F224B">
              <w:rPr>
                <w:sz w:val="20"/>
                <w:szCs w:val="20"/>
              </w:rPr>
              <w:t>Toplam ilave çekirdek sermaye gereksinimi oranı</w:t>
            </w:r>
          </w:p>
        </w:tc>
        <w:tc>
          <w:tcPr>
            <w:tcW w:w="835" w:type="pct"/>
            <w:tcBorders>
              <w:top w:val="nil"/>
              <w:left w:val="nil"/>
              <w:bottom w:val="single" w:sz="4" w:space="0" w:color="auto"/>
              <w:right w:val="single" w:sz="4" w:space="0" w:color="auto"/>
            </w:tcBorders>
            <w:shd w:val="clear" w:color="auto" w:fill="auto"/>
            <w:vAlign w:val="bottom"/>
          </w:tcPr>
          <w:p w14:paraId="5FCE4237" w14:textId="51DB0964" w:rsidR="00EA5529" w:rsidRPr="001F224B" w:rsidRDefault="00EA5529" w:rsidP="00EA5529">
            <w:pPr>
              <w:jc w:val="right"/>
              <w:rPr>
                <w:sz w:val="20"/>
                <w:szCs w:val="20"/>
              </w:rPr>
            </w:pPr>
            <w:r w:rsidRPr="001F224B">
              <w:rPr>
                <w:sz w:val="20"/>
                <w:szCs w:val="20"/>
              </w:rPr>
              <w:t>2,5</w:t>
            </w:r>
          </w:p>
        </w:tc>
        <w:tc>
          <w:tcPr>
            <w:tcW w:w="834" w:type="pct"/>
            <w:tcBorders>
              <w:top w:val="single" w:sz="4" w:space="0" w:color="auto"/>
              <w:left w:val="nil"/>
              <w:bottom w:val="single" w:sz="4" w:space="0" w:color="auto"/>
              <w:right w:val="single" w:sz="4" w:space="0" w:color="auto"/>
            </w:tcBorders>
            <w:vAlign w:val="bottom"/>
          </w:tcPr>
          <w:p w14:paraId="66AE784D" w14:textId="5C757864" w:rsidR="00EA5529" w:rsidRPr="001F224B" w:rsidRDefault="00EA5529" w:rsidP="00EA5529">
            <w:pPr>
              <w:jc w:val="right"/>
              <w:rPr>
                <w:sz w:val="20"/>
                <w:szCs w:val="20"/>
              </w:rPr>
            </w:pPr>
            <w:r w:rsidRPr="001F224B">
              <w:rPr>
                <w:sz w:val="20"/>
                <w:szCs w:val="20"/>
              </w:rPr>
              <w:t>2,5</w:t>
            </w:r>
          </w:p>
        </w:tc>
      </w:tr>
      <w:tr w:rsidR="00EA5529" w:rsidRPr="001F224B" w14:paraId="5FA743A0" w14:textId="51232D95" w:rsidTr="009E6EB1">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5A8D1712" w14:textId="77777777" w:rsidR="00EA5529" w:rsidRPr="001F224B" w:rsidRDefault="00EA5529" w:rsidP="00EA5529">
            <w:pPr>
              <w:ind w:firstLineChars="200" w:firstLine="400"/>
              <w:rPr>
                <w:sz w:val="20"/>
                <w:szCs w:val="20"/>
              </w:rPr>
            </w:pPr>
            <w:r w:rsidRPr="001F224B">
              <w:rPr>
                <w:sz w:val="20"/>
                <w:szCs w:val="20"/>
              </w:rPr>
              <w:t>Sermaye koruma tamponu oranı (%)</w:t>
            </w:r>
          </w:p>
        </w:tc>
        <w:tc>
          <w:tcPr>
            <w:tcW w:w="835" w:type="pct"/>
            <w:tcBorders>
              <w:top w:val="nil"/>
              <w:left w:val="nil"/>
              <w:bottom w:val="single" w:sz="4" w:space="0" w:color="auto"/>
              <w:right w:val="single" w:sz="4" w:space="0" w:color="auto"/>
            </w:tcBorders>
            <w:shd w:val="clear" w:color="auto" w:fill="auto"/>
            <w:vAlign w:val="bottom"/>
          </w:tcPr>
          <w:p w14:paraId="71BAEF3E" w14:textId="490E8139" w:rsidR="00EA5529" w:rsidRPr="001F224B" w:rsidRDefault="00EA5529" w:rsidP="00EA5529">
            <w:pPr>
              <w:jc w:val="right"/>
              <w:rPr>
                <w:sz w:val="20"/>
                <w:szCs w:val="20"/>
              </w:rPr>
            </w:pPr>
            <w:r w:rsidRPr="001F224B">
              <w:rPr>
                <w:sz w:val="20"/>
                <w:szCs w:val="20"/>
              </w:rPr>
              <w:t>2,5</w:t>
            </w:r>
          </w:p>
        </w:tc>
        <w:tc>
          <w:tcPr>
            <w:tcW w:w="834" w:type="pct"/>
            <w:tcBorders>
              <w:top w:val="single" w:sz="4" w:space="0" w:color="auto"/>
              <w:left w:val="nil"/>
              <w:bottom w:val="single" w:sz="4" w:space="0" w:color="auto"/>
              <w:right w:val="single" w:sz="4" w:space="0" w:color="auto"/>
            </w:tcBorders>
            <w:vAlign w:val="bottom"/>
          </w:tcPr>
          <w:p w14:paraId="07E0C5A4" w14:textId="72BB3747" w:rsidR="00EA5529" w:rsidRPr="001F224B" w:rsidRDefault="00EA5529" w:rsidP="00EA5529">
            <w:pPr>
              <w:jc w:val="right"/>
              <w:rPr>
                <w:sz w:val="20"/>
                <w:szCs w:val="20"/>
              </w:rPr>
            </w:pPr>
            <w:r w:rsidRPr="001F224B">
              <w:rPr>
                <w:sz w:val="20"/>
                <w:szCs w:val="20"/>
              </w:rPr>
              <w:t>2,5</w:t>
            </w:r>
          </w:p>
        </w:tc>
      </w:tr>
      <w:tr w:rsidR="00EA5529" w:rsidRPr="001F224B" w14:paraId="269B184F" w14:textId="6DEF1BBD"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2EDA4DA8" w14:textId="77777777" w:rsidR="00EA5529" w:rsidRPr="001F224B" w:rsidRDefault="00EA5529" w:rsidP="00EA5529">
            <w:pPr>
              <w:ind w:firstLineChars="200" w:firstLine="400"/>
              <w:rPr>
                <w:sz w:val="20"/>
                <w:szCs w:val="20"/>
              </w:rPr>
            </w:pPr>
            <w:r w:rsidRPr="001F224B">
              <w:rPr>
                <w:sz w:val="20"/>
                <w:szCs w:val="20"/>
              </w:rPr>
              <w:t>Bankaya özgü döngüsel sermaye tamponu oranı (%)</w:t>
            </w:r>
          </w:p>
        </w:tc>
        <w:tc>
          <w:tcPr>
            <w:tcW w:w="835" w:type="pct"/>
            <w:tcBorders>
              <w:top w:val="nil"/>
              <w:left w:val="nil"/>
              <w:bottom w:val="single" w:sz="4" w:space="0" w:color="auto"/>
              <w:right w:val="single" w:sz="4" w:space="0" w:color="auto"/>
            </w:tcBorders>
            <w:shd w:val="clear" w:color="auto" w:fill="auto"/>
            <w:vAlign w:val="bottom"/>
          </w:tcPr>
          <w:p w14:paraId="07E1FB87" w14:textId="6E45B634" w:rsidR="00EA5529" w:rsidRPr="001F224B" w:rsidRDefault="00EA5529" w:rsidP="00EA5529">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vAlign w:val="bottom"/>
          </w:tcPr>
          <w:p w14:paraId="1EFDA102" w14:textId="49105FC4" w:rsidR="00EA5529" w:rsidRPr="001F224B" w:rsidRDefault="00EA5529" w:rsidP="00EA5529">
            <w:pPr>
              <w:jc w:val="right"/>
              <w:rPr>
                <w:sz w:val="20"/>
                <w:szCs w:val="20"/>
              </w:rPr>
            </w:pPr>
            <w:r w:rsidRPr="001F224B">
              <w:rPr>
                <w:sz w:val="20"/>
                <w:szCs w:val="20"/>
              </w:rPr>
              <w:t>-</w:t>
            </w:r>
          </w:p>
        </w:tc>
      </w:tr>
      <w:tr w:rsidR="00EA5529" w:rsidRPr="001F224B" w14:paraId="50F1AC10" w14:textId="17921269"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tcPr>
          <w:p w14:paraId="27004732" w14:textId="77777777" w:rsidR="00EA5529" w:rsidRPr="001F224B" w:rsidRDefault="00EA5529" w:rsidP="00EA5529">
            <w:pPr>
              <w:ind w:firstLineChars="200" w:firstLine="400"/>
              <w:rPr>
                <w:sz w:val="20"/>
                <w:szCs w:val="20"/>
              </w:rPr>
            </w:pPr>
            <w:r w:rsidRPr="001F224B">
              <w:rPr>
                <w:sz w:val="20"/>
                <w:szCs w:val="20"/>
              </w:rPr>
              <w:t>Sistemik önemli banka tamponu oranı (%)</w:t>
            </w:r>
          </w:p>
        </w:tc>
        <w:tc>
          <w:tcPr>
            <w:tcW w:w="835" w:type="pct"/>
            <w:tcBorders>
              <w:top w:val="nil"/>
              <w:left w:val="nil"/>
              <w:bottom w:val="single" w:sz="4" w:space="0" w:color="auto"/>
              <w:right w:val="single" w:sz="4" w:space="0" w:color="auto"/>
            </w:tcBorders>
            <w:shd w:val="clear" w:color="auto" w:fill="auto"/>
            <w:vAlign w:val="bottom"/>
          </w:tcPr>
          <w:p w14:paraId="50B8215B" w14:textId="5B112F89" w:rsidR="00EA5529" w:rsidRPr="001F224B" w:rsidRDefault="00EA5529" w:rsidP="00EA5529">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vAlign w:val="bottom"/>
          </w:tcPr>
          <w:p w14:paraId="108628CD" w14:textId="15AA4336" w:rsidR="00EA5529" w:rsidRPr="001F224B" w:rsidRDefault="00EA5529" w:rsidP="00EA5529">
            <w:pPr>
              <w:jc w:val="right"/>
              <w:rPr>
                <w:sz w:val="20"/>
                <w:szCs w:val="20"/>
              </w:rPr>
            </w:pPr>
            <w:r w:rsidRPr="001F224B">
              <w:rPr>
                <w:sz w:val="20"/>
                <w:szCs w:val="20"/>
              </w:rPr>
              <w:t>-</w:t>
            </w:r>
          </w:p>
        </w:tc>
      </w:tr>
      <w:tr w:rsidR="00EA5529" w:rsidRPr="001F224B" w14:paraId="52B771B5" w14:textId="78458862"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6262CE28" w14:textId="4054CC2C" w:rsidR="00EA5529" w:rsidRPr="001F224B" w:rsidRDefault="00EA5529" w:rsidP="00EA5529">
            <w:pPr>
              <w:jc w:val="both"/>
              <w:rPr>
                <w:sz w:val="20"/>
                <w:szCs w:val="20"/>
              </w:rPr>
            </w:pPr>
            <w:r w:rsidRPr="001F224B">
              <w:rPr>
                <w:sz w:val="20"/>
                <w:szCs w:val="20"/>
              </w:rPr>
              <w:t>Sermaye Koruma ve Döngüsel Sermaye Tamponlarına İlişkin Yönetmeliğin 4’üncü maddesinin birinci fıkrası uyarınca hesaplanacak ilave çekirdek sermaye tutarının risk ağırlıklı varlıklar tutarına oranı (%)</w:t>
            </w:r>
          </w:p>
        </w:tc>
        <w:tc>
          <w:tcPr>
            <w:tcW w:w="835" w:type="pct"/>
            <w:tcBorders>
              <w:top w:val="nil"/>
              <w:left w:val="nil"/>
              <w:bottom w:val="single" w:sz="4" w:space="0" w:color="auto"/>
              <w:right w:val="single" w:sz="4" w:space="0" w:color="auto"/>
            </w:tcBorders>
            <w:shd w:val="clear" w:color="auto" w:fill="auto"/>
            <w:vAlign w:val="bottom"/>
          </w:tcPr>
          <w:p w14:paraId="01FF7F2F" w14:textId="6DBD9EFB" w:rsidR="00EA5529" w:rsidRPr="001F224B" w:rsidRDefault="00EA5529" w:rsidP="00EA5529">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vAlign w:val="bottom"/>
          </w:tcPr>
          <w:p w14:paraId="46D68F8D" w14:textId="3B0B22B6" w:rsidR="00EA5529" w:rsidRPr="001F224B" w:rsidRDefault="00EA5529" w:rsidP="00EA5529">
            <w:pPr>
              <w:jc w:val="right"/>
              <w:rPr>
                <w:sz w:val="20"/>
                <w:szCs w:val="20"/>
              </w:rPr>
            </w:pPr>
            <w:r w:rsidRPr="001F224B">
              <w:rPr>
                <w:sz w:val="20"/>
                <w:szCs w:val="20"/>
              </w:rPr>
              <w:t>-</w:t>
            </w:r>
          </w:p>
        </w:tc>
      </w:tr>
      <w:tr w:rsidR="00EA5529" w:rsidRPr="001F224B" w14:paraId="70BA6322" w14:textId="48D8922D"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62920A1D" w14:textId="77777777" w:rsidR="00EA5529" w:rsidRPr="001F224B" w:rsidRDefault="00EA5529" w:rsidP="00EA5529">
            <w:pPr>
              <w:rPr>
                <w:b/>
                <w:bCs/>
                <w:sz w:val="20"/>
                <w:szCs w:val="20"/>
              </w:rPr>
            </w:pPr>
            <w:r w:rsidRPr="001F224B">
              <w:rPr>
                <w:b/>
                <w:bCs/>
                <w:sz w:val="20"/>
                <w:szCs w:val="20"/>
              </w:rPr>
              <w:t>Uygulanacak İndirim Esaslarında Aşım Tutarının Altında Kalan Tutarlar</w:t>
            </w:r>
          </w:p>
        </w:tc>
        <w:tc>
          <w:tcPr>
            <w:tcW w:w="835" w:type="pct"/>
            <w:tcBorders>
              <w:top w:val="nil"/>
              <w:left w:val="nil"/>
              <w:bottom w:val="single" w:sz="4" w:space="0" w:color="auto"/>
              <w:right w:val="single" w:sz="4" w:space="0" w:color="auto"/>
            </w:tcBorders>
            <w:shd w:val="clear" w:color="auto" w:fill="auto"/>
            <w:vAlign w:val="bottom"/>
          </w:tcPr>
          <w:p w14:paraId="2BAF6315" w14:textId="7425EB37" w:rsidR="00EA5529" w:rsidRPr="001F224B" w:rsidRDefault="00EA5529" w:rsidP="00EA5529">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vAlign w:val="bottom"/>
          </w:tcPr>
          <w:p w14:paraId="36EC81EB" w14:textId="5CDDB8B4" w:rsidR="00EA5529" w:rsidRPr="001F224B" w:rsidRDefault="00EA5529" w:rsidP="00EA5529">
            <w:pPr>
              <w:jc w:val="right"/>
              <w:rPr>
                <w:sz w:val="20"/>
                <w:szCs w:val="20"/>
              </w:rPr>
            </w:pPr>
            <w:r w:rsidRPr="001F224B">
              <w:rPr>
                <w:sz w:val="20"/>
                <w:szCs w:val="20"/>
              </w:rPr>
              <w:t>-</w:t>
            </w:r>
          </w:p>
        </w:tc>
      </w:tr>
      <w:tr w:rsidR="00EA5529" w:rsidRPr="001F224B" w14:paraId="1E5CC4A0" w14:textId="5E34F5FF" w:rsidTr="00E7690A">
        <w:trPr>
          <w:trHeight w:val="227"/>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3979F854" w14:textId="77777777" w:rsidR="00EA5529" w:rsidRPr="001F224B" w:rsidRDefault="00EA5529" w:rsidP="00EA5529">
            <w:pPr>
              <w:jc w:val="both"/>
              <w:rPr>
                <w:sz w:val="20"/>
                <w:szCs w:val="20"/>
              </w:rPr>
            </w:pPr>
            <w:r w:rsidRPr="001F224B">
              <w:rPr>
                <w:sz w:val="20"/>
                <w:szCs w:val="20"/>
              </w:rPr>
              <w:t>Ortaklık paylarının %10 veya daha azına sahip olunan ve konsolide edilmeyen bankalar ve finansal kuruluşların özkaynak unsurlarına yapılan yatırımların net uzun pozisyonlarından kaynaklanan tutar</w:t>
            </w:r>
          </w:p>
        </w:tc>
        <w:tc>
          <w:tcPr>
            <w:tcW w:w="835" w:type="pct"/>
            <w:tcBorders>
              <w:top w:val="single" w:sz="4" w:space="0" w:color="auto"/>
              <w:left w:val="nil"/>
              <w:bottom w:val="single" w:sz="4" w:space="0" w:color="auto"/>
              <w:right w:val="single" w:sz="4" w:space="0" w:color="auto"/>
            </w:tcBorders>
            <w:shd w:val="clear" w:color="000000" w:fill="FFFFFF"/>
            <w:vAlign w:val="bottom"/>
            <w:hideMark/>
          </w:tcPr>
          <w:p w14:paraId="0BC856F4" w14:textId="5CB1EFFB" w:rsidR="00EA5529" w:rsidRPr="001F224B" w:rsidRDefault="00EA5529" w:rsidP="00EA5529">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17C5E1E1" w14:textId="47538B02" w:rsidR="00EA5529" w:rsidRPr="001F224B" w:rsidRDefault="00EA5529" w:rsidP="00EA5529">
            <w:pPr>
              <w:jc w:val="right"/>
              <w:rPr>
                <w:sz w:val="20"/>
                <w:szCs w:val="20"/>
              </w:rPr>
            </w:pPr>
            <w:r w:rsidRPr="001F224B">
              <w:rPr>
                <w:sz w:val="20"/>
                <w:szCs w:val="20"/>
              </w:rPr>
              <w:t>-</w:t>
            </w:r>
          </w:p>
        </w:tc>
      </w:tr>
      <w:tr w:rsidR="00EA5529" w:rsidRPr="001F224B" w14:paraId="0E478428" w14:textId="6CF721B0" w:rsidTr="00E7690A">
        <w:trPr>
          <w:trHeight w:hRule="exact" w:val="794"/>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67EFE366" w14:textId="77777777" w:rsidR="00EA5529" w:rsidRPr="001F224B" w:rsidRDefault="00EA5529" w:rsidP="00EA5529">
            <w:pPr>
              <w:jc w:val="both"/>
              <w:rPr>
                <w:sz w:val="20"/>
                <w:szCs w:val="20"/>
              </w:rPr>
            </w:pPr>
            <w:r w:rsidRPr="001F224B">
              <w:rPr>
                <w:sz w:val="20"/>
                <w:szCs w:val="20"/>
              </w:rPr>
              <w:t>Ortaklık paylarının %10’dan daha fazlasına sahip olunan ve konsolide edilmeyen bankalar ve finansal kuruluşların çekirdek sermaye unsurlarına yapılan yatırımların net uzun pozisyonlarından kaynaklanan tutar</w:t>
            </w:r>
          </w:p>
        </w:tc>
        <w:tc>
          <w:tcPr>
            <w:tcW w:w="835" w:type="pct"/>
            <w:tcBorders>
              <w:top w:val="single" w:sz="4" w:space="0" w:color="auto"/>
              <w:left w:val="nil"/>
              <w:bottom w:val="single" w:sz="4" w:space="0" w:color="auto"/>
              <w:right w:val="single" w:sz="4" w:space="0" w:color="auto"/>
            </w:tcBorders>
            <w:shd w:val="clear" w:color="000000" w:fill="FFFFFF"/>
            <w:vAlign w:val="bottom"/>
            <w:hideMark/>
          </w:tcPr>
          <w:p w14:paraId="353B4E2A" w14:textId="54C97FC6" w:rsidR="00EA5529" w:rsidRPr="001F224B" w:rsidRDefault="00EA5529" w:rsidP="00EA5529">
            <w:pPr>
              <w:jc w:val="right"/>
              <w:rPr>
                <w:sz w:val="20"/>
                <w:szCs w:val="20"/>
              </w:rPr>
            </w:pPr>
            <w:r w:rsidRPr="001F224B">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0017CE9B" w14:textId="44B92960" w:rsidR="00EA5529" w:rsidRPr="001F224B" w:rsidRDefault="00EA5529" w:rsidP="00EA5529">
            <w:pPr>
              <w:jc w:val="right"/>
              <w:rPr>
                <w:sz w:val="20"/>
                <w:szCs w:val="20"/>
              </w:rPr>
            </w:pPr>
            <w:r w:rsidRPr="001F224B">
              <w:rPr>
                <w:sz w:val="20"/>
                <w:szCs w:val="20"/>
              </w:rPr>
              <w:t>-</w:t>
            </w:r>
          </w:p>
        </w:tc>
      </w:tr>
    </w:tbl>
    <w:p w14:paraId="68A59838" w14:textId="77777777" w:rsidR="000B63C5" w:rsidRPr="001F224B" w:rsidRDefault="000B63C5" w:rsidP="00FE6648">
      <w:pPr>
        <w:jc w:val="both"/>
        <w:rPr>
          <w:sz w:val="20"/>
          <w:szCs w:val="20"/>
        </w:rPr>
      </w:pPr>
    </w:p>
    <w:p w14:paraId="33CD8432" w14:textId="77777777" w:rsidR="000B63C5" w:rsidRPr="001F224B" w:rsidRDefault="000B63C5" w:rsidP="00FE6648">
      <w:pPr>
        <w:jc w:val="both"/>
        <w:rPr>
          <w:sz w:val="20"/>
          <w:szCs w:val="20"/>
        </w:rPr>
      </w:pPr>
      <w:r w:rsidRPr="001F224B">
        <w:rPr>
          <w:sz w:val="20"/>
          <w:szCs w:val="20"/>
        </w:rPr>
        <w:br w:type="page"/>
      </w:r>
    </w:p>
    <w:p w14:paraId="6E55428F" w14:textId="77777777" w:rsidR="00EF4E61" w:rsidRPr="001F224B" w:rsidRDefault="00EF4E61" w:rsidP="00C17A66">
      <w:pPr>
        <w:pStyle w:val="ListParagraph"/>
        <w:tabs>
          <w:tab w:val="left" w:pos="0"/>
        </w:tabs>
        <w:ind w:left="0"/>
        <w:rPr>
          <w:b/>
          <w:bCs/>
          <w:sz w:val="22"/>
          <w:szCs w:val="22"/>
        </w:rPr>
      </w:pPr>
      <w:r w:rsidRPr="001F224B">
        <w:rPr>
          <w:b/>
          <w:bCs/>
          <w:sz w:val="22"/>
          <w:szCs w:val="22"/>
        </w:rPr>
        <w:t>DÖRDÜNCÜ BÖLÜM (Devamı)</w:t>
      </w:r>
    </w:p>
    <w:p w14:paraId="57E76454" w14:textId="308993DA" w:rsidR="00EF4E61" w:rsidRPr="001F224B" w:rsidRDefault="00EF6E83" w:rsidP="00EF4E61">
      <w:pPr>
        <w:pStyle w:val="ListParagraph"/>
        <w:tabs>
          <w:tab w:val="left" w:pos="0"/>
        </w:tabs>
        <w:spacing w:before="120" w:after="120"/>
        <w:ind w:left="0"/>
        <w:rPr>
          <w:b/>
          <w:bCs/>
          <w:sz w:val="22"/>
          <w:szCs w:val="22"/>
        </w:rPr>
      </w:pPr>
      <w:r w:rsidRPr="001F224B">
        <w:rPr>
          <w:b/>
          <w:bCs/>
          <w:sz w:val="22"/>
          <w:szCs w:val="22"/>
        </w:rPr>
        <w:t>KONSOLİDE MALİ BÜNYE VE RİSK YÖNETİMİNE İLİŞKİN BİLGİLER</w:t>
      </w:r>
      <w:r w:rsidR="00AE4A85" w:rsidRPr="001F224B">
        <w:rPr>
          <w:b/>
          <w:bCs/>
          <w:sz w:val="22"/>
          <w:szCs w:val="22"/>
        </w:rPr>
        <w:t xml:space="preserve"> </w:t>
      </w:r>
      <w:r w:rsidRPr="001F224B">
        <w:rPr>
          <w:b/>
          <w:bCs/>
          <w:sz w:val="22"/>
          <w:szCs w:val="22"/>
        </w:rPr>
        <w:t>(Devamı)</w:t>
      </w:r>
    </w:p>
    <w:p w14:paraId="6300D86F" w14:textId="003351D9" w:rsidR="000B63C5" w:rsidRPr="001F224B" w:rsidRDefault="000B63C5" w:rsidP="00326B1E">
      <w:pPr>
        <w:tabs>
          <w:tab w:val="left" w:pos="567"/>
        </w:tabs>
        <w:spacing w:after="120"/>
        <w:ind w:left="567" w:hanging="567"/>
        <w:jc w:val="both"/>
        <w:rPr>
          <w:b/>
          <w:bCs/>
          <w:sz w:val="22"/>
          <w:szCs w:val="22"/>
        </w:rPr>
      </w:pPr>
      <w:r w:rsidRPr="001F224B">
        <w:rPr>
          <w:b/>
          <w:bCs/>
          <w:sz w:val="22"/>
          <w:szCs w:val="22"/>
        </w:rPr>
        <w:t>I</w:t>
      </w:r>
      <w:r w:rsidR="0082467C" w:rsidRPr="001F224B">
        <w:rPr>
          <w:b/>
          <w:bCs/>
          <w:sz w:val="22"/>
          <w:szCs w:val="22"/>
        </w:rPr>
        <w:t>.</w:t>
      </w:r>
      <w:r w:rsidRPr="001F224B">
        <w:rPr>
          <w:b/>
          <w:bCs/>
          <w:sz w:val="22"/>
          <w:szCs w:val="22"/>
        </w:rPr>
        <w:tab/>
      </w:r>
      <w:r w:rsidR="002E48BA" w:rsidRPr="001F224B">
        <w:rPr>
          <w:b/>
          <w:bCs/>
          <w:sz w:val="22"/>
          <w:szCs w:val="22"/>
        </w:rPr>
        <w:t xml:space="preserve">Konsolide </w:t>
      </w:r>
      <w:r w:rsidR="001C7ECB" w:rsidRPr="001F224B">
        <w:rPr>
          <w:b/>
          <w:bCs/>
          <w:sz w:val="22"/>
          <w:szCs w:val="22"/>
        </w:rPr>
        <w:t>ö</w:t>
      </w:r>
      <w:r w:rsidRPr="001F224B">
        <w:rPr>
          <w:b/>
          <w:bCs/>
          <w:sz w:val="22"/>
          <w:szCs w:val="22"/>
        </w:rPr>
        <w:t>zkaynak kalemlerine ilişkin açıklamalar (Devamı)</w:t>
      </w:r>
    </w:p>
    <w:p w14:paraId="327C0612" w14:textId="329EAF6A" w:rsidR="00864664" w:rsidRPr="001F224B" w:rsidRDefault="002E48BA" w:rsidP="00864664">
      <w:pPr>
        <w:tabs>
          <w:tab w:val="left" w:pos="567"/>
        </w:tabs>
        <w:spacing w:before="120" w:after="120"/>
        <w:ind w:left="567"/>
        <w:rPr>
          <w:b/>
          <w:bCs/>
          <w:noProof/>
          <w:sz w:val="22"/>
          <w:szCs w:val="22"/>
        </w:rPr>
      </w:pPr>
      <w:r w:rsidRPr="001F224B">
        <w:rPr>
          <w:b/>
          <w:bCs/>
          <w:noProof/>
          <w:sz w:val="22"/>
          <w:szCs w:val="22"/>
        </w:rPr>
        <w:t xml:space="preserve">Konsolide </w:t>
      </w:r>
      <w:r w:rsidR="001C7ECB" w:rsidRPr="001F224B">
        <w:rPr>
          <w:b/>
          <w:bCs/>
          <w:noProof/>
          <w:sz w:val="22"/>
          <w:szCs w:val="22"/>
        </w:rPr>
        <w:t>özkaynak k</w:t>
      </w:r>
      <w:r w:rsidR="00864664" w:rsidRPr="001F224B">
        <w:rPr>
          <w:b/>
          <w:bCs/>
          <w:noProof/>
          <w:sz w:val="22"/>
          <w:szCs w:val="22"/>
        </w:rPr>
        <w:t xml:space="preserve">alemlerine </w:t>
      </w:r>
      <w:r w:rsidR="001C7ECB" w:rsidRPr="001F224B">
        <w:rPr>
          <w:b/>
          <w:bCs/>
          <w:noProof/>
          <w:sz w:val="22"/>
          <w:szCs w:val="22"/>
        </w:rPr>
        <w:t>ilişkin b</w:t>
      </w:r>
      <w:r w:rsidR="00864664" w:rsidRPr="001F224B">
        <w:rPr>
          <w:b/>
          <w:bCs/>
          <w:noProof/>
          <w:sz w:val="22"/>
          <w:szCs w:val="22"/>
        </w:rPr>
        <w:t>ilgiler (Devamı):</w:t>
      </w:r>
    </w:p>
    <w:tbl>
      <w:tblPr>
        <w:tblW w:w="5309" w:type="pct"/>
        <w:tblCellMar>
          <w:left w:w="70" w:type="dxa"/>
          <w:right w:w="70" w:type="dxa"/>
        </w:tblCellMar>
        <w:tblLook w:val="04A0" w:firstRow="1" w:lastRow="0" w:firstColumn="1" w:lastColumn="0" w:noHBand="0" w:noVBand="1"/>
      </w:tblPr>
      <w:tblGrid>
        <w:gridCol w:w="6937"/>
        <w:gridCol w:w="1732"/>
        <w:gridCol w:w="1730"/>
      </w:tblGrid>
      <w:tr w:rsidR="00886F8D" w:rsidRPr="001F224B" w14:paraId="712C9C40" w14:textId="0DCF1F7C"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5B01C205" w14:textId="77777777" w:rsidR="00886F8D" w:rsidRPr="001F224B" w:rsidRDefault="00886F8D" w:rsidP="00886F8D">
            <w:pPr>
              <w:jc w:val="both"/>
              <w:rPr>
                <w:sz w:val="20"/>
                <w:szCs w:val="20"/>
              </w:rPr>
            </w:pPr>
            <w:r w:rsidRPr="001F224B">
              <w:rPr>
                <w:sz w:val="20"/>
                <w:szCs w:val="20"/>
              </w:rPr>
              <w:t>İpotek hizmeti sunma haklarından kaynaklanan tutar</w:t>
            </w:r>
          </w:p>
        </w:tc>
        <w:tc>
          <w:tcPr>
            <w:tcW w:w="833" w:type="pct"/>
            <w:tcBorders>
              <w:top w:val="single" w:sz="4" w:space="0" w:color="auto"/>
              <w:left w:val="nil"/>
              <w:bottom w:val="single" w:sz="4" w:space="0" w:color="auto"/>
              <w:right w:val="single" w:sz="4" w:space="0" w:color="auto"/>
            </w:tcBorders>
            <w:shd w:val="clear" w:color="000000" w:fill="FFFFFF"/>
            <w:vAlign w:val="bottom"/>
            <w:hideMark/>
          </w:tcPr>
          <w:p w14:paraId="6D7D1FB7" w14:textId="77777777" w:rsidR="00886F8D" w:rsidRPr="001F224B" w:rsidRDefault="00886F8D" w:rsidP="00886F8D">
            <w:pPr>
              <w:jc w:val="right"/>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784111ED" w14:textId="0C211E2E" w:rsidR="00886F8D" w:rsidRPr="001F224B" w:rsidRDefault="00886F8D" w:rsidP="00886F8D">
            <w:pPr>
              <w:jc w:val="right"/>
              <w:rPr>
                <w:sz w:val="20"/>
                <w:szCs w:val="20"/>
              </w:rPr>
            </w:pPr>
            <w:r w:rsidRPr="001F224B">
              <w:rPr>
                <w:sz w:val="20"/>
                <w:szCs w:val="20"/>
              </w:rPr>
              <w:t>-</w:t>
            </w:r>
          </w:p>
        </w:tc>
      </w:tr>
      <w:tr w:rsidR="00886F8D" w:rsidRPr="001F224B" w14:paraId="738ADE21" w14:textId="7BADB0FD" w:rsidTr="00E7690A">
        <w:trPr>
          <w:trHeight w:val="227"/>
        </w:trPr>
        <w:tc>
          <w:tcPr>
            <w:tcW w:w="3335" w:type="pct"/>
            <w:tcBorders>
              <w:top w:val="nil"/>
              <w:left w:val="single" w:sz="8" w:space="0" w:color="auto"/>
              <w:bottom w:val="nil"/>
              <w:right w:val="single" w:sz="4" w:space="0" w:color="auto"/>
            </w:tcBorders>
            <w:shd w:val="clear" w:color="auto" w:fill="auto"/>
            <w:vAlign w:val="bottom"/>
          </w:tcPr>
          <w:p w14:paraId="57732E79" w14:textId="77777777" w:rsidR="00886F8D" w:rsidRPr="001F224B" w:rsidRDefault="00886F8D" w:rsidP="00886F8D">
            <w:pPr>
              <w:jc w:val="both"/>
              <w:rPr>
                <w:sz w:val="20"/>
                <w:szCs w:val="20"/>
              </w:rPr>
            </w:pPr>
            <w:r w:rsidRPr="001F224B">
              <w:rPr>
                <w:sz w:val="20"/>
                <w:szCs w:val="20"/>
              </w:rPr>
              <w:t>Geçici farklara dayanan ertelenmiş vergi varlıklarından kaynaklanan tutar</w:t>
            </w:r>
          </w:p>
        </w:tc>
        <w:tc>
          <w:tcPr>
            <w:tcW w:w="833" w:type="pct"/>
            <w:tcBorders>
              <w:top w:val="nil"/>
              <w:left w:val="nil"/>
              <w:bottom w:val="nil"/>
              <w:right w:val="single" w:sz="4" w:space="0" w:color="auto"/>
            </w:tcBorders>
            <w:shd w:val="clear" w:color="000000" w:fill="FFFFFF"/>
            <w:vAlign w:val="bottom"/>
          </w:tcPr>
          <w:p w14:paraId="78CAAF18"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52FF2834" w14:textId="6D8F73EB" w:rsidR="00886F8D" w:rsidRPr="001F224B" w:rsidRDefault="00886F8D" w:rsidP="00886F8D">
            <w:pPr>
              <w:jc w:val="right"/>
              <w:rPr>
                <w:sz w:val="20"/>
                <w:szCs w:val="20"/>
              </w:rPr>
            </w:pPr>
            <w:r w:rsidRPr="001F224B">
              <w:rPr>
                <w:sz w:val="20"/>
                <w:szCs w:val="20"/>
              </w:rPr>
              <w:t>-</w:t>
            </w:r>
          </w:p>
        </w:tc>
      </w:tr>
      <w:tr w:rsidR="00886F8D" w:rsidRPr="001F224B" w14:paraId="31F3A247" w14:textId="2FA1730B" w:rsidTr="00E7690A">
        <w:trPr>
          <w:trHeight w:val="227"/>
        </w:trPr>
        <w:tc>
          <w:tcPr>
            <w:tcW w:w="3335" w:type="pct"/>
            <w:tcBorders>
              <w:top w:val="single" w:sz="4" w:space="0" w:color="auto"/>
              <w:left w:val="single" w:sz="4" w:space="0" w:color="auto"/>
              <w:bottom w:val="single" w:sz="4" w:space="0" w:color="auto"/>
              <w:right w:val="single" w:sz="4" w:space="0" w:color="auto"/>
            </w:tcBorders>
            <w:shd w:val="clear" w:color="auto" w:fill="auto"/>
            <w:vAlign w:val="bottom"/>
          </w:tcPr>
          <w:p w14:paraId="31788D07" w14:textId="77777777" w:rsidR="00886F8D" w:rsidRPr="001F224B" w:rsidRDefault="00886F8D" w:rsidP="00886F8D">
            <w:pPr>
              <w:jc w:val="both"/>
              <w:rPr>
                <w:b/>
                <w:bCs/>
                <w:sz w:val="20"/>
                <w:szCs w:val="20"/>
              </w:rPr>
            </w:pPr>
            <w:r w:rsidRPr="001F224B">
              <w:rPr>
                <w:b/>
                <w:bCs/>
                <w:sz w:val="20"/>
                <w:szCs w:val="20"/>
              </w:rPr>
              <w:t>Katkı Sermaye Hesaplamasında Dikkate Alınan Karşılıklara İlişkin Sınırlar</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78C714E4"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636364AD" w14:textId="335EFAD4" w:rsidR="00886F8D" w:rsidRPr="001F224B" w:rsidRDefault="00886F8D" w:rsidP="00886F8D">
            <w:pPr>
              <w:jc w:val="right"/>
              <w:rPr>
                <w:sz w:val="20"/>
                <w:szCs w:val="20"/>
              </w:rPr>
            </w:pPr>
            <w:r w:rsidRPr="001F224B">
              <w:rPr>
                <w:sz w:val="20"/>
                <w:szCs w:val="20"/>
              </w:rPr>
              <w:t>-</w:t>
            </w:r>
          </w:p>
        </w:tc>
      </w:tr>
      <w:tr w:rsidR="00EA5529" w:rsidRPr="001F224B" w14:paraId="649751EE" w14:textId="7B656C5E"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6AA54BDE" w14:textId="77777777" w:rsidR="00EA5529" w:rsidRPr="001F224B" w:rsidRDefault="00EA5529" w:rsidP="00EA5529">
            <w:pPr>
              <w:jc w:val="both"/>
              <w:rPr>
                <w:b/>
                <w:bCs/>
                <w:sz w:val="20"/>
                <w:szCs w:val="20"/>
              </w:rPr>
            </w:pPr>
            <w:r w:rsidRPr="001F224B">
              <w:rPr>
                <w:sz w:val="20"/>
                <w:szCs w:val="20"/>
              </w:rPr>
              <w:t>Standart yaklaşımın kullanıldığı alacaklar için ayrılan genel karşılıklar (Onbindeyüzyirmibeşlik sınır öncesi)</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625C67D3" w14:textId="117C2F99" w:rsidR="00EA5529" w:rsidRPr="001F224B" w:rsidRDefault="00E01F07" w:rsidP="00EA5529">
            <w:pPr>
              <w:jc w:val="right"/>
              <w:rPr>
                <w:sz w:val="20"/>
                <w:szCs w:val="20"/>
              </w:rPr>
            </w:pPr>
            <w:r w:rsidRPr="001F224B">
              <w:rPr>
                <w:sz w:val="20"/>
                <w:szCs w:val="20"/>
              </w:rPr>
              <w:t>1.192.048</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4075D87D" w14:textId="53745E01" w:rsidR="00EA5529" w:rsidRPr="001F224B" w:rsidRDefault="00EA5529" w:rsidP="00EA5529">
            <w:pPr>
              <w:jc w:val="right"/>
              <w:rPr>
                <w:sz w:val="20"/>
                <w:szCs w:val="20"/>
              </w:rPr>
            </w:pPr>
            <w:r w:rsidRPr="001F224B">
              <w:rPr>
                <w:sz w:val="20"/>
                <w:szCs w:val="20"/>
              </w:rPr>
              <w:t>1.212.764</w:t>
            </w:r>
          </w:p>
        </w:tc>
      </w:tr>
      <w:tr w:rsidR="00EA5529" w:rsidRPr="001F224B" w14:paraId="59EE4EC4" w14:textId="4F6B05B0"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1C2EF307" w14:textId="77777777" w:rsidR="00EA5529" w:rsidRPr="001F224B" w:rsidRDefault="00EA5529" w:rsidP="00EA5529">
            <w:pPr>
              <w:jc w:val="both"/>
              <w:rPr>
                <w:sz w:val="20"/>
                <w:szCs w:val="20"/>
              </w:rPr>
            </w:pPr>
            <w:r w:rsidRPr="001F224B">
              <w:rPr>
                <w:sz w:val="20"/>
                <w:szCs w:val="20"/>
              </w:rPr>
              <w:t>Standart yaklaşımın kullanıldığı alacaklar için ayrılan genel karşılıkların risk ağırlıklı tutarlar toplamının %1,25’ine kadar olan kısmı</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502E05AB" w14:textId="6CF3238A" w:rsidR="00EA5529" w:rsidRPr="001F224B" w:rsidRDefault="00E01F07" w:rsidP="00EA5529">
            <w:pPr>
              <w:jc w:val="right"/>
              <w:rPr>
                <w:sz w:val="20"/>
                <w:szCs w:val="20"/>
              </w:rPr>
            </w:pPr>
            <w:r w:rsidRPr="001F224B">
              <w:rPr>
                <w:sz w:val="20"/>
                <w:szCs w:val="20"/>
              </w:rPr>
              <w:t>1.192.048</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693C3279" w14:textId="71E44447" w:rsidR="00EA5529" w:rsidRPr="001F224B" w:rsidRDefault="00EA5529" w:rsidP="00EA5529">
            <w:pPr>
              <w:jc w:val="right"/>
              <w:rPr>
                <w:sz w:val="20"/>
                <w:szCs w:val="20"/>
              </w:rPr>
            </w:pPr>
            <w:r w:rsidRPr="001F224B">
              <w:rPr>
                <w:sz w:val="20"/>
                <w:szCs w:val="20"/>
              </w:rPr>
              <w:t>1.212.764</w:t>
            </w:r>
          </w:p>
        </w:tc>
      </w:tr>
      <w:tr w:rsidR="00EA5529" w:rsidRPr="001F224B" w14:paraId="2A472334" w14:textId="63E8C258" w:rsidTr="00E7690A">
        <w:trPr>
          <w:trHeight w:hRule="exact" w:val="794"/>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2650A30D" w14:textId="77777777" w:rsidR="00EA5529" w:rsidRPr="001F224B" w:rsidRDefault="00EA5529" w:rsidP="00EA5529">
            <w:pPr>
              <w:jc w:val="both"/>
              <w:rPr>
                <w:sz w:val="20"/>
                <w:szCs w:val="20"/>
              </w:rPr>
            </w:pPr>
            <w:r w:rsidRPr="001F224B">
              <w:rPr>
                <w:sz w:val="20"/>
                <w:szCs w:val="20"/>
              </w:rPr>
              <w:t>Toplam karşılık tutarının, Kredi Riskine Esas Tutarın İçsel Derecelendirmeye Dayalı Yaklaşımlar ile Hesaplanmasına İlişkin Tebliğ uyarınca hesaplanan toplam beklenen kayıp tutarını aşan kısmı</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58556C51" w14:textId="7D397BDD" w:rsidR="00EA5529" w:rsidRPr="001F224B" w:rsidRDefault="00A02819" w:rsidP="00EA5529">
            <w:pPr>
              <w:jc w:val="right"/>
              <w:rPr>
                <w:sz w:val="20"/>
                <w:szCs w:val="20"/>
              </w:rPr>
            </w:pPr>
            <w:r w:rsidRPr="001F224B">
              <w:rPr>
                <w:sz w:val="20"/>
                <w:szCs w:val="20"/>
              </w:rPr>
              <w:t>521.025</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721A63E5" w14:textId="248256B6" w:rsidR="00EA5529" w:rsidRPr="001F224B" w:rsidRDefault="00EA5529" w:rsidP="00EA5529">
            <w:pPr>
              <w:jc w:val="right"/>
              <w:rPr>
                <w:sz w:val="20"/>
                <w:szCs w:val="20"/>
              </w:rPr>
            </w:pPr>
            <w:r w:rsidRPr="001F224B">
              <w:rPr>
                <w:sz w:val="20"/>
                <w:szCs w:val="20"/>
              </w:rPr>
              <w:t>519.724</w:t>
            </w:r>
          </w:p>
        </w:tc>
      </w:tr>
      <w:tr w:rsidR="00886F8D" w:rsidRPr="001F224B" w14:paraId="77FE2F35" w14:textId="57D4AF2A"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061E3E36" w14:textId="5251E469" w:rsidR="00886F8D" w:rsidRPr="001F224B" w:rsidRDefault="00886F8D" w:rsidP="00886F8D">
            <w:pPr>
              <w:jc w:val="both"/>
              <w:rPr>
                <w:sz w:val="20"/>
                <w:szCs w:val="20"/>
              </w:rPr>
            </w:pPr>
            <w:r w:rsidRPr="001F224B">
              <w:rPr>
                <w:sz w:val="20"/>
                <w:szCs w:val="20"/>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781CAE5C" w14:textId="77777777" w:rsidR="00886F8D" w:rsidRPr="001F224B" w:rsidRDefault="00886F8D" w:rsidP="00886F8D">
            <w:pPr>
              <w:jc w:val="right"/>
              <w:rPr>
                <w:sz w:val="20"/>
                <w:szCs w:val="20"/>
              </w:rPr>
            </w:pPr>
          </w:p>
          <w:p w14:paraId="7F59F821" w14:textId="77777777" w:rsidR="00886F8D" w:rsidRPr="001F224B" w:rsidRDefault="00886F8D" w:rsidP="00886F8D">
            <w:pPr>
              <w:jc w:val="right"/>
              <w:rPr>
                <w:sz w:val="20"/>
                <w:szCs w:val="20"/>
              </w:rPr>
            </w:pPr>
          </w:p>
          <w:p w14:paraId="3990FBCE"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6CD35D24" w14:textId="77777777" w:rsidR="00886F8D" w:rsidRPr="001F224B" w:rsidRDefault="00886F8D" w:rsidP="00886F8D">
            <w:pPr>
              <w:jc w:val="right"/>
              <w:rPr>
                <w:sz w:val="20"/>
                <w:szCs w:val="20"/>
              </w:rPr>
            </w:pPr>
          </w:p>
          <w:p w14:paraId="03A90FCA" w14:textId="77777777" w:rsidR="00886F8D" w:rsidRPr="001F224B" w:rsidRDefault="00886F8D" w:rsidP="00886F8D">
            <w:pPr>
              <w:jc w:val="right"/>
              <w:rPr>
                <w:sz w:val="20"/>
                <w:szCs w:val="20"/>
              </w:rPr>
            </w:pPr>
          </w:p>
          <w:p w14:paraId="07CF6678" w14:textId="77777777" w:rsidR="00886F8D" w:rsidRPr="001F224B" w:rsidRDefault="00886F8D" w:rsidP="00886F8D">
            <w:pPr>
              <w:jc w:val="right"/>
              <w:rPr>
                <w:sz w:val="20"/>
                <w:szCs w:val="20"/>
              </w:rPr>
            </w:pPr>
          </w:p>
          <w:p w14:paraId="3A9AB1E8" w14:textId="77777777" w:rsidR="00886F8D" w:rsidRPr="001F224B" w:rsidRDefault="00886F8D" w:rsidP="00886F8D">
            <w:pPr>
              <w:jc w:val="right"/>
              <w:rPr>
                <w:sz w:val="20"/>
                <w:szCs w:val="20"/>
              </w:rPr>
            </w:pPr>
          </w:p>
          <w:p w14:paraId="6C94C54E" w14:textId="5BA7E07B" w:rsidR="00886F8D" w:rsidRPr="001F224B" w:rsidRDefault="00886F8D" w:rsidP="00886F8D">
            <w:pPr>
              <w:jc w:val="right"/>
              <w:rPr>
                <w:sz w:val="20"/>
                <w:szCs w:val="20"/>
              </w:rPr>
            </w:pPr>
            <w:r w:rsidRPr="001F224B">
              <w:rPr>
                <w:sz w:val="20"/>
                <w:szCs w:val="20"/>
              </w:rPr>
              <w:t>-</w:t>
            </w:r>
          </w:p>
        </w:tc>
      </w:tr>
      <w:tr w:rsidR="00886F8D" w:rsidRPr="001F224B" w14:paraId="61D9461E" w14:textId="550F649D"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6D65F984" w14:textId="77777777" w:rsidR="00886F8D" w:rsidRPr="001F224B" w:rsidRDefault="00886F8D" w:rsidP="00886F8D">
            <w:pPr>
              <w:jc w:val="both"/>
              <w:rPr>
                <w:sz w:val="20"/>
                <w:szCs w:val="20"/>
              </w:rPr>
            </w:pPr>
            <w:r w:rsidRPr="001F224B">
              <w:rPr>
                <w:b/>
                <w:bCs/>
                <w:sz w:val="20"/>
                <w:szCs w:val="20"/>
              </w:rPr>
              <w:t xml:space="preserve">Geçici Madde 4 hükümlerine tabi borçlanma araçları </w:t>
            </w:r>
          </w:p>
        </w:tc>
        <w:tc>
          <w:tcPr>
            <w:tcW w:w="833" w:type="pct"/>
            <w:tcBorders>
              <w:top w:val="nil"/>
              <w:left w:val="nil"/>
              <w:bottom w:val="single" w:sz="4" w:space="0" w:color="auto"/>
              <w:right w:val="single" w:sz="4" w:space="0" w:color="auto"/>
            </w:tcBorders>
            <w:shd w:val="clear" w:color="000000" w:fill="FFFFFF"/>
            <w:vAlign w:val="bottom"/>
          </w:tcPr>
          <w:p w14:paraId="7C222121" w14:textId="77777777" w:rsidR="00886F8D" w:rsidRPr="001F224B" w:rsidRDefault="00886F8D" w:rsidP="00886F8D">
            <w:pPr>
              <w:jc w:val="right"/>
              <w:rPr>
                <w:b/>
                <w:bCs/>
                <w:sz w:val="20"/>
                <w:szCs w:val="20"/>
              </w:rPr>
            </w:pPr>
            <w:r w:rsidRPr="001F224B">
              <w:rPr>
                <w:b/>
                <w:bCs/>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2965D756" w14:textId="525BA84C" w:rsidR="00886F8D" w:rsidRPr="001F224B" w:rsidRDefault="00886F8D" w:rsidP="00886F8D">
            <w:pPr>
              <w:jc w:val="right"/>
              <w:rPr>
                <w:b/>
                <w:bCs/>
                <w:sz w:val="20"/>
                <w:szCs w:val="20"/>
              </w:rPr>
            </w:pPr>
            <w:r w:rsidRPr="001F224B">
              <w:rPr>
                <w:b/>
                <w:bCs/>
                <w:sz w:val="20"/>
                <w:szCs w:val="20"/>
              </w:rPr>
              <w:t>-</w:t>
            </w:r>
          </w:p>
        </w:tc>
      </w:tr>
      <w:tr w:rsidR="00E7690A" w:rsidRPr="001F224B" w14:paraId="4159E1CF" w14:textId="22B96294"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6763CB4E" w14:textId="77777777" w:rsidR="00E7690A" w:rsidRPr="001F224B" w:rsidRDefault="00E7690A" w:rsidP="00E7690A">
            <w:pPr>
              <w:rPr>
                <w:b/>
                <w:bCs/>
                <w:sz w:val="20"/>
                <w:szCs w:val="20"/>
              </w:rPr>
            </w:pPr>
            <w:r w:rsidRPr="001F224B">
              <w:rPr>
                <w:b/>
                <w:bCs/>
                <w:sz w:val="20"/>
                <w:szCs w:val="20"/>
              </w:rPr>
              <w:t>(1 Ocak 2018 ve 1 Ocak 2022 arasında uygulanmak üzere)</w:t>
            </w:r>
          </w:p>
        </w:tc>
        <w:tc>
          <w:tcPr>
            <w:tcW w:w="833" w:type="pct"/>
            <w:tcBorders>
              <w:top w:val="nil"/>
              <w:left w:val="nil"/>
              <w:bottom w:val="single" w:sz="4" w:space="0" w:color="auto"/>
              <w:right w:val="single" w:sz="4" w:space="0" w:color="auto"/>
            </w:tcBorders>
            <w:shd w:val="clear" w:color="000000" w:fill="FFFFFF"/>
            <w:vAlign w:val="bottom"/>
          </w:tcPr>
          <w:p w14:paraId="7A7B6A71" w14:textId="233A1AA3" w:rsidR="00E7690A" w:rsidRPr="001F224B" w:rsidRDefault="00E7690A" w:rsidP="00E7690A">
            <w:pPr>
              <w:jc w:val="right"/>
              <w:rPr>
                <w:b/>
                <w:bCs/>
                <w:sz w:val="20"/>
                <w:szCs w:val="20"/>
              </w:rPr>
            </w:pPr>
            <w:r w:rsidRPr="001F224B">
              <w:rPr>
                <w:b/>
                <w:bCs/>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5D932189" w14:textId="2B73BBC6" w:rsidR="00E7690A" w:rsidRPr="001F224B" w:rsidRDefault="00E7690A" w:rsidP="00E7690A">
            <w:pPr>
              <w:jc w:val="right"/>
              <w:rPr>
                <w:b/>
                <w:bCs/>
                <w:sz w:val="20"/>
                <w:szCs w:val="20"/>
              </w:rPr>
            </w:pPr>
            <w:r w:rsidRPr="001F224B">
              <w:rPr>
                <w:b/>
                <w:bCs/>
                <w:sz w:val="20"/>
                <w:szCs w:val="20"/>
              </w:rPr>
              <w:t>-</w:t>
            </w:r>
          </w:p>
        </w:tc>
      </w:tr>
      <w:tr w:rsidR="00886F8D" w:rsidRPr="001F224B" w14:paraId="363E0129" w14:textId="670F1D27"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3038AB53" w14:textId="77777777" w:rsidR="00886F8D" w:rsidRPr="001F224B" w:rsidRDefault="00886F8D" w:rsidP="00886F8D">
            <w:pPr>
              <w:rPr>
                <w:sz w:val="20"/>
                <w:szCs w:val="20"/>
              </w:rPr>
            </w:pPr>
            <w:r w:rsidRPr="001F224B">
              <w:rPr>
                <w:sz w:val="20"/>
                <w:szCs w:val="20"/>
              </w:rPr>
              <w:t>Geçici Madde 4 hükümlerine tabi ilave ana sermaye kalemlerine ilişkin üst sınır</w:t>
            </w:r>
          </w:p>
        </w:tc>
        <w:tc>
          <w:tcPr>
            <w:tcW w:w="833" w:type="pct"/>
            <w:tcBorders>
              <w:top w:val="nil"/>
              <w:left w:val="nil"/>
              <w:bottom w:val="single" w:sz="4" w:space="0" w:color="auto"/>
              <w:right w:val="single" w:sz="4" w:space="0" w:color="auto"/>
            </w:tcBorders>
            <w:shd w:val="clear" w:color="000000" w:fill="FFFFFF"/>
            <w:vAlign w:val="bottom"/>
          </w:tcPr>
          <w:p w14:paraId="091162ED"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2252AF6C" w14:textId="3A5D8E6A" w:rsidR="00886F8D" w:rsidRPr="001F224B" w:rsidRDefault="00886F8D" w:rsidP="00886F8D">
            <w:pPr>
              <w:jc w:val="right"/>
              <w:rPr>
                <w:sz w:val="20"/>
                <w:szCs w:val="20"/>
              </w:rPr>
            </w:pPr>
            <w:r w:rsidRPr="001F224B">
              <w:rPr>
                <w:sz w:val="20"/>
                <w:szCs w:val="20"/>
              </w:rPr>
              <w:t>-</w:t>
            </w:r>
          </w:p>
        </w:tc>
      </w:tr>
      <w:tr w:rsidR="00886F8D" w:rsidRPr="001F224B" w14:paraId="64CE7578" w14:textId="71D49BFE"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03BF5824" w14:textId="77777777" w:rsidR="00886F8D" w:rsidRPr="001F224B" w:rsidRDefault="00886F8D" w:rsidP="00886F8D">
            <w:pPr>
              <w:rPr>
                <w:sz w:val="20"/>
                <w:szCs w:val="20"/>
              </w:rPr>
            </w:pPr>
            <w:r w:rsidRPr="001F224B">
              <w:rPr>
                <w:sz w:val="20"/>
                <w:szCs w:val="20"/>
              </w:rPr>
              <w:t xml:space="preserve">Geçici Madde 4 hükümlerine tabi ilave ana sermaye kalemlerinin üst sınırı aşan kısmı </w:t>
            </w:r>
          </w:p>
        </w:tc>
        <w:tc>
          <w:tcPr>
            <w:tcW w:w="833" w:type="pct"/>
            <w:tcBorders>
              <w:top w:val="nil"/>
              <w:left w:val="nil"/>
              <w:bottom w:val="single" w:sz="4" w:space="0" w:color="auto"/>
              <w:right w:val="single" w:sz="4" w:space="0" w:color="auto"/>
            </w:tcBorders>
            <w:shd w:val="clear" w:color="000000" w:fill="FFFFFF"/>
            <w:vAlign w:val="bottom"/>
          </w:tcPr>
          <w:p w14:paraId="5EA5132D" w14:textId="77777777" w:rsidR="00886F8D" w:rsidRPr="001F224B" w:rsidRDefault="00886F8D" w:rsidP="00886F8D">
            <w:pPr>
              <w:jc w:val="right"/>
              <w:rPr>
                <w:sz w:val="20"/>
                <w:szCs w:val="20"/>
              </w:rPr>
            </w:pPr>
          </w:p>
          <w:p w14:paraId="7DDD84BA"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322D459C" w14:textId="77777777" w:rsidR="00886F8D" w:rsidRPr="001F224B" w:rsidRDefault="00886F8D" w:rsidP="00886F8D">
            <w:pPr>
              <w:jc w:val="right"/>
              <w:rPr>
                <w:sz w:val="20"/>
                <w:szCs w:val="20"/>
              </w:rPr>
            </w:pPr>
          </w:p>
          <w:p w14:paraId="50A37282" w14:textId="0DD447FE" w:rsidR="00886F8D" w:rsidRPr="001F224B" w:rsidRDefault="00886F8D" w:rsidP="00886F8D">
            <w:pPr>
              <w:jc w:val="right"/>
              <w:rPr>
                <w:sz w:val="20"/>
                <w:szCs w:val="20"/>
              </w:rPr>
            </w:pPr>
            <w:r w:rsidRPr="001F224B">
              <w:rPr>
                <w:sz w:val="20"/>
                <w:szCs w:val="20"/>
              </w:rPr>
              <w:t>-</w:t>
            </w:r>
          </w:p>
        </w:tc>
      </w:tr>
      <w:tr w:rsidR="00886F8D" w:rsidRPr="001F224B" w14:paraId="55BAFF5D" w14:textId="0C23A02D"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5F7D668A" w14:textId="77777777" w:rsidR="00886F8D" w:rsidRPr="001F224B" w:rsidRDefault="00886F8D" w:rsidP="00886F8D">
            <w:pPr>
              <w:rPr>
                <w:sz w:val="20"/>
                <w:szCs w:val="20"/>
              </w:rPr>
            </w:pPr>
            <w:r w:rsidRPr="001F224B">
              <w:rPr>
                <w:sz w:val="20"/>
                <w:szCs w:val="20"/>
              </w:rPr>
              <w:t>Geçici Madde 4 hükümlerine tabi katkı sermaye kalemlerine ilişkin üst sınır</w:t>
            </w:r>
          </w:p>
        </w:tc>
        <w:tc>
          <w:tcPr>
            <w:tcW w:w="833" w:type="pct"/>
            <w:tcBorders>
              <w:top w:val="nil"/>
              <w:left w:val="nil"/>
              <w:bottom w:val="single" w:sz="4" w:space="0" w:color="auto"/>
              <w:right w:val="single" w:sz="4" w:space="0" w:color="auto"/>
            </w:tcBorders>
            <w:shd w:val="clear" w:color="000000" w:fill="FFFFFF"/>
            <w:vAlign w:val="bottom"/>
          </w:tcPr>
          <w:p w14:paraId="68D3B630"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4D04742C" w14:textId="23DA9858" w:rsidR="00886F8D" w:rsidRPr="001F224B" w:rsidRDefault="00886F8D" w:rsidP="00886F8D">
            <w:pPr>
              <w:jc w:val="right"/>
              <w:rPr>
                <w:sz w:val="20"/>
                <w:szCs w:val="20"/>
              </w:rPr>
            </w:pPr>
            <w:r w:rsidRPr="001F224B">
              <w:rPr>
                <w:sz w:val="20"/>
                <w:szCs w:val="20"/>
              </w:rPr>
              <w:t>-</w:t>
            </w:r>
          </w:p>
        </w:tc>
      </w:tr>
      <w:tr w:rsidR="00886F8D" w:rsidRPr="001F224B" w14:paraId="658ED6F8" w14:textId="07A84E03"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01E368A8" w14:textId="77777777" w:rsidR="00886F8D" w:rsidRPr="001F224B" w:rsidRDefault="00886F8D" w:rsidP="00886F8D">
            <w:pPr>
              <w:rPr>
                <w:sz w:val="20"/>
                <w:szCs w:val="20"/>
              </w:rPr>
            </w:pPr>
            <w:r w:rsidRPr="001F224B">
              <w:rPr>
                <w:sz w:val="20"/>
                <w:szCs w:val="20"/>
              </w:rPr>
              <w:t>Geçici Madde 4 hükümlerine tabi katkı sermaye kalemlerinin üst sınırı aşan kısmı</w:t>
            </w:r>
          </w:p>
        </w:tc>
        <w:tc>
          <w:tcPr>
            <w:tcW w:w="833" w:type="pct"/>
            <w:tcBorders>
              <w:top w:val="nil"/>
              <w:left w:val="nil"/>
              <w:bottom w:val="single" w:sz="4" w:space="0" w:color="auto"/>
              <w:right w:val="single" w:sz="4" w:space="0" w:color="auto"/>
            </w:tcBorders>
            <w:shd w:val="clear" w:color="000000" w:fill="FFFFFF"/>
            <w:vAlign w:val="bottom"/>
          </w:tcPr>
          <w:p w14:paraId="0C32AEA8" w14:textId="77777777" w:rsidR="00886F8D" w:rsidRPr="001F224B" w:rsidRDefault="00886F8D" w:rsidP="00886F8D">
            <w:pPr>
              <w:jc w:val="right"/>
              <w:rPr>
                <w:sz w:val="20"/>
                <w:szCs w:val="20"/>
              </w:rPr>
            </w:pPr>
            <w:r w:rsidRPr="001F224B">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24CBF2CE" w14:textId="14131CDF" w:rsidR="00886F8D" w:rsidRPr="001F224B" w:rsidRDefault="00886F8D" w:rsidP="00886F8D">
            <w:pPr>
              <w:jc w:val="right"/>
              <w:rPr>
                <w:sz w:val="20"/>
                <w:szCs w:val="20"/>
              </w:rPr>
            </w:pPr>
            <w:r w:rsidRPr="001F224B">
              <w:rPr>
                <w:sz w:val="20"/>
                <w:szCs w:val="20"/>
              </w:rPr>
              <w:t>-</w:t>
            </w:r>
          </w:p>
        </w:tc>
      </w:tr>
    </w:tbl>
    <w:p w14:paraId="4900DD36" w14:textId="77777777" w:rsidR="00185BB2" w:rsidRPr="001F224B" w:rsidRDefault="00185BB2" w:rsidP="00185BB2">
      <w:pPr>
        <w:tabs>
          <w:tab w:val="left" w:pos="567"/>
        </w:tabs>
        <w:spacing w:before="120" w:after="120"/>
        <w:ind w:left="284"/>
        <w:jc w:val="both"/>
        <w:rPr>
          <w:sz w:val="16"/>
          <w:szCs w:val="16"/>
        </w:rPr>
      </w:pPr>
    </w:p>
    <w:p w14:paraId="41332A0C" w14:textId="77777777" w:rsidR="000B63C5" w:rsidRPr="001F224B" w:rsidRDefault="000B63C5" w:rsidP="004531BE">
      <w:pPr>
        <w:tabs>
          <w:tab w:val="left" w:pos="567"/>
        </w:tabs>
        <w:rPr>
          <w:b/>
          <w:bCs/>
          <w:noProof/>
          <w:sz w:val="22"/>
          <w:szCs w:val="22"/>
        </w:rPr>
      </w:pPr>
    </w:p>
    <w:p w14:paraId="62E0E87F" w14:textId="77777777" w:rsidR="000B63C5" w:rsidRPr="001F224B" w:rsidRDefault="000B63C5" w:rsidP="004531BE">
      <w:pPr>
        <w:tabs>
          <w:tab w:val="left" w:pos="567"/>
        </w:tabs>
        <w:rPr>
          <w:b/>
          <w:bCs/>
          <w:noProof/>
          <w:sz w:val="22"/>
          <w:szCs w:val="22"/>
        </w:rPr>
      </w:pPr>
    </w:p>
    <w:p w14:paraId="69443DAE" w14:textId="77777777" w:rsidR="000B63C5" w:rsidRPr="001F224B" w:rsidRDefault="000B63C5" w:rsidP="004531BE">
      <w:pPr>
        <w:tabs>
          <w:tab w:val="left" w:pos="567"/>
        </w:tabs>
        <w:rPr>
          <w:b/>
          <w:bCs/>
          <w:noProof/>
          <w:sz w:val="22"/>
          <w:szCs w:val="22"/>
        </w:rPr>
        <w:sectPr w:rsidR="000B63C5" w:rsidRPr="001F224B" w:rsidSect="00F5305D">
          <w:pgSz w:w="11907" w:h="16840" w:code="9"/>
          <w:pgMar w:top="1747" w:right="964" w:bottom="567" w:left="1134" w:header="624" w:footer="397" w:gutter="0"/>
          <w:cols w:space="708"/>
          <w:titlePg/>
          <w:docGrid w:linePitch="326"/>
        </w:sectPr>
      </w:pPr>
    </w:p>
    <w:p w14:paraId="557DBC65" w14:textId="549ECACB" w:rsidR="00EF4E61" w:rsidRPr="001F224B" w:rsidRDefault="00EF4E61" w:rsidP="00EF4E61">
      <w:pPr>
        <w:pStyle w:val="ListParagraph"/>
        <w:tabs>
          <w:tab w:val="left" w:pos="0"/>
        </w:tabs>
        <w:spacing w:before="120"/>
        <w:ind w:left="0"/>
        <w:rPr>
          <w:b/>
          <w:bCs/>
          <w:sz w:val="22"/>
          <w:szCs w:val="22"/>
        </w:rPr>
      </w:pPr>
      <w:r w:rsidRPr="001F224B">
        <w:rPr>
          <w:b/>
          <w:bCs/>
          <w:sz w:val="22"/>
          <w:szCs w:val="22"/>
        </w:rPr>
        <w:t>DÖRDÜNCÜ BÖLÜM (Devamı)</w:t>
      </w:r>
    </w:p>
    <w:p w14:paraId="53B15B1D" w14:textId="33317737" w:rsidR="00EF4E61" w:rsidRPr="001F224B" w:rsidRDefault="00EF6E83" w:rsidP="00EF4E61">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EF4E61" w:rsidRPr="001F224B">
        <w:rPr>
          <w:b/>
          <w:bCs/>
          <w:sz w:val="22"/>
          <w:szCs w:val="22"/>
        </w:rPr>
        <w:t>(Devamı)</w:t>
      </w:r>
    </w:p>
    <w:p w14:paraId="56013B01" w14:textId="50A54651" w:rsidR="0088789D" w:rsidRPr="001F224B" w:rsidRDefault="0088789D" w:rsidP="0088789D">
      <w:pPr>
        <w:tabs>
          <w:tab w:val="left" w:pos="567"/>
        </w:tabs>
        <w:spacing w:afterLines="60" w:after="144"/>
        <w:rPr>
          <w:b/>
          <w:bCs/>
          <w:sz w:val="22"/>
          <w:szCs w:val="22"/>
        </w:rPr>
      </w:pPr>
      <w:r w:rsidRPr="001F224B">
        <w:rPr>
          <w:b/>
          <w:bCs/>
          <w:sz w:val="22"/>
          <w:szCs w:val="22"/>
        </w:rPr>
        <w:t>I</w:t>
      </w:r>
      <w:r w:rsidR="0026609C" w:rsidRPr="001F224B">
        <w:rPr>
          <w:b/>
          <w:bCs/>
          <w:sz w:val="22"/>
          <w:szCs w:val="22"/>
        </w:rPr>
        <w:t>.</w:t>
      </w:r>
      <w:r w:rsidRPr="001F224B">
        <w:rPr>
          <w:b/>
          <w:bCs/>
          <w:sz w:val="22"/>
          <w:szCs w:val="22"/>
        </w:rPr>
        <w:tab/>
      </w:r>
      <w:r w:rsidR="002E48BA" w:rsidRPr="001F224B">
        <w:rPr>
          <w:b/>
          <w:bCs/>
          <w:sz w:val="22"/>
          <w:szCs w:val="22"/>
        </w:rPr>
        <w:t xml:space="preserve">Konsolide </w:t>
      </w:r>
      <w:r w:rsidR="001C7ECB" w:rsidRPr="001F224B">
        <w:rPr>
          <w:b/>
          <w:bCs/>
          <w:sz w:val="22"/>
          <w:szCs w:val="22"/>
        </w:rPr>
        <w:t>ö</w:t>
      </w:r>
      <w:r w:rsidRPr="001F224B">
        <w:rPr>
          <w:b/>
          <w:bCs/>
          <w:sz w:val="22"/>
          <w:szCs w:val="22"/>
        </w:rPr>
        <w:t>zkaynak kalemlerine ilişkin açıklamalar (Devamı)</w:t>
      </w:r>
    </w:p>
    <w:p w14:paraId="08417C8B" w14:textId="727D36D4" w:rsidR="006A1A7F" w:rsidRPr="001F224B" w:rsidRDefault="00B75AB8" w:rsidP="00864664">
      <w:pPr>
        <w:spacing w:before="120"/>
        <w:ind w:left="142"/>
        <w:rPr>
          <w:b/>
          <w:sz w:val="22"/>
          <w:szCs w:val="22"/>
        </w:rPr>
      </w:pPr>
      <w:r w:rsidRPr="001F224B">
        <w:rPr>
          <w:rFonts w:eastAsia="Calibri"/>
          <w:b/>
          <w:bCs/>
          <w:color w:val="000000"/>
          <w:sz w:val="22"/>
          <w:szCs w:val="22"/>
        </w:rPr>
        <w:t xml:space="preserve">        </w:t>
      </w:r>
      <w:r w:rsidR="002E48BA" w:rsidRPr="001F224B">
        <w:rPr>
          <w:b/>
          <w:bCs/>
          <w:sz w:val="22"/>
          <w:szCs w:val="22"/>
        </w:rPr>
        <w:t>Konsolide</w:t>
      </w:r>
      <w:r w:rsidR="002E48BA" w:rsidRPr="001F224B">
        <w:rPr>
          <w:rFonts w:eastAsia="Calibri"/>
          <w:b/>
          <w:bCs/>
          <w:color w:val="000000"/>
          <w:sz w:val="22"/>
          <w:szCs w:val="22"/>
        </w:rPr>
        <w:t xml:space="preserve"> </w:t>
      </w:r>
      <w:r w:rsidR="001C7ECB" w:rsidRPr="001F224B">
        <w:rPr>
          <w:rFonts w:eastAsia="Calibri"/>
          <w:b/>
          <w:bCs/>
          <w:color w:val="000000"/>
          <w:sz w:val="22"/>
          <w:szCs w:val="22"/>
        </w:rPr>
        <w:t>ö</w:t>
      </w:r>
      <w:r w:rsidR="006A1A7F" w:rsidRPr="001F224B">
        <w:rPr>
          <w:rFonts w:eastAsia="Calibri"/>
          <w:b/>
          <w:bCs/>
          <w:color w:val="000000"/>
          <w:sz w:val="22"/>
          <w:szCs w:val="22"/>
        </w:rPr>
        <w:t>zkaynak kalemleri ile bilanço tutarlarının mutabakatına ilişkin açıklamalar:</w:t>
      </w:r>
    </w:p>
    <w:p w14:paraId="5353988B" w14:textId="77777777" w:rsidR="006A1A7F" w:rsidRPr="001F224B" w:rsidRDefault="006A1A7F" w:rsidP="00557B9E">
      <w:pPr>
        <w:rPr>
          <w:rFonts w:eastAsia="Calibri"/>
          <w:b/>
          <w:bCs/>
          <w:color w:val="000000"/>
          <w:sz w:val="22"/>
          <w:szCs w:val="22"/>
        </w:rPr>
      </w:pP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95572B" w:rsidRPr="001F224B" w14:paraId="6F02CB51" w14:textId="77777777" w:rsidTr="00DD34B1">
        <w:trPr>
          <w:trHeight w:val="611"/>
        </w:trPr>
        <w:tc>
          <w:tcPr>
            <w:tcW w:w="5502" w:type="dxa"/>
            <w:shd w:val="clear" w:color="auto" w:fill="auto"/>
            <w:noWrap/>
            <w:vAlign w:val="center"/>
            <w:hideMark/>
          </w:tcPr>
          <w:p w14:paraId="490FE13D" w14:textId="588DBF7E" w:rsidR="0095572B" w:rsidRPr="001F224B" w:rsidRDefault="0095572B" w:rsidP="00870BD7">
            <w:pPr>
              <w:rPr>
                <w:b/>
                <w:bCs/>
                <w:i/>
                <w:iCs/>
                <w:color w:val="000000"/>
                <w:sz w:val="20"/>
                <w:szCs w:val="20"/>
              </w:rPr>
            </w:pPr>
            <w:proofErr w:type="spellStart"/>
            <w:r w:rsidRPr="001F224B">
              <w:rPr>
                <w:rFonts w:eastAsia="Calibri"/>
                <w:b/>
                <w:bCs/>
                <w:color w:val="000000" w:themeColor="text1"/>
                <w:sz w:val="20"/>
                <w:szCs w:val="20"/>
                <w:lang w:val="en-US"/>
              </w:rPr>
              <w:t>Cari</w:t>
            </w:r>
            <w:proofErr w:type="spellEnd"/>
            <w:r w:rsidRPr="001F224B">
              <w:rPr>
                <w:rFonts w:eastAsia="Calibri"/>
                <w:b/>
                <w:bCs/>
                <w:color w:val="000000" w:themeColor="text1"/>
                <w:sz w:val="20"/>
                <w:szCs w:val="20"/>
                <w:lang w:val="en-US"/>
              </w:rPr>
              <w:t xml:space="preserve"> </w:t>
            </w:r>
            <w:proofErr w:type="spellStart"/>
            <w:r w:rsidRPr="001F224B">
              <w:rPr>
                <w:rFonts w:eastAsia="Calibri"/>
                <w:b/>
                <w:bCs/>
                <w:color w:val="000000" w:themeColor="text1"/>
                <w:sz w:val="20"/>
                <w:szCs w:val="20"/>
                <w:lang w:val="en-US"/>
              </w:rPr>
              <w:t>Dönem</w:t>
            </w:r>
            <w:proofErr w:type="spellEnd"/>
            <w:r w:rsidRPr="001F224B">
              <w:rPr>
                <w:rFonts w:eastAsia="Calibri"/>
                <w:b/>
                <w:bCs/>
                <w:color w:val="000000" w:themeColor="text1"/>
                <w:sz w:val="20"/>
                <w:szCs w:val="20"/>
                <w:lang w:val="en-US"/>
              </w:rPr>
              <w:t xml:space="preserve"> (</w:t>
            </w:r>
            <w:r w:rsidR="00870BD7" w:rsidRPr="001F224B">
              <w:rPr>
                <w:rFonts w:eastAsia="Calibri"/>
                <w:b/>
                <w:bCs/>
                <w:color w:val="000000" w:themeColor="text1"/>
                <w:sz w:val="20"/>
                <w:szCs w:val="20"/>
                <w:lang w:val="en-US"/>
              </w:rPr>
              <w:t>3</w:t>
            </w:r>
            <w:r w:rsidR="00C73120" w:rsidRPr="001F224B">
              <w:rPr>
                <w:rFonts w:eastAsia="Calibri"/>
                <w:b/>
                <w:bCs/>
                <w:color w:val="000000" w:themeColor="text1"/>
                <w:sz w:val="20"/>
                <w:szCs w:val="20"/>
                <w:lang w:val="en-US"/>
              </w:rPr>
              <w:t>0</w:t>
            </w:r>
            <w:r w:rsidR="002A0E07" w:rsidRPr="001F224B">
              <w:rPr>
                <w:rFonts w:eastAsia="Calibri"/>
                <w:b/>
                <w:bCs/>
                <w:color w:val="000000" w:themeColor="text1"/>
                <w:sz w:val="20"/>
                <w:szCs w:val="20"/>
                <w:lang w:val="en-US"/>
              </w:rPr>
              <w:t>.</w:t>
            </w:r>
            <w:r w:rsidR="00963C0A" w:rsidRPr="001F224B">
              <w:rPr>
                <w:rFonts w:eastAsia="Calibri"/>
                <w:b/>
                <w:bCs/>
                <w:color w:val="000000" w:themeColor="text1"/>
                <w:sz w:val="20"/>
                <w:szCs w:val="20"/>
                <w:lang w:val="en-US"/>
              </w:rPr>
              <w:t>0</w:t>
            </w:r>
            <w:r w:rsidR="00C73120" w:rsidRPr="001F224B">
              <w:rPr>
                <w:rFonts w:eastAsia="Calibri"/>
                <w:b/>
                <w:bCs/>
                <w:color w:val="000000" w:themeColor="text1"/>
                <w:sz w:val="20"/>
                <w:szCs w:val="20"/>
                <w:lang w:val="en-US"/>
              </w:rPr>
              <w:t>6</w:t>
            </w:r>
            <w:r w:rsidR="00A0775D" w:rsidRPr="001F224B">
              <w:rPr>
                <w:rFonts w:eastAsia="Calibri"/>
                <w:b/>
                <w:bCs/>
                <w:color w:val="000000" w:themeColor="text1"/>
                <w:sz w:val="20"/>
                <w:szCs w:val="20"/>
                <w:lang w:val="en-US"/>
              </w:rPr>
              <w:t>.20</w:t>
            </w:r>
            <w:r w:rsidR="00B5265F" w:rsidRPr="001F224B">
              <w:rPr>
                <w:rFonts w:eastAsia="Calibri"/>
                <w:b/>
                <w:bCs/>
                <w:color w:val="000000" w:themeColor="text1"/>
                <w:sz w:val="20"/>
                <w:szCs w:val="20"/>
                <w:lang w:val="en-US"/>
              </w:rPr>
              <w:t>2</w:t>
            </w:r>
            <w:r w:rsidR="00963C0A" w:rsidRPr="001F224B">
              <w:rPr>
                <w:rFonts w:eastAsia="Calibri"/>
                <w:b/>
                <w:bCs/>
                <w:color w:val="000000" w:themeColor="text1"/>
                <w:sz w:val="20"/>
                <w:szCs w:val="20"/>
                <w:lang w:val="en-US"/>
              </w:rPr>
              <w:t>5</w:t>
            </w:r>
            <w:r w:rsidRPr="001F224B">
              <w:rPr>
                <w:rFonts w:eastAsia="Calibri"/>
                <w:b/>
                <w:bCs/>
                <w:color w:val="000000" w:themeColor="text1"/>
                <w:sz w:val="20"/>
                <w:szCs w:val="20"/>
                <w:lang w:val="en-US"/>
              </w:rPr>
              <w:t>)</w:t>
            </w:r>
          </w:p>
        </w:tc>
        <w:tc>
          <w:tcPr>
            <w:tcW w:w="1479" w:type="dxa"/>
            <w:shd w:val="clear" w:color="auto" w:fill="auto"/>
            <w:vAlign w:val="center"/>
            <w:hideMark/>
          </w:tcPr>
          <w:p w14:paraId="0140CBB6" w14:textId="77777777" w:rsidR="0095572B" w:rsidRPr="001F224B" w:rsidRDefault="0095572B" w:rsidP="001669FB">
            <w:pPr>
              <w:jc w:val="center"/>
              <w:rPr>
                <w:b/>
                <w:bCs/>
                <w:iCs/>
                <w:color w:val="000000"/>
                <w:sz w:val="20"/>
                <w:szCs w:val="20"/>
              </w:rPr>
            </w:pPr>
            <w:r w:rsidRPr="001F224B">
              <w:rPr>
                <w:b/>
                <w:bCs/>
                <w:iCs/>
                <w:color w:val="000000"/>
                <w:sz w:val="20"/>
                <w:szCs w:val="20"/>
              </w:rPr>
              <w:t xml:space="preserve">Bilanço </w:t>
            </w:r>
            <w:r w:rsidR="001669FB" w:rsidRPr="001F224B">
              <w:rPr>
                <w:b/>
                <w:bCs/>
                <w:iCs/>
                <w:color w:val="000000"/>
                <w:sz w:val="20"/>
                <w:szCs w:val="20"/>
              </w:rPr>
              <w:t>özkaynak tutarı</w:t>
            </w:r>
          </w:p>
        </w:tc>
        <w:tc>
          <w:tcPr>
            <w:tcW w:w="1479" w:type="dxa"/>
            <w:shd w:val="clear" w:color="auto" w:fill="auto"/>
            <w:vAlign w:val="center"/>
            <w:hideMark/>
          </w:tcPr>
          <w:p w14:paraId="2DD3C3D5" w14:textId="77777777" w:rsidR="0095572B" w:rsidRPr="001F224B" w:rsidRDefault="0095572B" w:rsidP="00763492">
            <w:pPr>
              <w:jc w:val="center"/>
              <w:rPr>
                <w:b/>
                <w:bCs/>
                <w:iCs/>
                <w:color w:val="000000"/>
                <w:sz w:val="20"/>
                <w:szCs w:val="20"/>
              </w:rPr>
            </w:pPr>
            <w:r w:rsidRPr="001F224B">
              <w:rPr>
                <w:b/>
                <w:bCs/>
                <w:iCs/>
                <w:color w:val="000000"/>
                <w:sz w:val="20"/>
                <w:szCs w:val="20"/>
              </w:rPr>
              <w:t>Düzeltme etkisi</w:t>
            </w:r>
          </w:p>
        </w:tc>
        <w:tc>
          <w:tcPr>
            <w:tcW w:w="1633" w:type="dxa"/>
            <w:tcBorders>
              <w:bottom w:val="single" w:sz="4" w:space="0" w:color="auto"/>
            </w:tcBorders>
            <w:shd w:val="clear" w:color="auto" w:fill="auto"/>
            <w:vAlign w:val="center"/>
            <w:hideMark/>
          </w:tcPr>
          <w:p w14:paraId="300C9D7F" w14:textId="77777777" w:rsidR="0095572B" w:rsidRPr="001F224B" w:rsidRDefault="0095572B" w:rsidP="00763492">
            <w:pPr>
              <w:jc w:val="center"/>
              <w:rPr>
                <w:b/>
                <w:bCs/>
                <w:iCs/>
                <w:color w:val="000000"/>
                <w:sz w:val="20"/>
                <w:szCs w:val="20"/>
              </w:rPr>
            </w:pPr>
            <w:r w:rsidRPr="001F224B">
              <w:rPr>
                <w:b/>
                <w:bCs/>
                <w:iCs/>
                <w:color w:val="000000"/>
                <w:sz w:val="20"/>
                <w:szCs w:val="20"/>
              </w:rPr>
              <w:t>Özkaynak raporundaki değeri</w:t>
            </w:r>
          </w:p>
        </w:tc>
      </w:tr>
      <w:tr w:rsidR="00E861E9" w:rsidRPr="001F224B" w14:paraId="3C6BD2A8" w14:textId="77777777" w:rsidTr="001E6537">
        <w:trPr>
          <w:trHeight w:val="65"/>
        </w:trPr>
        <w:tc>
          <w:tcPr>
            <w:tcW w:w="5502" w:type="dxa"/>
            <w:shd w:val="clear" w:color="auto" w:fill="auto"/>
            <w:noWrap/>
            <w:vAlign w:val="center"/>
            <w:hideMark/>
          </w:tcPr>
          <w:p w14:paraId="593ED122" w14:textId="77777777" w:rsidR="00E861E9" w:rsidRPr="001F224B" w:rsidRDefault="00E861E9" w:rsidP="00E861E9">
            <w:pPr>
              <w:rPr>
                <w:color w:val="000000"/>
                <w:sz w:val="20"/>
                <w:szCs w:val="20"/>
              </w:rPr>
            </w:pPr>
            <w:r w:rsidRPr="001F224B">
              <w:rPr>
                <w:b/>
                <w:color w:val="000000"/>
                <w:sz w:val="20"/>
                <w:szCs w:val="20"/>
              </w:rPr>
              <w:t>1.</w:t>
            </w:r>
            <w:r w:rsidRPr="001F224B">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9DA65" w14:textId="51132378" w:rsidR="00E861E9" w:rsidRPr="001F224B" w:rsidRDefault="00E861E9" w:rsidP="00E861E9">
            <w:pPr>
              <w:jc w:val="right"/>
              <w:rPr>
                <w:color w:val="000000"/>
                <w:sz w:val="20"/>
                <w:szCs w:val="20"/>
              </w:rPr>
            </w:pPr>
            <w:r w:rsidRPr="001F224B">
              <w:rPr>
                <w:color w:val="000000"/>
                <w:sz w:val="20"/>
                <w:szCs w:val="20"/>
              </w:rPr>
              <w:t>10.000.000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B6C34BF" w14:textId="6F450A90" w:rsidR="00E861E9" w:rsidRPr="001F224B" w:rsidRDefault="00E861E9" w:rsidP="00E861E9">
            <w:pPr>
              <w:jc w:val="right"/>
              <w:rPr>
                <w:color w:val="000000"/>
                <w:sz w:val="20"/>
                <w:szCs w:val="20"/>
              </w:rPr>
            </w:pPr>
            <w:r w:rsidRPr="001F224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1307E59" w14:textId="613CDA5C" w:rsidR="00E861E9" w:rsidRPr="001F224B" w:rsidRDefault="00E861E9" w:rsidP="00E861E9">
            <w:pPr>
              <w:jc w:val="right"/>
              <w:rPr>
                <w:color w:val="000000"/>
                <w:sz w:val="20"/>
                <w:szCs w:val="20"/>
              </w:rPr>
            </w:pPr>
            <w:r w:rsidRPr="001F224B">
              <w:rPr>
                <w:color w:val="000000"/>
                <w:sz w:val="20"/>
                <w:szCs w:val="20"/>
              </w:rPr>
              <w:t>10.206.074</w:t>
            </w:r>
          </w:p>
        </w:tc>
      </w:tr>
      <w:tr w:rsidR="00E861E9" w:rsidRPr="001F224B" w14:paraId="7F43391B" w14:textId="77777777" w:rsidTr="001E6537">
        <w:trPr>
          <w:trHeight w:val="223"/>
        </w:trPr>
        <w:tc>
          <w:tcPr>
            <w:tcW w:w="5502" w:type="dxa"/>
            <w:shd w:val="clear" w:color="auto" w:fill="auto"/>
            <w:noWrap/>
            <w:vAlign w:val="center"/>
            <w:hideMark/>
          </w:tcPr>
          <w:p w14:paraId="0F7D44F6" w14:textId="77777777" w:rsidR="00E861E9" w:rsidRPr="001F224B" w:rsidRDefault="00E861E9" w:rsidP="00E861E9">
            <w:pPr>
              <w:rPr>
                <w:color w:val="000000"/>
                <w:sz w:val="20"/>
                <w:szCs w:val="20"/>
              </w:rPr>
            </w:pPr>
            <w:r w:rsidRPr="001F224B">
              <w:rPr>
                <w:b/>
                <w:color w:val="000000"/>
                <w:sz w:val="20"/>
                <w:szCs w:val="20"/>
              </w:rPr>
              <w:t>2.</w:t>
            </w:r>
            <w:r w:rsidRPr="001F224B">
              <w:rPr>
                <w:color w:val="000000"/>
                <w:sz w:val="20"/>
                <w:szCs w:val="20"/>
              </w:rPr>
              <w:t>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3CB4CB6" w14:textId="5372DFBA" w:rsidR="00E861E9" w:rsidRPr="001F224B" w:rsidRDefault="00E861E9" w:rsidP="00E861E9">
            <w:pPr>
              <w:jc w:val="right"/>
              <w:rPr>
                <w:color w:val="000000"/>
                <w:sz w:val="20"/>
                <w:szCs w:val="20"/>
              </w:rPr>
            </w:pPr>
            <w:r w:rsidRPr="001F224B">
              <w:rPr>
                <w:color w:val="000000"/>
                <w:sz w:val="20"/>
                <w:szCs w:val="20"/>
              </w:rPr>
              <w:t>212.321</w:t>
            </w:r>
          </w:p>
        </w:tc>
        <w:tc>
          <w:tcPr>
            <w:tcW w:w="1479" w:type="dxa"/>
            <w:tcBorders>
              <w:top w:val="nil"/>
              <w:left w:val="nil"/>
              <w:bottom w:val="single" w:sz="4" w:space="0" w:color="auto"/>
              <w:right w:val="single" w:sz="4" w:space="0" w:color="auto"/>
            </w:tcBorders>
            <w:shd w:val="clear" w:color="auto" w:fill="auto"/>
            <w:noWrap/>
            <w:vAlign w:val="bottom"/>
          </w:tcPr>
          <w:p w14:paraId="394AB690" w14:textId="05A03269" w:rsidR="00E861E9" w:rsidRPr="001F224B" w:rsidRDefault="00E861E9" w:rsidP="00E861E9">
            <w:pPr>
              <w:jc w:val="right"/>
              <w:rPr>
                <w:color w:val="000000"/>
                <w:sz w:val="20"/>
                <w:szCs w:val="20"/>
              </w:rPr>
            </w:pPr>
            <w:r w:rsidRPr="001F224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24A80FE" w14:textId="446E6B33" w:rsidR="00E861E9" w:rsidRPr="001F224B" w:rsidRDefault="00E861E9" w:rsidP="00E861E9">
            <w:pPr>
              <w:jc w:val="right"/>
              <w:rPr>
                <w:color w:val="000000"/>
                <w:sz w:val="20"/>
                <w:szCs w:val="20"/>
              </w:rPr>
            </w:pPr>
            <w:r w:rsidRPr="001F224B">
              <w:rPr>
                <w:color w:val="000000"/>
                <w:sz w:val="20"/>
                <w:szCs w:val="20"/>
              </w:rPr>
              <w:t>6.247</w:t>
            </w:r>
          </w:p>
        </w:tc>
      </w:tr>
      <w:tr w:rsidR="00E861E9" w:rsidRPr="001F224B" w14:paraId="2FFA0F7E" w14:textId="77777777" w:rsidTr="001E6537">
        <w:trPr>
          <w:trHeight w:val="223"/>
        </w:trPr>
        <w:tc>
          <w:tcPr>
            <w:tcW w:w="5502" w:type="dxa"/>
            <w:shd w:val="clear" w:color="auto" w:fill="auto"/>
            <w:noWrap/>
            <w:vAlign w:val="center"/>
          </w:tcPr>
          <w:p w14:paraId="50F2C0CA" w14:textId="77777777" w:rsidR="00E861E9" w:rsidRPr="001F224B" w:rsidRDefault="00E861E9" w:rsidP="00E861E9">
            <w:pPr>
              <w:rPr>
                <w:b/>
                <w:color w:val="000000"/>
                <w:sz w:val="20"/>
                <w:szCs w:val="20"/>
              </w:rPr>
            </w:pPr>
            <w:r w:rsidRPr="001F224B">
              <w:rPr>
                <w:color w:val="000000"/>
                <w:sz w:val="20"/>
                <w:szCs w:val="20"/>
              </w:rPr>
              <w:t xml:space="preserve">     2.1. Hisse Senedi İhraç Primleri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BDAD93B" w14:textId="11536C6D" w:rsidR="00E861E9" w:rsidRPr="001F224B" w:rsidRDefault="00E861E9" w:rsidP="00E861E9">
            <w:pPr>
              <w:jc w:val="right"/>
              <w:rPr>
                <w:color w:val="000000"/>
                <w:sz w:val="20"/>
                <w:szCs w:val="20"/>
              </w:rPr>
            </w:pPr>
            <w:r w:rsidRPr="001F224B">
              <w:rPr>
                <w:color w:val="000000"/>
                <w:sz w:val="20"/>
                <w:szCs w:val="20"/>
              </w:rPr>
              <w:t>6.247</w:t>
            </w:r>
          </w:p>
        </w:tc>
        <w:tc>
          <w:tcPr>
            <w:tcW w:w="1479" w:type="dxa"/>
            <w:tcBorders>
              <w:top w:val="nil"/>
              <w:left w:val="nil"/>
              <w:bottom w:val="single" w:sz="4" w:space="0" w:color="auto"/>
              <w:right w:val="single" w:sz="4" w:space="0" w:color="auto"/>
            </w:tcBorders>
            <w:shd w:val="clear" w:color="auto" w:fill="auto"/>
            <w:noWrap/>
            <w:vAlign w:val="bottom"/>
          </w:tcPr>
          <w:p w14:paraId="65CC69B9" w14:textId="04E95BD3" w:rsidR="00E861E9" w:rsidRPr="001F224B" w:rsidRDefault="00E861E9" w:rsidP="00E861E9">
            <w:pPr>
              <w:jc w:val="right"/>
              <w:rPr>
                <w:color w:val="000000"/>
                <w:sz w:val="20"/>
                <w:szCs w:val="20"/>
              </w:rPr>
            </w:pP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E00CE5F" w14:textId="58534FD9" w:rsidR="00E861E9" w:rsidRPr="001F224B" w:rsidRDefault="00E861E9" w:rsidP="00E861E9">
            <w:pPr>
              <w:jc w:val="right"/>
              <w:rPr>
                <w:color w:val="000000"/>
                <w:sz w:val="20"/>
                <w:szCs w:val="20"/>
              </w:rPr>
            </w:pPr>
            <w:r w:rsidRPr="001F224B">
              <w:rPr>
                <w:color w:val="000000"/>
                <w:sz w:val="20"/>
                <w:szCs w:val="20"/>
              </w:rPr>
              <w:t>6.247</w:t>
            </w:r>
          </w:p>
        </w:tc>
      </w:tr>
      <w:tr w:rsidR="00E861E9" w:rsidRPr="001F224B" w14:paraId="73D26F71" w14:textId="77777777" w:rsidTr="001E6537">
        <w:trPr>
          <w:trHeight w:val="223"/>
        </w:trPr>
        <w:tc>
          <w:tcPr>
            <w:tcW w:w="5502" w:type="dxa"/>
            <w:shd w:val="clear" w:color="auto" w:fill="auto"/>
            <w:noWrap/>
            <w:vAlign w:val="center"/>
          </w:tcPr>
          <w:p w14:paraId="27312DB7" w14:textId="77777777" w:rsidR="00E861E9" w:rsidRPr="001F224B" w:rsidRDefault="00E861E9" w:rsidP="00E861E9">
            <w:pPr>
              <w:rPr>
                <w:b/>
                <w:color w:val="000000"/>
                <w:sz w:val="20"/>
                <w:szCs w:val="20"/>
              </w:rPr>
            </w:pPr>
            <w:r w:rsidRPr="001F224B">
              <w:rPr>
                <w:color w:val="000000"/>
                <w:sz w:val="20"/>
                <w:szCs w:val="20"/>
              </w:rPr>
              <w:t xml:space="preserve">     2.2. Hisse Senedi İptal Karları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4B39043" w14:textId="016BCF82" w:rsidR="00E861E9" w:rsidRPr="001F224B" w:rsidRDefault="00E861E9" w:rsidP="00E861E9">
            <w:pPr>
              <w:jc w:val="right"/>
              <w:rPr>
                <w:color w:val="000000"/>
                <w:sz w:val="20"/>
                <w:szCs w:val="20"/>
              </w:rPr>
            </w:pPr>
            <w:r w:rsidRPr="001F224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17B21875" w14:textId="60BDE3BD" w:rsidR="00E861E9" w:rsidRPr="001F224B" w:rsidRDefault="00E861E9" w:rsidP="00E861E9">
            <w:pPr>
              <w:jc w:val="right"/>
              <w:rPr>
                <w:color w:val="000000"/>
                <w:sz w:val="20"/>
                <w:szCs w:val="20"/>
              </w:rPr>
            </w:pP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6610A3C" w14:textId="19E1F4EA" w:rsidR="00E861E9" w:rsidRPr="001F224B" w:rsidRDefault="00E861E9" w:rsidP="00E861E9">
            <w:pPr>
              <w:jc w:val="right"/>
              <w:rPr>
                <w:color w:val="000000"/>
                <w:sz w:val="20"/>
                <w:szCs w:val="20"/>
              </w:rPr>
            </w:pPr>
            <w:r w:rsidRPr="001F224B">
              <w:rPr>
                <w:color w:val="000000"/>
                <w:sz w:val="20"/>
                <w:szCs w:val="20"/>
              </w:rPr>
              <w:t>-</w:t>
            </w:r>
          </w:p>
        </w:tc>
      </w:tr>
      <w:tr w:rsidR="00E861E9" w:rsidRPr="001F224B" w14:paraId="36DFC3EE" w14:textId="77777777" w:rsidTr="001E6537">
        <w:trPr>
          <w:trHeight w:val="223"/>
        </w:trPr>
        <w:tc>
          <w:tcPr>
            <w:tcW w:w="5502" w:type="dxa"/>
            <w:shd w:val="clear" w:color="auto" w:fill="auto"/>
            <w:noWrap/>
            <w:vAlign w:val="center"/>
          </w:tcPr>
          <w:p w14:paraId="6B0A4579" w14:textId="1D452ADC" w:rsidR="00E861E9" w:rsidRPr="001F224B" w:rsidRDefault="00E861E9" w:rsidP="00E861E9">
            <w:pPr>
              <w:rPr>
                <w:b/>
                <w:color w:val="000000"/>
                <w:sz w:val="20"/>
                <w:szCs w:val="20"/>
              </w:rPr>
            </w:pPr>
            <w:r w:rsidRPr="001F224B">
              <w:rPr>
                <w:color w:val="000000"/>
                <w:sz w:val="20"/>
                <w:szCs w:val="20"/>
              </w:rPr>
              <w:t xml:space="preserve">     2.3. Diğer 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41823E1" w14:textId="4171B67A" w:rsidR="00E861E9" w:rsidRPr="001F224B" w:rsidRDefault="00E861E9" w:rsidP="00E861E9">
            <w:pPr>
              <w:jc w:val="right"/>
              <w:rPr>
                <w:color w:val="000000"/>
                <w:sz w:val="20"/>
                <w:szCs w:val="20"/>
              </w:rPr>
            </w:pPr>
            <w:r w:rsidRPr="001F224B">
              <w:rPr>
                <w:color w:val="000000"/>
                <w:sz w:val="20"/>
                <w:szCs w:val="20"/>
              </w:rPr>
              <w:t>206.074</w:t>
            </w:r>
          </w:p>
        </w:tc>
        <w:tc>
          <w:tcPr>
            <w:tcW w:w="1479" w:type="dxa"/>
            <w:tcBorders>
              <w:top w:val="nil"/>
              <w:left w:val="nil"/>
              <w:bottom w:val="single" w:sz="4" w:space="0" w:color="auto"/>
              <w:right w:val="single" w:sz="4" w:space="0" w:color="auto"/>
            </w:tcBorders>
            <w:shd w:val="clear" w:color="auto" w:fill="auto"/>
            <w:noWrap/>
            <w:vAlign w:val="bottom"/>
          </w:tcPr>
          <w:p w14:paraId="2D251806" w14:textId="373A6EE1" w:rsidR="00E861E9" w:rsidRPr="001F224B" w:rsidRDefault="001E6537" w:rsidP="00E861E9">
            <w:pPr>
              <w:jc w:val="right"/>
              <w:rPr>
                <w:color w:val="000000"/>
                <w:sz w:val="20"/>
                <w:szCs w:val="20"/>
              </w:rPr>
            </w:pPr>
            <w:r w:rsidRPr="001F224B">
              <w:rPr>
                <w:color w:val="000000"/>
                <w:sz w:val="20"/>
                <w:szCs w:val="20"/>
              </w:rPr>
              <w:t>(</w:t>
            </w:r>
            <w:r w:rsidR="00E861E9" w:rsidRPr="001F224B">
              <w:rPr>
                <w:color w:val="000000"/>
                <w:sz w:val="20"/>
                <w:szCs w:val="20"/>
              </w:rPr>
              <w:t>206.074</w:t>
            </w: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3177B3F" w14:textId="154F1137" w:rsidR="00E861E9" w:rsidRPr="001F224B" w:rsidRDefault="00E861E9" w:rsidP="00E861E9">
            <w:pPr>
              <w:jc w:val="right"/>
              <w:rPr>
                <w:color w:val="000000"/>
                <w:sz w:val="20"/>
                <w:szCs w:val="20"/>
              </w:rPr>
            </w:pPr>
            <w:r w:rsidRPr="001F224B">
              <w:rPr>
                <w:color w:val="000000"/>
                <w:sz w:val="20"/>
                <w:szCs w:val="20"/>
              </w:rPr>
              <w:t>-</w:t>
            </w:r>
          </w:p>
        </w:tc>
      </w:tr>
      <w:tr w:rsidR="00E861E9" w:rsidRPr="001F224B" w14:paraId="023E2580" w14:textId="77777777" w:rsidTr="001E6537">
        <w:trPr>
          <w:trHeight w:val="223"/>
        </w:trPr>
        <w:tc>
          <w:tcPr>
            <w:tcW w:w="5502" w:type="dxa"/>
            <w:shd w:val="clear" w:color="auto" w:fill="auto"/>
            <w:noWrap/>
            <w:vAlign w:val="center"/>
          </w:tcPr>
          <w:p w14:paraId="416C431A" w14:textId="77777777" w:rsidR="00E861E9" w:rsidRPr="001F224B" w:rsidRDefault="00E861E9" w:rsidP="00E861E9">
            <w:pPr>
              <w:rPr>
                <w:color w:val="000000"/>
                <w:sz w:val="20"/>
                <w:szCs w:val="20"/>
              </w:rPr>
            </w:pPr>
            <w:r w:rsidRPr="001F224B">
              <w:rPr>
                <w:b/>
                <w:color w:val="000000"/>
                <w:sz w:val="20"/>
                <w:szCs w:val="20"/>
              </w:rPr>
              <w:t>3.</w:t>
            </w:r>
            <w:r w:rsidRPr="001F224B">
              <w:rPr>
                <w:color w:val="000000"/>
                <w:sz w:val="20"/>
                <w:szCs w:val="20"/>
              </w:rPr>
              <w:t xml:space="preserve"> Kar veya Zararda Yeniden Sınıflandırılmayacak Birikmiş Diğer Kapsamlı Gelirler Veya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71570B6B" w14:textId="15CB7C32" w:rsidR="00E861E9" w:rsidRPr="001F224B" w:rsidRDefault="00E861E9" w:rsidP="00E861E9">
            <w:pPr>
              <w:jc w:val="right"/>
              <w:rPr>
                <w:color w:val="000000"/>
                <w:sz w:val="20"/>
                <w:szCs w:val="20"/>
              </w:rPr>
            </w:pPr>
            <w:r w:rsidRPr="001F224B">
              <w:rPr>
                <w:color w:val="000000"/>
                <w:sz w:val="20"/>
                <w:szCs w:val="20"/>
              </w:rPr>
              <w:t>2.565</w:t>
            </w:r>
          </w:p>
        </w:tc>
        <w:tc>
          <w:tcPr>
            <w:tcW w:w="1479" w:type="dxa"/>
            <w:tcBorders>
              <w:top w:val="nil"/>
              <w:left w:val="nil"/>
              <w:bottom w:val="single" w:sz="4" w:space="0" w:color="auto"/>
              <w:right w:val="single" w:sz="4" w:space="0" w:color="auto"/>
            </w:tcBorders>
            <w:shd w:val="clear" w:color="auto" w:fill="auto"/>
            <w:noWrap/>
            <w:vAlign w:val="bottom"/>
          </w:tcPr>
          <w:p w14:paraId="335DF2F2" w14:textId="7695EB57" w:rsidR="00E861E9" w:rsidRPr="001F224B" w:rsidRDefault="001E6537" w:rsidP="00E861E9">
            <w:pPr>
              <w:jc w:val="right"/>
              <w:rPr>
                <w:color w:val="000000"/>
                <w:sz w:val="20"/>
                <w:szCs w:val="20"/>
              </w:rPr>
            </w:pP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63DF71F" w14:textId="101E523D" w:rsidR="00E861E9" w:rsidRPr="001F224B" w:rsidRDefault="00E861E9" w:rsidP="00E861E9">
            <w:pPr>
              <w:jc w:val="right"/>
              <w:rPr>
                <w:color w:val="000000"/>
                <w:sz w:val="20"/>
                <w:szCs w:val="20"/>
              </w:rPr>
            </w:pPr>
            <w:r w:rsidRPr="001F224B">
              <w:rPr>
                <w:color w:val="000000"/>
                <w:sz w:val="20"/>
                <w:szCs w:val="20"/>
              </w:rPr>
              <w:t>2.565</w:t>
            </w:r>
          </w:p>
        </w:tc>
      </w:tr>
      <w:tr w:rsidR="00E861E9" w:rsidRPr="001F224B" w14:paraId="33E5F43D" w14:textId="77777777" w:rsidTr="001E6537">
        <w:trPr>
          <w:trHeight w:val="391"/>
        </w:trPr>
        <w:tc>
          <w:tcPr>
            <w:tcW w:w="5502" w:type="dxa"/>
            <w:shd w:val="clear" w:color="auto" w:fill="auto"/>
            <w:vAlign w:val="center"/>
            <w:hideMark/>
          </w:tcPr>
          <w:p w14:paraId="25314CAF" w14:textId="77777777" w:rsidR="00E861E9" w:rsidRPr="001F224B" w:rsidRDefault="00E861E9" w:rsidP="00E861E9">
            <w:pPr>
              <w:rPr>
                <w:color w:val="000000"/>
                <w:sz w:val="20"/>
                <w:szCs w:val="20"/>
              </w:rPr>
            </w:pPr>
            <w:r w:rsidRPr="001F224B">
              <w:rPr>
                <w:b/>
                <w:color w:val="000000"/>
                <w:sz w:val="20"/>
                <w:szCs w:val="20"/>
              </w:rPr>
              <w:t>4.</w:t>
            </w:r>
            <w:r w:rsidRPr="001F224B">
              <w:rPr>
                <w:color w:val="000000"/>
                <w:sz w:val="20"/>
                <w:szCs w:val="20"/>
              </w:rPr>
              <w:t xml:space="preserve"> Kar veya Zararda Yeniden Sınıflandırılacak Birikmiş Diğer Kapsamlı Gelirler Veya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F579D5B" w14:textId="6B6498B5" w:rsidR="00E861E9" w:rsidRPr="001F224B" w:rsidRDefault="00E861E9" w:rsidP="00E861E9">
            <w:pPr>
              <w:jc w:val="right"/>
              <w:rPr>
                <w:color w:val="000000"/>
                <w:sz w:val="20"/>
                <w:szCs w:val="20"/>
              </w:rPr>
            </w:pPr>
            <w:r w:rsidRPr="001F224B">
              <w:rPr>
                <w:color w:val="000000"/>
                <w:sz w:val="20"/>
                <w:szCs w:val="20"/>
              </w:rPr>
              <w:t>111.279</w:t>
            </w:r>
          </w:p>
        </w:tc>
        <w:tc>
          <w:tcPr>
            <w:tcW w:w="1479" w:type="dxa"/>
            <w:tcBorders>
              <w:top w:val="nil"/>
              <w:left w:val="nil"/>
              <w:bottom w:val="single" w:sz="4" w:space="0" w:color="auto"/>
              <w:right w:val="single" w:sz="4" w:space="0" w:color="auto"/>
            </w:tcBorders>
            <w:shd w:val="clear" w:color="auto" w:fill="auto"/>
            <w:noWrap/>
            <w:vAlign w:val="bottom"/>
          </w:tcPr>
          <w:p w14:paraId="0F3C9D5A" w14:textId="6A44B2C0" w:rsidR="00E861E9" w:rsidRPr="001F224B" w:rsidRDefault="00E861E9" w:rsidP="00E861E9">
            <w:pPr>
              <w:jc w:val="right"/>
              <w:rPr>
                <w:color w:val="000000"/>
                <w:sz w:val="20"/>
                <w:szCs w:val="20"/>
              </w:rPr>
            </w:pPr>
            <w:r w:rsidRPr="001F224B">
              <w:rPr>
                <w:color w:val="000000"/>
                <w:sz w:val="20"/>
                <w:szCs w:val="20"/>
              </w:rPr>
              <w:t>38.606</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36D51C0" w14:textId="1FD66DC2" w:rsidR="00E861E9" w:rsidRPr="001F224B" w:rsidRDefault="00E861E9" w:rsidP="00E861E9">
            <w:pPr>
              <w:jc w:val="right"/>
              <w:rPr>
                <w:color w:val="000000"/>
                <w:sz w:val="20"/>
                <w:szCs w:val="20"/>
              </w:rPr>
            </w:pPr>
            <w:r w:rsidRPr="001F224B">
              <w:rPr>
                <w:color w:val="000000"/>
                <w:sz w:val="20"/>
                <w:szCs w:val="20"/>
              </w:rPr>
              <w:t>149.885</w:t>
            </w:r>
          </w:p>
        </w:tc>
      </w:tr>
      <w:tr w:rsidR="00E861E9" w:rsidRPr="001F224B" w14:paraId="56639034" w14:textId="77777777" w:rsidTr="001E6537">
        <w:trPr>
          <w:trHeight w:val="223"/>
        </w:trPr>
        <w:tc>
          <w:tcPr>
            <w:tcW w:w="5502" w:type="dxa"/>
            <w:shd w:val="clear" w:color="auto" w:fill="auto"/>
            <w:vAlign w:val="center"/>
            <w:hideMark/>
          </w:tcPr>
          <w:p w14:paraId="17D79890" w14:textId="756ED9BF" w:rsidR="00E861E9" w:rsidRPr="001F224B" w:rsidRDefault="00E861E9" w:rsidP="00E861E9">
            <w:pPr>
              <w:rPr>
                <w:color w:val="000000"/>
                <w:sz w:val="20"/>
                <w:szCs w:val="20"/>
              </w:rPr>
            </w:pPr>
            <w:r w:rsidRPr="001F224B">
              <w:rPr>
                <w:b/>
                <w:color w:val="000000"/>
                <w:sz w:val="20"/>
                <w:szCs w:val="20"/>
              </w:rPr>
              <w:t>5.</w:t>
            </w:r>
            <w:r w:rsidRPr="001F224B">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47BF8" w14:textId="4F1CD50B" w:rsidR="00E861E9" w:rsidRPr="001F224B" w:rsidRDefault="00E861E9" w:rsidP="00E861E9">
            <w:pPr>
              <w:jc w:val="right"/>
              <w:rPr>
                <w:color w:val="000000"/>
                <w:sz w:val="20"/>
                <w:szCs w:val="20"/>
              </w:rPr>
            </w:pPr>
            <w:r w:rsidRPr="001F224B">
              <w:rPr>
                <w:color w:val="000000"/>
                <w:sz w:val="20"/>
                <w:szCs w:val="20"/>
              </w:rPr>
              <w:t>14.188.755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814A0A6" w14:textId="6EAD5038" w:rsidR="00E861E9" w:rsidRPr="001F224B" w:rsidRDefault="001E6537" w:rsidP="00E861E9">
            <w:pPr>
              <w:jc w:val="right"/>
              <w:rPr>
                <w:color w:val="000000"/>
                <w:sz w:val="20"/>
                <w:szCs w:val="20"/>
              </w:rPr>
            </w:pP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A63EC0E" w14:textId="7E1468F5" w:rsidR="00E861E9" w:rsidRPr="001F224B" w:rsidRDefault="00E861E9" w:rsidP="00E861E9">
            <w:pPr>
              <w:jc w:val="right"/>
              <w:rPr>
                <w:color w:val="000000"/>
                <w:sz w:val="20"/>
                <w:szCs w:val="20"/>
              </w:rPr>
            </w:pPr>
            <w:r w:rsidRPr="001F224B">
              <w:rPr>
                <w:color w:val="000000"/>
                <w:sz w:val="20"/>
                <w:szCs w:val="20"/>
              </w:rPr>
              <w:t>14.188.755</w:t>
            </w:r>
          </w:p>
        </w:tc>
      </w:tr>
      <w:tr w:rsidR="00E861E9" w:rsidRPr="001F224B" w14:paraId="2A69CAC7" w14:textId="77777777" w:rsidTr="001E6537">
        <w:trPr>
          <w:trHeight w:val="223"/>
        </w:trPr>
        <w:tc>
          <w:tcPr>
            <w:tcW w:w="5502" w:type="dxa"/>
            <w:shd w:val="clear" w:color="auto" w:fill="auto"/>
            <w:vAlign w:val="center"/>
            <w:hideMark/>
          </w:tcPr>
          <w:p w14:paraId="44A000CB" w14:textId="0DA3A340" w:rsidR="00E861E9" w:rsidRPr="001F224B" w:rsidRDefault="00E861E9" w:rsidP="00E861E9">
            <w:pPr>
              <w:rPr>
                <w:color w:val="000000"/>
                <w:sz w:val="20"/>
                <w:szCs w:val="20"/>
              </w:rPr>
            </w:pPr>
            <w:r w:rsidRPr="001F224B">
              <w:rPr>
                <w:b/>
                <w:color w:val="000000"/>
                <w:sz w:val="20"/>
                <w:szCs w:val="20"/>
              </w:rPr>
              <w:t>6.</w:t>
            </w:r>
            <w:r w:rsidRPr="001F224B">
              <w:rPr>
                <w:color w:val="000000"/>
                <w:sz w:val="20"/>
                <w:szCs w:val="20"/>
              </w:rPr>
              <w:t xml:space="preserve"> Kar veya Zarar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B46C9" w14:textId="06076FF7" w:rsidR="00E861E9" w:rsidRPr="001F224B" w:rsidRDefault="00E861E9" w:rsidP="00E861E9">
            <w:pPr>
              <w:jc w:val="right"/>
              <w:rPr>
                <w:color w:val="000000"/>
                <w:sz w:val="20"/>
                <w:szCs w:val="20"/>
              </w:rPr>
            </w:pPr>
            <w:r w:rsidRPr="001F224B">
              <w:rPr>
                <w:color w:val="000000"/>
                <w:sz w:val="20"/>
                <w:szCs w:val="20"/>
              </w:rPr>
              <w:t>4.013.756</w:t>
            </w:r>
          </w:p>
        </w:tc>
        <w:tc>
          <w:tcPr>
            <w:tcW w:w="1479" w:type="dxa"/>
            <w:tcBorders>
              <w:top w:val="nil"/>
              <w:left w:val="nil"/>
              <w:bottom w:val="single" w:sz="4" w:space="0" w:color="auto"/>
              <w:right w:val="single" w:sz="4" w:space="0" w:color="auto"/>
            </w:tcBorders>
            <w:shd w:val="clear" w:color="auto" w:fill="auto"/>
            <w:noWrap/>
            <w:vAlign w:val="bottom"/>
          </w:tcPr>
          <w:p w14:paraId="67E75B18" w14:textId="26D20867" w:rsidR="00E861E9" w:rsidRPr="001F224B" w:rsidRDefault="001E6537" w:rsidP="00E861E9">
            <w:pPr>
              <w:jc w:val="right"/>
              <w:rPr>
                <w:color w:val="000000"/>
                <w:sz w:val="20"/>
                <w:szCs w:val="20"/>
              </w:rPr>
            </w:pPr>
            <w:r w:rsidRPr="001F224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E8BE6" w14:textId="614E5503" w:rsidR="00E861E9" w:rsidRPr="001F224B" w:rsidRDefault="00E861E9" w:rsidP="00E861E9">
            <w:pPr>
              <w:jc w:val="right"/>
              <w:rPr>
                <w:color w:val="000000"/>
                <w:sz w:val="20"/>
                <w:szCs w:val="20"/>
              </w:rPr>
            </w:pPr>
            <w:r w:rsidRPr="001F224B">
              <w:rPr>
                <w:color w:val="000000"/>
                <w:sz w:val="20"/>
                <w:szCs w:val="20"/>
              </w:rPr>
              <w:t>4.013.756</w:t>
            </w:r>
          </w:p>
        </w:tc>
      </w:tr>
      <w:tr w:rsidR="00E861E9" w:rsidRPr="001F224B" w14:paraId="6A0C7486" w14:textId="77777777" w:rsidTr="001E6537">
        <w:trPr>
          <w:trHeight w:val="223"/>
        </w:trPr>
        <w:tc>
          <w:tcPr>
            <w:tcW w:w="5502" w:type="dxa"/>
            <w:shd w:val="clear" w:color="auto" w:fill="auto"/>
            <w:vAlign w:val="bottom"/>
            <w:hideMark/>
          </w:tcPr>
          <w:p w14:paraId="3794EE10" w14:textId="119003A4" w:rsidR="00E861E9" w:rsidRPr="001F224B" w:rsidRDefault="00E861E9" w:rsidP="00E861E9">
            <w:pPr>
              <w:rPr>
                <w:color w:val="000000"/>
                <w:sz w:val="20"/>
                <w:szCs w:val="20"/>
              </w:rPr>
            </w:pPr>
            <w:r w:rsidRPr="001F224B">
              <w:rPr>
                <w:color w:val="000000"/>
                <w:sz w:val="20"/>
                <w:szCs w:val="20"/>
              </w:rPr>
              <w:t xml:space="preserve">      6.1. Geçmiş Yıllar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77DB75F" w14:textId="3CAF4B5C" w:rsidR="00E861E9" w:rsidRPr="001F224B" w:rsidRDefault="001E6537" w:rsidP="00E861E9">
            <w:pPr>
              <w:jc w:val="right"/>
              <w:rPr>
                <w:color w:val="000000"/>
                <w:sz w:val="20"/>
                <w:szCs w:val="20"/>
              </w:rPr>
            </w:pPr>
            <w:r w:rsidRPr="001F224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CF0B65D" w14:textId="29A4A6EB" w:rsidR="00E861E9" w:rsidRPr="001F224B" w:rsidRDefault="001E6537" w:rsidP="00E861E9">
            <w:pPr>
              <w:jc w:val="right"/>
              <w:rPr>
                <w:color w:val="000000"/>
                <w:sz w:val="20"/>
                <w:szCs w:val="20"/>
              </w:rPr>
            </w:pPr>
            <w:r w:rsidRPr="001F224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0FB7C" w14:textId="2CA44D4E" w:rsidR="00E861E9" w:rsidRPr="001F224B" w:rsidRDefault="001E6537" w:rsidP="00E861E9">
            <w:pPr>
              <w:jc w:val="right"/>
              <w:rPr>
                <w:color w:val="000000"/>
                <w:sz w:val="20"/>
                <w:szCs w:val="20"/>
              </w:rPr>
            </w:pPr>
            <w:r w:rsidRPr="001F224B">
              <w:rPr>
                <w:color w:val="000000"/>
                <w:sz w:val="20"/>
                <w:szCs w:val="20"/>
              </w:rPr>
              <w:t>-</w:t>
            </w:r>
          </w:p>
        </w:tc>
      </w:tr>
      <w:tr w:rsidR="00E861E9" w:rsidRPr="001F224B" w14:paraId="140CF9B2" w14:textId="77777777" w:rsidTr="001E6537">
        <w:trPr>
          <w:trHeight w:val="223"/>
        </w:trPr>
        <w:tc>
          <w:tcPr>
            <w:tcW w:w="5502" w:type="dxa"/>
            <w:shd w:val="clear" w:color="auto" w:fill="auto"/>
            <w:vAlign w:val="bottom"/>
            <w:hideMark/>
          </w:tcPr>
          <w:p w14:paraId="7ADF2685" w14:textId="5CA04BE6" w:rsidR="00E861E9" w:rsidRPr="001F224B" w:rsidRDefault="00E861E9" w:rsidP="00E861E9">
            <w:pPr>
              <w:rPr>
                <w:color w:val="000000"/>
                <w:sz w:val="20"/>
                <w:szCs w:val="20"/>
              </w:rPr>
            </w:pPr>
            <w:r w:rsidRPr="001F224B">
              <w:rPr>
                <w:color w:val="000000"/>
                <w:sz w:val="20"/>
                <w:szCs w:val="20"/>
              </w:rPr>
              <w:t xml:space="preserve">      6.2. Dönem Net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DD5C775" w14:textId="492C0187" w:rsidR="00E861E9" w:rsidRPr="001F224B" w:rsidRDefault="00E861E9" w:rsidP="00E861E9">
            <w:pPr>
              <w:jc w:val="right"/>
              <w:rPr>
                <w:color w:val="000000"/>
                <w:sz w:val="20"/>
                <w:szCs w:val="20"/>
              </w:rPr>
            </w:pPr>
            <w:r w:rsidRPr="001F224B">
              <w:rPr>
                <w:color w:val="000000"/>
                <w:sz w:val="20"/>
                <w:szCs w:val="20"/>
              </w:rPr>
              <w:t>4.013.756</w:t>
            </w:r>
          </w:p>
        </w:tc>
        <w:tc>
          <w:tcPr>
            <w:tcW w:w="1479" w:type="dxa"/>
            <w:tcBorders>
              <w:top w:val="nil"/>
              <w:left w:val="nil"/>
              <w:bottom w:val="single" w:sz="4" w:space="0" w:color="auto"/>
              <w:right w:val="single" w:sz="4" w:space="0" w:color="auto"/>
            </w:tcBorders>
            <w:shd w:val="clear" w:color="auto" w:fill="auto"/>
            <w:noWrap/>
            <w:vAlign w:val="bottom"/>
          </w:tcPr>
          <w:p w14:paraId="6D51B92E" w14:textId="36366B33" w:rsidR="00E861E9" w:rsidRPr="001F224B" w:rsidRDefault="001E6537" w:rsidP="00E861E9">
            <w:pPr>
              <w:jc w:val="right"/>
              <w:rPr>
                <w:color w:val="000000"/>
                <w:sz w:val="20"/>
                <w:szCs w:val="20"/>
              </w:rPr>
            </w:pPr>
            <w:r w:rsidRPr="001F224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A0634" w14:textId="593E3B43" w:rsidR="00E861E9" w:rsidRPr="001F224B" w:rsidRDefault="00E861E9" w:rsidP="00E861E9">
            <w:pPr>
              <w:jc w:val="right"/>
              <w:rPr>
                <w:color w:val="000000"/>
                <w:sz w:val="20"/>
                <w:szCs w:val="20"/>
              </w:rPr>
            </w:pPr>
            <w:r w:rsidRPr="001F224B">
              <w:rPr>
                <w:color w:val="000000"/>
                <w:sz w:val="20"/>
                <w:szCs w:val="20"/>
              </w:rPr>
              <w:t>4.013.756</w:t>
            </w:r>
          </w:p>
        </w:tc>
      </w:tr>
      <w:tr w:rsidR="00E861E9" w:rsidRPr="001F224B" w14:paraId="2471FEB7" w14:textId="77777777" w:rsidTr="001E6537">
        <w:trPr>
          <w:trHeight w:val="271"/>
        </w:trPr>
        <w:tc>
          <w:tcPr>
            <w:tcW w:w="5502" w:type="dxa"/>
            <w:shd w:val="clear" w:color="auto" w:fill="auto"/>
            <w:vAlign w:val="bottom"/>
            <w:hideMark/>
          </w:tcPr>
          <w:p w14:paraId="50D3DE6E" w14:textId="09B14BAA" w:rsidR="00E861E9" w:rsidRPr="001F224B" w:rsidRDefault="00E861E9" w:rsidP="00E861E9">
            <w:pPr>
              <w:rPr>
                <w:color w:val="000000"/>
                <w:sz w:val="20"/>
                <w:szCs w:val="20"/>
              </w:rPr>
            </w:pPr>
            <w:r w:rsidRPr="001F224B">
              <w:rPr>
                <w:color w:val="000000"/>
                <w:sz w:val="20"/>
                <w:szCs w:val="20"/>
              </w:rPr>
              <w:t>Çekirdek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B0907B6" w14:textId="0D086732" w:rsidR="00E861E9" w:rsidRPr="001F224B" w:rsidRDefault="001E6537" w:rsidP="00E861E9">
            <w:pPr>
              <w:jc w:val="right"/>
              <w:rPr>
                <w:color w:val="000000"/>
                <w:sz w:val="20"/>
                <w:szCs w:val="20"/>
              </w:rPr>
            </w:pPr>
            <w:r w:rsidRPr="001F224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479C495" w14:textId="16CBABB5" w:rsidR="00E861E9" w:rsidRPr="001F224B" w:rsidRDefault="001E6537" w:rsidP="00E861E9">
            <w:pPr>
              <w:jc w:val="right"/>
              <w:rPr>
                <w:color w:val="000000"/>
                <w:sz w:val="20"/>
                <w:szCs w:val="20"/>
              </w:rPr>
            </w:pPr>
            <w:r w:rsidRPr="001F224B">
              <w:rPr>
                <w:color w:val="000000"/>
                <w:sz w:val="20"/>
                <w:szCs w:val="20"/>
              </w:rPr>
              <w:t>(</w:t>
            </w:r>
            <w:r w:rsidR="00E861E9" w:rsidRPr="001F224B">
              <w:rPr>
                <w:color w:val="000000"/>
                <w:sz w:val="20"/>
                <w:szCs w:val="20"/>
              </w:rPr>
              <w:t>595.348</w:t>
            </w: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E775E85" w14:textId="441A1F92" w:rsidR="00E861E9" w:rsidRPr="001F224B" w:rsidRDefault="001E6537" w:rsidP="00E861E9">
            <w:pPr>
              <w:jc w:val="right"/>
              <w:rPr>
                <w:color w:val="000000"/>
                <w:sz w:val="20"/>
                <w:szCs w:val="20"/>
              </w:rPr>
            </w:pPr>
            <w:r w:rsidRPr="001F224B">
              <w:rPr>
                <w:color w:val="000000"/>
                <w:sz w:val="20"/>
                <w:szCs w:val="20"/>
              </w:rPr>
              <w:t>(</w:t>
            </w:r>
            <w:r w:rsidR="00E861E9" w:rsidRPr="001F224B">
              <w:rPr>
                <w:color w:val="000000"/>
                <w:sz w:val="20"/>
                <w:szCs w:val="20"/>
              </w:rPr>
              <w:t>595.348</w:t>
            </w:r>
            <w:r w:rsidRPr="001F224B">
              <w:rPr>
                <w:color w:val="000000"/>
                <w:sz w:val="20"/>
                <w:szCs w:val="20"/>
              </w:rPr>
              <w:t>)</w:t>
            </w:r>
          </w:p>
        </w:tc>
      </w:tr>
      <w:tr w:rsidR="00E861E9" w:rsidRPr="001F224B" w14:paraId="4D32925C" w14:textId="77777777" w:rsidTr="001E6537">
        <w:trPr>
          <w:trHeight w:val="223"/>
        </w:trPr>
        <w:tc>
          <w:tcPr>
            <w:tcW w:w="5502" w:type="dxa"/>
            <w:shd w:val="clear" w:color="auto" w:fill="auto"/>
            <w:vAlign w:val="center"/>
            <w:hideMark/>
          </w:tcPr>
          <w:p w14:paraId="4445899F" w14:textId="77777777" w:rsidR="00E861E9" w:rsidRPr="001F224B" w:rsidRDefault="00E861E9" w:rsidP="00E861E9">
            <w:pPr>
              <w:rPr>
                <w:b/>
                <w:bCs/>
                <w:iCs/>
                <w:color w:val="000000"/>
                <w:sz w:val="20"/>
                <w:szCs w:val="20"/>
              </w:rPr>
            </w:pPr>
            <w:r w:rsidRPr="001F224B">
              <w:rPr>
                <w:b/>
                <w:bCs/>
                <w:iCs/>
                <w:color w:val="000000"/>
                <w:sz w:val="20"/>
                <w:szCs w:val="20"/>
              </w:rPr>
              <w:t>Çekirdek Sermaye</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ABD7C1E" w14:textId="06EFCC15" w:rsidR="00E861E9" w:rsidRPr="001F224B" w:rsidRDefault="00E861E9" w:rsidP="00E861E9">
            <w:pPr>
              <w:jc w:val="right"/>
              <w:rPr>
                <w:b/>
                <w:bCs/>
                <w:color w:val="000000"/>
                <w:sz w:val="20"/>
                <w:szCs w:val="20"/>
              </w:rPr>
            </w:pPr>
            <w:r w:rsidRPr="001F224B">
              <w:rPr>
                <w:b/>
                <w:bCs/>
                <w:color w:val="000000"/>
                <w:sz w:val="20"/>
                <w:szCs w:val="20"/>
              </w:rPr>
              <w:t>28.528.676</w:t>
            </w:r>
          </w:p>
        </w:tc>
        <w:tc>
          <w:tcPr>
            <w:tcW w:w="1479" w:type="dxa"/>
            <w:tcBorders>
              <w:top w:val="nil"/>
              <w:left w:val="nil"/>
              <w:bottom w:val="single" w:sz="4" w:space="0" w:color="auto"/>
              <w:right w:val="single" w:sz="4" w:space="0" w:color="auto"/>
            </w:tcBorders>
            <w:shd w:val="clear" w:color="auto" w:fill="auto"/>
            <w:noWrap/>
            <w:vAlign w:val="bottom"/>
          </w:tcPr>
          <w:p w14:paraId="124F5F32" w14:textId="650B8D54" w:rsidR="00E861E9" w:rsidRPr="001F224B" w:rsidRDefault="001E6537" w:rsidP="00E861E9">
            <w:pPr>
              <w:jc w:val="right"/>
              <w:rPr>
                <w:b/>
                <w:bCs/>
                <w:color w:val="000000"/>
                <w:sz w:val="20"/>
                <w:szCs w:val="20"/>
              </w:rPr>
            </w:pPr>
            <w:r w:rsidRPr="001F224B">
              <w:rPr>
                <w:b/>
                <w:bCs/>
                <w:color w:val="000000"/>
                <w:sz w:val="20"/>
                <w:szCs w:val="20"/>
              </w:rPr>
              <w:t>(</w:t>
            </w:r>
            <w:r w:rsidR="00E861E9" w:rsidRPr="001F224B">
              <w:rPr>
                <w:b/>
                <w:bCs/>
                <w:color w:val="000000"/>
                <w:sz w:val="20"/>
                <w:szCs w:val="20"/>
              </w:rPr>
              <w:t>556.742</w:t>
            </w:r>
            <w:r w:rsidRPr="001F224B">
              <w:rPr>
                <w:b/>
                <w:bCs/>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A03C1E8" w14:textId="00DD7BE6" w:rsidR="00E861E9" w:rsidRPr="001F224B" w:rsidRDefault="00E861E9" w:rsidP="00E861E9">
            <w:pPr>
              <w:jc w:val="right"/>
              <w:rPr>
                <w:b/>
                <w:bCs/>
                <w:color w:val="000000"/>
                <w:sz w:val="20"/>
                <w:szCs w:val="20"/>
              </w:rPr>
            </w:pPr>
            <w:r w:rsidRPr="001F224B">
              <w:rPr>
                <w:b/>
                <w:bCs/>
                <w:color w:val="000000"/>
                <w:sz w:val="20"/>
                <w:szCs w:val="20"/>
              </w:rPr>
              <w:t>27.971.934</w:t>
            </w:r>
          </w:p>
        </w:tc>
      </w:tr>
      <w:tr w:rsidR="00E345D6" w:rsidRPr="001F224B" w14:paraId="4B81C79A" w14:textId="77777777" w:rsidTr="001E6537">
        <w:trPr>
          <w:trHeight w:val="223"/>
        </w:trPr>
        <w:tc>
          <w:tcPr>
            <w:tcW w:w="5502" w:type="dxa"/>
            <w:shd w:val="clear" w:color="auto" w:fill="auto"/>
            <w:vAlign w:val="center"/>
            <w:hideMark/>
          </w:tcPr>
          <w:p w14:paraId="2825AC4A" w14:textId="77777777" w:rsidR="00E345D6" w:rsidRPr="001F224B" w:rsidRDefault="00E345D6" w:rsidP="00E345D6">
            <w:pPr>
              <w:rPr>
                <w:color w:val="000000"/>
                <w:sz w:val="20"/>
                <w:szCs w:val="20"/>
              </w:rPr>
            </w:pPr>
            <w:r w:rsidRPr="001F224B">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F56B1" w14:textId="0739AA55" w:rsidR="00E345D6" w:rsidRPr="001F224B" w:rsidRDefault="00E345D6" w:rsidP="00E345D6">
            <w:pPr>
              <w:jc w:val="right"/>
              <w:rPr>
                <w:color w:val="000000"/>
                <w:sz w:val="20"/>
                <w:szCs w:val="20"/>
              </w:rPr>
            </w:pPr>
            <w:r w:rsidRPr="001F224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DACE7" w14:textId="7F7C78A2" w:rsidR="00E345D6" w:rsidRPr="001F224B" w:rsidRDefault="00E345D6" w:rsidP="00E345D6">
            <w:pPr>
              <w:jc w:val="right"/>
              <w:rPr>
                <w:color w:val="000000"/>
                <w:sz w:val="20"/>
                <w:szCs w:val="20"/>
              </w:rPr>
            </w:pPr>
            <w:r w:rsidRPr="001F224B">
              <w:rPr>
                <w:color w:val="000000"/>
                <w:sz w:val="20"/>
                <w:szCs w:val="20"/>
              </w:rPr>
              <w:t>1.500.000</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59EE346" w14:textId="280776A8" w:rsidR="00E345D6" w:rsidRPr="001F224B" w:rsidRDefault="00E345D6" w:rsidP="00E345D6">
            <w:pPr>
              <w:jc w:val="right"/>
              <w:rPr>
                <w:color w:val="000000"/>
                <w:sz w:val="20"/>
                <w:szCs w:val="20"/>
              </w:rPr>
            </w:pPr>
            <w:r w:rsidRPr="001F224B">
              <w:rPr>
                <w:color w:val="000000"/>
                <w:sz w:val="20"/>
                <w:szCs w:val="20"/>
              </w:rPr>
              <w:t>1.500.000</w:t>
            </w:r>
          </w:p>
        </w:tc>
      </w:tr>
      <w:tr w:rsidR="00E345D6" w:rsidRPr="001F224B" w14:paraId="245B5436" w14:textId="77777777" w:rsidTr="001E6537">
        <w:trPr>
          <w:trHeight w:val="223"/>
        </w:trPr>
        <w:tc>
          <w:tcPr>
            <w:tcW w:w="5502" w:type="dxa"/>
            <w:shd w:val="clear" w:color="auto" w:fill="auto"/>
            <w:vAlign w:val="center"/>
            <w:hideMark/>
          </w:tcPr>
          <w:p w14:paraId="4CD32A3F" w14:textId="77777777" w:rsidR="00E345D6" w:rsidRPr="001F224B" w:rsidRDefault="00E345D6" w:rsidP="00E345D6">
            <w:pPr>
              <w:rPr>
                <w:color w:val="000000"/>
                <w:sz w:val="20"/>
                <w:szCs w:val="20"/>
              </w:rPr>
            </w:pPr>
            <w:r w:rsidRPr="001F224B">
              <w:rPr>
                <w:color w:val="000000"/>
                <w:sz w:val="20"/>
                <w:szCs w:val="20"/>
              </w:rPr>
              <w:t>Ana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C08A1C7" w14:textId="70961EC9" w:rsidR="00E345D6" w:rsidRPr="001F224B" w:rsidRDefault="00E345D6" w:rsidP="00E345D6">
            <w:pPr>
              <w:jc w:val="right"/>
              <w:rPr>
                <w:color w:val="000000"/>
                <w:sz w:val="20"/>
                <w:szCs w:val="20"/>
              </w:rPr>
            </w:pPr>
            <w:r w:rsidRPr="001F224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23348E7" w14:textId="3BB2C02A" w:rsidR="00E345D6" w:rsidRPr="001F224B" w:rsidRDefault="00E345D6" w:rsidP="00E345D6">
            <w:pPr>
              <w:jc w:val="right"/>
              <w:rPr>
                <w:color w:val="000000"/>
                <w:sz w:val="20"/>
                <w:szCs w:val="20"/>
              </w:rPr>
            </w:pP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4809831" w14:textId="61594DB5" w:rsidR="00E345D6" w:rsidRPr="001F224B" w:rsidRDefault="00E345D6" w:rsidP="00E345D6">
            <w:pPr>
              <w:jc w:val="right"/>
              <w:rPr>
                <w:color w:val="000000"/>
                <w:sz w:val="20"/>
                <w:szCs w:val="20"/>
              </w:rPr>
            </w:pPr>
            <w:r w:rsidRPr="001F224B">
              <w:rPr>
                <w:color w:val="000000"/>
                <w:sz w:val="20"/>
                <w:szCs w:val="20"/>
              </w:rPr>
              <w:t>-</w:t>
            </w:r>
          </w:p>
        </w:tc>
      </w:tr>
      <w:tr w:rsidR="001E6537" w:rsidRPr="001F224B" w14:paraId="36CA7297" w14:textId="77777777" w:rsidTr="001E6537">
        <w:trPr>
          <w:trHeight w:val="223"/>
        </w:trPr>
        <w:tc>
          <w:tcPr>
            <w:tcW w:w="5502" w:type="dxa"/>
            <w:shd w:val="clear" w:color="auto" w:fill="auto"/>
            <w:vAlign w:val="center"/>
            <w:hideMark/>
          </w:tcPr>
          <w:p w14:paraId="5EBA6F3C" w14:textId="77777777" w:rsidR="001E6537" w:rsidRPr="001F224B" w:rsidRDefault="001E6537" w:rsidP="001E6537">
            <w:pPr>
              <w:rPr>
                <w:b/>
                <w:bCs/>
                <w:iCs/>
                <w:color w:val="000000"/>
                <w:sz w:val="20"/>
                <w:szCs w:val="20"/>
              </w:rPr>
            </w:pPr>
            <w:r w:rsidRPr="001F224B">
              <w:rPr>
                <w:b/>
                <w:bCs/>
                <w:iCs/>
                <w:color w:val="000000"/>
                <w:sz w:val="20"/>
                <w:szCs w:val="20"/>
              </w:rPr>
              <w:t xml:space="preserve">Ana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14A45E9" w14:textId="0E64B2BF" w:rsidR="001E6537" w:rsidRPr="001F224B" w:rsidRDefault="001E6537" w:rsidP="001E6537">
            <w:pPr>
              <w:jc w:val="right"/>
              <w:rPr>
                <w:b/>
                <w:bCs/>
                <w:color w:val="000000"/>
                <w:sz w:val="20"/>
                <w:szCs w:val="20"/>
              </w:rPr>
            </w:pPr>
            <w:r w:rsidRPr="001F224B">
              <w:rPr>
                <w:b/>
                <w:bCs/>
                <w:color w:val="000000"/>
                <w:sz w:val="20"/>
                <w:szCs w:val="20"/>
              </w:rPr>
              <w:t>28.528.676</w:t>
            </w:r>
          </w:p>
        </w:tc>
        <w:tc>
          <w:tcPr>
            <w:tcW w:w="1479" w:type="dxa"/>
            <w:tcBorders>
              <w:top w:val="nil"/>
              <w:left w:val="nil"/>
              <w:bottom w:val="single" w:sz="4" w:space="0" w:color="auto"/>
              <w:right w:val="single" w:sz="4" w:space="0" w:color="auto"/>
            </w:tcBorders>
            <w:shd w:val="clear" w:color="auto" w:fill="auto"/>
            <w:noWrap/>
            <w:vAlign w:val="bottom"/>
          </w:tcPr>
          <w:p w14:paraId="0968D1D1" w14:textId="0FC4E5B7" w:rsidR="001E6537" w:rsidRPr="001F224B" w:rsidRDefault="001E6537" w:rsidP="001E6537">
            <w:pPr>
              <w:jc w:val="right"/>
              <w:rPr>
                <w:b/>
                <w:bCs/>
                <w:color w:val="000000"/>
                <w:sz w:val="20"/>
                <w:szCs w:val="20"/>
              </w:rPr>
            </w:pPr>
            <w:r w:rsidRPr="001F224B">
              <w:rPr>
                <w:b/>
                <w:bCs/>
                <w:color w:val="000000"/>
                <w:sz w:val="20"/>
                <w:szCs w:val="20"/>
              </w:rPr>
              <w:t>943.258</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545EE0F" w14:textId="09F8B6CC" w:rsidR="001E6537" w:rsidRPr="001F224B" w:rsidRDefault="001E6537" w:rsidP="001E6537">
            <w:pPr>
              <w:jc w:val="right"/>
              <w:rPr>
                <w:b/>
                <w:bCs/>
                <w:color w:val="000000"/>
                <w:sz w:val="20"/>
                <w:szCs w:val="20"/>
              </w:rPr>
            </w:pPr>
            <w:r w:rsidRPr="001F224B">
              <w:rPr>
                <w:b/>
                <w:bCs/>
                <w:color w:val="000000"/>
                <w:sz w:val="20"/>
                <w:szCs w:val="20"/>
              </w:rPr>
              <w:t>29.471.934</w:t>
            </w:r>
          </w:p>
        </w:tc>
      </w:tr>
      <w:tr w:rsidR="001E6537" w:rsidRPr="001F224B" w14:paraId="7679FC34" w14:textId="77777777" w:rsidTr="001E6537">
        <w:trPr>
          <w:trHeight w:val="223"/>
        </w:trPr>
        <w:tc>
          <w:tcPr>
            <w:tcW w:w="5502" w:type="dxa"/>
            <w:shd w:val="clear" w:color="auto" w:fill="auto"/>
            <w:vAlign w:val="center"/>
            <w:hideMark/>
          </w:tcPr>
          <w:p w14:paraId="5F6DAB63" w14:textId="77777777" w:rsidR="001E6537" w:rsidRPr="001F224B" w:rsidRDefault="001E6537" w:rsidP="001E6537">
            <w:pPr>
              <w:rPr>
                <w:color w:val="000000"/>
                <w:sz w:val="20"/>
                <w:szCs w:val="20"/>
              </w:rPr>
            </w:pPr>
            <w:r w:rsidRPr="001F224B">
              <w:rPr>
                <w:color w:val="000000"/>
                <w:sz w:val="20"/>
                <w:szCs w:val="20"/>
              </w:rPr>
              <w:t>Sermaye Benzeri Krediler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D54EECD" w14:textId="16AE5386" w:rsidR="001E6537" w:rsidRPr="001F224B" w:rsidRDefault="001E6537" w:rsidP="001E6537">
            <w:pPr>
              <w:jc w:val="right"/>
              <w:rPr>
                <w:color w:val="000000"/>
                <w:sz w:val="20"/>
                <w:szCs w:val="20"/>
              </w:rPr>
            </w:pPr>
            <w:r w:rsidRPr="001F224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9EF4A" w14:textId="21C0BA07" w:rsidR="001E6537" w:rsidRPr="001F224B" w:rsidRDefault="001E6537" w:rsidP="001E6537">
            <w:pPr>
              <w:jc w:val="right"/>
              <w:rPr>
                <w:color w:val="000000"/>
                <w:sz w:val="20"/>
                <w:szCs w:val="20"/>
              </w:rPr>
            </w:pPr>
            <w:r w:rsidRPr="001F224B">
              <w:rPr>
                <w:color w:val="000000"/>
                <w:sz w:val="20"/>
                <w:szCs w:val="20"/>
              </w:rPr>
              <w:t>2.625.464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B3DA1EE" w14:textId="0B9D3F8F" w:rsidR="001E6537" w:rsidRPr="001F224B" w:rsidRDefault="001E6537" w:rsidP="001E6537">
            <w:pPr>
              <w:jc w:val="right"/>
              <w:rPr>
                <w:color w:val="000000"/>
                <w:sz w:val="20"/>
                <w:szCs w:val="20"/>
              </w:rPr>
            </w:pPr>
            <w:r w:rsidRPr="001F224B">
              <w:rPr>
                <w:color w:val="000000"/>
                <w:sz w:val="20"/>
                <w:szCs w:val="20"/>
              </w:rPr>
              <w:t>2.625.464</w:t>
            </w:r>
          </w:p>
        </w:tc>
      </w:tr>
      <w:tr w:rsidR="001E6537" w:rsidRPr="001F224B" w14:paraId="6008900E" w14:textId="77777777" w:rsidTr="001E6537">
        <w:trPr>
          <w:trHeight w:val="269"/>
        </w:trPr>
        <w:tc>
          <w:tcPr>
            <w:tcW w:w="5502" w:type="dxa"/>
            <w:shd w:val="clear" w:color="auto" w:fill="auto"/>
            <w:vAlign w:val="center"/>
            <w:hideMark/>
          </w:tcPr>
          <w:p w14:paraId="40CD4170" w14:textId="77777777" w:rsidR="001E6537" w:rsidRPr="001F224B" w:rsidRDefault="001E6537" w:rsidP="001E6537">
            <w:pPr>
              <w:rPr>
                <w:color w:val="000000"/>
                <w:sz w:val="20"/>
                <w:szCs w:val="20"/>
              </w:rPr>
            </w:pPr>
            <w:r w:rsidRPr="001F224B">
              <w:rPr>
                <w:color w:val="000000"/>
                <w:sz w:val="20"/>
                <w:szCs w:val="20"/>
              </w:rPr>
              <w:t>Genel Karşılıklar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D544AEB" w14:textId="4151A2F1" w:rsidR="001E6537" w:rsidRPr="001F224B" w:rsidRDefault="001E6537" w:rsidP="001E6537">
            <w:pPr>
              <w:jc w:val="right"/>
              <w:rPr>
                <w:color w:val="000000"/>
                <w:sz w:val="20"/>
                <w:szCs w:val="20"/>
              </w:rPr>
            </w:pPr>
            <w:r w:rsidRPr="001F224B">
              <w:rPr>
                <w:color w:val="000000"/>
                <w:sz w:val="20"/>
                <w:szCs w:val="20"/>
              </w:rPr>
              <w:t>-</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45CADC0F" w14:textId="3D2C293D" w:rsidR="001E6537" w:rsidRPr="001F224B" w:rsidRDefault="001E6537" w:rsidP="001E6537">
            <w:pPr>
              <w:jc w:val="right"/>
              <w:rPr>
                <w:color w:val="000000"/>
                <w:sz w:val="20"/>
                <w:szCs w:val="20"/>
              </w:rPr>
            </w:pPr>
            <w:r w:rsidRPr="001F224B">
              <w:rPr>
                <w:color w:val="000000"/>
                <w:sz w:val="20"/>
                <w:szCs w:val="20"/>
              </w:rPr>
              <w:t>1.192.048</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268F841" w14:textId="6C53A3D4" w:rsidR="001E6537" w:rsidRPr="001F224B" w:rsidRDefault="001E6537" w:rsidP="001E6537">
            <w:pPr>
              <w:jc w:val="right"/>
              <w:rPr>
                <w:color w:val="000000"/>
                <w:sz w:val="20"/>
                <w:szCs w:val="20"/>
              </w:rPr>
            </w:pPr>
            <w:r w:rsidRPr="001F224B">
              <w:rPr>
                <w:color w:val="000000"/>
                <w:sz w:val="20"/>
                <w:szCs w:val="20"/>
              </w:rPr>
              <w:t>1.192.048</w:t>
            </w:r>
          </w:p>
        </w:tc>
      </w:tr>
      <w:tr w:rsidR="00E861E9" w:rsidRPr="001F224B" w14:paraId="5BB81198" w14:textId="77777777" w:rsidTr="001E6537">
        <w:trPr>
          <w:trHeight w:val="178"/>
        </w:trPr>
        <w:tc>
          <w:tcPr>
            <w:tcW w:w="5502" w:type="dxa"/>
            <w:shd w:val="clear" w:color="auto" w:fill="auto"/>
            <w:vAlign w:val="center"/>
            <w:hideMark/>
          </w:tcPr>
          <w:p w14:paraId="438B5D00" w14:textId="77777777" w:rsidR="00E861E9" w:rsidRPr="001F224B" w:rsidRDefault="00E861E9" w:rsidP="00E861E9">
            <w:pPr>
              <w:rPr>
                <w:color w:val="000000"/>
                <w:sz w:val="20"/>
                <w:szCs w:val="20"/>
              </w:rPr>
            </w:pPr>
            <w:r w:rsidRPr="001F224B">
              <w:rPr>
                <w:color w:val="000000"/>
                <w:sz w:val="20"/>
                <w:szCs w:val="20"/>
              </w:rPr>
              <w:t>Katkı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47BA2C3" w14:textId="638E3F32" w:rsidR="00E861E9" w:rsidRPr="001F224B" w:rsidRDefault="001E6537" w:rsidP="00E861E9">
            <w:pPr>
              <w:jc w:val="right"/>
              <w:rPr>
                <w:color w:val="000000"/>
                <w:sz w:val="20"/>
                <w:szCs w:val="20"/>
              </w:rPr>
            </w:pPr>
            <w:r w:rsidRPr="001F224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262003E9" w14:textId="4C42C9EC" w:rsidR="00E861E9" w:rsidRPr="001F224B" w:rsidRDefault="00E861E9" w:rsidP="00E861E9">
            <w:pPr>
              <w:jc w:val="right"/>
              <w:rPr>
                <w:color w:val="000000"/>
                <w:sz w:val="20"/>
                <w:szCs w:val="20"/>
              </w:rPr>
            </w:pP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542B8CB" w14:textId="56E5E303" w:rsidR="00E861E9" w:rsidRPr="001F224B" w:rsidRDefault="00E861E9" w:rsidP="00E861E9">
            <w:pPr>
              <w:jc w:val="right"/>
              <w:rPr>
                <w:color w:val="000000"/>
                <w:sz w:val="20"/>
                <w:szCs w:val="20"/>
              </w:rPr>
            </w:pPr>
          </w:p>
        </w:tc>
      </w:tr>
      <w:tr w:rsidR="001E6537" w:rsidRPr="001F224B" w14:paraId="6E93AFD7" w14:textId="77777777" w:rsidTr="001E6537">
        <w:trPr>
          <w:trHeight w:val="223"/>
        </w:trPr>
        <w:tc>
          <w:tcPr>
            <w:tcW w:w="5502" w:type="dxa"/>
            <w:shd w:val="clear" w:color="auto" w:fill="auto"/>
            <w:vAlign w:val="center"/>
            <w:hideMark/>
          </w:tcPr>
          <w:p w14:paraId="3F87E9DB" w14:textId="77777777" w:rsidR="001E6537" w:rsidRPr="001F224B" w:rsidRDefault="001E6537" w:rsidP="001E6537">
            <w:pPr>
              <w:rPr>
                <w:b/>
                <w:bCs/>
                <w:iCs/>
                <w:color w:val="000000"/>
                <w:sz w:val="20"/>
                <w:szCs w:val="20"/>
              </w:rPr>
            </w:pPr>
            <w:r w:rsidRPr="001F224B">
              <w:rPr>
                <w:b/>
                <w:bCs/>
                <w:iCs/>
                <w:color w:val="000000"/>
                <w:sz w:val="20"/>
                <w:szCs w:val="20"/>
              </w:rPr>
              <w:t xml:space="preserve">Katkı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C235724" w14:textId="29DE0291" w:rsidR="001E6537" w:rsidRPr="001F224B" w:rsidRDefault="001E6537" w:rsidP="001E6537">
            <w:pPr>
              <w:jc w:val="right"/>
              <w:rPr>
                <w:b/>
                <w:bCs/>
                <w:color w:val="000000"/>
                <w:sz w:val="20"/>
                <w:szCs w:val="20"/>
              </w:rPr>
            </w:pPr>
            <w:r w:rsidRPr="001F224B">
              <w:rPr>
                <w:b/>
                <w:bCs/>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2D2DF16" w14:textId="1B8CFE22" w:rsidR="001E6537" w:rsidRPr="001F224B" w:rsidRDefault="001E6537" w:rsidP="001E6537">
            <w:pPr>
              <w:jc w:val="right"/>
              <w:rPr>
                <w:b/>
                <w:bCs/>
                <w:color w:val="000000"/>
                <w:sz w:val="20"/>
                <w:szCs w:val="20"/>
              </w:rPr>
            </w:pPr>
            <w:r w:rsidRPr="001F224B">
              <w:rPr>
                <w:b/>
                <w:bCs/>
                <w:color w:val="000000"/>
                <w:sz w:val="20"/>
                <w:szCs w:val="20"/>
              </w:rPr>
              <w:t>3.817.512</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EC5351E" w14:textId="0AFE1FD8" w:rsidR="001E6537" w:rsidRPr="001F224B" w:rsidRDefault="001E6537" w:rsidP="001E6537">
            <w:pPr>
              <w:jc w:val="right"/>
              <w:rPr>
                <w:b/>
                <w:bCs/>
                <w:color w:val="000000"/>
                <w:sz w:val="20"/>
                <w:szCs w:val="20"/>
              </w:rPr>
            </w:pPr>
            <w:r w:rsidRPr="001F224B">
              <w:rPr>
                <w:b/>
                <w:bCs/>
                <w:color w:val="000000"/>
                <w:sz w:val="20"/>
                <w:szCs w:val="20"/>
              </w:rPr>
              <w:t>3.817.512</w:t>
            </w:r>
          </w:p>
        </w:tc>
      </w:tr>
      <w:tr w:rsidR="009F0C0C" w:rsidRPr="001F224B" w14:paraId="1AC32D52" w14:textId="77777777" w:rsidTr="001E6537">
        <w:trPr>
          <w:trHeight w:val="223"/>
        </w:trPr>
        <w:tc>
          <w:tcPr>
            <w:tcW w:w="5502" w:type="dxa"/>
            <w:shd w:val="clear" w:color="auto" w:fill="auto"/>
            <w:vAlign w:val="center"/>
          </w:tcPr>
          <w:p w14:paraId="32CDB355" w14:textId="77777777" w:rsidR="009F0C0C" w:rsidRPr="001F224B" w:rsidRDefault="009F0C0C" w:rsidP="009F0C0C">
            <w:pPr>
              <w:rPr>
                <w:bCs/>
                <w:iCs/>
                <w:color w:val="000000"/>
                <w:sz w:val="20"/>
                <w:szCs w:val="20"/>
              </w:rPr>
            </w:pPr>
            <w:r w:rsidRPr="001F224B">
              <w:rPr>
                <w:bCs/>
                <w:iCs/>
                <w:color w:val="000000"/>
                <w:sz w:val="20"/>
                <w:szCs w:val="20"/>
              </w:rPr>
              <w:t>Özkaynaktan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86590D5" w14:textId="565B10FD" w:rsidR="009F0C0C" w:rsidRPr="001F224B" w:rsidRDefault="009F0C0C" w:rsidP="009F0C0C">
            <w:pPr>
              <w:jc w:val="right"/>
              <w:rPr>
                <w:color w:val="000000"/>
                <w:sz w:val="20"/>
                <w:szCs w:val="20"/>
              </w:rPr>
            </w:pPr>
            <w:r w:rsidRPr="001F224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0B7203C3" w14:textId="01E11021" w:rsidR="009F0C0C" w:rsidRPr="001F224B" w:rsidRDefault="009F0C0C" w:rsidP="009F0C0C">
            <w:pPr>
              <w:jc w:val="right"/>
              <w:rPr>
                <w:color w:val="000000"/>
                <w:sz w:val="20"/>
                <w:szCs w:val="20"/>
              </w:rPr>
            </w:pPr>
            <w:r w:rsidRPr="001F224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0071526" w14:textId="1ED946F2" w:rsidR="009F0C0C" w:rsidRPr="001F224B" w:rsidRDefault="009F0C0C" w:rsidP="009F0C0C">
            <w:pPr>
              <w:jc w:val="right"/>
              <w:rPr>
                <w:color w:val="000000"/>
                <w:sz w:val="20"/>
                <w:szCs w:val="20"/>
              </w:rPr>
            </w:pPr>
            <w:r w:rsidRPr="001F224B">
              <w:rPr>
                <w:color w:val="000000"/>
                <w:sz w:val="20"/>
                <w:szCs w:val="20"/>
              </w:rPr>
              <w:t>-</w:t>
            </w:r>
          </w:p>
        </w:tc>
      </w:tr>
      <w:tr w:rsidR="00E861E9" w:rsidRPr="001F224B" w14:paraId="06593844" w14:textId="77777777" w:rsidTr="001E6537">
        <w:trPr>
          <w:trHeight w:val="223"/>
        </w:trPr>
        <w:tc>
          <w:tcPr>
            <w:tcW w:w="5502" w:type="dxa"/>
            <w:shd w:val="clear" w:color="auto" w:fill="auto"/>
            <w:vAlign w:val="center"/>
          </w:tcPr>
          <w:p w14:paraId="63A6CF03" w14:textId="7C1CF14F" w:rsidR="00E861E9" w:rsidRPr="001F224B" w:rsidRDefault="00E861E9" w:rsidP="00E861E9">
            <w:pPr>
              <w:rPr>
                <w:bCs/>
                <w:iCs/>
                <w:color w:val="000000"/>
                <w:sz w:val="20"/>
                <w:szCs w:val="20"/>
              </w:rPr>
            </w:pPr>
            <w:r w:rsidRPr="001F224B">
              <w:rPr>
                <w:b/>
                <w:bCs/>
                <w:iCs/>
                <w:color w:val="000000"/>
                <w:sz w:val="20"/>
                <w:szCs w:val="20"/>
              </w:rPr>
              <w:t>Toplam</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09091" w14:textId="49FC1242" w:rsidR="00E861E9" w:rsidRPr="001F224B" w:rsidRDefault="00E861E9" w:rsidP="00E861E9">
            <w:pPr>
              <w:jc w:val="right"/>
              <w:rPr>
                <w:b/>
                <w:bCs/>
                <w:color w:val="000000"/>
                <w:sz w:val="20"/>
                <w:szCs w:val="20"/>
              </w:rPr>
            </w:pPr>
            <w:r w:rsidRPr="001F224B">
              <w:rPr>
                <w:b/>
                <w:bCs/>
                <w:color w:val="000000"/>
                <w:sz w:val="20"/>
                <w:szCs w:val="20"/>
              </w:rPr>
              <w:t>28.528.676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4096C26C" w14:textId="72C7968A" w:rsidR="00E861E9" w:rsidRPr="001F224B" w:rsidRDefault="00E861E9" w:rsidP="00E861E9">
            <w:pPr>
              <w:jc w:val="right"/>
              <w:rPr>
                <w:b/>
                <w:bCs/>
                <w:color w:val="000000"/>
                <w:sz w:val="20"/>
                <w:szCs w:val="20"/>
              </w:rPr>
            </w:pPr>
            <w:r w:rsidRPr="001F224B">
              <w:rPr>
                <w:b/>
                <w:bCs/>
                <w:color w:val="000000"/>
                <w:sz w:val="20"/>
                <w:szCs w:val="20"/>
              </w:rPr>
              <w:t>4.760.770</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2AD8877" w14:textId="58A83078" w:rsidR="00E861E9" w:rsidRPr="001F224B" w:rsidRDefault="00E861E9" w:rsidP="00E861E9">
            <w:pPr>
              <w:jc w:val="right"/>
              <w:rPr>
                <w:b/>
                <w:bCs/>
                <w:color w:val="000000"/>
                <w:sz w:val="20"/>
                <w:szCs w:val="20"/>
              </w:rPr>
            </w:pPr>
            <w:r w:rsidRPr="001F224B">
              <w:rPr>
                <w:b/>
                <w:bCs/>
                <w:color w:val="000000"/>
                <w:sz w:val="20"/>
                <w:szCs w:val="20"/>
              </w:rPr>
              <w:t>33.289.446</w:t>
            </w:r>
          </w:p>
        </w:tc>
      </w:tr>
    </w:tbl>
    <w:p w14:paraId="5E9C35BF" w14:textId="77777777" w:rsidR="0024519B" w:rsidRPr="001F224B" w:rsidRDefault="0024519B" w:rsidP="00E6142B">
      <w:pPr>
        <w:tabs>
          <w:tab w:val="left" w:pos="567"/>
        </w:tabs>
        <w:spacing w:before="120"/>
        <w:ind w:left="567" w:hanging="567"/>
        <w:jc w:val="both"/>
        <w:rPr>
          <w:rFonts w:eastAsia="Calibri"/>
          <w:b/>
          <w:bCs/>
          <w:color w:val="000000"/>
          <w:sz w:val="22"/>
          <w:szCs w:val="22"/>
        </w:rPr>
        <w:sectPr w:rsidR="0024519B" w:rsidRPr="001F224B" w:rsidSect="00F5305D">
          <w:footerReference w:type="first" r:id="rId97"/>
          <w:pgSz w:w="11907" w:h="16840" w:code="9"/>
          <w:pgMar w:top="1692" w:right="964" w:bottom="567" w:left="1134" w:header="624" w:footer="397" w:gutter="0"/>
          <w:cols w:space="708"/>
          <w:titlePg/>
          <w:docGrid w:linePitch="326"/>
        </w:sectPr>
      </w:pPr>
    </w:p>
    <w:p w14:paraId="29C6D640" w14:textId="77777777" w:rsidR="00EF4E61" w:rsidRPr="001F224B" w:rsidRDefault="00EF4E61" w:rsidP="00EF4E61">
      <w:pPr>
        <w:pStyle w:val="ListParagraph"/>
        <w:tabs>
          <w:tab w:val="left" w:pos="0"/>
        </w:tabs>
        <w:spacing w:before="120"/>
        <w:ind w:left="0"/>
        <w:rPr>
          <w:b/>
          <w:bCs/>
          <w:sz w:val="22"/>
          <w:szCs w:val="22"/>
        </w:rPr>
      </w:pPr>
      <w:r w:rsidRPr="001F224B">
        <w:rPr>
          <w:b/>
          <w:bCs/>
          <w:sz w:val="22"/>
          <w:szCs w:val="22"/>
        </w:rPr>
        <w:t>DÖRDÜNCÜ BÖLÜM (Devamı)</w:t>
      </w:r>
    </w:p>
    <w:p w14:paraId="4C162460" w14:textId="51D3FEA4" w:rsidR="00EF4E61" w:rsidRPr="001F224B" w:rsidRDefault="00EF6E83" w:rsidP="00EF4E61">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EF4E61" w:rsidRPr="001F224B">
        <w:rPr>
          <w:b/>
          <w:bCs/>
          <w:sz w:val="22"/>
          <w:szCs w:val="22"/>
        </w:rPr>
        <w:t>(Devamı)</w:t>
      </w:r>
    </w:p>
    <w:p w14:paraId="087E4986" w14:textId="1DDA9D8F" w:rsidR="00E6142B" w:rsidRPr="001F224B" w:rsidRDefault="00B75AB8" w:rsidP="00E6142B">
      <w:pPr>
        <w:tabs>
          <w:tab w:val="left" w:pos="567"/>
        </w:tabs>
        <w:spacing w:before="120"/>
        <w:ind w:left="567" w:hanging="567"/>
        <w:jc w:val="both"/>
        <w:rPr>
          <w:b/>
          <w:bCs/>
          <w:sz w:val="22"/>
          <w:szCs w:val="22"/>
        </w:rPr>
      </w:pPr>
      <w:r w:rsidRPr="001F224B">
        <w:rPr>
          <w:b/>
          <w:bCs/>
          <w:sz w:val="22"/>
          <w:szCs w:val="22"/>
        </w:rPr>
        <w:t>I</w:t>
      </w:r>
      <w:r w:rsidR="0026609C" w:rsidRPr="001F224B">
        <w:rPr>
          <w:b/>
          <w:bCs/>
          <w:sz w:val="22"/>
          <w:szCs w:val="22"/>
        </w:rPr>
        <w:t xml:space="preserve">. </w:t>
      </w:r>
      <w:r w:rsidRPr="001F224B">
        <w:rPr>
          <w:b/>
          <w:bCs/>
          <w:sz w:val="22"/>
          <w:szCs w:val="22"/>
        </w:rPr>
        <w:t xml:space="preserve">     </w:t>
      </w:r>
      <w:r w:rsidR="002E48BA" w:rsidRPr="001F224B">
        <w:rPr>
          <w:b/>
          <w:bCs/>
          <w:sz w:val="22"/>
          <w:szCs w:val="22"/>
        </w:rPr>
        <w:t xml:space="preserve">Konsolide </w:t>
      </w:r>
      <w:r w:rsidR="001C7ECB" w:rsidRPr="001F224B">
        <w:rPr>
          <w:b/>
          <w:bCs/>
          <w:sz w:val="22"/>
          <w:szCs w:val="22"/>
        </w:rPr>
        <w:t>ö</w:t>
      </w:r>
      <w:r w:rsidR="00E6142B" w:rsidRPr="001F224B">
        <w:rPr>
          <w:b/>
          <w:bCs/>
          <w:sz w:val="22"/>
          <w:szCs w:val="22"/>
        </w:rPr>
        <w:t>zkaynak ka</w:t>
      </w:r>
      <w:r w:rsidR="00DA1AD8" w:rsidRPr="001F224B">
        <w:rPr>
          <w:b/>
          <w:bCs/>
          <w:sz w:val="22"/>
          <w:szCs w:val="22"/>
        </w:rPr>
        <w:t>lemlerine ilişkin açıklamalar (D</w:t>
      </w:r>
      <w:r w:rsidR="00E6142B" w:rsidRPr="001F224B">
        <w:rPr>
          <w:b/>
          <w:bCs/>
          <w:sz w:val="22"/>
          <w:szCs w:val="22"/>
        </w:rPr>
        <w:t>evamı)</w:t>
      </w:r>
    </w:p>
    <w:p w14:paraId="6FD75A91" w14:textId="17A775D0" w:rsidR="00124513" w:rsidRPr="001F224B" w:rsidRDefault="00B75AB8" w:rsidP="00B75AB8">
      <w:pPr>
        <w:spacing w:before="120" w:after="120"/>
        <w:rPr>
          <w:rFonts w:eastAsia="Calibri"/>
          <w:b/>
          <w:bCs/>
          <w:color w:val="000000"/>
          <w:sz w:val="22"/>
          <w:szCs w:val="22"/>
        </w:rPr>
      </w:pPr>
      <w:r w:rsidRPr="001F224B">
        <w:rPr>
          <w:rFonts w:eastAsia="Calibri"/>
          <w:b/>
          <w:bCs/>
          <w:color w:val="000000"/>
          <w:sz w:val="22"/>
          <w:szCs w:val="22"/>
        </w:rPr>
        <w:t xml:space="preserve">         </w:t>
      </w:r>
      <w:r w:rsidR="002E48BA" w:rsidRPr="001F224B">
        <w:rPr>
          <w:b/>
          <w:bCs/>
          <w:sz w:val="22"/>
          <w:szCs w:val="22"/>
        </w:rPr>
        <w:t>Konsolide</w:t>
      </w:r>
      <w:r w:rsidR="002E48BA" w:rsidRPr="001F224B">
        <w:rPr>
          <w:rFonts w:eastAsia="Calibri"/>
          <w:b/>
          <w:bCs/>
          <w:color w:val="000000"/>
          <w:sz w:val="22"/>
          <w:szCs w:val="22"/>
        </w:rPr>
        <w:t xml:space="preserve"> </w:t>
      </w:r>
      <w:r w:rsidR="001C7ECB" w:rsidRPr="001F224B">
        <w:rPr>
          <w:rFonts w:eastAsia="Calibri"/>
          <w:b/>
          <w:bCs/>
          <w:color w:val="000000"/>
          <w:sz w:val="22"/>
          <w:szCs w:val="22"/>
        </w:rPr>
        <w:t>ö</w:t>
      </w:r>
      <w:r w:rsidR="00124513" w:rsidRPr="001F224B">
        <w:rPr>
          <w:rFonts w:eastAsia="Calibri"/>
          <w:b/>
          <w:bCs/>
          <w:color w:val="000000"/>
          <w:sz w:val="22"/>
          <w:szCs w:val="22"/>
        </w:rPr>
        <w:t>zkaynak kalemleri ile bilanço tutarlarının mutabakatına ilişkin açıklamalar</w:t>
      </w:r>
      <w:r w:rsidR="003870FF" w:rsidRPr="001F224B">
        <w:rPr>
          <w:rFonts w:eastAsia="Calibri"/>
          <w:b/>
          <w:bCs/>
          <w:color w:val="000000"/>
          <w:sz w:val="22"/>
          <w:szCs w:val="22"/>
        </w:rPr>
        <w:t xml:space="preserve"> </w:t>
      </w:r>
      <w:r w:rsidR="00DA1AD8" w:rsidRPr="001F224B">
        <w:rPr>
          <w:rFonts w:eastAsia="Calibri"/>
          <w:b/>
          <w:bCs/>
          <w:color w:val="000000"/>
          <w:sz w:val="22"/>
          <w:szCs w:val="22"/>
        </w:rPr>
        <w:t>(D</w:t>
      </w:r>
      <w:r w:rsidR="00124513" w:rsidRPr="001F224B">
        <w:rPr>
          <w:rFonts w:eastAsia="Calibri"/>
          <w:b/>
          <w:bCs/>
          <w:color w:val="000000"/>
          <w:sz w:val="22"/>
          <w:szCs w:val="22"/>
        </w:rPr>
        <w:t>evamı):</w:t>
      </w:r>
    </w:p>
    <w:tbl>
      <w:tblPr>
        <w:tblW w:w="99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74"/>
        <w:gridCol w:w="1488"/>
        <w:gridCol w:w="1488"/>
        <w:gridCol w:w="1489"/>
      </w:tblGrid>
      <w:tr w:rsidR="00CC3B9D" w:rsidRPr="001F224B" w14:paraId="4054DB91" w14:textId="77777777" w:rsidTr="00F33CF6">
        <w:trPr>
          <w:trHeight w:val="611"/>
        </w:trPr>
        <w:tc>
          <w:tcPr>
            <w:tcW w:w="5474" w:type="dxa"/>
            <w:shd w:val="clear" w:color="auto" w:fill="auto"/>
            <w:noWrap/>
            <w:vAlign w:val="center"/>
            <w:hideMark/>
          </w:tcPr>
          <w:p w14:paraId="33BA520E" w14:textId="68250D6F" w:rsidR="00CC3B9D" w:rsidRPr="001F224B" w:rsidRDefault="00B5265F" w:rsidP="00CC3B9D">
            <w:pPr>
              <w:rPr>
                <w:b/>
                <w:bCs/>
                <w:i/>
                <w:iCs/>
                <w:color w:val="000000"/>
                <w:sz w:val="20"/>
                <w:szCs w:val="20"/>
              </w:rPr>
            </w:pPr>
            <w:proofErr w:type="spellStart"/>
            <w:r w:rsidRPr="001F224B">
              <w:rPr>
                <w:rFonts w:eastAsia="Calibri"/>
                <w:b/>
                <w:bCs/>
                <w:color w:val="000000" w:themeColor="text1"/>
                <w:sz w:val="20"/>
                <w:szCs w:val="20"/>
                <w:lang w:val="en-US"/>
              </w:rPr>
              <w:t>Önceki</w:t>
            </w:r>
            <w:proofErr w:type="spellEnd"/>
            <w:r w:rsidRPr="001F224B">
              <w:rPr>
                <w:rFonts w:eastAsia="Calibri"/>
                <w:b/>
                <w:bCs/>
                <w:color w:val="000000" w:themeColor="text1"/>
                <w:sz w:val="20"/>
                <w:szCs w:val="20"/>
                <w:lang w:val="en-US"/>
              </w:rPr>
              <w:t xml:space="preserve"> </w:t>
            </w:r>
            <w:proofErr w:type="spellStart"/>
            <w:r w:rsidRPr="001F224B">
              <w:rPr>
                <w:rFonts w:eastAsia="Calibri"/>
                <w:b/>
                <w:bCs/>
                <w:color w:val="000000" w:themeColor="text1"/>
                <w:sz w:val="20"/>
                <w:szCs w:val="20"/>
                <w:lang w:val="en-US"/>
              </w:rPr>
              <w:t>Dönem</w:t>
            </w:r>
            <w:proofErr w:type="spellEnd"/>
            <w:r w:rsidRPr="001F224B">
              <w:rPr>
                <w:rFonts w:eastAsia="Calibri"/>
                <w:b/>
                <w:bCs/>
                <w:color w:val="000000" w:themeColor="text1"/>
                <w:sz w:val="20"/>
                <w:szCs w:val="20"/>
                <w:lang w:val="en-US"/>
              </w:rPr>
              <w:t xml:space="preserve"> (31.</w:t>
            </w:r>
            <w:r w:rsidR="0037578D" w:rsidRPr="001F224B">
              <w:rPr>
                <w:rFonts w:eastAsia="Calibri"/>
                <w:b/>
                <w:bCs/>
                <w:color w:val="000000" w:themeColor="text1"/>
                <w:sz w:val="20"/>
                <w:szCs w:val="20"/>
                <w:lang w:val="en-US"/>
              </w:rPr>
              <w:t>12</w:t>
            </w:r>
            <w:r w:rsidRPr="001F224B">
              <w:rPr>
                <w:rFonts w:eastAsia="Calibri"/>
                <w:b/>
                <w:bCs/>
                <w:color w:val="000000" w:themeColor="text1"/>
                <w:sz w:val="20"/>
                <w:szCs w:val="20"/>
                <w:lang w:val="en-US"/>
              </w:rPr>
              <w:t>.202</w:t>
            </w:r>
            <w:r w:rsidR="00963C0A" w:rsidRPr="001F224B">
              <w:rPr>
                <w:rFonts w:eastAsia="Calibri"/>
                <w:b/>
                <w:bCs/>
                <w:color w:val="000000" w:themeColor="text1"/>
                <w:sz w:val="20"/>
                <w:szCs w:val="20"/>
                <w:lang w:val="en-US"/>
              </w:rPr>
              <w:t>4</w:t>
            </w:r>
            <w:r w:rsidR="00CC3B9D" w:rsidRPr="001F224B">
              <w:rPr>
                <w:rFonts w:eastAsia="Calibri"/>
                <w:b/>
                <w:bCs/>
                <w:color w:val="000000" w:themeColor="text1"/>
                <w:sz w:val="20"/>
                <w:szCs w:val="20"/>
                <w:lang w:val="en-US"/>
              </w:rPr>
              <w:t>)</w:t>
            </w:r>
          </w:p>
        </w:tc>
        <w:tc>
          <w:tcPr>
            <w:tcW w:w="1488" w:type="dxa"/>
            <w:shd w:val="clear" w:color="auto" w:fill="auto"/>
            <w:vAlign w:val="center"/>
            <w:hideMark/>
          </w:tcPr>
          <w:p w14:paraId="0DEAB3C9" w14:textId="77777777" w:rsidR="00CC3B9D" w:rsidRPr="001F224B" w:rsidRDefault="00CC3B9D" w:rsidP="001669FB">
            <w:pPr>
              <w:jc w:val="center"/>
              <w:rPr>
                <w:b/>
                <w:bCs/>
                <w:iCs/>
                <w:color w:val="000000"/>
                <w:sz w:val="20"/>
                <w:szCs w:val="20"/>
              </w:rPr>
            </w:pPr>
            <w:r w:rsidRPr="001F224B">
              <w:rPr>
                <w:b/>
                <w:bCs/>
                <w:iCs/>
                <w:color w:val="000000"/>
                <w:sz w:val="20"/>
                <w:szCs w:val="20"/>
              </w:rPr>
              <w:t xml:space="preserve">Bilanço </w:t>
            </w:r>
            <w:r w:rsidR="001669FB" w:rsidRPr="001F224B">
              <w:rPr>
                <w:b/>
                <w:bCs/>
                <w:iCs/>
                <w:color w:val="000000"/>
                <w:sz w:val="20"/>
                <w:szCs w:val="20"/>
              </w:rPr>
              <w:t>özkaynak tutarı</w:t>
            </w:r>
          </w:p>
        </w:tc>
        <w:tc>
          <w:tcPr>
            <w:tcW w:w="1488" w:type="dxa"/>
            <w:shd w:val="clear" w:color="auto" w:fill="auto"/>
            <w:vAlign w:val="center"/>
            <w:hideMark/>
          </w:tcPr>
          <w:p w14:paraId="7FFFF18B" w14:textId="77777777" w:rsidR="00CC3B9D" w:rsidRPr="001F224B" w:rsidRDefault="00CC3B9D" w:rsidP="00C33D43">
            <w:pPr>
              <w:jc w:val="center"/>
              <w:rPr>
                <w:b/>
                <w:bCs/>
                <w:iCs/>
                <w:color w:val="000000"/>
                <w:sz w:val="20"/>
                <w:szCs w:val="20"/>
              </w:rPr>
            </w:pPr>
            <w:r w:rsidRPr="001F224B">
              <w:rPr>
                <w:b/>
                <w:bCs/>
                <w:iCs/>
                <w:color w:val="000000"/>
                <w:sz w:val="20"/>
                <w:szCs w:val="20"/>
              </w:rPr>
              <w:t>Düzeltme etkisi</w:t>
            </w:r>
          </w:p>
        </w:tc>
        <w:tc>
          <w:tcPr>
            <w:tcW w:w="1489" w:type="dxa"/>
            <w:shd w:val="clear" w:color="auto" w:fill="auto"/>
            <w:vAlign w:val="center"/>
            <w:hideMark/>
          </w:tcPr>
          <w:p w14:paraId="18E2654C" w14:textId="77777777" w:rsidR="00CC3B9D" w:rsidRPr="001F224B" w:rsidRDefault="00CC3B9D" w:rsidP="00C33D43">
            <w:pPr>
              <w:jc w:val="center"/>
              <w:rPr>
                <w:b/>
                <w:bCs/>
                <w:iCs/>
                <w:color w:val="000000"/>
                <w:sz w:val="20"/>
                <w:szCs w:val="20"/>
              </w:rPr>
            </w:pPr>
            <w:r w:rsidRPr="001F224B">
              <w:rPr>
                <w:b/>
                <w:bCs/>
                <w:iCs/>
                <w:color w:val="000000"/>
                <w:sz w:val="20"/>
                <w:szCs w:val="20"/>
              </w:rPr>
              <w:t>Özkaynak raporundaki değeri</w:t>
            </w:r>
          </w:p>
        </w:tc>
      </w:tr>
      <w:tr w:rsidR="00963C0A" w:rsidRPr="001F224B" w14:paraId="4B994D0C" w14:textId="77777777" w:rsidTr="00B023CD">
        <w:trPr>
          <w:trHeight w:val="83"/>
        </w:trPr>
        <w:tc>
          <w:tcPr>
            <w:tcW w:w="5474" w:type="dxa"/>
            <w:shd w:val="clear" w:color="auto" w:fill="auto"/>
            <w:noWrap/>
            <w:vAlign w:val="center"/>
            <w:hideMark/>
          </w:tcPr>
          <w:p w14:paraId="1278240B" w14:textId="77777777" w:rsidR="00963C0A" w:rsidRPr="001F224B" w:rsidRDefault="00963C0A" w:rsidP="00963C0A">
            <w:pPr>
              <w:rPr>
                <w:color w:val="000000"/>
                <w:sz w:val="20"/>
                <w:szCs w:val="20"/>
              </w:rPr>
            </w:pPr>
            <w:r w:rsidRPr="001F224B">
              <w:rPr>
                <w:b/>
                <w:color w:val="000000"/>
                <w:sz w:val="20"/>
                <w:szCs w:val="20"/>
              </w:rPr>
              <w:t>1.</w:t>
            </w:r>
            <w:r w:rsidRPr="001F224B">
              <w:rPr>
                <w:color w:val="000000"/>
                <w:sz w:val="20"/>
                <w:szCs w:val="20"/>
              </w:rPr>
              <w:t xml:space="preserve">Ödenmiş Sermaye </w:t>
            </w:r>
          </w:p>
        </w:tc>
        <w:tc>
          <w:tcPr>
            <w:tcW w:w="1488" w:type="dxa"/>
            <w:shd w:val="clear" w:color="auto" w:fill="auto"/>
            <w:noWrap/>
            <w:vAlign w:val="bottom"/>
          </w:tcPr>
          <w:p w14:paraId="260B6FB9" w14:textId="26E0F3C1" w:rsidR="00963C0A" w:rsidRPr="001F224B" w:rsidRDefault="00963C0A" w:rsidP="00963C0A">
            <w:pPr>
              <w:jc w:val="right"/>
              <w:rPr>
                <w:sz w:val="20"/>
                <w:szCs w:val="20"/>
              </w:rPr>
            </w:pPr>
            <w:r w:rsidRPr="001F224B">
              <w:rPr>
                <w:color w:val="000000"/>
                <w:sz w:val="20"/>
                <w:szCs w:val="20"/>
              </w:rPr>
              <w:t>5.500.000</w:t>
            </w:r>
          </w:p>
        </w:tc>
        <w:tc>
          <w:tcPr>
            <w:tcW w:w="1488" w:type="dxa"/>
            <w:shd w:val="clear" w:color="auto" w:fill="auto"/>
            <w:noWrap/>
            <w:vAlign w:val="bottom"/>
          </w:tcPr>
          <w:p w14:paraId="1FC9C8C0" w14:textId="0F073357" w:rsidR="00963C0A" w:rsidRPr="001F224B" w:rsidRDefault="00963C0A" w:rsidP="00963C0A">
            <w:pPr>
              <w:jc w:val="right"/>
              <w:rPr>
                <w:sz w:val="20"/>
                <w:szCs w:val="20"/>
              </w:rPr>
            </w:pPr>
            <w:r w:rsidRPr="001F224B">
              <w:rPr>
                <w:color w:val="000000"/>
                <w:sz w:val="20"/>
                <w:szCs w:val="20"/>
              </w:rPr>
              <w:t>206.074</w:t>
            </w:r>
          </w:p>
        </w:tc>
        <w:tc>
          <w:tcPr>
            <w:tcW w:w="1489" w:type="dxa"/>
            <w:shd w:val="clear" w:color="auto" w:fill="auto"/>
            <w:noWrap/>
            <w:vAlign w:val="bottom"/>
          </w:tcPr>
          <w:p w14:paraId="1B273E9A" w14:textId="6FF3A93B" w:rsidR="00963C0A" w:rsidRPr="001F224B" w:rsidRDefault="00963C0A" w:rsidP="00963C0A">
            <w:pPr>
              <w:jc w:val="right"/>
              <w:rPr>
                <w:sz w:val="20"/>
                <w:szCs w:val="20"/>
              </w:rPr>
            </w:pPr>
            <w:r w:rsidRPr="001F224B">
              <w:rPr>
                <w:color w:val="000000"/>
                <w:sz w:val="20"/>
                <w:szCs w:val="20"/>
              </w:rPr>
              <w:t>5.706.074</w:t>
            </w:r>
          </w:p>
        </w:tc>
      </w:tr>
      <w:tr w:rsidR="00963C0A" w:rsidRPr="001F224B" w14:paraId="108CA376" w14:textId="77777777" w:rsidTr="00B023CD">
        <w:trPr>
          <w:trHeight w:val="223"/>
        </w:trPr>
        <w:tc>
          <w:tcPr>
            <w:tcW w:w="5474" w:type="dxa"/>
            <w:shd w:val="clear" w:color="auto" w:fill="auto"/>
            <w:noWrap/>
            <w:vAlign w:val="center"/>
            <w:hideMark/>
          </w:tcPr>
          <w:p w14:paraId="532D9A8D" w14:textId="77777777" w:rsidR="00963C0A" w:rsidRPr="001F224B" w:rsidRDefault="00963C0A" w:rsidP="00963C0A">
            <w:pPr>
              <w:rPr>
                <w:color w:val="000000"/>
                <w:sz w:val="20"/>
                <w:szCs w:val="20"/>
              </w:rPr>
            </w:pPr>
            <w:r w:rsidRPr="001F224B">
              <w:rPr>
                <w:b/>
                <w:color w:val="000000"/>
                <w:sz w:val="20"/>
                <w:szCs w:val="20"/>
              </w:rPr>
              <w:t>2.</w:t>
            </w:r>
            <w:r w:rsidRPr="001F224B">
              <w:rPr>
                <w:color w:val="000000"/>
                <w:sz w:val="20"/>
                <w:szCs w:val="20"/>
              </w:rPr>
              <w:t>Sermaye Yedekleri</w:t>
            </w:r>
          </w:p>
        </w:tc>
        <w:tc>
          <w:tcPr>
            <w:tcW w:w="1488" w:type="dxa"/>
            <w:shd w:val="clear" w:color="auto" w:fill="auto"/>
            <w:noWrap/>
            <w:vAlign w:val="bottom"/>
          </w:tcPr>
          <w:p w14:paraId="178F0138" w14:textId="0CDFFB55" w:rsidR="00963C0A" w:rsidRPr="001F224B" w:rsidRDefault="00963C0A" w:rsidP="00963C0A">
            <w:pPr>
              <w:jc w:val="right"/>
              <w:rPr>
                <w:sz w:val="20"/>
                <w:szCs w:val="20"/>
              </w:rPr>
            </w:pPr>
            <w:r w:rsidRPr="001F224B">
              <w:rPr>
                <w:color w:val="000000"/>
                <w:sz w:val="20"/>
                <w:szCs w:val="20"/>
              </w:rPr>
              <w:t>211.495</w:t>
            </w:r>
          </w:p>
        </w:tc>
        <w:tc>
          <w:tcPr>
            <w:tcW w:w="1488" w:type="dxa"/>
            <w:shd w:val="clear" w:color="auto" w:fill="auto"/>
            <w:noWrap/>
            <w:vAlign w:val="bottom"/>
          </w:tcPr>
          <w:p w14:paraId="642E8DB2" w14:textId="7922E0B5" w:rsidR="00963C0A" w:rsidRPr="001F224B" w:rsidRDefault="00963C0A" w:rsidP="00963C0A">
            <w:pPr>
              <w:jc w:val="right"/>
              <w:rPr>
                <w:sz w:val="20"/>
                <w:szCs w:val="20"/>
              </w:rPr>
            </w:pPr>
            <w:r w:rsidRPr="001F224B">
              <w:rPr>
                <w:color w:val="000000"/>
                <w:sz w:val="20"/>
                <w:szCs w:val="20"/>
              </w:rPr>
              <w:t>(206.074)</w:t>
            </w:r>
          </w:p>
        </w:tc>
        <w:tc>
          <w:tcPr>
            <w:tcW w:w="1489" w:type="dxa"/>
            <w:shd w:val="clear" w:color="auto" w:fill="auto"/>
            <w:noWrap/>
            <w:vAlign w:val="bottom"/>
          </w:tcPr>
          <w:p w14:paraId="68FEC306" w14:textId="685D348B" w:rsidR="00963C0A" w:rsidRPr="001F224B" w:rsidRDefault="00963C0A" w:rsidP="00963C0A">
            <w:pPr>
              <w:jc w:val="right"/>
              <w:rPr>
                <w:sz w:val="20"/>
                <w:szCs w:val="20"/>
              </w:rPr>
            </w:pPr>
            <w:r w:rsidRPr="001F224B">
              <w:rPr>
                <w:color w:val="000000"/>
                <w:sz w:val="20"/>
                <w:szCs w:val="20"/>
              </w:rPr>
              <w:t>5.421</w:t>
            </w:r>
          </w:p>
        </w:tc>
      </w:tr>
      <w:tr w:rsidR="00963C0A" w:rsidRPr="001F224B" w14:paraId="39673CFE" w14:textId="77777777" w:rsidTr="00B023CD">
        <w:trPr>
          <w:trHeight w:val="223"/>
        </w:trPr>
        <w:tc>
          <w:tcPr>
            <w:tcW w:w="5474" w:type="dxa"/>
            <w:shd w:val="clear" w:color="auto" w:fill="auto"/>
            <w:noWrap/>
            <w:vAlign w:val="center"/>
          </w:tcPr>
          <w:p w14:paraId="7E679704" w14:textId="77777777" w:rsidR="00963C0A" w:rsidRPr="001F224B" w:rsidRDefault="00963C0A" w:rsidP="00963C0A">
            <w:pPr>
              <w:rPr>
                <w:b/>
                <w:color w:val="000000"/>
                <w:sz w:val="20"/>
                <w:szCs w:val="20"/>
              </w:rPr>
            </w:pPr>
            <w:r w:rsidRPr="001F224B">
              <w:rPr>
                <w:color w:val="000000"/>
                <w:sz w:val="20"/>
                <w:szCs w:val="20"/>
              </w:rPr>
              <w:t xml:space="preserve">     2.1. Hisse Senedi İhraç Primleri</w:t>
            </w:r>
          </w:p>
        </w:tc>
        <w:tc>
          <w:tcPr>
            <w:tcW w:w="1488" w:type="dxa"/>
            <w:shd w:val="clear" w:color="auto" w:fill="auto"/>
            <w:noWrap/>
            <w:vAlign w:val="bottom"/>
          </w:tcPr>
          <w:p w14:paraId="67197AA6" w14:textId="05763F7E" w:rsidR="00963C0A" w:rsidRPr="001F224B" w:rsidRDefault="00963C0A" w:rsidP="00963C0A">
            <w:pPr>
              <w:jc w:val="right"/>
              <w:rPr>
                <w:sz w:val="20"/>
                <w:szCs w:val="20"/>
              </w:rPr>
            </w:pPr>
            <w:r w:rsidRPr="001F224B">
              <w:rPr>
                <w:color w:val="000000"/>
                <w:sz w:val="20"/>
                <w:szCs w:val="20"/>
              </w:rPr>
              <w:t>5.421</w:t>
            </w:r>
          </w:p>
        </w:tc>
        <w:tc>
          <w:tcPr>
            <w:tcW w:w="1488" w:type="dxa"/>
            <w:shd w:val="clear" w:color="auto" w:fill="auto"/>
            <w:noWrap/>
            <w:vAlign w:val="bottom"/>
          </w:tcPr>
          <w:p w14:paraId="5783186E" w14:textId="3C5E688D" w:rsidR="00963C0A" w:rsidRPr="001F224B" w:rsidRDefault="00963C0A" w:rsidP="00963C0A">
            <w:pPr>
              <w:jc w:val="right"/>
              <w:rPr>
                <w:sz w:val="20"/>
                <w:szCs w:val="20"/>
              </w:rPr>
            </w:pPr>
            <w:r w:rsidRPr="001F224B">
              <w:rPr>
                <w:color w:val="000000"/>
                <w:sz w:val="20"/>
                <w:szCs w:val="20"/>
              </w:rPr>
              <w:t>-</w:t>
            </w:r>
          </w:p>
        </w:tc>
        <w:tc>
          <w:tcPr>
            <w:tcW w:w="1489" w:type="dxa"/>
            <w:shd w:val="clear" w:color="auto" w:fill="auto"/>
            <w:noWrap/>
            <w:vAlign w:val="bottom"/>
          </w:tcPr>
          <w:p w14:paraId="5B4D23E7" w14:textId="347118E3" w:rsidR="00963C0A" w:rsidRPr="001F224B" w:rsidRDefault="00963C0A" w:rsidP="00963C0A">
            <w:pPr>
              <w:jc w:val="right"/>
              <w:rPr>
                <w:sz w:val="20"/>
                <w:szCs w:val="20"/>
              </w:rPr>
            </w:pPr>
            <w:r w:rsidRPr="001F224B">
              <w:rPr>
                <w:color w:val="000000"/>
                <w:sz w:val="20"/>
                <w:szCs w:val="20"/>
              </w:rPr>
              <w:t>5.421</w:t>
            </w:r>
          </w:p>
        </w:tc>
      </w:tr>
      <w:tr w:rsidR="00963C0A" w:rsidRPr="001F224B" w14:paraId="0DFA5ED5" w14:textId="77777777" w:rsidTr="00B023CD">
        <w:trPr>
          <w:trHeight w:val="223"/>
        </w:trPr>
        <w:tc>
          <w:tcPr>
            <w:tcW w:w="5474" w:type="dxa"/>
            <w:shd w:val="clear" w:color="auto" w:fill="auto"/>
            <w:noWrap/>
            <w:vAlign w:val="center"/>
          </w:tcPr>
          <w:p w14:paraId="489BC194" w14:textId="77777777" w:rsidR="00963C0A" w:rsidRPr="001F224B" w:rsidRDefault="00963C0A" w:rsidP="00963C0A">
            <w:pPr>
              <w:rPr>
                <w:b/>
                <w:color w:val="000000"/>
                <w:sz w:val="20"/>
                <w:szCs w:val="20"/>
              </w:rPr>
            </w:pPr>
            <w:r w:rsidRPr="001F224B">
              <w:rPr>
                <w:color w:val="000000"/>
                <w:sz w:val="20"/>
                <w:szCs w:val="20"/>
              </w:rPr>
              <w:t xml:space="preserve">     2.2. Hisse Senedi İptal Karları</w:t>
            </w:r>
          </w:p>
        </w:tc>
        <w:tc>
          <w:tcPr>
            <w:tcW w:w="1488" w:type="dxa"/>
            <w:shd w:val="clear" w:color="auto" w:fill="auto"/>
            <w:noWrap/>
            <w:vAlign w:val="bottom"/>
          </w:tcPr>
          <w:p w14:paraId="1A5E146C" w14:textId="03DEDCC7" w:rsidR="00963C0A" w:rsidRPr="001F224B" w:rsidRDefault="00963C0A" w:rsidP="00963C0A">
            <w:pPr>
              <w:jc w:val="right"/>
              <w:rPr>
                <w:sz w:val="20"/>
                <w:szCs w:val="20"/>
              </w:rPr>
            </w:pPr>
            <w:r w:rsidRPr="001F224B">
              <w:rPr>
                <w:color w:val="000000"/>
                <w:sz w:val="20"/>
                <w:szCs w:val="20"/>
              </w:rPr>
              <w:t>-</w:t>
            </w:r>
          </w:p>
        </w:tc>
        <w:tc>
          <w:tcPr>
            <w:tcW w:w="1488" w:type="dxa"/>
            <w:shd w:val="clear" w:color="auto" w:fill="auto"/>
            <w:noWrap/>
            <w:vAlign w:val="bottom"/>
          </w:tcPr>
          <w:p w14:paraId="26423BEB" w14:textId="0181D011" w:rsidR="00963C0A" w:rsidRPr="001F224B" w:rsidRDefault="00963C0A" w:rsidP="00963C0A">
            <w:pPr>
              <w:jc w:val="right"/>
              <w:rPr>
                <w:sz w:val="20"/>
                <w:szCs w:val="20"/>
              </w:rPr>
            </w:pPr>
            <w:r w:rsidRPr="001F224B">
              <w:rPr>
                <w:color w:val="000000"/>
                <w:sz w:val="20"/>
                <w:szCs w:val="20"/>
              </w:rPr>
              <w:t>-</w:t>
            </w:r>
          </w:p>
        </w:tc>
        <w:tc>
          <w:tcPr>
            <w:tcW w:w="1489" w:type="dxa"/>
            <w:shd w:val="clear" w:color="auto" w:fill="auto"/>
            <w:noWrap/>
            <w:vAlign w:val="bottom"/>
          </w:tcPr>
          <w:p w14:paraId="56016130" w14:textId="69D93C14" w:rsidR="00963C0A" w:rsidRPr="001F224B" w:rsidRDefault="00963C0A" w:rsidP="00963C0A">
            <w:pPr>
              <w:jc w:val="right"/>
              <w:rPr>
                <w:sz w:val="20"/>
                <w:szCs w:val="20"/>
              </w:rPr>
            </w:pPr>
            <w:r w:rsidRPr="001F224B">
              <w:rPr>
                <w:color w:val="000000"/>
                <w:sz w:val="20"/>
                <w:szCs w:val="20"/>
              </w:rPr>
              <w:t>-</w:t>
            </w:r>
          </w:p>
        </w:tc>
      </w:tr>
      <w:tr w:rsidR="00963C0A" w:rsidRPr="001F224B" w14:paraId="62A3AD92" w14:textId="77777777" w:rsidTr="00B023CD">
        <w:trPr>
          <w:trHeight w:val="223"/>
        </w:trPr>
        <w:tc>
          <w:tcPr>
            <w:tcW w:w="5474" w:type="dxa"/>
            <w:shd w:val="clear" w:color="auto" w:fill="auto"/>
            <w:noWrap/>
            <w:vAlign w:val="center"/>
          </w:tcPr>
          <w:p w14:paraId="5914D689" w14:textId="101EBA23" w:rsidR="00963C0A" w:rsidRPr="001F224B" w:rsidRDefault="00963C0A" w:rsidP="00963C0A">
            <w:pPr>
              <w:rPr>
                <w:b/>
                <w:color w:val="000000"/>
                <w:sz w:val="20"/>
                <w:szCs w:val="20"/>
              </w:rPr>
            </w:pPr>
            <w:r w:rsidRPr="001F224B">
              <w:rPr>
                <w:color w:val="000000"/>
                <w:sz w:val="20"/>
                <w:szCs w:val="20"/>
              </w:rPr>
              <w:t xml:space="preserve">     2.3. Diğer Sermaye Yedekleri</w:t>
            </w:r>
          </w:p>
        </w:tc>
        <w:tc>
          <w:tcPr>
            <w:tcW w:w="1488" w:type="dxa"/>
            <w:shd w:val="clear" w:color="auto" w:fill="auto"/>
            <w:noWrap/>
            <w:vAlign w:val="bottom"/>
          </w:tcPr>
          <w:p w14:paraId="0F7738B6" w14:textId="0E6B65E0" w:rsidR="00963C0A" w:rsidRPr="001F224B" w:rsidRDefault="00963C0A" w:rsidP="00963C0A">
            <w:pPr>
              <w:jc w:val="right"/>
              <w:rPr>
                <w:sz w:val="20"/>
                <w:szCs w:val="20"/>
              </w:rPr>
            </w:pPr>
            <w:r w:rsidRPr="001F224B">
              <w:rPr>
                <w:color w:val="000000"/>
                <w:sz w:val="20"/>
                <w:szCs w:val="20"/>
              </w:rPr>
              <w:t>206.074</w:t>
            </w:r>
          </w:p>
        </w:tc>
        <w:tc>
          <w:tcPr>
            <w:tcW w:w="1488" w:type="dxa"/>
            <w:shd w:val="clear" w:color="auto" w:fill="auto"/>
            <w:noWrap/>
            <w:vAlign w:val="bottom"/>
          </w:tcPr>
          <w:p w14:paraId="6BC76A04" w14:textId="5172ECCC" w:rsidR="00963C0A" w:rsidRPr="001F224B" w:rsidRDefault="00963C0A" w:rsidP="00963C0A">
            <w:pPr>
              <w:jc w:val="right"/>
              <w:rPr>
                <w:sz w:val="20"/>
                <w:szCs w:val="20"/>
              </w:rPr>
            </w:pPr>
            <w:r w:rsidRPr="001F224B">
              <w:rPr>
                <w:color w:val="000000"/>
                <w:sz w:val="20"/>
                <w:szCs w:val="20"/>
              </w:rPr>
              <w:t>(206.074)</w:t>
            </w:r>
          </w:p>
        </w:tc>
        <w:tc>
          <w:tcPr>
            <w:tcW w:w="1489" w:type="dxa"/>
            <w:shd w:val="clear" w:color="auto" w:fill="auto"/>
            <w:noWrap/>
            <w:vAlign w:val="bottom"/>
          </w:tcPr>
          <w:p w14:paraId="5C3B1BBB" w14:textId="4A36B39F" w:rsidR="00963C0A" w:rsidRPr="001F224B" w:rsidRDefault="00963C0A" w:rsidP="00963C0A">
            <w:pPr>
              <w:jc w:val="right"/>
              <w:rPr>
                <w:sz w:val="20"/>
                <w:szCs w:val="20"/>
              </w:rPr>
            </w:pPr>
            <w:r w:rsidRPr="001F224B">
              <w:rPr>
                <w:color w:val="000000"/>
                <w:sz w:val="20"/>
                <w:szCs w:val="20"/>
              </w:rPr>
              <w:t>-</w:t>
            </w:r>
          </w:p>
        </w:tc>
      </w:tr>
      <w:tr w:rsidR="00963C0A" w:rsidRPr="001F224B" w14:paraId="6D6DFBCE" w14:textId="77777777" w:rsidTr="00B023CD">
        <w:trPr>
          <w:trHeight w:val="223"/>
        </w:trPr>
        <w:tc>
          <w:tcPr>
            <w:tcW w:w="5474" w:type="dxa"/>
            <w:shd w:val="clear" w:color="auto" w:fill="auto"/>
            <w:noWrap/>
            <w:vAlign w:val="center"/>
          </w:tcPr>
          <w:p w14:paraId="3C46B5AC" w14:textId="77777777" w:rsidR="00963C0A" w:rsidRPr="001F224B" w:rsidRDefault="00963C0A" w:rsidP="00963C0A">
            <w:pPr>
              <w:rPr>
                <w:color w:val="000000"/>
                <w:sz w:val="20"/>
                <w:szCs w:val="20"/>
              </w:rPr>
            </w:pPr>
            <w:r w:rsidRPr="001F224B">
              <w:rPr>
                <w:b/>
                <w:color w:val="000000"/>
                <w:sz w:val="20"/>
                <w:szCs w:val="20"/>
              </w:rPr>
              <w:t>3.</w:t>
            </w:r>
            <w:r w:rsidRPr="001F224B">
              <w:rPr>
                <w:color w:val="000000"/>
                <w:sz w:val="20"/>
                <w:szCs w:val="20"/>
              </w:rPr>
              <w:t xml:space="preserve"> Kar veya Zararda Yeniden Sınıflandırılmayacak Birikmiş Diğer Kapsamlı Gelirler Veya Giderler</w:t>
            </w:r>
          </w:p>
        </w:tc>
        <w:tc>
          <w:tcPr>
            <w:tcW w:w="1488" w:type="dxa"/>
            <w:shd w:val="clear" w:color="auto" w:fill="auto"/>
            <w:noWrap/>
            <w:vAlign w:val="bottom"/>
          </w:tcPr>
          <w:p w14:paraId="7FB45615" w14:textId="2035277A" w:rsidR="00963C0A" w:rsidRPr="001F224B" w:rsidRDefault="00963C0A" w:rsidP="00963C0A">
            <w:pPr>
              <w:jc w:val="right"/>
              <w:rPr>
                <w:color w:val="000000"/>
                <w:sz w:val="20"/>
                <w:szCs w:val="20"/>
              </w:rPr>
            </w:pPr>
            <w:r w:rsidRPr="001F224B">
              <w:rPr>
                <w:color w:val="000000"/>
                <w:sz w:val="20"/>
                <w:szCs w:val="20"/>
              </w:rPr>
              <w:t>2.483</w:t>
            </w:r>
          </w:p>
        </w:tc>
        <w:tc>
          <w:tcPr>
            <w:tcW w:w="1488" w:type="dxa"/>
            <w:shd w:val="clear" w:color="auto" w:fill="auto"/>
            <w:noWrap/>
            <w:vAlign w:val="bottom"/>
          </w:tcPr>
          <w:p w14:paraId="44575239" w14:textId="32D2C824" w:rsidR="00963C0A" w:rsidRPr="001F224B" w:rsidRDefault="00963C0A" w:rsidP="00963C0A">
            <w:pPr>
              <w:jc w:val="right"/>
              <w:rPr>
                <w:color w:val="000000"/>
                <w:sz w:val="20"/>
                <w:szCs w:val="20"/>
              </w:rPr>
            </w:pPr>
            <w:r w:rsidRPr="001F224B">
              <w:rPr>
                <w:color w:val="000000"/>
                <w:sz w:val="20"/>
                <w:szCs w:val="20"/>
              </w:rPr>
              <w:t>-</w:t>
            </w:r>
          </w:p>
        </w:tc>
        <w:tc>
          <w:tcPr>
            <w:tcW w:w="1489" w:type="dxa"/>
            <w:shd w:val="clear" w:color="auto" w:fill="auto"/>
            <w:noWrap/>
            <w:vAlign w:val="bottom"/>
          </w:tcPr>
          <w:p w14:paraId="64FA3271" w14:textId="5FB63EE0" w:rsidR="00963C0A" w:rsidRPr="001F224B" w:rsidRDefault="00963C0A" w:rsidP="00963C0A">
            <w:pPr>
              <w:jc w:val="right"/>
              <w:rPr>
                <w:color w:val="000000"/>
                <w:sz w:val="20"/>
                <w:szCs w:val="20"/>
              </w:rPr>
            </w:pPr>
            <w:r w:rsidRPr="001F224B">
              <w:rPr>
                <w:color w:val="000000"/>
                <w:sz w:val="20"/>
                <w:szCs w:val="20"/>
              </w:rPr>
              <w:t>2.483</w:t>
            </w:r>
          </w:p>
        </w:tc>
      </w:tr>
      <w:tr w:rsidR="00963C0A" w:rsidRPr="001F224B" w14:paraId="1052AC28" w14:textId="77777777" w:rsidTr="00B023CD">
        <w:trPr>
          <w:trHeight w:val="391"/>
        </w:trPr>
        <w:tc>
          <w:tcPr>
            <w:tcW w:w="5474" w:type="dxa"/>
            <w:shd w:val="clear" w:color="auto" w:fill="auto"/>
            <w:vAlign w:val="center"/>
            <w:hideMark/>
          </w:tcPr>
          <w:p w14:paraId="2F61F71D" w14:textId="77777777" w:rsidR="00963C0A" w:rsidRPr="001F224B" w:rsidRDefault="00963C0A" w:rsidP="00963C0A">
            <w:pPr>
              <w:rPr>
                <w:color w:val="000000"/>
                <w:sz w:val="20"/>
                <w:szCs w:val="20"/>
              </w:rPr>
            </w:pPr>
            <w:r w:rsidRPr="001F224B">
              <w:rPr>
                <w:b/>
                <w:color w:val="000000"/>
                <w:sz w:val="20"/>
                <w:szCs w:val="20"/>
              </w:rPr>
              <w:t>4.</w:t>
            </w:r>
            <w:r w:rsidRPr="001F224B">
              <w:rPr>
                <w:color w:val="000000"/>
                <w:sz w:val="20"/>
                <w:szCs w:val="20"/>
              </w:rPr>
              <w:t xml:space="preserve"> Kar veya Zararda Yeniden Sınıflandırılacak Birikmiş Diğer Kapsamlı Gelirler Veya Giderler</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1CEF4" w14:textId="531DD7BD" w:rsidR="00963C0A" w:rsidRPr="001F224B" w:rsidRDefault="00963C0A" w:rsidP="00963C0A">
            <w:pPr>
              <w:jc w:val="right"/>
              <w:rPr>
                <w:sz w:val="20"/>
                <w:szCs w:val="20"/>
              </w:rPr>
            </w:pPr>
            <w:r w:rsidRPr="001F224B">
              <w:rPr>
                <w:color w:val="000000"/>
                <w:sz w:val="20"/>
                <w:szCs w:val="20"/>
              </w:rPr>
              <w:t>102.935</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497D420E" w14:textId="483BD161" w:rsidR="00963C0A" w:rsidRPr="001F224B" w:rsidRDefault="00963C0A" w:rsidP="00963C0A">
            <w:pPr>
              <w:jc w:val="right"/>
              <w:rPr>
                <w:sz w:val="20"/>
                <w:szCs w:val="20"/>
              </w:rPr>
            </w:pPr>
            <w:r w:rsidRPr="001F224B">
              <w:rPr>
                <w:color w:val="000000"/>
                <w:sz w:val="20"/>
                <w:szCs w:val="20"/>
              </w:rPr>
              <w:t>44.990</w:t>
            </w:r>
          </w:p>
        </w:tc>
        <w:tc>
          <w:tcPr>
            <w:tcW w:w="1489" w:type="dxa"/>
            <w:tcBorders>
              <w:top w:val="single" w:sz="4" w:space="0" w:color="auto"/>
              <w:left w:val="nil"/>
              <w:bottom w:val="single" w:sz="4" w:space="0" w:color="auto"/>
              <w:right w:val="single" w:sz="4" w:space="0" w:color="auto"/>
            </w:tcBorders>
            <w:shd w:val="clear" w:color="auto" w:fill="auto"/>
            <w:noWrap/>
            <w:vAlign w:val="bottom"/>
          </w:tcPr>
          <w:p w14:paraId="655BDDA3" w14:textId="54CD975E" w:rsidR="00963C0A" w:rsidRPr="001F224B" w:rsidRDefault="00963C0A" w:rsidP="00963C0A">
            <w:pPr>
              <w:jc w:val="right"/>
              <w:rPr>
                <w:sz w:val="20"/>
                <w:szCs w:val="20"/>
              </w:rPr>
            </w:pPr>
            <w:r w:rsidRPr="001F224B">
              <w:rPr>
                <w:color w:val="000000"/>
                <w:sz w:val="20"/>
                <w:szCs w:val="20"/>
              </w:rPr>
              <w:t>147.925</w:t>
            </w:r>
          </w:p>
        </w:tc>
      </w:tr>
      <w:tr w:rsidR="00963C0A" w:rsidRPr="001F224B" w14:paraId="20E59BE2" w14:textId="77777777" w:rsidTr="00B023CD">
        <w:trPr>
          <w:trHeight w:val="223"/>
        </w:trPr>
        <w:tc>
          <w:tcPr>
            <w:tcW w:w="5474" w:type="dxa"/>
            <w:shd w:val="clear" w:color="auto" w:fill="auto"/>
            <w:vAlign w:val="center"/>
            <w:hideMark/>
          </w:tcPr>
          <w:p w14:paraId="4EA32A43" w14:textId="77777777" w:rsidR="00963C0A" w:rsidRPr="001F224B" w:rsidRDefault="00963C0A" w:rsidP="00963C0A">
            <w:pPr>
              <w:rPr>
                <w:color w:val="000000"/>
                <w:sz w:val="20"/>
                <w:szCs w:val="20"/>
              </w:rPr>
            </w:pPr>
            <w:r w:rsidRPr="001F224B">
              <w:rPr>
                <w:b/>
                <w:color w:val="000000"/>
                <w:sz w:val="20"/>
                <w:szCs w:val="20"/>
              </w:rPr>
              <w:t>5.</w:t>
            </w:r>
            <w:r w:rsidRPr="001F224B">
              <w:rPr>
                <w:color w:val="000000"/>
                <w:sz w:val="20"/>
                <w:szCs w:val="20"/>
              </w:rPr>
              <w:t xml:space="preserve"> Kar Yedekleri</w:t>
            </w:r>
          </w:p>
        </w:tc>
        <w:tc>
          <w:tcPr>
            <w:tcW w:w="1488" w:type="dxa"/>
            <w:shd w:val="clear" w:color="auto" w:fill="auto"/>
            <w:noWrap/>
            <w:vAlign w:val="bottom"/>
          </w:tcPr>
          <w:p w14:paraId="64991ADD" w14:textId="7A959AFE" w:rsidR="00963C0A" w:rsidRPr="001F224B" w:rsidRDefault="00963C0A" w:rsidP="00963C0A">
            <w:pPr>
              <w:jc w:val="right"/>
              <w:rPr>
                <w:sz w:val="20"/>
                <w:szCs w:val="20"/>
              </w:rPr>
            </w:pPr>
            <w:r w:rsidRPr="001F224B">
              <w:rPr>
                <w:color w:val="000000"/>
                <w:sz w:val="20"/>
                <w:szCs w:val="20"/>
              </w:rPr>
              <w:t>8.012.952</w:t>
            </w:r>
          </w:p>
        </w:tc>
        <w:tc>
          <w:tcPr>
            <w:tcW w:w="1488" w:type="dxa"/>
            <w:shd w:val="clear" w:color="auto" w:fill="auto"/>
            <w:noWrap/>
            <w:vAlign w:val="bottom"/>
          </w:tcPr>
          <w:p w14:paraId="60A877E9" w14:textId="284DDE6A" w:rsidR="00963C0A" w:rsidRPr="001F224B" w:rsidRDefault="00963C0A" w:rsidP="00963C0A">
            <w:pPr>
              <w:jc w:val="right"/>
              <w:rPr>
                <w:sz w:val="20"/>
                <w:szCs w:val="20"/>
              </w:rPr>
            </w:pPr>
            <w:r w:rsidRPr="001F224B">
              <w:rPr>
                <w:color w:val="000000"/>
                <w:sz w:val="20"/>
                <w:szCs w:val="20"/>
              </w:rPr>
              <w:t>-</w:t>
            </w:r>
          </w:p>
        </w:tc>
        <w:tc>
          <w:tcPr>
            <w:tcW w:w="1489" w:type="dxa"/>
            <w:shd w:val="clear" w:color="auto" w:fill="auto"/>
            <w:noWrap/>
            <w:vAlign w:val="bottom"/>
          </w:tcPr>
          <w:p w14:paraId="3A0D0780" w14:textId="7B1FF1A6" w:rsidR="00963C0A" w:rsidRPr="001F224B" w:rsidRDefault="00963C0A" w:rsidP="00963C0A">
            <w:pPr>
              <w:jc w:val="right"/>
              <w:rPr>
                <w:sz w:val="20"/>
                <w:szCs w:val="20"/>
              </w:rPr>
            </w:pPr>
            <w:r w:rsidRPr="001F224B">
              <w:rPr>
                <w:color w:val="000000"/>
                <w:sz w:val="20"/>
                <w:szCs w:val="20"/>
              </w:rPr>
              <w:t>8.012.952</w:t>
            </w:r>
          </w:p>
        </w:tc>
      </w:tr>
      <w:tr w:rsidR="00963C0A" w:rsidRPr="001F224B" w14:paraId="63C50BE1" w14:textId="77777777" w:rsidTr="00B023CD">
        <w:trPr>
          <w:trHeight w:val="223"/>
        </w:trPr>
        <w:tc>
          <w:tcPr>
            <w:tcW w:w="5474" w:type="dxa"/>
            <w:shd w:val="clear" w:color="auto" w:fill="auto"/>
            <w:vAlign w:val="center"/>
            <w:hideMark/>
          </w:tcPr>
          <w:p w14:paraId="2399F389" w14:textId="77777777" w:rsidR="00963C0A" w:rsidRPr="001F224B" w:rsidRDefault="00963C0A" w:rsidP="00963C0A">
            <w:pPr>
              <w:rPr>
                <w:color w:val="000000"/>
                <w:sz w:val="20"/>
                <w:szCs w:val="20"/>
              </w:rPr>
            </w:pPr>
            <w:r w:rsidRPr="001F224B">
              <w:rPr>
                <w:b/>
                <w:color w:val="000000"/>
                <w:sz w:val="20"/>
                <w:szCs w:val="20"/>
              </w:rPr>
              <w:t>6.</w:t>
            </w:r>
            <w:r w:rsidRPr="001F224B">
              <w:rPr>
                <w:color w:val="000000"/>
                <w:sz w:val="20"/>
                <w:szCs w:val="20"/>
              </w:rPr>
              <w:t xml:space="preserve"> Kar veya Zarar</w:t>
            </w:r>
          </w:p>
        </w:tc>
        <w:tc>
          <w:tcPr>
            <w:tcW w:w="1488" w:type="dxa"/>
            <w:shd w:val="clear" w:color="auto" w:fill="auto"/>
            <w:noWrap/>
            <w:vAlign w:val="bottom"/>
          </w:tcPr>
          <w:p w14:paraId="64209EB7" w14:textId="270FC6CE" w:rsidR="00963C0A" w:rsidRPr="001F224B" w:rsidRDefault="00963C0A" w:rsidP="00963C0A">
            <w:pPr>
              <w:jc w:val="right"/>
              <w:rPr>
                <w:sz w:val="20"/>
                <w:szCs w:val="20"/>
              </w:rPr>
            </w:pPr>
            <w:r w:rsidRPr="001F224B">
              <w:rPr>
                <w:color w:val="000000"/>
                <w:sz w:val="20"/>
                <w:szCs w:val="20"/>
              </w:rPr>
              <w:t>6.175.535</w:t>
            </w:r>
          </w:p>
        </w:tc>
        <w:tc>
          <w:tcPr>
            <w:tcW w:w="1488" w:type="dxa"/>
            <w:shd w:val="clear" w:color="auto" w:fill="auto"/>
            <w:noWrap/>
            <w:vAlign w:val="bottom"/>
          </w:tcPr>
          <w:p w14:paraId="5275CB6A" w14:textId="006ABDB9" w:rsidR="00963C0A" w:rsidRPr="001F224B" w:rsidRDefault="00963C0A" w:rsidP="00963C0A">
            <w:pPr>
              <w:jc w:val="right"/>
              <w:rPr>
                <w:sz w:val="20"/>
                <w:szCs w:val="20"/>
              </w:rPr>
            </w:pPr>
            <w:r w:rsidRPr="001F224B">
              <w:rPr>
                <w:color w:val="000000"/>
                <w:sz w:val="20"/>
                <w:szCs w:val="20"/>
              </w:rPr>
              <w:t>-</w:t>
            </w:r>
          </w:p>
        </w:tc>
        <w:tc>
          <w:tcPr>
            <w:tcW w:w="1489" w:type="dxa"/>
            <w:shd w:val="clear" w:color="auto" w:fill="auto"/>
            <w:noWrap/>
            <w:vAlign w:val="bottom"/>
          </w:tcPr>
          <w:p w14:paraId="0C0981CB" w14:textId="1ECAFA04" w:rsidR="00963C0A" w:rsidRPr="001F224B" w:rsidRDefault="00963C0A" w:rsidP="00963C0A">
            <w:pPr>
              <w:jc w:val="right"/>
              <w:rPr>
                <w:sz w:val="20"/>
                <w:szCs w:val="20"/>
              </w:rPr>
            </w:pPr>
            <w:r w:rsidRPr="001F224B">
              <w:rPr>
                <w:color w:val="000000"/>
                <w:sz w:val="20"/>
                <w:szCs w:val="20"/>
              </w:rPr>
              <w:t>6.175.535</w:t>
            </w:r>
          </w:p>
        </w:tc>
      </w:tr>
      <w:tr w:rsidR="00963C0A" w:rsidRPr="001F224B" w14:paraId="6730D12A" w14:textId="77777777" w:rsidTr="00B023CD">
        <w:trPr>
          <w:trHeight w:val="223"/>
        </w:trPr>
        <w:tc>
          <w:tcPr>
            <w:tcW w:w="5474" w:type="dxa"/>
            <w:shd w:val="clear" w:color="auto" w:fill="auto"/>
            <w:vAlign w:val="center"/>
            <w:hideMark/>
          </w:tcPr>
          <w:p w14:paraId="1965AD5A" w14:textId="05D79132" w:rsidR="00963C0A" w:rsidRPr="001F224B" w:rsidRDefault="00963C0A" w:rsidP="00963C0A">
            <w:pPr>
              <w:rPr>
                <w:color w:val="000000"/>
                <w:sz w:val="20"/>
                <w:szCs w:val="20"/>
              </w:rPr>
            </w:pPr>
            <w:r w:rsidRPr="001F224B">
              <w:rPr>
                <w:color w:val="000000"/>
                <w:sz w:val="20"/>
                <w:szCs w:val="20"/>
              </w:rPr>
              <w:t xml:space="preserve">      6.1. Geçmiş Yıllar Kar/Zararı</w:t>
            </w:r>
          </w:p>
        </w:tc>
        <w:tc>
          <w:tcPr>
            <w:tcW w:w="1488" w:type="dxa"/>
            <w:shd w:val="clear" w:color="auto" w:fill="auto"/>
            <w:noWrap/>
            <w:vAlign w:val="bottom"/>
          </w:tcPr>
          <w:p w14:paraId="6CB81DC6" w14:textId="770DC8C1" w:rsidR="00963C0A" w:rsidRPr="001F224B" w:rsidRDefault="00963C0A" w:rsidP="00963C0A">
            <w:pPr>
              <w:jc w:val="right"/>
              <w:rPr>
                <w:sz w:val="20"/>
                <w:szCs w:val="20"/>
              </w:rPr>
            </w:pPr>
            <w:r w:rsidRPr="001F224B">
              <w:rPr>
                <w:color w:val="000000"/>
                <w:sz w:val="20"/>
                <w:szCs w:val="20"/>
              </w:rPr>
              <w:t>-</w:t>
            </w:r>
          </w:p>
        </w:tc>
        <w:tc>
          <w:tcPr>
            <w:tcW w:w="1488" w:type="dxa"/>
            <w:shd w:val="clear" w:color="auto" w:fill="auto"/>
            <w:noWrap/>
            <w:vAlign w:val="bottom"/>
          </w:tcPr>
          <w:p w14:paraId="6E5B2B17" w14:textId="0F20CCD5" w:rsidR="00963C0A" w:rsidRPr="001F224B" w:rsidRDefault="00963C0A" w:rsidP="00963C0A">
            <w:pPr>
              <w:jc w:val="right"/>
              <w:rPr>
                <w:sz w:val="20"/>
                <w:szCs w:val="20"/>
              </w:rPr>
            </w:pPr>
            <w:r w:rsidRPr="001F224B">
              <w:rPr>
                <w:color w:val="000000"/>
                <w:sz w:val="20"/>
                <w:szCs w:val="20"/>
              </w:rPr>
              <w:t>-</w:t>
            </w:r>
          </w:p>
        </w:tc>
        <w:tc>
          <w:tcPr>
            <w:tcW w:w="1489" w:type="dxa"/>
            <w:shd w:val="clear" w:color="auto" w:fill="auto"/>
            <w:noWrap/>
            <w:vAlign w:val="bottom"/>
          </w:tcPr>
          <w:p w14:paraId="3A90FC6E" w14:textId="68103440" w:rsidR="00963C0A" w:rsidRPr="001F224B" w:rsidRDefault="00963C0A" w:rsidP="00963C0A">
            <w:pPr>
              <w:jc w:val="right"/>
              <w:rPr>
                <w:sz w:val="20"/>
                <w:szCs w:val="20"/>
              </w:rPr>
            </w:pPr>
            <w:r w:rsidRPr="001F224B">
              <w:rPr>
                <w:color w:val="000000"/>
                <w:sz w:val="20"/>
                <w:szCs w:val="20"/>
              </w:rPr>
              <w:t>-</w:t>
            </w:r>
          </w:p>
        </w:tc>
      </w:tr>
      <w:tr w:rsidR="00963C0A" w:rsidRPr="001F224B" w14:paraId="09178690" w14:textId="77777777" w:rsidTr="00B023CD">
        <w:trPr>
          <w:trHeight w:val="223"/>
        </w:trPr>
        <w:tc>
          <w:tcPr>
            <w:tcW w:w="5474" w:type="dxa"/>
            <w:shd w:val="clear" w:color="auto" w:fill="auto"/>
            <w:vAlign w:val="center"/>
            <w:hideMark/>
          </w:tcPr>
          <w:p w14:paraId="56D523DB" w14:textId="39E9D709" w:rsidR="00963C0A" w:rsidRPr="001F224B" w:rsidRDefault="00963C0A" w:rsidP="00963C0A">
            <w:pPr>
              <w:rPr>
                <w:color w:val="000000"/>
                <w:sz w:val="20"/>
                <w:szCs w:val="20"/>
              </w:rPr>
            </w:pPr>
            <w:r w:rsidRPr="001F224B">
              <w:rPr>
                <w:color w:val="000000"/>
                <w:sz w:val="20"/>
                <w:szCs w:val="20"/>
              </w:rPr>
              <w:t xml:space="preserve">      6.2. Dönem Net Kar/Zararı</w:t>
            </w:r>
          </w:p>
        </w:tc>
        <w:tc>
          <w:tcPr>
            <w:tcW w:w="1488" w:type="dxa"/>
            <w:shd w:val="clear" w:color="auto" w:fill="auto"/>
            <w:noWrap/>
            <w:vAlign w:val="bottom"/>
          </w:tcPr>
          <w:p w14:paraId="49CD5C1A" w14:textId="4189BD74" w:rsidR="00963C0A" w:rsidRPr="001F224B" w:rsidRDefault="00963C0A" w:rsidP="00963C0A">
            <w:pPr>
              <w:jc w:val="right"/>
              <w:rPr>
                <w:sz w:val="20"/>
                <w:szCs w:val="20"/>
              </w:rPr>
            </w:pPr>
            <w:r w:rsidRPr="001F224B">
              <w:rPr>
                <w:sz w:val="20"/>
                <w:szCs w:val="20"/>
              </w:rPr>
              <w:t>6.175.535</w:t>
            </w:r>
          </w:p>
        </w:tc>
        <w:tc>
          <w:tcPr>
            <w:tcW w:w="1488" w:type="dxa"/>
            <w:shd w:val="clear" w:color="auto" w:fill="auto"/>
            <w:noWrap/>
            <w:vAlign w:val="bottom"/>
          </w:tcPr>
          <w:p w14:paraId="66533F96" w14:textId="1B4ABB19" w:rsidR="00963C0A" w:rsidRPr="001F224B" w:rsidRDefault="00963C0A" w:rsidP="00963C0A">
            <w:pPr>
              <w:jc w:val="right"/>
              <w:rPr>
                <w:sz w:val="20"/>
                <w:szCs w:val="20"/>
              </w:rPr>
            </w:pPr>
            <w:r w:rsidRPr="001F224B">
              <w:rPr>
                <w:color w:val="000000"/>
                <w:sz w:val="20"/>
                <w:szCs w:val="20"/>
              </w:rPr>
              <w:t>-</w:t>
            </w:r>
          </w:p>
        </w:tc>
        <w:tc>
          <w:tcPr>
            <w:tcW w:w="1489" w:type="dxa"/>
            <w:shd w:val="clear" w:color="auto" w:fill="auto"/>
            <w:noWrap/>
            <w:vAlign w:val="bottom"/>
          </w:tcPr>
          <w:p w14:paraId="22BB5E25" w14:textId="02E298AC" w:rsidR="00963C0A" w:rsidRPr="001F224B" w:rsidRDefault="00963C0A" w:rsidP="00963C0A">
            <w:pPr>
              <w:jc w:val="right"/>
              <w:rPr>
                <w:sz w:val="20"/>
                <w:szCs w:val="20"/>
              </w:rPr>
            </w:pPr>
            <w:r w:rsidRPr="001F224B">
              <w:rPr>
                <w:sz w:val="20"/>
                <w:szCs w:val="20"/>
              </w:rPr>
              <w:t>6.175.535</w:t>
            </w:r>
          </w:p>
        </w:tc>
      </w:tr>
      <w:tr w:rsidR="00963C0A" w:rsidRPr="001F224B" w14:paraId="34364F8E" w14:textId="77777777" w:rsidTr="00947989">
        <w:trPr>
          <w:trHeight w:val="240"/>
        </w:trPr>
        <w:tc>
          <w:tcPr>
            <w:tcW w:w="5474" w:type="dxa"/>
            <w:shd w:val="clear" w:color="auto" w:fill="auto"/>
            <w:vAlign w:val="center"/>
            <w:hideMark/>
          </w:tcPr>
          <w:p w14:paraId="669202F9" w14:textId="77777777" w:rsidR="00963C0A" w:rsidRPr="001F224B" w:rsidRDefault="00963C0A" w:rsidP="00963C0A">
            <w:pPr>
              <w:rPr>
                <w:color w:val="000000"/>
                <w:sz w:val="20"/>
                <w:szCs w:val="20"/>
              </w:rPr>
            </w:pPr>
            <w:r w:rsidRPr="001F224B">
              <w:rPr>
                <w:color w:val="000000"/>
                <w:sz w:val="20"/>
                <w:szCs w:val="20"/>
              </w:rPr>
              <w:t>Çekirdek Sermayeden İndirimler (-)</w:t>
            </w:r>
          </w:p>
        </w:tc>
        <w:tc>
          <w:tcPr>
            <w:tcW w:w="1488" w:type="dxa"/>
            <w:shd w:val="clear" w:color="auto" w:fill="auto"/>
            <w:noWrap/>
            <w:vAlign w:val="bottom"/>
          </w:tcPr>
          <w:p w14:paraId="0A89014C" w14:textId="24FAF3C4" w:rsidR="00963C0A" w:rsidRPr="001F224B" w:rsidRDefault="00963C0A" w:rsidP="00963C0A">
            <w:pPr>
              <w:jc w:val="right"/>
              <w:rPr>
                <w:color w:val="000000"/>
                <w:sz w:val="20"/>
                <w:szCs w:val="20"/>
              </w:rPr>
            </w:pPr>
            <w:r w:rsidRPr="001F224B">
              <w:rPr>
                <w:color w:val="000000"/>
                <w:sz w:val="20"/>
                <w:szCs w:val="20"/>
              </w:rPr>
              <w:t>-</w:t>
            </w:r>
          </w:p>
        </w:tc>
        <w:tc>
          <w:tcPr>
            <w:tcW w:w="1488" w:type="dxa"/>
            <w:shd w:val="clear" w:color="auto" w:fill="auto"/>
            <w:noWrap/>
            <w:vAlign w:val="bottom"/>
          </w:tcPr>
          <w:p w14:paraId="4503773B" w14:textId="57A46AAD" w:rsidR="00963C0A" w:rsidRPr="001F224B" w:rsidRDefault="00963C0A" w:rsidP="00963C0A">
            <w:pPr>
              <w:jc w:val="right"/>
              <w:rPr>
                <w:color w:val="000000"/>
                <w:sz w:val="20"/>
                <w:szCs w:val="20"/>
              </w:rPr>
            </w:pPr>
            <w:r w:rsidRPr="001F224B">
              <w:rPr>
                <w:color w:val="000000"/>
                <w:sz w:val="20"/>
                <w:szCs w:val="20"/>
              </w:rPr>
              <w:t>(585.146)</w:t>
            </w:r>
          </w:p>
        </w:tc>
        <w:tc>
          <w:tcPr>
            <w:tcW w:w="1489" w:type="dxa"/>
            <w:shd w:val="clear" w:color="auto" w:fill="auto"/>
            <w:noWrap/>
            <w:vAlign w:val="bottom"/>
          </w:tcPr>
          <w:p w14:paraId="3101FC3C" w14:textId="06754603" w:rsidR="00963C0A" w:rsidRPr="001F224B" w:rsidRDefault="00963C0A" w:rsidP="00963C0A">
            <w:pPr>
              <w:jc w:val="right"/>
              <w:rPr>
                <w:color w:val="000000"/>
                <w:sz w:val="20"/>
                <w:szCs w:val="20"/>
              </w:rPr>
            </w:pPr>
            <w:r w:rsidRPr="001F224B">
              <w:rPr>
                <w:color w:val="000000"/>
                <w:sz w:val="20"/>
                <w:szCs w:val="20"/>
              </w:rPr>
              <w:t>(585.146)</w:t>
            </w:r>
          </w:p>
        </w:tc>
      </w:tr>
      <w:tr w:rsidR="00963C0A" w:rsidRPr="001F224B" w14:paraId="759DDBFA" w14:textId="77777777" w:rsidTr="00B023CD">
        <w:trPr>
          <w:trHeight w:val="223"/>
        </w:trPr>
        <w:tc>
          <w:tcPr>
            <w:tcW w:w="5474" w:type="dxa"/>
            <w:shd w:val="clear" w:color="auto" w:fill="auto"/>
            <w:vAlign w:val="center"/>
            <w:hideMark/>
          </w:tcPr>
          <w:p w14:paraId="2296D88C" w14:textId="77777777" w:rsidR="00963C0A" w:rsidRPr="001F224B" w:rsidRDefault="00963C0A" w:rsidP="00963C0A">
            <w:pPr>
              <w:rPr>
                <w:b/>
                <w:bCs/>
                <w:iCs/>
                <w:color w:val="000000"/>
                <w:sz w:val="20"/>
                <w:szCs w:val="20"/>
              </w:rPr>
            </w:pPr>
            <w:r w:rsidRPr="001F224B">
              <w:rPr>
                <w:b/>
                <w:bCs/>
                <w:iCs/>
                <w:color w:val="000000"/>
                <w:sz w:val="20"/>
                <w:szCs w:val="20"/>
              </w:rPr>
              <w:t>Çekirdek Sermaye</w:t>
            </w:r>
          </w:p>
        </w:tc>
        <w:tc>
          <w:tcPr>
            <w:tcW w:w="1488" w:type="dxa"/>
            <w:shd w:val="clear" w:color="auto" w:fill="auto"/>
            <w:noWrap/>
            <w:vAlign w:val="bottom"/>
          </w:tcPr>
          <w:p w14:paraId="0FFE4429" w14:textId="440A27F1" w:rsidR="00963C0A" w:rsidRPr="001F224B" w:rsidRDefault="00963C0A" w:rsidP="00963C0A">
            <w:pPr>
              <w:jc w:val="right"/>
              <w:rPr>
                <w:b/>
                <w:sz w:val="20"/>
                <w:szCs w:val="20"/>
              </w:rPr>
            </w:pPr>
            <w:r w:rsidRPr="001F224B">
              <w:rPr>
                <w:b/>
                <w:bCs/>
                <w:color w:val="000000"/>
                <w:sz w:val="20"/>
                <w:szCs w:val="20"/>
              </w:rPr>
              <w:t>20.005.400</w:t>
            </w:r>
          </w:p>
        </w:tc>
        <w:tc>
          <w:tcPr>
            <w:tcW w:w="1488" w:type="dxa"/>
            <w:shd w:val="clear" w:color="auto" w:fill="auto"/>
            <w:noWrap/>
            <w:vAlign w:val="bottom"/>
          </w:tcPr>
          <w:p w14:paraId="28898F72" w14:textId="445BC79D" w:rsidR="00963C0A" w:rsidRPr="001F224B" w:rsidRDefault="00963C0A" w:rsidP="00963C0A">
            <w:pPr>
              <w:jc w:val="right"/>
              <w:rPr>
                <w:b/>
                <w:sz w:val="20"/>
                <w:szCs w:val="20"/>
              </w:rPr>
            </w:pPr>
            <w:r w:rsidRPr="001F224B">
              <w:rPr>
                <w:b/>
                <w:bCs/>
                <w:color w:val="000000"/>
                <w:sz w:val="20"/>
                <w:szCs w:val="20"/>
              </w:rPr>
              <w:t>(540.156)</w:t>
            </w:r>
          </w:p>
        </w:tc>
        <w:tc>
          <w:tcPr>
            <w:tcW w:w="1489" w:type="dxa"/>
            <w:shd w:val="clear" w:color="auto" w:fill="auto"/>
            <w:noWrap/>
            <w:vAlign w:val="bottom"/>
          </w:tcPr>
          <w:p w14:paraId="4050C4E2" w14:textId="42B3F829" w:rsidR="00963C0A" w:rsidRPr="001F224B" w:rsidRDefault="00963C0A" w:rsidP="00963C0A">
            <w:pPr>
              <w:jc w:val="right"/>
              <w:rPr>
                <w:b/>
                <w:sz w:val="20"/>
                <w:szCs w:val="20"/>
              </w:rPr>
            </w:pPr>
            <w:r w:rsidRPr="001F224B">
              <w:rPr>
                <w:b/>
                <w:bCs/>
                <w:color w:val="000000"/>
                <w:sz w:val="20"/>
                <w:szCs w:val="20"/>
              </w:rPr>
              <w:t>19.465.244</w:t>
            </w:r>
          </w:p>
        </w:tc>
      </w:tr>
      <w:tr w:rsidR="00963C0A" w:rsidRPr="001F224B" w14:paraId="0ED90441" w14:textId="77777777" w:rsidTr="00E247D0">
        <w:trPr>
          <w:trHeight w:val="223"/>
        </w:trPr>
        <w:tc>
          <w:tcPr>
            <w:tcW w:w="5474" w:type="dxa"/>
            <w:shd w:val="clear" w:color="auto" w:fill="auto"/>
            <w:vAlign w:val="center"/>
            <w:hideMark/>
          </w:tcPr>
          <w:p w14:paraId="440D09C5" w14:textId="77777777" w:rsidR="00963C0A" w:rsidRPr="001F224B" w:rsidRDefault="00963C0A" w:rsidP="00963C0A">
            <w:pPr>
              <w:rPr>
                <w:color w:val="000000"/>
                <w:sz w:val="20"/>
                <w:szCs w:val="20"/>
              </w:rPr>
            </w:pPr>
            <w:r w:rsidRPr="001F224B">
              <w:rPr>
                <w:color w:val="000000"/>
                <w:sz w:val="20"/>
                <w:szCs w:val="20"/>
              </w:rPr>
              <w:t>Sermaye Benzeri Krediler</w:t>
            </w:r>
          </w:p>
        </w:tc>
        <w:tc>
          <w:tcPr>
            <w:tcW w:w="1488" w:type="dxa"/>
            <w:shd w:val="clear" w:color="auto" w:fill="auto"/>
            <w:noWrap/>
            <w:vAlign w:val="bottom"/>
          </w:tcPr>
          <w:p w14:paraId="433C9F76" w14:textId="0A37044E" w:rsidR="00963C0A" w:rsidRPr="001F224B" w:rsidRDefault="00963C0A" w:rsidP="00963C0A">
            <w:pPr>
              <w:jc w:val="right"/>
              <w:rPr>
                <w:color w:val="000000" w:themeColor="text1"/>
                <w:sz w:val="20"/>
                <w:szCs w:val="20"/>
              </w:rPr>
            </w:pPr>
            <w:r w:rsidRPr="001F224B">
              <w:rPr>
                <w:color w:val="000000"/>
                <w:sz w:val="20"/>
                <w:szCs w:val="20"/>
              </w:rPr>
              <w:t>-</w:t>
            </w:r>
          </w:p>
        </w:tc>
        <w:tc>
          <w:tcPr>
            <w:tcW w:w="1488" w:type="dxa"/>
            <w:shd w:val="clear" w:color="auto" w:fill="auto"/>
            <w:noWrap/>
            <w:vAlign w:val="bottom"/>
          </w:tcPr>
          <w:p w14:paraId="07BE43FE" w14:textId="32C5E261" w:rsidR="00963C0A" w:rsidRPr="001F224B" w:rsidRDefault="00963C0A" w:rsidP="00963C0A">
            <w:pPr>
              <w:jc w:val="right"/>
              <w:rPr>
                <w:color w:val="000000" w:themeColor="text1"/>
                <w:sz w:val="20"/>
                <w:szCs w:val="20"/>
              </w:rPr>
            </w:pPr>
            <w:r w:rsidRPr="001F224B">
              <w:rPr>
                <w:sz w:val="20"/>
                <w:szCs w:val="20"/>
              </w:rPr>
              <w:t>1.500.000</w:t>
            </w:r>
          </w:p>
        </w:tc>
        <w:tc>
          <w:tcPr>
            <w:tcW w:w="1489" w:type="dxa"/>
            <w:shd w:val="clear" w:color="auto" w:fill="auto"/>
            <w:noWrap/>
            <w:vAlign w:val="bottom"/>
          </w:tcPr>
          <w:p w14:paraId="29431DBF" w14:textId="16FBC4CE" w:rsidR="00963C0A" w:rsidRPr="001F224B" w:rsidRDefault="00963C0A" w:rsidP="00963C0A">
            <w:pPr>
              <w:jc w:val="right"/>
              <w:rPr>
                <w:color w:val="000000"/>
                <w:sz w:val="20"/>
                <w:szCs w:val="20"/>
              </w:rPr>
            </w:pPr>
            <w:r w:rsidRPr="001F224B">
              <w:rPr>
                <w:sz w:val="20"/>
                <w:szCs w:val="20"/>
              </w:rPr>
              <w:t>1.500.000</w:t>
            </w:r>
          </w:p>
        </w:tc>
      </w:tr>
      <w:tr w:rsidR="00963C0A" w:rsidRPr="001F224B" w14:paraId="5A1AAB2C" w14:textId="77777777" w:rsidTr="00E247D0">
        <w:trPr>
          <w:trHeight w:val="223"/>
        </w:trPr>
        <w:tc>
          <w:tcPr>
            <w:tcW w:w="5474" w:type="dxa"/>
            <w:shd w:val="clear" w:color="auto" w:fill="auto"/>
            <w:vAlign w:val="center"/>
            <w:hideMark/>
          </w:tcPr>
          <w:p w14:paraId="3684D940" w14:textId="77777777" w:rsidR="00963C0A" w:rsidRPr="001F224B" w:rsidRDefault="00963C0A" w:rsidP="00963C0A">
            <w:pPr>
              <w:rPr>
                <w:color w:val="000000"/>
                <w:sz w:val="20"/>
                <w:szCs w:val="20"/>
              </w:rPr>
            </w:pPr>
            <w:r w:rsidRPr="001F224B">
              <w:rPr>
                <w:color w:val="000000"/>
                <w:sz w:val="20"/>
                <w:szCs w:val="20"/>
              </w:rPr>
              <w:t>Ana Sermayeden İndirimler (-)</w:t>
            </w:r>
          </w:p>
        </w:tc>
        <w:tc>
          <w:tcPr>
            <w:tcW w:w="1488" w:type="dxa"/>
            <w:shd w:val="clear" w:color="auto" w:fill="auto"/>
            <w:noWrap/>
            <w:vAlign w:val="bottom"/>
          </w:tcPr>
          <w:p w14:paraId="218F4977" w14:textId="1910BBB4" w:rsidR="00963C0A" w:rsidRPr="001F224B" w:rsidRDefault="00963C0A" w:rsidP="00963C0A">
            <w:pPr>
              <w:jc w:val="right"/>
              <w:rPr>
                <w:color w:val="000000" w:themeColor="text1"/>
                <w:sz w:val="20"/>
                <w:szCs w:val="20"/>
              </w:rPr>
            </w:pPr>
            <w:r w:rsidRPr="001F224B">
              <w:rPr>
                <w:color w:val="000000"/>
                <w:sz w:val="20"/>
                <w:szCs w:val="20"/>
              </w:rPr>
              <w:t>-</w:t>
            </w:r>
          </w:p>
        </w:tc>
        <w:tc>
          <w:tcPr>
            <w:tcW w:w="1488" w:type="dxa"/>
            <w:shd w:val="clear" w:color="auto" w:fill="auto"/>
            <w:noWrap/>
            <w:vAlign w:val="bottom"/>
          </w:tcPr>
          <w:p w14:paraId="11020C36" w14:textId="6A0F1CC8" w:rsidR="00963C0A" w:rsidRPr="001F224B" w:rsidRDefault="00963C0A" w:rsidP="00963C0A">
            <w:pPr>
              <w:jc w:val="right"/>
              <w:rPr>
                <w:color w:val="000000" w:themeColor="text1"/>
                <w:sz w:val="20"/>
                <w:szCs w:val="20"/>
              </w:rPr>
            </w:pPr>
            <w:r w:rsidRPr="001F224B">
              <w:rPr>
                <w:color w:val="000000"/>
                <w:sz w:val="20"/>
                <w:szCs w:val="20"/>
              </w:rPr>
              <w:t>-</w:t>
            </w:r>
          </w:p>
        </w:tc>
        <w:tc>
          <w:tcPr>
            <w:tcW w:w="1489" w:type="dxa"/>
            <w:shd w:val="clear" w:color="auto" w:fill="auto"/>
            <w:noWrap/>
            <w:vAlign w:val="bottom"/>
          </w:tcPr>
          <w:p w14:paraId="169B2D04" w14:textId="2B8D6452" w:rsidR="00963C0A" w:rsidRPr="001F224B" w:rsidRDefault="00963C0A" w:rsidP="00963C0A">
            <w:pPr>
              <w:jc w:val="right"/>
              <w:rPr>
                <w:color w:val="000000"/>
                <w:sz w:val="20"/>
                <w:szCs w:val="20"/>
              </w:rPr>
            </w:pPr>
            <w:r w:rsidRPr="001F224B">
              <w:rPr>
                <w:color w:val="000000"/>
                <w:sz w:val="20"/>
                <w:szCs w:val="20"/>
              </w:rPr>
              <w:t>-</w:t>
            </w:r>
          </w:p>
        </w:tc>
      </w:tr>
      <w:tr w:rsidR="00963C0A" w:rsidRPr="001F224B" w14:paraId="5B9CA5CA" w14:textId="77777777" w:rsidTr="00E247D0">
        <w:trPr>
          <w:trHeight w:val="223"/>
        </w:trPr>
        <w:tc>
          <w:tcPr>
            <w:tcW w:w="5474" w:type="dxa"/>
            <w:shd w:val="clear" w:color="auto" w:fill="auto"/>
            <w:vAlign w:val="center"/>
            <w:hideMark/>
          </w:tcPr>
          <w:p w14:paraId="4C25A414" w14:textId="77777777" w:rsidR="00963C0A" w:rsidRPr="001F224B" w:rsidRDefault="00963C0A" w:rsidP="00963C0A">
            <w:pPr>
              <w:rPr>
                <w:b/>
                <w:bCs/>
                <w:iCs/>
                <w:color w:val="000000"/>
                <w:sz w:val="20"/>
                <w:szCs w:val="20"/>
              </w:rPr>
            </w:pPr>
            <w:r w:rsidRPr="001F224B">
              <w:rPr>
                <w:b/>
                <w:bCs/>
                <w:iCs/>
                <w:color w:val="000000"/>
                <w:sz w:val="20"/>
                <w:szCs w:val="20"/>
              </w:rPr>
              <w:t xml:space="preserve">Ana Sermaye </w:t>
            </w:r>
          </w:p>
        </w:tc>
        <w:tc>
          <w:tcPr>
            <w:tcW w:w="1488" w:type="dxa"/>
            <w:shd w:val="clear" w:color="auto" w:fill="auto"/>
            <w:noWrap/>
            <w:vAlign w:val="bottom"/>
          </w:tcPr>
          <w:p w14:paraId="5B147F16" w14:textId="5CDD895A" w:rsidR="00963C0A" w:rsidRPr="001F224B" w:rsidRDefault="00963C0A" w:rsidP="00963C0A">
            <w:pPr>
              <w:jc w:val="right"/>
              <w:rPr>
                <w:b/>
                <w:color w:val="000000" w:themeColor="text1"/>
                <w:sz w:val="20"/>
                <w:szCs w:val="20"/>
              </w:rPr>
            </w:pPr>
            <w:r w:rsidRPr="001F224B">
              <w:rPr>
                <w:b/>
                <w:bCs/>
                <w:color w:val="000000"/>
                <w:sz w:val="20"/>
                <w:szCs w:val="20"/>
              </w:rPr>
              <w:t>20.005.400</w:t>
            </w:r>
          </w:p>
        </w:tc>
        <w:tc>
          <w:tcPr>
            <w:tcW w:w="1488" w:type="dxa"/>
            <w:shd w:val="clear" w:color="auto" w:fill="auto"/>
            <w:noWrap/>
            <w:vAlign w:val="bottom"/>
          </w:tcPr>
          <w:p w14:paraId="3C5C5771" w14:textId="0DE20D8C" w:rsidR="00963C0A" w:rsidRPr="001F224B" w:rsidRDefault="00963C0A" w:rsidP="00963C0A">
            <w:pPr>
              <w:jc w:val="right"/>
              <w:rPr>
                <w:b/>
                <w:color w:val="000000" w:themeColor="text1"/>
                <w:sz w:val="20"/>
                <w:szCs w:val="20"/>
              </w:rPr>
            </w:pPr>
            <w:r w:rsidRPr="001F224B">
              <w:rPr>
                <w:b/>
                <w:bCs/>
                <w:color w:val="000000"/>
                <w:sz w:val="20"/>
                <w:szCs w:val="20"/>
              </w:rPr>
              <w:t>959.844</w:t>
            </w:r>
          </w:p>
        </w:tc>
        <w:tc>
          <w:tcPr>
            <w:tcW w:w="1489" w:type="dxa"/>
            <w:shd w:val="clear" w:color="auto" w:fill="auto"/>
            <w:noWrap/>
            <w:vAlign w:val="bottom"/>
          </w:tcPr>
          <w:p w14:paraId="3D936BD5" w14:textId="7133F773" w:rsidR="00963C0A" w:rsidRPr="001F224B" w:rsidRDefault="00963C0A" w:rsidP="00963C0A">
            <w:pPr>
              <w:jc w:val="right"/>
              <w:rPr>
                <w:b/>
                <w:bCs/>
                <w:color w:val="000000"/>
                <w:sz w:val="20"/>
                <w:szCs w:val="20"/>
              </w:rPr>
            </w:pPr>
            <w:r w:rsidRPr="001F224B">
              <w:rPr>
                <w:b/>
                <w:bCs/>
                <w:color w:val="000000"/>
                <w:sz w:val="20"/>
                <w:szCs w:val="20"/>
              </w:rPr>
              <w:t>20.965.244</w:t>
            </w:r>
          </w:p>
        </w:tc>
      </w:tr>
      <w:tr w:rsidR="00963C0A" w:rsidRPr="001F224B" w14:paraId="551C051A" w14:textId="77777777" w:rsidTr="00E247D0">
        <w:trPr>
          <w:trHeight w:val="223"/>
        </w:trPr>
        <w:tc>
          <w:tcPr>
            <w:tcW w:w="5474" w:type="dxa"/>
            <w:shd w:val="clear" w:color="auto" w:fill="auto"/>
            <w:vAlign w:val="center"/>
            <w:hideMark/>
          </w:tcPr>
          <w:p w14:paraId="6D5854F5" w14:textId="77777777" w:rsidR="00963C0A" w:rsidRPr="001F224B" w:rsidRDefault="00963C0A" w:rsidP="00963C0A">
            <w:pPr>
              <w:rPr>
                <w:color w:val="000000"/>
                <w:sz w:val="20"/>
                <w:szCs w:val="20"/>
              </w:rPr>
            </w:pPr>
            <w:r w:rsidRPr="001F224B">
              <w:rPr>
                <w:color w:val="000000"/>
                <w:sz w:val="20"/>
                <w:szCs w:val="20"/>
              </w:rPr>
              <w:t>Sermaye Benzeri Krediler</w:t>
            </w:r>
          </w:p>
        </w:tc>
        <w:tc>
          <w:tcPr>
            <w:tcW w:w="1488" w:type="dxa"/>
            <w:shd w:val="clear" w:color="auto" w:fill="auto"/>
            <w:noWrap/>
            <w:vAlign w:val="bottom"/>
          </w:tcPr>
          <w:p w14:paraId="70C01D88" w14:textId="77716B73" w:rsidR="00963C0A" w:rsidRPr="001F224B" w:rsidRDefault="00963C0A" w:rsidP="00963C0A">
            <w:pPr>
              <w:jc w:val="right"/>
              <w:rPr>
                <w:color w:val="000000" w:themeColor="text1"/>
                <w:sz w:val="20"/>
                <w:szCs w:val="20"/>
              </w:rPr>
            </w:pPr>
            <w:r w:rsidRPr="001F224B">
              <w:rPr>
                <w:b/>
                <w:bCs/>
                <w:color w:val="000000"/>
                <w:sz w:val="20"/>
                <w:szCs w:val="20"/>
              </w:rPr>
              <w:t>-</w:t>
            </w:r>
          </w:p>
        </w:tc>
        <w:tc>
          <w:tcPr>
            <w:tcW w:w="1488" w:type="dxa"/>
            <w:shd w:val="clear" w:color="auto" w:fill="auto"/>
            <w:noWrap/>
            <w:vAlign w:val="bottom"/>
          </w:tcPr>
          <w:p w14:paraId="1539E537" w14:textId="483E807C" w:rsidR="00963C0A" w:rsidRPr="001F224B" w:rsidRDefault="00963C0A" w:rsidP="00963C0A">
            <w:pPr>
              <w:jc w:val="right"/>
              <w:rPr>
                <w:color w:val="000000" w:themeColor="text1"/>
                <w:sz w:val="20"/>
                <w:szCs w:val="20"/>
              </w:rPr>
            </w:pPr>
            <w:r w:rsidRPr="001F224B">
              <w:rPr>
                <w:sz w:val="20"/>
                <w:szCs w:val="20"/>
              </w:rPr>
              <w:t>2.060.311</w:t>
            </w:r>
          </w:p>
        </w:tc>
        <w:tc>
          <w:tcPr>
            <w:tcW w:w="1489" w:type="dxa"/>
            <w:shd w:val="clear" w:color="auto" w:fill="auto"/>
            <w:noWrap/>
            <w:vAlign w:val="bottom"/>
          </w:tcPr>
          <w:p w14:paraId="691B3DBA" w14:textId="7FB0D2EA" w:rsidR="00963C0A" w:rsidRPr="001F224B" w:rsidRDefault="00963C0A" w:rsidP="00963C0A">
            <w:pPr>
              <w:jc w:val="right"/>
              <w:rPr>
                <w:color w:val="000000"/>
                <w:sz w:val="20"/>
                <w:szCs w:val="20"/>
              </w:rPr>
            </w:pPr>
            <w:r w:rsidRPr="001F224B">
              <w:rPr>
                <w:sz w:val="20"/>
                <w:szCs w:val="20"/>
              </w:rPr>
              <w:t>2.060.311</w:t>
            </w:r>
          </w:p>
        </w:tc>
      </w:tr>
      <w:tr w:rsidR="00963C0A" w:rsidRPr="001F224B" w14:paraId="1FC2ADE5" w14:textId="77777777" w:rsidTr="00E247D0">
        <w:trPr>
          <w:trHeight w:val="192"/>
        </w:trPr>
        <w:tc>
          <w:tcPr>
            <w:tcW w:w="5474" w:type="dxa"/>
            <w:shd w:val="clear" w:color="auto" w:fill="auto"/>
            <w:vAlign w:val="center"/>
            <w:hideMark/>
          </w:tcPr>
          <w:p w14:paraId="2EFC8BF1" w14:textId="77777777" w:rsidR="00963C0A" w:rsidRPr="001F224B" w:rsidRDefault="00963C0A" w:rsidP="00963C0A">
            <w:pPr>
              <w:rPr>
                <w:color w:val="000000"/>
                <w:sz w:val="20"/>
                <w:szCs w:val="20"/>
              </w:rPr>
            </w:pPr>
            <w:r w:rsidRPr="001F224B">
              <w:rPr>
                <w:color w:val="000000"/>
                <w:sz w:val="20"/>
                <w:szCs w:val="20"/>
              </w:rPr>
              <w:t>Genel Karşılıklar</w:t>
            </w:r>
          </w:p>
        </w:tc>
        <w:tc>
          <w:tcPr>
            <w:tcW w:w="1488" w:type="dxa"/>
            <w:shd w:val="clear" w:color="auto" w:fill="auto"/>
            <w:noWrap/>
            <w:vAlign w:val="bottom"/>
          </w:tcPr>
          <w:p w14:paraId="299159B2" w14:textId="192C5593" w:rsidR="00963C0A" w:rsidRPr="001F224B" w:rsidRDefault="00963C0A" w:rsidP="00963C0A">
            <w:pPr>
              <w:jc w:val="right"/>
              <w:rPr>
                <w:color w:val="000000" w:themeColor="text1"/>
                <w:sz w:val="20"/>
                <w:szCs w:val="20"/>
              </w:rPr>
            </w:pPr>
            <w:r w:rsidRPr="001F224B">
              <w:rPr>
                <w:color w:val="000000"/>
                <w:sz w:val="20"/>
                <w:szCs w:val="20"/>
              </w:rPr>
              <w:t>-</w:t>
            </w:r>
          </w:p>
        </w:tc>
        <w:tc>
          <w:tcPr>
            <w:tcW w:w="1488" w:type="dxa"/>
            <w:shd w:val="clear" w:color="auto" w:fill="auto"/>
            <w:noWrap/>
            <w:vAlign w:val="bottom"/>
          </w:tcPr>
          <w:p w14:paraId="482ABD88" w14:textId="0C2DC7EB" w:rsidR="00963C0A" w:rsidRPr="001F224B" w:rsidRDefault="00963C0A" w:rsidP="00963C0A">
            <w:pPr>
              <w:jc w:val="right"/>
              <w:rPr>
                <w:color w:val="000000" w:themeColor="text1"/>
                <w:sz w:val="20"/>
                <w:szCs w:val="20"/>
              </w:rPr>
            </w:pPr>
            <w:r w:rsidRPr="001F224B">
              <w:rPr>
                <w:sz w:val="20"/>
                <w:szCs w:val="20"/>
              </w:rPr>
              <w:t>1.212.764</w:t>
            </w:r>
          </w:p>
        </w:tc>
        <w:tc>
          <w:tcPr>
            <w:tcW w:w="1489" w:type="dxa"/>
            <w:shd w:val="clear" w:color="auto" w:fill="auto"/>
            <w:noWrap/>
            <w:vAlign w:val="bottom"/>
          </w:tcPr>
          <w:p w14:paraId="2AB5E944" w14:textId="6B7B8B08" w:rsidR="00963C0A" w:rsidRPr="001F224B" w:rsidRDefault="00963C0A" w:rsidP="00963C0A">
            <w:pPr>
              <w:jc w:val="right"/>
              <w:rPr>
                <w:color w:val="000000"/>
                <w:sz w:val="20"/>
                <w:szCs w:val="20"/>
              </w:rPr>
            </w:pPr>
            <w:r w:rsidRPr="001F224B">
              <w:rPr>
                <w:sz w:val="20"/>
                <w:szCs w:val="20"/>
              </w:rPr>
              <w:t>1.212.764</w:t>
            </w:r>
          </w:p>
        </w:tc>
      </w:tr>
      <w:tr w:rsidR="00963C0A" w:rsidRPr="001F224B" w14:paraId="2032CCD3" w14:textId="77777777" w:rsidTr="00E247D0">
        <w:trPr>
          <w:trHeight w:val="223"/>
        </w:trPr>
        <w:tc>
          <w:tcPr>
            <w:tcW w:w="5474" w:type="dxa"/>
            <w:shd w:val="clear" w:color="auto" w:fill="auto"/>
            <w:vAlign w:val="center"/>
            <w:hideMark/>
          </w:tcPr>
          <w:p w14:paraId="0A95FC04" w14:textId="77777777" w:rsidR="00963C0A" w:rsidRPr="001F224B" w:rsidRDefault="00963C0A" w:rsidP="00963C0A">
            <w:pPr>
              <w:rPr>
                <w:color w:val="000000"/>
                <w:sz w:val="20"/>
                <w:szCs w:val="20"/>
              </w:rPr>
            </w:pPr>
            <w:r w:rsidRPr="001F224B">
              <w:rPr>
                <w:color w:val="000000"/>
                <w:sz w:val="20"/>
                <w:szCs w:val="20"/>
              </w:rPr>
              <w:t>Katkı Sermayeden İndirimler (-)</w:t>
            </w:r>
          </w:p>
        </w:tc>
        <w:tc>
          <w:tcPr>
            <w:tcW w:w="1488" w:type="dxa"/>
            <w:shd w:val="clear" w:color="auto" w:fill="auto"/>
            <w:noWrap/>
            <w:vAlign w:val="bottom"/>
          </w:tcPr>
          <w:p w14:paraId="36F1E66B" w14:textId="54DE825F" w:rsidR="00963C0A" w:rsidRPr="001F224B" w:rsidRDefault="00963C0A" w:rsidP="00963C0A">
            <w:pPr>
              <w:jc w:val="right"/>
              <w:rPr>
                <w:color w:val="000000" w:themeColor="text1"/>
                <w:sz w:val="20"/>
                <w:szCs w:val="20"/>
              </w:rPr>
            </w:pPr>
            <w:r w:rsidRPr="001F224B">
              <w:rPr>
                <w:color w:val="000000"/>
                <w:sz w:val="20"/>
                <w:szCs w:val="20"/>
              </w:rPr>
              <w:t>-</w:t>
            </w:r>
          </w:p>
        </w:tc>
        <w:tc>
          <w:tcPr>
            <w:tcW w:w="1488" w:type="dxa"/>
            <w:shd w:val="clear" w:color="auto" w:fill="auto"/>
            <w:noWrap/>
            <w:vAlign w:val="bottom"/>
          </w:tcPr>
          <w:p w14:paraId="79215CDA" w14:textId="5F1467AD" w:rsidR="00963C0A" w:rsidRPr="001F224B" w:rsidRDefault="00963C0A" w:rsidP="00963C0A">
            <w:pPr>
              <w:jc w:val="right"/>
              <w:rPr>
                <w:color w:val="000000" w:themeColor="text1"/>
                <w:sz w:val="20"/>
                <w:szCs w:val="20"/>
              </w:rPr>
            </w:pPr>
            <w:r w:rsidRPr="001F224B">
              <w:rPr>
                <w:sz w:val="20"/>
                <w:szCs w:val="20"/>
              </w:rPr>
              <w:t>-</w:t>
            </w:r>
          </w:p>
        </w:tc>
        <w:tc>
          <w:tcPr>
            <w:tcW w:w="1489" w:type="dxa"/>
            <w:shd w:val="clear" w:color="auto" w:fill="auto"/>
            <w:noWrap/>
            <w:vAlign w:val="bottom"/>
          </w:tcPr>
          <w:p w14:paraId="0FF40A10" w14:textId="4DDE4E80" w:rsidR="00963C0A" w:rsidRPr="001F224B" w:rsidRDefault="00963C0A" w:rsidP="00963C0A">
            <w:pPr>
              <w:jc w:val="right"/>
              <w:rPr>
                <w:color w:val="000000"/>
                <w:sz w:val="20"/>
                <w:szCs w:val="20"/>
              </w:rPr>
            </w:pPr>
            <w:r w:rsidRPr="001F224B">
              <w:rPr>
                <w:sz w:val="20"/>
                <w:szCs w:val="20"/>
              </w:rPr>
              <w:t>-</w:t>
            </w:r>
          </w:p>
        </w:tc>
      </w:tr>
      <w:tr w:rsidR="00963C0A" w:rsidRPr="001F224B" w14:paraId="31A2D8B2" w14:textId="77777777" w:rsidTr="00E247D0">
        <w:trPr>
          <w:trHeight w:val="223"/>
        </w:trPr>
        <w:tc>
          <w:tcPr>
            <w:tcW w:w="5474" w:type="dxa"/>
            <w:shd w:val="clear" w:color="auto" w:fill="auto"/>
            <w:vAlign w:val="center"/>
            <w:hideMark/>
          </w:tcPr>
          <w:p w14:paraId="57E8794B" w14:textId="77777777" w:rsidR="00963C0A" w:rsidRPr="001F224B" w:rsidRDefault="00963C0A" w:rsidP="00963C0A">
            <w:pPr>
              <w:rPr>
                <w:b/>
                <w:bCs/>
                <w:iCs/>
                <w:color w:val="000000"/>
                <w:sz w:val="20"/>
                <w:szCs w:val="20"/>
              </w:rPr>
            </w:pPr>
            <w:r w:rsidRPr="001F224B">
              <w:rPr>
                <w:b/>
                <w:bCs/>
                <w:iCs/>
                <w:color w:val="000000"/>
                <w:sz w:val="20"/>
                <w:szCs w:val="20"/>
              </w:rPr>
              <w:t xml:space="preserve">Katkı Sermaye </w:t>
            </w:r>
          </w:p>
        </w:tc>
        <w:tc>
          <w:tcPr>
            <w:tcW w:w="1488" w:type="dxa"/>
            <w:shd w:val="clear" w:color="auto" w:fill="auto"/>
            <w:noWrap/>
            <w:vAlign w:val="bottom"/>
          </w:tcPr>
          <w:p w14:paraId="0C820665" w14:textId="2C363F78" w:rsidR="00963C0A" w:rsidRPr="001F224B" w:rsidRDefault="00963C0A" w:rsidP="00963C0A">
            <w:pPr>
              <w:jc w:val="right"/>
              <w:rPr>
                <w:color w:val="000000" w:themeColor="text1"/>
                <w:sz w:val="20"/>
                <w:szCs w:val="20"/>
              </w:rPr>
            </w:pPr>
            <w:r w:rsidRPr="001F224B">
              <w:rPr>
                <w:b/>
                <w:bCs/>
                <w:color w:val="000000"/>
                <w:sz w:val="20"/>
                <w:szCs w:val="20"/>
              </w:rPr>
              <w:t>-</w:t>
            </w:r>
          </w:p>
        </w:tc>
        <w:tc>
          <w:tcPr>
            <w:tcW w:w="1488" w:type="dxa"/>
            <w:shd w:val="clear" w:color="auto" w:fill="auto"/>
            <w:noWrap/>
            <w:vAlign w:val="bottom"/>
          </w:tcPr>
          <w:p w14:paraId="733C037D" w14:textId="4A126E23" w:rsidR="00963C0A" w:rsidRPr="001F224B" w:rsidRDefault="00963C0A" w:rsidP="00963C0A">
            <w:pPr>
              <w:jc w:val="right"/>
              <w:rPr>
                <w:b/>
                <w:color w:val="000000" w:themeColor="text1"/>
                <w:sz w:val="20"/>
                <w:szCs w:val="20"/>
              </w:rPr>
            </w:pPr>
            <w:r w:rsidRPr="001F224B">
              <w:rPr>
                <w:b/>
                <w:bCs/>
                <w:color w:val="000000"/>
                <w:sz w:val="20"/>
                <w:szCs w:val="20"/>
              </w:rPr>
              <w:t>3.273.075</w:t>
            </w:r>
          </w:p>
        </w:tc>
        <w:tc>
          <w:tcPr>
            <w:tcW w:w="1489" w:type="dxa"/>
            <w:shd w:val="clear" w:color="auto" w:fill="auto"/>
            <w:noWrap/>
            <w:vAlign w:val="bottom"/>
          </w:tcPr>
          <w:p w14:paraId="605ED875" w14:textId="77F2D83C" w:rsidR="00963C0A" w:rsidRPr="001F224B" w:rsidRDefault="00963C0A" w:rsidP="00963C0A">
            <w:pPr>
              <w:jc w:val="right"/>
              <w:rPr>
                <w:b/>
                <w:bCs/>
                <w:color w:val="000000"/>
                <w:sz w:val="20"/>
                <w:szCs w:val="20"/>
              </w:rPr>
            </w:pPr>
            <w:r w:rsidRPr="001F224B">
              <w:rPr>
                <w:b/>
                <w:bCs/>
                <w:color w:val="000000"/>
                <w:sz w:val="20"/>
                <w:szCs w:val="20"/>
              </w:rPr>
              <w:t>3.273.075</w:t>
            </w:r>
          </w:p>
        </w:tc>
      </w:tr>
      <w:tr w:rsidR="00963C0A" w:rsidRPr="001F224B" w14:paraId="707EF887" w14:textId="77777777" w:rsidTr="00435059">
        <w:trPr>
          <w:trHeight w:val="174"/>
        </w:trPr>
        <w:tc>
          <w:tcPr>
            <w:tcW w:w="5474" w:type="dxa"/>
            <w:tcBorders>
              <w:bottom w:val="single" w:sz="4" w:space="0" w:color="auto"/>
            </w:tcBorders>
            <w:shd w:val="clear" w:color="auto" w:fill="auto"/>
            <w:vAlign w:val="center"/>
            <w:hideMark/>
          </w:tcPr>
          <w:p w14:paraId="4F5FF67C" w14:textId="77777777" w:rsidR="00963C0A" w:rsidRPr="001F224B" w:rsidRDefault="00963C0A" w:rsidP="00963C0A">
            <w:pPr>
              <w:rPr>
                <w:color w:val="000000"/>
                <w:sz w:val="20"/>
                <w:szCs w:val="20"/>
              </w:rPr>
            </w:pPr>
            <w:r w:rsidRPr="001F224B">
              <w:rPr>
                <w:color w:val="000000"/>
                <w:sz w:val="20"/>
                <w:szCs w:val="20"/>
              </w:rPr>
              <w:t>Özkaynaktan İndirimler (-)</w:t>
            </w:r>
          </w:p>
        </w:tc>
        <w:tc>
          <w:tcPr>
            <w:tcW w:w="1488" w:type="dxa"/>
            <w:tcBorders>
              <w:bottom w:val="single" w:sz="4" w:space="0" w:color="auto"/>
            </w:tcBorders>
            <w:shd w:val="clear" w:color="auto" w:fill="auto"/>
            <w:noWrap/>
            <w:vAlign w:val="bottom"/>
          </w:tcPr>
          <w:p w14:paraId="2F7FDA60" w14:textId="541E388A" w:rsidR="00963C0A" w:rsidRPr="001F224B" w:rsidRDefault="00963C0A" w:rsidP="00963C0A">
            <w:pPr>
              <w:jc w:val="right"/>
              <w:rPr>
                <w:color w:val="000000" w:themeColor="text1"/>
                <w:sz w:val="20"/>
                <w:szCs w:val="20"/>
              </w:rPr>
            </w:pPr>
            <w:r w:rsidRPr="001F224B">
              <w:rPr>
                <w:color w:val="000000"/>
                <w:sz w:val="20"/>
                <w:szCs w:val="20"/>
              </w:rPr>
              <w:t>-</w:t>
            </w:r>
          </w:p>
        </w:tc>
        <w:tc>
          <w:tcPr>
            <w:tcW w:w="1488" w:type="dxa"/>
            <w:tcBorders>
              <w:bottom w:val="single" w:sz="4" w:space="0" w:color="auto"/>
            </w:tcBorders>
            <w:shd w:val="clear" w:color="auto" w:fill="auto"/>
            <w:noWrap/>
            <w:vAlign w:val="bottom"/>
          </w:tcPr>
          <w:p w14:paraId="56E95ADB" w14:textId="1636A5B5" w:rsidR="00963C0A" w:rsidRPr="001F224B" w:rsidRDefault="00963C0A" w:rsidP="00963C0A">
            <w:pPr>
              <w:jc w:val="right"/>
              <w:rPr>
                <w:color w:val="000000" w:themeColor="text1"/>
                <w:sz w:val="20"/>
                <w:szCs w:val="20"/>
              </w:rPr>
            </w:pPr>
            <w:r w:rsidRPr="001F224B">
              <w:rPr>
                <w:color w:val="000000"/>
                <w:sz w:val="20"/>
                <w:szCs w:val="20"/>
              </w:rPr>
              <w:t>-</w:t>
            </w:r>
          </w:p>
        </w:tc>
        <w:tc>
          <w:tcPr>
            <w:tcW w:w="1489" w:type="dxa"/>
            <w:tcBorders>
              <w:bottom w:val="single" w:sz="4" w:space="0" w:color="auto"/>
            </w:tcBorders>
            <w:shd w:val="clear" w:color="auto" w:fill="auto"/>
            <w:noWrap/>
            <w:vAlign w:val="bottom"/>
          </w:tcPr>
          <w:p w14:paraId="514F766C" w14:textId="44EE44BC" w:rsidR="00963C0A" w:rsidRPr="001F224B" w:rsidRDefault="00963C0A" w:rsidP="00963C0A">
            <w:pPr>
              <w:jc w:val="right"/>
              <w:rPr>
                <w:color w:val="000000"/>
                <w:sz w:val="20"/>
                <w:szCs w:val="20"/>
              </w:rPr>
            </w:pPr>
            <w:r w:rsidRPr="001F224B">
              <w:rPr>
                <w:color w:val="000000"/>
                <w:sz w:val="20"/>
                <w:szCs w:val="20"/>
              </w:rPr>
              <w:t>-</w:t>
            </w:r>
          </w:p>
        </w:tc>
      </w:tr>
      <w:tr w:rsidR="00963C0A" w:rsidRPr="001F224B" w14:paraId="7ED8CABC" w14:textId="77777777" w:rsidTr="00435059">
        <w:trPr>
          <w:trHeight w:val="60"/>
        </w:trPr>
        <w:tc>
          <w:tcPr>
            <w:tcW w:w="5474" w:type="dxa"/>
            <w:tcBorders>
              <w:bottom w:val="single" w:sz="4" w:space="0" w:color="auto"/>
            </w:tcBorders>
            <w:shd w:val="clear" w:color="auto" w:fill="auto"/>
            <w:vAlign w:val="center"/>
            <w:hideMark/>
          </w:tcPr>
          <w:p w14:paraId="52115771" w14:textId="77777777" w:rsidR="00963C0A" w:rsidRPr="001F224B" w:rsidRDefault="00963C0A" w:rsidP="00963C0A">
            <w:pPr>
              <w:rPr>
                <w:b/>
                <w:bCs/>
                <w:iCs/>
                <w:color w:val="000000"/>
                <w:sz w:val="20"/>
                <w:szCs w:val="20"/>
              </w:rPr>
            </w:pPr>
            <w:r w:rsidRPr="001F224B">
              <w:rPr>
                <w:b/>
                <w:bCs/>
                <w:iCs/>
                <w:color w:val="000000"/>
                <w:sz w:val="20"/>
                <w:szCs w:val="20"/>
              </w:rPr>
              <w:t>Toplam</w:t>
            </w:r>
          </w:p>
        </w:tc>
        <w:tc>
          <w:tcPr>
            <w:tcW w:w="1488" w:type="dxa"/>
            <w:tcBorders>
              <w:bottom w:val="single" w:sz="4" w:space="0" w:color="auto"/>
            </w:tcBorders>
            <w:shd w:val="clear" w:color="auto" w:fill="auto"/>
            <w:noWrap/>
            <w:vAlign w:val="bottom"/>
          </w:tcPr>
          <w:p w14:paraId="7E546263" w14:textId="5504ACCA" w:rsidR="00963C0A" w:rsidRPr="001F224B" w:rsidRDefault="00963C0A" w:rsidP="00963C0A">
            <w:pPr>
              <w:jc w:val="right"/>
              <w:rPr>
                <w:color w:val="000000"/>
                <w:sz w:val="20"/>
                <w:szCs w:val="20"/>
              </w:rPr>
            </w:pPr>
            <w:r w:rsidRPr="001F224B">
              <w:rPr>
                <w:b/>
                <w:bCs/>
                <w:color w:val="000000"/>
                <w:sz w:val="20"/>
                <w:szCs w:val="20"/>
              </w:rPr>
              <w:t>20.005.400</w:t>
            </w:r>
          </w:p>
        </w:tc>
        <w:tc>
          <w:tcPr>
            <w:tcW w:w="1488" w:type="dxa"/>
            <w:tcBorders>
              <w:bottom w:val="single" w:sz="4" w:space="0" w:color="auto"/>
            </w:tcBorders>
            <w:shd w:val="clear" w:color="auto" w:fill="auto"/>
            <w:noWrap/>
            <w:vAlign w:val="bottom"/>
          </w:tcPr>
          <w:p w14:paraId="064F7617" w14:textId="68488825" w:rsidR="00963C0A" w:rsidRPr="001F224B" w:rsidRDefault="00963C0A" w:rsidP="00963C0A">
            <w:pPr>
              <w:jc w:val="right"/>
              <w:rPr>
                <w:b/>
                <w:color w:val="000000"/>
                <w:sz w:val="20"/>
                <w:szCs w:val="20"/>
              </w:rPr>
            </w:pPr>
            <w:r w:rsidRPr="001F224B">
              <w:rPr>
                <w:b/>
                <w:bCs/>
                <w:color w:val="000000"/>
                <w:sz w:val="20"/>
                <w:szCs w:val="20"/>
              </w:rPr>
              <w:t>4.232.919</w:t>
            </w:r>
          </w:p>
        </w:tc>
        <w:tc>
          <w:tcPr>
            <w:tcW w:w="1489" w:type="dxa"/>
            <w:tcBorders>
              <w:bottom w:val="single" w:sz="4" w:space="0" w:color="auto"/>
            </w:tcBorders>
            <w:shd w:val="clear" w:color="auto" w:fill="auto"/>
            <w:noWrap/>
            <w:vAlign w:val="bottom"/>
          </w:tcPr>
          <w:p w14:paraId="3172093A" w14:textId="12DCA0C9" w:rsidR="00963C0A" w:rsidRPr="001F224B" w:rsidRDefault="00963C0A" w:rsidP="00963C0A">
            <w:pPr>
              <w:jc w:val="right"/>
              <w:rPr>
                <w:b/>
                <w:bCs/>
                <w:color w:val="000000"/>
                <w:sz w:val="20"/>
                <w:szCs w:val="20"/>
              </w:rPr>
            </w:pPr>
            <w:r w:rsidRPr="001F224B">
              <w:rPr>
                <w:b/>
                <w:bCs/>
                <w:color w:val="000000"/>
                <w:sz w:val="20"/>
                <w:szCs w:val="20"/>
              </w:rPr>
              <w:t>24.238.319</w:t>
            </w:r>
          </w:p>
        </w:tc>
      </w:tr>
    </w:tbl>
    <w:p w14:paraId="5DE6983D" w14:textId="77777777" w:rsidR="00F05468" w:rsidRPr="001F224B" w:rsidRDefault="00F05468" w:rsidP="007F1038">
      <w:pPr>
        <w:spacing w:before="120" w:after="120"/>
        <w:ind w:left="567"/>
        <w:rPr>
          <w:rFonts w:eastAsia="Calibri"/>
          <w:b/>
          <w:bCs/>
          <w:color w:val="000000"/>
          <w:sz w:val="22"/>
          <w:szCs w:val="22"/>
        </w:rPr>
      </w:pPr>
    </w:p>
    <w:p w14:paraId="726B456F" w14:textId="77777777" w:rsidR="00F05468" w:rsidRPr="001F224B" w:rsidRDefault="00F05468" w:rsidP="00F05468">
      <w:pPr>
        <w:rPr>
          <w:rFonts w:eastAsia="Calibri"/>
          <w:sz w:val="22"/>
          <w:szCs w:val="22"/>
        </w:rPr>
      </w:pPr>
    </w:p>
    <w:p w14:paraId="18539509" w14:textId="77777777" w:rsidR="00F05468" w:rsidRPr="001F224B" w:rsidRDefault="00F05468" w:rsidP="00F05468">
      <w:pPr>
        <w:rPr>
          <w:rFonts w:eastAsia="Calibri"/>
          <w:sz w:val="22"/>
          <w:szCs w:val="22"/>
        </w:rPr>
      </w:pPr>
    </w:p>
    <w:p w14:paraId="59892859" w14:textId="77777777" w:rsidR="00F05468" w:rsidRPr="001F224B" w:rsidRDefault="00F05468" w:rsidP="00F05468">
      <w:pPr>
        <w:rPr>
          <w:rFonts w:eastAsia="Calibri"/>
          <w:sz w:val="22"/>
          <w:szCs w:val="22"/>
        </w:rPr>
      </w:pPr>
    </w:p>
    <w:p w14:paraId="7DDDD35E" w14:textId="77777777" w:rsidR="00F05468" w:rsidRPr="001F224B" w:rsidRDefault="00F05468" w:rsidP="00F05468">
      <w:pPr>
        <w:rPr>
          <w:rFonts w:eastAsia="Calibri"/>
          <w:sz w:val="22"/>
          <w:szCs w:val="22"/>
        </w:rPr>
      </w:pPr>
    </w:p>
    <w:p w14:paraId="4202B2B6" w14:textId="77777777" w:rsidR="00F05468" w:rsidRPr="001F224B" w:rsidRDefault="00F05468" w:rsidP="00F05468">
      <w:pPr>
        <w:rPr>
          <w:rFonts w:eastAsia="Calibri"/>
          <w:sz w:val="22"/>
          <w:szCs w:val="22"/>
        </w:rPr>
      </w:pPr>
    </w:p>
    <w:p w14:paraId="7C8EC9CE" w14:textId="77777777" w:rsidR="00F05468" w:rsidRPr="001F224B" w:rsidRDefault="00F05468" w:rsidP="00F05468">
      <w:pPr>
        <w:rPr>
          <w:rFonts w:eastAsia="Calibri"/>
          <w:sz w:val="22"/>
          <w:szCs w:val="22"/>
        </w:rPr>
      </w:pPr>
    </w:p>
    <w:p w14:paraId="0CE0CDF0" w14:textId="77777777" w:rsidR="00F05468" w:rsidRPr="001F224B" w:rsidRDefault="00F05468" w:rsidP="00F05468">
      <w:pPr>
        <w:rPr>
          <w:rFonts w:eastAsia="Calibri"/>
          <w:sz w:val="22"/>
          <w:szCs w:val="22"/>
        </w:rPr>
      </w:pPr>
    </w:p>
    <w:p w14:paraId="27492B75" w14:textId="77777777" w:rsidR="00F05468" w:rsidRPr="001F224B" w:rsidRDefault="00F05468" w:rsidP="00F05468">
      <w:pPr>
        <w:rPr>
          <w:rFonts w:eastAsia="Calibri"/>
          <w:sz w:val="22"/>
          <w:szCs w:val="22"/>
        </w:rPr>
      </w:pPr>
    </w:p>
    <w:p w14:paraId="3D14F4FB" w14:textId="77777777" w:rsidR="00F05468" w:rsidRPr="001F224B" w:rsidRDefault="00F05468" w:rsidP="00F05468">
      <w:pPr>
        <w:rPr>
          <w:rFonts w:eastAsia="Calibri"/>
          <w:sz w:val="22"/>
          <w:szCs w:val="22"/>
        </w:rPr>
      </w:pPr>
    </w:p>
    <w:p w14:paraId="680713FA" w14:textId="77777777" w:rsidR="00F05468" w:rsidRPr="001F224B" w:rsidRDefault="00F05468" w:rsidP="00F05468">
      <w:pPr>
        <w:rPr>
          <w:rFonts w:eastAsia="Calibri"/>
          <w:sz w:val="22"/>
          <w:szCs w:val="22"/>
        </w:rPr>
      </w:pPr>
    </w:p>
    <w:p w14:paraId="72965301" w14:textId="77777777" w:rsidR="00F05468" w:rsidRPr="001F224B" w:rsidRDefault="00F05468" w:rsidP="00F05468">
      <w:pPr>
        <w:rPr>
          <w:rFonts w:eastAsia="Calibri"/>
          <w:sz w:val="22"/>
          <w:szCs w:val="22"/>
        </w:rPr>
      </w:pPr>
    </w:p>
    <w:p w14:paraId="0BFB50DE" w14:textId="77777777" w:rsidR="00F05468" w:rsidRPr="001F224B" w:rsidRDefault="00F05468" w:rsidP="00F05468">
      <w:pPr>
        <w:rPr>
          <w:rFonts w:eastAsia="Calibri"/>
          <w:sz w:val="22"/>
          <w:szCs w:val="22"/>
        </w:rPr>
      </w:pPr>
    </w:p>
    <w:p w14:paraId="4359FFBB" w14:textId="77777777" w:rsidR="00F05468" w:rsidRPr="001F224B" w:rsidRDefault="00F05468" w:rsidP="00F05468">
      <w:pPr>
        <w:rPr>
          <w:rFonts w:eastAsia="Calibri"/>
          <w:sz w:val="22"/>
          <w:szCs w:val="22"/>
        </w:rPr>
      </w:pPr>
    </w:p>
    <w:p w14:paraId="6EB493C7" w14:textId="77777777" w:rsidR="00F05468" w:rsidRPr="001F224B" w:rsidRDefault="00F05468" w:rsidP="00F05468">
      <w:pPr>
        <w:rPr>
          <w:rFonts w:eastAsia="Calibri"/>
          <w:sz w:val="22"/>
          <w:szCs w:val="22"/>
        </w:rPr>
      </w:pPr>
    </w:p>
    <w:p w14:paraId="20963A3F" w14:textId="77777777" w:rsidR="00F05468" w:rsidRPr="001F224B" w:rsidRDefault="00F05468" w:rsidP="00F05468">
      <w:pPr>
        <w:rPr>
          <w:rFonts w:eastAsia="Calibri"/>
          <w:sz w:val="22"/>
          <w:szCs w:val="22"/>
        </w:rPr>
      </w:pPr>
    </w:p>
    <w:p w14:paraId="3E454D97" w14:textId="77777777" w:rsidR="00F05468" w:rsidRPr="001F224B" w:rsidRDefault="00F05468" w:rsidP="00F05468">
      <w:pPr>
        <w:rPr>
          <w:rFonts w:eastAsia="Calibri"/>
          <w:sz w:val="22"/>
          <w:szCs w:val="22"/>
        </w:rPr>
      </w:pPr>
    </w:p>
    <w:p w14:paraId="03BE775F" w14:textId="77777777" w:rsidR="00873AE1" w:rsidRPr="001F224B" w:rsidRDefault="00F05468" w:rsidP="00F05468">
      <w:pPr>
        <w:tabs>
          <w:tab w:val="center" w:pos="4904"/>
        </w:tabs>
        <w:rPr>
          <w:rFonts w:eastAsia="Calibri"/>
          <w:sz w:val="22"/>
          <w:szCs w:val="22"/>
        </w:rPr>
        <w:sectPr w:rsidR="00873AE1" w:rsidRPr="001F224B" w:rsidSect="004B312F">
          <w:footerReference w:type="first" r:id="rId98"/>
          <w:pgSz w:w="11907" w:h="16840" w:code="9"/>
          <w:pgMar w:top="680" w:right="964" w:bottom="567" w:left="1134" w:header="624" w:footer="397" w:gutter="0"/>
          <w:cols w:space="708"/>
          <w:titlePg/>
          <w:docGrid w:linePitch="326"/>
        </w:sectPr>
      </w:pPr>
      <w:r w:rsidRPr="001F224B">
        <w:rPr>
          <w:rFonts w:eastAsia="Calibri"/>
          <w:sz w:val="22"/>
          <w:szCs w:val="22"/>
        </w:rPr>
        <w:tab/>
      </w:r>
    </w:p>
    <w:p w14:paraId="49101246" w14:textId="3C997A63" w:rsidR="00EF4E61" w:rsidRPr="001F224B" w:rsidRDefault="00EF4E61" w:rsidP="00F5305D">
      <w:pPr>
        <w:pStyle w:val="ListParagraph"/>
        <w:tabs>
          <w:tab w:val="left" w:pos="0"/>
        </w:tabs>
        <w:ind w:left="0"/>
        <w:rPr>
          <w:b/>
          <w:bCs/>
          <w:sz w:val="22"/>
          <w:szCs w:val="22"/>
        </w:rPr>
      </w:pPr>
      <w:r w:rsidRPr="001F224B">
        <w:rPr>
          <w:b/>
          <w:bCs/>
          <w:sz w:val="22"/>
          <w:szCs w:val="22"/>
        </w:rPr>
        <w:t>DÖRDÜNCÜ BÖLÜM (Devamı)</w:t>
      </w:r>
    </w:p>
    <w:p w14:paraId="0899E804" w14:textId="3B0D6736" w:rsidR="00EF4E61" w:rsidRPr="001F224B" w:rsidRDefault="00EF6E83" w:rsidP="00EF4E61">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EF4E61" w:rsidRPr="001F224B">
        <w:rPr>
          <w:b/>
          <w:bCs/>
          <w:sz w:val="22"/>
          <w:szCs w:val="22"/>
        </w:rPr>
        <w:t>(Devamı)</w:t>
      </w:r>
    </w:p>
    <w:p w14:paraId="13669A1A" w14:textId="54C591D8" w:rsidR="00FE6648" w:rsidRPr="001F224B" w:rsidRDefault="00FE6648" w:rsidP="00F034E4">
      <w:pPr>
        <w:spacing w:before="120"/>
        <w:ind w:left="567" w:hanging="567"/>
        <w:jc w:val="both"/>
        <w:rPr>
          <w:b/>
          <w:bCs/>
          <w:sz w:val="22"/>
          <w:szCs w:val="22"/>
        </w:rPr>
      </w:pPr>
      <w:r w:rsidRPr="001F224B">
        <w:rPr>
          <w:b/>
          <w:bCs/>
          <w:sz w:val="22"/>
          <w:szCs w:val="22"/>
        </w:rPr>
        <w:t>I</w:t>
      </w:r>
      <w:r w:rsidR="00F034E4" w:rsidRPr="001F224B">
        <w:rPr>
          <w:b/>
          <w:bCs/>
          <w:sz w:val="22"/>
          <w:szCs w:val="22"/>
        </w:rPr>
        <w:t>.</w:t>
      </w:r>
      <w:r w:rsidRPr="001F224B">
        <w:rPr>
          <w:b/>
          <w:bCs/>
          <w:sz w:val="22"/>
          <w:szCs w:val="22"/>
        </w:rPr>
        <w:t xml:space="preserve">    </w:t>
      </w:r>
      <w:r w:rsidR="002E48BA" w:rsidRPr="001F224B">
        <w:rPr>
          <w:b/>
          <w:bCs/>
          <w:sz w:val="22"/>
          <w:szCs w:val="22"/>
        </w:rPr>
        <w:t>Konsolide</w:t>
      </w:r>
      <w:r w:rsidR="001C7ECB" w:rsidRPr="001F224B">
        <w:rPr>
          <w:b/>
          <w:bCs/>
          <w:sz w:val="22"/>
          <w:szCs w:val="22"/>
        </w:rPr>
        <w:t xml:space="preserve"> ö</w:t>
      </w:r>
      <w:r w:rsidRPr="001F224B">
        <w:rPr>
          <w:b/>
          <w:bCs/>
          <w:sz w:val="22"/>
          <w:szCs w:val="22"/>
        </w:rPr>
        <w:t>zkaynak ka</w:t>
      </w:r>
      <w:r w:rsidR="00DA1AD8" w:rsidRPr="001F224B">
        <w:rPr>
          <w:b/>
          <w:bCs/>
          <w:sz w:val="22"/>
          <w:szCs w:val="22"/>
        </w:rPr>
        <w:t>lemlerine ilişkin açıklamalar (D</w:t>
      </w:r>
      <w:r w:rsidRPr="001F224B">
        <w:rPr>
          <w:b/>
          <w:bCs/>
          <w:sz w:val="22"/>
          <w:szCs w:val="22"/>
        </w:rPr>
        <w:t>evamı)</w:t>
      </w:r>
    </w:p>
    <w:p w14:paraId="62329735" w14:textId="4CE99B89" w:rsidR="00063624" w:rsidRPr="001F224B" w:rsidRDefault="00201734" w:rsidP="00201734">
      <w:pPr>
        <w:spacing w:before="120" w:after="120"/>
        <w:jc w:val="both"/>
        <w:rPr>
          <w:b/>
          <w:bCs/>
          <w:sz w:val="22"/>
          <w:szCs w:val="22"/>
        </w:rPr>
      </w:pPr>
      <w:r w:rsidRPr="001F224B">
        <w:rPr>
          <w:b/>
          <w:bCs/>
          <w:sz w:val="22"/>
          <w:szCs w:val="22"/>
        </w:rPr>
        <w:t xml:space="preserve">       </w:t>
      </w:r>
      <w:r w:rsidR="002E48BA" w:rsidRPr="001F224B">
        <w:rPr>
          <w:b/>
          <w:bCs/>
          <w:sz w:val="22"/>
          <w:szCs w:val="22"/>
        </w:rPr>
        <w:t xml:space="preserve">Konsolide </w:t>
      </w:r>
      <w:r w:rsidR="001C7ECB" w:rsidRPr="001F224B">
        <w:rPr>
          <w:b/>
          <w:bCs/>
          <w:sz w:val="22"/>
          <w:szCs w:val="22"/>
        </w:rPr>
        <w:t>ö</w:t>
      </w:r>
      <w:r w:rsidR="00063624" w:rsidRPr="001F224B">
        <w:rPr>
          <w:b/>
          <w:bCs/>
          <w:sz w:val="22"/>
          <w:szCs w:val="22"/>
        </w:rPr>
        <w:t>zkaynak hesaplamasına dahil edilecek borçlanma araçlarına ilişkin bilgiler:</w:t>
      </w:r>
    </w:p>
    <w:tbl>
      <w:tblPr>
        <w:tblStyle w:val="TabloKlavuzu6"/>
        <w:tblW w:w="10037" w:type="dxa"/>
        <w:tblInd w:w="23" w:type="dxa"/>
        <w:tblLook w:val="04A0" w:firstRow="1" w:lastRow="0" w:firstColumn="1" w:lastColumn="0" w:noHBand="0" w:noVBand="1"/>
      </w:tblPr>
      <w:tblGrid>
        <w:gridCol w:w="7910"/>
        <w:gridCol w:w="2127"/>
      </w:tblGrid>
      <w:tr w:rsidR="00D84490" w:rsidRPr="001F224B" w14:paraId="389EA2D3" w14:textId="77777777" w:rsidTr="00376779">
        <w:trPr>
          <w:trHeight w:val="386"/>
        </w:trPr>
        <w:tc>
          <w:tcPr>
            <w:tcW w:w="7910" w:type="dxa"/>
            <w:noWrap/>
            <w:vAlign w:val="bottom"/>
          </w:tcPr>
          <w:p w14:paraId="5CA66DF2" w14:textId="77777777" w:rsidR="00D84490" w:rsidRPr="001F224B" w:rsidRDefault="00D84490" w:rsidP="00376779">
            <w:pPr>
              <w:rPr>
                <w:sz w:val="18"/>
                <w:szCs w:val="18"/>
              </w:rPr>
            </w:pPr>
            <w:r w:rsidRPr="001F224B">
              <w:rPr>
                <w:b/>
                <w:bCs/>
                <w:sz w:val="18"/>
                <w:szCs w:val="18"/>
              </w:rPr>
              <w:t>Cari Dönem (30.06.2025)</w:t>
            </w:r>
          </w:p>
        </w:tc>
        <w:tc>
          <w:tcPr>
            <w:tcW w:w="2127" w:type="dxa"/>
            <w:vAlign w:val="bottom"/>
          </w:tcPr>
          <w:p w14:paraId="77D4C536" w14:textId="77777777" w:rsidR="00D84490" w:rsidRPr="001F224B" w:rsidRDefault="00D84490" w:rsidP="00376779">
            <w:pPr>
              <w:rPr>
                <w:sz w:val="18"/>
                <w:szCs w:val="18"/>
              </w:rPr>
            </w:pPr>
          </w:p>
        </w:tc>
      </w:tr>
      <w:tr w:rsidR="00D84490" w:rsidRPr="001F224B" w14:paraId="48ADF15F" w14:textId="77777777" w:rsidTr="00376779">
        <w:trPr>
          <w:trHeight w:val="170"/>
        </w:trPr>
        <w:tc>
          <w:tcPr>
            <w:tcW w:w="7910" w:type="dxa"/>
            <w:noWrap/>
            <w:vAlign w:val="center"/>
          </w:tcPr>
          <w:p w14:paraId="38D95C62" w14:textId="77777777" w:rsidR="00D84490" w:rsidRPr="001F224B" w:rsidRDefault="00D84490" w:rsidP="00376779">
            <w:pPr>
              <w:rPr>
                <w:sz w:val="18"/>
                <w:szCs w:val="18"/>
              </w:rPr>
            </w:pPr>
            <w:r w:rsidRPr="001F224B">
              <w:rPr>
                <w:sz w:val="18"/>
                <w:szCs w:val="18"/>
              </w:rPr>
              <w:t>İhraççı / Krediyi Kullandıran</w:t>
            </w:r>
          </w:p>
        </w:tc>
        <w:tc>
          <w:tcPr>
            <w:tcW w:w="2127" w:type="dxa"/>
            <w:vAlign w:val="bottom"/>
          </w:tcPr>
          <w:p w14:paraId="05B9EC61" w14:textId="77777777" w:rsidR="00D84490" w:rsidRPr="001F224B" w:rsidRDefault="00D84490" w:rsidP="00376779">
            <w:pPr>
              <w:rPr>
                <w:sz w:val="18"/>
                <w:szCs w:val="18"/>
              </w:rPr>
            </w:pPr>
            <w:r w:rsidRPr="001F224B">
              <w:rPr>
                <w:sz w:val="18"/>
                <w:szCs w:val="18"/>
              </w:rPr>
              <w:t>Banka / T.C. Hazine ve Maliye Bakanlığı</w:t>
            </w:r>
          </w:p>
        </w:tc>
      </w:tr>
      <w:tr w:rsidR="00D84490" w:rsidRPr="001F224B" w14:paraId="7B805B4D" w14:textId="77777777" w:rsidTr="00376779">
        <w:trPr>
          <w:trHeight w:val="170"/>
        </w:trPr>
        <w:tc>
          <w:tcPr>
            <w:tcW w:w="7910" w:type="dxa"/>
            <w:noWrap/>
            <w:vAlign w:val="bottom"/>
            <w:hideMark/>
          </w:tcPr>
          <w:p w14:paraId="5411A2D3" w14:textId="77777777" w:rsidR="00D84490" w:rsidRPr="001F224B" w:rsidRDefault="00D84490" w:rsidP="00376779">
            <w:pPr>
              <w:rPr>
                <w:sz w:val="18"/>
                <w:szCs w:val="18"/>
              </w:rPr>
            </w:pPr>
            <w:r w:rsidRPr="001F224B">
              <w:rPr>
                <w:sz w:val="18"/>
                <w:szCs w:val="18"/>
              </w:rPr>
              <w:t>Aracının kodu (CUSIP, ISIN vb.)</w:t>
            </w:r>
          </w:p>
        </w:tc>
        <w:tc>
          <w:tcPr>
            <w:tcW w:w="2127" w:type="dxa"/>
            <w:vAlign w:val="bottom"/>
            <w:hideMark/>
          </w:tcPr>
          <w:p w14:paraId="43A06646" w14:textId="77777777" w:rsidR="00D84490" w:rsidRPr="001F224B" w:rsidRDefault="00D84490" w:rsidP="00376779">
            <w:pPr>
              <w:rPr>
                <w:sz w:val="18"/>
                <w:szCs w:val="18"/>
              </w:rPr>
            </w:pPr>
            <w:r w:rsidRPr="001F224B">
              <w:rPr>
                <w:sz w:val="18"/>
                <w:szCs w:val="18"/>
              </w:rPr>
              <w:t>-</w:t>
            </w:r>
          </w:p>
        </w:tc>
      </w:tr>
      <w:tr w:rsidR="00D84490" w:rsidRPr="001F224B" w14:paraId="0C0952DB" w14:textId="77777777" w:rsidTr="00376779">
        <w:trPr>
          <w:trHeight w:val="170"/>
        </w:trPr>
        <w:tc>
          <w:tcPr>
            <w:tcW w:w="7910" w:type="dxa"/>
            <w:noWrap/>
            <w:vAlign w:val="bottom"/>
            <w:hideMark/>
          </w:tcPr>
          <w:p w14:paraId="063B8AF1" w14:textId="77777777" w:rsidR="00D84490" w:rsidRPr="001F224B" w:rsidRDefault="00D84490" w:rsidP="00376779">
            <w:pPr>
              <w:rPr>
                <w:sz w:val="18"/>
                <w:szCs w:val="18"/>
              </w:rPr>
            </w:pPr>
            <w:r w:rsidRPr="001F224B">
              <w:rPr>
                <w:sz w:val="18"/>
                <w:szCs w:val="18"/>
              </w:rPr>
              <w:t>Aracın tabi olduğu mevzuat</w:t>
            </w:r>
          </w:p>
        </w:tc>
        <w:tc>
          <w:tcPr>
            <w:tcW w:w="2127" w:type="dxa"/>
            <w:vAlign w:val="bottom"/>
            <w:hideMark/>
          </w:tcPr>
          <w:p w14:paraId="354DFDAB" w14:textId="77777777" w:rsidR="00D84490" w:rsidRPr="001F224B" w:rsidRDefault="00D84490" w:rsidP="00376779">
            <w:pPr>
              <w:rPr>
                <w:sz w:val="18"/>
                <w:szCs w:val="18"/>
              </w:rPr>
            </w:pPr>
            <w:r w:rsidRPr="001F224B">
              <w:rPr>
                <w:sz w:val="18"/>
                <w:szCs w:val="18"/>
              </w:rPr>
              <w:t>BDDK</w:t>
            </w:r>
          </w:p>
        </w:tc>
      </w:tr>
      <w:tr w:rsidR="00D84490" w:rsidRPr="001F224B" w14:paraId="3B56FED0" w14:textId="77777777" w:rsidTr="00376779">
        <w:trPr>
          <w:trHeight w:val="170"/>
        </w:trPr>
        <w:tc>
          <w:tcPr>
            <w:tcW w:w="7910" w:type="dxa"/>
            <w:noWrap/>
            <w:vAlign w:val="bottom"/>
            <w:hideMark/>
          </w:tcPr>
          <w:p w14:paraId="5CBC44D8" w14:textId="77777777" w:rsidR="00D84490" w:rsidRPr="001F224B" w:rsidRDefault="00D84490" w:rsidP="00376779">
            <w:pPr>
              <w:rPr>
                <w:b/>
                <w:bCs/>
                <w:sz w:val="18"/>
                <w:szCs w:val="18"/>
              </w:rPr>
            </w:pPr>
            <w:r w:rsidRPr="001F224B">
              <w:rPr>
                <w:b/>
                <w:bCs/>
                <w:sz w:val="18"/>
                <w:szCs w:val="18"/>
              </w:rPr>
              <w:t>Özkaynak hesaplamasında dikkate alınma durumu</w:t>
            </w:r>
          </w:p>
        </w:tc>
        <w:tc>
          <w:tcPr>
            <w:tcW w:w="2127" w:type="dxa"/>
            <w:vAlign w:val="bottom"/>
            <w:hideMark/>
          </w:tcPr>
          <w:p w14:paraId="3DA9EF88" w14:textId="77777777" w:rsidR="00D84490" w:rsidRPr="001F224B" w:rsidRDefault="00D84490" w:rsidP="00376779">
            <w:pPr>
              <w:rPr>
                <w:sz w:val="18"/>
                <w:szCs w:val="18"/>
              </w:rPr>
            </w:pPr>
            <w:r w:rsidRPr="001F224B">
              <w:rPr>
                <w:sz w:val="18"/>
                <w:szCs w:val="18"/>
              </w:rPr>
              <w:t> </w:t>
            </w:r>
          </w:p>
        </w:tc>
      </w:tr>
      <w:tr w:rsidR="00D84490" w:rsidRPr="001F224B" w14:paraId="0C863110" w14:textId="77777777" w:rsidTr="00376779">
        <w:trPr>
          <w:trHeight w:val="170"/>
        </w:trPr>
        <w:tc>
          <w:tcPr>
            <w:tcW w:w="7910" w:type="dxa"/>
            <w:vAlign w:val="bottom"/>
            <w:hideMark/>
          </w:tcPr>
          <w:p w14:paraId="137A3334" w14:textId="77777777" w:rsidR="00D84490" w:rsidRPr="001F224B" w:rsidRDefault="00D84490" w:rsidP="00376779">
            <w:pPr>
              <w:rPr>
                <w:sz w:val="18"/>
                <w:szCs w:val="18"/>
              </w:rPr>
            </w:pPr>
            <w:r w:rsidRPr="001F224B">
              <w:rPr>
                <w:sz w:val="18"/>
                <w:szCs w:val="18"/>
              </w:rPr>
              <w:t>1/1/2015’den itibaren %10 oranında azaltılarak dikkate alınma uygulamasına tabi olma durumu</w:t>
            </w:r>
          </w:p>
        </w:tc>
        <w:tc>
          <w:tcPr>
            <w:tcW w:w="2127" w:type="dxa"/>
            <w:vAlign w:val="bottom"/>
            <w:hideMark/>
          </w:tcPr>
          <w:p w14:paraId="520B09DC" w14:textId="77777777" w:rsidR="00D84490" w:rsidRPr="001F224B" w:rsidRDefault="00D84490" w:rsidP="00376779">
            <w:pPr>
              <w:rPr>
                <w:sz w:val="18"/>
                <w:szCs w:val="18"/>
              </w:rPr>
            </w:pPr>
            <w:r w:rsidRPr="001F224B">
              <w:rPr>
                <w:sz w:val="18"/>
                <w:szCs w:val="18"/>
              </w:rPr>
              <w:t>Hayır</w:t>
            </w:r>
          </w:p>
        </w:tc>
      </w:tr>
      <w:tr w:rsidR="00D84490" w:rsidRPr="001F224B" w14:paraId="42EEFC94" w14:textId="77777777" w:rsidTr="00376779">
        <w:trPr>
          <w:trHeight w:val="170"/>
        </w:trPr>
        <w:tc>
          <w:tcPr>
            <w:tcW w:w="7910" w:type="dxa"/>
            <w:vAlign w:val="bottom"/>
            <w:hideMark/>
          </w:tcPr>
          <w:p w14:paraId="1314FB1F" w14:textId="77777777" w:rsidR="00D84490" w:rsidRPr="001F224B" w:rsidRDefault="00D84490" w:rsidP="00376779">
            <w:pPr>
              <w:rPr>
                <w:sz w:val="18"/>
                <w:szCs w:val="18"/>
              </w:rPr>
            </w:pPr>
            <w:r w:rsidRPr="001F224B">
              <w:rPr>
                <w:sz w:val="18"/>
                <w:szCs w:val="18"/>
              </w:rPr>
              <w:t>Konsolide veya konsolide olmayan bazda veya hem konsolide hem konsolide olmayan bazda geçerlilik durumu</w:t>
            </w:r>
          </w:p>
        </w:tc>
        <w:tc>
          <w:tcPr>
            <w:tcW w:w="2127" w:type="dxa"/>
            <w:vAlign w:val="bottom"/>
            <w:hideMark/>
          </w:tcPr>
          <w:p w14:paraId="26F2929B" w14:textId="77777777" w:rsidR="00D84490" w:rsidRPr="001F224B" w:rsidRDefault="00D84490" w:rsidP="00376779">
            <w:pPr>
              <w:rPr>
                <w:sz w:val="18"/>
                <w:szCs w:val="18"/>
              </w:rPr>
            </w:pPr>
            <w:r w:rsidRPr="001F224B">
              <w:rPr>
                <w:sz w:val="18"/>
                <w:szCs w:val="18"/>
              </w:rPr>
              <w:t>Konsolide ve konsolide olmayan bazda geçerlidir</w:t>
            </w:r>
          </w:p>
        </w:tc>
      </w:tr>
      <w:tr w:rsidR="00D84490" w:rsidRPr="001F224B" w14:paraId="502C2781" w14:textId="77777777" w:rsidTr="00376779">
        <w:trPr>
          <w:trHeight w:val="170"/>
        </w:trPr>
        <w:tc>
          <w:tcPr>
            <w:tcW w:w="7910" w:type="dxa"/>
            <w:noWrap/>
            <w:vAlign w:val="bottom"/>
            <w:hideMark/>
          </w:tcPr>
          <w:p w14:paraId="655CA36A" w14:textId="77777777" w:rsidR="00D84490" w:rsidRPr="001F224B" w:rsidRDefault="00D84490" w:rsidP="00376779">
            <w:pPr>
              <w:rPr>
                <w:sz w:val="18"/>
                <w:szCs w:val="18"/>
              </w:rPr>
            </w:pPr>
            <w:r w:rsidRPr="001F224B">
              <w:rPr>
                <w:sz w:val="18"/>
                <w:szCs w:val="18"/>
              </w:rPr>
              <w:t>Aracın türü</w:t>
            </w:r>
          </w:p>
        </w:tc>
        <w:tc>
          <w:tcPr>
            <w:tcW w:w="2127" w:type="dxa"/>
            <w:vAlign w:val="bottom"/>
            <w:hideMark/>
          </w:tcPr>
          <w:p w14:paraId="2DF5F7B2" w14:textId="77777777" w:rsidR="00D84490" w:rsidRPr="001F224B" w:rsidRDefault="00D84490" w:rsidP="00376779">
            <w:pPr>
              <w:rPr>
                <w:sz w:val="18"/>
                <w:szCs w:val="18"/>
              </w:rPr>
            </w:pPr>
            <w:r w:rsidRPr="001F224B">
              <w:rPr>
                <w:sz w:val="18"/>
                <w:szCs w:val="18"/>
              </w:rPr>
              <w:t>Kredi</w:t>
            </w:r>
          </w:p>
        </w:tc>
      </w:tr>
      <w:tr w:rsidR="00D84490" w:rsidRPr="001F224B" w14:paraId="0B1994C3" w14:textId="77777777" w:rsidTr="00376779">
        <w:trPr>
          <w:trHeight w:val="170"/>
        </w:trPr>
        <w:tc>
          <w:tcPr>
            <w:tcW w:w="7910" w:type="dxa"/>
            <w:vAlign w:val="bottom"/>
            <w:hideMark/>
          </w:tcPr>
          <w:p w14:paraId="48F45069" w14:textId="77777777" w:rsidR="00D84490" w:rsidRPr="001F224B" w:rsidRDefault="00D84490" w:rsidP="00376779">
            <w:pPr>
              <w:rPr>
                <w:sz w:val="18"/>
                <w:szCs w:val="18"/>
              </w:rPr>
            </w:pPr>
            <w:r w:rsidRPr="001F224B">
              <w:rPr>
                <w:sz w:val="18"/>
                <w:szCs w:val="18"/>
              </w:rPr>
              <w:t>Özkaynak hesaplamasında dikkate alınan tutar (En son raporlama tarihi itibarıyla - Milyon TL)</w:t>
            </w:r>
          </w:p>
        </w:tc>
        <w:tc>
          <w:tcPr>
            <w:tcW w:w="2127" w:type="dxa"/>
            <w:vAlign w:val="bottom"/>
            <w:hideMark/>
          </w:tcPr>
          <w:p w14:paraId="5FBDB019" w14:textId="77777777" w:rsidR="00D84490" w:rsidRPr="001F224B" w:rsidRDefault="00D84490" w:rsidP="00376779">
            <w:pPr>
              <w:rPr>
                <w:sz w:val="18"/>
                <w:szCs w:val="18"/>
              </w:rPr>
            </w:pPr>
            <w:r w:rsidRPr="001F224B">
              <w:rPr>
                <w:sz w:val="18"/>
                <w:szCs w:val="18"/>
              </w:rPr>
              <w:t>2.625</w:t>
            </w:r>
          </w:p>
        </w:tc>
      </w:tr>
      <w:tr w:rsidR="00D84490" w:rsidRPr="001F224B" w14:paraId="7442C852" w14:textId="77777777" w:rsidTr="00376779">
        <w:trPr>
          <w:trHeight w:val="170"/>
        </w:trPr>
        <w:tc>
          <w:tcPr>
            <w:tcW w:w="7910" w:type="dxa"/>
            <w:noWrap/>
            <w:vAlign w:val="bottom"/>
            <w:hideMark/>
          </w:tcPr>
          <w:p w14:paraId="6F6CC2F8" w14:textId="77777777" w:rsidR="00D84490" w:rsidRPr="001F224B" w:rsidRDefault="00D84490" w:rsidP="00376779">
            <w:pPr>
              <w:rPr>
                <w:sz w:val="18"/>
                <w:szCs w:val="18"/>
              </w:rPr>
            </w:pPr>
            <w:r w:rsidRPr="001F224B">
              <w:rPr>
                <w:sz w:val="18"/>
                <w:szCs w:val="18"/>
              </w:rPr>
              <w:t>Aracın nominal değeri (Milyon TL)</w:t>
            </w:r>
          </w:p>
        </w:tc>
        <w:tc>
          <w:tcPr>
            <w:tcW w:w="2127" w:type="dxa"/>
            <w:vAlign w:val="bottom"/>
            <w:hideMark/>
          </w:tcPr>
          <w:p w14:paraId="3A80A4E5" w14:textId="77777777" w:rsidR="00D84490" w:rsidRPr="001F224B" w:rsidRDefault="00D84490" w:rsidP="00376779">
            <w:pPr>
              <w:rPr>
                <w:sz w:val="18"/>
                <w:szCs w:val="18"/>
              </w:rPr>
            </w:pPr>
            <w:r w:rsidRPr="001F224B">
              <w:rPr>
                <w:sz w:val="18"/>
                <w:szCs w:val="18"/>
              </w:rPr>
              <w:t>2.625</w:t>
            </w:r>
          </w:p>
        </w:tc>
      </w:tr>
      <w:tr w:rsidR="00D84490" w:rsidRPr="001F224B" w14:paraId="2D4DCFA4" w14:textId="77777777" w:rsidTr="00376779">
        <w:trPr>
          <w:trHeight w:val="170"/>
        </w:trPr>
        <w:tc>
          <w:tcPr>
            <w:tcW w:w="7910" w:type="dxa"/>
            <w:noWrap/>
            <w:vAlign w:val="bottom"/>
            <w:hideMark/>
          </w:tcPr>
          <w:p w14:paraId="410BD78B" w14:textId="77777777" w:rsidR="00D84490" w:rsidRPr="001F224B" w:rsidRDefault="00D84490" w:rsidP="00376779">
            <w:pPr>
              <w:rPr>
                <w:sz w:val="18"/>
                <w:szCs w:val="18"/>
              </w:rPr>
            </w:pPr>
            <w:r w:rsidRPr="001F224B">
              <w:rPr>
                <w:sz w:val="18"/>
                <w:szCs w:val="18"/>
              </w:rPr>
              <w:t>Aracın muhasebesel olarak takip edildiği hesap</w:t>
            </w:r>
          </w:p>
        </w:tc>
        <w:tc>
          <w:tcPr>
            <w:tcW w:w="2127" w:type="dxa"/>
            <w:vAlign w:val="bottom"/>
            <w:hideMark/>
          </w:tcPr>
          <w:p w14:paraId="7E58BCBE" w14:textId="77777777" w:rsidR="00D84490" w:rsidRPr="001F224B" w:rsidRDefault="00D84490" w:rsidP="00376779">
            <w:pPr>
              <w:rPr>
                <w:sz w:val="18"/>
                <w:szCs w:val="18"/>
              </w:rPr>
            </w:pPr>
            <w:r w:rsidRPr="001F224B">
              <w:rPr>
                <w:sz w:val="18"/>
                <w:szCs w:val="18"/>
              </w:rPr>
              <w:t>Pasif</w:t>
            </w:r>
            <w:r w:rsidRPr="001F224B">
              <w:rPr>
                <w:sz w:val="18"/>
                <w:szCs w:val="18"/>
              </w:rPr>
              <w:br/>
              <w:t>Sermaye Benzeri Krediler</w:t>
            </w:r>
          </w:p>
        </w:tc>
      </w:tr>
      <w:tr w:rsidR="00D84490" w:rsidRPr="001F224B" w14:paraId="6891C5B2" w14:textId="77777777" w:rsidTr="00376779">
        <w:trPr>
          <w:trHeight w:val="170"/>
        </w:trPr>
        <w:tc>
          <w:tcPr>
            <w:tcW w:w="7910" w:type="dxa"/>
            <w:noWrap/>
            <w:vAlign w:val="bottom"/>
            <w:hideMark/>
          </w:tcPr>
          <w:p w14:paraId="1D23A1EB" w14:textId="77777777" w:rsidR="00D84490" w:rsidRPr="001F224B" w:rsidRDefault="00D84490" w:rsidP="00376779">
            <w:pPr>
              <w:rPr>
                <w:sz w:val="18"/>
                <w:szCs w:val="18"/>
              </w:rPr>
            </w:pPr>
            <w:r w:rsidRPr="001F224B">
              <w:rPr>
                <w:sz w:val="18"/>
                <w:szCs w:val="18"/>
              </w:rPr>
              <w:t>Aracın ihraç tarihi</w:t>
            </w:r>
          </w:p>
        </w:tc>
        <w:tc>
          <w:tcPr>
            <w:tcW w:w="2127" w:type="dxa"/>
            <w:vAlign w:val="bottom"/>
            <w:hideMark/>
          </w:tcPr>
          <w:p w14:paraId="7B0777F4" w14:textId="77777777" w:rsidR="00D84490" w:rsidRPr="001F224B" w:rsidRDefault="00D84490" w:rsidP="00376779">
            <w:pPr>
              <w:rPr>
                <w:sz w:val="18"/>
                <w:szCs w:val="18"/>
              </w:rPr>
            </w:pPr>
            <w:r w:rsidRPr="001F224B">
              <w:rPr>
                <w:sz w:val="18"/>
                <w:szCs w:val="18"/>
              </w:rPr>
              <w:t>31.12.2018</w:t>
            </w:r>
          </w:p>
        </w:tc>
      </w:tr>
      <w:tr w:rsidR="00D84490" w:rsidRPr="001F224B" w14:paraId="4B23B015" w14:textId="77777777" w:rsidTr="00376779">
        <w:trPr>
          <w:trHeight w:val="170"/>
        </w:trPr>
        <w:tc>
          <w:tcPr>
            <w:tcW w:w="7910" w:type="dxa"/>
            <w:noWrap/>
            <w:vAlign w:val="bottom"/>
            <w:hideMark/>
          </w:tcPr>
          <w:p w14:paraId="3B5A39D2" w14:textId="77777777" w:rsidR="00D84490" w:rsidRPr="001F224B" w:rsidRDefault="00D84490" w:rsidP="00376779">
            <w:pPr>
              <w:rPr>
                <w:sz w:val="18"/>
                <w:szCs w:val="18"/>
              </w:rPr>
            </w:pPr>
            <w:r w:rsidRPr="001F224B">
              <w:rPr>
                <w:sz w:val="18"/>
                <w:szCs w:val="18"/>
              </w:rPr>
              <w:t>Aracın vade yapısı (Vadesiz/Vadeli)</w:t>
            </w:r>
          </w:p>
        </w:tc>
        <w:tc>
          <w:tcPr>
            <w:tcW w:w="2127" w:type="dxa"/>
            <w:vAlign w:val="bottom"/>
            <w:hideMark/>
          </w:tcPr>
          <w:p w14:paraId="0F69064F" w14:textId="77777777" w:rsidR="00D84490" w:rsidRPr="001F224B" w:rsidRDefault="00D84490" w:rsidP="00376779">
            <w:pPr>
              <w:rPr>
                <w:sz w:val="18"/>
                <w:szCs w:val="18"/>
              </w:rPr>
            </w:pPr>
            <w:r w:rsidRPr="001F224B">
              <w:rPr>
                <w:sz w:val="18"/>
                <w:szCs w:val="18"/>
              </w:rPr>
              <w:t>Vadesiz</w:t>
            </w:r>
          </w:p>
        </w:tc>
      </w:tr>
      <w:tr w:rsidR="00D84490" w:rsidRPr="001F224B" w14:paraId="3AA82695" w14:textId="77777777" w:rsidTr="00376779">
        <w:trPr>
          <w:trHeight w:val="170"/>
        </w:trPr>
        <w:tc>
          <w:tcPr>
            <w:tcW w:w="7910" w:type="dxa"/>
            <w:noWrap/>
            <w:vAlign w:val="bottom"/>
            <w:hideMark/>
          </w:tcPr>
          <w:p w14:paraId="3326F5FD" w14:textId="77777777" w:rsidR="00D84490" w:rsidRPr="001F224B" w:rsidRDefault="00D84490" w:rsidP="00376779">
            <w:pPr>
              <w:rPr>
                <w:sz w:val="18"/>
                <w:szCs w:val="18"/>
              </w:rPr>
            </w:pPr>
            <w:r w:rsidRPr="001F224B">
              <w:rPr>
                <w:sz w:val="18"/>
                <w:szCs w:val="18"/>
              </w:rPr>
              <w:t>Aracın başlangıç vadesi</w:t>
            </w:r>
          </w:p>
        </w:tc>
        <w:tc>
          <w:tcPr>
            <w:tcW w:w="2127" w:type="dxa"/>
            <w:vAlign w:val="bottom"/>
            <w:hideMark/>
          </w:tcPr>
          <w:p w14:paraId="78B7B503" w14:textId="77777777" w:rsidR="00D84490" w:rsidRPr="001F224B" w:rsidRDefault="00D84490" w:rsidP="00376779">
            <w:pPr>
              <w:rPr>
                <w:sz w:val="18"/>
                <w:szCs w:val="18"/>
              </w:rPr>
            </w:pPr>
            <w:r w:rsidRPr="001F224B">
              <w:rPr>
                <w:sz w:val="18"/>
                <w:szCs w:val="18"/>
              </w:rPr>
              <w:t>-</w:t>
            </w:r>
          </w:p>
        </w:tc>
      </w:tr>
      <w:tr w:rsidR="00D84490" w:rsidRPr="001F224B" w14:paraId="269483F6" w14:textId="77777777" w:rsidTr="00376779">
        <w:trPr>
          <w:trHeight w:val="170"/>
        </w:trPr>
        <w:tc>
          <w:tcPr>
            <w:tcW w:w="7910" w:type="dxa"/>
            <w:noWrap/>
            <w:vAlign w:val="bottom"/>
            <w:hideMark/>
          </w:tcPr>
          <w:p w14:paraId="5FDCEA95" w14:textId="77777777" w:rsidR="00D84490" w:rsidRPr="001F224B" w:rsidRDefault="00D84490" w:rsidP="00376779">
            <w:pPr>
              <w:rPr>
                <w:sz w:val="18"/>
                <w:szCs w:val="18"/>
              </w:rPr>
            </w:pPr>
            <w:r w:rsidRPr="001F224B">
              <w:rPr>
                <w:sz w:val="18"/>
                <w:szCs w:val="18"/>
              </w:rPr>
              <w:t>İhraççının BDDK onayına bağlı geri ödeme hakkının olup olmadığı</w:t>
            </w:r>
          </w:p>
        </w:tc>
        <w:tc>
          <w:tcPr>
            <w:tcW w:w="2127" w:type="dxa"/>
            <w:vAlign w:val="bottom"/>
            <w:hideMark/>
          </w:tcPr>
          <w:p w14:paraId="392048C5" w14:textId="77777777" w:rsidR="00D84490" w:rsidRPr="001F224B" w:rsidRDefault="00D84490" w:rsidP="00376779">
            <w:pPr>
              <w:rPr>
                <w:sz w:val="18"/>
                <w:szCs w:val="18"/>
              </w:rPr>
            </w:pPr>
            <w:r w:rsidRPr="001F224B">
              <w:rPr>
                <w:sz w:val="18"/>
                <w:szCs w:val="18"/>
              </w:rPr>
              <w:t>Evet</w:t>
            </w:r>
          </w:p>
        </w:tc>
      </w:tr>
      <w:tr w:rsidR="00D84490" w:rsidRPr="001F224B" w14:paraId="03DEB74F" w14:textId="77777777" w:rsidTr="00376779">
        <w:trPr>
          <w:trHeight w:val="170"/>
        </w:trPr>
        <w:tc>
          <w:tcPr>
            <w:tcW w:w="7910" w:type="dxa"/>
            <w:noWrap/>
            <w:vAlign w:val="bottom"/>
            <w:hideMark/>
          </w:tcPr>
          <w:p w14:paraId="2A973867" w14:textId="77777777" w:rsidR="00D84490" w:rsidRPr="001F224B" w:rsidRDefault="00D84490" w:rsidP="00376779">
            <w:pPr>
              <w:rPr>
                <w:sz w:val="18"/>
                <w:szCs w:val="18"/>
              </w:rPr>
            </w:pPr>
            <w:r w:rsidRPr="001F224B">
              <w:rPr>
                <w:sz w:val="18"/>
                <w:szCs w:val="18"/>
              </w:rPr>
              <w:t>Geri ödeme opsiyonu tarihi, şarta bağlı geri ödeme opsiyonları ve geri ödenecek tutar</w:t>
            </w:r>
          </w:p>
        </w:tc>
        <w:tc>
          <w:tcPr>
            <w:tcW w:w="2127" w:type="dxa"/>
            <w:vAlign w:val="bottom"/>
            <w:hideMark/>
          </w:tcPr>
          <w:p w14:paraId="065B9E90" w14:textId="77777777" w:rsidR="00D84490" w:rsidRPr="001F224B" w:rsidRDefault="00D84490" w:rsidP="00376779">
            <w:pPr>
              <w:rPr>
                <w:sz w:val="18"/>
                <w:szCs w:val="18"/>
              </w:rPr>
            </w:pPr>
            <w:r w:rsidRPr="001F224B">
              <w:rPr>
                <w:sz w:val="18"/>
                <w:szCs w:val="18"/>
              </w:rPr>
              <w:t>-</w:t>
            </w:r>
          </w:p>
        </w:tc>
      </w:tr>
      <w:tr w:rsidR="00D84490" w:rsidRPr="001F224B" w14:paraId="39A63A4C" w14:textId="77777777" w:rsidTr="00376779">
        <w:trPr>
          <w:trHeight w:val="170"/>
        </w:trPr>
        <w:tc>
          <w:tcPr>
            <w:tcW w:w="7910" w:type="dxa"/>
            <w:noWrap/>
            <w:vAlign w:val="bottom"/>
            <w:hideMark/>
          </w:tcPr>
          <w:p w14:paraId="122AFFA2" w14:textId="77777777" w:rsidR="00D84490" w:rsidRPr="001F224B" w:rsidRDefault="00D84490" w:rsidP="00376779">
            <w:pPr>
              <w:rPr>
                <w:sz w:val="18"/>
                <w:szCs w:val="18"/>
              </w:rPr>
            </w:pPr>
            <w:r w:rsidRPr="001F224B">
              <w:rPr>
                <w:sz w:val="18"/>
                <w:szCs w:val="18"/>
              </w:rPr>
              <w:t>Müteakip geri ödeme opsiyonu tarihleri</w:t>
            </w:r>
          </w:p>
        </w:tc>
        <w:tc>
          <w:tcPr>
            <w:tcW w:w="2127" w:type="dxa"/>
            <w:vAlign w:val="bottom"/>
            <w:hideMark/>
          </w:tcPr>
          <w:p w14:paraId="169DAA98" w14:textId="77777777" w:rsidR="00D84490" w:rsidRPr="001F224B" w:rsidRDefault="00D84490" w:rsidP="00376779">
            <w:pPr>
              <w:rPr>
                <w:sz w:val="18"/>
                <w:szCs w:val="18"/>
              </w:rPr>
            </w:pPr>
            <w:r w:rsidRPr="001F224B">
              <w:rPr>
                <w:sz w:val="18"/>
                <w:szCs w:val="18"/>
              </w:rPr>
              <w:t>-</w:t>
            </w:r>
          </w:p>
        </w:tc>
      </w:tr>
      <w:tr w:rsidR="00D84490" w:rsidRPr="001F224B" w14:paraId="4B037496" w14:textId="77777777" w:rsidTr="00376779">
        <w:trPr>
          <w:trHeight w:val="170"/>
        </w:trPr>
        <w:tc>
          <w:tcPr>
            <w:tcW w:w="7910" w:type="dxa"/>
            <w:noWrap/>
            <w:vAlign w:val="bottom"/>
            <w:hideMark/>
          </w:tcPr>
          <w:p w14:paraId="39174E7A" w14:textId="77777777" w:rsidR="00D84490" w:rsidRPr="001F224B" w:rsidRDefault="00D84490" w:rsidP="00376779">
            <w:pPr>
              <w:rPr>
                <w:b/>
                <w:bCs/>
                <w:sz w:val="18"/>
                <w:szCs w:val="18"/>
              </w:rPr>
            </w:pPr>
            <w:r w:rsidRPr="001F224B">
              <w:rPr>
                <w:b/>
                <w:bCs/>
                <w:sz w:val="18"/>
                <w:szCs w:val="18"/>
              </w:rPr>
              <w:t>Faiz/temettü ödemeleri</w:t>
            </w:r>
          </w:p>
        </w:tc>
        <w:tc>
          <w:tcPr>
            <w:tcW w:w="2127" w:type="dxa"/>
            <w:vAlign w:val="bottom"/>
            <w:hideMark/>
          </w:tcPr>
          <w:p w14:paraId="4E2A6221" w14:textId="77777777" w:rsidR="00D84490" w:rsidRPr="001F224B" w:rsidRDefault="00D84490" w:rsidP="00376779">
            <w:pPr>
              <w:rPr>
                <w:sz w:val="18"/>
                <w:szCs w:val="18"/>
              </w:rPr>
            </w:pPr>
            <w:r w:rsidRPr="001F224B">
              <w:rPr>
                <w:sz w:val="18"/>
                <w:szCs w:val="18"/>
              </w:rPr>
              <w:t> </w:t>
            </w:r>
          </w:p>
        </w:tc>
      </w:tr>
      <w:tr w:rsidR="00D84490" w:rsidRPr="001F224B" w14:paraId="5C4190AF" w14:textId="77777777" w:rsidTr="00376779">
        <w:trPr>
          <w:trHeight w:val="170"/>
        </w:trPr>
        <w:tc>
          <w:tcPr>
            <w:tcW w:w="7910" w:type="dxa"/>
            <w:noWrap/>
            <w:vAlign w:val="bottom"/>
            <w:hideMark/>
          </w:tcPr>
          <w:p w14:paraId="5E9C8E35" w14:textId="77777777" w:rsidR="00D84490" w:rsidRPr="001F224B" w:rsidRDefault="00D84490" w:rsidP="00376779">
            <w:pPr>
              <w:rPr>
                <w:sz w:val="18"/>
                <w:szCs w:val="18"/>
              </w:rPr>
            </w:pPr>
            <w:r w:rsidRPr="001F224B">
              <w:rPr>
                <w:sz w:val="18"/>
                <w:szCs w:val="18"/>
              </w:rPr>
              <w:t>Sabit ya da değişken faiz/ temettü ödemeleri</w:t>
            </w:r>
          </w:p>
        </w:tc>
        <w:tc>
          <w:tcPr>
            <w:tcW w:w="2127" w:type="dxa"/>
            <w:vAlign w:val="bottom"/>
            <w:hideMark/>
          </w:tcPr>
          <w:p w14:paraId="370880CA" w14:textId="77777777" w:rsidR="00D84490" w:rsidRPr="001F224B" w:rsidRDefault="00D84490" w:rsidP="00376779">
            <w:pPr>
              <w:rPr>
                <w:sz w:val="18"/>
                <w:szCs w:val="18"/>
              </w:rPr>
            </w:pPr>
            <w:r w:rsidRPr="001F224B">
              <w:rPr>
                <w:sz w:val="18"/>
                <w:szCs w:val="18"/>
              </w:rPr>
              <w:t>-</w:t>
            </w:r>
          </w:p>
        </w:tc>
      </w:tr>
      <w:tr w:rsidR="00D84490" w:rsidRPr="001F224B" w14:paraId="50001860" w14:textId="77777777" w:rsidTr="00376779">
        <w:trPr>
          <w:trHeight w:val="170"/>
        </w:trPr>
        <w:tc>
          <w:tcPr>
            <w:tcW w:w="7910" w:type="dxa"/>
            <w:noWrap/>
            <w:vAlign w:val="bottom"/>
            <w:hideMark/>
          </w:tcPr>
          <w:p w14:paraId="5A587878" w14:textId="77777777" w:rsidR="00D84490" w:rsidRPr="001F224B" w:rsidRDefault="00D84490" w:rsidP="00376779">
            <w:pPr>
              <w:rPr>
                <w:sz w:val="18"/>
                <w:szCs w:val="18"/>
              </w:rPr>
            </w:pPr>
            <w:r w:rsidRPr="001F224B">
              <w:rPr>
                <w:sz w:val="18"/>
                <w:szCs w:val="18"/>
              </w:rPr>
              <w:t>Faiz oranı ve faiz oranına ilişkin endeks değeri</w:t>
            </w:r>
          </w:p>
        </w:tc>
        <w:tc>
          <w:tcPr>
            <w:tcW w:w="2127" w:type="dxa"/>
            <w:vAlign w:val="bottom"/>
            <w:hideMark/>
          </w:tcPr>
          <w:p w14:paraId="0F1266D8" w14:textId="77777777" w:rsidR="00D84490" w:rsidRPr="001F224B" w:rsidRDefault="00D84490" w:rsidP="00376779">
            <w:pPr>
              <w:rPr>
                <w:sz w:val="18"/>
                <w:szCs w:val="18"/>
              </w:rPr>
            </w:pPr>
            <w:r w:rsidRPr="001F224B">
              <w:rPr>
                <w:sz w:val="18"/>
                <w:szCs w:val="18"/>
              </w:rPr>
              <w:t>-</w:t>
            </w:r>
          </w:p>
        </w:tc>
      </w:tr>
      <w:tr w:rsidR="00D84490" w:rsidRPr="001F224B" w14:paraId="5E7D46D9" w14:textId="77777777" w:rsidTr="00376779">
        <w:trPr>
          <w:trHeight w:val="170"/>
        </w:trPr>
        <w:tc>
          <w:tcPr>
            <w:tcW w:w="7910" w:type="dxa"/>
            <w:noWrap/>
            <w:vAlign w:val="bottom"/>
            <w:hideMark/>
          </w:tcPr>
          <w:p w14:paraId="2EB405A6" w14:textId="77777777" w:rsidR="00D84490" w:rsidRPr="001F224B" w:rsidRDefault="00D84490" w:rsidP="00376779">
            <w:pPr>
              <w:rPr>
                <w:sz w:val="18"/>
                <w:szCs w:val="18"/>
              </w:rPr>
            </w:pPr>
            <w:r w:rsidRPr="001F224B">
              <w:rPr>
                <w:sz w:val="18"/>
                <w:szCs w:val="18"/>
              </w:rPr>
              <w:t>Temettü ödemesini durduran herhangi bir kısıtlamanın var olup olmadığı</w:t>
            </w:r>
          </w:p>
        </w:tc>
        <w:tc>
          <w:tcPr>
            <w:tcW w:w="2127" w:type="dxa"/>
            <w:vAlign w:val="bottom"/>
            <w:hideMark/>
          </w:tcPr>
          <w:p w14:paraId="4B4984ED" w14:textId="77777777" w:rsidR="00D84490" w:rsidRPr="001F224B" w:rsidRDefault="00D84490" w:rsidP="00376779">
            <w:pPr>
              <w:rPr>
                <w:sz w:val="18"/>
                <w:szCs w:val="18"/>
              </w:rPr>
            </w:pPr>
            <w:r w:rsidRPr="001F224B">
              <w:rPr>
                <w:sz w:val="18"/>
                <w:szCs w:val="18"/>
              </w:rPr>
              <w:t>-</w:t>
            </w:r>
          </w:p>
        </w:tc>
      </w:tr>
      <w:tr w:rsidR="00D84490" w:rsidRPr="001F224B" w14:paraId="7754F746" w14:textId="77777777" w:rsidTr="00376779">
        <w:trPr>
          <w:trHeight w:val="170"/>
        </w:trPr>
        <w:tc>
          <w:tcPr>
            <w:tcW w:w="7910" w:type="dxa"/>
            <w:noWrap/>
            <w:vAlign w:val="bottom"/>
            <w:hideMark/>
          </w:tcPr>
          <w:p w14:paraId="0713C901" w14:textId="77777777" w:rsidR="00D84490" w:rsidRPr="001F224B" w:rsidRDefault="00D84490" w:rsidP="00376779">
            <w:pPr>
              <w:rPr>
                <w:sz w:val="18"/>
                <w:szCs w:val="18"/>
              </w:rPr>
            </w:pPr>
            <w:r w:rsidRPr="001F224B">
              <w:rPr>
                <w:sz w:val="18"/>
                <w:szCs w:val="18"/>
              </w:rPr>
              <w:t>Tamamen isteğe bağlı, kısmen isteğe bağlı ya da mecburi olma özelliği</w:t>
            </w:r>
          </w:p>
        </w:tc>
        <w:tc>
          <w:tcPr>
            <w:tcW w:w="2127" w:type="dxa"/>
            <w:vAlign w:val="bottom"/>
            <w:hideMark/>
          </w:tcPr>
          <w:p w14:paraId="1D12DA7F" w14:textId="77777777" w:rsidR="00D84490" w:rsidRPr="001F224B" w:rsidRDefault="00D84490" w:rsidP="00376779">
            <w:pPr>
              <w:rPr>
                <w:sz w:val="18"/>
                <w:szCs w:val="18"/>
              </w:rPr>
            </w:pPr>
            <w:r w:rsidRPr="001F224B">
              <w:rPr>
                <w:sz w:val="18"/>
                <w:szCs w:val="18"/>
              </w:rPr>
              <w:t>-</w:t>
            </w:r>
          </w:p>
        </w:tc>
      </w:tr>
      <w:tr w:rsidR="00D84490" w:rsidRPr="001F224B" w14:paraId="6256D1B1" w14:textId="77777777" w:rsidTr="00376779">
        <w:trPr>
          <w:trHeight w:val="170"/>
        </w:trPr>
        <w:tc>
          <w:tcPr>
            <w:tcW w:w="7910" w:type="dxa"/>
            <w:noWrap/>
            <w:vAlign w:val="bottom"/>
            <w:hideMark/>
          </w:tcPr>
          <w:p w14:paraId="119F4107" w14:textId="77777777" w:rsidR="00D84490" w:rsidRPr="001F224B" w:rsidRDefault="00D84490" w:rsidP="00376779">
            <w:pPr>
              <w:rPr>
                <w:sz w:val="18"/>
                <w:szCs w:val="18"/>
              </w:rPr>
            </w:pPr>
            <w:r w:rsidRPr="001F224B">
              <w:rPr>
                <w:sz w:val="18"/>
                <w:szCs w:val="18"/>
              </w:rPr>
              <w:t>Faiz artırımı gibi geri ödemeyi teşvik edecek bir unsurun olup olmadığı</w:t>
            </w:r>
          </w:p>
        </w:tc>
        <w:tc>
          <w:tcPr>
            <w:tcW w:w="2127" w:type="dxa"/>
            <w:vAlign w:val="bottom"/>
            <w:hideMark/>
          </w:tcPr>
          <w:p w14:paraId="258E621E" w14:textId="77777777" w:rsidR="00D84490" w:rsidRPr="001F224B" w:rsidRDefault="00D84490" w:rsidP="00376779">
            <w:pPr>
              <w:rPr>
                <w:sz w:val="18"/>
                <w:szCs w:val="18"/>
              </w:rPr>
            </w:pPr>
            <w:r w:rsidRPr="001F224B">
              <w:rPr>
                <w:sz w:val="18"/>
                <w:szCs w:val="18"/>
              </w:rPr>
              <w:t>-</w:t>
            </w:r>
          </w:p>
        </w:tc>
      </w:tr>
      <w:tr w:rsidR="00D84490" w:rsidRPr="001F224B" w14:paraId="6ED477DE" w14:textId="77777777" w:rsidTr="00376779">
        <w:trPr>
          <w:trHeight w:val="170"/>
        </w:trPr>
        <w:tc>
          <w:tcPr>
            <w:tcW w:w="7910" w:type="dxa"/>
            <w:noWrap/>
            <w:vAlign w:val="bottom"/>
            <w:hideMark/>
          </w:tcPr>
          <w:p w14:paraId="37B7675E" w14:textId="77777777" w:rsidR="00D84490" w:rsidRPr="001F224B" w:rsidRDefault="00D84490" w:rsidP="00376779">
            <w:pPr>
              <w:rPr>
                <w:sz w:val="18"/>
                <w:szCs w:val="18"/>
              </w:rPr>
            </w:pPr>
            <w:r w:rsidRPr="001F224B">
              <w:rPr>
                <w:sz w:val="18"/>
                <w:szCs w:val="18"/>
              </w:rPr>
              <w:t>Birikimsiz ya da birikimli olma özelliği</w:t>
            </w:r>
          </w:p>
        </w:tc>
        <w:tc>
          <w:tcPr>
            <w:tcW w:w="2127" w:type="dxa"/>
            <w:vAlign w:val="bottom"/>
            <w:hideMark/>
          </w:tcPr>
          <w:p w14:paraId="1205427D" w14:textId="77777777" w:rsidR="00D84490" w:rsidRPr="001F224B" w:rsidRDefault="00D84490" w:rsidP="00376779">
            <w:pPr>
              <w:rPr>
                <w:sz w:val="18"/>
                <w:szCs w:val="18"/>
              </w:rPr>
            </w:pPr>
            <w:r w:rsidRPr="001F224B">
              <w:rPr>
                <w:sz w:val="18"/>
                <w:szCs w:val="18"/>
              </w:rPr>
              <w:t>-</w:t>
            </w:r>
          </w:p>
        </w:tc>
      </w:tr>
      <w:tr w:rsidR="00D84490" w:rsidRPr="001F224B" w14:paraId="1D020855" w14:textId="77777777" w:rsidTr="00376779">
        <w:trPr>
          <w:trHeight w:val="170"/>
        </w:trPr>
        <w:tc>
          <w:tcPr>
            <w:tcW w:w="7910" w:type="dxa"/>
            <w:noWrap/>
            <w:vAlign w:val="bottom"/>
            <w:hideMark/>
          </w:tcPr>
          <w:p w14:paraId="68078445" w14:textId="77777777" w:rsidR="00D84490" w:rsidRPr="001F224B" w:rsidRDefault="00D84490" w:rsidP="00376779">
            <w:pPr>
              <w:rPr>
                <w:b/>
                <w:bCs/>
                <w:sz w:val="18"/>
                <w:szCs w:val="18"/>
              </w:rPr>
            </w:pPr>
            <w:r w:rsidRPr="001F224B">
              <w:rPr>
                <w:b/>
                <w:bCs/>
                <w:sz w:val="18"/>
                <w:szCs w:val="18"/>
              </w:rPr>
              <w:t>Hisse senedine dönüştürülebilme özelliği</w:t>
            </w:r>
          </w:p>
        </w:tc>
        <w:tc>
          <w:tcPr>
            <w:tcW w:w="2127" w:type="dxa"/>
            <w:vAlign w:val="bottom"/>
            <w:hideMark/>
          </w:tcPr>
          <w:p w14:paraId="036A3864" w14:textId="77777777" w:rsidR="00D84490" w:rsidRPr="001F224B" w:rsidRDefault="00D84490" w:rsidP="00376779">
            <w:pPr>
              <w:rPr>
                <w:sz w:val="18"/>
                <w:szCs w:val="18"/>
              </w:rPr>
            </w:pPr>
            <w:r w:rsidRPr="001F224B">
              <w:rPr>
                <w:sz w:val="18"/>
                <w:szCs w:val="18"/>
              </w:rPr>
              <w:t> </w:t>
            </w:r>
          </w:p>
        </w:tc>
      </w:tr>
      <w:tr w:rsidR="00D84490" w:rsidRPr="001F224B" w14:paraId="2B30840B" w14:textId="77777777" w:rsidTr="00376779">
        <w:trPr>
          <w:trHeight w:val="170"/>
        </w:trPr>
        <w:tc>
          <w:tcPr>
            <w:tcW w:w="7910" w:type="dxa"/>
            <w:noWrap/>
            <w:vAlign w:val="bottom"/>
            <w:hideMark/>
          </w:tcPr>
          <w:p w14:paraId="72065A9A" w14:textId="77777777" w:rsidR="00D84490" w:rsidRPr="001F224B" w:rsidRDefault="00D84490" w:rsidP="00376779">
            <w:pPr>
              <w:rPr>
                <w:sz w:val="18"/>
                <w:szCs w:val="18"/>
              </w:rPr>
            </w:pPr>
            <w:r w:rsidRPr="001F224B">
              <w:rPr>
                <w:sz w:val="18"/>
                <w:szCs w:val="18"/>
              </w:rPr>
              <w:t>Hisse senedine dönüştürülebilirse, dönüştürmeye sebep olacak tetikleyici olay/olaylar</w:t>
            </w:r>
          </w:p>
        </w:tc>
        <w:tc>
          <w:tcPr>
            <w:tcW w:w="2127" w:type="dxa"/>
            <w:vAlign w:val="bottom"/>
            <w:hideMark/>
          </w:tcPr>
          <w:p w14:paraId="78CEA8D9" w14:textId="77777777" w:rsidR="00D84490" w:rsidRPr="001F224B" w:rsidRDefault="00D84490" w:rsidP="00376779">
            <w:pPr>
              <w:rPr>
                <w:sz w:val="18"/>
                <w:szCs w:val="18"/>
              </w:rPr>
            </w:pPr>
            <w:r w:rsidRPr="001F224B">
              <w:rPr>
                <w:sz w:val="18"/>
                <w:szCs w:val="18"/>
              </w:rPr>
              <w:t>-</w:t>
            </w:r>
          </w:p>
        </w:tc>
      </w:tr>
      <w:tr w:rsidR="00D84490" w:rsidRPr="001F224B" w14:paraId="293AD67C" w14:textId="77777777" w:rsidTr="00376779">
        <w:trPr>
          <w:trHeight w:val="170"/>
        </w:trPr>
        <w:tc>
          <w:tcPr>
            <w:tcW w:w="7910" w:type="dxa"/>
            <w:noWrap/>
            <w:vAlign w:val="bottom"/>
            <w:hideMark/>
          </w:tcPr>
          <w:p w14:paraId="7F467388" w14:textId="77777777" w:rsidR="00D84490" w:rsidRPr="001F224B" w:rsidRDefault="00D84490" w:rsidP="00376779">
            <w:pPr>
              <w:rPr>
                <w:sz w:val="18"/>
                <w:szCs w:val="18"/>
              </w:rPr>
            </w:pPr>
            <w:r w:rsidRPr="001F224B">
              <w:rPr>
                <w:sz w:val="18"/>
                <w:szCs w:val="18"/>
              </w:rPr>
              <w:t>Hisse senedine dönüştürülebilirse, tamamen ya da kısmen dönüştürme özelliği</w:t>
            </w:r>
          </w:p>
        </w:tc>
        <w:tc>
          <w:tcPr>
            <w:tcW w:w="2127" w:type="dxa"/>
            <w:vAlign w:val="bottom"/>
            <w:hideMark/>
          </w:tcPr>
          <w:p w14:paraId="4CCB2AEE" w14:textId="77777777" w:rsidR="00D84490" w:rsidRPr="001F224B" w:rsidRDefault="00D84490" w:rsidP="00376779">
            <w:pPr>
              <w:rPr>
                <w:sz w:val="18"/>
                <w:szCs w:val="18"/>
              </w:rPr>
            </w:pPr>
            <w:r w:rsidRPr="001F224B">
              <w:rPr>
                <w:sz w:val="18"/>
                <w:szCs w:val="18"/>
              </w:rPr>
              <w:t>-</w:t>
            </w:r>
          </w:p>
        </w:tc>
      </w:tr>
      <w:tr w:rsidR="00D84490" w:rsidRPr="001F224B" w14:paraId="6519EEE6" w14:textId="77777777" w:rsidTr="00376779">
        <w:trPr>
          <w:trHeight w:val="170"/>
        </w:trPr>
        <w:tc>
          <w:tcPr>
            <w:tcW w:w="7910" w:type="dxa"/>
            <w:noWrap/>
            <w:vAlign w:val="bottom"/>
            <w:hideMark/>
          </w:tcPr>
          <w:p w14:paraId="51432DB6" w14:textId="77777777" w:rsidR="00D84490" w:rsidRPr="001F224B" w:rsidRDefault="00D84490" w:rsidP="00376779">
            <w:pPr>
              <w:rPr>
                <w:sz w:val="18"/>
                <w:szCs w:val="18"/>
              </w:rPr>
            </w:pPr>
            <w:r w:rsidRPr="001F224B">
              <w:rPr>
                <w:sz w:val="18"/>
                <w:szCs w:val="18"/>
              </w:rPr>
              <w:t>Hisse senedine dönüştürülebilirse, dönüştürme oranı</w:t>
            </w:r>
          </w:p>
        </w:tc>
        <w:tc>
          <w:tcPr>
            <w:tcW w:w="2127" w:type="dxa"/>
            <w:vAlign w:val="bottom"/>
            <w:hideMark/>
          </w:tcPr>
          <w:p w14:paraId="193D70B7" w14:textId="77777777" w:rsidR="00D84490" w:rsidRPr="001F224B" w:rsidRDefault="00D84490" w:rsidP="00376779">
            <w:pPr>
              <w:rPr>
                <w:sz w:val="18"/>
                <w:szCs w:val="18"/>
              </w:rPr>
            </w:pPr>
            <w:r w:rsidRPr="001F224B">
              <w:rPr>
                <w:sz w:val="18"/>
                <w:szCs w:val="18"/>
              </w:rPr>
              <w:t>-</w:t>
            </w:r>
          </w:p>
        </w:tc>
      </w:tr>
      <w:tr w:rsidR="00D84490" w:rsidRPr="001F224B" w14:paraId="2F321721" w14:textId="77777777" w:rsidTr="00376779">
        <w:trPr>
          <w:trHeight w:val="170"/>
        </w:trPr>
        <w:tc>
          <w:tcPr>
            <w:tcW w:w="7910" w:type="dxa"/>
            <w:noWrap/>
            <w:vAlign w:val="bottom"/>
            <w:hideMark/>
          </w:tcPr>
          <w:p w14:paraId="2EEEE644" w14:textId="77777777" w:rsidR="00D84490" w:rsidRPr="001F224B" w:rsidRDefault="00D84490" w:rsidP="00376779">
            <w:pPr>
              <w:rPr>
                <w:sz w:val="18"/>
                <w:szCs w:val="18"/>
              </w:rPr>
            </w:pPr>
            <w:r w:rsidRPr="001F224B">
              <w:rPr>
                <w:sz w:val="18"/>
                <w:szCs w:val="18"/>
              </w:rPr>
              <w:t>Hisse senedine dönüştürülebilirse, mecburi ya da isteğe bağlı dönüştürme özelliği</w:t>
            </w:r>
          </w:p>
        </w:tc>
        <w:tc>
          <w:tcPr>
            <w:tcW w:w="2127" w:type="dxa"/>
            <w:vAlign w:val="bottom"/>
            <w:hideMark/>
          </w:tcPr>
          <w:p w14:paraId="1E048A15" w14:textId="77777777" w:rsidR="00D84490" w:rsidRPr="001F224B" w:rsidRDefault="00D84490" w:rsidP="00376779">
            <w:pPr>
              <w:rPr>
                <w:sz w:val="18"/>
                <w:szCs w:val="18"/>
              </w:rPr>
            </w:pPr>
            <w:r w:rsidRPr="001F224B">
              <w:rPr>
                <w:sz w:val="18"/>
                <w:szCs w:val="18"/>
              </w:rPr>
              <w:t>-</w:t>
            </w:r>
          </w:p>
        </w:tc>
      </w:tr>
      <w:tr w:rsidR="00D84490" w:rsidRPr="001F224B" w14:paraId="5B1266F6" w14:textId="77777777" w:rsidTr="00376779">
        <w:trPr>
          <w:trHeight w:val="170"/>
        </w:trPr>
        <w:tc>
          <w:tcPr>
            <w:tcW w:w="7910" w:type="dxa"/>
            <w:noWrap/>
            <w:vAlign w:val="bottom"/>
            <w:hideMark/>
          </w:tcPr>
          <w:p w14:paraId="2FAE1C1D" w14:textId="77777777" w:rsidR="00D84490" w:rsidRPr="001F224B" w:rsidRDefault="00D84490" w:rsidP="00376779">
            <w:pPr>
              <w:rPr>
                <w:sz w:val="18"/>
                <w:szCs w:val="18"/>
              </w:rPr>
            </w:pPr>
            <w:r w:rsidRPr="001F224B">
              <w:rPr>
                <w:sz w:val="18"/>
                <w:szCs w:val="18"/>
              </w:rPr>
              <w:t>Hisse senedine dönüştürülebilirse, dönüştürülebilir araç türleri</w:t>
            </w:r>
          </w:p>
        </w:tc>
        <w:tc>
          <w:tcPr>
            <w:tcW w:w="2127" w:type="dxa"/>
            <w:vAlign w:val="bottom"/>
            <w:hideMark/>
          </w:tcPr>
          <w:p w14:paraId="4579572E" w14:textId="77777777" w:rsidR="00D84490" w:rsidRPr="001F224B" w:rsidRDefault="00D84490" w:rsidP="00376779">
            <w:pPr>
              <w:rPr>
                <w:sz w:val="18"/>
                <w:szCs w:val="18"/>
              </w:rPr>
            </w:pPr>
            <w:r w:rsidRPr="001F224B">
              <w:rPr>
                <w:sz w:val="18"/>
                <w:szCs w:val="18"/>
              </w:rPr>
              <w:t>-</w:t>
            </w:r>
          </w:p>
        </w:tc>
      </w:tr>
      <w:tr w:rsidR="00D84490" w:rsidRPr="001F224B" w14:paraId="2D1237A7" w14:textId="77777777" w:rsidTr="00376779">
        <w:trPr>
          <w:trHeight w:val="170"/>
        </w:trPr>
        <w:tc>
          <w:tcPr>
            <w:tcW w:w="7910" w:type="dxa"/>
            <w:noWrap/>
            <w:vAlign w:val="bottom"/>
            <w:hideMark/>
          </w:tcPr>
          <w:p w14:paraId="6C04D0BE" w14:textId="77777777" w:rsidR="00D84490" w:rsidRPr="001F224B" w:rsidRDefault="00D84490" w:rsidP="00376779">
            <w:pPr>
              <w:rPr>
                <w:sz w:val="18"/>
                <w:szCs w:val="18"/>
              </w:rPr>
            </w:pPr>
            <w:r w:rsidRPr="001F224B">
              <w:rPr>
                <w:sz w:val="18"/>
                <w:szCs w:val="18"/>
              </w:rPr>
              <w:t>Hisse senedine dönüştürülebilirse, dönüştürülecek borçlanma aracının ihraççısı</w:t>
            </w:r>
          </w:p>
        </w:tc>
        <w:tc>
          <w:tcPr>
            <w:tcW w:w="2127" w:type="dxa"/>
            <w:vAlign w:val="bottom"/>
            <w:hideMark/>
          </w:tcPr>
          <w:p w14:paraId="0FC90003" w14:textId="77777777" w:rsidR="00D84490" w:rsidRPr="001F224B" w:rsidRDefault="00D84490" w:rsidP="00376779">
            <w:pPr>
              <w:rPr>
                <w:sz w:val="18"/>
                <w:szCs w:val="18"/>
              </w:rPr>
            </w:pPr>
            <w:r w:rsidRPr="001F224B">
              <w:rPr>
                <w:sz w:val="18"/>
                <w:szCs w:val="18"/>
              </w:rPr>
              <w:t>-</w:t>
            </w:r>
          </w:p>
        </w:tc>
      </w:tr>
      <w:tr w:rsidR="00D84490" w:rsidRPr="001F224B" w14:paraId="6B23B2A9" w14:textId="77777777" w:rsidTr="00376779">
        <w:trPr>
          <w:trHeight w:val="170"/>
        </w:trPr>
        <w:tc>
          <w:tcPr>
            <w:tcW w:w="7910" w:type="dxa"/>
            <w:noWrap/>
            <w:vAlign w:val="bottom"/>
            <w:hideMark/>
          </w:tcPr>
          <w:p w14:paraId="2EEDBCDD" w14:textId="77777777" w:rsidR="00D84490" w:rsidRPr="001F224B" w:rsidRDefault="00D84490" w:rsidP="00376779">
            <w:pPr>
              <w:rPr>
                <w:b/>
                <w:bCs/>
                <w:sz w:val="18"/>
                <w:szCs w:val="18"/>
              </w:rPr>
            </w:pPr>
            <w:r w:rsidRPr="001F224B">
              <w:rPr>
                <w:b/>
                <w:bCs/>
                <w:sz w:val="18"/>
                <w:szCs w:val="18"/>
              </w:rPr>
              <w:t>Değer azaltma özelliği</w:t>
            </w:r>
          </w:p>
        </w:tc>
        <w:tc>
          <w:tcPr>
            <w:tcW w:w="2127" w:type="dxa"/>
            <w:vAlign w:val="bottom"/>
            <w:hideMark/>
          </w:tcPr>
          <w:p w14:paraId="717330CA" w14:textId="77777777" w:rsidR="00D84490" w:rsidRPr="001F224B" w:rsidRDefault="00D84490" w:rsidP="00376779">
            <w:pPr>
              <w:rPr>
                <w:sz w:val="18"/>
                <w:szCs w:val="18"/>
              </w:rPr>
            </w:pPr>
            <w:r w:rsidRPr="001F224B">
              <w:rPr>
                <w:sz w:val="18"/>
                <w:szCs w:val="18"/>
              </w:rPr>
              <w:t> </w:t>
            </w:r>
          </w:p>
        </w:tc>
      </w:tr>
      <w:tr w:rsidR="00D84490" w:rsidRPr="001F224B" w14:paraId="05C19F7F" w14:textId="77777777" w:rsidTr="00376779">
        <w:trPr>
          <w:trHeight w:val="170"/>
        </w:trPr>
        <w:tc>
          <w:tcPr>
            <w:tcW w:w="7910" w:type="dxa"/>
            <w:noWrap/>
            <w:vAlign w:val="bottom"/>
            <w:hideMark/>
          </w:tcPr>
          <w:p w14:paraId="5389F235" w14:textId="77777777" w:rsidR="00D84490" w:rsidRPr="001F224B" w:rsidRDefault="00D84490" w:rsidP="00376779">
            <w:pPr>
              <w:rPr>
                <w:sz w:val="18"/>
                <w:szCs w:val="18"/>
              </w:rPr>
            </w:pPr>
            <w:r w:rsidRPr="001F224B">
              <w:rPr>
                <w:sz w:val="18"/>
                <w:szCs w:val="18"/>
              </w:rPr>
              <w:t>Değer azaltma özelliğine sahipse, azaltıma sebep olacak tetikleyici olay/olaylar</w:t>
            </w:r>
          </w:p>
        </w:tc>
        <w:tc>
          <w:tcPr>
            <w:tcW w:w="2127" w:type="dxa"/>
            <w:vAlign w:val="bottom"/>
            <w:hideMark/>
          </w:tcPr>
          <w:p w14:paraId="6E1DBBFC" w14:textId="77777777" w:rsidR="00D84490" w:rsidRPr="001F224B" w:rsidRDefault="00D84490" w:rsidP="00376779">
            <w:pPr>
              <w:rPr>
                <w:sz w:val="18"/>
                <w:szCs w:val="18"/>
              </w:rPr>
            </w:pPr>
            <w:r w:rsidRPr="001F224B">
              <w:rPr>
                <w:sz w:val="18"/>
                <w:szCs w:val="18"/>
              </w:rPr>
              <w:t>-</w:t>
            </w:r>
          </w:p>
        </w:tc>
      </w:tr>
      <w:tr w:rsidR="00D84490" w:rsidRPr="001F224B" w14:paraId="27CC092C" w14:textId="77777777" w:rsidTr="00376779">
        <w:trPr>
          <w:trHeight w:val="170"/>
        </w:trPr>
        <w:tc>
          <w:tcPr>
            <w:tcW w:w="7910" w:type="dxa"/>
            <w:noWrap/>
            <w:vAlign w:val="bottom"/>
            <w:hideMark/>
          </w:tcPr>
          <w:p w14:paraId="701082CE" w14:textId="77777777" w:rsidR="00D84490" w:rsidRPr="001F224B" w:rsidRDefault="00D84490" w:rsidP="00376779">
            <w:pPr>
              <w:rPr>
                <w:sz w:val="18"/>
                <w:szCs w:val="18"/>
              </w:rPr>
            </w:pPr>
            <w:r w:rsidRPr="001F224B">
              <w:rPr>
                <w:sz w:val="18"/>
                <w:szCs w:val="18"/>
              </w:rPr>
              <w:t>Değer azaltma özelliğine sahipse, tamamen ya da kısmen değer azaltımı özelliği</w:t>
            </w:r>
          </w:p>
        </w:tc>
        <w:tc>
          <w:tcPr>
            <w:tcW w:w="2127" w:type="dxa"/>
            <w:vAlign w:val="bottom"/>
            <w:hideMark/>
          </w:tcPr>
          <w:p w14:paraId="44771777" w14:textId="77777777" w:rsidR="00D84490" w:rsidRPr="001F224B" w:rsidRDefault="00D84490" w:rsidP="00376779">
            <w:pPr>
              <w:rPr>
                <w:sz w:val="18"/>
                <w:szCs w:val="18"/>
              </w:rPr>
            </w:pPr>
            <w:r w:rsidRPr="001F224B">
              <w:rPr>
                <w:sz w:val="18"/>
                <w:szCs w:val="18"/>
              </w:rPr>
              <w:t>-</w:t>
            </w:r>
          </w:p>
        </w:tc>
      </w:tr>
      <w:tr w:rsidR="00D84490" w:rsidRPr="001F224B" w14:paraId="0249BB86" w14:textId="77777777" w:rsidTr="00376779">
        <w:trPr>
          <w:trHeight w:val="170"/>
        </w:trPr>
        <w:tc>
          <w:tcPr>
            <w:tcW w:w="7910" w:type="dxa"/>
            <w:noWrap/>
            <w:vAlign w:val="bottom"/>
            <w:hideMark/>
          </w:tcPr>
          <w:p w14:paraId="5988A7C3" w14:textId="77777777" w:rsidR="00D84490" w:rsidRPr="001F224B" w:rsidRDefault="00D84490" w:rsidP="00376779">
            <w:pPr>
              <w:rPr>
                <w:sz w:val="18"/>
                <w:szCs w:val="18"/>
              </w:rPr>
            </w:pPr>
            <w:r w:rsidRPr="001F224B">
              <w:rPr>
                <w:sz w:val="18"/>
                <w:szCs w:val="18"/>
              </w:rPr>
              <w:t>Değer azaltma özelliğine sahipse, sürekli ya da geçici olma özelliği</w:t>
            </w:r>
          </w:p>
        </w:tc>
        <w:tc>
          <w:tcPr>
            <w:tcW w:w="2127" w:type="dxa"/>
            <w:vAlign w:val="bottom"/>
            <w:hideMark/>
          </w:tcPr>
          <w:p w14:paraId="6A98C851" w14:textId="77777777" w:rsidR="00D84490" w:rsidRPr="001F224B" w:rsidRDefault="00D84490" w:rsidP="00376779">
            <w:pPr>
              <w:rPr>
                <w:sz w:val="18"/>
                <w:szCs w:val="18"/>
              </w:rPr>
            </w:pPr>
            <w:r w:rsidRPr="001F224B">
              <w:rPr>
                <w:sz w:val="18"/>
                <w:szCs w:val="18"/>
              </w:rPr>
              <w:t>-</w:t>
            </w:r>
          </w:p>
        </w:tc>
      </w:tr>
      <w:tr w:rsidR="00D84490" w:rsidRPr="001F224B" w14:paraId="254FB928" w14:textId="77777777" w:rsidTr="00376779">
        <w:trPr>
          <w:trHeight w:val="170"/>
        </w:trPr>
        <w:tc>
          <w:tcPr>
            <w:tcW w:w="7910" w:type="dxa"/>
            <w:noWrap/>
            <w:vAlign w:val="bottom"/>
            <w:hideMark/>
          </w:tcPr>
          <w:p w14:paraId="61ABACF7" w14:textId="77777777" w:rsidR="00D84490" w:rsidRPr="001F224B" w:rsidRDefault="00D84490" w:rsidP="00376779">
            <w:pPr>
              <w:rPr>
                <w:sz w:val="18"/>
                <w:szCs w:val="18"/>
              </w:rPr>
            </w:pPr>
            <w:r w:rsidRPr="001F224B">
              <w:rPr>
                <w:sz w:val="18"/>
                <w:szCs w:val="18"/>
              </w:rPr>
              <w:t>Değeri geçici olarak azaltılabiliyorsa, değer artırım mekanizması</w:t>
            </w:r>
          </w:p>
        </w:tc>
        <w:tc>
          <w:tcPr>
            <w:tcW w:w="2127" w:type="dxa"/>
            <w:vAlign w:val="bottom"/>
            <w:hideMark/>
          </w:tcPr>
          <w:p w14:paraId="12175CCC" w14:textId="77777777" w:rsidR="00D84490" w:rsidRPr="001F224B" w:rsidRDefault="00D84490" w:rsidP="00376779">
            <w:pPr>
              <w:rPr>
                <w:sz w:val="18"/>
                <w:szCs w:val="18"/>
              </w:rPr>
            </w:pPr>
            <w:r w:rsidRPr="001F224B">
              <w:rPr>
                <w:sz w:val="18"/>
                <w:szCs w:val="18"/>
              </w:rPr>
              <w:t>-</w:t>
            </w:r>
          </w:p>
        </w:tc>
      </w:tr>
      <w:tr w:rsidR="00D84490" w:rsidRPr="001F224B" w14:paraId="0736882A" w14:textId="77777777" w:rsidTr="00376779">
        <w:trPr>
          <w:trHeight w:val="170"/>
        </w:trPr>
        <w:tc>
          <w:tcPr>
            <w:tcW w:w="7910" w:type="dxa"/>
            <w:vAlign w:val="bottom"/>
            <w:hideMark/>
          </w:tcPr>
          <w:p w14:paraId="7E7EEC19" w14:textId="77777777" w:rsidR="00D84490" w:rsidRPr="001F224B" w:rsidRDefault="00D84490" w:rsidP="00376779">
            <w:pPr>
              <w:rPr>
                <w:sz w:val="18"/>
                <w:szCs w:val="18"/>
              </w:rPr>
            </w:pPr>
            <w:r w:rsidRPr="001F224B">
              <w:rPr>
                <w:sz w:val="18"/>
                <w:szCs w:val="18"/>
              </w:rPr>
              <w:t>Tasfiye halinde alacak hakkı açısından hangi sırada olduğu (Bu aracın hemen üstünde yer alan araç)</w:t>
            </w:r>
          </w:p>
        </w:tc>
        <w:tc>
          <w:tcPr>
            <w:tcW w:w="2127" w:type="dxa"/>
            <w:vAlign w:val="bottom"/>
            <w:hideMark/>
          </w:tcPr>
          <w:p w14:paraId="6634809A" w14:textId="77777777" w:rsidR="00D84490" w:rsidRPr="001F224B" w:rsidRDefault="00D84490" w:rsidP="00376779">
            <w:pPr>
              <w:rPr>
                <w:sz w:val="18"/>
                <w:szCs w:val="18"/>
              </w:rPr>
            </w:pPr>
            <w:r w:rsidRPr="001F224B">
              <w:rPr>
                <w:sz w:val="18"/>
                <w:szCs w:val="18"/>
              </w:rPr>
              <w:t>Borçlanmalardan sonra, ilave ana sermayeden önce, diğer katkı sermayelerle aynı</w:t>
            </w:r>
          </w:p>
        </w:tc>
      </w:tr>
      <w:tr w:rsidR="00D84490" w:rsidRPr="001F224B" w14:paraId="719BAFE6" w14:textId="77777777" w:rsidTr="00376779">
        <w:trPr>
          <w:trHeight w:val="170"/>
        </w:trPr>
        <w:tc>
          <w:tcPr>
            <w:tcW w:w="7910" w:type="dxa"/>
            <w:vAlign w:val="bottom"/>
            <w:hideMark/>
          </w:tcPr>
          <w:p w14:paraId="52125C2B" w14:textId="77777777" w:rsidR="00D84490" w:rsidRPr="001F224B" w:rsidRDefault="00D84490" w:rsidP="00376779">
            <w:pPr>
              <w:rPr>
                <w:sz w:val="18"/>
                <w:szCs w:val="18"/>
              </w:rPr>
            </w:pPr>
            <w:r w:rsidRPr="001F224B">
              <w:rPr>
                <w:sz w:val="18"/>
                <w:szCs w:val="18"/>
              </w:rPr>
              <w:t>Bankaların Özkaynaklarına İlişkin Yönetmeliğin 7’nci ve 8’inci maddelerinde yer alan şartlardan haiz olunmayan olup olmadığı</w:t>
            </w:r>
          </w:p>
        </w:tc>
        <w:tc>
          <w:tcPr>
            <w:tcW w:w="2127" w:type="dxa"/>
            <w:vAlign w:val="bottom"/>
            <w:hideMark/>
          </w:tcPr>
          <w:p w14:paraId="2566BE35" w14:textId="77777777" w:rsidR="00D84490" w:rsidRPr="001F224B" w:rsidRDefault="00D84490" w:rsidP="00376779">
            <w:pPr>
              <w:rPr>
                <w:sz w:val="18"/>
                <w:szCs w:val="18"/>
              </w:rPr>
            </w:pPr>
            <w:r w:rsidRPr="001F224B">
              <w:rPr>
                <w:sz w:val="18"/>
                <w:szCs w:val="18"/>
              </w:rPr>
              <w:t xml:space="preserve">Bankaların Özkaynaklarına İlişkin Yönetmeliğin 8'inci maddesinde yer alan şartları taşımaktadır. </w:t>
            </w:r>
          </w:p>
        </w:tc>
      </w:tr>
      <w:tr w:rsidR="00D84490" w:rsidRPr="001F224B" w14:paraId="0B4F2731" w14:textId="77777777" w:rsidTr="00376779">
        <w:trPr>
          <w:trHeight w:val="170"/>
        </w:trPr>
        <w:tc>
          <w:tcPr>
            <w:tcW w:w="7910" w:type="dxa"/>
            <w:vAlign w:val="bottom"/>
            <w:hideMark/>
          </w:tcPr>
          <w:p w14:paraId="7CB7F0AE" w14:textId="77777777" w:rsidR="00D84490" w:rsidRPr="001F224B" w:rsidRDefault="00D84490" w:rsidP="00376779">
            <w:pPr>
              <w:rPr>
                <w:sz w:val="18"/>
                <w:szCs w:val="18"/>
              </w:rPr>
            </w:pPr>
            <w:r w:rsidRPr="001F224B">
              <w:rPr>
                <w:sz w:val="18"/>
                <w:szCs w:val="18"/>
              </w:rPr>
              <w:t>Bankaların Özkaynaklarına İlişkin Yönetmeliğin 7’nci ve 8’inci maddelerinde yer alan şartlardan hangilerini haiz olunmadığı</w:t>
            </w:r>
          </w:p>
        </w:tc>
        <w:tc>
          <w:tcPr>
            <w:tcW w:w="2127" w:type="dxa"/>
            <w:vAlign w:val="bottom"/>
            <w:hideMark/>
          </w:tcPr>
          <w:p w14:paraId="3799333B" w14:textId="77777777" w:rsidR="00D84490" w:rsidRPr="001F224B" w:rsidRDefault="00D84490" w:rsidP="00376779">
            <w:pPr>
              <w:rPr>
                <w:sz w:val="18"/>
                <w:szCs w:val="18"/>
              </w:rPr>
            </w:pPr>
            <w:r w:rsidRPr="001F224B">
              <w:rPr>
                <w:sz w:val="18"/>
                <w:szCs w:val="18"/>
              </w:rPr>
              <w:t xml:space="preserve">Bankaların Özkaynaklarına İlişkin Yönetmeliğin 8'inci maddesinde yer alan şartları taşımaktadır. </w:t>
            </w:r>
          </w:p>
        </w:tc>
      </w:tr>
    </w:tbl>
    <w:p w14:paraId="57CC7864" w14:textId="77777777" w:rsidR="002A4431" w:rsidRPr="001F224B" w:rsidRDefault="002A4431" w:rsidP="00EF4E61">
      <w:pPr>
        <w:pStyle w:val="ListParagraph"/>
        <w:tabs>
          <w:tab w:val="left" w:pos="0"/>
        </w:tabs>
        <w:spacing w:before="120"/>
        <w:ind w:left="0"/>
        <w:rPr>
          <w:b/>
          <w:bCs/>
          <w:sz w:val="6"/>
          <w:szCs w:val="6"/>
        </w:rPr>
      </w:pPr>
    </w:p>
    <w:p w14:paraId="4FF92C0F" w14:textId="77777777" w:rsidR="00931312" w:rsidRPr="001F224B" w:rsidRDefault="00931312">
      <w:pPr>
        <w:rPr>
          <w:b/>
          <w:bCs/>
          <w:sz w:val="22"/>
          <w:szCs w:val="22"/>
        </w:rPr>
      </w:pPr>
      <w:r w:rsidRPr="001F224B">
        <w:rPr>
          <w:b/>
          <w:bCs/>
          <w:sz w:val="22"/>
          <w:szCs w:val="22"/>
        </w:rPr>
        <w:br w:type="page"/>
      </w:r>
    </w:p>
    <w:p w14:paraId="5A336639" w14:textId="19E06115" w:rsidR="00EF4E61" w:rsidRPr="001F224B" w:rsidRDefault="00EF4E61" w:rsidP="00F5305D">
      <w:pPr>
        <w:pStyle w:val="ListParagraph"/>
        <w:tabs>
          <w:tab w:val="left" w:pos="0"/>
        </w:tabs>
        <w:ind w:left="0"/>
        <w:rPr>
          <w:b/>
          <w:bCs/>
          <w:sz w:val="22"/>
          <w:szCs w:val="22"/>
        </w:rPr>
      </w:pPr>
      <w:r w:rsidRPr="001F224B">
        <w:rPr>
          <w:b/>
          <w:bCs/>
          <w:sz w:val="22"/>
          <w:szCs w:val="22"/>
        </w:rPr>
        <w:t>DÖRDÜNCÜ BÖLÜM (Devamı)</w:t>
      </w:r>
    </w:p>
    <w:p w14:paraId="00E58701" w14:textId="7C855CF5" w:rsidR="00EF4E61" w:rsidRPr="001F224B" w:rsidRDefault="00EF6E83" w:rsidP="00EF4E61">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EF4E61" w:rsidRPr="001F224B">
        <w:rPr>
          <w:b/>
          <w:bCs/>
          <w:sz w:val="22"/>
          <w:szCs w:val="22"/>
        </w:rPr>
        <w:t>(Devamı)</w:t>
      </w:r>
    </w:p>
    <w:p w14:paraId="0078F33B" w14:textId="436CE407" w:rsidR="00FE6648" w:rsidRPr="001F224B" w:rsidRDefault="00FE6648" w:rsidP="00F034E4">
      <w:pPr>
        <w:tabs>
          <w:tab w:val="left" w:pos="567"/>
        </w:tabs>
        <w:spacing w:before="120"/>
        <w:ind w:left="567" w:hanging="567"/>
        <w:jc w:val="both"/>
        <w:rPr>
          <w:b/>
          <w:bCs/>
          <w:sz w:val="22"/>
          <w:szCs w:val="22"/>
        </w:rPr>
      </w:pPr>
      <w:r w:rsidRPr="001F224B">
        <w:rPr>
          <w:b/>
          <w:bCs/>
          <w:sz w:val="22"/>
          <w:szCs w:val="22"/>
        </w:rPr>
        <w:t>I</w:t>
      </w:r>
      <w:r w:rsidR="00F034E4" w:rsidRPr="001F224B">
        <w:rPr>
          <w:b/>
          <w:bCs/>
          <w:sz w:val="22"/>
          <w:szCs w:val="22"/>
        </w:rPr>
        <w:t>.</w:t>
      </w:r>
      <w:r w:rsidRPr="001F224B">
        <w:rPr>
          <w:b/>
          <w:bCs/>
          <w:sz w:val="22"/>
          <w:szCs w:val="22"/>
        </w:rPr>
        <w:t xml:space="preserve">    </w:t>
      </w:r>
      <w:r w:rsidR="002E48BA" w:rsidRPr="001F224B">
        <w:rPr>
          <w:b/>
          <w:bCs/>
          <w:sz w:val="22"/>
          <w:szCs w:val="22"/>
        </w:rPr>
        <w:t>Konsolide</w:t>
      </w:r>
      <w:r w:rsidR="00D935C8" w:rsidRPr="001F224B">
        <w:rPr>
          <w:b/>
          <w:bCs/>
          <w:sz w:val="22"/>
          <w:szCs w:val="22"/>
        </w:rPr>
        <w:t xml:space="preserve"> ö</w:t>
      </w:r>
      <w:r w:rsidRPr="001F224B">
        <w:rPr>
          <w:b/>
          <w:bCs/>
          <w:sz w:val="22"/>
          <w:szCs w:val="22"/>
        </w:rPr>
        <w:t>zkaynak ka</w:t>
      </w:r>
      <w:r w:rsidR="00DA1AD8" w:rsidRPr="001F224B">
        <w:rPr>
          <w:b/>
          <w:bCs/>
          <w:sz w:val="22"/>
          <w:szCs w:val="22"/>
        </w:rPr>
        <w:t>lemlerine ilişkin açıklamalar (D</w:t>
      </w:r>
      <w:r w:rsidRPr="001F224B">
        <w:rPr>
          <w:b/>
          <w:bCs/>
          <w:sz w:val="22"/>
          <w:szCs w:val="22"/>
        </w:rPr>
        <w:t>evamı)</w:t>
      </w:r>
    </w:p>
    <w:p w14:paraId="3B17C4F3" w14:textId="5B39FFD3" w:rsidR="0024218D" w:rsidRPr="001F224B" w:rsidRDefault="004536F4" w:rsidP="004536F4">
      <w:pPr>
        <w:tabs>
          <w:tab w:val="left" w:pos="567"/>
        </w:tabs>
        <w:spacing w:before="120" w:after="120"/>
        <w:jc w:val="both"/>
        <w:rPr>
          <w:b/>
          <w:bCs/>
          <w:sz w:val="22"/>
          <w:szCs w:val="22"/>
        </w:rPr>
      </w:pPr>
      <w:r w:rsidRPr="001F224B">
        <w:rPr>
          <w:b/>
          <w:bCs/>
          <w:sz w:val="22"/>
          <w:szCs w:val="22"/>
        </w:rPr>
        <w:t xml:space="preserve">       </w:t>
      </w:r>
      <w:r w:rsidR="002E48BA" w:rsidRPr="001F224B">
        <w:rPr>
          <w:b/>
          <w:bCs/>
          <w:sz w:val="22"/>
          <w:szCs w:val="22"/>
        </w:rPr>
        <w:t xml:space="preserve">Konsolide </w:t>
      </w:r>
      <w:r w:rsidR="00D935C8" w:rsidRPr="001F224B">
        <w:rPr>
          <w:b/>
          <w:bCs/>
          <w:sz w:val="22"/>
          <w:szCs w:val="22"/>
        </w:rPr>
        <w:t>ö</w:t>
      </w:r>
      <w:r w:rsidR="0024218D" w:rsidRPr="001F224B">
        <w:rPr>
          <w:b/>
          <w:bCs/>
          <w:sz w:val="22"/>
          <w:szCs w:val="22"/>
        </w:rPr>
        <w:t>zkaynak hesaplamasına dahil edilecek borçlanma araçlarına ilişkin bilgiler</w:t>
      </w:r>
      <w:r w:rsidR="00B74CCB" w:rsidRPr="001F224B">
        <w:rPr>
          <w:b/>
          <w:bCs/>
          <w:sz w:val="22"/>
          <w:szCs w:val="22"/>
        </w:rPr>
        <w:t xml:space="preserve"> </w:t>
      </w:r>
      <w:r w:rsidR="00DA1AD8" w:rsidRPr="001F224B">
        <w:rPr>
          <w:b/>
          <w:bCs/>
          <w:sz w:val="22"/>
          <w:szCs w:val="22"/>
        </w:rPr>
        <w:t>(D</w:t>
      </w:r>
      <w:r w:rsidR="00815E85" w:rsidRPr="001F224B">
        <w:rPr>
          <w:b/>
          <w:bCs/>
          <w:sz w:val="22"/>
          <w:szCs w:val="22"/>
        </w:rPr>
        <w:t>evamı)</w:t>
      </w:r>
      <w:r w:rsidR="0024218D" w:rsidRPr="001F224B">
        <w:rPr>
          <w:b/>
          <w:bCs/>
          <w:sz w:val="22"/>
          <w:szCs w:val="22"/>
        </w:rPr>
        <w:t>:</w:t>
      </w:r>
    </w:p>
    <w:tbl>
      <w:tblPr>
        <w:tblStyle w:val="TabloKlavuzu6"/>
        <w:tblW w:w="10037" w:type="dxa"/>
        <w:tblInd w:w="23" w:type="dxa"/>
        <w:tblLook w:val="04A0" w:firstRow="1" w:lastRow="0" w:firstColumn="1" w:lastColumn="0" w:noHBand="0" w:noVBand="1"/>
      </w:tblPr>
      <w:tblGrid>
        <w:gridCol w:w="7910"/>
        <w:gridCol w:w="2127"/>
      </w:tblGrid>
      <w:tr w:rsidR="00A570B1" w:rsidRPr="001F224B" w14:paraId="328C1D03" w14:textId="77777777" w:rsidTr="00474915">
        <w:trPr>
          <w:trHeight w:val="386"/>
        </w:trPr>
        <w:tc>
          <w:tcPr>
            <w:tcW w:w="7910" w:type="dxa"/>
            <w:noWrap/>
            <w:vAlign w:val="bottom"/>
          </w:tcPr>
          <w:p w14:paraId="34E9B9E9" w14:textId="01FFDA72" w:rsidR="00A570B1" w:rsidRPr="001F224B" w:rsidRDefault="00A570B1" w:rsidP="00474915">
            <w:pPr>
              <w:rPr>
                <w:sz w:val="18"/>
                <w:szCs w:val="18"/>
              </w:rPr>
            </w:pPr>
            <w:r w:rsidRPr="001F224B">
              <w:rPr>
                <w:b/>
                <w:bCs/>
                <w:sz w:val="18"/>
                <w:szCs w:val="18"/>
              </w:rPr>
              <w:t>Önceki Dönem (31.12.202</w:t>
            </w:r>
            <w:r w:rsidR="00963C0A" w:rsidRPr="001F224B">
              <w:rPr>
                <w:b/>
                <w:bCs/>
                <w:sz w:val="18"/>
                <w:szCs w:val="18"/>
              </w:rPr>
              <w:t>4</w:t>
            </w:r>
            <w:r w:rsidRPr="001F224B">
              <w:rPr>
                <w:b/>
                <w:bCs/>
                <w:sz w:val="18"/>
                <w:szCs w:val="18"/>
              </w:rPr>
              <w:t>)</w:t>
            </w:r>
          </w:p>
        </w:tc>
        <w:tc>
          <w:tcPr>
            <w:tcW w:w="2127" w:type="dxa"/>
            <w:vAlign w:val="bottom"/>
          </w:tcPr>
          <w:p w14:paraId="058DF8BD" w14:textId="77777777" w:rsidR="00A570B1" w:rsidRPr="001F224B" w:rsidRDefault="00A570B1" w:rsidP="00474915">
            <w:pPr>
              <w:rPr>
                <w:sz w:val="18"/>
                <w:szCs w:val="18"/>
              </w:rPr>
            </w:pPr>
          </w:p>
        </w:tc>
      </w:tr>
      <w:tr w:rsidR="00963C0A" w:rsidRPr="001F224B" w14:paraId="13D5773F" w14:textId="77777777" w:rsidTr="00474915">
        <w:trPr>
          <w:trHeight w:val="170"/>
        </w:trPr>
        <w:tc>
          <w:tcPr>
            <w:tcW w:w="7910" w:type="dxa"/>
            <w:noWrap/>
            <w:vAlign w:val="center"/>
          </w:tcPr>
          <w:p w14:paraId="4441D854" w14:textId="77777777" w:rsidR="00963C0A" w:rsidRPr="001F224B" w:rsidRDefault="00963C0A" w:rsidP="00963C0A">
            <w:pPr>
              <w:rPr>
                <w:sz w:val="18"/>
                <w:szCs w:val="18"/>
              </w:rPr>
            </w:pPr>
            <w:r w:rsidRPr="001F224B">
              <w:rPr>
                <w:sz w:val="18"/>
                <w:szCs w:val="18"/>
              </w:rPr>
              <w:t>İhraççı / Krediyi Kullandıran</w:t>
            </w:r>
          </w:p>
        </w:tc>
        <w:tc>
          <w:tcPr>
            <w:tcW w:w="2127" w:type="dxa"/>
            <w:vAlign w:val="bottom"/>
          </w:tcPr>
          <w:p w14:paraId="2D14D8FF" w14:textId="5F391348" w:rsidR="00963C0A" w:rsidRPr="001F224B" w:rsidRDefault="00963C0A" w:rsidP="00963C0A">
            <w:pPr>
              <w:rPr>
                <w:sz w:val="18"/>
                <w:szCs w:val="18"/>
              </w:rPr>
            </w:pPr>
            <w:r w:rsidRPr="001F224B">
              <w:rPr>
                <w:sz w:val="18"/>
                <w:szCs w:val="18"/>
              </w:rPr>
              <w:t>Banka / T.C. Hazine ve Maliye Bakanlığı</w:t>
            </w:r>
          </w:p>
        </w:tc>
      </w:tr>
      <w:tr w:rsidR="00963C0A" w:rsidRPr="001F224B" w14:paraId="49F6276C" w14:textId="77777777" w:rsidTr="00474915">
        <w:trPr>
          <w:trHeight w:val="170"/>
        </w:trPr>
        <w:tc>
          <w:tcPr>
            <w:tcW w:w="7910" w:type="dxa"/>
            <w:noWrap/>
            <w:vAlign w:val="bottom"/>
            <w:hideMark/>
          </w:tcPr>
          <w:p w14:paraId="7F4C5FBC" w14:textId="77777777" w:rsidR="00963C0A" w:rsidRPr="001F224B" w:rsidRDefault="00963C0A" w:rsidP="00963C0A">
            <w:pPr>
              <w:rPr>
                <w:sz w:val="18"/>
                <w:szCs w:val="18"/>
              </w:rPr>
            </w:pPr>
            <w:r w:rsidRPr="001F224B">
              <w:rPr>
                <w:sz w:val="18"/>
                <w:szCs w:val="18"/>
              </w:rPr>
              <w:t>Aracının kodu (CUSIP, ISIN vb.)</w:t>
            </w:r>
          </w:p>
        </w:tc>
        <w:tc>
          <w:tcPr>
            <w:tcW w:w="2127" w:type="dxa"/>
            <w:vAlign w:val="bottom"/>
            <w:hideMark/>
          </w:tcPr>
          <w:p w14:paraId="3001A3D0" w14:textId="08C3CAF5" w:rsidR="00963C0A" w:rsidRPr="001F224B" w:rsidRDefault="00963C0A" w:rsidP="00963C0A">
            <w:pPr>
              <w:rPr>
                <w:sz w:val="18"/>
                <w:szCs w:val="18"/>
              </w:rPr>
            </w:pPr>
            <w:r w:rsidRPr="001F224B">
              <w:rPr>
                <w:sz w:val="18"/>
                <w:szCs w:val="18"/>
              </w:rPr>
              <w:t>-</w:t>
            </w:r>
          </w:p>
        </w:tc>
      </w:tr>
      <w:tr w:rsidR="00963C0A" w:rsidRPr="001F224B" w14:paraId="289A28D7" w14:textId="77777777" w:rsidTr="00474915">
        <w:trPr>
          <w:trHeight w:val="170"/>
        </w:trPr>
        <w:tc>
          <w:tcPr>
            <w:tcW w:w="7910" w:type="dxa"/>
            <w:noWrap/>
            <w:vAlign w:val="bottom"/>
            <w:hideMark/>
          </w:tcPr>
          <w:p w14:paraId="0353314E" w14:textId="77777777" w:rsidR="00963C0A" w:rsidRPr="001F224B" w:rsidRDefault="00963C0A" w:rsidP="00963C0A">
            <w:pPr>
              <w:rPr>
                <w:sz w:val="18"/>
                <w:szCs w:val="18"/>
              </w:rPr>
            </w:pPr>
            <w:r w:rsidRPr="001F224B">
              <w:rPr>
                <w:sz w:val="18"/>
                <w:szCs w:val="18"/>
              </w:rPr>
              <w:t>Aracın tabi olduğu mevzuat</w:t>
            </w:r>
          </w:p>
        </w:tc>
        <w:tc>
          <w:tcPr>
            <w:tcW w:w="2127" w:type="dxa"/>
            <w:vAlign w:val="bottom"/>
            <w:hideMark/>
          </w:tcPr>
          <w:p w14:paraId="2997335C" w14:textId="78AF9990" w:rsidR="00963C0A" w:rsidRPr="001F224B" w:rsidRDefault="00963C0A" w:rsidP="00963C0A">
            <w:pPr>
              <w:rPr>
                <w:sz w:val="18"/>
                <w:szCs w:val="18"/>
              </w:rPr>
            </w:pPr>
            <w:r w:rsidRPr="001F224B">
              <w:rPr>
                <w:sz w:val="18"/>
                <w:szCs w:val="18"/>
              </w:rPr>
              <w:t>BDDK</w:t>
            </w:r>
          </w:p>
        </w:tc>
      </w:tr>
      <w:tr w:rsidR="00963C0A" w:rsidRPr="001F224B" w14:paraId="0B346F7E" w14:textId="77777777" w:rsidTr="00474915">
        <w:trPr>
          <w:trHeight w:val="170"/>
        </w:trPr>
        <w:tc>
          <w:tcPr>
            <w:tcW w:w="7910" w:type="dxa"/>
            <w:noWrap/>
            <w:vAlign w:val="bottom"/>
            <w:hideMark/>
          </w:tcPr>
          <w:p w14:paraId="3D1D9779" w14:textId="77777777" w:rsidR="00963C0A" w:rsidRPr="001F224B" w:rsidRDefault="00963C0A" w:rsidP="00963C0A">
            <w:pPr>
              <w:rPr>
                <w:b/>
                <w:bCs/>
                <w:sz w:val="18"/>
                <w:szCs w:val="18"/>
              </w:rPr>
            </w:pPr>
            <w:r w:rsidRPr="001F224B">
              <w:rPr>
                <w:b/>
                <w:bCs/>
                <w:sz w:val="18"/>
                <w:szCs w:val="18"/>
              </w:rPr>
              <w:t>Özkaynak hesaplamasında dikkate alınma durumu</w:t>
            </w:r>
          </w:p>
        </w:tc>
        <w:tc>
          <w:tcPr>
            <w:tcW w:w="2127" w:type="dxa"/>
            <w:vAlign w:val="bottom"/>
            <w:hideMark/>
          </w:tcPr>
          <w:p w14:paraId="3348CEDB" w14:textId="260398B3" w:rsidR="00963C0A" w:rsidRPr="001F224B" w:rsidRDefault="00963C0A" w:rsidP="00963C0A">
            <w:pPr>
              <w:rPr>
                <w:sz w:val="18"/>
                <w:szCs w:val="18"/>
              </w:rPr>
            </w:pPr>
            <w:r w:rsidRPr="001F224B">
              <w:rPr>
                <w:sz w:val="18"/>
                <w:szCs w:val="18"/>
              </w:rPr>
              <w:t> </w:t>
            </w:r>
          </w:p>
        </w:tc>
      </w:tr>
      <w:tr w:rsidR="00963C0A" w:rsidRPr="001F224B" w14:paraId="6E1E9247" w14:textId="77777777" w:rsidTr="00474915">
        <w:trPr>
          <w:trHeight w:val="170"/>
        </w:trPr>
        <w:tc>
          <w:tcPr>
            <w:tcW w:w="7910" w:type="dxa"/>
            <w:vAlign w:val="bottom"/>
            <w:hideMark/>
          </w:tcPr>
          <w:p w14:paraId="75A5F6A2" w14:textId="77777777" w:rsidR="00963C0A" w:rsidRPr="001F224B" w:rsidRDefault="00963C0A" w:rsidP="00963C0A">
            <w:pPr>
              <w:rPr>
                <w:sz w:val="18"/>
                <w:szCs w:val="18"/>
              </w:rPr>
            </w:pPr>
            <w:r w:rsidRPr="001F224B">
              <w:rPr>
                <w:sz w:val="18"/>
                <w:szCs w:val="18"/>
              </w:rPr>
              <w:t>1/1/2015’den itibaren %10 oranında azaltılarak dikkate alınma uygulamasına tabi olma durumu</w:t>
            </w:r>
          </w:p>
        </w:tc>
        <w:tc>
          <w:tcPr>
            <w:tcW w:w="2127" w:type="dxa"/>
            <w:vAlign w:val="bottom"/>
            <w:hideMark/>
          </w:tcPr>
          <w:p w14:paraId="7AF39817" w14:textId="4027B87D" w:rsidR="00963C0A" w:rsidRPr="001F224B" w:rsidRDefault="00963C0A" w:rsidP="00963C0A">
            <w:pPr>
              <w:rPr>
                <w:sz w:val="18"/>
                <w:szCs w:val="18"/>
              </w:rPr>
            </w:pPr>
            <w:r w:rsidRPr="001F224B">
              <w:rPr>
                <w:sz w:val="18"/>
                <w:szCs w:val="18"/>
              </w:rPr>
              <w:t>Hayır</w:t>
            </w:r>
          </w:p>
        </w:tc>
      </w:tr>
      <w:tr w:rsidR="00963C0A" w:rsidRPr="001F224B" w14:paraId="7B971074" w14:textId="77777777" w:rsidTr="00474915">
        <w:trPr>
          <w:trHeight w:val="170"/>
        </w:trPr>
        <w:tc>
          <w:tcPr>
            <w:tcW w:w="7910" w:type="dxa"/>
            <w:vAlign w:val="bottom"/>
            <w:hideMark/>
          </w:tcPr>
          <w:p w14:paraId="25DEAB99" w14:textId="77777777" w:rsidR="00963C0A" w:rsidRPr="001F224B" w:rsidRDefault="00963C0A" w:rsidP="00963C0A">
            <w:pPr>
              <w:rPr>
                <w:sz w:val="18"/>
                <w:szCs w:val="18"/>
              </w:rPr>
            </w:pPr>
            <w:r w:rsidRPr="001F224B">
              <w:rPr>
                <w:sz w:val="18"/>
                <w:szCs w:val="18"/>
              </w:rPr>
              <w:t>Konsolide veya konsolide olmayan bazda veya hem konsolide hem konsolide olmayan bazda geçerlilik durumu</w:t>
            </w:r>
          </w:p>
        </w:tc>
        <w:tc>
          <w:tcPr>
            <w:tcW w:w="2127" w:type="dxa"/>
            <w:vAlign w:val="bottom"/>
            <w:hideMark/>
          </w:tcPr>
          <w:p w14:paraId="6A69E585" w14:textId="21A92B6C" w:rsidR="00963C0A" w:rsidRPr="001F224B" w:rsidRDefault="00963C0A" w:rsidP="00963C0A">
            <w:pPr>
              <w:rPr>
                <w:sz w:val="18"/>
                <w:szCs w:val="18"/>
              </w:rPr>
            </w:pPr>
            <w:r w:rsidRPr="001F224B">
              <w:rPr>
                <w:sz w:val="18"/>
                <w:szCs w:val="18"/>
              </w:rPr>
              <w:t>Konsolide ve konsolide olmayan bazda geçerlidir</w:t>
            </w:r>
          </w:p>
        </w:tc>
      </w:tr>
      <w:tr w:rsidR="00963C0A" w:rsidRPr="001F224B" w14:paraId="7077A862" w14:textId="77777777" w:rsidTr="00474915">
        <w:trPr>
          <w:trHeight w:val="170"/>
        </w:trPr>
        <w:tc>
          <w:tcPr>
            <w:tcW w:w="7910" w:type="dxa"/>
            <w:noWrap/>
            <w:vAlign w:val="bottom"/>
            <w:hideMark/>
          </w:tcPr>
          <w:p w14:paraId="6D5F3CFB" w14:textId="77777777" w:rsidR="00963C0A" w:rsidRPr="001F224B" w:rsidRDefault="00963C0A" w:rsidP="00963C0A">
            <w:pPr>
              <w:rPr>
                <w:sz w:val="18"/>
                <w:szCs w:val="18"/>
              </w:rPr>
            </w:pPr>
            <w:r w:rsidRPr="001F224B">
              <w:rPr>
                <w:sz w:val="18"/>
                <w:szCs w:val="18"/>
              </w:rPr>
              <w:t>Aracın türü</w:t>
            </w:r>
          </w:p>
        </w:tc>
        <w:tc>
          <w:tcPr>
            <w:tcW w:w="2127" w:type="dxa"/>
            <w:vAlign w:val="bottom"/>
            <w:hideMark/>
          </w:tcPr>
          <w:p w14:paraId="79B35959" w14:textId="2778E122" w:rsidR="00963C0A" w:rsidRPr="001F224B" w:rsidRDefault="00963C0A" w:rsidP="00963C0A">
            <w:pPr>
              <w:rPr>
                <w:sz w:val="18"/>
                <w:szCs w:val="18"/>
              </w:rPr>
            </w:pPr>
            <w:r w:rsidRPr="001F224B">
              <w:rPr>
                <w:sz w:val="18"/>
                <w:szCs w:val="18"/>
              </w:rPr>
              <w:t>Kredi</w:t>
            </w:r>
          </w:p>
        </w:tc>
      </w:tr>
      <w:tr w:rsidR="00963C0A" w:rsidRPr="001F224B" w14:paraId="3835BE86" w14:textId="77777777" w:rsidTr="00474915">
        <w:trPr>
          <w:trHeight w:val="170"/>
        </w:trPr>
        <w:tc>
          <w:tcPr>
            <w:tcW w:w="7910" w:type="dxa"/>
            <w:vAlign w:val="bottom"/>
            <w:hideMark/>
          </w:tcPr>
          <w:p w14:paraId="3983BDF3" w14:textId="77777777" w:rsidR="00963C0A" w:rsidRPr="001F224B" w:rsidRDefault="00963C0A" w:rsidP="00963C0A">
            <w:pPr>
              <w:rPr>
                <w:sz w:val="18"/>
                <w:szCs w:val="18"/>
              </w:rPr>
            </w:pPr>
            <w:r w:rsidRPr="001F224B">
              <w:rPr>
                <w:sz w:val="18"/>
                <w:szCs w:val="18"/>
              </w:rPr>
              <w:t>Özkaynak hesaplamasında dikkate alınan tutar (En son raporlama tarihi itibarıyla - Milyon TL)</w:t>
            </w:r>
          </w:p>
        </w:tc>
        <w:tc>
          <w:tcPr>
            <w:tcW w:w="2127" w:type="dxa"/>
            <w:vAlign w:val="bottom"/>
            <w:hideMark/>
          </w:tcPr>
          <w:p w14:paraId="0E1AE0FB" w14:textId="339C52B8" w:rsidR="00963C0A" w:rsidRPr="001F224B" w:rsidRDefault="00963C0A" w:rsidP="00963C0A">
            <w:pPr>
              <w:rPr>
                <w:sz w:val="18"/>
                <w:szCs w:val="18"/>
              </w:rPr>
            </w:pPr>
            <w:r w:rsidRPr="001F224B">
              <w:rPr>
                <w:sz w:val="18"/>
                <w:szCs w:val="18"/>
              </w:rPr>
              <w:t>2.060</w:t>
            </w:r>
          </w:p>
        </w:tc>
      </w:tr>
      <w:tr w:rsidR="00963C0A" w:rsidRPr="001F224B" w14:paraId="4AAEAC6A" w14:textId="77777777" w:rsidTr="00474915">
        <w:trPr>
          <w:trHeight w:val="170"/>
        </w:trPr>
        <w:tc>
          <w:tcPr>
            <w:tcW w:w="7910" w:type="dxa"/>
            <w:noWrap/>
            <w:vAlign w:val="bottom"/>
            <w:hideMark/>
          </w:tcPr>
          <w:p w14:paraId="00DADD25" w14:textId="77777777" w:rsidR="00963C0A" w:rsidRPr="001F224B" w:rsidRDefault="00963C0A" w:rsidP="00963C0A">
            <w:pPr>
              <w:rPr>
                <w:sz w:val="18"/>
                <w:szCs w:val="18"/>
              </w:rPr>
            </w:pPr>
            <w:r w:rsidRPr="001F224B">
              <w:rPr>
                <w:sz w:val="18"/>
                <w:szCs w:val="18"/>
              </w:rPr>
              <w:t>Aracın nominal değeri (Milyon TL)</w:t>
            </w:r>
          </w:p>
        </w:tc>
        <w:tc>
          <w:tcPr>
            <w:tcW w:w="2127" w:type="dxa"/>
            <w:vAlign w:val="bottom"/>
            <w:hideMark/>
          </w:tcPr>
          <w:p w14:paraId="67628C56" w14:textId="12110CAF" w:rsidR="00963C0A" w:rsidRPr="001F224B" w:rsidRDefault="00963C0A" w:rsidP="00963C0A">
            <w:pPr>
              <w:rPr>
                <w:sz w:val="18"/>
                <w:szCs w:val="18"/>
              </w:rPr>
            </w:pPr>
            <w:r w:rsidRPr="001F224B">
              <w:rPr>
                <w:sz w:val="18"/>
                <w:szCs w:val="18"/>
              </w:rPr>
              <w:t>2.060</w:t>
            </w:r>
          </w:p>
        </w:tc>
      </w:tr>
      <w:tr w:rsidR="00963C0A" w:rsidRPr="001F224B" w14:paraId="167BBE99" w14:textId="77777777" w:rsidTr="00474915">
        <w:trPr>
          <w:trHeight w:val="170"/>
        </w:trPr>
        <w:tc>
          <w:tcPr>
            <w:tcW w:w="7910" w:type="dxa"/>
            <w:noWrap/>
            <w:vAlign w:val="bottom"/>
            <w:hideMark/>
          </w:tcPr>
          <w:p w14:paraId="2A193666" w14:textId="77777777" w:rsidR="00963C0A" w:rsidRPr="001F224B" w:rsidRDefault="00963C0A" w:rsidP="00963C0A">
            <w:pPr>
              <w:rPr>
                <w:sz w:val="18"/>
                <w:szCs w:val="18"/>
              </w:rPr>
            </w:pPr>
            <w:r w:rsidRPr="001F224B">
              <w:rPr>
                <w:sz w:val="18"/>
                <w:szCs w:val="18"/>
              </w:rPr>
              <w:t>Aracın muhasebesel olarak takip edildiği hesap</w:t>
            </w:r>
          </w:p>
        </w:tc>
        <w:tc>
          <w:tcPr>
            <w:tcW w:w="2127" w:type="dxa"/>
            <w:vAlign w:val="bottom"/>
            <w:hideMark/>
          </w:tcPr>
          <w:p w14:paraId="2448C35E" w14:textId="7B0C2D75" w:rsidR="00963C0A" w:rsidRPr="001F224B" w:rsidRDefault="00963C0A" w:rsidP="00963C0A">
            <w:pPr>
              <w:rPr>
                <w:sz w:val="18"/>
                <w:szCs w:val="18"/>
              </w:rPr>
            </w:pPr>
            <w:r w:rsidRPr="001F224B">
              <w:rPr>
                <w:sz w:val="18"/>
                <w:szCs w:val="18"/>
              </w:rPr>
              <w:t>Pasif</w:t>
            </w:r>
            <w:r w:rsidRPr="001F224B">
              <w:rPr>
                <w:sz w:val="18"/>
                <w:szCs w:val="18"/>
              </w:rPr>
              <w:br/>
              <w:t>Sermaye Benzeri Krediler</w:t>
            </w:r>
          </w:p>
        </w:tc>
      </w:tr>
      <w:tr w:rsidR="00963C0A" w:rsidRPr="001F224B" w14:paraId="6731AFD4" w14:textId="77777777" w:rsidTr="00474915">
        <w:trPr>
          <w:trHeight w:val="170"/>
        </w:trPr>
        <w:tc>
          <w:tcPr>
            <w:tcW w:w="7910" w:type="dxa"/>
            <w:noWrap/>
            <w:vAlign w:val="bottom"/>
            <w:hideMark/>
          </w:tcPr>
          <w:p w14:paraId="244BB812" w14:textId="77777777" w:rsidR="00963C0A" w:rsidRPr="001F224B" w:rsidRDefault="00963C0A" w:rsidP="00963C0A">
            <w:pPr>
              <w:rPr>
                <w:sz w:val="18"/>
                <w:szCs w:val="18"/>
              </w:rPr>
            </w:pPr>
            <w:r w:rsidRPr="001F224B">
              <w:rPr>
                <w:sz w:val="18"/>
                <w:szCs w:val="18"/>
              </w:rPr>
              <w:t>Aracın ihraç tarihi</w:t>
            </w:r>
          </w:p>
        </w:tc>
        <w:tc>
          <w:tcPr>
            <w:tcW w:w="2127" w:type="dxa"/>
            <w:vAlign w:val="bottom"/>
            <w:hideMark/>
          </w:tcPr>
          <w:p w14:paraId="07E13EC5" w14:textId="28FB7CBA" w:rsidR="00963C0A" w:rsidRPr="001F224B" w:rsidRDefault="00963C0A" w:rsidP="00963C0A">
            <w:pPr>
              <w:rPr>
                <w:sz w:val="18"/>
                <w:szCs w:val="18"/>
              </w:rPr>
            </w:pPr>
            <w:r w:rsidRPr="001F224B">
              <w:rPr>
                <w:sz w:val="18"/>
                <w:szCs w:val="18"/>
              </w:rPr>
              <w:t>31.12.2018</w:t>
            </w:r>
          </w:p>
        </w:tc>
      </w:tr>
      <w:tr w:rsidR="00963C0A" w:rsidRPr="001F224B" w14:paraId="13F3F5CE" w14:textId="77777777" w:rsidTr="00474915">
        <w:trPr>
          <w:trHeight w:val="170"/>
        </w:trPr>
        <w:tc>
          <w:tcPr>
            <w:tcW w:w="7910" w:type="dxa"/>
            <w:noWrap/>
            <w:vAlign w:val="bottom"/>
            <w:hideMark/>
          </w:tcPr>
          <w:p w14:paraId="783354EB" w14:textId="77777777" w:rsidR="00963C0A" w:rsidRPr="001F224B" w:rsidRDefault="00963C0A" w:rsidP="00963C0A">
            <w:pPr>
              <w:rPr>
                <w:sz w:val="18"/>
                <w:szCs w:val="18"/>
              </w:rPr>
            </w:pPr>
            <w:r w:rsidRPr="001F224B">
              <w:rPr>
                <w:sz w:val="18"/>
                <w:szCs w:val="18"/>
              </w:rPr>
              <w:t>Aracın vade yapısı (Vadesiz/Vadeli)</w:t>
            </w:r>
          </w:p>
        </w:tc>
        <w:tc>
          <w:tcPr>
            <w:tcW w:w="2127" w:type="dxa"/>
            <w:vAlign w:val="bottom"/>
            <w:hideMark/>
          </w:tcPr>
          <w:p w14:paraId="644DB3B4" w14:textId="6049FFB8" w:rsidR="00963C0A" w:rsidRPr="001F224B" w:rsidRDefault="00963C0A" w:rsidP="00963C0A">
            <w:pPr>
              <w:rPr>
                <w:sz w:val="18"/>
                <w:szCs w:val="18"/>
              </w:rPr>
            </w:pPr>
            <w:r w:rsidRPr="001F224B">
              <w:rPr>
                <w:sz w:val="18"/>
                <w:szCs w:val="18"/>
              </w:rPr>
              <w:t>Vadesiz</w:t>
            </w:r>
          </w:p>
        </w:tc>
      </w:tr>
      <w:tr w:rsidR="00963C0A" w:rsidRPr="001F224B" w14:paraId="1CC2E15F" w14:textId="77777777" w:rsidTr="00474915">
        <w:trPr>
          <w:trHeight w:val="170"/>
        </w:trPr>
        <w:tc>
          <w:tcPr>
            <w:tcW w:w="7910" w:type="dxa"/>
            <w:noWrap/>
            <w:vAlign w:val="bottom"/>
            <w:hideMark/>
          </w:tcPr>
          <w:p w14:paraId="1129AB84" w14:textId="77777777" w:rsidR="00963C0A" w:rsidRPr="001F224B" w:rsidRDefault="00963C0A" w:rsidP="00963C0A">
            <w:pPr>
              <w:rPr>
                <w:sz w:val="18"/>
                <w:szCs w:val="18"/>
              </w:rPr>
            </w:pPr>
            <w:r w:rsidRPr="001F224B">
              <w:rPr>
                <w:sz w:val="18"/>
                <w:szCs w:val="18"/>
              </w:rPr>
              <w:t>Aracın başlangıç vadesi</w:t>
            </w:r>
          </w:p>
        </w:tc>
        <w:tc>
          <w:tcPr>
            <w:tcW w:w="2127" w:type="dxa"/>
            <w:vAlign w:val="bottom"/>
            <w:hideMark/>
          </w:tcPr>
          <w:p w14:paraId="06A5ABF7" w14:textId="797BED3A" w:rsidR="00963C0A" w:rsidRPr="001F224B" w:rsidRDefault="00963C0A" w:rsidP="00963C0A">
            <w:pPr>
              <w:rPr>
                <w:sz w:val="18"/>
                <w:szCs w:val="18"/>
              </w:rPr>
            </w:pPr>
            <w:r w:rsidRPr="001F224B">
              <w:rPr>
                <w:sz w:val="18"/>
                <w:szCs w:val="18"/>
              </w:rPr>
              <w:t>-</w:t>
            </w:r>
          </w:p>
        </w:tc>
      </w:tr>
      <w:tr w:rsidR="00963C0A" w:rsidRPr="001F224B" w14:paraId="126E8100" w14:textId="77777777" w:rsidTr="00474915">
        <w:trPr>
          <w:trHeight w:val="170"/>
        </w:trPr>
        <w:tc>
          <w:tcPr>
            <w:tcW w:w="7910" w:type="dxa"/>
            <w:noWrap/>
            <w:vAlign w:val="bottom"/>
            <w:hideMark/>
          </w:tcPr>
          <w:p w14:paraId="7B4CCDA7" w14:textId="77777777" w:rsidR="00963C0A" w:rsidRPr="001F224B" w:rsidRDefault="00963C0A" w:rsidP="00963C0A">
            <w:pPr>
              <w:rPr>
                <w:sz w:val="18"/>
                <w:szCs w:val="18"/>
              </w:rPr>
            </w:pPr>
            <w:r w:rsidRPr="001F224B">
              <w:rPr>
                <w:sz w:val="18"/>
                <w:szCs w:val="18"/>
              </w:rPr>
              <w:t>İhraççının BDDK onayına bağlı geri ödeme hakkının olup olmadığı</w:t>
            </w:r>
          </w:p>
        </w:tc>
        <w:tc>
          <w:tcPr>
            <w:tcW w:w="2127" w:type="dxa"/>
            <w:vAlign w:val="bottom"/>
            <w:hideMark/>
          </w:tcPr>
          <w:p w14:paraId="4C7A7F32" w14:textId="5F19FEDD" w:rsidR="00963C0A" w:rsidRPr="001F224B" w:rsidRDefault="00963C0A" w:rsidP="00963C0A">
            <w:pPr>
              <w:rPr>
                <w:sz w:val="18"/>
                <w:szCs w:val="18"/>
              </w:rPr>
            </w:pPr>
            <w:r w:rsidRPr="001F224B">
              <w:rPr>
                <w:sz w:val="18"/>
                <w:szCs w:val="18"/>
              </w:rPr>
              <w:t>Evet</w:t>
            </w:r>
          </w:p>
        </w:tc>
      </w:tr>
      <w:tr w:rsidR="00963C0A" w:rsidRPr="001F224B" w14:paraId="781A7AD6" w14:textId="77777777" w:rsidTr="00474915">
        <w:trPr>
          <w:trHeight w:val="170"/>
        </w:trPr>
        <w:tc>
          <w:tcPr>
            <w:tcW w:w="7910" w:type="dxa"/>
            <w:noWrap/>
            <w:vAlign w:val="bottom"/>
            <w:hideMark/>
          </w:tcPr>
          <w:p w14:paraId="34579CB1" w14:textId="77777777" w:rsidR="00963C0A" w:rsidRPr="001F224B" w:rsidRDefault="00963C0A" w:rsidP="00963C0A">
            <w:pPr>
              <w:rPr>
                <w:sz w:val="18"/>
                <w:szCs w:val="18"/>
              </w:rPr>
            </w:pPr>
            <w:r w:rsidRPr="001F224B">
              <w:rPr>
                <w:sz w:val="18"/>
                <w:szCs w:val="18"/>
              </w:rPr>
              <w:t>Geri ödeme opsiyonu tarihi, şarta bağlı geri ödeme opsiyonları ve geri ödenecek tutar</w:t>
            </w:r>
          </w:p>
        </w:tc>
        <w:tc>
          <w:tcPr>
            <w:tcW w:w="2127" w:type="dxa"/>
            <w:vAlign w:val="bottom"/>
            <w:hideMark/>
          </w:tcPr>
          <w:p w14:paraId="2022F4EA" w14:textId="305A0B8F" w:rsidR="00963C0A" w:rsidRPr="001F224B" w:rsidRDefault="00963C0A" w:rsidP="00963C0A">
            <w:pPr>
              <w:rPr>
                <w:sz w:val="18"/>
                <w:szCs w:val="18"/>
              </w:rPr>
            </w:pPr>
            <w:r w:rsidRPr="001F224B">
              <w:rPr>
                <w:sz w:val="18"/>
                <w:szCs w:val="18"/>
              </w:rPr>
              <w:t>-</w:t>
            </w:r>
          </w:p>
        </w:tc>
      </w:tr>
      <w:tr w:rsidR="00963C0A" w:rsidRPr="001F224B" w14:paraId="6691C792" w14:textId="77777777" w:rsidTr="00474915">
        <w:trPr>
          <w:trHeight w:val="170"/>
        </w:trPr>
        <w:tc>
          <w:tcPr>
            <w:tcW w:w="7910" w:type="dxa"/>
            <w:noWrap/>
            <w:vAlign w:val="bottom"/>
            <w:hideMark/>
          </w:tcPr>
          <w:p w14:paraId="2AE76F09" w14:textId="77777777" w:rsidR="00963C0A" w:rsidRPr="001F224B" w:rsidRDefault="00963C0A" w:rsidP="00963C0A">
            <w:pPr>
              <w:rPr>
                <w:sz w:val="18"/>
                <w:szCs w:val="18"/>
              </w:rPr>
            </w:pPr>
            <w:r w:rsidRPr="001F224B">
              <w:rPr>
                <w:sz w:val="18"/>
                <w:szCs w:val="18"/>
              </w:rPr>
              <w:t>Müteakip geri ödeme opsiyonu tarihleri</w:t>
            </w:r>
          </w:p>
        </w:tc>
        <w:tc>
          <w:tcPr>
            <w:tcW w:w="2127" w:type="dxa"/>
            <w:vAlign w:val="bottom"/>
            <w:hideMark/>
          </w:tcPr>
          <w:p w14:paraId="0B9B7986" w14:textId="3131909F" w:rsidR="00963C0A" w:rsidRPr="001F224B" w:rsidRDefault="00963C0A" w:rsidP="00963C0A">
            <w:pPr>
              <w:rPr>
                <w:sz w:val="18"/>
                <w:szCs w:val="18"/>
              </w:rPr>
            </w:pPr>
            <w:r w:rsidRPr="001F224B">
              <w:rPr>
                <w:sz w:val="18"/>
                <w:szCs w:val="18"/>
              </w:rPr>
              <w:t>-</w:t>
            </w:r>
          </w:p>
        </w:tc>
      </w:tr>
      <w:tr w:rsidR="00963C0A" w:rsidRPr="001F224B" w14:paraId="4534B991" w14:textId="77777777" w:rsidTr="00474915">
        <w:trPr>
          <w:trHeight w:val="170"/>
        </w:trPr>
        <w:tc>
          <w:tcPr>
            <w:tcW w:w="7910" w:type="dxa"/>
            <w:noWrap/>
            <w:vAlign w:val="bottom"/>
            <w:hideMark/>
          </w:tcPr>
          <w:p w14:paraId="01A2073B" w14:textId="77777777" w:rsidR="00963C0A" w:rsidRPr="001F224B" w:rsidRDefault="00963C0A" w:rsidP="00963C0A">
            <w:pPr>
              <w:rPr>
                <w:b/>
                <w:bCs/>
                <w:sz w:val="18"/>
                <w:szCs w:val="18"/>
              </w:rPr>
            </w:pPr>
            <w:r w:rsidRPr="001F224B">
              <w:rPr>
                <w:b/>
                <w:bCs/>
                <w:sz w:val="18"/>
                <w:szCs w:val="18"/>
              </w:rPr>
              <w:t>Faiz/temettü ödemeleri</w:t>
            </w:r>
          </w:p>
        </w:tc>
        <w:tc>
          <w:tcPr>
            <w:tcW w:w="2127" w:type="dxa"/>
            <w:vAlign w:val="bottom"/>
            <w:hideMark/>
          </w:tcPr>
          <w:p w14:paraId="3FFC1815" w14:textId="0F6799BE" w:rsidR="00963C0A" w:rsidRPr="001F224B" w:rsidRDefault="00963C0A" w:rsidP="00963C0A">
            <w:pPr>
              <w:rPr>
                <w:sz w:val="18"/>
                <w:szCs w:val="18"/>
              </w:rPr>
            </w:pPr>
            <w:r w:rsidRPr="001F224B">
              <w:rPr>
                <w:sz w:val="18"/>
                <w:szCs w:val="18"/>
              </w:rPr>
              <w:t> </w:t>
            </w:r>
          </w:p>
        </w:tc>
      </w:tr>
      <w:tr w:rsidR="00963C0A" w:rsidRPr="001F224B" w14:paraId="7BE09FE4" w14:textId="77777777" w:rsidTr="00474915">
        <w:trPr>
          <w:trHeight w:val="170"/>
        </w:trPr>
        <w:tc>
          <w:tcPr>
            <w:tcW w:w="7910" w:type="dxa"/>
            <w:noWrap/>
            <w:vAlign w:val="bottom"/>
            <w:hideMark/>
          </w:tcPr>
          <w:p w14:paraId="12BFD01D" w14:textId="77777777" w:rsidR="00963C0A" w:rsidRPr="001F224B" w:rsidRDefault="00963C0A" w:rsidP="00963C0A">
            <w:pPr>
              <w:rPr>
                <w:sz w:val="18"/>
                <w:szCs w:val="18"/>
              </w:rPr>
            </w:pPr>
            <w:r w:rsidRPr="001F224B">
              <w:rPr>
                <w:sz w:val="18"/>
                <w:szCs w:val="18"/>
              </w:rPr>
              <w:t>Sabit ya da değişken faiz/ temettü ödemeleri</w:t>
            </w:r>
          </w:p>
        </w:tc>
        <w:tc>
          <w:tcPr>
            <w:tcW w:w="2127" w:type="dxa"/>
            <w:vAlign w:val="bottom"/>
            <w:hideMark/>
          </w:tcPr>
          <w:p w14:paraId="639F933E" w14:textId="52368E2B" w:rsidR="00963C0A" w:rsidRPr="001F224B" w:rsidRDefault="00963C0A" w:rsidP="00963C0A">
            <w:pPr>
              <w:rPr>
                <w:sz w:val="18"/>
                <w:szCs w:val="18"/>
              </w:rPr>
            </w:pPr>
            <w:r w:rsidRPr="001F224B">
              <w:rPr>
                <w:sz w:val="18"/>
                <w:szCs w:val="18"/>
              </w:rPr>
              <w:t>-</w:t>
            </w:r>
          </w:p>
        </w:tc>
      </w:tr>
      <w:tr w:rsidR="00963C0A" w:rsidRPr="001F224B" w14:paraId="6FC5740C" w14:textId="77777777" w:rsidTr="00474915">
        <w:trPr>
          <w:trHeight w:val="170"/>
        </w:trPr>
        <w:tc>
          <w:tcPr>
            <w:tcW w:w="7910" w:type="dxa"/>
            <w:noWrap/>
            <w:vAlign w:val="bottom"/>
            <w:hideMark/>
          </w:tcPr>
          <w:p w14:paraId="7362DD05" w14:textId="77777777" w:rsidR="00963C0A" w:rsidRPr="001F224B" w:rsidRDefault="00963C0A" w:rsidP="00963C0A">
            <w:pPr>
              <w:rPr>
                <w:sz w:val="18"/>
                <w:szCs w:val="18"/>
              </w:rPr>
            </w:pPr>
            <w:r w:rsidRPr="001F224B">
              <w:rPr>
                <w:sz w:val="18"/>
                <w:szCs w:val="18"/>
              </w:rPr>
              <w:t>Faiz oranı ve faiz oranına ilişkin endeks değeri</w:t>
            </w:r>
          </w:p>
        </w:tc>
        <w:tc>
          <w:tcPr>
            <w:tcW w:w="2127" w:type="dxa"/>
            <w:vAlign w:val="bottom"/>
            <w:hideMark/>
          </w:tcPr>
          <w:p w14:paraId="32C5F7F0" w14:textId="16F65AA0" w:rsidR="00963C0A" w:rsidRPr="001F224B" w:rsidRDefault="00963C0A" w:rsidP="00963C0A">
            <w:pPr>
              <w:rPr>
                <w:sz w:val="18"/>
                <w:szCs w:val="18"/>
              </w:rPr>
            </w:pPr>
            <w:r w:rsidRPr="001F224B">
              <w:rPr>
                <w:sz w:val="18"/>
                <w:szCs w:val="18"/>
              </w:rPr>
              <w:t>-</w:t>
            </w:r>
          </w:p>
        </w:tc>
      </w:tr>
      <w:tr w:rsidR="00963C0A" w:rsidRPr="001F224B" w14:paraId="78D4EE97" w14:textId="77777777" w:rsidTr="00474915">
        <w:trPr>
          <w:trHeight w:val="170"/>
        </w:trPr>
        <w:tc>
          <w:tcPr>
            <w:tcW w:w="7910" w:type="dxa"/>
            <w:noWrap/>
            <w:vAlign w:val="bottom"/>
            <w:hideMark/>
          </w:tcPr>
          <w:p w14:paraId="0501E39A" w14:textId="77777777" w:rsidR="00963C0A" w:rsidRPr="001F224B" w:rsidRDefault="00963C0A" w:rsidP="00963C0A">
            <w:pPr>
              <w:rPr>
                <w:sz w:val="18"/>
                <w:szCs w:val="18"/>
              </w:rPr>
            </w:pPr>
            <w:r w:rsidRPr="001F224B">
              <w:rPr>
                <w:sz w:val="18"/>
                <w:szCs w:val="18"/>
              </w:rPr>
              <w:t>Temettü ödemesini durduran herhangi bir kısıtlamanın var olup olmadığı</w:t>
            </w:r>
          </w:p>
        </w:tc>
        <w:tc>
          <w:tcPr>
            <w:tcW w:w="2127" w:type="dxa"/>
            <w:vAlign w:val="bottom"/>
            <w:hideMark/>
          </w:tcPr>
          <w:p w14:paraId="34854C82" w14:textId="76EC69A6" w:rsidR="00963C0A" w:rsidRPr="001F224B" w:rsidRDefault="00963C0A" w:rsidP="00963C0A">
            <w:pPr>
              <w:rPr>
                <w:sz w:val="18"/>
                <w:szCs w:val="18"/>
              </w:rPr>
            </w:pPr>
            <w:r w:rsidRPr="001F224B">
              <w:rPr>
                <w:sz w:val="18"/>
                <w:szCs w:val="18"/>
              </w:rPr>
              <w:t>-</w:t>
            </w:r>
          </w:p>
        </w:tc>
      </w:tr>
      <w:tr w:rsidR="00963C0A" w:rsidRPr="001F224B" w14:paraId="1EDAC21D" w14:textId="77777777" w:rsidTr="00474915">
        <w:trPr>
          <w:trHeight w:val="170"/>
        </w:trPr>
        <w:tc>
          <w:tcPr>
            <w:tcW w:w="7910" w:type="dxa"/>
            <w:noWrap/>
            <w:vAlign w:val="bottom"/>
            <w:hideMark/>
          </w:tcPr>
          <w:p w14:paraId="1BD20F1E" w14:textId="77777777" w:rsidR="00963C0A" w:rsidRPr="001F224B" w:rsidRDefault="00963C0A" w:rsidP="00963C0A">
            <w:pPr>
              <w:rPr>
                <w:sz w:val="18"/>
                <w:szCs w:val="18"/>
              </w:rPr>
            </w:pPr>
            <w:r w:rsidRPr="001F224B">
              <w:rPr>
                <w:sz w:val="18"/>
                <w:szCs w:val="18"/>
              </w:rPr>
              <w:t>Tamamen isteğe bağlı, kısmen isteğe bağlı ya da mecburi olma özelliği</w:t>
            </w:r>
          </w:p>
        </w:tc>
        <w:tc>
          <w:tcPr>
            <w:tcW w:w="2127" w:type="dxa"/>
            <w:vAlign w:val="bottom"/>
            <w:hideMark/>
          </w:tcPr>
          <w:p w14:paraId="649AB9E7" w14:textId="5665E80F" w:rsidR="00963C0A" w:rsidRPr="001F224B" w:rsidRDefault="00963C0A" w:rsidP="00963C0A">
            <w:pPr>
              <w:rPr>
                <w:sz w:val="18"/>
                <w:szCs w:val="18"/>
              </w:rPr>
            </w:pPr>
            <w:r w:rsidRPr="001F224B">
              <w:rPr>
                <w:sz w:val="18"/>
                <w:szCs w:val="18"/>
              </w:rPr>
              <w:t>-</w:t>
            </w:r>
          </w:p>
        </w:tc>
      </w:tr>
      <w:tr w:rsidR="00963C0A" w:rsidRPr="001F224B" w14:paraId="6F45752D" w14:textId="77777777" w:rsidTr="00474915">
        <w:trPr>
          <w:trHeight w:val="170"/>
        </w:trPr>
        <w:tc>
          <w:tcPr>
            <w:tcW w:w="7910" w:type="dxa"/>
            <w:noWrap/>
            <w:vAlign w:val="bottom"/>
            <w:hideMark/>
          </w:tcPr>
          <w:p w14:paraId="49559B4A" w14:textId="77777777" w:rsidR="00963C0A" w:rsidRPr="001F224B" w:rsidRDefault="00963C0A" w:rsidP="00963C0A">
            <w:pPr>
              <w:rPr>
                <w:sz w:val="18"/>
                <w:szCs w:val="18"/>
              </w:rPr>
            </w:pPr>
            <w:r w:rsidRPr="001F224B">
              <w:rPr>
                <w:sz w:val="18"/>
                <w:szCs w:val="18"/>
              </w:rPr>
              <w:t>Faiz artırımı gibi geri ödemeyi teşvik edecek bir unsurun olup olmadığı</w:t>
            </w:r>
          </w:p>
        </w:tc>
        <w:tc>
          <w:tcPr>
            <w:tcW w:w="2127" w:type="dxa"/>
            <w:vAlign w:val="bottom"/>
            <w:hideMark/>
          </w:tcPr>
          <w:p w14:paraId="74334E08" w14:textId="5ABCE136" w:rsidR="00963C0A" w:rsidRPr="001F224B" w:rsidRDefault="00963C0A" w:rsidP="00963C0A">
            <w:pPr>
              <w:rPr>
                <w:sz w:val="18"/>
                <w:szCs w:val="18"/>
              </w:rPr>
            </w:pPr>
            <w:r w:rsidRPr="001F224B">
              <w:rPr>
                <w:sz w:val="18"/>
                <w:szCs w:val="18"/>
              </w:rPr>
              <w:t>-</w:t>
            </w:r>
          </w:p>
        </w:tc>
      </w:tr>
      <w:tr w:rsidR="00963C0A" w:rsidRPr="001F224B" w14:paraId="28B8BCF9" w14:textId="77777777" w:rsidTr="00474915">
        <w:trPr>
          <w:trHeight w:val="170"/>
        </w:trPr>
        <w:tc>
          <w:tcPr>
            <w:tcW w:w="7910" w:type="dxa"/>
            <w:noWrap/>
            <w:vAlign w:val="bottom"/>
            <w:hideMark/>
          </w:tcPr>
          <w:p w14:paraId="56AD2B51" w14:textId="77777777" w:rsidR="00963C0A" w:rsidRPr="001F224B" w:rsidRDefault="00963C0A" w:rsidP="00963C0A">
            <w:pPr>
              <w:rPr>
                <w:sz w:val="18"/>
                <w:szCs w:val="18"/>
              </w:rPr>
            </w:pPr>
            <w:r w:rsidRPr="001F224B">
              <w:rPr>
                <w:sz w:val="18"/>
                <w:szCs w:val="18"/>
              </w:rPr>
              <w:t>Birikimsiz ya da birikimli olma özelliği</w:t>
            </w:r>
          </w:p>
        </w:tc>
        <w:tc>
          <w:tcPr>
            <w:tcW w:w="2127" w:type="dxa"/>
            <w:vAlign w:val="bottom"/>
            <w:hideMark/>
          </w:tcPr>
          <w:p w14:paraId="4C63B8E3" w14:textId="2186FB06" w:rsidR="00963C0A" w:rsidRPr="001F224B" w:rsidRDefault="00963C0A" w:rsidP="00963C0A">
            <w:pPr>
              <w:rPr>
                <w:sz w:val="18"/>
                <w:szCs w:val="18"/>
              </w:rPr>
            </w:pPr>
            <w:r w:rsidRPr="001F224B">
              <w:rPr>
                <w:sz w:val="18"/>
                <w:szCs w:val="18"/>
              </w:rPr>
              <w:t>-</w:t>
            </w:r>
          </w:p>
        </w:tc>
      </w:tr>
      <w:tr w:rsidR="00963C0A" w:rsidRPr="001F224B" w14:paraId="00079D2D" w14:textId="77777777" w:rsidTr="00474915">
        <w:trPr>
          <w:trHeight w:val="170"/>
        </w:trPr>
        <w:tc>
          <w:tcPr>
            <w:tcW w:w="7910" w:type="dxa"/>
            <w:noWrap/>
            <w:vAlign w:val="bottom"/>
            <w:hideMark/>
          </w:tcPr>
          <w:p w14:paraId="5236747F" w14:textId="77777777" w:rsidR="00963C0A" w:rsidRPr="001F224B" w:rsidRDefault="00963C0A" w:rsidP="00963C0A">
            <w:pPr>
              <w:rPr>
                <w:b/>
                <w:bCs/>
                <w:sz w:val="18"/>
                <w:szCs w:val="18"/>
              </w:rPr>
            </w:pPr>
            <w:r w:rsidRPr="001F224B">
              <w:rPr>
                <w:b/>
                <w:bCs/>
                <w:sz w:val="18"/>
                <w:szCs w:val="18"/>
              </w:rPr>
              <w:t>Hisse senedine dönüştürülebilme özelliği</w:t>
            </w:r>
          </w:p>
        </w:tc>
        <w:tc>
          <w:tcPr>
            <w:tcW w:w="2127" w:type="dxa"/>
            <w:vAlign w:val="bottom"/>
            <w:hideMark/>
          </w:tcPr>
          <w:p w14:paraId="0E201663" w14:textId="37E7CF39" w:rsidR="00963C0A" w:rsidRPr="001F224B" w:rsidRDefault="00963C0A" w:rsidP="00963C0A">
            <w:pPr>
              <w:rPr>
                <w:sz w:val="18"/>
                <w:szCs w:val="18"/>
              </w:rPr>
            </w:pPr>
            <w:r w:rsidRPr="001F224B">
              <w:rPr>
                <w:sz w:val="18"/>
                <w:szCs w:val="18"/>
              </w:rPr>
              <w:t> </w:t>
            </w:r>
          </w:p>
        </w:tc>
      </w:tr>
      <w:tr w:rsidR="00963C0A" w:rsidRPr="001F224B" w14:paraId="62B9113F" w14:textId="77777777" w:rsidTr="00474915">
        <w:trPr>
          <w:trHeight w:val="170"/>
        </w:trPr>
        <w:tc>
          <w:tcPr>
            <w:tcW w:w="7910" w:type="dxa"/>
            <w:noWrap/>
            <w:vAlign w:val="bottom"/>
            <w:hideMark/>
          </w:tcPr>
          <w:p w14:paraId="3F256638" w14:textId="77777777" w:rsidR="00963C0A" w:rsidRPr="001F224B" w:rsidRDefault="00963C0A" w:rsidP="00963C0A">
            <w:pPr>
              <w:rPr>
                <w:sz w:val="18"/>
                <w:szCs w:val="18"/>
              </w:rPr>
            </w:pPr>
            <w:r w:rsidRPr="001F224B">
              <w:rPr>
                <w:sz w:val="18"/>
                <w:szCs w:val="18"/>
              </w:rPr>
              <w:t>Hisse senedine dönüştürülebilirse, dönüştürmeye sebep olacak tetikleyici olay/olaylar</w:t>
            </w:r>
          </w:p>
        </w:tc>
        <w:tc>
          <w:tcPr>
            <w:tcW w:w="2127" w:type="dxa"/>
            <w:vAlign w:val="bottom"/>
            <w:hideMark/>
          </w:tcPr>
          <w:p w14:paraId="18CF45E5" w14:textId="1806CDDF" w:rsidR="00963C0A" w:rsidRPr="001F224B" w:rsidRDefault="00963C0A" w:rsidP="00963C0A">
            <w:pPr>
              <w:rPr>
                <w:sz w:val="18"/>
                <w:szCs w:val="18"/>
              </w:rPr>
            </w:pPr>
            <w:r w:rsidRPr="001F224B">
              <w:rPr>
                <w:sz w:val="18"/>
                <w:szCs w:val="18"/>
              </w:rPr>
              <w:t>-</w:t>
            </w:r>
          </w:p>
        </w:tc>
      </w:tr>
      <w:tr w:rsidR="00963C0A" w:rsidRPr="001F224B" w14:paraId="7A12C420" w14:textId="77777777" w:rsidTr="00474915">
        <w:trPr>
          <w:trHeight w:val="170"/>
        </w:trPr>
        <w:tc>
          <w:tcPr>
            <w:tcW w:w="7910" w:type="dxa"/>
            <w:noWrap/>
            <w:vAlign w:val="bottom"/>
            <w:hideMark/>
          </w:tcPr>
          <w:p w14:paraId="70D77A6C" w14:textId="77777777" w:rsidR="00963C0A" w:rsidRPr="001F224B" w:rsidRDefault="00963C0A" w:rsidP="00963C0A">
            <w:pPr>
              <w:rPr>
                <w:sz w:val="18"/>
                <w:szCs w:val="18"/>
              </w:rPr>
            </w:pPr>
            <w:r w:rsidRPr="001F224B">
              <w:rPr>
                <w:sz w:val="18"/>
                <w:szCs w:val="18"/>
              </w:rPr>
              <w:t>Hisse senedine dönüştürülebilirse, tamamen ya da kısmen dönüştürme özelliği</w:t>
            </w:r>
          </w:p>
        </w:tc>
        <w:tc>
          <w:tcPr>
            <w:tcW w:w="2127" w:type="dxa"/>
            <w:vAlign w:val="bottom"/>
            <w:hideMark/>
          </w:tcPr>
          <w:p w14:paraId="15806797" w14:textId="2A773767" w:rsidR="00963C0A" w:rsidRPr="001F224B" w:rsidRDefault="00963C0A" w:rsidP="00963C0A">
            <w:pPr>
              <w:rPr>
                <w:sz w:val="18"/>
                <w:szCs w:val="18"/>
              </w:rPr>
            </w:pPr>
            <w:r w:rsidRPr="001F224B">
              <w:rPr>
                <w:sz w:val="18"/>
                <w:szCs w:val="18"/>
              </w:rPr>
              <w:t>-</w:t>
            </w:r>
          </w:p>
        </w:tc>
      </w:tr>
      <w:tr w:rsidR="00963C0A" w:rsidRPr="001F224B" w14:paraId="602E2CFA" w14:textId="77777777" w:rsidTr="00474915">
        <w:trPr>
          <w:trHeight w:val="170"/>
        </w:trPr>
        <w:tc>
          <w:tcPr>
            <w:tcW w:w="7910" w:type="dxa"/>
            <w:noWrap/>
            <w:vAlign w:val="bottom"/>
            <w:hideMark/>
          </w:tcPr>
          <w:p w14:paraId="3CFAE946" w14:textId="77777777" w:rsidR="00963C0A" w:rsidRPr="001F224B" w:rsidRDefault="00963C0A" w:rsidP="00963C0A">
            <w:pPr>
              <w:rPr>
                <w:sz w:val="18"/>
                <w:szCs w:val="18"/>
              </w:rPr>
            </w:pPr>
            <w:r w:rsidRPr="001F224B">
              <w:rPr>
                <w:sz w:val="18"/>
                <w:szCs w:val="18"/>
              </w:rPr>
              <w:t>Hisse senedine dönüştürülebilirse, dönüştürme oranı</w:t>
            </w:r>
          </w:p>
        </w:tc>
        <w:tc>
          <w:tcPr>
            <w:tcW w:w="2127" w:type="dxa"/>
            <w:vAlign w:val="bottom"/>
            <w:hideMark/>
          </w:tcPr>
          <w:p w14:paraId="00D400C5" w14:textId="06694334" w:rsidR="00963C0A" w:rsidRPr="001F224B" w:rsidRDefault="00963C0A" w:rsidP="00963C0A">
            <w:pPr>
              <w:rPr>
                <w:sz w:val="18"/>
                <w:szCs w:val="18"/>
              </w:rPr>
            </w:pPr>
            <w:r w:rsidRPr="001F224B">
              <w:rPr>
                <w:sz w:val="18"/>
                <w:szCs w:val="18"/>
              </w:rPr>
              <w:t>-</w:t>
            </w:r>
          </w:p>
        </w:tc>
      </w:tr>
      <w:tr w:rsidR="00963C0A" w:rsidRPr="001F224B" w14:paraId="4A6F4C62" w14:textId="77777777" w:rsidTr="00474915">
        <w:trPr>
          <w:trHeight w:val="170"/>
        </w:trPr>
        <w:tc>
          <w:tcPr>
            <w:tcW w:w="7910" w:type="dxa"/>
            <w:noWrap/>
            <w:vAlign w:val="bottom"/>
            <w:hideMark/>
          </w:tcPr>
          <w:p w14:paraId="6680617D" w14:textId="77777777" w:rsidR="00963C0A" w:rsidRPr="001F224B" w:rsidRDefault="00963C0A" w:rsidP="00963C0A">
            <w:pPr>
              <w:rPr>
                <w:sz w:val="18"/>
                <w:szCs w:val="18"/>
              </w:rPr>
            </w:pPr>
            <w:r w:rsidRPr="001F224B">
              <w:rPr>
                <w:sz w:val="18"/>
                <w:szCs w:val="18"/>
              </w:rPr>
              <w:t>Hisse senedine dönüştürülebilirse, mecburi ya da isteğe bağlı dönüştürme özelliği</w:t>
            </w:r>
          </w:p>
        </w:tc>
        <w:tc>
          <w:tcPr>
            <w:tcW w:w="2127" w:type="dxa"/>
            <w:vAlign w:val="bottom"/>
            <w:hideMark/>
          </w:tcPr>
          <w:p w14:paraId="6628E893" w14:textId="3729B6A9" w:rsidR="00963C0A" w:rsidRPr="001F224B" w:rsidRDefault="00963C0A" w:rsidP="00963C0A">
            <w:pPr>
              <w:rPr>
                <w:sz w:val="18"/>
                <w:szCs w:val="18"/>
              </w:rPr>
            </w:pPr>
            <w:r w:rsidRPr="001F224B">
              <w:rPr>
                <w:sz w:val="18"/>
                <w:szCs w:val="18"/>
              </w:rPr>
              <w:t>-</w:t>
            </w:r>
          </w:p>
        </w:tc>
      </w:tr>
      <w:tr w:rsidR="00963C0A" w:rsidRPr="001F224B" w14:paraId="137A68E9" w14:textId="77777777" w:rsidTr="00474915">
        <w:trPr>
          <w:trHeight w:val="170"/>
        </w:trPr>
        <w:tc>
          <w:tcPr>
            <w:tcW w:w="7910" w:type="dxa"/>
            <w:noWrap/>
            <w:vAlign w:val="bottom"/>
            <w:hideMark/>
          </w:tcPr>
          <w:p w14:paraId="2AD2248B" w14:textId="77777777" w:rsidR="00963C0A" w:rsidRPr="001F224B" w:rsidRDefault="00963C0A" w:rsidP="00963C0A">
            <w:pPr>
              <w:rPr>
                <w:sz w:val="18"/>
                <w:szCs w:val="18"/>
              </w:rPr>
            </w:pPr>
            <w:r w:rsidRPr="001F224B">
              <w:rPr>
                <w:sz w:val="18"/>
                <w:szCs w:val="18"/>
              </w:rPr>
              <w:t>Hisse senedine dönüştürülebilirse, dönüştürülebilir araç türleri</w:t>
            </w:r>
          </w:p>
        </w:tc>
        <w:tc>
          <w:tcPr>
            <w:tcW w:w="2127" w:type="dxa"/>
            <w:vAlign w:val="bottom"/>
            <w:hideMark/>
          </w:tcPr>
          <w:p w14:paraId="5AD0B346" w14:textId="04C650BE" w:rsidR="00963C0A" w:rsidRPr="001F224B" w:rsidRDefault="00963C0A" w:rsidP="00963C0A">
            <w:pPr>
              <w:rPr>
                <w:sz w:val="18"/>
                <w:szCs w:val="18"/>
              </w:rPr>
            </w:pPr>
            <w:r w:rsidRPr="001F224B">
              <w:rPr>
                <w:sz w:val="18"/>
                <w:szCs w:val="18"/>
              </w:rPr>
              <w:t>-</w:t>
            </w:r>
          </w:p>
        </w:tc>
      </w:tr>
      <w:tr w:rsidR="00963C0A" w:rsidRPr="001F224B" w14:paraId="146A77BE" w14:textId="77777777" w:rsidTr="00474915">
        <w:trPr>
          <w:trHeight w:val="170"/>
        </w:trPr>
        <w:tc>
          <w:tcPr>
            <w:tcW w:w="7910" w:type="dxa"/>
            <w:noWrap/>
            <w:vAlign w:val="bottom"/>
            <w:hideMark/>
          </w:tcPr>
          <w:p w14:paraId="5A177C5F" w14:textId="77777777" w:rsidR="00963C0A" w:rsidRPr="001F224B" w:rsidRDefault="00963C0A" w:rsidP="00963C0A">
            <w:pPr>
              <w:rPr>
                <w:sz w:val="18"/>
                <w:szCs w:val="18"/>
              </w:rPr>
            </w:pPr>
            <w:r w:rsidRPr="001F224B">
              <w:rPr>
                <w:sz w:val="18"/>
                <w:szCs w:val="18"/>
              </w:rPr>
              <w:t>Hisse senedine dönüştürülebilirse, dönüştürülecek borçlanma aracının ihraççısı</w:t>
            </w:r>
          </w:p>
        </w:tc>
        <w:tc>
          <w:tcPr>
            <w:tcW w:w="2127" w:type="dxa"/>
            <w:vAlign w:val="bottom"/>
            <w:hideMark/>
          </w:tcPr>
          <w:p w14:paraId="520B3E86" w14:textId="70FF8E09" w:rsidR="00963C0A" w:rsidRPr="001F224B" w:rsidRDefault="00963C0A" w:rsidP="00963C0A">
            <w:pPr>
              <w:rPr>
                <w:sz w:val="18"/>
                <w:szCs w:val="18"/>
              </w:rPr>
            </w:pPr>
            <w:r w:rsidRPr="001F224B">
              <w:rPr>
                <w:sz w:val="18"/>
                <w:szCs w:val="18"/>
              </w:rPr>
              <w:t>-</w:t>
            </w:r>
          </w:p>
        </w:tc>
      </w:tr>
      <w:tr w:rsidR="00963C0A" w:rsidRPr="001F224B" w14:paraId="3AB9E2EB" w14:textId="77777777" w:rsidTr="00474915">
        <w:trPr>
          <w:trHeight w:val="170"/>
        </w:trPr>
        <w:tc>
          <w:tcPr>
            <w:tcW w:w="7910" w:type="dxa"/>
            <w:noWrap/>
            <w:vAlign w:val="bottom"/>
            <w:hideMark/>
          </w:tcPr>
          <w:p w14:paraId="53807E6D" w14:textId="77777777" w:rsidR="00963C0A" w:rsidRPr="001F224B" w:rsidRDefault="00963C0A" w:rsidP="00963C0A">
            <w:pPr>
              <w:rPr>
                <w:b/>
                <w:bCs/>
                <w:sz w:val="18"/>
                <w:szCs w:val="18"/>
              </w:rPr>
            </w:pPr>
            <w:r w:rsidRPr="001F224B">
              <w:rPr>
                <w:b/>
                <w:bCs/>
                <w:sz w:val="18"/>
                <w:szCs w:val="18"/>
              </w:rPr>
              <w:t>Değer azaltma özelliği</w:t>
            </w:r>
          </w:p>
        </w:tc>
        <w:tc>
          <w:tcPr>
            <w:tcW w:w="2127" w:type="dxa"/>
            <w:vAlign w:val="bottom"/>
            <w:hideMark/>
          </w:tcPr>
          <w:p w14:paraId="037F039A" w14:textId="66CB697E" w:rsidR="00963C0A" w:rsidRPr="001F224B" w:rsidRDefault="00963C0A" w:rsidP="00963C0A">
            <w:pPr>
              <w:rPr>
                <w:sz w:val="18"/>
                <w:szCs w:val="18"/>
              </w:rPr>
            </w:pPr>
            <w:r w:rsidRPr="001F224B">
              <w:rPr>
                <w:sz w:val="18"/>
                <w:szCs w:val="18"/>
              </w:rPr>
              <w:t> </w:t>
            </w:r>
          </w:p>
        </w:tc>
      </w:tr>
      <w:tr w:rsidR="00963C0A" w:rsidRPr="001F224B" w14:paraId="5A79BFE0" w14:textId="77777777" w:rsidTr="00474915">
        <w:trPr>
          <w:trHeight w:val="170"/>
        </w:trPr>
        <w:tc>
          <w:tcPr>
            <w:tcW w:w="7910" w:type="dxa"/>
            <w:noWrap/>
            <w:vAlign w:val="bottom"/>
            <w:hideMark/>
          </w:tcPr>
          <w:p w14:paraId="08431F26" w14:textId="77777777" w:rsidR="00963C0A" w:rsidRPr="001F224B" w:rsidRDefault="00963C0A" w:rsidP="00963C0A">
            <w:pPr>
              <w:rPr>
                <w:sz w:val="18"/>
                <w:szCs w:val="18"/>
              </w:rPr>
            </w:pPr>
            <w:r w:rsidRPr="001F224B">
              <w:rPr>
                <w:sz w:val="18"/>
                <w:szCs w:val="18"/>
              </w:rPr>
              <w:t>Değer azaltma özelliğine sahipse, azaltıma sebep olacak tetikleyici olay/olaylar</w:t>
            </w:r>
          </w:p>
        </w:tc>
        <w:tc>
          <w:tcPr>
            <w:tcW w:w="2127" w:type="dxa"/>
            <w:vAlign w:val="bottom"/>
            <w:hideMark/>
          </w:tcPr>
          <w:p w14:paraId="120EBD1D" w14:textId="6825B07C" w:rsidR="00963C0A" w:rsidRPr="001F224B" w:rsidRDefault="00963C0A" w:rsidP="00963C0A">
            <w:pPr>
              <w:rPr>
                <w:sz w:val="18"/>
                <w:szCs w:val="18"/>
              </w:rPr>
            </w:pPr>
            <w:r w:rsidRPr="001F224B">
              <w:rPr>
                <w:sz w:val="18"/>
                <w:szCs w:val="18"/>
              </w:rPr>
              <w:t>-</w:t>
            </w:r>
          </w:p>
        </w:tc>
      </w:tr>
      <w:tr w:rsidR="00963C0A" w:rsidRPr="001F224B" w14:paraId="63AA8A0F" w14:textId="77777777" w:rsidTr="00474915">
        <w:trPr>
          <w:trHeight w:val="170"/>
        </w:trPr>
        <w:tc>
          <w:tcPr>
            <w:tcW w:w="7910" w:type="dxa"/>
            <w:noWrap/>
            <w:vAlign w:val="bottom"/>
            <w:hideMark/>
          </w:tcPr>
          <w:p w14:paraId="0BC2D303" w14:textId="77777777" w:rsidR="00963C0A" w:rsidRPr="001F224B" w:rsidRDefault="00963C0A" w:rsidP="00963C0A">
            <w:pPr>
              <w:rPr>
                <w:sz w:val="18"/>
                <w:szCs w:val="18"/>
              </w:rPr>
            </w:pPr>
            <w:r w:rsidRPr="001F224B">
              <w:rPr>
                <w:sz w:val="18"/>
                <w:szCs w:val="18"/>
              </w:rPr>
              <w:t>Değer azaltma özelliğine sahipse, tamamen ya da kısmen değer azaltımı özelliği</w:t>
            </w:r>
          </w:p>
        </w:tc>
        <w:tc>
          <w:tcPr>
            <w:tcW w:w="2127" w:type="dxa"/>
            <w:vAlign w:val="bottom"/>
            <w:hideMark/>
          </w:tcPr>
          <w:p w14:paraId="4C25DD60" w14:textId="0BCAB5BB" w:rsidR="00963C0A" w:rsidRPr="001F224B" w:rsidRDefault="00963C0A" w:rsidP="00963C0A">
            <w:pPr>
              <w:rPr>
                <w:sz w:val="18"/>
                <w:szCs w:val="18"/>
              </w:rPr>
            </w:pPr>
            <w:r w:rsidRPr="001F224B">
              <w:rPr>
                <w:sz w:val="18"/>
                <w:szCs w:val="18"/>
              </w:rPr>
              <w:t>-</w:t>
            </w:r>
          </w:p>
        </w:tc>
      </w:tr>
      <w:tr w:rsidR="00963C0A" w:rsidRPr="001F224B" w14:paraId="0A17FBF0" w14:textId="77777777" w:rsidTr="00474915">
        <w:trPr>
          <w:trHeight w:val="170"/>
        </w:trPr>
        <w:tc>
          <w:tcPr>
            <w:tcW w:w="7910" w:type="dxa"/>
            <w:noWrap/>
            <w:vAlign w:val="bottom"/>
            <w:hideMark/>
          </w:tcPr>
          <w:p w14:paraId="207F47A7" w14:textId="77777777" w:rsidR="00963C0A" w:rsidRPr="001F224B" w:rsidRDefault="00963C0A" w:rsidP="00963C0A">
            <w:pPr>
              <w:rPr>
                <w:sz w:val="18"/>
                <w:szCs w:val="18"/>
              </w:rPr>
            </w:pPr>
            <w:r w:rsidRPr="001F224B">
              <w:rPr>
                <w:sz w:val="18"/>
                <w:szCs w:val="18"/>
              </w:rPr>
              <w:t>Değer azaltma özelliğine sahipse, sürekli ya da geçici olma özelliği</w:t>
            </w:r>
          </w:p>
        </w:tc>
        <w:tc>
          <w:tcPr>
            <w:tcW w:w="2127" w:type="dxa"/>
            <w:vAlign w:val="bottom"/>
            <w:hideMark/>
          </w:tcPr>
          <w:p w14:paraId="4DECA237" w14:textId="79A27A41" w:rsidR="00963C0A" w:rsidRPr="001F224B" w:rsidRDefault="00963C0A" w:rsidP="00963C0A">
            <w:pPr>
              <w:rPr>
                <w:sz w:val="18"/>
                <w:szCs w:val="18"/>
              </w:rPr>
            </w:pPr>
            <w:r w:rsidRPr="001F224B">
              <w:rPr>
                <w:sz w:val="18"/>
                <w:szCs w:val="18"/>
              </w:rPr>
              <w:t>-</w:t>
            </w:r>
          </w:p>
        </w:tc>
      </w:tr>
      <w:tr w:rsidR="00963C0A" w:rsidRPr="001F224B" w14:paraId="22E55014" w14:textId="77777777" w:rsidTr="00474915">
        <w:trPr>
          <w:trHeight w:val="170"/>
        </w:trPr>
        <w:tc>
          <w:tcPr>
            <w:tcW w:w="7910" w:type="dxa"/>
            <w:noWrap/>
            <w:vAlign w:val="bottom"/>
            <w:hideMark/>
          </w:tcPr>
          <w:p w14:paraId="5528E580" w14:textId="77777777" w:rsidR="00963C0A" w:rsidRPr="001F224B" w:rsidRDefault="00963C0A" w:rsidP="00963C0A">
            <w:pPr>
              <w:rPr>
                <w:sz w:val="18"/>
                <w:szCs w:val="18"/>
              </w:rPr>
            </w:pPr>
            <w:r w:rsidRPr="001F224B">
              <w:rPr>
                <w:sz w:val="18"/>
                <w:szCs w:val="18"/>
              </w:rPr>
              <w:t>Değeri geçici olarak azaltılabiliyorsa, değer artırım mekanizması</w:t>
            </w:r>
          </w:p>
        </w:tc>
        <w:tc>
          <w:tcPr>
            <w:tcW w:w="2127" w:type="dxa"/>
            <w:vAlign w:val="bottom"/>
            <w:hideMark/>
          </w:tcPr>
          <w:p w14:paraId="1CF94C00" w14:textId="49830051" w:rsidR="00963C0A" w:rsidRPr="001F224B" w:rsidRDefault="00963C0A" w:rsidP="00963C0A">
            <w:pPr>
              <w:rPr>
                <w:sz w:val="18"/>
                <w:szCs w:val="18"/>
              </w:rPr>
            </w:pPr>
            <w:r w:rsidRPr="001F224B">
              <w:rPr>
                <w:sz w:val="18"/>
                <w:szCs w:val="18"/>
              </w:rPr>
              <w:t>-</w:t>
            </w:r>
          </w:p>
        </w:tc>
      </w:tr>
      <w:tr w:rsidR="00963C0A" w:rsidRPr="001F224B" w14:paraId="7EAF9A9A" w14:textId="77777777" w:rsidTr="00474915">
        <w:trPr>
          <w:trHeight w:val="170"/>
        </w:trPr>
        <w:tc>
          <w:tcPr>
            <w:tcW w:w="7910" w:type="dxa"/>
            <w:vAlign w:val="bottom"/>
            <w:hideMark/>
          </w:tcPr>
          <w:p w14:paraId="523DCBF5" w14:textId="77777777" w:rsidR="00963C0A" w:rsidRPr="001F224B" w:rsidRDefault="00963C0A" w:rsidP="00963C0A">
            <w:pPr>
              <w:rPr>
                <w:sz w:val="18"/>
                <w:szCs w:val="18"/>
              </w:rPr>
            </w:pPr>
            <w:r w:rsidRPr="001F224B">
              <w:rPr>
                <w:sz w:val="18"/>
                <w:szCs w:val="18"/>
              </w:rPr>
              <w:t>Tasfiye halinde alacak hakkı açısından hangi sırada olduğu (Bu aracın hemen üstünde yer alan araç)</w:t>
            </w:r>
          </w:p>
        </w:tc>
        <w:tc>
          <w:tcPr>
            <w:tcW w:w="2127" w:type="dxa"/>
            <w:vAlign w:val="bottom"/>
            <w:hideMark/>
          </w:tcPr>
          <w:p w14:paraId="27C654CA" w14:textId="16325B49" w:rsidR="00963C0A" w:rsidRPr="001F224B" w:rsidRDefault="00963C0A" w:rsidP="00963C0A">
            <w:pPr>
              <w:rPr>
                <w:sz w:val="18"/>
                <w:szCs w:val="18"/>
              </w:rPr>
            </w:pPr>
            <w:r w:rsidRPr="001F224B">
              <w:rPr>
                <w:sz w:val="18"/>
                <w:szCs w:val="18"/>
              </w:rPr>
              <w:t>Borçlanmalardan sonra, ilave ana sermayeden önce, diğer katkı sermayelerle aynı</w:t>
            </w:r>
          </w:p>
        </w:tc>
      </w:tr>
      <w:tr w:rsidR="00963C0A" w:rsidRPr="001F224B" w14:paraId="3FD5CC44" w14:textId="77777777" w:rsidTr="00474915">
        <w:trPr>
          <w:trHeight w:val="170"/>
        </w:trPr>
        <w:tc>
          <w:tcPr>
            <w:tcW w:w="7910" w:type="dxa"/>
            <w:vAlign w:val="bottom"/>
            <w:hideMark/>
          </w:tcPr>
          <w:p w14:paraId="31CB0241" w14:textId="77777777" w:rsidR="00963C0A" w:rsidRPr="001F224B" w:rsidRDefault="00963C0A" w:rsidP="00963C0A">
            <w:pPr>
              <w:rPr>
                <w:sz w:val="18"/>
                <w:szCs w:val="18"/>
              </w:rPr>
            </w:pPr>
            <w:r w:rsidRPr="001F224B">
              <w:rPr>
                <w:sz w:val="18"/>
                <w:szCs w:val="18"/>
              </w:rPr>
              <w:t>Bankaların Özkaynaklarına İlişkin Yönetmeliğin 7’nci ve 8’inci maddelerinde yer alan şartlardan haiz olunmayan olup olmadığı</w:t>
            </w:r>
          </w:p>
        </w:tc>
        <w:tc>
          <w:tcPr>
            <w:tcW w:w="2127" w:type="dxa"/>
            <w:vAlign w:val="bottom"/>
            <w:hideMark/>
          </w:tcPr>
          <w:p w14:paraId="54223847" w14:textId="75DBC4FC" w:rsidR="00963C0A" w:rsidRPr="001F224B" w:rsidRDefault="00963C0A" w:rsidP="00963C0A">
            <w:pPr>
              <w:rPr>
                <w:sz w:val="18"/>
                <w:szCs w:val="18"/>
              </w:rPr>
            </w:pPr>
            <w:r w:rsidRPr="001F224B">
              <w:rPr>
                <w:sz w:val="18"/>
                <w:szCs w:val="18"/>
              </w:rPr>
              <w:t xml:space="preserve">Bankaların Özkaynaklarına İlişkin Yönetmeliğin 8'inci maddesinde yer alan şartları taşımaktadır. </w:t>
            </w:r>
          </w:p>
        </w:tc>
      </w:tr>
      <w:tr w:rsidR="00963C0A" w:rsidRPr="001F224B" w14:paraId="3483CE6B" w14:textId="77777777" w:rsidTr="00474915">
        <w:trPr>
          <w:trHeight w:val="170"/>
        </w:trPr>
        <w:tc>
          <w:tcPr>
            <w:tcW w:w="7910" w:type="dxa"/>
            <w:vAlign w:val="bottom"/>
            <w:hideMark/>
          </w:tcPr>
          <w:p w14:paraId="080A29B1" w14:textId="77777777" w:rsidR="00963C0A" w:rsidRPr="001F224B" w:rsidRDefault="00963C0A" w:rsidP="00963C0A">
            <w:pPr>
              <w:rPr>
                <w:sz w:val="18"/>
                <w:szCs w:val="18"/>
              </w:rPr>
            </w:pPr>
            <w:r w:rsidRPr="001F224B">
              <w:rPr>
                <w:sz w:val="18"/>
                <w:szCs w:val="18"/>
              </w:rPr>
              <w:t>Bankaların Özkaynaklarına İlişkin Yönetmeliğin 7’nci ve 8’inci maddelerinde yer alan şartlardan hangilerini haiz olunmadığı</w:t>
            </w:r>
          </w:p>
        </w:tc>
        <w:tc>
          <w:tcPr>
            <w:tcW w:w="2127" w:type="dxa"/>
            <w:vAlign w:val="bottom"/>
            <w:hideMark/>
          </w:tcPr>
          <w:p w14:paraId="08EE2EBD" w14:textId="0A5D3778" w:rsidR="00963C0A" w:rsidRPr="001F224B" w:rsidRDefault="00963C0A" w:rsidP="00963C0A">
            <w:pPr>
              <w:rPr>
                <w:sz w:val="18"/>
                <w:szCs w:val="18"/>
              </w:rPr>
            </w:pPr>
            <w:r w:rsidRPr="001F224B">
              <w:rPr>
                <w:sz w:val="18"/>
                <w:szCs w:val="18"/>
              </w:rPr>
              <w:t xml:space="preserve">Bankaların Özkaynaklarına İlişkin Yönetmeliğin 8'inci maddesinde yer alan şartları taşımaktadır. </w:t>
            </w:r>
          </w:p>
        </w:tc>
      </w:tr>
    </w:tbl>
    <w:p w14:paraId="68AC6CE8" w14:textId="77777777" w:rsidR="00931312" w:rsidRPr="001F224B" w:rsidRDefault="00931312" w:rsidP="00603821">
      <w:pPr>
        <w:pStyle w:val="ListParagraph"/>
        <w:tabs>
          <w:tab w:val="left" w:pos="0"/>
        </w:tabs>
        <w:ind w:left="0"/>
        <w:rPr>
          <w:b/>
          <w:bCs/>
          <w:sz w:val="22"/>
          <w:szCs w:val="22"/>
        </w:rPr>
      </w:pPr>
    </w:p>
    <w:p w14:paraId="1C814257" w14:textId="77777777" w:rsidR="00931312" w:rsidRPr="001F224B" w:rsidRDefault="00931312">
      <w:pPr>
        <w:rPr>
          <w:b/>
          <w:bCs/>
          <w:sz w:val="22"/>
          <w:szCs w:val="22"/>
        </w:rPr>
      </w:pPr>
      <w:r w:rsidRPr="001F224B">
        <w:rPr>
          <w:b/>
          <w:bCs/>
          <w:sz w:val="22"/>
          <w:szCs w:val="22"/>
        </w:rPr>
        <w:br w:type="page"/>
      </w:r>
    </w:p>
    <w:p w14:paraId="201EF450" w14:textId="39DADDF1" w:rsidR="00603821" w:rsidRPr="001F224B" w:rsidRDefault="00603821" w:rsidP="00603821">
      <w:pPr>
        <w:pStyle w:val="ListParagraph"/>
        <w:tabs>
          <w:tab w:val="left" w:pos="0"/>
        </w:tabs>
        <w:ind w:left="0"/>
        <w:rPr>
          <w:b/>
          <w:bCs/>
          <w:sz w:val="22"/>
          <w:szCs w:val="22"/>
        </w:rPr>
      </w:pPr>
      <w:r w:rsidRPr="001F224B">
        <w:rPr>
          <w:b/>
          <w:bCs/>
          <w:sz w:val="22"/>
          <w:szCs w:val="22"/>
        </w:rPr>
        <w:t>DÖRDÜNCÜ BÖLÜM (Devamı)</w:t>
      </w:r>
    </w:p>
    <w:p w14:paraId="5E8F60E6" w14:textId="4BBDC11A" w:rsidR="00603821" w:rsidRPr="001F224B" w:rsidRDefault="00EF6E83" w:rsidP="00603821">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603821" w:rsidRPr="001F224B">
        <w:rPr>
          <w:b/>
          <w:bCs/>
          <w:sz w:val="22"/>
          <w:szCs w:val="22"/>
        </w:rPr>
        <w:t>(Devamı)</w:t>
      </w:r>
    </w:p>
    <w:p w14:paraId="3D854E77" w14:textId="4CED3014" w:rsidR="00603821" w:rsidRPr="001F224B" w:rsidRDefault="00603821" w:rsidP="00603821">
      <w:pPr>
        <w:spacing w:before="120"/>
        <w:ind w:left="567" w:hanging="567"/>
        <w:jc w:val="both"/>
        <w:rPr>
          <w:b/>
          <w:bCs/>
          <w:sz w:val="22"/>
          <w:szCs w:val="22"/>
        </w:rPr>
      </w:pPr>
      <w:r w:rsidRPr="001F224B">
        <w:rPr>
          <w:b/>
          <w:bCs/>
          <w:sz w:val="22"/>
          <w:szCs w:val="22"/>
        </w:rPr>
        <w:t xml:space="preserve">I.     </w:t>
      </w:r>
      <w:r w:rsidR="002E48BA" w:rsidRPr="001F224B">
        <w:rPr>
          <w:b/>
          <w:bCs/>
          <w:sz w:val="22"/>
          <w:szCs w:val="22"/>
        </w:rPr>
        <w:t xml:space="preserve">Konsolide </w:t>
      </w:r>
      <w:r w:rsidR="00D935C8" w:rsidRPr="001F224B">
        <w:rPr>
          <w:b/>
          <w:bCs/>
          <w:sz w:val="22"/>
          <w:szCs w:val="22"/>
        </w:rPr>
        <w:t>ö</w:t>
      </w:r>
      <w:r w:rsidRPr="001F224B">
        <w:rPr>
          <w:b/>
          <w:bCs/>
          <w:sz w:val="22"/>
          <w:szCs w:val="22"/>
        </w:rPr>
        <w:t>zkaynak kalemlerine ilişkin açıklamalar (Devamı)</w:t>
      </w:r>
    </w:p>
    <w:p w14:paraId="3E200F2F" w14:textId="163555D4" w:rsidR="00603821" w:rsidRPr="001F224B" w:rsidRDefault="002E48BA" w:rsidP="00603821">
      <w:pPr>
        <w:spacing w:before="120" w:after="120"/>
        <w:ind w:left="567" w:hanging="141"/>
        <w:jc w:val="both"/>
        <w:rPr>
          <w:b/>
          <w:bCs/>
          <w:sz w:val="22"/>
          <w:szCs w:val="22"/>
        </w:rPr>
      </w:pPr>
      <w:r w:rsidRPr="001F224B">
        <w:rPr>
          <w:b/>
          <w:bCs/>
          <w:sz w:val="22"/>
          <w:szCs w:val="22"/>
        </w:rPr>
        <w:t xml:space="preserve">Konsolide </w:t>
      </w:r>
      <w:r w:rsidR="00D935C8" w:rsidRPr="001F224B">
        <w:rPr>
          <w:b/>
          <w:bCs/>
          <w:sz w:val="22"/>
          <w:szCs w:val="22"/>
        </w:rPr>
        <w:t>ö</w:t>
      </w:r>
      <w:r w:rsidR="00603821" w:rsidRPr="001F224B">
        <w:rPr>
          <w:b/>
          <w:bCs/>
          <w:sz w:val="22"/>
          <w:szCs w:val="22"/>
        </w:rPr>
        <w:t>zkaynak hesaplamasına dahil edilecek borçlanma araçlarına ilişkin bilgiler</w:t>
      </w:r>
      <w:r w:rsidR="00B21BBA" w:rsidRPr="001F224B">
        <w:rPr>
          <w:b/>
          <w:bCs/>
          <w:sz w:val="22"/>
          <w:szCs w:val="22"/>
        </w:rPr>
        <w:t xml:space="preserve"> (Devamı):</w:t>
      </w:r>
    </w:p>
    <w:tbl>
      <w:tblPr>
        <w:tblStyle w:val="TabloKlavuzu6"/>
        <w:tblW w:w="10037" w:type="dxa"/>
        <w:tblInd w:w="23" w:type="dxa"/>
        <w:tblLook w:val="04A0" w:firstRow="1" w:lastRow="0" w:firstColumn="1" w:lastColumn="0" w:noHBand="0" w:noVBand="1"/>
      </w:tblPr>
      <w:tblGrid>
        <w:gridCol w:w="7769"/>
        <w:gridCol w:w="2268"/>
      </w:tblGrid>
      <w:tr w:rsidR="00D84490" w:rsidRPr="001F224B" w14:paraId="06EF1980" w14:textId="77777777" w:rsidTr="00376779">
        <w:trPr>
          <w:trHeight w:val="386"/>
        </w:trPr>
        <w:tc>
          <w:tcPr>
            <w:tcW w:w="7769" w:type="dxa"/>
            <w:noWrap/>
            <w:vAlign w:val="bottom"/>
          </w:tcPr>
          <w:p w14:paraId="24D43703" w14:textId="77777777" w:rsidR="00D84490" w:rsidRPr="001F224B" w:rsidRDefault="00D84490" w:rsidP="00376779">
            <w:pPr>
              <w:rPr>
                <w:sz w:val="18"/>
                <w:szCs w:val="18"/>
              </w:rPr>
            </w:pPr>
            <w:r w:rsidRPr="001F224B">
              <w:rPr>
                <w:b/>
                <w:bCs/>
                <w:sz w:val="18"/>
                <w:szCs w:val="18"/>
              </w:rPr>
              <w:t>Cari Dönem (30.06.2025)</w:t>
            </w:r>
          </w:p>
        </w:tc>
        <w:tc>
          <w:tcPr>
            <w:tcW w:w="2268" w:type="dxa"/>
            <w:vAlign w:val="bottom"/>
          </w:tcPr>
          <w:p w14:paraId="7C4F3D49" w14:textId="77777777" w:rsidR="00D84490" w:rsidRPr="001F224B" w:rsidRDefault="00D84490" w:rsidP="00376779">
            <w:pPr>
              <w:rPr>
                <w:sz w:val="18"/>
                <w:szCs w:val="18"/>
              </w:rPr>
            </w:pPr>
          </w:p>
        </w:tc>
      </w:tr>
      <w:tr w:rsidR="00D84490" w:rsidRPr="001F224B" w14:paraId="1A87539C" w14:textId="77777777" w:rsidTr="00376779">
        <w:trPr>
          <w:trHeight w:val="170"/>
        </w:trPr>
        <w:tc>
          <w:tcPr>
            <w:tcW w:w="7769" w:type="dxa"/>
            <w:noWrap/>
            <w:vAlign w:val="center"/>
          </w:tcPr>
          <w:p w14:paraId="1DB20045" w14:textId="77777777" w:rsidR="00D84490" w:rsidRPr="001F224B" w:rsidRDefault="00D84490" w:rsidP="00376779">
            <w:pPr>
              <w:rPr>
                <w:sz w:val="18"/>
                <w:szCs w:val="18"/>
              </w:rPr>
            </w:pPr>
            <w:r w:rsidRPr="001F224B">
              <w:rPr>
                <w:sz w:val="18"/>
                <w:szCs w:val="18"/>
              </w:rPr>
              <w:t>İhraççı / Krediyi Kullandıran</w:t>
            </w:r>
          </w:p>
        </w:tc>
        <w:tc>
          <w:tcPr>
            <w:tcW w:w="2268" w:type="dxa"/>
            <w:vAlign w:val="bottom"/>
          </w:tcPr>
          <w:p w14:paraId="50C11674" w14:textId="77777777" w:rsidR="00D84490" w:rsidRPr="001F224B" w:rsidRDefault="00D84490" w:rsidP="00376779">
            <w:pPr>
              <w:rPr>
                <w:sz w:val="18"/>
                <w:szCs w:val="18"/>
              </w:rPr>
            </w:pPr>
            <w:r w:rsidRPr="001F224B">
              <w:rPr>
                <w:sz w:val="18"/>
                <w:szCs w:val="18"/>
              </w:rPr>
              <w:t>Banka / TVF</w:t>
            </w:r>
          </w:p>
        </w:tc>
      </w:tr>
      <w:tr w:rsidR="00D84490" w:rsidRPr="001F224B" w14:paraId="75F19AD8" w14:textId="77777777" w:rsidTr="00376779">
        <w:trPr>
          <w:trHeight w:val="170"/>
        </w:trPr>
        <w:tc>
          <w:tcPr>
            <w:tcW w:w="7769" w:type="dxa"/>
            <w:noWrap/>
            <w:vAlign w:val="bottom"/>
            <w:hideMark/>
          </w:tcPr>
          <w:p w14:paraId="549F37A0" w14:textId="77777777" w:rsidR="00D84490" w:rsidRPr="001F224B" w:rsidRDefault="00D84490" w:rsidP="00376779">
            <w:pPr>
              <w:rPr>
                <w:sz w:val="18"/>
                <w:szCs w:val="18"/>
              </w:rPr>
            </w:pPr>
            <w:r w:rsidRPr="001F224B">
              <w:rPr>
                <w:sz w:val="18"/>
                <w:szCs w:val="18"/>
              </w:rPr>
              <w:t>Aracının kodu (CUSIP, ISIN vb.)</w:t>
            </w:r>
          </w:p>
        </w:tc>
        <w:tc>
          <w:tcPr>
            <w:tcW w:w="2268" w:type="dxa"/>
            <w:vAlign w:val="bottom"/>
            <w:hideMark/>
          </w:tcPr>
          <w:p w14:paraId="7B25D88D" w14:textId="77777777" w:rsidR="00D84490" w:rsidRPr="001F224B" w:rsidRDefault="00D84490" w:rsidP="00376779">
            <w:pPr>
              <w:rPr>
                <w:sz w:val="18"/>
                <w:szCs w:val="18"/>
              </w:rPr>
            </w:pPr>
            <w:r w:rsidRPr="001F224B">
              <w:rPr>
                <w:sz w:val="18"/>
                <w:szCs w:val="18"/>
              </w:rPr>
              <w:t>-</w:t>
            </w:r>
          </w:p>
        </w:tc>
      </w:tr>
      <w:tr w:rsidR="00D84490" w:rsidRPr="001F224B" w14:paraId="0FD30A3D" w14:textId="77777777" w:rsidTr="00376779">
        <w:trPr>
          <w:trHeight w:val="170"/>
        </w:trPr>
        <w:tc>
          <w:tcPr>
            <w:tcW w:w="7769" w:type="dxa"/>
            <w:noWrap/>
            <w:vAlign w:val="bottom"/>
            <w:hideMark/>
          </w:tcPr>
          <w:p w14:paraId="50CE59F6" w14:textId="77777777" w:rsidR="00D84490" w:rsidRPr="001F224B" w:rsidRDefault="00D84490" w:rsidP="00376779">
            <w:pPr>
              <w:rPr>
                <w:sz w:val="18"/>
                <w:szCs w:val="18"/>
              </w:rPr>
            </w:pPr>
            <w:r w:rsidRPr="001F224B">
              <w:rPr>
                <w:sz w:val="18"/>
                <w:szCs w:val="18"/>
              </w:rPr>
              <w:t>Aracın tabi olduğu mevzuat</w:t>
            </w:r>
          </w:p>
        </w:tc>
        <w:tc>
          <w:tcPr>
            <w:tcW w:w="2268" w:type="dxa"/>
            <w:vAlign w:val="bottom"/>
            <w:hideMark/>
          </w:tcPr>
          <w:p w14:paraId="175E1833" w14:textId="77777777" w:rsidR="00D84490" w:rsidRPr="001F224B" w:rsidRDefault="00D84490" w:rsidP="00376779">
            <w:pPr>
              <w:rPr>
                <w:sz w:val="18"/>
                <w:szCs w:val="18"/>
              </w:rPr>
            </w:pPr>
            <w:r w:rsidRPr="001F224B">
              <w:rPr>
                <w:sz w:val="18"/>
                <w:szCs w:val="18"/>
              </w:rPr>
              <w:t>BDDK</w:t>
            </w:r>
          </w:p>
        </w:tc>
      </w:tr>
      <w:tr w:rsidR="00D84490" w:rsidRPr="001F224B" w14:paraId="48AC3402" w14:textId="77777777" w:rsidTr="00376779">
        <w:trPr>
          <w:trHeight w:val="170"/>
        </w:trPr>
        <w:tc>
          <w:tcPr>
            <w:tcW w:w="7769" w:type="dxa"/>
            <w:noWrap/>
            <w:vAlign w:val="bottom"/>
            <w:hideMark/>
          </w:tcPr>
          <w:p w14:paraId="2E3C71FF" w14:textId="77777777" w:rsidR="00D84490" w:rsidRPr="001F224B" w:rsidRDefault="00D84490" w:rsidP="00376779">
            <w:pPr>
              <w:rPr>
                <w:b/>
                <w:bCs/>
                <w:sz w:val="18"/>
                <w:szCs w:val="18"/>
              </w:rPr>
            </w:pPr>
            <w:r w:rsidRPr="001F224B">
              <w:rPr>
                <w:b/>
                <w:bCs/>
                <w:sz w:val="18"/>
                <w:szCs w:val="18"/>
              </w:rPr>
              <w:t>Özkaynak hesaplamasında dikkate alınma durumu</w:t>
            </w:r>
          </w:p>
        </w:tc>
        <w:tc>
          <w:tcPr>
            <w:tcW w:w="2268" w:type="dxa"/>
            <w:vAlign w:val="bottom"/>
            <w:hideMark/>
          </w:tcPr>
          <w:p w14:paraId="5FEE0114" w14:textId="77777777" w:rsidR="00D84490" w:rsidRPr="001F224B" w:rsidRDefault="00D84490" w:rsidP="00376779">
            <w:pPr>
              <w:rPr>
                <w:sz w:val="18"/>
                <w:szCs w:val="18"/>
              </w:rPr>
            </w:pPr>
            <w:r w:rsidRPr="001F224B">
              <w:rPr>
                <w:sz w:val="18"/>
                <w:szCs w:val="18"/>
              </w:rPr>
              <w:t> </w:t>
            </w:r>
          </w:p>
        </w:tc>
      </w:tr>
      <w:tr w:rsidR="00D84490" w:rsidRPr="001F224B" w14:paraId="4BB79C73" w14:textId="77777777" w:rsidTr="00376779">
        <w:trPr>
          <w:trHeight w:val="170"/>
        </w:trPr>
        <w:tc>
          <w:tcPr>
            <w:tcW w:w="7769" w:type="dxa"/>
            <w:hideMark/>
          </w:tcPr>
          <w:p w14:paraId="1153FF1B" w14:textId="77777777" w:rsidR="00D84490" w:rsidRPr="001F224B" w:rsidRDefault="00D84490" w:rsidP="00376779">
            <w:pPr>
              <w:rPr>
                <w:sz w:val="18"/>
                <w:szCs w:val="18"/>
              </w:rPr>
            </w:pPr>
            <w:r w:rsidRPr="001F224B">
              <w:rPr>
                <w:sz w:val="18"/>
                <w:szCs w:val="18"/>
              </w:rPr>
              <w:t>1/1/2015’den itibaren %10 oranında azaltılarak dikkate alınma uygulamasına tabi olma durumu</w:t>
            </w:r>
          </w:p>
        </w:tc>
        <w:tc>
          <w:tcPr>
            <w:tcW w:w="2268" w:type="dxa"/>
            <w:vAlign w:val="bottom"/>
            <w:hideMark/>
          </w:tcPr>
          <w:p w14:paraId="5E6E6222" w14:textId="77777777" w:rsidR="00D84490" w:rsidRPr="001F224B" w:rsidRDefault="00D84490" w:rsidP="00376779">
            <w:pPr>
              <w:rPr>
                <w:sz w:val="18"/>
                <w:szCs w:val="18"/>
              </w:rPr>
            </w:pPr>
            <w:r w:rsidRPr="001F224B">
              <w:rPr>
                <w:sz w:val="18"/>
                <w:szCs w:val="18"/>
              </w:rPr>
              <w:t>Hayır</w:t>
            </w:r>
          </w:p>
        </w:tc>
      </w:tr>
      <w:tr w:rsidR="00D84490" w:rsidRPr="001F224B" w14:paraId="5A5C3C8E" w14:textId="77777777" w:rsidTr="00376779">
        <w:trPr>
          <w:trHeight w:val="170"/>
        </w:trPr>
        <w:tc>
          <w:tcPr>
            <w:tcW w:w="7769" w:type="dxa"/>
            <w:hideMark/>
          </w:tcPr>
          <w:p w14:paraId="5DF9C968" w14:textId="77777777" w:rsidR="00D84490" w:rsidRPr="001F224B" w:rsidRDefault="00D84490" w:rsidP="00376779">
            <w:pPr>
              <w:rPr>
                <w:sz w:val="18"/>
                <w:szCs w:val="18"/>
              </w:rPr>
            </w:pPr>
            <w:r w:rsidRPr="001F224B">
              <w:rPr>
                <w:sz w:val="18"/>
                <w:szCs w:val="18"/>
              </w:rPr>
              <w:t>Konsolide veya konsolide olmayan bazda veya hem konsolide hem konsolide olmayan bazda geçerlilik durumu</w:t>
            </w:r>
          </w:p>
        </w:tc>
        <w:tc>
          <w:tcPr>
            <w:tcW w:w="2268" w:type="dxa"/>
            <w:vAlign w:val="bottom"/>
            <w:hideMark/>
          </w:tcPr>
          <w:p w14:paraId="52B08E9F" w14:textId="77777777" w:rsidR="00D84490" w:rsidRPr="001F224B" w:rsidRDefault="00D84490" w:rsidP="00376779">
            <w:pPr>
              <w:rPr>
                <w:sz w:val="18"/>
                <w:szCs w:val="18"/>
              </w:rPr>
            </w:pPr>
            <w:r w:rsidRPr="001F224B">
              <w:rPr>
                <w:sz w:val="18"/>
                <w:szCs w:val="18"/>
              </w:rPr>
              <w:t>Konsolide ve konsolide olmayan bazda geçerlidir</w:t>
            </w:r>
          </w:p>
        </w:tc>
      </w:tr>
      <w:tr w:rsidR="00D84490" w:rsidRPr="001F224B" w14:paraId="68B36A8C" w14:textId="77777777" w:rsidTr="00376779">
        <w:trPr>
          <w:trHeight w:val="170"/>
        </w:trPr>
        <w:tc>
          <w:tcPr>
            <w:tcW w:w="7769" w:type="dxa"/>
            <w:noWrap/>
            <w:hideMark/>
          </w:tcPr>
          <w:p w14:paraId="1F8C08C7" w14:textId="77777777" w:rsidR="00D84490" w:rsidRPr="001F224B" w:rsidRDefault="00D84490" w:rsidP="00376779">
            <w:pPr>
              <w:rPr>
                <w:sz w:val="18"/>
                <w:szCs w:val="18"/>
              </w:rPr>
            </w:pPr>
            <w:r w:rsidRPr="001F224B">
              <w:rPr>
                <w:sz w:val="18"/>
                <w:szCs w:val="18"/>
              </w:rPr>
              <w:t>Aracın türü</w:t>
            </w:r>
          </w:p>
        </w:tc>
        <w:tc>
          <w:tcPr>
            <w:tcW w:w="2268" w:type="dxa"/>
            <w:vAlign w:val="bottom"/>
            <w:hideMark/>
          </w:tcPr>
          <w:p w14:paraId="5A397110" w14:textId="77777777" w:rsidR="00D84490" w:rsidRPr="001F224B" w:rsidRDefault="00D84490" w:rsidP="00376779">
            <w:pPr>
              <w:rPr>
                <w:sz w:val="18"/>
                <w:szCs w:val="18"/>
              </w:rPr>
            </w:pPr>
            <w:r w:rsidRPr="001F224B">
              <w:rPr>
                <w:sz w:val="18"/>
                <w:szCs w:val="18"/>
              </w:rPr>
              <w:t>Kredi</w:t>
            </w:r>
          </w:p>
        </w:tc>
      </w:tr>
      <w:tr w:rsidR="00D84490" w:rsidRPr="001F224B" w14:paraId="1B2633C5" w14:textId="77777777" w:rsidTr="00376779">
        <w:trPr>
          <w:trHeight w:val="170"/>
        </w:trPr>
        <w:tc>
          <w:tcPr>
            <w:tcW w:w="7769" w:type="dxa"/>
            <w:hideMark/>
          </w:tcPr>
          <w:p w14:paraId="460B60BD" w14:textId="77777777" w:rsidR="00D84490" w:rsidRPr="001F224B" w:rsidRDefault="00D84490" w:rsidP="00376779">
            <w:pPr>
              <w:rPr>
                <w:sz w:val="18"/>
                <w:szCs w:val="18"/>
              </w:rPr>
            </w:pPr>
            <w:r w:rsidRPr="001F224B">
              <w:rPr>
                <w:sz w:val="18"/>
                <w:szCs w:val="18"/>
              </w:rPr>
              <w:t>Özkaynak hesaplamasında dikkate alınan tutar (En son raporlama tarihi itibarıyla - Milyon TL)</w:t>
            </w:r>
          </w:p>
        </w:tc>
        <w:tc>
          <w:tcPr>
            <w:tcW w:w="2268" w:type="dxa"/>
            <w:vAlign w:val="bottom"/>
            <w:hideMark/>
          </w:tcPr>
          <w:p w14:paraId="3D8B115F" w14:textId="77777777" w:rsidR="00D84490" w:rsidRPr="001F224B" w:rsidRDefault="00D84490" w:rsidP="00376779">
            <w:pPr>
              <w:rPr>
                <w:sz w:val="18"/>
                <w:szCs w:val="18"/>
              </w:rPr>
            </w:pPr>
            <w:r w:rsidRPr="001F224B">
              <w:rPr>
                <w:sz w:val="18"/>
                <w:szCs w:val="18"/>
              </w:rPr>
              <w:t>1.500 (3 dilim halinde)</w:t>
            </w:r>
          </w:p>
        </w:tc>
      </w:tr>
      <w:tr w:rsidR="00D84490" w:rsidRPr="001F224B" w14:paraId="4FB7B22F" w14:textId="77777777" w:rsidTr="00376779">
        <w:trPr>
          <w:trHeight w:val="170"/>
        </w:trPr>
        <w:tc>
          <w:tcPr>
            <w:tcW w:w="7769" w:type="dxa"/>
            <w:noWrap/>
            <w:hideMark/>
          </w:tcPr>
          <w:p w14:paraId="239CC045" w14:textId="77777777" w:rsidR="00D84490" w:rsidRPr="001F224B" w:rsidRDefault="00D84490" w:rsidP="00376779">
            <w:pPr>
              <w:rPr>
                <w:sz w:val="18"/>
                <w:szCs w:val="18"/>
              </w:rPr>
            </w:pPr>
            <w:r w:rsidRPr="001F224B">
              <w:rPr>
                <w:sz w:val="18"/>
                <w:szCs w:val="18"/>
              </w:rPr>
              <w:t>Aracın nominal değeri (Milyon TL)</w:t>
            </w:r>
          </w:p>
        </w:tc>
        <w:tc>
          <w:tcPr>
            <w:tcW w:w="2268" w:type="dxa"/>
            <w:vAlign w:val="bottom"/>
            <w:hideMark/>
          </w:tcPr>
          <w:p w14:paraId="4F88D748" w14:textId="77777777" w:rsidR="00D84490" w:rsidRPr="001F224B" w:rsidRDefault="00D84490" w:rsidP="00376779">
            <w:pPr>
              <w:rPr>
                <w:sz w:val="18"/>
                <w:szCs w:val="18"/>
              </w:rPr>
            </w:pPr>
            <w:r w:rsidRPr="001F224B">
              <w:rPr>
                <w:sz w:val="18"/>
                <w:szCs w:val="18"/>
              </w:rPr>
              <w:t>1.500 (3 dilim halinde)</w:t>
            </w:r>
          </w:p>
        </w:tc>
      </w:tr>
      <w:tr w:rsidR="00D84490" w:rsidRPr="001F224B" w14:paraId="1E2E9BE9" w14:textId="77777777" w:rsidTr="00376779">
        <w:trPr>
          <w:trHeight w:val="170"/>
        </w:trPr>
        <w:tc>
          <w:tcPr>
            <w:tcW w:w="7769" w:type="dxa"/>
            <w:noWrap/>
            <w:hideMark/>
          </w:tcPr>
          <w:p w14:paraId="553B846C" w14:textId="77777777" w:rsidR="00D84490" w:rsidRPr="001F224B" w:rsidRDefault="00D84490" w:rsidP="00376779">
            <w:pPr>
              <w:rPr>
                <w:sz w:val="18"/>
                <w:szCs w:val="18"/>
              </w:rPr>
            </w:pPr>
            <w:r w:rsidRPr="001F224B">
              <w:rPr>
                <w:sz w:val="18"/>
                <w:szCs w:val="18"/>
              </w:rPr>
              <w:t>Aracın muhasebesel olarak takip edildiği hesap</w:t>
            </w:r>
          </w:p>
        </w:tc>
        <w:tc>
          <w:tcPr>
            <w:tcW w:w="2268" w:type="dxa"/>
            <w:vAlign w:val="bottom"/>
            <w:hideMark/>
          </w:tcPr>
          <w:p w14:paraId="67540AC8" w14:textId="77777777" w:rsidR="00D84490" w:rsidRPr="001F224B" w:rsidRDefault="00D84490" w:rsidP="00376779">
            <w:pPr>
              <w:rPr>
                <w:sz w:val="18"/>
                <w:szCs w:val="18"/>
              </w:rPr>
            </w:pPr>
            <w:r w:rsidRPr="001F224B">
              <w:rPr>
                <w:sz w:val="18"/>
                <w:szCs w:val="18"/>
              </w:rPr>
              <w:t>Pasif</w:t>
            </w:r>
            <w:r w:rsidRPr="001F224B">
              <w:rPr>
                <w:sz w:val="18"/>
                <w:szCs w:val="18"/>
              </w:rPr>
              <w:br/>
              <w:t>Sermaye Benzeri Krediler</w:t>
            </w:r>
          </w:p>
        </w:tc>
      </w:tr>
      <w:tr w:rsidR="00D84490" w:rsidRPr="001F224B" w14:paraId="779284CF" w14:textId="77777777" w:rsidTr="00376779">
        <w:trPr>
          <w:trHeight w:val="170"/>
        </w:trPr>
        <w:tc>
          <w:tcPr>
            <w:tcW w:w="7769" w:type="dxa"/>
            <w:noWrap/>
            <w:hideMark/>
          </w:tcPr>
          <w:p w14:paraId="7D1FF9C8" w14:textId="77777777" w:rsidR="00D84490" w:rsidRPr="001F224B" w:rsidRDefault="00D84490" w:rsidP="00376779">
            <w:pPr>
              <w:rPr>
                <w:sz w:val="18"/>
                <w:szCs w:val="18"/>
              </w:rPr>
            </w:pPr>
            <w:r w:rsidRPr="001F224B">
              <w:rPr>
                <w:sz w:val="18"/>
                <w:szCs w:val="18"/>
              </w:rPr>
              <w:t>Aracın ihraç tarihi</w:t>
            </w:r>
          </w:p>
        </w:tc>
        <w:tc>
          <w:tcPr>
            <w:tcW w:w="2268" w:type="dxa"/>
            <w:vAlign w:val="bottom"/>
            <w:hideMark/>
          </w:tcPr>
          <w:p w14:paraId="4EBE5A14" w14:textId="77777777" w:rsidR="00D84490" w:rsidRPr="001F224B" w:rsidRDefault="00D84490" w:rsidP="00376779">
            <w:pPr>
              <w:rPr>
                <w:sz w:val="18"/>
                <w:szCs w:val="18"/>
              </w:rPr>
            </w:pPr>
            <w:r w:rsidRPr="001F224B">
              <w:rPr>
                <w:sz w:val="18"/>
                <w:szCs w:val="18"/>
              </w:rPr>
              <w:t>09.03.2022</w:t>
            </w:r>
          </w:p>
        </w:tc>
      </w:tr>
      <w:tr w:rsidR="00D84490" w:rsidRPr="001F224B" w14:paraId="7EF379D5" w14:textId="77777777" w:rsidTr="00376779">
        <w:trPr>
          <w:trHeight w:val="170"/>
        </w:trPr>
        <w:tc>
          <w:tcPr>
            <w:tcW w:w="7769" w:type="dxa"/>
            <w:noWrap/>
            <w:hideMark/>
          </w:tcPr>
          <w:p w14:paraId="4AFDE758" w14:textId="77777777" w:rsidR="00D84490" w:rsidRPr="001F224B" w:rsidRDefault="00D84490" w:rsidP="00376779">
            <w:pPr>
              <w:rPr>
                <w:sz w:val="18"/>
                <w:szCs w:val="18"/>
              </w:rPr>
            </w:pPr>
            <w:r w:rsidRPr="001F224B">
              <w:rPr>
                <w:sz w:val="18"/>
                <w:szCs w:val="18"/>
              </w:rPr>
              <w:t>Aracın vade yapısı (Vadesiz/Vadeli)</w:t>
            </w:r>
          </w:p>
        </w:tc>
        <w:tc>
          <w:tcPr>
            <w:tcW w:w="2268" w:type="dxa"/>
            <w:vAlign w:val="bottom"/>
            <w:hideMark/>
          </w:tcPr>
          <w:p w14:paraId="09A0F569" w14:textId="77777777" w:rsidR="00D84490" w:rsidRPr="001F224B" w:rsidRDefault="00D84490" w:rsidP="00376779">
            <w:pPr>
              <w:rPr>
                <w:sz w:val="18"/>
                <w:szCs w:val="18"/>
              </w:rPr>
            </w:pPr>
            <w:r w:rsidRPr="001F224B">
              <w:rPr>
                <w:sz w:val="18"/>
                <w:szCs w:val="18"/>
              </w:rPr>
              <w:t>Vadesiz</w:t>
            </w:r>
          </w:p>
        </w:tc>
      </w:tr>
      <w:tr w:rsidR="00D84490" w:rsidRPr="001F224B" w14:paraId="5DA50F84" w14:textId="77777777" w:rsidTr="00376779">
        <w:trPr>
          <w:trHeight w:val="170"/>
        </w:trPr>
        <w:tc>
          <w:tcPr>
            <w:tcW w:w="7769" w:type="dxa"/>
            <w:noWrap/>
            <w:hideMark/>
          </w:tcPr>
          <w:p w14:paraId="5D95E586" w14:textId="77777777" w:rsidR="00D84490" w:rsidRPr="001F224B" w:rsidRDefault="00D84490" w:rsidP="00376779">
            <w:pPr>
              <w:rPr>
                <w:sz w:val="18"/>
                <w:szCs w:val="18"/>
              </w:rPr>
            </w:pPr>
            <w:r w:rsidRPr="001F224B">
              <w:rPr>
                <w:sz w:val="18"/>
                <w:szCs w:val="18"/>
              </w:rPr>
              <w:t>Aracın başlangıç vadesi</w:t>
            </w:r>
          </w:p>
        </w:tc>
        <w:tc>
          <w:tcPr>
            <w:tcW w:w="2268" w:type="dxa"/>
            <w:vAlign w:val="bottom"/>
            <w:hideMark/>
          </w:tcPr>
          <w:p w14:paraId="5A933D57" w14:textId="77777777" w:rsidR="00D84490" w:rsidRPr="001F224B" w:rsidRDefault="00D84490" w:rsidP="00376779">
            <w:pPr>
              <w:rPr>
                <w:sz w:val="18"/>
                <w:szCs w:val="18"/>
              </w:rPr>
            </w:pPr>
            <w:r w:rsidRPr="001F224B">
              <w:rPr>
                <w:sz w:val="18"/>
                <w:szCs w:val="18"/>
              </w:rPr>
              <w:t>-</w:t>
            </w:r>
          </w:p>
        </w:tc>
      </w:tr>
      <w:tr w:rsidR="00D84490" w:rsidRPr="001F224B" w14:paraId="3D4E6224" w14:textId="77777777" w:rsidTr="00376779">
        <w:trPr>
          <w:trHeight w:val="170"/>
        </w:trPr>
        <w:tc>
          <w:tcPr>
            <w:tcW w:w="7769" w:type="dxa"/>
            <w:noWrap/>
            <w:hideMark/>
          </w:tcPr>
          <w:p w14:paraId="20511DC9" w14:textId="77777777" w:rsidR="00D84490" w:rsidRPr="001F224B" w:rsidRDefault="00D84490" w:rsidP="00376779">
            <w:pPr>
              <w:rPr>
                <w:sz w:val="18"/>
                <w:szCs w:val="18"/>
              </w:rPr>
            </w:pPr>
            <w:r w:rsidRPr="001F224B">
              <w:rPr>
                <w:sz w:val="18"/>
                <w:szCs w:val="18"/>
              </w:rPr>
              <w:t>İhraççının BDDK onayına bağlı geri ödeme hakkının olup olmadığı</w:t>
            </w:r>
          </w:p>
        </w:tc>
        <w:tc>
          <w:tcPr>
            <w:tcW w:w="2268" w:type="dxa"/>
            <w:vAlign w:val="bottom"/>
            <w:hideMark/>
          </w:tcPr>
          <w:p w14:paraId="62F071E6" w14:textId="77777777" w:rsidR="00D84490" w:rsidRPr="001F224B" w:rsidRDefault="00D84490" w:rsidP="00376779">
            <w:pPr>
              <w:rPr>
                <w:sz w:val="18"/>
                <w:szCs w:val="18"/>
              </w:rPr>
            </w:pPr>
            <w:r w:rsidRPr="001F224B">
              <w:rPr>
                <w:sz w:val="18"/>
                <w:szCs w:val="18"/>
              </w:rPr>
              <w:t>Evet</w:t>
            </w:r>
          </w:p>
        </w:tc>
      </w:tr>
      <w:tr w:rsidR="00D84490" w:rsidRPr="001F224B" w14:paraId="709AA5B6" w14:textId="77777777" w:rsidTr="00376779">
        <w:trPr>
          <w:trHeight w:val="170"/>
        </w:trPr>
        <w:tc>
          <w:tcPr>
            <w:tcW w:w="7769" w:type="dxa"/>
            <w:noWrap/>
            <w:hideMark/>
          </w:tcPr>
          <w:p w14:paraId="0317D3E7" w14:textId="77777777" w:rsidR="00D84490" w:rsidRPr="001F224B" w:rsidRDefault="00D84490" w:rsidP="00376779">
            <w:pPr>
              <w:rPr>
                <w:sz w:val="18"/>
                <w:szCs w:val="18"/>
              </w:rPr>
            </w:pPr>
            <w:r w:rsidRPr="001F224B">
              <w:rPr>
                <w:sz w:val="18"/>
                <w:szCs w:val="18"/>
              </w:rPr>
              <w:t>Geri ödeme opsiyonu tarihi, şarta bağlı geri ödeme opsiyonları ve geri ödenecek tutar</w:t>
            </w:r>
          </w:p>
        </w:tc>
        <w:tc>
          <w:tcPr>
            <w:tcW w:w="2268" w:type="dxa"/>
            <w:vAlign w:val="bottom"/>
            <w:hideMark/>
          </w:tcPr>
          <w:p w14:paraId="4428E9B5" w14:textId="77777777" w:rsidR="00D84490" w:rsidRPr="001F224B" w:rsidRDefault="00D84490" w:rsidP="00376779">
            <w:pPr>
              <w:rPr>
                <w:sz w:val="18"/>
                <w:szCs w:val="18"/>
              </w:rPr>
            </w:pPr>
            <w:r w:rsidRPr="001F224B">
              <w:rPr>
                <w:sz w:val="18"/>
                <w:szCs w:val="18"/>
              </w:rPr>
              <w:t>Dilimler itibarıyla en erken 11-12-13 yıl sonra</w:t>
            </w:r>
          </w:p>
        </w:tc>
      </w:tr>
      <w:tr w:rsidR="00D84490" w:rsidRPr="001F224B" w14:paraId="2423D458" w14:textId="77777777" w:rsidTr="00376779">
        <w:trPr>
          <w:trHeight w:val="170"/>
        </w:trPr>
        <w:tc>
          <w:tcPr>
            <w:tcW w:w="7769" w:type="dxa"/>
            <w:noWrap/>
            <w:hideMark/>
          </w:tcPr>
          <w:p w14:paraId="77D4299B" w14:textId="77777777" w:rsidR="00D84490" w:rsidRPr="001F224B" w:rsidRDefault="00D84490" w:rsidP="00376779">
            <w:pPr>
              <w:rPr>
                <w:sz w:val="18"/>
                <w:szCs w:val="18"/>
              </w:rPr>
            </w:pPr>
            <w:r w:rsidRPr="001F224B">
              <w:rPr>
                <w:sz w:val="18"/>
                <w:szCs w:val="18"/>
              </w:rPr>
              <w:t>Müteakip geri ödeme opsiyonu tarihleri</w:t>
            </w:r>
          </w:p>
        </w:tc>
        <w:tc>
          <w:tcPr>
            <w:tcW w:w="2268" w:type="dxa"/>
            <w:vAlign w:val="bottom"/>
            <w:hideMark/>
          </w:tcPr>
          <w:p w14:paraId="214D0E21" w14:textId="77777777" w:rsidR="00D84490" w:rsidRPr="001F224B" w:rsidRDefault="00D84490" w:rsidP="00376779">
            <w:pPr>
              <w:rPr>
                <w:sz w:val="18"/>
                <w:szCs w:val="18"/>
              </w:rPr>
            </w:pPr>
            <w:r w:rsidRPr="001F224B">
              <w:rPr>
                <w:sz w:val="18"/>
                <w:szCs w:val="18"/>
              </w:rPr>
              <w:t>-</w:t>
            </w:r>
          </w:p>
        </w:tc>
      </w:tr>
      <w:tr w:rsidR="00D84490" w:rsidRPr="001F224B" w14:paraId="5361E03E" w14:textId="77777777" w:rsidTr="00376779">
        <w:trPr>
          <w:trHeight w:val="170"/>
        </w:trPr>
        <w:tc>
          <w:tcPr>
            <w:tcW w:w="7769" w:type="dxa"/>
            <w:noWrap/>
            <w:hideMark/>
          </w:tcPr>
          <w:p w14:paraId="0D95EAF8" w14:textId="77777777" w:rsidR="00D84490" w:rsidRPr="001F224B" w:rsidRDefault="00D84490" w:rsidP="00376779">
            <w:pPr>
              <w:rPr>
                <w:b/>
                <w:bCs/>
                <w:sz w:val="18"/>
                <w:szCs w:val="18"/>
              </w:rPr>
            </w:pPr>
            <w:r w:rsidRPr="001F224B">
              <w:rPr>
                <w:b/>
                <w:bCs/>
                <w:sz w:val="18"/>
                <w:szCs w:val="18"/>
              </w:rPr>
              <w:t>Faiz/temettü ödemeleri</w:t>
            </w:r>
          </w:p>
        </w:tc>
        <w:tc>
          <w:tcPr>
            <w:tcW w:w="2268" w:type="dxa"/>
            <w:vAlign w:val="bottom"/>
            <w:hideMark/>
          </w:tcPr>
          <w:p w14:paraId="4B63EC02" w14:textId="77777777" w:rsidR="00D84490" w:rsidRPr="001F224B" w:rsidRDefault="00D84490" w:rsidP="00376779">
            <w:pPr>
              <w:rPr>
                <w:sz w:val="18"/>
                <w:szCs w:val="18"/>
              </w:rPr>
            </w:pPr>
            <w:r w:rsidRPr="001F224B">
              <w:rPr>
                <w:sz w:val="18"/>
                <w:szCs w:val="18"/>
              </w:rPr>
              <w:t> </w:t>
            </w:r>
          </w:p>
        </w:tc>
      </w:tr>
      <w:tr w:rsidR="00D84490" w:rsidRPr="001F224B" w14:paraId="135D3A4D" w14:textId="77777777" w:rsidTr="00376779">
        <w:trPr>
          <w:trHeight w:val="170"/>
        </w:trPr>
        <w:tc>
          <w:tcPr>
            <w:tcW w:w="7769" w:type="dxa"/>
            <w:noWrap/>
            <w:hideMark/>
          </w:tcPr>
          <w:p w14:paraId="6CE48A5B" w14:textId="77777777" w:rsidR="00D84490" w:rsidRPr="001F224B" w:rsidRDefault="00D84490" w:rsidP="00376779">
            <w:pPr>
              <w:rPr>
                <w:sz w:val="18"/>
                <w:szCs w:val="18"/>
              </w:rPr>
            </w:pPr>
            <w:r w:rsidRPr="001F224B">
              <w:rPr>
                <w:sz w:val="18"/>
                <w:szCs w:val="18"/>
              </w:rPr>
              <w:t>Sabit ya da değişken faiz/ temettü ödemeleri</w:t>
            </w:r>
          </w:p>
        </w:tc>
        <w:tc>
          <w:tcPr>
            <w:tcW w:w="2268" w:type="dxa"/>
            <w:vAlign w:val="bottom"/>
            <w:hideMark/>
          </w:tcPr>
          <w:p w14:paraId="169CAB1D" w14:textId="77777777" w:rsidR="00D84490" w:rsidRPr="001F224B" w:rsidRDefault="00D84490" w:rsidP="00376779">
            <w:pPr>
              <w:rPr>
                <w:sz w:val="18"/>
                <w:szCs w:val="18"/>
              </w:rPr>
            </w:pPr>
            <w:r w:rsidRPr="001F224B">
              <w:rPr>
                <w:sz w:val="18"/>
                <w:szCs w:val="18"/>
              </w:rPr>
              <w:t>Değişken faizli</w:t>
            </w:r>
          </w:p>
        </w:tc>
      </w:tr>
      <w:tr w:rsidR="00D84490" w:rsidRPr="001F224B" w14:paraId="38E25419" w14:textId="77777777" w:rsidTr="00376779">
        <w:trPr>
          <w:trHeight w:val="170"/>
        </w:trPr>
        <w:tc>
          <w:tcPr>
            <w:tcW w:w="7769" w:type="dxa"/>
            <w:noWrap/>
            <w:hideMark/>
          </w:tcPr>
          <w:p w14:paraId="7A924960" w14:textId="77777777" w:rsidR="00D84490" w:rsidRPr="001F224B" w:rsidRDefault="00D84490" w:rsidP="00376779">
            <w:pPr>
              <w:rPr>
                <w:sz w:val="18"/>
                <w:szCs w:val="18"/>
              </w:rPr>
            </w:pPr>
            <w:r w:rsidRPr="001F224B">
              <w:rPr>
                <w:sz w:val="18"/>
                <w:szCs w:val="18"/>
              </w:rPr>
              <w:t>Faiz oranı ve faiz oranına ilişkin endeks değeri</w:t>
            </w:r>
          </w:p>
        </w:tc>
        <w:tc>
          <w:tcPr>
            <w:tcW w:w="2268" w:type="dxa"/>
            <w:vAlign w:val="bottom"/>
            <w:hideMark/>
          </w:tcPr>
          <w:p w14:paraId="5915EAEC" w14:textId="77777777" w:rsidR="00D84490" w:rsidRPr="001F224B" w:rsidRDefault="00D84490" w:rsidP="00376779">
            <w:pPr>
              <w:rPr>
                <w:sz w:val="18"/>
                <w:szCs w:val="18"/>
              </w:rPr>
            </w:pPr>
            <w:r w:rsidRPr="001F224B">
              <w:rPr>
                <w:sz w:val="18"/>
                <w:szCs w:val="18"/>
              </w:rPr>
              <w:t>%0 reel faiz oranlı ve TÜFE’ye endekslidir</w:t>
            </w:r>
          </w:p>
        </w:tc>
      </w:tr>
      <w:tr w:rsidR="00D84490" w:rsidRPr="001F224B" w14:paraId="17431B41" w14:textId="77777777" w:rsidTr="00376779">
        <w:trPr>
          <w:trHeight w:val="170"/>
        </w:trPr>
        <w:tc>
          <w:tcPr>
            <w:tcW w:w="7769" w:type="dxa"/>
            <w:noWrap/>
            <w:vAlign w:val="bottom"/>
            <w:hideMark/>
          </w:tcPr>
          <w:p w14:paraId="5DC1204B" w14:textId="77777777" w:rsidR="00D84490" w:rsidRPr="001F224B" w:rsidRDefault="00D84490" w:rsidP="00376779">
            <w:pPr>
              <w:rPr>
                <w:sz w:val="18"/>
                <w:szCs w:val="18"/>
              </w:rPr>
            </w:pPr>
            <w:r w:rsidRPr="001F224B">
              <w:rPr>
                <w:sz w:val="18"/>
                <w:szCs w:val="18"/>
              </w:rPr>
              <w:t>Temettü ödemesini durduran herhangi bir kısıtlamanın var olup olmadığı</w:t>
            </w:r>
          </w:p>
        </w:tc>
        <w:tc>
          <w:tcPr>
            <w:tcW w:w="2268" w:type="dxa"/>
            <w:vAlign w:val="bottom"/>
            <w:hideMark/>
          </w:tcPr>
          <w:p w14:paraId="5500B596" w14:textId="77777777" w:rsidR="00D84490" w:rsidRPr="001F224B" w:rsidRDefault="00D84490" w:rsidP="00376779">
            <w:pPr>
              <w:rPr>
                <w:sz w:val="18"/>
                <w:szCs w:val="18"/>
              </w:rPr>
            </w:pPr>
            <w:r w:rsidRPr="001F224B">
              <w:rPr>
                <w:sz w:val="18"/>
                <w:szCs w:val="18"/>
              </w:rPr>
              <w:t>-</w:t>
            </w:r>
          </w:p>
        </w:tc>
      </w:tr>
      <w:tr w:rsidR="00D84490" w:rsidRPr="001F224B" w14:paraId="48C2CE47" w14:textId="77777777" w:rsidTr="00376779">
        <w:trPr>
          <w:trHeight w:val="170"/>
        </w:trPr>
        <w:tc>
          <w:tcPr>
            <w:tcW w:w="7769" w:type="dxa"/>
            <w:noWrap/>
            <w:vAlign w:val="bottom"/>
            <w:hideMark/>
          </w:tcPr>
          <w:p w14:paraId="04794557" w14:textId="77777777" w:rsidR="00D84490" w:rsidRPr="001F224B" w:rsidRDefault="00D84490" w:rsidP="00376779">
            <w:pPr>
              <w:rPr>
                <w:sz w:val="18"/>
                <w:szCs w:val="18"/>
              </w:rPr>
            </w:pPr>
            <w:r w:rsidRPr="001F224B">
              <w:rPr>
                <w:sz w:val="18"/>
                <w:szCs w:val="18"/>
              </w:rPr>
              <w:t>Tamamen isteğe bağlı, kısmen isteğe bağlı ya da mecburi olma özelliği</w:t>
            </w:r>
          </w:p>
        </w:tc>
        <w:tc>
          <w:tcPr>
            <w:tcW w:w="2268" w:type="dxa"/>
            <w:vAlign w:val="bottom"/>
            <w:hideMark/>
          </w:tcPr>
          <w:p w14:paraId="3B65BAFA" w14:textId="77777777" w:rsidR="00D84490" w:rsidRPr="001F224B" w:rsidRDefault="00D84490" w:rsidP="00376779">
            <w:pPr>
              <w:rPr>
                <w:sz w:val="18"/>
                <w:szCs w:val="18"/>
              </w:rPr>
            </w:pPr>
            <w:r w:rsidRPr="001F224B">
              <w:rPr>
                <w:sz w:val="18"/>
                <w:szCs w:val="18"/>
              </w:rPr>
              <w:t>-</w:t>
            </w:r>
          </w:p>
        </w:tc>
      </w:tr>
      <w:tr w:rsidR="00D84490" w:rsidRPr="001F224B" w14:paraId="3F4579D3" w14:textId="77777777" w:rsidTr="00376779">
        <w:trPr>
          <w:trHeight w:val="170"/>
        </w:trPr>
        <w:tc>
          <w:tcPr>
            <w:tcW w:w="7769" w:type="dxa"/>
            <w:noWrap/>
            <w:vAlign w:val="bottom"/>
            <w:hideMark/>
          </w:tcPr>
          <w:p w14:paraId="7470623D" w14:textId="77777777" w:rsidR="00D84490" w:rsidRPr="001F224B" w:rsidRDefault="00D84490" w:rsidP="00376779">
            <w:pPr>
              <w:rPr>
                <w:sz w:val="18"/>
                <w:szCs w:val="18"/>
              </w:rPr>
            </w:pPr>
            <w:r w:rsidRPr="001F224B">
              <w:rPr>
                <w:sz w:val="18"/>
                <w:szCs w:val="18"/>
              </w:rPr>
              <w:t>Faiz artırımı gibi geri ödemeyi teşvik edecek bir unsurun olup olmadığı</w:t>
            </w:r>
          </w:p>
        </w:tc>
        <w:tc>
          <w:tcPr>
            <w:tcW w:w="2268" w:type="dxa"/>
            <w:vAlign w:val="bottom"/>
            <w:hideMark/>
          </w:tcPr>
          <w:p w14:paraId="1675C64F" w14:textId="77777777" w:rsidR="00D84490" w:rsidRPr="001F224B" w:rsidRDefault="00D84490" w:rsidP="00376779">
            <w:pPr>
              <w:rPr>
                <w:sz w:val="18"/>
                <w:szCs w:val="18"/>
              </w:rPr>
            </w:pPr>
            <w:r w:rsidRPr="001F224B">
              <w:rPr>
                <w:sz w:val="18"/>
                <w:szCs w:val="18"/>
              </w:rPr>
              <w:t>-</w:t>
            </w:r>
          </w:p>
        </w:tc>
      </w:tr>
      <w:tr w:rsidR="00D84490" w:rsidRPr="001F224B" w14:paraId="4A11A0F1" w14:textId="77777777" w:rsidTr="00376779">
        <w:trPr>
          <w:trHeight w:val="170"/>
        </w:trPr>
        <w:tc>
          <w:tcPr>
            <w:tcW w:w="7769" w:type="dxa"/>
            <w:noWrap/>
            <w:vAlign w:val="bottom"/>
            <w:hideMark/>
          </w:tcPr>
          <w:p w14:paraId="675F652C" w14:textId="77777777" w:rsidR="00D84490" w:rsidRPr="001F224B" w:rsidRDefault="00D84490" w:rsidP="00376779">
            <w:pPr>
              <w:rPr>
                <w:sz w:val="18"/>
                <w:szCs w:val="18"/>
              </w:rPr>
            </w:pPr>
            <w:r w:rsidRPr="001F224B">
              <w:rPr>
                <w:sz w:val="18"/>
                <w:szCs w:val="18"/>
              </w:rPr>
              <w:t>Birikimsiz ya da birikimli olma özelliği</w:t>
            </w:r>
          </w:p>
        </w:tc>
        <w:tc>
          <w:tcPr>
            <w:tcW w:w="2268" w:type="dxa"/>
            <w:vAlign w:val="bottom"/>
            <w:hideMark/>
          </w:tcPr>
          <w:p w14:paraId="51B93ACD" w14:textId="77777777" w:rsidR="00D84490" w:rsidRPr="001F224B" w:rsidRDefault="00D84490" w:rsidP="00376779">
            <w:pPr>
              <w:rPr>
                <w:sz w:val="18"/>
                <w:szCs w:val="18"/>
              </w:rPr>
            </w:pPr>
            <w:r w:rsidRPr="001F224B">
              <w:rPr>
                <w:sz w:val="18"/>
                <w:szCs w:val="18"/>
              </w:rPr>
              <w:t>-</w:t>
            </w:r>
          </w:p>
        </w:tc>
      </w:tr>
      <w:tr w:rsidR="00D84490" w:rsidRPr="001F224B" w14:paraId="2A69D80A" w14:textId="77777777" w:rsidTr="00376779">
        <w:trPr>
          <w:trHeight w:val="170"/>
        </w:trPr>
        <w:tc>
          <w:tcPr>
            <w:tcW w:w="7769" w:type="dxa"/>
            <w:noWrap/>
            <w:vAlign w:val="bottom"/>
            <w:hideMark/>
          </w:tcPr>
          <w:p w14:paraId="2158088E" w14:textId="77777777" w:rsidR="00D84490" w:rsidRPr="001F224B" w:rsidRDefault="00D84490" w:rsidP="00376779">
            <w:pPr>
              <w:rPr>
                <w:b/>
                <w:bCs/>
                <w:sz w:val="18"/>
                <w:szCs w:val="18"/>
              </w:rPr>
            </w:pPr>
            <w:r w:rsidRPr="001F224B">
              <w:rPr>
                <w:b/>
                <w:bCs/>
                <w:sz w:val="18"/>
                <w:szCs w:val="18"/>
              </w:rPr>
              <w:t>Hisse senedine dönüştürülebilme özelliği</w:t>
            </w:r>
          </w:p>
        </w:tc>
        <w:tc>
          <w:tcPr>
            <w:tcW w:w="2268" w:type="dxa"/>
            <w:vAlign w:val="bottom"/>
            <w:hideMark/>
          </w:tcPr>
          <w:p w14:paraId="494D029B" w14:textId="77777777" w:rsidR="00D84490" w:rsidRPr="001F224B" w:rsidRDefault="00D84490" w:rsidP="00376779">
            <w:pPr>
              <w:rPr>
                <w:sz w:val="18"/>
                <w:szCs w:val="18"/>
              </w:rPr>
            </w:pPr>
            <w:r w:rsidRPr="001F224B">
              <w:rPr>
                <w:sz w:val="18"/>
                <w:szCs w:val="18"/>
              </w:rPr>
              <w:t> </w:t>
            </w:r>
          </w:p>
        </w:tc>
      </w:tr>
      <w:tr w:rsidR="00D84490" w:rsidRPr="001F224B" w14:paraId="37F74D1C" w14:textId="77777777" w:rsidTr="00376779">
        <w:trPr>
          <w:trHeight w:val="170"/>
        </w:trPr>
        <w:tc>
          <w:tcPr>
            <w:tcW w:w="7769" w:type="dxa"/>
            <w:noWrap/>
            <w:vAlign w:val="bottom"/>
            <w:hideMark/>
          </w:tcPr>
          <w:p w14:paraId="3991C868" w14:textId="77777777" w:rsidR="00D84490" w:rsidRPr="001F224B" w:rsidRDefault="00D84490" w:rsidP="00376779">
            <w:pPr>
              <w:rPr>
                <w:sz w:val="18"/>
                <w:szCs w:val="18"/>
              </w:rPr>
            </w:pPr>
            <w:r w:rsidRPr="001F224B">
              <w:rPr>
                <w:sz w:val="18"/>
                <w:szCs w:val="18"/>
              </w:rPr>
              <w:t>Hisse senedine dönüştürülebilirse, dönüştürmeye sebep olacak tetikleyici olay/olaylar</w:t>
            </w:r>
          </w:p>
        </w:tc>
        <w:tc>
          <w:tcPr>
            <w:tcW w:w="2268" w:type="dxa"/>
            <w:vAlign w:val="bottom"/>
            <w:hideMark/>
          </w:tcPr>
          <w:p w14:paraId="28C21047" w14:textId="77777777" w:rsidR="00D84490" w:rsidRPr="001F224B" w:rsidRDefault="00D84490" w:rsidP="00376779">
            <w:pPr>
              <w:rPr>
                <w:sz w:val="18"/>
                <w:szCs w:val="18"/>
              </w:rPr>
            </w:pPr>
            <w:r w:rsidRPr="001F224B">
              <w:rPr>
                <w:sz w:val="18"/>
                <w:szCs w:val="18"/>
              </w:rPr>
              <w:t>-</w:t>
            </w:r>
          </w:p>
        </w:tc>
      </w:tr>
      <w:tr w:rsidR="00D84490" w:rsidRPr="001F224B" w14:paraId="20181E59" w14:textId="77777777" w:rsidTr="00376779">
        <w:trPr>
          <w:trHeight w:val="170"/>
        </w:trPr>
        <w:tc>
          <w:tcPr>
            <w:tcW w:w="7769" w:type="dxa"/>
            <w:noWrap/>
            <w:vAlign w:val="bottom"/>
            <w:hideMark/>
          </w:tcPr>
          <w:p w14:paraId="2555F26E" w14:textId="77777777" w:rsidR="00D84490" w:rsidRPr="001F224B" w:rsidRDefault="00D84490" w:rsidP="00376779">
            <w:pPr>
              <w:rPr>
                <w:sz w:val="18"/>
                <w:szCs w:val="18"/>
              </w:rPr>
            </w:pPr>
            <w:r w:rsidRPr="001F224B">
              <w:rPr>
                <w:sz w:val="18"/>
                <w:szCs w:val="18"/>
              </w:rPr>
              <w:t>Hisse senedine dönüştürülebilirse, tamamen ya da kısmen dönüştürme özelliği</w:t>
            </w:r>
          </w:p>
        </w:tc>
        <w:tc>
          <w:tcPr>
            <w:tcW w:w="2268" w:type="dxa"/>
            <w:vAlign w:val="bottom"/>
            <w:hideMark/>
          </w:tcPr>
          <w:p w14:paraId="6D4235D5" w14:textId="77777777" w:rsidR="00D84490" w:rsidRPr="001F224B" w:rsidRDefault="00D84490" w:rsidP="00376779">
            <w:pPr>
              <w:rPr>
                <w:sz w:val="18"/>
                <w:szCs w:val="18"/>
              </w:rPr>
            </w:pPr>
            <w:r w:rsidRPr="001F224B">
              <w:rPr>
                <w:sz w:val="18"/>
                <w:szCs w:val="18"/>
              </w:rPr>
              <w:t>-</w:t>
            </w:r>
          </w:p>
        </w:tc>
      </w:tr>
      <w:tr w:rsidR="00D84490" w:rsidRPr="001F224B" w14:paraId="0FEC65E1" w14:textId="77777777" w:rsidTr="00376779">
        <w:trPr>
          <w:trHeight w:val="170"/>
        </w:trPr>
        <w:tc>
          <w:tcPr>
            <w:tcW w:w="7769" w:type="dxa"/>
            <w:noWrap/>
            <w:vAlign w:val="bottom"/>
            <w:hideMark/>
          </w:tcPr>
          <w:p w14:paraId="5850FA72" w14:textId="77777777" w:rsidR="00D84490" w:rsidRPr="001F224B" w:rsidRDefault="00D84490" w:rsidP="00376779">
            <w:pPr>
              <w:rPr>
                <w:sz w:val="18"/>
                <w:szCs w:val="18"/>
              </w:rPr>
            </w:pPr>
            <w:r w:rsidRPr="001F224B">
              <w:rPr>
                <w:sz w:val="18"/>
                <w:szCs w:val="18"/>
              </w:rPr>
              <w:t>Hisse senedine dönüştürülebilirse, dönüştürme oranı</w:t>
            </w:r>
          </w:p>
        </w:tc>
        <w:tc>
          <w:tcPr>
            <w:tcW w:w="2268" w:type="dxa"/>
            <w:vAlign w:val="bottom"/>
            <w:hideMark/>
          </w:tcPr>
          <w:p w14:paraId="35A4D782" w14:textId="77777777" w:rsidR="00D84490" w:rsidRPr="001F224B" w:rsidRDefault="00D84490" w:rsidP="00376779">
            <w:pPr>
              <w:rPr>
                <w:sz w:val="18"/>
                <w:szCs w:val="18"/>
              </w:rPr>
            </w:pPr>
            <w:r w:rsidRPr="001F224B">
              <w:rPr>
                <w:sz w:val="18"/>
                <w:szCs w:val="18"/>
              </w:rPr>
              <w:t>-</w:t>
            </w:r>
          </w:p>
        </w:tc>
      </w:tr>
      <w:tr w:rsidR="00D84490" w:rsidRPr="001F224B" w14:paraId="46D1186E" w14:textId="77777777" w:rsidTr="00376779">
        <w:trPr>
          <w:trHeight w:val="170"/>
        </w:trPr>
        <w:tc>
          <w:tcPr>
            <w:tcW w:w="7769" w:type="dxa"/>
            <w:noWrap/>
            <w:vAlign w:val="bottom"/>
            <w:hideMark/>
          </w:tcPr>
          <w:p w14:paraId="7B0D1F6F" w14:textId="77777777" w:rsidR="00D84490" w:rsidRPr="001F224B" w:rsidRDefault="00D84490" w:rsidP="00376779">
            <w:pPr>
              <w:rPr>
                <w:sz w:val="18"/>
                <w:szCs w:val="18"/>
              </w:rPr>
            </w:pPr>
            <w:r w:rsidRPr="001F224B">
              <w:rPr>
                <w:sz w:val="18"/>
                <w:szCs w:val="18"/>
              </w:rPr>
              <w:t>Hisse senedine dönüştürülebilirse, mecburi ya da isteğe bağlı dönüştürme özelliği</w:t>
            </w:r>
          </w:p>
        </w:tc>
        <w:tc>
          <w:tcPr>
            <w:tcW w:w="2268" w:type="dxa"/>
            <w:vAlign w:val="bottom"/>
            <w:hideMark/>
          </w:tcPr>
          <w:p w14:paraId="417BD617" w14:textId="77777777" w:rsidR="00D84490" w:rsidRPr="001F224B" w:rsidRDefault="00D84490" w:rsidP="00376779">
            <w:pPr>
              <w:rPr>
                <w:sz w:val="18"/>
                <w:szCs w:val="18"/>
              </w:rPr>
            </w:pPr>
            <w:r w:rsidRPr="001F224B">
              <w:rPr>
                <w:sz w:val="18"/>
                <w:szCs w:val="18"/>
              </w:rPr>
              <w:t>-</w:t>
            </w:r>
          </w:p>
        </w:tc>
      </w:tr>
      <w:tr w:rsidR="00D84490" w:rsidRPr="001F224B" w14:paraId="3A13051A" w14:textId="77777777" w:rsidTr="00376779">
        <w:trPr>
          <w:trHeight w:val="170"/>
        </w:trPr>
        <w:tc>
          <w:tcPr>
            <w:tcW w:w="7769" w:type="dxa"/>
            <w:noWrap/>
            <w:vAlign w:val="bottom"/>
            <w:hideMark/>
          </w:tcPr>
          <w:p w14:paraId="5EA31943" w14:textId="77777777" w:rsidR="00D84490" w:rsidRPr="001F224B" w:rsidRDefault="00D84490" w:rsidP="00376779">
            <w:pPr>
              <w:rPr>
                <w:sz w:val="18"/>
                <w:szCs w:val="18"/>
              </w:rPr>
            </w:pPr>
            <w:r w:rsidRPr="001F224B">
              <w:rPr>
                <w:sz w:val="18"/>
                <w:szCs w:val="18"/>
              </w:rPr>
              <w:t>Hisse senedine dönüştürülebilirse, dönüştürülebilir araç türleri</w:t>
            </w:r>
          </w:p>
        </w:tc>
        <w:tc>
          <w:tcPr>
            <w:tcW w:w="2268" w:type="dxa"/>
            <w:vAlign w:val="bottom"/>
            <w:hideMark/>
          </w:tcPr>
          <w:p w14:paraId="320D0F5C" w14:textId="77777777" w:rsidR="00D84490" w:rsidRPr="001F224B" w:rsidRDefault="00D84490" w:rsidP="00376779">
            <w:pPr>
              <w:rPr>
                <w:sz w:val="18"/>
                <w:szCs w:val="18"/>
              </w:rPr>
            </w:pPr>
            <w:r w:rsidRPr="001F224B">
              <w:rPr>
                <w:sz w:val="18"/>
                <w:szCs w:val="18"/>
              </w:rPr>
              <w:t>-</w:t>
            </w:r>
          </w:p>
        </w:tc>
      </w:tr>
      <w:tr w:rsidR="00D84490" w:rsidRPr="001F224B" w14:paraId="6BE64479" w14:textId="77777777" w:rsidTr="00376779">
        <w:trPr>
          <w:trHeight w:val="170"/>
        </w:trPr>
        <w:tc>
          <w:tcPr>
            <w:tcW w:w="7769" w:type="dxa"/>
            <w:noWrap/>
            <w:vAlign w:val="bottom"/>
            <w:hideMark/>
          </w:tcPr>
          <w:p w14:paraId="06B797A2" w14:textId="77777777" w:rsidR="00D84490" w:rsidRPr="001F224B" w:rsidRDefault="00D84490" w:rsidP="00376779">
            <w:pPr>
              <w:rPr>
                <w:sz w:val="18"/>
                <w:szCs w:val="18"/>
              </w:rPr>
            </w:pPr>
            <w:r w:rsidRPr="001F224B">
              <w:rPr>
                <w:sz w:val="18"/>
                <w:szCs w:val="18"/>
              </w:rPr>
              <w:t>Hisse senedine dönüştürülebilirse, dönüştürülecek borçlanma aracının ihraççısı</w:t>
            </w:r>
          </w:p>
        </w:tc>
        <w:tc>
          <w:tcPr>
            <w:tcW w:w="2268" w:type="dxa"/>
            <w:vAlign w:val="bottom"/>
            <w:hideMark/>
          </w:tcPr>
          <w:p w14:paraId="4C40C584" w14:textId="77777777" w:rsidR="00D84490" w:rsidRPr="001F224B" w:rsidRDefault="00D84490" w:rsidP="00376779">
            <w:pPr>
              <w:rPr>
                <w:sz w:val="18"/>
                <w:szCs w:val="18"/>
              </w:rPr>
            </w:pPr>
            <w:r w:rsidRPr="001F224B">
              <w:rPr>
                <w:sz w:val="18"/>
                <w:szCs w:val="18"/>
              </w:rPr>
              <w:t>-</w:t>
            </w:r>
          </w:p>
        </w:tc>
      </w:tr>
      <w:tr w:rsidR="00D84490" w:rsidRPr="001F224B" w14:paraId="350B813C" w14:textId="77777777" w:rsidTr="00376779">
        <w:trPr>
          <w:trHeight w:val="170"/>
        </w:trPr>
        <w:tc>
          <w:tcPr>
            <w:tcW w:w="7769" w:type="dxa"/>
            <w:noWrap/>
            <w:vAlign w:val="bottom"/>
            <w:hideMark/>
          </w:tcPr>
          <w:p w14:paraId="7BDDC8E5" w14:textId="77777777" w:rsidR="00D84490" w:rsidRPr="001F224B" w:rsidRDefault="00D84490" w:rsidP="00376779">
            <w:pPr>
              <w:rPr>
                <w:b/>
                <w:bCs/>
                <w:sz w:val="18"/>
                <w:szCs w:val="18"/>
              </w:rPr>
            </w:pPr>
            <w:r w:rsidRPr="001F224B">
              <w:rPr>
                <w:b/>
                <w:bCs/>
                <w:sz w:val="18"/>
                <w:szCs w:val="18"/>
              </w:rPr>
              <w:t>Değer azaltma özelliği</w:t>
            </w:r>
          </w:p>
        </w:tc>
        <w:tc>
          <w:tcPr>
            <w:tcW w:w="2268" w:type="dxa"/>
            <w:vAlign w:val="bottom"/>
            <w:hideMark/>
          </w:tcPr>
          <w:p w14:paraId="0670EB9C" w14:textId="77777777" w:rsidR="00D84490" w:rsidRPr="001F224B" w:rsidRDefault="00D84490" w:rsidP="00376779">
            <w:pPr>
              <w:rPr>
                <w:sz w:val="18"/>
                <w:szCs w:val="18"/>
              </w:rPr>
            </w:pPr>
            <w:r w:rsidRPr="001F224B">
              <w:rPr>
                <w:sz w:val="18"/>
                <w:szCs w:val="18"/>
              </w:rPr>
              <w:t> </w:t>
            </w:r>
          </w:p>
        </w:tc>
      </w:tr>
      <w:tr w:rsidR="00D84490" w:rsidRPr="001F224B" w14:paraId="6DB91176" w14:textId="77777777" w:rsidTr="00376779">
        <w:trPr>
          <w:trHeight w:val="170"/>
        </w:trPr>
        <w:tc>
          <w:tcPr>
            <w:tcW w:w="7769" w:type="dxa"/>
            <w:noWrap/>
            <w:vAlign w:val="bottom"/>
            <w:hideMark/>
          </w:tcPr>
          <w:p w14:paraId="1569B22B" w14:textId="77777777" w:rsidR="00D84490" w:rsidRPr="001F224B" w:rsidRDefault="00D84490" w:rsidP="00376779">
            <w:pPr>
              <w:rPr>
                <w:sz w:val="18"/>
                <w:szCs w:val="18"/>
              </w:rPr>
            </w:pPr>
            <w:r w:rsidRPr="001F224B">
              <w:rPr>
                <w:sz w:val="18"/>
                <w:szCs w:val="18"/>
              </w:rPr>
              <w:t>Değer azaltma özelliğine sahipse, azaltıma sebep olacak tetikleyici olay/olaylar</w:t>
            </w:r>
          </w:p>
        </w:tc>
        <w:tc>
          <w:tcPr>
            <w:tcW w:w="2268" w:type="dxa"/>
            <w:vAlign w:val="bottom"/>
            <w:hideMark/>
          </w:tcPr>
          <w:p w14:paraId="12E4C728" w14:textId="77777777" w:rsidR="00D84490" w:rsidRPr="001F224B" w:rsidRDefault="00D84490" w:rsidP="00376779">
            <w:pPr>
              <w:rPr>
                <w:sz w:val="18"/>
                <w:szCs w:val="18"/>
              </w:rPr>
            </w:pPr>
            <w:r w:rsidRPr="001F224B">
              <w:rPr>
                <w:sz w:val="18"/>
                <w:szCs w:val="18"/>
              </w:rPr>
              <w:t>Çekirdek sermaye yeterliliği oranının veya konsolide çekirdek sermaye yeterliliği oranının %5,125’in altına düşmesi</w:t>
            </w:r>
          </w:p>
        </w:tc>
      </w:tr>
      <w:tr w:rsidR="00D84490" w:rsidRPr="001F224B" w14:paraId="257E23F1" w14:textId="77777777" w:rsidTr="00376779">
        <w:trPr>
          <w:trHeight w:val="170"/>
        </w:trPr>
        <w:tc>
          <w:tcPr>
            <w:tcW w:w="7769" w:type="dxa"/>
            <w:noWrap/>
            <w:vAlign w:val="bottom"/>
            <w:hideMark/>
          </w:tcPr>
          <w:p w14:paraId="6FDFC417" w14:textId="77777777" w:rsidR="00D84490" w:rsidRPr="001F224B" w:rsidRDefault="00D84490" w:rsidP="00376779">
            <w:pPr>
              <w:rPr>
                <w:sz w:val="18"/>
                <w:szCs w:val="18"/>
              </w:rPr>
            </w:pPr>
            <w:r w:rsidRPr="001F224B">
              <w:rPr>
                <w:sz w:val="18"/>
                <w:szCs w:val="18"/>
              </w:rPr>
              <w:t>Değer azaltma özelliğine sahipse, tamamen ya da kısmen değer azaltımı özelliği</w:t>
            </w:r>
          </w:p>
        </w:tc>
        <w:tc>
          <w:tcPr>
            <w:tcW w:w="2268" w:type="dxa"/>
            <w:vAlign w:val="bottom"/>
            <w:hideMark/>
          </w:tcPr>
          <w:p w14:paraId="767299AB" w14:textId="77777777" w:rsidR="00D84490" w:rsidRPr="001F224B" w:rsidRDefault="00D84490" w:rsidP="00376779">
            <w:pPr>
              <w:rPr>
                <w:sz w:val="18"/>
                <w:szCs w:val="18"/>
              </w:rPr>
            </w:pPr>
            <w:r w:rsidRPr="001F224B">
              <w:rPr>
                <w:sz w:val="18"/>
                <w:szCs w:val="18"/>
              </w:rPr>
              <w:t>Kısmen veya tamamen</w:t>
            </w:r>
          </w:p>
        </w:tc>
      </w:tr>
      <w:tr w:rsidR="00D84490" w:rsidRPr="001F224B" w14:paraId="73D3D938" w14:textId="77777777" w:rsidTr="00376779">
        <w:trPr>
          <w:trHeight w:val="170"/>
        </w:trPr>
        <w:tc>
          <w:tcPr>
            <w:tcW w:w="7769" w:type="dxa"/>
            <w:noWrap/>
            <w:vAlign w:val="bottom"/>
            <w:hideMark/>
          </w:tcPr>
          <w:p w14:paraId="7335A0E6" w14:textId="77777777" w:rsidR="00D84490" w:rsidRPr="001F224B" w:rsidRDefault="00D84490" w:rsidP="00376779">
            <w:pPr>
              <w:rPr>
                <w:sz w:val="18"/>
                <w:szCs w:val="18"/>
              </w:rPr>
            </w:pPr>
            <w:r w:rsidRPr="001F224B">
              <w:rPr>
                <w:sz w:val="18"/>
                <w:szCs w:val="18"/>
              </w:rPr>
              <w:t>Değer azaltma özelliğine sahipse, sürekli ya da geçici olma özelliği</w:t>
            </w:r>
          </w:p>
        </w:tc>
        <w:tc>
          <w:tcPr>
            <w:tcW w:w="2268" w:type="dxa"/>
            <w:vAlign w:val="bottom"/>
            <w:hideMark/>
          </w:tcPr>
          <w:p w14:paraId="6B6A9B47" w14:textId="77777777" w:rsidR="00D84490" w:rsidRPr="001F224B" w:rsidRDefault="00D84490" w:rsidP="00376779">
            <w:pPr>
              <w:rPr>
                <w:sz w:val="18"/>
                <w:szCs w:val="18"/>
              </w:rPr>
            </w:pPr>
            <w:r w:rsidRPr="001F224B">
              <w:rPr>
                <w:sz w:val="18"/>
                <w:szCs w:val="18"/>
              </w:rPr>
              <w:t>Geçici</w:t>
            </w:r>
          </w:p>
        </w:tc>
      </w:tr>
      <w:tr w:rsidR="00D84490" w:rsidRPr="001F224B" w14:paraId="6B12B697" w14:textId="77777777" w:rsidTr="00376779">
        <w:trPr>
          <w:trHeight w:val="170"/>
        </w:trPr>
        <w:tc>
          <w:tcPr>
            <w:tcW w:w="7769" w:type="dxa"/>
            <w:noWrap/>
            <w:vAlign w:val="bottom"/>
            <w:hideMark/>
          </w:tcPr>
          <w:p w14:paraId="21411EE0" w14:textId="77777777" w:rsidR="00D84490" w:rsidRPr="001F224B" w:rsidRDefault="00D84490" w:rsidP="00376779">
            <w:pPr>
              <w:rPr>
                <w:sz w:val="18"/>
                <w:szCs w:val="18"/>
              </w:rPr>
            </w:pPr>
            <w:r w:rsidRPr="001F224B">
              <w:rPr>
                <w:sz w:val="18"/>
                <w:szCs w:val="18"/>
              </w:rPr>
              <w:t>Değeri geçici olarak azaltılabiliyorsa, değer artırım mekanizması</w:t>
            </w:r>
          </w:p>
        </w:tc>
        <w:tc>
          <w:tcPr>
            <w:tcW w:w="2268" w:type="dxa"/>
            <w:vAlign w:val="bottom"/>
            <w:hideMark/>
          </w:tcPr>
          <w:p w14:paraId="5A4A2FA5" w14:textId="77777777" w:rsidR="00D84490" w:rsidRPr="001F224B" w:rsidRDefault="00D84490" w:rsidP="00376779">
            <w:pPr>
              <w:rPr>
                <w:sz w:val="18"/>
                <w:szCs w:val="18"/>
              </w:rPr>
            </w:pPr>
            <w:r w:rsidRPr="001F224B">
              <w:rPr>
                <w:sz w:val="18"/>
                <w:szCs w:val="18"/>
              </w:rPr>
              <w:t>Bulunmaktadır.</w:t>
            </w:r>
          </w:p>
        </w:tc>
      </w:tr>
      <w:tr w:rsidR="00D84490" w:rsidRPr="001F224B" w14:paraId="0E97B82A" w14:textId="77777777" w:rsidTr="00376779">
        <w:trPr>
          <w:trHeight w:val="170"/>
        </w:trPr>
        <w:tc>
          <w:tcPr>
            <w:tcW w:w="7769" w:type="dxa"/>
            <w:vAlign w:val="bottom"/>
            <w:hideMark/>
          </w:tcPr>
          <w:p w14:paraId="47F39D0A" w14:textId="77777777" w:rsidR="00D84490" w:rsidRPr="001F224B" w:rsidRDefault="00D84490" w:rsidP="00376779">
            <w:pPr>
              <w:rPr>
                <w:sz w:val="18"/>
                <w:szCs w:val="18"/>
              </w:rPr>
            </w:pPr>
            <w:r w:rsidRPr="001F224B">
              <w:rPr>
                <w:sz w:val="18"/>
                <w:szCs w:val="18"/>
              </w:rPr>
              <w:t>Tasfiye halinde alacak hakkı açısından hangi sırada olduğu (Bu aracın hemen üstünde yer alan araç)</w:t>
            </w:r>
          </w:p>
        </w:tc>
        <w:tc>
          <w:tcPr>
            <w:tcW w:w="2268" w:type="dxa"/>
            <w:vAlign w:val="bottom"/>
            <w:hideMark/>
          </w:tcPr>
          <w:p w14:paraId="67DC6EE8" w14:textId="77777777" w:rsidR="00D84490" w:rsidRPr="001F224B" w:rsidRDefault="00D84490" w:rsidP="00376779">
            <w:pPr>
              <w:rPr>
                <w:sz w:val="18"/>
                <w:szCs w:val="18"/>
              </w:rPr>
            </w:pPr>
            <w:r w:rsidRPr="001F224B">
              <w:rPr>
                <w:sz w:val="18"/>
                <w:szCs w:val="18"/>
              </w:rPr>
              <w:t>Borçlanmalardan ve katkı sermayeden sonra</w:t>
            </w:r>
          </w:p>
        </w:tc>
      </w:tr>
      <w:tr w:rsidR="00D84490" w:rsidRPr="001F224B" w14:paraId="46CB09E3" w14:textId="77777777" w:rsidTr="00376779">
        <w:trPr>
          <w:trHeight w:val="170"/>
        </w:trPr>
        <w:tc>
          <w:tcPr>
            <w:tcW w:w="7769" w:type="dxa"/>
            <w:vAlign w:val="bottom"/>
            <w:hideMark/>
          </w:tcPr>
          <w:p w14:paraId="6D80DCBA" w14:textId="77777777" w:rsidR="00D84490" w:rsidRPr="001F224B" w:rsidRDefault="00D84490" w:rsidP="00376779">
            <w:pPr>
              <w:rPr>
                <w:sz w:val="18"/>
                <w:szCs w:val="18"/>
              </w:rPr>
            </w:pPr>
            <w:r w:rsidRPr="001F224B">
              <w:rPr>
                <w:sz w:val="18"/>
                <w:szCs w:val="18"/>
              </w:rPr>
              <w:t>Bankaların Özkaynaklarına İlişkin Yönetmeliğin 7’nci ve 8’inci maddelerinde yer alan şartlardan haiz olunmayan olup olmadığı</w:t>
            </w:r>
          </w:p>
        </w:tc>
        <w:tc>
          <w:tcPr>
            <w:tcW w:w="2268" w:type="dxa"/>
            <w:vAlign w:val="bottom"/>
            <w:hideMark/>
          </w:tcPr>
          <w:p w14:paraId="03A0B1A0" w14:textId="77777777" w:rsidR="00D84490" w:rsidRPr="001F224B" w:rsidRDefault="00D84490" w:rsidP="00376779">
            <w:pPr>
              <w:rPr>
                <w:sz w:val="18"/>
                <w:szCs w:val="18"/>
              </w:rPr>
            </w:pPr>
            <w:r w:rsidRPr="001F224B">
              <w:rPr>
                <w:sz w:val="18"/>
                <w:szCs w:val="18"/>
              </w:rPr>
              <w:t xml:space="preserve">Bankaların Özkaynaklarına İlişkin Yönetmeliğin 7'inci maddesinde yer alan şartları taşımaktadır. </w:t>
            </w:r>
          </w:p>
        </w:tc>
      </w:tr>
      <w:tr w:rsidR="00D84490" w:rsidRPr="001F224B" w14:paraId="31AA5A0C" w14:textId="77777777" w:rsidTr="00376779">
        <w:trPr>
          <w:trHeight w:val="170"/>
        </w:trPr>
        <w:tc>
          <w:tcPr>
            <w:tcW w:w="7769" w:type="dxa"/>
            <w:vAlign w:val="bottom"/>
            <w:hideMark/>
          </w:tcPr>
          <w:p w14:paraId="76471D3B" w14:textId="77777777" w:rsidR="00D84490" w:rsidRPr="001F224B" w:rsidRDefault="00D84490" w:rsidP="00376779">
            <w:pPr>
              <w:rPr>
                <w:sz w:val="18"/>
                <w:szCs w:val="18"/>
              </w:rPr>
            </w:pPr>
            <w:r w:rsidRPr="001F224B">
              <w:rPr>
                <w:sz w:val="18"/>
                <w:szCs w:val="18"/>
              </w:rPr>
              <w:t>Bankaların Özkaynaklarına İlişkin Yönetmeliğin 7’nci ve 8’inci maddelerinde yer alan şartlardan hangilerini haiz olunmadığı</w:t>
            </w:r>
          </w:p>
        </w:tc>
        <w:tc>
          <w:tcPr>
            <w:tcW w:w="2268" w:type="dxa"/>
            <w:vAlign w:val="bottom"/>
            <w:hideMark/>
          </w:tcPr>
          <w:p w14:paraId="2139637C" w14:textId="77777777" w:rsidR="00D84490" w:rsidRPr="001F224B" w:rsidRDefault="00D84490" w:rsidP="00376779">
            <w:pPr>
              <w:rPr>
                <w:sz w:val="18"/>
                <w:szCs w:val="18"/>
              </w:rPr>
            </w:pPr>
            <w:r w:rsidRPr="001F224B">
              <w:rPr>
                <w:sz w:val="18"/>
                <w:szCs w:val="18"/>
              </w:rPr>
              <w:t xml:space="preserve">Bankaların Özkaynaklarına İlişkin Yönetmeliğin 7'inci maddesinde yer alan şartları taşımaktadır. </w:t>
            </w:r>
          </w:p>
        </w:tc>
      </w:tr>
    </w:tbl>
    <w:p w14:paraId="0ECA6885" w14:textId="77777777" w:rsidR="00931312" w:rsidRPr="001F224B" w:rsidRDefault="00931312">
      <w:pPr>
        <w:rPr>
          <w:b/>
          <w:bCs/>
          <w:sz w:val="22"/>
          <w:szCs w:val="22"/>
        </w:rPr>
      </w:pPr>
      <w:r w:rsidRPr="001F224B">
        <w:rPr>
          <w:b/>
          <w:bCs/>
          <w:sz w:val="22"/>
          <w:szCs w:val="22"/>
        </w:rPr>
        <w:br w:type="page"/>
      </w:r>
    </w:p>
    <w:p w14:paraId="2305EED0" w14:textId="77777777" w:rsidR="009F26AF" w:rsidRPr="001F224B" w:rsidRDefault="009F26AF" w:rsidP="009F26AF">
      <w:pPr>
        <w:pStyle w:val="ListParagraph"/>
        <w:tabs>
          <w:tab w:val="left" w:pos="0"/>
        </w:tabs>
        <w:ind w:left="0"/>
        <w:rPr>
          <w:b/>
          <w:bCs/>
          <w:sz w:val="22"/>
          <w:szCs w:val="22"/>
        </w:rPr>
      </w:pPr>
      <w:r w:rsidRPr="001F224B">
        <w:rPr>
          <w:b/>
          <w:bCs/>
          <w:sz w:val="22"/>
          <w:szCs w:val="22"/>
        </w:rPr>
        <w:t>DÖRDÜNCÜ BÖLÜM (Devamı)</w:t>
      </w:r>
    </w:p>
    <w:p w14:paraId="35A75903" w14:textId="77777777" w:rsidR="009F26AF" w:rsidRPr="001F224B" w:rsidRDefault="009F26AF" w:rsidP="009F26AF">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759CB412" w14:textId="16ADC169" w:rsidR="00603821" w:rsidRPr="001F224B" w:rsidRDefault="00603821" w:rsidP="00603821">
      <w:pPr>
        <w:tabs>
          <w:tab w:val="left" w:pos="567"/>
        </w:tabs>
        <w:spacing w:before="120"/>
        <w:ind w:left="567" w:hanging="567"/>
        <w:jc w:val="both"/>
        <w:rPr>
          <w:b/>
          <w:bCs/>
          <w:sz w:val="22"/>
          <w:szCs w:val="22"/>
        </w:rPr>
      </w:pPr>
      <w:r w:rsidRPr="001F224B">
        <w:rPr>
          <w:b/>
          <w:bCs/>
          <w:sz w:val="22"/>
          <w:szCs w:val="22"/>
        </w:rPr>
        <w:t xml:space="preserve">I.     </w:t>
      </w:r>
      <w:r w:rsidR="002E48BA" w:rsidRPr="001F224B">
        <w:rPr>
          <w:b/>
          <w:bCs/>
          <w:sz w:val="22"/>
          <w:szCs w:val="22"/>
        </w:rPr>
        <w:t xml:space="preserve">Konsolide </w:t>
      </w:r>
      <w:r w:rsidR="00D935C8" w:rsidRPr="001F224B">
        <w:rPr>
          <w:b/>
          <w:bCs/>
          <w:sz w:val="22"/>
          <w:szCs w:val="22"/>
        </w:rPr>
        <w:t>ö</w:t>
      </w:r>
      <w:r w:rsidRPr="001F224B">
        <w:rPr>
          <w:b/>
          <w:bCs/>
          <w:sz w:val="22"/>
          <w:szCs w:val="22"/>
        </w:rPr>
        <w:t>zkaynak kalemlerine ilişkin açıklamalar (Devamı)</w:t>
      </w:r>
    </w:p>
    <w:p w14:paraId="17B511F3" w14:textId="705BB2FE" w:rsidR="00603821" w:rsidRPr="001F224B" w:rsidRDefault="002E48BA" w:rsidP="00603821">
      <w:pPr>
        <w:tabs>
          <w:tab w:val="left" w:pos="567"/>
        </w:tabs>
        <w:spacing w:before="120" w:after="120"/>
        <w:ind w:firstLine="426"/>
        <w:jc w:val="both"/>
        <w:rPr>
          <w:b/>
          <w:bCs/>
          <w:sz w:val="22"/>
          <w:szCs w:val="22"/>
        </w:rPr>
      </w:pPr>
      <w:r w:rsidRPr="001F224B">
        <w:rPr>
          <w:b/>
          <w:bCs/>
          <w:sz w:val="22"/>
          <w:szCs w:val="22"/>
        </w:rPr>
        <w:t xml:space="preserve">Konsolide </w:t>
      </w:r>
      <w:r w:rsidR="00D935C8" w:rsidRPr="001F224B">
        <w:rPr>
          <w:b/>
          <w:bCs/>
          <w:sz w:val="22"/>
          <w:szCs w:val="22"/>
        </w:rPr>
        <w:t>ö</w:t>
      </w:r>
      <w:r w:rsidR="00603821" w:rsidRPr="001F224B">
        <w:rPr>
          <w:b/>
          <w:bCs/>
          <w:sz w:val="22"/>
          <w:szCs w:val="22"/>
        </w:rPr>
        <w:t>zkaynak hesaplamasına dahil edilecek borçlanma araçlarına ilişkin bilgiler (Devamı):</w:t>
      </w:r>
    </w:p>
    <w:tbl>
      <w:tblPr>
        <w:tblStyle w:val="TabloKlavuzu6"/>
        <w:tblW w:w="9895" w:type="dxa"/>
        <w:tblInd w:w="23" w:type="dxa"/>
        <w:tblLook w:val="04A0" w:firstRow="1" w:lastRow="0" w:firstColumn="1" w:lastColumn="0" w:noHBand="0" w:noVBand="1"/>
      </w:tblPr>
      <w:tblGrid>
        <w:gridCol w:w="7769"/>
        <w:gridCol w:w="2126"/>
      </w:tblGrid>
      <w:tr w:rsidR="00A570B1" w:rsidRPr="001F224B" w14:paraId="6B176363" w14:textId="77777777" w:rsidTr="00474915">
        <w:trPr>
          <w:trHeight w:val="386"/>
        </w:trPr>
        <w:tc>
          <w:tcPr>
            <w:tcW w:w="7769" w:type="dxa"/>
            <w:noWrap/>
            <w:vAlign w:val="bottom"/>
          </w:tcPr>
          <w:p w14:paraId="7424D070" w14:textId="2B9E2A36" w:rsidR="00A570B1" w:rsidRPr="001F224B" w:rsidRDefault="00A570B1" w:rsidP="00474915">
            <w:pPr>
              <w:rPr>
                <w:sz w:val="18"/>
                <w:szCs w:val="18"/>
              </w:rPr>
            </w:pPr>
            <w:r w:rsidRPr="001F224B">
              <w:rPr>
                <w:b/>
                <w:bCs/>
                <w:sz w:val="18"/>
                <w:szCs w:val="18"/>
              </w:rPr>
              <w:t>Önceki Dönem (31.12.202</w:t>
            </w:r>
            <w:r w:rsidR="00963C0A" w:rsidRPr="001F224B">
              <w:rPr>
                <w:b/>
                <w:bCs/>
                <w:sz w:val="18"/>
                <w:szCs w:val="18"/>
              </w:rPr>
              <w:t>4</w:t>
            </w:r>
            <w:r w:rsidRPr="001F224B">
              <w:rPr>
                <w:b/>
                <w:bCs/>
                <w:sz w:val="18"/>
                <w:szCs w:val="18"/>
              </w:rPr>
              <w:t>)</w:t>
            </w:r>
          </w:p>
        </w:tc>
        <w:tc>
          <w:tcPr>
            <w:tcW w:w="2126" w:type="dxa"/>
            <w:vAlign w:val="bottom"/>
          </w:tcPr>
          <w:p w14:paraId="435D3DC4" w14:textId="77777777" w:rsidR="00A570B1" w:rsidRPr="001F224B" w:rsidRDefault="00A570B1" w:rsidP="00474915">
            <w:pPr>
              <w:rPr>
                <w:sz w:val="18"/>
                <w:szCs w:val="18"/>
              </w:rPr>
            </w:pPr>
          </w:p>
        </w:tc>
      </w:tr>
      <w:tr w:rsidR="00963C0A" w:rsidRPr="001F224B" w14:paraId="40A9618A" w14:textId="77777777" w:rsidTr="00474915">
        <w:trPr>
          <w:trHeight w:val="170"/>
        </w:trPr>
        <w:tc>
          <w:tcPr>
            <w:tcW w:w="7769" w:type="dxa"/>
            <w:noWrap/>
            <w:vAlign w:val="center"/>
          </w:tcPr>
          <w:p w14:paraId="7B4CCF56" w14:textId="77777777" w:rsidR="00963C0A" w:rsidRPr="001F224B" w:rsidRDefault="00963C0A" w:rsidP="00963C0A">
            <w:pPr>
              <w:rPr>
                <w:sz w:val="18"/>
                <w:szCs w:val="18"/>
              </w:rPr>
            </w:pPr>
            <w:r w:rsidRPr="001F224B">
              <w:rPr>
                <w:sz w:val="18"/>
                <w:szCs w:val="18"/>
              </w:rPr>
              <w:t>İhraççı / Krediyi Kullandıran</w:t>
            </w:r>
          </w:p>
        </w:tc>
        <w:tc>
          <w:tcPr>
            <w:tcW w:w="2126" w:type="dxa"/>
            <w:vAlign w:val="bottom"/>
          </w:tcPr>
          <w:p w14:paraId="4CBB188B" w14:textId="4BF813EE" w:rsidR="00963C0A" w:rsidRPr="001F224B" w:rsidRDefault="00963C0A" w:rsidP="00963C0A">
            <w:pPr>
              <w:rPr>
                <w:sz w:val="18"/>
                <w:szCs w:val="18"/>
              </w:rPr>
            </w:pPr>
            <w:r w:rsidRPr="001F224B">
              <w:rPr>
                <w:sz w:val="18"/>
                <w:szCs w:val="18"/>
              </w:rPr>
              <w:t>Banka / TVF</w:t>
            </w:r>
          </w:p>
        </w:tc>
      </w:tr>
      <w:tr w:rsidR="00963C0A" w:rsidRPr="001F224B" w14:paraId="7F3D5E4D" w14:textId="77777777" w:rsidTr="00474915">
        <w:trPr>
          <w:trHeight w:val="170"/>
        </w:trPr>
        <w:tc>
          <w:tcPr>
            <w:tcW w:w="7769" w:type="dxa"/>
            <w:noWrap/>
            <w:vAlign w:val="bottom"/>
            <w:hideMark/>
          </w:tcPr>
          <w:p w14:paraId="3D0FCB31" w14:textId="77777777" w:rsidR="00963C0A" w:rsidRPr="001F224B" w:rsidRDefault="00963C0A" w:rsidP="00963C0A">
            <w:pPr>
              <w:rPr>
                <w:sz w:val="18"/>
                <w:szCs w:val="18"/>
              </w:rPr>
            </w:pPr>
            <w:r w:rsidRPr="001F224B">
              <w:rPr>
                <w:sz w:val="18"/>
                <w:szCs w:val="18"/>
              </w:rPr>
              <w:t>Aracının kodu (CUSIP, ISIN vb.)</w:t>
            </w:r>
          </w:p>
        </w:tc>
        <w:tc>
          <w:tcPr>
            <w:tcW w:w="2126" w:type="dxa"/>
            <w:vAlign w:val="bottom"/>
            <w:hideMark/>
          </w:tcPr>
          <w:p w14:paraId="21F2EB66" w14:textId="262FD0E4" w:rsidR="00963C0A" w:rsidRPr="001F224B" w:rsidRDefault="00963C0A" w:rsidP="00963C0A">
            <w:pPr>
              <w:rPr>
                <w:sz w:val="18"/>
                <w:szCs w:val="18"/>
              </w:rPr>
            </w:pPr>
            <w:r w:rsidRPr="001F224B">
              <w:rPr>
                <w:sz w:val="18"/>
                <w:szCs w:val="18"/>
              </w:rPr>
              <w:t>-</w:t>
            </w:r>
          </w:p>
        </w:tc>
      </w:tr>
      <w:tr w:rsidR="00963C0A" w:rsidRPr="001F224B" w14:paraId="0D04BCB5" w14:textId="77777777" w:rsidTr="00474915">
        <w:trPr>
          <w:trHeight w:val="170"/>
        </w:trPr>
        <w:tc>
          <w:tcPr>
            <w:tcW w:w="7769" w:type="dxa"/>
            <w:noWrap/>
            <w:vAlign w:val="bottom"/>
            <w:hideMark/>
          </w:tcPr>
          <w:p w14:paraId="70579D4A" w14:textId="77777777" w:rsidR="00963C0A" w:rsidRPr="001F224B" w:rsidRDefault="00963C0A" w:rsidP="00963C0A">
            <w:pPr>
              <w:rPr>
                <w:sz w:val="18"/>
                <w:szCs w:val="18"/>
              </w:rPr>
            </w:pPr>
            <w:r w:rsidRPr="001F224B">
              <w:rPr>
                <w:sz w:val="18"/>
                <w:szCs w:val="18"/>
              </w:rPr>
              <w:t>Aracın tabi olduğu mevzuat</w:t>
            </w:r>
          </w:p>
        </w:tc>
        <w:tc>
          <w:tcPr>
            <w:tcW w:w="2126" w:type="dxa"/>
            <w:vAlign w:val="bottom"/>
            <w:hideMark/>
          </w:tcPr>
          <w:p w14:paraId="6C3A20AF" w14:textId="6AD9993A" w:rsidR="00963C0A" w:rsidRPr="001F224B" w:rsidRDefault="00963C0A" w:rsidP="00963C0A">
            <w:pPr>
              <w:rPr>
                <w:sz w:val="18"/>
                <w:szCs w:val="18"/>
              </w:rPr>
            </w:pPr>
            <w:r w:rsidRPr="001F224B">
              <w:rPr>
                <w:sz w:val="18"/>
                <w:szCs w:val="18"/>
              </w:rPr>
              <w:t>BDDK</w:t>
            </w:r>
          </w:p>
        </w:tc>
      </w:tr>
      <w:tr w:rsidR="00963C0A" w:rsidRPr="001F224B" w14:paraId="230ACFB5" w14:textId="77777777" w:rsidTr="00474915">
        <w:trPr>
          <w:trHeight w:val="170"/>
        </w:trPr>
        <w:tc>
          <w:tcPr>
            <w:tcW w:w="7769" w:type="dxa"/>
            <w:noWrap/>
            <w:vAlign w:val="bottom"/>
            <w:hideMark/>
          </w:tcPr>
          <w:p w14:paraId="09C82B39" w14:textId="77777777" w:rsidR="00963C0A" w:rsidRPr="001F224B" w:rsidRDefault="00963C0A" w:rsidP="00963C0A">
            <w:pPr>
              <w:rPr>
                <w:b/>
                <w:bCs/>
                <w:sz w:val="18"/>
                <w:szCs w:val="18"/>
              </w:rPr>
            </w:pPr>
            <w:r w:rsidRPr="001F224B">
              <w:rPr>
                <w:b/>
                <w:bCs/>
                <w:sz w:val="18"/>
                <w:szCs w:val="18"/>
              </w:rPr>
              <w:t>Özkaynak hesaplamasında dikkate alınma durumu</w:t>
            </w:r>
          </w:p>
        </w:tc>
        <w:tc>
          <w:tcPr>
            <w:tcW w:w="2126" w:type="dxa"/>
            <w:vAlign w:val="bottom"/>
            <w:hideMark/>
          </w:tcPr>
          <w:p w14:paraId="5F2ED769" w14:textId="58B9E375" w:rsidR="00963C0A" w:rsidRPr="001F224B" w:rsidRDefault="00963C0A" w:rsidP="00963C0A">
            <w:pPr>
              <w:rPr>
                <w:sz w:val="18"/>
                <w:szCs w:val="18"/>
              </w:rPr>
            </w:pPr>
            <w:r w:rsidRPr="001F224B">
              <w:rPr>
                <w:sz w:val="18"/>
                <w:szCs w:val="18"/>
              </w:rPr>
              <w:t> </w:t>
            </w:r>
          </w:p>
        </w:tc>
      </w:tr>
      <w:tr w:rsidR="00963C0A" w:rsidRPr="001F224B" w14:paraId="579403BB" w14:textId="77777777" w:rsidTr="00474915">
        <w:trPr>
          <w:trHeight w:val="170"/>
        </w:trPr>
        <w:tc>
          <w:tcPr>
            <w:tcW w:w="7769" w:type="dxa"/>
            <w:vAlign w:val="bottom"/>
            <w:hideMark/>
          </w:tcPr>
          <w:p w14:paraId="70CF1031" w14:textId="77777777" w:rsidR="00963C0A" w:rsidRPr="001F224B" w:rsidRDefault="00963C0A" w:rsidP="00963C0A">
            <w:pPr>
              <w:rPr>
                <w:sz w:val="18"/>
                <w:szCs w:val="18"/>
              </w:rPr>
            </w:pPr>
            <w:r w:rsidRPr="001F224B">
              <w:rPr>
                <w:sz w:val="18"/>
                <w:szCs w:val="18"/>
              </w:rPr>
              <w:t>1/1/2015’den itibaren %10 oranında azaltılarak dikkate alınma uygulamasına tabi olma durumu</w:t>
            </w:r>
          </w:p>
        </w:tc>
        <w:tc>
          <w:tcPr>
            <w:tcW w:w="2126" w:type="dxa"/>
            <w:vAlign w:val="bottom"/>
            <w:hideMark/>
          </w:tcPr>
          <w:p w14:paraId="52AD25E7" w14:textId="3B08F8D7" w:rsidR="00963C0A" w:rsidRPr="001F224B" w:rsidRDefault="00963C0A" w:rsidP="00963C0A">
            <w:pPr>
              <w:rPr>
                <w:sz w:val="18"/>
                <w:szCs w:val="18"/>
              </w:rPr>
            </w:pPr>
            <w:r w:rsidRPr="001F224B">
              <w:rPr>
                <w:sz w:val="18"/>
                <w:szCs w:val="18"/>
              </w:rPr>
              <w:t>Hayır</w:t>
            </w:r>
          </w:p>
        </w:tc>
      </w:tr>
      <w:tr w:rsidR="00963C0A" w:rsidRPr="001F224B" w14:paraId="2D1F2063" w14:textId="77777777" w:rsidTr="00474915">
        <w:trPr>
          <w:trHeight w:val="170"/>
        </w:trPr>
        <w:tc>
          <w:tcPr>
            <w:tcW w:w="7769" w:type="dxa"/>
            <w:vAlign w:val="bottom"/>
            <w:hideMark/>
          </w:tcPr>
          <w:p w14:paraId="645FFD97" w14:textId="77777777" w:rsidR="00963C0A" w:rsidRPr="001F224B" w:rsidRDefault="00963C0A" w:rsidP="00963C0A">
            <w:pPr>
              <w:rPr>
                <w:sz w:val="18"/>
                <w:szCs w:val="18"/>
              </w:rPr>
            </w:pPr>
            <w:r w:rsidRPr="001F224B">
              <w:rPr>
                <w:sz w:val="18"/>
                <w:szCs w:val="18"/>
              </w:rPr>
              <w:t>Konsolide veya konsolide olmayan bazda veya hem konsolide hem konsolide olmayan bazda geçerlilik durumu</w:t>
            </w:r>
          </w:p>
        </w:tc>
        <w:tc>
          <w:tcPr>
            <w:tcW w:w="2126" w:type="dxa"/>
            <w:vAlign w:val="bottom"/>
            <w:hideMark/>
          </w:tcPr>
          <w:p w14:paraId="51906FD5" w14:textId="2B2AC6BE" w:rsidR="00963C0A" w:rsidRPr="001F224B" w:rsidRDefault="00963C0A" w:rsidP="00963C0A">
            <w:pPr>
              <w:rPr>
                <w:sz w:val="18"/>
                <w:szCs w:val="18"/>
              </w:rPr>
            </w:pPr>
            <w:r w:rsidRPr="001F224B">
              <w:rPr>
                <w:sz w:val="18"/>
                <w:szCs w:val="18"/>
              </w:rPr>
              <w:t>Konsolide ve konsolide olmayan bazda geçerlidir</w:t>
            </w:r>
          </w:p>
        </w:tc>
      </w:tr>
      <w:tr w:rsidR="00963C0A" w:rsidRPr="001F224B" w14:paraId="005A9ACD" w14:textId="77777777" w:rsidTr="00474915">
        <w:trPr>
          <w:trHeight w:val="170"/>
        </w:trPr>
        <w:tc>
          <w:tcPr>
            <w:tcW w:w="7769" w:type="dxa"/>
            <w:noWrap/>
            <w:vAlign w:val="bottom"/>
            <w:hideMark/>
          </w:tcPr>
          <w:p w14:paraId="1E2A3FEC" w14:textId="77777777" w:rsidR="00963C0A" w:rsidRPr="001F224B" w:rsidRDefault="00963C0A" w:rsidP="00963C0A">
            <w:pPr>
              <w:rPr>
                <w:sz w:val="18"/>
                <w:szCs w:val="18"/>
              </w:rPr>
            </w:pPr>
            <w:r w:rsidRPr="001F224B">
              <w:rPr>
                <w:sz w:val="18"/>
                <w:szCs w:val="18"/>
              </w:rPr>
              <w:t>Aracın türü</w:t>
            </w:r>
          </w:p>
        </w:tc>
        <w:tc>
          <w:tcPr>
            <w:tcW w:w="2126" w:type="dxa"/>
            <w:vAlign w:val="bottom"/>
            <w:hideMark/>
          </w:tcPr>
          <w:p w14:paraId="55E2FEED" w14:textId="4E9EAA44" w:rsidR="00963C0A" w:rsidRPr="001F224B" w:rsidRDefault="00963C0A" w:rsidP="00963C0A">
            <w:pPr>
              <w:rPr>
                <w:sz w:val="18"/>
                <w:szCs w:val="18"/>
              </w:rPr>
            </w:pPr>
            <w:r w:rsidRPr="001F224B">
              <w:rPr>
                <w:sz w:val="18"/>
                <w:szCs w:val="18"/>
              </w:rPr>
              <w:t>Kredi</w:t>
            </w:r>
          </w:p>
        </w:tc>
      </w:tr>
      <w:tr w:rsidR="00963C0A" w:rsidRPr="001F224B" w14:paraId="7477C4EF" w14:textId="77777777" w:rsidTr="00474915">
        <w:trPr>
          <w:trHeight w:val="170"/>
        </w:trPr>
        <w:tc>
          <w:tcPr>
            <w:tcW w:w="7769" w:type="dxa"/>
            <w:vAlign w:val="bottom"/>
            <w:hideMark/>
          </w:tcPr>
          <w:p w14:paraId="2EF14FA3" w14:textId="77777777" w:rsidR="00963C0A" w:rsidRPr="001F224B" w:rsidRDefault="00963C0A" w:rsidP="00963C0A">
            <w:pPr>
              <w:rPr>
                <w:sz w:val="18"/>
                <w:szCs w:val="18"/>
              </w:rPr>
            </w:pPr>
            <w:r w:rsidRPr="001F224B">
              <w:rPr>
                <w:sz w:val="18"/>
                <w:szCs w:val="18"/>
              </w:rPr>
              <w:t>Özkaynak hesaplamasında dikkate alınan tutar (En son raporlama tarihi itibarıyla - Milyon TL)</w:t>
            </w:r>
          </w:p>
        </w:tc>
        <w:tc>
          <w:tcPr>
            <w:tcW w:w="2126" w:type="dxa"/>
            <w:vAlign w:val="bottom"/>
            <w:hideMark/>
          </w:tcPr>
          <w:p w14:paraId="7A88FDA6" w14:textId="1392F0D7" w:rsidR="00963C0A" w:rsidRPr="001F224B" w:rsidRDefault="00963C0A" w:rsidP="00963C0A">
            <w:pPr>
              <w:rPr>
                <w:sz w:val="18"/>
                <w:szCs w:val="18"/>
              </w:rPr>
            </w:pPr>
            <w:r w:rsidRPr="001F224B">
              <w:rPr>
                <w:sz w:val="18"/>
                <w:szCs w:val="18"/>
              </w:rPr>
              <w:t>1.500 (3 dilim halinde)</w:t>
            </w:r>
          </w:p>
        </w:tc>
      </w:tr>
      <w:tr w:rsidR="00963C0A" w:rsidRPr="001F224B" w14:paraId="7378526B" w14:textId="77777777" w:rsidTr="00474915">
        <w:trPr>
          <w:trHeight w:val="170"/>
        </w:trPr>
        <w:tc>
          <w:tcPr>
            <w:tcW w:w="7769" w:type="dxa"/>
            <w:noWrap/>
            <w:hideMark/>
          </w:tcPr>
          <w:p w14:paraId="31CAF9F0" w14:textId="77777777" w:rsidR="00963C0A" w:rsidRPr="001F224B" w:rsidRDefault="00963C0A" w:rsidP="00963C0A">
            <w:pPr>
              <w:rPr>
                <w:sz w:val="18"/>
                <w:szCs w:val="18"/>
              </w:rPr>
            </w:pPr>
            <w:r w:rsidRPr="001F224B">
              <w:rPr>
                <w:sz w:val="18"/>
                <w:szCs w:val="18"/>
              </w:rPr>
              <w:t>Aracın nominal değeri (Milyon TL)</w:t>
            </w:r>
          </w:p>
        </w:tc>
        <w:tc>
          <w:tcPr>
            <w:tcW w:w="2126" w:type="dxa"/>
            <w:vAlign w:val="bottom"/>
            <w:hideMark/>
          </w:tcPr>
          <w:p w14:paraId="52E3426E" w14:textId="124ECD7D" w:rsidR="00963C0A" w:rsidRPr="001F224B" w:rsidRDefault="00963C0A" w:rsidP="00963C0A">
            <w:pPr>
              <w:rPr>
                <w:sz w:val="18"/>
                <w:szCs w:val="18"/>
              </w:rPr>
            </w:pPr>
            <w:r w:rsidRPr="001F224B">
              <w:rPr>
                <w:sz w:val="18"/>
                <w:szCs w:val="18"/>
              </w:rPr>
              <w:t>1.500 (3 dilim halinde)</w:t>
            </w:r>
          </w:p>
        </w:tc>
      </w:tr>
      <w:tr w:rsidR="00963C0A" w:rsidRPr="001F224B" w14:paraId="6B47C992" w14:textId="77777777" w:rsidTr="00474915">
        <w:trPr>
          <w:trHeight w:val="170"/>
        </w:trPr>
        <w:tc>
          <w:tcPr>
            <w:tcW w:w="7769" w:type="dxa"/>
            <w:noWrap/>
            <w:hideMark/>
          </w:tcPr>
          <w:p w14:paraId="69FED89E" w14:textId="77777777" w:rsidR="00963C0A" w:rsidRPr="001F224B" w:rsidRDefault="00963C0A" w:rsidP="00963C0A">
            <w:pPr>
              <w:rPr>
                <w:sz w:val="18"/>
                <w:szCs w:val="18"/>
              </w:rPr>
            </w:pPr>
            <w:r w:rsidRPr="001F224B">
              <w:rPr>
                <w:sz w:val="18"/>
                <w:szCs w:val="18"/>
              </w:rPr>
              <w:t>Aracın muhasebesel olarak takip edildiği hesap</w:t>
            </w:r>
          </w:p>
        </w:tc>
        <w:tc>
          <w:tcPr>
            <w:tcW w:w="2126" w:type="dxa"/>
            <w:vAlign w:val="bottom"/>
            <w:hideMark/>
          </w:tcPr>
          <w:p w14:paraId="70C90814" w14:textId="220E6B27" w:rsidR="00963C0A" w:rsidRPr="001F224B" w:rsidRDefault="00963C0A" w:rsidP="00963C0A">
            <w:pPr>
              <w:rPr>
                <w:sz w:val="18"/>
                <w:szCs w:val="18"/>
              </w:rPr>
            </w:pPr>
            <w:r w:rsidRPr="001F224B">
              <w:rPr>
                <w:sz w:val="18"/>
                <w:szCs w:val="18"/>
              </w:rPr>
              <w:t>Pasif</w:t>
            </w:r>
            <w:r w:rsidRPr="001F224B">
              <w:rPr>
                <w:sz w:val="18"/>
                <w:szCs w:val="18"/>
              </w:rPr>
              <w:br/>
              <w:t>Sermaye Benzeri Krediler</w:t>
            </w:r>
          </w:p>
        </w:tc>
      </w:tr>
      <w:tr w:rsidR="00963C0A" w:rsidRPr="001F224B" w14:paraId="5F645FE9" w14:textId="77777777" w:rsidTr="00474915">
        <w:trPr>
          <w:trHeight w:val="170"/>
        </w:trPr>
        <w:tc>
          <w:tcPr>
            <w:tcW w:w="7769" w:type="dxa"/>
            <w:noWrap/>
            <w:hideMark/>
          </w:tcPr>
          <w:p w14:paraId="3C0CCBDE" w14:textId="77777777" w:rsidR="00963C0A" w:rsidRPr="001F224B" w:rsidRDefault="00963C0A" w:rsidP="00963C0A">
            <w:pPr>
              <w:rPr>
                <w:sz w:val="18"/>
                <w:szCs w:val="18"/>
              </w:rPr>
            </w:pPr>
            <w:r w:rsidRPr="001F224B">
              <w:rPr>
                <w:sz w:val="18"/>
                <w:szCs w:val="18"/>
              </w:rPr>
              <w:t>Aracın ihraç tarihi</w:t>
            </w:r>
          </w:p>
        </w:tc>
        <w:tc>
          <w:tcPr>
            <w:tcW w:w="2126" w:type="dxa"/>
            <w:vAlign w:val="bottom"/>
            <w:hideMark/>
          </w:tcPr>
          <w:p w14:paraId="51F5D7CB" w14:textId="6D025D80" w:rsidR="00963C0A" w:rsidRPr="001F224B" w:rsidRDefault="00963C0A" w:rsidP="00963C0A">
            <w:pPr>
              <w:rPr>
                <w:sz w:val="18"/>
                <w:szCs w:val="18"/>
              </w:rPr>
            </w:pPr>
            <w:r w:rsidRPr="001F224B">
              <w:rPr>
                <w:sz w:val="18"/>
                <w:szCs w:val="18"/>
              </w:rPr>
              <w:t>09.03.2022</w:t>
            </w:r>
          </w:p>
        </w:tc>
      </w:tr>
      <w:tr w:rsidR="00963C0A" w:rsidRPr="001F224B" w14:paraId="248B7CB5" w14:textId="77777777" w:rsidTr="00474915">
        <w:trPr>
          <w:trHeight w:val="170"/>
        </w:trPr>
        <w:tc>
          <w:tcPr>
            <w:tcW w:w="7769" w:type="dxa"/>
            <w:noWrap/>
            <w:hideMark/>
          </w:tcPr>
          <w:p w14:paraId="28C04D54" w14:textId="77777777" w:rsidR="00963C0A" w:rsidRPr="001F224B" w:rsidRDefault="00963C0A" w:rsidP="00963C0A">
            <w:pPr>
              <w:rPr>
                <w:sz w:val="18"/>
                <w:szCs w:val="18"/>
              </w:rPr>
            </w:pPr>
            <w:r w:rsidRPr="001F224B">
              <w:rPr>
                <w:sz w:val="18"/>
                <w:szCs w:val="18"/>
              </w:rPr>
              <w:t>Aracın vade yapısı (Vadesiz/Vadeli)</w:t>
            </w:r>
          </w:p>
        </w:tc>
        <w:tc>
          <w:tcPr>
            <w:tcW w:w="2126" w:type="dxa"/>
            <w:vAlign w:val="bottom"/>
            <w:hideMark/>
          </w:tcPr>
          <w:p w14:paraId="746367A1" w14:textId="7558C453" w:rsidR="00963C0A" w:rsidRPr="001F224B" w:rsidRDefault="00963C0A" w:rsidP="00963C0A">
            <w:pPr>
              <w:rPr>
                <w:sz w:val="18"/>
                <w:szCs w:val="18"/>
              </w:rPr>
            </w:pPr>
            <w:r w:rsidRPr="001F224B">
              <w:rPr>
                <w:sz w:val="18"/>
                <w:szCs w:val="18"/>
              </w:rPr>
              <w:t>Vadesiz</w:t>
            </w:r>
          </w:p>
        </w:tc>
      </w:tr>
      <w:tr w:rsidR="00963C0A" w:rsidRPr="001F224B" w14:paraId="5B93FF65" w14:textId="77777777" w:rsidTr="00474915">
        <w:trPr>
          <w:trHeight w:val="170"/>
        </w:trPr>
        <w:tc>
          <w:tcPr>
            <w:tcW w:w="7769" w:type="dxa"/>
            <w:noWrap/>
            <w:hideMark/>
          </w:tcPr>
          <w:p w14:paraId="163BF0EA" w14:textId="77777777" w:rsidR="00963C0A" w:rsidRPr="001F224B" w:rsidRDefault="00963C0A" w:rsidP="00963C0A">
            <w:pPr>
              <w:rPr>
                <w:sz w:val="18"/>
                <w:szCs w:val="18"/>
              </w:rPr>
            </w:pPr>
            <w:r w:rsidRPr="001F224B">
              <w:rPr>
                <w:sz w:val="18"/>
                <w:szCs w:val="18"/>
              </w:rPr>
              <w:t>Aracın başlangıç vadesi</w:t>
            </w:r>
          </w:p>
        </w:tc>
        <w:tc>
          <w:tcPr>
            <w:tcW w:w="2126" w:type="dxa"/>
            <w:vAlign w:val="bottom"/>
            <w:hideMark/>
          </w:tcPr>
          <w:p w14:paraId="14960D96" w14:textId="1F727ED9" w:rsidR="00963C0A" w:rsidRPr="001F224B" w:rsidRDefault="00963C0A" w:rsidP="00963C0A">
            <w:pPr>
              <w:rPr>
                <w:sz w:val="18"/>
                <w:szCs w:val="18"/>
              </w:rPr>
            </w:pPr>
            <w:r w:rsidRPr="001F224B">
              <w:rPr>
                <w:sz w:val="18"/>
                <w:szCs w:val="18"/>
              </w:rPr>
              <w:t>-</w:t>
            </w:r>
          </w:p>
        </w:tc>
      </w:tr>
      <w:tr w:rsidR="00963C0A" w:rsidRPr="001F224B" w14:paraId="5E18A08B" w14:textId="77777777" w:rsidTr="00474915">
        <w:trPr>
          <w:trHeight w:val="170"/>
        </w:trPr>
        <w:tc>
          <w:tcPr>
            <w:tcW w:w="7769" w:type="dxa"/>
            <w:noWrap/>
            <w:hideMark/>
          </w:tcPr>
          <w:p w14:paraId="57B99F9B" w14:textId="77777777" w:rsidR="00963C0A" w:rsidRPr="001F224B" w:rsidRDefault="00963C0A" w:rsidP="00963C0A">
            <w:pPr>
              <w:rPr>
                <w:sz w:val="18"/>
                <w:szCs w:val="18"/>
              </w:rPr>
            </w:pPr>
            <w:r w:rsidRPr="001F224B">
              <w:rPr>
                <w:sz w:val="18"/>
                <w:szCs w:val="18"/>
              </w:rPr>
              <w:t>İhraççının BDDK onayına bağlı geri ödeme hakkının olup olmadığı</w:t>
            </w:r>
          </w:p>
        </w:tc>
        <w:tc>
          <w:tcPr>
            <w:tcW w:w="2126" w:type="dxa"/>
            <w:vAlign w:val="bottom"/>
            <w:hideMark/>
          </w:tcPr>
          <w:p w14:paraId="072CD5F4" w14:textId="6CCEF6B4" w:rsidR="00963C0A" w:rsidRPr="001F224B" w:rsidRDefault="00963C0A" w:rsidP="00963C0A">
            <w:pPr>
              <w:rPr>
                <w:sz w:val="18"/>
                <w:szCs w:val="18"/>
              </w:rPr>
            </w:pPr>
            <w:r w:rsidRPr="001F224B">
              <w:rPr>
                <w:sz w:val="18"/>
                <w:szCs w:val="18"/>
              </w:rPr>
              <w:t>Evet</w:t>
            </w:r>
          </w:p>
        </w:tc>
      </w:tr>
      <w:tr w:rsidR="00963C0A" w:rsidRPr="001F224B" w14:paraId="2432C8D2" w14:textId="77777777" w:rsidTr="00474915">
        <w:trPr>
          <w:trHeight w:val="170"/>
        </w:trPr>
        <w:tc>
          <w:tcPr>
            <w:tcW w:w="7769" w:type="dxa"/>
            <w:noWrap/>
            <w:hideMark/>
          </w:tcPr>
          <w:p w14:paraId="71D3E975" w14:textId="77777777" w:rsidR="00963C0A" w:rsidRPr="001F224B" w:rsidRDefault="00963C0A" w:rsidP="00963C0A">
            <w:pPr>
              <w:rPr>
                <w:sz w:val="18"/>
                <w:szCs w:val="18"/>
              </w:rPr>
            </w:pPr>
            <w:r w:rsidRPr="001F224B">
              <w:rPr>
                <w:sz w:val="18"/>
                <w:szCs w:val="18"/>
              </w:rPr>
              <w:t>Geri ödeme opsiyonu tarihi, şarta bağlı geri ödeme opsiyonları ve geri ödenecek tutar</w:t>
            </w:r>
          </w:p>
        </w:tc>
        <w:tc>
          <w:tcPr>
            <w:tcW w:w="2126" w:type="dxa"/>
            <w:vAlign w:val="bottom"/>
            <w:hideMark/>
          </w:tcPr>
          <w:p w14:paraId="69B01C19" w14:textId="27E24040" w:rsidR="00963C0A" w:rsidRPr="001F224B" w:rsidRDefault="00963C0A" w:rsidP="00963C0A">
            <w:pPr>
              <w:rPr>
                <w:sz w:val="18"/>
                <w:szCs w:val="18"/>
              </w:rPr>
            </w:pPr>
            <w:r w:rsidRPr="001F224B">
              <w:rPr>
                <w:sz w:val="18"/>
                <w:szCs w:val="18"/>
              </w:rPr>
              <w:t>Dilimler itibarıyla en erken 11-12-13 yıl sonra</w:t>
            </w:r>
          </w:p>
        </w:tc>
      </w:tr>
      <w:tr w:rsidR="00963C0A" w:rsidRPr="001F224B" w14:paraId="3F07BEC1" w14:textId="77777777" w:rsidTr="00474915">
        <w:trPr>
          <w:trHeight w:val="170"/>
        </w:trPr>
        <w:tc>
          <w:tcPr>
            <w:tcW w:w="7769" w:type="dxa"/>
            <w:noWrap/>
            <w:hideMark/>
          </w:tcPr>
          <w:p w14:paraId="4B4EDCAE" w14:textId="77777777" w:rsidR="00963C0A" w:rsidRPr="001F224B" w:rsidRDefault="00963C0A" w:rsidP="00963C0A">
            <w:pPr>
              <w:rPr>
                <w:sz w:val="18"/>
                <w:szCs w:val="18"/>
              </w:rPr>
            </w:pPr>
            <w:r w:rsidRPr="001F224B">
              <w:rPr>
                <w:sz w:val="18"/>
                <w:szCs w:val="18"/>
              </w:rPr>
              <w:t>Müteakip geri ödeme opsiyonu tarihleri</w:t>
            </w:r>
          </w:p>
        </w:tc>
        <w:tc>
          <w:tcPr>
            <w:tcW w:w="2126" w:type="dxa"/>
            <w:vAlign w:val="bottom"/>
            <w:hideMark/>
          </w:tcPr>
          <w:p w14:paraId="2B74E87D" w14:textId="5FED3C05" w:rsidR="00963C0A" w:rsidRPr="001F224B" w:rsidRDefault="00963C0A" w:rsidP="00963C0A">
            <w:pPr>
              <w:rPr>
                <w:sz w:val="18"/>
                <w:szCs w:val="18"/>
              </w:rPr>
            </w:pPr>
            <w:r w:rsidRPr="001F224B">
              <w:rPr>
                <w:sz w:val="18"/>
                <w:szCs w:val="18"/>
              </w:rPr>
              <w:t>-</w:t>
            </w:r>
          </w:p>
        </w:tc>
      </w:tr>
      <w:tr w:rsidR="00963C0A" w:rsidRPr="001F224B" w14:paraId="539B0B53" w14:textId="77777777" w:rsidTr="00474915">
        <w:trPr>
          <w:trHeight w:val="170"/>
        </w:trPr>
        <w:tc>
          <w:tcPr>
            <w:tcW w:w="7769" w:type="dxa"/>
            <w:noWrap/>
            <w:hideMark/>
          </w:tcPr>
          <w:p w14:paraId="272DC68F" w14:textId="77777777" w:rsidR="00963C0A" w:rsidRPr="001F224B" w:rsidRDefault="00963C0A" w:rsidP="00963C0A">
            <w:pPr>
              <w:rPr>
                <w:b/>
                <w:bCs/>
                <w:sz w:val="18"/>
                <w:szCs w:val="18"/>
              </w:rPr>
            </w:pPr>
            <w:r w:rsidRPr="001F224B">
              <w:rPr>
                <w:b/>
                <w:bCs/>
                <w:sz w:val="18"/>
                <w:szCs w:val="18"/>
              </w:rPr>
              <w:t>Faiz/temettü ödemeleri</w:t>
            </w:r>
          </w:p>
        </w:tc>
        <w:tc>
          <w:tcPr>
            <w:tcW w:w="2126" w:type="dxa"/>
            <w:vAlign w:val="bottom"/>
            <w:hideMark/>
          </w:tcPr>
          <w:p w14:paraId="22272AA0" w14:textId="2F0C07D1" w:rsidR="00963C0A" w:rsidRPr="001F224B" w:rsidRDefault="00963C0A" w:rsidP="00963C0A">
            <w:pPr>
              <w:rPr>
                <w:sz w:val="18"/>
                <w:szCs w:val="18"/>
              </w:rPr>
            </w:pPr>
            <w:r w:rsidRPr="001F224B">
              <w:rPr>
                <w:sz w:val="18"/>
                <w:szCs w:val="18"/>
              </w:rPr>
              <w:t> </w:t>
            </w:r>
          </w:p>
        </w:tc>
      </w:tr>
      <w:tr w:rsidR="00963C0A" w:rsidRPr="001F224B" w14:paraId="7B9E24B4" w14:textId="77777777" w:rsidTr="00474915">
        <w:trPr>
          <w:trHeight w:val="170"/>
        </w:trPr>
        <w:tc>
          <w:tcPr>
            <w:tcW w:w="7769" w:type="dxa"/>
            <w:noWrap/>
            <w:hideMark/>
          </w:tcPr>
          <w:p w14:paraId="7E0E48C3" w14:textId="77777777" w:rsidR="00963C0A" w:rsidRPr="001F224B" w:rsidRDefault="00963C0A" w:rsidP="00963C0A">
            <w:pPr>
              <w:rPr>
                <w:sz w:val="18"/>
                <w:szCs w:val="18"/>
              </w:rPr>
            </w:pPr>
            <w:r w:rsidRPr="001F224B">
              <w:rPr>
                <w:sz w:val="18"/>
                <w:szCs w:val="18"/>
              </w:rPr>
              <w:t>Sabit ya da değişken faiz/ temettü ödemeleri</w:t>
            </w:r>
          </w:p>
        </w:tc>
        <w:tc>
          <w:tcPr>
            <w:tcW w:w="2126" w:type="dxa"/>
            <w:vAlign w:val="bottom"/>
            <w:hideMark/>
          </w:tcPr>
          <w:p w14:paraId="050A6A56" w14:textId="0FF59441" w:rsidR="00963C0A" w:rsidRPr="001F224B" w:rsidRDefault="00963C0A" w:rsidP="00963C0A">
            <w:pPr>
              <w:rPr>
                <w:sz w:val="18"/>
                <w:szCs w:val="18"/>
              </w:rPr>
            </w:pPr>
            <w:r w:rsidRPr="001F224B">
              <w:rPr>
                <w:sz w:val="18"/>
                <w:szCs w:val="18"/>
              </w:rPr>
              <w:t>Değişken faizli</w:t>
            </w:r>
          </w:p>
        </w:tc>
      </w:tr>
      <w:tr w:rsidR="00963C0A" w:rsidRPr="001F224B" w14:paraId="52F35774" w14:textId="77777777" w:rsidTr="00474915">
        <w:trPr>
          <w:trHeight w:val="170"/>
        </w:trPr>
        <w:tc>
          <w:tcPr>
            <w:tcW w:w="7769" w:type="dxa"/>
            <w:noWrap/>
            <w:hideMark/>
          </w:tcPr>
          <w:p w14:paraId="7CF307D2" w14:textId="77777777" w:rsidR="00963C0A" w:rsidRPr="001F224B" w:rsidRDefault="00963C0A" w:rsidP="00963C0A">
            <w:pPr>
              <w:rPr>
                <w:sz w:val="18"/>
                <w:szCs w:val="18"/>
              </w:rPr>
            </w:pPr>
            <w:r w:rsidRPr="001F224B">
              <w:rPr>
                <w:sz w:val="18"/>
                <w:szCs w:val="18"/>
              </w:rPr>
              <w:t>Faiz oranı ve faiz oranına ilişkin endeks değeri</w:t>
            </w:r>
          </w:p>
        </w:tc>
        <w:tc>
          <w:tcPr>
            <w:tcW w:w="2126" w:type="dxa"/>
            <w:vAlign w:val="bottom"/>
            <w:hideMark/>
          </w:tcPr>
          <w:p w14:paraId="127FFC00" w14:textId="094642B4" w:rsidR="00963C0A" w:rsidRPr="001F224B" w:rsidRDefault="00963C0A" w:rsidP="00963C0A">
            <w:pPr>
              <w:rPr>
                <w:sz w:val="18"/>
                <w:szCs w:val="18"/>
              </w:rPr>
            </w:pPr>
            <w:r w:rsidRPr="001F224B">
              <w:rPr>
                <w:sz w:val="18"/>
                <w:szCs w:val="18"/>
              </w:rPr>
              <w:t>%0 reel faiz oranlı ve TÜFE’ye endekslidir</w:t>
            </w:r>
          </w:p>
        </w:tc>
      </w:tr>
      <w:tr w:rsidR="00963C0A" w:rsidRPr="001F224B" w14:paraId="277709DF" w14:textId="77777777" w:rsidTr="00474915">
        <w:trPr>
          <w:trHeight w:val="170"/>
        </w:trPr>
        <w:tc>
          <w:tcPr>
            <w:tcW w:w="7769" w:type="dxa"/>
            <w:noWrap/>
            <w:hideMark/>
          </w:tcPr>
          <w:p w14:paraId="5C6ED39B" w14:textId="77777777" w:rsidR="00963C0A" w:rsidRPr="001F224B" w:rsidRDefault="00963C0A" w:rsidP="00963C0A">
            <w:pPr>
              <w:rPr>
                <w:sz w:val="18"/>
                <w:szCs w:val="18"/>
              </w:rPr>
            </w:pPr>
            <w:r w:rsidRPr="001F224B">
              <w:rPr>
                <w:sz w:val="18"/>
                <w:szCs w:val="18"/>
              </w:rPr>
              <w:t>Temettü ödemesini durduran herhangi bir kısıtlamanın var olup olmadığı</w:t>
            </w:r>
          </w:p>
        </w:tc>
        <w:tc>
          <w:tcPr>
            <w:tcW w:w="2126" w:type="dxa"/>
            <w:vAlign w:val="bottom"/>
            <w:hideMark/>
          </w:tcPr>
          <w:p w14:paraId="22B8D2AD" w14:textId="4153E0B3" w:rsidR="00963C0A" w:rsidRPr="001F224B" w:rsidRDefault="00963C0A" w:rsidP="00963C0A">
            <w:pPr>
              <w:rPr>
                <w:sz w:val="18"/>
                <w:szCs w:val="18"/>
              </w:rPr>
            </w:pPr>
            <w:r w:rsidRPr="001F224B">
              <w:rPr>
                <w:sz w:val="18"/>
                <w:szCs w:val="18"/>
              </w:rPr>
              <w:t>-</w:t>
            </w:r>
          </w:p>
        </w:tc>
      </w:tr>
      <w:tr w:rsidR="00963C0A" w:rsidRPr="001F224B" w14:paraId="75798C95" w14:textId="77777777" w:rsidTr="00474915">
        <w:trPr>
          <w:trHeight w:val="170"/>
        </w:trPr>
        <w:tc>
          <w:tcPr>
            <w:tcW w:w="7769" w:type="dxa"/>
            <w:noWrap/>
            <w:hideMark/>
          </w:tcPr>
          <w:p w14:paraId="1CC26D61" w14:textId="77777777" w:rsidR="00963C0A" w:rsidRPr="001F224B" w:rsidRDefault="00963C0A" w:rsidP="00963C0A">
            <w:pPr>
              <w:rPr>
                <w:sz w:val="18"/>
                <w:szCs w:val="18"/>
              </w:rPr>
            </w:pPr>
            <w:r w:rsidRPr="001F224B">
              <w:rPr>
                <w:sz w:val="18"/>
                <w:szCs w:val="18"/>
              </w:rPr>
              <w:t>Tamamen isteğe bağlı, kısmen isteğe bağlı ya da mecburi olma özelliği</w:t>
            </w:r>
          </w:p>
        </w:tc>
        <w:tc>
          <w:tcPr>
            <w:tcW w:w="2126" w:type="dxa"/>
            <w:vAlign w:val="bottom"/>
            <w:hideMark/>
          </w:tcPr>
          <w:p w14:paraId="69EAF302" w14:textId="333DB39D" w:rsidR="00963C0A" w:rsidRPr="001F224B" w:rsidRDefault="00963C0A" w:rsidP="00963C0A">
            <w:pPr>
              <w:rPr>
                <w:sz w:val="18"/>
                <w:szCs w:val="18"/>
              </w:rPr>
            </w:pPr>
            <w:r w:rsidRPr="001F224B">
              <w:rPr>
                <w:sz w:val="18"/>
                <w:szCs w:val="18"/>
              </w:rPr>
              <w:t>-</w:t>
            </w:r>
          </w:p>
        </w:tc>
      </w:tr>
      <w:tr w:rsidR="00963C0A" w:rsidRPr="001F224B" w14:paraId="6F125B60" w14:textId="77777777" w:rsidTr="00474915">
        <w:trPr>
          <w:trHeight w:val="170"/>
        </w:trPr>
        <w:tc>
          <w:tcPr>
            <w:tcW w:w="7769" w:type="dxa"/>
            <w:noWrap/>
            <w:hideMark/>
          </w:tcPr>
          <w:p w14:paraId="53132FCE" w14:textId="77777777" w:rsidR="00963C0A" w:rsidRPr="001F224B" w:rsidRDefault="00963C0A" w:rsidP="00963C0A">
            <w:pPr>
              <w:rPr>
                <w:sz w:val="18"/>
                <w:szCs w:val="18"/>
              </w:rPr>
            </w:pPr>
            <w:r w:rsidRPr="001F224B">
              <w:rPr>
                <w:sz w:val="18"/>
                <w:szCs w:val="18"/>
              </w:rPr>
              <w:t>Faiz artırımı gibi geri ödemeyi teşvik edecek bir unsurun olup olmadığı</w:t>
            </w:r>
          </w:p>
        </w:tc>
        <w:tc>
          <w:tcPr>
            <w:tcW w:w="2126" w:type="dxa"/>
            <w:vAlign w:val="bottom"/>
            <w:hideMark/>
          </w:tcPr>
          <w:p w14:paraId="221DDF75" w14:textId="3399C9E9" w:rsidR="00963C0A" w:rsidRPr="001F224B" w:rsidRDefault="00963C0A" w:rsidP="00963C0A">
            <w:pPr>
              <w:rPr>
                <w:sz w:val="18"/>
                <w:szCs w:val="18"/>
              </w:rPr>
            </w:pPr>
            <w:r w:rsidRPr="001F224B">
              <w:rPr>
                <w:sz w:val="18"/>
                <w:szCs w:val="18"/>
              </w:rPr>
              <w:t>-</w:t>
            </w:r>
          </w:p>
        </w:tc>
      </w:tr>
      <w:tr w:rsidR="00963C0A" w:rsidRPr="001F224B" w14:paraId="519B2B39" w14:textId="77777777" w:rsidTr="00474915">
        <w:trPr>
          <w:trHeight w:val="170"/>
        </w:trPr>
        <w:tc>
          <w:tcPr>
            <w:tcW w:w="7769" w:type="dxa"/>
            <w:noWrap/>
            <w:hideMark/>
          </w:tcPr>
          <w:p w14:paraId="2E4863D8" w14:textId="77777777" w:rsidR="00963C0A" w:rsidRPr="001F224B" w:rsidRDefault="00963C0A" w:rsidP="00963C0A">
            <w:pPr>
              <w:rPr>
                <w:sz w:val="18"/>
                <w:szCs w:val="18"/>
              </w:rPr>
            </w:pPr>
            <w:r w:rsidRPr="001F224B">
              <w:rPr>
                <w:sz w:val="18"/>
                <w:szCs w:val="18"/>
              </w:rPr>
              <w:t>Birikimsiz ya da birikimli olma özelliği</w:t>
            </w:r>
          </w:p>
        </w:tc>
        <w:tc>
          <w:tcPr>
            <w:tcW w:w="2126" w:type="dxa"/>
            <w:vAlign w:val="bottom"/>
            <w:hideMark/>
          </w:tcPr>
          <w:p w14:paraId="2A2B1396" w14:textId="14204977" w:rsidR="00963C0A" w:rsidRPr="001F224B" w:rsidRDefault="00963C0A" w:rsidP="00963C0A">
            <w:pPr>
              <w:rPr>
                <w:sz w:val="18"/>
                <w:szCs w:val="18"/>
              </w:rPr>
            </w:pPr>
            <w:r w:rsidRPr="001F224B">
              <w:rPr>
                <w:sz w:val="18"/>
                <w:szCs w:val="18"/>
              </w:rPr>
              <w:t>-</w:t>
            </w:r>
          </w:p>
        </w:tc>
      </w:tr>
      <w:tr w:rsidR="00963C0A" w:rsidRPr="001F224B" w14:paraId="528770AA" w14:textId="77777777" w:rsidTr="00474915">
        <w:trPr>
          <w:trHeight w:val="170"/>
        </w:trPr>
        <w:tc>
          <w:tcPr>
            <w:tcW w:w="7769" w:type="dxa"/>
            <w:noWrap/>
            <w:hideMark/>
          </w:tcPr>
          <w:p w14:paraId="48D5F95B" w14:textId="77777777" w:rsidR="00963C0A" w:rsidRPr="001F224B" w:rsidRDefault="00963C0A" w:rsidP="00963C0A">
            <w:pPr>
              <w:rPr>
                <w:b/>
                <w:bCs/>
                <w:sz w:val="18"/>
                <w:szCs w:val="18"/>
              </w:rPr>
            </w:pPr>
            <w:r w:rsidRPr="001F224B">
              <w:rPr>
                <w:b/>
                <w:bCs/>
                <w:sz w:val="18"/>
                <w:szCs w:val="18"/>
              </w:rPr>
              <w:t>Hisse senedine dönüştürülebilme özelliği</w:t>
            </w:r>
          </w:p>
        </w:tc>
        <w:tc>
          <w:tcPr>
            <w:tcW w:w="2126" w:type="dxa"/>
            <w:vAlign w:val="bottom"/>
            <w:hideMark/>
          </w:tcPr>
          <w:p w14:paraId="53CBF51E" w14:textId="1BACFC63" w:rsidR="00963C0A" w:rsidRPr="001F224B" w:rsidRDefault="00963C0A" w:rsidP="00963C0A">
            <w:pPr>
              <w:rPr>
                <w:sz w:val="18"/>
                <w:szCs w:val="18"/>
              </w:rPr>
            </w:pPr>
            <w:r w:rsidRPr="001F224B">
              <w:rPr>
                <w:sz w:val="18"/>
                <w:szCs w:val="18"/>
              </w:rPr>
              <w:t> </w:t>
            </w:r>
          </w:p>
        </w:tc>
      </w:tr>
      <w:tr w:rsidR="00963C0A" w:rsidRPr="001F224B" w14:paraId="74EC8256" w14:textId="77777777" w:rsidTr="00474915">
        <w:trPr>
          <w:trHeight w:val="170"/>
        </w:trPr>
        <w:tc>
          <w:tcPr>
            <w:tcW w:w="7769" w:type="dxa"/>
            <w:noWrap/>
            <w:hideMark/>
          </w:tcPr>
          <w:p w14:paraId="30FA11C2" w14:textId="77777777" w:rsidR="00963C0A" w:rsidRPr="001F224B" w:rsidRDefault="00963C0A" w:rsidP="00963C0A">
            <w:pPr>
              <w:rPr>
                <w:sz w:val="18"/>
                <w:szCs w:val="18"/>
              </w:rPr>
            </w:pPr>
            <w:r w:rsidRPr="001F224B">
              <w:rPr>
                <w:sz w:val="18"/>
                <w:szCs w:val="18"/>
              </w:rPr>
              <w:t>Hisse senedine dönüştürülebilirse, dönüştürmeye sebep olacak tetikleyici olay/olaylar</w:t>
            </w:r>
          </w:p>
        </w:tc>
        <w:tc>
          <w:tcPr>
            <w:tcW w:w="2126" w:type="dxa"/>
            <w:vAlign w:val="bottom"/>
            <w:hideMark/>
          </w:tcPr>
          <w:p w14:paraId="04881DD1" w14:textId="039C7053" w:rsidR="00963C0A" w:rsidRPr="001F224B" w:rsidRDefault="00963C0A" w:rsidP="00963C0A">
            <w:pPr>
              <w:rPr>
                <w:sz w:val="18"/>
                <w:szCs w:val="18"/>
              </w:rPr>
            </w:pPr>
            <w:r w:rsidRPr="001F224B">
              <w:rPr>
                <w:sz w:val="18"/>
                <w:szCs w:val="18"/>
              </w:rPr>
              <w:t>-</w:t>
            </w:r>
          </w:p>
        </w:tc>
      </w:tr>
      <w:tr w:rsidR="00963C0A" w:rsidRPr="001F224B" w14:paraId="0DF5EAD7" w14:textId="77777777" w:rsidTr="00474915">
        <w:trPr>
          <w:trHeight w:val="170"/>
        </w:trPr>
        <w:tc>
          <w:tcPr>
            <w:tcW w:w="7769" w:type="dxa"/>
            <w:noWrap/>
            <w:hideMark/>
          </w:tcPr>
          <w:p w14:paraId="30510BEA" w14:textId="77777777" w:rsidR="00963C0A" w:rsidRPr="001F224B" w:rsidRDefault="00963C0A" w:rsidP="00963C0A">
            <w:pPr>
              <w:rPr>
                <w:sz w:val="18"/>
                <w:szCs w:val="18"/>
              </w:rPr>
            </w:pPr>
            <w:r w:rsidRPr="001F224B">
              <w:rPr>
                <w:sz w:val="18"/>
                <w:szCs w:val="18"/>
              </w:rPr>
              <w:t>Hisse senedine dönüştürülebilirse, tamamen ya da kısmen dönüştürme özelliği</w:t>
            </w:r>
          </w:p>
        </w:tc>
        <w:tc>
          <w:tcPr>
            <w:tcW w:w="2126" w:type="dxa"/>
            <w:vAlign w:val="bottom"/>
            <w:hideMark/>
          </w:tcPr>
          <w:p w14:paraId="3042CE6D" w14:textId="12B79C44" w:rsidR="00963C0A" w:rsidRPr="001F224B" w:rsidRDefault="00963C0A" w:rsidP="00963C0A">
            <w:pPr>
              <w:rPr>
                <w:sz w:val="18"/>
                <w:szCs w:val="18"/>
              </w:rPr>
            </w:pPr>
            <w:r w:rsidRPr="001F224B">
              <w:rPr>
                <w:sz w:val="18"/>
                <w:szCs w:val="18"/>
              </w:rPr>
              <w:t>-</w:t>
            </w:r>
          </w:p>
        </w:tc>
      </w:tr>
      <w:tr w:rsidR="00963C0A" w:rsidRPr="001F224B" w14:paraId="78B79ECD" w14:textId="77777777" w:rsidTr="00474915">
        <w:trPr>
          <w:trHeight w:val="170"/>
        </w:trPr>
        <w:tc>
          <w:tcPr>
            <w:tcW w:w="7769" w:type="dxa"/>
            <w:noWrap/>
            <w:hideMark/>
          </w:tcPr>
          <w:p w14:paraId="2E3EF945" w14:textId="77777777" w:rsidR="00963C0A" w:rsidRPr="001F224B" w:rsidRDefault="00963C0A" w:rsidP="00963C0A">
            <w:pPr>
              <w:rPr>
                <w:sz w:val="18"/>
                <w:szCs w:val="18"/>
              </w:rPr>
            </w:pPr>
            <w:r w:rsidRPr="001F224B">
              <w:rPr>
                <w:sz w:val="18"/>
                <w:szCs w:val="18"/>
              </w:rPr>
              <w:t>Hisse senedine dönüştürülebilirse, dönüştürme oranı</w:t>
            </w:r>
          </w:p>
        </w:tc>
        <w:tc>
          <w:tcPr>
            <w:tcW w:w="2126" w:type="dxa"/>
            <w:vAlign w:val="bottom"/>
            <w:hideMark/>
          </w:tcPr>
          <w:p w14:paraId="40EDAAA0" w14:textId="7FD3A0E0" w:rsidR="00963C0A" w:rsidRPr="001F224B" w:rsidRDefault="00963C0A" w:rsidP="00963C0A">
            <w:pPr>
              <w:rPr>
                <w:sz w:val="18"/>
                <w:szCs w:val="18"/>
              </w:rPr>
            </w:pPr>
            <w:r w:rsidRPr="001F224B">
              <w:rPr>
                <w:sz w:val="18"/>
                <w:szCs w:val="18"/>
              </w:rPr>
              <w:t>-</w:t>
            </w:r>
          </w:p>
        </w:tc>
      </w:tr>
      <w:tr w:rsidR="00963C0A" w:rsidRPr="001F224B" w14:paraId="52AE195A" w14:textId="77777777" w:rsidTr="00474915">
        <w:trPr>
          <w:trHeight w:val="170"/>
        </w:trPr>
        <w:tc>
          <w:tcPr>
            <w:tcW w:w="7769" w:type="dxa"/>
            <w:noWrap/>
            <w:hideMark/>
          </w:tcPr>
          <w:p w14:paraId="37542725" w14:textId="77777777" w:rsidR="00963C0A" w:rsidRPr="001F224B" w:rsidRDefault="00963C0A" w:rsidP="00963C0A">
            <w:pPr>
              <w:rPr>
                <w:sz w:val="18"/>
                <w:szCs w:val="18"/>
              </w:rPr>
            </w:pPr>
            <w:r w:rsidRPr="001F224B">
              <w:rPr>
                <w:sz w:val="18"/>
                <w:szCs w:val="18"/>
              </w:rPr>
              <w:t>Hisse senedine dönüştürülebilirse, mecburi ya da isteğe bağlı dönüştürme özelliği</w:t>
            </w:r>
          </w:p>
        </w:tc>
        <w:tc>
          <w:tcPr>
            <w:tcW w:w="2126" w:type="dxa"/>
            <w:vAlign w:val="bottom"/>
            <w:hideMark/>
          </w:tcPr>
          <w:p w14:paraId="326E75E8" w14:textId="5DEAD760" w:rsidR="00963C0A" w:rsidRPr="001F224B" w:rsidRDefault="00963C0A" w:rsidP="00963C0A">
            <w:pPr>
              <w:rPr>
                <w:sz w:val="18"/>
                <w:szCs w:val="18"/>
              </w:rPr>
            </w:pPr>
            <w:r w:rsidRPr="001F224B">
              <w:rPr>
                <w:sz w:val="18"/>
                <w:szCs w:val="18"/>
              </w:rPr>
              <w:t>-</w:t>
            </w:r>
          </w:p>
        </w:tc>
      </w:tr>
      <w:tr w:rsidR="00963C0A" w:rsidRPr="001F224B" w14:paraId="187CEF98" w14:textId="77777777" w:rsidTr="00474915">
        <w:trPr>
          <w:trHeight w:val="170"/>
        </w:trPr>
        <w:tc>
          <w:tcPr>
            <w:tcW w:w="7769" w:type="dxa"/>
            <w:noWrap/>
            <w:hideMark/>
          </w:tcPr>
          <w:p w14:paraId="7C0F63E3" w14:textId="77777777" w:rsidR="00963C0A" w:rsidRPr="001F224B" w:rsidRDefault="00963C0A" w:rsidP="00963C0A">
            <w:pPr>
              <w:rPr>
                <w:sz w:val="18"/>
                <w:szCs w:val="18"/>
              </w:rPr>
            </w:pPr>
            <w:r w:rsidRPr="001F224B">
              <w:rPr>
                <w:sz w:val="18"/>
                <w:szCs w:val="18"/>
              </w:rPr>
              <w:t>Hisse senedine dönüştürülebilirse, dönüştürülebilir araç türleri</w:t>
            </w:r>
          </w:p>
        </w:tc>
        <w:tc>
          <w:tcPr>
            <w:tcW w:w="2126" w:type="dxa"/>
            <w:vAlign w:val="bottom"/>
            <w:hideMark/>
          </w:tcPr>
          <w:p w14:paraId="757805A1" w14:textId="07324C39" w:rsidR="00963C0A" w:rsidRPr="001F224B" w:rsidRDefault="00963C0A" w:rsidP="00963C0A">
            <w:pPr>
              <w:rPr>
                <w:sz w:val="18"/>
                <w:szCs w:val="18"/>
              </w:rPr>
            </w:pPr>
            <w:r w:rsidRPr="001F224B">
              <w:rPr>
                <w:sz w:val="18"/>
                <w:szCs w:val="18"/>
              </w:rPr>
              <w:t>-</w:t>
            </w:r>
          </w:p>
        </w:tc>
      </w:tr>
      <w:tr w:rsidR="00963C0A" w:rsidRPr="001F224B" w14:paraId="0040E046" w14:textId="77777777" w:rsidTr="00474915">
        <w:trPr>
          <w:trHeight w:val="170"/>
        </w:trPr>
        <w:tc>
          <w:tcPr>
            <w:tcW w:w="7769" w:type="dxa"/>
            <w:noWrap/>
            <w:hideMark/>
          </w:tcPr>
          <w:p w14:paraId="0C0068AC" w14:textId="77777777" w:rsidR="00963C0A" w:rsidRPr="001F224B" w:rsidRDefault="00963C0A" w:rsidP="00963C0A">
            <w:pPr>
              <w:rPr>
                <w:sz w:val="18"/>
                <w:szCs w:val="18"/>
              </w:rPr>
            </w:pPr>
            <w:r w:rsidRPr="001F224B">
              <w:rPr>
                <w:sz w:val="18"/>
                <w:szCs w:val="18"/>
              </w:rPr>
              <w:t>Hisse senedine dönüştürülebilirse, dönüştürülecek borçlanma aracının ihraççısı</w:t>
            </w:r>
          </w:p>
        </w:tc>
        <w:tc>
          <w:tcPr>
            <w:tcW w:w="2126" w:type="dxa"/>
            <w:vAlign w:val="bottom"/>
            <w:hideMark/>
          </w:tcPr>
          <w:p w14:paraId="06BC48C8" w14:textId="17033E74" w:rsidR="00963C0A" w:rsidRPr="001F224B" w:rsidRDefault="00963C0A" w:rsidP="00963C0A">
            <w:pPr>
              <w:rPr>
                <w:sz w:val="18"/>
                <w:szCs w:val="18"/>
              </w:rPr>
            </w:pPr>
            <w:r w:rsidRPr="001F224B">
              <w:rPr>
                <w:sz w:val="18"/>
                <w:szCs w:val="18"/>
              </w:rPr>
              <w:t>-</w:t>
            </w:r>
          </w:p>
        </w:tc>
      </w:tr>
      <w:tr w:rsidR="00963C0A" w:rsidRPr="001F224B" w14:paraId="037CBF81" w14:textId="77777777" w:rsidTr="00474915">
        <w:trPr>
          <w:trHeight w:val="170"/>
        </w:trPr>
        <w:tc>
          <w:tcPr>
            <w:tcW w:w="7769" w:type="dxa"/>
            <w:noWrap/>
            <w:hideMark/>
          </w:tcPr>
          <w:p w14:paraId="53E89912" w14:textId="77777777" w:rsidR="00963C0A" w:rsidRPr="001F224B" w:rsidRDefault="00963C0A" w:rsidP="00963C0A">
            <w:pPr>
              <w:rPr>
                <w:b/>
                <w:bCs/>
                <w:sz w:val="18"/>
                <w:szCs w:val="18"/>
              </w:rPr>
            </w:pPr>
            <w:r w:rsidRPr="001F224B">
              <w:rPr>
                <w:b/>
                <w:bCs/>
                <w:sz w:val="18"/>
                <w:szCs w:val="18"/>
              </w:rPr>
              <w:t>Değer azaltma özelliği</w:t>
            </w:r>
          </w:p>
        </w:tc>
        <w:tc>
          <w:tcPr>
            <w:tcW w:w="2126" w:type="dxa"/>
            <w:vAlign w:val="bottom"/>
            <w:hideMark/>
          </w:tcPr>
          <w:p w14:paraId="1D4537DC" w14:textId="271CB012" w:rsidR="00963C0A" w:rsidRPr="001F224B" w:rsidRDefault="00963C0A" w:rsidP="00963C0A">
            <w:pPr>
              <w:rPr>
                <w:sz w:val="18"/>
                <w:szCs w:val="18"/>
              </w:rPr>
            </w:pPr>
            <w:r w:rsidRPr="001F224B">
              <w:rPr>
                <w:sz w:val="18"/>
                <w:szCs w:val="18"/>
              </w:rPr>
              <w:t> </w:t>
            </w:r>
          </w:p>
        </w:tc>
      </w:tr>
      <w:tr w:rsidR="00963C0A" w:rsidRPr="001F224B" w14:paraId="088B1F86" w14:textId="77777777" w:rsidTr="00474915">
        <w:trPr>
          <w:trHeight w:val="170"/>
        </w:trPr>
        <w:tc>
          <w:tcPr>
            <w:tcW w:w="7769" w:type="dxa"/>
            <w:noWrap/>
            <w:vAlign w:val="bottom"/>
            <w:hideMark/>
          </w:tcPr>
          <w:p w14:paraId="63CB5D67" w14:textId="77777777" w:rsidR="00963C0A" w:rsidRPr="001F224B" w:rsidRDefault="00963C0A" w:rsidP="00963C0A">
            <w:pPr>
              <w:rPr>
                <w:sz w:val="18"/>
                <w:szCs w:val="18"/>
              </w:rPr>
            </w:pPr>
            <w:r w:rsidRPr="001F224B">
              <w:rPr>
                <w:sz w:val="18"/>
                <w:szCs w:val="18"/>
              </w:rPr>
              <w:t>Değer azaltma özelliğine sahipse, azaltıma sebep olacak tetikleyici olay/olaylar</w:t>
            </w:r>
          </w:p>
        </w:tc>
        <w:tc>
          <w:tcPr>
            <w:tcW w:w="2126" w:type="dxa"/>
            <w:vAlign w:val="bottom"/>
            <w:hideMark/>
          </w:tcPr>
          <w:p w14:paraId="0BCB1256" w14:textId="6CA72478" w:rsidR="00963C0A" w:rsidRPr="001F224B" w:rsidRDefault="00963C0A" w:rsidP="00963C0A">
            <w:pPr>
              <w:rPr>
                <w:sz w:val="18"/>
                <w:szCs w:val="18"/>
              </w:rPr>
            </w:pPr>
            <w:r w:rsidRPr="001F224B">
              <w:rPr>
                <w:sz w:val="18"/>
                <w:szCs w:val="18"/>
              </w:rPr>
              <w:t>Çekirdek sermaye yeterliliği oranının veya konsolide çekirdek sermaye yeterliliği oranının %5,125’in altına düşmesi</w:t>
            </w:r>
          </w:p>
        </w:tc>
      </w:tr>
      <w:tr w:rsidR="00963C0A" w:rsidRPr="001F224B" w14:paraId="15579BF4" w14:textId="77777777" w:rsidTr="00474915">
        <w:trPr>
          <w:trHeight w:val="170"/>
        </w:trPr>
        <w:tc>
          <w:tcPr>
            <w:tcW w:w="7769" w:type="dxa"/>
            <w:noWrap/>
            <w:hideMark/>
          </w:tcPr>
          <w:p w14:paraId="5C450695" w14:textId="77777777" w:rsidR="00963C0A" w:rsidRPr="001F224B" w:rsidRDefault="00963C0A" w:rsidP="00963C0A">
            <w:pPr>
              <w:rPr>
                <w:sz w:val="18"/>
                <w:szCs w:val="18"/>
              </w:rPr>
            </w:pPr>
            <w:r w:rsidRPr="001F224B">
              <w:rPr>
                <w:sz w:val="18"/>
                <w:szCs w:val="18"/>
              </w:rPr>
              <w:t>Değer azaltma özelliğine sahipse, tamamen ya da kısmen değer azaltımı özelliği</w:t>
            </w:r>
          </w:p>
        </w:tc>
        <w:tc>
          <w:tcPr>
            <w:tcW w:w="2126" w:type="dxa"/>
            <w:vAlign w:val="bottom"/>
            <w:hideMark/>
          </w:tcPr>
          <w:p w14:paraId="5F1A7717" w14:textId="1A70510E" w:rsidR="00963C0A" w:rsidRPr="001F224B" w:rsidRDefault="00963C0A" w:rsidP="00963C0A">
            <w:pPr>
              <w:rPr>
                <w:sz w:val="18"/>
                <w:szCs w:val="18"/>
              </w:rPr>
            </w:pPr>
            <w:r w:rsidRPr="001F224B">
              <w:rPr>
                <w:sz w:val="18"/>
                <w:szCs w:val="18"/>
              </w:rPr>
              <w:t>Kısmen veya tamamen</w:t>
            </w:r>
          </w:p>
        </w:tc>
      </w:tr>
      <w:tr w:rsidR="00963C0A" w:rsidRPr="001F224B" w14:paraId="7A4AB7BD" w14:textId="77777777" w:rsidTr="00474915">
        <w:trPr>
          <w:trHeight w:val="170"/>
        </w:trPr>
        <w:tc>
          <w:tcPr>
            <w:tcW w:w="7769" w:type="dxa"/>
            <w:noWrap/>
            <w:hideMark/>
          </w:tcPr>
          <w:p w14:paraId="5D069703" w14:textId="77777777" w:rsidR="00963C0A" w:rsidRPr="001F224B" w:rsidRDefault="00963C0A" w:rsidP="00963C0A">
            <w:pPr>
              <w:rPr>
                <w:sz w:val="18"/>
                <w:szCs w:val="18"/>
              </w:rPr>
            </w:pPr>
            <w:r w:rsidRPr="001F224B">
              <w:rPr>
                <w:sz w:val="18"/>
                <w:szCs w:val="18"/>
              </w:rPr>
              <w:t>Değer azaltma özelliğine sahipse, sürekli ya da geçici olma özelliği</w:t>
            </w:r>
          </w:p>
        </w:tc>
        <w:tc>
          <w:tcPr>
            <w:tcW w:w="2126" w:type="dxa"/>
            <w:vAlign w:val="bottom"/>
            <w:hideMark/>
          </w:tcPr>
          <w:p w14:paraId="60DC30D8" w14:textId="41B5593B" w:rsidR="00963C0A" w:rsidRPr="001F224B" w:rsidRDefault="00963C0A" w:rsidP="00963C0A">
            <w:pPr>
              <w:rPr>
                <w:sz w:val="18"/>
                <w:szCs w:val="18"/>
              </w:rPr>
            </w:pPr>
            <w:r w:rsidRPr="001F224B">
              <w:rPr>
                <w:sz w:val="18"/>
                <w:szCs w:val="18"/>
              </w:rPr>
              <w:t>Geçici</w:t>
            </w:r>
          </w:p>
        </w:tc>
      </w:tr>
      <w:tr w:rsidR="00963C0A" w:rsidRPr="001F224B" w14:paraId="21A5C6EA" w14:textId="77777777" w:rsidTr="00474915">
        <w:trPr>
          <w:trHeight w:val="170"/>
        </w:trPr>
        <w:tc>
          <w:tcPr>
            <w:tcW w:w="7769" w:type="dxa"/>
            <w:noWrap/>
            <w:hideMark/>
          </w:tcPr>
          <w:p w14:paraId="1F77D5BB" w14:textId="77777777" w:rsidR="00963C0A" w:rsidRPr="001F224B" w:rsidRDefault="00963C0A" w:rsidP="00963C0A">
            <w:pPr>
              <w:rPr>
                <w:sz w:val="18"/>
                <w:szCs w:val="18"/>
              </w:rPr>
            </w:pPr>
            <w:r w:rsidRPr="001F224B">
              <w:rPr>
                <w:sz w:val="18"/>
                <w:szCs w:val="18"/>
              </w:rPr>
              <w:t>Değeri geçici olarak azaltılabiliyorsa, değer artırım mekanizması</w:t>
            </w:r>
          </w:p>
        </w:tc>
        <w:tc>
          <w:tcPr>
            <w:tcW w:w="2126" w:type="dxa"/>
            <w:vAlign w:val="bottom"/>
            <w:hideMark/>
          </w:tcPr>
          <w:p w14:paraId="534F3B60" w14:textId="0B0EA057" w:rsidR="00963C0A" w:rsidRPr="001F224B" w:rsidRDefault="00963C0A" w:rsidP="00963C0A">
            <w:pPr>
              <w:rPr>
                <w:sz w:val="18"/>
                <w:szCs w:val="18"/>
              </w:rPr>
            </w:pPr>
            <w:r w:rsidRPr="001F224B">
              <w:rPr>
                <w:sz w:val="18"/>
                <w:szCs w:val="18"/>
              </w:rPr>
              <w:t>Bulunmaktadır.</w:t>
            </w:r>
          </w:p>
        </w:tc>
      </w:tr>
      <w:tr w:rsidR="00963C0A" w:rsidRPr="001F224B" w14:paraId="359B47C8" w14:textId="77777777" w:rsidTr="00474915">
        <w:trPr>
          <w:trHeight w:val="170"/>
        </w:trPr>
        <w:tc>
          <w:tcPr>
            <w:tcW w:w="7769" w:type="dxa"/>
            <w:vAlign w:val="bottom"/>
            <w:hideMark/>
          </w:tcPr>
          <w:p w14:paraId="6FCCCE34" w14:textId="77777777" w:rsidR="00963C0A" w:rsidRPr="001F224B" w:rsidRDefault="00963C0A" w:rsidP="00963C0A">
            <w:pPr>
              <w:rPr>
                <w:sz w:val="18"/>
                <w:szCs w:val="18"/>
              </w:rPr>
            </w:pPr>
            <w:r w:rsidRPr="001F224B">
              <w:rPr>
                <w:sz w:val="18"/>
                <w:szCs w:val="18"/>
              </w:rPr>
              <w:t>Tasfiye halinde alacak hakkı açısından hangi sırada olduğu (Bu aracın hemen üstünde yer alan araç)</w:t>
            </w:r>
          </w:p>
        </w:tc>
        <w:tc>
          <w:tcPr>
            <w:tcW w:w="2126" w:type="dxa"/>
            <w:vAlign w:val="bottom"/>
            <w:hideMark/>
          </w:tcPr>
          <w:p w14:paraId="1F0FA0DF" w14:textId="1E3335E7" w:rsidR="00963C0A" w:rsidRPr="001F224B" w:rsidRDefault="00963C0A" w:rsidP="00963C0A">
            <w:pPr>
              <w:rPr>
                <w:sz w:val="18"/>
                <w:szCs w:val="18"/>
              </w:rPr>
            </w:pPr>
            <w:r w:rsidRPr="001F224B">
              <w:rPr>
                <w:sz w:val="18"/>
                <w:szCs w:val="18"/>
              </w:rPr>
              <w:t>Borçlanmalardan ve katkı sermayeden sonra</w:t>
            </w:r>
          </w:p>
        </w:tc>
      </w:tr>
      <w:tr w:rsidR="00963C0A" w:rsidRPr="001F224B" w14:paraId="2104F530" w14:textId="77777777" w:rsidTr="00474915">
        <w:trPr>
          <w:trHeight w:val="170"/>
        </w:trPr>
        <w:tc>
          <w:tcPr>
            <w:tcW w:w="7769" w:type="dxa"/>
            <w:vAlign w:val="bottom"/>
            <w:hideMark/>
          </w:tcPr>
          <w:p w14:paraId="211D830C" w14:textId="77777777" w:rsidR="00963C0A" w:rsidRPr="001F224B" w:rsidRDefault="00963C0A" w:rsidP="00963C0A">
            <w:pPr>
              <w:rPr>
                <w:sz w:val="18"/>
                <w:szCs w:val="18"/>
              </w:rPr>
            </w:pPr>
            <w:r w:rsidRPr="001F224B">
              <w:rPr>
                <w:sz w:val="18"/>
                <w:szCs w:val="18"/>
              </w:rPr>
              <w:t>Bankaların Özkaynaklarına İlişkin Yönetmeliğin 7’nci ve 8’inci maddelerinde yer alan şartlardan haiz olunmayan olup olmadığı</w:t>
            </w:r>
          </w:p>
        </w:tc>
        <w:tc>
          <w:tcPr>
            <w:tcW w:w="2126" w:type="dxa"/>
            <w:vAlign w:val="bottom"/>
            <w:hideMark/>
          </w:tcPr>
          <w:p w14:paraId="04393077" w14:textId="103DA327" w:rsidR="00963C0A" w:rsidRPr="001F224B" w:rsidRDefault="00963C0A" w:rsidP="00963C0A">
            <w:pPr>
              <w:rPr>
                <w:sz w:val="18"/>
                <w:szCs w:val="18"/>
              </w:rPr>
            </w:pPr>
            <w:r w:rsidRPr="001F224B">
              <w:rPr>
                <w:sz w:val="18"/>
                <w:szCs w:val="18"/>
              </w:rPr>
              <w:t xml:space="preserve">Bankaların Özkaynaklarına İlişkin Yönetmeliğin 7'inci maddesinde yer alan şartları taşımaktadır. </w:t>
            </w:r>
          </w:p>
        </w:tc>
      </w:tr>
      <w:tr w:rsidR="00963C0A" w:rsidRPr="001F224B" w14:paraId="3BBFC59B" w14:textId="77777777" w:rsidTr="00474915">
        <w:trPr>
          <w:trHeight w:val="170"/>
        </w:trPr>
        <w:tc>
          <w:tcPr>
            <w:tcW w:w="7769" w:type="dxa"/>
            <w:vAlign w:val="bottom"/>
            <w:hideMark/>
          </w:tcPr>
          <w:p w14:paraId="563EEF81" w14:textId="77777777" w:rsidR="00963C0A" w:rsidRPr="001F224B" w:rsidRDefault="00963C0A" w:rsidP="00963C0A">
            <w:pPr>
              <w:rPr>
                <w:sz w:val="18"/>
                <w:szCs w:val="18"/>
              </w:rPr>
            </w:pPr>
            <w:r w:rsidRPr="001F224B">
              <w:rPr>
                <w:sz w:val="18"/>
                <w:szCs w:val="18"/>
              </w:rPr>
              <w:t>Bankaların Özkaynaklarına İlişkin Yönetmeliğin 7’nci ve 8’inci maddelerinde yer alan şartlardan hangilerini haiz olunmadığı</w:t>
            </w:r>
          </w:p>
        </w:tc>
        <w:tc>
          <w:tcPr>
            <w:tcW w:w="2126" w:type="dxa"/>
            <w:vAlign w:val="bottom"/>
            <w:hideMark/>
          </w:tcPr>
          <w:p w14:paraId="47770320" w14:textId="10096813" w:rsidR="00963C0A" w:rsidRPr="001F224B" w:rsidRDefault="00963C0A" w:rsidP="00963C0A">
            <w:pPr>
              <w:rPr>
                <w:sz w:val="18"/>
                <w:szCs w:val="18"/>
              </w:rPr>
            </w:pPr>
            <w:r w:rsidRPr="001F224B">
              <w:rPr>
                <w:sz w:val="18"/>
                <w:szCs w:val="18"/>
              </w:rPr>
              <w:t xml:space="preserve">Bankaların Özkaynaklarına İlişkin Yönetmeliğin 7'inci maddesinde yer alan şartları taşımaktadır. </w:t>
            </w:r>
          </w:p>
        </w:tc>
      </w:tr>
    </w:tbl>
    <w:p w14:paraId="1A511E96" w14:textId="77777777" w:rsidR="00931312" w:rsidRPr="001F224B" w:rsidRDefault="00931312" w:rsidP="00C45FFC">
      <w:pPr>
        <w:pStyle w:val="ListParagraph"/>
        <w:tabs>
          <w:tab w:val="left" w:pos="0"/>
        </w:tabs>
        <w:ind w:left="0"/>
        <w:rPr>
          <w:b/>
          <w:bCs/>
          <w:sz w:val="22"/>
          <w:szCs w:val="22"/>
        </w:rPr>
      </w:pPr>
    </w:p>
    <w:p w14:paraId="6D078D11" w14:textId="39B4EE47" w:rsidR="00931312" w:rsidRPr="001F224B" w:rsidRDefault="00931312" w:rsidP="00931312">
      <w:pPr>
        <w:pStyle w:val="ListParagraph"/>
        <w:tabs>
          <w:tab w:val="left" w:pos="0"/>
        </w:tabs>
        <w:ind w:left="0"/>
        <w:rPr>
          <w:b/>
          <w:bCs/>
          <w:sz w:val="22"/>
          <w:szCs w:val="22"/>
        </w:rPr>
      </w:pPr>
      <w:r w:rsidRPr="001F224B">
        <w:rPr>
          <w:b/>
          <w:bCs/>
          <w:sz w:val="22"/>
          <w:szCs w:val="22"/>
        </w:rPr>
        <w:t>DÖRDÜNCÜ BÖLÜM (Devamı)</w:t>
      </w:r>
    </w:p>
    <w:p w14:paraId="18B9B41C" w14:textId="3A325E30" w:rsidR="008E1875" w:rsidRPr="001F224B" w:rsidRDefault="008E1875" w:rsidP="008E1875">
      <w:pPr>
        <w:tabs>
          <w:tab w:val="left" w:pos="0"/>
        </w:tabs>
        <w:spacing w:before="120" w:after="120"/>
        <w:rPr>
          <w:b/>
          <w:bCs/>
          <w:sz w:val="22"/>
          <w:szCs w:val="22"/>
        </w:rPr>
      </w:pPr>
      <w:r w:rsidRPr="001F224B">
        <w:rPr>
          <w:b/>
          <w:bCs/>
          <w:sz w:val="22"/>
          <w:szCs w:val="22"/>
        </w:rPr>
        <w:t>KONSOLİDE  MALİ BÜNYE VE RİSK YÖNETİMİNE İLİŞKİN BİLGİLER (Devamı)</w:t>
      </w:r>
    </w:p>
    <w:p w14:paraId="273F62C0" w14:textId="1005B559" w:rsidR="008E1875" w:rsidRPr="001F224B" w:rsidRDefault="008902C3" w:rsidP="008E1875">
      <w:pPr>
        <w:tabs>
          <w:tab w:val="left" w:pos="567"/>
        </w:tabs>
        <w:rPr>
          <w:b/>
          <w:sz w:val="22"/>
          <w:szCs w:val="22"/>
        </w:rPr>
      </w:pPr>
      <w:r w:rsidRPr="001F224B">
        <w:rPr>
          <w:b/>
          <w:sz w:val="22"/>
          <w:szCs w:val="22"/>
        </w:rPr>
        <w:t>I</w:t>
      </w:r>
      <w:r w:rsidR="008E1875" w:rsidRPr="001F224B">
        <w:rPr>
          <w:b/>
          <w:sz w:val="22"/>
          <w:szCs w:val="22"/>
        </w:rPr>
        <w:t>I.</w:t>
      </w:r>
      <w:r w:rsidR="008E1875" w:rsidRPr="001F224B">
        <w:rPr>
          <w:b/>
          <w:sz w:val="22"/>
          <w:szCs w:val="22"/>
        </w:rPr>
        <w:tab/>
        <w:t>Konsolide kur riskine ilişkin açıklamalar</w:t>
      </w:r>
    </w:p>
    <w:p w14:paraId="45BC2BA7" w14:textId="77777777" w:rsidR="008E1875" w:rsidRPr="001F224B" w:rsidRDefault="008E1875" w:rsidP="008E1875">
      <w:pPr>
        <w:spacing w:before="120"/>
        <w:ind w:left="567"/>
        <w:jc w:val="both"/>
        <w:rPr>
          <w:sz w:val="22"/>
          <w:szCs w:val="22"/>
        </w:rPr>
      </w:pPr>
      <w:r w:rsidRPr="001F224B">
        <w:rPr>
          <w:sz w:val="22"/>
          <w:szCs w:val="22"/>
        </w:rPr>
        <w:t>Ana Ortaklık Banka yabancı para cinsinden yaptığı faaliyetler nedeniyle, döviz kurlarında meydana gelebilecek değişiklikler sonucu bilançosunda yer alan yabancı para varlık ve yükümlülüklerindeki uyumsuzluklar nedeniyle kur riskine maruz kalabilmektedir.</w:t>
      </w:r>
    </w:p>
    <w:p w14:paraId="5EE37F95" w14:textId="77777777" w:rsidR="008E1875" w:rsidRPr="001F224B" w:rsidRDefault="008E1875" w:rsidP="008E1875">
      <w:pPr>
        <w:spacing w:before="120"/>
        <w:ind w:left="567"/>
        <w:jc w:val="both"/>
        <w:rPr>
          <w:sz w:val="22"/>
          <w:szCs w:val="22"/>
        </w:rPr>
      </w:pPr>
      <w:r w:rsidRPr="001F224B">
        <w:rPr>
          <w:sz w:val="22"/>
          <w:szCs w:val="22"/>
        </w:rPr>
        <w:t>Ana Ortaklık Banka’nın kur riski yönetimi politikası, mali durumu, güncel ekonomik gelişmeler ve piyasada oluşan trendler dikkate alınarak “Yabancı Para Net Genel Pozisyon/Özkaynak Standart Oranının” verimlilik kriterleri de gözetilerek yasal sınırlar içinde tutulması şeklinde belirlenmiştir. Bu temel hedef korunmak suretiyle; var olan döviz mevcudu da en uygun faiz oranları ile plase edilmekte ve döviz piyasasında uygun zaman ve koşullarda ortaya çıkan imkanlar, hem aktif hem de pasif yönetimi amacıyla değerlendirilmeye çalışılmaktadır.</w:t>
      </w:r>
    </w:p>
    <w:p w14:paraId="58A24FC5" w14:textId="77777777" w:rsidR="008E1875" w:rsidRPr="001F224B" w:rsidRDefault="008E1875" w:rsidP="008E1875">
      <w:pPr>
        <w:spacing w:before="120"/>
        <w:ind w:left="567"/>
        <w:jc w:val="both"/>
        <w:rPr>
          <w:sz w:val="22"/>
          <w:szCs w:val="22"/>
        </w:rPr>
      </w:pPr>
      <w:r w:rsidRPr="001F224B">
        <w:rPr>
          <w:sz w:val="22"/>
          <w:szCs w:val="22"/>
        </w:rPr>
        <w:t xml:space="preserve">Ana Ortaklık Banka’nın karşı karşıya kaldığı kur riskinin ölçülmesinde, yasal raporlama için belirlenen standart metod kullanılmaktadır. </w:t>
      </w:r>
    </w:p>
    <w:p w14:paraId="65DB0DD5" w14:textId="77777777" w:rsidR="008E1875" w:rsidRPr="001F224B" w:rsidRDefault="008E1875" w:rsidP="008E1875">
      <w:pPr>
        <w:spacing w:before="120"/>
        <w:ind w:left="567"/>
        <w:jc w:val="both"/>
        <w:rPr>
          <w:sz w:val="22"/>
          <w:szCs w:val="22"/>
        </w:rPr>
      </w:pPr>
      <w:r w:rsidRPr="001F224B">
        <w:rPr>
          <w:sz w:val="22"/>
          <w:szCs w:val="22"/>
        </w:rPr>
        <w:t xml:space="preserve">Bunun yanı sıra, günlük bazda Ana Ortaklık Banka’nın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14:paraId="1FAE9958" w14:textId="77777777" w:rsidR="008E1875" w:rsidRPr="001F224B" w:rsidRDefault="008E1875" w:rsidP="008E1875">
      <w:pPr>
        <w:spacing w:before="120"/>
        <w:ind w:left="540" w:hanging="1"/>
        <w:jc w:val="both"/>
        <w:rPr>
          <w:rFonts w:eastAsia="Arial Unicode MS"/>
          <w:bCs/>
          <w:sz w:val="22"/>
          <w:szCs w:val="22"/>
        </w:rPr>
      </w:pPr>
      <w:r w:rsidRPr="001F224B">
        <w:rPr>
          <w:rFonts w:eastAsia="Arial Unicode MS"/>
          <w:bCs/>
          <w:sz w:val="22"/>
          <w:szCs w:val="22"/>
        </w:rPr>
        <w:t>Ana Ortaklık Banka’nın yabancı para cinsinden borçlanma araçlarını ve net yabancı para yatırımlarını riskten korunma amaçlı türev aracı bulunmamaktadır.</w:t>
      </w:r>
    </w:p>
    <w:p w14:paraId="083D8D34" w14:textId="77777777" w:rsidR="008E1875" w:rsidRPr="001F224B" w:rsidRDefault="008E1875" w:rsidP="008E1875">
      <w:pPr>
        <w:spacing w:before="120" w:after="120"/>
        <w:ind w:left="539"/>
        <w:jc w:val="both"/>
        <w:rPr>
          <w:sz w:val="22"/>
          <w:szCs w:val="22"/>
        </w:rPr>
      </w:pPr>
      <w:r w:rsidRPr="001F224B">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14:paraId="3C5EBB43" w14:textId="4A7C062B" w:rsidR="008E1875" w:rsidRPr="001F224B" w:rsidRDefault="008E1875" w:rsidP="00C87F33">
      <w:pPr>
        <w:spacing w:before="120" w:after="120"/>
        <w:ind w:left="539"/>
        <w:jc w:val="both"/>
        <w:rPr>
          <w:sz w:val="22"/>
          <w:szCs w:val="22"/>
        </w:rPr>
      </w:pPr>
      <w:r w:rsidRPr="001F224B">
        <w:rPr>
          <w:rFonts w:eastAsia="Arial Unicode MS"/>
          <w:bCs/>
          <w:sz w:val="22"/>
          <w:szCs w:val="22"/>
        </w:rPr>
        <w:t xml:space="preserve">Ana Ortaklık </w:t>
      </w:r>
      <w:r w:rsidR="00C87F33" w:rsidRPr="001F224B">
        <w:rPr>
          <w:sz w:val="22"/>
          <w:szCs w:val="22"/>
        </w:rPr>
        <w:t>Banka’nın kur riski limitleri döviz kurlarındaki değişimin</w:t>
      </w:r>
      <w:r w:rsidR="00C76576" w:rsidRPr="001F224B">
        <w:rPr>
          <w:sz w:val="22"/>
          <w:szCs w:val="22"/>
        </w:rPr>
        <w:t xml:space="preserve"> Ana Ortaklık</w:t>
      </w:r>
      <w:r w:rsidR="00C87F33" w:rsidRPr="001F224B">
        <w:rPr>
          <w:sz w:val="22"/>
          <w:szCs w:val="22"/>
        </w:rPr>
        <w:t xml:space="preserve"> </w:t>
      </w:r>
      <w:r w:rsidR="00C76576" w:rsidRPr="001F224B">
        <w:rPr>
          <w:sz w:val="22"/>
          <w:szCs w:val="22"/>
        </w:rPr>
        <w:t xml:space="preserve">Banka’nın </w:t>
      </w:r>
      <w:r w:rsidR="00C87F33" w:rsidRPr="001F224B">
        <w:rPr>
          <w:sz w:val="22"/>
          <w:szCs w:val="22"/>
        </w:rPr>
        <w:t xml:space="preserve">finansal yapısında olumsuz etkiler yaratma ihtimalini azaltmak için, BDDK tarafından sınırları belirlenen Yabancı Para Net Genel Pozisyonu/Özkaynak oranı baz alınarak belirlenmiştir. </w:t>
      </w:r>
      <w:proofErr w:type="spellStart"/>
      <w:r w:rsidR="00C87F33" w:rsidRPr="001F224B">
        <w:rPr>
          <w:rFonts w:eastAsia="Calibri"/>
          <w:sz w:val="22"/>
          <w:szCs w:val="22"/>
          <w:lang w:val="en-US" w:eastAsia="en-US"/>
        </w:rPr>
        <w:t>Söz</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konusu</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oranın</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sınırı</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BDDK’nın</w:t>
      </w:r>
      <w:proofErr w:type="spellEnd"/>
      <w:r w:rsidR="00C87F33" w:rsidRPr="001F224B">
        <w:rPr>
          <w:rFonts w:eastAsia="Calibri"/>
          <w:sz w:val="22"/>
          <w:szCs w:val="22"/>
          <w:lang w:val="en-US" w:eastAsia="en-US"/>
        </w:rPr>
        <w:t xml:space="preserve"> 9 Mart 2023 </w:t>
      </w:r>
      <w:proofErr w:type="spellStart"/>
      <w:r w:rsidR="00C87F33" w:rsidRPr="001F224B">
        <w:rPr>
          <w:rFonts w:eastAsia="Calibri"/>
          <w:sz w:val="22"/>
          <w:szCs w:val="22"/>
          <w:lang w:val="en-US" w:eastAsia="en-US"/>
        </w:rPr>
        <w:t>tarih</w:t>
      </w:r>
      <w:proofErr w:type="spellEnd"/>
      <w:r w:rsidR="00C87F33" w:rsidRPr="001F224B">
        <w:rPr>
          <w:rFonts w:eastAsia="Calibri"/>
          <w:sz w:val="22"/>
          <w:szCs w:val="22"/>
          <w:lang w:val="en-US" w:eastAsia="en-US"/>
        </w:rPr>
        <w:t xml:space="preserve"> 10534 </w:t>
      </w:r>
      <w:proofErr w:type="spellStart"/>
      <w:r w:rsidR="00C87F33" w:rsidRPr="001F224B">
        <w:rPr>
          <w:rFonts w:eastAsia="Calibri"/>
          <w:sz w:val="22"/>
          <w:szCs w:val="22"/>
          <w:lang w:val="en-US" w:eastAsia="en-US"/>
        </w:rPr>
        <w:t>sayılı</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kararı</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uyarınca</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karar</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tarihinden</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itibaren</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geçerli</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olmak</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üzere</w:t>
      </w:r>
      <w:proofErr w:type="spellEnd"/>
      <w:r w:rsidR="00C87F33" w:rsidRPr="001F224B">
        <w:rPr>
          <w:rFonts w:eastAsia="Calibri"/>
          <w:sz w:val="22"/>
          <w:szCs w:val="22"/>
          <w:lang w:val="en-US" w:eastAsia="en-US"/>
        </w:rPr>
        <w:t xml:space="preserve"> %10 </w:t>
      </w:r>
      <w:proofErr w:type="spellStart"/>
      <w:r w:rsidR="00C87F33" w:rsidRPr="001F224B">
        <w:rPr>
          <w:rFonts w:eastAsia="Calibri"/>
          <w:sz w:val="22"/>
          <w:szCs w:val="22"/>
          <w:lang w:val="en-US" w:eastAsia="en-US"/>
        </w:rPr>
        <w:t>olarak</w:t>
      </w:r>
      <w:proofErr w:type="spellEnd"/>
      <w:r w:rsidR="00C87F33" w:rsidRPr="001F224B">
        <w:rPr>
          <w:rFonts w:eastAsia="Calibri"/>
          <w:sz w:val="22"/>
          <w:szCs w:val="22"/>
          <w:lang w:val="en-US" w:eastAsia="en-US"/>
        </w:rPr>
        <w:t xml:space="preserve"> </w:t>
      </w:r>
      <w:proofErr w:type="spellStart"/>
      <w:r w:rsidR="00C87F33" w:rsidRPr="001F224B">
        <w:rPr>
          <w:rFonts w:eastAsia="Calibri"/>
          <w:sz w:val="22"/>
          <w:szCs w:val="22"/>
          <w:lang w:val="en-US" w:eastAsia="en-US"/>
        </w:rPr>
        <w:t>belirlenmiştir</w:t>
      </w:r>
      <w:proofErr w:type="spellEnd"/>
      <w:r w:rsidR="00C87F33" w:rsidRPr="001F224B">
        <w:rPr>
          <w:rFonts w:eastAsia="Calibri"/>
          <w:sz w:val="22"/>
          <w:szCs w:val="22"/>
          <w:lang w:val="en-US" w:eastAsia="en-US"/>
        </w:rPr>
        <w:t>.</w:t>
      </w:r>
    </w:p>
    <w:p w14:paraId="1942DC19" w14:textId="77777777" w:rsidR="008E1875" w:rsidRPr="001F224B" w:rsidRDefault="008E1875" w:rsidP="008E1875">
      <w:pPr>
        <w:spacing w:before="120" w:after="120"/>
        <w:ind w:left="539"/>
        <w:jc w:val="both"/>
        <w:rPr>
          <w:bCs/>
          <w:sz w:val="22"/>
          <w:szCs w:val="22"/>
        </w:rPr>
      </w:pPr>
      <w:r w:rsidRPr="001F224B">
        <w:rPr>
          <w:sz w:val="22"/>
          <w:szCs w:val="22"/>
        </w:rPr>
        <w:t>Finansal tablo tarihi ile bu tarihten geriye doğru son beş iş günü itibarıyla bankaca kamuya duyurulan cari</w:t>
      </w:r>
      <w:r w:rsidRPr="001F224B">
        <w:rPr>
          <w:bCs/>
          <w:sz w:val="22"/>
          <w:szCs w:val="22"/>
        </w:rPr>
        <w:t xml:space="preserve"> döviz alış kurları aşağıdaki gibidir:</w:t>
      </w:r>
    </w:p>
    <w:p w14:paraId="35026DFE" w14:textId="77777777" w:rsidR="008E1875" w:rsidRPr="001F224B" w:rsidRDefault="008E1875" w:rsidP="008E1875">
      <w:pPr>
        <w:tabs>
          <w:tab w:val="left" w:pos="567"/>
        </w:tabs>
        <w:spacing w:before="120" w:after="120"/>
        <w:ind w:left="567"/>
        <w:jc w:val="both"/>
        <w:rPr>
          <w:b/>
          <w:bCs/>
          <w:sz w:val="22"/>
          <w:szCs w:val="22"/>
        </w:rPr>
      </w:pPr>
    </w:p>
    <w:tbl>
      <w:tblPr>
        <w:tblW w:w="9248" w:type="dxa"/>
        <w:tblInd w:w="462" w:type="dxa"/>
        <w:tblLook w:val="04A0" w:firstRow="1" w:lastRow="0" w:firstColumn="1" w:lastColumn="0" w:noHBand="0" w:noVBand="1"/>
      </w:tblPr>
      <w:tblGrid>
        <w:gridCol w:w="4229"/>
        <w:gridCol w:w="275"/>
        <w:gridCol w:w="1762"/>
        <w:gridCol w:w="1464"/>
        <w:gridCol w:w="1518"/>
      </w:tblGrid>
      <w:tr w:rsidR="00173DA1" w:rsidRPr="001F224B" w14:paraId="04FB2A3A" w14:textId="77777777" w:rsidTr="00EB22A7">
        <w:trPr>
          <w:trHeight w:val="227"/>
        </w:trPr>
        <w:tc>
          <w:tcPr>
            <w:tcW w:w="4229" w:type="dxa"/>
            <w:vAlign w:val="bottom"/>
          </w:tcPr>
          <w:p w14:paraId="69C59C15" w14:textId="77777777" w:rsidR="00173DA1" w:rsidRPr="001F224B" w:rsidRDefault="00173DA1" w:rsidP="00EB22A7">
            <w:pPr>
              <w:ind w:firstLine="176"/>
              <w:rPr>
                <w:b/>
                <w:bCs/>
                <w:sz w:val="22"/>
                <w:szCs w:val="22"/>
                <w:u w:val="single"/>
              </w:rPr>
            </w:pPr>
            <w:r w:rsidRPr="001F224B">
              <w:rPr>
                <w:b/>
                <w:bCs/>
                <w:sz w:val="22"/>
                <w:szCs w:val="22"/>
                <w:u w:val="single"/>
              </w:rPr>
              <w:t>Tarih</w:t>
            </w:r>
          </w:p>
        </w:tc>
        <w:tc>
          <w:tcPr>
            <w:tcW w:w="275" w:type="dxa"/>
            <w:vAlign w:val="bottom"/>
          </w:tcPr>
          <w:p w14:paraId="5D01AF70" w14:textId="77777777" w:rsidR="00173DA1" w:rsidRPr="001F224B" w:rsidRDefault="00173DA1" w:rsidP="00EB22A7">
            <w:pPr>
              <w:jc w:val="center"/>
              <w:rPr>
                <w:b/>
                <w:bCs/>
                <w:sz w:val="22"/>
                <w:szCs w:val="22"/>
                <w:u w:val="single"/>
              </w:rPr>
            </w:pPr>
          </w:p>
        </w:tc>
        <w:tc>
          <w:tcPr>
            <w:tcW w:w="1762" w:type="dxa"/>
            <w:vAlign w:val="bottom"/>
          </w:tcPr>
          <w:p w14:paraId="24B4456A" w14:textId="77777777" w:rsidR="00173DA1" w:rsidRPr="001F224B" w:rsidRDefault="00173DA1" w:rsidP="00EB22A7">
            <w:pPr>
              <w:jc w:val="center"/>
              <w:rPr>
                <w:b/>
                <w:bCs/>
                <w:sz w:val="22"/>
                <w:szCs w:val="22"/>
                <w:u w:val="single"/>
              </w:rPr>
            </w:pPr>
            <w:r w:rsidRPr="001F224B">
              <w:rPr>
                <w:b/>
                <w:bCs/>
                <w:sz w:val="22"/>
                <w:szCs w:val="22"/>
                <w:u w:val="single"/>
              </w:rPr>
              <w:t>ABD Doları</w:t>
            </w:r>
          </w:p>
        </w:tc>
        <w:tc>
          <w:tcPr>
            <w:tcW w:w="1464" w:type="dxa"/>
            <w:vAlign w:val="bottom"/>
          </w:tcPr>
          <w:p w14:paraId="32D7B24D" w14:textId="77777777" w:rsidR="00173DA1" w:rsidRPr="001F224B" w:rsidRDefault="00173DA1" w:rsidP="00EB22A7">
            <w:pPr>
              <w:jc w:val="center"/>
              <w:rPr>
                <w:b/>
                <w:bCs/>
                <w:sz w:val="22"/>
                <w:szCs w:val="22"/>
                <w:u w:val="single"/>
              </w:rPr>
            </w:pPr>
            <w:r w:rsidRPr="001F224B">
              <w:rPr>
                <w:b/>
                <w:bCs/>
                <w:sz w:val="22"/>
                <w:szCs w:val="22"/>
                <w:u w:val="single"/>
              </w:rPr>
              <w:t>Avro</w:t>
            </w:r>
          </w:p>
        </w:tc>
        <w:tc>
          <w:tcPr>
            <w:tcW w:w="1518" w:type="dxa"/>
            <w:vAlign w:val="bottom"/>
          </w:tcPr>
          <w:p w14:paraId="17DFEFB1" w14:textId="77777777" w:rsidR="00173DA1" w:rsidRPr="001F224B" w:rsidRDefault="00173DA1" w:rsidP="00EB22A7">
            <w:pPr>
              <w:jc w:val="center"/>
              <w:rPr>
                <w:b/>
                <w:bCs/>
                <w:sz w:val="22"/>
                <w:szCs w:val="22"/>
                <w:u w:val="single"/>
              </w:rPr>
            </w:pPr>
            <w:r w:rsidRPr="001F224B">
              <w:rPr>
                <w:b/>
                <w:bCs/>
                <w:sz w:val="22"/>
                <w:szCs w:val="22"/>
                <w:u w:val="single"/>
              </w:rPr>
              <w:t>100 JPY</w:t>
            </w:r>
          </w:p>
        </w:tc>
      </w:tr>
      <w:tr w:rsidR="00173DA1" w:rsidRPr="001F224B" w14:paraId="4CF6F461" w14:textId="77777777" w:rsidTr="00EB22A7">
        <w:trPr>
          <w:trHeight w:val="227"/>
        </w:trPr>
        <w:tc>
          <w:tcPr>
            <w:tcW w:w="4229" w:type="dxa"/>
            <w:vAlign w:val="bottom"/>
          </w:tcPr>
          <w:p w14:paraId="328FAD24" w14:textId="77777777" w:rsidR="00173DA1" w:rsidRPr="001F224B" w:rsidRDefault="00173DA1" w:rsidP="00EB22A7">
            <w:pPr>
              <w:rPr>
                <w:b/>
                <w:bCs/>
                <w:sz w:val="22"/>
                <w:szCs w:val="22"/>
                <w:u w:val="single"/>
              </w:rPr>
            </w:pPr>
            <w:r w:rsidRPr="001F224B">
              <w:rPr>
                <w:bCs/>
                <w:sz w:val="22"/>
                <w:szCs w:val="22"/>
              </w:rPr>
              <w:t>30/06/2025</w:t>
            </w:r>
          </w:p>
        </w:tc>
        <w:tc>
          <w:tcPr>
            <w:tcW w:w="275" w:type="dxa"/>
            <w:vAlign w:val="bottom"/>
          </w:tcPr>
          <w:p w14:paraId="4CF20F26" w14:textId="77777777" w:rsidR="00173DA1" w:rsidRPr="001F224B" w:rsidRDefault="00173DA1" w:rsidP="00EB22A7">
            <w:pPr>
              <w:jc w:val="center"/>
              <w:rPr>
                <w:b/>
                <w:bCs/>
                <w:sz w:val="22"/>
                <w:szCs w:val="22"/>
                <w:u w:val="single"/>
              </w:rPr>
            </w:pPr>
          </w:p>
        </w:tc>
        <w:tc>
          <w:tcPr>
            <w:tcW w:w="1762" w:type="dxa"/>
            <w:vAlign w:val="bottom"/>
          </w:tcPr>
          <w:p w14:paraId="7D3C132C" w14:textId="77777777" w:rsidR="00173DA1" w:rsidRPr="001F224B" w:rsidRDefault="00173DA1" w:rsidP="00EB22A7">
            <w:pPr>
              <w:jc w:val="center"/>
              <w:rPr>
                <w:sz w:val="22"/>
                <w:szCs w:val="22"/>
              </w:rPr>
            </w:pPr>
            <w:r w:rsidRPr="001F224B">
              <w:rPr>
                <w:sz w:val="22"/>
                <w:szCs w:val="22"/>
              </w:rPr>
              <w:t>39,8345</w:t>
            </w:r>
          </w:p>
        </w:tc>
        <w:tc>
          <w:tcPr>
            <w:tcW w:w="1464" w:type="dxa"/>
            <w:vAlign w:val="bottom"/>
          </w:tcPr>
          <w:p w14:paraId="04B86E2F" w14:textId="77777777" w:rsidR="00173DA1" w:rsidRPr="001F224B" w:rsidRDefault="00173DA1" w:rsidP="00EB22A7">
            <w:pPr>
              <w:jc w:val="center"/>
              <w:rPr>
                <w:sz w:val="22"/>
                <w:szCs w:val="22"/>
              </w:rPr>
            </w:pPr>
            <w:r w:rsidRPr="001F224B">
              <w:rPr>
                <w:sz w:val="22"/>
                <w:szCs w:val="22"/>
              </w:rPr>
              <w:t>46,7777</w:t>
            </w:r>
          </w:p>
        </w:tc>
        <w:tc>
          <w:tcPr>
            <w:tcW w:w="1518" w:type="dxa"/>
            <w:vAlign w:val="bottom"/>
          </w:tcPr>
          <w:p w14:paraId="3267A378" w14:textId="77777777" w:rsidR="00173DA1" w:rsidRPr="001F224B" w:rsidRDefault="00173DA1" w:rsidP="00EB22A7">
            <w:pPr>
              <w:jc w:val="center"/>
              <w:rPr>
                <w:sz w:val="22"/>
                <w:szCs w:val="22"/>
              </w:rPr>
            </w:pPr>
            <w:r w:rsidRPr="001F224B">
              <w:rPr>
                <w:sz w:val="22"/>
                <w:szCs w:val="22"/>
              </w:rPr>
              <w:t>27,7071</w:t>
            </w:r>
          </w:p>
        </w:tc>
      </w:tr>
      <w:tr w:rsidR="00173DA1" w:rsidRPr="001F224B" w14:paraId="7EB37D80" w14:textId="77777777" w:rsidTr="00EB22A7">
        <w:trPr>
          <w:trHeight w:val="227"/>
        </w:trPr>
        <w:tc>
          <w:tcPr>
            <w:tcW w:w="4229" w:type="dxa"/>
          </w:tcPr>
          <w:p w14:paraId="390A1983" w14:textId="77777777" w:rsidR="00173DA1" w:rsidRPr="001F224B" w:rsidRDefault="00173DA1" w:rsidP="00EB22A7">
            <w:pPr>
              <w:rPr>
                <w:bCs/>
                <w:sz w:val="22"/>
                <w:szCs w:val="22"/>
              </w:rPr>
            </w:pPr>
            <w:r w:rsidRPr="001F224B">
              <w:rPr>
                <w:bCs/>
                <w:sz w:val="22"/>
                <w:szCs w:val="22"/>
              </w:rPr>
              <w:t>27/06/2025</w:t>
            </w:r>
          </w:p>
        </w:tc>
        <w:tc>
          <w:tcPr>
            <w:tcW w:w="275" w:type="dxa"/>
            <w:vAlign w:val="bottom"/>
          </w:tcPr>
          <w:p w14:paraId="53817C1F" w14:textId="77777777" w:rsidR="00173DA1" w:rsidRPr="001F224B" w:rsidRDefault="00173DA1" w:rsidP="00EB22A7">
            <w:pPr>
              <w:jc w:val="center"/>
              <w:rPr>
                <w:b/>
                <w:bCs/>
                <w:sz w:val="22"/>
                <w:szCs w:val="22"/>
                <w:u w:val="single"/>
              </w:rPr>
            </w:pPr>
          </w:p>
        </w:tc>
        <w:tc>
          <w:tcPr>
            <w:tcW w:w="1762" w:type="dxa"/>
            <w:tcBorders>
              <w:top w:val="nil"/>
              <w:left w:val="nil"/>
              <w:bottom w:val="nil"/>
              <w:right w:val="nil"/>
            </w:tcBorders>
            <w:shd w:val="clear" w:color="auto" w:fill="auto"/>
          </w:tcPr>
          <w:p w14:paraId="2983A0AF" w14:textId="77777777" w:rsidR="00173DA1" w:rsidRPr="001F224B" w:rsidRDefault="00173DA1" w:rsidP="00EB22A7">
            <w:pPr>
              <w:jc w:val="center"/>
              <w:rPr>
                <w:color w:val="000000"/>
                <w:sz w:val="22"/>
                <w:szCs w:val="22"/>
              </w:rPr>
            </w:pPr>
            <w:r w:rsidRPr="001F224B">
              <w:rPr>
                <w:color w:val="000000"/>
                <w:sz w:val="22"/>
                <w:szCs w:val="22"/>
              </w:rPr>
              <w:t>39,7390</w:t>
            </w:r>
          </w:p>
        </w:tc>
        <w:tc>
          <w:tcPr>
            <w:tcW w:w="1464" w:type="dxa"/>
            <w:tcBorders>
              <w:top w:val="nil"/>
              <w:left w:val="nil"/>
              <w:bottom w:val="nil"/>
              <w:right w:val="nil"/>
            </w:tcBorders>
            <w:shd w:val="clear" w:color="auto" w:fill="auto"/>
          </w:tcPr>
          <w:p w14:paraId="39B810DF" w14:textId="77777777" w:rsidR="00173DA1" w:rsidRPr="001F224B" w:rsidRDefault="00173DA1" w:rsidP="00EB22A7">
            <w:pPr>
              <w:jc w:val="center"/>
              <w:rPr>
                <w:color w:val="000000"/>
                <w:sz w:val="22"/>
                <w:szCs w:val="22"/>
              </w:rPr>
            </w:pPr>
            <w:r w:rsidRPr="001F224B">
              <w:rPr>
                <w:color w:val="000000"/>
                <w:sz w:val="22"/>
                <w:szCs w:val="22"/>
              </w:rPr>
              <w:t>46,5383</w:t>
            </w:r>
          </w:p>
        </w:tc>
        <w:tc>
          <w:tcPr>
            <w:tcW w:w="1518" w:type="dxa"/>
            <w:tcBorders>
              <w:top w:val="nil"/>
              <w:left w:val="nil"/>
              <w:bottom w:val="nil"/>
              <w:right w:val="nil"/>
            </w:tcBorders>
            <w:shd w:val="clear" w:color="auto" w:fill="auto"/>
          </w:tcPr>
          <w:p w14:paraId="656C16CC" w14:textId="77777777" w:rsidR="00173DA1" w:rsidRPr="001F224B" w:rsidRDefault="00173DA1" w:rsidP="00EB22A7">
            <w:pPr>
              <w:jc w:val="center"/>
              <w:rPr>
                <w:color w:val="000000"/>
                <w:sz w:val="22"/>
                <w:szCs w:val="22"/>
              </w:rPr>
            </w:pPr>
            <w:r w:rsidRPr="001F224B">
              <w:rPr>
                <w:color w:val="000000"/>
                <w:sz w:val="22"/>
                <w:szCs w:val="22"/>
              </w:rPr>
              <w:t>27,5621</w:t>
            </w:r>
          </w:p>
        </w:tc>
      </w:tr>
      <w:tr w:rsidR="00173DA1" w:rsidRPr="001F224B" w14:paraId="60026496" w14:textId="77777777" w:rsidTr="00EB22A7">
        <w:trPr>
          <w:trHeight w:val="227"/>
        </w:trPr>
        <w:tc>
          <w:tcPr>
            <w:tcW w:w="4229" w:type="dxa"/>
          </w:tcPr>
          <w:p w14:paraId="46E29F32" w14:textId="77777777" w:rsidR="00173DA1" w:rsidRPr="001F224B" w:rsidRDefault="00173DA1" w:rsidP="00EB22A7">
            <w:pPr>
              <w:rPr>
                <w:bCs/>
                <w:sz w:val="22"/>
                <w:szCs w:val="22"/>
              </w:rPr>
            </w:pPr>
            <w:r w:rsidRPr="001F224B">
              <w:rPr>
                <w:bCs/>
                <w:sz w:val="22"/>
                <w:szCs w:val="22"/>
              </w:rPr>
              <w:t>26/06/2025</w:t>
            </w:r>
          </w:p>
        </w:tc>
        <w:tc>
          <w:tcPr>
            <w:tcW w:w="275" w:type="dxa"/>
            <w:vAlign w:val="bottom"/>
          </w:tcPr>
          <w:p w14:paraId="7F021934" w14:textId="77777777" w:rsidR="00173DA1" w:rsidRPr="001F224B" w:rsidRDefault="00173DA1" w:rsidP="00EB22A7">
            <w:pPr>
              <w:jc w:val="center"/>
              <w:rPr>
                <w:b/>
                <w:bCs/>
                <w:sz w:val="22"/>
                <w:szCs w:val="22"/>
                <w:u w:val="single"/>
              </w:rPr>
            </w:pPr>
          </w:p>
        </w:tc>
        <w:tc>
          <w:tcPr>
            <w:tcW w:w="1762" w:type="dxa"/>
            <w:tcBorders>
              <w:top w:val="nil"/>
              <w:left w:val="nil"/>
              <w:bottom w:val="nil"/>
              <w:right w:val="nil"/>
            </w:tcBorders>
            <w:shd w:val="clear" w:color="auto" w:fill="auto"/>
          </w:tcPr>
          <w:p w14:paraId="0E8DCA24" w14:textId="77777777" w:rsidR="00173DA1" w:rsidRPr="001F224B" w:rsidRDefault="00173DA1" w:rsidP="00EB22A7">
            <w:pPr>
              <w:jc w:val="center"/>
              <w:rPr>
                <w:color w:val="000000"/>
                <w:sz w:val="22"/>
                <w:szCs w:val="22"/>
              </w:rPr>
            </w:pPr>
            <w:r w:rsidRPr="001F224B">
              <w:rPr>
                <w:color w:val="000000"/>
                <w:sz w:val="22"/>
                <w:szCs w:val="22"/>
              </w:rPr>
              <w:t>39,7101</w:t>
            </w:r>
          </w:p>
        </w:tc>
        <w:tc>
          <w:tcPr>
            <w:tcW w:w="1464" w:type="dxa"/>
            <w:tcBorders>
              <w:top w:val="nil"/>
              <w:left w:val="nil"/>
              <w:bottom w:val="nil"/>
              <w:right w:val="nil"/>
            </w:tcBorders>
            <w:shd w:val="clear" w:color="auto" w:fill="auto"/>
          </w:tcPr>
          <w:p w14:paraId="7090906E" w14:textId="77777777" w:rsidR="00173DA1" w:rsidRPr="001F224B" w:rsidRDefault="00173DA1" w:rsidP="00EB22A7">
            <w:pPr>
              <w:jc w:val="center"/>
              <w:rPr>
                <w:color w:val="000000"/>
                <w:sz w:val="22"/>
                <w:szCs w:val="22"/>
              </w:rPr>
            </w:pPr>
            <w:r w:rsidRPr="001F224B">
              <w:rPr>
                <w:color w:val="000000"/>
                <w:sz w:val="22"/>
                <w:szCs w:val="22"/>
              </w:rPr>
              <w:t>46,3973</w:t>
            </w:r>
          </w:p>
        </w:tc>
        <w:tc>
          <w:tcPr>
            <w:tcW w:w="1518" w:type="dxa"/>
            <w:tcBorders>
              <w:top w:val="nil"/>
              <w:left w:val="nil"/>
              <w:bottom w:val="nil"/>
              <w:right w:val="nil"/>
            </w:tcBorders>
            <w:shd w:val="clear" w:color="auto" w:fill="auto"/>
          </w:tcPr>
          <w:p w14:paraId="7501C57E" w14:textId="77777777" w:rsidR="00173DA1" w:rsidRPr="001F224B" w:rsidRDefault="00173DA1" w:rsidP="00EB22A7">
            <w:pPr>
              <w:jc w:val="center"/>
              <w:rPr>
                <w:color w:val="000000"/>
                <w:sz w:val="22"/>
                <w:szCs w:val="22"/>
              </w:rPr>
            </w:pPr>
            <w:r w:rsidRPr="001F224B">
              <w:rPr>
                <w:color w:val="000000"/>
                <w:sz w:val="22"/>
                <w:szCs w:val="22"/>
              </w:rPr>
              <w:t>27,5210</w:t>
            </w:r>
          </w:p>
        </w:tc>
      </w:tr>
      <w:tr w:rsidR="00173DA1" w:rsidRPr="001F224B" w14:paraId="6479F1CD" w14:textId="77777777" w:rsidTr="00EB22A7">
        <w:trPr>
          <w:trHeight w:val="227"/>
        </w:trPr>
        <w:tc>
          <w:tcPr>
            <w:tcW w:w="4229" w:type="dxa"/>
          </w:tcPr>
          <w:p w14:paraId="56D9CB66" w14:textId="77777777" w:rsidR="00173DA1" w:rsidRPr="001F224B" w:rsidRDefault="00173DA1" w:rsidP="00EB22A7">
            <w:pPr>
              <w:rPr>
                <w:bCs/>
                <w:sz w:val="22"/>
                <w:szCs w:val="22"/>
              </w:rPr>
            </w:pPr>
            <w:r w:rsidRPr="001F224B">
              <w:rPr>
                <w:bCs/>
                <w:sz w:val="22"/>
                <w:szCs w:val="22"/>
              </w:rPr>
              <w:t>25/06/2025</w:t>
            </w:r>
          </w:p>
        </w:tc>
        <w:tc>
          <w:tcPr>
            <w:tcW w:w="275" w:type="dxa"/>
            <w:vAlign w:val="bottom"/>
          </w:tcPr>
          <w:p w14:paraId="7C5CDA06" w14:textId="77777777" w:rsidR="00173DA1" w:rsidRPr="001F224B" w:rsidRDefault="00173DA1" w:rsidP="00EB22A7">
            <w:pPr>
              <w:jc w:val="center"/>
              <w:rPr>
                <w:b/>
                <w:bCs/>
                <w:sz w:val="22"/>
                <w:szCs w:val="22"/>
                <w:u w:val="single"/>
              </w:rPr>
            </w:pPr>
          </w:p>
        </w:tc>
        <w:tc>
          <w:tcPr>
            <w:tcW w:w="1762" w:type="dxa"/>
            <w:tcBorders>
              <w:top w:val="nil"/>
              <w:left w:val="nil"/>
              <w:bottom w:val="nil"/>
              <w:right w:val="nil"/>
            </w:tcBorders>
            <w:shd w:val="clear" w:color="auto" w:fill="auto"/>
          </w:tcPr>
          <w:p w14:paraId="11250D72" w14:textId="77777777" w:rsidR="00173DA1" w:rsidRPr="001F224B" w:rsidRDefault="00173DA1" w:rsidP="00EB22A7">
            <w:pPr>
              <w:jc w:val="center"/>
              <w:rPr>
                <w:sz w:val="22"/>
                <w:szCs w:val="22"/>
              </w:rPr>
            </w:pPr>
            <w:r w:rsidRPr="001F224B">
              <w:rPr>
                <w:sz w:val="22"/>
                <w:szCs w:val="22"/>
              </w:rPr>
              <w:t>39,5542</w:t>
            </w:r>
          </w:p>
        </w:tc>
        <w:tc>
          <w:tcPr>
            <w:tcW w:w="1464" w:type="dxa"/>
            <w:tcBorders>
              <w:top w:val="nil"/>
              <w:left w:val="nil"/>
              <w:bottom w:val="nil"/>
              <w:right w:val="nil"/>
            </w:tcBorders>
            <w:shd w:val="clear" w:color="auto" w:fill="auto"/>
          </w:tcPr>
          <w:p w14:paraId="55818C3B" w14:textId="77777777" w:rsidR="00173DA1" w:rsidRPr="001F224B" w:rsidRDefault="00173DA1" w:rsidP="00EB22A7">
            <w:pPr>
              <w:jc w:val="center"/>
              <w:rPr>
                <w:sz w:val="22"/>
                <w:szCs w:val="22"/>
              </w:rPr>
            </w:pPr>
            <w:r w:rsidRPr="001F224B">
              <w:rPr>
                <w:sz w:val="22"/>
                <w:szCs w:val="22"/>
              </w:rPr>
              <w:t>45,9382</w:t>
            </w:r>
          </w:p>
        </w:tc>
        <w:tc>
          <w:tcPr>
            <w:tcW w:w="1518" w:type="dxa"/>
            <w:tcBorders>
              <w:top w:val="nil"/>
              <w:left w:val="nil"/>
              <w:bottom w:val="nil"/>
              <w:right w:val="nil"/>
            </w:tcBorders>
            <w:shd w:val="clear" w:color="auto" w:fill="auto"/>
          </w:tcPr>
          <w:p w14:paraId="65ED87A7" w14:textId="77777777" w:rsidR="00173DA1" w:rsidRPr="001F224B" w:rsidRDefault="00173DA1" w:rsidP="00EB22A7">
            <w:pPr>
              <w:jc w:val="center"/>
              <w:rPr>
                <w:sz w:val="22"/>
                <w:szCs w:val="22"/>
              </w:rPr>
            </w:pPr>
            <w:r w:rsidRPr="001F224B">
              <w:rPr>
                <w:sz w:val="22"/>
                <w:szCs w:val="22"/>
              </w:rPr>
              <w:t>27,3580</w:t>
            </w:r>
          </w:p>
        </w:tc>
      </w:tr>
      <w:tr w:rsidR="00173DA1" w:rsidRPr="001F224B" w14:paraId="606DB4EA" w14:textId="77777777" w:rsidTr="00EB22A7">
        <w:trPr>
          <w:trHeight w:val="227"/>
        </w:trPr>
        <w:tc>
          <w:tcPr>
            <w:tcW w:w="4229" w:type="dxa"/>
          </w:tcPr>
          <w:p w14:paraId="353E2109" w14:textId="77777777" w:rsidR="00173DA1" w:rsidRPr="001F224B" w:rsidRDefault="00173DA1" w:rsidP="00EB22A7">
            <w:pPr>
              <w:rPr>
                <w:bCs/>
                <w:sz w:val="22"/>
                <w:szCs w:val="22"/>
              </w:rPr>
            </w:pPr>
            <w:r w:rsidRPr="001F224B">
              <w:rPr>
                <w:bCs/>
                <w:sz w:val="22"/>
                <w:szCs w:val="22"/>
              </w:rPr>
              <w:t>24/06/2025</w:t>
            </w:r>
          </w:p>
        </w:tc>
        <w:tc>
          <w:tcPr>
            <w:tcW w:w="275" w:type="dxa"/>
            <w:vAlign w:val="bottom"/>
          </w:tcPr>
          <w:p w14:paraId="2B862EC3" w14:textId="77777777" w:rsidR="00173DA1" w:rsidRPr="001F224B" w:rsidRDefault="00173DA1" w:rsidP="00EB22A7">
            <w:pPr>
              <w:jc w:val="center"/>
              <w:rPr>
                <w:b/>
                <w:bCs/>
                <w:sz w:val="22"/>
                <w:szCs w:val="22"/>
                <w:u w:val="single"/>
              </w:rPr>
            </w:pPr>
          </w:p>
        </w:tc>
        <w:tc>
          <w:tcPr>
            <w:tcW w:w="1762" w:type="dxa"/>
            <w:tcBorders>
              <w:top w:val="nil"/>
              <w:left w:val="nil"/>
              <w:bottom w:val="nil"/>
              <w:right w:val="nil"/>
            </w:tcBorders>
            <w:shd w:val="clear" w:color="auto" w:fill="auto"/>
          </w:tcPr>
          <w:p w14:paraId="55BCB62C" w14:textId="77777777" w:rsidR="00173DA1" w:rsidRPr="001F224B" w:rsidRDefault="00173DA1" w:rsidP="00EB22A7">
            <w:pPr>
              <w:jc w:val="center"/>
              <w:rPr>
                <w:sz w:val="22"/>
                <w:szCs w:val="22"/>
              </w:rPr>
            </w:pPr>
            <w:r w:rsidRPr="001F224B">
              <w:rPr>
                <w:sz w:val="22"/>
                <w:szCs w:val="22"/>
              </w:rPr>
              <w:t>39,5558</w:t>
            </w:r>
          </w:p>
        </w:tc>
        <w:tc>
          <w:tcPr>
            <w:tcW w:w="1464" w:type="dxa"/>
            <w:tcBorders>
              <w:top w:val="nil"/>
              <w:left w:val="nil"/>
              <w:bottom w:val="nil"/>
              <w:right w:val="nil"/>
            </w:tcBorders>
            <w:shd w:val="clear" w:color="auto" w:fill="auto"/>
          </w:tcPr>
          <w:p w14:paraId="43A58CD4" w14:textId="77777777" w:rsidR="00173DA1" w:rsidRPr="001F224B" w:rsidRDefault="00173DA1" w:rsidP="00EB22A7">
            <w:pPr>
              <w:jc w:val="center"/>
              <w:rPr>
                <w:sz w:val="22"/>
                <w:szCs w:val="22"/>
              </w:rPr>
            </w:pPr>
            <w:r w:rsidRPr="001F224B">
              <w:rPr>
                <w:sz w:val="22"/>
                <w:szCs w:val="22"/>
              </w:rPr>
              <w:t>45,8966</w:t>
            </w:r>
          </w:p>
        </w:tc>
        <w:tc>
          <w:tcPr>
            <w:tcW w:w="1518" w:type="dxa"/>
            <w:tcBorders>
              <w:top w:val="nil"/>
              <w:left w:val="nil"/>
              <w:bottom w:val="nil"/>
              <w:right w:val="nil"/>
            </w:tcBorders>
            <w:shd w:val="clear" w:color="auto" w:fill="auto"/>
          </w:tcPr>
          <w:p w14:paraId="4118687F" w14:textId="77777777" w:rsidR="00173DA1" w:rsidRPr="001F224B" w:rsidRDefault="00173DA1" w:rsidP="00EB22A7">
            <w:pPr>
              <w:jc w:val="center"/>
              <w:rPr>
                <w:sz w:val="22"/>
                <w:szCs w:val="22"/>
              </w:rPr>
            </w:pPr>
            <w:r w:rsidRPr="001F224B">
              <w:rPr>
                <w:sz w:val="22"/>
                <w:szCs w:val="22"/>
              </w:rPr>
              <w:t>27,2761</w:t>
            </w:r>
          </w:p>
        </w:tc>
      </w:tr>
      <w:tr w:rsidR="00173DA1" w:rsidRPr="001F224B" w14:paraId="6CA7A87C" w14:textId="77777777" w:rsidTr="00EB22A7">
        <w:trPr>
          <w:trHeight w:val="227"/>
        </w:trPr>
        <w:tc>
          <w:tcPr>
            <w:tcW w:w="4229" w:type="dxa"/>
            <w:vAlign w:val="bottom"/>
          </w:tcPr>
          <w:p w14:paraId="6BC25A9C" w14:textId="77777777" w:rsidR="00173DA1" w:rsidRPr="001F224B" w:rsidRDefault="00173DA1" w:rsidP="00EB22A7">
            <w:pPr>
              <w:rPr>
                <w:bCs/>
                <w:sz w:val="22"/>
                <w:szCs w:val="22"/>
              </w:rPr>
            </w:pPr>
          </w:p>
        </w:tc>
        <w:tc>
          <w:tcPr>
            <w:tcW w:w="275" w:type="dxa"/>
            <w:vAlign w:val="bottom"/>
          </w:tcPr>
          <w:p w14:paraId="1A1AF834" w14:textId="77777777" w:rsidR="00173DA1" w:rsidRPr="001F224B" w:rsidRDefault="00173DA1" w:rsidP="00EB22A7">
            <w:pPr>
              <w:jc w:val="center"/>
              <w:rPr>
                <w:b/>
                <w:bCs/>
                <w:sz w:val="22"/>
                <w:szCs w:val="22"/>
                <w:u w:val="single"/>
              </w:rPr>
            </w:pPr>
          </w:p>
        </w:tc>
        <w:tc>
          <w:tcPr>
            <w:tcW w:w="1762" w:type="dxa"/>
            <w:tcBorders>
              <w:top w:val="nil"/>
              <w:left w:val="nil"/>
              <w:bottom w:val="nil"/>
              <w:right w:val="nil"/>
            </w:tcBorders>
            <w:shd w:val="clear" w:color="auto" w:fill="auto"/>
          </w:tcPr>
          <w:p w14:paraId="17B09B2A" w14:textId="77777777" w:rsidR="00173DA1" w:rsidRPr="001F224B" w:rsidRDefault="00173DA1" w:rsidP="00EB22A7">
            <w:pPr>
              <w:jc w:val="center"/>
              <w:rPr>
                <w:sz w:val="22"/>
                <w:szCs w:val="22"/>
              </w:rPr>
            </w:pPr>
          </w:p>
        </w:tc>
        <w:tc>
          <w:tcPr>
            <w:tcW w:w="1464" w:type="dxa"/>
            <w:tcBorders>
              <w:top w:val="nil"/>
              <w:left w:val="nil"/>
              <w:bottom w:val="nil"/>
              <w:right w:val="nil"/>
            </w:tcBorders>
            <w:shd w:val="clear" w:color="auto" w:fill="auto"/>
          </w:tcPr>
          <w:p w14:paraId="6D3D5D8A" w14:textId="77777777" w:rsidR="00173DA1" w:rsidRPr="001F224B" w:rsidRDefault="00173DA1" w:rsidP="00EB22A7">
            <w:pPr>
              <w:jc w:val="center"/>
              <w:rPr>
                <w:sz w:val="22"/>
                <w:szCs w:val="22"/>
              </w:rPr>
            </w:pPr>
          </w:p>
        </w:tc>
        <w:tc>
          <w:tcPr>
            <w:tcW w:w="1518" w:type="dxa"/>
            <w:tcBorders>
              <w:top w:val="nil"/>
              <w:left w:val="nil"/>
              <w:bottom w:val="nil"/>
              <w:right w:val="nil"/>
            </w:tcBorders>
            <w:shd w:val="clear" w:color="auto" w:fill="auto"/>
          </w:tcPr>
          <w:p w14:paraId="663A7BAE" w14:textId="77777777" w:rsidR="00173DA1" w:rsidRPr="001F224B" w:rsidRDefault="00173DA1" w:rsidP="00EB22A7">
            <w:pPr>
              <w:jc w:val="center"/>
              <w:rPr>
                <w:sz w:val="22"/>
                <w:szCs w:val="22"/>
              </w:rPr>
            </w:pPr>
          </w:p>
        </w:tc>
      </w:tr>
    </w:tbl>
    <w:p w14:paraId="76F79AEC" w14:textId="77777777" w:rsidR="00173DA1" w:rsidRPr="001F224B" w:rsidRDefault="00173DA1" w:rsidP="00173DA1">
      <w:pPr>
        <w:tabs>
          <w:tab w:val="left" w:pos="567"/>
        </w:tabs>
        <w:spacing w:before="120"/>
        <w:ind w:left="567"/>
        <w:jc w:val="both"/>
        <w:rPr>
          <w:sz w:val="22"/>
          <w:szCs w:val="22"/>
        </w:rPr>
      </w:pPr>
      <w:r w:rsidRPr="001F224B">
        <w:rPr>
          <w:sz w:val="22"/>
          <w:szCs w:val="22"/>
        </w:rPr>
        <w:t>Banka’nın döviz alış kurunun finansal tablo tarihinden geriye doğru son otuz günlük basit aritmetik ortalama değeri;</w:t>
      </w:r>
      <w:r w:rsidRPr="001F224B">
        <w:rPr>
          <w:b/>
          <w:bCs/>
          <w:sz w:val="22"/>
          <w:szCs w:val="22"/>
        </w:rPr>
        <w:t xml:space="preserve"> </w:t>
      </w:r>
      <w:r w:rsidRPr="001F224B">
        <w:rPr>
          <w:sz w:val="22"/>
          <w:szCs w:val="22"/>
        </w:rPr>
        <w:t>ABD Doları: 39,3622 TL, Avro: 45,3255 TL, CHF: 48,3721 TL’dir.</w:t>
      </w:r>
      <w:r w:rsidRPr="001F224B">
        <w:t xml:space="preserve"> </w:t>
      </w:r>
    </w:p>
    <w:p w14:paraId="501A6C81" w14:textId="77777777" w:rsidR="00EE11D0" w:rsidRPr="001F224B" w:rsidRDefault="00EE11D0" w:rsidP="00EE11D0">
      <w:pPr>
        <w:rPr>
          <w:b/>
          <w:bCs/>
          <w:sz w:val="22"/>
          <w:szCs w:val="22"/>
        </w:rPr>
        <w:sectPr w:rsidR="00EE11D0" w:rsidRPr="001F224B">
          <w:pgSz w:w="11907" w:h="16840"/>
          <w:pgMar w:top="680" w:right="964" w:bottom="567" w:left="1134" w:header="624" w:footer="397" w:gutter="0"/>
          <w:cols w:space="708"/>
        </w:sectPr>
      </w:pPr>
    </w:p>
    <w:p w14:paraId="0E3A2108" w14:textId="77777777" w:rsidR="008E1875" w:rsidRPr="001F224B" w:rsidRDefault="008E1875" w:rsidP="008E1875">
      <w:pPr>
        <w:pStyle w:val="ListParagraph"/>
        <w:tabs>
          <w:tab w:val="left" w:pos="0"/>
        </w:tabs>
        <w:spacing w:before="120"/>
        <w:ind w:left="0"/>
        <w:rPr>
          <w:b/>
          <w:bCs/>
          <w:sz w:val="22"/>
          <w:szCs w:val="22"/>
        </w:rPr>
      </w:pPr>
      <w:r w:rsidRPr="001F224B">
        <w:rPr>
          <w:b/>
          <w:bCs/>
          <w:sz w:val="22"/>
          <w:szCs w:val="22"/>
        </w:rPr>
        <w:t>DÖRDÜNCÜ BÖLÜM (Devamı)</w:t>
      </w:r>
    </w:p>
    <w:p w14:paraId="6711D66B" w14:textId="77777777" w:rsidR="008E1875" w:rsidRPr="001F224B" w:rsidRDefault="008E1875" w:rsidP="008E1875">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325BAEA6" w14:textId="1BCA1859" w:rsidR="008E1875" w:rsidRPr="001F224B" w:rsidRDefault="008E1875" w:rsidP="008E1875">
      <w:pPr>
        <w:tabs>
          <w:tab w:val="left" w:pos="567"/>
        </w:tabs>
        <w:spacing w:afterLines="60" w:after="144"/>
        <w:rPr>
          <w:b/>
          <w:bCs/>
          <w:sz w:val="22"/>
          <w:szCs w:val="22"/>
        </w:rPr>
      </w:pPr>
      <w:bookmarkStart w:id="19" w:name="OLE_LINK86"/>
      <w:r w:rsidRPr="001F224B">
        <w:rPr>
          <w:b/>
          <w:bCs/>
          <w:sz w:val="22"/>
          <w:szCs w:val="22"/>
        </w:rPr>
        <w:t>I</w:t>
      </w:r>
      <w:r w:rsidR="00C12D26" w:rsidRPr="001F224B">
        <w:rPr>
          <w:b/>
          <w:bCs/>
          <w:sz w:val="22"/>
          <w:szCs w:val="22"/>
        </w:rPr>
        <w:t>I</w:t>
      </w:r>
      <w:r w:rsidRPr="001F224B">
        <w:rPr>
          <w:b/>
          <w:bCs/>
          <w:sz w:val="22"/>
          <w:szCs w:val="22"/>
        </w:rPr>
        <w:t>.</w:t>
      </w:r>
      <w:r w:rsidRPr="001F224B">
        <w:rPr>
          <w:b/>
          <w:bCs/>
          <w:sz w:val="22"/>
          <w:szCs w:val="22"/>
        </w:rPr>
        <w:tab/>
      </w:r>
      <w:r w:rsidRPr="001F224B">
        <w:rPr>
          <w:b/>
          <w:sz w:val="22"/>
          <w:szCs w:val="22"/>
        </w:rPr>
        <w:t>Konsolide kur riskine ilişkin açıklamalar</w:t>
      </w:r>
      <w:r w:rsidRPr="001F224B" w:rsidDel="00A96577">
        <w:rPr>
          <w:b/>
          <w:bCs/>
          <w:sz w:val="22"/>
          <w:szCs w:val="22"/>
        </w:rPr>
        <w:t xml:space="preserve"> </w:t>
      </w:r>
      <w:r w:rsidRPr="001F224B">
        <w:rPr>
          <w:b/>
          <w:bCs/>
          <w:sz w:val="22"/>
          <w:szCs w:val="22"/>
        </w:rPr>
        <w:t>(Devamı)</w:t>
      </w:r>
    </w:p>
    <w:bookmarkEnd w:id="19"/>
    <w:p w14:paraId="0247DFBD" w14:textId="71EC7E04" w:rsidR="008E1875" w:rsidRPr="001F224B" w:rsidRDefault="008E1875" w:rsidP="008E1875">
      <w:pPr>
        <w:pStyle w:val="1tipi"/>
        <w:tabs>
          <w:tab w:val="clear" w:pos="1134"/>
          <w:tab w:val="left" w:pos="0"/>
          <w:tab w:val="left" w:pos="567"/>
        </w:tabs>
        <w:spacing w:before="120" w:after="120"/>
        <w:rPr>
          <w:rFonts w:ascii="Times New Roman" w:hAnsi="Times New Roman" w:cs="Times New Roman"/>
          <w:b/>
          <w:bCs/>
          <w:sz w:val="22"/>
          <w:szCs w:val="22"/>
          <w:lang w:val="tr-TR"/>
        </w:rPr>
      </w:pPr>
      <w:r w:rsidRPr="001F224B">
        <w:rPr>
          <w:rFonts w:ascii="Times New Roman" w:hAnsi="Times New Roman" w:cs="Times New Roman"/>
          <w:b/>
          <w:bCs/>
          <w:sz w:val="22"/>
          <w:szCs w:val="22"/>
          <w:lang w:val="tr-TR"/>
        </w:rPr>
        <w:tab/>
      </w:r>
      <w:r w:rsidR="00E97B1A" w:rsidRPr="001F224B">
        <w:rPr>
          <w:rFonts w:ascii="Times New Roman" w:hAnsi="Times New Roman" w:cs="Times New Roman"/>
          <w:b/>
          <w:bCs/>
          <w:sz w:val="22"/>
          <w:szCs w:val="22"/>
          <w:lang w:val="tr-TR"/>
        </w:rPr>
        <w:t>Grup’u</w:t>
      </w:r>
      <w:r w:rsidRPr="001F224B">
        <w:rPr>
          <w:rFonts w:ascii="Times New Roman" w:hAnsi="Times New Roman" w:cs="Times New Roman"/>
          <w:b/>
          <w:bCs/>
          <w:sz w:val="22"/>
          <w:szCs w:val="22"/>
          <w:lang w:val="tr-TR"/>
        </w:rPr>
        <w:t>n kur riskine ilişkin bilgiler:</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3"/>
        <w:gridCol w:w="1238"/>
        <w:gridCol w:w="1164"/>
        <w:gridCol w:w="1239"/>
        <w:gridCol w:w="1276"/>
      </w:tblGrid>
      <w:tr w:rsidR="000C2551" w:rsidRPr="001F224B" w14:paraId="1F5E7C74" w14:textId="77777777" w:rsidTr="005C0315">
        <w:trPr>
          <w:trHeight w:val="229"/>
        </w:trPr>
        <w:tc>
          <w:tcPr>
            <w:tcW w:w="5143" w:type="dxa"/>
            <w:shd w:val="clear" w:color="000000" w:fill="FFFFFF"/>
            <w:noWrap/>
            <w:vAlign w:val="bottom"/>
            <w:hideMark/>
          </w:tcPr>
          <w:p w14:paraId="50A3A090" w14:textId="26BBA483" w:rsidR="000C2551" w:rsidRPr="001F224B" w:rsidRDefault="000C2551" w:rsidP="007E66AD">
            <w:pPr>
              <w:rPr>
                <w:b/>
                <w:bCs/>
                <w:color w:val="000000"/>
                <w:sz w:val="20"/>
                <w:szCs w:val="20"/>
              </w:rPr>
            </w:pPr>
            <w:bookmarkStart w:id="20" w:name="RANGE!A1:E41"/>
            <w:bookmarkStart w:id="21" w:name="_Hlk125013521"/>
            <w:r w:rsidRPr="001F224B">
              <w:rPr>
                <w:b/>
                <w:bCs/>
                <w:color w:val="000000"/>
                <w:sz w:val="20"/>
                <w:szCs w:val="20"/>
              </w:rPr>
              <w:t>Cari Dönem (3</w:t>
            </w:r>
            <w:r w:rsidR="007C7418" w:rsidRPr="001F224B">
              <w:rPr>
                <w:b/>
                <w:bCs/>
                <w:color w:val="000000"/>
                <w:sz w:val="20"/>
                <w:szCs w:val="20"/>
              </w:rPr>
              <w:t>0</w:t>
            </w:r>
            <w:r w:rsidRPr="001F224B">
              <w:rPr>
                <w:b/>
                <w:bCs/>
                <w:color w:val="000000"/>
                <w:sz w:val="20"/>
                <w:szCs w:val="20"/>
              </w:rPr>
              <w:t>.</w:t>
            </w:r>
            <w:r w:rsidR="007946D8" w:rsidRPr="001F224B">
              <w:rPr>
                <w:b/>
                <w:bCs/>
                <w:color w:val="000000"/>
                <w:sz w:val="20"/>
                <w:szCs w:val="20"/>
              </w:rPr>
              <w:t>0</w:t>
            </w:r>
            <w:r w:rsidR="007C7418" w:rsidRPr="001F224B">
              <w:rPr>
                <w:b/>
                <w:bCs/>
                <w:color w:val="000000"/>
                <w:sz w:val="20"/>
                <w:szCs w:val="20"/>
              </w:rPr>
              <w:t>6</w:t>
            </w:r>
            <w:r w:rsidRPr="001F224B">
              <w:rPr>
                <w:b/>
                <w:bCs/>
                <w:color w:val="000000"/>
                <w:sz w:val="20"/>
                <w:szCs w:val="20"/>
              </w:rPr>
              <w:t>.202</w:t>
            </w:r>
            <w:r w:rsidR="007946D8" w:rsidRPr="001F224B">
              <w:rPr>
                <w:b/>
                <w:bCs/>
                <w:color w:val="000000"/>
                <w:sz w:val="20"/>
                <w:szCs w:val="20"/>
              </w:rPr>
              <w:t>5</w:t>
            </w:r>
            <w:r w:rsidRPr="001F224B">
              <w:rPr>
                <w:b/>
                <w:bCs/>
                <w:color w:val="000000"/>
                <w:sz w:val="20"/>
                <w:szCs w:val="20"/>
              </w:rPr>
              <w:t>)</w:t>
            </w:r>
            <w:bookmarkEnd w:id="20"/>
          </w:p>
        </w:tc>
        <w:tc>
          <w:tcPr>
            <w:tcW w:w="1238" w:type="dxa"/>
            <w:tcBorders>
              <w:bottom w:val="single" w:sz="4" w:space="0" w:color="auto"/>
            </w:tcBorders>
            <w:shd w:val="clear" w:color="000000" w:fill="FFFFFF"/>
            <w:noWrap/>
            <w:vAlign w:val="center"/>
            <w:hideMark/>
          </w:tcPr>
          <w:p w14:paraId="3053A515" w14:textId="77777777" w:rsidR="000C2551" w:rsidRPr="001F224B" w:rsidRDefault="000C2551" w:rsidP="007E66AD">
            <w:pPr>
              <w:jc w:val="center"/>
              <w:rPr>
                <w:b/>
                <w:bCs/>
                <w:color w:val="000000"/>
                <w:sz w:val="20"/>
                <w:szCs w:val="20"/>
              </w:rPr>
            </w:pPr>
            <w:r w:rsidRPr="001F224B">
              <w:rPr>
                <w:b/>
                <w:bCs/>
                <w:color w:val="000000"/>
                <w:sz w:val="20"/>
                <w:szCs w:val="20"/>
              </w:rPr>
              <w:t>Avro</w:t>
            </w:r>
          </w:p>
        </w:tc>
        <w:tc>
          <w:tcPr>
            <w:tcW w:w="1164" w:type="dxa"/>
            <w:tcBorders>
              <w:bottom w:val="single" w:sz="4" w:space="0" w:color="auto"/>
            </w:tcBorders>
            <w:shd w:val="clear" w:color="000000" w:fill="FFFFFF"/>
            <w:noWrap/>
            <w:vAlign w:val="center"/>
            <w:hideMark/>
          </w:tcPr>
          <w:p w14:paraId="13F0D845" w14:textId="77777777" w:rsidR="000C2551" w:rsidRPr="001F224B" w:rsidRDefault="000C2551" w:rsidP="007E66AD">
            <w:pPr>
              <w:jc w:val="center"/>
              <w:rPr>
                <w:b/>
                <w:bCs/>
                <w:color w:val="000000"/>
                <w:sz w:val="20"/>
                <w:szCs w:val="20"/>
              </w:rPr>
            </w:pPr>
            <w:r w:rsidRPr="001F224B">
              <w:rPr>
                <w:b/>
                <w:bCs/>
                <w:color w:val="000000"/>
                <w:sz w:val="20"/>
                <w:szCs w:val="20"/>
              </w:rPr>
              <w:t>ABD Doları</w:t>
            </w:r>
          </w:p>
        </w:tc>
        <w:tc>
          <w:tcPr>
            <w:tcW w:w="1239" w:type="dxa"/>
            <w:tcBorders>
              <w:bottom w:val="single" w:sz="4" w:space="0" w:color="auto"/>
            </w:tcBorders>
            <w:shd w:val="clear" w:color="000000" w:fill="FFFFFF"/>
            <w:noWrap/>
            <w:vAlign w:val="bottom"/>
            <w:hideMark/>
          </w:tcPr>
          <w:p w14:paraId="19A5870A" w14:textId="6AD940D0" w:rsidR="000C2551" w:rsidRPr="001F224B" w:rsidRDefault="00AA0338" w:rsidP="007E66AD">
            <w:pPr>
              <w:jc w:val="center"/>
              <w:rPr>
                <w:b/>
                <w:bCs/>
                <w:color w:val="000000"/>
                <w:sz w:val="20"/>
                <w:szCs w:val="20"/>
              </w:rPr>
            </w:pPr>
            <w:r w:rsidRPr="001F224B">
              <w:rPr>
                <w:b/>
                <w:bCs/>
                <w:color w:val="000000"/>
                <w:sz w:val="20"/>
                <w:szCs w:val="20"/>
              </w:rPr>
              <w:t>Diğer YP</w:t>
            </w:r>
            <w:r w:rsidRPr="001F224B">
              <w:rPr>
                <w:b/>
                <w:bCs/>
                <w:color w:val="000000"/>
                <w:sz w:val="20"/>
                <w:szCs w:val="20"/>
                <w:vertAlign w:val="superscript"/>
              </w:rPr>
              <w:t>(*)</w:t>
            </w:r>
          </w:p>
        </w:tc>
        <w:tc>
          <w:tcPr>
            <w:tcW w:w="1276" w:type="dxa"/>
            <w:tcBorders>
              <w:bottom w:val="single" w:sz="4" w:space="0" w:color="auto"/>
            </w:tcBorders>
            <w:shd w:val="clear" w:color="000000" w:fill="FFFFFF"/>
            <w:noWrap/>
            <w:vAlign w:val="center"/>
            <w:hideMark/>
          </w:tcPr>
          <w:p w14:paraId="7E3A5868" w14:textId="77777777" w:rsidR="000C2551" w:rsidRPr="001F224B" w:rsidRDefault="000C2551" w:rsidP="007E66AD">
            <w:pPr>
              <w:jc w:val="center"/>
              <w:rPr>
                <w:b/>
                <w:bCs/>
                <w:color w:val="000000"/>
                <w:sz w:val="20"/>
                <w:szCs w:val="20"/>
              </w:rPr>
            </w:pPr>
            <w:r w:rsidRPr="001F224B">
              <w:rPr>
                <w:b/>
                <w:bCs/>
                <w:color w:val="000000"/>
                <w:sz w:val="20"/>
                <w:szCs w:val="20"/>
              </w:rPr>
              <w:t>Toplam</w:t>
            </w:r>
          </w:p>
        </w:tc>
      </w:tr>
      <w:tr w:rsidR="000C2551" w:rsidRPr="001F224B" w14:paraId="6AC6449E" w14:textId="77777777" w:rsidTr="005C0315">
        <w:trPr>
          <w:trHeight w:val="229"/>
        </w:trPr>
        <w:tc>
          <w:tcPr>
            <w:tcW w:w="5143" w:type="dxa"/>
            <w:shd w:val="clear" w:color="000000" w:fill="FFFFFF"/>
            <w:noWrap/>
            <w:vAlign w:val="bottom"/>
            <w:hideMark/>
          </w:tcPr>
          <w:p w14:paraId="06D92C8F" w14:textId="77777777" w:rsidR="000C2551" w:rsidRPr="001F224B" w:rsidRDefault="000C2551" w:rsidP="007E66AD">
            <w:pPr>
              <w:rPr>
                <w:color w:val="000000"/>
                <w:sz w:val="20"/>
                <w:szCs w:val="20"/>
              </w:rPr>
            </w:pPr>
            <w:r w:rsidRPr="001F224B">
              <w:rPr>
                <w:color w:val="000000"/>
                <w:sz w:val="20"/>
                <w:szCs w:val="20"/>
              </w:rPr>
              <w:t>Varlıklar</w:t>
            </w:r>
          </w:p>
        </w:tc>
        <w:tc>
          <w:tcPr>
            <w:tcW w:w="1238" w:type="dxa"/>
            <w:shd w:val="clear" w:color="000000" w:fill="FFFFFF"/>
            <w:noWrap/>
            <w:vAlign w:val="bottom"/>
            <w:hideMark/>
          </w:tcPr>
          <w:p w14:paraId="548F2930" w14:textId="77777777" w:rsidR="000C2551" w:rsidRPr="001F224B" w:rsidRDefault="000C2551" w:rsidP="007E66AD">
            <w:pPr>
              <w:jc w:val="right"/>
              <w:rPr>
                <w:b/>
                <w:bCs/>
                <w:color w:val="000000"/>
                <w:sz w:val="20"/>
                <w:szCs w:val="20"/>
              </w:rPr>
            </w:pPr>
            <w:r w:rsidRPr="001F224B">
              <w:rPr>
                <w:b/>
                <w:bCs/>
                <w:color w:val="000000"/>
                <w:sz w:val="20"/>
                <w:szCs w:val="20"/>
              </w:rPr>
              <w:t> </w:t>
            </w:r>
          </w:p>
        </w:tc>
        <w:tc>
          <w:tcPr>
            <w:tcW w:w="1164" w:type="dxa"/>
            <w:shd w:val="clear" w:color="000000" w:fill="FFFFFF"/>
            <w:noWrap/>
            <w:vAlign w:val="bottom"/>
            <w:hideMark/>
          </w:tcPr>
          <w:p w14:paraId="132BFBF8" w14:textId="77777777" w:rsidR="000C2551" w:rsidRPr="001F224B" w:rsidRDefault="000C2551" w:rsidP="007E66AD">
            <w:pPr>
              <w:jc w:val="right"/>
              <w:rPr>
                <w:b/>
                <w:bCs/>
                <w:color w:val="000000"/>
                <w:sz w:val="20"/>
                <w:szCs w:val="20"/>
              </w:rPr>
            </w:pPr>
            <w:r w:rsidRPr="001F224B">
              <w:rPr>
                <w:b/>
                <w:bCs/>
                <w:color w:val="000000"/>
                <w:sz w:val="20"/>
                <w:szCs w:val="20"/>
              </w:rPr>
              <w:t> </w:t>
            </w:r>
          </w:p>
        </w:tc>
        <w:tc>
          <w:tcPr>
            <w:tcW w:w="1239" w:type="dxa"/>
            <w:shd w:val="clear" w:color="000000" w:fill="FFFFFF"/>
            <w:noWrap/>
            <w:vAlign w:val="bottom"/>
            <w:hideMark/>
          </w:tcPr>
          <w:p w14:paraId="196E114B" w14:textId="77777777" w:rsidR="000C2551" w:rsidRPr="001F224B" w:rsidRDefault="000C2551" w:rsidP="007E66AD">
            <w:pPr>
              <w:jc w:val="right"/>
              <w:rPr>
                <w:b/>
                <w:bCs/>
                <w:color w:val="000000"/>
                <w:sz w:val="20"/>
                <w:szCs w:val="20"/>
              </w:rPr>
            </w:pPr>
            <w:r w:rsidRPr="001F224B">
              <w:rPr>
                <w:b/>
                <w:bCs/>
                <w:color w:val="000000"/>
                <w:sz w:val="20"/>
                <w:szCs w:val="20"/>
              </w:rPr>
              <w:t> </w:t>
            </w:r>
          </w:p>
        </w:tc>
        <w:tc>
          <w:tcPr>
            <w:tcW w:w="1276" w:type="dxa"/>
            <w:shd w:val="clear" w:color="000000" w:fill="FFFFFF"/>
            <w:noWrap/>
            <w:vAlign w:val="bottom"/>
            <w:hideMark/>
          </w:tcPr>
          <w:p w14:paraId="2E9A2691" w14:textId="77777777" w:rsidR="000C2551" w:rsidRPr="001F224B" w:rsidRDefault="000C2551" w:rsidP="007E66AD">
            <w:pPr>
              <w:jc w:val="right"/>
              <w:rPr>
                <w:b/>
                <w:bCs/>
                <w:color w:val="000000"/>
                <w:sz w:val="20"/>
                <w:szCs w:val="20"/>
              </w:rPr>
            </w:pPr>
            <w:r w:rsidRPr="001F224B">
              <w:rPr>
                <w:b/>
                <w:bCs/>
                <w:color w:val="000000"/>
                <w:sz w:val="20"/>
                <w:szCs w:val="20"/>
              </w:rPr>
              <w:t> </w:t>
            </w:r>
          </w:p>
        </w:tc>
      </w:tr>
      <w:tr w:rsidR="00EE11D0" w:rsidRPr="001F224B" w14:paraId="591B40E0" w14:textId="77777777" w:rsidTr="00BA29BF">
        <w:trPr>
          <w:trHeight w:val="229"/>
        </w:trPr>
        <w:tc>
          <w:tcPr>
            <w:tcW w:w="5143" w:type="dxa"/>
            <w:shd w:val="clear" w:color="000000" w:fill="FFFFFF"/>
            <w:noWrap/>
            <w:vAlign w:val="bottom"/>
            <w:hideMark/>
          </w:tcPr>
          <w:p w14:paraId="5343473A" w14:textId="77777777" w:rsidR="00EE11D0" w:rsidRPr="001F224B" w:rsidRDefault="00EE11D0" w:rsidP="00EE11D0">
            <w:pPr>
              <w:ind w:left="212"/>
              <w:rPr>
                <w:color w:val="000000"/>
                <w:sz w:val="20"/>
                <w:szCs w:val="20"/>
              </w:rPr>
            </w:pPr>
            <w:r w:rsidRPr="001F224B">
              <w:rPr>
                <w:color w:val="000000"/>
                <w:sz w:val="20"/>
                <w:szCs w:val="20"/>
              </w:rPr>
              <w:t>Nakit Değerler (Kasa, Efektif Deposu, Yoldaki Paralar, Satın Alınan Çekler) ve TCMB</w:t>
            </w:r>
          </w:p>
        </w:tc>
        <w:tc>
          <w:tcPr>
            <w:tcW w:w="1238" w:type="dxa"/>
            <w:tcBorders>
              <w:bottom w:val="single" w:sz="4" w:space="0" w:color="auto"/>
            </w:tcBorders>
            <w:shd w:val="clear" w:color="000000" w:fill="FFFFFF"/>
            <w:noWrap/>
            <w:vAlign w:val="bottom"/>
            <w:hideMark/>
          </w:tcPr>
          <w:p w14:paraId="57105037" w14:textId="66FB2F03" w:rsidR="00EE11D0" w:rsidRPr="001F224B" w:rsidRDefault="00EE11D0" w:rsidP="00EE11D0">
            <w:pPr>
              <w:jc w:val="right"/>
              <w:rPr>
                <w:color w:val="000000"/>
                <w:sz w:val="20"/>
                <w:szCs w:val="20"/>
              </w:rPr>
            </w:pPr>
            <w:r w:rsidRPr="001F224B">
              <w:rPr>
                <w:color w:val="000000"/>
                <w:sz w:val="20"/>
                <w:szCs w:val="20"/>
              </w:rPr>
              <w:t>-</w:t>
            </w:r>
          </w:p>
        </w:tc>
        <w:tc>
          <w:tcPr>
            <w:tcW w:w="1164" w:type="dxa"/>
            <w:tcBorders>
              <w:bottom w:val="single" w:sz="4" w:space="0" w:color="auto"/>
            </w:tcBorders>
            <w:shd w:val="clear" w:color="000000" w:fill="FFFFFF"/>
            <w:noWrap/>
            <w:vAlign w:val="bottom"/>
            <w:hideMark/>
          </w:tcPr>
          <w:p w14:paraId="27E22726" w14:textId="49F25432" w:rsidR="00EE11D0" w:rsidRPr="001F224B" w:rsidRDefault="00EE11D0" w:rsidP="00EE11D0">
            <w:pPr>
              <w:jc w:val="right"/>
              <w:rPr>
                <w:color w:val="000000"/>
                <w:sz w:val="20"/>
                <w:szCs w:val="20"/>
              </w:rPr>
            </w:pPr>
            <w:r w:rsidRPr="001F224B">
              <w:rPr>
                <w:color w:val="000000"/>
                <w:sz w:val="20"/>
                <w:szCs w:val="20"/>
              </w:rPr>
              <w:t>-</w:t>
            </w:r>
          </w:p>
        </w:tc>
        <w:tc>
          <w:tcPr>
            <w:tcW w:w="1239" w:type="dxa"/>
            <w:tcBorders>
              <w:bottom w:val="single" w:sz="4" w:space="0" w:color="auto"/>
            </w:tcBorders>
            <w:shd w:val="clear" w:color="000000" w:fill="FFFFFF"/>
            <w:noWrap/>
            <w:vAlign w:val="bottom"/>
            <w:hideMark/>
          </w:tcPr>
          <w:p w14:paraId="2A049620" w14:textId="1BA60E92" w:rsidR="00EE11D0" w:rsidRPr="001F224B" w:rsidRDefault="00EE11D0" w:rsidP="00EE11D0">
            <w:pPr>
              <w:jc w:val="right"/>
              <w:rPr>
                <w:color w:val="000000"/>
                <w:sz w:val="20"/>
                <w:szCs w:val="20"/>
              </w:rPr>
            </w:pPr>
            <w:r w:rsidRPr="001F224B">
              <w:rPr>
                <w:color w:val="000000"/>
                <w:sz w:val="20"/>
                <w:szCs w:val="20"/>
              </w:rPr>
              <w:t>-</w:t>
            </w:r>
          </w:p>
        </w:tc>
        <w:tc>
          <w:tcPr>
            <w:tcW w:w="1276" w:type="dxa"/>
            <w:tcBorders>
              <w:bottom w:val="single" w:sz="4" w:space="0" w:color="auto"/>
            </w:tcBorders>
            <w:shd w:val="clear" w:color="000000" w:fill="FFFFFF"/>
            <w:noWrap/>
            <w:vAlign w:val="bottom"/>
            <w:hideMark/>
          </w:tcPr>
          <w:p w14:paraId="0D0021BE" w14:textId="59455147" w:rsidR="00EE11D0" w:rsidRPr="001F224B" w:rsidRDefault="00EE11D0" w:rsidP="00EE11D0">
            <w:pPr>
              <w:jc w:val="right"/>
              <w:rPr>
                <w:color w:val="000000"/>
                <w:sz w:val="20"/>
                <w:szCs w:val="20"/>
              </w:rPr>
            </w:pPr>
            <w:r w:rsidRPr="001F224B">
              <w:rPr>
                <w:color w:val="000000"/>
                <w:sz w:val="20"/>
                <w:szCs w:val="20"/>
              </w:rPr>
              <w:t>-</w:t>
            </w:r>
          </w:p>
        </w:tc>
      </w:tr>
      <w:tr w:rsidR="00BA29BF" w:rsidRPr="001F224B" w14:paraId="01FC45F1" w14:textId="77777777" w:rsidTr="00BA29BF">
        <w:trPr>
          <w:trHeight w:val="229"/>
        </w:trPr>
        <w:tc>
          <w:tcPr>
            <w:tcW w:w="5143" w:type="dxa"/>
            <w:shd w:val="clear" w:color="000000" w:fill="FFFFFF"/>
            <w:noWrap/>
            <w:vAlign w:val="bottom"/>
            <w:hideMark/>
          </w:tcPr>
          <w:p w14:paraId="0594BCD3" w14:textId="77777777" w:rsidR="00BA29BF" w:rsidRPr="001F224B" w:rsidRDefault="00BA29BF" w:rsidP="00BA29BF">
            <w:pPr>
              <w:rPr>
                <w:color w:val="000000"/>
                <w:sz w:val="20"/>
                <w:szCs w:val="20"/>
              </w:rPr>
            </w:pPr>
            <w:r w:rsidRPr="001F224B">
              <w:rPr>
                <w:color w:val="000000"/>
                <w:sz w:val="20"/>
                <w:szCs w:val="20"/>
              </w:rPr>
              <w:t xml:space="preserve">    Bankalar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361CB043" w14:textId="09A4D6E9" w:rsidR="00BA29BF" w:rsidRPr="001F224B" w:rsidRDefault="00BA29BF" w:rsidP="00BA29BF">
            <w:pPr>
              <w:jc w:val="right"/>
              <w:rPr>
                <w:sz w:val="20"/>
                <w:szCs w:val="20"/>
              </w:rPr>
            </w:pPr>
            <w:r w:rsidRPr="001F224B">
              <w:rPr>
                <w:sz w:val="20"/>
                <w:szCs w:val="20"/>
              </w:rPr>
              <w:t>7.823.620</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2CA5E" w14:textId="79F9F16A" w:rsidR="00BA29BF" w:rsidRPr="001F224B" w:rsidRDefault="00BA29BF" w:rsidP="00BA29BF">
            <w:pPr>
              <w:jc w:val="right"/>
              <w:rPr>
                <w:sz w:val="20"/>
                <w:szCs w:val="20"/>
              </w:rPr>
            </w:pPr>
            <w:r w:rsidRPr="001F224B">
              <w:rPr>
                <w:sz w:val="20"/>
                <w:szCs w:val="20"/>
              </w:rPr>
              <w:t>957.120</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A2B53" w14:textId="597A2992" w:rsidR="00BA29BF" w:rsidRPr="001F224B" w:rsidRDefault="00BA29BF" w:rsidP="00BA29BF">
            <w:pPr>
              <w:jc w:val="right"/>
              <w:rPr>
                <w:sz w:val="20"/>
                <w:szCs w:val="20"/>
              </w:rPr>
            </w:pPr>
            <w:r w:rsidRPr="001F224B">
              <w:rPr>
                <w:sz w:val="20"/>
                <w:szCs w:val="20"/>
              </w:rPr>
              <w:t>3.164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CEB51" w14:textId="27242613" w:rsidR="00BA29BF" w:rsidRPr="001F224B" w:rsidRDefault="00BA29BF" w:rsidP="00BA29BF">
            <w:pPr>
              <w:jc w:val="right"/>
              <w:rPr>
                <w:sz w:val="20"/>
                <w:szCs w:val="20"/>
              </w:rPr>
            </w:pPr>
            <w:r w:rsidRPr="001F224B">
              <w:rPr>
                <w:sz w:val="20"/>
                <w:szCs w:val="20"/>
              </w:rPr>
              <w:t>8.783.904</w:t>
            </w:r>
          </w:p>
        </w:tc>
      </w:tr>
      <w:tr w:rsidR="00BA29BF" w:rsidRPr="001F224B" w14:paraId="39952347" w14:textId="77777777" w:rsidTr="00BA29BF">
        <w:trPr>
          <w:trHeight w:val="229"/>
        </w:trPr>
        <w:tc>
          <w:tcPr>
            <w:tcW w:w="5143" w:type="dxa"/>
            <w:shd w:val="clear" w:color="000000" w:fill="FFFFFF"/>
            <w:noWrap/>
            <w:vAlign w:val="bottom"/>
            <w:hideMark/>
          </w:tcPr>
          <w:p w14:paraId="4613D4EA" w14:textId="77777777" w:rsidR="00BA29BF" w:rsidRPr="001F224B" w:rsidRDefault="00BA29BF" w:rsidP="00BA29BF">
            <w:pPr>
              <w:ind w:left="212"/>
              <w:rPr>
                <w:color w:val="000000"/>
                <w:sz w:val="20"/>
                <w:szCs w:val="20"/>
              </w:rPr>
            </w:pPr>
            <w:r w:rsidRPr="001F224B">
              <w:rPr>
                <w:color w:val="000000"/>
                <w:sz w:val="20"/>
                <w:szCs w:val="20"/>
              </w:rPr>
              <w:t>Gerçeğe Uygun Değer Farkı Kar veya Zarara Yansıtılan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01DBEEDA" w14:textId="08237CEF" w:rsidR="00BA29BF" w:rsidRPr="001F224B" w:rsidRDefault="00BA29BF" w:rsidP="00BA29BF">
            <w:pPr>
              <w:jc w:val="right"/>
              <w:rPr>
                <w:sz w:val="20"/>
                <w:szCs w:val="20"/>
              </w:rPr>
            </w:pPr>
            <w:r w:rsidRPr="001F224B">
              <w:rPr>
                <w:sz w:val="20"/>
                <w:szCs w:val="20"/>
              </w:rPr>
              <w:t>259.987</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66E381" w14:textId="4A7F02B8" w:rsidR="00BA29BF" w:rsidRPr="001F224B" w:rsidRDefault="00BA29BF" w:rsidP="00BA29BF">
            <w:pPr>
              <w:jc w:val="right"/>
              <w:rPr>
                <w:sz w:val="20"/>
                <w:szCs w:val="20"/>
              </w:rPr>
            </w:pPr>
            <w:r w:rsidRPr="001F224B">
              <w:rPr>
                <w:sz w:val="20"/>
                <w:szCs w:val="20"/>
              </w:rPr>
              <w:t>76.736</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2C28E" w14:textId="3C60D318"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E8159" w14:textId="338C20D6" w:rsidR="00BA29BF" w:rsidRPr="001F224B" w:rsidRDefault="00BA29BF" w:rsidP="00BA29BF">
            <w:pPr>
              <w:jc w:val="right"/>
              <w:rPr>
                <w:sz w:val="20"/>
                <w:szCs w:val="20"/>
              </w:rPr>
            </w:pPr>
            <w:r w:rsidRPr="001F224B">
              <w:rPr>
                <w:sz w:val="20"/>
                <w:szCs w:val="20"/>
              </w:rPr>
              <w:t>336.723</w:t>
            </w:r>
          </w:p>
        </w:tc>
      </w:tr>
      <w:tr w:rsidR="00BA29BF" w:rsidRPr="001F224B" w14:paraId="33A704EC" w14:textId="77777777" w:rsidTr="00BA29BF">
        <w:trPr>
          <w:trHeight w:val="229"/>
        </w:trPr>
        <w:tc>
          <w:tcPr>
            <w:tcW w:w="5143" w:type="dxa"/>
            <w:shd w:val="clear" w:color="000000" w:fill="FFFFFF"/>
            <w:noWrap/>
            <w:vAlign w:val="bottom"/>
            <w:hideMark/>
          </w:tcPr>
          <w:p w14:paraId="29771CA8" w14:textId="77777777" w:rsidR="00BA29BF" w:rsidRPr="001F224B" w:rsidRDefault="00BA29BF" w:rsidP="00BA29BF">
            <w:pPr>
              <w:rPr>
                <w:color w:val="000000"/>
                <w:sz w:val="20"/>
                <w:szCs w:val="20"/>
              </w:rPr>
            </w:pPr>
            <w:r w:rsidRPr="001F224B">
              <w:rPr>
                <w:color w:val="000000"/>
                <w:sz w:val="20"/>
                <w:szCs w:val="20"/>
              </w:rPr>
              <w:t xml:space="preserve">    Para Piyasalarından Alacaklar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599325E8" w14:textId="6F69626A" w:rsidR="00BA29BF" w:rsidRPr="001F224B" w:rsidRDefault="00BA29BF" w:rsidP="00BA29BF">
            <w:pPr>
              <w:jc w:val="right"/>
              <w:rPr>
                <w:sz w:val="20"/>
                <w:szCs w:val="20"/>
              </w:rPr>
            </w:pPr>
            <w:r w:rsidRPr="001F224B">
              <w:rPr>
                <w:sz w:val="20"/>
                <w:szCs w:val="20"/>
              </w:rPr>
              <w:t xml:space="preserve"> -   </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21D0E" w14:textId="20EB9F14" w:rsidR="00BA29BF" w:rsidRPr="001F224B" w:rsidRDefault="00BA29BF" w:rsidP="00BA29BF">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191E2" w14:textId="366EC05F"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63EE1" w14:textId="2BF0CB35" w:rsidR="00BA29BF" w:rsidRPr="001F224B" w:rsidRDefault="00BA29BF" w:rsidP="00BA29BF">
            <w:pPr>
              <w:jc w:val="right"/>
              <w:rPr>
                <w:sz w:val="20"/>
                <w:szCs w:val="20"/>
              </w:rPr>
            </w:pPr>
            <w:r w:rsidRPr="001F224B">
              <w:rPr>
                <w:sz w:val="20"/>
                <w:szCs w:val="20"/>
              </w:rPr>
              <w:t>-</w:t>
            </w:r>
          </w:p>
        </w:tc>
      </w:tr>
      <w:tr w:rsidR="00BA29BF" w:rsidRPr="001F224B" w14:paraId="61481921" w14:textId="77777777" w:rsidTr="00BA29BF">
        <w:trPr>
          <w:trHeight w:val="319"/>
        </w:trPr>
        <w:tc>
          <w:tcPr>
            <w:tcW w:w="5143" w:type="dxa"/>
            <w:shd w:val="clear" w:color="000000" w:fill="FFFFFF"/>
            <w:noWrap/>
            <w:vAlign w:val="bottom"/>
            <w:hideMark/>
          </w:tcPr>
          <w:p w14:paraId="29749AA4" w14:textId="77777777" w:rsidR="00BA29BF" w:rsidRPr="001F224B" w:rsidRDefault="00BA29BF" w:rsidP="00BA29BF">
            <w:pPr>
              <w:ind w:left="212"/>
              <w:rPr>
                <w:color w:val="000000"/>
                <w:sz w:val="20"/>
                <w:szCs w:val="20"/>
              </w:rPr>
            </w:pPr>
            <w:r w:rsidRPr="001F224B">
              <w:rPr>
                <w:color w:val="000000"/>
                <w:sz w:val="20"/>
                <w:szCs w:val="20"/>
              </w:rPr>
              <w:t>Gerçeğe Uygun Değer Farkı Diğer Kapsamlı Gelire Yansıtılan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95D554C" w14:textId="2E500B90" w:rsidR="00BA29BF" w:rsidRPr="001F224B" w:rsidRDefault="00BA29BF" w:rsidP="00BA29BF">
            <w:pPr>
              <w:jc w:val="right"/>
              <w:rPr>
                <w:sz w:val="20"/>
                <w:szCs w:val="20"/>
              </w:rPr>
            </w:pPr>
            <w:r w:rsidRPr="001F224B">
              <w:rPr>
                <w:sz w:val="20"/>
                <w:szCs w:val="20"/>
              </w:rPr>
              <w:t>3.904.120</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E4F01" w14:textId="3A3CC13B" w:rsidR="00BA29BF" w:rsidRPr="001F224B" w:rsidRDefault="00BA29BF" w:rsidP="00BA29BF">
            <w:pPr>
              <w:jc w:val="right"/>
              <w:rPr>
                <w:sz w:val="20"/>
                <w:szCs w:val="20"/>
              </w:rPr>
            </w:pPr>
            <w:r w:rsidRPr="001F224B">
              <w:rPr>
                <w:sz w:val="20"/>
                <w:szCs w:val="20"/>
              </w:rPr>
              <w:t>17.994.701</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99FB9" w14:textId="3EC535B6"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14531" w14:textId="5A843B18" w:rsidR="00BA29BF" w:rsidRPr="001F224B" w:rsidRDefault="00BA29BF" w:rsidP="00BA29BF">
            <w:pPr>
              <w:jc w:val="right"/>
              <w:rPr>
                <w:sz w:val="20"/>
                <w:szCs w:val="20"/>
              </w:rPr>
            </w:pPr>
            <w:r w:rsidRPr="001F224B">
              <w:rPr>
                <w:sz w:val="20"/>
                <w:szCs w:val="20"/>
              </w:rPr>
              <w:t>21.898.821</w:t>
            </w:r>
          </w:p>
        </w:tc>
      </w:tr>
      <w:tr w:rsidR="00BA29BF" w:rsidRPr="001F224B" w14:paraId="5652F4B1" w14:textId="77777777" w:rsidTr="00BA29BF">
        <w:trPr>
          <w:trHeight w:val="229"/>
        </w:trPr>
        <w:tc>
          <w:tcPr>
            <w:tcW w:w="5143" w:type="dxa"/>
            <w:shd w:val="clear" w:color="000000" w:fill="FFFFFF"/>
            <w:noWrap/>
            <w:vAlign w:val="bottom"/>
            <w:hideMark/>
          </w:tcPr>
          <w:p w14:paraId="25F8E6E6" w14:textId="77777777" w:rsidR="00BA29BF" w:rsidRPr="001F224B" w:rsidRDefault="00BA29BF" w:rsidP="00BA29BF">
            <w:pPr>
              <w:rPr>
                <w:color w:val="000000"/>
                <w:sz w:val="20"/>
                <w:szCs w:val="20"/>
              </w:rPr>
            </w:pPr>
            <w:r w:rsidRPr="001F224B">
              <w:rPr>
                <w:color w:val="000000"/>
                <w:sz w:val="20"/>
                <w:szCs w:val="20"/>
              </w:rPr>
              <w:t xml:space="preserve">    Krediler </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58BECC36" w14:textId="1B7C6DAE" w:rsidR="00BA29BF" w:rsidRPr="001F224B" w:rsidRDefault="00BA29BF" w:rsidP="00BA29BF">
            <w:pPr>
              <w:jc w:val="right"/>
              <w:rPr>
                <w:sz w:val="20"/>
                <w:szCs w:val="20"/>
              </w:rPr>
            </w:pPr>
            <w:r w:rsidRPr="001F224B">
              <w:rPr>
                <w:sz w:val="20"/>
                <w:szCs w:val="20"/>
              </w:rPr>
              <w:t>33.626.787</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D1879" w14:textId="7DC314FE" w:rsidR="00BA29BF" w:rsidRPr="001F224B" w:rsidRDefault="00BA29BF" w:rsidP="00BA29BF">
            <w:pPr>
              <w:jc w:val="right"/>
              <w:rPr>
                <w:sz w:val="20"/>
                <w:szCs w:val="20"/>
              </w:rPr>
            </w:pPr>
            <w:r w:rsidRPr="001F224B">
              <w:rPr>
                <w:sz w:val="20"/>
                <w:szCs w:val="20"/>
              </w:rPr>
              <w:t>52.496.122</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0A02A" w14:textId="42C3A994"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D4CAA" w14:textId="21DBD602" w:rsidR="00BA29BF" w:rsidRPr="001F224B" w:rsidRDefault="00BA29BF" w:rsidP="00BA29BF">
            <w:pPr>
              <w:jc w:val="right"/>
              <w:rPr>
                <w:sz w:val="20"/>
                <w:szCs w:val="20"/>
              </w:rPr>
            </w:pPr>
            <w:r w:rsidRPr="001F224B">
              <w:rPr>
                <w:sz w:val="20"/>
                <w:szCs w:val="20"/>
              </w:rPr>
              <w:t>86.122.909</w:t>
            </w:r>
          </w:p>
        </w:tc>
      </w:tr>
      <w:tr w:rsidR="00BA29BF" w:rsidRPr="001F224B" w14:paraId="1498C8B1" w14:textId="77777777" w:rsidTr="00BA29BF">
        <w:trPr>
          <w:trHeight w:val="229"/>
        </w:trPr>
        <w:tc>
          <w:tcPr>
            <w:tcW w:w="5143" w:type="dxa"/>
            <w:shd w:val="clear" w:color="000000" w:fill="FFFFFF"/>
            <w:noWrap/>
            <w:vAlign w:val="bottom"/>
            <w:hideMark/>
          </w:tcPr>
          <w:p w14:paraId="47820976" w14:textId="73195DFA" w:rsidR="00BA29BF" w:rsidRPr="001F224B" w:rsidRDefault="00BA29BF" w:rsidP="00BA29BF">
            <w:pPr>
              <w:ind w:left="212"/>
              <w:rPr>
                <w:color w:val="000000"/>
                <w:sz w:val="20"/>
                <w:szCs w:val="20"/>
              </w:rPr>
            </w:pPr>
            <w:r w:rsidRPr="001F224B">
              <w:rPr>
                <w:color w:val="000000"/>
                <w:sz w:val="20"/>
                <w:szCs w:val="20"/>
              </w:rPr>
              <w:t>İştirak, Bağlı Ortaklık ve Birlikte Kontrol Edilen Ortaklıklar (iş ortaklıkları)</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62B1C191" w14:textId="69B9FECF" w:rsidR="00BA29BF" w:rsidRPr="001F224B" w:rsidRDefault="00BA29BF" w:rsidP="00BA29BF">
            <w:pPr>
              <w:jc w:val="right"/>
              <w:rPr>
                <w:sz w:val="20"/>
                <w:szCs w:val="20"/>
              </w:rPr>
            </w:pPr>
            <w:r w:rsidRPr="001F224B">
              <w:rPr>
                <w:sz w:val="20"/>
                <w:szCs w:val="20"/>
              </w:rPr>
              <w:t xml:space="preserve"> -   </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BBF60" w14:textId="57ABA87F" w:rsidR="00BA29BF" w:rsidRPr="001F224B" w:rsidRDefault="00BA29BF" w:rsidP="00BA29BF">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9AEB3" w14:textId="19D0CF6F"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FE74A" w14:textId="3E41FF58" w:rsidR="00BA29BF" w:rsidRPr="001F224B" w:rsidRDefault="00BA29BF" w:rsidP="00BA29BF">
            <w:pPr>
              <w:jc w:val="right"/>
              <w:rPr>
                <w:sz w:val="20"/>
                <w:szCs w:val="20"/>
              </w:rPr>
            </w:pPr>
            <w:r w:rsidRPr="001F224B">
              <w:rPr>
                <w:sz w:val="20"/>
                <w:szCs w:val="20"/>
              </w:rPr>
              <w:t>-</w:t>
            </w:r>
          </w:p>
        </w:tc>
      </w:tr>
      <w:tr w:rsidR="00BA29BF" w:rsidRPr="001F224B" w14:paraId="3259F9DD" w14:textId="77777777" w:rsidTr="00BA29BF">
        <w:trPr>
          <w:trHeight w:val="229"/>
        </w:trPr>
        <w:tc>
          <w:tcPr>
            <w:tcW w:w="5143" w:type="dxa"/>
            <w:shd w:val="clear" w:color="000000" w:fill="FFFFFF"/>
            <w:noWrap/>
            <w:vAlign w:val="bottom"/>
            <w:hideMark/>
          </w:tcPr>
          <w:p w14:paraId="4457FABA" w14:textId="77777777" w:rsidR="00BA29BF" w:rsidRPr="001F224B" w:rsidRDefault="00BA29BF" w:rsidP="00BA29BF">
            <w:pPr>
              <w:ind w:left="209"/>
              <w:rPr>
                <w:color w:val="000000"/>
                <w:sz w:val="20"/>
                <w:szCs w:val="20"/>
              </w:rPr>
            </w:pPr>
            <w:r w:rsidRPr="001F224B">
              <w:rPr>
                <w:color w:val="000000"/>
                <w:sz w:val="20"/>
                <w:szCs w:val="20"/>
              </w:rPr>
              <w:t>İtfa Edilmiş Maliyeti Üzerinden Değerlenen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E3A95E5" w14:textId="0B574DCD" w:rsidR="00BA29BF" w:rsidRPr="001F224B" w:rsidRDefault="00BA29BF" w:rsidP="00BA29BF">
            <w:pPr>
              <w:jc w:val="right"/>
              <w:rPr>
                <w:sz w:val="20"/>
                <w:szCs w:val="20"/>
              </w:rPr>
            </w:pPr>
            <w:r w:rsidRPr="001F224B">
              <w:rPr>
                <w:sz w:val="20"/>
                <w:szCs w:val="20"/>
              </w:rPr>
              <w:t>243.377</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57AB6" w14:textId="3B124661" w:rsidR="00BA29BF" w:rsidRPr="001F224B" w:rsidRDefault="00BA29BF" w:rsidP="00BA29BF">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917029" w14:textId="1DF53B5A"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898C8" w14:textId="72A5350B" w:rsidR="00BA29BF" w:rsidRPr="001F224B" w:rsidRDefault="00BA29BF" w:rsidP="00BA29BF">
            <w:pPr>
              <w:jc w:val="right"/>
              <w:rPr>
                <w:sz w:val="20"/>
                <w:szCs w:val="20"/>
              </w:rPr>
            </w:pPr>
            <w:r w:rsidRPr="001F224B">
              <w:rPr>
                <w:sz w:val="20"/>
                <w:szCs w:val="20"/>
              </w:rPr>
              <w:t>243.377</w:t>
            </w:r>
          </w:p>
        </w:tc>
      </w:tr>
      <w:tr w:rsidR="00BA29BF" w:rsidRPr="001F224B" w14:paraId="2B219C5C" w14:textId="77777777" w:rsidTr="00BA29BF">
        <w:trPr>
          <w:trHeight w:val="229"/>
        </w:trPr>
        <w:tc>
          <w:tcPr>
            <w:tcW w:w="5143" w:type="dxa"/>
            <w:shd w:val="clear" w:color="000000" w:fill="FFFFFF"/>
            <w:noWrap/>
            <w:vAlign w:val="bottom"/>
            <w:hideMark/>
          </w:tcPr>
          <w:p w14:paraId="40D35885" w14:textId="5BFFF4E7" w:rsidR="00BA29BF" w:rsidRPr="001F224B" w:rsidRDefault="00BA29BF" w:rsidP="00BA29BF">
            <w:pPr>
              <w:rPr>
                <w:color w:val="000000"/>
                <w:sz w:val="20"/>
                <w:szCs w:val="20"/>
              </w:rPr>
            </w:pPr>
            <w:r w:rsidRPr="001F224B">
              <w:rPr>
                <w:color w:val="000000"/>
                <w:sz w:val="20"/>
                <w:szCs w:val="20"/>
              </w:rPr>
              <w:t xml:space="preserve">    Alım Satım Amaçlı Türev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06F7B9DE" w14:textId="21B76EBA" w:rsidR="00BA29BF" w:rsidRPr="001F224B" w:rsidRDefault="00BA29BF" w:rsidP="00BA29BF">
            <w:pPr>
              <w:jc w:val="right"/>
              <w:rPr>
                <w:sz w:val="20"/>
                <w:szCs w:val="20"/>
              </w:rPr>
            </w:pPr>
            <w:r w:rsidRPr="001F224B">
              <w:rPr>
                <w:sz w:val="20"/>
                <w:szCs w:val="20"/>
              </w:rPr>
              <w:t xml:space="preserve"> -   </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21B10" w14:textId="77D06C65" w:rsidR="00BA29BF" w:rsidRPr="001F224B" w:rsidRDefault="00BA29BF" w:rsidP="00BA29BF">
            <w:pPr>
              <w:jc w:val="right"/>
              <w:rPr>
                <w:sz w:val="20"/>
                <w:szCs w:val="20"/>
              </w:rPr>
            </w:pPr>
            <w:r w:rsidRPr="001F224B">
              <w:rPr>
                <w:sz w:val="20"/>
                <w:szCs w:val="20"/>
              </w:rPr>
              <w:t xml:space="preserve"> 9.140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F53577" w14:textId="28EB1C52"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0EB5A" w14:textId="444261BE" w:rsidR="00BA29BF" w:rsidRPr="001F224B" w:rsidRDefault="00BA29BF" w:rsidP="00BA29BF">
            <w:pPr>
              <w:jc w:val="right"/>
              <w:rPr>
                <w:sz w:val="20"/>
                <w:szCs w:val="20"/>
              </w:rPr>
            </w:pPr>
            <w:r w:rsidRPr="001F224B">
              <w:rPr>
                <w:sz w:val="20"/>
                <w:szCs w:val="20"/>
              </w:rPr>
              <w:t>9.140</w:t>
            </w:r>
          </w:p>
        </w:tc>
      </w:tr>
      <w:tr w:rsidR="00BA29BF" w:rsidRPr="001F224B" w14:paraId="368DDEBB" w14:textId="77777777" w:rsidTr="00BA29BF">
        <w:trPr>
          <w:trHeight w:val="229"/>
        </w:trPr>
        <w:tc>
          <w:tcPr>
            <w:tcW w:w="5143" w:type="dxa"/>
            <w:shd w:val="clear" w:color="000000" w:fill="FFFFFF"/>
            <w:noWrap/>
            <w:vAlign w:val="bottom"/>
            <w:hideMark/>
          </w:tcPr>
          <w:p w14:paraId="437845E5" w14:textId="77777777" w:rsidR="00BA29BF" w:rsidRPr="001F224B" w:rsidRDefault="00BA29BF" w:rsidP="00BA29BF">
            <w:pPr>
              <w:rPr>
                <w:color w:val="000000"/>
                <w:sz w:val="20"/>
                <w:szCs w:val="20"/>
              </w:rPr>
            </w:pPr>
            <w:r w:rsidRPr="001F224B">
              <w:rPr>
                <w:color w:val="000000"/>
                <w:sz w:val="20"/>
                <w:szCs w:val="20"/>
              </w:rPr>
              <w:t xml:space="preserve">    Maddi Duran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81E3F2D" w14:textId="128854F0" w:rsidR="00BA29BF" w:rsidRPr="001F224B" w:rsidRDefault="00BA29BF" w:rsidP="00BA29BF">
            <w:pPr>
              <w:jc w:val="right"/>
              <w:rPr>
                <w:sz w:val="20"/>
                <w:szCs w:val="20"/>
              </w:rPr>
            </w:pPr>
            <w:r w:rsidRPr="001F224B">
              <w:rPr>
                <w:sz w:val="20"/>
                <w:szCs w:val="20"/>
              </w:rPr>
              <w:t xml:space="preserve"> -   </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A8B26" w14:textId="13A826BC" w:rsidR="00BA29BF" w:rsidRPr="001F224B" w:rsidRDefault="00BA29BF" w:rsidP="00BA29BF">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8F691" w14:textId="79731C9B"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7D046" w14:textId="2ED73E2E" w:rsidR="00BA29BF" w:rsidRPr="001F224B" w:rsidRDefault="00BA29BF" w:rsidP="00BA29BF">
            <w:pPr>
              <w:jc w:val="right"/>
              <w:rPr>
                <w:sz w:val="20"/>
                <w:szCs w:val="20"/>
              </w:rPr>
            </w:pPr>
            <w:r w:rsidRPr="001F224B">
              <w:rPr>
                <w:sz w:val="20"/>
                <w:szCs w:val="20"/>
              </w:rPr>
              <w:t>-</w:t>
            </w:r>
          </w:p>
        </w:tc>
      </w:tr>
      <w:tr w:rsidR="00BA29BF" w:rsidRPr="001F224B" w14:paraId="0BCB6F3D" w14:textId="77777777" w:rsidTr="00BA29BF">
        <w:trPr>
          <w:trHeight w:val="229"/>
        </w:trPr>
        <w:tc>
          <w:tcPr>
            <w:tcW w:w="5143" w:type="dxa"/>
            <w:shd w:val="clear" w:color="000000" w:fill="FFFFFF"/>
            <w:noWrap/>
            <w:vAlign w:val="bottom"/>
            <w:hideMark/>
          </w:tcPr>
          <w:p w14:paraId="7BA66DFB" w14:textId="77777777" w:rsidR="00BA29BF" w:rsidRPr="001F224B" w:rsidRDefault="00BA29BF" w:rsidP="00BA29BF">
            <w:pPr>
              <w:rPr>
                <w:color w:val="000000"/>
                <w:sz w:val="20"/>
                <w:szCs w:val="20"/>
              </w:rPr>
            </w:pPr>
            <w:r w:rsidRPr="001F224B">
              <w:rPr>
                <w:color w:val="000000"/>
                <w:sz w:val="20"/>
                <w:szCs w:val="20"/>
              </w:rPr>
              <w:t xml:space="preserve">    Maddi Olmayan Duran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AD627A0" w14:textId="623F9949" w:rsidR="00BA29BF" w:rsidRPr="001F224B" w:rsidRDefault="00BA29BF" w:rsidP="00BA29BF">
            <w:pPr>
              <w:jc w:val="right"/>
              <w:rPr>
                <w:sz w:val="20"/>
                <w:szCs w:val="20"/>
              </w:rPr>
            </w:pPr>
            <w:r w:rsidRPr="001F224B">
              <w:rPr>
                <w:sz w:val="20"/>
                <w:szCs w:val="20"/>
              </w:rPr>
              <w:t xml:space="preserve"> -   </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AFF44" w14:textId="39B8FCEE" w:rsidR="00BA29BF" w:rsidRPr="001F224B" w:rsidRDefault="00BA29BF" w:rsidP="00BA29BF">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F9AE2" w14:textId="17B9CA3A"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5BF5F" w14:textId="50227416" w:rsidR="00BA29BF" w:rsidRPr="001F224B" w:rsidRDefault="00BA29BF" w:rsidP="00BA29BF">
            <w:pPr>
              <w:jc w:val="right"/>
              <w:rPr>
                <w:sz w:val="20"/>
                <w:szCs w:val="20"/>
              </w:rPr>
            </w:pPr>
            <w:r w:rsidRPr="001F224B">
              <w:rPr>
                <w:sz w:val="20"/>
                <w:szCs w:val="20"/>
              </w:rPr>
              <w:t>-</w:t>
            </w:r>
          </w:p>
        </w:tc>
      </w:tr>
      <w:tr w:rsidR="00BA29BF" w:rsidRPr="001F224B" w14:paraId="6F621712" w14:textId="77777777" w:rsidTr="00BA29BF">
        <w:trPr>
          <w:trHeight w:val="229"/>
        </w:trPr>
        <w:tc>
          <w:tcPr>
            <w:tcW w:w="5143" w:type="dxa"/>
            <w:shd w:val="clear" w:color="000000" w:fill="FFFFFF"/>
            <w:noWrap/>
            <w:vAlign w:val="bottom"/>
            <w:hideMark/>
          </w:tcPr>
          <w:p w14:paraId="167734D4" w14:textId="77777777" w:rsidR="00BA29BF" w:rsidRPr="001F224B" w:rsidRDefault="00BA29BF" w:rsidP="00BA29BF">
            <w:pPr>
              <w:rPr>
                <w:color w:val="000000"/>
                <w:sz w:val="20"/>
                <w:szCs w:val="20"/>
              </w:rPr>
            </w:pPr>
            <w:r w:rsidRPr="001F224B">
              <w:rPr>
                <w:color w:val="000000"/>
                <w:sz w:val="20"/>
                <w:szCs w:val="20"/>
              </w:rPr>
              <w:t xml:space="preserve">    Diğer Aktifler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6326F4C" w14:textId="1BFA7843" w:rsidR="00BA29BF" w:rsidRPr="001F224B" w:rsidRDefault="00BA29BF" w:rsidP="00BA29BF">
            <w:pPr>
              <w:jc w:val="right"/>
              <w:rPr>
                <w:sz w:val="20"/>
                <w:szCs w:val="20"/>
              </w:rPr>
            </w:pPr>
            <w:r w:rsidRPr="001F224B">
              <w:rPr>
                <w:sz w:val="20"/>
                <w:szCs w:val="20"/>
              </w:rPr>
              <w:t>119.031</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49EFD" w14:textId="40E1B4E0" w:rsidR="00BA29BF" w:rsidRPr="001F224B" w:rsidRDefault="00BA29BF" w:rsidP="00BA29BF">
            <w:pPr>
              <w:jc w:val="right"/>
              <w:rPr>
                <w:sz w:val="20"/>
                <w:szCs w:val="20"/>
              </w:rPr>
            </w:pPr>
            <w:r w:rsidRPr="001F224B">
              <w:rPr>
                <w:sz w:val="20"/>
                <w:szCs w:val="20"/>
              </w:rPr>
              <w:t>154.095</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4046F" w14:textId="3FF3AB60"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AFCD3" w14:textId="2D85A42C" w:rsidR="00BA29BF" w:rsidRPr="001F224B" w:rsidRDefault="00BA29BF" w:rsidP="00BA29BF">
            <w:pPr>
              <w:jc w:val="right"/>
              <w:rPr>
                <w:sz w:val="20"/>
                <w:szCs w:val="20"/>
              </w:rPr>
            </w:pPr>
            <w:r w:rsidRPr="001F224B">
              <w:rPr>
                <w:sz w:val="20"/>
                <w:szCs w:val="20"/>
              </w:rPr>
              <w:t>273.126</w:t>
            </w:r>
          </w:p>
        </w:tc>
      </w:tr>
      <w:tr w:rsidR="00BA29BF" w:rsidRPr="001F224B" w14:paraId="36DDAD98" w14:textId="77777777" w:rsidTr="00BA29BF">
        <w:trPr>
          <w:trHeight w:val="229"/>
        </w:trPr>
        <w:tc>
          <w:tcPr>
            <w:tcW w:w="5143" w:type="dxa"/>
            <w:shd w:val="clear" w:color="000000" w:fill="FFFFFF"/>
            <w:noWrap/>
            <w:vAlign w:val="bottom"/>
            <w:hideMark/>
          </w:tcPr>
          <w:p w14:paraId="211C0760" w14:textId="77777777" w:rsidR="00BA29BF" w:rsidRPr="001F224B" w:rsidRDefault="00BA29BF" w:rsidP="00BA29BF">
            <w:pPr>
              <w:rPr>
                <w:b/>
                <w:bCs/>
                <w:color w:val="000000"/>
                <w:sz w:val="20"/>
                <w:szCs w:val="20"/>
              </w:rPr>
            </w:pPr>
            <w:r w:rsidRPr="001F224B">
              <w:rPr>
                <w:b/>
                <w:bCs/>
                <w:color w:val="000000"/>
                <w:sz w:val="20"/>
                <w:szCs w:val="20"/>
              </w:rPr>
              <w:t>Toplam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4B53AED6" w14:textId="18A55116" w:rsidR="00BA29BF" w:rsidRPr="001F224B" w:rsidRDefault="00BA29BF" w:rsidP="00BA29BF">
            <w:pPr>
              <w:jc w:val="right"/>
              <w:rPr>
                <w:b/>
                <w:bCs/>
                <w:sz w:val="20"/>
                <w:szCs w:val="20"/>
              </w:rPr>
            </w:pPr>
            <w:r w:rsidRPr="001F224B">
              <w:rPr>
                <w:b/>
                <w:bCs/>
                <w:sz w:val="20"/>
                <w:szCs w:val="20"/>
              </w:rPr>
              <w:t>45.976.922</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673416" w14:textId="29A09862" w:rsidR="00BA29BF" w:rsidRPr="001F224B" w:rsidRDefault="00BA29BF" w:rsidP="00BA29BF">
            <w:pPr>
              <w:jc w:val="right"/>
              <w:rPr>
                <w:b/>
                <w:bCs/>
                <w:sz w:val="20"/>
                <w:szCs w:val="20"/>
              </w:rPr>
            </w:pPr>
            <w:r w:rsidRPr="001F224B">
              <w:rPr>
                <w:b/>
                <w:bCs/>
                <w:sz w:val="20"/>
                <w:szCs w:val="20"/>
              </w:rPr>
              <w:t>71.687.914</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622DB" w14:textId="2E378697" w:rsidR="00BA29BF" w:rsidRPr="001F224B" w:rsidRDefault="00BA29BF" w:rsidP="00BA29BF">
            <w:pPr>
              <w:jc w:val="right"/>
              <w:rPr>
                <w:b/>
                <w:bCs/>
                <w:sz w:val="20"/>
                <w:szCs w:val="20"/>
              </w:rPr>
            </w:pPr>
            <w:r w:rsidRPr="001F224B">
              <w:rPr>
                <w:b/>
                <w:bCs/>
                <w:sz w:val="20"/>
                <w:szCs w:val="20"/>
              </w:rPr>
              <w:t>3.164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416DC" w14:textId="7C4B4ABB" w:rsidR="00BA29BF" w:rsidRPr="001F224B" w:rsidRDefault="00BA29BF" w:rsidP="00BA29BF">
            <w:pPr>
              <w:jc w:val="right"/>
              <w:rPr>
                <w:b/>
                <w:bCs/>
                <w:sz w:val="20"/>
                <w:szCs w:val="20"/>
              </w:rPr>
            </w:pPr>
            <w:r w:rsidRPr="001F224B">
              <w:rPr>
                <w:b/>
                <w:bCs/>
                <w:sz w:val="20"/>
                <w:szCs w:val="20"/>
              </w:rPr>
              <w:t>117.668.000</w:t>
            </w:r>
          </w:p>
        </w:tc>
      </w:tr>
      <w:tr w:rsidR="00EE11D0" w:rsidRPr="001F224B" w14:paraId="5AEFCC22" w14:textId="77777777" w:rsidTr="00BA29BF">
        <w:trPr>
          <w:trHeight w:val="229"/>
        </w:trPr>
        <w:tc>
          <w:tcPr>
            <w:tcW w:w="5143" w:type="dxa"/>
            <w:shd w:val="clear" w:color="000000" w:fill="FFFFFF"/>
            <w:noWrap/>
            <w:vAlign w:val="bottom"/>
            <w:hideMark/>
          </w:tcPr>
          <w:p w14:paraId="7159787B" w14:textId="77777777" w:rsidR="00EE11D0" w:rsidRPr="001F224B" w:rsidRDefault="00EE11D0" w:rsidP="00EE11D0">
            <w:pPr>
              <w:rPr>
                <w:color w:val="000000"/>
                <w:sz w:val="20"/>
                <w:szCs w:val="20"/>
              </w:rPr>
            </w:pPr>
            <w:r w:rsidRPr="001F224B">
              <w:rPr>
                <w:color w:val="000000"/>
                <w:sz w:val="20"/>
                <w:szCs w:val="20"/>
              </w:rPr>
              <w:t> </w:t>
            </w:r>
          </w:p>
        </w:tc>
        <w:tc>
          <w:tcPr>
            <w:tcW w:w="1238" w:type="dxa"/>
            <w:shd w:val="clear" w:color="000000" w:fill="FFFFFF"/>
            <w:noWrap/>
            <w:vAlign w:val="bottom"/>
            <w:hideMark/>
          </w:tcPr>
          <w:p w14:paraId="107005D7" w14:textId="7982A75C" w:rsidR="00EE11D0" w:rsidRPr="001F224B" w:rsidRDefault="00EE11D0" w:rsidP="00EE11D0">
            <w:pPr>
              <w:jc w:val="right"/>
              <w:rPr>
                <w:color w:val="000000"/>
                <w:sz w:val="20"/>
                <w:szCs w:val="20"/>
              </w:rPr>
            </w:pPr>
            <w:r w:rsidRPr="001F224B">
              <w:rPr>
                <w:sz w:val="20"/>
                <w:szCs w:val="20"/>
              </w:rPr>
              <w:t> </w:t>
            </w:r>
          </w:p>
        </w:tc>
        <w:tc>
          <w:tcPr>
            <w:tcW w:w="1164" w:type="dxa"/>
            <w:shd w:val="clear" w:color="000000" w:fill="FFFFFF"/>
            <w:noWrap/>
            <w:vAlign w:val="bottom"/>
            <w:hideMark/>
          </w:tcPr>
          <w:p w14:paraId="349CC606" w14:textId="6131AB7E" w:rsidR="00EE11D0" w:rsidRPr="001F224B" w:rsidRDefault="00EE11D0" w:rsidP="00EE11D0">
            <w:pPr>
              <w:jc w:val="right"/>
              <w:rPr>
                <w:color w:val="000000"/>
                <w:sz w:val="20"/>
                <w:szCs w:val="20"/>
              </w:rPr>
            </w:pPr>
            <w:r w:rsidRPr="001F224B">
              <w:rPr>
                <w:sz w:val="20"/>
                <w:szCs w:val="20"/>
              </w:rPr>
              <w:t> </w:t>
            </w:r>
          </w:p>
        </w:tc>
        <w:tc>
          <w:tcPr>
            <w:tcW w:w="1239" w:type="dxa"/>
            <w:shd w:val="clear" w:color="000000" w:fill="FFFFFF"/>
            <w:noWrap/>
            <w:vAlign w:val="bottom"/>
            <w:hideMark/>
          </w:tcPr>
          <w:p w14:paraId="7D65A181" w14:textId="3D019B51" w:rsidR="00EE11D0" w:rsidRPr="001F224B" w:rsidRDefault="00EE11D0" w:rsidP="00EE11D0">
            <w:pPr>
              <w:jc w:val="right"/>
              <w:rPr>
                <w:color w:val="000000"/>
                <w:sz w:val="20"/>
                <w:szCs w:val="20"/>
              </w:rPr>
            </w:pPr>
            <w:r w:rsidRPr="001F224B">
              <w:rPr>
                <w:sz w:val="20"/>
                <w:szCs w:val="20"/>
              </w:rPr>
              <w:t> </w:t>
            </w:r>
          </w:p>
        </w:tc>
        <w:tc>
          <w:tcPr>
            <w:tcW w:w="1276" w:type="dxa"/>
            <w:shd w:val="clear" w:color="000000" w:fill="FFFFFF"/>
            <w:noWrap/>
            <w:vAlign w:val="bottom"/>
            <w:hideMark/>
          </w:tcPr>
          <w:p w14:paraId="3EF1BD16" w14:textId="01B05423" w:rsidR="00EE11D0" w:rsidRPr="001F224B" w:rsidRDefault="00EE11D0" w:rsidP="00EE11D0">
            <w:pPr>
              <w:jc w:val="right"/>
              <w:rPr>
                <w:color w:val="000000"/>
                <w:sz w:val="20"/>
                <w:szCs w:val="20"/>
              </w:rPr>
            </w:pPr>
          </w:p>
        </w:tc>
      </w:tr>
      <w:tr w:rsidR="00EE11D0" w:rsidRPr="001F224B" w14:paraId="470C255B" w14:textId="77777777" w:rsidTr="00BA29BF">
        <w:trPr>
          <w:trHeight w:val="229"/>
        </w:trPr>
        <w:tc>
          <w:tcPr>
            <w:tcW w:w="5143" w:type="dxa"/>
            <w:shd w:val="clear" w:color="000000" w:fill="FFFFFF"/>
            <w:noWrap/>
            <w:vAlign w:val="bottom"/>
            <w:hideMark/>
          </w:tcPr>
          <w:p w14:paraId="3C7717B5" w14:textId="77777777" w:rsidR="00EE11D0" w:rsidRPr="001F224B" w:rsidRDefault="00EE11D0" w:rsidP="00EE11D0">
            <w:pPr>
              <w:rPr>
                <w:color w:val="000000"/>
                <w:sz w:val="20"/>
                <w:szCs w:val="20"/>
              </w:rPr>
            </w:pPr>
            <w:r w:rsidRPr="001F224B">
              <w:rPr>
                <w:color w:val="000000"/>
                <w:sz w:val="20"/>
                <w:szCs w:val="20"/>
              </w:rPr>
              <w:t>Yükümlülükler</w:t>
            </w:r>
          </w:p>
        </w:tc>
        <w:tc>
          <w:tcPr>
            <w:tcW w:w="1238" w:type="dxa"/>
            <w:shd w:val="clear" w:color="000000" w:fill="FFFFFF"/>
            <w:noWrap/>
            <w:vAlign w:val="bottom"/>
            <w:hideMark/>
          </w:tcPr>
          <w:p w14:paraId="3FD54F0C" w14:textId="472C10C9" w:rsidR="00EE11D0" w:rsidRPr="001F224B" w:rsidRDefault="00EE11D0" w:rsidP="00EE11D0">
            <w:pPr>
              <w:jc w:val="right"/>
              <w:rPr>
                <w:color w:val="000000"/>
                <w:sz w:val="20"/>
                <w:szCs w:val="20"/>
              </w:rPr>
            </w:pPr>
            <w:r w:rsidRPr="001F224B">
              <w:rPr>
                <w:sz w:val="20"/>
                <w:szCs w:val="20"/>
              </w:rPr>
              <w:t> </w:t>
            </w:r>
          </w:p>
        </w:tc>
        <w:tc>
          <w:tcPr>
            <w:tcW w:w="1164" w:type="dxa"/>
            <w:shd w:val="clear" w:color="000000" w:fill="FFFFFF"/>
            <w:noWrap/>
            <w:vAlign w:val="bottom"/>
            <w:hideMark/>
          </w:tcPr>
          <w:p w14:paraId="75466675" w14:textId="35DCBC42" w:rsidR="00EE11D0" w:rsidRPr="001F224B" w:rsidRDefault="00EE11D0" w:rsidP="00EE11D0">
            <w:pPr>
              <w:jc w:val="right"/>
              <w:rPr>
                <w:color w:val="000000"/>
                <w:sz w:val="20"/>
                <w:szCs w:val="20"/>
              </w:rPr>
            </w:pPr>
            <w:r w:rsidRPr="001F224B">
              <w:rPr>
                <w:sz w:val="20"/>
                <w:szCs w:val="20"/>
              </w:rPr>
              <w:t> </w:t>
            </w:r>
          </w:p>
        </w:tc>
        <w:tc>
          <w:tcPr>
            <w:tcW w:w="1239" w:type="dxa"/>
            <w:shd w:val="clear" w:color="000000" w:fill="FFFFFF"/>
            <w:noWrap/>
            <w:vAlign w:val="bottom"/>
            <w:hideMark/>
          </w:tcPr>
          <w:p w14:paraId="28D5944F" w14:textId="535CC4D1" w:rsidR="00EE11D0" w:rsidRPr="001F224B" w:rsidRDefault="00EE11D0" w:rsidP="00EE11D0">
            <w:pPr>
              <w:jc w:val="right"/>
              <w:rPr>
                <w:color w:val="000000"/>
                <w:sz w:val="20"/>
                <w:szCs w:val="20"/>
              </w:rPr>
            </w:pPr>
            <w:r w:rsidRPr="001F224B">
              <w:rPr>
                <w:sz w:val="20"/>
                <w:szCs w:val="20"/>
              </w:rPr>
              <w:t> </w:t>
            </w:r>
          </w:p>
        </w:tc>
        <w:tc>
          <w:tcPr>
            <w:tcW w:w="1276" w:type="dxa"/>
            <w:shd w:val="clear" w:color="000000" w:fill="FFFFFF"/>
            <w:noWrap/>
            <w:vAlign w:val="bottom"/>
            <w:hideMark/>
          </w:tcPr>
          <w:p w14:paraId="24A773A4" w14:textId="28F76A8E" w:rsidR="00EE11D0" w:rsidRPr="001F224B" w:rsidRDefault="00EE11D0" w:rsidP="00EE11D0">
            <w:pPr>
              <w:jc w:val="right"/>
              <w:rPr>
                <w:color w:val="000000"/>
                <w:sz w:val="20"/>
                <w:szCs w:val="20"/>
              </w:rPr>
            </w:pPr>
          </w:p>
        </w:tc>
      </w:tr>
      <w:tr w:rsidR="00EE11D0" w:rsidRPr="001F224B" w14:paraId="62E737A6" w14:textId="77777777" w:rsidTr="00BA29BF">
        <w:trPr>
          <w:trHeight w:val="229"/>
        </w:trPr>
        <w:tc>
          <w:tcPr>
            <w:tcW w:w="5143" w:type="dxa"/>
            <w:shd w:val="clear" w:color="000000" w:fill="FFFFFF"/>
            <w:noWrap/>
            <w:vAlign w:val="bottom"/>
            <w:hideMark/>
          </w:tcPr>
          <w:p w14:paraId="3801F88A" w14:textId="77777777" w:rsidR="00EE11D0" w:rsidRPr="001F224B" w:rsidRDefault="00EE11D0" w:rsidP="00EE11D0">
            <w:pPr>
              <w:rPr>
                <w:color w:val="000000"/>
                <w:sz w:val="20"/>
                <w:szCs w:val="20"/>
              </w:rPr>
            </w:pPr>
            <w:r w:rsidRPr="001F224B">
              <w:rPr>
                <w:color w:val="000000"/>
                <w:sz w:val="20"/>
                <w:szCs w:val="20"/>
              </w:rPr>
              <w:t xml:space="preserve">    Bankalar Mevduatı</w:t>
            </w:r>
          </w:p>
        </w:tc>
        <w:tc>
          <w:tcPr>
            <w:tcW w:w="1238" w:type="dxa"/>
            <w:shd w:val="clear" w:color="000000" w:fill="FFFFFF"/>
            <w:noWrap/>
            <w:vAlign w:val="bottom"/>
            <w:hideMark/>
          </w:tcPr>
          <w:p w14:paraId="3EA88FDD" w14:textId="709A0204" w:rsidR="00EE11D0" w:rsidRPr="001F224B" w:rsidRDefault="00EE11D0" w:rsidP="00EE11D0">
            <w:pPr>
              <w:jc w:val="right"/>
              <w:rPr>
                <w:color w:val="000000"/>
                <w:sz w:val="20"/>
                <w:szCs w:val="20"/>
              </w:rPr>
            </w:pPr>
            <w:r w:rsidRPr="001F224B">
              <w:rPr>
                <w:sz w:val="20"/>
                <w:szCs w:val="20"/>
              </w:rPr>
              <w:t>-</w:t>
            </w:r>
          </w:p>
        </w:tc>
        <w:tc>
          <w:tcPr>
            <w:tcW w:w="1164" w:type="dxa"/>
            <w:shd w:val="clear" w:color="000000" w:fill="FFFFFF"/>
            <w:noWrap/>
            <w:vAlign w:val="bottom"/>
            <w:hideMark/>
          </w:tcPr>
          <w:p w14:paraId="63A3E0EF" w14:textId="0ECA7EDA" w:rsidR="00EE11D0" w:rsidRPr="001F224B" w:rsidRDefault="00EE11D0" w:rsidP="00EE11D0">
            <w:pPr>
              <w:jc w:val="right"/>
              <w:rPr>
                <w:color w:val="000000"/>
                <w:sz w:val="20"/>
                <w:szCs w:val="20"/>
              </w:rPr>
            </w:pPr>
            <w:r w:rsidRPr="001F224B">
              <w:rPr>
                <w:sz w:val="20"/>
                <w:szCs w:val="20"/>
              </w:rPr>
              <w:t>-</w:t>
            </w:r>
          </w:p>
        </w:tc>
        <w:tc>
          <w:tcPr>
            <w:tcW w:w="1239" w:type="dxa"/>
            <w:shd w:val="clear" w:color="000000" w:fill="FFFFFF"/>
            <w:noWrap/>
            <w:vAlign w:val="bottom"/>
            <w:hideMark/>
          </w:tcPr>
          <w:p w14:paraId="20F90DE3" w14:textId="564AB8A1" w:rsidR="00EE11D0" w:rsidRPr="001F224B" w:rsidRDefault="00EE11D0" w:rsidP="00EE11D0">
            <w:pPr>
              <w:jc w:val="right"/>
              <w:rPr>
                <w:color w:val="000000"/>
                <w:sz w:val="20"/>
                <w:szCs w:val="20"/>
              </w:rPr>
            </w:pPr>
            <w:r w:rsidRPr="001F224B">
              <w:rPr>
                <w:sz w:val="20"/>
                <w:szCs w:val="20"/>
              </w:rPr>
              <w:t>-</w:t>
            </w:r>
          </w:p>
        </w:tc>
        <w:tc>
          <w:tcPr>
            <w:tcW w:w="1276" w:type="dxa"/>
            <w:shd w:val="clear" w:color="000000" w:fill="FFFFFF"/>
            <w:noWrap/>
            <w:vAlign w:val="bottom"/>
            <w:hideMark/>
          </w:tcPr>
          <w:p w14:paraId="0D9687DF" w14:textId="25D0A194" w:rsidR="00EE11D0" w:rsidRPr="001F224B" w:rsidRDefault="00EE11D0" w:rsidP="00EE11D0">
            <w:pPr>
              <w:jc w:val="right"/>
              <w:rPr>
                <w:color w:val="000000"/>
                <w:sz w:val="20"/>
                <w:szCs w:val="20"/>
              </w:rPr>
            </w:pPr>
            <w:r w:rsidRPr="001F224B">
              <w:rPr>
                <w:sz w:val="20"/>
                <w:szCs w:val="20"/>
              </w:rPr>
              <w:t>-</w:t>
            </w:r>
          </w:p>
        </w:tc>
      </w:tr>
      <w:tr w:rsidR="00EE11D0" w:rsidRPr="001F224B" w14:paraId="1CA4EC8A" w14:textId="77777777" w:rsidTr="00BA29BF">
        <w:trPr>
          <w:trHeight w:val="229"/>
        </w:trPr>
        <w:tc>
          <w:tcPr>
            <w:tcW w:w="5143" w:type="dxa"/>
            <w:shd w:val="clear" w:color="000000" w:fill="FFFFFF"/>
            <w:noWrap/>
            <w:vAlign w:val="bottom"/>
            <w:hideMark/>
          </w:tcPr>
          <w:p w14:paraId="5B4EB9A3" w14:textId="77777777" w:rsidR="00EE11D0" w:rsidRPr="001F224B" w:rsidRDefault="00EE11D0" w:rsidP="00EE11D0">
            <w:pPr>
              <w:rPr>
                <w:color w:val="000000"/>
                <w:sz w:val="20"/>
                <w:szCs w:val="20"/>
              </w:rPr>
            </w:pPr>
            <w:r w:rsidRPr="001F224B">
              <w:rPr>
                <w:color w:val="000000"/>
                <w:sz w:val="20"/>
                <w:szCs w:val="20"/>
              </w:rPr>
              <w:t xml:space="preserve">    Döviz Tevdiat Hesabı</w:t>
            </w:r>
          </w:p>
        </w:tc>
        <w:tc>
          <w:tcPr>
            <w:tcW w:w="1238" w:type="dxa"/>
            <w:shd w:val="clear" w:color="000000" w:fill="FFFFFF"/>
            <w:noWrap/>
            <w:vAlign w:val="bottom"/>
            <w:hideMark/>
          </w:tcPr>
          <w:p w14:paraId="7634965A" w14:textId="7F42AF1C" w:rsidR="00EE11D0" w:rsidRPr="001F224B" w:rsidRDefault="00EE11D0" w:rsidP="00EE11D0">
            <w:pPr>
              <w:jc w:val="right"/>
              <w:rPr>
                <w:color w:val="000000"/>
                <w:sz w:val="20"/>
                <w:szCs w:val="20"/>
              </w:rPr>
            </w:pPr>
            <w:r w:rsidRPr="001F224B">
              <w:rPr>
                <w:sz w:val="20"/>
                <w:szCs w:val="20"/>
              </w:rPr>
              <w:t>-</w:t>
            </w:r>
          </w:p>
        </w:tc>
        <w:tc>
          <w:tcPr>
            <w:tcW w:w="1164" w:type="dxa"/>
            <w:shd w:val="clear" w:color="000000" w:fill="FFFFFF"/>
            <w:noWrap/>
            <w:vAlign w:val="bottom"/>
            <w:hideMark/>
          </w:tcPr>
          <w:p w14:paraId="5A78E95D" w14:textId="32C842E8" w:rsidR="00EE11D0" w:rsidRPr="001F224B" w:rsidRDefault="00EE11D0" w:rsidP="00EE11D0">
            <w:pPr>
              <w:jc w:val="right"/>
              <w:rPr>
                <w:color w:val="000000"/>
                <w:sz w:val="20"/>
                <w:szCs w:val="20"/>
              </w:rPr>
            </w:pPr>
            <w:r w:rsidRPr="001F224B">
              <w:rPr>
                <w:sz w:val="20"/>
                <w:szCs w:val="20"/>
              </w:rPr>
              <w:t>-</w:t>
            </w:r>
          </w:p>
        </w:tc>
        <w:tc>
          <w:tcPr>
            <w:tcW w:w="1239" w:type="dxa"/>
            <w:shd w:val="clear" w:color="000000" w:fill="FFFFFF"/>
            <w:noWrap/>
            <w:vAlign w:val="bottom"/>
            <w:hideMark/>
          </w:tcPr>
          <w:p w14:paraId="6B9D7990" w14:textId="7F2CF872" w:rsidR="00EE11D0" w:rsidRPr="001F224B" w:rsidRDefault="00EE11D0" w:rsidP="00EE11D0">
            <w:pPr>
              <w:jc w:val="right"/>
              <w:rPr>
                <w:color w:val="000000"/>
                <w:sz w:val="20"/>
                <w:szCs w:val="20"/>
              </w:rPr>
            </w:pPr>
            <w:r w:rsidRPr="001F224B">
              <w:rPr>
                <w:sz w:val="20"/>
                <w:szCs w:val="20"/>
              </w:rPr>
              <w:t>-</w:t>
            </w:r>
          </w:p>
        </w:tc>
        <w:tc>
          <w:tcPr>
            <w:tcW w:w="1276" w:type="dxa"/>
            <w:shd w:val="clear" w:color="000000" w:fill="FFFFFF"/>
            <w:noWrap/>
            <w:vAlign w:val="bottom"/>
            <w:hideMark/>
          </w:tcPr>
          <w:p w14:paraId="134D6EEB" w14:textId="7E8BDB1D" w:rsidR="00EE11D0" w:rsidRPr="001F224B" w:rsidRDefault="00EE11D0" w:rsidP="00EE11D0">
            <w:pPr>
              <w:jc w:val="right"/>
              <w:rPr>
                <w:color w:val="000000"/>
                <w:sz w:val="20"/>
                <w:szCs w:val="20"/>
              </w:rPr>
            </w:pPr>
            <w:r w:rsidRPr="001F224B">
              <w:rPr>
                <w:sz w:val="20"/>
                <w:szCs w:val="20"/>
              </w:rPr>
              <w:t>-</w:t>
            </w:r>
          </w:p>
        </w:tc>
      </w:tr>
      <w:tr w:rsidR="00EC5076" w:rsidRPr="001F224B" w14:paraId="2F4BB5BD" w14:textId="77777777" w:rsidTr="00EC5076">
        <w:trPr>
          <w:trHeight w:val="229"/>
        </w:trPr>
        <w:tc>
          <w:tcPr>
            <w:tcW w:w="5143" w:type="dxa"/>
            <w:shd w:val="clear" w:color="000000" w:fill="FFFFFF"/>
            <w:noWrap/>
            <w:vAlign w:val="bottom"/>
            <w:hideMark/>
          </w:tcPr>
          <w:p w14:paraId="7E132253" w14:textId="77777777" w:rsidR="00EC5076" w:rsidRPr="001F224B" w:rsidRDefault="00EC5076" w:rsidP="00EC5076">
            <w:pPr>
              <w:rPr>
                <w:color w:val="000000"/>
                <w:sz w:val="20"/>
                <w:szCs w:val="20"/>
              </w:rPr>
            </w:pPr>
            <w:r w:rsidRPr="001F224B">
              <w:rPr>
                <w:color w:val="000000"/>
                <w:sz w:val="20"/>
                <w:szCs w:val="20"/>
              </w:rPr>
              <w:t xml:space="preserve">    Para Piyasalarına Borçlar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F18D332" w14:textId="20E35F64" w:rsidR="00EC5076" w:rsidRPr="001F224B" w:rsidRDefault="00EC5076" w:rsidP="00EC5076">
            <w:pPr>
              <w:jc w:val="right"/>
              <w:rPr>
                <w:sz w:val="20"/>
                <w:szCs w:val="20"/>
              </w:rPr>
            </w:pPr>
            <w:r w:rsidRPr="001F224B">
              <w:rPr>
                <w:sz w:val="20"/>
                <w:szCs w:val="20"/>
              </w:rPr>
              <w:t>3.743</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B078C" w14:textId="246931A5" w:rsidR="00EC5076" w:rsidRPr="001F224B" w:rsidRDefault="00EC5076" w:rsidP="00EC5076">
            <w:pPr>
              <w:jc w:val="right"/>
              <w:rPr>
                <w:sz w:val="20"/>
                <w:szCs w:val="20"/>
              </w:rPr>
            </w:pPr>
            <w:r w:rsidRPr="001F224B">
              <w:rPr>
                <w:sz w:val="20"/>
                <w:szCs w:val="20"/>
              </w:rPr>
              <w:t>39.982</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D4C4B" w14:textId="54E729B2"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4A931" w14:textId="43BBDC27" w:rsidR="00EC5076" w:rsidRPr="001F224B" w:rsidRDefault="00EC5076" w:rsidP="00EC5076">
            <w:pPr>
              <w:jc w:val="right"/>
              <w:rPr>
                <w:sz w:val="20"/>
                <w:szCs w:val="20"/>
              </w:rPr>
            </w:pPr>
            <w:r w:rsidRPr="001F224B">
              <w:rPr>
                <w:sz w:val="20"/>
                <w:szCs w:val="20"/>
              </w:rPr>
              <w:t>43.725</w:t>
            </w:r>
          </w:p>
        </w:tc>
      </w:tr>
      <w:tr w:rsidR="00EC5076" w:rsidRPr="001F224B" w14:paraId="3F3E0440" w14:textId="77777777" w:rsidTr="00EC5076">
        <w:trPr>
          <w:trHeight w:val="229"/>
        </w:trPr>
        <w:tc>
          <w:tcPr>
            <w:tcW w:w="5143" w:type="dxa"/>
            <w:shd w:val="clear" w:color="000000" w:fill="FFFFFF"/>
            <w:noWrap/>
            <w:vAlign w:val="bottom"/>
            <w:hideMark/>
          </w:tcPr>
          <w:p w14:paraId="0687CDBC" w14:textId="77777777" w:rsidR="00EC5076" w:rsidRPr="001F224B" w:rsidRDefault="00EC5076" w:rsidP="00EC5076">
            <w:pPr>
              <w:rPr>
                <w:color w:val="000000"/>
                <w:sz w:val="20"/>
                <w:szCs w:val="20"/>
              </w:rPr>
            </w:pPr>
            <w:r w:rsidRPr="001F224B">
              <w:rPr>
                <w:color w:val="000000"/>
                <w:sz w:val="20"/>
                <w:szCs w:val="20"/>
              </w:rPr>
              <w:t xml:space="preserve">    Diğer Mali Kuruluşlar. Sağl. Fonlar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22EC5002" w14:textId="38F65E01" w:rsidR="00EC5076" w:rsidRPr="001F224B" w:rsidRDefault="00EC5076" w:rsidP="00EC5076">
            <w:pPr>
              <w:jc w:val="right"/>
              <w:rPr>
                <w:sz w:val="20"/>
                <w:szCs w:val="20"/>
              </w:rPr>
            </w:pPr>
            <w:r w:rsidRPr="001F224B">
              <w:rPr>
                <w:sz w:val="20"/>
                <w:szCs w:val="20"/>
              </w:rPr>
              <w:t>37.942.266</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C624BB" w14:textId="1D1ED97E" w:rsidR="00EC5076" w:rsidRPr="001F224B" w:rsidRDefault="00EC5076" w:rsidP="00EC5076">
            <w:pPr>
              <w:jc w:val="right"/>
              <w:rPr>
                <w:sz w:val="20"/>
                <w:szCs w:val="20"/>
              </w:rPr>
            </w:pPr>
            <w:r w:rsidRPr="001F224B">
              <w:rPr>
                <w:sz w:val="20"/>
                <w:szCs w:val="20"/>
              </w:rPr>
              <w:t>67.818.034</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C0920" w14:textId="34C0F562"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6FFBF" w14:textId="330D02CC" w:rsidR="00EC5076" w:rsidRPr="001F224B" w:rsidRDefault="00EC5076" w:rsidP="00EC5076">
            <w:pPr>
              <w:jc w:val="right"/>
              <w:rPr>
                <w:sz w:val="20"/>
                <w:szCs w:val="20"/>
              </w:rPr>
            </w:pPr>
            <w:r w:rsidRPr="001F224B">
              <w:rPr>
                <w:sz w:val="20"/>
                <w:szCs w:val="20"/>
              </w:rPr>
              <w:t>105.760.300</w:t>
            </w:r>
          </w:p>
        </w:tc>
      </w:tr>
      <w:tr w:rsidR="00EC5076" w:rsidRPr="001F224B" w14:paraId="5807985A" w14:textId="77777777" w:rsidTr="00EC5076">
        <w:trPr>
          <w:trHeight w:val="229"/>
        </w:trPr>
        <w:tc>
          <w:tcPr>
            <w:tcW w:w="5143" w:type="dxa"/>
            <w:shd w:val="clear" w:color="000000" w:fill="FFFFFF"/>
            <w:noWrap/>
            <w:vAlign w:val="bottom"/>
            <w:hideMark/>
          </w:tcPr>
          <w:p w14:paraId="4935D820" w14:textId="77777777" w:rsidR="00EC5076" w:rsidRPr="001F224B" w:rsidRDefault="00EC5076" w:rsidP="00EC5076">
            <w:pPr>
              <w:rPr>
                <w:color w:val="000000"/>
                <w:sz w:val="20"/>
                <w:szCs w:val="20"/>
              </w:rPr>
            </w:pPr>
            <w:r w:rsidRPr="001F224B">
              <w:rPr>
                <w:color w:val="000000"/>
                <w:sz w:val="20"/>
                <w:szCs w:val="20"/>
              </w:rPr>
              <w:t xml:space="preserve">    İhraç Edilen Menkul Değerler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1B12B67" w14:textId="17678586" w:rsidR="00EC5076" w:rsidRPr="001F224B" w:rsidRDefault="00EC5076" w:rsidP="00EC5076">
            <w:pPr>
              <w:jc w:val="right"/>
              <w:rPr>
                <w:sz w:val="20"/>
                <w:szCs w:val="20"/>
              </w:rPr>
            </w:pPr>
            <w:r w:rsidRPr="001F224B">
              <w:rPr>
                <w:sz w:val="20"/>
                <w:szCs w:val="20"/>
              </w:rPr>
              <w:t>4.749.692</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AD7D8" w14:textId="5E6E4AD2" w:rsidR="00EC5076" w:rsidRPr="001F224B" w:rsidRDefault="00EC5076" w:rsidP="00EC5076">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9779F9" w14:textId="5604A27C"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2F0CB6" w14:textId="7724905A" w:rsidR="00EC5076" w:rsidRPr="001F224B" w:rsidRDefault="00EC5076" w:rsidP="00EC5076">
            <w:pPr>
              <w:jc w:val="right"/>
              <w:rPr>
                <w:sz w:val="20"/>
                <w:szCs w:val="20"/>
              </w:rPr>
            </w:pPr>
            <w:r w:rsidRPr="001F224B">
              <w:rPr>
                <w:sz w:val="20"/>
                <w:szCs w:val="20"/>
              </w:rPr>
              <w:t>4.749.692</w:t>
            </w:r>
          </w:p>
        </w:tc>
      </w:tr>
      <w:tr w:rsidR="00EC5076" w:rsidRPr="001F224B" w14:paraId="45CAFFBD" w14:textId="77777777" w:rsidTr="00EC5076">
        <w:trPr>
          <w:trHeight w:val="229"/>
        </w:trPr>
        <w:tc>
          <w:tcPr>
            <w:tcW w:w="5143" w:type="dxa"/>
            <w:shd w:val="clear" w:color="000000" w:fill="FFFFFF"/>
            <w:noWrap/>
            <w:vAlign w:val="bottom"/>
            <w:hideMark/>
          </w:tcPr>
          <w:p w14:paraId="366CA6D0" w14:textId="77777777" w:rsidR="00EC5076" w:rsidRPr="001F224B" w:rsidRDefault="00EC5076" w:rsidP="00EC5076">
            <w:pPr>
              <w:rPr>
                <w:color w:val="000000"/>
                <w:sz w:val="20"/>
                <w:szCs w:val="20"/>
              </w:rPr>
            </w:pPr>
            <w:r w:rsidRPr="001F224B">
              <w:rPr>
                <w:color w:val="000000"/>
                <w:sz w:val="20"/>
                <w:szCs w:val="20"/>
              </w:rPr>
              <w:t xml:space="preserve">    Sermaye Benzeri Borçlanma Araçları</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0148458B" w14:textId="5C01E7E3" w:rsidR="00EC5076" w:rsidRPr="001F224B" w:rsidRDefault="00EC5076" w:rsidP="00EC5076">
            <w:pPr>
              <w:jc w:val="right"/>
              <w:rPr>
                <w:sz w:val="20"/>
                <w:szCs w:val="20"/>
              </w:rPr>
            </w:pPr>
            <w:r w:rsidRPr="001F224B">
              <w:rPr>
                <w:sz w:val="20"/>
                <w:szCs w:val="20"/>
              </w:rPr>
              <w:t>2.625.464</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0A004" w14:textId="6FF111ED" w:rsidR="00EC5076" w:rsidRPr="001F224B" w:rsidRDefault="00EC5076" w:rsidP="00EC5076">
            <w:pPr>
              <w:jc w:val="right"/>
              <w:rPr>
                <w:sz w:val="20"/>
                <w:szCs w:val="20"/>
              </w:rPr>
            </w:pPr>
            <w:r w:rsidRPr="001F224B">
              <w:rPr>
                <w:sz w:val="20"/>
                <w:szCs w:val="20"/>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78DF9" w14:textId="39242B2D"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E6A91" w14:textId="7E0133F6" w:rsidR="00EC5076" w:rsidRPr="001F224B" w:rsidRDefault="00EC5076" w:rsidP="00EC5076">
            <w:pPr>
              <w:jc w:val="right"/>
              <w:rPr>
                <w:sz w:val="20"/>
                <w:szCs w:val="20"/>
              </w:rPr>
            </w:pPr>
            <w:r w:rsidRPr="001F224B">
              <w:rPr>
                <w:sz w:val="20"/>
                <w:szCs w:val="20"/>
              </w:rPr>
              <w:t>2.625.464</w:t>
            </w:r>
          </w:p>
        </w:tc>
      </w:tr>
      <w:tr w:rsidR="00EC5076" w:rsidRPr="001F224B" w14:paraId="4C7C7BD2" w14:textId="77777777" w:rsidTr="00EC5076">
        <w:trPr>
          <w:trHeight w:val="229"/>
        </w:trPr>
        <w:tc>
          <w:tcPr>
            <w:tcW w:w="5143" w:type="dxa"/>
            <w:shd w:val="clear" w:color="000000" w:fill="FFFFFF"/>
            <w:noWrap/>
            <w:vAlign w:val="bottom"/>
          </w:tcPr>
          <w:p w14:paraId="15E609AB" w14:textId="4A3C5690" w:rsidR="00EC5076" w:rsidRPr="001F224B" w:rsidRDefault="00EC5076" w:rsidP="00EC5076">
            <w:pPr>
              <w:rPr>
                <w:color w:val="000000"/>
                <w:sz w:val="20"/>
                <w:szCs w:val="20"/>
              </w:rPr>
            </w:pPr>
            <w:r w:rsidRPr="001F224B">
              <w:rPr>
                <w:color w:val="000000"/>
                <w:sz w:val="20"/>
                <w:szCs w:val="20"/>
              </w:rPr>
              <w:t xml:space="preserve">    Muhtelif Borçlar</w:t>
            </w:r>
          </w:p>
        </w:tc>
        <w:tc>
          <w:tcPr>
            <w:tcW w:w="1238" w:type="dxa"/>
            <w:tcBorders>
              <w:top w:val="single" w:sz="4" w:space="0" w:color="auto"/>
              <w:left w:val="nil"/>
              <w:bottom w:val="single" w:sz="4" w:space="0" w:color="auto"/>
              <w:right w:val="single" w:sz="4" w:space="0" w:color="auto"/>
            </w:tcBorders>
            <w:shd w:val="clear" w:color="auto" w:fill="auto"/>
            <w:noWrap/>
            <w:vAlign w:val="bottom"/>
          </w:tcPr>
          <w:p w14:paraId="350DAD5A" w14:textId="4277DD45" w:rsidR="00EC5076" w:rsidRPr="001F224B" w:rsidRDefault="00EC5076" w:rsidP="00EC5076">
            <w:pPr>
              <w:jc w:val="right"/>
              <w:rPr>
                <w:sz w:val="20"/>
                <w:szCs w:val="20"/>
              </w:rPr>
            </w:pPr>
            <w:r w:rsidRPr="001F224B">
              <w:rPr>
                <w:sz w:val="20"/>
                <w:szCs w:val="20"/>
              </w:rPr>
              <w:t>9.017</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0336E" w14:textId="75D92140" w:rsidR="00EC5076" w:rsidRPr="001F224B" w:rsidRDefault="00EC5076" w:rsidP="00EC5076">
            <w:pPr>
              <w:jc w:val="right"/>
              <w:rPr>
                <w:sz w:val="20"/>
                <w:szCs w:val="20"/>
              </w:rPr>
            </w:pPr>
            <w:r w:rsidRPr="001F224B">
              <w:rPr>
                <w:sz w:val="20"/>
                <w:szCs w:val="20"/>
              </w:rPr>
              <w:t>91.753</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1E5B8" w14:textId="40305C57"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686C2" w14:textId="07A8CAC6" w:rsidR="00EC5076" w:rsidRPr="001F224B" w:rsidRDefault="00EC5076" w:rsidP="00EC5076">
            <w:pPr>
              <w:jc w:val="right"/>
              <w:rPr>
                <w:sz w:val="20"/>
                <w:szCs w:val="20"/>
              </w:rPr>
            </w:pPr>
            <w:r w:rsidRPr="001F224B">
              <w:rPr>
                <w:sz w:val="20"/>
                <w:szCs w:val="20"/>
              </w:rPr>
              <w:t>100.770</w:t>
            </w:r>
          </w:p>
        </w:tc>
      </w:tr>
      <w:tr w:rsidR="00EC5076" w:rsidRPr="001F224B" w14:paraId="567FFD05" w14:textId="77777777" w:rsidTr="00EC5076">
        <w:trPr>
          <w:trHeight w:val="229"/>
        </w:trPr>
        <w:tc>
          <w:tcPr>
            <w:tcW w:w="5143" w:type="dxa"/>
            <w:shd w:val="clear" w:color="000000" w:fill="FFFFFF"/>
            <w:noWrap/>
            <w:vAlign w:val="bottom"/>
            <w:hideMark/>
          </w:tcPr>
          <w:p w14:paraId="02EE69B1" w14:textId="159E0FAE" w:rsidR="00EC5076" w:rsidRPr="001F224B" w:rsidRDefault="00EC5076" w:rsidP="00EC5076">
            <w:pPr>
              <w:rPr>
                <w:color w:val="000000"/>
                <w:sz w:val="20"/>
                <w:szCs w:val="20"/>
              </w:rPr>
            </w:pPr>
            <w:r w:rsidRPr="001F224B">
              <w:rPr>
                <w:color w:val="000000"/>
                <w:sz w:val="20"/>
                <w:szCs w:val="20"/>
              </w:rPr>
              <w:t xml:space="preserve">    Alım Satım Amaçlı Türev Finansal Borçlar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0F594AC6" w14:textId="19606EAC" w:rsidR="00EC5076" w:rsidRPr="001F224B" w:rsidRDefault="00EC5076" w:rsidP="00EC5076">
            <w:pPr>
              <w:jc w:val="right"/>
              <w:rPr>
                <w:sz w:val="20"/>
                <w:szCs w:val="20"/>
              </w:rPr>
            </w:pPr>
            <w:r w:rsidRPr="001F224B">
              <w:rPr>
                <w:sz w:val="20"/>
                <w:szCs w:val="20"/>
              </w:rPr>
              <w:t xml:space="preserve"> -   </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64C7F" w14:textId="530DB077" w:rsidR="00EC5076" w:rsidRPr="001F224B" w:rsidRDefault="00EC5076" w:rsidP="00EC5076">
            <w:pPr>
              <w:jc w:val="right"/>
              <w:rPr>
                <w:sz w:val="20"/>
                <w:szCs w:val="20"/>
              </w:rPr>
            </w:pPr>
            <w:r w:rsidRPr="001F224B">
              <w:rPr>
                <w:sz w:val="20"/>
                <w:szCs w:val="20"/>
              </w:rPr>
              <w:t>-</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18850" w14:textId="60CB627B"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75FB8" w14:textId="0A49CAA0" w:rsidR="00EC5076" w:rsidRPr="001F224B" w:rsidRDefault="00EC5076" w:rsidP="00EC5076">
            <w:pPr>
              <w:jc w:val="right"/>
              <w:rPr>
                <w:sz w:val="20"/>
                <w:szCs w:val="20"/>
              </w:rPr>
            </w:pPr>
            <w:r w:rsidRPr="001F224B">
              <w:rPr>
                <w:sz w:val="20"/>
                <w:szCs w:val="20"/>
              </w:rPr>
              <w:t>-</w:t>
            </w:r>
          </w:p>
        </w:tc>
      </w:tr>
      <w:tr w:rsidR="00EC5076" w:rsidRPr="001F224B" w14:paraId="67D43E79" w14:textId="77777777" w:rsidTr="00EC5076">
        <w:trPr>
          <w:trHeight w:val="229"/>
        </w:trPr>
        <w:tc>
          <w:tcPr>
            <w:tcW w:w="5143" w:type="dxa"/>
            <w:shd w:val="clear" w:color="000000" w:fill="FFFFFF"/>
            <w:noWrap/>
            <w:vAlign w:val="bottom"/>
            <w:hideMark/>
          </w:tcPr>
          <w:p w14:paraId="071A874E" w14:textId="77777777" w:rsidR="00EC5076" w:rsidRPr="001F224B" w:rsidRDefault="00EC5076" w:rsidP="00EC5076">
            <w:pPr>
              <w:rPr>
                <w:color w:val="000000"/>
                <w:sz w:val="20"/>
                <w:szCs w:val="20"/>
              </w:rPr>
            </w:pPr>
            <w:r w:rsidRPr="001F224B">
              <w:rPr>
                <w:color w:val="000000"/>
                <w:sz w:val="20"/>
                <w:szCs w:val="20"/>
              </w:rPr>
              <w:t xml:space="preserve">    Diğer Yükümlülükler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1FC570B0" w14:textId="180208EC" w:rsidR="00EC5076" w:rsidRPr="001F224B" w:rsidRDefault="00EC5076" w:rsidP="00EC5076">
            <w:pPr>
              <w:jc w:val="right"/>
              <w:rPr>
                <w:sz w:val="20"/>
                <w:szCs w:val="20"/>
              </w:rPr>
            </w:pPr>
            <w:r w:rsidRPr="001F224B">
              <w:rPr>
                <w:sz w:val="20"/>
                <w:szCs w:val="20"/>
              </w:rPr>
              <w:t>4.443.174</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0D000" w14:textId="7026D790" w:rsidR="00EC5076" w:rsidRPr="001F224B" w:rsidRDefault="00EC5076" w:rsidP="00EC5076">
            <w:pPr>
              <w:jc w:val="right"/>
              <w:rPr>
                <w:sz w:val="20"/>
                <w:szCs w:val="20"/>
              </w:rPr>
            </w:pPr>
            <w:r w:rsidRPr="001F224B">
              <w:rPr>
                <w:sz w:val="20"/>
                <w:szCs w:val="20"/>
              </w:rPr>
              <w:t>2.634.471</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87575" w14:textId="39729446" w:rsidR="00EC5076" w:rsidRPr="001F224B" w:rsidRDefault="00EC5076" w:rsidP="00EC5076">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EBAE2" w14:textId="07F25507" w:rsidR="00EC5076" w:rsidRPr="001F224B" w:rsidRDefault="00EC5076" w:rsidP="00EC5076">
            <w:pPr>
              <w:jc w:val="right"/>
              <w:rPr>
                <w:sz w:val="20"/>
                <w:szCs w:val="20"/>
              </w:rPr>
            </w:pPr>
            <w:r w:rsidRPr="001F224B">
              <w:rPr>
                <w:sz w:val="20"/>
                <w:szCs w:val="20"/>
              </w:rPr>
              <w:t>7.077.645</w:t>
            </w:r>
          </w:p>
        </w:tc>
      </w:tr>
      <w:tr w:rsidR="00EC5076" w:rsidRPr="001F224B" w14:paraId="3275F8E4" w14:textId="77777777" w:rsidTr="00EC5076">
        <w:trPr>
          <w:trHeight w:val="229"/>
        </w:trPr>
        <w:tc>
          <w:tcPr>
            <w:tcW w:w="5143" w:type="dxa"/>
            <w:shd w:val="clear" w:color="000000" w:fill="FFFFFF"/>
            <w:noWrap/>
            <w:vAlign w:val="bottom"/>
            <w:hideMark/>
          </w:tcPr>
          <w:p w14:paraId="546DA802" w14:textId="15BCA0FE" w:rsidR="00EC5076" w:rsidRPr="001F224B" w:rsidRDefault="00EC5076" w:rsidP="00EC5076">
            <w:pPr>
              <w:rPr>
                <w:b/>
                <w:bCs/>
                <w:color w:val="000000"/>
                <w:sz w:val="20"/>
                <w:szCs w:val="20"/>
              </w:rPr>
            </w:pPr>
            <w:r w:rsidRPr="001F224B">
              <w:rPr>
                <w:b/>
                <w:bCs/>
                <w:color w:val="000000"/>
                <w:sz w:val="20"/>
                <w:szCs w:val="20"/>
              </w:rPr>
              <w:t>Toplam Yükümlülükler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0DD33ED4" w14:textId="090B2015" w:rsidR="00EC5076" w:rsidRPr="001F224B" w:rsidRDefault="00EC5076" w:rsidP="00EC5076">
            <w:pPr>
              <w:jc w:val="right"/>
              <w:rPr>
                <w:b/>
                <w:bCs/>
                <w:sz w:val="20"/>
                <w:szCs w:val="20"/>
              </w:rPr>
            </w:pPr>
            <w:r w:rsidRPr="001F224B">
              <w:rPr>
                <w:b/>
                <w:bCs/>
                <w:sz w:val="20"/>
                <w:szCs w:val="20"/>
              </w:rPr>
              <w:t>49.773.356</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E0648" w14:textId="781A6CDC" w:rsidR="00EC5076" w:rsidRPr="001F224B" w:rsidRDefault="00EC5076" w:rsidP="00EC5076">
            <w:pPr>
              <w:jc w:val="right"/>
              <w:rPr>
                <w:b/>
                <w:bCs/>
                <w:sz w:val="20"/>
                <w:szCs w:val="20"/>
              </w:rPr>
            </w:pPr>
            <w:r w:rsidRPr="001F224B">
              <w:rPr>
                <w:b/>
                <w:bCs/>
                <w:sz w:val="20"/>
                <w:szCs w:val="20"/>
              </w:rPr>
              <w:t>70.584.240</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3EBFF" w14:textId="24F51AAB" w:rsidR="00EC5076" w:rsidRPr="001F224B" w:rsidRDefault="00EC5076" w:rsidP="00EC5076">
            <w:pPr>
              <w:jc w:val="right"/>
              <w:rPr>
                <w:b/>
                <w:bCs/>
                <w:sz w:val="20"/>
                <w:szCs w:val="20"/>
              </w:rPr>
            </w:pPr>
            <w:r w:rsidRPr="001F224B">
              <w:rPr>
                <w:b/>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16896" w14:textId="42B0FFFA" w:rsidR="00EC5076" w:rsidRPr="001F224B" w:rsidRDefault="00EC5076" w:rsidP="00EC5076">
            <w:pPr>
              <w:jc w:val="right"/>
              <w:rPr>
                <w:b/>
                <w:bCs/>
                <w:sz w:val="20"/>
                <w:szCs w:val="20"/>
              </w:rPr>
            </w:pPr>
            <w:r w:rsidRPr="001F224B">
              <w:rPr>
                <w:b/>
                <w:bCs/>
                <w:sz w:val="20"/>
                <w:szCs w:val="20"/>
              </w:rPr>
              <w:t>120.357.596</w:t>
            </w:r>
          </w:p>
        </w:tc>
      </w:tr>
      <w:tr w:rsidR="00EE11D0" w:rsidRPr="001F224B" w14:paraId="1B32D37E" w14:textId="77777777" w:rsidTr="00BA29BF">
        <w:trPr>
          <w:trHeight w:val="229"/>
        </w:trPr>
        <w:tc>
          <w:tcPr>
            <w:tcW w:w="5143" w:type="dxa"/>
            <w:shd w:val="clear" w:color="000000" w:fill="FFFFFF"/>
            <w:noWrap/>
            <w:vAlign w:val="bottom"/>
            <w:hideMark/>
          </w:tcPr>
          <w:p w14:paraId="72DA17B8" w14:textId="77777777" w:rsidR="00EE11D0" w:rsidRPr="001F224B" w:rsidRDefault="00EE11D0" w:rsidP="00EE11D0">
            <w:pPr>
              <w:rPr>
                <w:color w:val="000000"/>
                <w:sz w:val="20"/>
                <w:szCs w:val="20"/>
              </w:rPr>
            </w:pPr>
            <w:r w:rsidRPr="001F224B">
              <w:rPr>
                <w:color w:val="000000"/>
                <w:sz w:val="20"/>
                <w:szCs w:val="20"/>
              </w:rPr>
              <w:t> </w:t>
            </w:r>
          </w:p>
        </w:tc>
        <w:tc>
          <w:tcPr>
            <w:tcW w:w="1238" w:type="dxa"/>
            <w:tcBorders>
              <w:top w:val="single" w:sz="4" w:space="0" w:color="auto"/>
            </w:tcBorders>
            <w:shd w:val="clear" w:color="000000" w:fill="FFFFFF"/>
            <w:noWrap/>
            <w:vAlign w:val="bottom"/>
            <w:hideMark/>
          </w:tcPr>
          <w:p w14:paraId="33CCE654" w14:textId="79CF321F" w:rsidR="00EE11D0" w:rsidRPr="001F224B" w:rsidRDefault="00EE11D0" w:rsidP="00EE11D0">
            <w:pPr>
              <w:jc w:val="right"/>
              <w:rPr>
                <w:color w:val="000000"/>
                <w:sz w:val="20"/>
                <w:szCs w:val="20"/>
              </w:rPr>
            </w:pPr>
          </w:p>
        </w:tc>
        <w:tc>
          <w:tcPr>
            <w:tcW w:w="1164" w:type="dxa"/>
            <w:tcBorders>
              <w:top w:val="single" w:sz="4" w:space="0" w:color="auto"/>
            </w:tcBorders>
            <w:shd w:val="clear" w:color="000000" w:fill="FFFFFF"/>
            <w:noWrap/>
            <w:vAlign w:val="bottom"/>
            <w:hideMark/>
          </w:tcPr>
          <w:p w14:paraId="56AD015A" w14:textId="1CC2CB32" w:rsidR="00EE11D0" w:rsidRPr="001F224B" w:rsidRDefault="00EE11D0" w:rsidP="00EE11D0">
            <w:pPr>
              <w:jc w:val="right"/>
              <w:rPr>
                <w:color w:val="000000"/>
                <w:sz w:val="20"/>
                <w:szCs w:val="20"/>
              </w:rPr>
            </w:pPr>
          </w:p>
        </w:tc>
        <w:tc>
          <w:tcPr>
            <w:tcW w:w="1239" w:type="dxa"/>
            <w:tcBorders>
              <w:top w:val="single" w:sz="4" w:space="0" w:color="auto"/>
            </w:tcBorders>
            <w:shd w:val="clear" w:color="000000" w:fill="FFFFFF"/>
            <w:noWrap/>
            <w:vAlign w:val="bottom"/>
            <w:hideMark/>
          </w:tcPr>
          <w:p w14:paraId="4619B58F" w14:textId="77FA016C" w:rsidR="00EE11D0" w:rsidRPr="001F224B" w:rsidRDefault="00EE11D0" w:rsidP="00EE11D0">
            <w:pPr>
              <w:jc w:val="right"/>
              <w:rPr>
                <w:color w:val="000000"/>
                <w:sz w:val="20"/>
                <w:szCs w:val="20"/>
              </w:rPr>
            </w:pPr>
          </w:p>
        </w:tc>
        <w:tc>
          <w:tcPr>
            <w:tcW w:w="1276" w:type="dxa"/>
            <w:tcBorders>
              <w:top w:val="single" w:sz="4" w:space="0" w:color="auto"/>
            </w:tcBorders>
            <w:shd w:val="clear" w:color="000000" w:fill="FFFFFF"/>
            <w:noWrap/>
            <w:vAlign w:val="bottom"/>
            <w:hideMark/>
          </w:tcPr>
          <w:p w14:paraId="6356FCF3" w14:textId="4D157848" w:rsidR="00EE11D0" w:rsidRPr="001F224B" w:rsidRDefault="00EE11D0" w:rsidP="00EE11D0">
            <w:pPr>
              <w:jc w:val="right"/>
              <w:rPr>
                <w:color w:val="000000"/>
                <w:sz w:val="20"/>
                <w:szCs w:val="20"/>
              </w:rPr>
            </w:pPr>
          </w:p>
        </w:tc>
      </w:tr>
      <w:tr w:rsidR="00BA29BF" w:rsidRPr="001F224B" w14:paraId="3563EC04" w14:textId="77777777" w:rsidTr="00BA29BF">
        <w:trPr>
          <w:trHeight w:val="229"/>
        </w:trPr>
        <w:tc>
          <w:tcPr>
            <w:tcW w:w="5143" w:type="dxa"/>
            <w:shd w:val="clear" w:color="000000" w:fill="FFFFFF"/>
            <w:noWrap/>
            <w:vAlign w:val="bottom"/>
            <w:hideMark/>
          </w:tcPr>
          <w:p w14:paraId="07E83AC1" w14:textId="77777777" w:rsidR="00BA29BF" w:rsidRPr="001F224B" w:rsidRDefault="00BA29BF" w:rsidP="00BA29BF">
            <w:pPr>
              <w:rPr>
                <w:color w:val="000000"/>
                <w:sz w:val="20"/>
                <w:szCs w:val="20"/>
              </w:rPr>
            </w:pPr>
            <w:r w:rsidRPr="001F224B">
              <w:rPr>
                <w:color w:val="000000"/>
                <w:sz w:val="20"/>
                <w:szCs w:val="20"/>
              </w:rPr>
              <w:t>Net Bilanço Pozisyonu</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322B781" w14:textId="112749E0" w:rsidR="00BA29BF" w:rsidRPr="001F224B" w:rsidRDefault="00BA29BF" w:rsidP="00BA29BF">
            <w:pPr>
              <w:jc w:val="right"/>
              <w:rPr>
                <w:sz w:val="20"/>
                <w:szCs w:val="20"/>
              </w:rPr>
            </w:pPr>
            <w:r w:rsidRPr="001F224B">
              <w:rPr>
                <w:sz w:val="20"/>
                <w:szCs w:val="20"/>
              </w:rPr>
              <w:t>(3.796.434)</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6D550" w14:textId="10735864" w:rsidR="00BA29BF" w:rsidRPr="001F224B" w:rsidRDefault="00BA29BF" w:rsidP="00BA29BF">
            <w:pPr>
              <w:jc w:val="right"/>
              <w:rPr>
                <w:sz w:val="20"/>
                <w:szCs w:val="20"/>
              </w:rPr>
            </w:pPr>
            <w:r w:rsidRPr="001F224B">
              <w:rPr>
                <w:sz w:val="20"/>
                <w:szCs w:val="20"/>
              </w:rPr>
              <w:t>1.103.674</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9224DE" w14:textId="4AD91A37" w:rsidR="00BA29BF" w:rsidRPr="001F224B" w:rsidRDefault="00BA29BF" w:rsidP="00BA29BF">
            <w:pPr>
              <w:jc w:val="right"/>
              <w:rPr>
                <w:sz w:val="20"/>
                <w:szCs w:val="20"/>
              </w:rPr>
            </w:pPr>
            <w:r w:rsidRPr="001F224B">
              <w:rPr>
                <w:sz w:val="20"/>
                <w:szCs w:val="20"/>
              </w:rPr>
              <w:t>3.164</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D4B71" w14:textId="752A1CC5" w:rsidR="00BA29BF" w:rsidRPr="001F224B" w:rsidRDefault="00BA29BF" w:rsidP="00BA29BF">
            <w:pPr>
              <w:jc w:val="right"/>
              <w:rPr>
                <w:sz w:val="20"/>
                <w:szCs w:val="20"/>
              </w:rPr>
            </w:pPr>
            <w:r w:rsidRPr="001F224B">
              <w:rPr>
                <w:sz w:val="20"/>
                <w:szCs w:val="20"/>
              </w:rPr>
              <w:t>(2.689.596)</w:t>
            </w:r>
          </w:p>
        </w:tc>
      </w:tr>
      <w:tr w:rsidR="00BA29BF" w:rsidRPr="001F224B" w14:paraId="1850B3ED" w14:textId="77777777" w:rsidTr="00BA29BF">
        <w:trPr>
          <w:trHeight w:val="229"/>
        </w:trPr>
        <w:tc>
          <w:tcPr>
            <w:tcW w:w="5143" w:type="dxa"/>
            <w:shd w:val="clear" w:color="000000" w:fill="FFFFFF"/>
            <w:noWrap/>
            <w:vAlign w:val="bottom"/>
            <w:hideMark/>
          </w:tcPr>
          <w:p w14:paraId="5562379C" w14:textId="50162248" w:rsidR="00BA29BF" w:rsidRPr="001F224B" w:rsidRDefault="00BA29BF" w:rsidP="00BA29BF">
            <w:pPr>
              <w:rPr>
                <w:color w:val="000000"/>
                <w:sz w:val="20"/>
                <w:szCs w:val="20"/>
              </w:rPr>
            </w:pPr>
            <w:r w:rsidRPr="001F224B">
              <w:rPr>
                <w:color w:val="000000"/>
                <w:sz w:val="20"/>
                <w:szCs w:val="20"/>
              </w:rPr>
              <w:t>Net Nazım Hesap Pozisyonu</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3FC3390" w14:textId="75DF33C7" w:rsidR="00BA29BF" w:rsidRPr="001F224B" w:rsidRDefault="00BA29BF" w:rsidP="00BA29BF">
            <w:pPr>
              <w:jc w:val="right"/>
              <w:rPr>
                <w:sz w:val="20"/>
                <w:szCs w:val="20"/>
              </w:rPr>
            </w:pPr>
            <w:r w:rsidRPr="001F224B">
              <w:rPr>
                <w:sz w:val="20"/>
                <w:szCs w:val="20"/>
              </w:rPr>
              <w:t>3.709.472</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52F79F" w14:textId="643E1462" w:rsidR="00BA29BF" w:rsidRPr="001F224B" w:rsidRDefault="00BA29BF" w:rsidP="00BA29BF">
            <w:pPr>
              <w:jc w:val="right"/>
              <w:rPr>
                <w:sz w:val="20"/>
                <w:szCs w:val="20"/>
              </w:rPr>
            </w:pPr>
            <w:r w:rsidRPr="001F224B">
              <w:rPr>
                <w:sz w:val="20"/>
                <w:szCs w:val="20"/>
              </w:rPr>
              <w:t>(554.394)</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28693" w14:textId="42899F24" w:rsidR="00BA29BF" w:rsidRPr="001F224B" w:rsidRDefault="00BA29BF" w:rsidP="00BA29BF">
            <w:pPr>
              <w:jc w:val="right"/>
              <w:rPr>
                <w:sz w:val="20"/>
                <w:szCs w:val="20"/>
              </w:rPr>
            </w:pPr>
            <w:r w:rsidRPr="001F224B">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2179F6" w14:textId="26A902AB" w:rsidR="00BA29BF" w:rsidRPr="001F224B" w:rsidRDefault="00BA29BF" w:rsidP="00BA29BF">
            <w:pPr>
              <w:jc w:val="right"/>
              <w:rPr>
                <w:sz w:val="20"/>
                <w:szCs w:val="20"/>
              </w:rPr>
            </w:pPr>
            <w:r w:rsidRPr="001F224B">
              <w:rPr>
                <w:sz w:val="20"/>
                <w:szCs w:val="20"/>
              </w:rPr>
              <w:t>3.155.078</w:t>
            </w:r>
          </w:p>
        </w:tc>
      </w:tr>
      <w:tr w:rsidR="00BA29BF" w:rsidRPr="001F224B" w14:paraId="50813954" w14:textId="77777777" w:rsidTr="00BA29BF">
        <w:trPr>
          <w:trHeight w:val="229"/>
        </w:trPr>
        <w:tc>
          <w:tcPr>
            <w:tcW w:w="5143" w:type="dxa"/>
            <w:shd w:val="clear" w:color="000000" w:fill="FFFFFF"/>
            <w:noWrap/>
            <w:vAlign w:val="bottom"/>
            <w:hideMark/>
          </w:tcPr>
          <w:p w14:paraId="6B13519A" w14:textId="16B73447" w:rsidR="00BA29BF" w:rsidRPr="001F224B" w:rsidRDefault="00BA29BF" w:rsidP="00BA29BF">
            <w:pPr>
              <w:rPr>
                <w:color w:val="000000"/>
                <w:sz w:val="20"/>
                <w:szCs w:val="20"/>
              </w:rPr>
            </w:pPr>
            <w:r w:rsidRPr="001F224B">
              <w:rPr>
                <w:color w:val="000000"/>
                <w:sz w:val="20"/>
                <w:szCs w:val="20"/>
              </w:rPr>
              <w:t xml:space="preserve">    Türev Finansal Araçlardan Alacaklar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5F2E7E39" w14:textId="4A1AFAE6" w:rsidR="00BA29BF" w:rsidRPr="001F224B" w:rsidRDefault="00BA29BF" w:rsidP="00BA29BF">
            <w:pPr>
              <w:jc w:val="right"/>
              <w:rPr>
                <w:sz w:val="20"/>
                <w:szCs w:val="20"/>
              </w:rPr>
            </w:pPr>
            <w:r w:rsidRPr="001F224B">
              <w:rPr>
                <w:sz w:val="20"/>
                <w:szCs w:val="20"/>
              </w:rPr>
              <w:t>3.709.472</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D4586" w14:textId="1ECB259E" w:rsidR="00BA29BF" w:rsidRPr="001F224B" w:rsidRDefault="00BA29BF" w:rsidP="00BA29BF">
            <w:pPr>
              <w:jc w:val="right"/>
              <w:rPr>
                <w:sz w:val="20"/>
                <w:szCs w:val="20"/>
              </w:rPr>
            </w:pPr>
            <w:r w:rsidRPr="001F224B">
              <w:rPr>
                <w:sz w:val="20"/>
                <w:szCs w:val="20"/>
              </w:rPr>
              <w:t>5.337.823</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0DFFA" w14:textId="25083B6A"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D396F" w14:textId="6044B75F" w:rsidR="00BA29BF" w:rsidRPr="001F224B" w:rsidRDefault="00BA29BF" w:rsidP="00BA29BF">
            <w:pPr>
              <w:jc w:val="right"/>
              <w:rPr>
                <w:sz w:val="20"/>
                <w:szCs w:val="20"/>
              </w:rPr>
            </w:pPr>
            <w:r w:rsidRPr="001F224B">
              <w:rPr>
                <w:sz w:val="20"/>
                <w:szCs w:val="20"/>
              </w:rPr>
              <w:t>9.047.295</w:t>
            </w:r>
          </w:p>
        </w:tc>
      </w:tr>
      <w:tr w:rsidR="00BA29BF" w:rsidRPr="001F224B" w14:paraId="6B0AC62E" w14:textId="77777777" w:rsidTr="00BA29BF">
        <w:trPr>
          <w:trHeight w:val="229"/>
        </w:trPr>
        <w:tc>
          <w:tcPr>
            <w:tcW w:w="5143" w:type="dxa"/>
            <w:shd w:val="clear" w:color="000000" w:fill="FFFFFF"/>
            <w:noWrap/>
            <w:vAlign w:val="bottom"/>
            <w:hideMark/>
          </w:tcPr>
          <w:p w14:paraId="08813BD6" w14:textId="4BF1382A" w:rsidR="00BA29BF" w:rsidRPr="001F224B" w:rsidRDefault="00BA29BF" w:rsidP="00BA29BF">
            <w:pPr>
              <w:rPr>
                <w:color w:val="000000"/>
                <w:sz w:val="20"/>
                <w:szCs w:val="20"/>
              </w:rPr>
            </w:pPr>
            <w:r w:rsidRPr="001F224B">
              <w:rPr>
                <w:color w:val="000000"/>
                <w:sz w:val="20"/>
                <w:szCs w:val="20"/>
              </w:rPr>
              <w:t xml:space="preserve">    Türev Finansal Araçlardan Borçlar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60E13EEE" w14:textId="3CA0D037" w:rsidR="00BA29BF" w:rsidRPr="001F224B" w:rsidRDefault="00BA29BF" w:rsidP="00BA29BF">
            <w:pPr>
              <w:ind w:left="164"/>
              <w:jc w:val="right"/>
              <w:rPr>
                <w:sz w:val="20"/>
                <w:szCs w:val="20"/>
              </w:rPr>
            </w:pPr>
            <w:r w:rsidRPr="001F224B">
              <w:rPr>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382786" w14:textId="3FFC1E50" w:rsidR="00BA29BF" w:rsidRPr="001F224B" w:rsidRDefault="00BA29BF" w:rsidP="00BA29BF">
            <w:pPr>
              <w:jc w:val="right"/>
              <w:rPr>
                <w:sz w:val="20"/>
                <w:szCs w:val="20"/>
              </w:rPr>
            </w:pPr>
            <w:r w:rsidRPr="001F224B">
              <w:rPr>
                <w:sz w:val="20"/>
                <w:szCs w:val="20"/>
              </w:rPr>
              <w:t>(5.892.217)</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510B35" w14:textId="3477DA2C"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7CDB1" w14:textId="6966367F" w:rsidR="00BA29BF" w:rsidRPr="001F224B" w:rsidRDefault="00BA29BF" w:rsidP="00BA29BF">
            <w:pPr>
              <w:jc w:val="right"/>
              <w:rPr>
                <w:sz w:val="20"/>
                <w:szCs w:val="20"/>
              </w:rPr>
            </w:pPr>
            <w:r w:rsidRPr="001F224B">
              <w:rPr>
                <w:sz w:val="20"/>
                <w:szCs w:val="20"/>
              </w:rPr>
              <w:t>(5.892.217)</w:t>
            </w:r>
          </w:p>
        </w:tc>
      </w:tr>
      <w:tr w:rsidR="00BA29BF" w:rsidRPr="001F224B" w14:paraId="53226D0D" w14:textId="77777777" w:rsidTr="00BA29BF">
        <w:trPr>
          <w:trHeight w:val="229"/>
        </w:trPr>
        <w:tc>
          <w:tcPr>
            <w:tcW w:w="5143" w:type="dxa"/>
            <w:shd w:val="clear" w:color="000000" w:fill="FFFFFF"/>
            <w:noWrap/>
            <w:vAlign w:val="bottom"/>
            <w:hideMark/>
          </w:tcPr>
          <w:p w14:paraId="1761CC79" w14:textId="77777777" w:rsidR="00BA29BF" w:rsidRPr="001F224B" w:rsidRDefault="00BA29BF" w:rsidP="00BA29BF">
            <w:pPr>
              <w:rPr>
                <w:color w:val="000000"/>
                <w:sz w:val="20"/>
                <w:szCs w:val="20"/>
              </w:rPr>
            </w:pPr>
            <w:r w:rsidRPr="001F224B">
              <w:rPr>
                <w:color w:val="000000"/>
                <w:sz w:val="20"/>
                <w:szCs w:val="20"/>
              </w:rPr>
              <w:t>Gayrinakdi Krediler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1DEDF7E1" w14:textId="69ED64E9" w:rsidR="00BA29BF" w:rsidRPr="001F224B" w:rsidRDefault="00BA29BF" w:rsidP="00BA29BF">
            <w:pPr>
              <w:jc w:val="right"/>
              <w:rPr>
                <w:sz w:val="20"/>
                <w:szCs w:val="20"/>
              </w:rPr>
            </w:pPr>
            <w:r w:rsidRPr="001F224B">
              <w:rPr>
                <w:sz w:val="20"/>
                <w:szCs w:val="20"/>
              </w:rPr>
              <w:t>2.728.764</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B35E0" w14:textId="229FDB79" w:rsidR="00BA29BF" w:rsidRPr="001F224B" w:rsidRDefault="00BA29BF" w:rsidP="00BA29BF">
            <w:pPr>
              <w:jc w:val="right"/>
              <w:rPr>
                <w:sz w:val="20"/>
                <w:szCs w:val="20"/>
              </w:rPr>
            </w:pPr>
            <w:r w:rsidRPr="001F224B">
              <w:rPr>
                <w:sz w:val="20"/>
                <w:szCs w:val="20"/>
              </w:rPr>
              <w:t>2.800.731</w:t>
            </w:r>
          </w:p>
        </w:tc>
        <w:tc>
          <w:tcPr>
            <w:tcW w:w="1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EA29F" w14:textId="22DE7F76" w:rsidR="00BA29BF" w:rsidRPr="001F224B" w:rsidRDefault="00BA29BF" w:rsidP="00BA29BF">
            <w:pPr>
              <w:jc w:val="right"/>
              <w:rPr>
                <w:sz w:val="20"/>
                <w:szCs w:val="20"/>
              </w:rPr>
            </w:pPr>
            <w:r w:rsidRPr="001F224B">
              <w:rPr>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19C35" w14:textId="624E9726" w:rsidR="00BA29BF" w:rsidRPr="001F224B" w:rsidRDefault="00BA29BF" w:rsidP="00BA29BF">
            <w:pPr>
              <w:jc w:val="right"/>
              <w:rPr>
                <w:sz w:val="20"/>
                <w:szCs w:val="20"/>
              </w:rPr>
            </w:pPr>
            <w:r w:rsidRPr="001F224B">
              <w:rPr>
                <w:sz w:val="20"/>
                <w:szCs w:val="20"/>
              </w:rPr>
              <w:t>5.529.495</w:t>
            </w:r>
          </w:p>
        </w:tc>
      </w:tr>
      <w:tr w:rsidR="00C76576" w:rsidRPr="001F224B" w14:paraId="5D9274C3" w14:textId="77777777" w:rsidTr="005C0315">
        <w:trPr>
          <w:trHeight w:val="229"/>
        </w:trPr>
        <w:tc>
          <w:tcPr>
            <w:tcW w:w="5143" w:type="dxa"/>
            <w:shd w:val="clear" w:color="000000" w:fill="FFFFFF"/>
            <w:noWrap/>
            <w:vAlign w:val="bottom"/>
            <w:hideMark/>
          </w:tcPr>
          <w:p w14:paraId="6ABE76B8" w14:textId="77777777" w:rsidR="00C76576" w:rsidRPr="001F224B" w:rsidRDefault="00C76576" w:rsidP="00C76576">
            <w:pPr>
              <w:rPr>
                <w:color w:val="000000"/>
                <w:sz w:val="20"/>
                <w:szCs w:val="20"/>
              </w:rPr>
            </w:pPr>
            <w:r w:rsidRPr="001F224B">
              <w:rPr>
                <w:color w:val="000000"/>
                <w:sz w:val="20"/>
                <w:szCs w:val="20"/>
              </w:rPr>
              <w:t> </w:t>
            </w:r>
          </w:p>
        </w:tc>
        <w:tc>
          <w:tcPr>
            <w:tcW w:w="1238" w:type="dxa"/>
            <w:shd w:val="clear" w:color="000000" w:fill="FFFFFF"/>
            <w:noWrap/>
            <w:vAlign w:val="bottom"/>
            <w:hideMark/>
          </w:tcPr>
          <w:p w14:paraId="27DD595F" w14:textId="77777777" w:rsidR="00C76576" w:rsidRPr="001F224B" w:rsidRDefault="00C76576" w:rsidP="00C76576">
            <w:pPr>
              <w:jc w:val="right"/>
              <w:rPr>
                <w:color w:val="000000"/>
                <w:sz w:val="20"/>
                <w:szCs w:val="20"/>
              </w:rPr>
            </w:pPr>
            <w:r w:rsidRPr="001F224B">
              <w:rPr>
                <w:color w:val="000000"/>
                <w:sz w:val="20"/>
                <w:szCs w:val="20"/>
              </w:rPr>
              <w:t> </w:t>
            </w:r>
          </w:p>
        </w:tc>
        <w:tc>
          <w:tcPr>
            <w:tcW w:w="1164" w:type="dxa"/>
            <w:shd w:val="clear" w:color="000000" w:fill="FFFFFF"/>
            <w:noWrap/>
            <w:vAlign w:val="bottom"/>
            <w:hideMark/>
          </w:tcPr>
          <w:p w14:paraId="71BA53E5" w14:textId="77777777" w:rsidR="00C76576" w:rsidRPr="001F224B" w:rsidRDefault="00C76576" w:rsidP="00C76576">
            <w:pPr>
              <w:jc w:val="right"/>
              <w:rPr>
                <w:color w:val="000000"/>
                <w:sz w:val="20"/>
                <w:szCs w:val="20"/>
              </w:rPr>
            </w:pPr>
            <w:r w:rsidRPr="001F224B">
              <w:rPr>
                <w:color w:val="000000"/>
                <w:sz w:val="20"/>
                <w:szCs w:val="20"/>
              </w:rPr>
              <w:t> </w:t>
            </w:r>
          </w:p>
        </w:tc>
        <w:tc>
          <w:tcPr>
            <w:tcW w:w="1239" w:type="dxa"/>
            <w:shd w:val="clear" w:color="000000" w:fill="FFFFFF"/>
            <w:noWrap/>
            <w:vAlign w:val="bottom"/>
            <w:hideMark/>
          </w:tcPr>
          <w:p w14:paraId="143175D9" w14:textId="2CC91535" w:rsidR="00C76576" w:rsidRPr="001F224B" w:rsidRDefault="00C76576" w:rsidP="00C76576">
            <w:pPr>
              <w:jc w:val="right"/>
              <w:rPr>
                <w:color w:val="000000"/>
                <w:sz w:val="20"/>
                <w:szCs w:val="20"/>
              </w:rPr>
            </w:pPr>
            <w:r w:rsidRPr="001F224B">
              <w:rPr>
                <w:color w:val="000000"/>
                <w:sz w:val="20"/>
                <w:szCs w:val="20"/>
              </w:rPr>
              <w:t> </w:t>
            </w:r>
          </w:p>
        </w:tc>
        <w:tc>
          <w:tcPr>
            <w:tcW w:w="1276" w:type="dxa"/>
            <w:shd w:val="clear" w:color="000000" w:fill="FFFFFF"/>
            <w:noWrap/>
            <w:vAlign w:val="bottom"/>
            <w:hideMark/>
          </w:tcPr>
          <w:p w14:paraId="4882D0D6" w14:textId="77777777" w:rsidR="00C76576" w:rsidRPr="001F224B" w:rsidRDefault="00C76576" w:rsidP="00C76576">
            <w:pPr>
              <w:jc w:val="right"/>
              <w:rPr>
                <w:color w:val="000000"/>
                <w:sz w:val="20"/>
                <w:szCs w:val="20"/>
              </w:rPr>
            </w:pPr>
            <w:r w:rsidRPr="001F224B">
              <w:rPr>
                <w:color w:val="000000"/>
                <w:sz w:val="20"/>
                <w:szCs w:val="20"/>
              </w:rPr>
              <w:t> </w:t>
            </w:r>
          </w:p>
        </w:tc>
      </w:tr>
      <w:tr w:rsidR="00C76576" w:rsidRPr="001F224B" w14:paraId="0392DBBF" w14:textId="77777777" w:rsidTr="005C0315">
        <w:trPr>
          <w:trHeight w:val="229"/>
        </w:trPr>
        <w:tc>
          <w:tcPr>
            <w:tcW w:w="5143" w:type="dxa"/>
            <w:shd w:val="clear" w:color="000000" w:fill="FFFFFF"/>
            <w:noWrap/>
            <w:vAlign w:val="bottom"/>
            <w:hideMark/>
          </w:tcPr>
          <w:p w14:paraId="56964091" w14:textId="7E9B7232" w:rsidR="00C76576" w:rsidRPr="001F224B" w:rsidRDefault="00C76576" w:rsidP="00C76576">
            <w:pPr>
              <w:rPr>
                <w:b/>
                <w:bCs/>
                <w:color w:val="000000"/>
                <w:sz w:val="20"/>
                <w:szCs w:val="20"/>
              </w:rPr>
            </w:pPr>
            <w:r w:rsidRPr="001F224B">
              <w:rPr>
                <w:b/>
                <w:bCs/>
                <w:color w:val="000000"/>
                <w:sz w:val="20"/>
                <w:szCs w:val="20"/>
              </w:rPr>
              <w:t>Önceki Dönem (31.12.202</w:t>
            </w:r>
            <w:r w:rsidR="007946D8" w:rsidRPr="001F224B">
              <w:rPr>
                <w:b/>
                <w:bCs/>
                <w:color w:val="000000"/>
                <w:sz w:val="20"/>
                <w:szCs w:val="20"/>
              </w:rPr>
              <w:t>4</w:t>
            </w:r>
            <w:r w:rsidRPr="001F224B">
              <w:rPr>
                <w:b/>
                <w:bCs/>
                <w:color w:val="000000"/>
                <w:sz w:val="20"/>
                <w:szCs w:val="20"/>
              </w:rPr>
              <w:t>)</w:t>
            </w:r>
          </w:p>
        </w:tc>
        <w:tc>
          <w:tcPr>
            <w:tcW w:w="1238" w:type="dxa"/>
            <w:shd w:val="clear" w:color="000000" w:fill="FFFFFF"/>
            <w:noWrap/>
            <w:vAlign w:val="bottom"/>
            <w:hideMark/>
          </w:tcPr>
          <w:p w14:paraId="5D37F1CF" w14:textId="77777777" w:rsidR="00C76576" w:rsidRPr="001F224B" w:rsidRDefault="00C76576" w:rsidP="00C76576">
            <w:pPr>
              <w:jc w:val="right"/>
              <w:rPr>
                <w:color w:val="000000"/>
                <w:sz w:val="20"/>
                <w:szCs w:val="20"/>
              </w:rPr>
            </w:pPr>
            <w:r w:rsidRPr="001F224B">
              <w:rPr>
                <w:color w:val="000000"/>
                <w:sz w:val="20"/>
                <w:szCs w:val="20"/>
              </w:rPr>
              <w:t> </w:t>
            </w:r>
          </w:p>
        </w:tc>
        <w:tc>
          <w:tcPr>
            <w:tcW w:w="1164" w:type="dxa"/>
            <w:shd w:val="clear" w:color="000000" w:fill="FFFFFF"/>
            <w:noWrap/>
            <w:vAlign w:val="bottom"/>
            <w:hideMark/>
          </w:tcPr>
          <w:p w14:paraId="46448B0F" w14:textId="77777777" w:rsidR="00C76576" w:rsidRPr="001F224B" w:rsidRDefault="00C76576" w:rsidP="00C76576">
            <w:pPr>
              <w:jc w:val="right"/>
              <w:rPr>
                <w:color w:val="000000"/>
                <w:sz w:val="20"/>
                <w:szCs w:val="20"/>
              </w:rPr>
            </w:pPr>
            <w:r w:rsidRPr="001F224B">
              <w:rPr>
                <w:color w:val="000000"/>
                <w:sz w:val="20"/>
                <w:szCs w:val="20"/>
              </w:rPr>
              <w:t> </w:t>
            </w:r>
          </w:p>
        </w:tc>
        <w:tc>
          <w:tcPr>
            <w:tcW w:w="1239" w:type="dxa"/>
            <w:shd w:val="clear" w:color="000000" w:fill="FFFFFF"/>
            <w:noWrap/>
            <w:vAlign w:val="bottom"/>
            <w:hideMark/>
          </w:tcPr>
          <w:p w14:paraId="4E9797C3" w14:textId="77777777" w:rsidR="00C76576" w:rsidRPr="001F224B" w:rsidRDefault="00C76576" w:rsidP="00C76576">
            <w:pPr>
              <w:jc w:val="right"/>
              <w:rPr>
                <w:color w:val="000000"/>
                <w:sz w:val="20"/>
                <w:szCs w:val="20"/>
              </w:rPr>
            </w:pPr>
            <w:r w:rsidRPr="001F224B">
              <w:rPr>
                <w:color w:val="000000"/>
                <w:sz w:val="20"/>
                <w:szCs w:val="20"/>
              </w:rPr>
              <w:t> </w:t>
            </w:r>
          </w:p>
        </w:tc>
        <w:tc>
          <w:tcPr>
            <w:tcW w:w="1276" w:type="dxa"/>
            <w:shd w:val="clear" w:color="000000" w:fill="FFFFFF"/>
            <w:noWrap/>
            <w:vAlign w:val="bottom"/>
            <w:hideMark/>
          </w:tcPr>
          <w:p w14:paraId="28A60176" w14:textId="77777777" w:rsidR="00C76576" w:rsidRPr="001F224B" w:rsidRDefault="00C76576" w:rsidP="00C76576">
            <w:pPr>
              <w:jc w:val="right"/>
              <w:rPr>
                <w:color w:val="000000"/>
                <w:sz w:val="20"/>
                <w:szCs w:val="20"/>
              </w:rPr>
            </w:pPr>
            <w:r w:rsidRPr="001F224B">
              <w:rPr>
                <w:color w:val="000000"/>
                <w:sz w:val="20"/>
                <w:szCs w:val="20"/>
              </w:rPr>
              <w:t> </w:t>
            </w:r>
          </w:p>
        </w:tc>
      </w:tr>
      <w:tr w:rsidR="007946D8" w:rsidRPr="001F224B" w14:paraId="010FB262" w14:textId="77777777" w:rsidTr="005C0315">
        <w:trPr>
          <w:trHeight w:val="229"/>
        </w:trPr>
        <w:tc>
          <w:tcPr>
            <w:tcW w:w="5143" w:type="dxa"/>
            <w:shd w:val="clear" w:color="000000" w:fill="FFFFFF"/>
            <w:noWrap/>
            <w:vAlign w:val="bottom"/>
            <w:hideMark/>
          </w:tcPr>
          <w:p w14:paraId="3404D3A1" w14:textId="77777777" w:rsidR="007946D8" w:rsidRPr="001F224B" w:rsidRDefault="007946D8" w:rsidP="007946D8">
            <w:pPr>
              <w:rPr>
                <w:b/>
                <w:color w:val="000000"/>
                <w:sz w:val="20"/>
                <w:szCs w:val="20"/>
              </w:rPr>
            </w:pPr>
            <w:r w:rsidRPr="001F224B">
              <w:rPr>
                <w:b/>
                <w:color w:val="000000"/>
                <w:sz w:val="20"/>
                <w:szCs w:val="20"/>
              </w:rPr>
              <w:t xml:space="preserve">    Toplam Varlıklar </w:t>
            </w:r>
          </w:p>
        </w:tc>
        <w:tc>
          <w:tcPr>
            <w:tcW w:w="1238" w:type="dxa"/>
            <w:shd w:val="clear" w:color="000000" w:fill="FFFFFF"/>
            <w:noWrap/>
            <w:vAlign w:val="bottom"/>
            <w:hideMark/>
          </w:tcPr>
          <w:p w14:paraId="38378588" w14:textId="1C22ED41" w:rsidR="007946D8" w:rsidRPr="001F224B" w:rsidRDefault="007946D8" w:rsidP="007946D8">
            <w:pPr>
              <w:jc w:val="right"/>
              <w:rPr>
                <w:color w:val="000000"/>
                <w:sz w:val="20"/>
                <w:szCs w:val="20"/>
              </w:rPr>
            </w:pPr>
            <w:r w:rsidRPr="001F224B">
              <w:rPr>
                <w:b/>
                <w:bCs/>
                <w:color w:val="000000"/>
                <w:sz w:val="20"/>
                <w:szCs w:val="20"/>
              </w:rPr>
              <w:t>33.963.018</w:t>
            </w:r>
          </w:p>
        </w:tc>
        <w:tc>
          <w:tcPr>
            <w:tcW w:w="1164" w:type="dxa"/>
            <w:shd w:val="clear" w:color="000000" w:fill="FFFFFF"/>
            <w:noWrap/>
            <w:vAlign w:val="bottom"/>
            <w:hideMark/>
          </w:tcPr>
          <w:p w14:paraId="450A752B" w14:textId="7CDDA971" w:rsidR="007946D8" w:rsidRPr="001F224B" w:rsidRDefault="007946D8" w:rsidP="007946D8">
            <w:pPr>
              <w:jc w:val="right"/>
              <w:rPr>
                <w:color w:val="000000"/>
                <w:sz w:val="20"/>
                <w:szCs w:val="20"/>
              </w:rPr>
            </w:pPr>
            <w:r w:rsidRPr="001F224B">
              <w:rPr>
                <w:b/>
                <w:bCs/>
                <w:color w:val="000000"/>
                <w:sz w:val="20"/>
                <w:szCs w:val="20"/>
              </w:rPr>
              <w:t>62.505.492</w:t>
            </w:r>
          </w:p>
        </w:tc>
        <w:tc>
          <w:tcPr>
            <w:tcW w:w="1239" w:type="dxa"/>
            <w:shd w:val="clear" w:color="000000" w:fill="FFFFFF"/>
            <w:noWrap/>
            <w:vAlign w:val="bottom"/>
            <w:hideMark/>
          </w:tcPr>
          <w:p w14:paraId="3D3DC664" w14:textId="2EAC39F1" w:rsidR="007946D8" w:rsidRPr="001F224B" w:rsidRDefault="007946D8" w:rsidP="007946D8">
            <w:pPr>
              <w:jc w:val="right"/>
              <w:rPr>
                <w:color w:val="000000"/>
                <w:sz w:val="20"/>
                <w:szCs w:val="20"/>
              </w:rPr>
            </w:pPr>
            <w:r w:rsidRPr="001F224B">
              <w:rPr>
                <w:b/>
                <w:bCs/>
                <w:color w:val="000000"/>
                <w:sz w:val="20"/>
                <w:szCs w:val="20"/>
              </w:rPr>
              <w:t>3.364</w:t>
            </w:r>
          </w:p>
        </w:tc>
        <w:tc>
          <w:tcPr>
            <w:tcW w:w="1276" w:type="dxa"/>
            <w:shd w:val="clear" w:color="000000" w:fill="FFFFFF"/>
            <w:noWrap/>
            <w:vAlign w:val="bottom"/>
            <w:hideMark/>
          </w:tcPr>
          <w:p w14:paraId="05F0C705" w14:textId="0EC9D8F3" w:rsidR="007946D8" w:rsidRPr="001F224B" w:rsidRDefault="007946D8" w:rsidP="007946D8">
            <w:pPr>
              <w:jc w:val="right"/>
              <w:rPr>
                <w:color w:val="000000"/>
                <w:sz w:val="20"/>
                <w:szCs w:val="20"/>
              </w:rPr>
            </w:pPr>
            <w:r w:rsidRPr="001F224B">
              <w:rPr>
                <w:b/>
                <w:bCs/>
                <w:color w:val="000000"/>
                <w:sz w:val="20"/>
                <w:szCs w:val="20"/>
              </w:rPr>
              <w:t>96.471.874</w:t>
            </w:r>
          </w:p>
        </w:tc>
      </w:tr>
      <w:tr w:rsidR="007946D8" w:rsidRPr="001F224B" w14:paraId="38AC03E8" w14:textId="77777777" w:rsidTr="005C0315">
        <w:trPr>
          <w:trHeight w:val="229"/>
        </w:trPr>
        <w:tc>
          <w:tcPr>
            <w:tcW w:w="5143" w:type="dxa"/>
            <w:shd w:val="clear" w:color="000000" w:fill="FFFFFF"/>
            <w:noWrap/>
            <w:vAlign w:val="bottom"/>
            <w:hideMark/>
          </w:tcPr>
          <w:p w14:paraId="523B097B" w14:textId="77777777" w:rsidR="007946D8" w:rsidRPr="001F224B" w:rsidRDefault="007946D8" w:rsidP="007946D8">
            <w:pPr>
              <w:rPr>
                <w:b/>
                <w:color w:val="000000"/>
                <w:sz w:val="20"/>
                <w:szCs w:val="20"/>
              </w:rPr>
            </w:pPr>
            <w:r w:rsidRPr="001F224B">
              <w:rPr>
                <w:b/>
                <w:color w:val="000000"/>
                <w:sz w:val="20"/>
                <w:szCs w:val="20"/>
              </w:rPr>
              <w:t xml:space="preserve">    Toplam Yükümlülükler </w:t>
            </w:r>
          </w:p>
        </w:tc>
        <w:tc>
          <w:tcPr>
            <w:tcW w:w="1238" w:type="dxa"/>
            <w:shd w:val="clear" w:color="000000" w:fill="FFFFFF"/>
            <w:noWrap/>
            <w:vAlign w:val="bottom"/>
            <w:hideMark/>
          </w:tcPr>
          <w:p w14:paraId="3DE79026" w14:textId="714FDAC1" w:rsidR="007946D8" w:rsidRPr="001F224B" w:rsidRDefault="007946D8" w:rsidP="007946D8">
            <w:pPr>
              <w:jc w:val="right"/>
              <w:rPr>
                <w:color w:val="000000"/>
                <w:sz w:val="20"/>
                <w:szCs w:val="20"/>
              </w:rPr>
            </w:pPr>
            <w:r w:rsidRPr="001F224B">
              <w:rPr>
                <w:b/>
                <w:bCs/>
                <w:color w:val="000000"/>
                <w:sz w:val="20"/>
                <w:szCs w:val="20"/>
              </w:rPr>
              <w:t>37.042.232</w:t>
            </w:r>
          </w:p>
        </w:tc>
        <w:tc>
          <w:tcPr>
            <w:tcW w:w="1164" w:type="dxa"/>
            <w:shd w:val="clear" w:color="000000" w:fill="FFFFFF"/>
            <w:noWrap/>
            <w:vAlign w:val="bottom"/>
            <w:hideMark/>
          </w:tcPr>
          <w:p w14:paraId="7791C649" w14:textId="43C65DC2" w:rsidR="007946D8" w:rsidRPr="001F224B" w:rsidRDefault="007946D8" w:rsidP="007946D8">
            <w:pPr>
              <w:jc w:val="right"/>
              <w:rPr>
                <w:color w:val="000000"/>
                <w:sz w:val="20"/>
                <w:szCs w:val="20"/>
              </w:rPr>
            </w:pPr>
            <w:r w:rsidRPr="001F224B">
              <w:rPr>
                <w:b/>
                <w:bCs/>
                <w:color w:val="000000"/>
                <w:sz w:val="20"/>
                <w:szCs w:val="20"/>
              </w:rPr>
              <w:t>61.494.314</w:t>
            </w:r>
          </w:p>
        </w:tc>
        <w:tc>
          <w:tcPr>
            <w:tcW w:w="1239" w:type="dxa"/>
            <w:shd w:val="clear" w:color="000000" w:fill="FFFFFF"/>
            <w:noWrap/>
            <w:vAlign w:val="bottom"/>
            <w:hideMark/>
          </w:tcPr>
          <w:p w14:paraId="2E70DF79" w14:textId="40984105" w:rsidR="007946D8" w:rsidRPr="001F224B" w:rsidRDefault="007946D8" w:rsidP="007946D8">
            <w:pPr>
              <w:jc w:val="right"/>
              <w:rPr>
                <w:sz w:val="20"/>
                <w:szCs w:val="20"/>
              </w:rPr>
            </w:pPr>
            <w:r w:rsidRPr="001F224B">
              <w:rPr>
                <w:b/>
                <w:bCs/>
                <w:color w:val="000000"/>
                <w:sz w:val="20"/>
                <w:szCs w:val="20"/>
              </w:rPr>
              <w:t>-</w:t>
            </w:r>
          </w:p>
        </w:tc>
        <w:tc>
          <w:tcPr>
            <w:tcW w:w="1276" w:type="dxa"/>
            <w:shd w:val="clear" w:color="000000" w:fill="FFFFFF"/>
            <w:noWrap/>
            <w:vAlign w:val="bottom"/>
            <w:hideMark/>
          </w:tcPr>
          <w:p w14:paraId="3B39EFA9" w14:textId="0F551F3D" w:rsidR="007946D8" w:rsidRPr="001F224B" w:rsidRDefault="007946D8" w:rsidP="007946D8">
            <w:pPr>
              <w:jc w:val="right"/>
              <w:rPr>
                <w:color w:val="000000"/>
                <w:sz w:val="20"/>
                <w:szCs w:val="20"/>
              </w:rPr>
            </w:pPr>
            <w:r w:rsidRPr="001F224B">
              <w:rPr>
                <w:b/>
                <w:bCs/>
                <w:color w:val="000000"/>
                <w:sz w:val="20"/>
                <w:szCs w:val="20"/>
              </w:rPr>
              <w:t>98.536.546</w:t>
            </w:r>
          </w:p>
        </w:tc>
      </w:tr>
      <w:tr w:rsidR="007946D8" w:rsidRPr="001F224B" w14:paraId="72F495AC" w14:textId="77777777" w:rsidTr="005C0315">
        <w:trPr>
          <w:trHeight w:val="229"/>
        </w:trPr>
        <w:tc>
          <w:tcPr>
            <w:tcW w:w="5143" w:type="dxa"/>
            <w:shd w:val="clear" w:color="000000" w:fill="FFFFFF"/>
            <w:noWrap/>
            <w:vAlign w:val="bottom"/>
            <w:hideMark/>
          </w:tcPr>
          <w:p w14:paraId="3A1EA922" w14:textId="77777777" w:rsidR="007946D8" w:rsidRPr="001F224B" w:rsidRDefault="007946D8" w:rsidP="007946D8">
            <w:pPr>
              <w:rPr>
                <w:color w:val="000000"/>
                <w:sz w:val="20"/>
                <w:szCs w:val="20"/>
              </w:rPr>
            </w:pPr>
            <w:r w:rsidRPr="001F224B">
              <w:rPr>
                <w:color w:val="000000"/>
                <w:sz w:val="20"/>
                <w:szCs w:val="20"/>
              </w:rPr>
              <w:t>Net Bilanço Pozisyonu</w:t>
            </w:r>
          </w:p>
        </w:tc>
        <w:tc>
          <w:tcPr>
            <w:tcW w:w="1238" w:type="dxa"/>
            <w:shd w:val="clear" w:color="000000" w:fill="FFFFFF"/>
            <w:noWrap/>
            <w:vAlign w:val="bottom"/>
            <w:hideMark/>
          </w:tcPr>
          <w:p w14:paraId="454B4CA0" w14:textId="196E61CB" w:rsidR="007946D8" w:rsidRPr="001F224B" w:rsidRDefault="007946D8" w:rsidP="007946D8">
            <w:pPr>
              <w:jc w:val="right"/>
              <w:rPr>
                <w:color w:val="000000"/>
                <w:sz w:val="20"/>
                <w:szCs w:val="20"/>
              </w:rPr>
            </w:pPr>
            <w:r w:rsidRPr="001F224B">
              <w:rPr>
                <w:color w:val="000000"/>
                <w:sz w:val="20"/>
                <w:szCs w:val="20"/>
              </w:rPr>
              <w:t>(3.079.214)</w:t>
            </w:r>
          </w:p>
        </w:tc>
        <w:tc>
          <w:tcPr>
            <w:tcW w:w="1164" w:type="dxa"/>
            <w:shd w:val="clear" w:color="000000" w:fill="FFFFFF"/>
            <w:noWrap/>
            <w:vAlign w:val="bottom"/>
            <w:hideMark/>
          </w:tcPr>
          <w:p w14:paraId="74C776B4" w14:textId="38FC1634" w:rsidR="007946D8" w:rsidRPr="001F224B" w:rsidRDefault="007946D8" w:rsidP="007946D8">
            <w:pPr>
              <w:jc w:val="right"/>
              <w:rPr>
                <w:color w:val="000000"/>
                <w:sz w:val="20"/>
                <w:szCs w:val="20"/>
              </w:rPr>
            </w:pPr>
            <w:r w:rsidRPr="001F224B">
              <w:rPr>
                <w:color w:val="000000"/>
                <w:sz w:val="20"/>
                <w:szCs w:val="20"/>
              </w:rPr>
              <w:t>1.011.178</w:t>
            </w:r>
          </w:p>
        </w:tc>
        <w:tc>
          <w:tcPr>
            <w:tcW w:w="1239" w:type="dxa"/>
            <w:shd w:val="clear" w:color="000000" w:fill="FFFFFF"/>
            <w:noWrap/>
            <w:vAlign w:val="bottom"/>
            <w:hideMark/>
          </w:tcPr>
          <w:p w14:paraId="2321DCC4" w14:textId="42321F63" w:rsidR="007946D8" w:rsidRPr="001F224B" w:rsidRDefault="007946D8" w:rsidP="007946D8">
            <w:pPr>
              <w:jc w:val="right"/>
              <w:rPr>
                <w:color w:val="000000"/>
                <w:sz w:val="20"/>
                <w:szCs w:val="20"/>
              </w:rPr>
            </w:pPr>
            <w:r w:rsidRPr="001F224B">
              <w:rPr>
                <w:color w:val="000000"/>
                <w:sz w:val="20"/>
                <w:szCs w:val="20"/>
              </w:rPr>
              <w:t>3.364</w:t>
            </w:r>
          </w:p>
        </w:tc>
        <w:tc>
          <w:tcPr>
            <w:tcW w:w="1276" w:type="dxa"/>
            <w:shd w:val="clear" w:color="000000" w:fill="FFFFFF"/>
            <w:noWrap/>
            <w:vAlign w:val="bottom"/>
            <w:hideMark/>
          </w:tcPr>
          <w:p w14:paraId="651F0AF7" w14:textId="2B88997A" w:rsidR="007946D8" w:rsidRPr="001F224B" w:rsidRDefault="007946D8" w:rsidP="007946D8">
            <w:pPr>
              <w:jc w:val="right"/>
              <w:rPr>
                <w:color w:val="000000"/>
                <w:sz w:val="20"/>
                <w:szCs w:val="20"/>
              </w:rPr>
            </w:pPr>
            <w:r w:rsidRPr="001F224B">
              <w:rPr>
                <w:color w:val="000000"/>
                <w:sz w:val="20"/>
                <w:szCs w:val="20"/>
              </w:rPr>
              <w:t>(2.064.672)</w:t>
            </w:r>
          </w:p>
        </w:tc>
      </w:tr>
      <w:tr w:rsidR="007946D8" w:rsidRPr="001F224B" w14:paraId="07BE6271" w14:textId="77777777" w:rsidTr="005C0315">
        <w:trPr>
          <w:trHeight w:val="229"/>
        </w:trPr>
        <w:tc>
          <w:tcPr>
            <w:tcW w:w="5143" w:type="dxa"/>
            <w:shd w:val="clear" w:color="000000" w:fill="FFFFFF"/>
            <w:noWrap/>
            <w:vAlign w:val="bottom"/>
            <w:hideMark/>
          </w:tcPr>
          <w:p w14:paraId="2C1ECF90" w14:textId="77777777" w:rsidR="007946D8" w:rsidRPr="001F224B" w:rsidRDefault="007946D8" w:rsidP="007946D8">
            <w:pPr>
              <w:rPr>
                <w:color w:val="000000"/>
                <w:sz w:val="20"/>
                <w:szCs w:val="20"/>
              </w:rPr>
            </w:pPr>
            <w:r w:rsidRPr="001F224B">
              <w:rPr>
                <w:color w:val="000000"/>
                <w:sz w:val="20"/>
                <w:szCs w:val="20"/>
              </w:rPr>
              <w:t>Net Nazım Hesap Pozisyonu</w:t>
            </w:r>
          </w:p>
        </w:tc>
        <w:tc>
          <w:tcPr>
            <w:tcW w:w="1238" w:type="dxa"/>
            <w:shd w:val="clear" w:color="000000" w:fill="FFFFFF"/>
            <w:noWrap/>
            <w:vAlign w:val="bottom"/>
            <w:hideMark/>
          </w:tcPr>
          <w:p w14:paraId="350D8654" w14:textId="3DA16B3F" w:rsidR="007946D8" w:rsidRPr="001F224B" w:rsidRDefault="007946D8" w:rsidP="007946D8">
            <w:pPr>
              <w:jc w:val="right"/>
              <w:rPr>
                <w:color w:val="000000"/>
                <w:sz w:val="20"/>
                <w:szCs w:val="20"/>
              </w:rPr>
            </w:pPr>
            <w:r w:rsidRPr="001F224B">
              <w:rPr>
                <w:sz w:val="20"/>
                <w:szCs w:val="20"/>
              </w:rPr>
              <w:t>3.046.797</w:t>
            </w:r>
          </w:p>
        </w:tc>
        <w:tc>
          <w:tcPr>
            <w:tcW w:w="1164" w:type="dxa"/>
            <w:shd w:val="clear" w:color="000000" w:fill="FFFFFF"/>
            <w:noWrap/>
            <w:vAlign w:val="bottom"/>
            <w:hideMark/>
          </w:tcPr>
          <w:p w14:paraId="62E71523" w14:textId="25641CF8" w:rsidR="007946D8" w:rsidRPr="001F224B" w:rsidRDefault="007946D8" w:rsidP="007946D8">
            <w:pPr>
              <w:jc w:val="right"/>
              <w:rPr>
                <w:color w:val="000000"/>
                <w:sz w:val="20"/>
                <w:szCs w:val="20"/>
              </w:rPr>
            </w:pPr>
            <w:r w:rsidRPr="001F224B">
              <w:rPr>
                <w:sz w:val="20"/>
                <w:szCs w:val="20"/>
              </w:rPr>
              <w:t>(1.001.052)</w:t>
            </w:r>
          </w:p>
        </w:tc>
        <w:tc>
          <w:tcPr>
            <w:tcW w:w="1239" w:type="dxa"/>
            <w:shd w:val="clear" w:color="000000" w:fill="FFFFFF"/>
            <w:noWrap/>
            <w:vAlign w:val="bottom"/>
            <w:hideMark/>
          </w:tcPr>
          <w:p w14:paraId="5622CAA3" w14:textId="0EA6D16F" w:rsidR="007946D8" w:rsidRPr="001F224B" w:rsidRDefault="007946D8" w:rsidP="007946D8">
            <w:pPr>
              <w:jc w:val="right"/>
              <w:rPr>
                <w:b/>
                <w:bCs/>
                <w:color w:val="000000"/>
                <w:sz w:val="20"/>
                <w:szCs w:val="20"/>
              </w:rPr>
            </w:pPr>
            <w:r w:rsidRPr="001F224B">
              <w:rPr>
                <w:sz w:val="20"/>
                <w:szCs w:val="20"/>
              </w:rPr>
              <w:t>-</w:t>
            </w:r>
          </w:p>
        </w:tc>
        <w:tc>
          <w:tcPr>
            <w:tcW w:w="1276" w:type="dxa"/>
            <w:shd w:val="clear" w:color="000000" w:fill="FFFFFF"/>
            <w:noWrap/>
            <w:vAlign w:val="bottom"/>
            <w:hideMark/>
          </w:tcPr>
          <w:p w14:paraId="0FC4B0C6" w14:textId="68D23778" w:rsidR="007946D8" w:rsidRPr="001F224B" w:rsidRDefault="007946D8" w:rsidP="007946D8">
            <w:pPr>
              <w:jc w:val="right"/>
              <w:rPr>
                <w:color w:val="000000"/>
                <w:sz w:val="20"/>
                <w:szCs w:val="20"/>
              </w:rPr>
            </w:pPr>
            <w:r w:rsidRPr="001F224B">
              <w:rPr>
                <w:sz w:val="20"/>
                <w:szCs w:val="20"/>
              </w:rPr>
              <w:t>2.045.745</w:t>
            </w:r>
          </w:p>
        </w:tc>
      </w:tr>
      <w:tr w:rsidR="007946D8" w:rsidRPr="001F224B" w14:paraId="4D8BF0A2" w14:textId="77777777" w:rsidTr="005C0315">
        <w:trPr>
          <w:trHeight w:val="229"/>
        </w:trPr>
        <w:tc>
          <w:tcPr>
            <w:tcW w:w="5143" w:type="dxa"/>
            <w:shd w:val="clear" w:color="000000" w:fill="FFFFFF"/>
            <w:noWrap/>
            <w:vAlign w:val="bottom"/>
            <w:hideMark/>
          </w:tcPr>
          <w:p w14:paraId="2DD3399B" w14:textId="77777777" w:rsidR="007946D8" w:rsidRPr="001F224B" w:rsidRDefault="007946D8" w:rsidP="007946D8">
            <w:pPr>
              <w:rPr>
                <w:color w:val="000000"/>
                <w:sz w:val="20"/>
                <w:szCs w:val="20"/>
              </w:rPr>
            </w:pPr>
            <w:r w:rsidRPr="001F224B">
              <w:rPr>
                <w:color w:val="000000"/>
                <w:sz w:val="20"/>
                <w:szCs w:val="20"/>
              </w:rPr>
              <w:t xml:space="preserve">    Türev Finansal Araçlardan Alacak</w:t>
            </w:r>
          </w:p>
        </w:tc>
        <w:tc>
          <w:tcPr>
            <w:tcW w:w="1238" w:type="dxa"/>
            <w:shd w:val="clear" w:color="000000" w:fill="FFFFFF"/>
            <w:noWrap/>
            <w:vAlign w:val="bottom"/>
            <w:hideMark/>
          </w:tcPr>
          <w:p w14:paraId="1B55BDC3" w14:textId="143D657A" w:rsidR="007946D8" w:rsidRPr="001F224B" w:rsidRDefault="007946D8" w:rsidP="007946D8">
            <w:pPr>
              <w:jc w:val="right"/>
              <w:rPr>
                <w:color w:val="000000"/>
                <w:sz w:val="20"/>
                <w:szCs w:val="20"/>
              </w:rPr>
            </w:pPr>
            <w:r w:rsidRPr="001F224B">
              <w:rPr>
                <w:sz w:val="20"/>
                <w:szCs w:val="20"/>
              </w:rPr>
              <w:t>3.046.797</w:t>
            </w:r>
          </w:p>
        </w:tc>
        <w:tc>
          <w:tcPr>
            <w:tcW w:w="1164" w:type="dxa"/>
            <w:shd w:val="clear" w:color="000000" w:fill="FFFFFF"/>
            <w:noWrap/>
            <w:vAlign w:val="bottom"/>
            <w:hideMark/>
          </w:tcPr>
          <w:p w14:paraId="435D9C22" w14:textId="251CF59F" w:rsidR="007946D8" w:rsidRPr="001F224B" w:rsidRDefault="007946D8" w:rsidP="007946D8">
            <w:pPr>
              <w:jc w:val="right"/>
              <w:rPr>
                <w:color w:val="000000"/>
                <w:sz w:val="20"/>
                <w:szCs w:val="20"/>
              </w:rPr>
            </w:pPr>
            <w:r w:rsidRPr="001F224B">
              <w:rPr>
                <w:sz w:val="20"/>
                <w:szCs w:val="20"/>
              </w:rPr>
              <w:t>4.058.327</w:t>
            </w:r>
          </w:p>
        </w:tc>
        <w:tc>
          <w:tcPr>
            <w:tcW w:w="1239" w:type="dxa"/>
            <w:shd w:val="clear" w:color="000000" w:fill="FFFFFF"/>
            <w:noWrap/>
            <w:vAlign w:val="bottom"/>
            <w:hideMark/>
          </w:tcPr>
          <w:p w14:paraId="793BAA53" w14:textId="38941DB0" w:rsidR="007946D8" w:rsidRPr="001F224B" w:rsidRDefault="007946D8" w:rsidP="007946D8">
            <w:pPr>
              <w:jc w:val="right"/>
              <w:rPr>
                <w:b/>
                <w:bCs/>
                <w:color w:val="000000"/>
                <w:sz w:val="20"/>
                <w:szCs w:val="20"/>
              </w:rPr>
            </w:pPr>
            <w:r w:rsidRPr="001F224B">
              <w:rPr>
                <w:sz w:val="20"/>
                <w:szCs w:val="20"/>
              </w:rPr>
              <w:t>-</w:t>
            </w:r>
          </w:p>
        </w:tc>
        <w:tc>
          <w:tcPr>
            <w:tcW w:w="1276" w:type="dxa"/>
            <w:shd w:val="clear" w:color="000000" w:fill="FFFFFF"/>
            <w:noWrap/>
            <w:vAlign w:val="bottom"/>
            <w:hideMark/>
          </w:tcPr>
          <w:p w14:paraId="01023A87" w14:textId="31E4F15D" w:rsidR="007946D8" w:rsidRPr="001F224B" w:rsidRDefault="007946D8" w:rsidP="007946D8">
            <w:pPr>
              <w:jc w:val="right"/>
              <w:rPr>
                <w:color w:val="000000"/>
                <w:sz w:val="20"/>
                <w:szCs w:val="20"/>
              </w:rPr>
            </w:pPr>
            <w:r w:rsidRPr="001F224B">
              <w:rPr>
                <w:sz w:val="20"/>
                <w:szCs w:val="20"/>
              </w:rPr>
              <w:t>7.105.124</w:t>
            </w:r>
          </w:p>
        </w:tc>
      </w:tr>
      <w:tr w:rsidR="007946D8" w:rsidRPr="001F224B" w14:paraId="48F5BC05" w14:textId="77777777" w:rsidTr="005C0315">
        <w:trPr>
          <w:trHeight w:val="229"/>
        </w:trPr>
        <w:tc>
          <w:tcPr>
            <w:tcW w:w="5143" w:type="dxa"/>
            <w:tcBorders>
              <w:bottom w:val="single" w:sz="4" w:space="0" w:color="auto"/>
            </w:tcBorders>
            <w:shd w:val="clear" w:color="000000" w:fill="FFFFFF"/>
            <w:noWrap/>
            <w:vAlign w:val="bottom"/>
            <w:hideMark/>
          </w:tcPr>
          <w:p w14:paraId="0C9B5B69" w14:textId="77777777" w:rsidR="007946D8" w:rsidRPr="001F224B" w:rsidRDefault="007946D8" w:rsidP="007946D8">
            <w:pPr>
              <w:rPr>
                <w:color w:val="000000"/>
                <w:sz w:val="20"/>
                <w:szCs w:val="20"/>
              </w:rPr>
            </w:pPr>
            <w:r w:rsidRPr="001F224B">
              <w:rPr>
                <w:color w:val="000000"/>
                <w:sz w:val="20"/>
                <w:szCs w:val="20"/>
              </w:rPr>
              <w:t xml:space="preserve">    Türev Finansal Araçlardan Borçlar</w:t>
            </w:r>
          </w:p>
        </w:tc>
        <w:tc>
          <w:tcPr>
            <w:tcW w:w="1238" w:type="dxa"/>
            <w:tcBorders>
              <w:bottom w:val="single" w:sz="4" w:space="0" w:color="auto"/>
            </w:tcBorders>
            <w:shd w:val="clear" w:color="000000" w:fill="FFFFFF"/>
            <w:noWrap/>
            <w:vAlign w:val="bottom"/>
            <w:hideMark/>
          </w:tcPr>
          <w:p w14:paraId="3F0E80F2" w14:textId="6FF98312" w:rsidR="007946D8" w:rsidRPr="001F224B" w:rsidRDefault="007946D8" w:rsidP="007946D8">
            <w:pPr>
              <w:jc w:val="right"/>
              <w:rPr>
                <w:color w:val="000000"/>
                <w:sz w:val="20"/>
                <w:szCs w:val="20"/>
              </w:rPr>
            </w:pPr>
            <w:r w:rsidRPr="001F224B">
              <w:rPr>
                <w:sz w:val="20"/>
                <w:szCs w:val="20"/>
              </w:rPr>
              <w:t>-</w:t>
            </w:r>
          </w:p>
        </w:tc>
        <w:tc>
          <w:tcPr>
            <w:tcW w:w="1164" w:type="dxa"/>
            <w:tcBorders>
              <w:bottom w:val="single" w:sz="4" w:space="0" w:color="auto"/>
            </w:tcBorders>
            <w:shd w:val="clear" w:color="000000" w:fill="FFFFFF"/>
            <w:noWrap/>
            <w:vAlign w:val="bottom"/>
            <w:hideMark/>
          </w:tcPr>
          <w:p w14:paraId="2A75876D" w14:textId="1E783759" w:rsidR="007946D8" w:rsidRPr="001F224B" w:rsidRDefault="007946D8" w:rsidP="007946D8">
            <w:pPr>
              <w:jc w:val="right"/>
              <w:rPr>
                <w:color w:val="000000"/>
                <w:sz w:val="20"/>
                <w:szCs w:val="20"/>
              </w:rPr>
            </w:pPr>
            <w:r w:rsidRPr="001F224B">
              <w:rPr>
                <w:sz w:val="20"/>
                <w:szCs w:val="20"/>
              </w:rPr>
              <w:t>(5.059.379)</w:t>
            </w:r>
          </w:p>
        </w:tc>
        <w:tc>
          <w:tcPr>
            <w:tcW w:w="1239" w:type="dxa"/>
            <w:tcBorders>
              <w:bottom w:val="single" w:sz="4" w:space="0" w:color="auto"/>
            </w:tcBorders>
            <w:shd w:val="clear" w:color="000000" w:fill="FFFFFF"/>
            <w:noWrap/>
            <w:vAlign w:val="bottom"/>
            <w:hideMark/>
          </w:tcPr>
          <w:p w14:paraId="79D92D52" w14:textId="0731A829" w:rsidR="007946D8" w:rsidRPr="001F224B" w:rsidRDefault="007946D8" w:rsidP="007946D8">
            <w:pPr>
              <w:jc w:val="right"/>
              <w:rPr>
                <w:b/>
                <w:bCs/>
                <w:sz w:val="20"/>
                <w:szCs w:val="20"/>
              </w:rPr>
            </w:pPr>
            <w:r w:rsidRPr="001F224B">
              <w:rPr>
                <w:sz w:val="20"/>
                <w:szCs w:val="20"/>
              </w:rPr>
              <w:t>-</w:t>
            </w:r>
          </w:p>
        </w:tc>
        <w:tc>
          <w:tcPr>
            <w:tcW w:w="1276" w:type="dxa"/>
            <w:tcBorders>
              <w:bottom w:val="single" w:sz="4" w:space="0" w:color="auto"/>
            </w:tcBorders>
            <w:shd w:val="clear" w:color="000000" w:fill="FFFFFF"/>
            <w:noWrap/>
            <w:vAlign w:val="bottom"/>
            <w:hideMark/>
          </w:tcPr>
          <w:p w14:paraId="1BACA2FE" w14:textId="627E9FE6" w:rsidR="007946D8" w:rsidRPr="001F224B" w:rsidRDefault="007946D8" w:rsidP="007946D8">
            <w:pPr>
              <w:jc w:val="right"/>
              <w:rPr>
                <w:color w:val="000000"/>
                <w:sz w:val="20"/>
                <w:szCs w:val="20"/>
              </w:rPr>
            </w:pPr>
            <w:r w:rsidRPr="001F224B">
              <w:rPr>
                <w:sz w:val="20"/>
                <w:szCs w:val="20"/>
              </w:rPr>
              <w:t>(5.059.379)</w:t>
            </w:r>
          </w:p>
        </w:tc>
      </w:tr>
      <w:tr w:rsidR="007946D8" w:rsidRPr="001F224B" w14:paraId="0D7AAE66" w14:textId="77777777" w:rsidTr="005C0315">
        <w:trPr>
          <w:trHeight w:val="229"/>
        </w:trPr>
        <w:tc>
          <w:tcPr>
            <w:tcW w:w="5143" w:type="dxa"/>
            <w:tcBorders>
              <w:bottom w:val="single" w:sz="4" w:space="0" w:color="auto"/>
            </w:tcBorders>
            <w:shd w:val="clear" w:color="000000" w:fill="FFFFFF"/>
            <w:noWrap/>
            <w:vAlign w:val="bottom"/>
            <w:hideMark/>
          </w:tcPr>
          <w:p w14:paraId="163AEC2D" w14:textId="77777777" w:rsidR="007946D8" w:rsidRPr="001F224B" w:rsidRDefault="007946D8" w:rsidP="007946D8">
            <w:pPr>
              <w:rPr>
                <w:color w:val="000000"/>
                <w:sz w:val="20"/>
                <w:szCs w:val="20"/>
              </w:rPr>
            </w:pPr>
            <w:r w:rsidRPr="001F224B">
              <w:rPr>
                <w:color w:val="000000"/>
                <w:sz w:val="20"/>
                <w:szCs w:val="20"/>
              </w:rPr>
              <w:t>Gayrinakdi Krediler</w:t>
            </w:r>
          </w:p>
        </w:tc>
        <w:tc>
          <w:tcPr>
            <w:tcW w:w="1238" w:type="dxa"/>
            <w:tcBorders>
              <w:bottom w:val="single" w:sz="4" w:space="0" w:color="auto"/>
            </w:tcBorders>
            <w:shd w:val="clear" w:color="000000" w:fill="FFFFFF"/>
            <w:noWrap/>
            <w:vAlign w:val="bottom"/>
            <w:hideMark/>
          </w:tcPr>
          <w:p w14:paraId="6D834473" w14:textId="772DE9AC" w:rsidR="007946D8" w:rsidRPr="001F224B" w:rsidRDefault="007946D8" w:rsidP="007946D8">
            <w:pPr>
              <w:jc w:val="right"/>
              <w:rPr>
                <w:color w:val="000000"/>
                <w:sz w:val="20"/>
                <w:szCs w:val="20"/>
              </w:rPr>
            </w:pPr>
            <w:r w:rsidRPr="001F224B">
              <w:rPr>
                <w:color w:val="000000"/>
                <w:sz w:val="20"/>
                <w:szCs w:val="20"/>
              </w:rPr>
              <w:t>2.298.219</w:t>
            </w:r>
          </w:p>
        </w:tc>
        <w:tc>
          <w:tcPr>
            <w:tcW w:w="1164" w:type="dxa"/>
            <w:tcBorders>
              <w:bottom w:val="single" w:sz="4" w:space="0" w:color="auto"/>
            </w:tcBorders>
            <w:shd w:val="clear" w:color="000000" w:fill="FFFFFF"/>
            <w:noWrap/>
            <w:vAlign w:val="bottom"/>
            <w:hideMark/>
          </w:tcPr>
          <w:p w14:paraId="5FE5E244" w14:textId="09E5A2ED" w:rsidR="007946D8" w:rsidRPr="001F224B" w:rsidRDefault="007946D8" w:rsidP="007946D8">
            <w:pPr>
              <w:jc w:val="right"/>
              <w:rPr>
                <w:color w:val="000000"/>
                <w:sz w:val="20"/>
                <w:szCs w:val="20"/>
              </w:rPr>
            </w:pPr>
            <w:r w:rsidRPr="001F224B">
              <w:rPr>
                <w:color w:val="000000"/>
                <w:sz w:val="20"/>
                <w:szCs w:val="20"/>
              </w:rPr>
              <w:t>2.627.754</w:t>
            </w:r>
          </w:p>
        </w:tc>
        <w:tc>
          <w:tcPr>
            <w:tcW w:w="1239" w:type="dxa"/>
            <w:tcBorders>
              <w:bottom w:val="single" w:sz="4" w:space="0" w:color="auto"/>
            </w:tcBorders>
            <w:shd w:val="clear" w:color="000000" w:fill="FFFFFF"/>
            <w:noWrap/>
            <w:vAlign w:val="bottom"/>
            <w:hideMark/>
          </w:tcPr>
          <w:p w14:paraId="11263986" w14:textId="4EE52F84" w:rsidR="007946D8" w:rsidRPr="001F224B" w:rsidRDefault="007946D8" w:rsidP="007946D8">
            <w:pPr>
              <w:jc w:val="right"/>
              <w:rPr>
                <w:b/>
                <w:bCs/>
                <w:color w:val="000000"/>
                <w:sz w:val="20"/>
                <w:szCs w:val="20"/>
              </w:rPr>
            </w:pPr>
            <w:r w:rsidRPr="001F224B">
              <w:rPr>
                <w:color w:val="000000"/>
                <w:sz w:val="20"/>
                <w:szCs w:val="20"/>
              </w:rPr>
              <w:t>-</w:t>
            </w:r>
          </w:p>
        </w:tc>
        <w:tc>
          <w:tcPr>
            <w:tcW w:w="1276" w:type="dxa"/>
            <w:tcBorders>
              <w:bottom w:val="single" w:sz="4" w:space="0" w:color="auto"/>
            </w:tcBorders>
            <w:shd w:val="clear" w:color="000000" w:fill="FFFFFF"/>
            <w:noWrap/>
            <w:vAlign w:val="bottom"/>
            <w:hideMark/>
          </w:tcPr>
          <w:p w14:paraId="027995F6" w14:textId="03968CAC" w:rsidR="007946D8" w:rsidRPr="001F224B" w:rsidRDefault="007946D8" w:rsidP="007946D8">
            <w:pPr>
              <w:jc w:val="right"/>
              <w:rPr>
                <w:color w:val="000000"/>
                <w:sz w:val="20"/>
                <w:szCs w:val="20"/>
              </w:rPr>
            </w:pPr>
            <w:r w:rsidRPr="001F224B">
              <w:rPr>
                <w:color w:val="000000"/>
                <w:sz w:val="20"/>
                <w:szCs w:val="20"/>
              </w:rPr>
              <w:t>4.925.973</w:t>
            </w:r>
          </w:p>
        </w:tc>
      </w:tr>
      <w:tr w:rsidR="00C76576" w:rsidRPr="001F224B" w14:paraId="17F7B781" w14:textId="77777777" w:rsidTr="005C0315">
        <w:trPr>
          <w:trHeight w:val="229"/>
        </w:trPr>
        <w:tc>
          <w:tcPr>
            <w:tcW w:w="10060" w:type="dxa"/>
            <w:gridSpan w:val="5"/>
            <w:tcBorders>
              <w:top w:val="single" w:sz="4" w:space="0" w:color="auto"/>
              <w:left w:val="nil"/>
              <w:bottom w:val="nil"/>
              <w:right w:val="nil"/>
            </w:tcBorders>
            <w:shd w:val="clear" w:color="auto" w:fill="auto"/>
            <w:noWrap/>
            <w:vAlign w:val="bottom"/>
            <w:hideMark/>
          </w:tcPr>
          <w:p w14:paraId="36814318" w14:textId="387DBF5C" w:rsidR="00C76576" w:rsidRPr="001F224B" w:rsidRDefault="00173DA1" w:rsidP="00C76576">
            <w:pPr>
              <w:rPr>
                <w:color w:val="000000"/>
                <w:sz w:val="20"/>
                <w:szCs w:val="20"/>
              </w:rPr>
            </w:pPr>
            <w:r w:rsidRPr="001F224B">
              <w:rPr>
                <w:color w:val="000000"/>
                <w:sz w:val="18"/>
                <w:szCs w:val="16"/>
                <w:vertAlign w:val="superscript"/>
              </w:rPr>
              <w:t>(*)</w:t>
            </w:r>
            <w:r w:rsidRPr="001F224B">
              <w:rPr>
                <w:color w:val="000000"/>
                <w:sz w:val="16"/>
                <w:szCs w:val="16"/>
              </w:rPr>
              <w:t xml:space="preserve"> Varlıklar bölümünün diğer YP sütununda yer alan dövizlerin, %58’si CHF, %29’u CHF ve %14’ü JPY’den oluşmaktadır.</w:t>
            </w:r>
          </w:p>
        </w:tc>
      </w:tr>
      <w:bookmarkEnd w:id="21"/>
    </w:tbl>
    <w:p w14:paraId="3CFB80AA" w14:textId="5E433148" w:rsidR="00484789" w:rsidRPr="001F224B" w:rsidRDefault="008E1875" w:rsidP="00570F30">
      <w:pPr>
        <w:pStyle w:val="ListParagraph"/>
        <w:tabs>
          <w:tab w:val="left" w:pos="0"/>
        </w:tabs>
        <w:spacing w:before="120"/>
        <w:ind w:left="0"/>
        <w:rPr>
          <w:b/>
          <w:bCs/>
          <w:sz w:val="22"/>
          <w:szCs w:val="22"/>
        </w:rPr>
        <w:sectPr w:rsidR="00484789" w:rsidRPr="001F224B" w:rsidSect="00FC3512">
          <w:footerReference w:type="first" r:id="rId99"/>
          <w:pgSz w:w="11907" w:h="16840" w:code="9"/>
          <w:pgMar w:top="680" w:right="964" w:bottom="567" w:left="1134" w:header="624" w:footer="397" w:gutter="0"/>
          <w:cols w:space="708"/>
          <w:titlePg/>
          <w:docGrid w:linePitch="326"/>
        </w:sectPr>
      </w:pPr>
      <w:r w:rsidRPr="001F224B">
        <w:rPr>
          <w:b/>
          <w:bCs/>
          <w:sz w:val="22"/>
          <w:szCs w:val="22"/>
        </w:rPr>
        <w:br w:type="page"/>
      </w:r>
    </w:p>
    <w:p w14:paraId="744EDFE0" w14:textId="340D9CD9" w:rsidR="003F48E1" w:rsidRPr="001F224B" w:rsidRDefault="003F48E1" w:rsidP="008E1875">
      <w:pPr>
        <w:pStyle w:val="ListParagraph"/>
        <w:tabs>
          <w:tab w:val="left" w:pos="0"/>
        </w:tabs>
        <w:spacing w:before="120"/>
        <w:ind w:left="0"/>
        <w:rPr>
          <w:b/>
          <w:bCs/>
          <w:sz w:val="22"/>
          <w:szCs w:val="22"/>
        </w:rPr>
      </w:pPr>
      <w:r w:rsidRPr="001F224B">
        <w:rPr>
          <w:b/>
          <w:bCs/>
          <w:sz w:val="22"/>
          <w:szCs w:val="22"/>
        </w:rPr>
        <w:t>DÖRDÜNCÜ BÖLÜM (Devamı)</w:t>
      </w:r>
    </w:p>
    <w:p w14:paraId="10EF969B" w14:textId="3079CEF5" w:rsidR="003F48E1" w:rsidRPr="001F224B" w:rsidRDefault="00EF6E83" w:rsidP="005B615F">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3F48E1" w:rsidRPr="001F224B">
        <w:rPr>
          <w:b/>
          <w:bCs/>
          <w:sz w:val="22"/>
          <w:szCs w:val="22"/>
        </w:rPr>
        <w:t>(Devamı)</w:t>
      </w:r>
    </w:p>
    <w:p w14:paraId="52716018" w14:textId="5506D729" w:rsidR="004179CE" w:rsidRPr="001F224B" w:rsidRDefault="00570F30" w:rsidP="00A94B61">
      <w:pPr>
        <w:pStyle w:val="Heading2"/>
        <w:numPr>
          <w:ilvl w:val="0"/>
          <w:numId w:val="0"/>
        </w:numPr>
        <w:tabs>
          <w:tab w:val="left" w:pos="567"/>
        </w:tabs>
        <w:spacing w:before="0"/>
        <w:jc w:val="both"/>
        <w:rPr>
          <w:rFonts w:ascii="Times New Roman" w:hAnsi="Times New Roman"/>
          <w:i w:val="0"/>
          <w:sz w:val="22"/>
          <w:szCs w:val="22"/>
        </w:rPr>
      </w:pPr>
      <w:r w:rsidRPr="001F224B">
        <w:rPr>
          <w:rFonts w:ascii="Times New Roman" w:eastAsia="Arial Unicode MS" w:hAnsi="Times New Roman"/>
          <w:bCs w:val="0"/>
          <w:i w:val="0"/>
          <w:sz w:val="22"/>
          <w:szCs w:val="22"/>
        </w:rPr>
        <w:t>Ⅲ</w:t>
      </w:r>
      <w:r w:rsidR="00F034E4" w:rsidRPr="001F224B">
        <w:rPr>
          <w:rFonts w:ascii="Times New Roman" w:eastAsia="Arial Unicode MS" w:hAnsi="Times New Roman"/>
          <w:bCs w:val="0"/>
          <w:i w:val="0"/>
          <w:sz w:val="22"/>
          <w:szCs w:val="22"/>
        </w:rPr>
        <w:t>.</w:t>
      </w:r>
      <w:r w:rsidR="004179CE" w:rsidRPr="001F224B">
        <w:rPr>
          <w:rFonts w:ascii="Times New Roman" w:eastAsia="Arial Unicode MS" w:hAnsi="Times New Roman"/>
          <w:bCs w:val="0"/>
          <w:i w:val="0"/>
          <w:sz w:val="22"/>
          <w:szCs w:val="22"/>
        </w:rPr>
        <w:tab/>
      </w:r>
      <w:r w:rsidR="00A96577" w:rsidRPr="001F224B">
        <w:rPr>
          <w:rFonts w:ascii="Times New Roman" w:hAnsi="Times New Roman"/>
          <w:i w:val="0"/>
          <w:sz w:val="22"/>
          <w:szCs w:val="22"/>
        </w:rPr>
        <w:t>Konsolide f</w:t>
      </w:r>
      <w:r w:rsidR="004179CE" w:rsidRPr="001F224B">
        <w:rPr>
          <w:rFonts w:ascii="Times New Roman" w:hAnsi="Times New Roman"/>
          <w:i w:val="0"/>
          <w:sz w:val="22"/>
          <w:szCs w:val="22"/>
        </w:rPr>
        <w:t>aiz oranı riskine ilişkin açıklamalar</w:t>
      </w:r>
    </w:p>
    <w:p w14:paraId="628063DD" w14:textId="77777777" w:rsidR="007520A7" w:rsidRPr="001F224B" w:rsidRDefault="007520A7" w:rsidP="005514FC">
      <w:pPr>
        <w:spacing w:before="120"/>
        <w:ind w:left="567"/>
        <w:jc w:val="both"/>
        <w:rPr>
          <w:sz w:val="22"/>
          <w:szCs w:val="22"/>
        </w:rPr>
      </w:pPr>
      <w:r w:rsidRPr="001F224B">
        <w:rPr>
          <w:sz w:val="22"/>
          <w:szCs w:val="22"/>
        </w:rPr>
        <w:t xml:space="preserve">Faiz oranı riski, </w:t>
      </w:r>
      <w:r w:rsidR="00A96577" w:rsidRPr="001F224B">
        <w:rPr>
          <w:rFonts w:eastAsia="Arial Unicode MS"/>
          <w:color w:val="000000" w:themeColor="text1"/>
          <w:sz w:val="22"/>
          <w:szCs w:val="22"/>
          <w:lang w:eastAsia="en-US"/>
        </w:rPr>
        <w:t xml:space="preserve">Ana Ortaklık </w:t>
      </w:r>
      <w:r w:rsidRPr="001F224B">
        <w:rPr>
          <w:sz w:val="22"/>
          <w:szCs w:val="22"/>
        </w:rPr>
        <w:t xml:space="preserve">Banka’nın faiz oranlarındaki hareketler nedeniyle finansal araçlara ilişkin pozisyon durumuna bağlı olarak maruz kalabileceği zarar olasılığını ifade etmektedir. Faiz oranlarındaki değişimler aktiflerin getiri düzeyini, pasiflerin ise maliyetini etkilemektedir. Bankacılık hesaplarından kaynaklanan faiz oranı riski; yeniden fiyatlama riski, verim eğrisi riski, baz riski ve opsiyonalite riskini içerir. </w:t>
      </w:r>
    </w:p>
    <w:p w14:paraId="72840BBE" w14:textId="77777777" w:rsidR="007520A7" w:rsidRPr="001F224B" w:rsidRDefault="007520A7" w:rsidP="005514FC">
      <w:pPr>
        <w:spacing w:before="120"/>
        <w:ind w:left="567"/>
        <w:jc w:val="both"/>
        <w:rPr>
          <w:sz w:val="22"/>
          <w:szCs w:val="22"/>
        </w:rPr>
      </w:pPr>
      <w:r w:rsidRPr="001F224B">
        <w:rPr>
          <w:sz w:val="22"/>
          <w:szCs w:val="22"/>
        </w:rPr>
        <w:t xml:space="preserve">Merkez bankaları başta olmak üzere piyasa aktörleri tarafından belirlenen faiz oranlarının </w:t>
      </w:r>
      <w:r w:rsidR="00A96577" w:rsidRPr="001F224B">
        <w:rPr>
          <w:rFonts w:eastAsia="Arial Unicode MS"/>
          <w:color w:val="000000" w:themeColor="text1"/>
          <w:sz w:val="22"/>
          <w:szCs w:val="22"/>
          <w:lang w:eastAsia="en-US"/>
        </w:rPr>
        <w:t xml:space="preserve">Ana Ortaklık </w:t>
      </w:r>
      <w:r w:rsidRPr="001F224B">
        <w:rPr>
          <w:sz w:val="22"/>
          <w:szCs w:val="22"/>
        </w:rPr>
        <w:t xml:space="preserve">Banka bilançosunun ekonomik değeri ve </w:t>
      </w:r>
      <w:r w:rsidR="00A96577" w:rsidRPr="001F224B">
        <w:rPr>
          <w:rFonts w:eastAsia="Arial Unicode MS"/>
          <w:color w:val="000000" w:themeColor="text1"/>
          <w:sz w:val="22"/>
          <w:szCs w:val="22"/>
          <w:lang w:eastAsia="en-US"/>
        </w:rPr>
        <w:t xml:space="preserve">Ana Ortaklık </w:t>
      </w:r>
      <w:r w:rsidRPr="001F224B">
        <w:rPr>
          <w:sz w:val="22"/>
          <w:szCs w:val="22"/>
        </w:rPr>
        <w:t xml:space="preserve">Banka gelir-gider dengesi üzerinde belirleyici rolü bulunmaktadır. Piyasada ani faiz şokları, </w:t>
      </w:r>
      <w:r w:rsidR="00A96577" w:rsidRPr="001F224B">
        <w:rPr>
          <w:rFonts w:eastAsia="Arial Unicode MS"/>
          <w:color w:val="000000" w:themeColor="text1"/>
          <w:sz w:val="22"/>
          <w:szCs w:val="22"/>
          <w:lang w:eastAsia="en-US"/>
        </w:rPr>
        <w:t xml:space="preserve">Ana Ortaklık </w:t>
      </w:r>
      <w:r w:rsidRPr="001F224B">
        <w:rPr>
          <w:sz w:val="22"/>
          <w:szCs w:val="22"/>
        </w:rPr>
        <w:t xml:space="preserve">Banka’nın getirili aktiflerine uygulanan faiz oranı ile maliyetli pasiflere ödenen faiz oranı arasındaki makasın açılmasına neden olmaktadır. Bu faiz makasının açılması, </w:t>
      </w:r>
      <w:r w:rsidR="00A96577" w:rsidRPr="001F224B">
        <w:rPr>
          <w:rFonts w:eastAsia="Arial Unicode MS"/>
          <w:color w:val="000000" w:themeColor="text1"/>
          <w:sz w:val="22"/>
          <w:szCs w:val="22"/>
          <w:lang w:eastAsia="en-US"/>
        </w:rPr>
        <w:t xml:space="preserve">Ana Ortaklık </w:t>
      </w:r>
      <w:r w:rsidRPr="001F224B">
        <w:rPr>
          <w:sz w:val="22"/>
          <w:szCs w:val="22"/>
        </w:rPr>
        <w:t xml:space="preserve">Banka faiz gelirlerinin piyasa faizlerindeki dalgalanmalardan olumsuz etkilenmesine ve </w:t>
      </w:r>
      <w:r w:rsidR="00A96577" w:rsidRPr="001F224B">
        <w:rPr>
          <w:rFonts w:eastAsia="Arial Unicode MS"/>
          <w:color w:val="000000" w:themeColor="text1"/>
          <w:sz w:val="22"/>
          <w:szCs w:val="22"/>
          <w:lang w:eastAsia="en-US"/>
        </w:rPr>
        <w:t xml:space="preserve">Ana Ortaklık </w:t>
      </w:r>
      <w:r w:rsidRPr="001F224B">
        <w:rPr>
          <w:sz w:val="22"/>
          <w:szCs w:val="22"/>
        </w:rPr>
        <w:t>Banka karlılığının düşmesine neden olabilecek hususlardır.</w:t>
      </w:r>
    </w:p>
    <w:p w14:paraId="048E4D77" w14:textId="2DD8C080" w:rsidR="000835D4" w:rsidRPr="001F224B" w:rsidRDefault="000835D4" w:rsidP="000835D4">
      <w:pPr>
        <w:spacing w:before="120"/>
        <w:ind w:left="567"/>
        <w:jc w:val="both"/>
        <w:rPr>
          <w:sz w:val="22"/>
          <w:szCs w:val="22"/>
        </w:rPr>
      </w:pPr>
      <w:r w:rsidRPr="001F224B">
        <w:rPr>
          <w:sz w:val="22"/>
          <w:szCs w:val="22"/>
        </w:rPr>
        <w:t xml:space="preserve">Faiz oranı riski politikasına yönelik olarak </w:t>
      </w:r>
      <w:r w:rsidRPr="001F224B">
        <w:rPr>
          <w:rFonts w:eastAsia="Arial Unicode MS"/>
          <w:color w:val="000000" w:themeColor="text1"/>
          <w:sz w:val="22"/>
          <w:szCs w:val="22"/>
          <w:lang w:eastAsia="en-US"/>
        </w:rPr>
        <w:t xml:space="preserve">Ana Ortaklık </w:t>
      </w:r>
      <w:r w:rsidRPr="001F224B">
        <w:rPr>
          <w:sz w:val="22"/>
          <w:szCs w:val="22"/>
        </w:rPr>
        <w:t xml:space="preserve">Banka’nın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verilen kredilere ilişkin olarak faiz, para cinsi ve vade uyumuna riayet edilmektedir. Kredi portföyünün büyük bölümünün değişken faizli kredilerden oluştuğu ve borçlanma yoluyla finanse edildiği, borçlanma maliyetlerindeki değişikliklerin değişken faizli kredilere yansıtıldığı, diğer kredilerin kaynağının da Ana Ortaklık Banka özkaynaklarından oluştuğu göz önüne alındığında, faiz oranı değişiklikleri kaynaklı faiz riski yaşanması muhtemel görülmemektedir.  </w:t>
      </w:r>
    </w:p>
    <w:p w14:paraId="3CE7EF3C" w14:textId="42C7AC3A" w:rsidR="007520A7" w:rsidRPr="001F224B" w:rsidRDefault="00A96577" w:rsidP="002340D7">
      <w:pPr>
        <w:spacing w:before="120"/>
        <w:ind w:left="567"/>
        <w:jc w:val="both"/>
        <w:rPr>
          <w:sz w:val="22"/>
          <w:szCs w:val="22"/>
        </w:rPr>
      </w:pPr>
      <w:r w:rsidRPr="001F224B">
        <w:rPr>
          <w:rFonts w:eastAsia="Arial Unicode MS"/>
          <w:color w:val="000000" w:themeColor="text1"/>
          <w:sz w:val="22"/>
          <w:szCs w:val="22"/>
          <w:lang w:eastAsia="en-US"/>
        </w:rPr>
        <w:t xml:space="preserve">Ana Ortaklık </w:t>
      </w:r>
      <w:r w:rsidR="007520A7" w:rsidRPr="001F224B">
        <w:rPr>
          <w:sz w:val="22"/>
          <w:szCs w:val="22"/>
        </w:rPr>
        <w:t xml:space="preserve">Banka’nın faiz oranı riski politikasının temel ilkesi çerçevesinde, krediler dışındaki faize duyarlı varlıkların yönetiminde portföy dağılımının optimizasyonu ise; pozisyonların durasyonları ve cari faiz hadlerindeki muhtemel değişimler göz önünde bulundurularak, alternatif getiri, katlanılabilir kayıp ve risk limitleri dikkate alınarak sağlanmaktadır. Bu çerçevede </w:t>
      </w:r>
      <w:r w:rsidRPr="001F224B">
        <w:rPr>
          <w:rFonts w:eastAsia="Arial Unicode MS"/>
          <w:color w:val="000000" w:themeColor="text1"/>
          <w:sz w:val="22"/>
          <w:szCs w:val="22"/>
          <w:lang w:eastAsia="en-US"/>
        </w:rPr>
        <w:t xml:space="preserve">Ana Ortaklık </w:t>
      </w:r>
      <w:r w:rsidR="007520A7" w:rsidRPr="001F224B">
        <w:rPr>
          <w:sz w:val="22"/>
          <w:szCs w:val="22"/>
        </w:rPr>
        <w:t>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kompanse edileceği irdelenmektedir. Ayrıca menkul kıymet portföyü dışındaki pozisyonlara yönelik olarak da faiz duyarlılığı analizleri yapılmaktadır.</w:t>
      </w:r>
    </w:p>
    <w:p w14:paraId="28D194AF" w14:textId="77777777" w:rsidR="003C293B" w:rsidRPr="001F224B" w:rsidRDefault="00A96577" w:rsidP="003C293B">
      <w:pPr>
        <w:spacing w:before="120"/>
        <w:ind w:left="567"/>
        <w:jc w:val="both"/>
        <w:rPr>
          <w:sz w:val="22"/>
          <w:szCs w:val="22"/>
          <w:lang w:val="en-US"/>
        </w:rPr>
      </w:pPr>
      <w:r w:rsidRPr="001F224B">
        <w:rPr>
          <w:rFonts w:eastAsia="Arial Unicode MS"/>
          <w:color w:val="000000" w:themeColor="text1"/>
          <w:sz w:val="22"/>
          <w:szCs w:val="22"/>
          <w:lang w:eastAsia="en-US"/>
        </w:rPr>
        <w:t xml:space="preserve">Ana Ortaklık </w:t>
      </w:r>
      <w:proofErr w:type="spellStart"/>
      <w:r w:rsidR="00F338D6" w:rsidRPr="001F224B">
        <w:rPr>
          <w:sz w:val="22"/>
          <w:szCs w:val="22"/>
          <w:lang w:val="en-US"/>
        </w:rPr>
        <w:t>Banka’nın</w:t>
      </w:r>
      <w:proofErr w:type="spellEnd"/>
      <w:r w:rsidR="00F338D6" w:rsidRPr="001F224B">
        <w:rPr>
          <w:sz w:val="22"/>
          <w:szCs w:val="22"/>
          <w:lang w:val="en-US"/>
        </w:rPr>
        <w:t xml:space="preserve"> </w:t>
      </w:r>
      <w:proofErr w:type="spellStart"/>
      <w:r w:rsidR="00F338D6" w:rsidRPr="001F224B">
        <w:rPr>
          <w:sz w:val="22"/>
          <w:szCs w:val="22"/>
          <w:lang w:val="en-US"/>
        </w:rPr>
        <w:t>kredi</w:t>
      </w:r>
      <w:proofErr w:type="spellEnd"/>
      <w:r w:rsidR="00F338D6" w:rsidRPr="001F224B">
        <w:rPr>
          <w:sz w:val="22"/>
          <w:szCs w:val="22"/>
          <w:lang w:val="en-US"/>
        </w:rPr>
        <w:t xml:space="preserve"> </w:t>
      </w:r>
      <w:proofErr w:type="spellStart"/>
      <w:r w:rsidR="00F338D6" w:rsidRPr="001F224B">
        <w:rPr>
          <w:sz w:val="22"/>
          <w:szCs w:val="22"/>
          <w:lang w:val="en-US"/>
        </w:rPr>
        <w:t>portföyü</w:t>
      </w:r>
      <w:proofErr w:type="spellEnd"/>
      <w:r w:rsidR="00F338D6" w:rsidRPr="001F224B">
        <w:rPr>
          <w:sz w:val="22"/>
          <w:szCs w:val="22"/>
          <w:lang w:val="en-US"/>
        </w:rPr>
        <w:t xml:space="preserve"> </w:t>
      </w:r>
      <w:proofErr w:type="spellStart"/>
      <w:r w:rsidR="00F338D6" w:rsidRPr="001F224B">
        <w:rPr>
          <w:sz w:val="22"/>
          <w:szCs w:val="22"/>
          <w:lang w:val="en-US"/>
        </w:rPr>
        <w:t>bazında</w:t>
      </w:r>
      <w:proofErr w:type="spellEnd"/>
      <w:r w:rsidR="00F338D6" w:rsidRPr="001F224B">
        <w:rPr>
          <w:sz w:val="22"/>
          <w:szCs w:val="22"/>
          <w:lang w:val="en-US"/>
        </w:rPr>
        <w:t xml:space="preserve">, </w:t>
      </w:r>
      <w:proofErr w:type="spellStart"/>
      <w:r w:rsidR="00F338D6" w:rsidRPr="001F224B">
        <w:rPr>
          <w:sz w:val="22"/>
          <w:szCs w:val="22"/>
          <w:lang w:val="en-US"/>
        </w:rPr>
        <w:t>kaynak</w:t>
      </w:r>
      <w:proofErr w:type="spellEnd"/>
      <w:r w:rsidR="00F338D6" w:rsidRPr="001F224B">
        <w:rPr>
          <w:sz w:val="22"/>
          <w:szCs w:val="22"/>
          <w:lang w:val="en-US"/>
        </w:rPr>
        <w:t xml:space="preserve"> ve </w:t>
      </w:r>
      <w:proofErr w:type="spellStart"/>
      <w:r w:rsidR="00F338D6" w:rsidRPr="001F224B">
        <w:rPr>
          <w:sz w:val="22"/>
          <w:szCs w:val="22"/>
          <w:lang w:val="en-US"/>
        </w:rPr>
        <w:t>kullandırım</w:t>
      </w:r>
      <w:proofErr w:type="spellEnd"/>
      <w:r w:rsidR="00F338D6" w:rsidRPr="001F224B">
        <w:rPr>
          <w:sz w:val="22"/>
          <w:szCs w:val="22"/>
          <w:lang w:val="en-US"/>
        </w:rPr>
        <w:t xml:space="preserve"> </w:t>
      </w:r>
      <w:proofErr w:type="spellStart"/>
      <w:r w:rsidR="00F338D6" w:rsidRPr="001F224B">
        <w:rPr>
          <w:sz w:val="22"/>
          <w:szCs w:val="22"/>
          <w:lang w:val="en-US"/>
        </w:rPr>
        <w:t>tarafında</w:t>
      </w:r>
      <w:proofErr w:type="spellEnd"/>
      <w:r w:rsidR="00F338D6" w:rsidRPr="001F224B">
        <w:rPr>
          <w:sz w:val="22"/>
          <w:szCs w:val="22"/>
          <w:lang w:val="en-US"/>
        </w:rPr>
        <w:t xml:space="preserve"> </w:t>
      </w:r>
      <w:proofErr w:type="spellStart"/>
      <w:r w:rsidR="00F338D6" w:rsidRPr="001F224B">
        <w:rPr>
          <w:sz w:val="22"/>
          <w:szCs w:val="22"/>
          <w:lang w:val="en-US"/>
        </w:rPr>
        <w:t>faiz</w:t>
      </w:r>
      <w:proofErr w:type="spellEnd"/>
      <w:r w:rsidR="00F338D6" w:rsidRPr="001F224B">
        <w:rPr>
          <w:sz w:val="22"/>
          <w:szCs w:val="22"/>
          <w:lang w:val="en-US"/>
        </w:rPr>
        <w:t xml:space="preserve"> </w:t>
      </w:r>
      <w:proofErr w:type="spellStart"/>
      <w:r w:rsidR="00F338D6" w:rsidRPr="001F224B">
        <w:rPr>
          <w:sz w:val="22"/>
          <w:szCs w:val="22"/>
          <w:lang w:val="en-US"/>
        </w:rPr>
        <w:t>uyumunun</w:t>
      </w:r>
      <w:proofErr w:type="spellEnd"/>
      <w:r w:rsidR="00F338D6" w:rsidRPr="001F224B">
        <w:rPr>
          <w:sz w:val="22"/>
          <w:szCs w:val="22"/>
          <w:lang w:val="en-US"/>
        </w:rPr>
        <w:t xml:space="preserve"> </w:t>
      </w:r>
      <w:proofErr w:type="spellStart"/>
      <w:r w:rsidR="00F338D6" w:rsidRPr="001F224B">
        <w:rPr>
          <w:sz w:val="22"/>
          <w:szCs w:val="22"/>
          <w:lang w:val="en-US"/>
        </w:rPr>
        <w:t>ana</w:t>
      </w:r>
      <w:proofErr w:type="spellEnd"/>
      <w:r w:rsidR="00F338D6" w:rsidRPr="001F224B">
        <w:rPr>
          <w:sz w:val="22"/>
          <w:szCs w:val="22"/>
          <w:lang w:val="en-US"/>
        </w:rPr>
        <w:t xml:space="preserve"> </w:t>
      </w:r>
      <w:proofErr w:type="spellStart"/>
      <w:r w:rsidR="00F338D6" w:rsidRPr="001F224B">
        <w:rPr>
          <w:sz w:val="22"/>
          <w:szCs w:val="22"/>
          <w:lang w:val="en-US"/>
        </w:rPr>
        <w:t>ilke</w:t>
      </w:r>
      <w:proofErr w:type="spellEnd"/>
      <w:r w:rsidR="00F338D6" w:rsidRPr="001F224B">
        <w:rPr>
          <w:sz w:val="22"/>
          <w:szCs w:val="22"/>
          <w:lang w:val="en-US"/>
        </w:rPr>
        <w:t xml:space="preserve"> </w:t>
      </w:r>
      <w:proofErr w:type="spellStart"/>
      <w:r w:rsidR="00F338D6" w:rsidRPr="001F224B">
        <w:rPr>
          <w:sz w:val="22"/>
          <w:szCs w:val="22"/>
          <w:lang w:val="en-US"/>
        </w:rPr>
        <w:t>olmasından</w:t>
      </w:r>
      <w:proofErr w:type="spellEnd"/>
      <w:r w:rsidR="00F338D6" w:rsidRPr="001F224B">
        <w:rPr>
          <w:sz w:val="22"/>
          <w:szCs w:val="22"/>
          <w:lang w:val="en-US"/>
        </w:rPr>
        <w:t xml:space="preserve"> </w:t>
      </w:r>
      <w:proofErr w:type="spellStart"/>
      <w:r w:rsidR="00F338D6" w:rsidRPr="001F224B">
        <w:rPr>
          <w:sz w:val="22"/>
          <w:szCs w:val="22"/>
          <w:lang w:val="en-US"/>
        </w:rPr>
        <w:t>hareketle</w:t>
      </w:r>
      <w:proofErr w:type="spellEnd"/>
      <w:r w:rsidR="007520A7" w:rsidRPr="001F224B">
        <w:rPr>
          <w:sz w:val="22"/>
          <w:szCs w:val="22"/>
          <w:lang w:val="en-US"/>
        </w:rPr>
        <w:t xml:space="preserve"> </w:t>
      </w:r>
      <w:proofErr w:type="spellStart"/>
      <w:r w:rsidR="007520A7" w:rsidRPr="001F224B">
        <w:rPr>
          <w:sz w:val="22"/>
          <w:szCs w:val="22"/>
          <w:lang w:val="en-US"/>
        </w:rPr>
        <w:t>kredi</w:t>
      </w:r>
      <w:proofErr w:type="spellEnd"/>
      <w:r w:rsidR="007520A7" w:rsidRPr="001F224B">
        <w:rPr>
          <w:sz w:val="22"/>
          <w:szCs w:val="22"/>
          <w:lang w:val="en-US"/>
        </w:rPr>
        <w:t xml:space="preserve"> </w:t>
      </w:r>
      <w:proofErr w:type="spellStart"/>
      <w:r w:rsidR="007520A7" w:rsidRPr="001F224B">
        <w:rPr>
          <w:sz w:val="22"/>
          <w:szCs w:val="22"/>
          <w:lang w:val="en-US"/>
        </w:rPr>
        <w:t>portföyü</w:t>
      </w:r>
      <w:proofErr w:type="spellEnd"/>
      <w:r w:rsidR="007520A7" w:rsidRPr="001F224B">
        <w:rPr>
          <w:sz w:val="22"/>
          <w:szCs w:val="22"/>
          <w:lang w:val="en-US"/>
        </w:rPr>
        <w:t xml:space="preserve"> </w:t>
      </w:r>
      <w:proofErr w:type="spellStart"/>
      <w:r w:rsidR="007520A7" w:rsidRPr="001F224B">
        <w:rPr>
          <w:sz w:val="22"/>
          <w:szCs w:val="22"/>
          <w:lang w:val="en-US"/>
        </w:rPr>
        <w:t>kaynaklı</w:t>
      </w:r>
      <w:proofErr w:type="spellEnd"/>
      <w:r w:rsidR="007520A7" w:rsidRPr="001F224B">
        <w:rPr>
          <w:sz w:val="22"/>
          <w:szCs w:val="22"/>
          <w:lang w:val="en-US"/>
        </w:rPr>
        <w:t xml:space="preserve"> </w:t>
      </w:r>
      <w:proofErr w:type="spellStart"/>
      <w:r w:rsidR="007520A7" w:rsidRPr="001F224B">
        <w:rPr>
          <w:sz w:val="22"/>
          <w:szCs w:val="22"/>
          <w:lang w:val="en-US"/>
        </w:rPr>
        <w:t>faiz</w:t>
      </w:r>
      <w:proofErr w:type="spellEnd"/>
      <w:r w:rsidR="007520A7" w:rsidRPr="001F224B">
        <w:rPr>
          <w:sz w:val="22"/>
          <w:szCs w:val="22"/>
          <w:lang w:val="en-US"/>
        </w:rPr>
        <w:t xml:space="preserve"> </w:t>
      </w:r>
      <w:proofErr w:type="spellStart"/>
      <w:r w:rsidR="007520A7" w:rsidRPr="001F224B">
        <w:rPr>
          <w:sz w:val="22"/>
          <w:szCs w:val="22"/>
          <w:lang w:val="en-US"/>
        </w:rPr>
        <w:t>uyumsuzluğu</w:t>
      </w:r>
      <w:proofErr w:type="spellEnd"/>
      <w:r w:rsidR="007520A7" w:rsidRPr="001F224B">
        <w:rPr>
          <w:sz w:val="22"/>
          <w:szCs w:val="22"/>
          <w:lang w:val="en-US"/>
        </w:rPr>
        <w:t xml:space="preserve"> </w:t>
      </w:r>
      <w:r w:rsidR="00B846A6" w:rsidRPr="001F224B">
        <w:rPr>
          <w:sz w:val="22"/>
          <w:szCs w:val="22"/>
          <w:lang w:val="en-US"/>
        </w:rPr>
        <w:t>bulunmamaktadır</w:t>
      </w:r>
      <w:r w:rsidR="007520A7" w:rsidRPr="001F224B">
        <w:rPr>
          <w:sz w:val="22"/>
          <w:szCs w:val="22"/>
          <w:lang w:val="en-US"/>
        </w:rPr>
        <w:t xml:space="preserve">. Bu </w:t>
      </w:r>
      <w:proofErr w:type="spellStart"/>
      <w:r w:rsidR="007520A7" w:rsidRPr="001F224B">
        <w:rPr>
          <w:sz w:val="22"/>
          <w:szCs w:val="22"/>
          <w:lang w:val="en-US"/>
        </w:rPr>
        <w:t>nedenle</w:t>
      </w:r>
      <w:proofErr w:type="spellEnd"/>
      <w:r w:rsidR="007520A7" w:rsidRPr="001F224B">
        <w:rPr>
          <w:sz w:val="22"/>
          <w:szCs w:val="22"/>
          <w:lang w:val="en-US"/>
        </w:rPr>
        <w:t xml:space="preserve"> </w:t>
      </w:r>
      <w:r w:rsidRPr="001F224B">
        <w:rPr>
          <w:rFonts w:eastAsia="Arial Unicode MS"/>
          <w:color w:val="000000" w:themeColor="text1"/>
          <w:sz w:val="22"/>
          <w:szCs w:val="22"/>
          <w:lang w:eastAsia="en-US"/>
        </w:rPr>
        <w:t xml:space="preserve">Ana Ortaklık </w:t>
      </w:r>
      <w:r w:rsidR="007520A7" w:rsidRPr="001F224B">
        <w:rPr>
          <w:sz w:val="22"/>
          <w:szCs w:val="22"/>
          <w:lang w:val="en-US"/>
        </w:rPr>
        <w:t xml:space="preserve">Banka </w:t>
      </w:r>
      <w:proofErr w:type="spellStart"/>
      <w:r w:rsidR="007520A7" w:rsidRPr="001F224B">
        <w:rPr>
          <w:sz w:val="22"/>
          <w:szCs w:val="22"/>
          <w:lang w:val="en-US"/>
        </w:rPr>
        <w:t>kredi</w:t>
      </w:r>
      <w:proofErr w:type="spellEnd"/>
      <w:r w:rsidR="007520A7" w:rsidRPr="001F224B">
        <w:rPr>
          <w:sz w:val="22"/>
          <w:szCs w:val="22"/>
          <w:lang w:val="en-US"/>
        </w:rPr>
        <w:t xml:space="preserve"> </w:t>
      </w:r>
      <w:proofErr w:type="spellStart"/>
      <w:r w:rsidR="007520A7" w:rsidRPr="001F224B">
        <w:rPr>
          <w:sz w:val="22"/>
          <w:szCs w:val="22"/>
          <w:lang w:val="en-US"/>
        </w:rPr>
        <w:t>portföyü</w:t>
      </w:r>
      <w:proofErr w:type="spellEnd"/>
      <w:r w:rsidR="007520A7" w:rsidRPr="001F224B">
        <w:rPr>
          <w:sz w:val="22"/>
          <w:szCs w:val="22"/>
          <w:lang w:val="en-US"/>
        </w:rPr>
        <w:t xml:space="preserve"> </w:t>
      </w:r>
      <w:proofErr w:type="spellStart"/>
      <w:r w:rsidR="007520A7" w:rsidRPr="001F224B">
        <w:rPr>
          <w:sz w:val="22"/>
          <w:szCs w:val="22"/>
          <w:lang w:val="en-US"/>
        </w:rPr>
        <w:t>piyasa</w:t>
      </w:r>
      <w:proofErr w:type="spellEnd"/>
      <w:r w:rsidR="007520A7" w:rsidRPr="001F224B">
        <w:rPr>
          <w:sz w:val="22"/>
          <w:szCs w:val="22"/>
          <w:lang w:val="en-US"/>
        </w:rPr>
        <w:t xml:space="preserve"> </w:t>
      </w:r>
      <w:proofErr w:type="spellStart"/>
      <w:r w:rsidR="007520A7" w:rsidRPr="001F224B">
        <w:rPr>
          <w:sz w:val="22"/>
          <w:szCs w:val="22"/>
          <w:lang w:val="en-US"/>
        </w:rPr>
        <w:t>hareketliliğinden</w:t>
      </w:r>
      <w:proofErr w:type="spellEnd"/>
      <w:r w:rsidR="007520A7" w:rsidRPr="001F224B">
        <w:rPr>
          <w:sz w:val="22"/>
          <w:szCs w:val="22"/>
          <w:lang w:val="en-US"/>
        </w:rPr>
        <w:t xml:space="preserve"> </w:t>
      </w:r>
      <w:proofErr w:type="spellStart"/>
      <w:r w:rsidR="007520A7" w:rsidRPr="001F224B">
        <w:rPr>
          <w:sz w:val="22"/>
          <w:szCs w:val="22"/>
          <w:lang w:val="en-US"/>
        </w:rPr>
        <w:t>etkilense</w:t>
      </w:r>
      <w:proofErr w:type="spellEnd"/>
      <w:r w:rsidR="007520A7" w:rsidRPr="001F224B">
        <w:rPr>
          <w:sz w:val="22"/>
          <w:szCs w:val="22"/>
          <w:lang w:val="en-US"/>
        </w:rPr>
        <w:t xml:space="preserve"> bile </w:t>
      </w:r>
      <w:proofErr w:type="spellStart"/>
      <w:r w:rsidR="007520A7" w:rsidRPr="001F224B">
        <w:rPr>
          <w:sz w:val="22"/>
          <w:szCs w:val="22"/>
          <w:lang w:val="en-US"/>
        </w:rPr>
        <w:t>herhangi</w:t>
      </w:r>
      <w:proofErr w:type="spellEnd"/>
      <w:r w:rsidR="007520A7" w:rsidRPr="001F224B">
        <w:rPr>
          <w:sz w:val="22"/>
          <w:szCs w:val="22"/>
          <w:lang w:val="en-US"/>
        </w:rPr>
        <w:t xml:space="preserve"> </w:t>
      </w:r>
      <w:proofErr w:type="spellStart"/>
      <w:r w:rsidR="007520A7" w:rsidRPr="001F224B">
        <w:rPr>
          <w:sz w:val="22"/>
          <w:szCs w:val="22"/>
          <w:lang w:val="en-US"/>
        </w:rPr>
        <w:t>bir</w:t>
      </w:r>
      <w:proofErr w:type="spellEnd"/>
      <w:r w:rsidR="007520A7" w:rsidRPr="001F224B">
        <w:rPr>
          <w:sz w:val="22"/>
          <w:szCs w:val="22"/>
          <w:lang w:val="en-US"/>
        </w:rPr>
        <w:t xml:space="preserve"> </w:t>
      </w:r>
      <w:proofErr w:type="spellStart"/>
      <w:r w:rsidR="007520A7" w:rsidRPr="001F224B">
        <w:rPr>
          <w:sz w:val="22"/>
          <w:szCs w:val="22"/>
          <w:lang w:val="en-US"/>
        </w:rPr>
        <w:t>faiz</w:t>
      </w:r>
      <w:proofErr w:type="spellEnd"/>
      <w:r w:rsidR="007520A7" w:rsidRPr="001F224B">
        <w:rPr>
          <w:sz w:val="22"/>
          <w:szCs w:val="22"/>
          <w:lang w:val="en-US"/>
        </w:rPr>
        <w:t xml:space="preserve"> </w:t>
      </w:r>
      <w:proofErr w:type="spellStart"/>
      <w:r w:rsidR="007520A7" w:rsidRPr="001F224B">
        <w:rPr>
          <w:sz w:val="22"/>
          <w:szCs w:val="22"/>
          <w:lang w:val="en-US"/>
        </w:rPr>
        <w:t>riski</w:t>
      </w:r>
      <w:proofErr w:type="spellEnd"/>
      <w:r w:rsidR="007520A7" w:rsidRPr="001F224B">
        <w:rPr>
          <w:sz w:val="22"/>
          <w:szCs w:val="22"/>
          <w:lang w:val="en-US"/>
        </w:rPr>
        <w:t xml:space="preserve"> </w:t>
      </w:r>
      <w:proofErr w:type="spellStart"/>
      <w:r w:rsidR="007520A7" w:rsidRPr="001F224B">
        <w:rPr>
          <w:sz w:val="22"/>
          <w:szCs w:val="22"/>
          <w:lang w:val="en-US"/>
        </w:rPr>
        <w:t>taşımamaktadır</w:t>
      </w:r>
      <w:proofErr w:type="spellEnd"/>
      <w:r w:rsidR="007520A7" w:rsidRPr="001F224B">
        <w:rPr>
          <w:sz w:val="22"/>
          <w:szCs w:val="22"/>
          <w:lang w:val="en-US"/>
        </w:rPr>
        <w:t xml:space="preserve">. </w:t>
      </w:r>
      <w:r w:rsidR="001332E5" w:rsidRPr="001F224B">
        <w:rPr>
          <w:sz w:val="22"/>
          <w:szCs w:val="22"/>
        </w:rPr>
        <w:t>Ana Ortaklık</w:t>
      </w:r>
      <w:r w:rsidR="001332E5" w:rsidRPr="001F224B">
        <w:rPr>
          <w:sz w:val="22"/>
          <w:szCs w:val="22"/>
          <w:lang w:val="en-US"/>
        </w:rPr>
        <w:t xml:space="preserve"> </w:t>
      </w:r>
      <w:r w:rsidR="003C293B" w:rsidRPr="001F224B">
        <w:rPr>
          <w:sz w:val="22"/>
          <w:szCs w:val="22"/>
          <w:lang w:val="en-US"/>
        </w:rPr>
        <w:t xml:space="preserve">Banka </w:t>
      </w:r>
      <w:proofErr w:type="spellStart"/>
      <w:r w:rsidR="003C293B" w:rsidRPr="001F224B">
        <w:rPr>
          <w:sz w:val="22"/>
          <w:szCs w:val="22"/>
          <w:lang w:val="en-US"/>
        </w:rPr>
        <w:t>bilançosunda</w:t>
      </w:r>
      <w:proofErr w:type="spellEnd"/>
      <w:r w:rsidR="003C293B" w:rsidRPr="001F224B">
        <w:rPr>
          <w:sz w:val="22"/>
          <w:szCs w:val="22"/>
          <w:lang w:val="en-US"/>
        </w:rPr>
        <w:t xml:space="preserve"> </w:t>
      </w:r>
      <w:proofErr w:type="spellStart"/>
      <w:r w:rsidR="003C293B" w:rsidRPr="001F224B">
        <w:rPr>
          <w:sz w:val="22"/>
          <w:szCs w:val="22"/>
          <w:lang w:val="en-US"/>
        </w:rPr>
        <w:t>faize</w:t>
      </w:r>
      <w:proofErr w:type="spellEnd"/>
      <w:r w:rsidR="003C293B" w:rsidRPr="001F224B">
        <w:rPr>
          <w:sz w:val="22"/>
          <w:szCs w:val="22"/>
          <w:lang w:val="en-US"/>
        </w:rPr>
        <w:t xml:space="preserve"> </w:t>
      </w:r>
      <w:proofErr w:type="spellStart"/>
      <w:r w:rsidR="003C293B" w:rsidRPr="001F224B">
        <w:rPr>
          <w:sz w:val="22"/>
          <w:szCs w:val="22"/>
          <w:lang w:val="en-US"/>
        </w:rPr>
        <w:t>duyarlı</w:t>
      </w:r>
      <w:proofErr w:type="spellEnd"/>
      <w:r w:rsidR="003C293B" w:rsidRPr="001F224B">
        <w:rPr>
          <w:sz w:val="22"/>
          <w:szCs w:val="22"/>
          <w:lang w:val="en-US"/>
        </w:rPr>
        <w:t xml:space="preserve"> </w:t>
      </w:r>
      <w:proofErr w:type="spellStart"/>
      <w:r w:rsidR="003C293B" w:rsidRPr="001F224B">
        <w:rPr>
          <w:sz w:val="22"/>
          <w:szCs w:val="22"/>
          <w:lang w:val="en-US"/>
        </w:rPr>
        <w:t>kalemler</w:t>
      </w:r>
      <w:proofErr w:type="spellEnd"/>
      <w:r w:rsidR="003C293B" w:rsidRPr="001F224B">
        <w:rPr>
          <w:sz w:val="22"/>
          <w:szCs w:val="22"/>
          <w:lang w:val="en-US"/>
        </w:rPr>
        <w:t xml:space="preserve"> </w:t>
      </w:r>
      <w:proofErr w:type="spellStart"/>
      <w:r w:rsidR="003C293B" w:rsidRPr="001F224B">
        <w:rPr>
          <w:sz w:val="22"/>
          <w:szCs w:val="22"/>
          <w:lang w:val="en-US"/>
        </w:rPr>
        <w:t>sadece</w:t>
      </w:r>
      <w:proofErr w:type="spellEnd"/>
      <w:r w:rsidR="003C293B" w:rsidRPr="001F224B">
        <w:rPr>
          <w:sz w:val="22"/>
          <w:szCs w:val="22"/>
          <w:lang w:val="en-US"/>
        </w:rPr>
        <w:t xml:space="preserve"> </w:t>
      </w:r>
      <w:proofErr w:type="spellStart"/>
      <w:r w:rsidR="003C293B" w:rsidRPr="001F224B">
        <w:rPr>
          <w:sz w:val="22"/>
          <w:szCs w:val="22"/>
          <w:lang w:val="en-US"/>
        </w:rPr>
        <w:t>likit</w:t>
      </w:r>
      <w:proofErr w:type="spellEnd"/>
      <w:r w:rsidR="003C293B" w:rsidRPr="001F224B">
        <w:rPr>
          <w:sz w:val="22"/>
          <w:szCs w:val="22"/>
          <w:lang w:val="en-US"/>
        </w:rPr>
        <w:t xml:space="preserve"> </w:t>
      </w:r>
      <w:proofErr w:type="spellStart"/>
      <w:r w:rsidR="003C293B" w:rsidRPr="001F224B">
        <w:rPr>
          <w:sz w:val="22"/>
          <w:szCs w:val="22"/>
          <w:lang w:val="en-US"/>
        </w:rPr>
        <w:t>portföy</w:t>
      </w:r>
      <w:proofErr w:type="spellEnd"/>
      <w:r w:rsidR="003C293B" w:rsidRPr="001F224B">
        <w:rPr>
          <w:sz w:val="22"/>
          <w:szCs w:val="22"/>
          <w:lang w:val="en-US"/>
        </w:rPr>
        <w:t xml:space="preserve"> </w:t>
      </w:r>
      <w:proofErr w:type="spellStart"/>
      <w:r w:rsidR="003C293B" w:rsidRPr="001F224B">
        <w:rPr>
          <w:sz w:val="22"/>
          <w:szCs w:val="22"/>
          <w:lang w:val="en-US"/>
        </w:rPr>
        <w:t>içinde</w:t>
      </w:r>
      <w:proofErr w:type="spellEnd"/>
      <w:r w:rsidR="003C293B" w:rsidRPr="001F224B">
        <w:rPr>
          <w:sz w:val="22"/>
          <w:szCs w:val="22"/>
          <w:lang w:val="en-US"/>
        </w:rPr>
        <w:t xml:space="preserve"> </w:t>
      </w:r>
      <w:proofErr w:type="spellStart"/>
      <w:r w:rsidR="003C293B" w:rsidRPr="001F224B">
        <w:rPr>
          <w:sz w:val="22"/>
          <w:szCs w:val="22"/>
          <w:lang w:val="en-US"/>
        </w:rPr>
        <w:t>yer</w:t>
      </w:r>
      <w:proofErr w:type="spellEnd"/>
      <w:r w:rsidR="003C293B" w:rsidRPr="001F224B">
        <w:rPr>
          <w:sz w:val="22"/>
          <w:szCs w:val="22"/>
          <w:lang w:val="en-US"/>
        </w:rPr>
        <w:t xml:space="preserve"> </w:t>
      </w:r>
      <w:proofErr w:type="spellStart"/>
      <w:r w:rsidR="003C293B" w:rsidRPr="001F224B">
        <w:rPr>
          <w:sz w:val="22"/>
          <w:szCs w:val="22"/>
          <w:lang w:val="en-US"/>
        </w:rPr>
        <w:t>alan</w:t>
      </w:r>
      <w:proofErr w:type="spellEnd"/>
      <w:r w:rsidR="003C293B" w:rsidRPr="001F224B">
        <w:rPr>
          <w:sz w:val="22"/>
          <w:szCs w:val="22"/>
          <w:lang w:val="en-US"/>
        </w:rPr>
        <w:t xml:space="preserve"> </w:t>
      </w:r>
      <w:proofErr w:type="spellStart"/>
      <w:r w:rsidR="003C293B" w:rsidRPr="001F224B">
        <w:rPr>
          <w:sz w:val="22"/>
          <w:szCs w:val="22"/>
          <w:lang w:val="en-US"/>
        </w:rPr>
        <w:t>Gerçeğe</w:t>
      </w:r>
      <w:proofErr w:type="spellEnd"/>
      <w:r w:rsidR="003C293B" w:rsidRPr="001F224B">
        <w:rPr>
          <w:sz w:val="22"/>
          <w:szCs w:val="22"/>
          <w:lang w:val="en-US"/>
        </w:rPr>
        <w:t xml:space="preserve"> </w:t>
      </w:r>
      <w:proofErr w:type="spellStart"/>
      <w:r w:rsidR="003C293B" w:rsidRPr="001F224B">
        <w:rPr>
          <w:sz w:val="22"/>
          <w:szCs w:val="22"/>
          <w:lang w:val="en-US"/>
        </w:rPr>
        <w:t>Uygun</w:t>
      </w:r>
      <w:proofErr w:type="spellEnd"/>
      <w:r w:rsidR="003C293B" w:rsidRPr="001F224B">
        <w:rPr>
          <w:sz w:val="22"/>
          <w:szCs w:val="22"/>
          <w:lang w:val="en-US"/>
        </w:rPr>
        <w:t xml:space="preserve"> </w:t>
      </w:r>
      <w:proofErr w:type="spellStart"/>
      <w:r w:rsidR="003C293B" w:rsidRPr="001F224B">
        <w:rPr>
          <w:sz w:val="22"/>
          <w:szCs w:val="22"/>
          <w:lang w:val="en-US"/>
        </w:rPr>
        <w:t>Değer</w:t>
      </w:r>
      <w:proofErr w:type="spellEnd"/>
      <w:r w:rsidR="003C293B" w:rsidRPr="001F224B">
        <w:rPr>
          <w:sz w:val="22"/>
          <w:szCs w:val="22"/>
          <w:lang w:val="en-US"/>
        </w:rPr>
        <w:t xml:space="preserve"> </w:t>
      </w:r>
      <w:proofErr w:type="spellStart"/>
      <w:r w:rsidR="003C293B" w:rsidRPr="001F224B">
        <w:rPr>
          <w:sz w:val="22"/>
          <w:szCs w:val="22"/>
          <w:lang w:val="en-US"/>
        </w:rPr>
        <w:t>Farkı</w:t>
      </w:r>
      <w:proofErr w:type="spellEnd"/>
      <w:r w:rsidR="003C293B" w:rsidRPr="001F224B">
        <w:rPr>
          <w:sz w:val="22"/>
          <w:szCs w:val="22"/>
          <w:lang w:val="en-US"/>
        </w:rPr>
        <w:t xml:space="preserve"> </w:t>
      </w:r>
      <w:proofErr w:type="spellStart"/>
      <w:r w:rsidR="003C293B" w:rsidRPr="001F224B">
        <w:rPr>
          <w:sz w:val="22"/>
          <w:szCs w:val="22"/>
          <w:lang w:val="en-US"/>
        </w:rPr>
        <w:t>Diğer</w:t>
      </w:r>
      <w:proofErr w:type="spellEnd"/>
      <w:r w:rsidR="003C293B" w:rsidRPr="001F224B">
        <w:rPr>
          <w:sz w:val="22"/>
          <w:szCs w:val="22"/>
          <w:lang w:val="en-US"/>
        </w:rPr>
        <w:t xml:space="preserve"> </w:t>
      </w:r>
      <w:proofErr w:type="spellStart"/>
      <w:r w:rsidR="003C293B" w:rsidRPr="001F224B">
        <w:rPr>
          <w:sz w:val="22"/>
          <w:szCs w:val="22"/>
          <w:lang w:val="en-US"/>
        </w:rPr>
        <w:t>Kapsamlı</w:t>
      </w:r>
      <w:proofErr w:type="spellEnd"/>
      <w:r w:rsidR="003C293B" w:rsidRPr="001F224B">
        <w:rPr>
          <w:sz w:val="22"/>
          <w:szCs w:val="22"/>
          <w:lang w:val="en-US"/>
        </w:rPr>
        <w:t xml:space="preserve"> </w:t>
      </w:r>
      <w:proofErr w:type="spellStart"/>
      <w:r w:rsidR="003C293B" w:rsidRPr="001F224B">
        <w:rPr>
          <w:sz w:val="22"/>
          <w:szCs w:val="22"/>
          <w:lang w:val="en-US"/>
        </w:rPr>
        <w:t>Gelire</w:t>
      </w:r>
      <w:proofErr w:type="spellEnd"/>
      <w:r w:rsidR="003C293B" w:rsidRPr="001F224B">
        <w:rPr>
          <w:sz w:val="22"/>
          <w:szCs w:val="22"/>
          <w:lang w:val="en-US"/>
        </w:rPr>
        <w:t xml:space="preserve"> </w:t>
      </w:r>
      <w:proofErr w:type="spellStart"/>
      <w:r w:rsidR="003C293B" w:rsidRPr="001F224B">
        <w:rPr>
          <w:sz w:val="22"/>
          <w:szCs w:val="22"/>
          <w:lang w:val="en-US"/>
        </w:rPr>
        <w:t>Yansıtılan</w:t>
      </w:r>
      <w:proofErr w:type="spellEnd"/>
      <w:r w:rsidR="003C293B" w:rsidRPr="001F224B">
        <w:rPr>
          <w:sz w:val="22"/>
          <w:szCs w:val="22"/>
          <w:lang w:val="en-US"/>
        </w:rPr>
        <w:t xml:space="preserve"> Finansal </w:t>
      </w:r>
      <w:proofErr w:type="spellStart"/>
      <w:r w:rsidR="003C293B" w:rsidRPr="001F224B">
        <w:rPr>
          <w:sz w:val="22"/>
          <w:szCs w:val="22"/>
          <w:lang w:val="en-US"/>
        </w:rPr>
        <w:t>Varlıklar</w:t>
      </w:r>
      <w:proofErr w:type="spellEnd"/>
      <w:r w:rsidR="003C293B" w:rsidRPr="001F224B">
        <w:rPr>
          <w:sz w:val="22"/>
          <w:szCs w:val="22"/>
          <w:lang w:val="en-US"/>
        </w:rPr>
        <w:t xml:space="preserve"> </w:t>
      </w:r>
      <w:proofErr w:type="spellStart"/>
      <w:r w:rsidR="003C293B" w:rsidRPr="001F224B">
        <w:rPr>
          <w:sz w:val="22"/>
          <w:szCs w:val="22"/>
          <w:lang w:val="en-US"/>
        </w:rPr>
        <w:t>büyüklüğüyle</w:t>
      </w:r>
      <w:proofErr w:type="spellEnd"/>
      <w:r w:rsidR="003C293B" w:rsidRPr="001F224B">
        <w:rPr>
          <w:sz w:val="22"/>
          <w:szCs w:val="22"/>
          <w:lang w:val="en-US"/>
        </w:rPr>
        <w:t xml:space="preserve"> </w:t>
      </w:r>
      <w:proofErr w:type="spellStart"/>
      <w:r w:rsidR="003C293B" w:rsidRPr="001F224B">
        <w:rPr>
          <w:sz w:val="22"/>
          <w:szCs w:val="22"/>
          <w:lang w:val="en-US"/>
        </w:rPr>
        <w:t>sınırlıdır</w:t>
      </w:r>
      <w:proofErr w:type="spellEnd"/>
      <w:r w:rsidR="003C293B" w:rsidRPr="001F224B">
        <w:rPr>
          <w:sz w:val="22"/>
          <w:szCs w:val="22"/>
          <w:lang w:val="en-US"/>
        </w:rPr>
        <w:t xml:space="preserve">. </w:t>
      </w:r>
    </w:p>
    <w:p w14:paraId="0B41C6C8" w14:textId="0CA7A7D5" w:rsidR="007520A7" w:rsidRPr="001F224B" w:rsidRDefault="003C293B" w:rsidP="003C293B">
      <w:pPr>
        <w:spacing w:before="120"/>
        <w:ind w:left="567"/>
        <w:jc w:val="both"/>
        <w:rPr>
          <w:sz w:val="22"/>
          <w:szCs w:val="22"/>
        </w:rPr>
      </w:pPr>
      <w:r w:rsidRPr="001F224B">
        <w:rPr>
          <w:sz w:val="22"/>
          <w:szCs w:val="22"/>
          <w:lang w:val="en-US"/>
        </w:rPr>
        <w:t xml:space="preserve">Piyasa </w:t>
      </w:r>
      <w:proofErr w:type="spellStart"/>
      <w:r w:rsidRPr="001F224B">
        <w:rPr>
          <w:sz w:val="22"/>
          <w:szCs w:val="22"/>
          <w:lang w:val="en-US"/>
        </w:rPr>
        <w:t>faiz</w:t>
      </w:r>
      <w:proofErr w:type="spellEnd"/>
      <w:r w:rsidRPr="001F224B">
        <w:rPr>
          <w:sz w:val="22"/>
          <w:szCs w:val="22"/>
          <w:lang w:val="en-US"/>
        </w:rPr>
        <w:t xml:space="preserve"> </w:t>
      </w:r>
      <w:proofErr w:type="spellStart"/>
      <w:r w:rsidRPr="001F224B">
        <w:rPr>
          <w:sz w:val="22"/>
          <w:szCs w:val="22"/>
          <w:lang w:val="en-US"/>
        </w:rPr>
        <w:t>oranlarındaki</w:t>
      </w:r>
      <w:proofErr w:type="spellEnd"/>
      <w:r w:rsidRPr="001F224B">
        <w:rPr>
          <w:sz w:val="22"/>
          <w:szCs w:val="22"/>
          <w:lang w:val="en-US"/>
        </w:rPr>
        <w:t xml:space="preserve"> </w:t>
      </w:r>
      <w:proofErr w:type="spellStart"/>
      <w:r w:rsidRPr="001F224B">
        <w:rPr>
          <w:sz w:val="22"/>
          <w:szCs w:val="22"/>
          <w:lang w:val="en-US"/>
        </w:rPr>
        <w:t>değişimin</w:t>
      </w:r>
      <w:proofErr w:type="spellEnd"/>
      <w:r w:rsidRPr="001F224B">
        <w:rPr>
          <w:sz w:val="22"/>
          <w:szCs w:val="22"/>
          <w:lang w:val="en-US"/>
        </w:rPr>
        <w:t xml:space="preserve"> </w:t>
      </w:r>
      <w:r w:rsidR="00A96577" w:rsidRPr="001F224B">
        <w:rPr>
          <w:rFonts w:eastAsia="Arial Unicode MS"/>
          <w:color w:val="000000" w:themeColor="text1"/>
          <w:sz w:val="22"/>
          <w:szCs w:val="22"/>
          <w:lang w:eastAsia="en-US"/>
        </w:rPr>
        <w:t xml:space="preserve">Ana Ortaklık </w:t>
      </w:r>
      <w:r w:rsidRPr="001F224B">
        <w:rPr>
          <w:sz w:val="22"/>
          <w:szCs w:val="22"/>
          <w:lang w:val="en-US"/>
        </w:rPr>
        <w:t xml:space="preserve">Banka </w:t>
      </w:r>
      <w:proofErr w:type="spellStart"/>
      <w:r w:rsidRPr="001F224B">
        <w:rPr>
          <w:sz w:val="22"/>
          <w:szCs w:val="22"/>
          <w:lang w:val="en-US"/>
        </w:rPr>
        <w:t>finansal</w:t>
      </w:r>
      <w:proofErr w:type="spellEnd"/>
      <w:r w:rsidRPr="001F224B">
        <w:rPr>
          <w:sz w:val="22"/>
          <w:szCs w:val="22"/>
          <w:lang w:val="en-US"/>
        </w:rPr>
        <w:t xml:space="preserve"> </w:t>
      </w:r>
      <w:proofErr w:type="spellStart"/>
      <w:r w:rsidRPr="001F224B">
        <w:rPr>
          <w:sz w:val="22"/>
          <w:szCs w:val="22"/>
          <w:lang w:val="en-US"/>
        </w:rPr>
        <w:t>yapısında</w:t>
      </w:r>
      <w:proofErr w:type="spellEnd"/>
      <w:r w:rsidRPr="001F224B">
        <w:rPr>
          <w:sz w:val="22"/>
          <w:szCs w:val="22"/>
          <w:lang w:val="en-US"/>
        </w:rPr>
        <w:t xml:space="preserve"> </w:t>
      </w:r>
      <w:proofErr w:type="spellStart"/>
      <w:r w:rsidRPr="001F224B">
        <w:rPr>
          <w:sz w:val="22"/>
          <w:szCs w:val="22"/>
          <w:lang w:val="en-US"/>
        </w:rPr>
        <w:t>olumsuz</w:t>
      </w:r>
      <w:proofErr w:type="spellEnd"/>
      <w:r w:rsidRPr="001F224B">
        <w:rPr>
          <w:sz w:val="22"/>
          <w:szCs w:val="22"/>
          <w:lang w:val="en-US"/>
        </w:rPr>
        <w:t xml:space="preserve"> </w:t>
      </w:r>
      <w:proofErr w:type="spellStart"/>
      <w:r w:rsidRPr="001F224B">
        <w:rPr>
          <w:sz w:val="22"/>
          <w:szCs w:val="22"/>
          <w:lang w:val="en-US"/>
        </w:rPr>
        <w:t>etkiler</w:t>
      </w:r>
      <w:proofErr w:type="spellEnd"/>
      <w:r w:rsidRPr="001F224B">
        <w:rPr>
          <w:sz w:val="22"/>
          <w:szCs w:val="22"/>
          <w:lang w:val="en-US"/>
        </w:rPr>
        <w:t xml:space="preserve"> </w:t>
      </w:r>
      <w:proofErr w:type="spellStart"/>
      <w:r w:rsidRPr="001F224B">
        <w:rPr>
          <w:sz w:val="22"/>
          <w:szCs w:val="22"/>
          <w:lang w:val="en-US"/>
        </w:rPr>
        <w:t>ortaya</w:t>
      </w:r>
      <w:proofErr w:type="spellEnd"/>
      <w:r w:rsidRPr="001F224B">
        <w:rPr>
          <w:sz w:val="22"/>
          <w:szCs w:val="22"/>
          <w:lang w:val="en-US"/>
        </w:rPr>
        <w:t xml:space="preserve"> </w:t>
      </w:r>
      <w:proofErr w:type="spellStart"/>
      <w:r w:rsidRPr="001F224B">
        <w:rPr>
          <w:sz w:val="22"/>
          <w:szCs w:val="22"/>
          <w:lang w:val="en-US"/>
        </w:rPr>
        <w:t>çıkarma</w:t>
      </w:r>
      <w:proofErr w:type="spellEnd"/>
      <w:r w:rsidRPr="001F224B">
        <w:rPr>
          <w:sz w:val="22"/>
          <w:szCs w:val="22"/>
          <w:lang w:val="en-US"/>
        </w:rPr>
        <w:t xml:space="preserve"> </w:t>
      </w:r>
      <w:proofErr w:type="spellStart"/>
      <w:r w:rsidRPr="001F224B">
        <w:rPr>
          <w:sz w:val="22"/>
          <w:szCs w:val="22"/>
          <w:lang w:val="en-US"/>
        </w:rPr>
        <w:t>ihtimalini</w:t>
      </w:r>
      <w:proofErr w:type="spellEnd"/>
      <w:r w:rsidRPr="001F224B">
        <w:rPr>
          <w:sz w:val="22"/>
          <w:szCs w:val="22"/>
          <w:lang w:val="en-US"/>
        </w:rPr>
        <w:t xml:space="preserve"> minimize </w:t>
      </w:r>
      <w:proofErr w:type="spellStart"/>
      <w:r w:rsidRPr="001F224B">
        <w:rPr>
          <w:sz w:val="22"/>
          <w:szCs w:val="22"/>
          <w:lang w:val="en-US"/>
        </w:rPr>
        <w:t>etmek</w:t>
      </w:r>
      <w:proofErr w:type="spellEnd"/>
      <w:r w:rsidRPr="001F224B">
        <w:rPr>
          <w:sz w:val="22"/>
          <w:szCs w:val="22"/>
          <w:lang w:val="en-US"/>
        </w:rPr>
        <w:t xml:space="preserve"> </w:t>
      </w:r>
      <w:proofErr w:type="spellStart"/>
      <w:r w:rsidRPr="001F224B">
        <w:rPr>
          <w:sz w:val="22"/>
          <w:szCs w:val="22"/>
          <w:lang w:val="en-US"/>
        </w:rPr>
        <w:t>için</w:t>
      </w:r>
      <w:proofErr w:type="spellEnd"/>
      <w:r w:rsidRPr="001F224B">
        <w:rPr>
          <w:sz w:val="22"/>
          <w:szCs w:val="22"/>
          <w:lang w:val="en-US"/>
        </w:rPr>
        <w:t xml:space="preserve"> </w:t>
      </w:r>
      <w:proofErr w:type="spellStart"/>
      <w:r w:rsidRPr="001F224B">
        <w:rPr>
          <w:sz w:val="22"/>
          <w:szCs w:val="22"/>
          <w:lang w:val="en-US"/>
        </w:rPr>
        <w:t>ise</w:t>
      </w:r>
      <w:proofErr w:type="spellEnd"/>
      <w:r w:rsidRPr="001F224B">
        <w:rPr>
          <w:sz w:val="22"/>
          <w:szCs w:val="22"/>
          <w:lang w:val="en-US"/>
        </w:rPr>
        <w:t xml:space="preserve">, </w:t>
      </w:r>
      <w:proofErr w:type="spellStart"/>
      <w:r w:rsidRPr="001F224B">
        <w:rPr>
          <w:sz w:val="22"/>
          <w:szCs w:val="22"/>
          <w:lang w:val="en-US"/>
        </w:rPr>
        <w:t>faiz</w:t>
      </w:r>
      <w:proofErr w:type="spellEnd"/>
      <w:r w:rsidRPr="001F224B">
        <w:rPr>
          <w:sz w:val="22"/>
          <w:szCs w:val="22"/>
          <w:lang w:val="en-US"/>
        </w:rPr>
        <w:t xml:space="preserve"> </w:t>
      </w:r>
      <w:proofErr w:type="spellStart"/>
      <w:r w:rsidRPr="001F224B">
        <w:rPr>
          <w:sz w:val="22"/>
          <w:szCs w:val="22"/>
          <w:lang w:val="en-US"/>
        </w:rPr>
        <w:t>riski</w:t>
      </w:r>
      <w:proofErr w:type="spellEnd"/>
      <w:r w:rsidRPr="001F224B">
        <w:rPr>
          <w:sz w:val="22"/>
          <w:szCs w:val="22"/>
          <w:lang w:val="en-US"/>
        </w:rPr>
        <w:t xml:space="preserve"> </w:t>
      </w:r>
      <w:proofErr w:type="spellStart"/>
      <w:r w:rsidRPr="001F224B">
        <w:rPr>
          <w:sz w:val="22"/>
          <w:szCs w:val="22"/>
          <w:lang w:val="en-US"/>
        </w:rPr>
        <w:t>yönetimine</w:t>
      </w:r>
      <w:proofErr w:type="spellEnd"/>
      <w:r w:rsidRPr="001F224B">
        <w:rPr>
          <w:sz w:val="22"/>
          <w:szCs w:val="22"/>
          <w:lang w:val="en-US"/>
        </w:rPr>
        <w:t xml:space="preserve"> </w:t>
      </w:r>
      <w:proofErr w:type="spellStart"/>
      <w:r w:rsidRPr="001F224B">
        <w:rPr>
          <w:sz w:val="22"/>
          <w:szCs w:val="22"/>
          <w:lang w:val="en-US"/>
        </w:rPr>
        <w:t>ilişkin</w:t>
      </w:r>
      <w:proofErr w:type="spellEnd"/>
      <w:r w:rsidRPr="001F224B">
        <w:rPr>
          <w:sz w:val="22"/>
          <w:szCs w:val="22"/>
          <w:lang w:val="en-US"/>
        </w:rPr>
        <w:t xml:space="preserve"> </w:t>
      </w:r>
      <w:proofErr w:type="spellStart"/>
      <w:r w:rsidRPr="001F224B">
        <w:rPr>
          <w:sz w:val="22"/>
          <w:szCs w:val="22"/>
          <w:lang w:val="en-US"/>
        </w:rPr>
        <w:t>olarak</w:t>
      </w:r>
      <w:proofErr w:type="spellEnd"/>
      <w:r w:rsidRPr="001F224B">
        <w:rPr>
          <w:sz w:val="22"/>
          <w:szCs w:val="22"/>
          <w:lang w:val="en-US"/>
        </w:rPr>
        <w:t xml:space="preserve"> risk </w:t>
      </w:r>
      <w:proofErr w:type="spellStart"/>
      <w:r w:rsidRPr="001F224B">
        <w:rPr>
          <w:sz w:val="22"/>
          <w:szCs w:val="22"/>
          <w:lang w:val="en-US"/>
        </w:rPr>
        <w:t>yönetimi</w:t>
      </w:r>
      <w:proofErr w:type="spellEnd"/>
      <w:r w:rsidRPr="001F224B">
        <w:rPr>
          <w:sz w:val="22"/>
          <w:szCs w:val="22"/>
          <w:lang w:val="en-US"/>
        </w:rPr>
        <w:t xml:space="preserve"> </w:t>
      </w:r>
      <w:proofErr w:type="spellStart"/>
      <w:r w:rsidRPr="001F224B">
        <w:rPr>
          <w:sz w:val="22"/>
          <w:szCs w:val="22"/>
          <w:lang w:val="en-US"/>
        </w:rPr>
        <w:t>politikaları</w:t>
      </w:r>
      <w:proofErr w:type="spellEnd"/>
      <w:r w:rsidRPr="001F224B">
        <w:rPr>
          <w:sz w:val="22"/>
          <w:szCs w:val="22"/>
          <w:lang w:val="en-US"/>
        </w:rPr>
        <w:t xml:space="preserve"> </w:t>
      </w:r>
      <w:proofErr w:type="spellStart"/>
      <w:r w:rsidRPr="001F224B">
        <w:rPr>
          <w:sz w:val="22"/>
          <w:szCs w:val="22"/>
          <w:lang w:val="en-US"/>
        </w:rPr>
        <w:t>çerçevesinde</w:t>
      </w:r>
      <w:proofErr w:type="spellEnd"/>
      <w:r w:rsidRPr="001F224B">
        <w:rPr>
          <w:sz w:val="22"/>
          <w:szCs w:val="22"/>
          <w:lang w:val="en-US"/>
        </w:rPr>
        <w:t xml:space="preserve">, Aktif Pasif Komitesi </w:t>
      </w:r>
      <w:proofErr w:type="spellStart"/>
      <w:r w:rsidRPr="001F224B">
        <w:rPr>
          <w:sz w:val="22"/>
          <w:szCs w:val="22"/>
          <w:lang w:val="en-US"/>
        </w:rPr>
        <w:t>tarafından</w:t>
      </w:r>
      <w:proofErr w:type="spellEnd"/>
      <w:r w:rsidRPr="001F224B">
        <w:rPr>
          <w:sz w:val="22"/>
          <w:szCs w:val="22"/>
          <w:lang w:val="en-US"/>
        </w:rPr>
        <w:t xml:space="preserve"> </w:t>
      </w:r>
      <w:proofErr w:type="spellStart"/>
      <w:r w:rsidRPr="001F224B">
        <w:rPr>
          <w:sz w:val="22"/>
          <w:szCs w:val="22"/>
          <w:lang w:val="en-US"/>
        </w:rPr>
        <w:t>belirlenmiş</w:t>
      </w:r>
      <w:proofErr w:type="spellEnd"/>
      <w:r w:rsidRPr="001F224B">
        <w:rPr>
          <w:sz w:val="22"/>
          <w:szCs w:val="22"/>
          <w:lang w:val="en-US"/>
        </w:rPr>
        <w:t xml:space="preserve"> ve Yönetim Kurulu </w:t>
      </w:r>
      <w:proofErr w:type="spellStart"/>
      <w:r w:rsidRPr="001F224B">
        <w:rPr>
          <w:sz w:val="22"/>
          <w:szCs w:val="22"/>
          <w:lang w:val="en-US"/>
        </w:rPr>
        <w:t>tarafından</w:t>
      </w:r>
      <w:proofErr w:type="spellEnd"/>
      <w:r w:rsidRPr="001F224B">
        <w:rPr>
          <w:sz w:val="22"/>
          <w:szCs w:val="22"/>
          <w:lang w:val="en-US"/>
        </w:rPr>
        <w:t xml:space="preserve"> </w:t>
      </w:r>
      <w:proofErr w:type="spellStart"/>
      <w:r w:rsidRPr="001F224B">
        <w:rPr>
          <w:sz w:val="22"/>
          <w:szCs w:val="22"/>
          <w:lang w:val="en-US"/>
        </w:rPr>
        <w:t>onaylanmış</w:t>
      </w:r>
      <w:proofErr w:type="spellEnd"/>
      <w:r w:rsidRPr="001F224B">
        <w:rPr>
          <w:sz w:val="22"/>
          <w:szCs w:val="22"/>
          <w:lang w:val="en-US"/>
        </w:rPr>
        <w:t xml:space="preserve"> risk </w:t>
      </w:r>
      <w:proofErr w:type="spellStart"/>
      <w:r w:rsidRPr="001F224B">
        <w:rPr>
          <w:sz w:val="22"/>
          <w:szCs w:val="22"/>
          <w:lang w:val="en-US"/>
        </w:rPr>
        <w:t>limitleri</w:t>
      </w:r>
      <w:proofErr w:type="spellEnd"/>
      <w:r w:rsidRPr="001F224B">
        <w:rPr>
          <w:sz w:val="22"/>
          <w:szCs w:val="22"/>
          <w:lang w:val="en-US"/>
        </w:rPr>
        <w:t xml:space="preserve"> </w:t>
      </w:r>
      <w:proofErr w:type="spellStart"/>
      <w:r w:rsidRPr="001F224B">
        <w:rPr>
          <w:sz w:val="22"/>
          <w:szCs w:val="22"/>
          <w:lang w:val="en-US"/>
        </w:rPr>
        <w:t>kullanılmakta</w:t>
      </w:r>
      <w:proofErr w:type="spellEnd"/>
      <w:r w:rsidRPr="001F224B">
        <w:rPr>
          <w:sz w:val="22"/>
          <w:szCs w:val="22"/>
          <w:lang w:val="en-US"/>
        </w:rPr>
        <w:t xml:space="preserve">, </w:t>
      </w:r>
      <w:r w:rsidR="00A96577" w:rsidRPr="001F224B">
        <w:rPr>
          <w:rFonts w:eastAsia="Arial Unicode MS"/>
          <w:color w:val="000000" w:themeColor="text1"/>
          <w:sz w:val="22"/>
          <w:szCs w:val="22"/>
          <w:lang w:eastAsia="en-US"/>
        </w:rPr>
        <w:t xml:space="preserve">Ana Ortaklık </w:t>
      </w:r>
      <w:proofErr w:type="spellStart"/>
      <w:r w:rsidRPr="001F224B">
        <w:rPr>
          <w:sz w:val="22"/>
          <w:szCs w:val="22"/>
          <w:lang w:val="en-US"/>
        </w:rPr>
        <w:t>Banka’nın</w:t>
      </w:r>
      <w:proofErr w:type="spellEnd"/>
      <w:r w:rsidRPr="001F224B">
        <w:rPr>
          <w:sz w:val="22"/>
          <w:szCs w:val="22"/>
          <w:lang w:val="en-US"/>
        </w:rPr>
        <w:t xml:space="preserve"> </w:t>
      </w:r>
      <w:proofErr w:type="spellStart"/>
      <w:r w:rsidRPr="001F224B">
        <w:rPr>
          <w:sz w:val="22"/>
          <w:szCs w:val="22"/>
          <w:lang w:val="en-US"/>
        </w:rPr>
        <w:t>faize</w:t>
      </w:r>
      <w:proofErr w:type="spellEnd"/>
      <w:r w:rsidRPr="001F224B">
        <w:rPr>
          <w:sz w:val="22"/>
          <w:szCs w:val="22"/>
          <w:lang w:val="en-US"/>
        </w:rPr>
        <w:t xml:space="preserve"> </w:t>
      </w:r>
      <w:proofErr w:type="spellStart"/>
      <w:r w:rsidRPr="001F224B">
        <w:rPr>
          <w:sz w:val="22"/>
          <w:szCs w:val="22"/>
          <w:lang w:val="en-US"/>
        </w:rPr>
        <w:t>duyarlı</w:t>
      </w:r>
      <w:proofErr w:type="spellEnd"/>
      <w:r w:rsidRPr="001F224B">
        <w:rPr>
          <w:sz w:val="22"/>
          <w:szCs w:val="22"/>
          <w:lang w:val="en-US"/>
        </w:rPr>
        <w:t xml:space="preserve"> </w:t>
      </w:r>
      <w:proofErr w:type="spellStart"/>
      <w:r w:rsidRPr="001F224B">
        <w:rPr>
          <w:sz w:val="22"/>
          <w:szCs w:val="22"/>
          <w:lang w:val="en-US"/>
        </w:rPr>
        <w:t>varlıklarının</w:t>
      </w:r>
      <w:proofErr w:type="spellEnd"/>
      <w:r w:rsidRPr="001F224B">
        <w:rPr>
          <w:sz w:val="22"/>
          <w:szCs w:val="22"/>
          <w:lang w:val="en-US"/>
        </w:rPr>
        <w:t xml:space="preserve"> </w:t>
      </w:r>
      <w:proofErr w:type="spellStart"/>
      <w:r w:rsidRPr="001F224B">
        <w:rPr>
          <w:sz w:val="22"/>
          <w:szCs w:val="22"/>
          <w:lang w:val="en-US"/>
        </w:rPr>
        <w:t>limitler</w:t>
      </w:r>
      <w:proofErr w:type="spellEnd"/>
      <w:r w:rsidRPr="001F224B">
        <w:rPr>
          <w:sz w:val="22"/>
          <w:szCs w:val="22"/>
          <w:lang w:val="en-US"/>
        </w:rPr>
        <w:t xml:space="preserve"> </w:t>
      </w:r>
      <w:proofErr w:type="spellStart"/>
      <w:r w:rsidRPr="001F224B">
        <w:rPr>
          <w:sz w:val="22"/>
          <w:szCs w:val="22"/>
          <w:lang w:val="en-US"/>
        </w:rPr>
        <w:t>dahilinde</w:t>
      </w:r>
      <w:proofErr w:type="spellEnd"/>
      <w:r w:rsidRPr="001F224B">
        <w:rPr>
          <w:sz w:val="22"/>
          <w:szCs w:val="22"/>
          <w:lang w:val="en-US"/>
        </w:rPr>
        <w:t xml:space="preserve"> </w:t>
      </w:r>
      <w:proofErr w:type="spellStart"/>
      <w:r w:rsidRPr="001F224B">
        <w:rPr>
          <w:sz w:val="22"/>
          <w:szCs w:val="22"/>
          <w:lang w:val="en-US"/>
        </w:rPr>
        <w:t>olup</w:t>
      </w:r>
      <w:proofErr w:type="spellEnd"/>
      <w:r w:rsidRPr="001F224B">
        <w:rPr>
          <w:sz w:val="22"/>
          <w:szCs w:val="22"/>
          <w:lang w:val="en-US"/>
        </w:rPr>
        <w:t xml:space="preserve"> </w:t>
      </w:r>
      <w:proofErr w:type="spellStart"/>
      <w:r w:rsidRPr="001F224B">
        <w:rPr>
          <w:sz w:val="22"/>
          <w:szCs w:val="22"/>
          <w:lang w:val="en-US"/>
        </w:rPr>
        <w:t>olmadığı</w:t>
      </w:r>
      <w:proofErr w:type="spellEnd"/>
      <w:r w:rsidRPr="001F224B">
        <w:rPr>
          <w:sz w:val="22"/>
          <w:szCs w:val="22"/>
          <w:lang w:val="en-US"/>
        </w:rPr>
        <w:t xml:space="preserve"> </w:t>
      </w:r>
      <w:proofErr w:type="spellStart"/>
      <w:r w:rsidRPr="001F224B">
        <w:rPr>
          <w:sz w:val="22"/>
          <w:szCs w:val="22"/>
          <w:lang w:val="en-US"/>
        </w:rPr>
        <w:t>izlenmekte</w:t>
      </w:r>
      <w:proofErr w:type="spellEnd"/>
      <w:r w:rsidRPr="001F224B">
        <w:rPr>
          <w:sz w:val="22"/>
          <w:szCs w:val="22"/>
          <w:lang w:val="en-US"/>
        </w:rPr>
        <w:t xml:space="preserve"> ve kontrol </w:t>
      </w:r>
      <w:proofErr w:type="spellStart"/>
      <w:r w:rsidRPr="001F224B">
        <w:rPr>
          <w:sz w:val="22"/>
          <w:szCs w:val="22"/>
          <w:lang w:val="en-US"/>
        </w:rPr>
        <w:t>edilmektedir</w:t>
      </w:r>
      <w:proofErr w:type="spellEnd"/>
      <w:r w:rsidRPr="001F224B">
        <w:rPr>
          <w:sz w:val="22"/>
          <w:szCs w:val="22"/>
          <w:lang w:val="en-US"/>
        </w:rPr>
        <w:t>.</w:t>
      </w:r>
      <w:r w:rsidR="007520A7" w:rsidRPr="001F224B">
        <w:rPr>
          <w:sz w:val="22"/>
          <w:szCs w:val="22"/>
          <w:lang w:val="en-US"/>
        </w:rPr>
        <w:t xml:space="preserve">  </w:t>
      </w:r>
    </w:p>
    <w:p w14:paraId="7573ABE3" w14:textId="77777777" w:rsidR="00BC669C" w:rsidRPr="001F224B" w:rsidRDefault="00A96577" w:rsidP="005514FC">
      <w:pPr>
        <w:spacing w:before="120"/>
        <w:ind w:left="567"/>
        <w:jc w:val="both"/>
        <w:rPr>
          <w:sz w:val="22"/>
          <w:szCs w:val="22"/>
        </w:rPr>
        <w:sectPr w:rsidR="00BC669C" w:rsidRPr="001F224B" w:rsidSect="004B312F">
          <w:footerReference w:type="first" r:id="rId100"/>
          <w:pgSz w:w="11907" w:h="16840" w:code="9"/>
          <w:pgMar w:top="680" w:right="964" w:bottom="567" w:left="1134" w:header="624" w:footer="397" w:gutter="0"/>
          <w:cols w:space="708"/>
          <w:titlePg/>
          <w:docGrid w:linePitch="326"/>
        </w:sectPr>
      </w:pPr>
      <w:r w:rsidRPr="001F224B">
        <w:rPr>
          <w:rFonts w:eastAsia="Arial Unicode MS"/>
          <w:color w:val="000000" w:themeColor="text1"/>
          <w:sz w:val="22"/>
          <w:szCs w:val="22"/>
          <w:lang w:eastAsia="en-US"/>
        </w:rPr>
        <w:t xml:space="preserve">Ana Ortaklık </w:t>
      </w:r>
      <w:r w:rsidR="007520A7" w:rsidRPr="001F224B">
        <w:rPr>
          <w:sz w:val="22"/>
          <w:szCs w:val="22"/>
        </w:rPr>
        <w:t>Banka</w:t>
      </w:r>
      <w:r w:rsidR="008C3642" w:rsidRPr="001F224B">
        <w:rPr>
          <w:sz w:val="22"/>
          <w:szCs w:val="22"/>
        </w:rPr>
        <w:t>’</w:t>
      </w:r>
      <w:r w:rsidR="007520A7" w:rsidRPr="001F224B">
        <w:rPr>
          <w:sz w:val="22"/>
          <w:szCs w:val="22"/>
        </w:rPr>
        <w:t xml:space="preserve">nın menkul kıymet portföy yönetiminde piyasa faiz oranlarındaki değişimin, </w:t>
      </w:r>
      <w:r w:rsidRPr="001F224B">
        <w:rPr>
          <w:rFonts w:eastAsia="Arial Unicode MS"/>
          <w:color w:val="000000" w:themeColor="text1"/>
          <w:sz w:val="22"/>
          <w:szCs w:val="22"/>
          <w:lang w:eastAsia="en-US"/>
        </w:rPr>
        <w:t xml:space="preserve">Ana Ortaklık </w:t>
      </w:r>
      <w:r w:rsidR="007520A7" w:rsidRPr="001F224B">
        <w:rPr>
          <w:sz w:val="22"/>
          <w:szCs w:val="22"/>
        </w:rPr>
        <w:t>Banka</w:t>
      </w:r>
      <w:r w:rsidR="008C3642" w:rsidRPr="001F224B">
        <w:rPr>
          <w:sz w:val="22"/>
          <w:szCs w:val="22"/>
        </w:rPr>
        <w:t>’</w:t>
      </w:r>
      <w:r w:rsidR="007520A7" w:rsidRPr="001F224B">
        <w:rPr>
          <w:sz w:val="22"/>
          <w:szCs w:val="22"/>
        </w:rPr>
        <w:t>nın finansal yapısında olumsuz etkiler ortaya çıkarma ihtimalini minimize etmek için menkul kıymet portföyünün düzeltilmiş süresi üzerine ve menkul kıymet portföyünün ortaya çıkabilecek günlük zarar miktarı üzerine limitler tesis edilmiştir.</w:t>
      </w:r>
    </w:p>
    <w:p w14:paraId="71961D5F" w14:textId="77777777" w:rsidR="00EF4E61" w:rsidRPr="001F224B" w:rsidRDefault="00EF4E61" w:rsidP="00EF4E61">
      <w:pPr>
        <w:pStyle w:val="ListParagraph"/>
        <w:tabs>
          <w:tab w:val="left" w:pos="0"/>
        </w:tabs>
        <w:spacing w:before="120"/>
        <w:ind w:left="0"/>
        <w:rPr>
          <w:b/>
          <w:bCs/>
          <w:sz w:val="22"/>
          <w:szCs w:val="22"/>
        </w:rPr>
      </w:pPr>
      <w:r w:rsidRPr="001F224B">
        <w:rPr>
          <w:b/>
          <w:bCs/>
          <w:sz w:val="22"/>
          <w:szCs w:val="22"/>
        </w:rPr>
        <w:t>DÖRDÜNCÜ BÖLÜM (Devamı)</w:t>
      </w:r>
    </w:p>
    <w:p w14:paraId="26F1B3BC" w14:textId="0FDCB546" w:rsidR="00EF4E61" w:rsidRPr="001F224B" w:rsidRDefault="00EF6E83" w:rsidP="00EF4E61">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EF4E61" w:rsidRPr="001F224B">
        <w:rPr>
          <w:b/>
          <w:bCs/>
          <w:sz w:val="22"/>
          <w:szCs w:val="22"/>
        </w:rPr>
        <w:t>(Devamı)</w:t>
      </w:r>
    </w:p>
    <w:p w14:paraId="2188EE45" w14:textId="41736BC0" w:rsidR="0085316A" w:rsidRPr="001F224B" w:rsidRDefault="00570F30" w:rsidP="00A94B61">
      <w:pPr>
        <w:pStyle w:val="Heading2"/>
        <w:numPr>
          <w:ilvl w:val="0"/>
          <w:numId w:val="0"/>
        </w:numPr>
        <w:tabs>
          <w:tab w:val="left" w:pos="567"/>
        </w:tabs>
        <w:spacing w:before="0"/>
        <w:jc w:val="both"/>
        <w:rPr>
          <w:rFonts w:ascii="Times New Roman" w:hAnsi="Times New Roman"/>
          <w:i w:val="0"/>
          <w:sz w:val="22"/>
          <w:szCs w:val="22"/>
        </w:rPr>
      </w:pPr>
      <w:r w:rsidRPr="001F224B">
        <w:rPr>
          <w:rFonts w:ascii="Times New Roman" w:eastAsia="Arial Unicode MS" w:hAnsi="Times New Roman"/>
          <w:bCs w:val="0"/>
          <w:i w:val="0"/>
          <w:sz w:val="22"/>
          <w:szCs w:val="22"/>
        </w:rPr>
        <w:t>Ⅲ</w:t>
      </w:r>
      <w:r w:rsidR="00F034E4" w:rsidRPr="001F224B">
        <w:rPr>
          <w:rFonts w:ascii="Times New Roman" w:eastAsia="Arial Unicode MS" w:hAnsi="Times New Roman"/>
          <w:bCs w:val="0"/>
          <w:i w:val="0"/>
          <w:sz w:val="22"/>
          <w:szCs w:val="22"/>
        </w:rPr>
        <w:t>.</w:t>
      </w:r>
      <w:r w:rsidR="0085316A" w:rsidRPr="001F224B">
        <w:rPr>
          <w:rFonts w:ascii="Times New Roman" w:eastAsia="Arial Unicode MS" w:hAnsi="Times New Roman"/>
          <w:bCs w:val="0"/>
          <w:i w:val="0"/>
          <w:sz w:val="22"/>
          <w:szCs w:val="22"/>
        </w:rPr>
        <w:tab/>
      </w:r>
      <w:r w:rsidR="00A96577" w:rsidRPr="001F224B">
        <w:rPr>
          <w:rFonts w:ascii="Times New Roman" w:eastAsia="Arial Unicode MS" w:hAnsi="Times New Roman"/>
          <w:bCs w:val="0"/>
          <w:i w:val="0"/>
          <w:sz w:val="22"/>
          <w:szCs w:val="22"/>
        </w:rPr>
        <w:t xml:space="preserve">Konsolide </w:t>
      </w:r>
      <w:r w:rsidR="00A96577" w:rsidRPr="001F224B">
        <w:rPr>
          <w:rFonts w:ascii="Times New Roman" w:hAnsi="Times New Roman"/>
          <w:i w:val="0"/>
          <w:sz w:val="22"/>
          <w:szCs w:val="22"/>
        </w:rPr>
        <w:t>f</w:t>
      </w:r>
      <w:r w:rsidR="0085316A" w:rsidRPr="001F224B">
        <w:rPr>
          <w:rFonts w:ascii="Times New Roman" w:hAnsi="Times New Roman"/>
          <w:i w:val="0"/>
          <w:sz w:val="22"/>
          <w:szCs w:val="22"/>
        </w:rPr>
        <w:t>aiz ora</w:t>
      </w:r>
      <w:r w:rsidR="00DA1AD8" w:rsidRPr="001F224B">
        <w:rPr>
          <w:rFonts w:ascii="Times New Roman" w:hAnsi="Times New Roman"/>
          <w:i w:val="0"/>
          <w:sz w:val="22"/>
          <w:szCs w:val="22"/>
        </w:rPr>
        <w:t>nı riskine ilişkin açıklamalar</w:t>
      </w:r>
      <w:r w:rsidR="000A12E8" w:rsidRPr="001F224B">
        <w:rPr>
          <w:rFonts w:ascii="Times New Roman" w:hAnsi="Times New Roman"/>
          <w:i w:val="0"/>
          <w:sz w:val="22"/>
          <w:szCs w:val="22"/>
        </w:rPr>
        <w:t xml:space="preserve"> </w:t>
      </w:r>
      <w:r w:rsidR="00DA1AD8" w:rsidRPr="001F224B">
        <w:rPr>
          <w:rFonts w:ascii="Times New Roman" w:hAnsi="Times New Roman"/>
          <w:i w:val="0"/>
          <w:sz w:val="22"/>
          <w:szCs w:val="22"/>
        </w:rPr>
        <w:t>(D</w:t>
      </w:r>
      <w:r w:rsidR="0085316A" w:rsidRPr="001F224B">
        <w:rPr>
          <w:rFonts w:ascii="Times New Roman" w:hAnsi="Times New Roman"/>
          <w:i w:val="0"/>
          <w:sz w:val="22"/>
          <w:szCs w:val="22"/>
        </w:rPr>
        <w:t>evamı)</w:t>
      </w:r>
    </w:p>
    <w:p w14:paraId="41BDD410" w14:textId="77777777" w:rsidR="004558B2" w:rsidRPr="001F224B" w:rsidRDefault="00A96577" w:rsidP="003A6D3D">
      <w:pPr>
        <w:spacing w:before="120"/>
        <w:ind w:left="567"/>
        <w:jc w:val="both"/>
        <w:rPr>
          <w:i/>
          <w:sz w:val="22"/>
          <w:szCs w:val="22"/>
        </w:rPr>
      </w:pPr>
      <w:r w:rsidRPr="001F224B">
        <w:rPr>
          <w:rFonts w:eastAsia="Arial Unicode MS"/>
          <w:color w:val="000000" w:themeColor="text1"/>
          <w:sz w:val="22"/>
          <w:szCs w:val="22"/>
          <w:lang w:eastAsia="en-US"/>
        </w:rPr>
        <w:t xml:space="preserve">Ana Ortaklık </w:t>
      </w:r>
      <w:r w:rsidR="007520A7" w:rsidRPr="001F224B">
        <w:rPr>
          <w:sz w:val="22"/>
          <w:szCs w:val="22"/>
        </w:rPr>
        <w:t>Banka</w:t>
      </w:r>
      <w:r w:rsidR="008C3642" w:rsidRPr="001F224B">
        <w:rPr>
          <w:sz w:val="22"/>
          <w:szCs w:val="22"/>
        </w:rPr>
        <w:t>’</w:t>
      </w:r>
      <w:r w:rsidR="007520A7" w:rsidRPr="001F224B">
        <w:rPr>
          <w:sz w:val="22"/>
          <w:szCs w:val="22"/>
        </w:rPr>
        <w:t xml:space="preserve">da </w:t>
      </w:r>
      <w:r w:rsidR="004558B2" w:rsidRPr="001F224B">
        <w:rPr>
          <w:sz w:val="22"/>
          <w:szCs w:val="22"/>
        </w:rPr>
        <w:t>faiz oranına ilişkin limitler kapsamında BHFoR erken uyarı limiti de bankacılık hesaplarından kaynaklanan faiz oranı riskinin standart şok yöntemiyle ölçülmesine ve değerlendirilmesine ilişkin olarak BDDK tarafından %20 olarak belirlenmiş olan “Bankacılık Hesaplarından Kaynaklanan Faiz Oranı Riski Standart Rasyosu” yasal oranı baz alınarak, daha temkinli bir yaklaşımla belirlenmiştir.</w:t>
      </w:r>
    </w:p>
    <w:p w14:paraId="2A7D3D36" w14:textId="77777777" w:rsidR="004558B2" w:rsidRPr="001F224B" w:rsidRDefault="004558B2" w:rsidP="004558B2">
      <w:pPr>
        <w:spacing w:before="120" w:after="120"/>
        <w:ind w:left="567"/>
        <w:jc w:val="both"/>
        <w:rPr>
          <w:b/>
          <w:bCs/>
          <w:noProof/>
          <w:sz w:val="22"/>
          <w:szCs w:val="22"/>
        </w:rPr>
      </w:pPr>
      <w:r w:rsidRPr="001F224B">
        <w:rPr>
          <w:bCs/>
          <w:noProof/>
          <w:sz w:val="22"/>
          <w:szCs w:val="22"/>
        </w:rPr>
        <w:t>Varlıkların, yükümlülüklerin ve nazım hesap kalemlerinin faize duyarlılığı</w:t>
      </w:r>
      <w:r w:rsidRPr="001F224B">
        <w:rPr>
          <w:noProof/>
          <w:sz w:val="22"/>
          <w:szCs w:val="22"/>
        </w:rPr>
        <w:t xml:space="preserve"> </w:t>
      </w:r>
      <w:r w:rsidRPr="001F224B">
        <w:rPr>
          <w:bCs/>
          <w:noProof/>
          <w:sz w:val="22"/>
          <w:szCs w:val="22"/>
        </w:rPr>
        <w:t>(yeniden fiyatlandırmaya kalan süreler itibarıyla):</w:t>
      </w:r>
      <w:r w:rsidRPr="001F224B">
        <w:rPr>
          <w:noProof/>
          <w:sz w:val="22"/>
          <w:szCs w:val="22"/>
        </w:rPr>
        <w:t xml:space="preserve"> </w:t>
      </w:r>
    </w:p>
    <w:tbl>
      <w:tblPr>
        <w:tblW w:w="10519" w:type="dxa"/>
        <w:tblInd w:w="-5" w:type="dxa"/>
        <w:tblLayout w:type="fixed"/>
        <w:tblCellMar>
          <w:left w:w="70" w:type="dxa"/>
          <w:right w:w="70" w:type="dxa"/>
        </w:tblCellMar>
        <w:tblLook w:val="00A0" w:firstRow="1" w:lastRow="0" w:firstColumn="1" w:lastColumn="0" w:noHBand="0" w:noVBand="0"/>
      </w:tblPr>
      <w:tblGrid>
        <w:gridCol w:w="3738"/>
        <w:gridCol w:w="868"/>
        <w:gridCol w:w="923"/>
        <w:gridCol w:w="1019"/>
        <w:gridCol w:w="974"/>
        <w:gridCol w:w="993"/>
        <w:gridCol w:w="1010"/>
        <w:gridCol w:w="994"/>
      </w:tblGrid>
      <w:tr w:rsidR="001C7875" w:rsidRPr="001F224B" w14:paraId="05EAAEF7" w14:textId="77777777" w:rsidTr="00A96318">
        <w:trPr>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763211FE" w14:textId="4B904A80" w:rsidR="001C7875" w:rsidRPr="001F224B" w:rsidRDefault="005C0315" w:rsidP="00C8305E">
            <w:pPr>
              <w:rPr>
                <w:rFonts w:asciiTheme="majorBidi" w:hAnsiTheme="majorBidi" w:cstheme="majorBidi"/>
                <w:b/>
                <w:bCs/>
                <w:sz w:val="18"/>
                <w:szCs w:val="18"/>
              </w:rPr>
            </w:pPr>
            <w:bookmarkStart w:id="22" w:name="_Hlk133393086"/>
            <w:r w:rsidRPr="001F224B">
              <w:rPr>
                <w:rFonts w:asciiTheme="majorBidi" w:hAnsiTheme="majorBidi" w:cstheme="majorBidi"/>
                <w:b/>
                <w:bCs/>
                <w:sz w:val="18"/>
                <w:szCs w:val="18"/>
              </w:rPr>
              <w:t>Cari Dönem Sonu (3</w:t>
            </w:r>
            <w:r w:rsidR="007C7418" w:rsidRPr="001F224B">
              <w:rPr>
                <w:rFonts w:asciiTheme="majorBidi" w:hAnsiTheme="majorBidi" w:cstheme="majorBidi"/>
                <w:b/>
                <w:bCs/>
                <w:sz w:val="18"/>
                <w:szCs w:val="18"/>
              </w:rPr>
              <w:t>0</w:t>
            </w:r>
            <w:r w:rsidRPr="001F224B">
              <w:rPr>
                <w:rFonts w:asciiTheme="majorBidi" w:hAnsiTheme="majorBidi" w:cstheme="majorBidi"/>
                <w:b/>
                <w:bCs/>
                <w:sz w:val="18"/>
                <w:szCs w:val="18"/>
              </w:rPr>
              <w:t>.0</w:t>
            </w:r>
            <w:r w:rsidR="007C7418" w:rsidRPr="001F224B">
              <w:rPr>
                <w:rFonts w:asciiTheme="majorBidi" w:hAnsiTheme="majorBidi" w:cstheme="majorBidi"/>
                <w:b/>
                <w:bCs/>
                <w:sz w:val="18"/>
                <w:szCs w:val="18"/>
              </w:rPr>
              <w:t>6</w:t>
            </w:r>
            <w:r w:rsidRPr="001F224B">
              <w:rPr>
                <w:rFonts w:asciiTheme="majorBidi" w:hAnsiTheme="majorBidi" w:cstheme="majorBidi"/>
                <w:b/>
                <w:bCs/>
                <w:sz w:val="18"/>
                <w:szCs w:val="18"/>
              </w:rPr>
              <w:t>.2025)</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79E92DBD"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1 Aya Kadar</w:t>
            </w:r>
          </w:p>
        </w:tc>
        <w:tc>
          <w:tcPr>
            <w:tcW w:w="923" w:type="dxa"/>
            <w:tcBorders>
              <w:top w:val="single" w:sz="4" w:space="0" w:color="auto"/>
              <w:left w:val="nil"/>
              <w:bottom w:val="single" w:sz="4" w:space="0" w:color="auto"/>
              <w:right w:val="single" w:sz="4" w:space="0" w:color="auto"/>
            </w:tcBorders>
            <w:shd w:val="clear" w:color="000000" w:fill="FFFFFF"/>
            <w:vAlign w:val="bottom"/>
          </w:tcPr>
          <w:p w14:paraId="018C9E3B"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0A9EE693"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D003E2B"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5D5DAF67"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6E1EF851"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3529212E" w14:textId="77777777" w:rsidR="001C7875" w:rsidRPr="001F224B" w:rsidRDefault="001C7875" w:rsidP="00C8305E">
            <w:pPr>
              <w:jc w:val="center"/>
              <w:rPr>
                <w:rFonts w:asciiTheme="majorBidi" w:hAnsiTheme="majorBidi" w:cstheme="majorBidi"/>
                <w:b/>
                <w:bCs/>
                <w:sz w:val="18"/>
                <w:szCs w:val="18"/>
              </w:rPr>
            </w:pPr>
            <w:r w:rsidRPr="001F224B">
              <w:rPr>
                <w:rFonts w:asciiTheme="majorBidi" w:hAnsiTheme="majorBidi" w:cstheme="majorBidi"/>
                <w:b/>
                <w:bCs/>
                <w:sz w:val="18"/>
                <w:szCs w:val="18"/>
              </w:rPr>
              <w:t>Toplam</w:t>
            </w:r>
          </w:p>
        </w:tc>
      </w:tr>
      <w:tr w:rsidR="001C7875" w:rsidRPr="001F224B" w14:paraId="7B8A5AD1" w14:textId="77777777" w:rsidTr="00A96318">
        <w:trPr>
          <w:trHeight w:val="99"/>
        </w:trPr>
        <w:tc>
          <w:tcPr>
            <w:tcW w:w="3738" w:type="dxa"/>
            <w:tcBorders>
              <w:top w:val="nil"/>
              <w:left w:val="single" w:sz="4" w:space="0" w:color="auto"/>
              <w:bottom w:val="single" w:sz="4" w:space="0" w:color="auto"/>
              <w:right w:val="single" w:sz="4" w:space="0" w:color="auto"/>
            </w:tcBorders>
            <w:shd w:val="clear" w:color="000000" w:fill="FFFFFF"/>
            <w:vAlign w:val="bottom"/>
          </w:tcPr>
          <w:p w14:paraId="1746F7A0" w14:textId="228B9D84" w:rsidR="001C7875" w:rsidRPr="001F224B" w:rsidRDefault="00116366" w:rsidP="00C8305E">
            <w:pPr>
              <w:rPr>
                <w:rFonts w:asciiTheme="majorBidi" w:hAnsiTheme="majorBidi" w:cstheme="majorBidi"/>
                <w:sz w:val="18"/>
                <w:szCs w:val="18"/>
              </w:rPr>
            </w:pPr>
            <w:r w:rsidRPr="001F224B">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189669F4" w14:textId="77777777" w:rsidR="001C7875" w:rsidRPr="001F224B" w:rsidRDefault="001C7875" w:rsidP="00C8305E">
            <w:pPr>
              <w:jc w:val="right"/>
              <w:rPr>
                <w:sz w:val="16"/>
                <w:szCs w:val="16"/>
              </w:rPr>
            </w:pPr>
          </w:p>
        </w:tc>
        <w:tc>
          <w:tcPr>
            <w:tcW w:w="923" w:type="dxa"/>
            <w:tcBorders>
              <w:top w:val="nil"/>
              <w:left w:val="nil"/>
              <w:bottom w:val="single" w:sz="4" w:space="0" w:color="auto"/>
              <w:right w:val="single" w:sz="4" w:space="0" w:color="auto"/>
            </w:tcBorders>
            <w:shd w:val="clear" w:color="000000" w:fill="FFFFFF"/>
            <w:vAlign w:val="bottom"/>
          </w:tcPr>
          <w:p w14:paraId="5D6B6B4A" w14:textId="77777777" w:rsidR="001C7875" w:rsidRPr="001F224B" w:rsidRDefault="001C7875" w:rsidP="00C8305E">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7CFFD1D1" w14:textId="77777777" w:rsidR="001C7875" w:rsidRPr="001F224B" w:rsidRDefault="001C7875" w:rsidP="00C8305E">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7D213A41" w14:textId="77777777" w:rsidR="001C7875" w:rsidRPr="001F224B" w:rsidRDefault="001C7875" w:rsidP="00C8305E">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EC4CF36" w14:textId="77777777" w:rsidR="001C7875" w:rsidRPr="001F224B" w:rsidRDefault="001C7875" w:rsidP="00C8305E">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5F4E57B5" w14:textId="77777777" w:rsidR="001C7875" w:rsidRPr="001F224B" w:rsidRDefault="001C7875" w:rsidP="00C8305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5B8795CA" w14:textId="77777777" w:rsidR="001C7875" w:rsidRPr="001F224B" w:rsidRDefault="001C7875" w:rsidP="00C8305E">
            <w:pPr>
              <w:jc w:val="right"/>
              <w:rPr>
                <w:sz w:val="16"/>
                <w:szCs w:val="16"/>
              </w:rPr>
            </w:pPr>
          </w:p>
        </w:tc>
      </w:tr>
      <w:tr w:rsidR="00B81140" w:rsidRPr="001F224B" w14:paraId="40719992"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CB0E79" w14:textId="77777777" w:rsidR="00B81140" w:rsidRPr="001F224B" w:rsidRDefault="00B81140" w:rsidP="00B81140">
            <w:pPr>
              <w:ind w:left="356" w:right="-65"/>
              <w:rPr>
                <w:rFonts w:asciiTheme="majorBidi" w:hAnsiTheme="majorBidi" w:cstheme="majorBidi"/>
                <w:sz w:val="18"/>
                <w:szCs w:val="18"/>
              </w:rPr>
            </w:pPr>
            <w:r w:rsidRPr="001F224B">
              <w:rPr>
                <w:rFonts w:asciiTheme="majorBidi" w:hAnsiTheme="majorBidi" w:cstheme="majorBidi"/>
                <w:sz w:val="18"/>
                <w:szCs w:val="18"/>
              </w:rPr>
              <w:t xml:space="preserve">Nakit Değerler (Kasa, Efektif Deposu, Yoldaki Paralar, Satın Alınan Çekler) ve TCMB </w:t>
            </w:r>
            <w:r w:rsidRPr="001F224B">
              <w:rPr>
                <w:rFonts w:asciiTheme="majorBidi" w:hAnsiTheme="majorBidi" w:cstheme="majorBidi"/>
                <w:sz w:val="18"/>
                <w:szCs w:val="18"/>
                <w:vertAlign w:val="superscript"/>
              </w:rPr>
              <w:t>(1)</w:t>
            </w:r>
          </w:p>
        </w:tc>
        <w:tc>
          <w:tcPr>
            <w:tcW w:w="868" w:type="dxa"/>
            <w:tcBorders>
              <w:top w:val="single" w:sz="4" w:space="0" w:color="auto"/>
              <w:left w:val="nil"/>
              <w:bottom w:val="single" w:sz="4" w:space="0" w:color="auto"/>
              <w:right w:val="single" w:sz="4" w:space="0" w:color="auto"/>
            </w:tcBorders>
            <w:shd w:val="clear" w:color="auto" w:fill="auto"/>
            <w:vAlign w:val="bottom"/>
          </w:tcPr>
          <w:p w14:paraId="59F6E5E3" w14:textId="7F32DE11" w:rsidR="00B81140" w:rsidRPr="001F224B" w:rsidRDefault="00B81140" w:rsidP="00B81140">
            <w:pPr>
              <w:jc w:val="right"/>
              <w:rPr>
                <w:sz w:val="16"/>
                <w:szCs w:val="16"/>
              </w:rPr>
            </w:pPr>
            <w:r w:rsidRPr="001F224B">
              <w:rPr>
                <w:sz w:val="16"/>
                <w:szCs w:val="16"/>
              </w:rPr>
              <w:t xml:space="preserve"> -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6FDE1C90" w14:textId="4EC3F4F3" w:rsidR="00B81140" w:rsidRPr="001F224B" w:rsidRDefault="00B81140" w:rsidP="00B81140">
            <w:pPr>
              <w:jc w:val="right"/>
              <w:rPr>
                <w:sz w:val="16"/>
                <w:szCs w:val="16"/>
              </w:rPr>
            </w:pPr>
            <w:r w:rsidRPr="001F224B">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36FABE1E" w14:textId="5A304287" w:rsidR="00B81140" w:rsidRPr="001F224B" w:rsidRDefault="00B81140" w:rsidP="00B81140">
            <w:pPr>
              <w:jc w:val="right"/>
              <w:rPr>
                <w:sz w:val="16"/>
                <w:szCs w:val="16"/>
              </w:rPr>
            </w:pPr>
            <w:r w:rsidRPr="001F224B">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4C5C5DD7" w14:textId="0F471494" w:rsidR="00B81140" w:rsidRPr="001F224B" w:rsidRDefault="00B81140" w:rsidP="00B81140">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E88CBE3" w14:textId="0702C0FC" w:rsidR="00B81140" w:rsidRPr="001F224B" w:rsidRDefault="00B81140" w:rsidP="00B81140">
            <w:pPr>
              <w:jc w:val="right"/>
              <w:rPr>
                <w:sz w:val="16"/>
                <w:szCs w:val="16"/>
              </w:rPr>
            </w:pPr>
            <w:r w:rsidRPr="001F224B">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1028195" w14:textId="456576CA" w:rsidR="00B81140" w:rsidRPr="001F224B" w:rsidRDefault="00B81140" w:rsidP="00B81140">
            <w:pPr>
              <w:jc w:val="right"/>
              <w:rPr>
                <w:sz w:val="16"/>
                <w:szCs w:val="16"/>
              </w:rPr>
            </w:pPr>
            <w:r w:rsidRPr="001F224B">
              <w:rPr>
                <w:sz w:val="16"/>
                <w:szCs w:val="16"/>
              </w:rPr>
              <w:t xml:space="preserve"> 1.670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831FADC" w14:textId="4D46FAB8" w:rsidR="00B81140" w:rsidRPr="001F224B" w:rsidRDefault="00B81140" w:rsidP="00B81140">
            <w:pPr>
              <w:jc w:val="right"/>
              <w:rPr>
                <w:sz w:val="16"/>
                <w:szCs w:val="16"/>
              </w:rPr>
            </w:pPr>
            <w:r w:rsidRPr="001F224B">
              <w:rPr>
                <w:sz w:val="16"/>
                <w:szCs w:val="16"/>
              </w:rPr>
              <w:t>1.670</w:t>
            </w:r>
          </w:p>
        </w:tc>
      </w:tr>
      <w:tr w:rsidR="00B81140" w:rsidRPr="001F224B" w14:paraId="4C448CE9"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6F6BDF5" w14:textId="3CF6F471" w:rsidR="00B81140" w:rsidRPr="001F224B" w:rsidRDefault="00B81140" w:rsidP="00B81140">
            <w:pPr>
              <w:ind w:left="356" w:right="-65"/>
              <w:rPr>
                <w:rFonts w:asciiTheme="majorBidi" w:hAnsiTheme="majorBidi" w:cstheme="majorBidi"/>
                <w:sz w:val="18"/>
                <w:szCs w:val="18"/>
              </w:rPr>
            </w:pPr>
            <w:r w:rsidRPr="001F224B">
              <w:rPr>
                <w:rFonts w:asciiTheme="majorBidi" w:hAnsiTheme="majorBidi" w:cstheme="majorBidi"/>
                <w:sz w:val="18"/>
                <w:szCs w:val="18"/>
              </w:rPr>
              <w:t xml:space="preserve">Bankalar </w:t>
            </w:r>
            <w:r w:rsidRPr="001F224B">
              <w:rPr>
                <w:rFonts w:asciiTheme="majorBidi" w:hAnsiTheme="majorBidi" w:cstheme="majorBidi"/>
                <w:sz w:val="18"/>
                <w:szCs w:val="18"/>
                <w:vertAlign w:val="superscript"/>
              </w:rPr>
              <w:t>(1)</w:t>
            </w:r>
          </w:p>
        </w:tc>
        <w:tc>
          <w:tcPr>
            <w:tcW w:w="868" w:type="dxa"/>
            <w:tcBorders>
              <w:top w:val="single" w:sz="4" w:space="0" w:color="auto"/>
              <w:left w:val="nil"/>
              <w:bottom w:val="single" w:sz="4" w:space="0" w:color="auto"/>
              <w:right w:val="single" w:sz="4" w:space="0" w:color="auto"/>
            </w:tcBorders>
            <w:shd w:val="clear" w:color="auto" w:fill="auto"/>
            <w:vAlign w:val="bottom"/>
          </w:tcPr>
          <w:p w14:paraId="42E20DC9" w14:textId="10840443" w:rsidR="00B81140" w:rsidRPr="001F224B" w:rsidRDefault="00B81140" w:rsidP="00B81140">
            <w:pPr>
              <w:jc w:val="right"/>
              <w:rPr>
                <w:sz w:val="16"/>
                <w:szCs w:val="16"/>
              </w:rPr>
            </w:pPr>
            <w:r w:rsidRPr="001F224B">
              <w:rPr>
                <w:sz w:val="16"/>
                <w:szCs w:val="16"/>
              </w:rPr>
              <w:t xml:space="preserve"> 16.367.718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7537B12E" w14:textId="3BD31F36" w:rsidR="00B81140" w:rsidRPr="001F224B" w:rsidRDefault="00B81140" w:rsidP="00B81140">
            <w:pPr>
              <w:jc w:val="right"/>
              <w:rPr>
                <w:sz w:val="16"/>
                <w:szCs w:val="16"/>
              </w:rPr>
            </w:pPr>
            <w:r w:rsidRPr="001F224B">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49537C1" w14:textId="05E115C6" w:rsidR="00B81140" w:rsidRPr="001F224B" w:rsidRDefault="00B81140" w:rsidP="00B81140">
            <w:pPr>
              <w:jc w:val="right"/>
              <w:rPr>
                <w:sz w:val="16"/>
                <w:szCs w:val="16"/>
              </w:rPr>
            </w:pPr>
            <w:r w:rsidRPr="001F224B">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1B88E5AB" w14:textId="38DE0711" w:rsidR="00B81140" w:rsidRPr="001F224B" w:rsidRDefault="00B81140" w:rsidP="00B81140">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DDFA304" w14:textId="015C6E3E" w:rsidR="00B81140" w:rsidRPr="001F224B" w:rsidRDefault="00B81140" w:rsidP="00B81140">
            <w:pPr>
              <w:jc w:val="right"/>
              <w:rPr>
                <w:sz w:val="16"/>
                <w:szCs w:val="16"/>
              </w:rPr>
            </w:pPr>
            <w:r w:rsidRPr="001F224B">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77DBEC0" w14:textId="18947E02" w:rsidR="00B81140" w:rsidRPr="001F224B" w:rsidRDefault="00B81140" w:rsidP="00B81140">
            <w:pPr>
              <w:jc w:val="right"/>
              <w:rPr>
                <w:sz w:val="16"/>
                <w:szCs w:val="16"/>
              </w:rPr>
            </w:pPr>
            <w:r w:rsidRPr="001F224B">
              <w:rPr>
                <w:sz w:val="16"/>
                <w:szCs w:val="16"/>
              </w:rPr>
              <w:t xml:space="preserve"> 371.051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6E0B8D9C" w14:textId="500820EB" w:rsidR="00B81140" w:rsidRPr="001F224B" w:rsidRDefault="00B81140" w:rsidP="00B81140">
            <w:pPr>
              <w:jc w:val="right"/>
              <w:rPr>
                <w:sz w:val="16"/>
                <w:szCs w:val="16"/>
              </w:rPr>
            </w:pPr>
            <w:r w:rsidRPr="001F224B">
              <w:rPr>
                <w:sz w:val="16"/>
                <w:szCs w:val="16"/>
              </w:rPr>
              <w:t>16.738.769</w:t>
            </w:r>
          </w:p>
        </w:tc>
      </w:tr>
      <w:tr w:rsidR="00B81140" w:rsidRPr="001F224B" w14:paraId="156D26FF"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73525ED" w14:textId="77777777" w:rsidR="00B81140" w:rsidRPr="001F224B" w:rsidRDefault="00B81140" w:rsidP="00B81140">
            <w:pPr>
              <w:ind w:left="356" w:right="360"/>
              <w:rPr>
                <w:rFonts w:asciiTheme="majorBidi" w:hAnsiTheme="majorBidi" w:cstheme="majorBidi"/>
                <w:sz w:val="18"/>
                <w:szCs w:val="18"/>
              </w:rPr>
            </w:pPr>
            <w:r w:rsidRPr="001F224B">
              <w:rPr>
                <w:rFonts w:asciiTheme="majorBidi" w:hAnsiTheme="majorBidi" w:cstheme="majorBidi"/>
                <w:sz w:val="18"/>
                <w:szCs w:val="18"/>
              </w:rPr>
              <w:t>Gerçeğe Uygun Değer Farkı Kar veya Zarara Yansıtılan Finansal Varlıklar</w:t>
            </w:r>
          </w:p>
        </w:tc>
        <w:tc>
          <w:tcPr>
            <w:tcW w:w="868" w:type="dxa"/>
            <w:tcBorders>
              <w:top w:val="single" w:sz="4" w:space="0" w:color="auto"/>
              <w:left w:val="nil"/>
              <w:bottom w:val="single" w:sz="4" w:space="0" w:color="auto"/>
              <w:right w:val="single" w:sz="4" w:space="0" w:color="auto"/>
            </w:tcBorders>
            <w:shd w:val="clear" w:color="auto" w:fill="auto"/>
            <w:vAlign w:val="bottom"/>
          </w:tcPr>
          <w:p w14:paraId="4CFCDE26" w14:textId="565C9BE8" w:rsidR="00B81140" w:rsidRPr="001F224B" w:rsidRDefault="00B81140" w:rsidP="00B81140">
            <w:pPr>
              <w:jc w:val="right"/>
              <w:rPr>
                <w:sz w:val="16"/>
                <w:szCs w:val="16"/>
              </w:rPr>
            </w:pPr>
            <w:r w:rsidRPr="001F224B">
              <w:rPr>
                <w:sz w:val="16"/>
                <w:szCs w:val="16"/>
              </w:rPr>
              <w:t xml:space="preserve"> -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1BE324C2" w14:textId="5F63CB05" w:rsidR="00B81140" w:rsidRPr="001F224B" w:rsidRDefault="00B81140" w:rsidP="00B81140">
            <w:pPr>
              <w:jc w:val="right"/>
              <w:rPr>
                <w:sz w:val="16"/>
                <w:szCs w:val="16"/>
              </w:rPr>
            </w:pPr>
            <w:r w:rsidRPr="001F224B">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405EEDB" w14:textId="7A7BFCE8" w:rsidR="00B81140" w:rsidRPr="001F224B" w:rsidRDefault="00B81140" w:rsidP="00B81140">
            <w:pPr>
              <w:jc w:val="right"/>
              <w:rPr>
                <w:sz w:val="16"/>
                <w:szCs w:val="16"/>
              </w:rPr>
            </w:pPr>
            <w:r w:rsidRPr="001F224B">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22A9333C" w14:textId="4BCB2D39" w:rsidR="00B81140" w:rsidRPr="001F224B" w:rsidRDefault="00B81140" w:rsidP="00B81140">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01F3905" w14:textId="35C35262" w:rsidR="00B81140" w:rsidRPr="001F224B" w:rsidRDefault="00B81140" w:rsidP="00B81140">
            <w:pPr>
              <w:jc w:val="right"/>
              <w:rPr>
                <w:sz w:val="16"/>
                <w:szCs w:val="16"/>
              </w:rPr>
            </w:pPr>
            <w:r w:rsidRPr="001F224B">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58DB65CF" w14:textId="2048FF85" w:rsidR="00B81140" w:rsidRPr="001F224B" w:rsidRDefault="00B81140" w:rsidP="00B81140">
            <w:pPr>
              <w:jc w:val="right"/>
              <w:rPr>
                <w:sz w:val="16"/>
                <w:szCs w:val="16"/>
              </w:rPr>
            </w:pPr>
            <w:r w:rsidRPr="001F224B">
              <w:rPr>
                <w:sz w:val="16"/>
                <w:szCs w:val="16"/>
              </w:rPr>
              <w:t xml:space="preserve"> 868.925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3DD8CBD" w14:textId="50D47F7F" w:rsidR="00B81140" w:rsidRPr="001F224B" w:rsidRDefault="00B81140" w:rsidP="00B81140">
            <w:pPr>
              <w:jc w:val="right"/>
              <w:rPr>
                <w:sz w:val="16"/>
                <w:szCs w:val="16"/>
              </w:rPr>
            </w:pPr>
            <w:r w:rsidRPr="001F224B">
              <w:rPr>
                <w:sz w:val="16"/>
                <w:szCs w:val="16"/>
              </w:rPr>
              <w:t>868.925</w:t>
            </w:r>
          </w:p>
        </w:tc>
      </w:tr>
      <w:tr w:rsidR="00B81140" w:rsidRPr="001F224B" w14:paraId="24D1400E"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BEBFB1D" w14:textId="2F3D673F" w:rsidR="00B81140" w:rsidRPr="001F224B" w:rsidRDefault="00B81140" w:rsidP="00B81140">
            <w:pPr>
              <w:ind w:left="356" w:right="360"/>
              <w:rPr>
                <w:rFonts w:asciiTheme="majorBidi" w:hAnsiTheme="majorBidi" w:cstheme="majorBidi"/>
                <w:sz w:val="18"/>
                <w:szCs w:val="18"/>
              </w:rPr>
            </w:pPr>
            <w:r w:rsidRPr="001F224B">
              <w:rPr>
                <w:rFonts w:asciiTheme="majorBidi" w:hAnsiTheme="majorBidi" w:cstheme="majorBidi"/>
                <w:sz w:val="18"/>
                <w:szCs w:val="18"/>
              </w:rPr>
              <w:t>Para Piyasalarından Alacaklar</w:t>
            </w:r>
          </w:p>
        </w:tc>
        <w:tc>
          <w:tcPr>
            <w:tcW w:w="868" w:type="dxa"/>
            <w:tcBorders>
              <w:top w:val="single" w:sz="4" w:space="0" w:color="auto"/>
              <w:left w:val="nil"/>
              <w:bottom w:val="single" w:sz="4" w:space="0" w:color="auto"/>
              <w:right w:val="single" w:sz="4" w:space="0" w:color="auto"/>
            </w:tcBorders>
            <w:shd w:val="clear" w:color="auto" w:fill="auto"/>
            <w:vAlign w:val="bottom"/>
          </w:tcPr>
          <w:p w14:paraId="470D52EA" w14:textId="4DCA19D5" w:rsidR="00B81140" w:rsidRPr="001F224B" w:rsidRDefault="00B81140" w:rsidP="00B81140">
            <w:pPr>
              <w:jc w:val="right"/>
              <w:rPr>
                <w:sz w:val="16"/>
                <w:szCs w:val="16"/>
              </w:rPr>
            </w:pPr>
            <w:r w:rsidRPr="001F224B">
              <w:rPr>
                <w:sz w:val="16"/>
                <w:szCs w:val="16"/>
              </w:rPr>
              <w:t xml:space="preserve"> 19.890.447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6532AA81" w14:textId="0FDEB1D5" w:rsidR="00B81140" w:rsidRPr="001F224B" w:rsidRDefault="00B81140" w:rsidP="00B81140">
            <w:pPr>
              <w:jc w:val="right"/>
              <w:rPr>
                <w:sz w:val="16"/>
                <w:szCs w:val="16"/>
              </w:rPr>
            </w:pPr>
            <w:r w:rsidRPr="001F224B">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3C40C59" w14:textId="062F2FD0" w:rsidR="00B81140" w:rsidRPr="001F224B" w:rsidRDefault="00B81140" w:rsidP="00B81140">
            <w:pPr>
              <w:jc w:val="right"/>
              <w:rPr>
                <w:sz w:val="16"/>
                <w:szCs w:val="16"/>
              </w:rPr>
            </w:pPr>
            <w:r w:rsidRPr="001F224B">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731AAB57" w14:textId="4063E975" w:rsidR="00B81140" w:rsidRPr="001F224B" w:rsidRDefault="00B81140" w:rsidP="00B81140">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12C0FDB" w14:textId="211801C8" w:rsidR="00B81140" w:rsidRPr="001F224B" w:rsidRDefault="00B81140" w:rsidP="00B81140">
            <w:pPr>
              <w:jc w:val="right"/>
              <w:rPr>
                <w:sz w:val="16"/>
                <w:szCs w:val="16"/>
              </w:rPr>
            </w:pPr>
            <w:r w:rsidRPr="001F224B">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72692A15" w14:textId="427C715A" w:rsidR="00B81140" w:rsidRPr="001F224B" w:rsidRDefault="00B81140" w:rsidP="00B81140">
            <w:pPr>
              <w:jc w:val="right"/>
              <w:rPr>
                <w:sz w:val="16"/>
                <w:szCs w:val="16"/>
              </w:rPr>
            </w:pPr>
            <w:r w:rsidRPr="001F224B">
              <w:rPr>
                <w:sz w:val="16"/>
                <w:szCs w:val="16"/>
              </w:rPr>
              <w:t xml:space="preserve"> -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7806C8D" w14:textId="3E25559D" w:rsidR="00B81140" w:rsidRPr="001F224B" w:rsidRDefault="00B81140" w:rsidP="00B81140">
            <w:pPr>
              <w:jc w:val="right"/>
              <w:rPr>
                <w:sz w:val="16"/>
                <w:szCs w:val="16"/>
              </w:rPr>
            </w:pPr>
            <w:r w:rsidRPr="001F224B">
              <w:rPr>
                <w:sz w:val="16"/>
                <w:szCs w:val="16"/>
              </w:rPr>
              <w:t>19.890.447</w:t>
            </w:r>
          </w:p>
        </w:tc>
      </w:tr>
      <w:tr w:rsidR="00B81140" w:rsidRPr="001F224B" w14:paraId="17F0CB37"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BC761C9" w14:textId="77777777"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 xml:space="preserve">Gerçeğe Uygun Değer Farkı Diğer Kapsamlı Gelire Yansıtılan Finansal Varlıklar </w:t>
            </w:r>
            <w:r w:rsidRPr="001F224B">
              <w:rPr>
                <w:rFonts w:asciiTheme="majorBidi" w:hAnsiTheme="majorBidi" w:cstheme="majorBidi"/>
                <w:sz w:val="18"/>
                <w:szCs w:val="18"/>
                <w:vertAlign w:val="superscript"/>
              </w:rPr>
              <w:t>(3)</w:t>
            </w:r>
          </w:p>
        </w:tc>
        <w:tc>
          <w:tcPr>
            <w:tcW w:w="868" w:type="dxa"/>
            <w:tcBorders>
              <w:top w:val="single" w:sz="4" w:space="0" w:color="auto"/>
              <w:left w:val="nil"/>
              <w:bottom w:val="single" w:sz="4" w:space="0" w:color="auto"/>
              <w:right w:val="single" w:sz="4" w:space="0" w:color="auto"/>
            </w:tcBorders>
            <w:shd w:val="clear" w:color="auto" w:fill="auto"/>
            <w:vAlign w:val="bottom"/>
          </w:tcPr>
          <w:p w14:paraId="3AFF47FE" w14:textId="2559AD2B" w:rsidR="00B81140" w:rsidRPr="001F224B" w:rsidRDefault="00B81140" w:rsidP="00B81140">
            <w:pPr>
              <w:jc w:val="right"/>
              <w:rPr>
                <w:sz w:val="16"/>
                <w:szCs w:val="16"/>
              </w:rPr>
            </w:pPr>
            <w:r w:rsidRPr="001F224B">
              <w:rPr>
                <w:sz w:val="16"/>
                <w:szCs w:val="16"/>
              </w:rPr>
              <w:t xml:space="preserve"> 1.597.371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6E79AB4B" w14:textId="65654294" w:rsidR="00B81140" w:rsidRPr="001F224B" w:rsidRDefault="00B81140" w:rsidP="00B81140">
            <w:pPr>
              <w:jc w:val="right"/>
              <w:rPr>
                <w:sz w:val="16"/>
                <w:szCs w:val="16"/>
              </w:rPr>
            </w:pPr>
            <w:r w:rsidRPr="001F224B">
              <w:rPr>
                <w:sz w:val="16"/>
                <w:szCs w:val="16"/>
              </w:rPr>
              <w:t xml:space="preserve"> 2.101.073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4CAD5C26" w14:textId="477B5976" w:rsidR="00B81140" w:rsidRPr="001F224B" w:rsidRDefault="00B81140" w:rsidP="00B81140">
            <w:pPr>
              <w:jc w:val="right"/>
              <w:rPr>
                <w:sz w:val="16"/>
                <w:szCs w:val="16"/>
              </w:rPr>
            </w:pPr>
            <w:r w:rsidRPr="001F224B">
              <w:rPr>
                <w:sz w:val="16"/>
                <w:szCs w:val="16"/>
              </w:rPr>
              <w:t xml:space="preserve"> 12.930.149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31B4FA0B" w14:textId="1592B3B4" w:rsidR="00B81140" w:rsidRPr="001F224B" w:rsidRDefault="00B81140" w:rsidP="00B81140">
            <w:pPr>
              <w:jc w:val="right"/>
              <w:rPr>
                <w:sz w:val="16"/>
                <w:szCs w:val="16"/>
              </w:rPr>
            </w:pPr>
            <w:r w:rsidRPr="001F224B">
              <w:rPr>
                <w:sz w:val="16"/>
                <w:szCs w:val="16"/>
              </w:rPr>
              <w:t xml:space="preserve"> 11.172.347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6E9427B" w14:textId="29C542AE" w:rsidR="00B81140" w:rsidRPr="001F224B" w:rsidRDefault="00B81140" w:rsidP="00B81140">
            <w:pPr>
              <w:jc w:val="right"/>
              <w:rPr>
                <w:sz w:val="16"/>
                <w:szCs w:val="16"/>
              </w:rPr>
            </w:pPr>
            <w:r w:rsidRPr="001F224B">
              <w:rPr>
                <w:sz w:val="16"/>
                <w:szCs w:val="16"/>
              </w:rPr>
              <w:t xml:space="preserve"> 72.142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DA80AED" w14:textId="6A2CB8B4" w:rsidR="00B81140" w:rsidRPr="001F224B" w:rsidRDefault="00B81140" w:rsidP="00B81140">
            <w:pPr>
              <w:jc w:val="right"/>
              <w:rPr>
                <w:sz w:val="16"/>
                <w:szCs w:val="16"/>
              </w:rPr>
            </w:pPr>
            <w:r w:rsidRPr="001F224B">
              <w:rPr>
                <w:sz w:val="16"/>
                <w:szCs w:val="16"/>
              </w:rPr>
              <w:t xml:space="preserve"> 8.813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2B8004F" w14:textId="0EFB5842" w:rsidR="00B81140" w:rsidRPr="001F224B" w:rsidRDefault="00B81140" w:rsidP="00B81140">
            <w:pPr>
              <w:jc w:val="right"/>
              <w:rPr>
                <w:sz w:val="16"/>
                <w:szCs w:val="16"/>
              </w:rPr>
            </w:pPr>
            <w:r w:rsidRPr="001F224B">
              <w:rPr>
                <w:sz w:val="16"/>
                <w:szCs w:val="16"/>
              </w:rPr>
              <w:t xml:space="preserve"> 27.881.895    </w:t>
            </w:r>
          </w:p>
        </w:tc>
      </w:tr>
      <w:tr w:rsidR="00B81140" w:rsidRPr="001F224B" w14:paraId="527974A1"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DC6AAE7" w14:textId="1729FA58"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 xml:space="preserve">Verilen Krediler </w:t>
            </w:r>
            <w:r w:rsidRPr="001F224B">
              <w:rPr>
                <w:rFonts w:asciiTheme="majorBidi" w:hAnsiTheme="majorBidi" w:cstheme="majorBidi"/>
                <w:sz w:val="18"/>
                <w:szCs w:val="18"/>
                <w:vertAlign w:val="superscript"/>
              </w:rPr>
              <w:t>(2)</w:t>
            </w:r>
          </w:p>
        </w:tc>
        <w:tc>
          <w:tcPr>
            <w:tcW w:w="868" w:type="dxa"/>
            <w:tcBorders>
              <w:top w:val="single" w:sz="4" w:space="0" w:color="auto"/>
              <w:left w:val="nil"/>
              <w:bottom w:val="single" w:sz="4" w:space="0" w:color="auto"/>
              <w:right w:val="single" w:sz="4" w:space="0" w:color="auto"/>
            </w:tcBorders>
            <w:shd w:val="clear" w:color="auto" w:fill="auto"/>
            <w:vAlign w:val="bottom"/>
          </w:tcPr>
          <w:p w14:paraId="09974526" w14:textId="497196C7" w:rsidR="00B81140" w:rsidRPr="001F224B" w:rsidRDefault="00B81140" w:rsidP="00B81140">
            <w:pPr>
              <w:jc w:val="right"/>
              <w:rPr>
                <w:sz w:val="16"/>
                <w:szCs w:val="16"/>
              </w:rPr>
            </w:pPr>
            <w:r w:rsidRPr="001F224B">
              <w:rPr>
                <w:sz w:val="16"/>
                <w:szCs w:val="16"/>
              </w:rPr>
              <w:t xml:space="preserve"> 1.456.911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0B44857F" w14:textId="3D1E8202" w:rsidR="00B81140" w:rsidRPr="001F224B" w:rsidRDefault="00B81140" w:rsidP="00B81140">
            <w:pPr>
              <w:jc w:val="right"/>
              <w:rPr>
                <w:sz w:val="16"/>
                <w:szCs w:val="16"/>
              </w:rPr>
            </w:pPr>
            <w:r w:rsidRPr="001F224B">
              <w:rPr>
                <w:sz w:val="16"/>
                <w:szCs w:val="16"/>
              </w:rPr>
              <w:t xml:space="preserve"> 13.564.336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5EC1FF93" w14:textId="64EB5BCB" w:rsidR="00B81140" w:rsidRPr="001F224B" w:rsidRDefault="00B81140" w:rsidP="00B81140">
            <w:pPr>
              <w:jc w:val="right"/>
              <w:rPr>
                <w:sz w:val="16"/>
                <w:szCs w:val="16"/>
              </w:rPr>
            </w:pPr>
            <w:r w:rsidRPr="001F224B">
              <w:rPr>
                <w:sz w:val="16"/>
                <w:szCs w:val="16"/>
              </w:rPr>
              <w:t xml:space="preserve"> 56.998.798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53768B35" w14:textId="4B718063" w:rsidR="00B81140" w:rsidRPr="001F224B" w:rsidRDefault="00B81140" w:rsidP="00B81140">
            <w:pPr>
              <w:jc w:val="right"/>
              <w:rPr>
                <w:sz w:val="16"/>
                <w:szCs w:val="16"/>
              </w:rPr>
            </w:pPr>
            <w:r w:rsidRPr="001F224B">
              <w:rPr>
                <w:sz w:val="16"/>
                <w:szCs w:val="16"/>
              </w:rPr>
              <w:t xml:space="preserve"> 11.099.827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5C7642C" w14:textId="17254B45" w:rsidR="00B81140" w:rsidRPr="001F224B" w:rsidRDefault="00B81140" w:rsidP="00B81140">
            <w:pPr>
              <w:jc w:val="right"/>
              <w:rPr>
                <w:sz w:val="16"/>
                <w:szCs w:val="16"/>
              </w:rPr>
            </w:pPr>
            <w:r w:rsidRPr="001F224B">
              <w:rPr>
                <w:sz w:val="16"/>
                <w:szCs w:val="16"/>
              </w:rPr>
              <w:t xml:space="preserve"> 24.541.477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4D5A9F62" w14:textId="0A214E76" w:rsidR="00B81140" w:rsidRPr="001F224B" w:rsidRDefault="00B81140" w:rsidP="00B81140">
            <w:pPr>
              <w:jc w:val="right"/>
              <w:rPr>
                <w:sz w:val="16"/>
                <w:szCs w:val="16"/>
              </w:rPr>
            </w:pPr>
            <w:r w:rsidRPr="001F224B">
              <w:rPr>
                <w:sz w:val="16"/>
                <w:szCs w:val="16"/>
              </w:rPr>
              <w:t xml:space="preserve"> 127.431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28A163AC" w14:textId="353AD055" w:rsidR="00B81140" w:rsidRPr="001F224B" w:rsidRDefault="00B81140" w:rsidP="00B81140">
            <w:pPr>
              <w:jc w:val="right"/>
              <w:rPr>
                <w:sz w:val="16"/>
                <w:szCs w:val="16"/>
              </w:rPr>
            </w:pPr>
            <w:r w:rsidRPr="001F224B">
              <w:rPr>
                <w:sz w:val="16"/>
                <w:szCs w:val="16"/>
              </w:rPr>
              <w:t xml:space="preserve"> 107.788.780    </w:t>
            </w:r>
          </w:p>
        </w:tc>
      </w:tr>
      <w:tr w:rsidR="00B81140" w:rsidRPr="001F224B" w14:paraId="71C8F5B2"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522441A" w14:textId="77777777"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 xml:space="preserve">İtfa Edilmiş Maliyeti Üzerinden Değerlenen Finansal Varlıklar </w:t>
            </w:r>
          </w:p>
        </w:tc>
        <w:tc>
          <w:tcPr>
            <w:tcW w:w="868" w:type="dxa"/>
            <w:tcBorders>
              <w:top w:val="single" w:sz="4" w:space="0" w:color="auto"/>
              <w:left w:val="nil"/>
              <w:bottom w:val="single" w:sz="4" w:space="0" w:color="auto"/>
              <w:right w:val="single" w:sz="4" w:space="0" w:color="auto"/>
            </w:tcBorders>
            <w:shd w:val="clear" w:color="auto" w:fill="auto"/>
            <w:vAlign w:val="bottom"/>
          </w:tcPr>
          <w:p w14:paraId="4E9B6366" w14:textId="222B23EC" w:rsidR="00B81140" w:rsidRPr="001F224B" w:rsidRDefault="00B81140" w:rsidP="00B81140">
            <w:pPr>
              <w:jc w:val="right"/>
              <w:rPr>
                <w:sz w:val="16"/>
                <w:szCs w:val="16"/>
              </w:rPr>
            </w:pPr>
            <w:r w:rsidRPr="001F224B">
              <w:rPr>
                <w:sz w:val="16"/>
                <w:szCs w:val="16"/>
              </w:rPr>
              <w:t xml:space="preserve"> -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3A41249C" w14:textId="67E90FBC" w:rsidR="00B81140" w:rsidRPr="001F224B" w:rsidRDefault="00B81140" w:rsidP="00B81140">
            <w:pPr>
              <w:jc w:val="right"/>
              <w:rPr>
                <w:sz w:val="16"/>
                <w:szCs w:val="16"/>
              </w:rPr>
            </w:pPr>
            <w:r w:rsidRPr="001F224B">
              <w:rPr>
                <w:sz w:val="16"/>
                <w:szCs w:val="16"/>
              </w:rPr>
              <w:t xml:space="preserve"> 513.472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026455E" w14:textId="6AF7D6D4" w:rsidR="00B81140" w:rsidRPr="001F224B" w:rsidRDefault="00B81140" w:rsidP="00B81140">
            <w:pPr>
              <w:jc w:val="right"/>
              <w:rPr>
                <w:sz w:val="16"/>
                <w:szCs w:val="16"/>
              </w:rPr>
            </w:pPr>
            <w:r w:rsidRPr="001F224B">
              <w:rPr>
                <w:sz w:val="16"/>
                <w:szCs w:val="16"/>
              </w:rPr>
              <w:t xml:space="preserve"> 1.081.159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740190B" w14:textId="3B437A19" w:rsidR="00B81140" w:rsidRPr="001F224B" w:rsidRDefault="00B81140" w:rsidP="00B81140">
            <w:pPr>
              <w:jc w:val="right"/>
              <w:rPr>
                <w:sz w:val="16"/>
                <w:szCs w:val="16"/>
              </w:rPr>
            </w:pPr>
            <w:r w:rsidRPr="001F224B">
              <w:rPr>
                <w:sz w:val="16"/>
                <w:szCs w:val="16"/>
              </w:rPr>
              <w:t xml:space="preserve"> 2.785.270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10D7212" w14:textId="4341EF06" w:rsidR="00B81140" w:rsidRPr="001F224B" w:rsidRDefault="00B81140" w:rsidP="00B81140">
            <w:pPr>
              <w:jc w:val="right"/>
              <w:rPr>
                <w:sz w:val="16"/>
                <w:szCs w:val="16"/>
              </w:rPr>
            </w:pPr>
            <w:r w:rsidRPr="001F224B">
              <w:rPr>
                <w:sz w:val="16"/>
                <w:szCs w:val="16"/>
              </w:rPr>
              <w:t xml:space="preserve"> 6.459.968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BDDE36C" w14:textId="446573C7" w:rsidR="00B81140" w:rsidRPr="001F224B" w:rsidRDefault="00B81140" w:rsidP="00B81140">
            <w:pPr>
              <w:jc w:val="right"/>
              <w:rPr>
                <w:sz w:val="16"/>
                <w:szCs w:val="16"/>
              </w:rPr>
            </w:pPr>
            <w:r w:rsidRPr="001F224B">
              <w:rPr>
                <w:sz w:val="16"/>
                <w:szCs w:val="16"/>
              </w:rPr>
              <w:t xml:space="preserve"> -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A6A79A1" w14:textId="33ABE7EA" w:rsidR="00B81140" w:rsidRPr="001F224B" w:rsidRDefault="00B81140" w:rsidP="00B81140">
            <w:pPr>
              <w:jc w:val="right"/>
              <w:rPr>
                <w:sz w:val="16"/>
                <w:szCs w:val="16"/>
              </w:rPr>
            </w:pPr>
            <w:r w:rsidRPr="001F224B">
              <w:rPr>
                <w:sz w:val="16"/>
                <w:szCs w:val="16"/>
              </w:rPr>
              <w:t xml:space="preserve"> 10.839.869    </w:t>
            </w:r>
          </w:p>
        </w:tc>
      </w:tr>
      <w:tr w:rsidR="00B81140" w:rsidRPr="001F224B" w14:paraId="39FBA206" w14:textId="77777777" w:rsidTr="00B81140">
        <w:trPr>
          <w:trHeight w:val="256"/>
        </w:trPr>
        <w:tc>
          <w:tcPr>
            <w:tcW w:w="3738" w:type="dxa"/>
            <w:tcBorders>
              <w:top w:val="nil"/>
              <w:left w:val="single" w:sz="4" w:space="0" w:color="auto"/>
              <w:bottom w:val="single" w:sz="4" w:space="0" w:color="auto"/>
              <w:right w:val="single" w:sz="4" w:space="0" w:color="auto"/>
            </w:tcBorders>
            <w:shd w:val="clear" w:color="000000" w:fill="FFFFFF"/>
            <w:vAlign w:val="bottom"/>
          </w:tcPr>
          <w:p w14:paraId="45869032" w14:textId="77777777"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 xml:space="preserve">Diğer Varlıklar </w:t>
            </w:r>
            <w:r w:rsidRPr="001F224B">
              <w:rPr>
                <w:rFonts w:asciiTheme="majorBidi" w:hAnsiTheme="majorBidi" w:cstheme="majorBidi"/>
                <w:sz w:val="18"/>
                <w:szCs w:val="18"/>
                <w:vertAlign w:val="superscript"/>
              </w:rPr>
              <w:t>(4)</w:t>
            </w:r>
          </w:p>
        </w:tc>
        <w:tc>
          <w:tcPr>
            <w:tcW w:w="868" w:type="dxa"/>
            <w:tcBorders>
              <w:top w:val="single" w:sz="4" w:space="0" w:color="auto"/>
              <w:left w:val="nil"/>
              <w:bottom w:val="single" w:sz="4" w:space="0" w:color="auto"/>
              <w:right w:val="single" w:sz="4" w:space="0" w:color="auto"/>
            </w:tcBorders>
            <w:shd w:val="clear" w:color="auto" w:fill="auto"/>
            <w:vAlign w:val="bottom"/>
          </w:tcPr>
          <w:p w14:paraId="5656A29B" w14:textId="6CD7AE60" w:rsidR="00B81140" w:rsidRPr="001F224B" w:rsidRDefault="00B81140" w:rsidP="00B81140">
            <w:pPr>
              <w:jc w:val="right"/>
              <w:rPr>
                <w:sz w:val="16"/>
                <w:szCs w:val="16"/>
              </w:rPr>
            </w:pPr>
            <w:r w:rsidRPr="001F224B">
              <w:rPr>
                <w:sz w:val="16"/>
                <w:szCs w:val="16"/>
              </w:rPr>
              <w:t xml:space="preserve"> 73.209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54A90958" w14:textId="05773D8E" w:rsidR="00B81140" w:rsidRPr="001F224B" w:rsidRDefault="00B81140" w:rsidP="00B81140">
            <w:pPr>
              <w:jc w:val="right"/>
              <w:rPr>
                <w:sz w:val="16"/>
                <w:szCs w:val="16"/>
              </w:rPr>
            </w:pPr>
            <w:r w:rsidRPr="001F224B">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3D86A87" w14:textId="55B63DFA" w:rsidR="00B81140" w:rsidRPr="001F224B" w:rsidRDefault="00B81140" w:rsidP="00B81140">
            <w:pPr>
              <w:jc w:val="right"/>
              <w:rPr>
                <w:sz w:val="16"/>
                <w:szCs w:val="16"/>
              </w:rPr>
            </w:pPr>
            <w:r w:rsidRPr="001F224B">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507BBD05" w14:textId="506EA2EB" w:rsidR="00B81140" w:rsidRPr="001F224B" w:rsidRDefault="00B81140" w:rsidP="00B81140">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60F4BF3" w14:textId="4F26B832" w:rsidR="00B81140" w:rsidRPr="001F224B" w:rsidRDefault="00B81140" w:rsidP="00B81140">
            <w:pPr>
              <w:jc w:val="right"/>
              <w:rPr>
                <w:sz w:val="16"/>
                <w:szCs w:val="16"/>
              </w:rPr>
            </w:pPr>
            <w:r w:rsidRPr="001F224B">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03E168AC" w14:textId="7AE77AB6" w:rsidR="00B81140" w:rsidRPr="001F224B" w:rsidRDefault="00B81140" w:rsidP="00B81140">
            <w:pPr>
              <w:jc w:val="right"/>
              <w:rPr>
                <w:sz w:val="16"/>
                <w:szCs w:val="16"/>
              </w:rPr>
            </w:pPr>
            <w:r w:rsidRPr="001F224B">
              <w:rPr>
                <w:sz w:val="16"/>
                <w:szCs w:val="16"/>
              </w:rPr>
              <w:t xml:space="preserve"> 1.408.631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9793538" w14:textId="5D7F3881" w:rsidR="00B81140" w:rsidRPr="001F224B" w:rsidRDefault="00B81140" w:rsidP="00B81140">
            <w:pPr>
              <w:jc w:val="right"/>
              <w:rPr>
                <w:sz w:val="16"/>
                <w:szCs w:val="16"/>
              </w:rPr>
            </w:pPr>
            <w:r w:rsidRPr="001F224B">
              <w:rPr>
                <w:sz w:val="16"/>
                <w:szCs w:val="16"/>
              </w:rPr>
              <w:t xml:space="preserve"> 1.481.840    </w:t>
            </w:r>
          </w:p>
        </w:tc>
      </w:tr>
      <w:tr w:rsidR="00B81140" w:rsidRPr="001F224B" w14:paraId="44F2BFB1"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83A39D" w14:textId="77777777" w:rsidR="00B81140" w:rsidRPr="001F224B" w:rsidRDefault="00B81140" w:rsidP="00B81140">
            <w:pPr>
              <w:rPr>
                <w:rFonts w:asciiTheme="majorBidi" w:hAnsiTheme="majorBidi" w:cstheme="majorBidi"/>
                <w:b/>
                <w:sz w:val="18"/>
                <w:szCs w:val="18"/>
                <w:vertAlign w:val="superscript"/>
              </w:rPr>
            </w:pPr>
            <w:r w:rsidRPr="001F224B">
              <w:rPr>
                <w:rFonts w:asciiTheme="majorBidi" w:hAnsiTheme="majorBidi" w:cstheme="majorBidi"/>
                <w:b/>
                <w:sz w:val="18"/>
                <w:szCs w:val="18"/>
              </w:rPr>
              <w:t xml:space="preserve">Toplam Varlıklar </w:t>
            </w:r>
            <w:r w:rsidRPr="001F224B">
              <w:rPr>
                <w:rFonts w:asciiTheme="majorBidi" w:hAnsiTheme="majorBidi" w:cstheme="majorBidi"/>
                <w:b/>
                <w:sz w:val="18"/>
                <w:szCs w:val="18"/>
                <w:vertAlign w:val="superscript"/>
              </w:rPr>
              <w:t>(5)</w:t>
            </w:r>
          </w:p>
        </w:tc>
        <w:tc>
          <w:tcPr>
            <w:tcW w:w="868" w:type="dxa"/>
            <w:tcBorders>
              <w:top w:val="single" w:sz="4" w:space="0" w:color="auto"/>
              <w:left w:val="nil"/>
              <w:bottom w:val="single" w:sz="4" w:space="0" w:color="auto"/>
              <w:right w:val="single" w:sz="4" w:space="0" w:color="auto"/>
            </w:tcBorders>
            <w:shd w:val="clear" w:color="auto" w:fill="auto"/>
            <w:vAlign w:val="bottom"/>
          </w:tcPr>
          <w:p w14:paraId="262872F0" w14:textId="5AED0D4B" w:rsidR="00B81140" w:rsidRPr="001F224B" w:rsidRDefault="00B81140" w:rsidP="00B81140">
            <w:pPr>
              <w:jc w:val="right"/>
              <w:rPr>
                <w:b/>
                <w:bCs/>
                <w:sz w:val="16"/>
                <w:szCs w:val="16"/>
              </w:rPr>
            </w:pPr>
            <w:r w:rsidRPr="001F224B">
              <w:rPr>
                <w:b/>
                <w:bCs/>
                <w:sz w:val="16"/>
                <w:szCs w:val="16"/>
              </w:rPr>
              <w:t>39.385.656</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78CE1DCD" w14:textId="212EDF71" w:rsidR="00B81140" w:rsidRPr="001F224B" w:rsidRDefault="00B81140" w:rsidP="00B81140">
            <w:pPr>
              <w:jc w:val="right"/>
              <w:rPr>
                <w:b/>
                <w:bCs/>
                <w:sz w:val="16"/>
                <w:szCs w:val="16"/>
              </w:rPr>
            </w:pPr>
            <w:r w:rsidRPr="001F224B">
              <w:rPr>
                <w:b/>
                <w:bCs/>
                <w:sz w:val="16"/>
                <w:szCs w:val="16"/>
              </w:rPr>
              <w:t>16.178.881</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65A3FA8" w14:textId="655DF255" w:rsidR="00B81140" w:rsidRPr="001F224B" w:rsidRDefault="00B81140" w:rsidP="00B81140">
            <w:pPr>
              <w:jc w:val="right"/>
              <w:rPr>
                <w:b/>
                <w:bCs/>
                <w:sz w:val="16"/>
                <w:szCs w:val="16"/>
              </w:rPr>
            </w:pPr>
            <w:r w:rsidRPr="001F224B">
              <w:rPr>
                <w:b/>
                <w:bCs/>
                <w:sz w:val="16"/>
                <w:szCs w:val="16"/>
              </w:rPr>
              <w:t>71.010.106</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1F48BF03" w14:textId="43388115" w:rsidR="00B81140" w:rsidRPr="001F224B" w:rsidRDefault="00B81140" w:rsidP="00B81140">
            <w:pPr>
              <w:jc w:val="right"/>
              <w:rPr>
                <w:b/>
                <w:bCs/>
                <w:sz w:val="16"/>
                <w:szCs w:val="16"/>
              </w:rPr>
            </w:pPr>
            <w:r w:rsidRPr="001F224B">
              <w:rPr>
                <w:b/>
                <w:bCs/>
                <w:sz w:val="16"/>
                <w:szCs w:val="16"/>
              </w:rPr>
              <w:t>25.057.444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4D4ABA8" w14:textId="0AD356C1" w:rsidR="00B81140" w:rsidRPr="001F224B" w:rsidRDefault="00B81140" w:rsidP="00B81140">
            <w:pPr>
              <w:jc w:val="right"/>
              <w:rPr>
                <w:b/>
                <w:bCs/>
                <w:sz w:val="16"/>
                <w:szCs w:val="16"/>
              </w:rPr>
            </w:pPr>
            <w:r w:rsidRPr="001F224B">
              <w:rPr>
                <w:b/>
                <w:bCs/>
                <w:sz w:val="16"/>
                <w:szCs w:val="16"/>
              </w:rPr>
              <w:t>31.073.587</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2DCA3681" w14:textId="5A0BDBB6" w:rsidR="00B81140" w:rsidRPr="001F224B" w:rsidRDefault="00B81140" w:rsidP="00B81140">
            <w:pPr>
              <w:jc w:val="right"/>
              <w:rPr>
                <w:b/>
                <w:bCs/>
                <w:sz w:val="16"/>
                <w:szCs w:val="16"/>
              </w:rPr>
            </w:pPr>
            <w:r w:rsidRPr="001F224B">
              <w:rPr>
                <w:b/>
                <w:bCs/>
                <w:sz w:val="16"/>
                <w:szCs w:val="16"/>
              </w:rPr>
              <w:t>2.786.521</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199D0F9" w14:textId="4998996E" w:rsidR="00B81140" w:rsidRPr="001F224B" w:rsidRDefault="00B81140" w:rsidP="00B81140">
            <w:pPr>
              <w:jc w:val="right"/>
              <w:rPr>
                <w:b/>
                <w:bCs/>
                <w:sz w:val="16"/>
                <w:szCs w:val="16"/>
              </w:rPr>
            </w:pPr>
            <w:r w:rsidRPr="001F224B">
              <w:rPr>
                <w:b/>
                <w:bCs/>
                <w:sz w:val="16"/>
                <w:szCs w:val="16"/>
              </w:rPr>
              <w:t>185.492.195</w:t>
            </w:r>
          </w:p>
        </w:tc>
      </w:tr>
      <w:tr w:rsidR="00EA17AA" w:rsidRPr="001F224B" w14:paraId="68255905"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FB0BDF9" w14:textId="77777777" w:rsidR="00EA17AA" w:rsidRPr="001F224B" w:rsidRDefault="00EA17AA" w:rsidP="00EA17AA">
            <w:pPr>
              <w:rPr>
                <w:rFonts w:asciiTheme="majorBidi" w:hAnsiTheme="majorBidi" w:cstheme="majorBidi"/>
                <w:sz w:val="18"/>
                <w:szCs w:val="18"/>
              </w:rPr>
            </w:pPr>
            <w:r w:rsidRPr="001F224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2A74B6AD" w14:textId="77777777" w:rsidR="00EA17AA" w:rsidRPr="001F224B" w:rsidRDefault="00EA17AA" w:rsidP="00B81140">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5A90CDAF" w14:textId="77777777" w:rsidR="00EA17AA" w:rsidRPr="001F224B" w:rsidRDefault="00EA17AA" w:rsidP="00B81140">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02F8D51" w14:textId="77777777" w:rsidR="00EA17AA" w:rsidRPr="001F224B" w:rsidRDefault="00EA17AA" w:rsidP="00B81140">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3B4D0EA1" w14:textId="77777777" w:rsidR="00EA17AA" w:rsidRPr="001F224B" w:rsidRDefault="00EA17AA" w:rsidP="00B81140">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163704CB" w14:textId="77777777" w:rsidR="00EA17AA" w:rsidRPr="001F224B" w:rsidRDefault="00EA17AA" w:rsidP="00B81140">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7BF9A7D" w14:textId="77777777" w:rsidR="00EA17AA" w:rsidRPr="001F224B" w:rsidRDefault="00EA17AA" w:rsidP="00B81140">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6C9696D5" w14:textId="77777777" w:rsidR="00EA17AA" w:rsidRPr="001F224B" w:rsidRDefault="00EA17AA" w:rsidP="00B81140">
            <w:pPr>
              <w:jc w:val="right"/>
              <w:rPr>
                <w:sz w:val="16"/>
                <w:szCs w:val="16"/>
              </w:rPr>
            </w:pPr>
          </w:p>
        </w:tc>
      </w:tr>
      <w:tr w:rsidR="00EA17AA" w:rsidRPr="001F224B" w14:paraId="5AAA7178" w14:textId="77777777" w:rsidTr="00B81140">
        <w:trPr>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7BD50787" w14:textId="77777777" w:rsidR="00EA17AA" w:rsidRPr="001F224B" w:rsidRDefault="00EA17AA" w:rsidP="00EA17AA">
            <w:pPr>
              <w:rPr>
                <w:rFonts w:asciiTheme="majorBidi" w:hAnsiTheme="majorBidi" w:cstheme="majorBidi"/>
                <w:sz w:val="18"/>
                <w:szCs w:val="18"/>
              </w:rPr>
            </w:pPr>
            <w:r w:rsidRPr="001F224B">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368EC9C5" w14:textId="77777777" w:rsidR="00EA17AA" w:rsidRPr="001F224B" w:rsidRDefault="00EA17AA" w:rsidP="00B81140">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1EDF4AA2" w14:textId="77777777" w:rsidR="00EA17AA" w:rsidRPr="001F224B" w:rsidRDefault="00EA17AA" w:rsidP="00B81140">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773EE7F0" w14:textId="77777777" w:rsidR="00EA17AA" w:rsidRPr="001F224B" w:rsidRDefault="00EA17AA" w:rsidP="00B81140">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354E024" w14:textId="77777777" w:rsidR="00EA17AA" w:rsidRPr="001F224B" w:rsidRDefault="00EA17AA" w:rsidP="00B81140">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A27ABF5" w14:textId="77777777" w:rsidR="00EA17AA" w:rsidRPr="001F224B" w:rsidRDefault="00EA17AA" w:rsidP="00B81140">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4EFC988A" w14:textId="77777777" w:rsidR="00EA17AA" w:rsidRPr="001F224B" w:rsidRDefault="00EA17AA" w:rsidP="00B81140">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4B74CB5C" w14:textId="77777777" w:rsidR="00EA17AA" w:rsidRPr="001F224B" w:rsidRDefault="00EA17AA" w:rsidP="00B81140">
            <w:pPr>
              <w:jc w:val="right"/>
              <w:rPr>
                <w:sz w:val="16"/>
                <w:szCs w:val="16"/>
              </w:rPr>
            </w:pPr>
          </w:p>
        </w:tc>
      </w:tr>
      <w:tr w:rsidR="00EA17AA" w:rsidRPr="001F224B" w14:paraId="7055F623"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7CFFBC2" w14:textId="77777777" w:rsidR="00EA17AA" w:rsidRPr="001F224B" w:rsidRDefault="00EA17AA" w:rsidP="00EA17AA">
            <w:pPr>
              <w:ind w:left="356"/>
              <w:rPr>
                <w:rFonts w:asciiTheme="majorBidi" w:hAnsiTheme="majorBidi" w:cstheme="majorBidi"/>
                <w:sz w:val="18"/>
                <w:szCs w:val="18"/>
              </w:rPr>
            </w:pPr>
            <w:r w:rsidRPr="001F224B">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0FA2248" w14:textId="1E56FD21" w:rsidR="00EA17AA" w:rsidRPr="001F224B" w:rsidRDefault="00EA17AA" w:rsidP="00B81140">
            <w:pPr>
              <w:jc w:val="right"/>
              <w:rPr>
                <w:sz w:val="16"/>
                <w:szCs w:val="16"/>
              </w:rPr>
            </w:pPr>
            <w:r w:rsidRPr="001F224B">
              <w:rPr>
                <w:sz w:val="16"/>
                <w:szCs w:val="16"/>
              </w:rPr>
              <w:t xml:space="preserve"> -      </w:t>
            </w:r>
          </w:p>
        </w:tc>
        <w:tc>
          <w:tcPr>
            <w:tcW w:w="923" w:type="dxa"/>
            <w:tcBorders>
              <w:top w:val="single" w:sz="4" w:space="0" w:color="auto"/>
              <w:left w:val="nil"/>
              <w:bottom w:val="single" w:sz="4" w:space="0" w:color="auto"/>
              <w:right w:val="single" w:sz="4" w:space="0" w:color="auto"/>
            </w:tcBorders>
            <w:shd w:val="clear" w:color="auto" w:fill="auto"/>
            <w:vAlign w:val="bottom"/>
          </w:tcPr>
          <w:p w14:paraId="77021811" w14:textId="60657702" w:rsidR="00EA17AA" w:rsidRPr="001F224B" w:rsidRDefault="00EA17AA" w:rsidP="00B81140">
            <w:pPr>
              <w:jc w:val="right"/>
              <w:rPr>
                <w:sz w:val="16"/>
                <w:szCs w:val="16"/>
              </w:rPr>
            </w:pPr>
            <w:r w:rsidRPr="001F224B">
              <w:rPr>
                <w:sz w:val="16"/>
                <w:szCs w:val="16"/>
              </w:rPr>
              <w:t xml:space="preserve"> -      </w:t>
            </w:r>
          </w:p>
        </w:tc>
        <w:tc>
          <w:tcPr>
            <w:tcW w:w="1019" w:type="dxa"/>
            <w:tcBorders>
              <w:top w:val="single" w:sz="4" w:space="0" w:color="auto"/>
              <w:left w:val="nil"/>
              <w:bottom w:val="single" w:sz="4" w:space="0" w:color="auto"/>
              <w:right w:val="single" w:sz="4" w:space="0" w:color="auto"/>
            </w:tcBorders>
            <w:shd w:val="clear" w:color="auto" w:fill="auto"/>
            <w:vAlign w:val="bottom"/>
          </w:tcPr>
          <w:p w14:paraId="2662444E" w14:textId="4706C756" w:rsidR="00EA17AA" w:rsidRPr="001F224B" w:rsidRDefault="00EA17AA" w:rsidP="00B81140">
            <w:pPr>
              <w:jc w:val="right"/>
              <w:rPr>
                <w:sz w:val="16"/>
                <w:szCs w:val="16"/>
              </w:rPr>
            </w:pPr>
            <w:r w:rsidRPr="001F224B">
              <w:rPr>
                <w:sz w:val="16"/>
                <w:szCs w:val="16"/>
              </w:rPr>
              <w:t xml:space="preserve"> -      </w:t>
            </w:r>
          </w:p>
        </w:tc>
        <w:tc>
          <w:tcPr>
            <w:tcW w:w="974" w:type="dxa"/>
            <w:tcBorders>
              <w:top w:val="single" w:sz="4" w:space="0" w:color="auto"/>
              <w:left w:val="nil"/>
              <w:bottom w:val="single" w:sz="4" w:space="0" w:color="auto"/>
              <w:right w:val="single" w:sz="4" w:space="0" w:color="auto"/>
            </w:tcBorders>
            <w:shd w:val="clear" w:color="auto" w:fill="auto"/>
            <w:vAlign w:val="bottom"/>
          </w:tcPr>
          <w:p w14:paraId="22E32F31" w14:textId="0230D0C4" w:rsidR="00EA17AA" w:rsidRPr="001F224B" w:rsidRDefault="00EA17AA" w:rsidP="00B81140">
            <w:pPr>
              <w:jc w:val="right"/>
              <w:rPr>
                <w:sz w:val="16"/>
                <w:szCs w:val="16"/>
              </w:rPr>
            </w:pPr>
            <w:r w:rsidRPr="001F224B">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auto"/>
            <w:vAlign w:val="bottom"/>
          </w:tcPr>
          <w:p w14:paraId="00962FE4" w14:textId="271080A4" w:rsidR="00EA17AA" w:rsidRPr="001F224B" w:rsidRDefault="00EA17AA" w:rsidP="00B81140">
            <w:pPr>
              <w:jc w:val="right"/>
              <w:rPr>
                <w:sz w:val="16"/>
                <w:szCs w:val="16"/>
              </w:rPr>
            </w:pPr>
            <w:r w:rsidRPr="001F224B">
              <w:rPr>
                <w:sz w:val="16"/>
                <w:szCs w:val="16"/>
              </w:rPr>
              <w:t xml:space="preserve"> -      </w:t>
            </w:r>
          </w:p>
        </w:tc>
        <w:tc>
          <w:tcPr>
            <w:tcW w:w="1010" w:type="dxa"/>
            <w:tcBorders>
              <w:top w:val="single" w:sz="4" w:space="0" w:color="auto"/>
              <w:left w:val="nil"/>
              <w:bottom w:val="single" w:sz="4" w:space="0" w:color="auto"/>
              <w:right w:val="single" w:sz="4" w:space="0" w:color="auto"/>
            </w:tcBorders>
            <w:shd w:val="clear" w:color="auto" w:fill="auto"/>
            <w:vAlign w:val="bottom"/>
          </w:tcPr>
          <w:p w14:paraId="1CB7DD13" w14:textId="5E300C5F" w:rsidR="00EA17AA" w:rsidRPr="001F224B" w:rsidRDefault="00EA17AA" w:rsidP="00B81140">
            <w:pPr>
              <w:jc w:val="right"/>
              <w:rPr>
                <w:sz w:val="16"/>
                <w:szCs w:val="16"/>
              </w:rPr>
            </w:pPr>
            <w:r w:rsidRPr="001F224B">
              <w:rPr>
                <w:sz w:val="16"/>
                <w:szCs w:val="16"/>
              </w:rPr>
              <w:t xml:space="preserve"> -      </w:t>
            </w:r>
          </w:p>
        </w:tc>
        <w:tc>
          <w:tcPr>
            <w:tcW w:w="994" w:type="dxa"/>
            <w:tcBorders>
              <w:top w:val="single" w:sz="4" w:space="0" w:color="auto"/>
              <w:left w:val="nil"/>
              <w:bottom w:val="single" w:sz="4" w:space="0" w:color="auto"/>
              <w:right w:val="single" w:sz="4" w:space="0" w:color="auto"/>
            </w:tcBorders>
            <w:shd w:val="clear" w:color="auto" w:fill="auto"/>
            <w:vAlign w:val="bottom"/>
          </w:tcPr>
          <w:p w14:paraId="54A8F1ED" w14:textId="5D514FC2" w:rsidR="00EA17AA" w:rsidRPr="001F224B" w:rsidRDefault="00EA17AA" w:rsidP="00B81140">
            <w:pPr>
              <w:jc w:val="right"/>
              <w:rPr>
                <w:sz w:val="16"/>
                <w:szCs w:val="16"/>
              </w:rPr>
            </w:pPr>
            <w:r w:rsidRPr="001F224B">
              <w:rPr>
                <w:sz w:val="16"/>
                <w:szCs w:val="16"/>
              </w:rPr>
              <w:t xml:space="preserve"> -      </w:t>
            </w:r>
          </w:p>
        </w:tc>
      </w:tr>
      <w:tr w:rsidR="00EA17AA" w:rsidRPr="001F224B" w14:paraId="21AB190E"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D08790" w14:textId="77777777" w:rsidR="00EA17AA" w:rsidRPr="001F224B" w:rsidRDefault="00EA17AA" w:rsidP="00EA17AA">
            <w:pPr>
              <w:ind w:left="356"/>
              <w:rPr>
                <w:rFonts w:asciiTheme="majorBidi" w:hAnsiTheme="majorBidi" w:cstheme="majorBidi"/>
                <w:sz w:val="18"/>
                <w:szCs w:val="18"/>
              </w:rPr>
            </w:pPr>
            <w:r w:rsidRPr="001F224B">
              <w:rPr>
                <w:rFonts w:asciiTheme="majorBidi" w:hAnsiTheme="majorBidi" w:cstheme="majorBidi"/>
                <w:sz w:val="18"/>
                <w:szCs w:val="18"/>
              </w:rPr>
              <w:t>Diğer Mevduat</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6ED7A0D" w14:textId="2D7EE368" w:rsidR="00EA17AA" w:rsidRPr="001F224B" w:rsidRDefault="00EA17AA" w:rsidP="00B81140">
            <w:pPr>
              <w:jc w:val="right"/>
              <w:rPr>
                <w:sz w:val="16"/>
                <w:szCs w:val="16"/>
              </w:rPr>
            </w:pPr>
            <w:r w:rsidRPr="001F224B">
              <w:rPr>
                <w:sz w:val="16"/>
                <w:szCs w:val="16"/>
              </w:rPr>
              <w:t xml:space="preserve"> -      </w:t>
            </w:r>
          </w:p>
        </w:tc>
        <w:tc>
          <w:tcPr>
            <w:tcW w:w="923" w:type="dxa"/>
            <w:tcBorders>
              <w:top w:val="single" w:sz="4" w:space="0" w:color="auto"/>
              <w:left w:val="nil"/>
              <w:bottom w:val="single" w:sz="4" w:space="0" w:color="auto"/>
              <w:right w:val="single" w:sz="4" w:space="0" w:color="auto"/>
            </w:tcBorders>
            <w:shd w:val="clear" w:color="auto" w:fill="auto"/>
            <w:vAlign w:val="bottom"/>
          </w:tcPr>
          <w:p w14:paraId="6F701D49" w14:textId="77E6D888" w:rsidR="00EA17AA" w:rsidRPr="001F224B" w:rsidRDefault="00EA17AA" w:rsidP="00B81140">
            <w:pPr>
              <w:jc w:val="right"/>
              <w:rPr>
                <w:sz w:val="16"/>
                <w:szCs w:val="16"/>
              </w:rPr>
            </w:pPr>
            <w:r w:rsidRPr="001F224B">
              <w:rPr>
                <w:sz w:val="16"/>
                <w:szCs w:val="16"/>
              </w:rPr>
              <w:t xml:space="preserve"> -      </w:t>
            </w:r>
          </w:p>
        </w:tc>
        <w:tc>
          <w:tcPr>
            <w:tcW w:w="1019" w:type="dxa"/>
            <w:tcBorders>
              <w:top w:val="single" w:sz="4" w:space="0" w:color="auto"/>
              <w:left w:val="nil"/>
              <w:bottom w:val="single" w:sz="4" w:space="0" w:color="auto"/>
              <w:right w:val="single" w:sz="4" w:space="0" w:color="auto"/>
            </w:tcBorders>
            <w:shd w:val="clear" w:color="auto" w:fill="auto"/>
            <w:vAlign w:val="bottom"/>
          </w:tcPr>
          <w:p w14:paraId="3B206E2F" w14:textId="6E0DCBBF" w:rsidR="00EA17AA" w:rsidRPr="001F224B" w:rsidRDefault="00EA17AA" w:rsidP="00B81140">
            <w:pPr>
              <w:jc w:val="right"/>
              <w:rPr>
                <w:sz w:val="16"/>
                <w:szCs w:val="16"/>
              </w:rPr>
            </w:pPr>
            <w:r w:rsidRPr="001F224B">
              <w:rPr>
                <w:sz w:val="16"/>
                <w:szCs w:val="16"/>
              </w:rPr>
              <w:t xml:space="preserve"> -      </w:t>
            </w:r>
          </w:p>
        </w:tc>
        <w:tc>
          <w:tcPr>
            <w:tcW w:w="974" w:type="dxa"/>
            <w:tcBorders>
              <w:top w:val="single" w:sz="4" w:space="0" w:color="auto"/>
              <w:left w:val="nil"/>
              <w:bottom w:val="single" w:sz="4" w:space="0" w:color="auto"/>
              <w:right w:val="single" w:sz="4" w:space="0" w:color="auto"/>
            </w:tcBorders>
            <w:shd w:val="clear" w:color="auto" w:fill="auto"/>
            <w:vAlign w:val="bottom"/>
          </w:tcPr>
          <w:p w14:paraId="662FD3DE" w14:textId="224E3F6C" w:rsidR="00EA17AA" w:rsidRPr="001F224B" w:rsidRDefault="00EA17AA" w:rsidP="00B81140">
            <w:pPr>
              <w:jc w:val="right"/>
              <w:rPr>
                <w:sz w:val="16"/>
                <w:szCs w:val="16"/>
              </w:rPr>
            </w:pPr>
            <w:r w:rsidRPr="001F224B">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auto"/>
            <w:vAlign w:val="bottom"/>
          </w:tcPr>
          <w:p w14:paraId="53DFE0D6" w14:textId="2EE3CE67" w:rsidR="00EA17AA" w:rsidRPr="001F224B" w:rsidRDefault="00EA17AA" w:rsidP="00B81140">
            <w:pPr>
              <w:jc w:val="right"/>
              <w:rPr>
                <w:sz w:val="16"/>
                <w:szCs w:val="16"/>
              </w:rPr>
            </w:pPr>
            <w:r w:rsidRPr="001F224B">
              <w:rPr>
                <w:sz w:val="16"/>
                <w:szCs w:val="16"/>
              </w:rPr>
              <w:t xml:space="preserve"> -      </w:t>
            </w:r>
          </w:p>
        </w:tc>
        <w:tc>
          <w:tcPr>
            <w:tcW w:w="1010" w:type="dxa"/>
            <w:tcBorders>
              <w:top w:val="single" w:sz="4" w:space="0" w:color="auto"/>
              <w:left w:val="nil"/>
              <w:bottom w:val="single" w:sz="4" w:space="0" w:color="auto"/>
              <w:right w:val="single" w:sz="4" w:space="0" w:color="auto"/>
            </w:tcBorders>
            <w:shd w:val="clear" w:color="auto" w:fill="auto"/>
            <w:vAlign w:val="bottom"/>
          </w:tcPr>
          <w:p w14:paraId="4EC14EE1" w14:textId="747219C9" w:rsidR="00EA17AA" w:rsidRPr="001F224B" w:rsidRDefault="00EA17AA" w:rsidP="00B81140">
            <w:pPr>
              <w:jc w:val="right"/>
              <w:rPr>
                <w:sz w:val="16"/>
                <w:szCs w:val="16"/>
              </w:rPr>
            </w:pPr>
            <w:r w:rsidRPr="001F224B">
              <w:rPr>
                <w:sz w:val="16"/>
                <w:szCs w:val="16"/>
              </w:rPr>
              <w:t xml:space="preserve"> -      </w:t>
            </w:r>
          </w:p>
        </w:tc>
        <w:tc>
          <w:tcPr>
            <w:tcW w:w="994" w:type="dxa"/>
            <w:tcBorders>
              <w:top w:val="single" w:sz="4" w:space="0" w:color="auto"/>
              <w:left w:val="nil"/>
              <w:bottom w:val="single" w:sz="4" w:space="0" w:color="auto"/>
              <w:right w:val="single" w:sz="4" w:space="0" w:color="auto"/>
            </w:tcBorders>
            <w:shd w:val="clear" w:color="auto" w:fill="auto"/>
            <w:vAlign w:val="bottom"/>
          </w:tcPr>
          <w:p w14:paraId="68FBDF1C" w14:textId="2EAC9FC1" w:rsidR="00EA17AA" w:rsidRPr="001F224B" w:rsidRDefault="00EA17AA" w:rsidP="00B81140">
            <w:pPr>
              <w:jc w:val="right"/>
              <w:rPr>
                <w:sz w:val="16"/>
                <w:szCs w:val="16"/>
              </w:rPr>
            </w:pPr>
            <w:r w:rsidRPr="001F224B">
              <w:rPr>
                <w:sz w:val="16"/>
                <w:szCs w:val="16"/>
              </w:rPr>
              <w:t xml:space="preserve"> -      </w:t>
            </w:r>
          </w:p>
        </w:tc>
      </w:tr>
      <w:tr w:rsidR="00B81140" w:rsidRPr="001F224B" w14:paraId="5FE7A52D"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E42025A" w14:textId="7284487F"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75612B5B" w14:textId="0BC3A766" w:rsidR="00B81140" w:rsidRPr="001F224B" w:rsidRDefault="00B81140" w:rsidP="00B81140">
            <w:pPr>
              <w:jc w:val="right"/>
              <w:rPr>
                <w:sz w:val="16"/>
                <w:szCs w:val="16"/>
              </w:rPr>
            </w:pPr>
            <w:r w:rsidRPr="001F224B">
              <w:rPr>
                <w:sz w:val="16"/>
                <w:szCs w:val="16"/>
              </w:rPr>
              <w:t xml:space="preserve"> 4.152.350    </w:t>
            </w:r>
          </w:p>
        </w:tc>
        <w:tc>
          <w:tcPr>
            <w:tcW w:w="923" w:type="dxa"/>
            <w:tcBorders>
              <w:top w:val="single" w:sz="4" w:space="0" w:color="auto"/>
              <w:left w:val="nil"/>
              <w:bottom w:val="single" w:sz="4" w:space="0" w:color="auto"/>
              <w:right w:val="single" w:sz="4" w:space="0" w:color="auto"/>
            </w:tcBorders>
            <w:shd w:val="clear" w:color="auto" w:fill="auto"/>
            <w:vAlign w:val="bottom"/>
          </w:tcPr>
          <w:p w14:paraId="2BC93B38" w14:textId="54A4CC1C" w:rsidR="00B81140" w:rsidRPr="001F224B" w:rsidRDefault="00B81140" w:rsidP="00B81140">
            <w:pPr>
              <w:jc w:val="right"/>
              <w:rPr>
                <w:sz w:val="16"/>
                <w:szCs w:val="16"/>
              </w:rPr>
            </w:pPr>
            <w:r w:rsidRPr="001F224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1F1A23E" w14:textId="51373FFD" w:rsidR="00B81140" w:rsidRPr="001F224B" w:rsidRDefault="00B81140" w:rsidP="00B81140">
            <w:pPr>
              <w:jc w:val="right"/>
              <w:rPr>
                <w:sz w:val="16"/>
                <w:szCs w:val="16"/>
              </w:rPr>
            </w:pPr>
            <w:r w:rsidRPr="001F224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DEA08A2" w14:textId="4F9EA360"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659D5BD" w14:textId="13EE8B3F" w:rsidR="00B81140" w:rsidRPr="001F224B" w:rsidRDefault="00B81140" w:rsidP="00B81140">
            <w:pPr>
              <w:jc w:val="right"/>
              <w:rPr>
                <w:sz w:val="16"/>
                <w:szCs w:val="16"/>
              </w:rPr>
            </w:pPr>
            <w:r w:rsidRPr="001F224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F6997EB" w14:textId="41609C8B" w:rsidR="00B81140" w:rsidRPr="001F224B" w:rsidRDefault="00B81140" w:rsidP="00B81140">
            <w:pPr>
              <w:jc w:val="right"/>
              <w:rPr>
                <w:sz w:val="16"/>
                <w:szCs w:val="16"/>
              </w:rPr>
            </w:pPr>
            <w:r w:rsidRPr="001F224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0F5C732" w14:textId="70506847" w:rsidR="00B81140" w:rsidRPr="001F224B" w:rsidRDefault="00B81140" w:rsidP="00B81140">
            <w:pPr>
              <w:jc w:val="right"/>
              <w:rPr>
                <w:sz w:val="16"/>
                <w:szCs w:val="16"/>
              </w:rPr>
            </w:pPr>
            <w:r w:rsidRPr="001F224B">
              <w:rPr>
                <w:sz w:val="16"/>
                <w:szCs w:val="16"/>
              </w:rPr>
              <w:t>4.152.350</w:t>
            </w:r>
          </w:p>
        </w:tc>
      </w:tr>
      <w:tr w:rsidR="00B81140" w:rsidRPr="001F224B" w14:paraId="5E5EA8D2"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34A216" w14:textId="3E7A903E"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Muhtelif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03B1543" w14:textId="3262643A" w:rsidR="00B81140" w:rsidRPr="001F224B" w:rsidRDefault="00B81140" w:rsidP="00B81140">
            <w:pPr>
              <w:jc w:val="right"/>
              <w:rPr>
                <w:sz w:val="16"/>
                <w:szCs w:val="16"/>
              </w:rPr>
            </w:pPr>
            <w:r w:rsidRPr="001F224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05AB7B24" w14:textId="723791F6" w:rsidR="00B81140" w:rsidRPr="001F224B" w:rsidRDefault="00B81140" w:rsidP="00B81140">
            <w:pPr>
              <w:jc w:val="right"/>
              <w:rPr>
                <w:sz w:val="16"/>
                <w:szCs w:val="16"/>
              </w:rPr>
            </w:pPr>
            <w:r w:rsidRPr="001F224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1E9FD8B7" w14:textId="45A7B59E" w:rsidR="00B81140" w:rsidRPr="001F224B" w:rsidRDefault="00B81140" w:rsidP="00B81140">
            <w:pPr>
              <w:jc w:val="right"/>
              <w:rPr>
                <w:sz w:val="16"/>
                <w:szCs w:val="16"/>
              </w:rPr>
            </w:pPr>
            <w:r w:rsidRPr="001F224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549A6A4" w14:textId="4DEF3E45"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58ACA54" w14:textId="7AF74A4F" w:rsidR="00B81140" w:rsidRPr="001F224B" w:rsidRDefault="00B81140" w:rsidP="00B81140">
            <w:pPr>
              <w:jc w:val="right"/>
              <w:rPr>
                <w:sz w:val="16"/>
                <w:szCs w:val="16"/>
              </w:rPr>
            </w:pPr>
            <w:r w:rsidRPr="001F224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880CFF5" w14:textId="4E616B88" w:rsidR="00B81140" w:rsidRPr="001F224B" w:rsidRDefault="00B81140" w:rsidP="00B81140">
            <w:pPr>
              <w:jc w:val="right"/>
              <w:rPr>
                <w:sz w:val="16"/>
                <w:szCs w:val="16"/>
              </w:rPr>
            </w:pPr>
            <w:r w:rsidRPr="001F224B">
              <w:rPr>
                <w:sz w:val="16"/>
                <w:szCs w:val="16"/>
              </w:rPr>
              <w:t xml:space="preserve"> 166.380    </w:t>
            </w:r>
          </w:p>
        </w:tc>
        <w:tc>
          <w:tcPr>
            <w:tcW w:w="994" w:type="dxa"/>
            <w:tcBorders>
              <w:top w:val="single" w:sz="4" w:space="0" w:color="auto"/>
              <w:left w:val="nil"/>
              <w:bottom w:val="single" w:sz="4" w:space="0" w:color="auto"/>
              <w:right w:val="single" w:sz="4" w:space="0" w:color="auto"/>
            </w:tcBorders>
            <w:shd w:val="clear" w:color="auto" w:fill="auto"/>
            <w:vAlign w:val="bottom"/>
          </w:tcPr>
          <w:p w14:paraId="60B6C2DE" w14:textId="32945B78" w:rsidR="00B81140" w:rsidRPr="001F224B" w:rsidRDefault="00B81140" w:rsidP="00B81140">
            <w:pPr>
              <w:jc w:val="right"/>
              <w:rPr>
                <w:sz w:val="16"/>
                <w:szCs w:val="16"/>
              </w:rPr>
            </w:pPr>
            <w:r w:rsidRPr="001F224B">
              <w:rPr>
                <w:sz w:val="16"/>
                <w:szCs w:val="16"/>
              </w:rPr>
              <w:t>166.380</w:t>
            </w:r>
          </w:p>
        </w:tc>
      </w:tr>
      <w:tr w:rsidR="00B81140" w:rsidRPr="001F224B" w14:paraId="0EFB9C20"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5ABA0C" w14:textId="5E7C4BD8"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İhraç Edilen Menkul Değerler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2FA0223F" w14:textId="03ABD5D9" w:rsidR="00B81140" w:rsidRPr="001F224B" w:rsidRDefault="00B81140" w:rsidP="00B81140">
            <w:pPr>
              <w:jc w:val="right"/>
              <w:rPr>
                <w:sz w:val="16"/>
                <w:szCs w:val="16"/>
              </w:rPr>
            </w:pPr>
            <w:r w:rsidRPr="001F224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2D4E9418" w14:textId="58E78A0B" w:rsidR="00B81140" w:rsidRPr="001F224B" w:rsidRDefault="00B81140" w:rsidP="00B81140">
            <w:pPr>
              <w:jc w:val="right"/>
              <w:rPr>
                <w:sz w:val="16"/>
                <w:szCs w:val="16"/>
              </w:rPr>
            </w:pPr>
            <w:r w:rsidRPr="001F224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A9421F4" w14:textId="696644AD" w:rsidR="00B81140" w:rsidRPr="001F224B" w:rsidRDefault="00B81140" w:rsidP="00B81140">
            <w:pPr>
              <w:jc w:val="right"/>
              <w:rPr>
                <w:sz w:val="16"/>
                <w:szCs w:val="16"/>
              </w:rPr>
            </w:pPr>
            <w:r w:rsidRPr="001F224B">
              <w:rPr>
                <w:sz w:val="16"/>
                <w:szCs w:val="16"/>
              </w:rPr>
              <w:t xml:space="preserve"> 5.172.578    </w:t>
            </w:r>
          </w:p>
        </w:tc>
        <w:tc>
          <w:tcPr>
            <w:tcW w:w="974" w:type="dxa"/>
            <w:tcBorders>
              <w:top w:val="single" w:sz="4" w:space="0" w:color="auto"/>
              <w:left w:val="nil"/>
              <w:bottom w:val="single" w:sz="4" w:space="0" w:color="auto"/>
              <w:right w:val="single" w:sz="4" w:space="0" w:color="auto"/>
            </w:tcBorders>
            <w:shd w:val="clear" w:color="auto" w:fill="auto"/>
            <w:vAlign w:val="bottom"/>
          </w:tcPr>
          <w:p w14:paraId="5FE7612F" w14:textId="6E34CF08"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883638" w14:textId="7BEAA1D2" w:rsidR="00B81140" w:rsidRPr="001F224B" w:rsidRDefault="00B81140" w:rsidP="00B81140">
            <w:pPr>
              <w:jc w:val="right"/>
              <w:rPr>
                <w:sz w:val="16"/>
                <w:szCs w:val="16"/>
              </w:rPr>
            </w:pPr>
            <w:r w:rsidRPr="001F224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694DCA1" w14:textId="734EEF7F" w:rsidR="00B81140" w:rsidRPr="001F224B" w:rsidRDefault="00B81140" w:rsidP="00B81140">
            <w:pPr>
              <w:jc w:val="right"/>
              <w:rPr>
                <w:sz w:val="16"/>
                <w:szCs w:val="16"/>
              </w:rPr>
            </w:pPr>
            <w:r w:rsidRPr="001F224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7E107F8" w14:textId="3EC9D8B1" w:rsidR="00B81140" w:rsidRPr="001F224B" w:rsidRDefault="00B81140" w:rsidP="00B81140">
            <w:pPr>
              <w:jc w:val="right"/>
              <w:rPr>
                <w:sz w:val="16"/>
                <w:szCs w:val="16"/>
              </w:rPr>
            </w:pPr>
            <w:r w:rsidRPr="001F224B">
              <w:rPr>
                <w:sz w:val="16"/>
                <w:szCs w:val="16"/>
              </w:rPr>
              <w:t>5.172.578</w:t>
            </w:r>
          </w:p>
        </w:tc>
      </w:tr>
      <w:tr w:rsidR="00B81140" w:rsidRPr="001F224B" w14:paraId="2728CE5B" w14:textId="77777777" w:rsidTr="00B81140">
        <w:trPr>
          <w:trHeight w:val="243"/>
        </w:trPr>
        <w:tc>
          <w:tcPr>
            <w:tcW w:w="3738" w:type="dxa"/>
            <w:tcBorders>
              <w:top w:val="nil"/>
              <w:left w:val="single" w:sz="4" w:space="0" w:color="auto"/>
              <w:bottom w:val="single" w:sz="4" w:space="0" w:color="auto"/>
              <w:right w:val="single" w:sz="4" w:space="0" w:color="auto"/>
            </w:tcBorders>
            <w:shd w:val="clear" w:color="000000" w:fill="FFFFFF"/>
            <w:vAlign w:val="bottom"/>
          </w:tcPr>
          <w:p w14:paraId="4D1220C8" w14:textId="14F1C541"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Diğer Mali Kuruluşlar. Sağl. Fonlar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B807B09" w14:textId="48FA559B" w:rsidR="00B81140" w:rsidRPr="001F224B" w:rsidRDefault="00B81140" w:rsidP="00B81140">
            <w:pPr>
              <w:jc w:val="right"/>
              <w:rPr>
                <w:sz w:val="16"/>
                <w:szCs w:val="16"/>
              </w:rPr>
            </w:pPr>
            <w:r w:rsidRPr="001F224B">
              <w:rPr>
                <w:sz w:val="16"/>
                <w:szCs w:val="16"/>
              </w:rPr>
              <w:t xml:space="preserve"> 4.871.672    </w:t>
            </w:r>
          </w:p>
        </w:tc>
        <w:tc>
          <w:tcPr>
            <w:tcW w:w="923" w:type="dxa"/>
            <w:tcBorders>
              <w:top w:val="single" w:sz="4" w:space="0" w:color="auto"/>
              <w:left w:val="nil"/>
              <w:bottom w:val="single" w:sz="4" w:space="0" w:color="auto"/>
              <w:right w:val="single" w:sz="4" w:space="0" w:color="auto"/>
            </w:tcBorders>
            <w:shd w:val="clear" w:color="auto" w:fill="auto"/>
            <w:vAlign w:val="bottom"/>
          </w:tcPr>
          <w:p w14:paraId="1AFCF511" w14:textId="589EF98E" w:rsidR="00B81140" w:rsidRPr="001F224B" w:rsidRDefault="00B81140" w:rsidP="00B81140">
            <w:pPr>
              <w:jc w:val="right"/>
              <w:rPr>
                <w:sz w:val="16"/>
                <w:szCs w:val="16"/>
              </w:rPr>
            </w:pPr>
            <w:r w:rsidRPr="001F224B">
              <w:rPr>
                <w:sz w:val="16"/>
                <w:szCs w:val="16"/>
              </w:rPr>
              <w:t xml:space="preserve"> 25.624.255    </w:t>
            </w:r>
          </w:p>
        </w:tc>
        <w:tc>
          <w:tcPr>
            <w:tcW w:w="1019" w:type="dxa"/>
            <w:tcBorders>
              <w:top w:val="single" w:sz="4" w:space="0" w:color="auto"/>
              <w:left w:val="nil"/>
              <w:bottom w:val="single" w:sz="4" w:space="0" w:color="auto"/>
              <w:right w:val="single" w:sz="4" w:space="0" w:color="auto"/>
            </w:tcBorders>
            <w:shd w:val="clear" w:color="auto" w:fill="auto"/>
            <w:vAlign w:val="bottom"/>
          </w:tcPr>
          <w:p w14:paraId="75525D1F" w14:textId="43ECA44B" w:rsidR="00B81140" w:rsidRPr="001F224B" w:rsidRDefault="00B81140" w:rsidP="00B81140">
            <w:pPr>
              <w:jc w:val="right"/>
              <w:rPr>
                <w:sz w:val="16"/>
                <w:szCs w:val="16"/>
              </w:rPr>
            </w:pPr>
            <w:r w:rsidRPr="001F224B">
              <w:rPr>
                <w:sz w:val="16"/>
                <w:szCs w:val="16"/>
              </w:rPr>
              <w:t xml:space="preserve"> 32.804.901    </w:t>
            </w:r>
          </w:p>
        </w:tc>
        <w:tc>
          <w:tcPr>
            <w:tcW w:w="974" w:type="dxa"/>
            <w:tcBorders>
              <w:top w:val="single" w:sz="4" w:space="0" w:color="auto"/>
              <w:left w:val="nil"/>
              <w:bottom w:val="single" w:sz="4" w:space="0" w:color="auto"/>
              <w:right w:val="single" w:sz="4" w:space="0" w:color="auto"/>
            </w:tcBorders>
            <w:shd w:val="clear" w:color="auto" w:fill="auto"/>
            <w:vAlign w:val="bottom"/>
          </w:tcPr>
          <w:p w14:paraId="73CB6731" w14:textId="69C8376F" w:rsidR="00B81140" w:rsidRPr="001F224B" w:rsidRDefault="00B81140" w:rsidP="00B81140">
            <w:pPr>
              <w:jc w:val="right"/>
              <w:rPr>
                <w:sz w:val="16"/>
                <w:szCs w:val="16"/>
              </w:rPr>
            </w:pPr>
            <w:r w:rsidRPr="001F224B">
              <w:rPr>
                <w:sz w:val="16"/>
                <w:szCs w:val="16"/>
              </w:rPr>
              <w:t xml:space="preserve"> 17.835.423    </w:t>
            </w:r>
          </w:p>
        </w:tc>
        <w:tc>
          <w:tcPr>
            <w:tcW w:w="993" w:type="dxa"/>
            <w:tcBorders>
              <w:top w:val="single" w:sz="4" w:space="0" w:color="auto"/>
              <w:left w:val="nil"/>
              <w:bottom w:val="single" w:sz="4" w:space="0" w:color="auto"/>
              <w:right w:val="single" w:sz="4" w:space="0" w:color="auto"/>
            </w:tcBorders>
            <w:shd w:val="clear" w:color="auto" w:fill="auto"/>
            <w:vAlign w:val="bottom"/>
          </w:tcPr>
          <w:p w14:paraId="5D42C998" w14:textId="3E49E90F" w:rsidR="00B81140" w:rsidRPr="001F224B" w:rsidRDefault="00B81140" w:rsidP="00B81140">
            <w:pPr>
              <w:jc w:val="right"/>
              <w:rPr>
                <w:sz w:val="16"/>
                <w:szCs w:val="16"/>
              </w:rPr>
            </w:pPr>
            <w:r w:rsidRPr="001F224B">
              <w:rPr>
                <w:sz w:val="16"/>
                <w:szCs w:val="16"/>
              </w:rPr>
              <w:t xml:space="preserve"> 47.158.099    </w:t>
            </w:r>
          </w:p>
        </w:tc>
        <w:tc>
          <w:tcPr>
            <w:tcW w:w="1010" w:type="dxa"/>
            <w:tcBorders>
              <w:top w:val="single" w:sz="4" w:space="0" w:color="auto"/>
              <w:left w:val="nil"/>
              <w:bottom w:val="single" w:sz="4" w:space="0" w:color="auto"/>
              <w:right w:val="single" w:sz="4" w:space="0" w:color="auto"/>
            </w:tcBorders>
            <w:shd w:val="clear" w:color="auto" w:fill="auto"/>
            <w:vAlign w:val="bottom"/>
          </w:tcPr>
          <w:p w14:paraId="663CC3BA" w14:textId="3646BEDE" w:rsidR="00B81140" w:rsidRPr="001F224B" w:rsidRDefault="00B81140" w:rsidP="00B81140">
            <w:pPr>
              <w:jc w:val="right"/>
              <w:rPr>
                <w:sz w:val="16"/>
                <w:szCs w:val="16"/>
              </w:rPr>
            </w:pPr>
            <w:r w:rsidRPr="001F224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442DABE8" w14:textId="7D9B3D6B" w:rsidR="00B81140" w:rsidRPr="001F224B" w:rsidRDefault="00B81140" w:rsidP="00B81140">
            <w:pPr>
              <w:jc w:val="right"/>
              <w:rPr>
                <w:sz w:val="16"/>
                <w:szCs w:val="16"/>
              </w:rPr>
            </w:pPr>
            <w:r w:rsidRPr="001F224B">
              <w:rPr>
                <w:sz w:val="16"/>
                <w:szCs w:val="16"/>
              </w:rPr>
              <w:t>128.294.350</w:t>
            </w:r>
          </w:p>
        </w:tc>
      </w:tr>
      <w:tr w:rsidR="00B81140" w:rsidRPr="001F224B" w14:paraId="075BB088"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1CE87A" w14:textId="32C07857" w:rsidR="00B81140" w:rsidRPr="001F224B" w:rsidRDefault="00B81140" w:rsidP="00B81140">
            <w:pPr>
              <w:ind w:left="356"/>
              <w:rPr>
                <w:rFonts w:asciiTheme="majorBidi" w:hAnsiTheme="majorBidi" w:cstheme="majorBidi"/>
                <w:sz w:val="18"/>
                <w:szCs w:val="18"/>
              </w:rPr>
            </w:pPr>
            <w:r w:rsidRPr="001F224B">
              <w:rPr>
                <w:rFonts w:asciiTheme="majorBidi" w:hAnsiTheme="majorBidi" w:cstheme="majorBidi"/>
                <w:sz w:val="18"/>
                <w:szCs w:val="18"/>
              </w:rPr>
              <w:t>Diğer Yükümlülükler</w:t>
            </w:r>
            <w:r w:rsidRPr="001F224B">
              <w:rPr>
                <w:rFonts w:asciiTheme="majorBidi" w:hAnsiTheme="majorBidi" w:cstheme="majorBidi"/>
                <w:sz w:val="18"/>
                <w:szCs w:val="18"/>
                <w:vertAlign w:val="superscript"/>
              </w:rPr>
              <w:t>(4) (6)</w:t>
            </w:r>
          </w:p>
        </w:tc>
        <w:tc>
          <w:tcPr>
            <w:tcW w:w="868" w:type="dxa"/>
            <w:tcBorders>
              <w:top w:val="single" w:sz="4" w:space="0" w:color="auto"/>
              <w:left w:val="nil"/>
              <w:bottom w:val="single" w:sz="4" w:space="0" w:color="auto"/>
              <w:right w:val="single" w:sz="4" w:space="0" w:color="auto"/>
            </w:tcBorders>
            <w:shd w:val="clear" w:color="auto" w:fill="auto"/>
            <w:vAlign w:val="bottom"/>
          </w:tcPr>
          <w:p w14:paraId="260F4F1D" w14:textId="0125DCEE" w:rsidR="00B81140" w:rsidRPr="001F224B" w:rsidRDefault="00B81140" w:rsidP="00B81140">
            <w:pPr>
              <w:jc w:val="right"/>
              <w:rPr>
                <w:sz w:val="16"/>
                <w:szCs w:val="16"/>
              </w:rPr>
            </w:pPr>
            <w:r w:rsidRPr="001F224B">
              <w:rPr>
                <w:sz w:val="16"/>
                <w:szCs w:val="16"/>
              </w:rPr>
              <w:t xml:space="preserve"> 1.098.920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345AC741" w14:textId="53151B7F" w:rsidR="00B81140" w:rsidRPr="001F224B" w:rsidRDefault="00B81140" w:rsidP="00B81140">
            <w:pPr>
              <w:jc w:val="right"/>
              <w:rPr>
                <w:sz w:val="16"/>
                <w:szCs w:val="16"/>
              </w:rPr>
            </w:pPr>
            <w:r w:rsidRPr="001F224B">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99AD98A" w14:textId="0029594D" w:rsidR="00B81140" w:rsidRPr="001F224B" w:rsidRDefault="00B81140" w:rsidP="00B81140">
            <w:pPr>
              <w:jc w:val="right"/>
              <w:rPr>
                <w:sz w:val="16"/>
                <w:szCs w:val="16"/>
              </w:rPr>
            </w:pPr>
            <w:r w:rsidRPr="001F224B">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64983D33" w14:textId="6BCCB099"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F70C4F7" w14:textId="3E23D084" w:rsidR="00B81140" w:rsidRPr="001F224B" w:rsidRDefault="00B81140" w:rsidP="00B81140">
            <w:pPr>
              <w:jc w:val="right"/>
              <w:rPr>
                <w:sz w:val="16"/>
                <w:szCs w:val="16"/>
              </w:rPr>
            </w:pPr>
            <w:r w:rsidRPr="001F224B">
              <w:rPr>
                <w:sz w:val="16"/>
                <w:szCs w:val="16"/>
              </w:rPr>
              <w:t xml:space="preserve"> 5.459.974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6440FFBC" w14:textId="35BA2B87" w:rsidR="00B81140" w:rsidRPr="001F224B" w:rsidRDefault="00B81140" w:rsidP="00B81140">
            <w:pPr>
              <w:jc w:val="right"/>
              <w:rPr>
                <w:sz w:val="16"/>
                <w:szCs w:val="16"/>
              </w:rPr>
            </w:pPr>
            <w:r w:rsidRPr="001F224B">
              <w:rPr>
                <w:sz w:val="16"/>
                <w:szCs w:val="16"/>
              </w:rPr>
              <w:t xml:space="preserve"> 41.147.643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2C9FBE7E" w14:textId="122A5867" w:rsidR="00B81140" w:rsidRPr="001F224B" w:rsidRDefault="00B81140" w:rsidP="00B81140">
            <w:pPr>
              <w:jc w:val="right"/>
              <w:rPr>
                <w:sz w:val="16"/>
                <w:szCs w:val="16"/>
              </w:rPr>
            </w:pPr>
            <w:r w:rsidRPr="001F224B">
              <w:rPr>
                <w:sz w:val="16"/>
                <w:szCs w:val="16"/>
              </w:rPr>
              <w:t>47.706.537</w:t>
            </w:r>
          </w:p>
        </w:tc>
      </w:tr>
      <w:tr w:rsidR="00B81140" w:rsidRPr="001F224B" w14:paraId="4D9DF9F1"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3901331" w14:textId="77777777" w:rsidR="00B81140" w:rsidRPr="001F224B" w:rsidRDefault="00B81140" w:rsidP="00B81140">
            <w:pPr>
              <w:rPr>
                <w:rFonts w:asciiTheme="majorBidi" w:hAnsiTheme="majorBidi" w:cstheme="majorBidi"/>
                <w:b/>
                <w:sz w:val="18"/>
                <w:szCs w:val="18"/>
              </w:rPr>
            </w:pPr>
            <w:r w:rsidRPr="001F224B">
              <w:rPr>
                <w:rFonts w:asciiTheme="majorBidi" w:hAnsiTheme="majorBidi" w:cstheme="majorBidi"/>
                <w:b/>
                <w:sz w:val="18"/>
                <w:szCs w:val="18"/>
              </w:rPr>
              <w:t>Toplam Yükümlülükler</w:t>
            </w:r>
          </w:p>
        </w:tc>
        <w:tc>
          <w:tcPr>
            <w:tcW w:w="868" w:type="dxa"/>
            <w:tcBorders>
              <w:top w:val="single" w:sz="4" w:space="0" w:color="auto"/>
              <w:left w:val="nil"/>
              <w:bottom w:val="single" w:sz="4" w:space="0" w:color="auto"/>
              <w:right w:val="single" w:sz="4" w:space="0" w:color="auto"/>
            </w:tcBorders>
            <w:shd w:val="clear" w:color="auto" w:fill="auto"/>
            <w:vAlign w:val="bottom"/>
          </w:tcPr>
          <w:p w14:paraId="293D2B13" w14:textId="4F31DA4B" w:rsidR="00B81140" w:rsidRPr="001F224B" w:rsidRDefault="00B81140" w:rsidP="00B81140">
            <w:pPr>
              <w:jc w:val="right"/>
              <w:rPr>
                <w:sz w:val="16"/>
                <w:szCs w:val="16"/>
              </w:rPr>
            </w:pPr>
            <w:r w:rsidRPr="001F224B">
              <w:rPr>
                <w:sz w:val="16"/>
                <w:szCs w:val="16"/>
              </w:rPr>
              <w:t>10.122.942</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2AAA3D70" w14:textId="2B30818F" w:rsidR="00B81140" w:rsidRPr="001F224B" w:rsidRDefault="00B81140" w:rsidP="00B81140">
            <w:pPr>
              <w:jc w:val="right"/>
              <w:rPr>
                <w:sz w:val="16"/>
                <w:szCs w:val="16"/>
              </w:rPr>
            </w:pPr>
            <w:r w:rsidRPr="001F224B">
              <w:rPr>
                <w:sz w:val="16"/>
                <w:szCs w:val="16"/>
              </w:rPr>
              <w:t>25.624.255</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003BABE" w14:textId="018A0CF1" w:rsidR="00B81140" w:rsidRPr="001F224B" w:rsidRDefault="00B81140" w:rsidP="00B81140">
            <w:pPr>
              <w:jc w:val="right"/>
              <w:rPr>
                <w:sz w:val="16"/>
                <w:szCs w:val="16"/>
              </w:rPr>
            </w:pPr>
            <w:r w:rsidRPr="001F224B">
              <w:rPr>
                <w:sz w:val="16"/>
                <w:szCs w:val="16"/>
              </w:rPr>
              <w:t>37.977.479</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A1FE8B0" w14:textId="4FD2AE6C" w:rsidR="00B81140" w:rsidRPr="001F224B" w:rsidRDefault="00B81140" w:rsidP="00B81140">
            <w:pPr>
              <w:jc w:val="right"/>
              <w:rPr>
                <w:sz w:val="16"/>
                <w:szCs w:val="16"/>
              </w:rPr>
            </w:pPr>
            <w:r w:rsidRPr="001F224B">
              <w:rPr>
                <w:sz w:val="16"/>
                <w:szCs w:val="16"/>
              </w:rPr>
              <w:t>17.835.423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52E5D5E" w14:textId="4CBA1EB6" w:rsidR="00B81140" w:rsidRPr="001F224B" w:rsidRDefault="00B81140" w:rsidP="00B81140">
            <w:pPr>
              <w:jc w:val="right"/>
              <w:rPr>
                <w:sz w:val="16"/>
                <w:szCs w:val="16"/>
              </w:rPr>
            </w:pPr>
            <w:r w:rsidRPr="001F224B">
              <w:rPr>
                <w:sz w:val="16"/>
                <w:szCs w:val="16"/>
              </w:rPr>
              <w:t>52.618.073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5EC07FD1" w14:textId="759ADA31" w:rsidR="00B81140" w:rsidRPr="001F224B" w:rsidRDefault="00B81140" w:rsidP="00B81140">
            <w:pPr>
              <w:jc w:val="right"/>
              <w:rPr>
                <w:sz w:val="16"/>
                <w:szCs w:val="16"/>
              </w:rPr>
            </w:pPr>
            <w:r w:rsidRPr="001F224B">
              <w:rPr>
                <w:sz w:val="16"/>
                <w:szCs w:val="16"/>
              </w:rPr>
              <w:t>41.314.023</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19F45643" w14:textId="42AF80A6" w:rsidR="00B81140" w:rsidRPr="001F224B" w:rsidRDefault="00B81140" w:rsidP="00B81140">
            <w:pPr>
              <w:jc w:val="right"/>
              <w:rPr>
                <w:sz w:val="16"/>
                <w:szCs w:val="16"/>
              </w:rPr>
            </w:pPr>
            <w:r w:rsidRPr="001F224B">
              <w:rPr>
                <w:sz w:val="16"/>
                <w:szCs w:val="16"/>
              </w:rPr>
              <w:t>185.492.195</w:t>
            </w:r>
          </w:p>
        </w:tc>
      </w:tr>
      <w:tr w:rsidR="00EA17AA" w:rsidRPr="001F224B" w14:paraId="190D49B7"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8A75D5" w14:textId="77777777" w:rsidR="00EA17AA" w:rsidRPr="001F224B" w:rsidRDefault="00EA17AA" w:rsidP="00EA17AA">
            <w:pPr>
              <w:rPr>
                <w:rFonts w:asciiTheme="majorBidi" w:hAnsiTheme="majorBidi" w:cstheme="majorBidi"/>
                <w:sz w:val="18"/>
                <w:szCs w:val="18"/>
              </w:rPr>
            </w:pPr>
            <w:r w:rsidRPr="001F224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AD739B5" w14:textId="77777777" w:rsidR="00EA17AA" w:rsidRPr="001F224B" w:rsidRDefault="00EA17AA" w:rsidP="00B81140">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4DCD999D" w14:textId="77777777" w:rsidR="00EA17AA" w:rsidRPr="001F224B" w:rsidRDefault="00EA17AA" w:rsidP="00B81140">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638AF31A" w14:textId="77777777" w:rsidR="00EA17AA" w:rsidRPr="001F224B" w:rsidRDefault="00EA17AA" w:rsidP="00B81140">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49D08D4" w14:textId="77777777" w:rsidR="00EA17AA" w:rsidRPr="001F224B" w:rsidRDefault="00EA17AA" w:rsidP="00B81140">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768ABCB" w14:textId="77777777" w:rsidR="00EA17AA" w:rsidRPr="001F224B" w:rsidRDefault="00EA17AA" w:rsidP="00B81140">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0593717A" w14:textId="77777777" w:rsidR="00EA17AA" w:rsidRPr="001F224B" w:rsidRDefault="00EA17AA" w:rsidP="00B81140">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04750A00" w14:textId="77777777" w:rsidR="00EA17AA" w:rsidRPr="001F224B" w:rsidRDefault="00EA17AA" w:rsidP="00B81140">
            <w:pPr>
              <w:jc w:val="right"/>
              <w:rPr>
                <w:sz w:val="16"/>
                <w:szCs w:val="16"/>
              </w:rPr>
            </w:pPr>
          </w:p>
        </w:tc>
      </w:tr>
      <w:tr w:rsidR="00B81140" w:rsidRPr="001F224B" w14:paraId="3CAD1AE6"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583DBD" w14:textId="338ED93E" w:rsidR="00B81140" w:rsidRPr="001F224B" w:rsidRDefault="00B81140" w:rsidP="00B81140">
            <w:pPr>
              <w:rPr>
                <w:rFonts w:asciiTheme="majorBidi" w:hAnsiTheme="majorBidi" w:cstheme="majorBidi"/>
                <w:sz w:val="18"/>
                <w:szCs w:val="18"/>
              </w:rPr>
            </w:pPr>
            <w:r w:rsidRPr="001F224B">
              <w:rPr>
                <w:rFonts w:asciiTheme="majorBidi" w:hAnsiTheme="majorBidi" w:cstheme="majorBidi"/>
                <w:sz w:val="18"/>
                <w:szCs w:val="18"/>
              </w:rPr>
              <w:t>Bilançodaki Uzun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6C456934" w14:textId="20621CE2" w:rsidR="00B81140" w:rsidRPr="001F224B" w:rsidRDefault="00B81140" w:rsidP="00B81140">
            <w:pPr>
              <w:jc w:val="right"/>
              <w:rPr>
                <w:sz w:val="16"/>
                <w:szCs w:val="16"/>
              </w:rPr>
            </w:pPr>
            <w:r w:rsidRPr="001F224B">
              <w:rPr>
                <w:sz w:val="16"/>
                <w:szCs w:val="16"/>
              </w:rPr>
              <w:t>29.262.714</w:t>
            </w:r>
          </w:p>
        </w:tc>
        <w:tc>
          <w:tcPr>
            <w:tcW w:w="923" w:type="dxa"/>
            <w:tcBorders>
              <w:top w:val="single" w:sz="4" w:space="0" w:color="auto"/>
              <w:left w:val="nil"/>
              <w:bottom w:val="nil"/>
              <w:right w:val="single" w:sz="4" w:space="0" w:color="auto"/>
            </w:tcBorders>
            <w:shd w:val="clear" w:color="auto" w:fill="auto"/>
            <w:vAlign w:val="bottom"/>
          </w:tcPr>
          <w:p w14:paraId="3DE1DF4F" w14:textId="7942709C" w:rsidR="00B81140" w:rsidRPr="001F224B" w:rsidRDefault="00B81140" w:rsidP="00B81140">
            <w:pPr>
              <w:ind w:left="-417" w:right="-93"/>
              <w:jc w:val="center"/>
              <w:rPr>
                <w:sz w:val="16"/>
                <w:szCs w:val="16"/>
              </w:rPr>
            </w:pPr>
            <w:r w:rsidRPr="001F224B">
              <w:rPr>
                <w:sz w:val="16"/>
                <w:szCs w:val="16"/>
              </w:rPr>
              <w:t xml:space="preserve">                          -</w:t>
            </w:r>
          </w:p>
        </w:tc>
        <w:tc>
          <w:tcPr>
            <w:tcW w:w="1019" w:type="dxa"/>
            <w:tcBorders>
              <w:top w:val="single" w:sz="4" w:space="0" w:color="auto"/>
              <w:left w:val="nil"/>
              <w:bottom w:val="nil"/>
              <w:right w:val="single" w:sz="4" w:space="0" w:color="auto"/>
            </w:tcBorders>
            <w:shd w:val="clear" w:color="auto" w:fill="auto"/>
            <w:vAlign w:val="bottom"/>
          </w:tcPr>
          <w:p w14:paraId="1D40B770" w14:textId="14A1F108" w:rsidR="00B81140" w:rsidRPr="001F224B" w:rsidRDefault="00B81140" w:rsidP="00B81140">
            <w:pPr>
              <w:jc w:val="right"/>
              <w:rPr>
                <w:sz w:val="16"/>
                <w:szCs w:val="16"/>
              </w:rPr>
            </w:pPr>
            <w:r w:rsidRPr="001F224B">
              <w:rPr>
                <w:sz w:val="16"/>
                <w:szCs w:val="16"/>
              </w:rPr>
              <w:t>33.032.627</w:t>
            </w:r>
          </w:p>
        </w:tc>
        <w:tc>
          <w:tcPr>
            <w:tcW w:w="974" w:type="dxa"/>
            <w:tcBorders>
              <w:top w:val="single" w:sz="4" w:space="0" w:color="auto"/>
              <w:left w:val="nil"/>
              <w:bottom w:val="nil"/>
              <w:right w:val="single" w:sz="4" w:space="0" w:color="auto"/>
            </w:tcBorders>
            <w:shd w:val="clear" w:color="auto" w:fill="auto"/>
            <w:vAlign w:val="bottom"/>
          </w:tcPr>
          <w:p w14:paraId="56CA0014" w14:textId="10E0A275" w:rsidR="00B81140" w:rsidRPr="001F224B" w:rsidRDefault="00B81140" w:rsidP="00B81140">
            <w:pPr>
              <w:jc w:val="right"/>
              <w:rPr>
                <w:sz w:val="16"/>
                <w:szCs w:val="16"/>
              </w:rPr>
            </w:pPr>
            <w:r w:rsidRPr="001F224B">
              <w:rPr>
                <w:sz w:val="16"/>
                <w:szCs w:val="16"/>
              </w:rPr>
              <w:t>7.222.021</w:t>
            </w:r>
          </w:p>
        </w:tc>
        <w:tc>
          <w:tcPr>
            <w:tcW w:w="993" w:type="dxa"/>
            <w:tcBorders>
              <w:top w:val="single" w:sz="4" w:space="0" w:color="auto"/>
              <w:left w:val="nil"/>
              <w:bottom w:val="single" w:sz="4" w:space="0" w:color="auto"/>
              <w:right w:val="single" w:sz="4" w:space="0" w:color="auto"/>
            </w:tcBorders>
            <w:shd w:val="clear" w:color="auto" w:fill="auto"/>
            <w:vAlign w:val="bottom"/>
          </w:tcPr>
          <w:p w14:paraId="1E71E88B" w14:textId="5D5A01C8" w:rsidR="00B81140" w:rsidRPr="001F224B" w:rsidRDefault="00B81140" w:rsidP="00B81140">
            <w:pPr>
              <w:jc w:val="right"/>
              <w:rPr>
                <w:sz w:val="16"/>
                <w:szCs w:val="16"/>
              </w:rPr>
            </w:pPr>
            <w:r w:rsidRPr="001F224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2F2D7D8" w14:textId="61034F57" w:rsidR="00B81140" w:rsidRPr="001F224B" w:rsidRDefault="00B81140" w:rsidP="00B81140">
            <w:pPr>
              <w:jc w:val="right"/>
              <w:rPr>
                <w:sz w:val="16"/>
                <w:szCs w:val="16"/>
              </w:rPr>
            </w:pPr>
            <w:r w:rsidRPr="001F224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94F278E" w14:textId="1DA08186" w:rsidR="00B81140" w:rsidRPr="001F224B" w:rsidRDefault="00B81140" w:rsidP="00B81140">
            <w:pPr>
              <w:jc w:val="right"/>
              <w:rPr>
                <w:sz w:val="16"/>
                <w:szCs w:val="16"/>
              </w:rPr>
            </w:pPr>
            <w:r w:rsidRPr="001F224B">
              <w:rPr>
                <w:sz w:val="16"/>
                <w:szCs w:val="16"/>
              </w:rPr>
              <w:t>69.517.362</w:t>
            </w:r>
          </w:p>
        </w:tc>
      </w:tr>
      <w:tr w:rsidR="00B81140" w:rsidRPr="001F224B" w14:paraId="1D91D11B"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1450BAF" w14:textId="2D6A1EB3" w:rsidR="00B81140" w:rsidRPr="001F224B" w:rsidRDefault="00B81140" w:rsidP="00B81140">
            <w:pPr>
              <w:rPr>
                <w:rFonts w:asciiTheme="majorBidi" w:hAnsiTheme="majorBidi" w:cstheme="majorBidi"/>
                <w:sz w:val="18"/>
                <w:szCs w:val="18"/>
              </w:rPr>
            </w:pPr>
            <w:r w:rsidRPr="001F224B">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shd w:val="clear" w:color="auto" w:fill="auto"/>
            <w:vAlign w:val="bottom"/>
          </w:tcPr>
          <w:p w14:paraId="40DE0201" w14:textId="570795D8" w:rsidR="00B81140" w:rsidRPr="001F224B" w:rsidRDefault="00B81140" w:rsidP="00B81140">
            <w:pPr>
              <w:jc w:val="right"/>
              <w:rPr>
                <w:sz w:val="16"/>
                <w:szCs w:val="16"/>
              </w:rPr>
            </w:pPr>
            <w:r w:rsidRPr="001F224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1FFFC601" w14:textId="7227DD4A" w:rsidR="00B81140" w:rsidRPr="001F224B" w:rsidRDefault="00B81140" w:rsidP="00B81140">
            <w:pPr>
              <w:ind w:left="-143"/>
              <w:jc w:val="right"/>
              <w:rPr>
                <w:sz w:val="16"/>
                <w:szCs w:val="16"/>
              </w:rPr>
            </w:pPr>
            <w:r w:rsidRPr="001F224B">
              <w:rPr>
                <w:sz w:val="16"/>
                <w:szCs w:val="16"/>
              </w:rPr>
              <w:t>(9.445.374)</w:t>
            </w:r>
          </w:p>
        </w:tc>
        <w:tc>
          <w:tcPr>
            <w:tcW w:w="1019" w:type="dxa"/>
            <w:tcBorders>
              <w:top w:val="single" w:sz="4" w:space="0" w:color="auto"/>
              <w:left w:val="nil"/>
              <w:bottom w:val="nil"/>
              <w:right w:val="single" w:sz="4" w:space="0" w:color="auto"/>
            </w:tcBorders>
            <w:shd w:val="clear" w:color="auto" w:fill="auto"/>
            <w:vAlign w:val="bottom"/>
          </w:tcPr>
          <w:p w14:paraId="325BEA3B" w14:textId="590C661F" w:rsidR="00B81140" w:rsidRPr="001F224B" w:rsidRDefault="00B81140" w:rsidP="00B81140">
            <w:pPr>
              <w:jc w:val="right"/>
              <w:rPr>
                <w:sz w:val="16"/>
                <w:szCs w:val="16"/>
              </w:rPr>
            </w:pPr>
            <w:r w:rsidRPr="001F224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0B35B96C" w14:textId="4BB68742"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27170B80" w14:textId="697E43AE" w:rsidR="00B81140" w:rsidRPr="001F224B" w:rsidRDefault="00B81140" w:rsidP="00B81140">
            <w:pPr>
              <w:jc w:val="right"/>
              <w:rPr>
                <w:sz w:val="16"/>
                <w:szCs w:val="16"/>
              </w:rPr>
            </w:pPr>
            <w:r w:rsidRPr="001F224B">
              <w:rPr>
                <w:sz w:val="16"/>
                <w:szCs w:val="16"/>
              </w:rPr>
              <w:t>(21.544.486)</w:t>
            </w:r>
          </w:p>
        </w:tc>
        <w:tc>
          <w:tcPr>
            <w:tcW w:w="1010" w:type="dxa"/>
            <w:tcBorders>
              <w:top w:val="single" w:sz="4" w:space="0" w:color="auto"/>
              <w:left w:val="nil"/>
              <w:bottom w:val="nil"/>
              <w:right w:val="single" w:sz="4" w:space="0" w:color="auto"/>
            </w:tcBorders>
            <w:shd w:val="clear" w:color="auto" w:fill="auto"/>
            <w:vAlign w:val="bottom"/>
          </w:tcPr>
          <w:p w14:paraId="3A20E7DF" w14:textId="42E1EEC0" w:rsidR="00B81140" w:rsidRPr="001F224B" w:rsidRDefault="00B81140" w:rsidP="00B81140">
            <w:pPr>
              <w:jc w:val="right"/>
              <w:rPr>
                <w:sz w:val="16"/>
                <w:szCs w:val="16"/>
              </w:rPr>
            </w:pPr>
            <w:r w:rsidRPr="001F224B">
              <w:rPr>
                <w:sz w:val="16"/>
                <w:szCs w:val="16"/>
              </w:rPr>
              <w:t>(38.527.502)</w:t>
            </w:r>
          </w:p>
        </w:tc>
        <w:tc>
          <w:tcPr>
            <w:tcW w:w="994" w:type="dxa"/>
            <w:tcBorders>
              <w:top w:val="nil"/>
              <w:left w:val="nil"/>
              <w:bottom w:val="single" w:sz="4" w:space="0" w:color="auto"/>
              <w:right w:val="single" w:sz="4" w:space="0" w:color="auto"/>
            </w:tcBorders>
            <w:shd w:val="clear" w:color="auto" w:fill="auto"/>
            <w:vAlign w:val="bottom"/>
          </w:tcPr>
          <w:p w14:paraId="1B6C1C99" w14:textId="1C144BC0" w:rsidR="00B81140" w:rsidRPr="001F224B" w:rsidRDefault="00B81140" w:rsidP="00B81140">
            <w:pPr>
              <w:jc w:val="right"/>
              <w:rPr>
                <w:sz w:val="16"/>
                <w:szCs w:val="16"/>
              </w:rPr>
            </w:pPr>
            <w:r w:rsidRPr="001F224B">
              <w:rPr>
                <w:sz w:val="16"/>
                <w:szCs w:val="16"/>
              </w:rPr>
              <w:t xml:space="preserve">(69.517.362)    </w:t>
            </w:r>
          </w:p>
        </w:tc>
      </w:tr>
      <w:tr w:rsidR="00B81140" w:rsidRPr="001F224B" w14:paraId="57ED8D57"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8465816" w14:textId="77777777" w:rsidR="00B81140" w:rsidRPr="001F224B" w:rsidRDefault="00B81140" w:rsidP="00B81140">
            <w:pPr>
              <w:rPr>
                <w:rFonts w:asciiTheme="majorBidi" w:hAnsiTheme="majorBidi" w:cstheme="majorBidi"/>
                <w:sz w:val="18"/>
                <w:szCs w:val="18"/>
              </w:rPr>
            </w:pPr>
            <w:r w:rsidRPr="001F224B">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DAE252C" w14:textId="7E299DD2" w:rsidR="00B81140" w:rsidRPr="001F224B" w:rsidRDefault="00B81140" w:rsidP="00B81140">
            <w:pPr>
              <w:jc w:val="right"/>
              <w:rPr>
                <w:sz w:val="16"/>
                <w:szCs w:val="16"/>
              </w:rPr>
            </w:pPr>
            <w:r w:rsidRPr="001F224B">
              <w:rPr>
                <w:sz w:val="16"/>
                <w:szCs w:val="16"/>
              </w:rPr>
              <w:t>14.196</w:t>
            </w:r>
          </w:p>
        </w:tc>
        <w:tc>
          <w:tcPr>
            <w:tcW w:w="923" w:type="dxa"/>
            <w:tcBorders>
              <w:top w:val="single" w:sz="4" w:space="0" w:color="auto"/>
              <w:left w:val="nil"/>
              <w:bottom w:val="single" w:sz="4" w:space="0" w:color="auto"/>
              <w:right w:val="single" w:sz="4" w:space="0" w:color="auto"/>
            </w:tcBorders>
            <w:shd w:val="clear" w:color="auto" w:fill="auto"/>
            <w:vAlign w:val="bottom"/>
          </w:tcPr>
          <w:p w14:paraId="4CD4F960" w14:textId="0878297D" w:rsidR="00B81140" w:rsidRPr="001F224B" w:rsidRDefault="00B81140" w:rsidP="00B81140">
            <w:pPr>
              <w:jc w:val="right"/>
              <w:rPr>
                <w:sz w:val="16"/>
                <w:szCs w:val="16"/>
              </w:rPr>
            </w:pPr>
            <w:r w:rsidRPr="001F224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216FC366" w14:textId="11071A1C" w:rsidR="00B81140" w:rsidRPr="001F224B" w:rsidRDefault="00B81140" w:rsidP="00B81140">
            <w:pPr>
              <w:jc w:val="right"/>
              <w:rPr>
                <w:sz w:val="16"/>
                <w:szCs w:val="16"/>
              </w:rPr>
            </w:pPr>
            <w:r w:rsidRPr="001F224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57A7ECA1" w14:textId="7557099C"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02DCEC1" w14:textId="78BFC730" w:rsidR="00B81140" w:rsidRPr="001F224B" w:rsidRDefault="00B81140" w:rsidP="00B81140">
            <w:pPr>
              <w:jc w:val="right"/>
              <w:rPr>
                <w:sz w:val="16"/>
                <w:szCs w:val="16"/>
              </w:rPr>
            </w:pPr>
            <w:r w:rsidRPr="001F224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8619C07" w14:textId="4AF5374B" w:rsidR="00B81140" w:rsidRPr="001F224B" w:rsidRDefault="00B81140" w:rsidP="00B81140">
            <w:pPr>
              <w:jc w:val="right"/>
              <w:rPr>
                <w:sz w:val="16"/>
                <w:szCs w:val="16"/>
              </w:rPr>
            </w:pPr>
            <w:r w:rsidRPr="001F224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3AB912F" w14:textId="04662FE1" w:rsidR="00B81140" w:rsidRPr="001F224B" w:rsidRDefault="00B81140" w:rsidP="00B81140">
            <w:pPr>
              <w:jc w:val="right"/>
              <w:rPr>
                <w:sz w:val="16"/>
                <w:szCs w:val="16"/>
              </w:rPr>
            </w:pPr>
            <w:r w:rsidRPr="001F224B">
              <w:rPr>
                <w:sz w:val="16"/>
                <w:szCs w:val="16"/>
              </w:rPr>
              <w:t xml:space="preserve"> 14.196    </w:t>
            </w:r>
          </w:p>
        </w:tc>
      </w:tr>
      <w:tr w:rsidR="00B81140" w:rsidRPr="001F224B" w14:paraId="37560DEA" w14:textId="77777777" w:rsidTr="00B8114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F543791" w14:textId="77777777" w:rsidR="00B81140" w:rsidRPr="001F224B" w:rsidRDefault="00B81140" w:rsidP="00B81140">
            <w:pPr>
              <w:rPr>
                <w:rFonts w:asciiTheme="majorBidi" w:hAnsiTheme="majorBidi" w:cstheme="majorBidi"/>
                <w:sz w:val="18"/>
                <w:szCs w:val="18"/>
              </w:rPr>
            </w:pPr>
            <w:r w:rsidRPr="001F224B">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CE4A444" w14:textId="50D6AA63" w:rsidR="00B81140" w:rsidRPr="001F224B" w:rsidRDefault="00B81140" w:rsidP="00B81140">
            <w:pPr>
              <w:jc w:val="right"/>
              <w:rPr>
                <w:sz w:val="16"/>
                <w:szCs w:val="16"/>
              </w:rPr>
            </w:pPr>
            <w:r w:rsidRPr="001F224B">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1A7EC8CE" w14:textId="3CD59611" w:rsidR="00B81140" w:rsidRPr="001F224B" w:rsidRDefault="00B81140" w:rsidP="00B81140">
            <w:pPr>
              <w:jc w:val="right"/>
              <w:rPr>
                <w:sz w:val="16"/>
                <w:szCs w:val="16"/>
              </w:rPr>
            </w:pPr>
            <w:r w:rsidRPr="001F224B">
              <w:rPr>
                <w:sz w:val="16"/>
                <w:szCs w:val="16"/>
              </w:rPr>
              <w:t>(35.539)</w:t>
            </w:r>
          </w:p>
        </w:tc>
        <w:tc>
          <w:tcPr>
            <w:tcW w:w="1019" w:type="dxa"/>
            <w:tcBorders>
              <w:top w:val="single" w:sz="4" w:space="0" w:color="auto"/>
              <w:left w:val="nil"/>
              <w:bottom w:val="single" w:sz="4" w:space="0" w:color="auto"/>
              <w:right w:val="single" w:sz="4" w:space="0" w:color="auto"/>
            </w:tcBorders>
            <w:shd w:val="clear" w:color="auto" w:fill="auto"/>
            <w:vAlign w:val="bottom"/>
          </w:tcPr>
          <w:p w14:paraId="0CEA434E" w14:textId="0229C410" w:rsidR="00B81140" w:rsidRPr="001F224B" w:rsidRDefault="00B81140" w:rsidP="00B81140">
            <w:pPr>
              <w:jc w:val="right"/>
              <w:rPr>
                <w:sz w:val="16"/>
                <w:szCs w:val="16"/>
              </w:rPr>
            </w:pPr>
            <w:r w:rsidRPr="001F224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1224D138" w14:textId="7410674D" w:rsidR="00B81140" w:rsidRPr="001F224B" w:rsidRDefault="00B81140" w:rsidP="00B81140">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97B0891" w14:textId="2C239F95" w:rsidR="00B81140" w:rsidRPr="001F224B" w:rsidRDefault="00B81140" w:rsidP="00B81140">
            <w:pPr>
              <w:jc w:val="right"/>
              <w:rPr>
                <w:sz w:val="16"/>
                <w:szCs w:val="16"/>
              </w:rPr>
            </w:pPr>
            <w:r w:rsidRPr="001F224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7004777E" w14:textId="406A80A9" w:rsidR="00B81140" w:rsidRPr="001F224B" w:rsidRDefault="00B81140" w:rsidP="00B81140">
            <w:pPr>
              <w:jc w:val="right"/>
              <w:rPr>
                <w:sz w:val="16"/>
                <w:szCs w:val="16"/>
              </w:rPr>
            </w:pPr>
            <w:r w:rsidRPr="001F224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6690E49" w14:textId="08A22D3D" w:rsidR="00B81140" w:rsidRPr="001F224B" w:rsidRDefault="00B81140" w:rsidP="00B81140">
            <w:pPr>
              <w:jc w:val="right"/>
              <w:rPr>
                <w:sz w:val="16"/>
                <w:szCs w:val="16"/>
              </w:rPr>
            </w:pPr>
            <w:r w:rsidRPr="001F224B">
              <w:rPr>
                <w:sz w:val="16"/>
                <w:szCs w:val="16"/>
              </w:rPr>
              <w:t xml:space="preserve">(35.539)    </w:t>
            </w:r>
          </w:p>
        </w:tc>
      </w:tr>
      <w:tr w:rsidR="00B81140" w:rsidRPr="001F224B" w14:paraId="4CF8182F" w14:textId="77777777" w:rsidTr="00B81140">
        <w:trPr>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7B60AC89" w14:textId="77777777" w:rsidR="00B81140" w:rsidRPr="001F224B" w:rsidRDefault="00B81140" w:rsidP="00B81140">
            <w:pPr>
              <w:rPr>
                <w:rFonts w:asciiTheme="majorBidi" w:hAnsiTheme="majorBidi" w:cstheme="majorBidi"/>
                <w:b/>
                <w:sz w:val="18"/>
                <w:szCs w:val="18"/>
              </w:rPr>
            </w:pPr>
            <w:r w:rsidRPr="001F224B">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6C7FE81" w14:textId="52A52785" w:rsidR="00B81140" w:rsidRPr="001F224B" w:rsidRDefault="00B81140" w:rsidP="00B81140">
            <w:pPr>
              <w:jc w:val="right"/>
              <w:rPr>
                <w:b/>
                <w:bCs/>
                <w:sz w:val="16"/>
                <w:szCs w:val="16"/>
              </w:rPr>
            </w:pPr>
            <w:r w:rsidRPr="001F224B">
              <w:rPr>
                <w:b/>
                <w:bCs/>
                <w:sz w:val="16"/>
                <w:szCs w:val="16"/>
              </w:rPr>
              <w:t>29.276.910</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017B62B9" w14:textId="39033E79" w:rsidR="00B81140" w:rsidRPr="001F224B" w:rsidRDefault="00B81140" w:rsidP="00B81140">
            <w:pPr>
              <w:ind w:left="-417" w:right="-93" w:hanging="142"/>
              <w:jc w:val="center"/>
              <w:rPr>
                <w:b/>
                <w:bCs/>
                <w:sz w:val="16"/>
                <w:szCs w:val="16"/>
              </w:rPr>
            </w:pPr>
            <w:r w:rsidRPr="001F224B">
              <w:rPr>
                <w:b/>
                <w:bCs/>
                <w:sz w:val="16"/>
                <w:szCs w:val="16"/>
              </w:rPr>
              <w:t xml:space="preserve">               (9.480.913)</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5870E19" w14:textId="0C24C9FC" w:rsidR="00B81140" w:rsidRPr="001F224B" w:rsidRDefault="00B81140" w:rsidP="00B81140">
            <w:pPr>
              <w:jc w:val="right"/>
              <w:rPr>
                <w:b/>
                <w:bCs/>
                <w:sz w:val="16"/>
                <w:szCs w:val="16"/>
              </w:rPr>
            </w:pPr>
            <w:r w:rsidRPr="001F224B">
              <w:rPr>
                <w:b/>
                <w:bCs/>
                <w:sz w:val="16"/>
                <w:szCs w:val="16"/>
              </w:rPr>
              <w:t>33.032.627</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5934CC71" w14:textId="2276424D" w:rsidR="00B81140" w:rsidRPr="001F224B" w:rsidRDefault="00B81140" w:rsidP="00B81140">
            <w:pPr>
              <w:jc w:val="right"/>
              <w:rPr>
                <w:b/>
                <w:bCs/>
                <w:sz w:val="16"/>
                <w:szCs w:val="16"/>
              </w:rPr>
            </w:pPr>
            <w:r w:rsidRPr="001F224B">
              <w:rPr>
                <w:b/>
                <w:bCs/>
                <w:sz w:val="16"/>
                <w:szCs w:val="16"/>
              </w:rPr>
              <w:t>7.222.021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993FE11" w14:textId="35B8CB1E" w:rsidR="00B81140" w:rsidRPr="001F224B" w:rsidRDefault="00B81140" w:rsidP="00B81140">
            <w:pPr>
              <w:jc w:val="right"/>
              <w:rPr>
                <w:b/>
                <w:bCs/>
                <w:sz w:val="16"/>
                <w:szCs w:val="16"/>
              </w:rPr>
            </w:pPr>
            <w:r w:rsidRPr="001F224B">
              <w:rPr>
                <w:b/>
                <w:bCs/>
                <w:sz w:val="16"/>
                <w:szCs w:val="16"/>
              </w:rPr>
              <w:t>(21.544.486)</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1D86A50D" w14:textId="44919D63" w:rsidR="00B81140" w:rsidRPr="001F224B" w:rsidRDefault="00B81140" w:rsidP="00B81140">
            <w:pPr>
              <w:jc w:val="right"/>
              <w:rPr>
                <w:b/>
                <w:bCs/>
                <w:sz w:val="16"/>
                <w:szCs w:val="16"/>
              </w:rPr>
            </w:pPr>
            <w:r w:rsidRPr="001F224B">
              <w:rPr>
                <w:b/>
                <w:bCs/>
                <w:sz w:val="16"/>
                <w:szCs w:val="16"/>
              </w:rPr>
              <w:t>(38.527.502)</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51769327" w14:textId="4887A431" w:rsidR="00B81140" w:rsidRPr="001F224B" w:rsidRDefault="00B81140" w:rsidP="00B81140">
            <w:pPr>
              <w:jc w:val="right"/>
              <w:rPr>
                <w:b/>
                <w:bCs/>
                <w:sz w:val="16"/>
                <w:szCs w:val="16"/>
              </w:rPr>
            </w:pPr>
            <w:r w:rsidRPr="001F224B">
              <w:rPr>
                <w:b/>
                <w:bCs/>
                <w:sz w:val="16"/>
                <w:szCs w:val="16"/>
              </w:rPr>
              <w:t>(21.343)</w:t>
            </w:r>
          </w:p>
        </w:tc>
      </w:tr>
    </w:tbl>
    <w:p w14:paraId="5EAA3C21" w14:textId="77777777" w:rsidR="00EF70EF" w:rsidRPr="001F224B" w:rsidRDefault="00EF70EF" w:rsidP="00EF70EF">
      <w:pPr>
        <w:pStyle w:val="ListParagraph"/>
        <w:numPr>
          <w:ilvl w:val="0"/>
          <w:numId w:val="5"/>
        </w:numPr>
        <w:tabs>
          <w:tab w:val="left" w:pos="1134"/>
          <w:tab w:val="left" w:pos="1260"/>
        </w:tabs>
        <w:spacing w:before="120"/>
        <w:ind w:left="350"/>
        <w:jc w:val="both"/>
        <w:rPr>
          <w:rFonts w:eastAsia="Arial Unicode MS"/>
          <w:bCs/>
          <w:sz w:val="16"/>
          <w:szCs w:val="16"/>
        </w:rPr>
      </w:pPr>
      <w:bookmarkStart w:id="23" w:name="_Hlk128385928"/>
      <w:bookmarkStart w:id="24" w:name="_Hlk161050852"/>
      <w:bookmarkEnd w:id="22"/>
      <w:r w:rsidRPr="001F224B">
        <w:rPr>
          <w:rFonts w:eastAsia="Arial Unicode MS"/>
          <w:bCs/>
          <w:sz w:val="16"/>
          <w:szCs w:val="16"/>
        </w:rPr>
        <w:t>Vadesiz olan işlemler “Faizsiz” sütununda gösterilmiştir.</w:t>
      </w:r>
    </w:p>
    <w:p w14:paraId="43D1B726" w14:textId="77777777" w:rsidR="00EF70EF" w:rsidRPr="001F224B" w:rsidRDefault="00EF70EF" w:rsidP="00EF70EF">
      <w:pPr>
        <w:pStyle w:val="ListParagraph"/>
        <w:numPr>
          <w:ilvl w:val="0"/>
          <w:numId w:val="5"/>
        </w:numPr>
        <w:tabs>
          <w:tab w:val="left" w:pos="1260"/>
        </w:tabs>
        <w:ind w:left="350"/>
        <w:jc w:val="both"/>
        <w:rPr>
          <w:rFonts w:eastAsia="Arial Unicode MS"/>
          <w:bCs/>
          <w:sz w:val="16"/>
          <w:szCs w:val="16"/>
        </w:rPr>
      </w:pPr>
      <w:r w:rsidRPr="001F224B">
        <w:rPr>
          <w:rFonts w:eastAsia="Arial Unicode MS"/>
          <w:bCs/>
          <w:sz w:val="16"/>
          <w:szCs w:val="16"/>
        </w:rPr>
        <w:t>Takipteki kredilerin net bakiyesi krediler içerisinde “Faizsiz” sütununda gösterilmiştir.</w:t>
      </w:r>
    </w:p>
    <w:p w14:paraId="5F6BFBA1" w14:textId="77777777" w:rsidR="00EF70EF" w:rsidRPr="001F224B" w:rsidRDefault="00EF70EF" w:rsidP="00EF70EF">
      <w:pPr>
        <w:pStyle w:val="ListParagraph"/>
        <w:numPr>
          <w:ilvl w:val="0"/>
          <w:numId w:val="5"/>
        </w:numPr>
        <w:tabs>
          <w:tab w:val="left" w:pos="1260"/>
        </w:tabs>
        <w:ind w:left="350"/>
        <w:jc w:val="both"/>
        <w:rPr>
          <w:rFonts w:eastAsia="Arial Unicode MS"/>
          <w:bCs/>
          <w:sz w:val="16"/>
          <w:szCs w:val="16"/>
        </w:rPr>
      </w:pPr>
      <w:r w:rsidRPr="001F224B">
        <w:rPr>
          <w:rFonts w:eastAsia="Arial Unicode MS"/>
          <w:bCs/>
          <w:sz w:val="16"/>
          <w:szCs w:val="16"/>
        </w:rPr>
        <w:t>Sermayede payı temsil eden menkul değerler “Faizsiz” sütununda gösterilmiştir.</w:t>
      </w:r>
    </w:p>
    <w:p w14:paraId="4CA12CA0" w14:textId="77777777" w:rsidR="00EF70EF" w:rsidRPr="001F224B" w:rsidRDefault="00EF70EF" w:rsidP="00EF70EF">
      <w:pPr>
        <w:pStyle w:val="ListParagraph"/>
        <w:numPr>
          <w:ilvl w:val="0"/>
          <w:numId w:val="5"/>
        </w:numPr>
        <w:tabs>
          <w:tab w:val="left" w:pos="1276"/>
        </w:tabs>
        <w:ind w:left="350"/>
        <w:jc w:val="both"/>
        <w:rPr>
          <w:rFonts w:eastAsia="Arial Unicode MS"/>
          <w:bCs/>
          <w:sz w:val="16"/>
          <w:szCs w:val="16"/>
        </w:rPr>
      </w:pPr>
      <w:r w:rsidRPr="001F224B">
        <w:rPr>
          <w:rFonts w:eastAsia="Arial Unicode MS"/>
          <w:bCs/>
          <w:sz w:val="16"/>
          <w:szCs w:val="16"/>
        </w:rPr>
        <w:t>Ertelenmiş vergi varlığı, özkaynaklar ile faiz içermeyen diğer aktif ve pasif kalemleri “Faizsiz” sütununda gösterilmiştir.</w:t>
      </w:r>
    </w:p>
    <w:p w14:paraId="5E39C77F" w14:textId="77777777" w:rsidR="00EF70EF" w:rsidRPr="001F224B" w:rsidRDefault="00EF70EF" w:rsidP="00EF70EF">
      <w:pPr>
        <w:pStyle w:val="ListParagraph"/>
        <w:numPr>
          <w:ilvl w:val="0"/>
          <w:numId w:val="5"/>
        </w:numPr>
        <w:tabs>
          <w:tab w:val="left" w:pos="1276"/>
        </w:tabs>
        <w:ind w:left="350"/>
        <w:jc w:val="both"/>
        <w:rPr>
          <w:rFonts w:eastAsia="Arial Unicode MS"/>
          <w:bCs/>
          <w:sz w:val="16"/>
          <w:szCs w:val="16"/>
        </w:rPr>
      </w:pPr>
      <w:r w:rsidRPr="001F224B">
        <w:rPr>
          <w:rFonts w:eastAsia="Arial Unicode MS"/>
          <w:bCs/>
          <w:sz w:val="16"/>
          <w:szCs w:val="16"/>
        </w:rPr>
        <w:t>Finansal varlıklar ve diğer aktifler için ayrılan beklenen zarar karşılıkları ilgili kalemlere yansıtılmıştır.</w:t>
      </w:r>
    </w:p>
    <w:p w14:paraId="69A73704" w14:textId="77777777" w:rsidR="00EF70EF" w:rsidRPr="001F224B" w:rsidRDefault="00EF70EF" w:rsidP="00EF70EF">
      <w:pPr>
        <w:pStyle w:val="ListParagraph"/>
        <w:numPr>
          <w:ilvl w:val="0"/>
          <w:numId w:val="5"/>
        </w:numPr>
        <w:tabs>
          <w:tab w:val="left" w:pos="1276"/>
        </w:tabs>
        <w:ind w:left="350"/>
        <w:jc w:val="both"/>
        <w:rPr>
          <w:rFonts w:eastAsia="Arial Unicode MS"/>
          <w:bCs/>
          <w:sz w:val="16"/>
          <w:szCs w:val="16"/>
        </w:rPr>
      </w:pPr>
      <w:r w:rsidRPr="001F224B">
        <w:rPr>
          <w:rFonts w:eastAsia="Arial Unicode MS"/>
          <w:bCs/>
          <w:sz w:val="16"/>
          <w:szCs w:val="16"/>
        </w:rPr>
        <w:t>Sermaye benzeri krediler, “Diğer Yükümlülükler” satırında gösterilmiştir.</w:t>
      </w:r>
    </w:p>
    <w:bookmarkEnd w:id="23"/>
    <w:p w14:paraId="4EF67329" w14:textId="77777777" w:rsidR="00EF70EF" w:rsidRPr="001F224B" w:rsidRDefault="00EF70EF" w:rsidP="00EF70EF">
      <w:pPr>
        <w:rPr>
          <w:b/>
          <w:bCs/>
          <w:sz w:val="22"/>
          <w:szCs w:val="22"/>
        </w:rPr>
      </w:pPr>
      <w:r w:rsidRPr="001F224B">
        <w:rPr>
          <w:b/>
          <w:bCs/>
          <w:sz w:val="22"/>
          <w:szCs w:val="22"/>
        </w:rPr>
        <w:br w:type="page"/>
      </w:r>
    </w:p>
    <w:bookmarkEnd w:id="24"/>
    <w:p w14:paraId="730864AC" w14:textId="77777777" w:rsidR="001C7875" w:rsidRPr="001F224B" w:rsidRDefault="001C7875" w:rsidP="001C7875">
      <w:pPr>
        <w:pStyle w:val="ListParagraph"/>
        <w:tabs>
          <w:tab w:val="left" w:pos="0"/>
        </w:tabs>
        <w:spacing w:before="120"/>
        <w:ind w:left="0"/>
        <w:rPr>
          <w:b/>
          <w:bCs/>
          <w:sz w:val="22"/>
          <w:szCs w:val="22"/>
        </w:rPr>
      </w:pPr>
      <w:r w:rsidRPr="001F224B">
        <w:rPr>
          <w:b/>
          <w:bCs/>
          <w:sz w:val="22"/>
          <w:szCs w:val="22"/>
        </w:rPr>
        <w:t>DÖRDÜNCÜ BÖLÜM (Devamı)</w:t>
      </w:r>
    </w:p>
    <w:p w14:paraId="240AFF91" w14:textId="77777777" w:rsidR="001C7875" w:rsidRPr="001F224B" w:rsidRDefault="001C7875" w:rsidP="001C7875">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54FB296D" w14:textId="754A0D06" w:rsidR="001C7875" w:rsidRPr="001F224B" w:rsidRDefault="00570F30" w:rsidP="00A94B61">
      <w:pPr>
        <w:pStyle w:val="Heading2"/>
        <w:numPr>
          <w:ilvl w:val="0"/>
          <w:numId w:val="0"/>
        </w:numPr>
        <w:tabs>
          <w:tab w:val="left" w:pos="567"/>
        </w:tabs>
        <w:spacing w:before="0"/>
        <w:jc w:val="both"/>
        <w:rPr>
          <w:rFonts w:ascii="Times New Roman" w:hAnsi="Times New Roman"/>
          <w:i w:val="0"/>
          <w:sz w:val="22"/>
          <w:szCs w:val="22"/>
        </w:rPr>
      </w:pPr>
      <w:r w:rsidRPr="001F224B">
        <w:rPr>
          <w:rFonts w:ascii="Times New Roman" w:eastAsia="Arial Unicode MS" w:hAnsi="Times New Roman"/>
          <w:bCs w:val="0"/>
          <w:i w:val="0"/>
          <w:sz w:val="22"/>
          <w:szCs w:val="22"/>
        </w:rPr>
        <w:t>Ⅲ</w:t>
      </w:r>
      <w:r w:rsidR="001C7875" w:rsidRPr="001F224B">
        <w:rPr>
          <w:rFonts w:ascii="Times New Roman" w:eastAsia="Arial Unicode MS" w:hAnsi="Times New Roman"/>
          <w:bCs w:val="0"/>
          <w:i w:val="0"/>
          <w:sz w:val="22"/>
          <w:szCs w:val="22"/>
        </w:rPr>
        <w:t>.</w:t>
      </w:r>
      <w:r w:rsidR="001C7875" w:rsidRPr="001F224B">
        <w:rPr>
          <w:rFonts w:ascii="Times New Roman" w:eastAsia="Arial Unicode MS" w:hAnsi="Times New Roman"/>
          <w:bCs w:val="0"/>
          <w:i w:val="0"/>
          <w:sz w:val="22"/>
          <w:szCs w:val="22"/>
        </w:rPr>
        <w:tab/>
        <w:t xml:space="preserve">Konsolide </w:t>
      </w:r>
      <w:r w:rsidR="001C7875" w:rsidRPr="001F224B">
        <w:rPr>
          <w:rFonts w:ascii="Times New Roman" w:hAnsi="Times New Roman"/>
          <w:i w:val="0"/>
          <w:sz w:val="22"/>
          <w:szCs w:val="22"/>
        </w:rPr>
        <w:t>faiz oranı riskine ilişkin açıklamalar (Devamı)</w:t>
      </w:r>
    </w:p>
    <w:p w14:paraId="58462483" w14:textId="4D2D2F8F" w:rsidR="00854BA1" w:rsidRPr="001F224B" w:rsidRDefault="00854BA1" w:rsidP="005514FC">
      <w:pPr>
        <w:spacing w:before="120" w:after="120"/>
        <w:ind w:left="567"/>
        <w:jc w:val="both"/>
        <w:rPr>
          <w:bCs/>
          <w:sz w:val="22"/>
          <w:szCs w:val="22"/>
        </w:rPr>
      </w:pPr>
      <w:r w:rsidRPr="001F224B">
        <w:rPr>
          <w:bCs/>
          <w:sz w:val="22"/>
          <w:szCs w:val="22"/>
        </w:rPr>
        <w:t>Varlıkların, yükümlülüklerin ve nazım hesap k</w:t>
      </w:r>
      <w:r w:rsidR="00062772" w:rsidRPr="001F224B">
        <w:rPr>
          <w:bCs/>
          <w:sz w:val="22"/>
          <w:szCs w:val="22"/>
        </w:rPr>
        <w:t>alemlerinin faize duyarlılığı (y</w:t>
      </w:r>
      <w:r w:rsidRPr="001F224B">
        <w:rPr>
          <w:bCs/>
          <w:sz w:val="22"/>
          <w:szCs w:val="22"/>
        </w:rPr>
        <w:t>eniden fiyatlandırmaya kalan süreler itibarıyla):</w:t>
      </w:r>
    </w:p>
    <w:tbl>
      <w:tblPr>
        <w:tblW w:w="10490" w:type="dxa"/>
        <w:tblInd w:w="-5" w:type="dxa"/>
        <w:tblLayout w:type="fixed"/>
        <w:tblCellMar>
          <w:left w:w="70" w:type="dxa"/>
          <w:right w:w="70" w:type="dxa"/>
        </w:tblCellMar>
        <w:tblLook w:val="00A0" w:firstRow="1" w:lastRow="0" w:firstColumn="1" w:lastColumn="0" w:noHBand="0" w:noVBand="0"/>
      </w:tblPr>
      <w:tblGrid>
        <w:gridCol w:w="3686"/>
        <w:gridCol w:w="889"/>
        <w:gridCol w:w="946"/>
        <w:gridCol w:w="1016"/>
        <w:gridCol w:w="998"/>
        <w:gridCol w:w="1017"/>
        <w:gridCol w:w="946"/>
        <w:gridCol w:w="992"/>
      </w:tblGrid>
      <w:tr w:rsidR="00774F2E" w:rsidRPr="001F224B" w14:paraId="52F2C5FE" w14:textId="77777777" w:rsidTr="0017530A">
        <w:trPr>
          <w:trHeight w:val="228"/>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14:paraId="0C3C0F91" w14:textId="10469A52" w:rsidR="00774F2E" w:rsidRPr="001F224B" w:rsidRDefault="007B5C13" w:rsidP="00C417B1">
            <w:pPr>
              <w:rPr>
                <w:rFonts w:asciiTheme="majorBidi" w:hAnsiTheme="majorBidi" w:cstheme="majorBidi"/>
                <w:b/>
                <w:bCs/>
                <w:sz w:val="18"/>
                <w:szCs w:val="18"/>
              </w:rPr>
            </w:pPr>
            <w:r w:rsidRPr="001F224B">
              <w:rPr>
                <w:rFonts w:asciiTheme="majorBidi" w:hAnsiTheme="majorBidi" w:cstheme="majorBidi"/>
                <w:b/>
                <w:bCs/>
                <w:sz w:val="18"/>
                <w:szCs w:val="18"/>
              </w:rPr>
              <w:t xml:space="preserve">Önceki </w:t>
            </w:r>
            <w:r w:rsidR="00774F2E" w:rsidRPr="001F224B">
              <w:rPr>
                <w:rFonts w:asciiTheme="majorBidi" w:hAnsiTheme="majorBidi" w:cstheme="majorBidi"/>
                <w:b/>
                <w:bCs/>
                <w:sz w:val="18"/>
                <w:szCs w:val="18"/>
              </w:rPr>
              <w:t>Dönem Sonu (31.12.202</w:t>
            </w:r>
            <w:r w:rsidR="00D2782C" w:rsidRPr="001F224B">
              <w:rPr>
                <w:rFonts w:asciiTheme="majorBidi" w:hAnsiTheme="majorBidi" w:cstheme="majorBidi"/>
                <w:b/>
                <w:bCs/>
                <w:sz w:val="18"/>
                <w:szCs w:val="18"/>
              </w:rPr>
              <w:t>4</w:t>
            </w:r>
            <w:r w:rsidR="00774F2E" w:rsidRPr="001F224B">
              <w:rPr>
                <w:rFonts w:asciiTheme="majorBidi" w:hAnsiTheme="majorBidi" w:cstheme="majorBidi"/>
                <w:b/>
                <w:bCs/>
                <w:sz w:val="18"/>
                <w:szCs w:val="18"/>
              </w:rPr>
              <w:t>)</w:t>
            </w:r>
          </w:p>
        </w:tc>
        <w:tc>
          <w:tcPr>
            <w:tcW w:w="889" w:type="dxa"/>
            <w:tcBorders>
              <w:top w:val="single" w:sz="4" w:space="0" w:color="auto"/>
              <w:left w:val="nil"/>
              <w:bottom w:val="single" w:sz="4" w:space="0" w:color="auto"/>
              <w:right w:val="single" w:sz="4" w:space="0" w:color="auto"/>
            </w:tcBorders>
            <w:shd w:val="clear" w:color="000000" w:fill="FFFFFF"/>
            <w:vAlign w:val="bottom"/>
          </w:tcPr>
          <w:p w14:paraId="772DE798"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1 Aya Kadar</w:t>
            </w:r>
          </w:p>
        </w:tc>
        <w:tc>
          <w:tcPr>
            <w:tcW w:w="946" w:type="dxa"/>
            <w:tcBorders>
              <w:top w:val="single" w:sz="4" w:space="0" w:color="auto"/>
              <w:left w:val="nil"/>
              <w:bottom w:val="single" w:sz="4" w:space="0" w:color="auto"/>
              <w:right w:val="single" w:sz="4" w:space="0" w:color="auto"/>
            </w:tcBorders>
            <w:shd w:val="clear" w:color="000000" w:fill="FFFFFF"/>
            <w:vAlign w:val="bottom"/>
          </w:tcPr>
          <w:p w14:paraId="371A9BB8"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1-3 Ay</w:t>
            </w:r>
          </w:p>
        </w:tc>
        <w:tc>
          <w:tcPr>
            <w:tcW w:w="1016" w:type="dxa"/>
            <w:tcBorders>
              <w:top w:val="single" w:sz="4" w:space="0" w:color="auto"/>
              <w:left w:val="nil"/>
              <w:bottom w:val="single" w:sz="4" w:space="0" w:color="auto"/>
              <w:right w:val="single" w:sz="4" w:space="0" w:color="auto"/>
            </w:tcBorders>
            <w:shd w:val="clear" w:color="000000" w:fill="FFFFFF"/>
            <w:vAlign w:val="bottom"/>
          </w:tcPr>
          <w:p w14:paraId="12D4B218"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3-12 Ay</w:t>
            </w:r>
          </w:p>
        </w:tc>
        <w:tc>
          <w:tcPr>
            <w:tcW w:w="998" w:type="dxa"/>
            <w:tcBorders>
              <w:top w:val="single" w:sz="4" w:space="0" w:color="auto"/>
              <w:left w:val="nil"/>
              <w:bottom w:val="single" w:sz="4" w:space="0" w:color="auto"/>
              <w:right w:val="single" w:sz="4" w:space="0" w:color="auto"/>
            </w:tcBorders>
            <w:shd w:val="clear" w:color="000000" w:fill="FFFFFF"/>
            <w:vAlign w:val="bottom"/>
          </w:tcPr>
          <w:p w14:paraId="04C10ACE"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1-5 Yıl</w:t>
            </w:r>
          </w:p>
        </w:tc>
        <w:tc>
          <w:tcPr>
            <w:tcW w:w="1017" w:type="dxa"/>
            <w:tcBorders>
              <w:top w:val="single" w:sz="4" w:space="0" w:color="auto"/>
              <w:left w:val="nil"/>
              <w:bottom w:val="single" w:sz="4" w:space="0" w:color="auto"/>
              <w:right w:val="single" w:sz="4" w:space="0" w:color="auto"/>
            </w:tcBorders>
            <w:shd w:val="clear" w:color="000000" w:fill="FFFFFF"/>
            <w:vAlign w:val="bottom"/>
          </w:tcPr>
          <w:p w14:paraId="7CC82A45"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5 Yıl ve Üzeri</w:t>
            </w:r>
          </w:p>
        </w:tc>
        <w:tc>
          <w:tcPr>
            <w:tcW w:w="946" w:type="dxa"/>
            <w:tcBorders>
              <w:top w:val="single" w:sz="4" w:space="0" w:color="auto"/>
              <w:left w:val="nil"/>
              <w:bottom w:val="single" w:sz="4" w:space="0" w:color="auto"/>
              <w:right w:val="single" w:sz="4" w:space="0" w:color="auto"/>
            </w:tcBorders>
            <w:shd w:val="clear" w:color="000000" w:fill="FFFFFF"/>
            <w:vAlign w:val="bottom"/>
          </w:tcPr>
          <w:p w14:paraId="260A8411"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Faizsiz</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7C794256" w14:textId="77777777" w:rsidR="00774F2E" w:rsidRPr="001F224B" w:rsidRDefault="00774F2E" w:rsidP="00C417B1">
            <w:pPr>
              <w:jc w:val="center"/>
              <w:rPr>
                <w:rFonts w:asciiTheme="majorBidi" w:hAnsiTheme="majorBidi" w:cstheme="majorBidi"/>
                <w:b/>
                <w:bCs/>
                <w:sz w:val="18"/>
                <w:szCs w:val="18"/>
              </w:rPr>
            </w:pPr>
            <w:r w:rsidRPr="001F224B">
              <w:rPr>
                <w:rFonts w:asciiTheme="majorBidi" w:hAnsiTheme="majorBidi" w:cstheme="majorBidi"/>
                <w:b/>
                <w:bCs/>
                <w:sz w:val="18"/>
                <w:szCs w:val="18"/>
              </w:rPr>
              <w:t>Toplam</w:t>
            </w:r>
          </w:p>
        </w:tc>
      </w:tr>
      <w:tr w:rsidR="00774F2E" w:rsidRPr="001F224B" w14:paraId="384C2C3E"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46A278B7" w14:textId="77777777" w:rsidR="00774F2E" w:rsidRPr="001F224B" w:rsidRDefault="00774F2E" w:rsidP="00C417B1">
            <w:pPr>
              <w:rPr>
                <w:rFonts w:asciiTheme="majorBidi" w:hAnsiTheme="majorBidi" w:cstheme="majorBidi"/>
                <w:sz w:val="18"/>
                <w:szCs w:val="18"/>
              </w:rPr>
            </w:pPr>
            <w:r w:rsidRPr="001F224B">
              <w:rPr>
                <w:rFonts w:asciiTheme="majorBidi" w:hAnsiTheme="majorBidi" w:cstheme="majorBidi"/>
                <w:sz w:val="18"/>
                <w:szCs w:val="18"/>
              </w:rPr>
              <w:t>Varlıklar</w:t>
            </w:r>
          </w:p>
        </w:tc>
        <w:tc>
          <w:tcPr>
            <w:tcW w:w="889" w:type="dxa"/>
            <w:tcBorders>
              <w:top w:val="nil"/>
              <w:left w:val="nil"/>
              <w:bottom w:val="single" w:sz="4" w:space="0" w:color="auto"/>
              <w:right w:val="single" w:sz="4" w:space="0" w:color="auto"/>
            </w:tcBorders>
            <w:shd w:val="clear" w:color="000000" w:fill="FFFFFF"/>
            <w:vAlign w:val="bottom"/>
          </w:tcPr>
          <w:p w14:paraId="61FDDD58" w14:textId="77777777" w:rsidR="00774F2E" w:rsidRPr="001F224B" w:rsidRDefault="00774F2E" w:rsidP="00C417B1">
            <w:pPr>
              <w:jc w:val="right"/>
              <w:rPr>
                <w:sz w:val="16"/>
                <w:szCs w:val="16"/>
              </w:rPr>
            </w:pPr>
          </w:p>
        </w:tc>
        <w:tc>
          <w:tcPr>
            <w:tcW w:w="946" w:type="dxa"/>
            <w:tcBorders>
              <w:top w:val="nil"/>
              <w:left w:val="nil"/>
              <w:bottom w:val="single" w:sz="4" w:space="0" w:color="auto"/>
              <w:right w:val="single" w:sz="4" w:space="0" w:color="auto"/>
            </w:tcBorders>
            <w:shd w:val="clear" w:color="000000" w:fill="FFFFFF"/>
            <w:vAlign w:val="bottom"/>
          </w:tcPr>
          <w:p w14:paraId="63216324" w14:textId="77777777" w:rsidR="00774F2E" w:rsidRPr="001F224B" w:rsidRDefault="00774F2E" w:rsidP="00C417B1">
            <w:pPr>
              <w:jc w:val="right"/>
              <w:rPr>
                <w:sz w:val="16"/>
                <w:szCs w:val="16"/>
              </w:rPr>
            </w:pPr>
          </w:p>
        </w:tc>
        <w:tc>
          <w:tcPr>
            <w:tcW w:w="1016" w:type="dxa"/>
            <w:tcBorders>
              <w:top w:val="nil"/>
              <w:left w:val="nil"/>
              <w:bottom w:val="single" w:sz="4" w:space="0" w:color="auto"/>
              <w:right w:val="single" w:sz="4" w:space="0" w:color="auto"/>
            </w:tcBorders>
            <w:shd w:val="clear" w:color="000000" w:fill="FFFFFF"/>
            <w:vAlign w:val="bottom"/>
          </w:tcPr>
          <w:p w14:paraId="12E544AE" w14:textId="77777777" w:rsidR="00774F2E" w:rsidRPr="001F224B" w:rsidRDefault="00774F2E" w:rsidP="00C417B1">
            <w:pPr>
              <w:jc w:val="right"/>
              <w:rPr>
                <w:sz w:val="16"/>
                <w:szCs w:val="16"/>
              </w:rPr>
            </w:pPr>
          </w:p>
        </w:tc>
        <w:tc>
          <w:tcPr>
            <w:tcW w:w="998" w:type="dxa"/>
            <w:tcBorders>
              <w:top w:val="nil"/>
              <w:left w:val="nil"/>
              <w:bottom w:val="single" w:sz="4" w:space="0" w:color="auto"/>
              <w:right w:val="single" w:sz="4" w:space="0" w:color="auto"/>
            </w:tcBorders>
            <w:shd w:val="clear" w:color="000000" w:fill="FFFFFF"/>
            <w:vAlign w:val="bottom"/>
          </w:tcPr>
          <w:p w14:paraId="00889092" w14:textId="77777777" w:rsidR="00774F2E" w:rsidRPr="001F224B" w:rsidRDefault="00774F2E" w:rsidP="00C417B1">
            <w:pPr>
              <w:jc w:val="right"/>
              <w:rPr>
                <w:sz w:val="16"/>
                <w:szCs w:val="16"/>
              </w:rPr>
            </w:pPr>
          </w:p>
        </w:tc>
        <w:tc>
          <w:tcPr>
            <w:tcW w:w="1017" w:type="dxa"/>
            <w:tcBorders>
              <w:top w:val="nil"/>
              <w:left w:val="nil"/>
              <w:bottom w:val="single" w:sz="4" w:space="0" w:color="auto"/>
              <w:right w:val="single" w:sz="4" w:space="0" w:color="auto"/>
            </w:tcBorders>
            <w:shd w:val="clear" w:color="000000" w:fill="FFFFFF"/>
            <w:vAlign w:val="bottom"/>
          </w:tcPr>
          <w:p w14:paraId="121EDDD9" w14:textId="77777777" w:rsidR="00774F2E" w:rsidRPr="001F224B" w:rsidRDefault="00774F2E" w:rsidP="00C417B1">
            <w:pPr>
              <w:jc w:val="right"/>
              <w:rPr>
                <w:sz w:val="16"/>
                <w:szCs w:val="16"/>
              </w:rPr>
            </w:pPr>
          </w:p>
        </w:tc>
        <w:tc>
          <w:tcPr>
            <w:tcW w:w="946" w:type="dxa"/>
            <w:tcBorders>
              <w:top w:val="nil"/>
              <w:left w:val="nil"/>
              <w:bottom w:val="single" w:sz="4" w:space="0" w:color="auto"/>
              <w:right w:val="single" w:sz="4" w:space="0" w:color="auto"/>
            </w:tcBorders>
            <w:shd w:val="clear" w:color="000000" w:fill="FFFFFF"/>
            <w:vAlign w:val="bottom"/>
          </w:tcPr>
          <w:p w14:paraId="45319923" w14:textId="77777777" w:rsidR="00774F2E" w:rsidRPr="001F224B" w:rsidRDefault="00774F2E" w:rsidP="00C417B1">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1ACCA7C0" w14:textId="77777777" w:rsidR="00774F2E" w:rsidRPr="001F224B" w:rsidRDefault="00774F2E" w:rsidP="00C417B1">
            <w:pPr>
              <w:jc w:val="right"/>
              <w:rPr>
                <w:sz w:val="16"/>
                <w:szCs w:val="16"/>
              </w:rPr>
            </w:pPr>
          </w:p>
        </w:tc>
      </w:tr>
      <w:tr w:rsidR="00D2782C" w:rsidRPr="001F224B" w14:paraId="7B3DBFA4"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5D4A28E7" w14:textId="77777777" w:rsidR="00D2782C" w:rsidRPr="001F224B" w:rsidRDefault="00D2782C" w:rsidP="00D2782C">
            <w:pPr>
              <w:ind w:left="356" w:right="-65"/>
              <w:rPr>
                <w:rFonts w:asciiTheme="majorBidi" w:hAnsiTheme="majorBidi" w:cstheme="majorBidi"/>
                <w:sz w:val="18"/>
                <w:szCs w:val="18"/>
              </w:rPr>
            </w:pPr>
            <w:r w:rsidRPr="001F224B">
              <w:rPr>
                <w:rFonts w:asciiTheme="majorBidi" w:hAnsiTheme="majorBidi" w:cstheme="majorBidi"/>
                <w:sz w:val="18"/>
                <w:szCs w:val="18"/>
              </w:rPr>
              <w:t xml:space="preserve">Nakit Değerler (Kasa, Efektif Deposu, Yoldaki Paralar, Satın Alınan Çekler) ve TCMB </w:t>
            </w:r>
            <w:r w:rsidRPr="001F224B">
              <w:rPr>
                <w:rFonts w:asciiTheme="majorBidi" w:hAnsiTheme="majorBidi" w:cstheme="majorBidi"/>
                <w:sz w:val="18"/>
                <w:szCs w:val="18"/>
                <w:vertAlign w:val="superscript"/>
              </w:rPr>
              <w:t>(1)</w:t>
            </w:r>
          </w:p>
        </w:tc>
        <w:tc>
          <w:tcPr>
            <w:tcW w:w="889" w:type="dxa"/>
            <w:tcBorders>
              <w:top w:val="single" w:sz="4" w:space="0" w:color="auto"/>
              <w:left w:val="nil"/>
              <w:bottom w:val="single" w:sz="4" w:space="0" w:color="auto"/>
              <w:right w:val="single" w:sz="4" w:space="0" w:color="auto"/>
            </w:tcBorders>
            <w:shd w:val="clear" w:color="auto" w:fill="auto"/>
            <w:vAlign w:val="bottom"/>
          </w:tcPr>
          <w:p w14:paraId="011012B8" w14:textId="0695744A"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60AAC66D" w14:textId="07A31D83" w:rsidR="00D2782C" w:rsidRPr="001F224B" w:rsidRDefault="00D2782C" w:rsidP="00D2782C">
            <w:pPr>
              <w:jc w:val="right"/>
              <w:rPr>
                <w:sz w:val="16"/>
                <w:szCs w:val="16"/>
              </w:rPr>
            </w:pPr>
            <w:r w:rsidRPr="001F224B">
              <w:rPr>
                <w:sz w:val="16"/>
                <w:szCs w:val="16"/>
              </w:rPr>
              <w:t xml:space="preserve"> -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128B3C89" w14:textId="52A1AFEE" w:rsidR="00D2782C" w:rsidRPr="001F224B" w:rsidRDefault="00D2782C" w:rsidP="00D2782C">
            <w:pPr>
              <w:jc w:val="right"/>
              <w:rPr>
                <w:sz w:val="16"/>
                <w:szCs w:val="16"/>
              </w:rPr>
            </w:pPr>
            <w:r w:rsidRPr="001F224B">
              <w:rPr>
                <w:sz w:val="16"/>
                <w:szCs w:val="16"/>
              </w:rPr>
              <w:t xml:space="preserve"> -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029E1928" w14:textId="0205192A" w:rsidR="00D2782C" w:rsidRPr="001F224B" w:rsidRDefault="00D2782C" w:rsidP="00D2782C">
            <w:pPr>
              <w:jc w:val="right"/>
              <w:rPr>
                <w:sz w:val="16"/>
                <w:szCs w:val="16"/>
              </w:rPr>
            </w:pPr>
            <w:r w:rsidRPr="001F224B">
              <w:rPr>
                <w:sz w:val="16"/>
                <w:szCs w:val="16"/>
              </w:rPr>
              <w:t xml:space="preserve"> -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0637CEA7" w14:textId="40534656"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25FF9C36" w14:textId="7D452240" w:rsidR="00D2782C" w:rsidRPr="001F224B" w:rsidRDefault="00D2782C" w:rsidP="00D2782C">
            <w:pPr>
              <w:jc w:val="right"/>
              <w:rPr>
                <w:sz w:val="16"/>
                <w:szCs w:val="16"/>
              </w:rPr>
            </w:pPr>
            <w:r w:rsidRPr="001F224B">
              <w:rPr>
                <w:sz w:val="16"/>
                <w:szCs w:val="16"/>
              </w:rPr>
              <w:t xml:space="preserve"> 1.836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A188F49" w14:textId="12100A71" w:rsidR="00D2782C" w:rsidRPr="001F224B" w:rsidRDefault="00D2782C" w:rsidP="00D2782C">
            <w:pPr>
              <w:jc w:val="right"/>
              <w:rPr>
                <w:sz w:val="16"/>
                <w:szCs w:val="16"/>
              </w:rPr>
            </w:pPr>
            <w:r w:rsidRPr="001F224B">
              <w:rPr>
                <w:sz w:val="16"/>
                <w:szCs w:val="16"/>
              </w:rPr>
              <w:t>1.836</w:t>
            </w:r>
          </w:p>
        </w:tc>
      </w:tr>
      <w:tr w:rsidR="00D2782C" w:rsidRPr="001F224B" w14:paraId="39006A4E"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0AEDF01E" w14:textId="77777777" w:rsidR="00D2782C" w:rsidRPr="001F224B" w:rsidRDefault="00D2782C" w:rsidP="00D2782C">
            <w:pPr>
              <w:ind w:left="356" w:right="-65"/>
              <w:rPr>
                <w:rFonts w:asciiTheme="majorBidi" w:hAnsiTheme="majorBidi" w:cstheme="majorBidi"/>
                <w:sz w:val="18"/>
                <w:szCs w:val="18"/>
              </w:rPr>
            </w:pPr>
            <w:r w:rsidRPr="001F224B">
              <w:rPr>
                <w:rFonts w:asciiTheme="majorBidi" w:hAnsiTheme="majorBidi" w:cstheme="majorBidi"/>
                <w:sz w:val="18"/>
                <w:szCs w:val="18"/>
              </w:rPr>
              <w:t xml:space="preserve">Bankalar </w:t>
            </w:r>
            <w:r w:rsidRPr="001F224B">
              <w:rPr>
                <w:rFonts w:asciiTheme="majorBidi" w:hAnsiTheme="majorBidi" w:cstheme="majorBidi"/>
                <w:sz w:val="18"/>
                <w:szCs w:val="18"/>
                <w:vertAlign w:val="superscript"/>
              </w:rPr>
              <w:t>(1)</w:t>
            </w:r>
          </w:p>
        </w:tc>
        <w:tc>
          <w:tcPr>
            <w:tcW w:w="889" w:type="dxa"/>
            <w:tcBorders>
              <w:top w:val="single" w:sz="4" w:space="0" w:color="auto"/>
              <w:left w:val="nil"/>
              <w:bottom w:val="single" w:sz="4" w:space="0" w:color="auto"/>
              <w:right w:val="single" w:sz="4" w:space="0" w:color="auto"/>
            </w:tcBorders>
            <w:shd w:val="clear" w:color="auto" w:fill="auto"/>
            <w:vAlign w:val="bottom"/>
          </w:tcPr>
          <w:p w14:paraId="652153FC" w14:textId="7FBA4714" w:rsidR="00D2782C" w:rsidRPr="001F224B" w:rsidRDefault="00D2782C" w:rsidP="00D2782C">
            <w:pPr>
              <w:jc w:val="right"/>
              <w:rPr>
                <w:sz w:val="16"/>
                <w:szCs w:val="16"/>
              </w:rPr>
            </w:pPr>
            <w:r w:rsidRPr="001F224B">
              <w:rPr>
                <w:sz w:val="16"/>
                <w:szCs w:val="16"/>
              </w:rPr>
              <w:t>12.637.01</w:t>
            </w:r>
            <w:r w:rsidR="00EA5C8C" w:rsidRPr="001F224B">
              <w:rPr>
                <w:sz w:val="16"/>
                <w:szCs w:val="16"/>
              </w:rPr>
              <w:t>1</w:t>
            </w:r>
            <w:r w:rsidRPr="001F224B">
              <w:rPr>
                <w:sz w:val="16"/>
                <w:szCs w:val="16"/>
              </w:rPr>
              <w:t xml:space="preserve">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4A9FE761" w14:textId="6BD2E435" w:rsidR="00D2782C" w:rsidRPr="001F224B" w:rsidRDefault="00D2782C" w:rsidP="00D2782C">
            <w:pPr>
              <w:jc w:val="right"/>
              <w:rPr>
                <w:sz w:val="16"/>
                <w:szCs w:val="16"/>
              </w:rPr>
            </w:pPr>
            <w:r w:rsidRPr="001F224B">
              <w:rPr>
                <w:sz w:val="16"/>
                <w:szCs w:val="16"/>
              </w:rPr>
              <w:t xml:space="preserve"> -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737C3F3D" w14:textId="0249A3C6" w:rsidR="00D2782C" w:rsidRPr="001F224B" w:rsidRDefault="00D2782C" w:rsidP="00D2782C">
            <w:pPr>
              <w:jc w:val="right"/>
              <w:rPr>
                <w:sz w:val="16"/>
                <w:szCs w:val="16"/>
              </w:rPr>
            </w:pPr>
            <w:r w:rsidRPr="001F224B">
              <w:rPr>
                <w:sz w:val="16"/>
                <w:szCs w:val="16"/>
              </w:rPr>
              <w:t xml:space="preserve"> -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0093008C" w14:textId="07C61C5A" w:rsidR="00D2782C" w:rsidRPr="001F224B" w:rsidRDefault="00D2782C" w:rsidP="00D2782C">
            <w:pPr>
              <w:jc w:val="right"/>
              <w:rPr>
                <w:sz w:val="16"/>
                <w:szCs w:val="16"/>
              </w:rPr>
            </w:pPr>
            <w:r w:rsidRPr="001F224B">
              <w:rPr>
                <w:sz w:val="16"/>
                <w:szCs w:val="16"/>
              </w:rPr>
              <w:t xml:space="preserve"> -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2288B83A" w14:textId="15A4700B"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721059D7" w14:textId="04C77F19" w:rsidR="00D2782C" w:rsidRPr="001F224B" w:rsidRDefault="00D2782C" w:rsidP="00D2782C">
            <w:pPr>
              <w:jc w:val="right"/>
              <w:rPr>
                <w:sz w:val="16"/>
                <w:szCs w:val="16"/>
              </w:rPr>
            </w:pPr>
            <w:r w:rsidRPr="001F224B">
              <w:rPr>
                <w:sz w:val="16"/>
                <w:szCs w:val="16"/>
              </w:rPr>
              <w:t xml:space="preserve">  79.628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8539177" w14:textId="53F78E2D" w:rsidR="00D2782C" w:rsidRPr="001F224B" w:rsidRDefault="005C0315" w:rsidP="00D2782C">
            <w:pPr>
              <w:jc w:val="right"/>
              <w:rPr>
                <w:sz w:val="16"/>
                <w:szCs w:val="16"/>
              </w:rPr>
            </w:pPr>
            <w:r w:rsidRPr="001F224B">
              <w:rPr>
                <w:sz w:val="16"/>
                <w:szCs w:val="16"/>
              </w:rPr>
              <w:t>12.716.6</w:t>
            </w:r>
            <w:r w:rsidR="00EA5C8C" w:rsidRPr="001F224B">
              <w:rPr>
                <w:sz w:val="16"/>
                <w:szCs w:val="16"/>
              </w:rPr>
              <w:t>39</w:t>
            </w:r>
          </w:p>
        </w:tc>
      </w:tr>
      <w:tr w:rsidR="00D2782C" w:rsidRPr="001F224B" w14:paraId="7706F1CA"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5FFB17B6" w14:textId="77777777" w:rsidR="00D2782C" w:rsidRPr="001F224B" w:rsidRDefault="00D2782C" w:rsidP="00D2782C">
            <w:pPr>
              <w:ind w:left="356" w:right="360"/>
              <w:rPr>
                <w:rFonts w:asciiTheme="majorBidi" w:hAnsiTheme="majorBidi" w:cstheme="majorBidi"/>
                <w:sz w:val="18"/>
                <w:szCs w:val="18"/>
              </w:rPr>
            </w:pPr>
            <w:r w:rsidRPr="001F224B">
              <w:rPr>
                <w:rFonts w:asciiTheme="majorBidi" w:hAnsiTheme="majorBidi" w:cstheme="majorBidi"/>
                <w:sz w:val="18"/>
                <w:szCs w:val="18"/>
              </w:rPr>
              <w:t>Gerçeğe Uygun Değer Farkı Kar veya Zarara Yansıtılan Finansal Varlıklar</w:t>
            </w:r>
          </w:p>
        </w:tc>
        <w:tc>
          <w:tcPr>
            <w:tcW w:w="889" w:type="dxa"/>
            <w:tcBorders>
              <w:top w:val="single" w:sz="4" w:space="0" w:color="auto"/>
              <w:left w:val="nil"/>
              <w:bottom w:val="single" w:sz="4" w:space="0" w:color="auto"/>
              <w:right w:val="single" w:sz="4" w:space="0" w:color="auto"/>
            </w:tcBorders>
            <w:shd w:val="clear" w:color="auto" w:fill="auto"/>
            <w:vAlign w:val="bottom"/>
          </w:tcPr>
          <w:p w14:paraId="3EC9981B" w14:textId="40B34472"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56DD085E" w14:textId="45AD2595" w:rsidR="00D2782C" w:rsidRPr="001F224B" w:rsidRDefault="00D2782C" w:rsidP="00D2782C">
            <w:pPr>
              <w:jc w:val="right"/>
              <w:rPr>
                <w:sz w:val="16"/>
                <w:szCs w:val="16"/>
              </w:rPr>
            </w:pPr>
            <w:r w:rsidRPr="001F224B">
              <w:rPr>
                <w:sz w:val="16"/>
                <w:szCs w:val="16"/>
              </w:rPr>
              <w:t xml:space="preserve"> -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7896DFB4" w14:textId="53D362CD" w:rsidR="00D2782C" w:rsidRPr="001F224B" w:rsidRDefault="00D2782C" w:rsidP="00D2782C">
            <w:pPr>
              <w:jc w:val="right"/>
              <w:rPr>
                <w:sz w:val="16"/>
                <w:szCs w:val="16"/>
              </w:rPr>
            </w:pPr>
            <w:r w:rsidRPr="001F224B">
              <w:rPr>
                <w:sz w:val="16"/>
                <w:szCs w:val="16"/>
              </w:rPr>
              <w:t xml:space="preserve"> -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4F10E943" w14:textId="6F0A94D2" w:rsidR="00D2782C" w:rsidRPr="001F224B" w:rsidRDefault="00D2782C" w:rsidP="00D2782C">
            <w:pPr>
              <w:jc w:val="right"/>
              <w:rPr>
                <w:sz w:val="16"/>
                <w:szCs w:val="16"/>
              </w:rPr>
            </w:pPr>
            <w:r w:rsidRPr="001F224B">
              <w:rPr>
                <w:sz w:val="16"/>
                <w:szCs w:val="16"/>
              </w:rPr>
              <w:t xml:space="preserve"> -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56D18655" w14:textId="7B06296B"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3F1B404C" w14:textId="7EE7C267" w:rsidR="00D2782C" w:rsidRPr="001F224B" w:rsidRDefault="00D2782C" w:rsidP="00D2782C">
            <w:pPr>
              <w:jc w:val="right"/>
              <w:rPr>
                <w:sz w:val="16"/>
                <w:szCs w:val="16"/>
              </w:rPr>
            </w:pPr>
            <w:r w:rsidRPr="001F224B">
              <w:rPr>
                <w:sz w:val="16"/>
                <w:szCs w:val="16"/>
              </w:rPr>
              <w:t xml:space="preserve"> 696.997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37E8026" w14:textId="27B17B45" w:rsidR="00D2782C" w:rsidRPr="001F224B" w:rsidRDefault="00D2782C" w:rsidP="00D2782C">
            <w:pPr>
              <w:jc w:val="right"/>
              <w:rPr>
                <w:sz w:val="16"/>
                <w:szCs w:val="16"/>
              </w:rPr>
            </w:pPr>
            <w:r w:rsidRPr="001F224B">
              <w:rPr>
                <w:sz w:val="16"/>
                <w:szCs w:val="16"/>
              </w:rPr>
              <w:t>696.997</w:t>
            </w:r>
          </w:p>
        </w:tc>
      </w:tr>
      <w:tr w:rsidR="00D2782C" w:rsidRPr="001F224B" w14:paraId="5A6F830A"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6076D73B" w14:textId="77777777" w:rsidR="00D2782C" w:rsidRPr="001F224B" w:rsidRDefault="00D2782C" w:rsidP="00D2782C">
            <w:pPr>
              <w:ind w:left="356" w:right="360"/>
              <w:rPr>
                <w:rFonts w:asciiTheme="majorBidi" w:hAnsiTheme="majorBidi" w:cstheme="majorBidi"/>
                <w:sz w:val="18"/>
                <w:szCs w:val="18"/>
              </w:rPr>
            </w:pPr>
            <w:r w:rsidRPr="001F224B">
              <w:rPr>
                <w:rFonts w:asciiTheme="majorBidi" w:hAnsiTheme="majorBidi" w:cstheme="majorBidi"/>
                <w:sz w:val="18"/>
                <w:szCs w:val="18"/>
              </w:rPr>
              <w:t>Para Piyasalarından Alacaklar</w:t>
            </w:r>
          </w:p>
        </w:tc>
        <w:tc>
          <w:tcPr>
            <w:tcW w:w="889" w:type="dxa"/>
            <w:tcBorders>
              <w:top w:val="single" w:sz="4" w:space="0" w:color="auto"/>
              <w:left w:val="nil"/>
              <w:bottom w:val="single" w:sz="4" w:space="0" w:color="auto"/>
              <w:right w:val="single" w:sz="4" w:space="0" w:color="auto"/>
            </w:tcBorders>
            <w:shd w:val="clear" w:color="auto" w:fill="auto"/>
            <w:vAlign w:val="bottom"/>
          </w:tcPr>
          <w:p w14:paraId="4A2BCE38" w14:textId="56586D54" w:rsidR="00D2782C" w:rsidRPr="001F224B" w:rsidRDefault="00D2782C" w:rsidP="00D2782C">
            <w:pPr>
              <w:jc w:val="right"/>
              <w:rPr>
                <w:sz w:val="16"/>
                <w:szCs w:val="16"/>
              </w:rPr>
            </w:pPr>
            <w:r w:rsidRPr="001F224B">
              <w:rPr>
                <w:sz w:val="16"/>
                <w:szCs w:val="16"/>
              </w:rPr>
              <w:t xml:space="preserve"> 9.918.269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0D9327BE" w14:textId="23B5F903" w:rsidR="00D2782C" w:rsidRPr="001F224B" w:rsidRDefault="00D2782C" w:rsidP="00D2782C">
            <w:pPr>
              <w:jc w:val="right"/>
              <w:rPr>
                <w:sz w:val="16"/>
                <w:szCs w:val="16"/>
              </w:rPr>
            </w:pPr>
            <w:r w:rsidRPr="001F224B">
              <w:rPr>
                <w:sz w:val="16"/>
                <w:szCs w:val="16"/>
              </w:rPr>
              <w:t xml:space="preserve"> -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61685EFE" w14:textId="10EBC5AE" w:rsidR="00D2782C" w:rsidRPr="001F224B" w:rsidRDefault="00D2782C" w:rsidP="00D2782C">
            <w:pPr>
              <w:jc w:val="right"/>
              <w:rPr>
                <w:sz w:val="16"/>
                <w:szCs w:val="16"/>
              </w:rPr>
            </w:pPr>
            <w:r w:rsidRPr="001F224B">
              <w:rPr>
                <w:sz w:val="16"/>
                <w:szCs w:val="16"/>
              </w:rPr>
              <w:t xml:space="preserve"> -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7C110E3C" w14:textId="10889195" w:rsidR="00D2782C" w:rsidRPr="001F224B" w:rsidRDefault="00D2782C" w:rsidP="00D2782C">
            <w:pPr>
              <w:jc w:val="right"/>
              <w:rPr>
                <w:sz w:val="16"/>
                <w:szCs w:val="16"/>
              </w:rPr>
            </w:pPr>
            <w:r w:rsidRPr="001F224B">
              <w:rPr>
                <w:sz w:val="16"/>
                <w:szCs w:val="16"/>
              </w:rPr>
              <w:t xml:space="preserve"> -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355C1D71" w14:textId="2A44EC6B"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29E24574" w14:textId="615E0263" w:rsidR="00D2782C" w:rsidRPr="001F224B" w:rsidRDefault="00D2782C" w:rsidP="00D2782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88F3EF7" w14:textId="6AB9DBC5" w:rsidR="00D2782C" w:rsidRPr="001F224B" w:rsidRDefault="00D2782C" w:rsidP="00D2782C">
            <w:pPr>
              <w:jc w:val="right"/>
              <w:rPr>
                <w:sz w:val="16"/>
                <w:szCs w:val="16"/>
              </w:rPr>
            </w:pPr>
            <w:r w:rsidRPr="001F224B">
              <w:rPr>
                <w:sz w:val="16"/>
                <w:szCs w:val="16"/>
              </w:rPr>
              <w:t>9.918.269</w:t>
            </w:r>
          </w:p>
        </w:tc>
      </w:tr>
      <w:tr w:rsidR="00D2782C" w:rsidRPr="001F224B" w14:paraId="0172D970"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0302F366"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 xml:space="preserve">Gerçeğe Uygun Değer Farkı Diğer Kapsamlı Gelire Yansıtılan Finansal Varlıklar </w:t>
            </w:r>
            <w:r w:rsidRPr="001F224B">
              <w:rPr>
                <w:rFonts w:asciiTheme="majorBidi" w:hAnsiTheme="majorBidi" w:cstheme="majorBidi"/>
                <w:sz w:val="18"/>
                <w:szCs w:val="18"/>
                <w:vertAlign w:val="superscript"/>
              </w:rPr>
              <w:t>(3)</w:t>
            </w:r>
          </w:p>
        </w:tc>
        <w:tc>
          <w:tcPr>
            <w:tcW w:w="889" w:type="dxa"/>
            <w:tcBorders>
              <w:top w:val="single" w:sz="4" w:space="0" w:color="auto"/>
              <w:left w:val="nil"/>
              <w:bottom w:val="single" w:sz="4" w:space="0" w:color="auto"/>
              <w:right w:val="single" w:sz="4" w:space="0" w:color="auto"/>
            </w:tcBorders>
            <w:shd w:val="clear" w:color="auto" w:fill="auto"/>
            <w:vAlign w:val="bottom"/>
          </w:tcPr>
          <w:p w14:paraId="23403E96" w14:textId="2EBD74D9" w:rsidR="00D2782C" w:rsidRPr="001F224B" w:rsidRDefault="00D2782C" w:rsidP="00D2782C">
            <w:pPr>
              <w:jc w:val="right"/>
              <w:rPr>
                <w:sz w:val="16"/>
                <w:szCs w:val="16"/>
              </w:rPr>
            </w:pPr>
            <w:r w:rsidRPr="001F224B">
              <w:rPr>
                <w:sz w:val="16"/>
                <w:szCs w:val="16"/>
              </w:rPr>
              <w:t xml:space="preserve"> 2.554.709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72ADD29D" w14:textId="4FB5834D" w:rsidR="00D2782C" w:rsidRPr="001F224B" w:rsidRDefault="00D2782C" w:rsidP="00D2782C">
            <w:pPr>
              <w:jc w:val="right"/>
              <w:rPr>
                <w:sz w:val="16"/>
                <w:szCs w:val="16"/>
              </w:rPr>
            </w:pPr>
            <w:r w:rsidRPr="001F224B">
              <w:rPr>
                <w:sz w:val="16"/>
                <w:szCs w:val="16"/>
              </w:rPr>
              <w:t xml:space="preserve"> 3.751.549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1175C4E1" w14:textId="64DB1BE8" w:rsidR="00D2782C" w:rsidRPr="001F224B" w:rsidRDefault="00D2782C" w:rsidP="00D2782C">
            <w:pPr>
              <w:jc w:val="right"/>
              <w:rPr>
                <w:sz w:val="16"/>
                <w:szCs w:val="16"/>
              </w:rPr>
            </w:pPr>
            <w:r w:rsidRPr="001F224B">
              <w:rPr>
                <w:sz w:val="16"/>
                <w:szCs w:val="16"/>
              </w:rPr>
              <w:t xml:space="preserve"> 8.303.655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6E0E9851" w14:textId="27BFF942" w:rsidR="00D2782C" w:rsidRPr="001F224B" w:rsidRDefault="00D2782C" w:rsidP="00D2782C">
            <w:pPr>
              <w:jc w:val="right"/>
              <w:rPr>
                <w:sz w:val="16"/>
                <w:szCs w:val="16"/>
              </w:rPr>
            </w:pPr>
            <w:r w:rsidRPr="001F224B">
              <w:rPr>
                <w:sz w:val="16"/>
                <w:szCs w:val="16"/>
              </w:rPr>
              <w:t xml:space="preserve"> 10.742.261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40F65E8D" w14:textId="06B69403" w:rsidR="00D2782C" w:rsidRPr="001F224B" w:rsidRDefault="00D2782C" w:rsidP="00D2782C">
            <w:pPr>
              <w:jc w:val="right"/>
              <w:rPr>
                <w:sz w:val="16"/>
                <w:szCs w:val="16"/>
              </w:rPr>
            </w:pPr>
            <w:r w:rsidRPr="001F224B">
              <w:rPr>
                <w:sz w:val="16"/>
                <w:szCs w:val="16"/>
              </w:rPr>
              <w:t xml:space="preserve"> 156.516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46961C44" w14:textId="5E8D7576" w:rsidR="00D2782C" w:rsidRPr="001F224B" w:rsidRDefault="00D2782C" w:rsidP="00D2782C">
            <w:pPr>
              <w:jc w:val="right"/>
              <w:rPr>
                <w:sz w:val="16"/>
                <w:szCs w:val="16"/>
              </w:rPr>
            </w:pPr>
            <w:r w:rsidRPr="001F224B">
              <w:rPr>
                <w:sz w:val="16"/>
                <w:szCs w:val="16"/>
              </w:rPr>
              <w:t xml:space="preserve"> 8.813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7C73CC4" w14:textId="7448DD47" w:rsidR="00D2782C" w:rsidRPr="001F224B" w:rsidRDefault="00D2782C" w:rsidP="00D2782C">
            <w:pPr>
              <w:jc w:val="right"/>
              <w:rPr>
                <w:sz w:val="16"/>
                <w:szCs w:val="16"/>
              </w:rPr>
            </w:pPr>
            <w:r w:rsidRPr="001F224B">
              <w:rPr>
                <w:sz w:val="16"/>
                <w:szCs w:val="16"/>
              </w:rPr>
              <w:t xml:space="preserve"> 25.517.503    </w:t>
            </w:r>
          </w:p>
        </w:tc>
      </w:tr>
      <w:tr w:rsidR="00D2782C" w:rsidRPr="001F224B" w14:paraId="59D483A4"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2E0C53F0"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 xml:space="preserve">Verilen Krediler </w:t>
            </w:r>
            <w:r w:rsidRPr="001F224B">
              <w:rPr>
                <w:rFonts w:asciiTheme="majorBidi" w:hAnsiTheme="majorBidi" w:cstheme="majorBidi"/>
                <w:sz w:val="18"/>
                <w:szCs w:val="18"/>
                <w:vertAlign w:val="superscript"/>
              </w:rPr>
              <w:t>(2)</w:t>
            </w:r>
          </w:p>
        </w:tc>
        <w:tc>
          <w:tcPr>
            <w:tcW w:w="889" w:type="dxa"/>
            <w:tcBorders>
              <w:top w:val="single" w:sz="4" w:space="0" w:color="auto"/>
              <w:left w:val="nil"/>
              <w:bottom w:val="single" w:sz="4" w:space="0" w:color="auto"/>
              <w:right w:val="single" w:sz="4" w:space="0" w:color="auto"/>
            </w:tcBorders>
            <w:shd w:val="clear" w:color="auto" w:fill="auto"/>
            <w:vAlign w:val="bottom"/>
          </w:tcPr>
          <w:p w14:paraId="29FCE526" w14:textId="6E881955" w:rsidR="00D2782C" w:rsidRPr="001F224B" w:rsidRDefault="00D2782C" w:rsidP="00D2782C">
            <w:pPr>
              <w:jc w:val="right"/>
              <w:rPr>
                <w:sz w:val="16"/>
                <w:szCs w:val="16"/>
              </w:rPr>
            </w:pPr>
            <w:r w:rsidRPr="001F224B">
              <w:rPr>
                <w:sz w:val="16"/>
                <w:szCs w:val="16"/>
              </w:rPr>
              <w:t xml:space="preserve"> 19.865.266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65EFA24E" w14:textId="2D52BDA0" w:rsidR="00D2782C" w:rsidRPr="001F224B" w:rsidRDefault="00D2782C" w:rsidP="00D2782C">
            <w:pPr>
              <w:jc w:val="right"/>
              <w:rPr>
                <w:sz w:val="16"/>
                <w:szCs w:val="16"/>
              </w:rPr>
            </w:pPr>
            <w:r w:rsidRPr="001F224B">
              <w:rPr>
                <w:sz w:val="16"/>
                <w:szCs w:val="16"/>
              </w:rPr>
              <w:t xml:space="preserve"> 21.012.207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35327513" w14:textId="1A9B017A" w:rsidR="00D2782C" w:rsidRPr="001F224B" w:rsidRDefault="00D2782C" w:rsidP="00D2782C">
            <w:pPr>
              <w:jc w:val="right"/>
              <w:rPr>
                <w:sz w:val="16"/>
                <w:szCs w:val="16"/>
              </w:rPr>
            </w:pPr>
            <w:r w:rsidRPr="001F224B">
              <w:rPr>
                <w:sz w:val="16"/>
                <w:szCs w:val="16"/>
              </w:rPr>
              <w:t xml:space="preserve"> 18.285.097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6BC216E4" w14:textId="24BCF224" w:rsidR="00D2782C" w:rsidRPr="001F224B" w:rsidRDefault="00D2782C" w:rsidP="00D2782C">
            <w:pPr>
              <w:jc w:val="right"/>
              <w:rPr>
                <w:sz w:val="16"/>
                <w:szCs w:val="16"/>
              </w:rPr>
            </w:pPr>
            <w:r w:rsidRPr="001F224B">
              <w:rPr>
                <w:sz w:val="16"/>
                <w:szCs w:val="16"/>
              </w:rPr>
              <w:t xml:space="preserve"> 7.964.007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0FF5237D" w14:textId="079338E1" w:rsidR="00D2782C" w:rsidRPr="001F224B" w:rsidRDefault="00D2782C" w:rsidP="00D2782C">
            <w:pPr>
              <w:jc w:val="right"/>
              <w:rPr>
                <w:sz w:val="16"/>
                <w:szCs w:val="16"/>
              </w:rPr>
            </w:pPr>
            <w:r w:rsidRPr="001F224B">
              <w:rPr>
                <w:sz w:val="16"/>
                <w:szCs w:val="16"/>
              </w:rPr>
              <w:t xml:space="preserve"> 25.826.803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4A5F3339" w14:textId="4A35E17B" w:rsidR="00D2782C" w:rsidRPr="001F224B" w:rsidRDefault="00D2782C" w:rsidP="00D2782C">
            <w:pPr>
              <w:jc w:val="right"/>
              <w:rPr>
                <w:sz w:val="16"/>
                <w:szCs w:val="16"/>
              </w:rPr>
            </w:pPr>
            <w:r w:rsidRPr="001F224B">
              <w:rPr>
                <w:sz w:val="16"/>
                <w:szCs w:val="16"/>
              </w:rPr>
              <w:t xml:space="preserve"> 156.399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13CF01E" w14:textId="02D28BCA" w:rsidR="00D2782C" w:rsidRPr="001F224B" w:rsidRDefault="00D2782C" w:rsidP="00D2782C">
            <w:pPr>
              <w:jc w:val="right"/>
              <w:rPr>
                <w:sz w:val="16"/>
                <w:szCs w:val="16"/>
              </w:rPr>
            </w:pPr>
            <w:r w:rsidRPr="001F224B">
              <w:rPr>
                <w:sz w:val="16"/>
                <w:szCs w:val="16"/>
              </w:rPr>
              <w:t xml:space="preserve"> 93.109.779    </w:t>
            </w:r>
          </w:p>
        </w:tc>
      </w:tr>
      <w:tr w:rsidR="00D2782C" w:rsidRPr="001F224B" w14:paraId="389200A3"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48CB1520"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 xml:space="preserve">İtfa Edilmiş Maliyeti Üzerinden Değerlenen Finansal Varlıklar </w:t>
            </w:r>
          </w:p>
        </w:tc>
        <w:tc>
          <w:tcPr>
            <w:tcW w:w="889" w:type="dxa"/>
            <w:tcBorders>
              <w:top w:val="single" w:sz="4" w:space="0" w:color="auto"/>
              <w:left w:val="nil"/>
              <w:bottom w:val="single" w:sz="4" w:space="0" w:color="auto"/>
              <w:right w:val="single" w:sz="4" w:space="0" w:color="auto"/>
            </w:tcBorders>
            <w:shd w:val="clear" w:color="auto" w:fill="auto"/>
            <w:vAlign w:val="bottom"/>
          </w:tcPr>
          <w:p w14:paraId="31F651B4" w14:textId="374E872F" w:rsidR="00D2782C" w:rsidRPr="001F224B" w:rsidRDefault="00D2782C" w:rsidP="00D2782C">
            <w:pPr>
              <w:jc w:val="right"/>
              <w:rPr>
                <w:sz w:val="16"/>
                <w:szCs w:val="16"/>
              </w:rPr>
            </w:pPr>
            <w:r w:rsidRPr="001F224B">
              <w:rPr>
                <w:sz w:val="16"/>
                <w:szCs w:val="16"/>
              </w:rPr>
              <w:t xml:space="preserve"> 646.816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51A94181" w14:textId="0310A725" w:rsidR="00D2782C" w:rsidRPr="001F224B" w:rsidRDefault="00D2782C" w:rsidP="00D2782C">
            <w:pPr>
              <w:jc w:val="right"/>
              <w:rPr>
                <w:sz w:val="16"/>
                <w:szCs w:val="16"/>
              </w:rPr>
            </w:pPr>
            <w:r w:rsidRPr="001F224B">
              <w:rPr>
                <w:sz w:val="16"/>
                <w:szCs w:val="16"/>
              </w:rPr>
              <w:t xml:space="preserve"> 349.580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6542C6E8" w14:textId="6F746FCC" w:rsidR="00D2782C" w:rsidRPr="001F224B" w:rsidRDefault="00D2782C" w:rsidP="00D2782C">
            <w:pPr>
              <w:jc w:val="right"/>
              <w:rPr>
                <w:sz w:val="16"/>
                <w:szCs w:val="16"/>
              </w:rPr>
            </w:pPr>
            <w:r w:rsidRPr="001F224B">
              <w:rPr>
                <w:sz w:val="16"/>
                <w:szCs w:val="16"/>
              </w:rPr>
              <w:t xml:space="preserve"> 1.894.602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4DD59257" w14:textId="38CF18A4" w:rsidR="00D2782C" w:rsidRPr="001F224B" w:rsidRDefault="00D2782C" w:rsidP="00D2782C">
            <w:pPr>
              <w:jc w:val="right"/>
              <w:rPr>
                <w:sz w:val="16"/>
                <w:szCs w:val="16"/>
              </w:rPr>
            </w:pPr>
            <w:r w:rsidRPr="001F224B">
              <w:rPr>
                <w:sz w:val="16"/>
                <w:szCs w:val="16"/>
              </w:rPr>
              <w:t xml:space="preserve"> 1.914.385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155BE834" w14:textId="6C07791F" w:rsidR="00D2782C" w:rsidRPr="001F224B" w:rsidRDefault="00D2782C" w:rsidP="00D2782C">
            <w:pPr>
              <w:jc w:val="right"/>
              <w:rPr>
                <w:sz w:val="16"/>
                <w:szCs w:val="16"/>
              </w:rPr>
            </w:pPr>
            <w:r w:rsidRPr="001F224B">
              <w:rPr>
                <w:sz w:val="16"/>
                <w:szCs w:val="16"/>
              </w:rPr>
              <w:t xml:space="preserve"> 5.572.121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01E7C925" w14:textId="28058959" w:rsidR="00D2782C" w:rsidRPr="001F224B" w:rsidRDefault="00D2782C" w:rsidP="00D2782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41C3109" w14:textId="0C7455DB" w:rsidR="00D2782C" w:rsidRPr="001F224B" w:rsidRDefault="00D2782C" w:rsidP="00D2782C">
            <w:pPr>
              <w:jc w:val="right"/>
              <w:rPr>
                <w:sz w:val="16"/>
                <w:szCs w:val="16"/>
              </w:rPr>
            </w:pPr>
            <w:r w:rsidRPr="001F224B">
              <w:rPr>
                <w:sz w:val="16"/>
                <w:szCs w:val="16"/>
              </w:rPr>
              <w:t xml:space="preserve"> 10.377.504    </w:t>
            </w:r>
          </w:p>
        </w:tc>
      </w:tr>
      <w:tr w:rsidR="00D2782C" w:rsidRPr="001F224B" w14:paraId="02172D9D" w14:textId="77777777" w:rsidTr="0017530A">
        <w:trPr>
          <w:trHeight w:val="257"/>
        </w:trPr>
        <w:tc>
          <w:tcPr>
            <w:tcW w:w="3686" w:type="dxa"/>
            <w:tcBorders>
              <w:top w:val="nil"/>
              <w:left w:val="single" w:sz="4" w:space="0" w:color="auto"/>
              <w:bottom w:val="single" w:sz="4" w:space="0" w:color="auto"/>
              <w:right w:val="single" w:sz="4" w:space="0" w:color="auto"/>
            </w:tcBorders>
            <w:shd w:val="clear" w:color="000000" w:fill="FFFFFF"/>
            <w:vAlign w:val="bottom"/>
          </w:tcPr>
          <w:p w14:paraId="542F39F1"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 xml:space="preserve">Diğer Varlıklar </w:t>
            </w:r>
            <w:r w:rsidRPr="001F224B">
              <w:rPr>
                <w:rFonts w:asciiTheme="majorBidi" w:hAnsiTheme="majorBidi" w:cstheme="majorBidi"/>
                <w:sz w:val="18"/>
                <w:szCs w:val="18"/>
                <w:vertAlign w:val="superscript"/>
              </w:rPr>
              <w:t>(4)</w:t>
            </w:r>
          </w:p>
        </w:tc>
        <w:tc>
          <w:tcPr>
            <w:tcW w:w="889" w:type="dxa"/>
            <w:tcBorders>
              <w:top w:val="single" w:sz="4" w:space="0" w:color="auto"/>
              <w:left w:val="nil"/>
              <w:bottom w:val="single" w:sz="4" w:space="0" w:color="auto"/>
              <w:right w:val="single" w:sz="4" w:space="0" w:color="auto"/>
            </w:tcBorders>
            <w:shd w:val="clear" w:color="auto" w:fill="auto"/>
            <w:vAlign w:val="bottom"/>
          </w:tcPr>
          <w:p w14:paraId="32CEAC64" w14:textId="7D4FD519" w:rsidR="00D2782C" w:rsidRPr="001F224B" w:rsidRDefault="00D2782C" w:rsidP="00D2782C">
            <w:pPr>
              <w:jc w:val="right"/>
              <w:rPr>
                <w:sz w:val="16"/>
                <w:szCs w:val="16"/>
              </w:rPr>
            </w:pPr>
            <w:r w:rsidRPr="001F224B">
              <w:rPr>
                <w:sz w:val="16"/>
                <w:szCs w:val="16"/>
              </w:rPr>
              <w:t xml:space="preserve"> 144.14</w:t>
            </w:r>
            <w:r w:rsidR="00EA5C8C" w:rsidRPr="001F224B">
              <w:rPr>
                <w:sz w:val="16"/>
                <w:szCs w:val="16"/>
              </w:rPr>
              <w:t>3</w:t>
            </w:r>
            <w:r w:rsidRPr="001F224B">
              <w:rPr>
                <w:sz w:val="16"/>
                <w:szCs w:val="16"/>
              </w:rPr>
              <w:t xml:space="preserve">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3DB84A00" w14:textId="3951F3FD" w:rsidR="00D2782C" w:rsidRPr="001F224B" w:rsidRDefault="00D2782C" w:rsidP="00D2782C">
            <w:pPr>
              <w:jc w:val="right"/>
              <w:rPr>
                <w:sz w:val="16"/>
                <w:szCs w:val="16"/>
              </w:rPr>
            </w:pPr>
            <w:r w:rsidRPr="001F224B">
              <w:rPr>
                <w:sz w:val="16"/>
                <w:szCs w:val="16"/>
              </w:rPr>
              <w:t xml:space="preserve"> -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61FBBB63" w14:textId="539341B3" w:rsidR="00D2782C" w:rsidRPr="001F224B" w:rsidRDefault="00D2782C" w:rsidP="00D2782C">
            <w:pPr>
              <w:jc w:val="right"/>
              <w:rPr>
                <w:sz w:val="16"/>
                <w:szCs w:val="16"/>
              </w:rPr>
            </w:pPr>
            <w:r w:rsidRPr="001F224B">
              <w:rPr>
                <w:sz w:val="16"/>
                <w:szCs w:val="16"/>
              </w:rPr>
              <w:t xml:space="preserve"> -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1150B98E" w14:textId="2FF16460" w:rsidR="00D2782C" w:rsidRPr="001F224B" w:rsidRDefault="00D2782C" w:rsidP="00D2782C">
            <w:pPr>
              <w:jc w:val="right"/>
              <w:rPr>
                <w:sz w:val="16"/>
                <w:szCs w:val="16"/>
              </w:rPr>
            </w:pPr>
            <w:r w:rsidRPr="001F224B">
              <w:rPr>
                <w:sz w:val="16"/>
                <w:szCs w:val="16"/>
              </w:rPr>
              <w:t xml:space="preserve"> -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60EB4856" w14:textId="737C2EBD" w:rsidR="00D2782C" w:rsidRPr="001F224B" w:rsidRDefault="00D2782C" w:rsidP="00D2782C">
            <w:pPr>
              <w:jc w:val="right"/>
              <w:rPr>
                <w:sz w:val="16"/>
                <w:szCs w:val="16"/>
              </w:rPr>
            </w:pPr>
            <w:r w:rsidRPr="001F224B">
              <w:rPr>
                <w:sz w:val="16"/>
                <w:szCs w:val="16"/>
              </w:rPr>
              <w:t xml:space="preserve"> -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3D42FD95" w14:textId="48291427" w:rsidR="00D2782C" w:rsidRPr="001F224B" w:rsidRDefault="00D2782C" w:rsidP="00D2782C">
            <w:pPr>
              <w:jc w:val="right"/>
              <w:rPr>
                <w:sz w:val="16"/>
                <w:szCs w:val="16"/>
              </w:rPr>
            </w:pPr>
            <w:r w:rsidRPr="001F224B">
              <w:rPr>
                <w:sz w:val="16"/>
                <w:szCs w:val="16"/>
              </w:rPr>
              <w:t xml:space="preserve"> 1.111.799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E071E03" w14:textId="297F58D3" w:rsidR="00D2782C" w:rsidRPr="001F224B" w:rsidRDefault="00D2782C" w:rsidP="00D2782C">
            <w:pPr>
              <w:jc w:val="right"/>
              <w:rPr>
                <w:sz w:val="16"/>
                <w:szCs w:val="16"/>
              </w:rPr>
            </w:pPr>
            <w:r w:rsidRPr="001F224B">
              <w:rPr>
                <w:sz w:val="16"/>
                <w:szCs w:val="16"/>
              </w:rPr>
              <w:t xml:space="preserve"> 1.255.94</w:t>
            </w:r>
            <w:r w:rsidR="00EA5C8C" w:rsidRPr="001F224B">
              <w:rPr>
                <w:sz w:val="16"/>
                <w:szCs w:val="16"/>
              </w:rPr>
              <w:t>2</w:t>
            </w:r>
            <w:r w:rsidRPr="001F224B">
              <w:rPr>
                <w:sz w:val="16"/>
                <w:szCs w:val="16"/>
              </w:rPr>
              <w:t xml:space="preserve">    </w:t>
            </w:r>
          </w:p>
        </w:tc>
      </w:tr>
      <w:tr w:rsidR="00D2782C" w:rsidRPr="001F224B" w14:paraId="08EEDCF6"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4E3D8F50" w14:textId="77777777" w:rsidR="00D2782C" w:rsidRPr="001F224B" w:rsidRDefault="00D2782C" w:rsidP="00D2782C">
            <w:pPr>
              <w:rPr>
                <w:rFonts w:asciiTheme="majorBidi" w:hAnsiTheme="majorBidi" w:cstheme="majorBidi"/>
                <w:b/>
                <w:sz w:val="18"/>
                <w:szCs w:val="18"/>
                <w:vertAlign w:val="superscript"/>
              </w:rPr>
            </w:pPr>
            <w:r w:rsidRPr="001F224B">
              <w:rPr>
                <w:rFonts w:asciiTheme="majorBidi" w:hAnsiTheme="majorBidi" w:cstheme="majorBidi"/>
                <w:b/>
                <w:sz w:val="18"/>
                <w:szCs w:val="18"/>
              </w:rPr>
              <w:t xml:space="preserve">Toplam Varlıklar </w:t>
            </w:r>
            <w:r w:rsidRPr="001F224B">
              <w:rPr>
                <w:rFonts w:asciiTheme="majorBidi" w:hAnsiTheme="majorBidi" w:cstheme="majorBidi"/>
                <w:b/>
                <w:sz w:val="18"/>
                <w:szCs w:val="18"/>
                <w:vertAlign w:val="superscript"/>
              </w:rPr>
              <w:t>(5)</w:t>
            </w:r>
          </w:p>
        </w:tc>
        <w:tc>
          <w:tcPr>
            <w:tcW w:w="889" w:type="dxa"/>
            <w:tcBorders>
              <w:top w:val="single" w:sz="4" w:space="0" w:color="auto"/>
              <w:left w:val="nil"/>
              <w:bottom w:val="single" w:sz="4" w:space="0" w:color="auto"/>
              <w:right w:val="single" w:sz="4" w:space="0" w:color="auto"/>
            </w:tcBorders>
            <w:shd w:val="clear" w:color="auto" w:fill="auto"/>
            <w:vAlign w:val="bottom"/>
          </w:tcPr>
          <w:p w14:paraId="2AAFE182" w14:textId="6317745E" w:rsidR="00D2782C" w:rsidRPr="001F224B" w:rsidRDefault="00D2782C" w:rsidP="00D2782C">
            <w:pPr>
              <w:jc w:val="right"/>
              <w:rPr>
                <w:b/>
                <w:bCs/>
                <w:sz w:val="16"/>
                <w:szCs w:val="16"/>
              </w:rPr>
            </w:pPr>
            <w:r w:rsidRPr="001F224B">
              <w:rPr>
                <w:b/>
                <w:bCs/>
                <w:sz w:val="16"/>
                <w:szCs w:val="16"/>
              </w:rPr>
              <w:t>45.766.214</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386B02DB" w14:textId="1DA0614B" w:rsidR="00D2782C" w:rsidRPr="001F224B" w:rsidRDefault="00D2782C" w:rsidP="00D2782C">
            <w:pPr>
              <w:jc w:val="right"/>
              <w:rPr>
                <w:b/>
                <w:bCs/>
                <w:sz w:val="16"/>
                <w:szCs w:val="16"/>
              </w:rPr>
            </w:pPr>
            <w:r w:rsidRPr="001F224B">
              <w:rPr>
                <w:b/>
                <w:bCs/>
                <w:sz w:val="16"/>
                <w:szCs w:val="16"/>
              </w:rPr>
              <w:t>25.113.336</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7C596219" w14:textId="09856993" w:rsidR="00D2782C" w:rsidRPr="001F224B" w:rsidRDefault="00D2782C" w:rsidP="00D2782C">
            <w:pPr>
              <w:jc w:val="right"/>
              <w:rPr>
                <w:b/>
                <w:bCs/>
                <w:sz w:val="16"/>
                <w:szCs w:val="16"/>
              </w:rPr>
            </w:pPr>
            <w:r w:rsidRPr="001F224B">
              <w:rPr>
                <w:b/>
                <w:bCs/>
                <w:sz w:val="16"/>
                <w:szCs w:val="16"/>
              </w:rPr>
              <w:t>28.483.354</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0C15516C" w14:textId="6C08DF4A" w:rsidR="00D2782C" w:rsidRPr="001F224B" w:rsidRDefault="00D2782C" w:rsidP="00D2782C">
            <w:pPr>
              <w:jc w:val="right"/>
              <w:rPr>
                <w:b/>
                <w:bCs/>
                <w:sz w:val="16"/>
                <w:szCs w:val="16"/>
              </w:rPr>
            </w:pPr>
            <w:r w:rsidRPr="001F224B">
              <w:rPr>
                <w:b/>
                <w:bCs/>
                <w:sz w:val="16"/>
                <w:szCs w:val="16"/>
              </w:rPr>
              <w:t>20.620.653</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28E144EC" w14:textId="44F1A577" w:rsidR="00D2782C" w:rsidRPr="001F224B" w:rsidRDefault="00D2782C" w:rsidP="00D2782C">
            <w:pPr>
              <w:jc w:val="right"/>
              <w:rPr>
                <w:b/>
                <w:bCs/>
                <w:sz w:val="16"/>
                <w:szCs w:val="16"/>
              </w:rPr>
            </w:pPr>
            <w:r w:rsidRPr="001F224B">
              <w:rPr>
                <w:b/>
                <w:bCs/>
                <w:sz w:val="16"/>
                <w:szCs w:val="16"/>
              </w:rPr>
              <w:t>31.555.440</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651DDD69" w14:textId="27F9B5DC" w:rsidR="00D2782C" w:rsidRPr="001F224B" w:rsidRDefault="00D2782C" w:rsidP="00D2782C">
            <w:pPr>
              <w:jc w:val="right"/>
              <w:rPr>
                <w:b/>
                <w:bCs/>
                <w:sz w:val="16"/>
                <w:szCs w:val="16"/>
              </w:rPr>
            </w:pPr>
            <w:r w:rsidRPr="001F224B">
              <w:rPr>
                <w:b/>
                <w:bCs/>
                <w:sz w:val="16"/>
                <w:szCs w:val="16"/>
              </w:rPr>
              <w:t>2.055.472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5C3F084" w14:textId="0B243276" w:rsidR="00D2782C" w:rsidRPr="001F224B" w:rsidRDefault="00D2782C" w:rsidP="00D2782C">
            <w:pPr>
              <w:jc w:val="right"/>
              <w:rPr>
                <w:b/>
                <w:bCs/>
                <w:sz w:val="16"/>
                <w:szCs w:val="16"/>
              </w:rPr>
            </w:pPr>
            <w:r w:rsidRPr="001F224B">
              <w:rPr>
                <w:b/>
                <w:bCs/>
                <w:sz w:val="16"/>
                <w:szCs w:val="16"/>
              </w:rPr>
              <w:t>153.594.469</w:t>
            </w:r>
          </w:p>
        </w:tc>
      </w:tr>
      <w:tr w:rsidR="00D2782C" w:rsidRPr="001F224B" w14:paraId="45352F81"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4E9F7726" w14:textId="77777777" w:rsidR="00D2782C" w:rsidRPr="001F224B" w:rsidRDefault="00D2782C" w:rsidP="00D2782C">
            <w:pPr>
              <w:rPr>
                <w:rFonts w:asciiTheme="majorBidi" w:hAnsiTheme="majorBidi" w:cstheme="majorBidi"/>
                <w:sz w:val="18"/>
                <w:szCs w:val="18"/>
              </w:rPr>
            </w:pPr>
            <w:r w:rsidRPr="001F224B">
              <w:rPr>
                <w:rFonts w:asciiTheme="majorBidi" w:hAnsiTheme="majorBidi" w:cstheme="majorBidi"/>
                <w:sz w:val="18"/>
                <w:szCs w:val="18"/>
              </w:rPr>
              <w:t> </w:t>
            </w:r>
          </w:p>
        </w:tc>
        <w:tc>
          <w:tcPr>
            <w:tcW w:w="889" w:type="dxa"/>
            <w:tcBorders>
              <w:top w:val="single" w:sz="4" w:space="0" w:color="auto"/>
              <w:left w:val="nil"/>
              <w:bottom w:val="single" w:sz="4" w:space="0" w:color="auto"/>
              <w:right w:val="single" w:sz="4" w:space="0" w:color="auto"/>
            </w:tcBorders>
            <w:shd w:val="clear" w:color="auto" w:fill="FFFFFF"/>
            <w:vAlign w:val="bottom"/>
          </w:tcPr>
          <w:p w14:paraId="56AAC5F8" w14:textId="77777777" w:rsidR="00D2782C" w:rsidRPr="001F224B" w:rsidRDefault="00D2782C" w:rsidP="00D2782C">
            <w:pPr>
              <w:jc w:val="right"/>
              <w:rPr>
                <w:sz w:val="16"/>
                <w:szCs w:val="16"/>
              </w:rPr>
            </w:pPr>
          </w:p>
        </w:tc>
        <w:tc>
          <w:tcPr>
            <w:tcW w:w="946" w:type="dxa"/>
            <w:tcBorders>
              <w:top w:val="single" w:sz="4" w:space="0" w:color="auto"/>
              <w:left w:val="nil"/>
              <w:bottom w:val="single" w:sz="4" w:space="0" w:color="auto"/>
              <w:right w:val="single" w:sz="4" w:space="0" w:color="auto"/>
            </w:tcBorders>
            <w:shd w:val="clear" w:color="auto" w:fill="FFFFFF"/>
            <w:vAlign w:val="bottom"/>
          </w:tcPr>
          <w:p w14:paraId="70799AC6" w14:textId="77777777" w:rsidR="00D2782C" w:rsidRPr="001F224B" w:rsidRDefault="00D2782C" w:rsidP="00D2782C">
            <w:pPr>
              <w:jc w:val="right"/>
              <w:rPr>
                <w:sz w:val="16"/>
                <w:szCs w:val="16"/>
              </w:rPr>
            </w:pPr>
          </w:p>
        </w:tc>
        <w:tc>
          <w:tcPr>
            <w:tcW w:w="1016" w:type="dxa"/>
            <w:tcBorders>
              <w:top w:val="single" w:sz="4" w:space="0" w:color="auto"/>
              <w:left w:val="nil"/>
              <w:bottom w:val="single" w:sz="4" w:space="0" w:color="auto"/>
              <w:right w:val="single" w:sz="4" w:space="0" w:color="auto"/>
            </w:tcBorders>
            <w:shd w:val="clear" w:color="auto" w:fill="FFFFFF"/>
            <w:vAlign w:val="bottom"/>
          </w:tcPr>
          <w:p w14:paraId="04339C6A" w14:textId="77777777" w:rsidR="00D2782C" w:rsidRPr="001F224B" w:rsidRDefault="00D2782C" w:rsidP="00D2782C">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14:paraId="4B0432FF" w14:textId="77777777" w:rsidR="00D2782C" w:rsidRPr="001F224B" w:rsidRDefault="00D2782C" w:rsidP="00D2782C">
            <w:pPr>
              <w:jc w:val="right"/>
              <w:rPr>
                <w:sz w:val="16"/>
                <w:szCs w:val="16"/>
              </w:rPr>
            </w:pPr>
          </w:p>
        </w:tc>
        <w:tc>
          <w:tcPr>
            <w:tcW w:w="1017" w:type="dxa"/>
            <w:tcBorders>
              <w:top w:val="single" w:sz="4" w:space="0" w:color="auto"/>
              <w:left w:val="nil"/>
              <w:bottom w:val="single" w:sz="4" w:space="0" w:color="auto"/>
              <w:right w:val="single" w:sz="4" w:space="0" w:color="auto"/>
            </w:tcBorders>
            <w:shd w:val="clear" w:color="auto" w:fill="FFFFFF"/>
            <w:vAlign w:val="bottom"/>
          </w:tcPr>
          <w:p w14:paraId="7B254C15" w14:textId="77777777" w:rsidR="00D2782C" w:rsidRPr="001F224B" w:rsidRDefault="00D2782C" w:rsidP="00D2782C">
            <w:pPr>
              <w:jc w:val="right"/>
              <w:rPr>
                <w:sz w:val="16"/>
                <w:szCs w:val="16"/>
              </w:rPr>
            </w:pPr>
          </w:p>
        </w:tc>
        <w:tc>
          <w:tcPr>
            <w:tcW w:w="946" w:type="dxa"/>
            <w:tcBorders>
              <w:top w:val="single" w:sz="4" w:space="0" w:color="auto"/>
              <w:left w:val="nil"/>
              <w:bottom w:val="single" w:sz="4" w:space="0" w:color="auto"/>
              <w:right w:val="single" w:sz="4" w:space="0" w:color="auto"/>
            </w:tcBorders>
            <w:shd w:val="clear" w:color="auto" w:fill="FFFFFF"/>
            <w:vAlign w:val="bottom"/>
          </w:tcPr>
          <w:p w14:paraId="60E4AD99" w14:textId="77777777" w:rsidR="00D2782C" w:rsidRPr="001F224B" w:rsidRDefault="00D2782C" w:rsidP="00D2782C">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3FE4BD0B" w14:textId="77777777" w:rsidR="00D2782C" w:rsidRPr="001F224B" w:rsidRDefault="00D2782C" w:rsidP="00D2782C">
            <w:pPr>
              <w:jc w:val="right"/>
              <w:rPr>
                <w:sz w:val="16"/>
                <w:szCs w:val="16"/>
              </w:rPr>
            </w:pPr>
          </w:p>
        </w:tc>
      </w:tr>
      <w:tr w:rsidR="00D2782C" w:rsidRPr="001F224B" w14:paraId="086E6B7C" w14:textId="77777777" w:rsidTr="0017530A">
        <w:trPr>
          <w:trHeight w:val="56"/>
        </w:trPr>
        <w:tc>
          <w:tcPr>
            <w:tcW w:w="3686" w:type="dxa"/>
            <w:tcBorders>
              <w:top w:val="nil"/>
              <w:left w:val="single" w:sz="4" w:space="0" w:color="auto"/>
              <w:bottom w:val="single" w:sz="4" w:space="0" w:color="auto"/>
              <w:right w:val="single" w:sz="4" w:space="0" w:color="auto"/>
            </w:tcBorders>
            <w:shd w:val="clear" w:color="000000" w:fill="FFFFFF"/>
            <w:vAlign w:val="bottom"/>
          </w:tcPr>
          <w:p w14:paraId="246C3FE8" w14:textId="77777777" w:rsidR="00D2782C" w:rsidRPr="001F224B" w:rsidRDefault="00D2782C" w:rsidP="00D2782C">
            <w:pPr>
              <w:rPr>
                <w:rFonts w:asciiTheme="majorBidi" w:hAnsiTheme="majorBidi" w:cstheme="majorBidi"/>
                <w:sz w:val="18"/>
                <w:szCs w:val="18"/>
              </w:rPr>
            </w:pPr>
            <w:r w:rsidRPr="001F224B">
              <w:rPr>
                <w:rFonts w:asciiTheme="majorBidi" w:hAnsiTheme="majorBidi" w:cstheme="majorBidi"/>
                <w:sz w:val="18"/>
                <w:szCs w:val="18"/>
              </w:rPr>
              <w:t>Yükümlülükler</w:t>
            </w:r>
          </w:p>
        </w:tc>
        <w:tc>
          <w:tcPr>
            <w:tcW w:w="889" w:type="dxa"/>
            <w:tcBorders>
              <w:top w:val="single" w:sz="4" w:space="0" w:color="auto"/>
              <w:left w:val="nil"/>
              <w:bottom w:val="single" w:sz="4" w:space="0" w:color="auto"/>
              <w:right w:val="single" w:sz="4" w:space="0" w:color="auto"/>
            </w:tcBorders>
            <w:shd w:val="clear" w:color="auto" w:fill="FFFFFF"/>
            <w:vAlign w:val="bottom"/>
          </w:tcPr>
          <w:p w14:paraId="67DC6B2A" w14:textId="77777777" w:rsidR="00D2782C" w:rsidRPr="001F224B" w:rsidRDefault="00D2782C" w:rsidP="00D2782C">
            <w:pPr>
              <w:jc w:val="right"/>
              <w:rPr>
                <w:sz w:val="16"/>
                <w:szCs w:val="16"/>
              </w:rPr>
            </w:pPr>
          </w:p>
        </w:tc>
        <w:tc>
          <w:tcPr>
            <w:tcW w:w="946" w:type="dxa"/>
            <w:tcBorders>
              <w:top w:val="single" w:sz="4" w:space="0" w:color="auto"/>
              <w:left w:val="nil"/>
              <w:bottom w:val="single" w:sz="4" w:space="0" w:color="auto"/>
              <w:right w:val="single" w:sz="4" w:space="0" w:color="auto"/>
            </w:tcBorders>
            <w:shd w:val="clear" w:color="auto" w:fill="FFFFFF"/>
            <w:vAlign w:val="bottom"/>
          </w:tcPr>
          <w:p w14:paraId="0E0819D4" w14:textId="77777777" w:rsidR="00D2782C" w:rsidRPr="001F224B" w:rsidRDefault="00D2782C" w:rsidP="00D2782C">
            <w:pPr>
              <w:jc w:val="right"/>
              <w:rPr>
                <w:sz w:val="16"/>
                <w:szCs w:val="16"/>
              </w:rPr>
            </w:pPr>
          </w:p>
        </w:tc>
        <w:tc>
          <w:tcPr>
            <w:tcW w:w="1016" w:type="dxa"/>
            <w:tcBorders>
              <w:top w:val="single" w:sz="4" w:space="0" w:color="auto"/>
              <w:left w:val="nil"/>
              <w:bottom w:val="single" w:sz="4" w:space="0" w:color="auto"/>
              <w:right w:val="single" w:sz="4" w:space="0" w:color="auto"/>
            </w:tcBorders>
            <w:shd w:val="clear" w:color="auto" w:fill="FFFFFF"/>
            <w:vAlign w:val="bottom"/>
          </w:tcPr>
          <w:p w14:paraId="67D39F3F" w14:textId="77777777" w:rsidR="00D2782C" w:rsidRPr="001F224B" w:rsidRDefault="00D2782C" w:rsidP="00D2782C">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14:paraId="3C912DCC" w14:textId="77777777" w:rsidR="00D2782C" w:rsidRPr="001F224B" w:rsidRDefault="00D2782C" w:rsidP="00D2782C">
            <w:pPr>
              <w:jc w:val="right"/>
              <w:rPr>
                <w:sz w:val="16"/>
                <w:szCs w:val="16"/>
              </w:rPr>
            </w:pPr>
          </w:p>
        </w:tc>
        <w:tc>
          <w:tcPr>
            <w:tcW w:w="1017" w:type="dxa"/>
            <w:tcBorders>
              <w:top w:val="single" w:sz="4" w:space="0" w:color="auto"/>
              <w:left w:val="nil"/>
              <w:bottom w:val="single" w:sz="4" w:space="0" w:color="auto"/>
              <w:right w:val="single" w:sz="4" w:space="0" w:color="auto"/>
            </w:tcBorders>
            <w:shd w:val="clear" w:color="auto" w:fill="FFFFFF"/>
            <w:vAlign w:val="bottom"/>
          </w:tcPr>
          <w:p w14:paraId="2896B2E4" w14:textId="77777777" w:rsidR="00D2782C" w:rsidRPr="001F224B" w:rsidRDefault="00D2782C" w:rsidP="00D2782C">
            <w:pPr>
              <w:jc w:val="right"/>
              <w:rPr>
                <w:sz w:val="16"/>
                <w:szCs w:val="16"/>
              </w:rPr>
            </w:pPr>
          </w:p>
        </w:tc>
        <w:tc>
          <w:tcPr>
            <w:tcW w:w="946" w:type="dxa"/>
            <w:tcBorders>
              <w:top w:val="single" w:sz="4" w:space="0" w:color="auto"/>
              <w:left w:val="nil"/>
              <w:bottom w:val="single" w:sz="4" w:space="0" w:color="auto"/>
              <w:right w:val="single" w:sz="4" w:space="0" w:color="auto"/>
            </w:tcBorders>
            <w:shd w:val="clear" w:color="auto" w:fill="FFFFFF"/>
            <w:vAlign w:val="bottom"/>
          </w:tcPr>
          <w:p w14:paraId="3859AF1E" w14:textId="77777777" w:rsidR="00D2782C" w:rsidRPr="001F224B" w:rsidRDefault="00D2782C" w:rsidP="00D2782C">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639FE704" w14:textId="77777777" w:rsidR="00D2782C" w:rsidRPr="001F224B" w:rsidRDefault="00D2782C" w:rsidP="00D2782C">
            <w:pPr>
              <w:jc w:val="right"/>
              <w:rPr>
                <w:sz w:val="16"/>
                <w:szCs w:val="16"/>
              </w:rPr>
            </w:pPr>
          </w:p>
        </w:tc>
      </w:tr>
      <w:tr w:rsidR="00D2782C" w:rsidRPr="001F224B" w14:paraId="7A2D1B5F"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0F1E1E29"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Bankalar Mevduatı</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1177C185" w14:textId="40916049"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3A47CEC1" w14:textId="1E77D759" w:rsidR="00D2782C" w:rsidRPr="001F224B" w:rsidRDefault="00D2782C" w:rsidP="00D2782C">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auto"/>
            <w:vAlign w:val="bottom"/>
          </w:tcPr>
          <w:p w14:paraId="6FD387DE" w14:textId="245BD63D" w:rsidR="00D2782C" w:rsidRPr="001F224B" w:rsidRDefault="00D2782C" w:rsidP="00D2782C">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auto"/>
            <w:vAlign w:val="bottom"/>
          </w:tcPr>
          <w:p w14:paraId="211053F9" w14:textId="34A40E0A" w:rsidR="00D2782C" w:rsidRPr="001F224B" w:rsidRDefault="00D2782C" w:rsidP="00D2782C">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0A7248E8" w14:textId="76A1BBC3"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5D63B0C4" w14:textId="4EB24212" w:rsidR="00D2782C" w:rsidRPr="001F224B" w:rsidRDefault="00D2782C" w:rsidP="00D2782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548129CA" w14:textId="61D1620E" w:rsidR="00D2782C" w:rsidRPr="001F224B" w:rsidRDefault="00D2782C" w:rsidP="00D2782C">
            <w:pPr>
              <w:jc w:val="right"/>
              <w:rPr>
                <w:sz w:val="16"/>
                <w:szCs w:val="16"/>
              </w:rPr>
            </w:pPr>
            <w:r w:rsidRPr="001F224B">
              <w:rPr>
                <w:sz w:val="16"/>
                <w:szCs w:val="16"/>
              </w:rPr>
              <w:t>-</w:t>
            </w:r>
          </w:p>
        </w:tc>
      </w:tr>
      <w:tr w:rsidR="00D2782C" w:rsidRPr="001F224B" w14:paraId="2E2BB856"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2F80086B"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Diğer Mevduat</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5DCFC2EB" w14:textId="29FC3E3E"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0675873E" w14:textId="2CFA72D9" w:rsidR="00D2782C" w:rsidRPr="001F224B" w:rsidRDefault="00D2782C" w:rsidP="00D2782C">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auto"/>
            <w:vAlign w:val="bottom"/>
          </w:tcPr>
          <w:p w14:paraId="65D20F24" w14:textId="7A12EF49" w:rsidR="00D2782C" w:rsidRPr="001F224B" w:rsidRDefault="00D2782C" w:rsidP="00D2782C">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auto"/>
            <w:vAlign w:val="bottom"/>
          </w:tcPr>
          <w:p w14:paraId="469BCC11" w14:textId="223EDF3D" w:rsidR="00D2782C" w:rsidRPr="001F224B" w:rsidRDefault="00D2782C" w:rsidP="00D2782C">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61F088E8" w14:textId="6123782F"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63C1193A" w14:textId="6467AF83" w:rsidR="00D2782C" w:rsidRPr="001F224B" w:rsidRDefault="00D2782C" w:rsidP="00D2782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01F1A3F6" w14:textId="3B59FD0A" w:rsidR="00D2782C" w:rsidRPr="001F224B" w:rsidRDefault="00D2782C" w:rsidP="00D2782C">
            <w:pPr>
              <w:jc w:val="right"/>
              <w:rPr>
                <w:sz w:val="16"/>
                <w:szCs w:val="16"/>
              </w:rPr>
            </w:pPr>
            <w:r w:rsidRPr="001F224B">
              <w:rPr>
                <w:sz w:val="16"/>
                <w:szCs w:val="16"/>
              </w:rPr>
              <w:t>-</w:t>
            </w:r>
          </w:p>
        </w:tc>
      </w:tr>
      <w:tr w:rsidR="00D2782C" w:rsidRPr="001F224B" w14:paraId="5419D288"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5E4B75E9"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Para Piyasalarına Borçlar</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0FF7651B" w14:textId="5A2D4DF6" w:rsidR="00D2782C" w:rsidRPr="001F224B" w:rsidRDefault="00D2782C" w:rsidP="00D2782C">
            <w:pPr>
              <w:jc w:val="right"/>
              <w:rPr>
                <w:sz w:val="16"/>
                <w:szCs w:val="16"/>
              </w:rPr>
            </w:pPr>
            <w:r w:rsidRPr="001F224B">
              <w:rPr>
                <w:sz w:val="16"/>
                <w:szCs w:val="16"/>
              </w:rPr>
              <w:t xml:space="preserve"> 3.417.116    </w:t>
            </w:r>
          </w:p>
        </w:tc>
        <w:tc>
          <w:tcPr>
            <w:tcW w:w="946" w:type="dxa"/>
            <w:tcBorders>
              <w:top w:val="single" w:sz="4" w:space="0" w:color="auto"/>
              <w:left w:val="nil"/>
              <w:bottom w:val="single" w:sz="4" w:space="0" w:color="auto"/>
              <w:right w:val="single" w:sz="4" w:space="0" w:color="auto"/>
            </w:tcBorders>
            <w:shd w:val="clear" w:color="auto" w:fill="auto"/>
            <w:vAlign w:val="bottom"/>
          </w:tcPr>
          <w:p w14:paraId="20EE8125" w14:textId="0ED2BD46" w:rsidR="00D2782C" w:rsidRPr="001F224B" w:rsidRDefault="00D2782C" w:rsidP="00D2782C">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auto"/>
            <w:vAlign w:val="bottom"/>
          </w:tcPr>
          <w:p w14:paraId="78DD3517" w14:textId="2314046B" w:rsidR="00D2782C" w:rsidRPr="001F224B" w:rsidRDefault="00D2782C" w:rsidP="00D2782C">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auto"/>
            <w:vAlign w:val="bottom"/>
          </w:tcPr>
          <w:p w14:paraId="594AAC97" w14:textId="05FB198F" w:rsidR="00D2782C" w:rsidRPr="001F224B" w:rsidRDefault="00D2782C" w:rsidP="00D2782C">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20CBF2CD" w14:textId="439CF2E8"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4B2E630F" w14:textId="0E2EF086" w:rsidR="00D2782C" w:rsidRPr="001F224B" w:rsidRDefault="00D2782C" w:rsidP="00D2782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4D9B2651" w14:textId="312B405F" w:rsidR="00D2782C" w:rsidRPr="001F224B" w:rsidRDefault="00D2782C" w:rsidP="00D2782C">
            <w:pPr>
              <w:jc w:val="right"/>
              <w:rPr>
                <w:sz w:val="16"/>
                <w:szCs w:val="16"/>
              </w:rPr>
            </w:pPr>
            <w:r w:rsidRPr="001F224B">
              <w:rPr>
                <w:sz w:val="16"/>
                <w:szCs w:val="16"/>
              </w:rPr>
              <w:t>3.417.116</w:t>
            </w:r>
          </w:p>
        </w:tc>
      </w:tr>
      <w:tr w:rsidR="00D2782C" w:rsidRPr="001F224B" w14:paraId="6EC4EF4D"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7DAE94D4"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Muhtelif Borçlar</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2D9078A9" w14:textId="41DAD2D5"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1A71B7C0" w14:textId="11809139" w:rsidR="00D2782C" w:rsidRPr="001F224B" w:rsidRDefault="00D2782C" w:rsidP="00D2782C">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auto"/>
            <w:vAlign w:val="bottom"/>
          </w:tcPr>
          <w:p w14:paraId="17A2F7C0" w14:textId="72460401" w:rsidR="00D2782C" w:rsidRPr="001F224B" w:rsidRDefault="00D2782C" w:rsidP="00D2782C">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auto"/>
            <w:vAlign w:val="bottom"/>
          </w:tcPr>
          <w:p w14:paraId="620740A9" w14:textId="45A33F38" w:rsidR="00D2782C" w:rsidRPr="001F224B" w:rsidRDefault="00D2782C" w:rsidP="00D2782C">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4B489146" w14:textId="49FA2FEB"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39FA0A43" w14:textId="77221515" w:rsidR="00D2782C" w:rsidRPr="001F224B" w:rsidRDefault="00D2782C" w:rsidP="00D2782C">
            <w:pPr>
              <w:jc w:val="right"/>
              <w:rPr>
                <w:sz w:val="16"/>
                <w:szCs w:val="16"/>
              </w:rPr>
            </w:pPr>
            <w:r w:rsidRPr="001F224B">
              <w:rPr>
                <w:sz w:val="16"/>
                <w:szCs w:val="16"/>
              </w:rPr>
              <w:t xml:space="preserve"> 171.549    </w:t>
            </w:r>
          </w:p>
        </w:tc>
        <w:tc>
          <w:tcPr>
            <w:tcW w:w="992" w:type="dxa"/>
            <w:tcBorders>
              <w:top w:val="single" w:sz="4" w:space="0" w:color="auto"/>
              <w:left w:val="nil"/>
              <w:bottom w:val="single" w:sz="4" w:space="0" w:color="auto"/>
              <w:right w:val="single" w:sz="4" w:space="0" w:color="auto"/>
            </w:tcBorders>
            <w:shd w:val="clear" w:color="auto" w:fill="auto"/>
            <w:vAlign w:val="bottom"/>
          </w:tcPr>
          <w:p w14:paraId="48689264" w14:textId="32617B6C" w:rsidR="00D2782C" w:rsidRPr="001F224B" w:rsidRDefault="00D2782C" w:rsidP="00D2782C">
            <w:pPr>
              <w:jc w:val="right"/>
              <w:rPr>
                <w:sz w:val="16"/>
                <w:szCs w:val="16"/>
              </w:rPr>
            </w:pPr>
            <w:r w:rsidRPr="001F224B">
              <w:rPr>
                <w:sz w:val="16"/>
                <w:szCs w:val="16"/>
              </w:rPr>
              <w:t>171.549</w:t>
            </w:r>
          </w:p>
        </w:tc>
      </w:tr>
      <w:tr w:rsidR="00D2782C" w:rsidRPr="001F224B" w14:paraId="49E1A9B4"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141D492C"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İhraç Edilen Menkul Değerler</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428CDB8D" w14:textId="0D9B55FA"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30CF7D66" w14:textId="36D9AD8F" w:rsidR="00D2782C" w:rsidRPr="001F224B" w:rsidRDefault="00D2782C" w:rsidP="00D2782C">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auto"/>
            <w:vAlign w:val="bottom"/>
          </w:tcPr>
          <w:p w14:paraId="230A8F58" w14:textId="625B1EA0" w:rsidR="00D2782C" w:rsidRPr="001F224B" w:rsidRDefault="00D2782C" w:rsidP="00D2782C">
            <w:pPr>
              <w:jc w:val="right"/>
              <w:rPr>
                <w:sz w:val="16"/>
                <w:szCs w:val="16"/>
              </w:rPr>
            </w:pPr>
            <w:r w:rsidRPr="001F224B">
              <w:rPr>
                <w:sz w:val="16"/>
                <w:szCs w:val="16"/>
              </w:rPr>
              <w:t xml:space="preserve"> 3.735.924    </w:t>
            </w:r>
          </w:p>
        </w:tc>
        <w:tc>
          <w:tcPr>
            <w:tcW w:w="998" w:type="dxa"/>
            <w:tcBorders>
              <w:top w:val="single" w:sz="4" w:space="0" w:color="auto"/>
              <w:left w:val="nil"/>
              <w:bottom w:val="single" w:sz="4" w:space="0" w:color="auto"/>
              <w:right w:val="single" w:sz="4" w:space="0" w:color="auto"/>
            </w:tcBorders>
            <w:shd w:val="clear" w:color="auto" w:fill="auto"/>
            <w:vAlign w:val="bottom"/>
          </w:tcPr>
          <w:p w14:paraId="6729DBEA" w14:textId="5485D17F" w:rsidR="00D2782C" w:rsidRPr="001F224B" w:rsidRDefault="00D2782C" w:rsidP="00D2782C">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4BE67BA5" w14:textId="4CB2AEA4" w:rsidR="00D2782C" w:rsidRPr="001F224B" w:rsidRDefault="00D2782C" w:rsidP="00D2782C">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64224866" w14:textId="7C088181" w:rsidR="00D2782C" w:rsidRPr="001F224B" w:rsidRDefault="00D2782C" w:rsidP="00D2782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12405AA2" w14:textId="29739DA7" w:rsidR="00D2782C" w:rsidRPr="001F224B" w:rsidRDefault="00D2782C" w:rsidP="00D2782C">
            <w:pPr>
              <w:jc w:val="right"/>
              <w:rPr>
                <w:sz w:val="16"/>
                <w:szCs w:val="16"/>
              </w:rPr>
            </w:pPr>
            <w:r w:rsidRPr="001F224B">
              <w:rPr>
                <w:sz w:val="16"/>
                <w:szCs w:val="16"/>
              </w:rPr>
              <w:t>3.735.924</w:t>
            </w:r>
          </w:p>
        </w:tc>
      </w:tr>
      <w:tr w:rsidR="00D2782C" w:rsidRPr="001F224B" w14:paraId="2959E583"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713848B6"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Diğer Mali Kuruluşlar. Sağl. Fonlar</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174A64A8" w14:textId="1C5425A2" w:rsidR="00D2782C" w:rsidRPr="001F224B" w:rsidRDefault="00D2782C" w:rsidP="00D2782C">
            <w:pPr>
              <w:jc w:val="right"/>
              <w:rPr>
                <w:sz w:val="16"/>
                <w:szCs w:val="16"/>
              </w:rPr>
            </w:pPr>
            <w:r w:rsidRPr="001F224B">
              <w:rPr>
                <w:sz w:val="16"/>
                <w:szCs w:val="16"/>
              </w:rPr>
              <w:t xml:space="preserve"> 7.017.242    </w:t>
            </w:r>
          </w:p>
        </w:tc>
        <w:tc>
          <w:tcPr>
            <w:tcW w:w="946" w:type="dxa"/>
            <w:tcBorders>
              <w:top w:val="single" w:sz="4" w:space="0" w:color="auto"/>
              <w:left w:val="nil"/>
              <w:bottom w:val="single" w:sz="4" w:space="0" w:color="auto"/>
              <w:right w:val="single" w:sz="4" w:space="0" w:color="auto"/>
            </w:tcBorders>
            <w:shd w:val="clear" w:color="auto" w:fill="auto"/>
            <w:vAlign w:val="bottom"/>
          </w:tcPr>
          <w:p w14:paraId="1C04424C" w14:textId="6CC70A08" w:rsidR="00D2782C" w:rsidRPr="001F224B" w:rsidRDefault="00D2782C" w:rsidP="00D2782C">
            <w:pPr>
              <w:jc w:val="right"/>
              <w:rPr>
                <w:sz w:val="16"/>
                <w:szCs w:val="16"/>
              </w:rPr>
            </w:pPr>
            <w:r w:rsidRPr="001F224B">
              <w:rPr>
                <w:sz w:val="16"/>
                <w:szCs w:val="16"/>
              </w:rPr>
              <w:t xml:space="preserve"> 35.113.999    </w:t>
            </w:r>
          </w:p>
        </w:tc>
        <w:tc>
          <w:tcPr>
            <w:tcW w:w="1016" w:type="dxa"/>
            <w:tcBorders>
              <w:top w:val="single" w:sz="4" w:space="0" w:color="auto"/>
              <w:left w:val="nil"/>
              <w:bottom w:val="single" w:sz="4" w:space="0" w:color="auto"/>
              <w:right w:val="single" w:sz="4" w:space="0" w:color="auto"/>
            </w:tcBorders>
            <w:shd w:val="clear" w:color="auto" w:fill="auto"/>
            <w:vAlign w:val="bottom"/>
          </w:tcPr>
          <w:p w14:paraId="6A70191A" w14:textId="57BA0FDB" w:rsidR="00D2782C" w:rsidRPr="001F224B" w:rsidRDefault="00D2782C" w:rsidP="00D2782C">
            <w:pPr>
              <w:jc w:val="right"/>
              <w:rPr>
                <w:sz w:val="16"/>
                <w:szCs w:val="16"/>
              </w:rPr>
            </w:pPr>
            <w:r w:rsidRPr="001F224B">
              <w:rPr>
                <w:sz w:val="16"/>
                <w:szCs w:val="16"/>
              </w:rPr>
              <w:t xml:space="preserve"> 31.616.580    </w:t>
            </w:r>
          </w:p>
        </w:tc>
        <w:tc>
          <w:tcPr>
            <w:tcW w:w="998" w:type="dxa"/>
            <w:tcBorders>
              <w:top w:val="single" w:sz="4" w:space="0" w:color="auto"/>
              <w:left w:val="nil"/>
              <w:bottom w:val="single" w:sz="4" w:space="0" w:color="auto"/>
              <w:right w:val="single" w:sz="4" w:space="0" w:color="auto"/>
            </w:tcBorders>
            <w:shd w:val="clear" w:color="auto" w:fill="auto"/>
            <w:vAlign w:val="bottom"/>
          </w:tcPr>
          <w:p w14:paraId="697FDCD3" w14:textId="3049ABB8" w:rsidR="00D2782C" w:rsidRPr="001F224B" w:rsidRDefault="00D2782C" w:rsidP="00D2782C">
            <w:pPr>
              <w:jc w:val="right"/>
              <w:rPr>
                <w:sz w:val="16"/>
                <w:szCs w:val="16"/>
              </w:rPr>
            </w:pPr>
            <w:r w:rsidRPr="001F224B">
              <w:rPr>
                <w:sz w:val="16"/>
                <w:szCs w:val="16"/>
              </w:rPr>
              <w:t xml:space="preserve"> 8.222.600    </w:t>
            </w:r>
          </w:p>
        </w:tc>
        <w:tc>
          <w:tcPr>
            <w:tcW w:w="1017" w:type="dxa"/>
            <w:tcBorders>
              <w:top w:val="single" w:sz="4" w:space="0" w:color="auto"/>
              <w:left w:val="nil"/>
              <w:bottom w:val="single" w:sz="4" w:space="0" w:color="auto"/>
              <w:right w:val="single" w:sz="4" w:space="0" w:color="auto"/>
            </w:tcBorders>
            <w:shd w:val="clear" w:color="auto" w:fill="auto"/>
            <w:vAlign w:val="bottom"/>
          </w:tcPr>
          <w:p w14:paraId="69477772" w14:textId="5BA3E25B" w:rsidR="00D2782C" w:rsidRPr="001F224B" w:rsidRDefault="00D2782C" w:rsidP="00D2782C">
            <w:pPr>
              <w:jc w:val="right"/>
              <w:rPr>
                <w:sz w:val="16"/>
                <w:szCs w:val="16"/>
              </w:rPr>
            </w:pPr>
            <w:r w:rsidRPr="001F224B">
              <w:rPr>
                <w:sz w:val="16"/>
                <w:szCs w:val="16"/>
              </w:rPr>
              <w:t xml:space="preserve"> 29.703.938    </w:t>
            </w:r>
          </w:p>
        </w:tc>
        <w:tc>
          <w:tcPr>
            <w:tcW w:w="946" w:type="dxa"/>
            <w:tcBorders>
              <w:top w:val="single" w:sz="4" w:space="0" w:color="auto"/>
              <w:left w:val="nil"/>
              <w:bottom w:val="single" w:sz="4" w:space="0" w:color="auto"/>
              <w:right w:val="single" w:sz="4" w:space="0" w:color="auto"/>
            </w:tcBorders>
            <w:shd w:val="clear" w:color="auto" w:fill="auto"/>
            <w:vAlign w:val="bottom"/>
          </w:tcPr>
          <w:p w14:paraId="75BE46B9" w14:textId="743DCA62" w:rsidR="00D2782C" w:rsidRPr="001F224B" w:rsidRDefault="00D2782C" w:rsidP="00D2782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1FAC2025" w14:textId="290ABB50" w:rsidR="00D2782C" w:rsidRPr="001F224B" w:rsidRDefault="00D2782C" w:rsidP="00D2782C">
            <w:pPr>
              <w:jc w:val="right"/>
              <w:rPr>
                <w:sz w:val="16"/>
                <w:szCs w:val="16"/>
              </w:rPr>
            </w:pPr>
            <w:r w:rsidRPr="001F224B">
              <w:rPr>
                <w:sz w:val="16"/>
                <w:szCs w:val="16"/>
              </w:rPr>
              <w:t>111.674.359</w:t>
            </w:r>
          </w:p>
        </w:tc>
      </w:tr>
      <w:tr w:rsidR="00D2782C" w:rsidRPr="001F224B" w14:paraId="69BE0251"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78C6A3A9" w14:textId="77777777" w:rsidR="00D2782C" w:rsidRPr="001F224B" w:rsidRDefault="00D2782C" w:rsidP="00D2782C">
            <w:pPr>
              <w:ind w:left="356"/>
              <w:rPr>
                <w:rFonts w:asciiTheme="majorBidi" w:hAnsiTheme="majorBidi" w:cstheme="majorBidi"/>
                <w:sz w:val="18"/>
                <w:szCs w:val="18"/>
              </w:rPr>
            </w:pPr>
            <w:r w:rsidRPr="001F224B">
              <w:rPr>
                <w:rFonts w:asciiTheme="majorBidi" w:hAnsiTheme="majorBidi" w:cstheme="majorBidi"/>
                <w:sz w:val="18"/>
                <w:szCs w:val="18"/>
              </w:rPr>
              <w:t>Diğer Yükümlülükler</w:t>
            </w:r>
            <w:r w:rsidRPr="001F224B">
              <w:rPr>
                <w:rFonts w:asciiTheme="majorBidi" w:hAnsiTheme="majorBidi" w:cstheme="majorBidi"/>
                <w:sz w:val="18"/>
                <w:szCs w:val="18"/>
                <w:vertAlign w:val="superscript"/>
              </w:rPr>
              <w:t>(4) (6)</w:t>
            </w:r>
          </w:p>
        </w:tc>
        <w:tc>
          <w:tcPr>
            <w:tcW w:w="889" w:type="dxa"/>
            <w:tcBorders>
              <w:top w:val="single" w:sz="4" w:space="0" w:color="auto"/>
              <w:left w:val="nil"/>
              <w:bottom w:val="single" w:sz="4" w:space="0" w:color="auto"/>
              <w:right w:val="single" w:sz="4" w:space="0" w:color="auto"/>
            </w:tcBorders>
            <w:shd w:val="clear" w:color="auto" w:fill="auto"/>
            <w:vAlign w:val="bottom"/>
          </w:tcPr>
          <w:p w14:paraId="778178C3" w14:textId="48A3E392" w:rsidR="00D2782C" w:rsidRPr="001F224B" w:rsidRDefault="00D2782C" w:rsidP="00D2782C">
            <w:pPr>
              <w:jc w:val="right"/>
              <w:rPr>
                <w:sz w:val="16"/>
                <w:szCs w:val="16"/>
              </w:rPr>
            </w:pPr>
            <w:r w:rsidRPr="001F224B">
              <w:rPr>
                <w:sz w:val="16"/>
                <w:szCs w:val="16"/>
              </w:rPr>
              <w:t xml:space="preserve"> 2.150.348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3D02C01C" w14:textId="525E434C" w:rsidR="00D2782C" w:rsidRPr="001F224B" w:rsidRDefault="00D2782C" w:rsidP="00D2782C">
            <w:pPr>
              <w:jc w:val="right"/>
              <w:rPr>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2D90C1F9" w14:textId="4F6D8F2D" w:rsidR="00D2782C" w:rsidRPr="001F224B" w:rsidRDefault="00D2782C" w:rsidP="00D2782C">
            <w:pPr>
              <w:jc w:val="right"/>
              <w:rPr>
                <w:sz w:val="16"/>
                <w:szCs w:val="16"/>
              </w:rPr>
            </w:pPr>
            <w:r w:rsidRPr="001F224B">
              <w:rPr>
                <w:sz w:val="16"/>
                <w:szCs w:val="16"/>
              </w:rPr>
              <w:t xml:space="preserve"> -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256E3218" w14:textId="391A9F31" w:rsidR="00D2782C" w:rsidRPr="001F224B" w:rsidRDefault="00D2782C" w:rsidP="00D2782C">
            <w:pPr>
              <w:jc w:val="right"/>
              <w:rPr>
                <w:sz w:val="16"/>
                <w:szCs w:val="16"/>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0F8484E2" w14:textId="10AEB65F" w:rsidR="00D2782C" w:rsidRPr="001F224B" w:rsidRDefault="00D2782C" w:rsidP="00D2782C">
            <w:pPr>
              <w:jc w:val="right"/>
              <w:rPr>
                <w:sz w:val="16"/>
                <w:szCs w:val="16"/>
              </w:rPr>
            </w:pPr>
            <w:r w:rsidRPr="001F224B">
              <w:rPr>
                <w:sz w:val="16"/>
                <w:szCs w:val="16"/>
              </w:rPr>
              <w:t xml:space="preserve"> 5.516.800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69EA947C" w14:textId="54C0E068" w:rsidR="00D2782C" w:rsidRPr="001F224B" w:rsidRDefault="00D2782C" w:rsidP="00D2782C">
            <w:pPr>
              <w:jc w:val="right"/>
              <w:rPr>
                <w:sz w:val="16"/>
                <w:szCs w:val="16"/>
              </w:rPr>
            </w:pPr>
            <w:r w:rsidRPr="001F224B">
              <w:rPr>
                <w:sz w:val="16"/>
                <w:szCs w:val="16"/>
              </w:rPr>
              <w:t xml:space="preserve"> 26.928.373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74F56B3" w14:textId="3F16092C" w:rsidR="00D2782C" w:rsidRPr="001F224B" w:rsidRDefault="00D2782C" w:rsidP="00D2782C">
            <w:pPr>
              <w:jc w:val="right"/>
              <w:rPr>
                <w:sz w:val="16"/>
                <w:szCs w:val="16"/>
              </w:rPr>
            </w:pPr>
            <w:r w:rsidRPr="001F224B">
              <w:rPr>
                <w:sz w:val="16"/>
                <w:szCs w:val="16"/>
              </w:rPr>
              <w:t>34.595.521</w:t>
            </w:r>
          </w:p>
        </w:tc>
      </w:tr>
      <w:tr w:rsidR="00D2782C" w:rsidRPr="001F224B" w14:paraId="5F7B16C8"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396BCFD8" w14:textId="77777777" w:rsidR="00D2782C" w:rsidRPr="001F224B" w:rsidRDefault="00D2782C" w:rsidP="00D2782C">
            <w:pPr>
              <w:rPr>
                <w:rFonts w:asciiTheme="majorBidi" w:hAnsiTheme="majorBidi" w:cstheme="majorBidi"/>
                <w:b/>
                <w:sz w:val="18"/>
                <w:szCs w:val="18"/>
              </w:rPr>
            </w:pPr>
            <w:r w:rsidRPr="001F224B">
              <w:rPr>
                <w:rFonts w:asciiTheme="majorBidi" w:hAnsiTheme="majorBidi" w:cstheme="majorBidi"/>
                <w:b/>
                <w:sz w:val="18"/>
                <w:szCs w:val="18"/>
              </w:rPr>
              <w:t>Toplam Yükümlülükler</w:t>
            </w:r>
          </w:p>
        </w:tc>
        <w:tc>
          <w:tcPr>
            <w:tcW w:w="889" w:type="dxa"/>
            <w:tcBorders>
              <w:top w:val="single" w:sz="4" w:space="0" w:color="auto"/>
              <w:left w:val="nil"/>
              <w:bottom w:val="single" w:sz="4" w:space="0" w:color="auto"/>
              <w:right w:val="single" w:sz="4" w:space="0" w:color="auto"/>
            </w:tcBorders>
            <w:shd w:val="clear" w:color="auto" w:fill="auto"/>
            <w:vAlign w:val="bottom"/>
          </w:tcPr>
          <w:p w14:paraId="781152F4" w14:textId="59C079A1" w:rsidR="00D2782C" w:rsidRPr="001F224B" w:rsidRDefault="00D2782C" w:rsidP="00D2782C">
            <w:pPr>
              <w:jc w:val="right"/>
              <w:rPr>
                <w:b/>
                <w:bCs/>
                <w:sz w:val="16"/>
                <w:szCs w:val="16"/>
              </w:rPr>
            </w:pPr>
            <w:r w:rsidRPr="001F224B">
              <w:rPr>
                <w:b/>
                <w:bCs/>
                <w:sz w:val="16"/>
                <w:szCs w:val="16"/>
              </w:rPr>
              <w:t>12.584.706</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4BA85167" w14:textId="51B2C62A" w:rsidR="00D2782C" w:rsidRPr="001F224B" w:rsidRDefault="00D2782C" w:rsidP="00D2782C">
            <w:pPr>
              <w:jc w:val="right"/>
              <w:rPr>
                <w:b/>
                <w:bCs/>
                <w:sz w:val="16"/>
                <w:szCs w:val="16"/>
              </w:rPr>
            </w:pPr>
            <w:r w:rsidRPr="001F224B">
              <w:rPr>
                <w:b/>
                <w:bCs/>
                <w:sz w:val="16"/>
                <w:szCs w:val="16"/>
              </w:rPr>
              <w:t>35.113.999</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1347B283" w14:textId="23BDFB61" w:rsidR="00D2782C" w:rsidRPr="001F224B" w:rsidRDefault="00D2782C" w:rsidP="00D2782C">
            <w:pPr>
              <w:jc w:val="right"/>
              <w:rPr>
                <w:b/>
                <w:bCs/>
                <w:sz w:val="16"/>
                <w:szCs w:val="16"/>
              </w:rPr>
            </w:pPr>
            <w:r w:rsidRPr="001F224B">
              <w:rPr>
                <w:b/>
                <w:bCs/>
                <w:sz w:val="16"/>
                <w:szCs w:val="16"/>
              </w:rPr>
              <w:t>35.352.504</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40981A1D" w14:textId="16685D6A" w:rsidR="00D2782C" w:rsidRPr="001F224B" w:rsidRDefault="00D2782C" w:rsidP="00D2782C">
            <w:pPr>
              <w:jc w:val="right"/>
              <w:rPr>
                <w:b/>
                <w:bCs/>
                <w:sz w:val="16"/>
                <w:szCs w:val="16"/>
              </w:rPr>
            </w:pPr>
            <w:r w:rsidRPr="001F224B">
              <w:rPr>
                <w:b/>
                <w:bCs/>
                <w:sz w:val="16"/>
                <w:szCs w:val="16"/>
              </w:rPr>
              <w:t>8.222.600</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262EB22A" w14:textId="3B77ADC5" w:rsidR="00D2782C" w:rsidRPr="001F224B" w:rsidRDefault="00D2782C" w:rsidP="00D2782C">
            <w:pPr>
              <w:jc w:val="right"/>
              <w:rPr>
                <w:b/>
                <w:bCs/>
                <w:sz w:val="16"/>
                <w:szCs w:val="16"/>
              </w:rPr>
            </w:pPr>
            <w:r w:rsidRPr="001F224B">
              <w:rPr>
                <w:b/>
                <w:bCs/>
                <w:sz w:val="16"/>
                <w:szCs w:val="16"/>
              </w:rPr>
              <w:t>35.220.738</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6875B0C0" w14:textId="613C8B9C" w:rsidR="00D2782C" w:rsidRPr="001F224B" w:rsidRDefault="00D2782C" w:rsidP="00D2782C">
            <w:pPr>
              <w:jc w:val="right"/>
              <w:rPr>
                <w:b/>
                <w:bCs/>
                <w:sz w:val="16"/>
                <w:szCs w:val="16"/>
              </w:rPr>
            </w:pPr>
            <w:r w:rsidRPr="001F224B">
              <w:rPr>
                <w:b/>
                <w:bCs/>
                <w:sz w:val="16"/>
                <w:szCs w:val="16"/>
              </w:rPr>
              <w:t>27.099.922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60A9822" w14:textId="188C2293" w:rsidR="00D2782C" w:rsidRPr="001F224B" w:rsidRDefault="00D2782C" w:rsidP="00D2782C">
            <w:pPr>
              <w:jc w:val="right"/>
              <w:rPr>
                <w:b/>
                <w:bCs/>
                <w:sz w:val="16"/>
                <w:szCs w:val="16"/>
              </w:rPr>
            </w:pPr>
            <w:r w:rsidRPr="001F224B">
              <w:rPr>
                <w:b/>
                <w:bCs/>
                <w:sz w:val="16"/>
                <w:szCs w:val="16"/>
              </w:rPr>
              <w:t>153.594.469</w:t>
            </w:r>
          </w:p>
        </w:tc>
      </w:tr>
      <w:tr w:rsidR="00D2782C" w:rsidRPr="001F224B" w14:paraId="04CA3E7A"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1025ECF9" w14:textId="77777777" w:rsidR="00D2782C" w:rsidRPr="001F224B" w:rsidRDefault="00D2782C" w:rsidP="00D2782C">
            <w:pPr>
              <w:rPr>
                <w:rFonts w:asciiTheme="majorBidi" w:hAnsiTheme="majorBidi" w:cstheme="majorBidi"/>
                <w:sz w:val="18"/>
                <w:szCs w:val="18"/>
              </w:rPr>
            </w:pPr>
            <w:r w:rsidRPr="001F224B">
              <w:rPr>
                <w:rFonts w:asciiTheme="majorBidi" w:hAnsiTheme="majorBidi" w:cstheme="majorBidi"/>
                <w:sz w:val="18"/>
                <w:szCs w:val="18"/>
              </w:rPr>
              <w:t> </w:t>
            </w:r>
          </w:p>
        </w:tc>
        <w:tc>
          <w:tcPr>
            <w:tcW w:w="889" w:type="dxa"/>
            <w:tcBorders>
              <w:top w:val="single" w:sz="4" w:space="0" w:color="auto"/>
              <w:left w:val="nil"/>
              <w:bottom w:val="single" w:sz="4" w:space="0" w:color="auto"/>
              <w:right w:val="single" w:sz="4" w:space="0" w:color="auto"/>
            </w:tcBorders>
            <w:shd w:val="clear" w:color="auto" w:fill="FFFFFF"/>
            <w:vAlign w:val="bottom"/>
          </w:tcPr>
          <w:p w14:paraId="1A00B8AB" w14:textId="77777777" w:rsidR="00D2782C" w:rsidRPr="001F224B" w:rsidRDefault="00D2782C" w:rsidP="00D2782C">
            <w:pPr>
              <w:jc w:val="right"/>
              <w:rPr>
                <w:sz w:val="16"/>
                <w:szCs w:val="16"/>
              </w:rPr>
            </w:pPr>
          </w:p>
        </w:tc>
        <w:tc>
          <w:tcPr>
            <w:tcW w:w="946" w:type="dxa"/>
            <w:tcBorders>
              <w:top w:val="single" w:sz="4" w:space="0" w:color="auto"/>
              <w:left w:val="nil"/>
              <w:bottom w:val="single" w:sz="4" w:space="0" w:color="auto"/>
              <w:right w:val="single" w:sz="4" w:space="0" w:color="auto"/>
            </w:tcBorders>
            <w:shd w:val="clear" w:color="auto" w:fill="FFFFFF"/>
            <w:vAlign w:val="bottom"/>
          </w:tcPr>
          <w:p w14:paraId="28B9320B" w14:textId="77777777" w:rsidR="00D2782C" w:rsidRPr="001F224B" w:rsidRDefault="00D2782C" w:rsidP="00D2782C">
            <w:pPr>
              <w:jc w:val="right"/>
              <w:rPr>
                <w:sz w:val="16"/>
                <w:szCs w:val="16"/>
              </w:rPr>
            </w:pPr>
          </w:p>
        </w:tc>
        <w:tc>
          <w:tcPr>
            <w:tcW w:w="1016" w:type="dxa"/>
            <w:tcBorders>
              <w:top w:val="single" w:sz="4" w:space="0" w:color="auto"/>
              <w:left w:val="nil"/>
              <w:bottom w:val="single" w:sz="4" w:space="0" w:color="auto"/>
              <w:right w:val="single" w:sz="4" w:space="0" w:color="auto"/>
            </w:tcBorders>
            <w:shd w:val="clear" w:color="auto" w:fill="FFFFFF"/>
            <w:vAlign w:val="bottom"/>
          </w:tcPr>
          <w:p w14:paraId="63C19321" w14:textId="77777777" w:rsidR="00D2782C" w:rsidRPr="001F224B" w:rsidRDefault="00D2782C" w:rsidP="00D2782C">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14:paraId="14364F9A" w14:textId="77777777" w:rsidR="00D2782C" w:rsidRPr="001F224B" w:rsidRDefault="00D2782C" w:rsidP="00D2782C">
            <w:pPr>
              <w:jc w:val="right"/>
              <w:rPr>
                <w:sz w:val="16"/>
                <w:szCs w:val="16"/>
              </w:rPr>
            </w:pPr>
          </w:p>
        </w:tc>
        <w:tc>
          <w:tcPr>
            <w:tcW w:w="1017" w:type="dxa"/>
            <w:tcBorders>
              <w:top w:val="single" w:sz="4" w:space="0" w:color="auto"/>
              <w:left w:val="nil"/>
              <w:bottom w:val="single" w:sz="4" w:space="0" w:color="auto"/>
              <w:right w:val="single" w:sz="4" w:space="0" w:color="auto"/>
            </w:tcBorders>
            <w:shd w:val="clear" w:color="auto" w:fill="FFFFFF"/>
            <w:vAlign w:val="bottom"/>
          </w:tcPr>
          <w:p w14:paraId="02988F08" w14:textId="77777777" w:rsidR="00D2782C" w:rsidRPr="001F224B" w:rsidRDefault="00D2782C" w:rsidP="00D2782C">
            <w:pPr>
              <w:jc w:val="right"/>
              <w:rPr>
                <w:sz w:val="16"/>
                <w:szCs w:val="16"/>
              </w:rPr>
            </w:pPr>
          </w:p>
        </w:tc>
        <w:tc>
          <w:tcPr>
            <w:tcW w:w="946" w:type="dxa"/>
            <w:tcBorders>
              <w:top w:val="single" w:sz="4" w:space="0" w:color="auto"/>
              <w:left w:val="nil"/>
              <w:bottom w:val="single" w:sz="4" w:space="0" w:color="auto"/>
              <w:right w:val="single" w:sz="4" w:space="0" w:color="auto"/>
            </w:tcBorders>
            <w:shd w:val="clear" w:color="auto" w:fill="FFFFFF"/>
            <w:vAlign w:val="bottom"/>
          </w:tcPr>
          <w:p w14:paraId="31B3CF58" w14:textId="77777777" w:rsidR="00D2782C" w:rsidRPr="001F224B" w:rsidRDefault="00D2782C" w:rsidP="00D2782C">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5A26279B" w14:textId="77777777" w:rsidR="00D2782C" w:rsidRPr="001F224B" w:rsidRDefault="00D2782C" w:rsidP="00D2782C">
            <w:pPr>
              <w:jc w:val="right"/>
              <w:rPr>
                <w:sz w:val="16"/>
                <w:szCs w:val="16"/>
              </w:rPr>
            </w:pPr>
          </w:p>
        </w:tc>
      </w:tr>
      <w:tr w:rsidR="005C0315" w:rsidRPr="001F224B" w14:paraId="60C589F3"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5DCB87A4" w14:textId="77777777" w:rsidR="005C0315" w:rsidRPr="001F224B" w:rsidRDefault="005C0315" w:rsidP="005C0315">
            <w:pPr>
              <w:rPr>
                <w:rFonts w:asciiTheme="majorBidi" w:hAnsiTheme="majorBidi" w:cstheme="majorBidi"/>
                <w:sz w:val="18"/>
                <w:szCs w:val="18"/>
              </w:rPr>
            </w:pPr>
            <w:r w:rsidRPr="001F224B">
              <w:rPr>
                <w:rFonts w:asciiTheme="majorBidi" w:hAnsiTheme="majorBidi" w:cstheme="majorBidi"/>
                <w:sz w:val="18"/>
                <w:szCs w:val="18"/>
              </w:rPr>
              <w:t>Bilançodaki Uzun Pozisyon</w:t>
            </w:r>
          </w:p>
        </w:tc>
        <w:tc>
          <w:tcPr>
            <w:tcW w:w="889" w:type="dxa"/>
            <w:tcBorders>
              <w:top w:val="single" w:sz="4" w:space="0" w:color="auto"/>
              <w:left w:val="nil"/>
              <w:bottom w:val="single" w:sz="4" w:space="0" w:color="auto"/>
              <w:right w:val="single" w:sz="4" w:space="0" w:color="auto"/>
            </w:tcBorders>
            <w:shd w:val="clear" w:color="auto" w:fill="FFFFFF"/>
            <w:vAlign w:val="bottom"/>
          </w:tcPr>
          <w:p w14:paraId="641F76B1" w14:textId="03FC1BD6" w:rsidR="005C0315" w:rsidRPr="001F224B" w:rsidRDefault="005C0315" w:rsidP="005C0315">
            <w:pPr>
              <w:jc w:val="right"/>
              <w:rPr>
                <w:sz w:val="16"/>
                <w:szCs w:val="16"/>
              </w:rPr>
            </w:pPr>
            <w:r w:rsidRPr="001F224B">
              <w:rPr>
                <w:sz w:val="16"/>
                <w:szCs w:val="16"/>
              </w:rPr>
              <w:t>33.181.508</w:t>
            </w:r>
          </w:p>
        </w:tc>
        <w:tc>
          <w:tcPr>
            <w:tcW w:w="946" w:type="dxa"/>
            <w:tcBorders>
              <w:top w:val="single" w:sz="4" w:space="0" w:color="auto"/>
              <w:left w:val="nil"/>
              <w:bottom w:val="single" w:sz="4" w:space="0" w:color="auto"/>
              <w:right w:val="single" w:sz="4" w:space="0" w:color="auto"/>
            </w:tcBorders>
            <w:shd w:val="clear" w:color="auto" w:fill="FFFFFF"/>
            <w:vAlign w:val="bottom"/>
          </w:tcPr>
          <w:p w14:paraId="26195585" w14:textId="04B662AF" w:rsidR="005C0315" w:rsidRPr="001F224B" w:rsidRDefault="005C0315" w:rsidP="005C0315">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FFFFFF"/>
            <w:vAlign w:val="bottom"/>
          </w:tcPr>
          <w:p w14:paraId="34F29467" w14:textId="3801C2FB" w:rsidR="005C0315" w:rsidRPr="001F224B" w:rsidRDefault="005C0315" w:rsidP="005C0315">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14:paraId="5933F906" w14:textId="7BCB1A51" w:rsidR="005C0315" w:rsidRPr="001F224B" w:rsidRDefault="005C0315" w:rsidP="005C0315">
            <w:pPr>
              <w:jc w:val="right"/>
              <w:rPr>
                <w:sz w:val="16"/>
                <w:szCs w:val="16"/>
              </w:rPr>
            </w:pPr>
            <w:r w:rsidRPr="001F224B">
              <w:rPr>
                <w:sz w:val="16"/>
                <w:szCs w:val="16"/>
              </w:rPr>
              <w:t>12.398.053</w:t>
            </w:r>
          </w:p>
        </w:tc>
        <w:tc>
          <w:tcPr>
            <w:tcW w:w="1017" w:type="dxa"/>
            <w:tcBorders>
              <w:top w:val="single" w:sz="4" w:space="0" w:color="auto"/>
              <w:left w:val="nil"/>
              <w:bottom w:val="single" w:sz="4" w:space="0" w:color="auto"/>
              <w:right w:val="single" w:sz="4" w:space="0" w:color="auto"/>
            </w:tcBorders>
            <w:shd w:val="clear" w:color="auto" w:fill="FFFFFF"/>
            <w:vAlign w:val="bottom"/>
          </w:tcPr>
          <w:p w14:paraId="39E55191" w14:textId="38199F22" w:rsidR="005C0315" w:rsidRPr="001F224B" w:rsidRDefault="005C0315" w:rsidP="005C0315">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FFFFFF"/>
            <w:vAlign w:val="bottom"/>
          </w:tcPr>
          <w:p w14:paraId="2D770137" w14:textId="325386FB" w:rsidR="005C0315" w:rsidRPr="001F224B" w:rsidRDefault="005C0315" w:rsidP="005C0315">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49767724" w14:textId="22108309" w:rsidR="005C0315" w:rsidRPr="001F224B" w:rsidRDefault="005C0315" w:rsidP="005C0315">
            <w:pPr>
              <w:jc w:val="right"/>
              <w:rPr>
                <w:sz w:val="16"/>
                <w:szCs w:val="16"/>
              </w:rPr>
            </w:pPr>
            <w:r w:rsidRPr="001F224B">
              <w:rPr>
                <w:sz w:val="16"/>
                <w:szCs w:val="16"/>
              </w:rPr>
              <w:t>45.579.561</w:t>
            </w:r>
          </w:p>
        </w:tc>
      </w:tr>
      <w:tr w:rsidR="005C0315" w:rsidRPr="001F224B" w14:paraId="29045229"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154A225F" w14:textId="77777777" w:rsidR="005C0315" w:rsidRPr="001F224B" w:rsidRDefault="005C0315" w:rsidP="005C0315">
            <w:pPr>
              <w:rPr>
                <w:rFonts w:asciiTheme="majorBidi" w:hAnsiTheme="majorBidi" w:cstheme="majorBidi"/>
                <w:sz w:val="18"/>
                <w:szCs w:val="18"/>
              </w:rPr>
            </w:pPr>
            <w:r w:rsidRPr="001F224B">
              <w:rPr>
                <w:rFonts w:asciiTheme="majorBidi" w:hAnsiTheme="majorBidi" w:cstheme="majorBidi"/>
                <w:sz w:val="18"/>
                <w:szCs w:val="18"/>
              </w:rPr>
              <w:t>Bilançodaki Kısa Pozisyon</w:t>
            </w:r>
          </w:p>
        </w:tc>
        <w:tc>
          <w:tcPr>
            <w:tcW w:w="889" w:type="dxa"/>
            <w:tcBorders>
              <w:top w:val="single" w:sz="4" w:space="0" w:color="auto"/>
              <w:left w:val="nil"/>
              <w:bottom w:val="single" w:sz="4" w:space="0" w:color="auto"/>
              <w:right w:val="single" w:sz="4" w:space="0" w:color="auto"/>
            </w:tcBorders>
            <w:shd w:val="clear" w:color="auto" w:fill="FFFFFF"/>
            <w:vAlign w:val="bottom"/>
          </w:tcPr>
          <w:p w14:paraId="581549FC" w14:textId="329CBDD8" w:rsidR="005C0315" w:rsidRPr="001F224B" w:rsidRDefault="005C0315" w:rsidP="005C0315">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FFFFFF"/>
            <w:vAlign w:val="bottom"/>
          </w:tcPr>
          <w:p w14:paraId="43C44095" w14:textId="6AB3B6AC" w:rsidR="005C0315" w:rsidRPr="001F224B" w:rsidRDefault="005C0315" w:rsidP="005C0315">
            <w:pPr>
              <w:ind w:left="-108"/>
              <w:jc w:val="right"/>
              <w:rPr>
                <w:sz w:val="16"/>
                <w:szCs w:val="16"/>
              </w:rPr>
            </w:pPr>
            <w:r w:rsidRPr="001F224B">
              <w:rPr>
                <w:sz w:val="16"/>
                <w:szCs w:val="16"/>
              </w:rPr>
              <w:t>(10.000.663)</w:t>
            </w:r>
          </w:p>
        </w:tc>
        <w:tc>
          <w:tcPr>
            <w:tcW w:w="1016" w:type="dxa"/>
            <w:tcBorders>
              <w:top w:val="single" w:sz="4" w:space="0" w:color="auto"/>
              <w:left w:val="nil"/>
              <w:bottom w:val="single" w:sz="4" w:space="0" w:color="auto"/>
              <w:right w:val="single" w:sz="4" w:space="0" w:color="auto"/>
            </w:tcBorders>
            <w:shd w:val="clear" w:color="auto" w:fill="FFFFFF"/>
            <w:vAlign w:val="bottom"/>
          </w:tcPr>
          <w:p w14:paraId="5AEE6D84" w14:textId="36AD2CE8" w:rsidR="005C0315" w:rsidRPr="001F224B" w:rsidRDefault="005C0315" w:rsidP="005C0315">
            <w:pPr>
              <w:jc w:val="right"/>
              <w:rPr>
                <w:sz w:val="16"/>
                <w:szCs w:val="16"/>
              </w:rPr>
            </w:pPr>
            <w:r w:rsidRPr="001F224B">
              <w:rPr>
                <w:sz w:val="16"/>
                <w:szCs w:val="16"/>
              </w:rPr>
              <w:t>(6.869.150)</w:t>
            </w:r>
          </w:p>
        </w:tc>
        <w:tc>
          <w:tcPr>
            <w:tcW w:w="998" w:type="dxa"/>
            <w:tcBorders>
              <w:top w:val="single" w:sz="4" w:space="0" w:color="auto"/>
              <w:left w:val="nil"/>
              <w:bottom w:val="single" w:sz="4" w:space="0" w:color="auto"/>
              <w:right w:val="single" w:sz="4" w:space="0" w:color="auto"/>
            </w:tcBorders>
            <w:shd w:val="clear" w:color="auto" w:fill="FFFFFF"/>
            <w:vAlign w:val="bottom"/>
          </w:tcPr>
          <w:p w14:paraId="07EC558C" w14:textId="2703776B" w:rsidR="005C0315" w:rsidRPr="001F224B" w:rsidRDefault="005C0315" w:rsidP="005C0315">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FFFFFF"/>
            <w:vAlign w:val="bottom"/>
          </w:tcPr>
          <w:p w14:paraId="109A8140" w14:textId="37E25F7F" w:rsidR="005C0315" w:rsidRPr="001F224B" w:rsidRDefault="005C0315" w:rsidP="005C0315">
            <w:pPr>
              <w:jc w:val="right"/>
              <w:rPr>
                <w:sz w:val="16"/>
                <w:szCs w:val="16"/>
              </w:rPr>
            </w:pPr>
            <w:r w:rsidRPr="001F224B">
              <w:rPr>
                <w:sz w:val="16"/>
                <w:szCs w:val="16"/>
              </w:rPr>
              <w:t>(3.665.298)</w:t>
            </w:r>
          </w:p>
        </w:tc>
        <w:tc>
          <w:tcPr>
            <w:tcW w:w="946" w:type="dxa"/>
            <w:tcBorders>
              <w:top w:val="single" w:sz="4" w:space="0" w:color="auto"/>
              <w:left w:val="nil"/>
              <w:bottom w:val="single" w:sz="4" w:space="0" w:color="auto"/>
              <w:right w:val="single" w:sz="4" w:space="0" w:color="auto"/>
            </w:tcBorders>
            <w:shd w:val="clear" w:color="auto" w:fill="FFFFFF"/>
            <w:vAlign w:val="bottom"/>
          </w:tcPr>
          <w:p w14:paraId="125D403B" w14:textId="128E2230" w:rsidR="005C0315" w:rsidRPr="001F224B" w:rsidRDefault="005C0315" w:rsidP="00956C1E">
            <w:pPr>
              <w:ind w:left="-252"/>
              <w:jc w:val="right"/>
              <w:rPr>
                <w:sz w:val="16"/>
                <w:szCs w:val="16"/>
              </w:rPr>
            </w:pPr>
            <w:r w:rsidRPr="001F224B">
              <w:rPr>
                <w:sz w:val="16"/>
                <w:szCs w:val="16"/>
              </w:rPr>
              <w:t>(25.044.450)</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1E75D1F4" w14:textId="4250D290" w:rsidR="005C0315" w:rsidRPr="001F224B" w:rsidRDefault="005C0315" w:rsidP="005C0315">
            <w:pPr>
              <w:jc w:val="right"/>
              <w:rPr>
                <w:sz w:val="16"/>
                <w:szCs w:val="16"/>
              </w:rPr>
            </w:pPr>
            <w:r w:rsidRPr="001F224B">
              <w:rPr>
                <w:sz w:val="16"/>
                <w:szCs w:val="16"/>
              </w:rPr>
              <w:t xml:space="preserve">(45.579.561)    </w:t>
            </w:r>
          </w:p>
        </w:tc>
      </w:tr>
      <w:tr w:rsidR="005C0315" w:rsidRPr="001F224B" w14:paraId="18C15DFC"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25D0C48A" w14:textId="77777777" w:rsidR="005C0315" w:rsidRPr="001F224B" w:rsidRDefault="005C0315" w:rsidP="005C0315">
            <w:pPr>
              <w:rPr>
                <w:rFonts w:asciiTheme="majorBidi" w:hAnsiTheme="majorBidi" w:cstheme="majorBidi"/>
                <w:sz w:val="18"/>
                <w:szCs w:val="18"/>
              </w:rPr>
            </w:pPr>
            <w:r w:rsidRPr="001F224B">
              <w:rPr>
                <w:rFonts w:asciiTheme="majorBidi" w:hAnsiTheme="majorBidi" w:cstheme="majorBidi"/>
                <w:sz w:val="18"/>
                <w:szCs w:val="18"/>
              </w:rPr>
              <w:t>Nazım Hesaplardaki Uzun Pozisyon</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5510AD36" w14:textId="7FEB64DE" w:rsidR="005C0315" w:rsidRPr="001F224B" w:rsidRDefault="005C0315" w:rsidP="005C0315">
            <w:pPr>
              <w:jc w:val="right"/>
              <w:rPr>
                <w:sz w:val="16"/>
                <w:szCs w:val="16"/>
              </w:rPr>
            </w:pPr>
            <w:r w:rsidRPr="001F224B">
              <w:rPr>
                <w:sz w:val="16"/>
                <w:szCs w:val="16"/>
              </w:rPr>
              <w:t>128.539</w:t>
            </w:r>
          </w:p>
        </w:tc>
        <w:tc>
          <w:tcPr>
            <w:tcW w:w="946" w:type="dxa"/>
            <w:tcBorders>
              <w:top w:val="single" w:sz="4" w:space="0" w:color="auto"/>
              <w:left w:val="nil"/>
              <w:bottom w:val="single" w:sz="4" w:space="0" w:color="auto"/>
              <w:right w:val="single" w:sz="4" w:space="0" w:color="auto"/>
            </w:tcBorders>
            <w:shd w:val="clear" w:color="auto" w:fill="auto"/>
            <w:vAlign w:val="bottom"/>
          </w:tcPr>
          <w:p w14:paraId="7BD1CA9A" w14:textId="2D4C79DC" w:rsidR="005C0315" w:rsidRPr="001F224B" w:rsidRDefault="005C0315" w:rsidP="005C0315">
            <w:pPr>
              <w:jc w:val="right"/>
              <w:rPr>
                <w:sz w:val="16"/>
                <w:szCs w:val="16"/>
              </w:rPr>
            </w:pPr>
            <w:r w:rsidRPr="001F224B">
              <w:rPr>
                <w:sz w:val="16"/>
                <w:szCs w:val="16"/>
              </w:rPr>
              <w:t>-</w:t>
            </w:r>
          </w:p>
        </w:tc>
        <w:tc>
          <w:tcPr>
            <w:tcW w:w="1016" w:type="dxa"/>
            <w:tcBorders>
              <w:top w:val="single" w:sz="4" w:space="0" w:color="auto"/>
              <w:left w:val="nil"/>
              <w:bottom w:val="single" w:sz="4" w:space="0" w:color="auto"/>
              <w:right w:val="single" w:sz="4" w:space="0" w:color="auto"/>
            </w:tcBorders>
            <w:shd w:val="clear" w:color="auto" w:fill="auto"/>
            <w:vAlign w:val="bottom"/>
          </w:tcPr>
          <w:p w14:paraId="3A567BEB" w14:textId="10E80A0C" w:rsidR="005C0315" w:rsidRPr="001F224B" w:rsidRDefault="005C0315" w:rsidP="005C0315">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auto"/>
            <w:vAlign w:val="bottom"/>
          </w:tcPr>
          <w:p w14:paraId="22DCB785" w14:textId="229D77C0" w:rsidR="005C0315" w:rsidRPr="001F224B" w:rsidRDefault="005C0315" w:rsidP="005C0315">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0879384B" w14:textId="5D26125D" w:rsidR="005C0315" w:rsidRPr="001F224B" w:rsidRDefault="005C0315" w:rsidP="005C0315">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2D7159F5" w14:textId="1CA9F2DB" w:rsidR="005C0315" w:rsidRPr="001F224B" w:rsidRDefault="005C0315" w:rsidP="005C0315">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7094D522" w14:textId="460C3FCF" w:rsidR="005C0315" w:rsidRPr="001F224B" w:rsidRDefault="005C0315" w:rsidP="005C0315">
            <w:pPr>
              <w:jc w:val="right"/>
              <w:rPr>
                <w:sz w:val="16"/>
                <w:szCs w:val="16"/>
              </w:rPr>
            </w:pPr>
            <w:r w:rsidRPr="001F224B">
              <w:rPr>
                <w:sz w:val="16"/>
                <w:szCs w:val="16"/>
              </w:rPr>
              <w:t xml:space="preserve"> 128.539    </w:t>
            </w:r>
          </w:p>
        </w:tc>
      </w:tr>
      <w:tr w:rsidR="005C0315" w:rsidRPr="001F224B" w14:paraId="2041CF0D" w14:textId="77777777" w:rsidTr="0017530A">
        <w:trPr>
          <w:trHeight w:val="228"/>
        </w:trPr>
        <w:tc>
          <w:tcPr>
            <w:tcW w:w="3686" w:type="dxa"/>
            <w:tcBorders>
              <w:top w:val="nil"/>
              <w:left w:val="single" w:sz="4" w:space="0" w:color="auto"/>
              <w:bottom w:val="single" w:sz="4" w:space="0" w:color="auto"/>
              <w:right w:val="single" w:sz="4" w:space="0" w:color="auto"/>
            </w:tcBorders>
            <w:shd w:val="clear" w:color="000000" w:fill="FFFFFF"/>
            <w:vAlign w:val="bottom"/>
          </w:tcPr>
          <w:p w14:paraId="4D3F3DED" w14:textId="77777777" w:rsidR="005C0315" w:rsidRPr="001F224B" w:rsidRDefault="005C0315" w:rsidP="005C0315">
            <w:pPr>
              <w:rPr>
                <w:rFonts w:asciiTheme="majorBidi" w:hAnsiTheme="majorBidi" w:cstheme="majorBidi"/>
                <w:sz w:val="18"/>
                <w:szCs w:val="18"/>
              </w:rPr>
            </w:pPr>
            <w:r w:rsidRPr="001F224B">
              <w:rPr>
                <w:rFonts w:asciiTheme="majorBidi" w:hAnsiTheme="majorBidi" w:cstheme="majorBidi"/>
                <w:sz w:val="18"/>
                <w:szCs w:val="18"/>
              </w:rPr>
              <w:t>Nazım Hesaplardaki Kısa Pozisyon</w:t>
            </w:r>
          </w:p>
        </w:tc>
        <w:tc>
          <w:tcPr>
            <w:tcW w:w="889" w:type="dxa"/>
            <w:tcBorders>
              <w:top w:val="single" w:sz="4" w:space="0" w:color="auto"/>
              <w:left w:val="single" w:sz="4" w:space="0" w:color="auto"/>
              <w:bottom w:val="single" w:sz="4" w:space="0" w:color="auto"/>
              <w:right w:val="single" w:sz="4" w:space="0" w:color="auto"/>
            </w:tcBorders>
            <w:shd w:val="clear" w:color="auto" w:fill="auto"/>
            <w:vAlign w:val="bottom"/>
          </w:tcPr>
          <w:p w14:paraId="0E377B7A" w14:textId="07FC6E06" w:rsidR="005C0315" w:rsidRPr="001F224B" w:rsidRDefault="005C0315" w:rsidP="005C0315">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0188AAA6" w14:textId="299C418A" w:rsidR="005C0315" w:rsidRPr="001F224B" w:rsidRDefault="005C0315" w:rsidP="005C0315">
            <w:pPr>
              <w:jc w:val="right"/>
              <w:rPr>
                <w:sz w:val="16"/>
                <w:szCs w:val="16"/>
              </w:rPr>
            </w:pPr>
            <w:r w:rsidRPr="001F224B">
              <w:rPr>
                <w:sz w:val="16"/>
                <w:szCs w:val="16"/>
              </w:rPr>
              <w:t>(34.644)</w:t>
            </w:r>
          </w:p>
        </w:tc>
        <w:tc>
          <w:tcPr>
            <w:tcW w:w="1016" w:type="dxa"/>
            <w:tcBorders>
              <w:top w:val="single" w:sz="4" w:space="0" w:color="auto"/>
              <w:left w:val="nil"/>
              <w:bottom w:val="single" w:sz="4" w:space="0" w:color="auto"/>
              <w:right w:val="single" w:sz="4" w:space="0" w:color="auto"/>
            </w:tcBorders>
            <w:shd w:val="clear" w:color="auto" w:fill="auto"/>
            <w:vAlign w:val="bottom"/>
          </w:tcPr>
          <w:p w14:paraId="73076609" w14:textId="74925318" w:rsidR="005C0315" w:rsidRPr="001F224B" w:rsidRDefault="005C0315" w:rsidP="005C0315">
            <w:pPr>
              <w:jc w:val="right"/>
              <w:rPr>
                <w:sz w:val="16"/>
                <w:szCs w:val="16"/>
              </w:rPr>
            </w:pPr>
            <w:r w:rsidRPr="001F224B">
              <w:rPr>
                <w:sz w:val="16"/>
                <w:szCs w:val="16"/>
              </w:rPr>
              <w:t>-</w:t>
            </w:r>
          </w:p>
        </w:tc>
        <w:tc>
          <w:tcPr>
            <w:tcW w:w="998" w:type="dxa"/>
            <w:tcBorders>
              <w:top w:val="single" w:sz="4" w:space="0" w:color="auto"/>
              <w:left w:val="nil"/>
              <w:bottom w:val="single" w:sz="4" w:space="0" w:color="auto"/>
              <w:right w:val="single" w:sz="4" w:space="0" w:color="auto"/>
            </w:tcBorders>
            <w:shd w:val="clear" w:color="auto" w:fill="auto"/>
            <w:vAlign w:val="bottom"/>
          </w:tcPr>
          <w:p w14:paraId="7DE26F43" w14:textId="623C4F1E" w:rsidR="005C0315" w:rsidRPr="001F224B" w:rsidRDefault="005C0315" w:rsidP="005C0315">
            <w:pPr>
              <w:jc w:val="right"/>
              <w:rPr>
                <w:sz w:val="16"/>
                <w:szCs w:val="16"/>
              </w:rPr>
            </w:pPr>
            <w:r w:rsidRPr="001F224B">
              <w:rPr>
                <w:sz w:val="16"/>
                <w:szCs w:val="16"/>
              </w:rPr>
              <w:t>-</w:t>
            </w:r>
          </w:p>
        </w:tc>
        <w:tc>
          <w:tcPr>
            <w:tcW w:w="1017" w:type="dxa"/>
            <w:tcBorders>
              <w:top w:val="single" w:sz="4" w:space="0" w:color="auto"/>
              <w:left w:val="nil"/>
              <w:bottom w:val="single" w:sz="4" w:space="0" w:color="auto"/>
              <w:right w:val="single" w:sz="4" w:space="0" w:color="auto"/>
            </w:tcBorders>
            <w:shd w:val="clear" w:color="auto" w:fill="auto"/>
            <w:vAlign w:val="bottom"/>
          </w:tcPr>
          <w:p w14:paraId="72D35CCA" w14:textId="1E5DEA60" w:rsidR="005C0315" w:rsidRPr="001F224B" w:rsidRDefault="005C0315" w:rsidP="005C0315">
            <w:pPr>
              <w:jc w:val="right"/>
              <w:rPr>
                <w:sz w:val="16"/>
                <w:szCs w:val="16"/>
              </w:rPr>
            </w:pPr>
            <w:r w:rsidRPr="001F224B">
              <w:rPr>
                <w:sz w:val="16"/>
                <w:szCs w:val="16"/>
              </w:rPr>
              <w:t>-</w:t>
            </w:r>
          </w:p>
        </w:tc>
        <w:tc>
          <w:tcPr>
            <w:tcW w:w="946" w:type="dxa"/>
            <w:tcBorders>
              <w:top w:val="single" w:sz="4" w:space="0" w:color="auto"/>
              <w:left w:val="nil"/>
              <w:bottom w:val="single" w:sz="4" w:space="0" w:color="auto"/>
              <w:right w:val="single" w:sz="4" w:space="0" w:color="auto"/>
            </w:tcBorders>
            <w:shd w:val="clear" w:color="auto" w:fill="auto"/>
            <w:vAlign w:val="bottom"/>
          </w:tcPr>
          <w:p w14:paraId="319BB08A" w14:textId="3E2C956D" w:rsidR="005C0315" w:rsidRPr="001F224B" w:rsidRDefault="005C0315" w:rsidP="005C0315">
            <w:pPr>
              <w:jc w:val="right"/>
              <w:rPr>
                <w:sz w:val="16"/>
                <w:szCs w:val="16"/>
              </w:rPr>
            </w:pPr>
            <w:r w:rsidRPr="001F224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CD05B0D" w14:textId="2F380FEC" w:rsidR="005C0315" w:rsidRPr="001F224B" w:rsidRDefault="005C0315" w:rsidP="005C0315">
            <w:pPr>
              <w:jc w:val="right"/>
              <w:rPr>
                <w:sz w:val="16"/>
                <w:szCs w:val="16"/>
              </w:rPr>
            </w:pPr>
            <w:r w:rsidRPr="001F224B">
              <w:rPr>
                <w:sz w:val="16"/>
                <w:szCs w:val="16"/>
              </w:rPr>
              <w:t xml:space="preserve">(34.644)    </w:t>
            </w:r>
          </w:p>
        </w:tc>
      </w:tr>
      <w:tr w:rsidR="005C0315" w:rsidRPr="001F224B" w14:paraId="1E78C0DF" w14:textId="77777777" w:rsidTr="0017530A">
        <w:trPr>
          <w:trHeight w:val="103"/>
        </w:trPr>
        <w:tc>
          <w:tcPr>
            <w:tcW w:w="3686" w:type="dxa"/>
            <w:tcBorders>
              <w:top w:val="nil"/>
              <w:left w:val="single" w:sz="4" w:space="0" w:color="auto"/>
              <w:bottom w:val="single" w:sz="4" w:space="0" w:color="auto"/>
              <w:right w:val="single" w:sz="4" w:space="0" w:color="auto"/>
            </w:tcBorders>
            <w:shd w:val="clear" w:color="000000" w:fill="FFFFFF"/>
            <w:vAlign w:val="bottom"/>
          </w:tcPr>
          <w:p w14:paraId="17B0EA96" w14:textId="77777777" w:rsidR="005C0315" w:rsidRPr="001F224B" w:rsidRDefault="005C0315" w:rsidP="005C0315">
            <w:pPr>
              <w:rPr>
                <w:rFonts w:asciiTheme="majorBidi" w:hAnsiTheme="majorBidi" w:cstheme="majorBidi"/>
                <w:b/>
                <w:sz w:val="18"/>
                <w:szCs w:val="18"/>
              </w:rPr>
            </w:pPr>
            <w:r w:rsidRPr="001F224B">
              <w:rPr>
                <w:rFonts w:asciiTheme="majorBidi" w:hAnsiTheme="majorBidi" w:cstheme="majorBidi"/>
                <w:b/>
                <w:sz w:val="18"/>
                <w:szCs w:val="18"/>
              </w:rPr>
              <w:t>Toplam Pozisyon</w:t>
            </w:r>
          </w:p>
        </w:tc>
        <w:tc>
          <w:tcPr>
            <w:tcW w:w="889" w:type="dxa"/>
            <w:tcBorders>
              <w:top w:val="single" w:sz="4" w:space="0" w:color="auto"/>
              <w:left w:val="nil"/>
              <w:bottom w:val="single" w:sz="4" w:space="0" w:color="auto"/>
              <w:right w:val="single" w:sz="4" w:space="0" w:color="auto"/>
            </w:tcBorders>
            <w:shd w:val="clear" w:color="auto" w:fill="auto"/>
            <w:vAlign w:val="bottom"/>
          </w:tcPr>
          <w:p w14:paraId="79242D31" w14:textId="48A5D512" w:rsidR="005C0315" w:rsidRPr="001F224B" w:rsidRDefault="005C0315" w:rsidP="005C0315">
            <w:pPr>
              <w:jc w:val="right"/>
              <w:rPr>
                <w:b/>
                <w:bCs/>
                <w:sz w:val="16"/>
                <w:szCs w:val="16"/>
              </w:rPr>
            </w:pPr>
            <w:r w:rsidRPr="001F224B">
              <w:rPr>
                <w:b/>
                <w:bCs/>
                <w:sz w:val="16"/>
                <w:szCs w:val="16"/>
              </w:rPr>
              <w:t>33.310.047</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7BE6B38C" w14:textId="26184AE7" w:rsidR="005C0315" w:rsidRPr="001F224B" w:rsidRDefault="005C0315" w:rsidP="005C0315">
            <w:pPr>
              <w:ind w:left="-249"/>
              <w:jc w:val="right"/>
              <w:rPr>
                <w:b/>
                <w:bCs/>
                <w:sz w:val="16"/>
                <w:szCs w:val="16"/>
              </w:rPr>
            </w:pPr>
            <w:r w:rsidRPr="001F224B">
              <w:rPr>
                <w:b/>
                <w:bCs/>
                <w:sz w:val="16"/>
                <w:szCs w:val="16"/>
              </w:rPr>
              <w:t>(10.035.307)</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tcPr>
          <w:p w14:paraId="5C8300B6" w14:textId="70B3A582" w:rsidR="005C0315" w:rsidRPr="001F224B" w:rsidRDefault="005C0315" w:rsidP="005C0315">
            <w:pPr>
              <w:jc w:val="right"/>
              <w:rPr>
                <w:b/>
                <w:bCs/>
                <w:sz w:val="16"/>
                <w:szCs w:val="16"/>
              </w:rPr>
            </w:pPr>
            <w:r w:rsidRPr="001F224B">
              <w:rPr>
                <w:b/>
                <w:bCs/>
                <w:sz w:val="16"/>
                <w:szCs w:val="16"/>
              </w:rPr>
              <w:t>(6.869.150)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28BF33E4" w14:textId="7E68E7F7" w:rsidR="005C0315" w:rsidRPr="001F224B" w:rsidRDefault="005C0315" w:rsidP="005C0315">
            <w:pPr>
              <w:jc w:val="right"/>
              <w:rPr>
                <w:b/>
                <w:bCs/>
                <w:sz w:val="16"/>
                <w:szCs w:val="16"/>
              </w:rPr>
            </w:pPr>
            <w:r w:rsidRPr="001F224B">
              <w:rPr>
                <w:b/>
                <w:bCs/>
                <w:sz w:val="16"/>
                <w:szCs w:val="16"/>
              </w:rPr>
              <w:t>12.398.053</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14:paraId="4A366946" w14:textId="76796430" w:rsidR="005C0315" w:rsidRPr="001F224B" w:rsidRDefault="005C0315" w:rsidP="005C0315">
            <w:pPr>
              <w:jc w:val="right"/>
              <w:rPr>
                <w:b/>
                <w:bCs/>
                <w:sz w:val="16"/>
                <w:szCs w:val="16"/>
              </w:rPr>
            </w:pPr>
            <w:r w:rsidRPr="001F224B">
              <w:rPr>
                <w:b/>
                <w:bCs/>
                <w:sz w:val="16"/>
                <w:szCs w:val="16"/>
              </w:rPr>
              <w:t>(3.665.298)</w:t>
            </w:r>
          </w:p>
        </w:tc>
        <w:tc>
          <w:tcPr>
            <w:tcW w:w="946" w:type="dxa"/>
            <w:tcBorders>
              <w:top w:val="single" w:sz="4" w:space="0" w:color="auto"/>
              <w:left w:val="single" w:sz="4" w:space="0" w:color="auto"/>
              <w:bottom w:val="single" w:sz="4" w:space="0" w:color="auto"/>
              <w:right w:val="single" w:sz="4" w:space="0" w:color="auto"/>
            </w:tcBorders>
            <w:shd w:val="clear" w:color="auto" w:fill="auto"/>
            <w:vAlign w:val="bottom"/>
          </w:tcPr>
          <w:p w14:paraId="24718C28" w14:textId="3199CE41" w:rsidR="005C0315" w:rsidRPr="001F224B" w:rsidRDefault="005C0315" w:rsidP="00956C1E">
            <w:pPr>
              <w:ind w:left="-252"/>
              <w:jc w:val="right"/>
              <w:rPr>
                <w:b/>
                <w:bCs/>
                <w:sz w:val="16"/>
                <w:szCs w:val="16"/>
              </w:rPr>
            </w:pPr>
            <w:r w:rsidRPr="001F224B">
              <w:rPr>
                <w:b/>
                <w:bCs/>
                <w:sz w:val="16"/>
                <w:szCs w:val="16"/>
              </w:rPr>
              <w:t>(25.044.450)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31A9953" w14:textId="7B31885B" w:rsidR="005C0315" w:rsidRPr="001F224B" w:rsidRDefault="005C0315" w:rsidP="005C0315">
            <w:pPr>
              <w:jc w:val="right"/>
              <w:rPr>
                <w:b/>
                <w:bCs/>
                <w:sz w:val="16"/>
                <w:szCs w:val="16"/>
              </w:rPr>
            </w:pPr>
            <w:r w:rsidRPr="001F224B">
              <w:rPr>
                <w:b/>
                <w:bCs/>
                <w:sz w:val="16"/>
                <w:szCs w:val="16"/>
              </w:rPr>
              <w:t>93.895</w:t>
            </w:r>
          </w:p>
        </w:tc>
      </w:tr>
    </w:tbl>
    <w:p w14:paraId="43781AFD" w14:textId="77777777" w:rsidR="00EF70EF" w:rsidRPr="001F224B" w:rsidRDefault="00EF70EF" w:rsidP="00EF70EF">
      <w:pPr>
        <w:rPr>
          <w:rFonts w:eastAsia="Arial Unicode MS"/>
          <w:bCs/>
          <w:sz w:val="14"/>
          <w:szCs w:val="14"/>
        </w:rPr>
      </w:pPr>
    </w:p>
    <w:p w14:paraId="71B02D48" w14:textId="77777777" w:rsidR="00EF70EF" w:rsidRPr="001F224B" w:rsidRDefault="00EF70EF" w:rsidP="00EF70EF">
      <w:pPr>
        <w:rPr>
          <w:rFonts w:eastAsia="Arial Unicode MS"/>
          <w:bCs/>
          <w:sz w:val="14"/>
          <w:szCs w:val="14"/>
        </w:rPr>
      </w:pPr>
      <w:r w:rsidRPr="001F224B">
        <w:rPr>
          <w:rFonts w:eastAsia="Arial Unicode MS"/>
          <w:bCs/>
          <w:sz w:val="14"/>
          <w:szCs w:val="14"/>
        </w:rPr>
        <w:t>(1)</w:t>
      </w:r>
      <w:r w:rsidRPr="001F224B">
        <w:rPr>
          <w:rFonts w:eastAsia="Arial Unicode MS"/>
          <w:bCs/>
          <w:sz w:val="14"/>
          <w:szCs w:val="14"/>
        </w:rPr>
        <w:tab/>
        <w:t>Vadesiz olan işlemler “Faizsiz” sütununda gösterilmiştir.</w:t>
      </w:r>
    </w:p>
    <w:p w14:paraId="0EC6070A" w14:textId="77777777" w:rsidR="00EF70EF" w:rsidRPr="001F224B" w:rsidRDefault="00EF70EF" w:rsidP="00EF70EF">
      <w:pPr>
        <w:rPr>
          <w:rFonts w:eastAsia="Arial Unicode MS"/>
          <w:bCs/>
          <w:sz w:val="14"/>
          <w:szCs w:val="14"/>
        </w:rPr>
      </w:pPr>
      <w:r w:rsidRPr="001F224B">
        <w:rPr>
          <w:rFonts w:eastAsia="Arial Unicode MS"/>
          <w:bCs/>
          <w:sz w:val="14"/>
          <w:szCs w:val="14"/>
        </w:rPr>
        <w:t>(2)</w:t>
      </w:r>
      <w:r w:rsidRPr="001F224B">
        <w:rPr>
          <w:rFonts w:eastAsia="Arial Unicode MS"/>
          <w:bCs/>
          <w:sz w:val="14"/>
          <w:szCs w:val="14"/>
        </w:rPr>
        <w:tab/>
        <w:t>Takipteki kredilerin net bakiyesi krediler içerisinde “Faizsiz” sütununda gösterilmiştir.</w:t>
      </w:r>
    </w:p>
    <w:p w14:paraId="5E08C30D" w14:textId="77777777" w:rsidR="00EF70EF" w:rsidRPr="001F224B" w:rsidRDefault="00EF70EF" w:rsidP="00EF70EF">
      <w:pPr>
        <w:rPr>
          <w:rFonts w:eastAsia="Arial Unicode MS"/>
          <w:bCs/>
          <w:sz w:val="14"/>
          <w:szCs w:val="14"/>
        </w:rPr>
      </w:pPr>
      <w:r w:rsidRPr="001F224B">
        <w:rPr>
          <w:rFonts w:eastAsia="Arial Unicode MS"/>
          <w:bCs/>
          <w:sz w:val="14"/>
          <w:szCs w:val="14"/>
        </w:rPr>
        <w:t>(3)</w:t>
      </w:r>
      <w:r w:rsidRPr="001F224B">
        <w:rPr>
          <w:rFonts w:eastAsia="Arial Unicode MS"/>
          <w:bCs/>
          <w:sz w:val="14"/>
          <w:szCs w:val="14"/>
        </w:rPr>
        <w:tab/>
        <w:t>Sermayede payı temsil eden menkul değerler “Faizsiz” sütununda gösterilmiştir.</w:t>
      </w:r>
    </w:p>
    <w:p w14:paraId="112FC150" w14:textId="77777777" w:rsidR="00EF70EF" w:rsidRPr="001F224B" w:rsidRDefault="00EF70EF" w:rsidP="00EF70EF">
      <w:pPr>
        <w:rPr>
          <w:rFonts w:eastAsia="Arial Unicode MS"/>
          <w:bCs/>
          <w:sz w:val="14"/>
          <w:szCs w:val="14"/>
        </w:rPr>
      </w:pPr>
      <w:r w:rsidRPr="001F224B">
        <w:rPr>
          <w:rFonts w:eastAsia="Arial Unicode MS"/>
          <w:bCs/>
          <w:sz w:val="14"/>
          <w:szCs w:val="14"/>
        </w:rPr>
        <w:t>(4)</w:t>
      </w:r>
      <w:r w:rsidRPr="001F224B">
        <w:rPr>
          <w:rFonts w:eastAsia="Arial Unicode MS"/>
          <w:bCs/>
          <w:sz w:val="14"/>
          <w:szCs w:val="14"/>
        </w:rPr>
        <w:tab/>
        <w:t>Ertelenmiş vergi varlığı, özkaynaklar ile faiz içermeyen diğer aktif ve pasif kalemleri “Faizsiz” sütununda gösterilmiştir.</w:t>
      </w:r>
    </w:p>
    <w:p w14:paraId="7017C9A4" w14:textId="77777777" w:rsidR="00EF70EF" w:rsidRPr="001F224B" w:rsidRDefault="00EF70EF" w:rsidP="00EF70EF">
      <w:pPr>
        <w:rPr>
          <w:rFonts w:eastAsia="Arial Unicode MS"/>
          <w:bCs/>
          <w:sz w:val="14"/>
          <w:szCs w:val="14"/>
        </w:rPr>
      </w:pPr>
      <w:r w:rsidRPr="001F224B">
        <w:rPr>
          <w:rFonts w:eastAsia="Arial Unicode MS"/>
          <w:bCs/>
          <w:sz w:val="14"/>
          <w:szCs w:val="14"/>
        </w:rPr>
        <w:t>(5)</w:t>
      </w:r>
      <w:r w:rsidRPr="001F224B">
        <w:rPr>
          <w:rFonts w:eastAsia="Arial Unicode MS"/>
          <w:bCs/>
          <w:sz w:val="14"/>
          <w:szCs w:val="14"/>
        </w:rPr>
        <w:tab/>
        <w:t>Finansal varlıklar ve diğer aktifler için ayrılan beklenen zarar karşılıkları ilgili kalemlere yansıtılmıştır.</w:t>
      </w:r>
    </w:p>
    <w:p w14:paraId="5B9F7F87" w14:textId="77777777" w:rsidR="00EF70EF" w:rsidRPr="001F224B" w:rsidRDefault="00EF70EF" w:rsidP="00EF70EF">
      <w:pPr>
        <w:rPr>
          <w:rFonts w:eastAsia="Arial Unicode MS"/>
          <w:bCs/>
          <w:sz w:val="14"/>
          <w:szCs w:val="14"/>
        </w:rPr>
      </w:pPr>
      <w:r w:rsidRPr="001F224B">
        <w:rPr>
          <w:rFonts w:eastAsia="Arial Unicode MS"/>
          <w:bCs/>
          <w:sz w:val="14"/>
          <w:szCs w:val="14"/>
        </w:rPr>
        <w:t>(6)</w:t>
      </w:r>
      <w:r w:rsidRPr="001F224B">
        <w:rPr>
          <w:rFonts w:eastAsia="Arial Unicode MS"/>
          <w:bCs/>
          <w:sz w:val="14"/>
          <w:szCs w:val="14"/>
        </w:rPr>
        <w:tab/>
        <w:t>Sermaye benzeri krediler, “Diğer Yükümlülükler” satırında gösterilmiştir.</w:t>
      </w:r>
    </w:p>
    <w:p w14:paraId="10EC4E10" w14:textId="77777777" w:rsidR="00EF70EF" w:rsidRPr="001F224B" w:rsidRDefault="00EF70EF" w:rsidP="00EF70EF">
      <w:pPr>
        <w:sectPr w:rsidR="00EF70EF" w:rsidRPr="001F224B" w:rsidSect="00863228">
          <w:pgSz w:w="11907" w:h="16840" w:code="9"/>
          <w:pgMar w:top="680" w:right="964" w:bottom="567" w:left="1134" w:header="624" w:footer="397" w:gutter="0"/>
          <w:cols w:space="708"/>
          <w:titlePg/>
          <w:docGrid w:linePitch="326"/>
        </w:sectPr>
      </w:pPr>
      <w:r w:rsidRPr="001F224B">
        <w:t> </w:t>
      </w:r>
    </w:p>
    <w:p w14:paraId="6C7B22E8" w14:textId="52EDB76E" w:rsidR="00510F55" w:rsidRPr="001F224B" w:rsidRDefault="00510F55" w:rsidP="00510F55">
      <w:pPr>
        <w:pStyle w:val="ListParagraph"/>
        <w:tabs>
          <w:tab w:val="left" w:pos="0"/>
        </w:tabs>
        <w:spacing w:before="120"/>
        <w:ind w:left="0"/>
        <w:rPr>
          <w:b/>
          <w:bCs/>
          <w:sz w:val="22"/>
          <w:szCs w:val="22"/>
        </w:rPr>
      </w:pPr>
      <w:r w:rsidRPr="001F224B">
        <w:rPr>
          <w:b/>
          <w:bCs/>
          <w:sz w:val="22"/>
          <w:szCs w:val="22"/>
        </w:rPr>
        <w:t>DÖRDÜNCÜ BÖLÜM (Devamı)</w:t>
      </w:r>
    </w:p>
    <w:p w14:paraId="4AF6FCC4" w14:textId="125AB773" w:rsidR="00510F55" w:rsidRPr="001F224B" w:rsidRDefault="00EF6E83" w:rsidP="00510F55">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510F55" w:rsidRPr="001F224B">
        <w:rPr>
          <w:b/>
          <w:bCs/>
          <w:sz w:val="22"/>
          <w:szCs w:val="22"/>
        </w:rPr>
        <w:t>(Devamı)</w:t>
      </w:r>
    </w:p>
    <w:p w14:paraId="004BC6FF" w14:textId="2A3474C2" w:rsidR="006F15A3" w:rsidRPr="001F224B" w:rsidRDefault="00D4467B" w:rsidP="00A94B61">
      <w:pPr>
        <w:pStyle w:val="Heading2"/>
        <w:numPr>
          <w:ilvl w:val="0"/>
          <w:numId w:val="0"/>
        </w:numPr>
        <w:tabs>
          <w:tab w:val="left" w:pos="567"/>
        </w:tabs>
        <w:spacing w:before="0"/>
        <w:jc w:val="both"/>
        <w:rPr>
          <w:rFonts w:ascii="Times New Roman" w:hAnsi="Times New Roman"/>
          <w:i w:val="0"/>
          <w:sz w:val="22"/>
          <w:szCs w:val="22"/>
        </w:rPr>
      </w:pPr>
      <w:r w:rsidRPr="001F224B">
        <w:rPr>
          <w:rFonts w:ascii="Times New Roman" w:eastAsia="Arial Unicode MS" w:hAnsi="Times New Roman"/>
          <w:bCs w:val="0"/>
          <w:i w:val="0"/>
          <w:sz w:val="22"/>
          <w:szCs w:val="22"/>
        </w:rPr>
        <w:t>Ⅲ</w:t>
      </w:r>
      <w:r w:rsidR="006F15A3" w:rsidRPr="001F224B">
        <w:rPr>
          <w:rFonts w:ascii="Times New Roman" w:eastAsia="Arial Unicode MS" w:hAnsi="Times New Roman"/>
          <w:bCs w:val="0"/>
          <w:i w:val="0"/>
          <w:sz w:val="22"/>
          <w:szCs w:val="22"/>
        </w:rPr>
        <w:t>.</w:t>
      </w:r>
      <w:r w:rsidR="006F15A3" w:rsidRPr="001F224B">
        <w:rPr>
          <w:rFonts w:ascii="Times New Roman" w:eastAsia="Arial Unicode MS" w:hAnsi="Times New Roman"/>
          <w:bCs w:val="0"/>
          <w:i w:val="0"/>
          <w:sz w:val="22"/>
          <w:szCs w:val="22"/>
        </w:rPr>
        <w:tab/>
      </w:r>
      <w:r w:rsidR="000B5F78" w:rsidRPr="001F224B">
        <w:rPr>
          <w:rFonts w:ascii="Times New Roman" w:eastAsia="Arial Unicode MS" w:hAnsi="Times New Roman"/>
          <w:bCs w:val="0"/>
          <w:i w:val="0"/>
          <w:sz w:val="22"/>
          <w:szCs w:val="22"/>
        </w:rPr>
        <w:t xml:space="preserve">Konsolide </w:t>
      </w:r>
      <w:r w:rsidR="000B5F78" w:rsidRPr="001F224B">
        <w:rPr>
          <w:rFonts w:ascii="Times New Roman" w:hAnsi="Times New Roman"/>
          <w:i w:val="0"/>
          <w:sz w:val="22"/>
          <w:szCs w:val="22"/>
        </w:rPr>
        <w:t>f</w:t>
      </w:r>
      <w:r w:rsidR="006F15A3" w:rsidRPr="001F224B">
        <w:rPr>
          <w:rFonts w:ascii="Times New Roman" w:hAnsi="Times New Roman"/>
          <w:i w:val="0"/>
          <w:sz w:val="22"/>
          <w:szCs w:val="22"/>
        </w:rPr>
        <w:t>aiz oranı riskine ilişkin açıklamalar</w:t>
      </w:r>
      <w:r w:rsidR="003E6BB0" w:rsidRPr="001F224B">
        <w:rPr>
          <w:rFonts w:ascii="Times New Roman" w:hAnsi="Times New Roman"/>
          <w:i w:val="0"/>
          <w:sz w:val="22"/>
          <w:szCs w:val="22"/>
        </w:rPr>
        <w:t xml:space="preserve"> </w:t>
      </w:r>
      <w:r w:rsidR="006F15A3" w:rsidRPr="001F224B">
        <w:rPr>
          <w:rFonts w:ascii="Times New Roman" w:hAnsi="Times New Roman"/>
          <w:i w:val="0"/>
          <w:sz w:val="22"/>
          <w:szCs w:val="22"/>
        </w:rPr>
        <w:t>(Devamı)</w:t>
      </w:r>
    </w:p>
    <w:p w14:paraId="5CCF80A4" w14:textId="77777777" w:rsidR="00424B20" w:rsidRPr="001F224B" w:rsidRDefault="00424B20" w:rsidP="00424B20">
      <w:pPr>
        <w:rPr>
          <w:sz w:val="8"/>
          <w:szCs w:val="8"/>
        </w:rPr>
      </w:pPr>
    </w:p>
    <w:p w14:paraId="761DC54D" w14:textId="77777777" w:rsidR="004179CE" w:rsidRPr="001F224B" w:rsidRDefault="004179CE" w:rsidP="00E33DEC">
      <w:pPr>
        <w:spacing w:after="120"/>
        <w:ind w:left="142" w:firstLine="425"/>
        <w:rPr>
          <w:b/>
          <w:bCs/>
          <w:sz w:val="22"/>
          <w:szCs w:val="22"/>
        </w:rPr>
      </w:pPr>
      <w:r w:rsidRPr="001F224B">
        <w:rPr>
          <w:b/>
          <w:bCs/>
          <w:sz w:val="22"/>
          <w:szCs w:val="22"/>
        </w:rPr>
        <w:t>Parasal finansal araçlara uygulanan ortalama faiz oranları (%):</w:t>
      </w: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4179CE" w:rsidRPr="001F224B" w14:paraId="2C9BFACE" w14:textId="77777777" w:rsidTr="0090126D">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6F2722AB" w14:textId="02FFF73D" w:rsidR="004179CE" w:rsidRPr="001F224B" w:rsidRDefault="00790E55" w:rsidP="002A5643">
            <w:pPr>
              <w:jc w:val="both"/>
              <w:rPr>
                <w:b/>
                <w:bCs/>
                <w:sz w:val="20"/>
                <w:szCs w:val="20"/>
                <w:vertAlign w:val="superscript"/>
              </w:rPr>
            </w:pPr>
            <w:r w:rsidRPr="001F224B">
              <w:rPr>
                <w:b/>
                <w:bCs/>
                <w:sz w:val="20"/>
                <w:szCs w:val="20"/>
              </w:rPr>
              <w:t>Cari Dönem Sonu (3</w:t>
            </w:r>
            <w:r w:rsidR="008B1D49" w:rsidRPr="001F224B">
              <w:rPr>
                <w:b/>
                <w:bCs/>
                <w:sz w:val="20"/>
                <w:szCs w:val="20"/>
              </w:rPr>
              <w:t>0</w:t>
            </w:r>
            <w:r w:rsidRPr="001F224B">
              <w:rPr>
                <w:b/>
                <w:bCs/>
                <w:sz w:val="20"/>
                <w:szCs w:val="20"/>
              </w:rPr>
              <w:t>.</w:t>
            </w:r>
            <w:r w:rsidR="00D4467B" w:rsidRPr="001F224B">
              <w:rPr>
                <w:b/>
                <w:bCs/>
                <w:sz w:val="20"/>
                <w:szCs w:val="20"/>
              </w:rPr>
              <w:t>0</w:t>
            </w:r>
            <w:r w:rsidR="008B1D49" w:rsidRPr="001F224B">
              <w:rPr>
                <w:b/>
                <w:bCs/>
                <w:sz w:val="20"/>
                <w:szCs w:val="20"/>
              </w:rPr>
              <w:t>6</w:t>
            </w:r>
            <w:r w:rsidRPr="001F224B">
              <w:rPr>
                <w:b/>
                <w:bCs/>
                <w:sz w:val="20"/>
                <w:szCs w:val="20"/>
              </w:rPr>
              <w:t>.202</w:t>
            </w:r>
            <w:r w:rsidR="00D4467B" w:rsidRPr="001F224B">
              <w:rPr>
                <w:b/>
                <w:bCs/>
                <w:sz w:val="20"/>
                <w:szCs w:val="20"/>
              </w:rPr>
              <w:t>5</w:t>
            </w:r>
            <w:r w:rsidRPr="001F224B">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4B69E08C" w14:textId="03743435" w:rsidR="004179CE" w:rsidRPr="001F224B" w:rsidRDefault="00EC6DE0" w:rsidP="001B56B8">
            <w:pPr>
              <w:jc w:val="center"/>
              <w:rPr>
                <w:b/>
                <w:bCs/>
                <w:sz w:val="20"/>
                <w:szCs w:val="20"/>
              </w:rPr>
            </w:pPr>
            <w:r w:rsidRPr="001F224B">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37D84063" w14:textId="2A0020C2" w:rsidR="004179CE" w:rsidRPr="001F224B" w:rsidRDefault="00416E01" w:rsidP="001B56B8">
            <w:pPr>
              <w:jc w:val="center"/>
              <w:rPr>
                <w:b/>
                <w:bCs/>
                <w:sz w:val="20"/>
                <w:szCs w:val="20"/>
              </w:rPr>
            </w:pPr>
            <w:r w:rsidRPr="001F224B">
              <w:rPr>
                <w:b/>
                <w:bCs/>
                <w:sz w:val="20"/>
                <w:szCs w:val="20"/>
              </w:rPr>
              <w:t xml:space="preserve">ABD </w:t>
            </w:r>
            <w:r w:rsidR="00470CE8" w:rsidRPr="001F224B">
              <w:rPr>
                <w:b/>
                <w:bCs/>
                <w:sz w:val="20"/>
                <w:szCs w:val="20"/>
              </w:rPr>
              <w:t>Dolar</w:t>
            </w:r>
            <w:r w:rsidRPr="001F224B">
              <w:rPr>
                <w:b/>
                <w:bCs/>
                <w:sz w:val="20"/>
                <w:szCs w:val="20"/>
              </w:rPr>
              <w:t>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7E2AF485" w14:textId="61F580A0" w:rsidR="004179CE" w:rsidRPr="001F224B" w:rsidRDefault="00416E01" w:rsidP="001B56B8">
            <w:pPr>
              <w:jc w:val="center"/>
              <w:rPr>
                <w:b/>
                <w:bCs/>
                <w:sz w:val="20"/>
                <w:szCs w:val="20"/>
              </w:rPr>
            </w:pPr>
            <w:r w:rsidRPr="001F224B">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0F39B5C" w14:textId="2897C55C" w:rsidR="004179CE" w:rsidRPr="001F224B" w:rsidRDefault="007F30E9" w:rsidP="001B56B8">
            <w:pPr>
              <w:jc w:val="center"/>
              <w:rPr>
                <w:b/>
                <w:bCs/>
                <w:sz w:val="20"/>
                <w:szCs w:val="20"/>
              </w:rPr>
            </w:pPr>
            <w:r w:rsidRPr="001F224B">
              <w:rPr>
                <w:b/>
                <w:bCs/>
                <w:sz w:val="20"/>
                <w:szCs w:val="20"/>
              </w:rPr>
              <w:t>T</w:t>
            </w:r>
            <w:r w:rsidR="00023844" w:rsidRPr="001F224B">
              <w:rPr>
                <w:b/>
                <w:bCs/>
                <w:sz w:val="20"/>
                <w:szCs w:val="20"/>
              </w:rPr>
              <w:t>L</w:t>
            </w:r>
          </w:p>
        </w:tc>
      </w:tr>
      <w:tr w:rsidR="004179CE" w:rsidRPr="001F224B" w14:paraId="4F3D02AC" w14:textId="77777777" w:rsidTr="00860211">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76F17744" w14:textId="77777777" w:rsidR="004179CE" w:rsidRPr="001F224B" w:rsidRDefault="004179CE" w:rsidP="001B56B8">
            <w:pPr>
              <w:jc w:val="both"/>
              <w:rPr>
                <w:sz w:val="20"/>
                <w:szCs w:val="20"/>
              </w:rPr>
            </w:pPr>
            <w:r w:rsidRPr="001F224B">
              <w:rPr>
                <w:sz w:val="20"/>
                <w:szCs w:val="20"/>
              </w:rPr>
              <w:t>Varlıklar</w:t>
            </w:r>
            <w:r w:rsidR="00830C53" w:rsidRPr="001F224B">
              <w:rPr>
                <w:sz w:val="20"/>
                <w:szCs w:val="20"/>
              </w:rPr>
              <w:t xml:space="preserve"> </w:t>
            </w:r>
            <w:r w:rsidR="00830C53" w:rsidRPr="001F224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28796204" w14:textId="77777777" w:rsidR="004179CE" w:rsidRPr="001F224B"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53B20619" w14:textId="77777777" w:rsidR="004179CE" w:rsidRPr="001F224B" w:rsidRDefault="004179CE" w:rsidP="001B56B8">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6FA0D455" w14:textId="77777777" w:rsidR="004179CE" w:rsidRPr="001F224B"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07FEA643" w14:textId="77777777" w:rsidR="004179CE" w:rsidRPr="001F224B" w:rsidRDefault="004179CE" w:rsidP="001B56B8">
            <w:pPr>
              <w:jc w:val="right"/>
              <w:rPr>
                <w:sz w:val="20"/>
                <w:szCs w:val="20"/>
              </w:rPr>
            </w:pPr>
          </w:p>
        </w:tc>
      </w:tr>
      <w:tr w:rsidR="008B42D4" w:rsidRPr="001F224B" w14:paraId="7BA726E7" w14:textId="77777777" w:rsidTr="00F1697D">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729C725F" w14:textId="77777777" w:rsidR="008B42D4" w:rsidRPr="001F224B" w:rsidRDefault="008B42D4" w:rsidP="008B42D4">
            <w:pPr>
              <w:ind w:left="356"/>
              <w:rPr>
                <w:sz w:val="20"/>
                <w:szCs w:val="20"/>
              </w:rPr>
            </w:pPr>
            <w:r w:rsidRPr="001F224B">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6DCAA4F" w14:textId="5A1C5811"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A7E8606" w14:textId="0DD3234D" w:rsidR="008B42D4" w:rsidRPr="001F224B" w:rsidRDefault="008B42D4" w:rsidP="008B42D4">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2E84842" w14:textId="63BD3B47"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428C8AC" w14:textId="7943CA2D" w:rsidR="008B42D4" w:rsidRPr="001F224B" w:rsidRDefault="008B42D4" w:rsidP="008B42D4">
            <w:pPr>
              <w:jc w:val="right"/>
              <w:rPr>
                <w:sz w:val="20"/>
                <w:szCs w:val="20"/>
              </w:rPr>
            </w:pPr>
            <w:r w:rsidRPr="001F224B">
              <w:rPr>
                <w:sz w:val="20"/>
                <w:szCs w:val="20"/>
              </w:rPr>
              <w:t>-</w:t>
            </w:r>
          </w:p>
        </w:tc>
      </w:tr>
      <w:tr w:rsidR="008B42D4" w:rsidRPr="001F224B" w14:paraId="72E4C376"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568C6381" w14:textId="77777777" w:rsidR="008B42D4" w:rsidRPr="001F224B" w:rsidRDefault="008B42D4" w:rsidP="008B42D4">
            <w:pPr>
              <w:ind w:left="356"/>
              <w:rPr>
                <w:sz w:val="20"/>
                <w:szCs w:val="20"/>
              </w:rPr>
            </w:pPr>
            <w:r w:rsidRPr="001F224B">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2D221CE" w14:textId="54683ACD" w:rsidR="008B42D4" w:rsidRPr="001F224B" w:rsidRDefault="008B42D4" w:rsidP="008B42D4">
            <w:pPr>
              <w:jc w:val="right"/>
              <w:rPr>
                <w:sz w:val="20"/>
                <w:szCs w:val="20"/>
              </w:rPr>
            </w:pPr>
            <w:r w:rsidRPr="001F224B">
              <w:rPr>
                <w:sz w:val="20"/>
                <w:szCs w:val="20"/>
              </w:rPr>
              <w:t>3,83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267C2CA" w14:textId="71B8F1CA" w:rsidR="008B42D4" w:rsidRPr="001F224B" w:rsidRDefault="008B42D4" w:rsidP="008B42D4">
            <w:pPr>
              <w:jc w:val="right"/>
              <w:rPr>
                <w:sz w:val="20"/>
                <w:szCs w:val="20"/>
              </w:rPr>
            </w:pPr>
            <w:r w:rsidRPr="001F224B">
              <w:rPr>
                <w:sz w:val="20"/>
                <w:szCs w:val="20"/>
              </w:rPr>
              <w:t>4,93</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51A888E3" w14:textId="5F20CF5D"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9984D92" w14:textId="4828D959" w:rsidR="008B42D4" w:rsidRPr="001F224B" w:rsidRDefault="008B42D4" w:rsidP="008B42D4">
            <w:pPr>
              <w:jc w:val="right"/>
              <w:rPr>
                <w:sz w:val="20"/>
                <w:szCs w:val="20"/>
              </w:rPr>
            </w:pPr>
            <w:r w:rsidRPr="001F224B">
              <w:rPr>
                <w:sz w:val="20"/>
                <w:szCs w:val="20"/>
              </w:rPr>
              <w:t>49,12</w:t>
            </w:r>
          </w:p>
        </w:tc>
      </w:tr>
      <w:tr w:rsidR="008B42D4" w:rsidRPr="001F224B" w14:paraId="04523816"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D2B7583" w14:textId="77777777" w:rsidR="008B42D4" w:rsidRPr="001F224B" w:rsidRDefault="008B42D4" w:rsidP="008B42D4">
            <w:pPr>
              <w:ind w:left="356"/>
              <w:rPr>
                <w:sz w:val="20"/>
                <w:szCs w:val="20"/>
              </w:rPr>
            </w:pPr>
            <w:r w:rsidRPr="001F224B">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1747EEF2" w14:textId="62270FCF"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3DA670E9" w14:textId="0F96684C" w:rsidR="008B42D4" w:rsidRPr="001F224B" w:rsidRDefault="008B42D4" w:rsidP="008B42D4">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54680EC" w14:textId="182BD4E6"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CCCB540" w14:textId="64933240" w:rsidR="008B42D4" w:rsidRPr="001F224B" w:rsidRDefault="008B42D4" w:rsidP="008B42D4">
            <w:pPr>
              <w:jc w:val="right"/>
              <w:rPr>
                <w:sz w:val="20"/>
                <w:szCs w:val="20"/>
              </w:rPr>
            </w:pPr>
            <w:r w:rsidRPr="001F224B">
              <w:rPr>
                <w:sz w:val="20"/>
                <w:szCs w:val="20"/>
              </w:rPr>
              <w:t>-</w:t>
            </w:r>
          </w:p>
        </w:tc>
      </w:tr>
      <w:tr w:rsidR="008B42D4" w:rsidRPr="001F224B" w14:paraId="7961EBC0"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13E63C1" w14:textId="77777777" w:rsidR="008B42D4" w:rsidRPr="001F224B" w:rsidRDefault="008B42D4" w:rsidP="008B42D4">
            <w:pPr>
              <w:ind w:left="356"/>
              <w:rPr>
                <w:sz w:val="20"/>
                <w:szCs w:val="20"/>
              </w:rPr>
            </w:pPr>
            <w:r w:rsidRPr="001F224B">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3185D30F" w14:textId="7DFBB203"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5FEA829" w14:textId="3BE92B74" w:rsidR="008B42D4" w:rsidRPr="001F224B" w:rsidRDefault="008B42D4" w:rsidP="008B42D4">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45861233" w14:textId="7B34DF79"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4374F82F" w14:textId="38C59C8A" w:rsidR="008B42D4" w:rsidRPr="001F224B" w:rsidRDefault="008B42D4" w:rsidP="008B42D4">
            <w:pPr>
              <w:jc w:val="right"/>
              <w:rPr>
                <w:sz w:val="20"/>
                <w:szCs w:val="20"/>
              </w:rPr>
            </w:pPr>
            <w:r w:rsidRPr="001F224B">
              <w:rPr>
                <w:sz w:val="20"/>
                <w:szCs w:val="20"/>
              </w:rPr>
              <w:t>46,41</w:t>
            </w:r>
          </w:p>
        </w:tc>
      </w:tr>
      <w:tr w:rsidR="008B42D4" w:rsidRPr="001F224B" w14:paraId="6E85CF18"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C9E2C4C" w14:textId="77777777" w:rsidR="008B42D4" w:rsidRPr="001F224B" w:rsidRDefault="008B42D4" w:rsidP="008B42D4">
            <w:pPr>
              <w:ind w:left="356"/>
              <w:rPr>
                <w:sz w:val="20"/>
                <w:szCs w:val="20"/>
              </w:rPr>
            </w:pPr>
            <w:r w:rsidRPr="001F224B">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B1629B7" w14:textId="49B56089" w:rsidR="008B42D4" w:rsidRPr="001F224B" w:rsidRDefault="008B42D4" w:rsidP="008B42D4">
            <w:pPr>
              <w:jc w:val="right"/>
              <w:rPr>
                <w:sz w:val="20"/>
                <w:szCs w:val="20"/>
              </w:rPr>
            </w:pPr>
            <w:r w:rsidRPr="001F224B">
              <w:rPr>
                <w:sz w:val="20"/>
                <w:szCs w:val="20"/>
              </w:rPr>
              <w:t>4,26</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C4B1D9C" w14:textId="546E12C3" w:rsidR="008B42D4" w:rsidRPr="001F224B" w:rsidRDefault="008B42D4" w:rsidP="008B42D4">
            <w:pPr>
              <w:jc w:val="right"/>
              <w:rPr>
                <w:sz w:val="20"/>
                <w:szCs w:val="20"/>
              </w:rPr>
            </w:pPr>
            <w:r w:rsidRPr="001F224B">
              <w:rPr>
                <w:sz w:val="20"/>
                <w:szCs w:val="20"/>
              </w:rPr>
              <w:t>6,44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28BBB221" w14:textId="1DD2A632"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3AD6844" w14:textId="3E9E8F9B" w:rsidR="008B42D4" w:rsidRPr="001F224B" w:rsidRDefault="008B42D4" w:rsidP="008B42D4">
            <w:pPr>
              <w:jc w:val="right"/>
              <w:rPr>
                <w:sz w:val="20"/>
                <w:szCs w:val="20"/>
              </w:rPr>
            </w:pPr>
            <w:r w:rsidRPr="001F224B">
              <w:rPr>
                <w:sz w:val="20"/>
                <w:szCs w:val="20"/>
              </w:rPr>
              <w:t>43,39</w:t>
            </w:r>
          </w:p>
        </w:tc>
      </w:tr>
      <w:tr w:rsidR="008B42D4" w:rsidRPr="001F224B" w14:paraId="3A720F1A" w14:textId="77777777" w:rsidTr="00F1697D">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1E66B61F" w14:textId="619029A9" w:rsidR="008B42D4" w:rsidRPr="001F224B" w:rsidRDefault="008B42D4" w:rsidP="008B42D4">
            <w:pPr>
              <w:ind w:left="356"/>
              <w:rPr>
                <w:sz w:val="20"/>
                <w:szCs w:val="20"/>
              </w:rPr>
            </w:pPr>
            <w:r w:rsidRPr="001F224B">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6565740A" w14:textId="3CDB129E" w:rsidR="008B42D4" w:rsidRPr="001F224B" w:rsidRDefault="008B42D4" w:rsidP="008B42D4">
            <w:pPr>
              <w:jc w:val="right"/>
              <w:rPr>
                <w:sz w:val="20"/>
                <w:szCs w:val="20"/>
              </w:rPr>
            </w:pPr>
            <w:r w:rsidRPr="001F224B">
              <w:rPr>
                <w:sz w:val="20"/>
                <w:szCs w:val="20"/>
              </w:rPr>
              <w:t>5,55</w:t>
            </w:r>
          </w:p>
        </w:tc>
        <w:tc>
          <w:tcPr>
            <w:tcW w:w="780" w:type="dxa"/>
            <w:tcBorders>
              <w:top w:val="single" w:sz="4" w:space="0" w:color="auto"/>
              <w:left w:val="nil"/>
              <w:bottom w:val="single" w:sz="4" w:space="0" w:color="auto"/>
              <w:right w:val="single" w:sz="4" w:space="0" w:color="auto"/>
            </w:tcBorders>
            <w:shd w:val="clear" w:color="auto" w:fill="auto"/>
            <w:vAlign w:val="bottom"/>
          </w:tcPr>
          <w:p w14:paraId="002186FE" w14:textId="526308DA" w:rsidR="008B42D4" w:rsidRPr="001F224B" w:rsidRDefault="008B42D4" w:rsidP="008B42D4">
            <w:pPr>
              <w:jc w:val="right"/>
              <w:rPr>
                <w:sz w:val="20"/>
                <w:szCs w:val="20"/>
              </w:rPr>
            </w:pPr>
            <w:r w:rsidRPr="001F224B">
              <w:rPr>
                <w:sz w:val="20"/>
                <w:szCs w:val="20"/>
              </w:rPr>
              <w:t>7,81</w:t>
            </w:r>
          </w:p>
        </w:tc>
        <w:tc>
          <w:tcPr>
            <w:tcW w:w="779" w:type="dxa"/>
            <w:tcBorders>
              <w:top w:val="single" w:sz="4" w:space="0" w:color="auto"/>
              <w:left w:val="nil"/>
              <w:bottom w:val="single" w:sz="4" w:space="0" w:color="auto"/>
              <w:right w:val="single" w:sz="4" w:space="0" w:color="auto"/>
            </w:tcBorders>
            <w:shd w:val="clear" w:color="auto" w:fill="auto"/>
            <w:vAlign w:val="bottom"/>
          </w:tcPr>
          <w:p w14:paraId="21446C35" w14:textId="3A562CA0" w:rsidR="008B42D4" w:rsidRPr="001F224B" w:rsidRDefault="008B42D4" w:rsidP="008B42D4">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58F7EDFE" w14:textId="04461E2F" w:rsidR="008B42D4" w:rsidRPr="001F224B" w:rsidRDefault="008B42D4" w:rsidP="008B42D4">
            <w:pPr>
              <w:jc w:val="right"/>
              <w:rPr>
                <w:sz w:val="20"/>
                <w:szCs w:val="20"/>
              </w:rPr>
            </w:pPr>
            <w:r w:rsidRPr="001F224B">
              <w:rPr>
                <w:sz w:val="20"/>
                <w:szCs w:val="20"/>
              </w:rPr>
              <w:t>19,67</w:t>
            </w:r>
          </w:p>
        </w:tc>
      </w:tr>
      <w:tr w:rsidR="008B42D4" w:rsidRPr="001F224B" w14:paraId="2A85FECB"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4BA2C84" w14:textId="162E54CD" w:rsidR="008B42D4" w:rsidRPr="001F224B" w:rsidRDefault="008B42D4" w:rsidP="008B42D4">
            <w:pPr>
              <w:ind w:left="356"/>
              <w:rPr>
                <w:sz w:val="20"/>
                <w:szCs w:val="20"/>
                <w:vertAlign w:val="superscript"/>
              </w:rPr>
            </w:pPr>
            <w:r w:rsidRPr="001F224B">
              <w:rPr>
                <w:sz w:val="20"/>
                <w:szCs w:val="20"/>
              </w:rPr>
              <w:t xml:space="preserve">İtfa Edilmiş Maliyeti Üzerinden Değerlenen Diğer Finansal Varlıklar </w:t>
            </w:r>
            <w:r w:rsidRPr="001F224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54A9627" w14:textId="5E87DFFB" w:rsidR="008B42D4" w:rsidRPr="001F224B" w:rsidRDefault="008B42D4" w:rsidP="008B42D4">
            <w:pPr>
              <w:jc w:val="right"/>
              <w:rPr>
                <w:sz w:val="20"/>
                <w:szCs w:val="20"/>
              </w:rPr>
            </w:pPr>
            <w:r w:rsidRPr="001F224B">
              <w:rPr>
                <w:sz w:val="20"/>
                <w:szCs w:val="20"/>
              </w:rPr>
              <w:t>4,50</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096F139D" w14:textId="6820D304" w:rsidR="008B42D4" w:rsidRPr="001F224B" w:rsidRDefault="008B42D4" w:rsidP="008B42D4">
            <w:pPr>
              <w:jc w:val="right"/>
              <w:rPr>
                <w:sz w:val="20"/>
                <w:szCs w:val="20"/>
              </w:rPr>
            </w:pPr>
            <w:r w:rsidRPr="001F224B">
              <w:rPr>
                <w:sz w:val="20"/>
                <w:szCs w:val="20"/>
              </w:rPr>
              <w:t>-</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05501F6B" w14:textId="5B2323B0"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6DD1F3E1" w14:textId="6B6424E3" w:rsidR="008B42D4" w:rsidRPr="001F224B" w:rsidRDefault="008B42D4" w:rsidP="008B42D4">
            <w:pPr>
              <w:jc w:val="right"/>
              <w:rPr>
                <w:sz w:val="20"/>
                <w:szCs w:val="20"/>
              </w:rPr>
            </w:pPr>
            <w:r w:rsidRPr="001F224B">
              <w:rPr>
                <w:sz w:val="20"/>
                <w:szCs w:val="20"/>
              </w:rPr>
              <w:t>40,13</w:t>
            </w:r>
          </w:p>
        </w:tc>
      </w:tr>
      <w:tr w:rsidR="004D47E9" w:rsidRPr="001F224B" w14:paraId="037E8062"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18C758E" w14:textId="77777777" w:rsidR="004D47E9" w:rsidRPr="001F224B" w:rsidRDefault="004D47E9" w:rsidP="004D47E9">
            <w:pPr>
              <w:rPr>
                <w:sz w:val="20"/>
                <w:szCs w:val="20"/>
              </w:rPr>
            </w:pPr>
            <w:r w:rsidRPr="001F224B">
              <w:rPr>
                <w:sz w:val="20"/>
                <w:szCs w:val="20"/>
              </w:rPr>
              <w:t xml:space="preserve">Yükümlülükler </w:t>
            </w:r>
            <w:r w:rsidRPr="001F224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486B130" w14:textId="77777777" w:rsidR="004D47E9" w:rsidRPr="001F224B" w:rsidRDefault="004D47E9" w:rsidP="004D47E9">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E4847CB" w14:textId="77777777" w:rsidR="004D47E9" w:rsidRPr="001F224B" w:rsidRDefault="004D47E9" w:rsidP="004D47E9">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25F709EB" w14:textId="77777777" w:rsidR="004D47E9" w:rsidRPr="001F224B" w:rsidRDefault="004D47E9" w:rsidP="004D47E9">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114447AD" w14:textId="77777777" w:rsidR="004D47E9" w:rsidRPr="001F224B" w:rsidRDefault="004D47E9" w:rsidP="004D47E9">
            <w:pPr>
              <w:jc w:val="right"/>
              <w:rPr>
                <w:sz w:val="20"/>
                <w:szCs w:val="20"/>
              </w:rPr>
            </w:pPr>
          </w:p>
        </w:tc>
      </w:tr>
      <w:tr w:rsidR="004D47E9" w:rsidRPr="001F224B" w14:paraId="3A44DED4"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0FDC7C" w14:textId="77777777" w:rsidR="004D47E9" w:rsidRPr="001F224B" w:rsidRDefault="004D47E9" w:rsidP="004D47E9">
            <w:pPr>
              <w:ind w:left="356"/>
              <w:jc w:val="both"/>
              <w:rPr>
                <w:sz w:val="20"/>
                <w:szCs w:val="20"/>
              </w:rPr>
            </w:pPr>
            <w:r w:rsidRPr="001F224B">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68A5352" w14:textId="1A1F13EE"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3AB3533" w14:textId="49E39E06" w:rsidR="004D47E9" w:rsidRPr="001F224B" w:rsidRDefault="004D47E9" w:rsidP="004D47E9">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A24B925" w14:textId="6AA74276"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DDFB58D" w14:textId="771FAD08" w:rsidR="004D47E9" w:rsidRPr="001F224B" w:rsidRDefault="004D47E9" w:rsidP="004D47E9">
            <w:pPr>
              <w:jc w:val="right"/>
              <w:rPr>
                <w:sz w:val="20"/>
                <w:szCs w:val="20"/>
              </w:rPr>
            </w:pPr>
            <w:r w:rsidRPr="001F224B">
              <w:rPr>
                <w:sz w:val="20"/>
                <w:szCs w:val="20"/>
              </w:rPr>
              <w:t>-</w:t>
            </w:r>
          </w:p>
        </w:tc>
      </w:tr>
      <w:tr w:rsidR="004D47E9" w:rsidRPr="001F224B" w14:paraId="0E4190DE"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F25478C" w14:textId="77777777" w:rsidR="004D47E9" w:rsidRPr="001F224B" w:rsidRDefault="004D47E9" w:rsidP="004D47E9">
            <w:pPr>
              <w:ind w:left="356"/>
              <w:rPr>
                <w:sz w:val="20"/>
                <w:szCs w:val="20"/>
              </w:rPr>
            </w:pPr>
            <w:r w:rsidRPr="001F224B">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436D293" w14:textId="06EAD0CA"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6393009" w14:textId="54E04D95" w:rsidR="004D47E9" w:rsidRPr="001F224B" w:rsidRDefault="004D47E9" w:rsidP="004D47E9">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AF4B2EB" w14:textId="63685E0D"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880BF8E" w14:textId="620AA2FA" w:rsidR="004D47E9" w:rsidRPr="001F224B" w:rsidRDefault="004D47E9" w:rsidP="004D47E9">
            <w:pPr>
              <w:jc w:val="right"/>
              <w:rPr>
                <w:sz w:val="20"/>
                <w:szCs w:val="20"/>
              </w:rPr>
            </w:pPr>
            <w:r w:rsidRPr="001F224B">
              <w:rPr>
                <w:sz w:val="20"/>
                <w:szCs w:val="20"/>
              </w:rPr>
              <w:t>-</w:t>
            </w:r>
          </w:p>
        </w:tc>
      </w:tr>
      <w:tr w:rsidR="004D47E9" w:rsidRPr="001F224B" w14:paraId="43E72088"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45F45CE" w14:textId="77777777" w:rsidR="004D47E9" w:rsidRPr="001F224B" w:rsidRDefault="004D47E9" w:rsidP="004D47E9">
            <w:pPr>
              <w:ind w:left="356"/>
              <w:rPr>
                <w:sz w:val="20"/>
                <w:szCs w:val="20"/>
              </w:rPr>
            </w:pPr>
            <w:r w:rsidRPr="001F224B">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605A94E" w14:textId="29BB7EFA"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23CFB64" w14:textId="24BD37C3" w:rsidR="004D47E9" w:rsidRPr="001F224B" w:rsidRDefault="004D47E9" w:rsidP="004D47E9">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884EDF0" w14:textId="46899475"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EA8FC62" w14:textId="1166311D" w:rsidR="004D47E9" w:rsidRPr="001F224B" w:rsidRDefault="008B42D4" w:rsidP="004D47E9">
            <w:pPr>
              <w:jc w:val="right"/>
              <w:rPr>
                <w:sz w:val="20"/>
                <w:szCs w:val="20"/>
              </w:rPr>
            </w:pPr>
            <w:r w:rsidRPr="001F224B">
              <w:rPr>
                <w:sz w:val="20"/>
                <w:szCs w:val="20"/>
              </w:rPr>
              <w:t>-</w:t>
            </w:r>
          </w:p>
        </w:tc>
      </w:tr>
      <w:tr w:rsidR="007D683D" w:rsidRPr="001F224B" w14:paraId="66840723"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4D7CE96" w14:textId="77777777" w:rsidR="007D683D" w:rsidRPr="001F224B" w:rsidRDefault="007D683D" w:rsidP="007D683D">
            <w:pPr>
              <w:ind w:left="356"/>
              <w:rPr>
                <w:sz w:val="20"/>
                <w:szCs w:val="20"/>
              </w:rPr>
            </w:pPr>
            <w:r w:rsidRPr="001F224B">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61D076A" w14:textId="16BF528E" w:rsidR="007D683D" w:rsidRPr="001F224B" w:rsidRDefault="007D683D" w:rsidP="007D683D">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2B24CD2" w14:textId="4A93322F" w:rsidR="007D683D" w:rsidRPr="001F224B" w:rsidRDefault="007D683D" w:rsidP="007D683D">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D39C990" w14:textId="6D0015B4" w:rsidR="007D683D" w:rsidRPr="001F224B" w:rsidRDefault="007D683D" w:rsidP="007D683D">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CF678C6" w14:textId="346A8AD6" w:rsidR="007D683D" w:rsidRPr="001F224B" w:rsidRDefault="007D683D" w:rsidP="007D683D">
            <w:pPr>
              <w:jc w:val="right"/>
              <w:rPr>
                <w:sz w:val="20"/>
                <w:szCs w:val="20"/>
              </w:rPr>
            </w:pPr>
            <w:r w:rsidRPr="001F224B">
              <w:rPr>
                <w:sz w:val="20"/>
                <w:szCs w:val="20"/>
              </w:rPr>
              <w:t>-</w:t>
            </w:r>
          </w:p>
        </w:tc>
      </w:tr>
      <w:tr w:rsidR="004D47E9" w:rsidRPr="001F224B" w14:paraId="4B1A61C8"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212C74B" w14:textId="1529A69D" w:rsidR="004D47E9" w:rsidRPr="001F224B" w:rsidRDefault="004D47E9" w:rsidP="004D47E9">
            <w:pPr>
              <w:ind w:left="356"/>
              <w:rPr>
                <w:sz w:val="20"/>
                <w:szCs w:val="20"/>
              </w:rPr>
            </w:pPr>
            <w:r w:rsidRPr="001F224B">
              <w:rPr>
                <w:sz w:val="20"/>
                <w:szCs w:val="20"/>
              </w:rPr>
              <w:t xml:space="preserve">İhraç Edilen Menkul Değerler </w:t>
            </w:r>
            <w:r w:rsidRPr="001F224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5747292" w14:textId="62BF6D7B" w:rsidR="004D47E9" w:rsidRPr="001F224B" w:rsidRDefault="004D47E9" w:rsidP="004D47E9">
            <w:pPr>
              <w:jc w:val="right"/>
              <w:rPr>
                <w:sz w:val="20"/>
                <w:szCs w:val="20"/>
              </w:rPr>
            </w:pPr>
            <w:r w:rsidRPr="001F224B">
              <w:rPr>
                <w:sz w:val="20"/>
                <w:szCs w:val="20"/>
              </w:rPr>
              <w:t>5,79</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F5C1B49" w14:textId="4AAE4F6F" w:rsidR="004D47E9" w:rsidRPr="001F224B" w:rsidRDefault="004D47E9" w:rsidP="004D47E9">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B8FADF7" w14:textId="1BEF9272" w:rsidR="004D47E9" w:rsidRPr="001F224B" w:rsidRDefault="004D47E9" w:rsidP="004D47E9">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211ACAF" w14:textId="39441545" w:rsidR="004D47E9" w:rsidRPr="001F224B" w:rsidRDefault="008B42D4" w:rsidP="004D47E9">
            <w:pPr>
              <w:jc w:val="right"/>
              <w:rPr>
                <w:sz w:val="20"/>
                <w:szCs w:val="20"/>
              </w:rPr>
            </w:pPr>
            <w:r w:rsidRPr="001F224B">
              <w:rPr>
                <w:sz w:val="20"/>
                <w:szCs w:val="20"/>
              </w:rPr>
              <w:t>46,65</w:t>
            </w:r>
          </w:p>
        </w:tc>
      </w:tr>
      <w:tr w:rsidR="008B42D4" w:rsidRPr="001F224B" w14:paraId="43A60B9C" w14:textId="77777777" w:rsidTr="00F1697D">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E2615F0" w14:textId="77777777" w:rsidR="008B42D4" w:rsidRPr="001F224B" w:rsidRDefault="008B42D4" w:rsidP="008B42D4">
            <w:pPr>
              <w:ind w:left="356"/>
              <w:rPr>
                <w:sz w:val="20"/>
                <w:szCs w:val="20"/>
              </w:rPr>
            </w:pPr>
            <w:bookmarkStart w:id="25" w:name="OLE_LINK14"/>
            <w:r w:rsidRPr="001F224B">
              <w:rPr>
                <w:sz w:val="20"/>
                <w:szCs w:val="20"/>
              </w:rPr>
              <w:t>Kalkınma ve Yatırım Bankaları Tarafından Kabul Edilen Fonlar</w:t>
            </w:r>
            <w:bookmarkEnd w:id="25"/>
          </w:p>
        </w:tc>
        <w:tc>
          <w:tcPr>
            <w:tcW w:w="779" w:type="dxa"/>
            <w:tcBorders>
              <w:top w:val="single" w:sz="4" w:space="0" w:color="auto"/>
              <w:left w:val="nil"/>
              <w:bottom w:val="single" w:sz="4" w:space="0" w:color="auto"/>
              <w:right w:val="single" w:sz="4" w:space="0" w:color="auto"/>
            </w:tcBorders>
            <w:shd w:val="clear" w:color="auto" w:fill="auto"/>
            <w:vAlign w:val="bottom"/>
          </w:tcPr>
          <w:p w14:paraId="262481B0" w14:textId="1AE812DE" w:rsidR="008B42D4" w:rsidRPr="001F224B" w:rsidRDefault="008B42D4" w:rsidP="008B42D4">
            <w:pPr>
              <w:jc w:val="right"/>
              <w:rPr>
                <w:sz w:val="20"/>
                <w:szCs w:val="20"/>
              </w:rPr>
            </w:pPr>
            <w:r w:rsidRPr="001F224B">
              <w:rPr>
                <w:sz w:val="20"/>
                <w:szCs w:val="20"/>
              </w:rPr>
              <w:t>2,16</w:t>
            </w:r>
          </w:p>
        </w:tc>
        <w:tc>
          <w:tcPr>
            <w:tcW w:w="780" w:type="dxa"/>
            <w:tcBorders>
              <w:top w:val="single" w:sz="4" w:space="0" w:color="auto"/>
              <w:left w:val="nil"/>
              <w:bottom w:val="single" w:sz="4" w:space="0" w:color="auto"/>
              <w:right w:val="single" w:sz="4" w:space="0" w:color="auto"/>
            </w:tcBorders>
            <w:shd w:val="clear" w:color="auto" w:fill="auto"/>
            <w:vAlign w:val="bottom"/>
          </w:tcPr>
          <w:p w14:paraId="61900D2F" w14:textId="3253E8F1" w:rsidR="008B42D4" w:rsidRPr="001F224B" w:rsidRDefault="008B42D4" w:rsidP="008B42D4">
            <w:pPr>
              <w:jc w:val="right"/>
              <w:rPr>
                <w:sz w:val="20"/>
                <w:szCs w:val="20"/>
              </w:rPr>
            </w:pPr>
            <w:r w:rsidRPr="001F224B">
              <w:rPr>
                <w:sz w:val="20"/>
                <w:szCs w:val="20"/>
              </w:rPr>
              <w:t>2,74</w:t>
            </w:r>
          </w:p>
        </w:tc>
        <w:tc>
          <w:tcPr>
            <w:tcW w:w="779" w:type="dxa"/>
            <w:tcBorders>
              <w:top w:val="single" w:sz="4" w:space="0" w:color="auto"/>
              <w:left w:val="nil"/>
              <w:bottom w:val="single" w:sz="4" w:space="0" w:color="auto"/>
              <w:right w:val="single" w:sz="4" w:space="0" w:color="auto"/>
            </w:tcBorders>
            <w:shd w:val="clear" w:color="auto" w:fill="auto"/>
            <w:vAlign w:val="bottom"/>
          </w:tcPr>
          <w:p w14:paraId="6E56B284" w14:textId="4F178CBB"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0F0B681E" w14:textId="7C82EF3E" w:rsidR="008B42D4" w:rsidRPr="001F224B" w:rsidRDefault="008B42D4" w:rsidP="008B42D4">
            <w:pPr>
              <w:jc w:val="right"/>
              <w:rPr>
                <w:sz w:val="20"/>
                <w:szCs w:val="20"/>
              </w:rPr>
            </w:pPr>
            <w:r w:rsidRPr="001F224B">
              <w:rPr>
                <w:sz w:val="20"/>
                <w:szCs w:val="20"/>
              </w:rPr>
              <w:t>32,40</w:t>
            </w:r>
          </w:p>
        </w:tc>
      </w:tr>
      <w:tr w:rsidR="008B42D4" w:rsidRPr="001F224B" w14:paraId="4AFB1F25" w14:textId="77777777" w:rsidTr="00F1697D">
        <w:trPr>
          <w:trHeight w:val="216"/>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541828CD" w14:textId="3291D9BF" w:rsidR="008B42D4" w:rsidRPr="001F224B" w:rsidRDefault="008B42D4" w:rsidP="008B42D4">
            <w:pPr>
              <w:ind w:left="356"/>
              <w:rPr>
                <w:sz w:val="20"/>
                <w:szCs w:val="20"/>
                <w:vertAlign w:val="superscript"/>
              </w:rPr>
            </w:pPr>
            <w:r w:rsidRPr="001F224B">
              <w:rPr>
                <w:sz w:val="20"/>
                <w:szCs w:val="20"/>
              </w:rPr>
              <w:t xml:space="preserve">Diğer Mali Kuruluşlardan Sağlanan Fonlar </w:t>
            </w:r>
            <w:r w:rsidRPr="001F224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DE2251A" w14:textId="7D36B47E" w:rsidR="008B42D4" w:rsidRPr="001F224B" w:rsidRDefault="008B42D4" w:rsidP="008B42D4">
            <w:pPr>
              <w:jc w:val="right"/>
              <w:rPr>
                <w:sz w:val="20"/>
                <w:szCs w:val="20"/>
              </w:rPr>
            </w:pPr>
            <w:r w:rsidRPr="001F224B">
              <w:rPr>
                <w:sz w:val="20"/>
                <w:szCs w:val="20"/>
              </w:rPr>
              <w:t>3,09</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7B62E1D" w14:textId="2ED68739" w:rsidR="008B42D4" w:rsidRPr="001F224B" w:rsidRDefault="008B42D4" w:rsidP="008B42D4">
            <w:pPr>
              <w:jc w:val="right"/>
              <w:rPr>
                <w:sz w:val="20"/>
                <w:szCs w:val="20"/>
              </w:rPr>
            </w:pPr>
            <w:r w:rsidRPr="001F224B">
              <w:rPr>
                <w:sz w:val="20"/>
                <w:szCs w:val="20"/>
              </w:rPr>
              <w:t>5,75</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13D5F2" w14:textId="7DBAD7F8" w:rsidR="008B42D4" w:rsidRPr="001F224B" w:rsidRDefault="008B42D4" w:rsidP="008B42D4">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B035C5C" w14:textId="01AA72F6" w:rsidR="008B42D4" w:rsidRPr="001F224B" w:rsidRDefault="008B42D4" w:rsidP="008B42D4">
            <w:pPr>
              <w:jc w:val="right"/>
              <w:rPr>
                <w:sz w:val="20"/>
                <w:szCs w:val="20"/>
              </w:rPr>
            </w:pPr>
            <w:r w:rsidRPr="001F224B">
              <w:rPr>
                <w:sz w:val="20"/>
                <w:szCs w:val="20"/>
              </w:rPr>
              <w:t>23,51</w:t>
            </w:r>
          </w:p>
        </w:tc>
      </w:tr>
    </w:tbl>
    <w:p w14:paraId="38B401CE" w14:textId="77777777" w:rsidR="00540EBC" w:rsidRPr="001F224B" w:rsidRDefault="00540EBC" w:rsidP="00540EBC">
      <w:pPr>
        <w:tabs>
          <w:tab w:val="left" w:pos="284"/>
        </w:tabs>
        <w:spacing w:before="120"/>
        <w:jc w:val="both"/>
        <w:rPr>
          <w:rFonts w:eastAsia="Arial Unicode MS"/>
          <w:bCs/>
          <w:sz w:val="18"/>
          <w:szCs w:val="18"/>
        </w:rPr>
      </w:pPr>
      <w:r w:rsidRPr="001F224B">
        <w:rPr>
          <w:bCs/>
          <w:sz w:val="18"/>
          <w:szCs w:val="18"/>
          <w:vertAlign w:val="superscript"/>
        </w:rPr>
        <w:t>(*)</w:t>
      </w:r>
      <w:r w:rsidRPr="001F224B">
        <w:rPr>
          <w:bCs/>
          <w:sz w:val="18"/>
          <w:szCs w:val="18"/>
        </w:rPr>
        <w:tab/>
      </w:r>
      <w:r w:rsidRPr="001F224B">
        <w:rPr>
          <w:rFonts w:eastAsia="Arial Unicode MS"/>
          <w:bCs/>
          <w:sz w:val="18"/>
          <w:szCs w:val="18"/>
        </w:rPr>
        <w:t>Tabloda belirtilen oranlar yıllık basit faiz oranları kullanılarak hesaplanmıştır.</w:t>
      </w:r>
    </w:p>
    <w:p w14:paraId="6CB620D6" w14:textId="77777777" w:rsidR="00540EBC" w:rsidRPr="001F224B" w:rsidRDefault="00540EBC" w:rsidP="00540EBC">
      <w:pPr>
        <w:tabs>
          <w:tab w:val="left" w:pos="284"/>
        </w:tabs>
        <w:jc w:val="both"/>
        <w:rPr>
          <w:rFonts w:eastAsia="Arial Unicode MS"/>
          <w:bCs/>
          <w:sz w:val="18"/>
          <w:szCs w:val="18"/>
        </w:rPr>
      </w:pPr>
      <w:r w:rsidRPr="001F224B">
        <w:rPr>
          <w:bCs/>
          <w:sz w:val="18"/>
          <w:szCs w:val="18"/>
          <w:vertAlign w:val="superscript"/>
        </w:rPr>
        <w:t xml:space="preserve">(**)   </w:t>
      </w:r>
      <w:r w:rsidRPr="001F224B">
        <w:rPr>
          <w:rFonts w:eastAsia="Arial Unicode MS"/>
          <w:bCs/>
          <w:sz w:val="18"/>
          <w:szCs w:val="18"/>
        </w:rPr>
        <w:t>TL portföyün büyük çoğunluğu TÜFE endeksli menkul kıymetlerden oluşmaktadır.</w:t>
      </w:r>
    </w:p>
    <w:p w14:paraId="69958E38" w14:textId="69BACD7D" w:rsidR="00023844" w:rsidRPr="001F224B" w:rsidRDefault="00540EBC" w:rsidP="00540EBC">
      <w:pPr>
        <w:autoSpaceDE w:val="0"/>
        <w:autoSpaceDN w:val="0"/>
        <w:rPr>
          <w:rFonts w:eastAsia="Arial Unicode MS"/>
          <w:bCs/>
          <w:sz w:val="18"/>
          <w:szCs w:val="18"/>
        </w:rPr>
      </w:pPr>
      <w:r w:rsidRPr="001F224B">
        <w:rPr>
          <w:bCs/>
          <w:sz w:val="18"/>
          <w:szCs w:val="18"/>
          <w:vertAlign w:val="superscript"/>
        </w:rPr>
        <w:t xml:space="preserve">(***) </w:t>
      </w:r>
      <w:r w:rsidRPr="001F224B">
        <w:rPr>
          <w:rFonts w:eastAsia="Arial Unicode MS"/>
          <w:bCs/>
          <w:sz w:val="18"/>
          <w:szCs w:val="18"/>
        </w:rPr>
        <w:t xml:space="preserve">Diğer mali kuruluşlardan sağlanan fonlar, sermaye benzeri kredileri </w:t>
      </w:r>
      <w:r w:rsidR="00707B82" w:rsidRPr="001F224B">
        <w:rPr>
          <w:rFonts w:eastAsia="Arial Unicode MS"/>
          <w:bCs/>
          <w:sz w:val="18"/>
          <w:szCs w:val="18"/>
        </w:rPr>
        <w:t xml:space="preserve">de </w:t>
      </w:r>
      <w:r w:rsidRPr="001F224B">
        <w:rPr>
          <w:rFonts w:eastAsia="Arial Unicode MS"/>
          <w:bCs/>
          <w:sz w:val="18"/>
          <w:szCs w:val="18"/>
        </w:rPr>
        <w:t>içermektedir.</w:t>
      </w:r>
    </w:p>
    <w:p w14:paraId="08EA79CF" w14:textId="3F7F8CDC" w:rsidR="007D71D8" w:rsidRPr="001F224B" w:rsidRDefault="007D71D8" w:rsidP="007D71D8">
      <w:pPr>
        <w:autoSpaceDE w:val="0"/>
        <w:autoSpaceDN w:val="0"/>
        <w:rPr>
          <w:rFonts w:eastAsia="Arial Unicode MS"/>
          <w:bCs/>
          <w:sz w:val="18"/>
          <w:szCs w:val="18"/>
        </w:rPr>
      </w:pPr>
      <w:r w:rsidRPr="001F224B">
        <w:rPr>
          <w:sz w:val="20"/>
          <w:szCs w:val="20"/>
          <w:vertAlign w:val="superscript"/>
        </w:rPr>
        <w:t>(****)</w:t>
      </w:r>
      <w:r w:rsidR="00161FBB" w:rsidRPr="001F224B">
        <w:rPr>
          <w:sz w:val="20"/>
          <w:szCs w:val="20"/>
          <w:vertAlign w:val="superscript"/>
        </w:rPr>
        <w:t xml:space="preserve"> </w:t>
      </w:r>
      <w:r w:rsidRPr="001F224B">
        <w:rPr>
          <w:rFonts w:eastAsia="Arial Unicode MS"/>
          <w:bCs/>
          <w:sz w:val="18"/>
          <w:szCs w:val="18"/>
        </w:rPr>
        <w:t>TL portföy Kalkınma Yatırım Varlık Kiralama A.Ş. ihraçlarından oluşmaktadır.</w:t>
      </w:r>
    </w:p>
    <w:p w14:paraId="5BC318AC" w14:textId="77777777" w:rsidR="00540EBC" w:rsidRPr="001F224B" w:rsidRDefault="00540EBC" w:rsidP="00540EBC">
      <w:pPr>
        <w:autoSpaceDE w:val="0"/>
        <w:autoSpaceDN w:val="0"/>
        <w:rPr>
          <w:sz w:val="16"/>
          <w:szCs w:val="16"/>
        </w:rPr>
      </w:pPr>
    </w:p>
    <w:tbl>
      <w:tblPr>
        <w:tblW w:w="9907" w:type="dxa"/>
        <w:tblInd w:w="-33" w:type="dxa"/>
        <w:tblLayout w:type="fixed"/>
        <w:tblCellMar>
          <w:left w:w="70" w:type="dxa"/>
          <w:right w:w="70" w:type="dxa"/>
        </w:tblCellMar>
        <w:tblLook w:val="00A0" w:firstRow="1" w:lastRow="0" w:firstColumn="1" w:lastColumn="0" w:noHBand="0" w:noVBand="0"/>
      </w:tblPr>
      <w:tblGrid>
        <w:gridCol w:w="6789"/>
        <w:gridCol w:w="779"/>
        <w:gridCol w:w="780"/>
        <w:gridCol w:w="779"/>
        <w:gridCol w:w="780"/>
      </w:tblGrid>
      <w:tr w:rsidR="00416E01" w:rsidRPr="001F224B" w14:paraId="2B47E20E" w14:textId="77777777" w:rsidTr="0090126D">
        <w:trPr>
          <w:cantSplit/>
          <w:trHeight w:val="520"/>
        </w:trPr>
        <w:tc>
          <w:tcPr>
            <w:tcW w:w="6789" w:type="dxa"/>
            <w:tcBorders>
              <w:top w:val="single" w:sz="4" w:space="0" w:color="auto"/>
              <w:left w:val="single" w:sz="4" w:space="0" w:color="auto"/>
              <w:bottom w:val="single" w:sz="4" w:space="0" w:color="auto"/>
              <w:right w:val="single" w:sz="4" w:space="0" w:color="auto"/>
            </w:tcBorders>
            <w:shd w:val="clear" w:color="000000" w:fill="FFFFFF"/>
            <w:vAlign w:val="bottom"/>
          </w:tcPr>
          <w:p w14:paraId="52B2B4C9" w14:textId="77777777" w:rsidR="00416E01" w:rsidRPr="001F224B" w:rsidRDefault="00416E01" w:rsidP="00416E01">
            <w:pPr>
              <w:rPr>
                <w:b/>
                <w:bCs/>
                <w:sz w:val="20"/>
                <w:szCs w:val="20"/>
              </w:rPr>
            </w:pPr>
            <w:r w:rsidRPr="001F224B">
              <w:rPr>
                <w:b/>
                <w:bCs/>
                <w:sz w:val="20"/>
                <w:szCs w:val="20"/>
              </w:rPr>
              <w:t> </w:t>
            </w:r>
          </w:p>
          <w:p w14:paraId="2CCE63D4" w14:textId="10E92F4E" w:rsidR="00416E01" w:rsidRPr="001F224B" w:rsidRDefault="00416E01" w:rsidP="00416E01">
            <w:pPr>
              <w:rPr>
                <w:b/>
                <w:bCs/>
                <w:sz w:val="20"/>
                <w:szCs w:val="20"/>
              </w:rPr>
            </w:pPr>
            <w:r w:rsidRPr="001F224B">
              <w:rPr>
                <w:b/>
                <w:bCs/>
                <w:sz w:val="20"/>
                <w:szCs w:val="20"/>
              </w:rPr>
              <w:t>Önceki Dönem Sonu (31.12.202</w:t>
            </w:r>
            <w:r w:rsidR="00D4467B" w:rsidRPr="001F224B">
              <w:rPr>
                <w:b/>
                <w:bCs/>
                <w:sz w:val="20"/>
                <w:szCs w:val="20"/>
              </w:rPr>
              <w:t>4</w:t>
            </w:r>
            <w:r w:rsidRPr="001F224B">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04D88992" w14:textId="5D1C54F7" w:rsidR="00416E01" w:rsidRPr="001F224B" w:rsidRDefault="00EC6DE0" w:rsidP="00416E01">
            <w:pPr>
              <w:jc w:val="center"/>
              <w:rPr>
                <w:b/>
                <w:bCs/>
                <w:sz w:val="20"/>
                <w:szCs w:val="20"/>
              </w:rPr>
            </w:pPr>
            <w:r w:rsidRPr="001F224B">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02225972" w14:textId="0D544F0D" w:rsidR="00416E01" w:rsidRPr="001F224B" w:rsidRDefault="00416E01" w:rsidP="00416E01">
            <w:pPr>
              <w:jc w:val="center"/>
              <w:rPr>
                <w:b/>
                <w:bCs/>
                <w:sz w:val="20"/>
                <w:szCs w:val="20"/>
              </w:rPr>
            </w:pPr>
            <w:r w:rsidRPr="001F224B">
              <w:rPr>
                <w:b/>
                <w:bCs/>
                <w:sz w:val="20"/>
                <w:szCs w:val="20"/>
              </w:rPr>
              <w:t xml:space="preserve">ABD </w:t>
            </w:r>
            <w:r w:rsidR="00470CE8" w:rsidRPr="001F224B">
              <w:rPr>
                <w:b/>
                <w:bCs/>
                <w:sz w:val="20"/>
                <w:szCs w:val="20"/>
              </w:rPr>
              <w:t>Dolar</w:t>
            </w:r>
            <w:r w:rsidRPr="001F224B">
              <w:rPr>
                <w:b/>
                <w:bCs/>
                <w:sz w:val="20"/>
                <w:szCs w:val="20"/>
              </w:rPr>
              <w:t>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7ACE0EC0" w14:textId="766952E7" w:rsidR="00416E01" w:rsidRPr="001F224B" w:rsidRDefault="00416E01" w:rsidP="00416E01">
            <w:pPr>
              <w:jc w:val="center"/>
              <w:rPr>
                <w:b/>
                <w:bCs/>
                <w:sz w:val="20"/>
                <w:szCs w:val="20"/>
              </w:rPr>
            </w:pPr>
            <w:r w:rsidRPr="001F224B">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4E18DFA0" w14:textId="4EB61E54" w:rsidR="00416E01" w:rsidRPr="001F224B" w:rsidRDefault="00416E01" w:rsidP="00416E01">
            <w:pPr>
              <w:jc w:val="center"/>
              <w:rPr>
                <w:b/>
                <w:bCs/>
                <w:sz w:val="20"/>
                <w:szCs w:val="20"/>
              </w:rPr>
            </w:pPr>
            <w:r w:rsidRPr="001F224B">
              <w:rPr>
                <w:b/>
                <w:bCs/>
                <w:sz w:val="20"/>
                <w:szCs w:val="20"/>
              </w:rPr>
              <w:t>T</w:t>
            </w:r>
            <w:r w:rsidR="00023844" w:rsidRPr="001F224B">
              <w:rPr>
                <w:b/>
                <w:bCs/>
                <w:sz w:val="20"/>
                <w:szCs w:val="20"/>
              </w:rPr>
              <w:t>L</w:t>
            </w:r>
          </w:p>
        </w:tc>
      </w:tr>
      <w:tr w:rsidR="00B34600" w:rsidRPr="001F224B" w14:paraId="721E1D6D" w14:textId="77777777" w:rsidTr="0090126D">
        <w:trPr>
          <w:trHeight w:val="255"/>
        </w:trPr>
        <w:tc>
          <w:tcPr>
            <w:tcW w:w="6789" w:type="dxa"/>
            <w:tcBorders>
              <w:top w:val="single" w:sz="4" w:space="0" w:color="auto"/>
              <w:left w:val="single" w:sz="4" w:space="0" w:color="auto"/>
              <w:bottom w:val="single" w:sz="4" w:space="0" w:color="auto"/>
              <w:right w:val="single" w:sz="4" w:space="0" w:color="auto"/>
            </w:tcBorders>
            <w:shd w:val="clear" w:color="000000" w:fill="FFFFFF"/>
            <w:vAlign w:val="bottom"/>
          </w:tcPr>
          <w:p w14:paraId="7FB80042" w14:textId="5E2FBF65" w:rsidR="00B34600" w:rsidRPr="001F224B" w:rsidRDefault="00B34600" w:rsidP="00B34600">
            <w:pPr>
              <w:rPr>
                <w:sz w:val="20"/>
                <w:szCs w:val="20"/>
              </w:rPr>
            </w:pPr>
            <w:r w:rsidRPr="001F224B">
              <w:rPr>
                <w:sz w:val="20"/>
                <w:szCs w:val="20"/>
              </w:rPr>
              <w:t xml:space="preserve">Varlıklar </w:t>
            </w:r>
            <w:r w:rsidRPr="001F224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50EEE7A0" w14:textId="77777777" w:rsidR="00B34600" w:rsidRPr="001F224B" w:rsidRDefault="00B34600" w:rsidP="00B34600">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7838C481" w14:textId="77777777" w:rsidR="00B34600" w:rsidRPr="001F224B" w:rsidRDefault="00B34600" w:rsidP="00B34600">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34D791D5" w14:textId="77777777" w:rsidR="00B34600" w:rsidRPr="001F224B" w:rsidRDefault="00B34600" w:rsidP="00B34600">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4D0273B7" w14:textId="77777777" w:rsidR="00B34600" w:rsidRPr="001F224B" w:rsidRDefault="00B34600" w:rsidP="00B34600">
            <w:pPr>
              <w:jc w:val="right"/>
              <w:rPr>
                <w:sz w:val="20"/>
                <w:szCs w:val="20"/>
              </w:rPr>
            </w:pPr>
          </w:p>
        </w:tc>
      </w:tr>
      <w:tr w:rsidR="00D4467B" w:rsidRPr="001F224B" w14:paraId="643D2DD4" w14:textId="77777777" w:rsidTr="0090126D">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085BD8A9" w14:textId="54724531" w:rsidR="00D4467B" w:rsidRPr="001F224B" w:rsidRDefault="00D4467B" w:rsidP="00D4467B">
            <w:pPr>
              <w:ind w:left="356"/>
              <w:rPr>
                <w:sz w:val="20"/>
                <w:szCs w:val="20"/>
              </w:rPr>
            </w:pPr>
            <w:r w:rsidRPr="001F224B">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6937AD3" w14:textId="44E31B5F"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2DBC9AB" w14:textId="5FB69C64"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4D476DE" w14:textId="747A3B05"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5E10302" w14:textId="2D56441F" w:rsidR="00D4467B" w:rsidRPr="001F224B" w:rsidRDefault="00D4467B" w:rsidP="00D4467B">
            <w:pPr>
              <w:jc w:val="right"/>
              <w:rPr>
                <w:sz w:val="20"/>
                <w:szCs w:val="20"/>
              </w:rPr>
            </w:pPr>
            <w:r w:rsidRPr="001F224B">
              <w:rPr>
                <w:sz w:val="20"/>
                <w:szCs w:val="20"/>
              </w:rPr>
              <w:t>-</w:t>
            </w:r>
          </w:p>
        </w:tc>
      </w:tr>
      <w:tr w:rsidR="00D4467B" w:rsidRPr="001F224B" w14:paraId="49261AD7" w14:textId="77777777" w:rsidTr="00350B32">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1A141082" w14:textId="189DC5E8" w:rsidR="00D4467B" w:rsidRPr="001F224B" w:rsidRDefault="00D4467B" w:rsidP="00D4467B">
            <w:pPr>
              <w:ind w:left="356"/>
              <w:rPr>
                <w:sz w:val="20"/>
                <w:szCs w:val="20"/>
              </w:rPr>
            </w:pPr>
            <w:r w:rsidRPr="001F224B">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auto"/>
            <w:vAlign w:val="bottom"/>
          </w:tcPr>
          <w:p w14:paraId="0ECA13B0" w14:textId="0AA6071E" w:rsidR="00D4467B" w:rsidRPr="001F224B" w:rsidRDefault="00D4467B" w:rsidP="00D4467B">
            <w:pPr>
              <w:jc w:val="right"/>
              <w:rPr>
                <w:sz w:val="20"/>
                <w:szCs w:val="20"/>
              </w:rPr>
            </w:pPr>
            <w:r w:rsidRPr="001F224B">
              <w:rPr>
                <w:sz w:val="20"/>
                <w:szCs w:val="20"/>
              </w:rPr>
              <w:t>3,33</w:t>
            </w:r>
          </w:p>
        </w:tc>
        <w:tc>
          <w:tcPr>
            <w:tcW w:w="780" w:type="dxa"/>
            <w:tcBorders>
              <w:top w:val="single" w:sz="4" w:space="0" w:color="auto"/>
              <w:left w:val="nil"/>
              <w:bottom w:val="single" w:sz="4" w:space="0" w:color="auto"/>
              <w:right w:val="single" w:sz="4" w:space="0" w:color="auto"/>
            </w:tcBorders>
            <w:shd w:val="clear" w:color="auto" w:fill="auto"/>
            <w:vAlign w:val="bottom"/>
          </w:tcPr>
          <w:p w14:paraId="7961ECD9" w14:textId="26893AD5" w:rsidR="00D4467B" w:rsidRPr="001F224B" w:rsidRDefault="00D4467B" w:rsidP="00D4467B">
            <w:pPr>
              <w:jc w:val="right"/>
              <w:rPr>
                <w:sz w:val="20"/>
                <w:szCs w:val="20"/>
              </w:rPr>
            </w:pPr>
            <w:r w:rsidRPr="001F224B">
              <w:rPr>
                <w:sz w:val="20"/>
                <w:szCs w:val="20"/>
              </w:rPr>
              <w:t>4,54</w:t>
            </w:r>
          </w:p>
        </w:tc>
        <w:tc>
          <w:tcPr>
            <w:tcW w:w="779" w:type="dxa"/>
            <w:tcBorders>
              <w:top w:val="single" w:sz="4" w:space="0" w:color="auto"/>
              <w:left w:val="nil"/>
              <w:bottom w:val="single" w:sz="4" w:space="0" w:color="auto"/>
              <w:right w:val="single" w:sz="4" w:space="0" w:color="auto"/>
            </w:tcBorders>
            <w:shd w:val="clear" w:color="auto" w:fill="auto"/>
            <w:vAlign w:val="bottom"/>
          </w:tcPr>
          <w:p w14:paraId="3CC83D97" w14:textId="79A2CCF3"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68EF8DF7" w14:textId="36AD34E6" w:rsidR="00D4467B" w:rsidRPr="001F224B" w:rsidRDefault="00D4467B" w:rsidP="00D4467B">
            <w:pPr>
              <w:jc w:val="right"/>
              <w:rPr>
                <w:sz w:val="20"/>
                <w:szCs w:val="20"/>
              </w:rPr>
            </w:pPr>
            <w:r w:rsidRPr="001F224B">
              <w:rPr>
                <w:sz w:val="20"/>
                <w:szCs w:val="20"/>
              </w:rPr>
              <w:t>50,33</w:t>
            </w:r>
          </w:p>
        </w:tc>
      </w:tr>
      <w:tr w:rsidR="00D4467B" w:rsidRPr="001F224B" w14:paraId="3C5AA562"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5E08957" w14:textId="5001108B" w:rsidR="00D4467B" w:rsidRPr="001F224B" w:rsidRDefault="00D4467B" w:rsidP="00D4467B">
            <w:pPr>
              <w:ind w:left="356"/>
              <w:rPr>
                <w:sz w:val="20"/>
                <w:szCs w:val="20"/>
              </w:rPr>
            </w:pPr>
            <w:r w:rsidRPr="001F224B">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2201A347" w14:textId="181393A1"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33E19803" w14:textId="7781DF1F"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70916DEC" w14:textId="2747677A"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632F7D7" w14:textId="7B301392" w:rsidR="00D4467B" w:rsidRPr="001F224B" w:rsidRDefault="00D4467B" w:rsidP="00D4467B">
            <w:pPr>
              <w:jc w:val="right"/>
              <w:rPr>
                <w:sz w:val="20"/>
                <w:szCs w:val="20"/>
              </w:rPr>
            </w:pPr>
            <w:r w:rsidRPr="001F224B">
              <w:rPr>
                <w:sz w:val="20"/>
                <w:szCs w:val="20"/>
              </w:rPr>
              <w:t>-</w:t>
            </w:r>
          </w:p>
        </w:tc>
      </w:tr>
      <w:tr w:rsidR="00D4467B" w:rsidRPr="001F224B" w14:paraId="3FB6146B"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7C8775DE" w14:textId="037E5080" w:rsidR="00D4467B" w:rsidRPr="001F224B" w:rsidRDefault="00D4467B" w:rsidP="00D4467B">
            <w:pPr>
              <w:ind w:left="356"/>
              <w:rPr>
                <w:sz w:val="20"/>
                <w:szCs w:val="20"/>
              </w:rPr>
            </w:pPr>
            <w:r w:rsidRPr="001F224B">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73C1BA9C" w14:textId="09C52F10"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A20E157" w14:textId="00FF3FD5"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0A71AB63" w14:textId="51CBA25F"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45C8B434" w14:textId="6A68F38F" w:rsidR="00D4467B" w:rsidRPr="001F224B" w:rsidRDefault="00D4467B" w:rsidP="00D4467B">
            <w:pPr>
              <w:jc w:val="right"/>
              <w:rPr>
                <w:sz w:val="20"/>
                <w:szCs w:val="20"/>
              </w:rPr>
            </w:pPr>
            <w:r w:rsidRPr="001F224B">
              <w:rPr>
                <w:sz w:val="20"/>
                <w:szCs w:val="20"/>
              </w:rPr>
              <w:t>48,97</w:t>
            </w:r>
          </w:p>
        </w:tc>
      </w:tr>
      <w:tr w:rsidR="00D4467B" w:rsidRPr="001F224B" w14:paraId="597DEA9A"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473A2B6E" w14:textId="5EFFA5C9" w:rsidR="00D4467B" w:rsidRPr="001F224B" w:rsidRDefault="00D4467B" w:rsidP="00D4467B">
            <w:pPr>
              <w:ind w:left="356"/>
              <w:rPr>
                <w:sz w:val="20"/>
                <w:szCs w:val="20"/>
              </w:rPr>
            </w:pPr>
            <w:r w:rsidRPr="001F224B">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1DA0FDA5" w14:textId="6471F079" w:rsidR="00D4467B" w:rsidRPr="001F224B" w:rsidRDefault="00D4467B" w:rsidP="00D4467B">
            <w:pPr>
              <w:jc w:val="right"/>
              <w:rPr>
                <w:sz w:val="20"/>
                <w:szCs w:val="20"/>
              </w:rPr>
            </w:pPr>
            <w:r w:rsidRPr="001F224B">
              <w:rPr>
                <w:sz w:val="20"/>
                <w:szCs w:val="20"/>
              </w:rPr>
              <w:t>4,65</w:t>
            </w:r>
          </w:p>
        </w:tc>
        <w:tc>
          <w:tcPr>
            <w:tcW w:w="780" w:type="dxa"/>
            <w:tcBorders>
              <w:top w:val="single" w:sz="4" w:space="0" w:color="auto"/>
              <w:left w:val="nil"/>
              <w:bottom w:val="single" w:sz="4" w:space="0" w:color="auto"/>
              <w:right w:val="single" w:sz="4" w:space="0" w:color="auto"/>
            </w:tcBorders>
            <w:shd w:val="clear" w:color="auto" w:fill="auto"/>
            <w:vAlign w:val="bottom"/>
          </w:tcPr>
          <w:p w14:paraId="442F5EE2" w14:textId="1BC1125C" w:rsidR="00D4467B" w:rsidRPr="001F224B" w:rsidRDefault="00D4467B" w:rsidP="00D4467B">
            <w:pPr>
              <w:jc w:val="right"/>
              <w:rPr>
                <w:sz w:val="20"/>
                <w:szCs w:val="20"/>
              </w:rPr>
            </w:pPr>
            <w:r w:rsidRPr="001F224B">
              <w:rPr>
                <w:sz w:val="20"/>
                <w:szCs w:val="20"/>
              </w:rPr>
              <w:t>6,60</w:t>
            </w:r>
          </w:p>
        </w:tc>
        <w:tc>
          <w:tcPr>
            <w:tcW w:w="779" w:type="dxa"/>
            <w:tcBorders>
              <w:top w:val="single" w:sz="4" w:space="0" w:color="auto"/>
              <w:left w:val="nil"/>
              <w:bottom w:val="single" w:sz="4" w:space="0" w:color="auto"/>
              <w:right w:val="single" w:sz="4" w:space="0" w:color="auto"/>
            </w:tcBorders>
            <w:shd w:val="clear" w:color="auto" w:fill="auto"/>
            <w:vAlign w:val="bottom"/>
          </w:tcPr>
          <w:p w14:paraId="6857E9ED" w14:textId="58EA1429"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0FB62389" w14:textId="52677467" w:rsidR="00D4467B" w:rsidRPr="001F224B" w:rsidRDefault="00D4467B" w:rsidP="00D4467B">
            <w:pPr>
              <w:jc w:val="right"/>
              <w:rPr>
                <w:sz w:val="20"/>
                <w:szCs w:val="20"/>
              </w:rPr>
            </w:pPr>
            <w:r w:rsidRPr="001F224B">
              <w:rPr>
                <w:sz w:val="20"/>
                <w:szCs w:val="20"/>
              </w:rPr>
              <w:t>46,52</w:t>
            </w:r>
          </w:p>
        </w:tc>
      </w:tr>
      <w:tr w:rsidR="00D4467B" w:rsidRPr="001F224B" w14:paraId="426950A5"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4E9DF9C0" w14:textId="4C25CBEF" w:rsidR="00D4467B" w:rsidRPr="001F224B" w:rsidRDefault="00D4467B" w:rsidP="00D4467B">
            <w:pPr>
              <w:ind w:left="356"/>
              <w:rPr>
                <w:sz w:val="20"/>
                <w:szCs w:val="20"/>
              </w:rPr>
            </w:pPr>
            <w:r w:rsidRPr="001F224B">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1D83127E" w14:textId="49A39108" w:rsidR="00D4467B" w:rsidRPr="001F224B" w:rsidRDefault="00D4467B" w:rsidP="00D4467B">
            <w:pPr>
              <w:jc w:val="right"/>
              <w:rPr>
                <w:sz w:val="20"/>
                <w:szCs w:val="20"/>
              </w:rPr>
            </w:pPr>
            <w:r w:rsidRPr="001F224B">
              <w:rPr>
                <w:sz w:val="20"/>
                <w:szCs w:val="20"/>
              </w:rPr>
              <w:t>6,46</w:t>
            </w:r>
          </w:p>
        </w:tc>
        <w:tc>
          <w:tcPr>
            <w:tcW w:w="780" w:type="dxa"/>
            <w:tcBorders>
              <w:top w:val="single" w:sz="4" w:space="0" w:color="auto"/>
              <w:left w:val="nil"/>
              <w:bottom w:val="single" w:sz="4" w:space="0" w:color="auto"/>
              <w:right w:val="single" w:sz="4" w:space="0" w:color="auto"/>
            </w:tcBorders>
            <w:shd w:val="clear" w:color="auto" w:fill="auto"/>
            <w:vAlign w:val="bottom"/>
          </w:tcPr>
          <w:p w14:paraId="48693A26" w14:textId="49C1AC53" w:rsidR="00D4467B" w:rsidRPr="001F224B" w:rsidRDefault="00D4467B" w:rsidP="00D4467B">
            <w:pPr>
              <w:jc w:val="right"/>
              <w:rPr>
                <w:sz w:val="20"/>
                <w:szCs w:val="20"/>
              </w:rPr>
            </w:pPr>
            <w:r w:rsidRPr="001F224B">
              <w:rPr>
                <w:sz w:val="20"/>
                <w:szCs w:val="20"/>
              </w:rPr>
              <w:t>8,25</w:t>
            </w:r>
          </w:p>
        </w:tc>
        <w:tc>
          <w:tcPr>
            <w:tcW w:w="779" w:type="dxa"/>
            <w:tcBorders>
              <w:top w:val="single" w:sz="4" w:space="0" w:color="auto"/>
              <w:left w:val="nil"/>
              <w:bottom w:val="single" w:sz="4" w:space="0" w:color="auto"/>
              <w:right w:val="single" w:sz="4" w:space="0" w:color="auto"/>
            </w:tcBorders>
            <w:shd w:val="clear" w:color="auto" w:fill="auto"/>
            <w:vAlign w:val="bottom"/>
          </w:tcPr>
          <w:p w14:paraId="07E89D7F" w14:textId="25FCB715"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01EED4E0" w14:textId="3D3E3710" w:rsidR="00D4467B" w:rsidRPr="001F224B" w:rsidRDefault="00D4467B" w:rsidP="00D4467B">
            <w:pPr>
              <w:jc w:val="right"/>
              <w:rPr>
                <w:sz w:val="20"/>
                <w:szCs w:val="20"/>
              </w:rPr>
            </w:pPr>
            <w:r w:rsidRPr="001F224B">
              <w:rPr>
                <w:sz w:val="20"/>
                <w:szCs w:val="20"/>
              </w:rPr>
              <w:t>18,99</w:t>
            </w:r>
          </w:p>
        </w:tc>
      </w:tr>
      <w:tr w:rsidR="00D4467B" w:rsidRPr="001F224B" w14:paraId="37DEA762"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D47976B" w14:textId="5E5047C6" w:rsidR="00D4467B" w:rsidRPr="001F224B" w:rsidRDefault="00D4467B" w:rsidP="00D4467B">
            <w:pPr>
              <w:ind w:left="356"/>
              <w:rPr>
                <w:sz w:val="20"/>
                <w:szCs w:val="20"/>
              </w:rPr>
            </w:pPr>
            <w:r w:rsidRPr="001F224B">
              <w:rPr>
                <w:sz w:val="20"/>
                <w:szCs w:val="20"/>
              </w:rPr>
              <w:t xml:space="preserve">İtfa Edilmiş Maliyeti Üzerinden Değerlenen Diğer Finansal Varlıklar </w:t>
            </w:r>
            <w:r w:rsidRPr="001F224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1E88CDAC" w14:textId="3F197A60" w:rsidR="00D4467B" w:rsidRPr="001F224B" w:rsidRDefault="00D4467B" w:rsidP="00D4467B">
            <w:pPr>
              <w:jc w:val="right"/>
              <w:rPr>
                <w:b/>
                <w:sz w:val="20"/>
                <w:szCs w:val="20"/>
              </w:rPr>
            </w:pPr>
            <w:r w:rsidRPr="001F224B">
              <w:rPr>
                <w:sz w:val="20"/>
                <w:szCs w:val="20"/>
              </w:rPr>
              <w:t>4,55</w:t>
            </w:r>
          </w:p>
        </w:tc>
        <w:tc>
          <w:tcPr>
            <w:tcW w:w="780" w:type="dxa"/>
            <w:tcBorders>
              <w:top w:val="single" w:sz="4" w:space="0" w:color="auto"/>
              <w:left w:val="nil"/>
              <w:bottom w:val="single" w:sz="4" w:space="0" w:color="auto"/>
              <w:right w:val="single" w:sz="4" w:space="0" w:color="auto"/>
            </w:tcBorders>
            <w:shd w:val="clear" w:color="auto" w:fill="auto"/>
            <w:vAlign w:val="bottom"/>
          </w:tcPr>
          <w:p w14:paraId="0147053F" w14:textId="4F789A8D" w:rsidR="00D4467B" w:rsidRPr="001F224B" w:rsidRDefault="00D4467B" w:rsidP="00D4467B">
            <w:pPr>
              <w:jc w:val="right"/>
              <w:rPr>
                <w:b/>
                <w:sz w:val="20"/>
                <w:szCs w:val="20"/>
              </w:rPr>
            </w:pPr>
          </w:p>
        </w:tc>
        <w:tc>
          <w:tcPr>
            <w:tcW w:w="779" w:type="dxa"/>
            <w:tcBorders>
              <w:top w:val="single" w:sz="4" w:space="0" w:color="auto"/>
              <w:left w:val="nil"/>
              <w:bottom w:val="single" w:sz="4" w:space="0" w:color="auto"/>
              <w:right w:val="single" w:sz="4" w:space="0" w:color="auto"/>
            </w:tcBorders>
            <w:shd w:val="clear" w:color="auto" w:fill="auto"/>
            <w:vAlign w:val="bottom"/>
          </w:tcPr>
          <w:p w14:paraId="1CA0F97C" w14:textId="60CDFFB8" w:rsidR="00D4467B" w:rsidRPr="001F224B" w:rsidRDefault="00D4467B" w:rsidP="00D4467B">
            <w:pPr>
              <w:jc w:val="right"/>
              <w:rPr>
                <w:b/>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668FDB58" w14:textId="50F57D36" w:rsidR="00D4467B" w:rsidRPr="001F224B" w:rsidRDefault="00D4467B" w:rsidP="00D4467B">
            <w:pPr>
              <w:jc w:val="right"/>
              <w:rPr>
                <w:sz w:val="20"/>
                <w:szCs w:val="20"/>
              </w:rPr>
            </w:pPr>
            <w:r w:rsidRPr="001F224B">
              <w:rPr>
                <w:sz w:val="20"/>
                <w:szCs w:val="20"/>
              </w:rPr>
              <w:t>46,19</w:t>
            </w:r>
          </w:p>
        </w:tc>
      </w:tr>
      <w:tr w:rsidR="00D4467B" w:rsidRPr="001F224B" w14:paraId="36A05154"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73C825AD" w14:textId="1583109B" w:rsidR="00D4467B" w:rsidRPr="001F224B" w:rsidRDefault="00D4467B" w:rsidP="00D4467B">
            <w:pPr>
              <w:rPr>
                <w:sz w:val="20"/>
                <w:szCs w:val="20"/>
              </w:rPr>
            </w:pPr>
            <w:r w:rsidRPr="001F224B">
              <w:rPr>
                <w:sz w:val="20"/>
                <w:szCs w:val="20"/>
              </w:rPr>
              <w:t xml:space="preserve">Yükümlülükler </w:t>
            </w:r>
            <w:r w:rsidRPr="001F224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05A5E33" w14:textId="77777777"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05DCAA37" w14:textId="77777777" w:rsidR="00D4467B" w:rsidRPr="001F224B" w:rsidRDefault="00D4467B" w:rsidP="00D4467B">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7D7AB1BB" w14:textId="77777777"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67014426" w14:textId="77777777" w:rsidR="00D4467B" w:rsidRPr="001F224B" w:rsidRDefault="00D4467B" w:rsidP="00D4467B">
            <w:pPr>
              <w:jc w:val="right"/>
              <w:rPr>
                <w:sz w:val="20"/>
                <w:szCs w:val="20"/>
              </w:rPr>
            </w:pPr>
          </w:p>
        </w:tc>
      </w:tr>
      <w:tr w:rsidR="00D4467B" w:rsidRPr="001F224B" w14:paraId="390973D0"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3F5CD018" w14:textId="64AA47D8" w:rsidR="00D4467B" w:rsidRPr="001F224B" w:rsidRDefault="00D4467B" w:rsidP="00D4467B">
            <w:pPr>
              <w:ind w:left="356"/>
              <w:rPr>
                <w:sz w:val="20"/>
                <w:szCs w:val="20"/>
              </w:rPr>
            </w:pPr>
            <w:r w:rsidRPr="001F224B">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6A7F49E" w14:textId="1F45C3A4"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46051AD" w14:textId="110B1545"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E2A327E" w14:textId="1C7DDF26"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3DFBAAF" w14:textId="5B9148ED" w:rsidR="00D4467B" w:rsidRPr="001F224B" w:rsidRDefault="00D4467B" w:rsidP="00D4467B">
            <w:pPr>
              <w:jc w:val="right"/>
              <w:rPr>
                <w:sz w:val="20"/>
                <w:szCs w:val="20"/>
              </w:rPr>
            </w:pPr>
            <w:r w:rsidRPr="001F224B">
              <w:rPr>
                <w:sz w:val="20"/>
                <w:szCs w:val="20"/>
              </w:rPr>
              <w:t>-</w:t>
            </w:r>
          </w:p>
        </w:tc>
      </w:tr>
      <w:tr w:rsidR="00D4467B" w:rsidRPr="001F224B" w14:paraId="34936959"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3AACBACB" w14:textId="6AE43481" w:rsidR="00D4467B" w:rsidRPr="001F224B" w:rsidRDefault="00D4467B" w:rsidP="00D4467B">
            <w:pPr>
              <w:ind w:left="356"/>
              <w:rPr>
                <w:sz w:val="20"/>
                <w:szCs w:val="20"/>
              </w:rPr>
            </w:pPr>
            <w:r w:rsidRPr="001F224B">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F86DB7C" w14:textId="0C7EAF2F"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39EE070" w14:textId="4A45BC33"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11511F6" w14:textId="0EC73310"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05EEC12" w14:textId="65D682DD" w:rsidR="00D4467B" w:rsidRPr="001F224B" w:rsidRDefault="00D4467B" w:rsidP="00D4467B">
            <w:pPr>
              <w:jc w:val="right"/>
              <w:rPr>
                <w:sz w:val="20"/>
                <w:szCs w:val="20"/>
              </w:rPr>
            </w:pPr>
            <w:r w:rsidRPr="001F224B">
              <w:rPr>
                <w:sz w:val="20"/>
                <w:szCs w:val="20"/>
              </w:rPr>
              <w:t>-</w:t>
            </w:r>
          </w:p>
        </w:tc>
      </w:tr>
      <w:tr w:rsidR="00D4467B" w:rsidRPr="001F224B" w14:paraId="6B132DAD"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163D4A02" w14:textId="75CF14FD" w:rsidR="00D4467B" w:rsidRPr="001F224B" w:rsidRDefault="00D4467B" w:rsidP="00D4467B">
            <w:pPr>
              <w:ind w:left="356"/>
              <w:rPr>
                <w:sz w:val="20"/>
                <w:szCs w:val="20"/>
              </w:rPr>
            </w:pPr>
            <w:r w:rsidRPr="001F224B">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84CFDED" w14:textId="207BF5F8"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CB646B6" w14:textId="36AC3166"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7C39740" w14:textId="39FBE218"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58E31A3" w14:textId="7A13ADB9" w:rsidR="00D4467B" w:rsidRPr="001F224B" w:rsidRDefault="00D4467B" w:rsidP="00D4467B">
            <w:pPr>
              <w:jc w:val="right"/>
              <w:rPr>
                <w:sz w:val="20"/>
                <w:szCs w:val="20"/>
              </w:rPr>
            </w:pPr>
            <w:r w:rsidRPr="001F224B">
              <w:rPr>
                <w:sz w:val="20"/>
                <w:szCs w:val="20"/>
              </w:rPr>
              <w:t>47,81</w:t>
            </w:r>
          </w:p>
        </w:tc>
      </w:tr>
      <w:tr w:rsidR="00D4467B" w:rsidRPr="001F224B" w14:paraId="71012CB6"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9CC429A" w14:textId="580307BA" w:rsidR="00D4467B" w:rsidRPr="001F224B" w:rsidRDefault="00D4467B" w:rsidP="00D4467B">
            <w:pPr>
              <w:ind w:left="356"/>
              <w:rPr>
                <w:sz w:val="20"/>
                <w:szCs w:val="20"/>
              </w:rPr>
            </w:pPr>
            <w:r w:rsidRPr="001F224B">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C23F86C" w14:textId="77B1D614"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AFDFEFB" w14:textId="3D7BEC61"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D2BC26A" w14:textId="5E4DFC24"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2CE578A" w14:textId="49931C4D" w:rsidR="00D4467B" w:rsidRPr="001F224B" w:rsidRDefault="00D4467B" w:rsidP="00D4467B">
            <w:pPr>
              <w:jc w:val="right"/>
              <w:rPr>
                <w:sz w:val="20"/>
                <w:szCs w:val="20"/>
              </w:rPr>
            </w:pPr>
            <w:r w:rsidRPr="001F224B">
              <w:rPr>
                <w:sz w:val="20"/>
                <w:szCs w:val="20"/>
              </w:rPr>
              <w:t>-</w:t>
            </w:r>
          </w:p>
        </w:tc>
      </w:tr>
      <w:tr w:rsidR="00D4467B" w:rsidRPr="001F224B" w14:paraId="084770EC"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51D2B64" w14:textId="29676012" w:rsidR="00D4467B" w:rsidRPr="001F224B" w:rsidRDefault="00D4467B" w:rsidP="00D4467B">
            <w:pPr>
              <w:ind w:left="356"/>
              <w:rPr>
                <w:sz w:val="20"/>
                <w:szCs w:val="20"/>
              </w:rPr>
            </w:pPr>
            <w:r w:rsidRPr="001F224B">
              <w:rPr>
                <w:sz w:val="20"/>
                <w:szCs w:val="20"/>
              </w:rPr>
              <w:t xml:space="preserve">İhraç Edilen Menkul Değerler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B167D1C" w14:textId="546B814E" w:rsidR="00D4467B" w:rsidRPr="001F224B" w:rsidRDefault="00D4467B" w:rsidP="00D4467B">
            <w:pPr>
              <w:jc w:val="right"/>
              <w:rPr>
                <w:sz w:val="20"/>
                <w:szCs w:val="20"/>
              </w:rPr>
            </w:pPr>
            <w:r w:rsidRPr="001F224B">
              <w:rPr>
                <w:sz w:val="20"/>
                <w:szCs w:val="20"/>
              </w:rPr>
              <w:t>6,63</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8CA7697" w14:textId="7E162FE5" w:rsidR="00D4467B" w:rsidRPr="001F224B" w:rsidRDefault="00D4467B" w:rsidP="00D4467B">
            <w:pPr>
              <w:jc w:val="right"/>
              <w:rPr>
                <w:sz w:val="20"/>
                <w:szCs w:val="20"/>
              </w:rPr>
            </w:pPr>
            <w:r w:rsidRPr="001F224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A34230B" w14:textId="710058FD" w:rsidR="00D4467B" w:rsidRPr="001F224B" w:rsidRDefault="00D4467B" w:rsidP="00D4467B">
            <w:pPr>
              <w:jc w:val="right"/>
              <w:rPr>
                <w:sz w:val="20"/>
                <w:szCs w:val="20"/>
              </w:rPr>
            </w:pPr>
            <w:r w:rsidRPr="001F224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D3152F0" w14:textId="2D1369A9" w:rsidR="00D4467B" w:rsidRPr="001F224B" w:rsidRDefault="00D4467B" w:rsidP="00D4467B">
            <w:pPr>
              <w:jc w:val="right"/>
              <w:rPr>
                <w:sz w:val="20"/>
                <w:szCs w:val="20"/>
              </w:rPr>
            </w:pPr>
            <w:r w:rsidRPr="001F224B">
              <w:rPr>
                <w:sz w:val="20"/>
                <w:szCs w:val="20"/>
              </w:rPr>
              <w:t>-</w:t>
            </w:r>
          </w:p>
        </w:tc>
      </w:tr>
      <w:tr w:rsidR="00D4467B" w:rsidRPr="001F224B" w14:paraId="13DC0521"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37C3B5E6" w14:textId="0017BAED" w:rsidR="00D4467B" w:rsidRPr="001F224B" w:rsidRDefault="00D4467B" w:rsidP="00D4467B">
            <w:pPr>
              <w:ind w:left="356"/>
              <w:rPr>
                <w:sz w:val="20"/>
                <w:szCs w:val="20"/>
              </w:rPr>
            </w:pPr>
            <w:r w:rsidRPr="001F224B">
              <w:rPr>
                <w:sz w:val="20"/>
                <w:szCs w:val="20"/>
              </w:rPr>
              <w:t>Kalkınma ve Yatırım Bankaları Tarafından Kabul Edilen Fonlar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A25F9D1" w14:textId="30FD49A3" w:rsidR="00D4467B" w:rsidRPr="001F224B" w:rsidRDefault="00D4467B" w:rsidP="00D4467B">
            <w:pPr>
              <w:jc w:val="right"/>
              <w:rPr>
                <w:sz w:val="20"/>
                <w:szCs w:val="20"/>
              </w:rPr>
            </w:pPr>
            <w:r w:rsidRPr="001F224B">
              <w:rPr>
                <w:sz w:val="20"/>
                <w:szCs w:val="20"/>
              </w:rPr>
              <w:t>2,30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DEDA8C8" w14:textId="698B8D6D" w:rsidR="00D4467B" w:rsidRPr="001F224B" w:rsidRDefault="00D4467B" w:rsidP="00D4467B">
            <w:pPr>
              <w:jc w:val="right"/>
              <w:rPr>
                <w:sz w:val="20"/>
                <w:szCs w:val="20"/>
              </w:rPr>
            </w:pPr>
            <w:r w:rsidRPr="001F224B">
              <w:rPr>
                <w:sz w:val="20"/>
                <w:szCs w:val="20"/>
              </w:rPr>
              <w:t>2,60</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170E30A" w14:textId="29BD6CA2"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52C2BD11" w14:textId="2C9D66B1" w:rsidR="00D4467B" w:rsidRPr="001F224B" w:rsidRDefault="00D4467B" w:rsidP="00D4467B">
            <w:pPr>
              <w:jc w:val="right"/>
              <w:rPr>
                <w:sz w:val="20"/>
                <w:szCs w:val="20"/>
              </w:rPr>
            </w:pPr>
            <w:r w:rsidRPr="001F224B">
              <w:rPr>
                <w:sz w:val="20"/>
                <w:szCs w:val="20"/>
              </w:rPr>
              <w:t>45,84</w:t>
            </w:r>
          </w:p>
        </w:tc>
      </w:tr>
      <w:tr w:rsidR="00D4467B" w:rsidRPr="001F224B" w14:paraId="605B30DD"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2EC5B133" w14:textId="189F6E5A" w:rsidR="00D4467B" w:rsidRPr="001F224B" w:rsidRDefault="00D4467B" w:rsidP="00D4467B">
            <w:pPr>
              <w:ind w:left="356"/>
              <w:rPr>
                <w:sz w:val="20"/>
                <w:szCs w:val="20"/>
              </w:rPr>
            </w:pPr>
            <w:r w:rsidRPr="001F224B">
              <w:rPr>
                <w:sz w:val="20"/>
                <w:szCs w:val="20"/>
              </w:rPr>
              <w:t xml:space="preserve">Diğer Mali Kuruluşlardan Sağlanan Fonlar </w:t>
            </w:r>
            <w:r w:rsidRPr="001F224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12BCC7D" w14:textId="222ABECD" w:rsidR="00D4467B" w:rsidRPr="001F224B" w:rsidRDefault="00D4467B" w:rsidP="00D4467B">
            <w:pPr>
              <w:jc w:val="right"/>
              <w:rPr>
                <w:sz w:val="20"/>
                <w:szCs w:val="20"/>
              </w:rPr>
            </w:pPr>
            <w:r w:rsidRPr="001F224B">
              <w:rPr>
                <w:sz w:val="20"/>
                <w:szCs w:val="20"/>
              </w:rPr>
              <w:t>3,60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850C4E2" w14:textId="12E743D6" w:rsidR="00D4467B" w:rsidRPr="001F224B" w:rsidRDefault="00D4467B" w:rsidP="00D4467B">
            <w:pPr>
              <w:jc w:val="right"/>
              <w:rPr>
                <w:sz w:val="20"/>
                <w:szCs w:val="20"/>
              </w:rPr>
            </w:pPr>
            <w:r w:rsidRPr="001F224B">
              <w:rPr>
                <w:sz w:val="20"/>
                <w:szCs w:val="20"/>
              </w:rPr>
              <w:t>5,97</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D9DD41E" w14:textId="4D222249" w:rsidR="00D4467B" w:rsidRPr="001F224B" w:rsidRDefault="00D4467B" w:rsidP="00D4467B">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7ADF3758" w14:textId="1E818DFD" w:rsidR="00D4467B" w:rsidRPr="001F224B" w:rsidRDefault="00D4467B" w:rsidP="00D4467B">
            <w:pPr>
              <w:jc w:val="right"/>
              <w:rPr>
                <w:sz w:val="20"/>
                <w:szCs w:val="20"/>
              </w:rPr>
            </w:pPr>
            <w:r w:rsidRPr="001F224B">
              <w:rPr>
                <w:sz w:val="20"/>
                <w:szCs w:val="20"/>
              </w:rPr>
              <w:t>22,64</w:t>
            </w:r>
          </w:p>
        </w:tc>
      </w:tr>
    </w:tbl>
    <w:p w14:paraId="502E0007" w14:textId="77777777" w:rsidR="005E038E" w:rsidRPr="001F224B" w:rsidRDefault="005E038E" w:rsidP="005E038E">
      <w:pPr>
        <w:tabs>
          <w:tab w:val="left" w:pos="284"/>
        </w:tabs>
        <w:spacing w:before="120"/>
        <w:jc w:val="both"/>
        <w:rPr>
          <w:rFonts w:eastAsia="Arial Unicode MS"/>
          <w:bCs/>
          <w:sz w:val="18"/>
          <w:szCs w:val="18"/>
        </w:rPr>
      </w:pPr>
      <w:r w:rsidRPr="001F224B">
        <w:rPr>
          <w:bCs/>
          <w:sz w:val="18"/>
          <w:szCs w:val="18"/>
          <w:vertAlign w:val="superscript"/>
        </w:rPr>
        <w:t>(*)</w:t>
      </w:r>
      <w:r w:rsidRPr="001F224B">
        <w:rPr>
          <w:bCs/>
          <w:sz w:val="18"/>
          <w:szCs w:val="18"/>
        </w:rPr>
        <w:tab/>
      </w:r>
      <w:r w:rsidRPr="001F224B">
        <w:rPr>
          <w:rFonts w:eastAsia="Arial Unicode MS"/>
          <w:bCs/>
          <w:sz w:val="18"/>
          <w:szCs w:val="18"/>
        </w:rPr>
        <w:t>Tabloda belirtilen oranlar yıllık basit faiz oranları kullanılarak hesaplanmıştır.</w:t>
      </w:r>
    </w:p>
    <w:p w14:paraId="0FC3EFFA" w14:textId="77777777" w:rsidR="005E038E" w:rsidRPr="001F224B" w:rsidRDefault="005E038E" w:rsidP="005E038E">
      <w:pPr>
        <w:tabs>
          <w:tab w:val="left" w:pos="284"/>
        </w:tabs>
        <w:jc w:val="both"/>
        <w:rPr>
          <w:rFonts w:eastAsia="Arial Unicode MS"/>
          <w:bCs/>
          <w:sz w:val="18"/>
          <w:szCs w:val="18"/>
        </w:rPr>
      </w:pPr>
      <w:r w:rsidRPr="001F224B">
        <w:rPr>
          <w:bCs/>
          <w:sz w:val="18"/>
          <w:szCs w:val="18"/>
          <w:vertAlign w:val="superscript"/>
        </w:rPr>
        <w:t xml:space="preserve">(**)   </w:t>
      </w:r>
      <w:r w:rsidRPr="001F224B">
        <w:rPr>
          <w:rFonts w:eastAsia="Arial Unicode MS"/>
          <w:bCs/>
          <w:sz w:val="18"/>
          <w:szCs w:val="18"/>
        </w:rPr>
        <w:t>TL portföyün büyük çoğunluğu TÜFE endeksli menkul kıymetlerden oluşmaktadır.</w:t>
      </w:r>
    </w:p>
    <w:p w14:paraId="6AD9FEB8" w14:textId="76753F82" w:rsidR="005E038E" w:rsidRPr="001F224B" w:rsidRDefault="005E038E" w:rsidP="005E038E">
      <w:pPr>
        <w:autoSpaceDE w:val="0"/>
        <w:autoSpaceDN w:val="0"/>
        <w:rPr>
          <w:rFonts w:eastAsia="Arial Unicode MS"/>
          <w:bCs/>
          <w:sz w:val="18"/>
          <w:szCs w:val="18"/>
        </w:rPr>
      </w:pPr>
      <w:r w:rsidRPr="001F224B">
        <w:rPr>
          <w:bCs/>
          <w:sz w:val="18"/>
          <w:szCs w:val="18"/>
          <w:vertAlign w:val="superscript"/>
        </w:rPr>
        <w:t xml:space="preserve">(***) </w:t>
      </w:r>
      <w:r w:rsidRPr="001F224B">
        <w:rPr>
          <w:rFonts w:eastAsia="Arial Unicode MS"/>
          <w:bCs/>
          <w:sz w:val="18"/>
          <w:szCs w:val="18"/>
        </w:rPr>
        <w:t xml:space="preserve">Diğer mali kuruluşlardan sağlanan fonlar, sermaye benzeri kredileri </w:t>
      </w:r>
      <w:r w:rsidR="00707B82" w:rsidRPr="001F224B">
        <w:rPr>
          <w:rFonts w:eastAsia="Arial Unicode MS"/>
          <w:bCs/>
          <w:sz w:val="18"/>
          <w:szCs w:val="18"/>
        </w:rPr>
        <w:t xml:space="preserve">de </w:t>
      </w:r>
      <w:r w:rsidRPr="001F224B">
        <w:rPr>
          <w:rFonts w:eastAsia="Arial Unicode MS"/>
          <w:bCs/>
          <w:sz w:val="18"/>
          <w:szCs w:val="18"/>
        </w:rPr>
        <w:t>içermektedir.</w:t>
      </w:r>
    </w:p>
    <w:p w14:paraId="02274BFE" w14:textId="359DD94C" w:rsidR="00510F55" w:rsidRPr="001F224B" w:rsidRDefault="00931312" w:rsidP="00250CE1">
      <w:pPr>
        <w:rPr>
          <w:b/>
          <w:bCs/>
          <w:sz w:val="22"/>
          <w:szCs w:val="22"/>
        </w:rPr>
      </w:pPr>
      <w:r w:rsidRPr="001F224B">
        <w:rPr>
          <w:b/>
          <w:bCs/>
          <w:sz w:val="22"/>
          <w:szCs w:val="22"/>
        </w:rPr>
        <w:br w:type="page"/>
      </w:r>
      <w:r w:rsidR="00510F55" w:rsidRPr="001F224B">
        <w:rPr>
          <w:b/>
          <w:bCs/>
          <w:sz w:val="22"/>
          <w:szCs w:val="22"/>
        </w:rPr>
        <w:t>DÖRDÜNCÜ BÖLÜM (Devamı)</w:t>
      </w:r>
    </w:p>
    <w:p w14:paraId="389B0021" w14:textId="368F3315" w:rsidR="00510F55" w:rsidRPr="001F224B" w:rsidRDefault="00EF6E83" w:rsidP="00510F55">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510F55" w:rsidRPr="001F224B">
        <w:rPr>
          <w:b/>
          <w:bCs/>
          <w:sz w:val="22"/>
          <w:szCs w:val="22"/>
        </w:rPr>
        <w:t>(Devamı)</w:t>
      </w:r>
    </w:p>
    <w:p w14:paraId="2D60B5F4" w14:textId="146879DF" w:rsidR="006F50DF" w:rsidRPr="001F224B" w:rsidRDefault="00D4467B" w:rsidP="006F50DF">
      <w:pPr>
        <w:tabs>
          <w:tab w:val="left" w:pos="567"/>
        </w:tabs>
        <w:ind w:left="567" w:hanging="567"/>
        <w:jc w:val="both"/>
        <w:outlineLvl w:val="1"/>
        <w:rPr>
          <w:b/>
          <w:bCs/>
          <w:iCs/>
          <w:sz w:val="22"/>
          <w:szCs w:val="22"/>
        </w:rPr>
      </w:pPr>
      <w:r w:rsidRPr="001F224B">
        <w:rPr>
          <w:b/>
          <w:bCs/>
          <w:iCs/>
          <w:sz w:val="22"/>
          <w:szCs w:val="22"/>
        </w:rPr>
        <w:t>Ⅳ</w:t>
      </w:r>
      <w:r w:rsidR="006F7813" w:rsidRPr="001F224B">
        <w:rPr>
          <w:b/>
          <w:bCs/>
          <w:iCs/>
          <w:sz w:val="22"/>
          <w:szCs w:val="22"/>
        </w:rPr>
        <w:t>.</w:t>
      </w:r>
      <w:r w:rsidR="006F50DF" w:rsidRPr="001F224B">
        <w:rPr>
          <w:b/>
          <w:bCs/>
          <w:iCs/>
          <w:sz w:val="22"/>
          <w:szCs w:val="22"/>
        </w:rPr>
        <w:tab/>
      </w:r>
      <w:r w:rsidR="000B5F78" w:rsidRPr="001F224B">
        <w:rPr>
          <w:b/>
          <w:bCs/>
          <w:iCs/>
          <w:sz w:val="22"/>
          <w:szCs w:val="22"/>
        </w:rPr>
        <w:t>Konsolide h</w:t>
      </w:r>
      <w:r w:rsidR="006F50DF" w:rsidRPr="001F224B">
        <w:rPr>
          <w:b/>
          <w:bCs/>
          <w:iCs/>
          <w:sz w:val="22"/>
          <w:szCs w:val="22"/>
        </w:rPr>
        <w:t>isse senedi pozisyon riskine ilişkin açıklamalar</w:t>
      </w:r>
    </w:p>
    <w:p w14:paraId="72311273" w14:textId="77777777" w:rsidR="006F50DF" w:rsidRPr="001F224B" w:rsidRDefault="00653E47" w:rsidP="005514FC">
      <w:pPr>
        <w:tabs>
          <w:tab w:val="left" w:pos="567"/>
        </w:tabs>
        <w:spacing w:before="120"/>
        <w:ind w:left="567"/>
        <w:jc w:val="both"/>
        <w:outlineLvl w:val="1"/>
        <w:rPr>
          <w:bCs/>
          <w:iCs/>
          <w:sz w:val="22"/>
          <w:szCs w:val="22"/>
        </w:rPr>
      </w:pPr>
      <w:r w:rsidRPr="001F224B">
        <w:rPr>
          <w:bCs/>
          <w:iCs/>
          <w:sz w:val="22"/>
          <w:szCs w:val="22"/>
        </w:rPr>
        <w:t>Bulunmamaktadır.</w:t>
      </w:r>
    </w:p>
    <w:p w14:paraId="0880969C" w14:textId="07181DFB" w:rsidR="00B05DBB" w:rsidRPr="001F224B" w:rsidRDefault="00B05DBB" w:rsidP="00A129A4">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00931312" w:rsidRPr="001F224B">
        <w:rPr>
          <w:rFonts w:ascii="Times New Roman" w:hAnsi="Times New Roman"/>
          <w:i w:val="0"/>
          <w:sz w:val="22"/>
          <w:szCs w:val="22"/>
        </w:rPr>
        <w:tab/>
      </w:r>
      <w:r w:rsidRPr="001F224B">
        <w:rPr>
          <w:rFonts w:ascii="Times New Roman" w:hAnsi="Times New Roman"/>
          <w:i w:val="0"/>
          <w:sz w:val="22"/>
          <w:szCs w:val="22"/>
        </w:rPr>
        <w:t>Konsolide likidite riski yönetimi, likidite karşılama oranı ve net istikrarlı fonlama oranına ilişkin açıklamalar</w:t>
      </w:r>
    </w:p>
    <w:p w14:paraId="437057F7" w14:textId="132FE95F" w:rsidR="00C8385C" w:rsidRPr="001F224B" w:rsidRDefault="00C8385C" w:rsidP="005514FC">
      <w:pPr>
        <w:spacing w:before="120"/>
        <w:ind w:firstLine="567"/>
      </w:pPr>
      <w:r w:rsidRPr="001F224B">
        <w:rPr>
          <w:b/>
          <w:bCs/>
          <w:iCs/>
          <w:sz w:val="22"/>
          <w:szCs w:val="22"/>
        </w:rPr>
        <w:t xml:space="preserve">1. </w:t>
      </w:r>
      <w:r w:rsidR="000B5F78" w:rsidRPr="001F224B">
        <w:rPr>
          <w:b/>
          <w:bCs/>
          <w:iCs/>
          <w:sz w:val="22"/>
          <w:szCs w:val="22"/>
        </w:rPr>
        <w:t>Konsolide l</w:t>
      </w:r>
      <w:r w:rsidRPr="001F224B">
        <w:rPr>
          <w:b/>
          <w:bCs/>
          <w:iCs/>
          <w:sz w:val="22"/>
          <w:szCs w:val="22"/>
        </w:rPr>
        <w:t>ikidite risk yönetimine ilişkin açıklamalar</w:t>
      </w:r>
      <w:r w:rsidR="0005509C" w:rsidRPr="001F224B">
        <w:rPr>
          <w:b/>
          <w:bCs/>
          <w:iCs/>
          <w:sz w:val="22"/>
          <w:szCs w:val="22"/>
        </w:rPr>
        <w:t>:</w:t>
      </w:r>
    </w:p>
    <w:p w14:paraId="47EB8947" w14:textId="72587E40" w:rsidR="007520A7" w:rsidRPr="001F224B" w:rsidRDefault="000B5F78" w:rsidP="005514FC">
      <w:pPr>
        <w:pStyle w:val="1tipi"/>
        <w:tabs>
          <w:tab w:val="clear" w:pos="1134"/>
        </w:tabs>
        <w:spacing w:before="120"/>
        <w:ind w:left="567"/>
        <w:rPr>
          <w:iCs/>
          <w:sz w:val="22"/>
          <w:szCs w:val="22"/>
        </w:rPr>
      </w:pPr>
      <w:r w:rsidRPr="001F224B">
        <w:rPr>
          <w:rFonts w:ascii="Times New Roman" w:hAnsi="Times New Roman" w:cs="Times New Roman"/>
          <w:iCs/>
          <w:sz w:val="22"/>
          <w:szCs w:val="22"/>
          <w:lang w:val="tr-TR"/>
        </w:rPr>
        <w:t>Ana Ortaklık</w:t>
      </w:r>
      <w:r w:rsidRPr="001F224B">
        <w:rPr>
          <w:rFonts w:eastAsia="Arial Unicode MS"/>
          <w:color w:val="000000" w:themeColor="text1"/>
          <w:sz w:val="22"/>
          <w:szCs w:val="22"/>
          <w:lang w:eastAsia="en-US"/>
        </w:rPr>
        <w:t xml:space="preserve"> </w:t>
      </w:r>
      <w:r w:rsidR="007520A7" w:rsidRPr="001F224B">
        <w:rPr>
          <w:rFonts w:ascii="Times New Roman" w:hAnsi="Times New Roman" w:cs="Times New Roman"/>
          <w:iCs/>
          <w:sz w:val="22"/>
          <w:szCs w:val="22"/>
          <w:lang w:val="tr-TR"/>
        </w:rPr>
        <w:t>Banka’nın likidite yönetimi, Yönetim Kurulu tarafından onaylanmış “Risk Yönetimi Stratejileri, Politikaları ve Uygulama Esasları” çerçevesinde Aktif</w:t>
      </w:r>
      <w:r w:rsidR="00FC4967" w:rsidRPr="001F224B">
        <w:rPr>
          <w:rFonts w:ascii="Times New Roman" w:hAnsi="Times New Roman" w:cs="Times New Roman"/>
          <w:iCs/>
          <w:sz w:val="22"/>
          <w:szCs w:val="22"/>
          <w:lang w:val="tr-TR"/>
        </w:rPr>
        <w:t xml:space="preserve"> </w:t>
      </w:r>
      <w:r w:rsidR="007520A7" w:rsidRPr="001F224B">
        <w:rPr>
          <w:rFonts w:ascii="Times New Roman" w:hAnsi="Times New Roman" w:cs="Times New Roman"/>
          <w:iCs/>
          <w:sz w:val="22"/>
          <w:szCs w:val="22"/>
          <w:lang w:val="tr-TR"/>
        </w:rPr>
        <w:t>Pasif</w:t>
      </w:r>
      <w:r w:rsidR="007F2768" w:rsidRPr="001F224B">
        <w:rPr>
          <w:rFonts w:ascii="Times New Roman" w:hAnsi="Times New Roman" w:cs="Times New Roman"/>
          <w:iCs/>
          <w:sz w:val="22"/>
          <w:szCs w:val="22"/>
          <w:lang w:val="tr-TR"/>
        </w:rPr>
        <w:t xml:space="preserve"> </w:t>
      </w:r>
      <w:r w:rsidR="007520A7" w:rsidRPr="001F224B">
        <w:rPr>
          <w:rFonts w:ascii="Times New Roman" w:hAnsi="Times New Roman" w:cs="Times New Roman"/>
          <w:iCs/>
          <w:sz w:val="22"/>
          <w:szCs w:val="22"/>
          <w:lang w:val="tr-TR"/>
        </w:rPr>
        <w:t xml:space="preserve">Komitesi’nce oluşturulan stratejiler doğrultusunda ve ilgili birimlerle eşgüdüm içinde Hazine </w:t>
      </w:r>
      <w:r w:rsidR="00AB2A4D" w:rsidRPr="001F224B">
        <w:rPr>
          <w:rFonts w:ascii="Times New Roman" w:hAnsi="Times New Roman" w:cs="Times New Roman"/>
          <w:iCs/>
          <w:sz w:val="22"/>
          <w:szCs w:val="22"/>
          <w:lang w:val="tr-TR"/>
        </w:rPr>
        <w:t>Birimi</w:t>
      </w:r>
      <w:r w:rsidR="007520A7" w:rsidRPr="001F224B">
        <w:rPr>
          <w:rFonts w:ascii="Times New Roman" w:hAnsi="Times New Roman" w:cs="Times New Roman"/>
          <w:iCs/>
          <w:sz w:val="22"/>
          <w:szCs w:val="22"/>
          <w:lang w:val="tr-TR"/>
        </w:rPr>
        <w:t xml:space="preserve"> tarafından </w:t>
      </w:r>
      <w:r w:rsidR="004E4E83" w:rsidRPr="001F224B">
        <w:rPr>
          <w:rFonts w:ascii="Times New Roman" w:hAnsi="Times New Roman" w:cs="Times New Roman"/>
          <w:iCs/>
          <w:sz w:val="22"/>
          <w:szCs w:val="22"/>
          <w:lang w:val="tr-TR"/>
        </w:rPr>
        <w:t>yürütül</w:t>
      </w:r>
      <w:r w:rsidR="007520A7" w:rsidRPr="001F224B">
        <w:rPr>
          <w:rFonts w:ascii="Times New Roman" w:hAnsi="Times New Roman" w:cs="Times New Roman"/>
          <w:iCs/>
          <w:sz w:val="22"/>
          <w:szCs w:val="22"/>
          <w:lang w:val="tr-TR"/>
        </w:rPr>
        <w:t xml:space="preserve">mektedir. </w:t>
      </w:r>
      <w:r w:rsidR="004E4E83" w:rsidRPr="001F224B">
        <w:rPr>
          <w:rFonts w:ascii="Times New Roman" w:hAnsi="Times New Roman" w:cs="Times New Roman"/>
          <w:iCs/>
          <w:sz w:val="22"/>
          <w:szCs w:val="22"/>
          <w:lang w:val="tr-TR"/>
        </w:rPr>
        <w:t xml:space="preserve">Bu uygulama esaslarında </w:t>
      </w:r>
      <w:r w:rsidR="007520A7" w:rsidRPr="001F224B">
        <w:rPr>
          <w:rFonts w:ascii="Times New Roman" w:hAnsi="Times New Roman" w:cs="Times New Roman"/>
          <w:iCs/>
          <w:sz w:val="22"/>
          <w:szCs w:val="22"/>
          <w:lang w:val="tr-TR"/>
        </w:rPr>
        <w:t>likidite riski yönetimine ilişkin hususlar şu şekilde ifade edilmiştir:</w:t>
      </w:r>
    </w:p>
    <w:p w14:paraId="31FE4DDF" w14:textId="77777777" w:rsidR="007520A7" w:rsidRPr="001F224B" w:rsidRDefault="007520A7" w:rsidP="007520A7">
      <w:pPr>
        <w:spacing w:before="120" w:after="120"/>
        <w:ind w:left="567"/>
        <w:jc w:val="both"/>
        <w:rPr>
          <w:iCs/>
          <w:sz w:val="22"/>
          <w:szCs w:val="22"/>
        </w:rPr>
      </w:pPr>
      <w:r w:rsidRPr="001F224B">
        <w:rPr>
          <w:i/>
          <w:iCs/>
          <w:sz w:val="22"/>
          <w:szCs w:val="22"/>
        </w:rPr>
        <w:t>“</w:t>
      </w:r>
      <w:r w:rsidRPr="001F224B">
        <w:rPr>
          <w:iCs/>
          <w:sz w:val="22"/>
          <w:szCs w:val="22"/>
        </w:rPr>
        <w:t xml:space="preserve">Likidite riski, </w:t>
      </w:r>
      <w:r w:rsidR="000B5F78" w:rsidRPr="001F224B">
        <w:rPr>
          <w:iCs/>
          <w:sz w:val="22"/>
          <w:szCs w:val="22"/>
        </w:rPr>
        <w:t>Ana Ortaklık</w:t>
      </w:r>
      <w:r w:rsidR="000B5F78" w:rsidRPr="001F224B">
        <w:rPr>
          <w:rFonts w:eastAsia="Arial Unicode MS"/>
          <w:color w:val="000000" w:themeColor="text1"/>
          <w:sz w:val="22"/>
          <w:szCs w:val="22"/>
          <w:lang w:eastAsia="en-US"/>
        </w:rPr>
        <w:t xml:space="preserve"> </w:t>
      </w:r>
      <w:r w:rsidRPr="001F224B">
        <w:rPr>
          <w:iCs/>
          <w:sz w:val="22"/>
          <w:szCs w:val="22"/>
        </w:rPr>
        <w:t>Banka</w:t>
      </w:r>
      <w:r w:rsidR="00156E93" w:rsidRPr="001F224B">
        <w:rPr>
          <w:iCs/>
          <w:sz w:val="22"/>
          <w:szCs w:val="22"/>
        </w:rPr>
        <w:t>’</w:t>
      </w:r>
      <w:r w:rsidRPr="001F224B">
        <w:rPr>
          <w:iCs/>
          <w:sz w:val="22"/>
          <w:szCs w:val="22"/>
        </w:rPr>
        <w:t>nın öngörülebilen ya da öngörülemeyen tüm nakit akışı gereksinimini, günlük operasyonları ya da finansal yapıyı etkilemeksizin, gereğince karşılayamaması sonucu zarar etme olasılığını ifade etmektedir.</w:t>
      </w:r>
    </w:p>
    <w:p w14:paraId="03FE3F21" w14:textId="77777777" w:rsidR="007520A7" w:rsidRPr="001F224B" w:rsidRDefault="007520A7" w:rsidP="007520A7">
      <w:pPr>
        <w:spacing w:before="120" w:after="120"/>
        <w:ind w:left="567"/>
        <w:jc w:val="both"/>
        <w:rPr>
          <w:iCs/>
          <w:sz w:val="22"/>
          <w:szCs w:val="22"/>
        </w:rPr>
      </w:pPr>
      <w:r w:rsidRPr="001F224B">
        <w:rPr>
          <w:iCs/>
          <w:sz w:val="22"/>
          <w:szCs w:val="22"/>
        </w:rPr>
        <w:t xml:space="preserve">Likidite riski ayrıca piyasalarda derinliğin olmaması veya aşırı dalgalanma nedeniyle </w:t>
      </w:r>
      <w:r w:rsidR="000B5F78" w:rsidRPr="001F224B">
        <w:rPr>
          <w:iCs/>
          <w:sz w:val="22"/>
          <w:szCs w:val="22"/>
        </w:rPr>
        <w:t>Ana Ortaklık</w:t>
      </w:r>
      <w:r w:rsidR="000B5F78" w:rsidRPr="001F224B">
        <w:rPr>
          <w:rFonts w:eastAsia="Arial Unicode MS"/>
          <w:color w:val="000000" w:themeColor="text1"/>
          <w:sz w:val="22"/>
          <w:szCs w:val="22"/>
          <w:lang w:eastAsia="en-US"/>
        </w:rPr>
        <w:t xml:space="preserve"> </w:t>
      </w:r>
      <w:r w:rsidRPr="001F224B">
        <w:rPr>
          <w:iCs/>
          <w:sz w:val="22"/>
          <w:szCs w:val="22"/>
        </w:rPr>
        <w:t>Banka</w:t>
      </w:r>
      <w:r w:rsidR="00156E93" w:rsidRPr="001F224B">
        <w:rPr>
          <w:iCs/>
          <w:sz w:val="22"/>
          <w:szCs w:val="22"/>
        </w:rPr>
        <w:t>’</w:t>
      </w:r>
      <w:r w:rsidRPr="001F224B">
        <w:rPr>
          <w:iCs/>
          <w:sz w:val="22"/>
          <w:szCs w:val="22"/>
        </w:rPr>
        <w:t>nın herhangi bir pozisyonunu, piyasa fiyatlarından kapatamaması veya dengeleyememesi sonucu maruz kalabileceği zarar olasılığını ifade etmektedir.</w:t>
      </w:r>
    </w:p>
    <w:p w14:paraId="4BC883AB" w14:textId="77777777" w:rsidR="007520A7" w:rsidRPr="001F224B" w:rsidRDefault="000B5F78" w:rsidP="007520A7">
      <w:pPr>
        <w:spacing w:before="120" w:after="120"/>
        <w:ind w:left="567"/>
        <w:jc w:val="both"/>
        <w:rPr>
          <w:iCs/>
          <w:sz w:val="22"/>
          <w:szCs w:val="22"/>
        </w:rPr>
      </w:pPr>
      <w:r w:rsidRPr="001F224B">
        <w:rPr>
          <w:iCs/>
          <w:sz w:val="22"/>
          <w:szCs w:val="22"/>
        </w:rPr>
        <w:t>Ana Ortaklık</w:t>
      </w:r>
      <w:r w:rsidRPr="001F224B">
        <w:rPr>
          <w:rFonts w:eastAsia="Arial Unicode MS"/>
          <w:color w:val="000000" w:themeColor="text1"/>
          <w:sz w:val="22"/>
          <w:szCs w:val="22"/>
          <w:lang w:eastAsia="en-US"/>
        </w:rPr>
        <w:t xml:space="preserve"> </w:t>
      </w:r>
      <w:r w:rsidR="007520A7" w:rsidRPr="001F224B">
        <w:rPr>
          <w:iCs/>
          <w:sz w:val="22"/>
          <w:szCs w:val="22"/>
        </w:rPr>
        <w:t>Banka</w:t>
      </w:r>
      <w:r w:rsidR="00156E93" w:rsidRPr="001F224B">
        <w:rPr>
          <w:iCs/>
          <w:sz w:val="22"/>
          <w:szCs w:val="22"/>
        </w:rPr>
        <w:t>’</w:t>
      </w:r>
      <w:r w:rsidR="007520A7" w:rsidRPr="001F224B">
        <w:rPr>
          <w:iCs/>
          <w:sz w:val="22"/>
          <w:szCs w:val="22"/>
        </w:rPr>
        <w:t>da likidite riski yönetiminin temel politikası, her türlü yükümlülüğün yerine getirilebileceği kaliteli bir aktif yapısının sağlanmasıdır. İhtisas bankası olması nedeniyle likidite ihtiyaçlarının ticari bankalara göre daha öngörülebilir olması yükümlülüklerimizden kaynaklanan nakit akışlarımızın düzenli olmasını sağlamaktadır.</w:t>
      </w:r>
    </w:p>
    <w:p w14:paraId="6670172D" w14:textId="6A029DB8" w:rsidR="007520A7" w:rsidRPr="001F224B" w:rsidRDefault="007B6E7A" w:rsidP="007520A7">
      <w:pPr>
        <w:spacing w:before="120" w:after="120"/>
        <w:ind w:left="567"/>
        <w:jc w:val="both"/>
        <w:rPr>
          <w:iCs/>
          <w:sz w:val="22"/>
          <w:szCs w:val="22"/>
        </w:rPr>
      </w:pPr>
      <w:r w:rsidRPr="001F224B">
        <w:rPr>
          <w:iCs/>
          <w:sz w:val="22"/>
          <w:szCs w:val="22"/>
        </w:rPr>
        <w:t>Ana Ortaklık Banka’nın b</w:t>
      </w:r>
      <w:r w:rsidR="002F6D17" w:rsidRPr="001F224B">
        <w:rPr>
          <w:iCs/>
          <w:sz w:val="22"/>
          <w:szCs w:val="22"/>
        </w:rPr>
        <w:t xml:space="preserve">ilançosundaki </w:t>
      </w:r>
      <w:r w:rsidR="007520A7" w:rsidRPr="001F224B">
        <w:rPr>
          <w:iCs/>
          <w:sz w:val="22"/>
          <w:szCs w:val="22"/>
        </w:rPr>
        <w:t xml:space="preserve">varlık ve yükümlülüklerin cinsi, vade yapıları ve faiz oranlarının uyumu Aktif Pasif Komitesi kararları çerçevesinde sağlanmakta, likidite rasyolarının yasal mevzuat ve risk limitleri dahilinde kalması sağlanarak </w:t>
      </w:r>
      <w:r w:rsidR="00C855A2" w:rsidRPr="001F224B">
        <w:rPr>
          <w:iCs/>
          <w:sz w:val="22"/>
          <w:szCs w:val="22"/>
        </w:rPr>
        <w:t xml:space="preserve">bu rasyolar </w:t>
      </w:r>
      <w:r w:rsidR="007520A7" w:rsidRPr="001F224B">
        <w:rPr>
          <w:iCs/>
          <w:sz w:val="22"/>
          <w:szCs w:val="22"/>
        </w:rPr>
        <w:t>düzenli olarak takip edilmektedir.</w:t>
      </w:r>
    </w:p>
    <w:p w14:paraId="7536144D" w14:textId="77777777" w:rsidR="007520A7" w:rsidRPr="001F224B" w:rsidRDefault="007520A7" w:rsidP="007520A7">
      <w:pPr>
        <w:spacing w:before="120" w:after="120"/>
        <w:ind w:left="567"/>
        <w:jc w:val="both"/>
        <w:rPr>
          <w:iCs/>
          <w:sz w:val="22"/>
          <w:szCs w:val="22"/>
        </w:rPr>
      </w:pPr>
      <w:r w:rsidRPr="001F224B">
        <w:rPr>
          <w:iCs/>
          <w:sz w:val="22"/>
          <w:szCs w:val="22"/>
        </w:rPr>
        <w:t>Likidite riskini yönetmek amacıyla bankada aktif ve pasif yapısı vadeleri itibar</w:t>
      </w:r>
      <w:r w:rsidR="00236F0A" w:rsidRPr="001F224B">
        <w:rPr>
          <w:iCs/>
          <w:sz w:val="22"/>
          <w:szCs w:val="22"/>
        </w:rPr>
        <w:t>ıyla</w:t>
      </w:r>
      <w:r w:rsidRPr="001F224B">
        <w:rPr>
          <w:iCs/>
          <w:sz w:val="22"/>
          <w:szCs w:val="22"/>
        </w:rPr>
        <w:t xml:space="preserve"> değerlendirilerek öngörülebilen veriler üzerinden proforma nakit akımları belirlenir. Likidite fazlasının alternatif getiriler dikkate alınarak uygun yere plasmanı ve likidite ihtiyacının en uygun maliyetli kaynaklarla karşılanması esastır. </w:t>
      </w:r>
    </w:p>
    <w:p w14:paraId="36B5D0F3" w14:textId="77777777" w:rsidR="002A28E6" w:rsidRPr="001F224B" w:rsidRDefault="007520A7" w:rsidP="007520A7">
      <w:pPr>
        <w:spacing w:before="120" w:after="120"/>
        <w:ind w:left="567"/>
        <w:jc w:val="both"/>
        <w:rPr>
          <w:iCs/>
          <w:sz w:val="22"/>
          <w:szCs w:val="22"/>
        </w:rPr>
      </w:pPr>
      <w:r w:rsidRPr="001F224B">
        <w:rPr>
          <w:iCs/>
          <w:sz w:val="22"/>
          <w:szCs w:val="22"/>
        </w:rPr>
        <w:t xml:space="preserve">Ayrıca orta-uzun vadeli yükümlülüklerin karşılanma düzeyine ilişkin aylık proforma nakit akımları ve bilanço durasyonu sürekli izlenerek risk yaratan unsurlar önceden tespit edilmeye çalışılır. </w:t>
      </w:r>
    </w:p>
    <w:p w14:paraId="781DC13B" w14:textId="77777777" w:rsidR="007520A7" w:rsidRPr="001F224B" w:rsidRDefault="000B5F78" w:rsidP="007520A7">
      <w:pPr>
        <w:spacing w:before="120" w:after="120"/>
        <w:ind w:left="567"/>
        <w:jc w:val="both"/>
        <w:rPr>
          <w:iCs/>
          <w:sz w:val="22"/>
          <w:szCs w:val="22"/>
        </w:rPr>
      </w:pPr>
      <w:r w:rsidRPr="001F224B">
        <w:rPr>
          <w:iCs/>
          <w:sz w:val="22"/>
          <w:szCs w:val="22"/>
        </w:rPr>
        <w:t>Ana Ortaklık</w:t>
      </w:r>
      <w:r w:rsidRPr="001F224B">
        <w:rPr>
          <w:rFonts w:eastAsia="Arial Unicode MS"/>
          <w:color w:val="000000" w:themeColor="text1"/>
          <w:sz w:val="22"/>
          <w:szCs w:val="22"/>
          <w:lang w:eastAsia="en-US"/>
        </w:rPr>
        <w:t xml:space="preserve"> </w:t>
      </w:r>
      <w:r w:rsidR="007520A7" w:rsidRPr="001F224B">
        <w:rPr>
          <w:iCs/>
          <w:sz w:val="22"/>
          <w:szCs w:val="22"/>
        </w:rPr>
        <w:t>Banka</w:t>
      </w:r>
      <w:r w:rsidR="00156E93" w:rsidRPr="001F224B">
        <w:rPr>
          <w:iCs/>
          <w:sz w:val="22"/>
          <w:szCs w:val="22"/>
        </w:rPr>
        <w:t>’</w:t>
      </w:r>
      <w:r w:rsidR="007520A7" w:rsidRPr="001F224B">
        <w:rPr>
          <w:iCs/>
          <w:sz w:val="22"/>
          <w:szCs w:val="22"/>
        </w:rPr>
        <w:t>nın karşılaşabileceği likidite riski düzeyinin belirlenebilmesi için risk ölçümü ve izleme faaliyetlerine yönelik olarak esas olarak;</w:t>
      </w:r>
    </w:p>
    <w:p w14:paraId="288AF52A" w14:textId="58E9F2C3" w:rsidR="00290092" w:rsidRPr="001F224B" w:rsidRDefault="000B5F78" w:rsidP="007520A7">
      <w:pPr>
        <w:spacing w:before="120" w:after="120"/>
        <w:ind w:left="567"/>
        <w:jc w:val="both"/>
        <w:rPr>
          <w:iCs/>
          <w:sz w:val="22"/>
          <w:szCs w:val="22"/>
        </w:rPr>
      </w:pPr>
      <w:r w:rsidRPr="001F224B">
        <w:rPr>
          <w:iCs/>
          <w:sz w:val="22"/>
          <w:szCs w:val="22"/>
        </w:rPr>
        <w:t>Ana Ortaklık</w:t>
      </w:r>
      <w:r w:rsidRPr="001F224B">
        <w:rPr>
          <w:rFonts w:eastAsia="Arial Unicode MS"/>
          <w:color w:val="000000" w:themeColor="text1"/>
          <w:sz w:val="22"/>
          <w:szCs w:val="22"/>
          <w:lang w:eastAsia="en-US"/>
        </w:rPr>
        <w:t xml:space="preserve"> </w:t>
      </w:r>
      <w:r w:rsidR="007520A7" w:rsidRPr="001F224B">
        <w:rPr>
          <w:iCs/>
          <w:sz w:val="22"/>
          <w:szCs w:val="22"/>
        </w:rPr>
        <w:t>Banka</w:t>
      </w:r>
      <w:r w:rsidR="00156E93" w:rsidRPr="001F224B">
        <w:rPr>
          <w:iCs/>
          <w:sz w:val="22"/>
          <w:szCs w:val="22"/>
        </w:rPr>
        <w:t>’</w:t>
      </w:r>
      <w:r w:rsidR="007520A7" w:rsidRPr="001F224B">
        <w:rPr>
          <w:iCs/>
          <w:sz w:val="22"/>
          <w:szCs w:val="22"/>
        </w:rPr>
        <w:t xml:space="preserve">nın likidite riski, BDDK tarafından belirlenen formata uygun olarak “Likidite Analiz Formları” kullanılarak hesaplanmakta ve BDDK’ya haftalık </w:t>
      </w:r>
      <w:r w:rsidR="00AB1AEE" w:rsidRPr="001F224B">
        <w:rPr>
          <w:iCs/>
          <w:sz w:val="22"/>
          <w:szCs w:val="22"/>
        </w:rPr>
        <w:t>olarak</w:t>
      </w:r>
      <w:r w:rsidR="007520A7" w:rsidRPr="001F224B">
        <w:rPr>
          <w:iCs/>
          <w:sz w:val="22"/>
          <w:szCs w:val="22"/>
        </w:rPr>
        <w:t xml:space="preserve"> günlük </w:t>
      </w:r>
      <w:r w:rsidR="00AB1AEE" w:rsidRPr="001F224B">
        <w:rPr>
          <w:iCs/>
          <w:sz w:val="22"/>
          <w:szCs w:val="22"/>
        </w:rPr>
        <w:t>bazda</w:t>
      </w:r>
      <w:r w:rsidR="007520A7" w:rsidRPr="001F224B">
        <w:rPr>
          <w:iCs/>
          <w:sz w:val="22"/>
          <w:szCs w:val="22"/>
        </w:rPr>
        <w:t xml:space="preserve"> raporlanmaktadır. </w:t>
      </w:r>
    </w:p>
    <w:p w14:paraId="75EC0221" w14:textId="24F76AA6" w:rsidR="006F15A3" w:rsidRPr="001F224B" w:rsidRDefault="006F15A3" w:rsidP="006F15A3">
      <w:pPr>
        <w:spacing w:before="120" w:after="120"/>
        <w:ind w:left="567"/>
        <w:jc w:val="both"/>
        <w:rPr>
          <w:rFonts w:eastAsia="Arial Unicode MS"/>
          <w:sz w:val="22"/>
          <w:szCs w:val="22"/>
          <w:lang w:eastAsia="en-US"/>
        </w:rPr>
      </w:pPr>
      <w:r w:rsidRPr="001F224B">
        <w:rPr>
          <w:bCs/>
          <w:sz w:val="22"/>
          <w:szCs w:val="22"/>
        </w:rPr>
        <w:t xml:space="preserve">Likidite riskine ilişkin limitler; BDDK’nın belirlediği yasal sınırlamalar ve </w:t>
      </w:r>
      <w:r w:rsidR="000B5F78" w:rsidRPr="001F224B">
        <w:rPr>
          <w:iCs/>
          <w:sz w:val="22"/>
          <w:szCs w:val="22"/>
        </w:rPr>
        <w:t>Ana Ortaklık</w:t>
      </w:r>
      <w:r w:rsidR="000B5F78" w:rsidRPr="001F224B">
        <w:rPr>
          <w:rFonts w:eastAsia="Arial Unicode MS"/>
          <w:color w:val="000000" w:themeColor="text1"/>
          <w:sz w:val="22"/>
          <w:szCs w:val="22"/>
          <w:lang w:eastAsia="en-US"/>
        </w:rPr>
        <w:t xml:space="preserve"> </w:t>
      </w:r>
      <w:r w:rsidRPr="001F224B">
        <w:rPr>
          <w:sz w:val="22"/>
          <w:szCs w:val="22"/>
        </w:rPr>
        <w:t xml:space="preserve">Banka “Likidite Acil Durum Planı Yönergesi” kapsamında belirlenen limitler şeklinde iki başlık altında değerlendirilmektedir. </w:t>
      </w:r>
      <w:r w:rsidR="000B5F78" w:rsidRPr="001F224B">
        <w:rPr>
          <w:iCs/>
          <w:sz w:val="22"/>
          <w:szCs w:val="22"/>
        </w:rPr>
        <w:t>Ana Ortaklık</w:t>
      </w:r>
      <w:r w:rsidR="000B5F78" w:rsidRPr="001F224B">
        <w:rPr>
          <w:rFonts w:eastAsia="Arial Unicode MS"/>
          <w:color w:val="000000" w:themeColor="text1"/>
          <w:sz w:val="22"/>
          <w:szCs w:val="22"/>
          <w:lang w:eastAsia="en-US"/>
        </w:rPr>
        <w:t xml:space="preserve"> </w:t>
      </w:r>
      <w:r w:rsidRPr="001F224B">
        <w:rPr>
          <w:sz w:val="22"/>
          <w:szCs w:val="22"/>
        </w:rPr>
        <w:t xml:space="preserve">Banka “Likidite Acil Durum Planı Yönergesi”, Yönetim Kurulu’nun </w:t>
      </w:r>
      <w:r w:rsidRPr="001F224B">
        <w:rPr>
          <w:color w:val="000000"/>
          <w:sz w:val="22"/>
          <w:szCs w:val="22"/>
        </w:rPr>
        <w:t>2</w:t>
      </w:r>
      <w:r w:rsidR="00FD6F3D" w:rsidRPr="001F224B">
        <w:rPr>
          <w:color w:val="000000"/>
          <w:sz w:val="22"/>
          <w:szCs w:val="22"/>
        </w:rPr>
        <w:t>1</w:t>
      </w:r>
      <w:r w:rsidRPr="001F224B">
        <w:rPr>
          <w:color w:val="000000"/>
          <w:sz w:val="22"/>
          <w:szCs w:val="22"/>
        </w:rPr>
        <w:t>/1</w:t>
      </w:r>
      <w:r w:rsidR="00FD6F3D" w:rsidRPr="001F224B">
        <w:rPr>
          <w:color w:val="000000"/>
          <w:sz w:val="22"/>
          <w:szCs w:val="22"/>
        </w:rPr>
        <w:t>2</w:t>
      </w:r>
      <w:r w:rsidRPr="001F224B">
        <w:rPr>
          <w:color w:val="000000"/>
          <w:sz w:val="22"/>
          <w:szCs w:val="22"/>
        </w:rPr>
        <w:t>/20</w:t>
      </w:r>
      <w:r w:rsidR="00FD6F3D" w:rsidRPr="001F224B">
        <w:rPr>
          <w:color w:val="000000"/>
          <w:sz w:val="22"/>
          <w:szCs w:val="22"/>
        </w:rPr>
        <w:t>22</w:t>
      </w:r>
      <w:r w:rsidRPr="001F224B">
        <w:rPr>
          <w:color w:val="000000"/>
          <w:sz w:val="22"/>
          <w:szCs w:val="22"/>
        </w:rPr>
        <w:t xml:space="preserve"> tarih ve 20</w:t>
      </w:r>
      <w:r w:rsidR="00FD6F3D" w:rsidRPr="001F224B">
        <w:rPr>
          <w:color w:val="000000"/>
          <w:sz w:val="22"/>
          <w:szCs w:val="22"/>
        </w:rPr>
        <w:t>22</w:t>
      </w:r>
      <w:r w:rsidRPr="001F224B">
        <w:rPr>
          <w:color w:val="000000"/>
          <w:sz w:val="22"/>
          <w:szCs w:val="22"/>
        </w:rPr>
        <w:t>-20-1</w:t>
      </w:r>
      <w:r w:rsidR="00FD6F3D" w:rsidRPr="001F224B">
        <w:rPr>
          <w:color w:val="000000"/>
          <w:sz w:val="22"/>
          <w:szCs w:val="22"/>
        </w:rPr>
        <w:t>1</w:t>
      </w:r>
      <w:r w:rsidRPr="001F224B">
        <w:rPr>
          <w:color w:val="000000"/>
          <w:sz w:val="22"/>
          <w:szCs w:val="22"/>
        </w:rPr>
        <w:t>/</w:t>
      </w:r>
      <w:r w:rsidR="00FD6F3D" w:rsidRPr="001F224B">
        <w:rPr>
          <w:color w:val="000000"/>
          <w:sz w:val="22"/>
          <w:szCs w:val="22"/>
        </w:rPr>
        <w:t>287</w:t>
      </w:r>
      <w:r w:rsidRPr="001F224B">
        <w:rPr>
          <w:color w:val="000000"/>
          <w:sz w:val="22"/>
          <w:szCs w:val="22"/>
        </w:rPr>
        <w:t xml:space="preserve"> sayılı kararı ile yürürlüğe girmiştir. </w:t>
      </w:r>
      <w:r w:rsidRPr="001F224B">
        <w:rPr>
          <w:sz w:val="22"/>
          <w:szCs w:val="22"/>
        </w:rPr>
        <w:t xml:space="preserve">Likidite Acil Durum Planının uygulanmasını gerektirecek durumlar, Bankaya özgü (iç) ve finansal piyasalardaki gelişmelerden türetilen göstergelerle izlenmektedir. </w:t>
      </w:r>
      <w:r w:rsidRPr="001F224B">
        <w:rPr>
          <w:rFonts w:eastAsia="Arial Unicode MS"/>
          <w:sz w:val="22"/>
          <w:szCs w:val="22"/>
          <w:lang w:eastAsia="en-US"/>
        </w:rPr>
        <w:t xml:space="preserve">Likidite Acil Durum Planı, </w:t>
      </w:r>
      <w:r w:rsidR="00C76576" w:rsidRPr="001F224B">
        <w:rPr>
          <w:rFonts w:eastAsia="Arial Unicode MS"/>
          <w:sz w:val="22"/>
          <w:szCs w:val="22"/>
          <w:lang w:eastAsia="en-US"/>
        </w:rPr>
        <w:t>Ana Ortaklık Banka’nın</w:t>
      </w:r>
      <w:r w:rsidRPr="001F224B">
        <w:rPr>
          <w:rFonts w:eastAsia="Arial Unicode MS"/>
          <w:sz w:val="22"/>
          <w:szCs w:val="22"/>
          <w:lang w:eastAsia="en-US"/>
        </w:rPr>
        <w:t xml:space="preserve"> vadesi gelen yükümlülüklerini yerine getirmesini sağlamak amacı ile ihtiyaç duyduğu seviyede likiditeyi bulundurması veya kabul edilebilir maliyetlerle likiditeye ulaşması ve </w:t>
      </w:r>
      <w:r w:rsidR="000B5F78" w:rsidRPr="001F224B">
        <w:rPr>
          <w:iCs/>
          <w:sz w:val="22"/>
          <w:szCs w:val="22"/>
        </w:rPr>
        <w:t>Ana Ortaklık</w:t>
      </w:r>
      <w:r w:rsidR="000B5F78" w:rsidRPr="001F224B">
        <w:rPr>
          <w:rFonts w:eastAsia="Arial Unicode MS"/>
          <w:color w:val="000000" w:themeColor="text1"/>
          <w:sz w:val="22"/>
          <w:szCs w:val="22"/>
          <w:lang w:eastAsia="en-US"/>
        </w:rPr>
        <w:t xml:space="preserve"> </w:t>
      </w:r>
      <w:r w:rsidRPr="001F224B">
        <w:rPr>
          <w:rFonts w:eastAsia="Arial Unicode MS"/>
          <w:sz w:val="22"/>
          <w:szCs w:val="22"/>
          <w:lang w:eastAsia="en-US"/>
        </w:rPr>
        <w:t>Banka’nın itibarını koruması amacı ile gerekli olan likiditenin sağlanmasına ilişkin aksiyonları içerir.</w:t>
      </w:r>
    </w:p>
    <w:p w14:paraId="008832B0" w14:textId="77777777" w:rsidR="005347CD" w:rsidRPr="001F224B" w:rsidRDefault="00290092" w:rsidP="005347CD">
      <w:pPr>
        <w:pStyle w:val="ListParagraph"/>
        <w:tabs>
          <w:tab w:val="left" w:pos="0"/>
        </w:tabs>
        <w:spacing w:before="120"/>
        <w:ind w:left="0"/>
        <w:rPr>
          <w:b/>
          <w:bCs/>
          <w:sz w:val="22"/>
          <w:szCs w:val="22"/>
        </w:rPr>
      </w:pPr>
      <w:r w:rsidRPr="001F224B">
        <w:rPr>
          <w:iCs/>
          <w:sz w:val="22"/>
          <w:szCs w:val="22"/>
        </w:rPr>
        <w:br w:type="page"/>
      </w:r>
      <w:r w:rsidR="005347CD" w:rsidRPr="001F224B">
        <w:rPr>
          <w:b/>
          <w:bCs/>
          <w:sz w:val="22"/>
          <w:szCs w:val="22"/>
        </w:rPr>
        <w:t>DÖRDÜNCÜ BÖLÜM (Devamı)</w:t>
      </w:r>
    </w:p>
    <w:p w14:paraId="040D4450" w14:textId="77777777" w:rsidR="005347CD" w:rsidRPr="001F224B" w:rsidRDefault="005347CD" w:rsidP="005347CD">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0C025149" w14:textId="30D862A2" w:rsidR="005347CD" w:rsidRPr="001F224B" w:rsidRDefault="005347CD" w:rsidP="005347CD">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4FF5208A" w14:textId="77777777" w:rsidR="005347CD" w:rsidRPr="001F224B" w:rsidRDefault="005347CD" w:rsidP="005347CD">
      <w:pPr>
        <w:spacing w:before="120"/>
        <w:ind w:firstLine="567"/>
      </w:pPr>
      <w:r w:rsidRPr="001F224B">
        <w:rPr>
          <w:b/>
          <w:bCs/>
          <w:iCs/>
          <w:sz w:val="22"/>
          <w:szCs w:val="22"/>
        </w:rPr>
        <w:t>1. Konsolide likidite risk yönetimine ilişkin açıklamalar (Devamı):</w:t>
      </w:r>
    </w:p>
    <w:p w14:paraId="09EE1F7D" w14:textId="17B26707" w:rsidR="005347CD" w:rsidRPr="001F224B" w:rsidRDefault="005347CD" w:rsidP="005347CD">
      <w:pPr>
        <w:spacing w:before="120" w:after="120"/>
        <w:ind w:left="567"/>
        <w:jc w:val="both"/>
        <w:rPr>
          <w:rFonts w:eastAsia="Arial Unicode MS"/>
          <w:sz w:val="22"/>
          <w:szCs w:val="22"/>
          <w:lang w:eastAsia="en-US"/>
        </w:rPr>
      </w:pPr>
      <w:r w:rsidRPr="001F224B">
        <w:rPr>
          <w:iCs/>
          <w:sz w:val="22"/>
          <w:szCs w:val="22"/>
        </w:rPr>
        <w:t>Ana Ortaklık</w:t>
      </w:r>
      <w:r w:rsidRPr="001F224B">
        <w:rPr>
          <w:rFonts w:eastAsia="Arial Unicode MS"/>
          <w:color w:val="000000" w:themeColor="text1"/>
          <w:sz w:val="22"/>
          <w:szCs w:val="22"/>
          <w:lang w:eastAsia="en-US"/>
        </w:rPr>
        <w:t xml:space="preserve"> </w:t>
      </w:r>
      <w:r w:rsidRPr="001F224B">
        <w:rPr>
          <w:rFonts w:eastAsia="Arial Unicode MS"/>
          <w:sz w:val="22"/>
          <w:szCs w:val="22"/>
          <w:lang w:eastAsia="en-US"/>
        </w:rPr>
        <w:t xml:space="preserve">Banka’nın likidite riski yönetiminde, BDDK’nın ilgili düzenlemeleri kapsamındaki sınırlamalar ile </w:t>
      </w:r>
      <w:r w:rsidR="00C76576" w:rsidRPr="001F224B">
        <w:rPr>
          <w:rFonts w:eastAsia="Arial Unicode MS"/>
          <w:sz w:val="22"/>
          <w:szCs w:val="22"/>
          <w:lang w:eastAsia="en-US"/>
        </w:rPr>
        <w:t xml:space="preserve">Ana Ortaklık Banka “Risk </w:t>
      </w:r>
      <w:r w:rsidRPr="001F224B">
        <w:rPr>
          <w:rFonts w:eastAsia="Arial Unicode MS"/>
          <w:sz w:val="22"/>
          <w:szCs w:val="22"/>
          <w:lang w:eastAsia="en-US"/>
        </w:rPr>
        <w:t xml:space="preserve">Yönetimi Stratejileri, Politikaları ve Uygulama Esasları” ve genel piyasa koşulları çerçevesinde belirlenen içsel risk limitleri belirleyicidir. Dolayısıyla Hazine Birimi başta olmak üzere likidite riski yönetiminde aktif olan birimler bu sınırlamalar dahilinde hareket ederler. </w:t>
      </w:r>
    </w:p>
    <w:p w14:paraId="0F3AC3CC" w14:textId="77777777" w:rsidR="005347CD" w:rsidRPr="001F224B" w:rsidRDefault="005347CD" w:rsidP="005347CD">
      <w:pPr>
        <w:spacing w:before="120" w:after="120"/>
        <w:ind w:left="567"/>
        <w:jc w:val="both"/>
        <w:rPr>
          <w:rFonts w:eastAsia="Arial Unicode MS"/>
          <w:sz w:val="22"/>
          <w:szCs w:val="22"/>
          <w:lang w:eastAsia="en-US"/>
        </w:rPr>
      </w:pPr>
      <w:r w:rsidRPr="001F224B">
        <w:rPr>
          <w:rFonts w:eastAsia="Arial Unicode MS"/>
          <w:sz w:val="22"/>
          <w:szCs w:val="22"/>
          <w:lang w:eastAsia="en-US"/>
        </w:rPr>
        <w:t>Yasal yükümlülükler kapsamında ilk sınırlama; BDDK’nın “Bankaların Likidite Karşılama Oranı Hesaplamasına İlişkin Yönetmelik” kapsamında konsolide ve konsolide olmayan toplam ve yabancı para likidite karşılama oranı için en düşük sınırların sırasıyla %100 ve %80 olarak belirlenmiş olmasıdır. Ancak söz konusu sınırlamalara ilişkin BDDK tarafından aksi belirleninceye kadar kalkınma ve yatırım bankaları için muafiyet tanınmıştır.</w:t>
      </w:r>
    </w:p>
    <w:p w14:paraId="5C76243A" w14:textId="77777777" w:rsidR="005347CD" w:rsidRPr="001F224B" w:rsidRDefault="005347CD" w:rsidP="005347CD">
      <w:pPr>
        <w:autoSpaceDE w:val="0"/>
        <w:autoSpaceDN w:val="0"/>
        <w:adjustRightInd w:val="0"/>
        <w:ind w:left="567"/>
        <w:jc w:val="both"/>
        <w:rPr>
          <w:rFonts w:eastAsia="Arial Unicode MS"/>
          <w:sz w:val="22"/>
          <w:szCs w:val="22"/>
          <w:lang w:eastAsia="en-US"/>
        </w:rPr>
      </w:pPr>
      <w:r w:rsidRPr="001F224B">
        <w:rPr>
          <w:rFonts w:eastAsia="Arial Unicode MS"/>
          <w:sz w:val="22"/>
          <w:szCs w:val="22"/>
          <w:lang w:eastAsia="en-US"/>
        </w:rPr>
        <w:t>Likidite riski yönetimi kapsamındaki banka içi raporlamalar ise, günlük, haftalık raporlar ile aylık sıklıkla hazırlanan risk limitlerini izleme raporundan oluşmaktadır. Günlük raporda günlük bilanço ve durasyon hesaplamaları ve haftalık raporda ise likidite limitleri izlenmektedir. Aylık risk limitleri izleme raporunda ise, Yönetim Kurulunca belirlenen likidite limitlerinin haftalık gerçekleşmeleri toplulaştırılmaktadır. Söz konusu raporlamalarda, yasal risklere ve erken uyarı limitlerine uyum takip edilmektedir. Ayrıca aylık sıklıkla hazırlanan “Seçilmiş Göstergelere ve Risk Gruplarına Göre TKYB Risklilik Analizi” raporunda likidite riskinin izlenmesine yönelik olarak;</w:t>
      </w:r>
    </w:p>
    <w:p w14:paraId="3B58AAF9" w14:textId="77777777" w:rsidR="005347CD" w:rsidRPr="001F224B" w:rsidRDefault="005347CD" w:rsidP="005347CD">
      <w:pPr>
        <w:spacing w:before="120" w:after="120"/>
        <w:ind w:left="567"/>
        <w:jc w:val="both"/>
        <w:rPr>
          <w:rFonts w:eastAsia="Arial Unicode MS"/>
          <w:sz w:val="22"/>
          <w:szCs w:val="22"/>
          <w:lang w:eastAsia="en-US"/>
        </w:rPr>
      </w:pPr>
      <w:r w:rsidRPr="001F224B">
        <w:rPr>
          <w:rFonts w:eastAsia="Arial Unicode MS"/>
          <w:sz w:val="22"/>
          <w:szCs w:val="22"/>
          <w:lang w:eastAsia="en-US"/>
        </w:rPr>
        <w:t>- Proforma Nakit Akım Tablosu,</w:t>
      </w:r>
    </w:p>
    <w:p w14:paraId="53A3ED7E" w14:textId="77777777" w:rsidR="005347CD" w:rsidRPr="001F224B" w:rsidRDefault="005347CD" w:rsidP="005347CD">
      <w:pPr>
        <w:spacing w:before="120" w:after="120"/>
        <w:ind w:left="567"/>
        <w:jc w:val="both"/>
        <w:rPr>
          <w:rFonts w:eastAsia="Arial Unicode MS"/>
          <w:sz w:val="22"/>
          <w:szCs w:val="22"/>
          <w:lang w:eastAsia="en-US"/>
        </w:rPr>
      </w:pPr>
      <w:r w:rsidRPr="001F224B">
        <w:rPr>
          <w:rFonts w:eastAsia="Arial Unicode MS"/>
          <w:sz w:val="22"/>
          <w:szCs w:val="22"/>
          <w:lang w:eastAsia="en-US"/>
        </w:rPr>
        <w:t>- Proforma Döviz Bilançosu,</w:t>
      </w:r>
    </w:p>
    <w:p w14:paraId="52DAEF36" w14:textId="77777777" w:rsidR="005347CD" w:rsidRPr="001F224B" w:rsidRDefault="005347CD" w:rsidP="005347CD">
      <w:pPr>
        <w:spacing w:before="120" w:after="120"/>
        <w:ind w:left="567"/>
        <w:jc w:val="both"/>
        <w:rPr>
          <w:rFonts w:eastAsia="Arial Unicode MS"/>
          <w:sz w:val="22"/>
          <w:szCs w:val="22"/>
          <w:lang w:eastAsia="en-US"/>
        </w:rPr>
      </w:pPr>
      <w:r w:rsidRPr="001F224B">
        <w:rPr>
          <w:rFonts w:eastAsia="Arial Unicode MS"/>
          <w:sz w:val="22"/>
          <w:szCs w:val="22"/>
          <w:lang w:eastAsia="en-US"/>
        </w:rPr>
        <w:t xml:space="preserve">- Bilanço Kalemlerinin, detayda Menkul Kıymetlerin (sınıf bazında) Durasyonu, </w:t>
      </w:r>
    </w:p>
    <w:p w14:paraId="3417CECC" w14:textId="77777777" w:rsidR="005347CD" w:rsidRPr="001F224B" w:rsidRDefault="005347CD" w:rsidP="005347CD">
      <w:pPr>
        <w:tabs>
          <w:tab w:val="left" w:pos="993"/>
          <w:tab w:val="left" w:pos="1418"/>
        </w:tabs>
        <w:spacing w:before="120" w:after="120"/>
        <w:ind w:left="567"/>
        <w:jc w:val="both"/>
        <w:rPr>
          <w:rFonts w:eastAsia="Arial Unicode MS"/>
          <w:sz w:val="22"/>
          <w:szCs w:val="22"/>
          <w:lang w:eastAsia="en-US"/>
        </w:rPr>
      </w:pPr>
      <w:r w:rsidRPr="001F224B">
        <w:rPr>
          <w:rFonts w:eastAsia="Arial Unicode MS"/>
          <w:sz w:val="22"/>
          <w:szCs w:val="22"/>
          <w:lang w:eastAsia="en-US"/>
        </w:rPr>
        <w:t xml:space="preserve">- BDDK’ya gönderilen likidite formlarının özet sunumu </w:t>
      </w:r>
    </w:p>
    <w:p w14:paraId="10653C55" w14:textId="77777777" w:rsidR="005347CD" w:rsidRPr="001F224B" w:rsidRDefault="005347CD" w:rsidP="005347CD">
      <w:pPr>
        <w:tabs>
          <w:tab w:val="left" w:pos="993"/>
          <w:tab w:val="left" w:pos="1418"/>
        </w:tabs>
        <w:spacing w:before="120" w:after="120"/>
        <w:ind w:left="567"/>
        <w:jc w:val="both"/>
        <w:rPr>
          <w:rFonts w:eastAsia="Arial Unicode MS"/>
          <w:sz w:val="22"/>
          <w:szCs w:val="22"/>
          <w:lang w:eastAsia="en-US"/>
        </w:rPr>
      </w:pPr>
      <w:r w:rsidRPr="001F224B">
        <w:rPr>
          <w:rFonts w:eastAsia="Arial Unicode MS"/>
          <w:sz w:val="22"/>
          <w:szCs w:val="22"/>
          <w:lang w:eastAsia="en-US"/>
        </w:rPr>
        <w:t>yer almaktadır. Hazırlanan proforma nakit akım tablosu ile gelecekteki likit varlıkların durumu ve miktarı farklı senaryolar altında bir yıllık projeksiyon ile gösterilmektedir.</w:t>
      </w:r>
    </w:p>
    <w:p w14:paraId="16C842A7" w14:textId="77777777" w:rsidR="005347CD" w:rsidRPr="001F224B" w:rsidRDefault="005347CD" w:rsidP="005347CD">
      <w:pPr>
        <w:spacing w:before="120" w:after="120"/>
        <w:ind w:left="567"/>
        <w:jc w:val="both"/>
        <w:rPr>
          <w:rFonts w:eastAsia="Arial Unicode MS"/>
          <w:sz w:val="22"/>
          <w:szCs w:val="22"/>
          <w:lang w:eastAsia="en-US"/>
        </w:rPr>
      </w:pPr>
      <w:r w:rsidRPr="001F224B">
        <w:rPr>
          <w:rFonts w:eastAsia="Arial Unicode MS"/>
          <w:sz w:val="22"/>
          <w:szCs w:val="22"/>
          <w:lang w:eastAsia="en-US"/>
        </w:rPr>
        <w:t xml:space="preserve">İlgili rapor, aylık sıklıkla Yönetim Kurulu’na, Denetim Komitesi’ne ve Üst Yönetime gönderilmektedir. Bu raporlar dikkate alınarak gerek Aktif Pasif Komitesi gerekse Denetim Komitesi’nde </w:t>
      </w:r>
      <w:r w:rsidRPr="001F224B">
        <w:rPr>
          <w:iCs/>
          <w:sz w:val="22"/>
          <w:szCs w:val="22"/>
        </w:rPr>
        <w:t>Ana Ortaklık</w:t>
      </w:r>
      <w:r w:rsidRPr="001F224B">
        <w:rPr>
          <w:rFonts w:eastAsia="Arial Unicode MS"/>
          <w:color w:val="000000" w:themeColor="text1"/>
          <w:sz w:val="22"/>
          <w:szCs w:val="22"/>
          <w:lang w:eastAsia="en-US"/>
        </w:rPr>
        <w:t xml:space="preserve"> </w:t>
      </w:r>
      <w:r w:rsidRPr="001F224B">
        <w:rPr>
          <w:rFonts w:eastAsia="Arial Unicode MS"/>
          <w:sz w:val="22"/>
          <w:szCs w:val="22"/>
          <w:lang w:eastAsia="en-US"/>
        </w:rPr>
        <w:t xml:space="preserve">Banka’nın likidite pozisyonu değerlendirilmekte, böylece likidite ölçüm sisteminin sonuçları karar alma süreçlerine dahil edilmektedir. </w:t>
      </w:r>
    </w:p>
    <w:p w14:paraId="1BB1B5DF" w14:textId="77777777" w:rsidR="005347CD" w:rsidRPr="001F224B" w:rsidRDefault="005347CD" w:rsidP="005347CD">
      <w:pPr>
        <w:tabs>
          <w:tab w:val="left" w:pos="567"/>
        </w:tabs>
        <w:ind w:left="567"/>
        <w:jc w:val="both"/>
        <w:outlineLvl w:val="1"/>
        <w:rPr>
          <w:rFonts w:eastAsia="Arial Unicode MS"/>
          <w:sz w:val="22"/>
          <w:szCs w:val="22"/>
          <w:lang w:eastAsia="en-US"/>
        </w:rPr>
      </w:pPr>
      <w:r w:rsidRPr="001F224B">
        <w:rPr>
          <w:iCs/>
          <w:sz w:val="22"/>
          <w:szCs w:val="22"/>
        </w:rPr>
        <w:t>Ana Ortaklık</w:t>
      </w:r>
      <w:r w:rsidRPr="001F224B">
        <w:rPr>
          <w:rFonts w:eastAsia="Arial Unicode MS"/>
          <w:color w:val="000000" w:themeColor="text1"/>
          <w:sz w:val="22"/>
          <w:szCs w:val="22"/>
          <w:lang w:eastAsia="en-US"/>
        </w:rPr>
        <w:t xml:space="preserve"> Banka </w:t>
      </w:r>
      <w:r w:rsidRPr="001F224B">
        <w:rPr>
          <w:rFonts w:eastAsia="Arial Unicode MS"/>
          <w:sz w:val="22"/>
          <w:szCs w:val="22"/>
          <w:lang w:eastAsia="en-US"/>
        </w:rPr>
        <w:t xml:space="preserve">Risk İştahı Yapısı, Risk Limitleri ve Uygulama Esasları metninde de yer aldığı üzere, likidite riskine ilişkin olarak, yasal limitlerin yanı sıra kendi işleyiş biçimi, misyonu ve risk iştahına uygun olarak içsel limitler de belirlenmiştir. Söz konusu limitler, erken uyarı limitlerini de kapsayacak şekilde, yasal limitlerin üstünde Yönetim Kurulu kararıyla tespit edilmiş ve yıllık sıklıkla revize edilmektedir. </w:t>
      </w:r>
    </w:p>
    <w:p w14:paraId="0B9ADE24" w14:textId="0E9FA9A1" w:rsidR="005347CD" w:rsidRPr="001F224B" w:rsidRDefault="005347CD" w:rsidP="005347CD">
      <w:pPr>
        <w:spacing w:before="120"/>
        <w:ind w:firstLine="567"/>
        <w:jc w:val="both"/>
      </w:pPr>
      <w:r w:rsidRPr="001F224B">
        <w:rPr>
          <w:b/>
          <w:bCs/>
          <w:iCs/>
          <w:sz w:val="22"/>
          <w:szCs w:val="22"/>
        </w:rPr>
        <w:t>2. Konsolide likidite karşılama oranı</w:t>
      </w:r>
      <w:r w:rsidR="001E3833" w:rsidRPr="001F224B">
        <w:rPr>
          <w:b/>
          <w:bCs/>
          <w:iCs/>
          <w:sz w:val="22"/>
          <w:szCs w:val="22"/>
        </w:rPr>
        <w:t>:</w:t>
      </w:r>
    </w:p>
    <w:p w14:paraId="4F48D269" w14:textId="67A72729" w:rsidR="005347CD" w:rsidRPr="001F224B" w:rsidRDefault="005347CD" w:rsidP="005347CD">
      <w:pPr>
        <w:spacing w:before="120" w:after="120"/>
        <w:ind w:left="567"/>
        <w:jc w:val="both"/>
        <w:rPr>
          <w:iCs/>
          <w:sz w:val="22"/>
          <w:szCs w:val="22"/>
        </w:rPr>
      </w:pPr>
      <w:r w:rsidRPr="001F224B">
        <w:rPr>
          <w:iCs/>
          <w:sz w:val="22"/>
          <w:szCs w:val="22"/>
        </w:rPr>
        <w:t>Grup’un likidite karşılama oranları,  21 Mart 2014 tarihli ve 28948 sayılı Resmî Gazete'de yayımlanan “Bankaların Likidite Karşılama Oranı Hesaplamasına İlişkin Yönetmelik” uyarınca aylık sıklıkla hazırlanmakta ve BDDK’ya raporlanmaktadır. Raporlama dönemi dahil son 3 ay için aylık olarak hesaplanan yabancı para ve toplam likidite karşılama oranlarının değerleri aylık belirtilmek suretiyle aşağıdaki gibidir:</w:t>
      </w:r>
    </w:p>
    <w:p w14:paraId="12962DDC" w14:textId="77777777" w:rsidR="004116AC" w:rsidRPr="001F224B" w:rsidRDefault="004116AC" w:rsidP="005347CD">
      <w:pPr>
        <w:spacing w:before="120" w:after="120"/>
        <w:ind w:left="567"/>
        <w:jc w:val="both"/>
        <w:rPr>
          <w:sz w:val="22"/>
          <w:szCs w:val="22"/>
        </w:rPr>
      </w:pPr>
    </w:p>
    <w:p w14:paraId="5880EA1B" w14:textId="77777777" w:rsidR="005347CD" w:rsidRPr="001F224B" w:rsidRDefault="005347CD">
      <w:pPr>
        <w:rPr>
          <w:iCs/>
          <w:sz w:val="22"/>
          <w:szCs w:val="22"/>
        </w:rPr>
      </w:pPr>
      <w:r w:rsidRPr="001F224B">
        <w:rPr>
          <w:iCs/>
          <w:sz w:val="22"/>
          <w:szCs w:val="22"/>
        </w:rPr>
        <w:br w:type="page"/>
      </w:r>
    </w:p>
    <w:p w14:paraId="15FF691C" w14:textId="40FF035D" w:rsidR="005347CD" w:rsidRPr="001F224B" w:rsidRDefault="005347CD" w:rsidP="005347CD">
      <w:pPr>
        <w:pStyle w:val="ListParagraph"/>
        <w:tabs>
          <w:tab w:val="left" w:pos="0"/>
        </w:tabs>
        <w:spacing w:before="120"/>
        <w:ind w:left="0"/>
        <w:rPr>
          <w:b/>
          <w:bCs/>
          <w:sz w:val="22"/>
          <w:szCs w:val="22"/>
        </w:rPr>
      </w:pPr>
      <w:r w:rsidRPr="001F224B">
        <w:rPr>
          <w:b/>
          <w:bCs/>
          <w:sz w:val="22"/>
          <w:szCs w:val="22"/>
        </w:rPr>
        <w:t>DÖRDÜNCÜ BÖLÜM (Devamı)</w:t>
      </w:r>
    </w:p>
    <w:p w14:paraId="02700BDA" w14:textId="77777777" w:rsidR="005347CD" w:rsidRPr="001F224B" w:rsidRDefault="005347CD" w:rsidP="005347CD">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1F8351E9" w14:textId="784CAC14" w:rsidR="005347CD" w:rsidRPr="001F224B" w:rsidRDefault="005347CD" w:rsidP="001E3833">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0BEA1577" w14:textId="77777777" w:rsidR="005347CD" w:rsidRPr="001F224B" w:rsidRDefault="005347CD" w:rsidP="005347CD">
      <w:pPr>
        <w:spacing w:before="120" w:after="120"/>
        <w:ind w:firstLine="567"/>
        <w:rPr>
          <w:b/>
        </w:rPr>
      </w:pPr>
      <w:r w:rsidRPr="001F224B">
        <w:rPr>
          <w:b/>
          <w:bCs/>
          <w:iCs/>
          <w:sz w:val="22"/>
          <w:szCs w:val="22"/>
        </w:rPr>
        <w:t>2. Konsolide likidite karşılama oranı</w:t>
      </w:r>
      <w:r w:rsidRPr="001F224B">
        <w:t xml:space="preserve"> </w:t>
      </w:r>
      <w:r w:rsidRPr="001F224B">
        <w:rPr>
          <w:b/>
          <w:bCs/>
          <w:iCs/>
          <w:sz w:val="22"/>
          <w:szCs w:val="22"/>
        </w:rPr>
        <w:t>(Devamı)</w:t>
      </w:r>
      <w:r w:rsidRPr="001F224B">
        <w:rPr>
          <w:b/>
        </w:rPr>
        <w:t>:</w:t>
      </w:r>
    </w:p>
    <w:tbl>
      <w:tblPr>
        <w:tblpPr w:leftFromText="141" w:rightFromText="141" w:vertAnchor="text" w:tblpX="137" w:tblpY="1"/>
        <w:tblOverlap w:val="never"/>
        <w:tblW w:w="2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560"/>
        <w:gridCol w:w="1559"/>
      </w:tblGrid>
      <w:tr w:rsidR="005347CD" w:rsidRPr="001F224B" w14:paraId="6779232D" w14:textId="77777777" w:rsidTr="00193FFF">
        <w:trPr>
          <w:trHeight w:val="276"/>
        </w:trPr>
        <w:tc>
          <w:tcPr>
            <w:tcW w:w="2102" w:type="pct"/>
            <w:tcBorders>
              <w:top w:val="single" w:sz="4" w:space="0" w:color="auto"/>
              <w:bottom w:val="single" w:sz="4" w:space="0" w:color="auto"/>
            </w:tcBorders>
            <w:vAlign w:val="bottom"/>
          </w:tcPr>
          <w:p w14:paraId="2E463B17" w14:textId="77777777" w:rsidR="005347CD" w:rsidRPr="001F224B" w:rsidRDefault="005347CD" w:rsidP="00193FFF">
            <w:pPr>
              <w:rPr>
                <w:b/>
                <w:bCs/>
                <w:color w:val="000000"/>
                <w:sz w:val="20"/>
                <w:szCs w:val="20"/>
              </w:rPr>
            </w:pPr>
            <w:r w:rsidRPr="001F224B">
              <w:rPr>
                <w:b/>
                <w:bCs/>
                <w:color w:val="000000"/>
                <w:sz w:val="20"/>
                <w:szCs w:val="20"/>
              </w:rPr>
              <w:t>Dönem</w:t>
            </w:r>
          </w:p>
        </w:tc>
        <w:tc>
          <w:tcPr>
            <w:tcW w:w="1449" w:type="pct"/>
            <w:tcBorders>
              <w:top w:val="single" w:sz="4" w:space="0" w:color="auto"/>
            </w:tcBorders>
            <w:vAlign w:val="bottom"/>
          </w:tcPr>
          <w:p w14:paraId="5755B86C" w14:textId="77777777" w:rsidR="005347CD" w:rsidRPr="001F224B" w:rsidRDefault="005347CD" w:rsidP="00193FFF">
            <w:pPr>
              <w:jc w:val="center"/>
              <w:rPr>
                <w:i/>
                <w:iCs/>
                <w:color w:val="000000"/>
                <w:sz w:val="20"/>
                <w:szCs w:val="20"/>
              </w:rPr>
            </w:pPr>
            <w:r w:rsidRPr="001F224B">
              <w:rPr>
                <w:b/>
                <w:sz w:val="18"/>
                <w:szCs w:val="18"/>
              </w:rPr>
              <w:t>TP+YP</w:t>
            </w:r>
          </w:p>
        </w:tc>
        <w:tc>
          <w:tcPr>
            <w:tcW w:w="1448" w:type="pct"/>
            <w:vAlign w:val="bottom"/>
          </w:tcPr>
          <w:p w14:paraId="0E90E3A0" w14:textId="77777777" w:rsidR="005347CD" w:rsidRPr="001F224B" w:rsidRDefault="005347CD" w:rsidP="00193FFF">
            <w:pPr>
              <w:jc w:val="center"/>
              <w:rPr>
                <w:i/>
                <w:iCs/>
                <w:color w:val="000000"/>
                <w:sz w:val="20"/>
                <w:szCs w:val="20"/>
              </w:rPr>
            </w:pPr>
            <w:r w:rsidRPr="001F224B">
              <w:rPr>
                <w:b/>
                <w:sz w:val="18"/>
                <w:szCs w:val="18"/>
              </w:rPr>
              <w:t>YP</w:t>
            </w:r>
          </w:p>
        </w:tc>
      </w:tr>
      <w:tr w:rsidR="005347CD" w:rsidRPr="001F224B" w14:paraId="2A452A6A" w14:textId="77777777" w:rsidTr="00193FFF">
        <w:trPr>
          <w:trHeight w:val="276"/>
        </w:trPr>
        <w:tc>
          <w:tcPr>
            <w:tcW w:w="2102" w:type="pct"/>
            <w:tcBorders>
              <w:top w:val="nil"/>
              <w:bottom w:val="single" w:sz="4" w:space="0" w:color="auto"/>
            </w:tcBorders>
            <w:vAlign w:val="bottom"/>
          </w:tcPr>
          <w:p w14:paraId="2D475C13" w14:textId="7659AC94" w:rsidR="005347CD" w:rsidRPr="001F224B" w:rsidRDefault="005347CD" w:rsidP="00193FFF">
            <w:pPr>
              <w:rPr>
                <w:b/>
                <w:bCs/>
                <w:color w:val="000000"/>
                <w:sz w:val="20"/>
                <w:szCs w:val="20"/>
              </w:rPr>
            </w:pPr>
            <w:r w:rsidRPr="001F224B">
              <w:rPr>
                <w:b/>
                <w:bCs/>
                <w:color w:val="000000"/>
                <w:sz w:val="20"/>
                <w:szCs w:val="20"/>
              </w:rPr>
              <w:t>3</w:t>
            </w:r>
            <w:r w:rsidR="007D07A9" w:rsidRPr="001F224B">
              <w:rPr>
                <w:b/>
                <w:bCs/>
                <w:color w:val="000000"/>
                <w:sz w:val="20"/>
                <w:szCs w:val="20"/>
              </w:rPr>
              <w:t>0</w:t>
            </w:r>
            <w:r w:rsidRPr="001F224B">
              <w:rPr>
                <w:b/>
                <w:bCs/>
                <w:color w:val="000000"/>
                <w:sz w:val="20"/>
                <w:szCs w:val="20"/>
              </w:rPr>
              <w:t xml:space="preserve"> </w:t>
            </w:r>
            <w:r w:rsidR="007D07A9" w:rsidRPr="001F224B">
              <w:rPr>
                <w:b/>
                <w:bCs/>
                <w:color w:val="000000"/>
                <w:sz w:val="20"/>
                <w:szCs w:val="20"/>
              </w:rPr>
              <w:t>Nisan</w:t>
            </w:r>
            <w:r w:rsidRPr="001F224B">
              <w:rPr>
                <w:b/>
                <w:bCs/>
                <w:color w:val="000000"/>
                <w:sz w:val="20"/>
                <w:szCs w:val="20"/>
              </w:rPr>
              <w:t xml:space="preserve"> 202</w:t>
            </w:r>
            <w:r w:rsidR="00172741" w:rsidRPr="001F224B">
              <w:rPr>
                <w:b/>
                <w:bCs/>
                <w:color w:val="000000"/>
                <w:sz w:val="20"/>
                <w:szCs w:val="20"/>
              </w:rPr>
              <w:t>5</w:t>
            </w:r>
          </w:p>
        </w:tc>
        <w:tc>
          <w:tcPr>
            <w:tcW w:w="1449" w:type="pct"/>
            <w:vAlign w:val="bottom"/>
          </w:tcPr>
          <w:p w14:paraId="25A41FDE" w14:textId="07AF337D" w:rsidR="005347CD" w:rsidRPr="001F224B" w:rsidRDefault="003162E1" w:rsidP="00193FFF">
            <w:pPr>
              <w:jc w:val="center"/>
              <w:rPr>
                <w:color w:val="000000"/>
                <w:sz w:val="20"/>
                <w:szCs w:val="20"/>
              </w:rPr>
            </w:pPr>
            <w:r w:rsidRPr="001F224B">
              <w:rPr>
                <w:color w:val="000000"/>
                <w:sz w:val="20"/>
                <w:szCs w:val="20"/>
              </w:rPr>
              <w:t>414,71</w:t>
            </w:r>
          </w:p>
        </w:tc>
        <w:tc>
          <w:tcPr>
            <w:tcW w:w="1448" w:type="pct"/>
            <w:vAlign w:val="bottom"/>
          </w:tcPr>
          <w:p w14:paraId="24674EC2" w14:textId="3FCB6EE4" w:rsidR="005347CD" w:rsidRPr="001F224B" w:rsidRDefault="003162E1" w:rsidP="00193FFF">
            <w:pPr>
              <w:jc w:val="center"/>
              <w:rPr>
                <w:color w:val="000000"/>
                <w:sz w:val="20"/>
                <w:szCs w:val="20"/>
              </w:rPr>
            </w:pPr>
            <w:r w:rsidRPr="001F224B">
              <w:rPr>
                <w:color w:val="000000"/>
                <w:sz w:val="20"/>
                <w:szCs w:val="20"/>
              </w:rPr>
              <w:t>163,34</w:t>
            </w:r>
          </w:p>
        </w:tc>
      </w:tr>
      <w:tr w:rsidR="00172741" w:rsidRPr="001F224B" w14:paraId="48C1AB1E" w14:textId="77777777" w:rsidTr="00193FFF">
        <w:trPr>
          <w:trHeight w:val="276"/>
        </w:trPr>
        <w:tc>
          <w:tcPr>
            <w:tcW w:w="2102" w:type="pct"/>
            <w:tcBorders>
              <w:top w:val="single" w:sz="4" w:space="0" w:color="auto"/>
              <w:bottom w:val="single" w:sz="4" w:space="0" w:color="auto"/>
            </w:tcBorders>
            <w:vAlign w:val="bottom"/>
          </w:tcPr>
          <w:p w14:paraId="3A78F85A" w14:textId="432AEC2B" w:rsidR="00172741" w:rsidRPr="001F224B" w:rsidRDefault="007D07A9" w:rsidP="00172741">
            <w:pPr>
              <w:rPr>
                <w:b/>
                <w:bCs/>
                <w:color w:val="000000"/>
                <w:sz w:val="20"/>
                <w:szCs w:val="20"/>
              </w:rPr>
            </w:pPr>
            <w:r w:rsidRPr="001F224B">
              <w:rPr>
                <w:b/>
                <w:bCs/>
                <w:color w:val="000000"/>
                <w:sz w:val="20"/>
                <w:szCs w:val="20"/>
              </w:rPr>
              <w:t>31</w:t>
            </w:r>
            <w:r w:rsidR="00172741" w:rsidRPr="001F224B">
              <w:rPr>
                <w:b/>
                <w:bCs/>
                <w:color w:val="000000"/>
                <w:sz w:val="20"/>
                <w:szCs w:val="20"/>
              </w:rPr>
              <w:t xml:space="preserve"> </w:t>
            </w:r>
            <w:r w:rsidRPr="001F224B">
              <w:rPr>
                <w:b/>
                <w:bCs/>
                <w:color w:val="000000"/>
                <w:sz w:val="20"/>
                <w:szCs w:val="20"/>
              </w:rPr>
              <w:t>Mayıs</w:t>
            </w:r>
            <w:r w:rsidR="00172741" w:rsidRPr="001F224B">
              <w:rPr>
                <w:b/>
                <w:bCs/>
                <w:color w:val="000000"/>
                <w:sz w:val="20"/>
                <w:szCs w:val="20"/>
              </w:rPr>
              <w:t xml:space="preserve"> 2025</w:t>
            </w:r>
          </w:p>
        </w:tc>
        <w:tc>
          <w:tcPr>
            <w:tcW w:w="1449" w:type="pct"/>
            <w:vAlign w:val="bottom"/>
          </w:tcPr>
          <w:p w14:paraId="4DDC7859" w14:textId="269A2692" w:rsidR="00172741" w:rsidRPr="001F224B" w:rsidRDefault="003162E1" w:rsidP="00172741">
            <w:pPr>
              <w:jc w:val="center"/>
              <w:rPr>
                <w:color w:val="000000"/>
                <w:sz w:val="20"/>
                <w:szCs w:val="20"/>
              </w:rPr>
            </w:pPr>
            <w:r w:rsidRPr="001F224B">
              <w:rPr>
                <w:color w:val="000000"/>
                <w:sz w:val="20"/>
                <w:szCs w:val="20"/>
              </w:rPr>
              <w:t>324,88</w:t>
            </w:r>
          </w:p>
        </w:tc>
        <w:tc>
          <w:tcPr>
            <w:tcW w:w="1448" w:type="pct"/>
            <w:vAlign w:val="bottom"/>
          </w:tcPr>
          <w:p w14:paraId="1E01DE81" w14:textId="476A36BD" w:rsidR="00172741" w:rsidRPr="001F224B" w:rsidRDefault="003162E1" w:rsidP="00172741">
            <w:pPr>
              <w:jc w:val="center"/>
              <w:rPr>
                <w:color w:val="000000"/>
                <w:sz w:val="20"/>
                <w:szCs w:val="20"/>
              </w:rPr>
            </w:pPr>
            <w:r w:rsidRPr="001F224B">
              <w:rPr>
                <w:color w:val="000000"/>
                <w:sz w:val="20"/>
                <w:szCs w:val="20"/>
              </w:rPr>
              <w:t>145,90</w:t>
            </w:r>
          </w:p>
        </w:tc>
      </w:tr>
      <w:tr w:rsidR="005347CD" w:rsidRPr="001F224B" w14:paraId="74F477DB" w14:textId="77777777" w:rsidTr="00193FFF">
        <w:trPr>
          <w:trHeight w:val="276"/>
        </w:trPr>
        <w:tc>
          <w:tcPr>
            <w:tcW w:w="2102" w:type="pct"/>
            <w:tcBorders>
              <w:top w:val="single" w:sz="4" w:space="0" w:color="auto"/>
            </w:tcBorders>
            <w:vAlign w:val="bottom"/>
          </w:tcPr>
          <w:p w14:paraId="48CE76D7" w14:textId="42EA1858" w:rsidR="005347CD" w:rsidRPr="001F224B" w:rsidRDefault="005347CD" w:rsidP="00193FFF">
            <w:pPr>
              <w:rPr>
                <w:b/>
                <w:bCs/>
                <w:color w:val="000000"/>
                <w:sz w:val="20"/>
                <w:szCs w:val="20"/>
              </w:rPr>
            </w:pPr>
            <w:r w:rsidRPr="001F224B">
              <w:rPr>
                <w:b/>
                <w:bCs/>
                <w:color w:val="000000"/>
                <w:sz w:val="20"/>
                <w:szCs w:val="20"/>
              </w:rPr>
              <w:t>3</w:t>
            </w:r>
            <w:r w:rsidR="007D07A9" w:rsidRPr="001F224B">
              <w:rPr>
                <w:b/>
                <w:bCs/>
                <w:color w:val="000000"/>
                <w:sz w:val="20"/>
                <w:szCs w:val="20"/>
              </w:rPr>
              <w:t>0</w:t>
            </w:r>
            <w:r w:rsidR="001E3833" w:rsidRPr="001F224B">
              <w:rPr>
                <w:b/>
                <w:bCs/>
                <w:color w:val="000000"/>
                <w:sz w:val="20"/>
                <w:szCs w:val="20"/>
              </w:rPr>
              <w:t xml:space="preserve"> </w:t>
            </w:r>
            <w:r w:rsidR="007D07A9" w:rsidRPr="001F224B">
              <w:rPr>
                <w:b/>
                <w:bCs/>
                <w:color w:val="000000"/>
                <w:sz w:val="20"/>
                <w:szCs w:val="20"/>
              </w:rPr>
              <w:t>Haziran</w:t>
            </w:r>
            <w:r w:rsidR="00172741" w:rsidRPr="001F224B">
              <w:rPr>
                <w:b/>
                <w:bCs/>
                <w:color w:val="000000"/>
                <w:sz w:val="20"/>
                <w:szCs w:val="20"/>
              </w:rPr>
              <w:t xml:space="preserve"> 2025</w:t>
            </w:r>
          </w:p>
        </w:tc>
        <w:tc>
          <w:tcPr>
            <w:tcW w:w="1449" w:type="pct"/>
            <w:vAlign w:val="bottom"/>
          </w:tcPr>
          <w:p w14:paraId="33B1E0E3" w14:textId="4538BDB4" w:rsidR="005347CD" w:rsidRPr="001F224B" w:rsidRDefault="003162E1" w:rsidP="00193FFF">
            <w:pPr>
              <w:jc w:val="center"/>
              <w:rPr>
                <w:color w:val="000000"/>
                <w:sz w:val="20"/>
                <w:szCs w:val="20"/>
              </w:rPr>
            </w:pPr>
            <w:r w:rsidRPr="001F224B">
              <w:rPr>
                <w:color w:val="000000"/>
                <w:sz w:val="20"/>
                <w:szCs w:val="20"/>
              </w:rPr>
              <w:t>335,01</w:t>
            </w:r>
          </w:p>
        </w:tc>
        <w:tc>
          <w:tcPr>
            <w:tcW w:w="1448" w:type="pct"/>
            <w:vAlign w:val="bottom"/>
          </w:tcPr>
          <w:p w14:paraId="4A0D2295" w14:textId="7701C4D3" w:rsidR="005347CD" w:rsidRPr="001F224B" w:rsidRDefault="003162E1" w:rsidP="00193FFF">
            <w:pPr>
              <w:jc w:val="center"/>
              <w:rPr>
                <w:color w:val="000000"/>
                <w:sz w:val="20"/>
                <w:szCs w:val="20"/>
              </w:rPr>
            </w:pPr>
            <w:r w:rsidRPr="001F224B">
              <w:rPr>
                <w:color w:val="000000"/>
                <w:sz w:val="20"/>
                <w:szCs w:val="20"/>
              </w:rPr>
              <w:t>107,64</w:t>
            </w:r>
          </w:p>
        </w:tc>
      </w:tr>
    </w:tbl>
    <w:p w14:paraId="61A70292" w14:textId="77777777" w:rsidR="005347CD" w:rsidRPr="001F224B" w:rsidRDefault="005347CD" w:rsidP="005347CD">
      <w:pPr>
        <w:spacing w:before="120" w:after="120"/>
        <w:ind w:firstLine="720"/>
        <w:rPr>
          <w:b/>
        </w:rPr>
      </w:pPr>
    </w:p>
    <w:p w14:paraId="5F1A782C" w14:textId="77777777" w:rsidR="005347CD" w:rsidRPr="001F224B" w:rsidRDefault="005347CD" w:rsidP="005347CD">
      <w:pPr>
        <w:spacing w:before="120" w:after="120"/>
        <w:ind w:left="284" w:firstLine="720"/>
        <w:rPr>
          <w:b/>
        </w:rPr>
      </w:pPr>
    </w:p>
    <w:p w14:paraId="158127B9" w14:textId="77777777" w:rsidR="005347CD" w:rsidRPr="001F224B" w:rsidRDefault="005347CD" w:rsidP="005347CD">
      <w:pPr>
        <w:spacing w:before="120" w:after="120"/>
        <w:ind w:firstLine="720"/>
        <w:rPr>
          <w:b/>
        </w:rPr>
      </w:pPr>
    </w:p>
    <w:tbl>
      <w:tblPr>
        <w:tblStyle w:val="TabloKlavuzu2"/>
        <w:tblW w:w="9855" w:type="dxa"/>
        <w:tblInd w:w="137" w:type="dxa"/>
        <w:tblLayout w:type="fixed"/>
        <w:tblLook w:val="04A0" w:firstRow="1" w:lastRow="0" w:firstColumn="1" w:lastColumn="0" w:noHBand="0" w:noVBand="1"/>
      </w:tblPr>
      <w:tblGrid>
        <w:gridCol w:w="5359"/>
        <w:gridCol w:w="1151"/>
        <w:gridCol w:w="1134"/>
        <w:gridCol w:w="1134"/>
        <w:gridCol w:w="1077"/>
      </w:tblGrid>
      <w:tr w:rsidR="005347CD" w:rsidRPr="001F224B" w14:paraId="5A30E530" w14:textId="77777777" w:rsidTr="00193FFF">
        <w:trPr>
          <w:trHeight w:val="753"/>
        </w:trPr>
        <w:tc>
          <w:tcPr>
            <w:tcW w:w="5359" w:type="dxa"/>
            <w:vAlign w:val="bottom"/>
            <w:hideMark/>
          </w:tcPr>
          <w:p w14:paraId="16DDA1BA" w14:textId="77777777" w:rsidR="005347CD" w:rsidRPr="001F224B" w:rsidRDefault="005347CD" w:rsidP="00193FFF">
            <w:pPr>
              <w:rPr>
                <w:sz w:val="18"/>
                <w:szCs w:val="18"/>
              </w:rPr>
            </w:pPr>
            <w:r w:rsidRPr="001F224B">
              <w:rPr>
                <w:sz w:val="18"/>
                <w:szCs w:val="18"/>
              </w:rPr>
              <w:t> </w:t>
            </w:r>
          </w:p>
        </w:tc>
        <w:tc>
          <w:tcPr>
            <w:tcW w:w="2285" w:type="dxa"/>
            <w:gridSpan w:val="2"/>
            <w:vAlign w:val="bottom"/>
            <w:hideMark/>
          </w:tcPr>
          <w:p w14:paraId="4F9214EA" w14:textId="77777777" w:rsidR="005347CD" w:rsidRPr="001F224B" w:rsidRDefault="005347CD" w:rsidP="00193FFF">
            <w:pPr>
              <w:jc w:val="center"/>
              <w:rPr>
                <w:b/>
                <w:sz w:val="18"/>
                <w:szCs w:val="18"/>
              </w:rPr>
            </w:pPr>
            <w:r w:rsidRPr="001F224B">
              <w:rPr>
                <w:b/>
                <w:sz w:val="18"/>
                <w:szCs w:val="18"/>
              </w:rPr>
              <w:t xml:space="preserve">Dikkate Alınma Oranı Uygulanmamış Toplam Değer </w:t>
            </w:r>
            <w:r w:rsidRPr="001F224B">
              <w:rPr>
                <w:b/>
                <w:sz w:val="18"/>
                <w:szCs w:val="18"/>
                <w:vertAlign w:val="superscript"/>
              </w:rPr>
              <w:t>(*)</w:t>
            </w:r>
          </w:p>
        </w:tc>
        <w:tc>
          <w:tcPr>
            <w:tcW w:w="2211" w:type="dxa"/>
            <w:gridSpan w:val="2"/>
            <w:vAlign w:val="bottom"/>
            <w:hideMark/>
          </w:tcPr>
          <w:p w14:paraId="323945A0" w14:textId="77777777" w:rsidR="005347CD" w:rsidRPr="001F224B" w:rsidRDefault="005347CD" w:rsidP="00193FFF">
            <w:pPr>
              <w:jc w:val="center"/>
              <w:rPr>
                <w:b/>
                <w:sz w:val="18"/>
                <w:szCs w:val="18"/>
              </w:rPr>
            </w:pPr>
            <w:r w:rsidRPr="001F224B">
              <w:rPr>
                <w:b/>
                <w:sz w:val="18"/>
                <w:szCs w:val="18"/>
              </w:rPr>
              <w:t xml:space="preserve">Dikkate Alınma Oranı Uygulanmış Toplam Değer </w:t>
            </w:r>
            <w:r w:rsidRPr="001F224B">
              <w:rPr>
                <w:b/>
                <w:sz w:val="18"/>
                <w:szCs w:val="18"/>
                <w:vertAlign w:val="superscript"/>
              </w:rPr>
              <w:t>(*)</w:t>
            </w:r>
          </w:p>
        </w:tc>
      </w:tr>
      <w:tr w:rsidR="005347CD" w:rsidRPr="001F224B" w14:paraId="6E3354D4" w14:textId="77777777" w:rsidTr="00193FFF">
        <w:trPr>
          <w:trHeight w:val="256"/>
        </w:trPr>
        <w:tc>
          <w:tcPr>
            <w:tcW w:w="5359" w:type="dxa"/>
            <w:vAlign w:val="bottom"/>
            <w:hideMark/>
          </w:tcPr>
          <w:p w14:paraId="20D54904" w14:textId="556A0E21" w:rsidR="005347CD" w:rsidRPr="001F224B" w:rsidRDefault="005347CD" w:rsidP="00193FFF">
            <w:pPr>
              <w:rPr>
                <w:b/>
                <w:bCs/>
                <w:sz w:val="18"/>
                <w:szCs w:val="18"/>
              </w:rPr>
            </w:pPr>
            <w:r w:rsidRPr="001F224B">
              <w:rPr>
                <w:b/>
                <w:bCs/>
                <w:sz w:val="18"/>
                <w:szCs w:val="18"/>
              </w:rPr>
              <w:t xml:space="preserve">Cari </w:t>
            </w:r>
            <w:r w:rsidRPr="001F224B">
              <w:rPr>
                <w:b/>
                <w:bCs/>
                <w:sz w:val="18"/>
                <w:szCs w:val="18"/>
                <w:shd w:val="clear" w:color="auto" w:fill="FFFFFF" w:themeFill="background1"/>
              </w:rPr>
              <w:t>Dönem (3</w:t>
            </w:r>
            <w:r w:rsidR="007D07A9" w:rsidRPr="001F224B">
              <w:rPr>
                <w:b/>
                <w:bCs/>
                <w:sz w:val="18"/>
                <w:szCs w:val="18"/>
                <w:shd w:val="clear" w:color="auto" w:fill="FFFFFF" w:themeFill="background1"/>
              </w:rPr>
              <w:t>0</w:t>
            </w:r>
            <w:r w:rsidRPr="001F224B">
              <w:rPr>
                <w:b/>
                <w:bCs/>
                <w:sz w:val="18"/>
                <w:szCs w:val="18"/>
                <w:shd w:val="clear" w:color="auto" w:fill="FFFFFF" w:themeFill="background1"/>
              </w:rPr>
              <w:t>.</w:t>
            </w:r>
            <w:r w:rsidR="00A220E9" w:rsidRPr="001F224B">
              <w:rPr>
                <w:b/>
                <w:bCs/>
                <w:sz w:val="18"/>
                <w:szCs w:val="18"/>
                <w:shd w:val="clear" w:color="auto" w:fill="FFFFFF" w:themeFill="background1"/>
              </w:rPr>
              <w:t>0</w:t>
            </w:r>
            <w:r w:rsidR="007D07A9" w:rsidRPr="001F224B">
              <w:rPr>
                <w:b/>
                <w:bCs/>
                <w:sz w:val="18"/>
                <w:szCs w:val="18"/>
                <w:shd w:val="clear" w:color="auto" w:fill="FFFFFF" w:themeFill="background1"/>
              </w:rPr>
              <w:t>6</w:t>
            </w:r>
            <w:r w:rsidRPr="001F224B">
              <w:rPr>
                <w:b/>
                <w:bCs/>
                <w:sz w:val="18"/>
                <w:szCs w:val="18"/>
                <w:shd w:val="clear" w:color="auto" w:fill="FFFFFF" w:themeFill="background1"/>
              </w:rPr>
              <w:t>.202</w:t>
            </w:r>
            <w:r w:rsidR="00A220E9" w:rsidRPr="001F224B">
              <w:rPr>
                <w:b/>
                <w:bCs/>
                <w:sz w:val="18"/>
                <w:szCs w:val="18"/>
                <w:shd w:val="clear" w:color="auto" w:fill="FFFFFF" w:themeFill="background1"/>
              </w:rPr>
              <w:t>5</w:t>
            </w:r>
            <w:r w:rsidRPr="001F224B">
              <w:rPr>
                <w:b/>
                <w:bCs/>
                <w:sz w:val="18"/>
                <w:szCs w:val="18"/>
                <w:shd w:val="clear" w:color="auto" w:fill="FFFFFF" w:themeFill="background1"/>
              </w:rPr>
              <w:t>)</w:t>
            </w:r>
          </w:p>
        </w:tc>
        <w:tc>
          <w:tcPr>
            <w:tcW w:w="1151" w:type="dxa"/>
            <w:vAlign w:val="bottom"/>
            <w:hideMark/>
          </w:tcPr>
          <w:p w14:paraId="315EEB7B" w14:textId="77777777" w:rsidR="005347CD" w:rsidRPr="001F224B" w:rsidRDefault="005347CD" w:rsidP="00193FFF">
            <w:pPr>
              <w:jc w:val="right"/>
              <w:rPr>
                <w:b/>
                <w:sz w:val="18"/>
                <w:szCs w:val="18"/>
              </w:rPr>
            </w:pPr>
            <w:r w:rsidRPr="001F224B">
              <w:rPr>
                <w:b/>
                <w:sz w:val="18"/>
                <w:szCs w:val="18"/>
              </w:rPr>
              <w:t>TP+YP</w:t>
            </w:r>
          </w:p>
        </w:tc>
        <w:tc>
          <w:tcPr>
            <w:tcW w:w="1134" w:type="dxa"/>
            <w:vAlign w:val="bottom"/>
            <w:hideMark/>
          </w:tcPr>
          <w:p w14:paraId="217C9D09" w14:textId="77777777" w:rsidR="005347CD" w:rsidRPr="001F224B" w:rsidRDefault="005347CD" w:rsidP="00193FFF">
            <w:pPr>
              <w:jc w:val="right"/>
              <w:rPr>
                <w:b/>
                <w:sz w:val="18"/>
                <w:szCs w:val="18"/>
              </w:rPr>
            </w:pPr>
            <w:r w:rsidRPr="001F224B">
              <w:rPr>
                <w:b/>
                <w:sz w:val="18"/>
                <w:szCs w:val="18"/>
              </w:rPr>
              <w:t>YP</w:t>
            </w:r>
          </w:p>
        </w:tc>
        <w:tc>
          <w:tcPr>
            <w:tcW w:w="1134" w:type="dxa"/>
            <w:vAlign w:val="bottom"/>
            <w:hideMark/>
          </w:tcPr>
          <w:p w14:paraId="44A12375" w14:textId="77777777" w:rsidR="005347CD" w:rsidRPr="001F224B" w:rsidRDefault="005347CD" w:rsidP="00193FFF">
            <w:pPr>
              <w:jc w:val="right"/>
              <w:rPr>
                <w:b/>
                <w:sz w:val="18"/>
                <w:szCs w:val="18"/>
              </w:rPr>
            </w:pPr>
            <w:r w:rsidRPr="001F224B">
              <w:rPr>
                <w:b/>
                <w:sz w:val="18"/>
                <w:szCs w:val="18"/>
              </w:rPr>
              <w:t>TP+YP</w:t>
            </w:r>
          </w:p>
        </w:tc>
        <w:tc>
          <w:tcPr>
            <w:tcW w:w="1077" w:type="dxa"/>
            <w:vAlign w:val="bottom"/>
            <w:hideMark/>
          </w:tcPr>
          <w:p w14:paraId="74DA1A64" w14:textId="77777777" w:rsidR="005347CD" w:rsidRPr="001F224B" w:rsidRDefault="005347CD" w:rsidP="00193FFF">
            <w:pPr>
              <w:jc w:val="right"/>
              <w:rPr>
                <w:b/>
                <w:sz w:val="18"/>
                <w:szCs w:val="18"/>
              </w:rPr>
            </w:pPr>
            <w:r w:rsidRPr="001F224B">
              <w:rPr>
                <w:b/>
                <w:sz w:val="18"/>
                <w:szCs w:val="18"/>
              </w:rPr>
              <w:t>YP</w:t>
            </w:r>
          </w:p>
        </w:tc>
      </w:tr>
      <w:tr w:rsidR="005347CD" w:rsidRPr="001F224B" w14:paraId="2322B5EB" w14:textId="77777777" w:rsidTr="00193FFF">
        <w:trPr>
          <w:trHeight w:val="256"/>
        </w:trPr>
        <w:tc>
          <w:tcPr>
            <w:tcW w:w="5359" w:type="dxa"/>
            <w:vAlign w:val="bottom"/>
            <w:hideMark/>
          </w:tcPr>
          <w:p w14:paraId="424A3570" w14:textId="77777777" w:rsidR="005347CD" w:rsidRPr="001F224B" w:rsidRDefault="005347CD" w:rsidP="00193FFF">
            <w:pPr>
              <w:rPr>
                <w:b/>
                <w:sz w:val="18"/>
                <w:szCs w:val="18"/>
              </w:rPr>
            </w:pPr>
            <w:r w:rsidRPr="001F224B">
              <w:rPr>
                <w:b/>
                <w:sz w:val="18"/>
                <w:szCs w:val="18"/>
              </w:rPr>
              <w:t>YÜKSEK KALİTELİ LİKİT VARLIKLAR</w:t>
            </w:r>
          </w:p>
        </w:tc>
        <w:tc>
          <w:tcPr>
            <w:tcW w:w="1151" w:type="dxa"/>
            <w:vAlign w:val="bottom"/>
          </w:tcPr>
          <w:p w14:paraId="33F0DD3C" w14:textId="77777777" w:rsidR="005347CD" w:rsidRPr="001F224B" w:rsidRDefault="005347CD" w:rsidP="00193FFF">
            <w:pPr>
              <w:jc w:val="right"/>
              <w:rPr>
                <w:b/>
                <w:sz w:val="20"/>
                <w:szCs w:val="20"/>
              </w:rPr>
            </w:pPr>
          </w:p>
        </w:tc>
        <w:tc>
          <w:tcPr>
            <w:tcW w:w="1134" w:type="dxa"/>
            <w:vAlign w:val="bottom"/>
          </w:tcPr>
          <w:p w14:paraId="3A640E94" w14:textId="77777777" w:rsidR="005347CD" w:rsidRPr="001F224B" w:rsidRDefault="005347CD" w:rsidP="00193FFF">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B901E0E" w14:textId="77777777" w:rsidR="005347CD" w:rsidRPr="001F224B" w:rsidRDefault="005347CD" w:rsidP="00193FFF">
            <w:pPr>
              <w:jc w:val="right"/>
              <w:rPr>
                <w:b/>
                <w:bCs/>
                <w:color w:val="000000"/>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52DDD434" w14:textId="77777777" w:rsidR="005347CD" w:rsidRPr="001F224B" w:rsidRDefault="005347CD" w:rsidP="00193FFF">
            <w:pPr>
              <w:jc w:val="right"/>
              <w:rPr>
                <w:b/>
                <w:bCs/>
                <w:color w:val="000000"/>
                <w:sz w:val="20"/>
                <w:szCs w:val="20"/>
              </w:rPr>
            </w:pPr>
          </w:p>
        </w:tc>
      </w:tr>
      <w:tr w:rsidR="00B033A9" w:rsidRPr="001F224B" w14:paraId="0EB88DB2" w14:textId="77777777" w:rsidTr="00B033A9">
        <w:trPr>
          <w:trHeight w:val="271"/>
        </w:trPr>
        <w:tc>
          <w:tcPr>
            <w:tcW w:w="5359" w:type="dxa"/>
            <w:vAlign w:val="bottom"/>
            <w:hideMark/>
          </w:tcPr>
          <w:p w14:paraId="05A9C8D9" w14:textId="77777777" w:rsidR="00B033A9" w:rsidRPr="001F224B" w:rsidRDefault="00B033A9" w:rsidP="00B033A9">
            <w:pPr>
              <w:rPr>
                <w:sz w:val="18"/>
                <w:szCs w:val="18"/>
              </w:rPr>
            </w:pPr>
            <w:r w:rsidRPr="001F224B">
              <w:rPr>
                <w:sz w:val="18"/>
                <w:szCs w:val="18"/>
              </w:rPr>
              <w:t xml:space="preserve">    Yüksek kaliteli likit varlıklar</w:t>
            </w:r>
          </w:p>
        </w:tc>
        <w:tc>
          <w:tcPr>
            <w:tcW w:w="1151" w:type="dxa"/>
            <w:vAlign w:val="bottom"/>
          </w:tcPr>
          <w:p w14:paraId="5D8AE374" w14:textId="77777777" w:rsidR="00B033A9" w:rsidRPr="001F224B" w:rsidRDefault="00B033A9" w:rsidP="00B033A9">
            <w:pPr>
              <w:jc w:val="right"/>
              <w:rPr>
                <w:color w:val="000000"/>
                <w:sz w:val="20"/>
                <w:szCs w:val="20"/>
              </w:rPr>
            </w:pPr>
            <w:r w:rsidRPr="001F224B">
              <w:rPr>
                <w:color w:val="000000"/>
                <w:sz w:val="20"/>
                <w:szCs w:val="20"/>
              </w:rPr>
              <w:t xml:space="preserve">             - </w:t>
            </w:r>
          </w:p>
        </w:tc>
        <w:tc>
          <w:tcPr>
            <w:tcW w:w="1134" w:type="dxa"/>
            <w:vAlign w:val="bottom"/>
          </w:tcPr>
          <w:p w14:paraId="3444C2F1" w14:textId="77777777" w:rsidR="00B033A9" w:rsidRPr="001F224B" w:rsidRDefault="00B033A9" w:rsidP="00B033A9">
            <w:pPr>
              <w:jc w:val="right"/>
              <w:rPr>
                <w:color w:val="000000"/>
                <w:sz w:val="20"/>
                <w:szCs w:val="20"/>
              </w:rPr>
            </w:pPr>
            <w:r w:rsidRPr="001F224B">
              <w:rPr>
                <w:color w:val="000000"/>
                <w:sz w:val="20"/>
                <w:szCs w:val="20"/>
              </w:rPr>
              <w:t xml:space="preserve">             -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CF75D4F" w14:textId="088A35EE" w:rsidR="00B033A9" w:rsidRPr="001F224B" w:rsidRDefault="00B033A9" w:rsidP="00B033A9">
            <w:pPr>
              <w:jc w:val="right"/>
              <w:rPr>
                <w:color w:val="000000"/>
                <w:sz w:val="20"/>
                <w:szCs w:val="20"/>
              </w:rPr>
            </w:pPr>
            <w:r w:rsidRPr="001F224B">
              <w:rPr>
                <w:color w:val="000000"/>
                <w:sz w:val="20"/>
                <w:szCs w:val="20"/>
              </w:rPr>
              <w:t>18.533.033</w:t>
            </w:r>
          </w:p>
        </w:tc>
        <w:tc>
          <w:tcPr>
            <w:tcW w:w="1077" w:type="dxa"/>
            <w:tcBorders>
              <w:top w:val="single" w:sz="4" w:space="0" w:color="auto"/>
              <w:left w:val="nil"/>
              <w:bottom w:val="single" w:sz="4" w:space="0" w:color="auto"/>
              <w:right w:val="single" w:sz="4" w:space="0" w:color="auto"/>
            </w:tcBorders>
            <w:shd w:val="clear" w:color="auto" w:fill="auto"/>
            <w:vAlign w:val="bottom"/>
          </w:tcPr>
          <w:p w14:paraId="48C37DA9" w14:textId="72EA46B6" w:rsidR="00B033A9" w:rsidRPr="001F224B" w:rsidRDefault="00B033A9" w:rsidP="00B033A9">
            <w:pPr>
              <w:jc w:val="right"/>
              <w:rPr>
                <w:color w:val="000000"/>
                <w:sz w:val="20"/>
                <w:szCs w:val="20"/>
              </w:rPr>
            </w:pPr>
            <w:r w:rsidRPr="001F224B">
              <w:rPr>
                <w:color w:val="000000"/>
                <w:sz w:val="20"/>
                <w:szCs w:val="20"/>
              </w:rPr>
              <w:t>4.332.105</w:t>
            </w:r>
          </w:p>
        </w:tc>
      </w:tr>
      <w:tr w:rsidR="005347CD" w:rsidRPr="001F224B" w14:paraId="23D8EE0A" w14:textId="77777777" w:rsidTr="00B033A9">
        <w:trPr>
          <w:trHeight w:val="256"/>
        </w:trPr>
        <w:tc>
          <w:tcPr>
            <w:tcW w:w="5359" w:type="dxa"/>
            <w:vAlign w:val="bottom"/>
            <w:hideMark/>
          </w:tcPr>
          <w:p w14:paraId="59209C36" w14:textId="77777777" w:rsidR="005347CD" w:rsidRPr="001F224B" w:rsidRDefault="005347CD" w:rsidP="00193FFF">
            <w:pPr>
              <w:rPr>
                <w:b/>
                <w:sz w:val="18"/>
                <w:szCs w:val="18"/>
              </w:rPr>
            </w:pPr>
            <w:r w:rsidRPr="001F224B">
              <w:rPr>
                <w:b/>
                <w:sz w:val="18"/>
                <w:szCs w:val="18"/>
              </w:rPr>
              <w:t>NAKİT ÇIKIŞLARI</w:t>
            </w:r>
          </w:p>
        </w:tc>
        <w:tc>
          <w:tcPr>
            <w:tcW w:w="1151" w:type="dxa"/>
            <w:vAlign w:val="bottom"/>
          </w:tcPr>
          <w:p w14:paraId="5315A672" w14:textId="77777777" w:rsidR="005347CD" w:rsidRPr="001F224B" w:rsidRDefault="005347CD" w:rsidP="00193FFF">
            <w:pPr>
              <w:jc w:val="right"/>
              <w:rPr>
                <w:color w:val="000000"/>
                <w:sz w:val="20"/>
                <w:szCs w:val="20"/>
              </w:rPr>
            </w:pPr>
            <w:r w:rsidRPr="001F224B">
              <w:rPr>
                <w:color w:val="000000"/>
                <w:sz w:val="20"/>
                <w:szCs w:val="20"/>
              </w:rPr>
              <w:t> </w:t>
            </w:r>
          </w:p>
        </w:tc>
        <w:tc>
          <w:tcPr>
            <w:tcW w:w="1134" w:type="dxa"/>
            <w:vAlign w:val="bottom"/>
          </w:tcPr>
          <w:p w14:paraId="009F53A9" w14:textId="77777777" w:rsidR="005347CD" w:rsidRPr="001F224B" w:rsidRDefault="005347CD" w:rsidP="00193FFF">
            <w:pPr>
              <w:jc w:val="right"/>
              <w:rPr>
                <w:color w:val="000000"/>
                <w:sz w:val="20"/>
                <w:szCs w:val="20"/>
              </w:rPr>
            </w:pPr>
            <w:r w:rsidRPr="001F224B">
              <w:rPr>
                <w:color w:val="000000"/>
                <w:sz w:val="20"/>
                <w:szCs w:val="20"/>
              </w:rPr>
              <w:t> </w:t>
            </w:r>
          </w:p>
        </w:tc>
        <w:tc>
          <w:tcPr>
            <w:tcW w:w="1134" w:type="dxa"/>
            <w:vAlign w:val="bottom"/>
          </w:tcPr>
          <w:p w14:paraId="7B59319D" w14:textId="77777777" w:rsidR="005347CD" w:rsidRPr="001F224B" w:rsidRDefault="005347CD" w:rsidP="00193FFF">
            <w:pPr>
              <w:jc w:val="right"/>
              <w:rPr>
                <w:color w:val="000000"/>
                <w:sz w:val="20"/>
                <w:szCs w:val="20"/>
              </w:rPr>
            </w:pPr>
            <w:r w:rsidRPr="001F224B">
              <w:rPr>
                <w:color w:val="000000"/>
                <w:sz w:val="20"/>
                <w:szCs w:val="20"/>
              </w:rPr>
              <w:t> </w:t>
            </w:r>
          </w:p>
        </w:tc>
        <w:tc>
          <w:tcPr>
            <w:tcW w:w="1077" w:type="dxa"/>
            <w:vAlign w:val="bottom"/>
          </w:tcPr>
          <w:p w14:paraId="27D14F38" w14:textId="77777777" w:rsidR="005347CD" w:rsidRPr="001F224B" w:rsidRDefault="005347CD" w:rsidP="00193FFF">
            <w:pPr>
              <w:jc w:val="right"/>
              <w:rPr>
                <w:color w:val="000000"/>
                <w:sz w:val="20"/>
                <w:szCs w:val="20"/>
              </w:rPr>
            </w:pPr>
            <w:r w:rsidRPr="001F224B">
              <w:rPr>
                <w:color w:val="000000"/>
                <w:sz w:val="20"/>
                <w:szCs w:val="20"/>
              </w:rPr>
              <w:t> </w:t>
            </w:r>
          </w:p>
        </w:tc>
      </w:tr>
      <w:tr w:rsidR="005347CD" w:rsidRPr="001F224B" w14:paraId="7FFF1F37" w14:textId="77777777" w:rsidTr="00B033A9">
        <w:trPr>
          <w:trHeight w:val="256"/>
        </w:trPr>
        <w:tc>
          <w:tcPr>
            <w:tcW w:w="5359" w:type="dxa"/>
            <w:vAlign w:val="bottom"/>
            <w:hideMark/>
          </w:tcPr>
          <w:p w14:paraId="5430AF2D" w14:textId="77777777" w:rsidR="005347CD" w:rsidRPr="001F224B" w:rsidRDefault="005347CD" w:rsidP="00193FFF">
            <w:pPr>
              <w:rPr>
                <w:sz w:val="18"/>
                <w:szCs w:val="18"/>
              </w:rPr>
            </w:pPr>
            <w:r w:rsidRPr="001F224B">
              <w:rPr>
                <w:sz w:val="18"/>
                <w:szCs w:val="18"/>
              </w:rPr>
              <w:t xml:space="preserve">    Gerçek kişi mevduat ve perakende mevduat</w:t>
            </w:r>
          </w:p>
        </w:tc>
        <w:tc>
          <w:tcPr>
            <w:tcW w:w="1151" w:type="dxa"/>
            <w:vAlign w:val="bottom"/>
          </w:tcPr>
          <w:p w14:paraId="6ABD3E5E"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134" w:type="dxa"/>
            <w:vAlign w:val="bottom"/>
          </w:tcPr>
          <w:p w14:paraId="790E8100"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134" w:type="dxa"/>
            <w:vAlign w:val="bottom"/>
          </w:tcPr>
          <w:p w14:paraId="3C77C992"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077" w:type="dxa"/>
            <w:vAlign w:val="bottom"/>
          </w:tcPr>
          <w:p w14:paraId="5A7CC785" w14:textId="77777777" w:rsidR="005347CD" w:rsidRPr="001F224B" w:rsidRDefault="005347CD" w:rsidP="00193FFF">
            <w:pPr>
              <w:jc w:val="right"/>
              <w:rPr>
                <w:color w:val="000000"/>
                <w:sz w:val="20"/>
                <w:szCs w:val="20"/>
              </w:rPr>
            </w:pPr>
            <w:r w:rsidRPr="001F224B">
              <w:rPr>
                <w:color w:val="000000"/>
                <w:sz w:val="20"/>
                <w:szCs w:val="20"/>
              </w:rPr>
              <w:t xml:space="preserve">             - </w:t>
            </w:r>
          </w:p>
        </w:tc>
      </w:tr>
      <w:tr w:rsidR="005347CD" w:rsidRPr="001F224B" w14:paraId="310E6798" w14:textId="77777777" w:rsidTr="00B033A9">
        <w:trPr>
          <w:trHeight w:val="256"/>
        </w:trPr>
        <w:tc>
          <w:tcPr>
            <w:tcW w:w="5359" w:type="dxa"/>
            <w:vAlign w:val="bottom"/>
            <w:hideMark/>
          </w:tcPr>
          <w:p w14:paraId="795D8261" w14:textId="77777777" w:rsidR="005347CD" w:rsidRPr="001F224B" w:rsidRDefault="005347CD" w:rsidP="00193FFF">
            <w:pPr>
              <w:rPr>
                <w:sz w:val="18"/>
                <w:szCs w:val="18"/>
              </w:rPr>
            </w:pPr>
            <w:r w:rsidRPr="001F224B">
              <w:rPr>
                <w:sz w:val="18"/>
                <w:szCs w:val="18"/>
              </w:rPr>
              <w:t xml:space="preserve">    İstikrarlı mevduat</w:t>
            </w:r>
          </w:p>
        </w:tc>
        <w:tc>
          <w:tcPr>
            <w:tcW w:w="1151" w:type="dxa"/>
            <w:vAlign w:val="bottom"/>
          </w:tcPr>
          <w:p w14:paraId="135FB7C1"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134" w:type="dxa"/>
            <w:vAlign w:val="bottom"/>
          </w:tcPr>
          <w:p w14:paraId="5A192BF9"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134" w:type="dxa"/>
            <w:vAlign w:val="bottom"/>
          </w:tcPr>
          <w:p w14:paraId="12B8C687"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077" w:type="dxa"/>
            <w:vAlign w:val="bottom"/>
          </w:tcPr>
          <w:p w14:paraId="55A4DF11" w14:textId="77777777" w:rsidR="005347CD" w:rsidRPr="001F224B" w:rsidRDefault="005347CD" w:rsidP="00193FFF">
            <w:pPr>
              <w:jc w:val="right"/>
              <w:rPr>
                <w:color w:val="000000"/>
                <w:sz w:val="20"/>
                <w:szCs w:val="20"/>
              </w:rPr>
            </w:pPr>
            <w:r w:rsidRPr="001F224B">
              <w:rPr>
                <w:color w:val="000000"/>
                <w:sz w:val="20"/>
                <w:szCs w:val="20"/>
              </w:rPr>
              <w:t xml:space="preserve">             - </w:t>
            </w:r>
          </w:p>
        </w:tc>
      </w:tr>
      <w:tr w:rsidR="005347CD" w:rsidRPr="001F224B" w14:paraId="481846C7" w14:textId="77777777" w:rsidTr="00B033A9">
        <w:trPr>
          <w:trHeight w:val="256"/>
        </w:trPr>
        <w:tc>
          <w:tcPr>
            <w:tcW w:w="5359" w:type="dxa"/>
            <w:vAlign w:val="bottom"/>
            <w:hideMark/>
          </w:tcPr>
          <w:p w14:paraId="10A8F296" w14:textId="77777777" w:rsidR="005347CD" w:rsidRPr="001F224B" w:rsidRDefault="005347CD" w:rsidP="00193FFF">
            <w:pPr>
              <w:rPr>
                <w:sz w:val="18"/>
                <w:szCs w:val="18"/>
              </w:rPr>
            </w:pPr>
            <w:r w:rsidRPr="001F224B">
              <w:rPr>
                <w:sz w:val="18"/>
                <w:szCs w:val="18"/>
              </w:rPr>
              <w:t xml:space="preserve">    Düşük istikrarlı mevduat</w:t>
            </w:r>
          </w:p>
        </w:tc>
        <w:tc>
          <w:tcPr>
            <w:tcW w:w="1151" w:type="dxa"/>
            <w:vAlign w:val="bottom"/>
          </w:tcPr>
          <w:p w14:paraId="3C6F1918"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134" w:type="dxa"/>
            <w:vAlign w:val="bottom"/>
          </w:tcPr>
          <w:p w14:paraId="0D2274D4"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134" w:type="dxa"/>
            <w:vAlign w:val="bottom"/>
          </w:tcPr>
          <w:p w14:paraId="7DE8AAF3" w14:textId="77777777" w:rsidR="005347CD" w:rsidRPr="001F224B" w:rsidRDefault="005347CD" w:rsidP="00193FFF">
            <w:pPr>
              <w:jc w:val="right"/>
              <w:rPr>
                <w:color w:val="000000"/>
                <w:sz w:val="20"/>
                <w:szCs w:val="20"/>
              </w:rPr>
            </w:pPr>
            <w:r w:rsidRPr="001F224B">
              <w:rPr>
                <w:color w:val="000000"/>
                <w:sz w:val="20"/>
                <w:szCs w:val="20"/>
              </w:rPr>
              <w:t xml:space="preserve">             - </w:t>
            </w:r>
          </w:p>
        </w:tc>
        <w:tc>
          <w:tcPr>
            <w:tcW w:w="1077" w:type="dxa"/>
            <w:vAlign w:val="bottom"/>
          </w:tcPr>
          <w:p w14:paraId="61F3267C" w14:textId="77777777" w:rsidR="005347CD" w:rsidRPr="001F224B" w:rsidRDefault="005347CD" w:rsidP="00193FFF">
            <w:pPr>
              <w:jc w:val="right"/>
              <w:rPr>
                <w:color w:val="000000"/>
                <w:sz w:val="20"/>
                <w:szCs w:val="20"/>
              </w:rPr>
            </w:pPr>
            <w:r w:rsidRPr="001F224B">
              <w:rPr>
                <w:color w:val="000000"/>
                <w:sz w:val="20"/>
                <w:szCs w:val="20"/>
              </w:rPr>
              <w:t xml:space="preserve">             - </w:t>
            </w:r>
          </w:p>
        </w:tc>
      </w:tr>
      <w:tr w:rsidR="00B033A9" w:rsidRPr="001F224B" w14:paraId="644B7EF3" w14:textId="77777777" w:rsidTr="00B033A9">
        <w:trPr>
          <w:trHeight w:val="20"/>
        </w:trPr>
        <w:tc>
          <w:tcPr>
            <w:tcW w:w="5359" w:type="dxa"/>
            <w:vAlign w:val="bottom"/>
            <w:hideMark/>
          </w:tcPr>
          <w:p w14:paraId="66601110" w14:textId="77777777" w:rsidR="00B033A9" w:rsidRPr="001F224B" w:rsidRDefault="00B033A9" w:rsidP="00B033A9">
            <w:pPr>
              <w:rPr>
                <w:sz w:val="17"/>
                <w:szCs w:val="17"/>
              </w:rPr>
            </w:pPr>
            <w:r w:rsidRPr="001F224B">
              <w:rPr>
                <w:sz w:val="18"/>
                <w:szCs w:val="18"/>
              </w:rPr>
              <w:t>Gerçek kişi mevduat ve perakende mevduat dışında kalan teminatsız borçlar</w:t>
            </w:r>
          </w:p>
        </w:tc>
        <w:tc>
          <w:tcPr>
            <w:tcW w:w="1151" w:type="dxa"/>
            <w:vAlign w:val="bottom"/>
          </w:tcPr>
          <w:p w14:paraId="0E7B8BAD" w14:textId="3159E40D" w:rsidR="00B033A9" w:rsidRPr="001F224B" w:rsidRDefault="00B033A9" w:rsidP="00B033A9">
            <w:pPr>
              <w:jc w:val="right"/>
              <w:rPr>
                <w:color w:val="000000"/>
                <w:sz w:val="20"/>
                <w:szCs w:val="20"/>
              </w:rPr>
            </w:pPr>
            <w:r w:rsidRPr="001F224B">
              <w:rPr>
                <w:color w:val="000000"/>
                <w:sz w:val="20"/>
                <w:szCs w:val="20"/>
              </w:rPr>
              <w:t>5.940.946</w:t>
            </w:r>
          </w:p>
        </w:tc>
        <w:tc>
          <w:tcPr>
            <w:tcW w:w="1134" w:type="dxa"/>
            <w:vAlign w:val="bottom"/>
          </w:tcPr>
          <w:p w14:paraId="34AA1ECD" w14:textId="56AD7448" w:rsidR="00B033A9" w:rsidRPr="001F224B" w:rsidRDefault="00B033A9" w:rsidP="00B033A9">
            <w:pPr>
              <w:jc w:val="right"/>
              <w:rPr>
                <w:color w:val="000000"/>
                <w:sz w:val="20"/>
                <w:szCs w:val="20"/>
              </w:rPr>
            </w:pPr>
            <w:r w:rsidRPr="001F224B">
              <w:rPr>
                <w:color w:val="000000"/>
                <w:sz w:val="20"/>
                <w:szCs w:val="20"/>
              </w:rPr>
              <w:t>1.405.511</w:t>
            </w:r>
          </w:p>
        </w:tc>
        <w:tc>
          <w:tcPr>
            <w:tcW w:w="1134" w:type="dxa"/>
            <w:vAlign w:val="bottom"/>
          </w:tcPr>
          <w:p w14:paraId="7D6C65BA" w14:textId="205EB5D3" w:rsidR="00B033A9" w:rsidRPr="001F224B" w:rsidRDefault="00B033A9" w:rsidP="00B033A9">
            <w:pPr>
              <w:jc w:val="right"/>
              <w:rPr>
                <w:color w:val="000000"/>
                <w:sz w:val="20"/>
                <w:szCs w:val="20"/>
              </w:rPr>
            </w:pPr>
            <w:r w:rsidRPr="001F224B">
              <w:rPr>
                <w:color w:val="000000"/>
                <w:sz w:val="20"/>
                <w:szCs w:val="20"/>
              </w:rPr>
              <w:t>4.978.179</w:t>
            </w:r>
          </w:p>
        </w:tc>
        <w:tc>
          <w:tcPr>
            <w:tcW w:w="1077" w:type="dxa"/>
            <w:vAlign w:val="bottom"/>
          </w:tcPr>
          <w:p w14:paraId="428786CF" w14:textId="722EC9CF" w:rsidR="00B033A9" w:rsidRPr="001F224B" w:rsidRDefault="00B033A9" w:rsidP="00B033A9">
            <w:pPr>
              <w:jc w:val="right"/>
              <w:rPr>
                <w:color w:val="000000"/>
                <w:sz w:val="20"/>
                <w:szCs w:val="20"/>
              </w:rPr>
            </w:pPr>
            <w:r w:rsidRPr="001F224B">
              <w:rPr>
                <w:color w:val="000000"/>
                <w:sz w:val="20"/>
                <w:szCs w:val="20"/>
              </w:rPr>
              <w:t>726.204</w:t>
            </w:r>
          </w:p>
        </w:tc>
      </w:tr>
      <w:tr w:rsidR="005347CD" w:rsidRPr="001F224B" w14:paraId="34C0D12F" w14:textId="77777777" w:rsidTr="00B033A9">
        <w:trPr>
          <w:trHeight w:val="256"/>
        </w:trPr>
        <w:tc>
          <w:tcPr>
            <w:tcW w:w="5359" w:type="dxa"/>
            <w:vAlign w:val="bottom"/>
            <w:hideMark/>
          </w:tcPr>
          <w:p w14:paraId="3F52229E" w14:textId="77777777" w:rsidR="005347CD" w:rsidRPr="001F224B" w:rsidRDefault="005347CD" w:rsidP="00193FFF">
            <w:pPr>
              <w:rPr>
                <w:sz w:val="18"/>
                <w:szCs w:val="18"/>
              </w:rPr>
            </w:pPr>
            <w:r w:rsidRPr="001F224B">
              <w:rPr>
                <w:sz w:val="18"/>
                <w:szCs w:val="18"/>
              </w:rPr>
              <w:t xml:space="preserve">    Operasyonel mevduat</w:t>
            </w:r>
          </w:p>
        </w:tc>
        <w:tc>
          <w:tcPr>
            <w:tcW w:w="1151" w:type="dxa"/>
            <w:vAlign w:val="bottom"/>
          </w:tcPr>
          <w:p w14:paraId="4D06E848"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c>
          <w:tcPr>
            <w:tcW w:w="1134" w:type="dxa"/>
            <w:vAlign w:val="bottom"/>
          </w:tcPr>
          <w:p w14:paraId="1D09E6AE"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c>
          <w:tcPr>
            <w:tcW w:w="1134" w:type="dxa"/>
            <w:vAlign w:val="bottom"/>
          </w:tcPr>
          <w:p w14:paraId="1FE3507E"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c>
          <w:tcPr>
            <w:tcW w:w="1077" w:type="dxa"/>
            <w:vAlign w:val="bottom"/>
          </w:tcPr>
          <w:p w14:paraId="6E93BCD9"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r>
      <w:tr w:rsidR="005347CD" w:rsidRPr="001F224B" w14:paraId="00BB8558" w14:textId="77777777" w:rsidTr="00B033A9">
        <w:trPr>
          <w:trHeight w:val="256"/>
        </w:trPr>
        <w:tc>
          <w:tcPr>
            <w:tcW w:w="5359" w:type="dxa"/>
            <w:vAlign w:val="bottom"/>
            <w:hideMark/>
          </w:tcPr>
          <w:p w14:paraId="6425D7C1" w14:textId="77777777" w:rsidR="005347CD" w:rsidRPr="001F224B" w:rsidRDefault="005347CD" w:rsidP="00193FFF">
            <w:pPr>
              <w:rPr>
                <w:sz w:val="18"/>
                <w:szCs w:val="18"/>
              </w:rPr>
            </w:pPr>
            <w:r w:rsidRPr="001F224B">
              <w:rPr>
                <w:sz w:val="18"/>
                <w:szCs w:val="18"/>
              </w:rPr>
              <w:t xml:space="preserve">    Operasyonel olmayan mevduat</w:t>
            </w:r>
          </w:p>
        </w:tc>
        <w:tc>
          <w:tcPr>
            <w:tcW w:w="1151" w:type="dxa"/>
            <w:vAlign w:val="bottom"/>
          </w:tcPr>
          <w:p w14:paraId="1AD30598"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c>
          <w:tcPr>
            <w:tcW w:w="1134" w:type="dxa"/>
            <w:vAlign w:val="bottom"/>
          </w:tcPr>
          <w:p w14:paraId="2C8A6313"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c>
          <w:tcPr>
            <w:tcW w:w="1134" w:type="dxa"/>
            <w:vAlign w:val="bottom"/>
          </w:tcPr>
          <w:p w14:paraId="540794FC"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c>
          <w:tcPr>
            <w:tcW w:w="1077" w:type="dxa"/>
            <w:vAlign w:val="bottom"/>
          </w:tcPr>
          <w:p w14:paraId="41EB7385" w14:textId="77777777" w:rsidR="005347CD" w:rsidRPr="001F224B" w:rsidRDefault="005347CD" w:rsidP="00193FFF">
            <w:pPr>
              <w:jc w:val="right"/>
              <w:rPr>
                <w:b/>
                <w:bCs/>
                <w:color w:val="000000"/>
                <w:sz w:val="20"/>
                <w:szCs w:val="20"/>
              </w:rPr>
            </w:pPr>
            <w:r w:rsidRPr="001F224B">
              <w:rPr>
                <w:b/>
                <w:bCs/>
                <w:color w:val="000000"/>
                <w:sz w:val="20"/>
                <w:szCs w:val="20"/>
              </w:rPr>
              <w:t xml:space="preserve"> - </w:t>
            </w:r>
          </w:p>
        </w:tc>
      </w:tr>
      <w:tr w:rsidR="00B033A9" w:rsidRPr="001F224B" w14:paraId="20E0460B" w14:textId="77777777" w:rsidTr="00B033A9">
        <w:trPr>
          <w:trHeight w:val="256"/>
        </w:trPr>
        <w:tc>
          <w:tcPr>
            <w:tcW w:w="5359" w:type="dxa"/>
            <w:vAlign w:val="bottom"/>
            <w:hideMark/>
          </w:tcPr>
          <w:p w14:paraId="34F73425" w14:textId="77777777" w:rsidR="00B033A9" w:rsidRPr="001F224B" w:rsidRDefault="00B033A9" w:rsidP="00B033A9">
            <w:pPr>
              <w:rPr>
                <w:sz w:val="18"/>
                <w:szCs w:val="18"/>
              </w:rPr>
            </w:pPr>
            <w:r w:rsidRPr="001F224B">
              <w:rPr>
                <w:sz w:val="18"/>
                <w:szCs w:val="18"/>
              </w:rPr>
              <w:t xml:space="preserve">    Diğer teminatsız borçlar</w:t>
            </w:r>
          </w:p>
        </w:tc>
        <w:tc>
          <w:tcPr>
            <w:tcW w:w="1151" w:type="dxa"/>
            <w:vAlign w:val="bottom"/>
          </w:tcPr>
          <w:p w14:paraId="0A984B9C" w14:textId="7B8A52CF" w:rsidR="00B033A9" w:rsidRPr="001F224B" w:rsidRDefault="00B033A9" w:rsidP="00B033A9">
            <w:pPr>
              <w:jc w:val="right"/>
              <w:rPr>
                <w:color w:val="000000"/>
                <w:sz w:val="20"/>
                <w:szCs w:val="20"/>
              </w:rPr>
            </w:pPr>
            <w:r w:rsidRPr="001F224B">
              <w:rPr>
                <w:color w:val="000000"/>
                <w:sz w:val="20"/>
                <w:szCs w:val="20"/>
              </w:rPr>
              <w:t>5.940.946</w:t>
            </w:r>
          </w:p>
        </w:tc>
        <w:tc>
          <w:tcPr>
            <w:tcW w:w="1134" w:type="dxa"/>
            <w:vAlign w:val="bottom"/>
          </w:tcPr>
          <w:p w14:paraId="0F994853" w14:textId="4CA68F10" w:rsidR="00B033A9" w:rsidRPr="001F224B" w:rsidRDefault="00B033A9" w:rsidP="00B033A9">
            <w:pPr>
              <w:jc w:val="right"/>
              <w:rPr>
                <w:color w:val="000000"/>
                <w:sz w:val="20"/>
                <w:szCs w:val="20"/>
              </w:rPr>
            </w:pPr>
            <w:r w:rsidRPr="001F224B">
              <w:rPr>
                <w:color w:val="000000"/>
                <w:sz w:val="20"/>
                <w:szCs w:val="20"/>
              </w:rPr>
              <w:t>1.405.511</w:t>
            </w:r>
          </w:p>
        </w:tc>
        <w:tc>
          <w:tcPr>
            <w:tcW w:w="1134" w:type="dxa"/>
            <w:vAlign w:val="bottom"/>
          </w:tcPr>
          <w:p w14:paraId="06784D2B" w14:textId="0D570055" w:rsidR="00B033A9" w:rsidRPr="001F224B" w:rsidRDefault="00B033A9" w:rsidP="00B033A9">
            <w:pPr>
              <w:jc w:val="right"/>
              <w:rPr>
                <w:color w:val="000000"/>
                <w:sz w:val="20"/>
                <w:szCs w:val="20"/>
              </w:rPr>
            </w:pPr>
            <w:r w:rsidRPr="001F224B">
              <w:rPr>
                <w:color w:val="000000"/>
                <w:sz w:val="20"/>
                <w:szCs w:val="20"/>
              </w:rPr>
              <w:t>4.978.179</w:t>
            </w:r>
          </w:p>
        </w:tc>
        <w:tc>
          <w:tcPr>
            <w:tcW w:w="1077" w:type="dxa"/>
            <w:vAlign w:val="bottom"/>
          </w:tcPr>
          <w:p w14:paraId="50351E82" w14:textId="6CC31630" w:rsidR="00B033A9" w:rsidRPr="001F224B" w:rsidRDefault="00B033A9" w:rsidP="00B033A9">
            <w:pPr>
              <w:jc w:val="right"/>
              <w:rPr>
                <w:color w:val="000000"/>
                <w:sz w:val="20"/>
                <w:szCs w:val="20"/>
              </w:rPr>
            </w:pPr>
            <w:r w:rsidRPr="001F224B">
              <w:rPr>
                <w:color w:val="000000"/>
                <w:sz w:val="20"/>
                <w:szCs w:val="20"/>
              </w:rPr>
              <w:t>726.204</w:t>
            </w:r>
          </w:p>
        </w:tc>
      </w:tr>
      <w:tr w:rsidR="005347CD" w:rsidRPr="001F224B" w14:paraId="18B87215" w14:textId="77777777" w:rsidTr="00B033A9">
        <w:trPr>
          <w:trHeight w:val="236"/>
        </w:trPr>
        <w:tc>
          <w:tcPr>
            <w:tcW w:w="5359" w:type="dxa"/>
            <w:vAlign w:val="bottom"/>
            <w:hideMark/>
          </w:tcPr>
          <w:p w14:paraId="56EBE9DD" w14:textId="77777777" w:rsidR="005347CD" w:rsidRPr="001F224B" w:rsidRDefault="005347CD" w:rsidP="00193FFF">
            <w:pPr>
              <w:rPr>
                <w:sz w:val="18"/>
                <w:szCs w:val="18"/>
              </w:rPr>
            </w:pPr>
            <w:r w:rsidRPr="001F224B">
              <w:rPr>
                <w:sz w:val="18"/>
                <w:szCs w:val="18"/>
              </w:rPr>
              <w:t xml:space="preserve">    Teminatlı borçlar</w:t>
            </w:r>
          </w:p>
        </w:tc>
        <w:tc>
          <w:tcPr>
            <w:tcW w:w="1151" w:type="dxa"/>
            <w:vAlign w:val="bottom"/>
          </w:tcPr>
          <w:p w14:paraId="3377A345" w14:textId="77777777" w:rsidR="005347CD" w:rsidRPr="001F224B" w:rsidRDefault="005347CD" w:rsidP="00193FFF">
            <w:pPr>
              <w:jc w:val="right"/>
              <w:rPr>
                <w:color w:val="000000"/>
                <w:sz w:val="20"/>
                <w:szCs w:val="20"/>
              </w:rPr>
            </w:pPr>
          </w:p>
        </w:tc>
        <w:tc>
          <w:tcPr>
            <w:tcW w:w="1134" w:type="dxa"/>
            <w:vAlign w:val="bottom"/>
          </w:tcPr>
          <w:p w14:paraId="0FBF5BB2" w14:textId="77777777" w:rsidR="005347CD" w:rsidRPr="001F224B" w:rsidRDefault="005347CD" w:rsidP="00193FFF">
            <w:pPr>
              <w:jc w:val="right"/>
              <w:rPr>
                <w:color w:val="000000"/>
                <w:sz w:val="20"/>
                <w:szCs w:val="20"/>
              </w:rPr>
            </w:pPr>
          </w:p>
        </w:tc>
        <w:tc>
          <w:tcPr>
            <w:tcW w:w="1134" w:type="dxa"/>
            <w:vAlign w:val="bottom"/>
          </w:tcPr>
          <w:p w14:paraId="3B2D7609" w14:textId="77777777" w:rsidR="005347CD" w:rsidRPr="001F224B" w:rsidRDefault="005347CD" w:rsidP="00193FFF">
            <w:pPr>
              <w:jc w:val="right"/>
              <w:rPr>
                <w:color w:val="000000"/>
                <w:sz w:val="20"/>
                <w:szCs w:val="20"/>
              </w:rPr>
            </w:pPr>
            <w:r w:rsidRPr="001F224B">
              <w:rPr>
                <w:sz w:val="20"/>
                <w:szCs w:val="20"/>
              </w:rPr>
              <w:t xml:space="preserve"> - </w:t>
            </w:r>
          </w:p>
        </w:tc>
        <w:tc>
          <w:tcPr>
            <w:tcW w:w="1077" w:type="dxa"/>
            <w:vAlign w:val="bottom"/>
          </w:tcPr>
          <w:p w14:paraId="5A15FDDA" w14:textId="77777777" w:rsidR="005347CD" w:rsidRPr="001F224B" w:rsidRDefault="005347CD" w:rsidP="00193FFF">
            <w:pPr>
              <w:jc w:val="right"/>
              <w:rPr>
                <w:color w:val="000000"/>
                <w:sz w:val="20"/>
                <w:szCs w:val="20"/>
              </w:rPr>
            </w:pPr>
            <w:r w:rsidRPr="001F224B">
              <w:rPr>
                <w:sz w:val="20"/>
                <w:szCs w:val="20"/>
              </w:rPr>
              <w:t xml:space="preserve"> - </w:t>
            </w:r>
          </w:p>
        </w:tc>
      </w:tr>
      <w:tr w:rsidR="00B033A9" w:rsidRPr="001F224B" w14:paraId="2DDD598F" w14:textId="77777777" w:rsidTr="00B033A9">
        <w:trPr>
          <w:trHeight w:val="256"/>
        </w:trPr>
        <w:tc>
          <w:tcPr>
            <w:tcW w:w="5359" w:type="dxa"/>
            <w:vAlign w:val="bottom"/>
            <w:hideMark/>
          </w:tcPr>
          <w:p w14:paraId="76FD59F4" w14:textId="77777777" w:rsidR="00B033A9" w:rsidRPr="001F224B" w:rsidRDefault="00B033A9" w:rsidP="00B033A9">
            <w:pPr>
              <w:rPr>
                <w:sz w:val="18"/>
                <w:szCs w:val="18"/>
              </w:rPr>
            </w:pPr>
            <w:r w:rsidRPr="001F224B">
              <w:rPr>
                <w:sz w:val="18"/>
                <w:szCs w:val="18"/>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070ED09" w14:textId="7F44D734" w:rsidR="00B033A9" w:rsidRPr="001F224B" w:rsidRDefault="00B033A9" w:rsidP="00B033A9">
            <w:pPr>
              <w:jc w:val="right"/>
              <w:rPr>
                <w:color w:val="000000"/>
                <w:sz w:val="20"/>
                <w:szCs w:val="20"/>
              </w:rPr>
            </w:pPr>
            <w:r w:rsidRPr="001F224B">
              <w:rPr>
                <w:color w:val="000000"/>
                <w:sz w:val="20"/>
                <w:szCs w:val="20"/>
              </w:rPr>
              <w:t>10.479.773</w:t>
            </w:r>
          </w:p>
        </w:tc>
        <w:tc>
          <w:tcPr>
            <w:tcW w:w="1134" w:type="dxa"/>
            <w:tcBorders>
              <w:top w:val="single" w:sz="4" w:space="0" w:color="auto"/>
              <w:left w:val="nil"/>
              <w:bottom w:val="single" w:sz="4" w:space="0" w:color="auto"/>
              <w:right w:val="single" w:sz="4" w:space="0" w:color="auto"/>
            </w:tcBorders>
            <w:shd w:val="clear" w:color="auto" w:fill="auto"/>
            <w:vAlign w:val="bottom"/>
          </w:tcPr>
          <w:p w14:paraId="374254CD" w14:textId="317F2D58" w:rsidR="00B033A9" w:rsidRPr="001F224B" w:rsidRDefault="00B033A9" w:rsidP="00B033A9">
            <w:pPr>
              <w:jc w:val="right"/>
              <w:rPr>
                <w:color w:val="000000"/>
                <w:sz w:val="20"/>
                <w:szCs w:val="20"/>
              </w:rPr>
            </w:pPr>
            <w:r w:rsidRPr="001F224B">
              <w:rPr>
                <w:color w:val="000000"/>
                <w:sz w:val="20"/>
                <w:szCs w:val="20"/>
              </w:rPr>
              <w:t>6.258.551</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BC10EC" w14:textId="24A5D566" w:rsidR="00B033A9" w:rsidRPr="001F224B" w:rsidRDefault="00B033A9" w:rsidP="00B033A9">
            <w:pPr>
              <w:jc w:val="right"/>
              <w:rPr>
                <w:color w:val="000000"/>
                <w:sz w:val="20"/>
                <w:szCs w:val="20"/>
              </w:rPr>
            </w:pPr>
            <w:r w:rsidRPr="001F224B">
              <w:rPr>
                <w:color w:val="000000"/>
                <w:sz w:val="20"/>
                <w:szCs w:val="20"/>
              </w:rPr>
              <w:t>10.479.773</w:t>
            </w:r>
          </w:p>
        </w:tc>
        <w:tc>
          <w:tcPr>
            <w:tcW w:w="1077" w:type="dxa"/>
            <w:tcBorders>
              <w:top w:val="single" w:sz="4" w:space="0" w:color="auto"/>
              <w:left w:val="nil"/>
              <w:bottom w:val="single" w:sz="4" w:space="0" w:color="auto"/>
              <w:right w:val="single" w:sz="4" w:space="0" w:color="auto"/>
            </w:tcBorders>
            <w:shd w:val="clear" w:color="auto" w:fill="auto"/>
            <w:vAlign w:val="bottom"/>
          </w:tcPr>
          <w:p w14:paraId="77E1D60B" w14:textId="3F78CA6B" w:rsidR="00B033A9" w:rsidRPr="001F224B" w:rsidRDefault="00B033A9" w:rsidP="00B033A9">
            <w:pPr>
              <w:jc w:val="right"/>
              <w:rPr>
                <w:color w:val="000000"/>
                <w:sz w:val="20"/>
                <w:szCs w:val="20"/>
              </w:rPr>
            </w:pPr>
            <w:r w:rsidRPr="001F224B">
              <w:rPr>
                <w:color w:val="000000"/>
                <w:sz w:val="20"/>
                <w:szCs w:val="20"/>
              </w:rPr>
              <w:t>6.258.551</w:t>
            </w:r>
          </w:p>
        </w:tc>
      </w:tr>
      <w:tr w:rsidR="00B033A9" w:rsidRPr="001F224B" w14:paraId="3D3DEE33" w14:textId="77777777" w:rsidTr="00B033A9">
        <w:trPr>
          <w:trHeight w:val="256"/>
        </w:trPr>
        <w:tc>
          <w:tcPr>
            <w:tcW w:w="5359" w:type="dxa"/>
            <w:vAlign w:val="bottom"/>
            <w:hideMark/>
          </w:tcPr>
          <w:p w14:paraId="1FC19CA4" w14:textId="77777777" w:rsidR="00B033A9" w:rsidRPr="001F224B" w:rsidRDefault="00B033A9" w:rsidP="00B033A9">
            <w:pPr>
              <w:rPr>
                <w:sz w:val="18"/>
                <w:szCs w:val="18"/>
              </w:rPr>
            </w:pPr>
            <w:r w:rsidRPr="001F224B">
              <w:rPr>
                <w:sz w:val="18"/>
                <w:szCs w:val="18"/>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61A30350" w14:textId="75A99D1E" w:rsidR="00B033A9" w:rsidRPr="001F224B" w:rsidRDefault="00B033A9" w:rsidP="00B033A9">
            <w:pPr>
              <w:jc w:val="right"/>
              <w:rPr>
                <w:color w:val="000000"/>
                <w:sz w:val="20"/>
                <w:szCs w:val="20"/>
              </w:rPr>
            </w:pPr>
            <w:r w:rsidRPr="001F224B">
              <w:rPr>
                <w:color w:val="000000"/>
                <w:sz w:val="20"/>
                <w:szCs w:val="20"/>
              </w:rPr>
              <w:t>10.479.773</w:t>
            </w:r>
          </w:p>
        </w:tc>
        <w:tc>
          <w:tcPr>
            <w:tcW w:w="1134" w:type="dxa"/>
            <w:tcBorders>
              <w:top w:val="nil"/>
              <w:left w:val="nil"/>
              <w:bottom w:val="single" w:sz="4" w:space="0" w:color="auto"/>
              <w:right w:val="single" w:sz="4" w:space="0" w:color="auto"/>
            </w:tcBorders>
            <w:shd w:val="clear" w:color="auto" w:fill="auto"/>
            <w:vAlign w:val="bottom"/>
          </w:tcPr>
          <w:p w14:paraId="45C2F5B2" w14:textId="43CEC80F" w:rsidR="00B033A9" w:rsidRPr="001F224B" w:rsidRDefault="00B033A9" w:rsidP="00B033A9">
            <w:pPr>
              <w:jc w:val="right"/>
              <w:rPr>
                <w:color w:val="000000"/>
                <w:sz w:val="20"/>
                <w:szCs w:val="20"/>
              </w:rPr>
            </w:pPr>
            <w:r w:rsidRPr="001F224B">
              <w:rPr>
                <w:color w:val="000000"/>
                <w:sz w:val="20"/>
                <w:szCs w:val="20"/>
              </w:rPr>
              <w:t>6.258.551</w:t>
            </w:r>
          </w:p>
        </w:tc>
        <w:tc>
          <w:tcPr>
            <w:tcW w:w="1134" w:type="dxa"/>
            <w:tcBorders>
              <w:top w:val="nil"/>
              <w:left w:val="nil"/>
              <w:bottom w:val="single" w:sz="4" w:space="0" w:color="auto"/>
              <w:right w:val="single" w:sz="4" w:space="0" w:color="auto"/>
            </w:tcBorders>
            <w:shd w:val="clear" w:color="auto" w:fill="auto"/>
            <w:vAlign w:val="bottom"/>
          </w:tcPr>
          <w:p w14:paraId="63587B23" w14:textId="4CF69DED" w:rsidR="00B033A9" w:rsidRPr="001F224B" w:rsidRDefault="00B033A9" w:rsidP="00B033A9">
            <w:pPr>
              <w:jc w:val="right"/>
              <w:rPr>
                <w:color w:val="000000"/>
                <w:sz w:val="20"/>
                <w:szCs w:val="20"/>
              </w:rPr>
            </w:pPr>
            <w:r w:rsidRPr="001F224B">
              <w:rPr>
                <w:color w:val="000000"/>
                <w:sz w:val="20"/>
                <w:szCs w:val="20"/>
              </w:rPr>
              <w:t>10.479.773</w:t>
            </w:r>
          </w:p>
        </w:tc>
        <w:tc>
          <w:tcPr>
            <w:tcW w:w="1077" w:type="dxa"/>
            <w:tcBorders>
              <w:top w:val="nil"/>
              <w:left w:val="nil"/>
              <w:bottom w:val="single" w:sz="4" w:space="0" w:color="auto"/>
              <w:right w:val="single" w:sz="4" w:space="0" w:color="auto"/>
            </w:tcBorders>
            <w:shd w:val="clear" w:color="auto" w:fill="auto"/>
            <w:vAlign w:val="bottom"/>
          </w:tcPr>
          <w:p w14:paraId="5478E6DF" w14:textId="4A1B2DE1" w:rsidR="00B033A9" w:rsidRPr="001F224B" w:rsidRDefault="00B033A9" w:rsidP="00B033A9">
            <w:pPr>
              <w:jc w:val="right"/>
              <w:rPr>
                <w:color w:val="000000"/>
                <w:sz w:val="20"/>
                <w:szCs w:val="20"/>
              </w:rPr>
            </w:pPr>
            <w:r w:rsidRPr="001F224B">
              <w:rPr>
                <w:color w:val="000000"/>
                <w:sz w:val="20"/>
                <w:szCs w:val="20"/>
              </w:rPr>
              <w:t>6.258.551</w:t>
            </w:r>
          </w:p>
        </w:tc>
      </w:tr>
      <w:tr w:rsidR="005347CD" w:rsidRPr="001F224B" w14:paraId="2205B7EA" w14:textId="77777777" w:rsidTr="00B033A9">
        <w:trPr>
          <w:trHeight w:val="256"/>
        </w:trPr>
        <w:tc>
          <w:tcPr>
            <w:tcW w:w="5359" w:type="dxa"/>
            <w:vAlign w:val="bottom"/>
            <w:hideMark/>
          </w:tcPr>
          <w:p w14:paraId="0BE7F7AB" w14:textId="77777777" w:rsidR="005347CD" w:rsidRPr="001F224B" w:rsidRDefault="005347CD" w:rsidP="00193FFF">
            <w:pPr>
              <w:rPr>
                <w:sz w:val="18"/>
                <w:szCs w:val="18"/>
              </w:rPr>
            </w:pPr>
            <w:r w:rsidRPr="001F224B">
              <w:rPr>
                <w:sz w:val="18"/>
                <w:szCs w:val="18"/>
              </w:rPr>
              <w:t xml:space="preserve">   Yapılandırılmış finansal araçlardan borçlar</w:t>
            </w:r>
          </w:p>
        </w:tc>
        <w:tc>
          <w:tcPr>
            <w:tcW w:w="1151" w:type="dxa"/>
            <w:vAlign w:val="bottom"/>
          </w:tcPr>
          <w:p w14:paraId="5D150621"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134" w:type="dxa"/>
            <w:vAlign w:val="bottom"/>
          </w:tcPr>
          <w:p w14:paraId="0A9903DF"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134" w:type="dxa"/>
            <w:vAlign w:val="bottom"/>
          </w:tcPr>
          <w:p w14:paraId="2B363A5C"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077" w:type="dxa"/>
            <w:vAlign w:val="bottom"/>
          </w:tcPr>
          <w:p w14:paraId="5A69A5AD" w14:textId="77777777" w:rsidR="005347CD" w:rsidRPr="001F224B" w:rsidRDefault="005347CD" w:rsidP="00193FFF">
            <w:pPr>
              <w:jc w:val="right"/>
              <w:rPr>
                <w:b/>
                <w:bCs/>
                <w:color w:val="000000"/>
                <w:sz w:val="20"/>
                <w:szCs w:val="20"/>
              </w:rPr>
            </w:pPr>
            <w:r w:rsidRPr="001F224B">
              <w:rPr>
                <w:b/>
                <w:bCs/>
                <w:sz w:val="20"/>
                <w:szCs w:val="20"/>
              </w:rPr>
              <w:t xml:space="preserve"> - </w:t>
            </w:r>
          </w:p>
        </w:tc>
      </w:tr>
      <w:tr w:rsidR="005347CD" w:rsidRPr="001F224B" w14:paraId="434F38E6" w14:textId="77777777" w:rsidTr="00B033A9">
        <w:trPr>
          <w:trHeight w:val="482"/>
        </w:trPr>
        <w:tc>
          <w:tcPr>
            <w:tcW w:w="5359" w:type="dxa"/>
            <w:vAlign w:val="bottom"/>
            <w:hideMark/>
          </w:tcPr>
          <w:p w14:paraId="506D4C38" w14:textId="77777777" w:rsidR="005347CD" w:rsidRPr="001F224B" w:rsidRDefault="005347CD" w:rsidP="00193FFF">
            <w:pPr>
              <w:ind w:left="144"/>
              <w:rPr>
                <w:sz w:val="18"/>
                <w:szCs w:val="18"/>
              </w:rPr>
            </w:pPr>
            <w:r w:rsidRPr="001F224B">
              <w:rPr>
                <w:sz w:val="18"/>
                <w:szCs w:val="18"/>
              </w:rPr>
              <w:t>Finansal piyasalara olan borçlar için verilen ödeme taahhütleri ile      diğer  bilanço dışı yükümlülükler</w:t>
            </w:r>
          </w:p>
        </w:tc>
        <w:tc>
          <w:tcPr>
            <w:tcW w:w="1151" w:type="dxa"/>
            <w:vAlign w:val="bottom"/>
          </w:tcPr>
          <w:p w14:paraId="0C11F3BD"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134" w:type="dxa"/>
            <w:vAlign w:val="bottom"/>
          </w:tcPr>
          <w:p w14:paraId="27C042A6"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134" w:type="dxa"/>
            <w:vAlign w:val="bottom"/>
          </w:tcPr>
          <w:p w14:paraId="15C99B7F"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077" w:type="dxa"/>
            <w:vAlign w:val="bottom"/>
          </w:tcPr>
          <w:p w14:paraId="725F0BA9" w14:textId="77777777" w:rsidR="005347CD" w:rsidRPr="001F224B" w:rsidRDefault="005347CD" w:rsidP="00193FFF">
            <w:pPr>
              <w:jc w:val="right"/>
              <w:rPr>
                <w:b/>
                <w:bCs/>
                <w:color w:val="000000"/>
                <w:sz w:val="20"/>
                <w:szCs w:val="20"/>
              </w:rPr>
            </w:pPr>
            <w:r w:rsidRPr="001F224B">
              <w:rPr>
                <w:b/>
                <w:bCs/>
                <w:sz w:val="20"/>
                <w:szCs w:val="20"/>
              </w:rPr>
              <w:t xml:space="preserve"> - </w:t>
            </w:r>
          </w:p>
        </w:tc>
      </w:tr>
      <w:tr w:rsidR="00B033A9" w:rsidRPr="001F224B" w14:paraId="1E5DF436" w14:textId="77777777" w:rsidTr="00B033A9">
        <w:trPr>
          <w:trHeight w:val="482"/>
        </w:trPr>
        <w:tc>
          <w:tcPr>
            <w:tcW w:w="5359" w:type="dxa"/>
            <w:vAlign w:val="bottom"/>
            <w:hideMark/>
          </w:tcPr>
          <w:p w14:paraId="5146959D" w14:textId="77777777" w:rsidR="00B033A9" w:rsidRPr="001F224B" w:rsidRDefault="00B033A9" w:rsidP="00B033A9">
            <w:pPr>
              <w:ind w:left="8"/>
              <w:rPr>
                <w:sz w:val="18"/>
                <w:szCs w:val="18"/>
              </w:rPr>
            </w:pPr>
            <w:r w:rsidRPr="001F224B">
              <w:rPr>
                <w:sz w:val="18"/>
                <w:szCs w:val="18"/>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BE67B82" w14:textId="4325F932" w:rsidR="00B033A9" w:rsidRPr="001F224B" w:rsidRDefault="00B033A9" w:rsidP="00B033A9">
            <w:pPr>
              <w:jc w:val="right"/>
              <w:rPr>
                <w:color w:val="000000"/>
                <w:sz w:val="20"/>
                <w:szCs w:val="20"/>
              </w:rPr>
            </w:pPr>
            <w:r w:rsidRPr="001F224B">
              <w:rPr>
                <w:color w:val="000000"/>
                <w:sz w:val="20"/>
                <w:szCs w:val="20"/>
              </w:rPr>
              <w:t>14.926.006</w:t>
            </w:r>
          </w:p>
        </w:tc>
        <w:tc>
          <w:tcPr>
            <w:tcW w:w="1134" w:type="dxa"/>
            <w:tcBorders>
              <w:top w:val="single" w:sz="4" w:space="0" w:color="auto"/>
              <w:left w:val="nil"/>
              <w:bottom w:val="single" w:sz="4" w:space="0" w:color="auto"/>
              <w:right w:val="single" w:sz="4" w:space="0" w:color="auto"/>
            </w:tcBorders>
            <w:shd w:val="clear" w:color="auto" w:fill="auto"/>
            <w:vAlign w:val="bottom"/>
          </w:tcPr>
          <w:p w14:paraId="741CEB09" w14:textId="7ED5F4A7" w:rsidR="00B033A9" w:rsidRPr="001F224B" w:rsidRDefault="00B033A9" w:rsidP="00B033A9">
            <w:pPr>
              <w:jc w:val="right"/>
              <w:rPr>
                <w:color w:val="000000"/>
                <w:sz w:val="20"/>
                <w:szCs w:val="20"/>
              </w:rPr>
            </w:pPr>
            <w:r w:rsidRPr="001F224B">
              <w:rPr>
                <w:color w:val="000000"/>
                <w:sz w:val="20"/>
                <w:szCs w:val="20"/>
              </w:rPr>
              <w:t>12.201.549</w:t>
            </w:r>
          </w:p>
        </w:tc>
        <w:tc>
          <w:tcPr>
            <w:tcW w:w="1134" w:type="dxa"/>
            <w:tcBorders>
              <w:top w:val="single" w:sz="4" w:space="0" w:color="auto"/>
              <w:left w:val="nil"/>
              <w:bottom w:val="single" w:sz="4" w:space="0" w:color="auto"/>
              <w:right w:val="single" w:sz="4" w:space="0" w:color="auto"/>
            </w:tcBorders>
            <w:shd w:val="clear" w:color="auto" w:fill="auto"/>
            <w:vAlign w:val="bottom"/>
          </w:tcPr>
          <w:p w14:paraId="1471BD0C" w14:textId="33FD3F05" w:rsidR="00B033A9" w:rsidRPr="001F224B" w:rsidRDefault="00B033A9" w:rsidP="00B033A9">
            <w:pPr>
              <w:jc w:val="right"/>
              <w:rPr>
                <w:color w:val="000000"/>
                <w:sz w:val="20"/>
                <w:szCs w:val="20"/>
              </w:rPr>
            </w:pPr>
            <w:r w:rsidRPr="001F224B">
              <w:rPr>
                <w:color w:val="000000"/>
                <w:sz w:val="20"/>
                <w:szCs w:val="20"/>
              </w:rPr>
              <w:t>746.300</w:t>
            </w:r>
          </w:p>
        </w:tc>
        <w:tc>
          <w:tcPr>
            <w:tcW w:w="1077" w:type="dxa"/>
            <w:tcBorders>
              <w:top w:val="single" w:sz="4" w:space="0" w:color="auto"/>
              <w:left w:val="nil"/>
              <w:bottom w:val="single" w:sz="4" w:space="0" w:color="auto"/>
              <w:right w:val="single" w:sz="4" w:space="0" w:color="auto"/>
            </w:tcBorders>
            <w:shd w:val="clear" w:color="auto" w:fill="auto"/>
            <w:vAlign w:val="bottom"/>
          </w:tcPr>
          <w:p w14:paraId="6A6E23BD" w14:textId="3A9F7350" w:rsidR="00B033A9" w:rsidRPr="001F224B" w:rsidRDefault="00B033A9" w:rsidP="00B033A9">
            <w:pPr>
              <w:jc w:val="right"/>
              <w:rPr>
                <w:color w:val="000000"/>
                <w:sz w:val="20"/>
                <w:szCs w:val="20"/>
              </w:rPr>
            </w:pPr>
            <w:r w:rsidRPr="001F224B">
              <w:rPr>
                <w:color w:val="000000"/>
                <w:sz w:val="20"/>
                <w:szCs w:val="20"/>
              </w:rPr>
              <w:t>610.077</w:t>
            </w:r>
          </w:p>
        </w:tc>
      </w:tr>
      <w:tr w:rsidR="00B033A9" w:rsidRPr="001F224B" w14:paraId="5469A230" w14:textId="77777777" w:rsidTr="00B033A9">
        <w:trPr>
          <w:trHeight w:val="256"/>
        </w:trPr>
        <w:tc>
          <w:tcPr>
            <w:tcW w:w="5359" w:type="dxa"/>
            <w:vAlign w:val="bottom"/>
            <w:hideMark/>
          </w:tcPr>
          <w:p w14:paraId="156E7A56" w14:textId="77777777" w:rsidR="00B033A9" w:rsidRPr="001F224B" w:rsidRDefault="00B033A9" w:rsidP="00B033A9">
            <w:pPr>
              <w:ind w:left="8"/>
              <w:rPr>
                <w:sz w:val="18"/>
                <w:szCs w:val="18"/>
              </w:rPr>
            </w:pPr>
            <w:r w:rsidRPr="001F224B">
              <w:rPr>
                <w:sz w:val="18"/>
                <w:szCs w:val="18"/>
              </w:rPr>
              <w:t>Diğer cayılamaz veya şarta bağlı olarak cayılabilir bilanço dışı borçlar</w:t>
            </w:r>
          </w:p>
        </w:tc>
        <w:tc>
          <w:tcPr>
            <w:tcW w:w="1151" w:type="dxa"/>
            <w:vAlign w:val="bottom"/>
          </w:tcPr>
          <w:p w14:paraId="4A57E9FE" w14:textId="2D738B37" w:rsidR="00B033A9" w:rsidRPr="001F224B" w:rsidRDefault="00B033A9" w:rsidP="00B033A9">
            <w:pPr>
              <w:jc w:val="right"/>
              <w:rPr>
                <w:color w:val="000000"/>
                <w:sz w:val="20"/>
                <w:szCs w:val="20"/>
              </w:rPr>
            </w:pPr>
            <w:r w:rsidRPr="001F224B">
              <w:rPr>
                <w:color w:val="000000"/>
                <w:sz w:val="20"/>
                <w:szCs w:val="20"/>
              </w:rPr>
              <w:t>5.312.627</w:t>
            </w:r>
          </w:p>
        </w:tc>
        <w:tc>
          <w:tcPr>
            <w:tcW w:w="1134" w:type="dxa"/>
            <w:vAlign w:val="bottom"/>
          </w:tcPr>
          <w:p w14:paraId="29B88A52" w14:textId="4277ABEA" w:rsidR="00B033A9" w:rsidRPr="001F224B" w:rsidRDefault="00B033A9" w:rsidP="00B033A9">
            <w:pPr>
              <w:jc w:val="right"/>
              <w:rPr>
                <w:color w:val="000000"/>
                <w:sz w:val="20"/>
                <w:szCs w:val="20"/>
              </w:rPr>
            </w:pPr>
            <w:r w:rsidRPr="001F224B">
              <w:rPr>
                <w:color w:val="000000"/>
                <w:sz w:val="20"/>
                <w:szCs w:val="20"/>
              </w:rPr>
              <w:t>5.164.416</w:t>
            </w:r>
          </w:p>
        </w:tc>
        <w:tc>
          <w:tcPr>
            <w:tcW w:w="1134" w:type="dxa"/>
            <w:vAlign w:val="bottom"/>
          </w:tcPr>
          <w:p w14:paraId="279F257C" w14:textId="35AB2555" w:rsidR="00B033A9" w:rsidRPr="001F224B" w:rsidRDefault="00B033A9" w:rsidP="00B033A9">
            <w:pPr>
              <w:jc w:val="right"/>
              <w:rPr>
                <w:color w:val="000000"/>
                <w:sz w:val="20"/>
                <w:szCs w:val="20"/>
              </w:rPr>
            </w:pPr>
            <w:r w:rsidRPr="001F224B">
              <w:rPr>
                <w:color w:val="000000"/>
                <w:sz w:val="20"/>
                <w:szCs w:val="20"/>
              </w:rPr>
              <w:t>4.975.289</w:t>
            </w:r>
          </w:p>
        </w:tc>
        <w:tc>
          <w:tcPr>
            <w:tcW w:w="1077" w:type="dxa"/>
            <w:vAlign w:val="bottom"/>
          </w:tcPr>
          <w:p w14:paraId="1F6DDAA5" w14:textId="5949256D" w:rsidR="00B033A9" w:rsidRPr="001F224B" w:rsidRDefault="00B033A9" w:rsidP="00B033A9">
            <w:pPr>
              <w:jc w:val="right"/>
              <w:rPr>
                <w:color w:val="000000"/>
                <w:sz w:val="20"/>
                <w:szCs w:val="20"/>
              </w:rPr>
            </w:pPr>
            <w:r w:rsidRPr="001F224B">
              <w:rPr>
                <w:color w:val="000000"/>
                <w:sz w:val="20"/>
                <w:szCs w:val="20"/>
              </w:rPr>
              <w:t>4.827.078</w:t>
            </w:r>
          </w:p>
        </w:tc>
      </w:tr>
      <w:tr w:rsidR="00B033A9" w:rsidRPr="001F224B" w14:paraId="22D9EFD1" w14:textId="77777777" w:rsidTr="00B033A9">
        <w:trPr>
          <w:trHeight w:val="256"/>
        </w:trPr>
        <w:tc>
          <w:tcPr>
            <w:tcW w:w="5359" w:type="dxa"/>
            <w:vAlign w:val="bottom"/>
            <w:hideMark/>
          </w:tcPr>
          <w:p w14:paraId="737FF8C1" w14:textId="77777777" w:rsidR="00B033A9" w:rsidRPr="001F224B" w:rsidRDefault="00B033A9" w:rsidP="00B033A9">
            <w:pPr>
              <w:rPr>
                <w:b/>
                <w:sz w:val="18"/>
                <w:szCs w:val="18"/>
              </w:rPr>
            </w:pPr>
            <w:r w:rsidRPr="001F224B">
              <w:rPr>
                <w:b/>
                <w:sz w:val="18"/>
                <w:szCs w:val="18"/>
              </w:rPr>
              <w:t>TOPLAM NAKİT ÇIKIŞLARI</w:t>
            </w:r>
          </w:p>
        </w:tc>
        <w:tc>
          <w:tcPr>
            <w:tcW w:w="1151" w:type="dxa"/>
            <w:vAlign w:val="bottom"/>
          </w:tcPr>
          <w:p w14:paraId="0F7704D8" w14:textId="1EFF4B65" w:rsidR="00B033A9" w:rsidRPr="001F224B" w:rsidRDefault="00B033A9" w:rsidP="00B033A9">
            <w:pPr>
              <w:jc w:val="right"/>
              <w:rPr>
                <w:color w:val="000000"/>
                <w:sz w:val="20"/>
                <w:szCs w:val="20"/>
              </w:rPr>
            </w:pPr>
          </w:p>
        </w:tc>
        <w:tc>
          <w:tcPr>
            <w:tcW w:w="1134" w:type="dxa"/>
            <w:vAlign w:val="bottom"/>
          </w:tcPr>
          <w:p w14:paraId="64018857" w14:textId="11157DA0" w:rsidR="00B033A9" w:rsidRPr="001F224B" w:rsidRDefault="00B033A9" w:rsidP="00B033A9">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9D86273" w14:textId="38574893" w:rsidR="00B033A9" w:rsidRPr="001F224B" w:rsidRDefault="00B033A9" w:rsidP="00B033A9">
            <w:pPr>
              <w:ind w:left="-264"/>
              <w:jc w:val="right"/>
              <w:rPr>
                <w:b/>
                <w:bCs/>
                <w:color w:val="000000"/>
                <w:sz w:val="20"/>
                <w:szCs w:val="20"/>
              </w:rPr>
            </w:pPr>
            <w:r w:rsidRPr="001F224B">
              <w:rPr>
                <w:b/>
                <w:bCs/>
                <w:color w:val="000000"/>
                <w:sz w:val="20"/>
                <w:szCs w:val="20"/>
              </w:rPr>
              <w:t>21.179.541</w:t>
            </w:r>
          </w:p>
        </w:tc>
        <w:tc>
          <w:tcPr>
            <w:tcW w:w="1077" w:type="dxa"/>
            <w:tcBorders>
              <w:top w:val="single" w:sz="4" w:space="0" w:color="auto"/>
              <w:left w:val="nil"/>
              <w:bottom w:val="single" w:sz="4" w:space="0" w:color="auto"/>
              <w:right w:val="single" w:sz="4" w:space="0" w:color="auto"/>
            </w:tcBorders>
            <w:shd w:val="clear" w:color="auto" w:fill="auto"/>
            <w:vAlign w:val="bottom"/>
          </w:tcPr>
          <w:p w14:paraId="6D459E61" w14:textId="09EE34A7" w:rsidR="00B033A9" w:rsidRPr="001F224B" w:rsidRDefault="00B033A9" w:rsidP="00B033A9">
            <w:pPr>
              <w:ind w:left="-269"/>
              <w:jc w:val="right"/>
              <w:rPr>
                <w:b/>
                <w:bCs/>
                <w:color w:val="000000"/>
                <w:sz w:val="20"/>
                <w:szCs w:val="20"/>
              </w:rPr>
            </w:pPr>
            <w:r w:rsidRPr="001F224B">
              <w:rPr>
                <w:b/>
                <w:bCs/>
                <w:color w:val="000000"/>
                <w:sz w:val="20"/>
                <w:szCs w:val="20"/>
              </w:rPr>
              <w:t>12.421.910</w:t>
            </w:r>
          </w:p>
        </w:tc>
      </w:tr>
      <w:tr w:rsidR="005347CD" w:rsidRPr="001F224B" w14:paraId="7EC3FB0D" w14:textId="77777777" w:rsidTr="00B033A9">
        <w:trPr>
          <w:trHeight w:val="256"/>
        </w:trPr>
        <w:tc>
          <w:tcPr>
            <w:tcW w:w="5359" w:type="dxa"/>
            <w:vAlign w:val="bottom"/>
            <w:hideMark/>
          </w:tcPr>
          <w:p w14:paraId="1DD1F314" w14:textId="77777777" w:rsidR="005347CD" w:rsidRPr="001F224B" w:rsidRDefault="005347CD" w:rsidP="00193FFF">
            <w:pPr>
              <w:rPr>
                <w:b/>
                <w:sz w:val="18"/>
                <w:szCs w:val="18"/>
              </w:rPr>
            </w:pPr>
            <w:r w:rsidRPr="001F224B">
              <w:rPr>
                <w:b/>
                <w:sz w:val="18"/>
                <w:szCs w:val="18"/>
              </w:rPr>
              <w:t>NAKİT GİRİŞLERİ</w:t>
            </w:r>
          </w:p>
        </w:tc>
        <w:tc>
          <w:tcPr>
            <w:tcW w:w="1151" w:type="dxa"/>
            <w:vAlign w:val="bottom"/>
          </w:tcPr>
          <w:p w14:paraId="1A670B0D" w14:textId="77777777" w:rsidR="005347CD" w:rsidRPr="001F224B" w:rsidRDefault="005347CD" w:rsidP="00193FFF">
            <w:pPr>
              <w:jc w:val="right"/>
              <w:rPr>
                <w:color w:val="000000"/>
                <w:sz w:val="20"/>
                <w:szCs w:val="20"/>
              </w:rPr>
            </w:pPr>
          </w:p>
        </w:tc>
        <w:tc>
          <w:tcPr>
            <w:tcW w:w="1134" w:type="dxa"/>
            <w:vAlign w:val="bottom"/>
          </w:tcPr>
          <w:p w14:paraId="7E1FC1D1" w14:textId="77777777" w:rsidR="005347CD" w:rsidRPr="001F224B" w:rsidRDefault="005347CD" w:rsidP="00193FFF">
            <w:pPr>
              <w:jc w:val="right"/>
              <w:rPr>
                <w:color w:val="000000"/>
                <w:sz w:val="20"/>
                <w:szCs w:val="20"/>
              </w:rPr>
            </w:pPr>
          </w:p>
        </w:tc>
        <w:tc>
          <w:tcPr>
            <w:tcW w:w="1134" w:type="dxa"/>
            <w:vAlign w:val="bottom"/>
          </w:tcPr>
          <w:p w14:paraId="235B75CC" w14:textId="77777777" w:rsidR="005347CD" w:rsidRPr="001F224B" w:rsidRDefault="005347CD" w:rsidP="00193FFF">
            <w:pPr>
              <w:jc w:val="right"/>
              <w:rPr>
                <w:color w:val="000000"/>
                <w:sz w:val="20"/>
                <w:szCs w:val="20"/>
              </w:rPr>
            </w:pPr>
          </w:p>
        </w:tc>
        <w:tc>
          <w:tcPr>
            <w:tcW w:w="1077" w:type="dxa"/>
            <w:vAlign w:val="bottom"/>
          </w:tcPr>
          <w:p w14:paraId="06C2EB27" w14:textId="77777777" w:rsidR="005347CD" w:rsidRPr="001F224B" w:rsidRDefault="005347CD" w:rsidP="00193FFF">
            <w:pPr>
              <w:jc w:val="right"/>
              <w:rPr>
                <w:color w:val="000000"/>
                <w:sz w:val="20"/>
                <w:szCs w:val="20"/>
              </w:rPr>
            </w:pPr>
          </w:p>
        </w:tc>
      </w:tr>
      <w:tr w:rsidR="005347CD" w:rsidRPr="001F224B" w14:paraId="70B53B8D" w14:textId="77777777" w:rsidTr="00B033A9">
        <w:trPr>
          <w:trHeight w:val="256"/>
        </w:trPr>
        <w:tc>
          <w:tcPr>
            <w:tcW w:w="5359" w:type="dxa"/>
            <w:vAlign w:val="bottom"/>
            <w:hideMark/>
          </w:tcPr>
          <w:p w14:paraId="3F83114B" w14:textId="77777777" w:rsidR="005347CD" w:rsidRPr="001F224B" w:rsidRDefault="005347CD" w:rsidP="00193FFF">
            <w:pPr>
              <w:ind w:left="144"/>
              <w:rPr>
                <w:sz w:val="18"/>
                <w:szCs w:val="18"/>
              </w:rPr>
            </w:pPr>
            <w:r w:rsidRPr="001F224B">
              <w:rPr>
                <w:sz w:val="18"/>
                <w:szCs w:val="18"/>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23B2F8F"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539C3519"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ADEA1B" w14:textId="77777777" w:rsidR="005347CD" w:rsidRPr="001F224B" w:rsidRDefault="005347CD" w:rsidP="00193FFF">
            <w:pPr>
              <w:jc w:val="right"/>
              <w:rPr>
                <w:b/>
                <w:bCs/>
                <w:color w:val="000000"/>
                <w:sz w:val="20"/>
                <w:szCs w:val="20"/>
              </w:rPr>
            </w:pPr>
            <w:r w:rsidRPr="001F224B">
              <w:rPr>
                <w:b/>
                <w:bCs/>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6CFAE878" w14:textId="77777777" w:rsidR="005347CD" w:rsidRPr="001F224B" w:rsidRDefault="005347CD" w:rsidP="00193FFF">
            <w:pPr>
              <w:jc w:val="right"/>
              <w:rPr>
                <w:b/>
                <w:bCs/>
                <w:color w:val="000000"/>
                <w:sz w:val="20"/>
                <w:szCs w:val="20"/>
              </w:rPr>
            </w:pPr>
            <w:r w:rsidRPr="001F224B">
              <w:rPr>
                <w:b/>
                <w:bCs/>
                <w:sz w:val="20"/>
                <w:szCs w:val="20"/>
              </w:rPr>
              <w:t xml:space="preserve"> - </w:t>
            </w:r>
          </w:p>
        </w:tc>
      </w:tr>
      <w:tr w:rsidR="00B033A9" w:rsidRPr="001F224B" w14:paraId="2D0140A8" w14:textId="77777777" w:rsidTr="00B033A9">
        <w:trPr>
          <w:trHeight w:val="256"/>
        </w:trPr>
        <w:tc>
          <w:tcPr>
            <w:tcW w:w="5359" w:type="dxa"/>
            <w:vAlign w:val="bottom"/>
          </w:tcPr>
          <w:p w14:paraId="73BA8914" w14:textId="77777777" w:rsidR="00B033A9" w:rsidRPr="001F224B" w:rsidRDefault="00B033A9" w:rsidP="00B033A9">
            <w:pPr>
              <w:ind w:left="144"/>
              <w:rPr>
                <w:sz w:val="18"/>
                <w:szCs w:val="18"/>
              </w:rPr>
            </w:pPr>
            <w:r w:rsidRPr="001F224B">
              <w:rPr>
                <w:sz w:val="18"/>
                <w:szCs w:val="18"/>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5629C404" w14:textId="7E207BDC" w:rsidR="00B033A9" w:rsidRPr="001F224B" w:rsidRDefault="00B033A9" w:rsidP="00B033A9">
            <w:pPr>
              <w:jc w:val="right"/>
              <w:rPr>
                <w:color w:val="000000"/>
                <w:sz w:val="20"/>
                <w:szCs w:val="20"/>
              </w:rPr>
            </w:pPr>
            <w:r w:rsidRPr="001F224B">
              <w:rPr>
                <w:color w:val="000000"/>
                <w:sz w:val="20"/>
                <w:szCs w:val="20"/>
              </w:rPr>
              <w:t>31.688.607</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51C21E" w14:textId="11DF0B3D" w:rsidR="00B033A9" w:rsidRPr="001F224B" w:rsidRDefault="00B033A9" w:rsidP="00B033A9">
            <w:pPr>
              <w:jc w:val="right"/>
              <w:rPr>
                <w:color w:val="000000"/>
                <w:sz w:val="20"/>
                <w:szCs w:val="20"/>
              </w:rPr>
            </w:pPr>
            <w:r w:rsidRPr="001F224B">
              <w:rPr>
                <w:color w:val="000000"/>
                <w:sz w:val="20"/>
                <w:szCs w:val="20"/>
              </w:rPr>
              <w:t>9.192.486</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90CB9F" w14:textId="19AA0C77" w:rsidR="00B033A9" w:rsidRPr="001F224B" w:rsidRDefault="00B033A9" w:rsidP="00B033A9">
            <w:pPr>
              <w:jc w:val="right"/>
              <w:rPr>
                <w:color w:val="000000"/>
                <w:sz w:val="20"/>
                <w:szCs w:val="20"/>
              </w:rPr>
            </w:pPr>
            <w:r w:rsidRPr="001F224B">
              <w:rPr>
                <w:color w:val="000000"/>
                <w:sz w:val="20"/>
                <w:szCs w:val="20"/>
              </w:rPr>
              <w:t>30.479.481</w:t>
            </w:r>
          </w:p>
        </w:tc>
        <w:tc>
          <w:tcPr>
            <w:tcW w:w="1077" w:type="dxa"/>
            <w:tcBorders>
              <w:top w:val="single" w:sz="4" w:space="0" w:color="auto"/>
              <w:left w:val="nil"/>
              <w:bottom w:val="single" w:sz="4" w:space="0" w:color="auto"/>
              <w:right w:val="single" w:sz="4" w:space="0" w:color="auto"/>
            </w:tcBorders>
            <w:shd w:val="clear" w:color="auto" w:fill="auto"/>
            <w:vAlign w:val="bottom"/>
          </w:tcPr>
          <w:p w14:paraId="0FE05A9F" w14:textId="24CB8E89" w:rsidR="00B033A9" w:rsidRPr="001F224B" w:rsidRDefault="00B033A9" w:rsidP="00B033A9">
            <w:pPr>
              <w:jc w:val="right"/>
              <w:rPr>
                <w:color w:val="000000"/>
                <w:sz w:val="20"/>
                <w:szCs w:val="20"/>
              </w:rPr>
            </w:pPr>
            <w:r w:rsidRPr="001F224B">
              <w:rPr>
                <w:color w:val="000000"/>
                <w:sz w:val="20"/>
                <w:szCs w:val="20"/>
              </w:rPr>
              <w:t>8.306.648</w:t>
            </w:r>
          </w:p>
        </w:tc>
      </w:tr>
      <w:tr w:rsidR="00B033A9" w:rsidRPr="001F224B" w14:paraId="01303E3D" w14:textId="77777777" w:rsidTr="00B033A9">
        <w:trPr>
          <w:trHeight w:val="256"/>
        </w:trPr>
        <w:tc>
          <w:tcPr>
            <w:tcW w:w="5359" w:type="dxa"/>
            <w:vAlign w:val="bottom"/>
          </w:tcPr>
          <w:p w14:paraId="241A3E08" w14:textId="77777777" w:rsidR="00B033A9" w:rsidRPr="001F224B" w:rsidRDefault="00B033A9" w:rsidP="00B033A9">
            <w:pPr>
              <w:ind w:left="144"/>
              <w:rPr>
                <w:sz w:val="18"/>
                <w:szCs w:val="18"/>
              </w:rPr>
            </w:pPr>
            <w:r w:rsidRPr="001F224B">
              <w:rPr>
                <w:sz w:val="18"/>
                <w:szCs w:val="18"/>
              </w:rPr>
              <w:t>Diğer 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DCA79F2" w14:textId="082D8F07" w:rsidR="00B033A9" w:rsidRPr="001F224B" w:rsidRDefault="00B033A9" w:rsidP="00B033A9">
            <w:pPr>
              <w:jc w:val="right"/>
              <w:rPr>
                <w:color w:val="000000"/>
                <w:sz w:val="20"/>
                <w:szCs w:val="20"/>
              </w:rPr>
            </w:pPr>
            <w:r w:rsidRPr="001F224B">
              <w:rPr>
                <w:color w:val="000000"/>
                <w:sz w:val="20"/>
                <w:szCs w:val="20"/>
              </w:rPr>
              <w:t>10.573.178</w:t>
            </w:r>
          </w:p>
        </w:tc>
        <w:tc>
          <w:tcPr>
            <w:tcW w:w="1134" w:type="dxa"/>
            <w:tcBorders>
              <w:top w:val="single" w:sz="4" w:space="0" w:color="auto"/>
              <w:left w:val="nil"/>
              <w:bottom w:val="single" w:sz="4" w:space="0" w:color="auto"/>
              <w:right w:val="single" w:sz="4" w:space="0" w:color="auto"/>
            </w:tcBorders>
            <w:shd w:val="clear" w:color="auto" w:fill="auto"/>
            <w:vAlign w:val="bottom"/>
          </w:tcPr>
          <w:p w14:paraId="7BB505DD" w14:textId="3B1ADF03" w:rsidR="00B033A9" w:rsidRPr="001F224B" w:rsidRDefault="00B033A9" w:rsidP="00B033A9">
            <w:pPr>
              <w:jc w:val="right"/>
              <w:rPr>
                <w:color w:val="000000"/>
                <w:sz w:val="20"/>
                <w:szCs w:val="20"/>
              </w:rPr>
            </w:pPr>
            <w:r w:rsidRPr="001F224B">
              <w:rPr>
                <w:color w:val="000000"/>
                <w:sz w:val="20"/>
                <w:szCs w:val="20"/>
              </w:rPr>
              <w:t>7.848.383</w:t>
            </w:r>
          </w:p>
        </w:tc>
        <w:tc>
          <w:tcPr>
            <w:tcW w:w="1134" w:type="dxa"/>
            <w:tcBorders>
              <w:top w:val="single" w:sz="4" w:space="0" w:color="auto"/>
              <w:left w:val="nil"/>
              <w:bottom w:val="single" w:sz="4" w:space="0" w:color="auto"/>
              <w:right w:val="single" w:sz="4" w:space="0" w:color="auto"/>
            </w:tcBorders>
            <w:shd w:val="clear" w:color="auto" w:fill="auto"/>
            <w:vAlign w:val="bottom"/>
          </w:tcPr>
          <w:p w14:paraId="6AAEDE07" w14:textId="07095AA6" w:rsidR="00B033A9" w:rsidRPr="001F224B" w:rsidRDefault="00B033A9" w:rsidP="00B033A9">
            <w:pPr>
              <w:jc w:val="right"/>
              <w:rPr>
                <w:color w:val="000000"/>
                <w:sz w:val="20"/>
                <w:szCs w:val="20"/>
              </w:rPr>
            </w:pPr>
            <w:r w:rsidRPr="001F224B">
              <w:rPr>
                <w:color w:val="000000"/>
                <w:sz w:val="20"/>
                <w:szCs w:val="20"/>
              </w:rPr>
              <w:t>10.573.178</w:t>
            </w:r>
          </w:p>
        </w:tc>
        <w:tc>
          <w:tcPr>
            <w:tcW w:w="1077" w:type="dxa"/>
            <w:tcBorders>
              <w:top w:val="single" w:sz="4" w:space="0" w:color="auto"/>
              <w:left w:val="nil"/>
              <w:bottom w:val="single" w:sz="4" w:space="0" w:color="auto"/>
              <w:right w:val="single" w:sz="4" w:space="0" w:color="auto"/>
            </w:tcBorders>
            <w:shd w:val="clear" w:color="auto" w:fill="auto"/>
            <w:vAlign w:val="bottom"/>
          </w:tcPr>
          <w:p w14:paraId="51889E5D" w14:textId="1CD4D934" w:rsidR="00B033A9" w:rsidRPr="001F224B" w:rsidRDefault="00B033A9" w:rsidP="00B033A9">
            <w:pPr>
              <w:jc w:val="right"/>
              <w:rPr>
                <w:color w:val="000000"/>
                <w:sz w:val="20"/>
                <w:szCs w:val="20"/>
              </w:rPr>
            </w:pPr>
            <w:r w:rsidRPr="001F224B">
              <w:rPr>
                <w:color w:val="000000"/>
                <w:sz w:val="20"/>
                <w:szCs w:val="20"/>
              </w:rPr>
              <w:t>7.848.383</w:t>
            </w:r>
          </w:p>
        </w:tc>
      </w:tr>
      <w:tr w:rsidR="00B033A9" w:rsidRPr="001F224B" w14:paraId="4ED3C2F3" w14:textId="77777777" w:rsidTr="00B033A9">
        <w:trPr>
          <w:trHeight w:val="256"/>
        </w:trPr>
        <w:tc>
          <w:tcPr>
            <w:tcW w:w="5359" w:type="dxa"/>
            <w:vAlign w:val="bottom"/>
          </w:tcPr>
          <w:p w14:paraId="32D06594" w14:textId="77777777" w:rsidR="00B033A9" w:rsidRPr="001F224B" w:rsidRDefault="00B033A9" w:rsidP="00B033A9">
            <w:pPr>
              <w:ind w:left="144"/>
              <w:rPr>
                <w:sz w:val="18"/>
                <w:szCs w:val="18"/>
              </w:rPr>
            </w:pPr>
            <w:r w:rsidRPr="001F224B">
              <w:rPr>
                <w:b/>
                <w:sz w:val="18"/>
                <w:szCs w:val="18"/>
              </w:rPr>
              <w:t>TOPLAM 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FD5BA2D" w14:textId="2F3179AB" w:rsidR="00B033A9" w:rsidRPr="001F224B" w:rsidRDefault="00B033A9" w:rsidP="00B033A9">
            <w:pPr>
              <w:jc w:val="right"/>
              <w:rPr>
                <w:color w:val="000000"/>
                <w:sz w:val="20"/>
                <w:szCs w:val="20"/>
              </w:rPr>
            </w:pPr>
            <w:r w:rsidRPr="001F224B">
              <w:rPr>
                <w:color w:val="000000"/>
                <w:sz w:val="20"/>
                <w:szCs w:val="20"/>
              </w:rPr>
              <w:t>42.261.785</w:t>
            </w:r>
          </w:p>
        </w:tc>
        <w:tc>
          <w:tcPr>
            <w:tcW w:w="1134" w:type="dxa"/>
            <w:tcBorders>
              <w:top w:val="single" w:sz="4" w:space="0" w:color="auto"/>
              <w:left w:val="nil"/>
              <w:bottom w:val="single" w:sz="4" w:space="0" w:color="auto"/>
              <w:right w:val="single" w:sz="4" w:space="0" w:color="auto"/>
            </w:tcBorders>
            <w:shd w:val="clear" w:color="auto" w:fill="auto"/>
            <w:vAlign w:val="bottom"/>
          </w:tcPr>
          <w:p w14:paraId="45544CC4" w14:textId="08600FC7" w:rsidR="00B033A9" w:rsidRPr="001F224B" w:rsidRDefault="00B033A9" w:rsidP="00B033A9">
            <w:pPr>
              <w:jc w:val="right"/>
              <w:rPr>
                <w:color w:val="000000"/>
                <w:sz w:val="20"/>
                <w:szCs w:val="20"/>
              </w:rPr>
            </w:pPr>
            <w:r w:rsidRPr="001F224B">
              <w:rPr>
                <w:color w:val="000000"/>
                <w:sz w:val="20"/>
                <w:szCs w:val="20"/>
              </w:rPr>
              <w:t>17.040.869</w:t>
            </w:r>
          </w:p>
        </w:tc>
        <w:tc>
          <w:tcPr>
            <w:tcW w:w="1134" w:type="dxa"/>
            <w:tcBorders>
              <w:top w:val="single" w:sz="4" w:space="0" w:color="auto"/>
              <w:left w:val="nil"/>
              <w:bottom w:val="single" w:sz="4" w:space="0" w:color="auto"/>
              <w:right w:val="single" w:sz="4" w:space="0" w:color="auto"/>
            </w:tcBorders>
            <w:shd w:val="clear" w:color="auto" w:fill="auto"/>
            <w:vAlign w:val="bottom"/>
          </w:tcPr>
          <w:p w14:paraId="4E11D98A" w14:textId="784C9592" w:rsidR="00B033A9" w:rsidRPr="001F224B" w:rsidRDefault="00B033A9" w:rsidP="00B033A9">
            <w:pPr>
              <w:jc w:val="right"/>
              <w:rPr>
                <w:color w:val="000000"/>
                <w:sz w:val="20"/>
                <w:szCs w:val="20"/>
              </w:rPr>
            </w:pPr>
            <w:r w:rsidRPr="001F224B">
              <w:rPr>
                <w:color w:val="000000"/>
                <w:sz w:val="20"/>
                <w:szCs w:val="20"/>
              </w:rPr>
              <w:t>41.052.659</w:t>
            </w:r>
          </w:p>
        </w:tc>
        <w:tc>
          <w:tcPr>
            <w:tcW w:w="1077" w:type="dxa"/>
            <w:tcBorders>
              <w:top w:val="single" w:sz="4" w:space="0" w:color="auto"/>
              <w:left w:val="nil"/>
              <w:bottom w:val="single" w:sz="4" w:space="0" w:color="auto"/>
              <w:right w:val="single" w:sz="4" w:space="0" w:color="auto"/>
            </w:tcBorders>
            <w:shd w:val="clear" w:color="auto" w:fill="auto"/>
            <w:vAlign w:val="bottom"/>
          </w:tcPr>
          <w:p w14:paraId="1DD350E9" w14:textId="4EBCA583" w:rsidR="00B033A9" w:rsidRPr="001F224B" w:rsidRDefault="00B033A9" w:rsidP="00B033A9">
            <w:pPr>
              <w:ind w:left="-96"/>
              <w:jc w:val="right"/>
              <w:rPr>
                <w:color w:val="000000"/>
                <w:sz w:val="20"/>
                <w:szCs w:val="20"/>
              </w:rPr>
            </w:pPr>
            <w:r w:rsidRPr="001F224B">
              <w:rPr>
                <w:color w:val="000000"/>
                <w:sz w:val="20"/>
                <w:szCs w:val="20"/>
              </w:rPr>
              <w:t>16.155.031</w:t>
            </w:r>
          </w:p>
        </w:tc>
      </w:tr>
      <w:tr w:rsidR="005347CD" w:rsidRPr="001F224B" w14:paraId="225193B2" w14:textId="77777777" w:rsidTr="00B033A9">
        <w:trPr>
          <w:trHeight w:val="542"/>
        </w:trPr>
        <w:tc>
          <w:tcPr>
            <w:tcW w:w="5359" w:type="dxa"/>
            <w:vAlign w:val="bottom"/>
            <w:hideMark/>
          </w:tcPr>
          <w:p w14:paraId="2CEAC8FC" w14:textId="77777777" w:rsidR="005347CD" w:rsidRPr="001F224B" w:rsidRDefault="005347CD" w:rsidP="00193FFF">
            <w:pPr>
              <w:rPr>
                <w:sz w:val="18"/>
                <w:szCs w:val="18"/>
              </w:rPr>
            </w:pPr>
            <w:r w:rsidRPr="001F224B">
              <w:rPr>
                <w:sz w:val="18"/>
                <w:szCs w:val="18"/>
              </w:rPr>
              <w:t> </w:t>
            </w:r>
          </w:p>
        </w:tc>
        <w:tc>
          <w:tcPr>
            <w:tcW w:w="1151" w:type="dxa"/>
            <w:tcBorders>
              <w:bottom w:val="single" w:sz="4" w:space="0" w:color="000000"/>
            </w:tcBorders>
            <w:vAlign w:val="bottom"/>
          </w:tcPr>
          <w:p w14:paraId="462D23D1" w14:textId="77777777" w:rsidR="005347CD" w:rsidRPr="001F224B" w:rsidRDefault="005347CD" w:rsidP="00193FFF">
            <w:pPr>
              <w:jc w:val="right"/>
              <w:rPr>
                <w:sz w:val="20"/>
                <w:szCs w:val="20"/>
              </w:rPr>
            </w:pPr>
          </w:p>
        </w:tc>
        <w:tc>
          <w:tcPr>
            <w:tcW w:w="1134" w:type="dxa"/>
            <w:vAlign w:val="bottom"/>
          </w:tcPr>
          <w:p w14:paraId="4CC3F293" w14:textId="77777777" w:rsidR="005347CD" w:rsidRPr="001F224B" w:rsidRDefault="005347CD" w:rsidP="00193FFF">
            <w:pPr>
              <w:jc w:val="right"/>
              <w:rPr>
                <w:sz w:val="20"/>
                <w:szCs w:val="20"/>
              </w:rPr>
            </w:pPr>
          </w:p>
        </w:tc>
        <w:tc>
          <w:tcPr>
            <w:tcW w:w="2211" w:type="dxa"/>
            <w:gridSpan w:val="2"/>
            <w:vAlign w:val="bottom"/>
          </w:tcPr>
          <w:p w14:paraId="143DCF97" w14:textId="77777777" w:rsidR="005347CD" w:rsidRPr="001F224B" w:rsidRDefault="005347CD" w:rsidP="00193FFF">
            <w:pPr>
              <w:jc w:val="center"/>
              <w:rPr>
                <w:b/>
                <w:bCs/>
                <w:sz w:val="20"/>
                <w:szCs w:val="20"/>
              </w:rPr>
            </w:pPr>
            <w:r w:rsidRPr="001F224B">
              <w:rPr>
                <w:b/>
                <w:bCs/>
                <w:sz w:val="20"/>
                <w:szCs w:val="20"/>
              </w:rPr>
              <w:t>Üst Sınır Uygulanmış Değerler</w:t>
            </w:r>
          </w:p>
        </w:tc>
      </w:tr>
      <w:tr w:rsidR="00B033A9" w:rsidRPr="001F224B" w14:paraId="23472909" w14:textId="77777777" w:rsidTr="00B033A9">
        <w:trPr>
          <w:trHeight w:val="256"/>
        </w:trPr>
        <w:tc>
          <w:tcPr>
            <w:tcW w:w="5359" w:type="dxa"/>
            <w:vAlign w:val="bottom"/>
            <w:hideMark/>
          </w:tcPr>
          <w:p w14:paraId="2E9BE437" w14:textId="77777777" w:rsidR="00B033A9" w:rsidRPr="001F224B" w:rsidRDefault="00B033A9" w:rsidP="00B033A9">
            <w:pPr>
              <w:rPr>
                <w:b/>
                <w:sz w:val="18"/>
                <w:szCs w:val="18"/>
              </w:rPr>
            </w:pPr>
            <w:r w:rsidRPr="001F224B">
              <w:rPr>
                <w:b/>
                <w:sz w:val="18"/>
                <w:szCs w:val="18"/>
              </w:rPr>
              <w:t>TOPLAM YÜKSEK KALİTELİ LİKİT VARLIKLAR STOKU</w:t>
            </w:r>
          </w:p>
        </w:tc>
        <w:tc>
          <w:tcPr>
            <w:tcW w:w="1151" w:type="dxa"/>
            <w:tcBorders>
              <w:right w:val="nil"/>
            </w:tcBorders>
            <w:vAlign w:val="bottom"/>
          </w:tcPr>
          <w:p w14:paraId="2D8ECF93" w14:textId="77777777" w:rsidR="00B033A9" w:rsidRPr="001F224B" w:rsidRDefault="00B033A9" w:rsidP="00B033A9">
            <w:pPr>
              <w:jc w:val="right"/>
              <w:rPr>
                <w:sz w:val="20"/>
                <w:szCs w:val="20"/>
              </w:rPr>
            </w:pPr>
          </w:p>
        </w:tc>
        <w:tc>
          <w:tcPr>
            <w:tcW w:w="1134" w:type="dxa"/>
            <w:tcBorders>
              <w:left w:val="nil"/>
            </w:tcBorders>
            <w:vAlign w:val="bottom"/>
          </w:tcPr>
          <w:p w14:paraId="5ABDF9B7" w14:textId="77777777" w:rsidR="00B033A9" w:rsidRPr="001F224B" w:rsidRDefault="00B033A9" w:rsidP="00B033A9">
            <w:pPr>
              <w:jc w:val="right"/>
              <w:rPr>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4521CDFA" w14:textId="3F55662D" w:rsidR="00B033A9" w:rsidRPr="001F224B" w:rsidRDefault="00B033A9" w:rsidP="00B033A9">
            <w:pPr>
              <w:jc w:val="right"/>
              <w:rPr>
                <w:b/>
                <w:bCs/>
                <w:color w:val="000000"/>
                <w:sz w:val="20"/>
                <w:szCs w:val="20"/>
              </w:rPr>
            </w:pPr>
            <w:r w:rsidRPr="001F224B">
              <w:rPr>
                <w:b/>
                <w:bCs/>
                <w:color w:val="000000"/>
                <w:sz w:val="20"/>
                <w:szCs w:val="20"/>
              </w:rPr>
              <w:t>18.533.033</w:t>
            </w:r>
          </w:p>
        </w:tc>
        <w:tc>
          <w:tcPr>
            <w:tcW w:w="1077" w:type="dxa"/>
            <w:tcBorders>
              <w:top w:val="single" w:sz="4" w:space="0" w:color="auto"/>
              <w:left w:val="nil"/>
              <w:bottom w:val="nil"/>
              <w:right w:val="single" w:sz="4" w:space="0" w:color="auto"/>
            </w:tcBorders>
            <w:shd w:val="clear" w:color="auto" w:fill="auto"/>
            <w:vAlign w:val="bottom"/>
          </w:tcPr>
          <w:p w14:paraId="3CE7CA42" w14:textId="36F87552" w:rsidR="00B033A9" w:rsidRPr="001F224B" w:rsidRDefault="00B033A9" w:rsidP="00B033A9">
            <w:pPr>
              <w:jc w:val="right"/>
              <w:rPr>
                <w:b/>
                <w:bCs/>
                <w:color w:val="000000"/>
                <w:sz w:val="20"/>
                <w:szCs w:val="20"/>
              </w:rPr>
            </w:pPr>
            <w:r w:rsidRPr="001F224B">
              <w:rPr>
                <w:b/>
                <w:bCs/>
                <w:color w:val="000000"/>
                <w:sz w:val="20"/>
                <w:szCs w:val="20"/>
              </w:rPr>
              <w:t>4.332.105</w:t>
            </w:r>
          </w:p>
        </w:tc>
      </w:tr>
      <w:tr w:rsidR="00B033A9" w:rsidRPr="001F224B" w14:paraId="1E2C46A8" w14:textId="77777777" w:rsidTr="00B033A9">
        <w:trPr>
          <w:trHeight w:val="256"/>
        </w:trPr>
        <w:tc>
          <w:tcPr>
            <w:tcW w:w="5359" w:type="dxa"/>
            <w:vAlign w:val="bottom"/>
            <w:hideMark/>
          </w:tcPr>
          <w:p w14:paraId="7BFDF6B0" w14:textId="77777777" w:rsidR="00B033A9" w:rsidRPr="001F224B" w:rsidRDefault="00B033A9" w:rsidP="00B033A9">
            <w:pPr>
              <w:rPr>
                <w:b/>
                <w:sz w:val="18"/>
                <w:szCs w:val="18"/>
              </w:rPr>
            </w:pPr>
            <w:r w:rsidRPr="001F224B">
              <w:rPr>
                <w:b/>
                <w:sz w:val="18"/>
                <w:szCs w:val="18"/>
              </w:rPr>
              <w:t>TOPLAM NET NAKİT ÇIKIŞLARI</w:t>
            </w:r>
          </w:p>
        </w:tc>
        <w:tc>
          <w:tcPr>
            <w:tcW w:w="1151" w:type="dxa"/>
            <w:tcBorders>
              <w:right w:val="nil"/>
            </w:tcBorders>
            <w:vAlign w:val="bottom"/>
          </w:tcPr>
          <w:p w14:paraId="58EDB586" w14:textId="77777777" w:rsidR="00B033A9" w:rsidRPr="001F224B" w:rsidRDefault="00B033A9" w:rsidP="00B033A9">
            <w:pPr>
              <w:jc w:val="right"/>
              <w:rPr>
                <w:sz w:val="20"/>
                <w:szCs w:val="20"/>
              </w:rPr>
            </w:pPr>
          </w:p>
        </w:tc>
        <w:tc>
          <w:tcPr>
            <w:tcW w:w="1134" w:type="dxa"/>
            <w:tcBorders>
              <w:left w:val="nil"/>
            </w:tcBorders>
            <w:vAlign w:val="bottom"/>
          </w:tcPr>
          <w:p w14:paraId="3259ABA0" w14:textId="77777777" w:rsidR="00B033A9" w:rsidRPr="001F224B" w:rsidRDefault="00B033A9" w:rsidP="00B033A9">
            <w:pPr>
              <w:jc w:val="right"/>
              <w:rPr>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519D9B7" w14:textId="114F41C4" w:rsidR="00B033A9" w:rsidRPr="001F224B" w:rsidRDefault="00B033A9" w:rsidP="00B033A9">
            <w:pPr>
              <w:jc w:val="right"/>
              <w:rPr>
                <w:b/>
                <w:bCs/>
                <w:color w:val="000000"/>
                <w:sz w:val="20"/>
                <w:szCs w:val="20"/>
              </w:rPr>
            </w:pPr>
            <w:r w:rsidRPr="001F224B">
              <w:rPr>
                <w:b/>
                <w:bCs/>
                <w:color w:val="000000"/>
                <w:sz w:val="20"/>
                <w:szCs w:val="20"/>
              </w:rPr>
              <w:t>5.294.885</w:t>
            </w:r>
          </w:p>
        </w:tc>
        <w:tc>
          <w:tcPr>
            <w:tcW w:w="1077" w:type="dxa"/>
            <w:tcBorders>
              <w:top w:val="single" w:sz="4" w:space="0" w:color="auto"/>
              <w:left w:val="nil"/>
              <w:bottom w:val="single" w:sz="4" w:space="0" w:color="auto"/>
              <w:right w:val="single" w:sz="4" w:space="0" w:color="auto"/>
            </w:tcBorders>
            <w:shd w:val="clear" w:color="auto" w:fill="auto"/>
            <w:vAlign w:val="bottom"/>
          </w:tcPr>
          <w:p w14:paraId="3BC20AFC" w14:textId="5340E1A3" w:rsidR="00B033A9" w:rsidRPr="001F224B" w:rsidRDefault="00B033A9" w:rsidP="00B033A9">
            <w:pPr>
              <w:jc w:val="right"/>
              <w:rPr>
                <w:b/>
                <w:bCs/>
                <w:color w:val="000000"/>
                <w:sz w:val="20"/>
                <w:szCs w:val="20"/>
              </w:rPr>
            </w:pPr>
            <w:r w:rsidRPr="001F224B">
              <w:rPr>
                <w:b/>
                <w:bCs/>
                <w:color w:val="000000"/>
                <w:sz w:val="20"/>
                <w:szCs w:val="20"/>
              </w:rPr>
              <w:t>3.105.478</w:t>
            </w:r>
          </w:p>
        </w:tc>
      </w:tr>
      <w:tr w:rsidR="00B033A9" w:rsidRPr="001F224B" w14:paraId="06F177FA" w14:textId="77777777" w:rsidTr="00B033A9">
        <w:trPr>
          <w:trHeight w:val="256"/>
        </w:trPr>
        <w:tc>
          <w:tcPr>
            <w:tcW w:w="5359" w:type="dxa"/>
            <w:vAlign w:val="bottom"/>
            <w:hideMark/>
          </w:tcPr>
          <w:p w14:paraId="239F5E18" w14:textId="77777777" w:rsidR="00B033A9" w:rsidRPr="001F224B" w:rsidRDefault="00B033A9" w:rsidP="00B033A9">
            <w:pPr>
              <w:rPr>
                <w:b/>
                <w:sz w:val="18"/>
                <w:szCs w:val="18"/>
              </w:rPr>
            </w:pPr>
            <w:r w:rsidRPr="001F224B">
              <w:rPr>
                <w:b/>
                <w:sz w:val="18"/>
                <w:szCs w:val="18"/>
              </w:rPr>
              <w:t>LİKİDİTE KARŞILAMA ORANI (%)</w:t>
            </w:r>
          </w:p>
        </w:tc>
        <w:tc>
          <w:tcPr>
            <w:tcW w:w="1151" w:type="dxa"/>
            <w:tcBorders>
              <w:right w:val="nil"/>
            </w:tcBorders>
            <w:vAlign w:val="bottom"/>
          </w:tcPr>
          <w:p w14:paraId="33E98800" w14:textId="77777777" w:rsidR="00B033A9" w:rsidRPr="001F224B" w:rsidRDefault="00B033A9" w:rsidP="00B033A9">
            <w:pPr>
              <w:jc w:val="right"/>
              <w:rPr>
                <w:sz w:val="20"/>
                <w:szCs w:val="20"/>
              </w:rPr>
            </w:pPr>
          </w:p>
        </w:tc>
        <w:tc>
          <w:tcPr>
            <w:tcW w:w="1134" w:type="dxa"/>
            <w:tcBorders>
              <w:left w:val="nil"/>
            </w:tcBorders>
            <w:vAlign w:val="bottom"/>
          </w:tcPr>
          <w:p w14:paraId="21133434" w14:textId="77777777" w:rsidR="00B033A9" w:rsidRPr="001F224B" w:rsidRDefault="00B033A9" w:rsidP="00B033A9">
            <w:pPr>
              <w:jc w:val="right"/>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8C67E50" w14:textId="26227CE0" w:rsidR="00B033A9" w:rsidRPr="001F224B" w:rsidRDefault="00B033A9" w:rsidP="00B033A9">
            <w:pPr>
              <w:jc w:val="right"/>
              <w:rPr>
                <w:b/>
                <w:bCs/>
                <w:color w:val="000000"/>
                <w:sz w:val="20"/>
                <w:szCs w:val="20"/>
              </w:rPr>
            </w:pPr>
            <w:r w:rsidRPr="001F224B">
              <w:rPr>
                <w:b/>
                <w:bCs/>
                <w:color w:val="000000"/>
                <w:sz w:val="20"/>
                <w:szCs w:val="20"/>
              </w:rPr>
              <w:t>350,02</w:t>
            </w:r>
          </w:p>
        </w:tc>
        <w:tc>
          <w:tcPr>
            <w:tcW w:w="1077" w:type="dxa"/>
            <w:tcBorders>
              <w:top w:val="single" w:sz="4" w:space="0" w:color="auto"/>
              <w:left w:val="nil"/>
              <w:bottom w:val="single" w:sz="4" w:space="0" w:color="auto"/>
              <w:right w:val="single" w:sz="4" w:space="0" w:color="auto"/>
            </w:tcBorders>
            <w:shd w:val="clear" w:color="auto" w:fill="auto"/>
            <w:vAlign w:val="bottom"/>
          </w:tcPr>
          <w:p w14:paraId="71E8B194" w14:textId="488D5500" w:rsidR="00B033A9" w:rsidRPr="001F224B" w:rsidRDefault="00B033A9" w:rsidP="00B033A9">
            <w:pPr>
              <w:jc w:val="right"/>
              <w:rPr>
                <w:b/>
                <w:bCs/>
                <w:color w:val="000000"/>
                <w:sz w:val="20"/>
                <w:szCs w:val="20"/>
              </w:rPr>
            </w:pPr>
            <w:r w:rsidRPr="001F224B">
              <w:rPr>
                <w:b/>
                <w:bCs/>
                <w:color w:val="000000"/>
                <w:sz w:val="20"/>
                <w:szCs w:val="20"/>
              </w:rPr>
              <w:t>139,50</w:t>
            </w:r>
          </w:p>
        </w:tc>
      </w:tr>
    </w:tbl>
    <w:p w14:paraId="78945303" w14:textId="77777777" w:rsidR="005347CD" w:rsidRPr="001F224B" w:rsidRDefault="005347CD" w:rsidP="005347CD">
      <w:pPr>
        <w:rPr>
          <w:bCs/>
          <w:iCs/>
          <w:sz w:val="16"/>
          <w:szCs w:val="16"/>
        </w:rPr>
      </w:pPr>
      <w:r w:rsidRPr="001F224B">
        <w:rPr>
          <w:bCs/>
          <w:iCs/>
          <w:sz w:val="16"/>
          <w:szCs w:val="16"/>
        </w:rPr>
        <w:t>(*) Aylık basit aritmetik ortalama alınmak suretiyle hesaplanan değerlerin son üç ay için hesaplanan basit aritmetik ortalaması.</w:t>
      </w:r>
    </w:p>
    <w:p w14:paraId="6D4185D6" w14:textId="77777777" w:rsidR="005347CD" w:rsidRPr="001F224B" w:rsidRDefault="005347CD" w:rsidP="005347CD">
      <w:pPr>
        <w:rPr>
          <w:bCs/>
          <w:iCs/>
          <w:sz w:val="16"/>
          <w:szCs w:val="16"/>
        </w:rPr>
      </w:pPr>
    </w:p>
    <w:p w14:paraId="05B84461" w14:textId="77777777" w:rsidR="005347CD" w:rsidRPr="001F224B" w:rsidRDefault="005347CD" w:rsidP="005347CD">
      <w:pPr>
        <w:rPr>
          <w:iCs/>
          <w:sz w:val="22"/>
          <w:szCs w:val="22"/>
        </w:rPr>
      </w:pPr>
    </w:p>
    <w:p w14:paraId="7A1A9CD4" w14:textId="0923E46E" w:rsidR="005347CD" w:rsidRPr="001F224B" w:rsidRDefault="005347CD">
      <w:pPr>
        <w:rPr>
          <w:iCs/>
          <w:sz w:val="22"/>
          <w:szCs w:val="22"/>
        </w:rPr>
      </w:pPr>
    </w:p>
    <w:p w14:paraId="10CAE675" w14:textId="1230D17E" w:rsidR="005347CD" w:rsidRPr="001F224B" w:rsidRDefault="005347CD">
      <w:pPr>
        <w:rPr>
          <w:iCs/>
          <w:sz w:val="22"/>
          <w:szCs w:val="22"/>
        </w:rPr>
      </w:pPr>
      <w:r w:rsidRPr="001F224B">
        <w:rPr>
          <w:iCs/>
          <w:sz w:val="22"/>
          <w:szCs w:val="22"/>
        </w:rPr>
        <w:br w:type="page"/>
      </w:r>
    </w:p>
    <w:p w14:paraId="45F5CC2C" w14:textId="1B829487" w:rsidR="005347CD" w:rsidRPr="001F224B" w:rsidRDefault="005347CD" w:rsidP="005347CD">
      <w:pPr>
        <w:pStyle w:val="ListParagraph"/>
        <w:tabs>
          <w:tab w:val="left" w:pos="0"/>
        </w:tabs>
        <w:spacing w:before="120"/>
        <w:ind w:left="0"/>
        <w:rPr>
          <w:b/>
          <w:bCs/>
          <w:sz w:val="22"/>
          <w:szCs w:val="22"/>
        </w:rPr>
      </w:pPr>
      <w:r w:rsidRPr="001F224B">
        <w:rPr>
          <w:b/>
          <w:bCs/>
          <w:sz w:val="22"/>
          <w:szCs w:val="22"/>
        </w:rPr>
        <w:t>DÖRDÜNCÜ BÖLÜM (Devamı)</w:t>
      </w:r>
    </w:p>
    <w:p w14:paraId="01A6970B" w14:textId="77777777" w:rsidR="005347CD" w:rsidRPr="001F224B" w:rsidRDefault="005347CD" w:rsidP="005347CD">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6EFD396A" w14:textId="5A5EAA30" w:rsidR="005347CD" w:rsidRPr="001F224B" w:rsidRDefault="005347CD" w:rsidP="005347CD">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03908F19" w14:textId="77777777" w:rsidR="005347CD" w:rsidRPr="001F224B" w:rsidRDefault="005347CD" w:rsidP="005347CD">
      <w:pPr>
        <w:spacing w:before="120" w:after="120"/>
        <w:ind w:left="567"/>
        <w:rPr>
          <w:b/>
        </w:rPr>
      </w:pPr>
      <w:r w:rsidRPr="001F224B">
        <w:rPr>
          <w:b/>
          <w:bCs/>
          <w:iCs/>
          <w:sz w:val="22"/>
          <w:szCs w:val="22"/>
        </w:rPr>
        <w:t>2. Konsolide likidite Karşılama Oranı (Devamı)</w:t>
      </w:r>
      <w:r w:rsidRPr="001F224B">
        <w:rPr>
          <w:b/>
        </w:rPr>
        <w:t>:</w:t>
      </w:r>
    </w:p>
    <w:tbl>
      <w:tblPr>
        <w:tblpPr w:leftFromText="141" w:rightFromText="141" w:vertAnchor="text" w:tblpX="137" w:tblpY="1"/>
        <w:tblOverlap w:val="never"/>
        <w:tblW w:w="2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560"/>
        <w:gridCol w:w="1559"/>
      </w:tblGrid>
      <w:tr w:rsidR="005347CD" w:rsidRPr="001F224B" w14:paraId="19D1E414" w14:textId="77777777" w:rsidTr="00193FFF">
        <w:trPr>
          <w:trHeight w:val="276"/>
        </w:trPr>
        <w:tc>
          <w:tcPr>
            <w:tcW w:w="2102" w:type="pct"/>
            <w:tcBorders>
              <w:top w:val="single" w:sz="4" w:space="0" w:color="auto"/>
              <w:bottom w:val="single" w:sz="4" w:space="0" w:color="auto"/>
            </w:tcBorders>
            <w:vAlign w:val="bottom"/>
          </w:tcPr>
          <w:p w14:paraId="5BCE6D33" w14:textId="77777777" w:rsidR="005347CD" w:rsidRPr="001F224B" w:rsidRDefault="005347CD" w:rsidP="00193FFF">
            <w:pPr>
              <w:rPr>
                <w:b/>
                <w:bCs/>
                <w:color w:val="000000"/>
                <w:sz w:val="20"/>
                <w:szCs w:val="20"/>
              </w:rPr>
            </w:pPr>
            <w:r w:rsidRPr="001F224B">
              <w:rPr>
                <w:b/>
                <w:bCs/>
                <w:color w:val="000000"/>
                <w:sz w:val="20"/>
                <w:szCs w:val="20"/>
              </w:rPr>
              <w:t>Dönem</w:t>
            </w:r>
          </w:p>
        </w:tc>
        <w:tc>
          <w:tcPr>
            <w:tcW w:w="1449" w:type="pct"/>
            <w:tcBorders>
              <w:top w:val="single" w:sz="4" w:space="0" w:color="auto"/>
            </w:tcBorders>
            <w:vAlign w:val="bottom"/>
          </w:tcPr>
          <w:p w14:paraId="1940236F" w14:textId="77777777" w:rsidR="005347CD" w:rsidRPr="001F224B" w:rsidRDefault="005347CD" w:rsidP="00193FFF">
            <w:pPr>
              <w:jc w:val="center"/>
              <w:rPr>
                <w:i/>
                <w:iCs/>
                <w:color w:val="000000"/>
                <w:sz w:val="20"/>
                <w:szCs w:val="20"/>
              </w:rPr>
            </w:pPr>
            <w:r w:rsidRPr="001F224B">
              <w:rPr>
                <w:b/>
                <w:sz w:val="18"/>
                <w:szCs w:val="18"/>
              </w:rPr>
              <w:t>TP+YP</w:t>
            </w:r>
          </w:p>
        </w:tc>
        <w:tc>
          <w:tcPr>
            <w:tcW w:w="1448" w:type="pct"/>
            <w:vAlign w:val="bottom"/>
          </w:tcPr>
          <w:p w14:paraId="4C9C0E00" w14:textId="77777777" w:rsidR="005347CD" w:rsidRPr="001F224B" w:rsidRDefault="005347CD" w:rsidP="00193FFF">
            <w:pPr>
              <w:jc w:val="center"/>
              <w:rPr>
                <w:i/>
                <w:iCs/>
                <w:color w:val="000000"/>
                <w:sz w:val="20"/>
                <w:szCs w:val="20"/>
              </w:rPr>
            </w:pPr>
            <w:r w:rsidRPr="001F224B">
              <w:rPr>
                <w:b/>
                <w:sz w:val="18"/>
                <w:szCs w:val="18"/>
              </w:rPr>
              <w:t>YP</w:t>
            </w:r>
          </w:p>
        </w:tc>
      </w:tr>
      <w:tr w:rsidR="005347CD" w:rsidRPr="001F224B" w14:paraId="29F4894B" w14:textId="77777777" w:rsidTr="00193FFF">
        <w:trPr>
          <w:trHeight w:val="276"/>
        </w:trPr>
        <w:tc>
          <w:tcPr>
            <w:tcW w:w="2102" w:type="pct"/>
            <w:tcBorders>
              <w:top w:val="nil"/>
              <w:bottom w:val="single" w:sz="4" w:space="0" w:color="auto"/>
            </w:tcBorders>
            <w:vAlign w:val="bottom"/>
          </w:tcPr>
          <w:p w14:paraId="24279115" w14:textId="77777777" w:rsidR="005347CD" w:rsidRPr="001F224B" w:rsidRDefault="005347CD" w:rsidP="00193FFF">
            <w:pPr>
              <w:rPr>
                <w:b/>
                <w:bCs/>
                <w:color w:val="000000"/>
                <w:sz w:val="20"/>
                <w:szCs w:val="20"/>
              </w:rPr>
            </w:pPr>
            <w:r w:rsidRPr="001F224B">
              <w:rPr>
                <w:b/>
                <w:bCs/>
                <w:color w:val="000000"/>
                <w:sz w:val="20"/>
                <w:szCs w:val="20"/>
              </w:rPr>
              <w:t>31 Ekim 2023</w:t>
            </w:r>
          </w:p>
        </w:tc>
        <w:tc>
          <w:tcPr>
            <w:tcW w:w="1449" w:type="pct"/>
            <w:vAlign w:val="bottom"/>
          </w:tcPr>
          <w:p w14:paraId="1CF5A6DA" w14:textId="77777777" w:rsidR="005347CD" w:rsidRPr="001F224B" w:rsidRDefault="005347CD" w:rsidP="00193FFF">
            <w:pPr>
              <w:jc w:val="center"/>
              <w:rPr>
                <w:color w:val="000000"/>
                <w:sz w:val="20"/>
                <w:szCs w:val="20"/>
              </w:rPr>
            </w:pPr>
            <w:r w:rsidRPr="001F224B">
              <w:rPr>
                <w:color w:val="000000"/>
                <w:sz w:val="20"/>
                <w:szCs w:val="20"/>
              </w:rPr>
              <w:t>200,18</w:t>
            </w:r>
          </w:p>
        </w:tc>
        <w:tc>
          <w:tcPr>
            <w:tcW w:w="1448" w:type="pct"/>
            <w:vAlign w:val="bottom"/>
          </w:tcPr>
          <w:p w14:paraId="170EB2F8" w14:textId="77777777" w:rsidR="005347CD" w:rsidRPr="001F224B" w:rsidRDefault="005347CD" w:rsidP="00193FFF">
            <w:pPr>
              <w:jc w:val="center"/>
              <w:rPr>
                <w:color w:val="000000"/>
                <w:sz w:val="20"/>
                <w:szCs w:val="20"/>
              </w:rPr>
            </w:pPr>
            <w:r w:rsidRPr="001F224B">
              <w:rPr>
                <w:color w:val="000000"/>
                <w:sz w:val="20"/>
                <w:szCs w:val="20"/>
              </w:rPr>
              <w:t>106,04</w:t>
            </w:r>
          </w:p>
        </w:tc>
      </w:tr>
      <w:tr w:rsidR="005347CD" w:rsidRPr="001F224B" w14:paraId="47361461" w14:textId="77777777" w:rsidTr="00193FFF">
        <w:trPr>
          <w:trHeight w:val="276"/>
        </w:trPr>
        <w:tc>
          <w:tcPr>
            <w:tcW w:w="2102" w:type="pct"/>
            <w:tcBorders>
              <w:top w:val="single" w:sz="4" w:space="0" w:color="auto"/>
              <w:bottom w:val="single" w:sz="4" w:space="0" w:color="auto"/>
            </w:tcBorders>
            <w:vAlign w:val="bottom"/>
          </w:tcPr>
          <w:p w14:paraId="2543DABD" w14:textId="77777777" w:rsidR="005347CD" w:rsidRPr="001F224B" w:rsidRDefault="005347CD" w:rsidP="00193FFF">
            <w:pPr>
              <w:rPr>
                <w:b/>
                <w:bCs/>
                <w:color w:val="000000"/>
                <w:sz w:val="20"/>
                <w:szCs w:val="20"/>
              </w:rPr>
            </w:pPr>
            <w:r w:rsidRPr="001F224B">
              <w:rPr>
                <w:b/>
                <w:bCs/>
                <w:color w:val="000000"/>
                <w:sz w:val="20"/>
                <w:szCs w:val="20"/>
              </w:rPr>
              <w:t>30 Kasım 2023</w:t>
            </w:r>
          </w:p>
        </w:tc>
        <w:tc>
          <w:tcPr>
            <w:tcW w:w="1449" w:type="pct"/>
            <w:vAlign w:val="bottom"/>
          </w:tcPr>
          <w:p w14:paraId="372B4BFE" w14:textId="77777777" w:rsidR="005347CD" w:rsidRPr="001F224B" w:rsidRDefault="005347CD" w:rsidP="00193FFF">
            <w:pPr>
              <w:jc w:val="center"/>
              <w:rPr>
                <w:color w:val="000000"/>
                <w:sz w:val="20"/>
                <w:szCs w:val="20"/>
              </w:rPr>
            </w:pPr>
            <w:r w:rsidRPr="001F224B">
              <w:rPr>
                <w:color w:val="000000"/>
                <w:sz w:val="20"/>
                <w:szCs w:val="20"/>
              </w:rPr>
              <w:t>193,02</w:t>
            </w:r>
          </w:p>
        </w:tc>
        <w:tc>
          <w:tcPr>
            <w:tcW w:w="1448" w:type="pct"/>
            <w:vAlign w:val="bottom"/>
          </w:tcPr>
          <w:p w14:paraId="130F261E" w14:textId="77777777" w:rsidR="005347CD" w:rsidRPr="001F224B" w:rsidRDefault="005347CD" w:rsidP="00193FFF">
            <w:pPr>
              <w:jc w:val="center"/>
              <w:rPr>
                <w:color w:val="000000"/>
                <w:sz w:val="20"/>
                <w:szCs w:val="20"/>
              </w:rPr>
            </w:pPr>
            <w:r w:rsidRPr="001F224B">
              <w:rPr>
                <w:color w:val="000000"/>
                <w:sz w:val="20"/>
                <w:szCs w:val="20"/>
              </w:rPr>
              <w:t>100,00</w:t>
            </w:r>
          </w:p>
        </w:tc>
      </w:tr>
      <w:tr w:rsidR="005347CD" w:rsidRPr="001F224B" w14:paraId="2351E810" w14:textId="77777777" w:rsidTr="00193FFF">
        <w:trPr>
          <w:trHeight w:val="276"/>
        </w:trPr>
        <w:tc>
          <w:tcPr>
            <w:tcW w:w="2102" w:type="pct"/>
            <w:tcBorders>
              <w:top w:val="single" w:sz="4" w:space="0" w:color="auto"/>
            </w:tcBorders>
            <w:vAlign w:val="bottom"/>
          </w:tcPr>
          <w:p w14:paraId="00B8B205" w14:textId="77777777" w:rsidR="005347CD" w:rsidRPr="001F224B" w:rsidRDefault="005347CD" w:rsidP="00193FFF">
            <w:pPr>
              <w:rPr>
                <w:b/>
                <w:bCs/>
                <w:color w:val="000000"/>
                <w:sz w:val="20"/>
                <w:szCs w:val="20"/>
              </w:rPr>
            </w:pPr>
            <w:r w:rsidRPr="001F224B">
              <w:rPr>
                <w:b/>
                <w:bCs/>
                <w:color w:val="000000"/>
                <w:sz w:val="20"/>
                <w:szCs w:val="20"/>
              </w:rPr>
              <w:t>31 Aralık 2023</w:t>
            </w:r>
          </w:p>
        </w:tc>
        <w:tc>
          <w:tcPr>
            <w:tcW w:w="1449" w:type="pct"/>
            <w:vAlign w:val="bottom"/>
          </w:tcPr>
          <w:p w14:paraId="4892290E" w14:textId="77777777" w:rsidR="005347CD" w:rsidRPr="001F224B" w:rsidRDefault="005347CD" w:rsidP="00193FFF">
            <w:pPr>
              <w:jc w:val="center"/>
              <w:rPr>
                <w:color w:val="000000"/>
                <w:sz w:val="20"/>
                <w:szCs w:val="20"/>
              </w:rPr>
            </w:pPr>
            <w:r w:rsidRPr="001F224B">
              <w:rPr>
                <w:color w:val="000000"/>
                <w:sz w:val="20"/>
                <w:szCs w:val="20"/>
              </w:rPr>
              <w:t>198,42</w:t>
            </w:r>
          </w:p>
        </w:tc>
        <w:tc>
          <w:tcPr>
            <w:tcW w:w="1448" w:type="pct"/>
            <w:vAlign w:val="bottom"/>
          </w:tcPr>
          <w:p w14:paraId="2A3DE39E" w14:textId="77777777" w:rsidR="005347CD" w:rsidRPr="001F224B" w:rsidRDefault="005347CD" w:rsidP="00193FFF">
            <w:pPr>
              <w:jc w:val="center"/>
              <w:rPr>
                <w:color w:val="000000"/>
                <w:sz w:val="20"/>
                <w:szCs w:val="20"/>
              </w:rPr>
            </w:pPr>
            <w:r w:rsidRPr="001F224B">
              <w:rPr>
                <w:color w:val="000000"/>
                <w:sz w:val="20"/>
                <w:szCs w:val="20"/>
              </w:rPr>
              <w:t>100,00</w:t>
            </w:r>
          </w:p>
        </w:tc>
      </w:tr>
    </w:tbl>
    <w:p w14:paraId="1840621D" w14:textId="77777777" w:rsidR="005347CD" w:rsidRPr="001F224B" w:rsidRDefault="005347CD" w:rsidP="005347CD">
      <w:pPr>
        <w:tabs>
          <w:tab w:val="left" w:pos="567"/>
        </w:tabs>
        <w:spacing w:before="120" w:after="120"/>
        <w:ind w:left="567"/>
      </w:pPr>
    </w:p>
    <w:p w14:paraId="7900C421" w14:textId="77777777" w:rsidR="005347CD" w:rsidRPr="001F224B" w:rsidRDefault="005347CD" w:rsidP="005347CD">
      <w:pPr>
        <w:spacing w:before="120" w:after="120"/>
        <w:ind w:left="567"/>
      </w:pPr>
    </w:p>
    <w:p w14:paraId="2D711EC6" w14:textId="77777777" w:rsidR="005347CD" w:rsidRPr="001F224B" w:rsidRDefault="005347CD" w:rsidP="005347CD">
      <w:pPr>
        <w:spacing w:before="120" w:after="120"/>
        <w:ind w:left="567"/>
      </w:pPr>
    </w:p>
    <w:tbl>
      <w:tblPr>
        <w:tblStyle w:val="TabloKlavuzu2"/>
        <w:tblW w:w="9923" w:type="dxa"/>
        <w:tblInd w:w="137" w:type="dxa"/>
        <w:tblLayout w:type="fixed"/>
        <w:tblLook w:val="04A0" w:firstRow="1" w:lastRow="0" w:firstColumn="1" w:lastColumn="0" w:noHBand="0" w:noVBand="1"/>
      </w:tblPr>
      <w:tblGrid>
        <w:gridCol w:w="5362"/>
        <w:gridCol w:w="1134"/>
        <w:gridCol w:w="1134"/>
        <w:gridCol w:w="1134"/>
        <w:gridCol w:w="1159"/>
      </w:tblGrid>
      <w:tr w:rsidR="005347CD" w:rsidRPr="001F224B" w14:paraId="267EEA2C" w14:textId="77777777" w:rsidTr="00D27A20">
        <w:trPr>
          <w:trHeight w:val="753"/>
        </w:trPr>
        <w:tc>
          <w:tcPr>
            <w:tcW w:w="5362" w:type="dxa"/>
            <w:vAlign w:val="bottom"/>
            <w:hideMark/>
          </w:tcPr>
          <w:p w14:paraId="67B66446" w14:textId="77777777" w:rsidR="005347CD" w:rsidRPr="001F224B" w:rsidRDefault="005347CD" w:rsidP="00193FFF">
            <w:pPr>
              <w:rPr>
                <w:sz w:val="18"/>
                <w:szCs w:val="18"/>
              </w:rPr>
            </w:pPr>
            <w:r w:rsidRPr="001F224B">
              <w:rPr>
                <w:sz w:val="18"/>
                <w:szCs w:val="18"/>
              </w:rPr>
              <w:t> </w:t>
            </w:r>
          </w:p>
        </w:tc>
        <w:tc>
          <w:tcPr>
            <w:tcW w:w="2268" w:type="dxa"/>
            <w:gridSpan w:val="2"/>
            <w:vAlign w:val="bottom"/>
            <w:hideMark/>
          </w:tcPr>
          <w:p w14:paraId="5B31C32B" w14:textId="77777777" w:rsidR="005347CD" w:rsidRPr="001F224B" w:rsidRDefault="005347CD" w:rsidP="00193FFF">
            <w:pPr>
              <w:jc w:val="center"/>
              <w:rPr>
                <w:b/>
                <w:sz w:val="18"/>
                <w:szCs w:val="18"/>
                <w:vertAlign w:val="superscript"/>
              </w:rPr>
            </w:pPr>
            <w:r w:rsidRPr="001F224B">
              <w:rPr>
                <w:b/>
                <w:sz w:val="18"/>
                <w:szCs w:val="18"/>
              </w:rPr>
              <w:t xml:space="preserve">Dikkate Alınma Oranı Uygulanmamış Toplam Değer </w:t>
            </w:r>
            <w:r w:rsidRPr="001F224B">
              <w:rPr>
                <w:b/>
                <w:sz w:val="18"/>
                <w:szCs w:val="18"/>
                <w:vertAlign w:val="superscript"/>
              </w:rPr>
              <w:t>(*)</w:t>
            </w:r>
          </w:p>
        </w:tc>
        <w:tc>
          <w:tcPr>
            <w:tcW w:w="2293" w:type="dxa"/>
            <w:gridSpan w:val="2"/>
            <w:vAlign w:val="bottom"/>
            <w:hideMark/>
          </w:tcPr>
          <w:p w14:paraId="1F193E7C" w14:textId="77777777" w:rsidR="005347CD" w:rsidRPr="001F224B" w:rsidRDefault="005347CD" w:rsidP="00193FFF">
            <w:pPr>
              <w:jc w:val="center"/>
              <w:rPr>
                <w:b/>
                <w:sz w:val="18"/>
                <w:szCs w:val="18"/>
              </w:rPr>
            </w:pPr>
            <w:r w:rsidRPr="001F224B">
              <w:rPr>
                <w:b/>
                <w:sz w:val="18"/>
                <w:szCs w:val="18"/>
              </w:rPr>
              <w:t xml:space="preserve">Dikkate Alınma Oranı Uygulanmış Toplam Değer </w:t>
            </w:r>
            <w:r w:rsidRPr="001F224B">
              <w:rPr>
                <w:b/>
                <w:sz w:val="18"/>
                <w:szCs w:val="18"/>
                <w:vertAlign w:val="superscript"/>
              </w:rPr>
              <w:t>(*)</w:t>
            </w:r>
          </w:p>
        </w:tc>
      </w:tr>
      <w:tr w:rsidR="005347CD" w:rsidRPr="001F224B" w14:paraId="7921ACBB" w14:textId="77777777" w:rsidTr="00D27A20">
        <w:trPr>
          <w:trHeight w:val="256"/>
        </w:trPr>
        <w:tc>
          <w:tcPr>
            <w:tcW w:w="5362" w:type="dxa"/>
            <w:vAlign w:val="bottom"/>
            <w:hideMark/>
          </w:tcPr>
          <w:p w14:paraId="6DEA6CA1" w14:textId="74F2F49E" w:rsidR="005347CD" w:rsidRPr="001F224B" w:rsidRDefault="005347CD" w:rsidP="00193FFF">
            <w:pPr>
              <w:rPr>
                <w:b/>
                <w:bCs/>
                <w:sz w:val="18"/>
                <w:szCs w:val="18"/>
              </w:rPr>
            </w:pPr>
            <w:r w:rsidRPr="001F224B">
              <w:rPr>
                <w:b/>
                <w:bCs/>
                <w:sz w:val="18"/>
                <w:szCs w:val="18"/>
              </w:rPr>
              <w:t>Önceki Dönem (31.12.202</w:t>
            </w:r>
            <w:r w:rsidR="00A220E9" w:rsidRPr="001F224B">
              <w:rPr>
                <w:b/>
                <w:bCs/>
                <w:sz w:val="18"/>
                <w:szCs w:val="18"/>
              </w:rPr>
              <w:t>4</w:t>
            </w:r>
            <w:r w:rsidRPr="001F224B">
              <w:rPr>
                <w:b/>
                <w:bCs/>
                <w:sz w:val="18"/>
                <w:szCs w:val="18"/>
              </w:rPr>
              <w:t>)</w:t>
            </w:r>
          </w:p>
        </w:tc>
        <w:tc>
          <w:tcPr>
            <w:tcW w:w="1134" w:type="dxa"/>
            <w:vAlign w:val="bottom"/>
            <w:hideMark/>
          </w:tcPr>
          <w:p w14:paraId="555643BD" w14:textId="77777777" w:rsidR="005347CD" w:rsidRPr="001F224B" w:rsidRDefault="005347CD" w:rsidP="00193FFF">
            <w:pPr>
              <w:jc w:val="right"/>
              <w:rPr>
                <w:b/>
                <w:sz w:val="18"/>
                <w:szCs w:val="18"/>
              </w:rPr>
            </w:pPr>
            <w:r w:rsidRPr="001F224B">
              <w:rPr>
                <w:b/>
                <w:sz w:val="18"/>
                <w:szCs w:val="18"/>
              </w:rPr>
              <w:t>TP+YP</w:t>
            </w:r>
          </w:p>
        </w:tc>
        <w:tc>
          <w:tcPr>
            <w:tcW w:w="1134" w:type="dxa"/>
            <w:vAlign w:val="bottom"/>
            <w:hideMark/>
          </w:tcPr>
          <w:p w14:paraId="69718F30" w14:textId="77777777" w:rsidR="005347CD" w:rsidRPr="001F224B" w:rsidRDefault="005347CD" w:rsidP="00193FFF">
            <w:pPr>
              <w:jc w:val="right"/>
              <w:rPr>
                <w:b/>
                <w:sz w:val="18"/>
                <w:szCs w:val="18"/>
              </w:rPr>
            </w:pPr>
            <w:r w:rsidRPr="001F224B">
              <w:rPr>
                <w:b/>
                <w:sz w:val="18"/>
                <w:szCs w:val="18"/>
              </w:rPr>
              <w:t>YP</w:t>
            </w:r>
          </w:p>
        </w:tc>
        <w:tc>
          <w:tcPr>
            <w:tcW w:w="1134" w:type="dxa"/>
            <w:vAlign w:val="bottom"/>
            <w:hideMark/>
          </w:tcPr>
          <w:p w14:paraId="448F02FF" w14:textId="77777777" w:rsidR="005347CD" w:rsidRPr="001F224B" w:rsidRDefault="005347CD" w:rsidP="00193FFF">
            <w:pPr>
              <w:jc w:val="right"/>
              <w:rPr>
                <w:b/>
                <w:sz w:val="18"/>
                <w:szCs w:val="18"/>
              </w:rPr>
            </w:pPr>
            <w:r w:rsidRPr="001F224B">
              <w:rPr>
                <w:b/>
                <w:sz w:val="18"/>
                <w:szCs w:val="18"/>
              </w:rPr>
              <w:t>TP+YP</w:t>
            </w:r>
          </w:p>
        </w:tc>
        <w:tc>
          <w:tcPr>
            <w:tcW w:w="1159" w:type="dxa"/>
            <w:vAlign w:val="bottom"/>
            <w:hideMark/>
          </w:tcPr>
          <w:p w14:paraId="3D72D351" w14:textId="77777777" w:rsidR="005347CD" w:rsidRPr="001F224B" w:rsidRDefault="005347CD" w:rsidP="00193FFF">
            <w:pPr>
              <w:jc w:val="right"/>
              <w:rPr>
                <w:b/>
                <w:sz w:val="18"/>
                <w:szCs w:val="18"/>
              </w:rPr>
            </w:pPr>
            <w:r w:rsidRPr="001F224B">
              <w:rPr>
                <w:b/>
                <w:sz w:val="18"/>
                <w:szCs w:val="18"/>
              </w:rPr>
              <w:t>YP</w:t>
            </w:r>
          </w:p>
        </w:tc>
      </w:tr>
      <w:tr w:rsidR="005347CD" w:rsidRPr="001F224B" w14:paraId="37B0FBB6" w14:textId="77777777" w:rsidTr="00D27A20">
        <w:trPr>
          <w:trHeight w:val="256"/>
        </w:trPr>
        <w:tc>
          <w:tcPr>
            <w:tcW w:w="5362" w:type="dxa"/>
            <w:vAlign w:val="bottom"/>
            <w:hideMark/>
          </w:tcPr>
          <w:p w14:paraId="1BEC67C4" w14:textId="77777777" w:rsidR="005347CD" w:rsidRPr="001F224B" w:rsidRDefault="005347CD" w:rsidP="00193FFF">
            <w:pPr>
              <w:rPr>
                <w:b/>
                <w:sz w:val="18"/>
                <w:szCs w:val="18"/>
              </w:rPr>
            </w:pPr>
            <w:r w:rsidRPr="001F224B">
              <w:rPr>
                <w:b/>
                <w:sz w:val="18"/>
                <w:szCs w:val="18"/>
              </w:rPr>
              <w:t>YÜKSEK KALİTELİ LİKİT VARLIKLAR</w:t>
            </w:r>
          </w:p>
        </w:tc>
        <w:tc>
          <w:tcPr>
            <w:tcW w:w="1134" w:type="dxa"/>
            <w:vAlign w:val="bottom"/>
          </w:tcPr>
          <w:p w14:paraId="575577FC" w14:textId="77777777" w:rsidR="005347CD" w:rsidRPr="001F224B" w:rsidRDefault="005347CD" w:rsidP="00193FFF">
            <w:pPr>
              <w:jc w:val="right"/>
              <w:rPr>
                <w:sz w:val="18"/>
                <w:szCs w:val="18"/>
              </w:rPr>
            </w:pPr>
            <w:r w:rsidRPr="001F224B">
              <w:rPr>
                <w:rFonts w:ascii="Arial" w:hAnsi="Arial" w:cs="Arial"/>
                <w:b/>
                <w:color w:val="000000"/>
                <w:sz w:val="18"/>
                <w:szCs w:val="18"/>
              </w:rPr>
              <w:t> </w:t>
            </w:r>
          </w:p>
        </w:tc>
        <w:tc>
          <w:tcPr>
            <w:tcW w:w="1134" w:type="dxa"/>
            <w:vAlign w:val="bottom"/>
          </w:tcPr>
          <w:p w14:paraId="04E8D7B7" w14:textId="77777777" w:rsidR="005347CD" w:rsidRPr="001F224B" w:rsidRDefault="005347CD" w:rsidP="00193FFF">
            <w:pPr>
              <w:jc w:val="right"/>
              <w:rPr>
                <w:sz w:val="18"/>
                <w:szCs w:val="18"/>
              </w:rPr>
            </w:pPr>
            <w:r w:rsidRPr="001F224B">
              <w:rPr>
                <w:rFonts w:ascii="Arial" w:hAnsi="Arial" w:cs="Arial"/>
                <w:b/>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A840CC" w14:textId="77777777" w:rsidR="005347CD" w:rsidRPr="001F224B" w:rsidRDefault="005347CD" w:rsidP="00193FFF">
            <w:pPr>
              <w:jc w:val="right"/>
              <w:rPr>
                <w:b/>
                <w:sz w:val="18"/>
                <w:szCs w:val="18"/>
              </w:rPr>
            </w:pPr>
          </w:p>
        </w:tc>
        <w:tc>
          <w:tcPr>
            <w:tcW w:w="1159" w:type="dxa"/>
            <w:tcBorders>
              <w:top w:val="single" w:sz="4" w:space="0" w:color="auto"/>
              <w:left w:val="nil"/>
              <w:bottom w:val="single" w:sz="4" w:space="0" w:color="auto"/>
              <w:right w:val="single" w:sz="4" w:space="0" w:color="auto"/>
            </w:tcBorders>
            <w:shd w:val="clear" w:color="auto" w:fill="auto"/>
            <w:vAlign w:val="bottom"/>
          </w:tcPr>
          <w:p w14:paraId="18CAD097" w14:textId="77777777" w:rsidR="005347CD" w:rsidRPr="001F224B" w:rsidRDefault="005347CD" w:rsidP="00193FFF">
            <w:pPr>
              <w:jc w:val="right"/>
              <w:rPr>
                <w:b/>
                <w:sz w:val="18"/>
                <w:szCs w:val="18"/>
              </w:rPr>
            </w:pPr>
          </w:p>
        </w:tc>
      </w:tr>
      <w:tr w:rsidR="00A220E9" w:rsidRPr="001F224B" w14:paraId="331194BD" w14:textId="77777777" w:rsidTr="00D27A20">
        <w:trPr>
          <w:trHeight w:val="271"/>
        </w:trPr>
        <w:tc>
          <w:tcPr>
            <w:tcW w:w="5362" w:type="dxa"/>
            <w:vAlign w:val="bottom"/>
            <w:hideMark/>
          </w:tcPr>
          <w:p w14:paraId="1BB53A34" w14:textId="77777777" w:rsidR="00A220E9" w:rsidRPr="001F224B" w:rsidRDefault="00A220E9" w:rsidP="00A220E9">
            <w:pPr>
              <w:rPr>
                <w:sz w:val="18"/>
                <w:szCs w:val="18"/>
              </w:rPr>
            </w:pPr>
            <w:r w:rsidRPr="001F224B">
              <w:rPr>
                <w:sz w:val="18"/>
                <w:szCs w:val="18"/>
              </w:rPr>
              <w:t xml:space="preserve">    Yüksek kaliteli likit varlıklar</w:t>
            </w:r>
          </w:p>
        </w:tc>
        <w:tc>
          <w:tcPr>
            <w:tcW w:w="1134" w:type="dxa"/>
            <w:vAlign w:val="bottom"/>
          </w:tcPr>
          <w:p w14:paraId="1286A281" w14:textId="187BFD89" w:rsidR="00A220E9" w:rsidRPr="001F224B" w:rsidRDefault="00A220E9" w:rsidP="00A220E9">
            <w:pPr>
              <w:jc w:val="right"/>
              <w:rPr>
                <w:color w:val="000000"/>
                <w:sz w:val="18"/>
                <w:szCs w:val="18"/>
              </w:rPr>
            </w:pPr>
            <w:r w:rsidRPr="001F224B">
              <w:rPr>
                <w:b/>
                <w:bCs/>
                <w:color w:val="000000"/>
                <w:sz w:val="20"/>
                <w:szCs w:val="20"/>
              </w:rPr>
              <w:t xml:space="preserve">             - </w:t>
            </w:r>
          </w:p>
        </w:tc>
        <w:tc>
          <w:tcPr>
            <w:tcW w:w="1134" w:type="dxa"/>
            <w:vAlign w:val="bottom"/>
          </w:tcPr>
          <w:p w14:paraId="5214D886" w14:textId="6EED09F0" w:rsidR="00A220E9" w:rsidRPr="001F224B" w:rsidRDefault="00A220E9" w:rsidP="00A220E9">
            <w:pPr>
              <w:jc w:val="right"/>
              <w:rPr>
                <w:color w:val="000000"/>
                <w:sz w:val="18"/>
                <w:szCs w:val="18"/>
              </w:rPr>
            </w:pPr>
            <w:r w:rsidRPr="001F224B">
              <w:rPr>
                <w:b/>
                <w:bCs/>
                <w:color w:val="000000"/>
                <w:sz w:val="20"/>
                <w:szCs w:val="20"/>
              </w:rPr>
              <w:t xml:space="preserve">             -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4C36639" w14:textId="0EE63EF0" w:rsidR="00A220E9" w:rsidRPr="001F224B" w:rsidRDefault="00A220E9" w:rsidP="00A220E9">
            <w:pPr>
              <w:jc w:val="right"/>
              <w:rPr>
                <w:color w:val="000000"/>
                <w:sz w:val="18"/>
                <w:szCs w:val="18"/>
              </w:rPr>
            </w:pPr>
            <w:r w:rsidRPr="001F224B">
              <w:rPr>
                <w:color w:val="000000"/>
                <w:sz w:val="20"/>
                <w:szCs w:val="20"/>
              </w:rPr>
              <w:t>17.928.077</w:t>
            </w:r>
          </w:p>
        </w:tc>
        <w:tc>
          <w:tcPr>
            <w:tcW w:w="1159" w:type="dxa"/>
            <w:tcBorders>
              <w:top w:val="single" w:sz="4" w:space="0" w:color="auto"/>
              <w:left w:val="nil"/>
              <w:bottom w:val="single" w:sz="4" w:space="0" w:color="auto"/>
              <w:right w:val="single" w:sz="4" w:space="0" w:color="auto"/>
            </w:tcBorders>
            <w:shd w:val="clear" w:color="auto" w:fill="auto"/>
            <w:vAlign w:val="bottom"/>
          </w:tcPr>
          <w:p w14:paraId="57354E81" w14:textId="277CC5D6" w:rsidR="00A220E9" w:rsidRPr="001F224B" w:rsidRDefault="00A220E9" w:rsidP="00A220E9">
            <w:pPr>
              <w:jc w:val="right"/>
              <w:rPr>
                <w:color w:val="000000"/>
                <w:sz w:val="18"/>
                <w:szCs w:val="18"/>
              </w:rPr>
            </w:pPr>
            <w:r w:rsidRPr="001F224B">
              <w:rPr>
                <w:color w:val="000000"/>
                <w:sz w:val="20"/>
                <w:szCs w:val="20"/>
              </w:rPr>
              <w:t>5.720.041</w:t>
            </w:r>
          </w:p>
        </w:tc>
      </w:tr>
      <w:tr w:rsidR="00A220E9" w:rsidRPr="001F224B" w14:paraId="2937DEE1" w14:textId="77777777" w:rsidTr="00D27A20">
        <w:trPr>
          <w:trHeight w:val="256"/>
        </w:trPr>
        <w:tc>
          <w:tcPr>
            <w:tcW w:w="5362" w:type="dxa"/>
            <w:vAlign w:val="bottom"/>
            <w:hideMark/>
          </w:tcPr>
          <w:p w14:paraId="4483E363" w14:textId="77777777" w:rsidR="00A220E9" w:rsidRPr="001F224B" w:rsidRDefault="00A220E9" w:rsidP="00A220E9">
            <w:pPr>
              <w:rPr>
                <w:b/>
                <w:sz w:val="18"/>
                <w:szCs w:val="18"/>
              </w:rPr>
            </w:pPr>
            <w:r w:rsidRPr="001F224B">
              <w:rPr>
                <w:b/>
                <w:sz w:val="18"/>
                <w:szCs w:val="18"/>
              </w:rPr>
              <w:t>NAKİT ÇIKIŞLARI</w:t>
            </w:r>
          </w:p>
        </w:tc>
        <w:tc>
          <w:tcPr>
            <w:tcW w:w="1134" w:type="dxa"/>
            <w:vAlign w:val="bottom"/>
          </w:tcPr>
          <w:p w14:paraId="12B726CF" w14:textId="394650C8" w:rsidR="00A220E9" w:rsidRPr="001F224B" w:rsidRDefault="00A220E9" w:rsidP="00A220E9">
            <w:pPr>
              <w:jc w:val="right"/>
              <w:rPr>
                <w:sz w:val="18"/>
                <w:szCs w:val="18"/>
              </w:rPr>
            </w:pPr>
            <w:r w:rsidRPr="001F224B">
              <w:rPr>
                <w:b/>
                <w:bCs/>
                <w:color w:val="000000"/>
                <w:sz w:val="20"/>
                <w:szCs w:val="20"/>
              </w:rPr>
              <w:t> </w:t>
            </w:r>
          </w:p>
        </w:tc>
        <w:tc>
          <w:tcPr>
            <w:tcW w:w="1134" w:type="dxa"/>
            <w:vAlign w:val="bottom"/>
          </w:tcPr>
          <w:p w14:paraId="17587E83" w14:textId="67DF5FA2" w:rsidR="00A220E9" w:rsidRPr="001F224B" w:rsidRDefault="00A220E9" w:rsidP="00A220E9">
            <w:pPr>
              <w:jc w:val="right"/>
              <w:rPr>
                <w:sz w:val="18"/>
                <w:szCs w:val="18"/>
              </w:rPr>
            </w:pPr>
            <w:r w:rsidRPr="001F224B">
              <w:rPr>
                <w:b/>
                <w:bCs/>
                <w:color w:val="000000"/>
                <w:sz w:val="20"/>
                <w:szCs w:val="20"/>
              </w:rPr>
              <w:t> </w:t>
            </w:r>
          </w:p>
        </w:tc>
        <w:tc>
          <w:tcPr>
            <w:tcW w:w="1134" w:type="dxa"/>
            <w:vAlign w:val="bottom"/>
          </w:tcPr>
          <w:p w14:paraId="38FA1A9E" w14:textId="543BBFB6" w:rsidR="00A220E9" w:rsidRPr="001F224B" w:rsidRDefault="00A220E9" w:rsidP="00A220E9">
            <w:pPr>
              <w:jc w:val="right"/>
              <w:rPr>
                <w:sz w:val="18"/>
                <w:szCs w:val="18"/>
              </w:rPr>
            </w:pPr>
            <w:r w:rsidRPr="001F224B">
              <w:rPr>
                <w:color w:val="000000"/>
                <w:sz w:val="20"/>
                <w:szCs w:val="20"/>
              </w:rPr>
              <w:t> </w:t>
            </w:r>
          </w:p>
        </w:tc>
        <w:tc>
          <w:tcPr>
            <w:tcW w:w="1159" w:type="dxa"/>
            <w:vAlign w:val="bottom"/>
          </w:tcPr>
          <w:p w14:paraId="6DDBED9F" w14:textId="2F16ADFC" w:rsidR="00A220E9" w:rsidRPr="001F224B" w:rsidRDefault="00A220E9" w:rsidP="00A220E9">
            <w:pPr>
              <w:jc w:val="right"/>
              <w:rPr>
                <w:sz w:val="18"/>
                <w:szCs w:val="18"/>
              </w:rPr>
            </w:pPr>
            <w:r w:rsidRPr="001F224B">
              <w:rPr>
                <w:color w:val="000000"/>
                <w:sz w:val="20"/>
                <w:szCs w:val="20"/>
              </w:rPr>
              <w:t> </w:t>
            </w:r>
          </w:p>
        </w:tc>
      </w:tr>
      <w:tr w:rsidR="00A220E9" w:rsidRPr="001F224B" w14:paraId="784E023B" w14:textId="77777777" w:rsidTr="00D27A20">
        <w:trPr>
          <w:trHeight w:val="256"/>
        </w:trPr>
        <w:tc>
          <w:tcPr>
            <w:tcW w:w="5362" w:type="dxa"/>
            <w:vAlign w:val="bottom"/>
            <w:hideMark/>
          </w:tcPr>
          <w:p w14:paraId="5F6E29CA" w14:textId="77777777" w:rsidR="00A220E9" w:rsidRPr="001F224B" w:rsidRDefault="00A220E9" w:rsidP="00A220E9">
            <w:pPr>
              <w:rPr>
                <w:sz w:val="18"/>
                <w:szCs w:val="18"/>
              </w:rPr>
            </w:pPr>
            <w:r w:rsidRPr="001F224B">
              <w:rPr>
                <w:sz w:val="18"/>
                <w:szCs w:val="18"/>
              </w:rPr>
              <w:t xml:space="preserve">    Gerçek kişi mevduat ve perakende mevduat</w:t>
            </w:r>
          </w:p>
        </w:tc>
        <w:tc>
          <w:tcPr>
            <w:tcW w:w="1134" w:type="dxa"/>
            <w:vAlign w:val="bottom"/>
          </w:tcPr>
          <w:p w14:paraId="2046123C" w14:textId="482E52D4" w:rsidR="00A220E9" w:rsidRPr="001F224B" w:rsidRDefault="00A220E9" w:rsidP="00A220E9">
            <w:pPr>
              <w:jc w:val="right"/>
              <w:rPr>
                <w:b/>
                <w:sz w:val="18"/>
                <w:szCs w:val="18"/>
              </w:rPr>
            </w:pPr>
            <w:r w:rsidRPr="001F224B">
              <w:rPr>
                <w:b/>
                <w:bCs/>
                <w:color w:val="000000"/>
                <w:sz w:val="20"/>
                <w:szCs w:val="20"/>
              </w:rPr>
              <w:t xml:space="preserve">             - </w:t>
            </w:r>
          </w:p>
        </w:tc>
        <w:tc>
          <w:tcPr>
            <w:tcW w:w="1134" w:type="dxa"/>
            <w:vAlign w:val="bottom"/>
          </w:tcPr>
          <w:p w14:paraId="3B365832" w14:textId="266EEEDA" w:rsidR="00A220E9" w:rsidRPr="001F224B" w:rsidRDefault="00A220E9" w:rsidP="00A220E9">
            <w:pPr>
              <w:jc w:val="right"/>
              <w:rPr>
                <w:b/>
                <w:sz w:val="18"/>
                <w:szCs w:val="18"/>
              </w:rPr>
            </w:pPr>
            <w:r w:rsidRPr="001F224B">
              <w:rPr>
                <w:b/>
                <w:bCs/>
                <w:color w:val="000000"/>
                <w:sz w:val="20"/>
                <w:szCs w:val="20"/>
              </w:rPr>
              <w:t xml:space="preserve">             - </w:t>
            </w:r>
          </w:p>
        </w:tc>
        <w:tc>
          <w:tcPr>
            <w:tcW w:w="1134" w:type="dxa"/>
            <w:vAlign w:val="bottom"/>
          </w:tcPr>
          <w:p w14:paraId="2EE24C2F" w14:textId="611E9A33" w:rsidR="00A220E9" w:rsidRPr="001F224B" w:rsidRDefault="00A220E9" w:rsidP="00A220E9">
            <w:pPr>
              <w:jc w:val="right"/>
              <w:rPr>
                <w:b/>
                <w:sz w:val="18"/>
                <w:szCs w:val="18"/>
              </w:rPr>
            </w:pPr>
            <w:r w:rsidRPr="001F224B">
              <w:rPr>
                <w:b/>
                <w:bCs/>
                <w:color w:val="000000"/>
                <w:sz w:val="20"/>
                <w:szCs w:val="20"/>
              </w:rPr>
              <w:t xml:space="preserve">             - </w:t>
            </w:r>
          </w:p>
        </w:tc>
        <w:tc>
          <w:tcPr>
            <w:tcW w:w="1159" w:type="dxa"/>
            <w:vAlign w:val="bottom"/>
          </w:tcPr>
          <w:p w14:paraId="3A916EA2" w14:textId="3C248A5F" w:rsidR="00A220E9" w:rsidRPr="001F224B" w:rsidRDefault="00A220E9" w:rsidP="00A220E9">
            <w:pPr>
              <w:jc w:val="right"/>
              <w:rPr>
                <w:b/>
                <w:sz w:val="18"/>
                <w:szCs w:val="18"/>
              </w:rPr>
            </w:pPr>
            <w:r w:rsidRPr="001F224B">
              <w:rPr>
                <w:b/>
                <w:bCs/>
                <w:color w:val="000000"/>
                <w:sz w:val="20"/>
                <w:szCs w:val="20"/>
              </w:rPr>
              <w:t xml:space="preserve">             - </w:t>
            </w:r>
          </w:p>
        </w:tc>
      </w:tr>
      <w:tr w:rsidR="00A220E9" w:rsidRPr="001F224B" w14:paraId="7957FCBB" w14:textId="77777777" w:rsidTr="00D27A20">
        <w:trPr>
          <w:trHeight w:val="256"/>
        </w:trPr>
        <w:tc>
          <w:tcPr>
            <w:tcW w:w="5362" w:type="dxa"/>
            <w:vAlign w:val="bottom"/>
            <w:hideMark/>
          </w:tcPr>
          <w:p w14:paraId="63B89947" w14:textId="77777777" w:rsidR="00A220E9" w:rsidRPr="001F224B" w:rsidRDefault="00A220E9" w:rsidP="00A220E9">
            <w:pPr>
              <w:rPr>
                <w:sz w:val="18"/>
                <w:szCs w:val="18"/>
              </w:rPr>
            </w:pPr>
            <w:r w:rsidRPr="001F224B">
              <w:rPr>
                <w:sz w:val="18"/>
                <w:szCs w:val="18"/>
              </w:rPr>
              <w:t xml:space="preserve">    İstikrarlı mevduat</w:t>
            </w:r>
          </w:p>
        </w:tc>
        <w:tc>
          <w:tcPr>
            <w:tcW w:w="1134" w:type="dxa"/>
            <w:vAlign w:val="bottom"/>
          </w:tcPr>
          <w:p w14:paraId="3BDD1EC5" w14:textId="20BF3244"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2CF24D93" w14:textId="0946D2B5"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6696CA5B" w14:textId="21F72CEF" w:rsidR="00A220E9" w:rsidRPr="001F224B" w:rsidRDefault="00A220E9" w:rsidP="00A220E9">
            <w:pPr>
              <w:jc w:val="right"/>
              <w:rPr>
                <w:sz w:val="18"/>
                <w:szCs w:val="18"/>
              </w:rPr>
            </w:pPr>
            <w:r w:rsidRPr="001F224B">
              <w:rPr>
                <w:b/>
                <w:bCs/>
                <w:color w:val="000000"/>
                <w:sz w:val="20"/>
                <w:szCs w:val="20"/>
              </w:rPr>
              <w:t xml:space="preserve">             - </w:t>
            </w:r>
          </w:p>
        </w:tc>
        <w:tc>
          <w:tcPr>
            <w:tcW w:w="1159" w:type="dxa"/>
            <w:vAlign w:val="bottom"/>
          </w:tcPr>
          <w:p w14:paraId="41DDE99D" w14:textId="2DDD2D9B" w:rsidR="00A220E9" w:rsidRPr="001F224B" w:rsidRDefault="00A220E9" w:rsidP="00A220E9">
            <w:pPr>
              <w:jc w:val="right"/>
              <w:rPr>
                <w:sz w:val="18"/>
                <w:szCs w:val="18"/>
              </w:rPr>
            </w:pPr>
            <w:r w:rsidRPr="001F224B">
              <w:rPr>
                <w:b/>
                <w:bCs/>
                <w:color w:val="000000"/>
                <w:sz w:val="20"/>
                <w:szCs w:val="20"/>
              </w:rPr>
              <w:t xml:space="preserve">             - </w:t>
            </w:r>
          </w:p>
        </w:tc>
      </w:tr>
      <w:tr w:rsidR="00A220E9" w:rsidRPr="001F224B" w14:paraId="6FAE0846" w14:textId="77777777" w:rsidTr="00D27A20">
        <w:trPr>
          <w:trHeight w:val="256"/>
        </w:trPr>
        <w:tc>
          <w:tcPr>
            <w:tcW w:w="5362" w:type="dxa"/>
            <w:vAlign w:val="bottom"/>
            <w:hideMark/>
          </w:tcPr>
          <w:p w14:paraId="3F8783D3" w14:textId="77777777" w:rsidR="00A220E9" w:rsidRPr="001F224B" w:rsidRDefault="00A220E9" w:rsidP="00A220E9">
            <w:pPr>
              <w:rPr>
                <w:sz w:val="18"/>
                <w:szCs w:val="18"/>
              </w:rPr>
            </w:pPr>
            <w:r w:rsidRPr="001F224B">
              <w:rPr>
                <w:sz w:val="18"/>
                <w:szCs w:val="18"/>
              </w:rPr>
              <w:t xml:space="preserve">    Düşük istikrarlı mevduat</w:t>
            </w:r>
          </w:p>
        </w:tc>
        <w:tc>
          <w:tcPr>
            <w:tcW w:w="1134" w:type="dxa"/>
            <w:vAlign w:val="bottom"/>
          </w:tcPr>
          <w:p w14:paraId="4CD91316" w14:textId="30916D4A"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3EBE203D" w14:textId="52DD52FB"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1EE7978F" w14:textId="209DEF59" w:rsidR="00A220E9" w:rsidRPr="001F224B" w:rsidRDefault="00A220E9" w:rsidP="00A220E9">
            <w:pPr>
              <w:jc w:val="right"/>
              <w:rPr>
                <w:sz w:val="18"/>
                <w:szCs w:val="18"/>
              </w:rPr>
            </w:pPr>
            <w:r w:rsidRPr="001F224B">
              <w:rPr>
                <w:b/>
                <w:bCs/>
                <w:color w:val="000000"/>
                <w:sz w:val="20"/>
                <w:szCs w:val="20"/>
              </w:rPr>
              <w:t xml:space="preserve">             - </w:t>
            </w:r>
          </w:p>
        </w:tc>
        <w:tc>
          <w:tcPr>
            <w:tcW w:w="1159" w:type="dxa"/>
            <w:vAlign w:val="bottom"/>
          </w:tcPr>
          <w:p w14:paraId="35AE02CB" w14:textId="5C390B85" w:rsidR="00A220E9" w:rsidRPr="001F224B" w:rsidRDefault="00A220E9" w:rsidP="00A220E9">
            <w:pPr>
              <w:jc w:val="right"/>
              <w:rPr>
                <w:sz w:val="18"/>
                <w:szCs w:val="18"/>
              </w:rPr>
            </w:pPr>
            <w:r w:rsidRPr="001F224B">
              <w:rPr>
                <w:b/>
                <w:bCs/>
                <w:color w:val="000000"/>
                <w:sz w:val="20"/>
                <w:szCs w:val="20"/>
              </w:rPr>
              <w:t xml:space="preserve">             - </w:t>
            </w:r>
          </w:p>
        </w:tc>
      </w:tr>
      <w:tr w:rsidR="00A220E9" w:rsidRPr="001F224B" w14:paraId="55829B0E" w14:textId="77777777" w:rsidTr="00D27A20">
        <w:trPr>
          <w:trHeight w:val="482"/>
        </w:trPr>
        <w:tc>
          <w:tcPr>
            <w:tcW w:w="5362" w:type="dxa"/>
            <w:vAlign w:val="bottom"/>
            <w:hideMark/>
          </w:tcPr>
          <w:p w14:paraId="0280602B" w14:textId="77777777" w:rsidR="00A220E9" w:rsidRPr="001F224B" w:rsidRDefault="00A220E9" w:rsidP="00A220E9">
            <w:pPr>
              <w:rPr>
                <w:sz w:val="18"/>
                <w:szCs w:val="18"/>
              </w:rPr>
            </w:pPr>
            <w:r w:rsidRPr="001F224B">
              <w:rPr>
                <w:sz w:val="18"/>
                <w:szCs w:val="18"/>
              </w:rPr>
              <w:t>Gerçek kişi mevduat ve perakende mevduat dışında kalan teminatsız borçlar</w:t>
            </w:r>
          </w:p>
        </w:tc>
        <w:tc>
          <w:tcPr>
            <w:tcW w:w="1134" w:type="dxa"/>
            <w:vAlign w:val="bottom"/>
          </w:tcPr>
          <w:p w14:paraId="11F5F31E" w14:textId="0EA55A6E" w:rsidR="00A220E9" w:rsidRPr="001F224B" w:rsidRDefault="00A220E9" w:rsidP="00A220E9">
            <w:pPr>
              <w:jc w:val="right"/>
              <w:rPr>
                <w:color w:val="000000"/>
                <w:sz w:val="18"/>
                <w:szCs w:val="18"/>
              </w:rPr>
            </w:pPr>
            <w:r w:rsidRPr="001F224B">
              <w:rPr>
                <w:color w:val="000000"/>
                <w:sz w:val="20"/>
                <w:szCs w:val="20"/>
              </w:rPr>
              <w:t>4.113.643</w:t>
            </w:r>
          </w:p>
        </w:tc>
        <w:tc>
          <w:tcPr>
            <w:tcW w:w="1134" w:type="dxa"/>
            <w:vAlign w:val="bottom"/>
          </w:tcPr>
          <w:p w14:paraId="237C80CC" w14:textId="04F1409A" w:rsidR="00A220E9" w:rsidRPr="001F224B" w:rsidRDefault="00A220E9" w:rsidP="00A220E9">
            <w:pPr>
              <w:jc w:val="right"/>
              <w:rPr>
                <w:color w:val="000000"/>
                <w:sz w:val="18"/>
                <w:szCs w:val="18"/>
              </w:rPr>
            </w:pPr>
            <w:r w:rsidRPr="001F224B">
              <w:rPr>
                <w:color w:val="000000"/>
                <w:sz w:val="20"/>
                <w:szCs w:val="20"/>
              </w:rPr>
              <w:t>2.682.189</w:t>
            </w:r>
          </w:p>
        </w:tc>
        <w:tc>
          <w:tcPr>
            <w:tcW w:w="1134" w:type="dxa"/>
            <w:vAlign w:val="bottom"/>
          </w:tcPr>
          <w:p w14:paraId="7A65D3BE" w14:textId="04D00638" w:rsidR="00A220E9" w:rsidRPr="001F224B" w:rsidRDefault="00A220E9" w:rsidP="00A220E9">
            <w:pPr>
              <w:jc w:val="right"/>
              <w:rPr>
                <w:color w:val="000000"/>
                <w:sz w:val="18"/>
                <w:szCs w:val="18"/>
              </w:rPr>
            </w:pPr>
            <w:r w:rsidRPr="001F224B">
              <w:rPr>
                <w:color w:val="000000"/>
                <w:sz w:val="20"/>
                <w:szCs w:val="20"/>
              </w:rPr>
              <w:t>2.610.803</w:t>
            </w:r>
          </w:p>
        </w:tc>
        <w:tc>
          <w:tcPr>
            <w:tcW w:w="1159" w:type="dxa"/>
            <w:vAlign w:val="bottom"/>
          </w:tcPr>
          <w:p w14:paraId="2F7924B9" w14:textId="6A8389A1" w:rsidR="00A220E9" w:rsidRPr="001F224B" w:rsidRDefault="00A220E9" w:rsidP="00A220E9">
            <w:pPr>
              <w:jc w:val="right"/>
              <w:rPr>
                <w:color w:val="000000"/>
                <w:sz w:val="18"/>
                <w:szCs w:val="18"/>
              </w:rPr>
            </w:pPr>
            <w:r w:rsidRPr="001F224B">
              <w:rPr>
                <w:color w:val="000000"/>
                <w:sz w:val="20"/>
                <w:szCs w:val="20"/>
              </w:rPr>
              <w:t>1.365.444</w:t>
            </w:r>
          </w:p>
        </w:tc>
      </w:tr>
      <w:tr w:rsidR="00A220E9" w:rsidRPr="001F224B" w14:paraId="1992FFB5" w14:textId="77777777" w:rsidTr="00D27A20">
        <w:trPr>
          <w:trHeight w:val="256"/>
        </w:trPr>
        <w:tc>
          <w:tcPr>
            <w:tcW w:w="5362" w:type="dxa"/>
            <w:vAlign w:val="bottom"/>
            <w:hideMark/>
          </w:tcPr>
          <w:p w14:paraId="0E835DBA" w14:textId="77777777" w:rsidR="00A220E9" w:rsidRPr="001F224B" w:rsidRDefault="00A220E9" w:rsidP="00A220E9">
            <w:pPr>
              <w:rPr>
                <w:sz w:val="18"/>
                <w:szCs w:val="18"/>
              </w:rPr>
            </w:pPr>
            <w:r w:rsidRPr="001F224B">
              <w:rPr>
                <w:sz w:val="18"/>
                <w:szCs w:val="18"/>
              </w:rPr>
              <w:t xml:space="preserve">    Operasyonel mevduat</w:t>
            </w:r>
          </w:p>
        </w:tc>
        <w:tc>
          <w:tcPr>
            <w:tcW w:w="1134" w:type="dxa"/>
            <w:vAlign w:val="bottom"/>
          </w:tcPr>
          <w:p w14:paraId="60AF62CA" w14:textId="6C79A3DF"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436DBE64" w14:textId="70D4D5F4"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642DE874" w14:textId="7A63A337" w:rsidR="00A220E9" w:rsidRPr="001F224B" w:rsidRDefault="00A220E9" w:rsidP="00A220E9">
            <w:pPr>
              <w:jc w:val="right"/>
              <w:rPr>
                <w:sz w:val="18"/>
                <w:szCs w:val="18"/>
              </w:rPr>
            </w:pPr>
            <w:r w:rsidRPr="001F224B">
              <w:rPr>
                <w:b/>
                <w:bCs/>
                <w:color w:val="000000"/>
                <w:sz w:val="20"/>
                <w:szCs w:val="20"/>
              </w:rPr>
              <w:t xml:space="preserve"> - </w:t>
            </w:r>
          </w:p>
        </w:tc>
        <w:tc>
          <w:tcPr>
            <w:tcW w:w="1159" w:type="dxa"/>
            <w:vAlign w:val="bottom"/>
          </w:tcPr>
          <w:p w14:paraId="503B9A15" w14:textId="5DC7FB70" w:rsidR="00A220E9" w:rsidRPr="001F224B" w:rsidRDefault="00A220E9" w:rsidP="00A220E9">
            <w:pPr>
              <w:jc w:val="right"/>
              <w:rPr>
                <w:sz w:val="18"/>
                <w:szCs w:val="18"/>
              </w:rPr>
            </w:pPr>
            <w:r w:rsidRPr="001F224B">
              <w:rPr>
                <w:b/>
                <w:bCs/>
                <w:color w:val="000000"/>
                <w:sz w:val="20"/>
                <w:szCs w:val="20"/>
              </w:rPr>
              <w:t xml:space="preserve"> - </w:t>
            </w:r>
          </w:p>
        </w:tc>
      </w:tr>
      <w:tr w:rsidR="00A220E9" w:rsidRPr="001F224B" w14:paraId="7C1CBA4F" w14:textId="77777777" w:rsidTr="00D27A20">
        <w:trPr>
          <w:trHeight w:val="256"/>
        </w:trPr>
        <w:tc>
          <w:tcPr>
            <w:tcW w:w="5362" w:type="dxa"/>
            <w:vAlign w:val="bottom"/>
            <w:hideMark/>
          </w:tcPr>
          <w:p w14:paraId="376881B2" w14:textId="77777777" w:rsidR="00A220E9" w:rsidRPr="001F224B" w:rsidRDefault="00A220E9" w:rsidP="00A220E9">
            <w:pPr>
              <w:rPr>
                <w:sz w:val="18"/>
                <w:szCs w:val="18"/>
              </w:rPr>
            </w:pPr>
            <w:r w:rsidRPr="001F224B">
              <w:rPr>
                <w:sz w:val="18"/>
                <w:szCs w:val="18"/>
              </w:rPr>
              <w:t xml:space="preserve">    Operasyonel olmayan mevduat</w:t>
            </w:r>
          </w:p>
        </w:tc>
        <w:tc>
          <w:tcPr>
            <w:tcW w:w="1134" w:type="dxa"/>
            <w:vAlign w:val="bottom"/>
          </w:tcPr>
          <w:p w14:paraId="3F445352" w14:textId="680D0526"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3B3D3978" w14:textId="40A69B7A" w:rsidR="00A220E9" w:rsidRPr="001F224B" w:rsidRDefault="00A220E9" w:rsidP="00A220E9">
            <w:pPr>
              <w:jc w:val="right"/>
              <w:rPr>
                <w:sz w:val="18"/>
                <w:szCs w:val="18"/>
              </w:rPr>
            </w:pPr>
            <w:r w:rsidRPr="001F224B">
              <w:rPr>
                <w:b/>
                <w:bCs/>
                <w:color w:val="000000"/>
                <w:sz w:val="20"/>
                <w:szCs w:val="20"/>
              </w:rPr>
              <w:t xml:space="preserve"> - </w:t>
            </w:r>
          </w:p>
        </w:tc>
        <w:tc>
          <w:tcPr>
            <w:tcW w:w="1134" w:type="dxa"/>
            <w:vAlign w:val="bottom"/>
          </w:tcPr>
          <w:p w14:paraId="36D291C7" w14:textId="7CE3A11B" w:rsidR="00A220E9" w:rsidRPr="001F224B" w:rsidRDefault="00A220E9" w:rsidP="00A220E9">
            <w:pPr>
              <w:jc w:val="right"/>
              <w:rPr>
                <w:sz w:val="18"/>
                <w:szCs w:val="18"/>
              </w:rPr>
            </w:pPr>
            <w:r w:rsidRPr="001F224B">
              <w:rPr>
                <w:b/>
                <w:bCs/>
                <w:color w:val="000000"/>
                <w:sz w:val="20"/>
                <w:szCs w:val="20"/>
              </w:rPr>
              <w:t xml:space="preserve"> - </w:t>
            </w:r>
          </w:p>
        </w:tc>
        <w:tc>
          <w:tcPr>
            <w:tcW w:w="1159" w:type="dxa"/>
            <w:vAlign w:val="bottom"/>
          </w:tcPr>
          <w:p w14:paraId="472F4952" w14:textId="334F6D41" w:rsidR="00A220E9" w:rsidRPr="001F224B" w:rsidRDefault="00A220E9" w:rsidP="00A220E9">
            <w:pPr>
              <w:jc w:val="right"/>
              <w:rPr>
                <w:sz w:val="18"/>
                <w:szCs w:val="18"/>
              </w:rPr>
            </w:pPr>
            <w:r w:rsidRPr="001F224B">
              <w:rPr>
                <w:b/>
                <w:bCs/>
                <w:color w:val="000000"/>
                <w:sz w:val="20"/>
                <w:szCs w:val="20"/>
              </w:rPr>
              <w:t xml:space="preserve"> - </w:t>
            </w:r>
          </w:p>
        </w:tc>
      </w:tr>
      <w:tr w:rsidR="00A220E9" w:rsidRPr="001F224B" w14:paraId="02F67371" w14:textId="77777777" w:rsidTr="00D27A20">
        <w:trPr>
          <w:trHeight w:val="256"/>
        </w:trPr>
        <w:tc>
          <w:tcPr>
            <w:tcW w:w="5362" w:type="dxa"/>
            <w:vAlign w:val="bottom"/>
            <w:hideMark/>
          </w:tcPr>
          <w:p w14:paraId="75245BA3" w14:textId="77777777" w:rsidR="00A220E9" w:rsidRPr="001F224B" w:rsidRDefault="00A220E9" w:rsidP="00A220E9">
            <w:pPr>
              <w:rPr>
                <w:sz w:val="18"/>
                <w:szCs w:val="18"/>
              </w:rPr>
            </w:pPr>
            <w:r w:rsidRPr="001F224B">
              <w:rPr>
                <w:sz w:val="18"/>
                <w:szCs w:val="18"/>
              </w:rPr>
              <w:t xml:space="preserve">    Diğer teminatsız borçlar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EDC6EA2" w14:textId="0BEECB30" w:rsidR="00A220E9" w:rsidRPr="001F224B" w:rsidRDefault="00A220E9" w:rsidP="00A220E9">
            <w:pPr>
              <w:jc w:val="right"/>
              <w:rPr>
                <w:sz w:val="18"/>
                <w:szCs w:val="18"/>
              </w:rPr>
            </w:pPr>
            <w:r w:rsidRPr="001F224B">
              <w:rPr>
                <w:color w:val="000000"/>
                <w:sz w:val="20"/>
                <w:szCs w:val="20"/>
              </w:rPr>
              <w:t>4.113.643</w:t>
            </w:r>
          </w:p>
        </w:tc>
        <w:tc>
          <w:tcPr>
            <w:tcW w:w="1134" w:type="dxa"/>
            <w:tcBorders>
              <w:top w:val="single" w:sz="4" w:space="0" w:color="auto"/>
              <w:left w:val="nil"/>
              <w:bottom w:val="single" w:sz="4" w:space="0" w:color="auto"/>
              <w:right w:val="single" w:sz="4" w:space="0" w:color="auto"/>
            </w:tcBorders>
            <w:shd w:val="clear" w:color="auto" w:fill="auto"/>
            <w:vAlign w:val="bottom"/>
          </w:tcPr>
          <w:p w14:paraId="398CFE6A" w14:textId="0541F250" w:rsidR="00A220E9" w:rsidRPr="001F224B" w:rsidRDefault="00A220E9" w:rsidP="00A220E9">
            <w:pPr>
              <w:jc w:val="right"/>
              <w:rPr>
                <w:sz w:val="18"/>
                <w:szCs w:val="18"/>
              </w:rPr>
            </w:pPr>
            <w:r w:rsidRPr="001F224B">
              <w:rPr>
                <w:color w:val="000000"/>
                <w:sz w:val="20"/>
                <w:szCs w:val="20"/>
              </w:rPr>
              <w:t>2.682.189</w:t>
            </w:r>
          </w:p>
        </w:tc>
        <w:tc>
          <w:tcPr>
            <w:tcW w:w="1134" w:type="dxa"/>
            <w:tcBorders>
              <w:top w:val="single" w:sz="4" w:space="0" w:color="auto"/>
              <w:left w:val="nil"/>
              <w:bottom w:val="single" w:sz="4" w:space="0" w:color="auto"/>
              <w:right w:val="single" w:sz="4" w:space="0" w:color="auto"/>
            </w:tcBorders>
            <w:shd w:val="clear" w:color="auto" w:fill="auto"/>
            <w:vAlign w:val="bottom"/>
          </w:tcPr>
          <w:p w14:paraId="7108FFDF" w14:textId="7AE41ABA" w:rsidR="00A220E9" w:rsidRPr="001F224B" w:rsidRDefault="00A220E9" w:rsidP="00A220E9">
            <w:pPr>
              <w:jc w:val="right"/>
              <w:rPr>
                <w:sz w:val="18"/>
                <w:szCs w:val="18"/>
              </w:rPr>
            </w:pPr>
            <w:r w:rsidRPr="001F224B">
              <w:rPr>
                <w:color w:val="000000"/>
                <w:sz w:val="20"/>
                <w:szCs w:val="20"/>
              </w:rPr>
              <w:t>2.610.803</w:t>
            </w:r>
          </w:p>
        </w:tc>
        <w:tc>
          <w:tcPr>
            <w:tcW w:w="1159" w:type="dxa"/>
            <w:tcBorders>
              <w:top w:val="single" w:sz="4" w:space="0" w:color="auto"/>
              <w:left w:val="nil"/>
              <w:bottom w:val="single" w:sz="4" w:space="0" w:color="auto"/>
              <w:right w:val="single" w:sz="4" w:space="0" w:color="auto"/>
            </w:tcBorders>
            <w:shd w:val="clear" w:color="auto" w:fill="auto"/>
            <w:vAlign w:val="bottom"/>
          </w:tcPr>
          <w:p w14:paraId="014D0647" w14:textId="50F5724E" w:rsidR="00A220E9" w:rsidRPr="001F224B" w:rsidRDefault="00A220E9" w:rsidP="00A220E9">
            <w:pPr>
              <w:jc w:val="right"/>
              <w:rPr>
                <w:sz w:val="18"/>
                <w:szCs w:val="18"/>
              </w:rPr>
            </w:pPr>
            <w:r w:rsidRPr="001F224B">
              <w:rPr>
                <w:color w:val="000000"/>
                <w:sz w:val="20"/>
                <w:szCs w:val="20"/>
              </w:rPr>
              <w:t>1.365.444</w:t>
            </w:r>
          </w:p>
        </w:tc>
      </w:tr>
      <w:tr w:rsidR="00A220E9" w:rsidRPr="001F224B" w14:paraId="4296152F" w14:textId="77777777" w:rsidTr="00D27A20">
        <w:trPr>
          <w:trHeight w:val="256"/>
        </w:trPr>
        <w:tc>
          <w:tcPr>
            <w:tcW w:w="5362" w:type="dxa"/>
            <w:vAlign w:val="bottom"/>
            <w:hideMark/>
          </w:tcPr>
          <w:p w14:paraId="43B75885" w14:textId="77777777" w:rsidR="00A220E9" w:rsidRPr="001F224B" w:rsidRDefault="00A220E9" w:rsidP="00A220E9">
            <w:pPr>
              <w:rPr>
                <w:sz w:val="18"/>
                <w:szCs w:val="18"/>
              </w:rPr>
            </w:pPr>
            <w:r w:rsidRPr="001F224B">
              <w:rPr>
                <w:sz w:val="18"/>
                <w:szCs w:val="18"/>
              </w:rPr>
              <w:t xml:space="preserve">    Teminatlı borçlar</w:t>
            </w:r>
          </w:p>
        </w:tc>
        <w:tc>
          <w:tcPr>
            <w:tcW w:w="1134" w:type="dxa"/>
            <w:vAlign w:val="bottom"/>
          </w:tcPr>
          <w:p w14:paraId="6BCBBA92" w14:textId="77777777" w:rsidR="00A220E9" w:rsidRPr="001F224B" w:rsidRDefault="00A220E9" w:rsidP="00A220E9">
            <w:pPr>
              <w:jc w:val="right"/>
              <w:rPr>
                <w:sz w:val="18"/>
                <w:szCs w:val="18"/>
              </w:rPr>
            </w:pPr>
          </w:p>
        </w:tc>
        <w:tc>
          <w:tcPr>
            <w:tcW w:w="1134" w:type="dxa"/>
            <w:vAlign w:val="bottom"/>
          </w:tcPr>
          <w:p w14:paraId="01C152E0" w14:textId="77777777" w:rsidR="00A220E9" w:rsidRPr="001F224B" w:rsidRDefault="00A220E9" w:rsidP="00A220E9">
            <w:pPr>
              <w:jc w:val="right"/>
              <w:rPr>
                <w:sz w:val="18"/>
                <w:szCs w:val="18"/>
              </w:rPr>
            </w:pPr>
          </w:p>
        </w:tc>
        <w:tc>
          <w:tcPr>
            <w:tcW w:w="1134" w:type="dxa"/>
            <w:vAlign w:val="bottom"/>
          </w:tcPr>
          <w:p w14:paraId="70951B23" w14:textId="6B295637" w:rsidR="00A220E9" w:rsidRPr="001F224B" w:rsidRDefault="00A220E9" w:rsidP="00A220E9">
            <w:pPr>
              <w:jc w:val="right"/>
              <w:rPr>
                <w:sz w:val="18"/>
                <w:szCs w:val="18"/>
              </w:rPr>
            </w:pPr>
            <w:r w:rsidRPr="001F224B">
              <w:rPr>
                <w:sz w:val="20"/>
                <w:szCs w:val="20"/>
              </w:rPr>
              <w:t xml:space="preserve"> - </w:t>
            </w:r>
          </w:p>
        </w:tc>
        <w:tc>
          <w:tcPr>
            <w:tcW w:w="1159" w:type="dxa"/>
            <w:vAlign w:val="bottom"/>
          </w:tcPr>
          <w:p w14:paraId="233EFDAA" w14:textId="69E3B4FA" w:rsidR="00A220E9" w:rsidRPr="001F224B" w:rsidRDefault="00A220E9" w:rsidP="00A220E9">
            <w:pPr>
              <w:jc w:val="right"/>
              <w:rPr>
                <w:sz w:val="18"/>
                <w:szCs w:val="18"/>
              </w:rPr>
            </w:pPr>
            <w:r w:rsidRPr="001F224B">
              <w:rPr>
                <w:sz w:val="20"/>
                <w:szCs w:val="20"/>
              </w:rPr>
              <w:t xml:space="preserve"> - </w:t>
            </w:r>
          </w:p>
        </w:tc>
      </w:tr>
      <w:tr w:rsidR="00A220E9" w:rsidRPr="001F224B" w14:paraId="409571F1" w14:textId="77777777" w:rsidTr="00D27A20">
        <w:trPr>
          <w:trHeight w:val="256"/>
        </w:trPr>
        <w:tc>
          <w:tcPr>
            <w:tcW w:w="5362" w:type="dxa"/>
            <w:vAlign w:val="bottom"/>
            <w:hideMark/>
          </w:tcPr>
          <w:p w14:paraId="12B78F48" w14:textId="77777777" w:rsidR="00A220E9" w:rsidRPr="001F224B" w:rsidRDefault="00A220E9" w:rsidP="00A220E9">
            <w:pPr>
              <w:rPr>
                <w:sz w:val="18"/>
                <w:szCs w:val="18"/>
              </w:rPr>
            </w:pPr>
            <w:r w:rsidRPr="001F224B">
              <w:rPr>
                <w:sz w:val="18"/>
                <w:szCs w:val="18"/>
              </w:rPr>
              <w:t>Diğer nakit çıkışları</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7008384" w14:textId="0183575A" w:rsidR="00A220E9" w:rsidRPr="001F224B" w:rsidRDefault="00A220E9" w:rsidP="00A220E9">
            <w:pPr>
              <w:jc w:val="right"/>
              <w:rPr>
                <w:color w:val="000000"/>
                <w:sz w:val="18"/>
                <w:szCs w:val="18"/>
              </w:rPr>
            </w:pPr>
            <w:r w:rsidRPr="001F224B">
              <w:rPr>
                <w:color w:val="000000"/>
                <w:sz w:val="20"/>
                <w:szCs w:val="20"/>
              </w:rPr>
              <w:t>12.239.546</w:t>
            </w:r>
          </w:p>
        </w:tc>
        <w:tc>
          <w:tcPr>
            <w:tcW w:w="1134" w:type="dxa"/>
            <w:tcBorders>
              <w:top w:val="single" w:sz="4" w:space="0" w:color="auto"/>
              <w:left w:val="nil"/>
              <w:bottom w:val="single" w:sz="4" w:space="0" w:color="auto"/>
              <w:right w:val="single" w:sz="4" w:space="0" w:color="auto"/>
            </w:tcBorders>
            <w:shd w:val="clear" w:color="auto" w:fill="auto"/>
            <w:vAlign w:val="bottom"/>
          </w:tcPr>
          <w:p w14:paraId="59C227EF" w14:textId="68A0B6AE" w:rsidR="00A220E9" w:rsidRPr="001F224B" w:rsidRDefault="00A220E9" w:rsidP="00A220E9">
            <w:pPr>
              <w:jc w:val="right"/>
              <w:rPr>
                <w:color w:val="000000"/>
                <w:sz w:val="18"/>
                <w:szCs w:val="18"/>
              </w:rPr>
            </w:pPr>
            <w:r w:rsidRPr="001F224B">
              <w:rPr>
                <w:color w:val="000000"/>
                <w:sz w:val="20"/>
                <w:szCs w:val="20"/>
              </w:rPr>
              <w:t>7.454.747</w:t>
            </w:r>
          </w:p>
        </w:tc>
        <w:tc>
          <w:tcPr>
            <w:tcW w:w="1134" w:type="dxa"/>
            <w:tcBorders>
              <w:top w:val="single" w:sz="4" w:space="0" w:color="auto"/>
              <w:left w:val="nil"/>
              <w:bottom w:val="single" w:sz="4" w:space="0" w:color="auto"/>
              <w:right w:val="single" w:sz="4" w:space="0" w:color="auto"/>
            </w:tcBorders>
            <w:shd w:val="clear" w:color="auto" w:fill="auto"/>
            <w:vAlign w:val="bottom"/>
          </w:tcPr>
          <w:p w14:paraId="0882D285" w14:textId="57FA5BC1" w:rsidR="00A220E9" w:rsidRPr="001F224B" w:rsidRDefault="00A220E9" w:rsidP="00A220E9">
            <w:pPr>
              <w:jc w:val="right"/>
              <w:rPr>
                <w:color w:val="000000"/>
                <w:sz w:val="18"/>
                <w:szCs w:val="18"/>
              </w:rPr>
            </w:pPr>
            <w:r w:rsidRPr="001F224B">
              <w:rPr>
                <w:color w:val="000000"/>
                <w:sz w:val="20"/>
                <w:szCs w:val="20"/>
              </w:rPr>
              <w:t>12.239.546</w:t>
            </w:r>
          </w:p>
        </w:tc>
        <w:tc>
          <w:tcPr>
            <w:tcW w:w="1159" w:type="dxa"/>
            <w:tcBorders>
              <w:top w:val="single" w:sz="4" w:space="0" w:color="auto"/>
              <w:left w:val="nil"/>
              <w:bottom w:val="single" w:sz="4" w:space="0" w:color="auto"/>
              <w:right w:val="single" w:sz="4" w:space="0" w:color="auto"/>
            </w:tcBorders>
            <w:shd w:val="clear" w:color="auto" w:fill="auto"/>
            <w:vAlign w:val="bottom"/>
          </w:tcPr>
          <w:p w14:paraId="1DD2F1DD" w14:textId="7C1152A7" w:rsidR="00A220E9" w:rsidRPr="001F224B" w:rsidRDefault="00A220E9" w:rsidP="00A220E9">
            <w:pPr>
              <w:jc w:val="right"/>
              <w:rPr>
                <w:color w:val="000000"/>
                <w:sz w:val="18"/>
                <w:szCs w:val="18"/>
              </w:rPr>
            </w:pPr>
            <w:r w:rsidRPr="001F224B">
              <w:rPr>
                <w:color w:val="000000"/>
                <w:sz w:val="20"/>
                <w:szCs w:val="20"/>
              </w:rPr>
              <w:t>7.454.747</w:t>
            </w:r>
          </w:p>
        </w:tc>
      </w:tr>
      <w:tr w:rsidR="00A220E9" w:rsidRPr="001F224B" w14:paraId="0B76E0D5" w14:textId="77777777" w:rsidTr="00D27A20">
        <w:trPr>
          <w:trHeight w:val="256"/>
        </w:trPr>
        <w:tc>
          <w:tcPr>
            <w:tcW w:w="5362" w:type="dxa"/>
            <w:vAlign w:val="bottom"/>
            <w:hideMark/>
          </w:tcPr>
          <w:p w14:paraId="40410F68" w14:textId="77777777" w:rsidR="00A220E9" w:rsidRPr="001F224B" w:rsidRDefault="00A220E9" w:rsidP="00A220E9">
            <w:pPr>
              <w:rPr>
                <w:sz w:val="18"/>
                <w:szCs w:val="18"/>
              </w:rPr>
            </w:pPr>
            <w:r w:rsidRPr="001F224B">
              <w:rPr>
                <w:sz w:val="18"/>
                <w:szCs w:val="18"/>
              </w:rPr>
              <w:t xml:space="preserve">   Türev yükümlülükler ve teminat tamamlama yükümlülükleri</w:t>
            </w:r>
          </w:p>
        </w:tc>
        <w:tc>
          <w:tcPr>
            <w:tcW w:w="1134" w:type="dxa"/>
            <w:tcBorders>
              <w:top w:val="nil"/>
              <w:left w:val="single" w:sz="4" w:space="0" w:color="auto"/>
              <w:bottom w:val="single" w:sz="4" w:space="0" w:color="auto"/>
              <w:right w:val="single" w:sz="4" w:space="0" w:color="auto"/>
            </w:tcBorders>
            <w:shd w:val="clear" w:color="auto" w:fill="auto"/>
            <w:vAlign w:val="bottom"/>
          </w:tcPr>
          <w:p w14:paraId="1AF8CEFE" w14:textId="7C11A342" w:rsidR="00A220E9" w:rsidRPr="001F224B" w:rsidRDefault="00A220E9" w:rsidP="00A220E9">
            <w:pPr>
              <w:jc w:val="right"/>
              <w:rPr>
                <w:color w:val="000000"/>
                <w:sz w:val="18"/>
                <w:szCs w:val="18"/>
              </w:rPr>
            </w:pPr>
            <w:r w:rsidRPr="001F224B">
              <w:rPr>
                <w:color w:val="000000"/>
                <w:sz w:val="20"/>
                <w:szCs w:val="20"/>
              </w:rPr>
              <w:t>12.239.546</w:t>
            </w:r>
          </w:p>
        </w:tc>
        <w:tc>
          <w:tcPr>
            <w:tcW w:w="1134" w:type="dxa"/>
            <w:tcBorders>
              <w:top w:val="nil"/>
              <w:left w:val="nil"/>
              <w:bottom w:val="single" w:sz="4" w:space="0" w:color="auto"/>
              <w:right w:val="single" w:sz="4" w:space="0" w:color="auto"/>
            </w:tcBorders>
            <w:shd w:val="clear" w:color="auto" w:fill="auto"/>
            <w:vAlign w:val="bottom"/>
          </w:tcPr>
          <w:p w14:paraId="5629A151" w14:textId="63A06E90" w:rsidR="00A220E9" w:rsidRPr="001F224B" w:rsidRDefault="00A220E9" w:rsidP="00A220E9">
            <w:pPr>
              <w:jc w:val="right"/>
              <w:rPr>
                <w:color w:val="000000"/>
                <w:sz w:val="18"/>
                <w:szCs w:val="18"/>
              </w:rPr>
            </w:pPr>
            <w:r w:rsidRPr="001F224B">
              <w:rPr>
                <w:color w:val="000000"/>
                <w:sz w:val="20"/>
                <w:szCs w:val="20"/>
              </w:rPr>
              <w:t>7.454.747</w:t>
            </w:r>
          </w:p>
        </w:tc>
        <w:tc>
          <w:tcPr>
            <w:tcW w:w="1134" w:type="dxa"/>
            <w:tcBorders>
              <w:top w:val="nil"/>
              <w:left w:val="nil"/>
              <w:bottom w:val="single" w:sz="4" w:space="0" w:color="auto"/>
              <w:right w:val="single" w:sz="4" w:space="0" w:color="auto"/>
            </w:tcBorders>
            <w:shd w:val="clear" w:color="auto" w:fill="auto"/>
            <w:vAlign w:val="bottom"/>
          </w:tcPr>
          <w:p w14:paraId="161E7F5D" w14:textId="529E751A" w:rsidR="00A220E9" w:rsidRPr="001F224B" w:rsidRDefault="00A220E9" w:rsidP="00A220E9">
            <w:pPr>
              <w:jc w:val="right"/>
              <w:rPr>
                <w:color w:val="000000"/>
                <w:sz w:val="18"/>
                <w:szCs w:val="18"/>
              </w:rPr>
            </w:pPr>
            <w:r w:rsidRPr="001F224B">
              <w:rPr>
                <w:color w:val="000000"/>
                <w:sz w:val="20"/>
                <w:szCs w:val="20"/>
              </w:rPr>
              <w:t>12.239.546</w:t>
            </w:r>
          </w:p>
        </w:tc>
        <w:tc>
          <w:tcPr>
            <w:tcW w:w="1159" w:type="dxa"/>
            <w:tcBorders>
              <w:top w:val="nil"/>
              <w:left w:val="nil"/>
              <w:bottom w:val="single" w:sz="4" w:space="0" w:color="auto"/>
              <w:right w:val="single" w:sz="4" w:space="0" w:color="auto"/>
            </w:tcBorders>
            <w:shd w:val="clear" w:color="auto" w:fill="auto"/>
            <w:vAlign w:val="bottom"/>
          </w:tcPr>
          <w:p w14:paraId="2B08CB95" w14:textId="132F583D" w:rsidR="00A220E9" w:rsidRPr="001F224B" w:rsidRDefault="00A220E9" w:rsidP="00A220E9">
            <w:pPr>
              <w:jc w:val="right"/>
              <w:rPr>
                <w:color w:val="000000"/>
                <w:sz w:val="18"/>
                <w:szCs w:val="18"/>
              </w:rPr>
            </w:pPr>
            <w:r w:rsidRPr="001F224B">
              <w:rPr>
                <w:color w:val="000000"/>
                <w:sz w:val="20"/>
                <w:szCs w:val="20"/>
              </w:rPr>
              <w:t>7.454.747</w:t>
            </w:r>
          </w:p>
        </w:tc>
      </w:tr>
      <w:tr w:rsidR="00A220E9" w:rsidRPr="001F224B" w14:paraId="213CE760" w14:textId="77777777" w:rsidTr="00D27A20">
        <w:trPr>
          <w:trHeight w:val="256"/>
        </w:trPr>
        <w:tc>
          <w:tcPr>
            <w:tcW w:w="5362" w:type="dxa"/>
            <w:vAlign w:val="bottom"/>
            <w:hideMark/>
          </w:tcPr>
          <w:p w14:paraId="6A9C0CB7" w14:textId="77777777" w:rsidR="00A220E9" w:rsidRPr="001F224B" w:rsidRDefault="00A220E9" w:rsidP="00A220E9">
            <w:pPr>
              <w:rPr>
                <w:sz w:val="18"/>
                <w:szCs w:val="18"/>
              </w:rPr>
            </w:pPr>
            <w:r w:rsidRPr="001F224B">
              <w:rPr>
                <w:sz w:val="18"/>
                <w:szCs w:val="18"/>
              </w:rPr>
              <w:t xml:space="preserve">   Yapılandırılmış finansal araçlardan borçlar</w:t>
            </w:r>
          </w:p>
        </w:tc>
        <w:tc>
          <w:tcPr>
            <w:tcW w:w="1134" w:type="dxa"/>
            <w:vAlign w:val="bottom"/>
          </w:tcPr>
          <w:p w14:paraId="7FA0B14D" w14:textId="5A81A4A3" w:rsidR="00A220E9" w:rsidRPr="001F224B" w:rsidRDefault="00A220E9" w:rsidP="00A220E9">
            <w:pPr>
              <w:jc w:val="right"/>
              <w:rPr>
                <w:sz w:val="18"/>
                <w:szCs w:val="18"/>
              </w:rPr>
            </w:pPr>
            <w:r w:rsidRPr="001F224B">
              <w:rPr>
                <w:b/>
                <w:bCs/>
                <w:sz w:val="20"/>
                <w:szCs w:val="20"/>
              </w:rPr>
              <w:t xml:space="preserve"> - </w:t>
            </w:r>
          </w:p>
        </w:tc>
        <w:tc>
          <w:tcPr>
            <w:tcW w:w="1134" w:type="dxa"/>
            <w:vAlign w:val="bottom"/>
          </w:tcPr>
          <w:p w14:paraId="52BEDB98" w14:textId="25403462" w:rsidR="00A220E9" w:rsidRPr="001F224B" w:rsidRDefault="00A220E9" w:rsidP="00A220E9">
            <w:pPr>
              <w:jc w:val="right"/>
              <w:rPr>
                <w:sz w:val="18"/>
                <w:szCs w:val="18"/>
              </w:rPr>
            </w:pPr>
            <w:r w:rsidRPr="001F224B">
              <w:rPr>
                <w:b/>
                <w:bCs/>
                <w:sz w:val="20"/>
                <w:szCs w:val="20"/>
              </w:rPr>
              <w:t xml:space="preserve"> - </w:t>
            </w:r>
          </w:p>
        </w:tc>
        <w:tc>
          <w:tcPr>
            <w:tcW w:w="1134" w:type="dxa"/>
            <w:vAlign w:val="bottom"/>
          </w:tcPr>
          <w:p w14:paraId="7EFB4389" w14:textId="7BEDFD78" w:rsidR="00A220E9" w:rsidRPr="001F224B" w:rsidRDefault="00A220E9" w:rsidP="00A220E9">
            <w:pPr>
              <w:jc w:val="right"/>
              <w:rPr>
                <w:sz w:val="18"/>
                <w:szCs w:val="18"/>
              </w:rPr>
            </w:pPr>
            <w:r w:rsidRPr="001F224B">
              <w:rPr>
                <w:b/>
                <w:bCs/>
                <w:sz w:val="20"/>
                <w:szCs w:val="20"/>
              </w:rPr>
              <w:t xml:space="preserve"> - </w:t>
            </w:r>
          </w:p>
        </w:tc>
        <w:tc>
          <w:tcPr>
            <w:tcW w:w="1159" w:type="dxa"/>
            <w:vAlign w:val="bottom"/>
          </w:tcPr>
          <w:p w14:paraId="085ADF80" w14:textId="53EB90ED" w:rsidR="00A220E9" w:rsidRPr="001F224B" w:rsidRDefault="00A220E9" w:rsidP="00A220E9">
            <w:pPr>
              <w:jc w:val="right"/>
              <w:rPr>
                <w:sz w:val="18"/>
                <w:szCs w:val="18"/>
              </w:rPr>
            </w:pPr>
            <w:r w:rsidRPr="001F224B">
              <w:rPr>
                <w:b/>
                <w:bCs/>
                <w:sz w:val="20"/>
                <w:szCs w:val="20"/>
              </w:rPr>
              <w:t xml:space="preserve"> - </w:t>
            </w:r>
          </w:p>
        </w:tc>
      </w:tr>
      <w:tr w:rsidR="00A220E9" w:rsidRPr="001F224B" w14:paraId="754D6978" w14:textId="77777777" w:rsidTr="00D27A20">
        <w:trPr>
          <w:trHeight w:val="482"/>
        </w:trPr>
        <w:tc>
          <w:tcPr>
            <w:tcW w:w="5362" w:type="dxa"/>
            <w:vAlign w:val="bottom"/>
            <w:hideMark/>
          </w:tcPr>
          <w:p w14:paraId="3885185B" w14:textId="77777777" w:rsidR="00A220E9" w:rsidRPr="001F224B" w:rsidRDefault="00A220E9" w:rsidP="00A220E9">
            <w:pPr>
              <w:ind w:left="134"/>
              <w:rPr>
                <w:sz w:val="18"/>
                <w:szCs w:val="18"/>
              </w:rPr>
            </w:pPr>
            <w:r w:rsidRPr="001F224B">
              <w:rPr>
                <w:sz w:val="18"/>
                <w:szCs w:val="18"/>
              </w:rPr>
              <w:t>Finansal piyasalara olan borçlar için verilen ödeme taahhütleri ile      diğer  bilanço dışı yükümlülükler</w:t>
            </w:r>
          </w:p>
        </w:tc>
        <w:tc>
          <w:tcPr>
            <w:tcW w:w="1134" w:type="dxa"/>
            <w:vAlign w:val="bottom"/>
          </w:tcPr>
          <w:p w14:paraId="650423AA" w14:textId="68898E33" w:rsidR="00A220E9" w:rsidRPr="001F224B" w:rsidRDefault="00A220E9" w:rsidP="00A220E9">
            <w:pPr>
              <w:jc w:val="right"/>
              <w:rPr>
                <w:b/>
                <w:sz w:val="18"/>
                <w:szCs w:val="18"/>
              </w:rPr>
            </w:pPr>
            <w:r w:rsidRPr="001F224B">
              <w:rPr>
                <w:b/>
                <w:bCs/>
                <w:sz w:val="20"/>
                <w:szCs w:val="20"/>
              </w:rPr>
              <w:t xml:space="preserve"> - </w:t>
            </w:r>
          </w:p>
        </w:tc>
        <w:tc>
          <w:tcPr>
            <w:tcW w:w="1134" w:type="dxa"/>
            <w:vAlign w:val="bottom"/>
          </w:tcPr>
          <w:p w14:paraId="6AD90AF8" w14:textId="13E2C01C" w:rsidR="00A220E9" w:rsidRPr="001F224B" w:rsidRDefault="00A220E9" w:rsidP="00A220E9">
            <w:pPr>
              <w:jc w:val="right"/>
              <w:rPr>
                <w:b/>
                <w:sz w:val="18"/>
                <w:szCs w:val="18"/>
              </w:rPr>
            </w:pPr>
            <w:r w:rsidRPr="001F224B">
              <w:rPr>
                <w:b/>
                <w:bCs/>
                <w:sz w:val="20"/>
                <w:szCs w:val="20"/>
              </w:rPr>
              <w:t xml:space="preserve"> - </w:t>
            </w:r>
          </w:p>
        </w:tc>
        <w:tc>
          <w:tcPr>
            <w:tcW w:w="1134" w:type="dxa"/>
            <w:vAlign w:val="bottom"/>
          </w:tcPr>
          <w:p w14:paraId="2386C09C" w14:textId="3AF80457" w:rsidR="00A220E9" w:rsidRPr="001F224B" w:rsidRDefault="00A220E9" w:rsidP="00A220E9">
            <w:pPr>
              <w:jc w:val="right"/>
              <w:rPr>
                <w:b/>
                <w:sz w:val="18"/>
                <w:szCs w:val="18"/>
              </w:rPr>
            </w:pPr>
            <w:r w:rsidRPr="001F224B">
              <w:rPr>
                <w:b/>
                <w:bCs/>
                <w:sz w:val="20"/>
                <w:szCs w:val="20"/>
              </w:rPr>
              <w:t xml:space="preserve"> - </w:t>
            </w:r>
          </w:p>
        </w:tc>
        <w:tc>
          <w:tcPr>
            <w:tcW w:w="1159" w:type="dxa"/>
            <w:vAlign w:val="bottom"/>
          </w:tcPr>
          <w:p w14:paraId="0397E589" w14:textId="2D1A96C8" w:rsidR="00A220E9" w:rsidRPr="001F224B" w:rsidRDefault="00A220E9" w:rsidP="00A220E9">
            <w:pPr>
              <w:jc w:val="right"/>
              <w:rPr>
                <w:b/>
                <w:sz w:val="18"/>
                <w:szCs w:val="18"/>
              </w:rPr>
            </w:pPr>
            <w:r w:rsidRPr="001F224B">
              <w:rPr>
                <w:b/>
                <w:bCs/>
                <w:sz w:val="20"/>
                <w:szCs w:val="20"/>
              </w:rPr>
              <w:t xml:space="preserve"> - </w:t>
            </w:r>
          </w:p>
        </w:tc>
      </w:tr>
      <w:tr w:rsidR="00A220E9" w:rsidRPr="001F224B" w14:paraId="35B1DC0E" w14:textId="77777777" w:rsidTr="00D27A20">
        <w:trPr>
          <w:trHeight w:val="482"/>
        </w:trPr>
        <w:tc>
          <w:tcPr>
            <w:tcW w:w="5362" w:type="dxa"/>
            <w:vAlign w:val="bottom"/>
            <w:hideMark/>
          </w:tcPr>
          <w:p w14:paraId="35D42358" w14:textId="77777777" w:rsidR="00A220E9" w:rsidRPr="001F224B" w:rsidRDefault="00A220E9" w:rsidP="00A220E9">
            <w:pPr>
              <w:rPr>
                <w:sz w:val="18"/>
                <w:szCs w:val="18"/>
              </w:rPr>
            </w:pPr>
            <w:r w:rsidRPr="001F224B">
              <w:rPr>
                <w:sz w:val="18"/>
                <w:szCs w:val="18"/>
              </w:rPr>
              <w:t>Herhangi bir şarta bağlı olmaksızın cayılabilir bilanço dışı diğer yükümlülükler ile sözleşmeye dayalı diğer yükümlülükler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65CBF76" w14:textId="44BAE062" w:rsidR="00A220E9" w:rsidRPr="001F224B" w:rsidRDefault="00A220E9" w:rsidP="00A220E9">
            <w:pPr>
              <w:jc w:val="right"/>
              <w:rPr>
                <w:color w:val="000000"/>
                <w:sz w:val="18"/>
                <w:szCs w:val="18"/>
              </w:rPr>
            </w:pPr>
            <w:r w:rsidRPr="001F224B">
              <w:rPr>
                <w:color w:val="000000"/>
                <w:sz w:val="20"/>
                <w:szCs w:val="20"/>
              </w:rPr>
              <w:t>26.268.678</w:t>
            </w:r>
          </w:p>
        </w:tc>
        <w:tc>
          <w:tcPr>
            <w:tcW w:w="1134" w:type="dxa"/>
            <w:tcBorders>
              <w:top w:val="single" w:sz="4" w:space="0" w:color="auto"/>
              <w:left w:val="nil"/>
              <w:bottom w:val="single" w:sz="4" w:space="0" w:color="auto"/>
              <w:right w:val="single" w:sz="4" w:space="0" w:color="auto"/>
            </w:tcBorders>
            <w:shd w:val="clear" w:color="auto" w:fill="auto"/>
            <w:vAlign w:val="bottom"/>
          </w:tcPr>
          <w:p w14:paraId="4F29D933" w14:textId="1A65D084" w:rsidR="00A220E9" w:rsidRPr="001F224B" w:rsidRDefault="00A220E9" w:rsidP="00A220E9">
            <w:pPr>
              <w:jc w:val="right"/>
              <w:rPr>
                <w:color w:val="000000"/>
                <w:sz w:val="18"/>
                <w:szCs w:val="18"/>
              </w:rPr>
            </w:pPr>
            <w:r w:rsidRPr="001F224B">
              <w:rPr>
                <w:color w:val="000000"/>
                <w:sz w:val="20"/>
                <w:szCs w:val="20"/>
              </w:rPr>
              <w:t>24.545.468</w:t>
            </w:r>
          </w:p>
        </w:tc>
        <w:tc>
          <w:tcPr>
            <w:tcW w:w="1134" w:type="dxa"/>
            <w:tcBorders>
              <w:top w:val="single" w:sz="4" w:space="0" w:color="auto"/>
              <w:left w:val="nil"/>
              <w:bottom w:val="single" w:sz="4" w:space="0" w:color="auto"/>
              <w:right w:val="single" w:sz="4" w:space="0" w:color="auto"/>
            </w:tcBorders>
            <w:shd w:val="clear" w:color="auto" w:fill="auto"/>
            <w:vAlign w:val="bottom"/>
          </w:tcPr>
          <w:p w14:paraId="137E505F" w14:textId="5ECE740F" w:rsidR="00A220E9" w:rsidRPr="001F224B" w:rsidRDefault="00A220E9" w:rsidP="00A220E9">
            <w:pPr>
              <w:jc w:val="right"/>
              <w:rPr>
                <w:color w:val="000000"/>
                <w:sz w:val="18"/>
                <w:szCs w:val="18"/>
              </w:rPr>
            </w:pPr>
            <w:r w:rsidRPr="001F224B">
              <w:rPr>
                <w:color w:val="000000"/>
                <w:sz w:val="20"/>
                <w:szCs w:val="20"/>
              </w:rPr>
              <w:t>1.313.434</w:t>
            </w:r>
          </w:p>
        </w:tc>
        <w:tc>
          <w:tcPr>
            <w:tcW w:w="1159" w:type="dxa"/>
            <w:tcBorders>
              <w:top w:val="single" w:sz="4" w:space="0" w:color="auto"/>
              <w:left w:val="nil"/>
              <w:bottom w:val="single" w:sz="4" w:space="0" w:color="auto"/>
              <w:right w:val="single" w:sz="4" w:space="0" w:color="auto"/>
            </w:tcBorders>
            <w:shd w:val="clear" w:color="auto" w:fill="auto"/>
            <w:vAlign w:val="bottom"/>
          </w:tcPr>
          <w:p w14:paraId="6FDE13FE" w14:textId="1859EB47" w:rsidR="00A220E9" w:rsidRPr="001F224B" w:rsidRDefault="00A220E9" w:rsidP="00A220E9">
            <w:pPr>
              <w:jc w:val="right"/>
              <w:rPr>
                <w:color w:val="000000"/>
                <w:sz w:val="18"/>
                <w:szCs w:val="18"/>
              </w:rPr>
            </w:pPr>
            <w:r w:rsidRPr="001F224B">
              <w:rPr>
                <w:color w:val="000000"/>
                <w:sz w:val="20"/>
                <w:szCs w:val="20"/>
              </w:rPr>
              <w:t>1.227.273</w:t>
            </w:r>
          </w:p>
        </w:tc>
      </w:tr>
      <w:tr w:rsidR="00A220E9" w:rsidRPr="001F224B" w14:paraId="5CD5D9F8" w14:textId="77777777" w:rsidTr="00D27A20">
        <w:trPr>
          <w:trHeight w:val="256"/>
        </w:trPr>
        <w:tc>
          <w:tcPr>
            <w:tcW w:w="5362" w:type="dxa"/>
            <w:vAlign w:val="bottom"/>
            <w:hideMark/>
          </w:tcPr>
          <w:p w14:paraId="0353C468" w14:textId="77777777" w:rsidR="00A220E9" w:rsidRPr="001F224B" w:rsidRDefault="00A220E9" w:rsidP="00A220E9">
            <w:pPr>
              <w:rPr>
                <w:sz w:val="18"/>
                <w:szCs w:val="18"/>
              </w:rPr>
            </w:pPr>
            <w:r w:rsidRPr="001F224B">
              <w:rPr>
                <w:sz w:val="18"/>
                <w:szCs w:val="18"/>
              </w:rPr>
              <w:t>Diğer cayılamaz veya şarta bağlı olarak cayılabilir bilanço dışı borçlar</w:t>
            </w:r>
          </w:p>
        </w:tc>
        <w:tc>
          <w:tcPr>
            <w:tcW w:w="1134" w:type="dxa"/>
            <w:vAlign w:val="bottom"/>
          </w:tcPr>
          <w:p w14:paraId="3FA2698D" w14:textId="40ADFA11" w:rsidR="00A220E9" w:rsidRPr="001F224B" w:rsidRDefault="00A220E9" w:rsidP="00A220E9">
            <w:pPr>
              <w:jc w:val="right"/>
              <w:rPr>
                <w:color w:val="000000"/>
                <w:sz w:val="18"/>
                <w:szCs w:val="18"/>
              </w:rPr>
            </w:pPr>
            <w:r w:rsidRPr="001F224B">
              <w:rPr>
                <w:color w:val="000000"/>
                <w:sz w:val="20"/>
                <w:szCs w:val="20"/>
              </w:rPr>
              <w:t>4.835.479</w:t>
            </w:r>
          </w:p>
        </w:tc>
        <w:tc>
          <w:tcPr>
            <w:tcW w:w="1134" w:type="dxa"/>
            <w:vAlign w:val="bottom"/>
          </w:tcPr>
          <w:p w14:paraId="54B820AA" w14:textId="75DB66D1" w:rsidR="00A220E9" w:rsidRPr="001F224B" w:rsidRDefault="00A220E9" w:rsidP="00A220E9">
            <w:pPr>
              <w:jc w:val="right"/>
              <w:rPr>
                <w:color w:val="000000"/>
                <w:sz w:val="18"/>
                <w:szCs w:val="18"/>
              </w:rPr>
            </w:pPr>
            <w:r w:rsidRPr="001F224B">
              <w:rPr>
                <w:color w:val="000000"/>
                <w:sz w:val="20"/>
                <w:szCs w:val="20"/>
              </w:rPr>
              <w:t>4.683.443</w:t>
            </w:r>
          </w:p>
        </w:tc>
        <w:tc>
          <w:tcPr>
            <w:tcW w:w="1134" w:type="dxa"/>
            <w:vAlign w:val="bottom"/>
          </w:tcPr>
          <w:p w14:paraId="36C9ED74" w14:textId="29D7BB88" w:rsidR="00A220E9" w:rsidRPr="001F224B" w:rsidRDefault="00A220E9" w:rsidP="00A220E9">
            <w:pPr>
              <w:jc w:val="right"/>
              <w:rPr>
                <w:color w:val="000000"/>
                <w:sz w:val="18"/>
                <w:szCs w:val="18"/>
              </w:rPr>
            </w:pPr>
            <w:r w:rsidRPr="001F224B">
              <w:rPr>
                <w:color w:val="000000"/>
                <w:sz w:val="20"/>
                <w:szCs w:val="20"/>
              </w:rPr>
              <w:t>4.528.480</w:t>
            </w:r>
          </w:p>
        </w:tc>
        <w:tc>
          <w:tcPr>
            <w:tcW w:w="1159" w:type="dxa"/>
            <w:vAlign w:val="bottom"/>
          </w:tcPr>
          <w:p w14:paraId="7BA750DB" w14:textId="08FF88B3" w:rsidR="00A220E9" w:rsidRPr="001F224B" w:rsidRDefault="00A220E9" w:rsidP="00A220E9">
            <w:pPr>
              <w:jc w:val="right"/>
              <w:rPr>
                <w:color w:val="000000"/>
                <w:sz w:val="18"/>
                <w:szCs w:val="18"/>
              </w:rPr>
            </w:pPr>
            <w:r w:rsidRPr="001F224B">
              <w:rPr>
                <w:color w:val="000000"/>
                <w:sz w:val="20"/>
                <w:szCs w:val="20"/>
              </w:rPr>
              <w:t>4.376.444</w:t>
            </w:r>
          </w:p>
        </w:tc>
      </w:tr>
      <w:tr w:rsidR="00A220E9" w:rsidRPr="001F224B" w14:paraId="7A6BB721" w14:textId="77777777" w:rsidTr="00D27A20">
        <w:trPr>
          <w:trHeight w:val="256"/>
        </w:trPr>
        <w:tc>
          <w:tcPr>
            <w:tcW w:w="5362" w:type="dxa"/>
            <w:vAlign w:val="bottom"/>
            <w:hideMark/>
          </w:tcPr>
          <w:p w14:paraId="1317D50A" w14:textId="77777777" w:rsidR="00A220E9" w:rsidRPr="001F224B" w:rsidRDefault="00A220E9" w:rsidP="00A220E9">
            <w:pPr>
              <w:rPr>
                <w:b/>
                <w:sz w:val="18"/>
                <w:szCs w:val="18"/>
              </w:rPr>
            </w:pPr>
            <w:r w:rsidRPr="001F224B">
              <w:rPr>
                <w:b/>
                <w:sz w:val="18"/>
                <w:szCs w:val="18"/>
              </w:rPr>
              <w:t>TOPLAM NAKİT ÇIKIŞLARI</w:t>
            </w:r>
          </w:p>
        </w:tc>
        <w:tc>
          <w:tcPr>
            <w:tcW w:w="1134" w:type="dxa"/>
            <w:vAlign w:val="bottom"/>
          </w:tcPr>
          <w:p w14:paraId="1454A139" w14:textId="5D5D11ED" w:rsidR="00A220E9" w:rsidRPr="001F224B" w:rsidRDefault="00A220E9" w:rsidP="00A220E9">
            <w:pPr>
              <w:jc w:val="right"/>
              <w:rPr>
                <w:sz w:val="18"/>
                <w:szCs w:val="18"/>
              </w:rPr>
            </w:pPr>
          </w:p>
        </w:tc>
        <w:tc>
          <w:tcPr>
            <w:tcW w:w="1134" w:type="dxa"/>
            <w:vAlign w:val="bottom"/>
          </w:tcPr>
          <w:p w14:paraId="0DB9D137" w14:textId="42FC1FCF" w:rsidR="00A220E9" w:rsidRPr="001F224B" w:rsidRDefault="00A220E9" w:rsidP="00A220E9">
            <w:pPr>
              <w:jc w:val="right"/>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C9BE5BA" w14:textId="08DC4059" w:rsidR="00A220E9" w:rsidRPr="001F224B" w:rsidRDefault="00A220E9" w:rsidP="00A220E9">
            <w:pPr>
              <w:jc w:val="right"/>
              <w:rPr>
                <w:b/>
                <w:bCs/>
                <w:color w:val="000000"/>
                <w:sz w:val="18"/>
                <w:szCs w:val="18"/>
              </w:rPr>
            </w:pPr>
            <w:r w:rsidRPr="001F224B">
              <w:rPr>
                <w:b/>
                <w:bCs/>
                <w:color w:val="000000"/>
                <w:sz w:val="20"/>
                <w:szCs w:val="20"/>
              </w:rPr>
              <w:t>20.692.263</w:t>
            </w:r>
          </w:p>
        </w:tc>
        <w:tc>
          <w:tcPr>
            <w:tcW w:w="1159" w:type="dxa"/>
            <w:tcBorders>
              <w:top w:val="single" w:sz="4" w:space="0" w:color="auto"/>
              <w:left w:val="nil"/>
              <w:bottom w:val="single" w:sz="4" w:space="0" w:color="auto"/>
              <w:right w:val="single" w:sz="4" w:space="0" w:color="auto"/>
            </w:tcBorders>
            <w:shd w:val="clear" w:color="auto" w:fill="auto"/>
            <w:vAlign w:val="bottom"/>
          </w:tcPr>
          <w:p w14:paraId="73C8D3A1" w14:textId="1EACF853" w:rsidR="00A220E9" w:rsidRPr="001F224B" w:rsidRDefault="00A220E9" w:rsidP="00A220E9">
            <w:pPr>
              <w:jc w:val="right"/>
              <w:rPr>
                <w:b/>
                <w:bCs/>
                <w:color w:val="000000"/>
                <w:sz w:val="18"/>
                <w:szCs w:val="18"/>
              </w:rPr>
            </w:pPr>
            <w:r w:rsidRPr="001F224B">
              <w:rPr>
                <w:b/>
                <w:bCs/>
                <w:color w:val="000000"/>
                <w:sz w:val="20"/>
                <w:szCs w:val="20"/>
              </w:rPr>
              <w:t>14.423.908</w:t>
            </w:r>
          </w:p>
        </w:tc>
      </w:tr>
      <w:tr w:rsidR="00A220E9" w:rsidRPr="001F224B" w14:paraId="5411D394" w14:textId="77777777" w:rsidTr="00D27A20">
        <w:trPr>
          <w:trHeight w:val="256"/>
        </w:trPr>
        <w:tc>
          <w:tcPr>
            <w:tcW w:w="5362" w:type="dxa"/>
            <w:vAlign w:val="bottom"/>
            <w:hideMark/>
          </w:tcPr>
          <w:p w14:paraId="115D5FB5" w14:textId="77777777" w:rsidR="00A220E9" w:rsidRPr="001F224B" w:rsidRDefault="00A220E9" w:rsidP="00A220E9">
            <w:pPr>
              <w:rPr>
                <w:b/>
                <w:sz w:val="18"/>
                <w:szCs w:val="18"/>
              </w:rPr>
            </w:pPr>
            <w:r w:rsidRPr="001F224B">
              <w:rPr>
                <w:b/>
                <w:sz w:val="18"/>
                <w:szCs w:val="18"/>
              </w:rPr>
              <w:t>NAKİT GİRİŞLERİ</w:t>
            </w:r>
          </w:p>
        </w:tc>
        <w:tc>
          <w:tcPr>
            <w:tcW w:w="1134" w:type="dxa"/>
            <w:vAlign w:val="bottom"/>
          </w:tcPr>
          <w:p w14:paraId="462D59D3" w14:textId="77777777" w:rsidR="00A220E9" w:rsidRPr="001F224B" w:rsidRDefault="00A220E9" w:rsidP="00A220E9">
            <w:pPr>
              <w:jc w:val="right"/>
              <w:rPr>
                <w:sz w:val="18"/>
                <w:szCs w:val="18"/>
              </w:rPr>
            </w:pPr>
          </w:p>
        </w:tc>
        <w:tc>
          <w:tcPr>
            <w:tcW w:w="1134" w:type="dxa"/>
            <w:vAlign w:val="bottom"/>
          </w:tcPr>
          <w:p w14:paraId="54DBE0E6" w14:textId="77777777" w:rsidR="00A220E9" w:rsidRPr="001F224B" w:rsidRDefault="00A220E9" w:rsidP="00A220E9">
            <w:pPr>
              <w:jc w:val="right"/>
              <w:rPr>
                <w:sz w:val="18"/>
                <w:szCs w:val="18"/>
              </w:rPr>
            </w:pPr>
          </w:p>
        </w:tc>
        <w:tc>
          <w:tcPr>
            <w:tcW w:w="1134" w:type="dxa"/>
            <w:vAlign w:val="bottom"/>
          </w:tcPr>
          <w:p w14:paraId="124FAAF4" w14:textId="77777777" w:rsidR="00A220E9" w:rsidRPr="001F224B" w:rsidRDefault="00A220E9" w:rsidP="00A220E9">
            <w:pPr>
              <w:jc w:val="right"/>
              <w:rPr>
                <w:sz w:val="18"/>
                <w:szCs w:val="18"/>
              </w:rPr>
            </w:pPr>
          </w:p>
        </w:tc>
        <w:tc>
          <w:tcPr>
            <w:tcW w:w="1159" w:type="dxa"/>
            <w:vAlign w:val="bottom"/>
          </w:tcPr>
          <w:p w14:paraId="155E0C7D" w14:textId="77777777" w:rsidR="00A220E9" w:rsidRPr="001F224B" w:rsidRDefault="00A220E9" w:rsidP="00A220E9">
            <w:pPr>
              <w:jc w:val="right"/>
              <w:rPr>
                <w:sz w:val="18"/>
                <w:szCs w:val="18"/>
              </w:rPr>
            </w:pPr>
          </w:p>
        </w:tc>
      </w:tr>
      <w:tr w:rsidR="00A220E9" w:rsidRPr="001F224B" w14:paraId="67BE5A55" w14:textId="77777777" w:rsidTr="00D27A20">
        <w:trPr>
          <w:trHeight w:val="256"/>
        </w:trPr>
        <w:tc>
          <w:tcPr>
            <w:tcW w:w="5362" w:type="dxa"/>
            <w:vAlign w:val="bottom"/>
            <w:hideMark/>
          </w:tcPr>
          <w:p w14:paraId="4AEEA922" w14:textId="77777777" w:rsidR="00A220E9" w:rsidRPr="001F224B" w:rsidRDefault="00A220E9" w:rsidP="00A220E9">
            <w:pPr>
              <w:ind w:left="134"/>
              <w:rPr>
                <w:sz w:val="18"/>
                <w:szCs w:val="18"/>
              </w:rPr>
            </w:pPr>
            <w:r w:rsidRPr="001F224B">
              <w:rPr>
                <w:sz w:val="18"/>
                <w:szCs w:val="18"/>
              </w:rPr>
              <w:t>Teminatlı alacaklar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0DB6B6C" w14:textId="02F1780A" w:rsidR="00A220E9" w:rsidRPr="001F224B" w:rsidRDefault="00A220E9" w:rsidP="00A220E9">
            <w:pPr>
              <w:jc w:val="right"/>
              <w:rPr>
                <w:sz w:val="18"/>
                <w:szCs w:val="18"/>
              </w:rPr>
            </w:pPr>
            <w:r w:rsidRPr="001F224B">
              <w:rPr>
                <w:b/>
                <w:bCs/>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3CB4E18E" w14:textId="26FDCE3B" w:rsidR="00A220E9" w:rsidRPr="001F224B" w:rsidRDefault="00A220E9" w:rsidP="00A220E9">
            <w:pPr>
              <w:jc w:val="right"/>
              <w:rPr>
                <w:sz w:val="18"/>
                <w:szCs w:val="18"/>
              </w:rPr>
            </w:pPr>
            <w:r w:rsidRPr="001F224B">
              <w:rPr>
                <w:b/>
                <w:bCs/>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3DDDD4" w14:textId="55179DA0" w:rsidR="00A220E9" w:rsidRPr="001F224B" w:rsidRDefault="00A220E9" w:rsidP="00A220E9">
            <w:pPr>
              <w:jc w:val="right"/>
              <w:rPr>
                <w:sz w:val="18"/>
                <w:szCs w:val="18"/>
              </w:rPr>
            </w:pPr>
            <w:r w:rsidRPr="001F224B">
              <w:rPr>
                <w:b/>
                <w:bCs/>
                <w:sz w:val="20"/>
                <w:szCs w:val="20"/>
              </w:rPr>
              <w:t xml:space="preserve"> - </w:t>
            </w:r>
          </w:p>
        </w:tc>
        <w:tc>
          <w:tcPr>
            <w:tcW w:w="1159" w:type="dxa"/>
            <w:tcBorders>
              <w:top w:val="single" w:sz="4" w:space="0" w:color="auto"/>
              <w:left w:val="nil"/>
              <w:bottom w:val="single" w:sz="4" w:space="0" w:color="auto"/>
              <w:right w:val="single" w:sz="4" w:space="0" w:color="auto"/>
            </w:tcBorders>
            <w:shd w:val="clear" w:color="auto" w:fill="auto"/>
            <w:vAlign w:val="bottom"/>
          </w:tcPr>
          <w:p w14:paraId="1A73CE4F" w14:textId="51E46F8E" w:rsidR="00A220E9" w:rsidRPr="001F224B" w:rsidRDefault="00A220E9" w:rsidP="00A220E9">
            <w:pPr>
              <w:jc w:val="right"/>
              <w:rPr>
                <w:sz w:val="18"/>
                <w:szCs w:val="18"/>
              </w:rPr>
            </w:pPr>
            <w:r w:rsidRPr="001F224B">
              <w:rPr>
                <w:b/>
                <w:bCs/>
                <w:sz w:val="20"/>
                <w:szCs w:val="20"/>
              </w:rPr>
              <w:t xml:space="preserve"> - </w:t>
            </w:r>
          </w:p>
        </w:tc>
      </w:tr>
      <w:tr w:rsidR="00A220E9" w:rsidRPr="001F224B" w14:paraId="213FACDF" w14:textId="77777777" w:rsidTr="00D27A20">
        <w:trPr>
          <w:trHeight w:val="256"/>
        </w:trPr>
        <w:tc>
          <w:tcPr>
            <w:tcW w:w="5362" w:type="dxa"/>
            <w:vAlign w:val="bottom"/>
            <w:hideMark/>
          </w:tcPr>
          <w:p w14:paraId="0C9C511D" w14:textId="77777777" w:rsidR="00A220E9" w:rsidRPr="001F224B" w:rsidRDefault="00A220E9" w:rsidP="00A220E9">
            <w:pPr>
              <w:ind w:left="134"/>
              <w:rPr>
                <w:sz w:val="18"/>
                <w:szCs w:val="18"/>
              </w:rPr>
            </w:pPr>
            <w:r w:rsidRPr="001F224B">
              <w:rPr>
                <w:sz w:val="18"/>
                <w:szCs w:val="18"/>
              </w:rPr>
              <w:t>Teminatsız alacaklar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3E07E07" w14:textId="4BA8C068" w:rsidR="00A220E9" w:rsidRPr="001F224B" w:rsidRDefault="00A220E9" w:rsidP="00A220E9">
            <w:pPr>
              <w:jc w:val="right"/>
              <w:rPr>
                <w:color w:val="000000"/>
                <w:sz w:val="18"/>
                <w:szCs w:val="18"/>
              </w:rPr>
            </w:pPr>
            <w:r w:rsidRPr="001F224B">
              <w:rPr>
                <w:color w:val="000000"/>
                <w:sz w:val="20"/>
                <w:szCs w:val="20"/>
              </w:rPr>
              <w:t>20.339.751</w:t>
            </w:r>
          </w:p>
        </w:tc>
        <w:tc>
          <w:tcPr>
            <w:tcW w:w="1134" w:type="dxa"/>
            <w:tcBorders>
              <w:top w:val="single" w:sz="4" w:space="0" w:color="auto"/>
              <w:left w:val="nil"/>
              <w:bottom w:val="single" w:sz="4" w:space="0" w:color="auto"/>
              <w:right w:val="single" w:sz="4" w:space="0" w:color="auto"/>
            </w:tcBorders>
            <w:shd w:val="clear" w:color="auto" w:fill="auto"/>
            <w:vAlign w:val="bottom"/>
          </w:tcPr>
          <w:p w14:paraId="364FD119" w14:textId="69FDFAC2" w:rsidR="00A220E9" w:rsidRPr="001F224B" w:rsidRDefault="00A220E9" w:rsidP="00A220E9">
            <w:pPr>
              <w:jc w:val="right"/>
              <w:rPr>
                <w:color w:val="000000"/>
                <w:sz w:val="18"/>
                <w:szCs w:val="18"/>
              </w:rPr>
            </w:pPr>
            <w:r w:rsidRPr="001F224B">
              <w:rPr>
                <w:color w:val="000000"/>
                <w:sz w:val="20"/>
                <w:szCs w:val="20"/>
              </w:rPr>
              <w:t>4.555.958</w:t>
            </w:r>
          </w:p>
        </w:tc>
        <w:tc>
          <w:tcPr>
            <w:tcW w:w="1134" w:type="dxa"/>
            <w:tcBorders>
              <w:top w:val="single" w:sz="4" w:space="0" w:color="auto"/>
              <w:left w:val="nil"/>
              <w:bottom w:val="single" w:sz="4" w:space="0" w:color="auto"/>
              <w:right w:val="single" w:sz="4" w:space="0" w:color="auto"/>
            </w:tcBorders>
            <w:shd w:val="clear" w:color="auto" w:fill="auto"/>
            <w:vAlign w:val="bottom"/>
          </w:tcPr>
          <w:p w14:paraId="2F157DE8" w14:textId="77A3BE0E" w:rsidR="00A220E9" w:rsidRPr="001F224B" w:rsidRDefault="00A220E9" w:rsidP="00A220E9">
            <w:pPr>
              <w:jc w:val="right"/>
              <w:rPr>
                <w:color w:val="000000"/>
                <w:sz w:val="18"/>
                <w:szCs w:val="18"/>
              </w:rPr>
            </w:pPr>
            <w:r w:rsidRPr="001F224B">
              <w:rPr>
                <w:color w:val="000000"/>
                <w:sz w:val="20"/>
                <w:szCs w:val="20"/>
              </w:rPr>
              <w:t>19.209.857</w:t>
            </w:r>
          </w:p>
        </w:tc>
        <w:tc>
          <w:tcPr>
            <w:tcW w:w="1159" w:type="dxa"/>
            <w:tcBorders>
              <w:top w:val="single" w:sz="4" w:space="0" w:color="auto"/>
              <w:left w:val="nil"/>
              <w:bottom w:val="single" w:sz="4" w:space="0" w:color="auto"/>
              <w:right w:val="single" w:sz="4" w:space="0" w:color="auto"/>
            </w:tcBorders>
            <w:shd w:val="clear" w:color="auto" w:fill="auto"/>
            <w:vAlign w:val="bottom"/>
          </w:tcPr>
          <w:p w14:paraId="668BEE3E" w14:textId="3E041AF7" w:rsidR="00A220E9" w:rsidRPr="001F224B" w:rsidRDefault="00A220E9" w:rsidP="00A220E9">
            <w:pPr>
              <w:jc w:val="right"/>
              <w:rPr>
                <w:color w:val="000000"/>
                <w:sz w:val="18"/>
                <w:szCs w:val="18"/>
              </w:rPr>
            </w:pPr>
            <w:r w:rsidRPr="001F224B">
              <w:rPr>
                <w:color w:val="000000"/>
                <w:sz w:val="20"/>
                <w:szCs w:val="20"/>
              </w:rPr>
              <w:t>3.665.879</w:t>
            </w:r>
          </w:p>
        </w:tc>
      </w:tr>
      <w:tr w:rsidR="00A220E9" w:rsidRPr="001F224B" w14:paraId="27D0D14C" w14:textId="77777777" w:rsidTr="00D27A20">
        <w:trPr>
          <w:trHeight w:val="256"/>
        </w:trPr>
        <w:tc>
          <w:tcPr>
            <w:tcW w:w="5362" w:type="dxa"/>
            <w:vAlign w:val="bottom"/>
            <w:hideMark/>
          </w:tcPr>
          <w:p w14:paraId="22D7B384" w14:textId="77777777" w:rsidR="00A220E9" w:rsidRPr="001F224B" w:rsidRDefault="00A220E9" w:rsidP="00A220E9">
            <w:pPr>
              <w:ind w:left="134"/>
              <w:rPr>
                <w:sz w:val="18"/>
                <w:szCs w:val="18"/>
              </w:rPr>
            </w:pPr>
            <w:r w:rsidRPr="001F224B">
              <w:rPr>
                <w:sz w:val="18"/>
                <w:szCs w:val="18"/>
              </w:rPr>
              <w:t>Diğer nakit girişleri</w:t>
            </w:r>
          </w:p>
        </w:tc>
        <w:tc>
          <w:tcPr>
            <w:tcW w:w="1134" w:type="dxa"/>
            <w:tcBorders>
              <w:top w:val="nil"/>
              <w:left w:val="single" w:sz="4" w:space="0" w:color="auto"/>
              <w:bottom w:val="single" w:sz="4" w:space="0" w:color="auto"/>
              <w:right w:val="single" w:sz="4" w:space="0" w:color="auto"/>
            </w:tcBorders>
            <w:shd w:val="clear" w:color="auto" w:fill="auto"/>
            <w:vAlign w:val="bottom"/>
          </w:tcPr>
          <w:p w14:paraId="480E93E3" w14:textId="7E8467B8" w:rsidR="00A220E9" w:rsidRPr="001F224B" w:rsidRDefault="00A220E9" w:rsidP="00A220E9">
            <w:pPr>
              <w:jc w:val="right"/>
              <w:rPr>
                <w:color w:val="000000"/>
                <w:sz w:val="18"/>
                <w:szCs w:val="18"/>
              </w:rPr>
            </w:pPr>
            <w:r w:rsidRPr="001F224B">
              <w:rPr>
                <w:color w:val="000000"/>
                <w:sz w:val="20"/>
                <w:szCs w:val="20"/>
              </w:rPr>
              <w:t>12.509.353</w:t>
            </w:r>
          </w:p>
        </w:tc>
        <w:tc>
          <w:tcPr>
            <w:tcW w:w="1134" w:type="dxa"/>
            <w:tcBorders>
              <w:top w:val="nil"/>
              <w:left w:val="nil"/>
              <w:bottom w:val="single" w:sz="4" w:space="0" w:color="auto"/>
              <w:right w:val="single" w:sz="4" w:space="0" w:color="auto"/>
            </w:tcBorders>
            <w:shd w:val="clear" w:color="auto" w:fill="auto"/>
            <w:vAlign w:val="bottom"/>
          </w:tcPr>
          <w:p w14:paraId="724C497F" w14:textId="6EFF7445" w:rsidR="00A220E9" w:rsidRPr="001F224B" w:rsidRDefault="00A220E9" w:rsidP="00A220E9">
            <w:pPr>
              <w:jc w:val="right"/>
              <w:rPr>
                <w:color w:val="000000"/>
                <w:sz w:val="18"/>
                <w:szCs w:val="18"/>
              </w:rPr>
            </w:pPr>
            <w:r w:rsidRPr="001F224B">
              <w:rPr>
                <w:color w:val="000000"/>
                <w:sz w:val="20"/>
                <w:szCs w:val="20"/>
              </w:rPr>
              <w:t>7.349.465</w:t>
            </w:r>
          </w:p>
        </w:tc>
        <w:tc>
          <w:tcPr>
            <w:tcW w:w="1134" w:type="dxa"/>
            <w:tcBorders>
              <w:top w:val="nil"/>
              <w:left w:val="single" w:sz="4" w:space="0" w:color="auto"/>
              <w:bottom w:val="single" w:sz="4" w:space="0" w:color="auto"/>
              <w:right w:val="single" w:sz="4" w:space="0" w:color="auto"/>
            </w:tcBorders>
            <w:shd w:val="clear" w:color="auto" w:fill="auto"/>
            <w:vAlign w:val="bottom"/>
          </w:tcPr>
          <w:p w14:paraId="73AC8BC3" w14:textId="357DEEB5" w:rsidR="00A220E9" w:rsidRPr="001F224B" w:rsidRDefault="00A220E9" w:rsidP="00A220E9">
            <w:pPr>
              <w:jc w:val="right"/>
              <w:rPr>
                <w:color w:val="000000"/>
                <w:sz w:val="18"/>
                <w:szCs w:val="18"/>
              </w:rPr>
            </w:pPr>
            <w:r w:rsidRPr="001F224B">
              <w:rPr>
                <w:color w:val="000000"/>
                <w:sz w:val="20"/>
                <w:szCs w:val="20"/>
              </w:rPr>
              <w:t>12.509.353</w:t>
            </w:r>
          </w:p>
        </w:tc>
        <w:tc>
          <w:tcPr>
            <w:tcW w:w="1159" w:type="dxa"/>
            <w:tcBorders>
              <w:top w:val="nil"/>
              <w:left w:val="nil"/>
              <w:bottom w:val="single" w:sz="4" w:space="0" w:color="auto"/>
              <w:right w:val="single" w:sz="4" w:space="0" w:color="auto"/>
            </w:tcBorders>
            <w:shd w:val="clear" w:color="auto" w:fill="auto"/>
            <w:vAlign w:val="bottom"/>
          </w:tcPr>
          <w:p w14:paraId="3D7AB725" w14:textId="709F9E1F" w:rsidR="00A220E9" w:rsidRPr="001F224B" w:rsidRDefault="00A220E9" w:rsidP="00A220E9">
            <w:pPr>
              <w:ind w:left="-131"/>
              <w:jc w:val="right"/>
              <w:rPr>
                <w:color w:val="000000"/>
                <w:sz w:val="18"/>
                <w:szCs w:val="18"/>
              </w:rPr>
            </w:pPr>
            <w:r w:rsidRPr="001F224B">
              <w:rPr>
                <w:color w:val="000000"/>
                <w:sz w:val="20"/>
                <w:szCs w:val="20"/>
              </w:rPr>
              <w:t>7.349.465</w:t>
            </w:r>
          </w:p>
        </w:tc>
      </w:tr>
      <w:tr w:rsidR="00A220E9" w:rsidRPr="001F224B" w14:paraId="02A83056" w14:textId="77777777" w:rsidTr="00D27A20">
        <w:trPr>
          <w:trHeight w:val="256"/>
        </w:trPr>
        <w:tc>
          <w:tcPr>
            <w:tcW w:w="5362" w:type="dxa"/>
            <w:vAlign w:val="bottom"/>
            <w:hideMark/>
          </w:tcPr>
          <w:p w14:paraId="10FA15B2" w14:textId="77777777" w:rsidR="00A220E9" w:rsidRPr="001F224B" w:rsidRDefault="00A220E9" w:rsidP="00A220E9">
            <w:pPr>
              <w:rPr>
                <w:b/>
                <w:sz w:val="18"/>
                <w:szCs w:val="18"/>
              </w:rPr>
            </w:pPr>
            <w:r w:rsidRPr="001F224B">
              <w:rPr>
                <w:b/>
                <w:sz w:val="18"/>
                <w:szCs w:val="18"/>
              </w:rPr>
              <w:t>TOPLAM NAKİT GİRİŞLERİ</w:t>
            </w:r>
          </w:p>
        </w:tc>
        <w:tc>
          <w:tcPr>
            <w:tcW w:w="1134" w:type="dxa"/>
            <w:tcBorders>
              <w:top w:val="nil"/>
              <w:left w:val="single" w:sz="4" w:space="0" w:color="auto"/>
              <w:bottom w:val="single" w:sz="4" w:space="0" w:color="auto"/>
              <w:right w:val="single" w:sz="4" w:space="0" w:color="auto"/>
            </w:tcBorders>
            <w:shd w:val="clear" w:color="auto" w:fill="auto"/>
            <w:vAlign w:val="bottom"/>
          </w:tcPr>
          <w:p w14:paraId="651F1345" w14:textId="36C4FCFB" w:rsidR="00A220E9" w:rsidRPr="001F224B" w:rsidRDefault="00A220E9" w:rsidP="00A220E9">
            <w:pPr>
              <w:jc w:val="right"/>
              <w:rPr>
                <w:b/>
                <w:bCs/>
                <w:color w:val="000000"/>
                <w:sz w:val="18"/>
                <w:szCs w:val="18"/>
              </w:rPr>
            </w:pPr>
            <w:r w:rsidRPr="001F224B">
              <w:rPr>
                <w:b/>
                <w:bCs/>
                <w:color w:val="000000"/>
                <w:sz w:val="20"/>
                <w:szCs w:val="20"/>
              </w:rPr>
              <w:t>32.849.104</w:t>
            </w:r>
          </w:p>
        </w:tc>
        <w:tc>
          <w:tcPr>
            <w:tcW w:w="1134" w:type="dxa"/>
            <w:tcBorders>
              <w:top w:val="nil"/>
              <w:left w:val="nil"/>
              <w:bottom w:val="single" w:sz="4" w:space="0" w:color="auto"/>
              <w:right w:val="single" w:sz="4" w:space="0" w:color="auto"/>
            </w:tcBorders>
            <w:shd w:val="clear" w:color="auto" w:fill="auto"/>
            <w:vAlign w:val="bottom"/>
          </w:tcPr>
          <w:p w14:paraId="74333473" w14:textId="6A530AEA" w:rsidR="00A220E9" w:rsidRPr="001F224B" w:rsidRDefault="00A220E9" w:rsidP="00A220E9">
            <w:pPr>
              <w:jc w:val="right"/>
              <w:rPr>
                <w:b/>
                <w:bCs/>
                <w:color w:val="000000"/>
                <w:sz w:val="18"/>
                <w:szCs w:val="18"/>
              </w:rPr>
            </w:pPr>
            <w:r w:rsidRPr="001F224B">
              <w:rPr>
                <w:b/>
                <w:bCs/>
                <w:color w:val="000000"/>
                <w:sz w:val="20"/>
                <w:szCs w:val="20"/>
              </w:rPr>
              <w:t>11.905.423</w:t>
            </w:r>
          </w:p>
        </w:tc>
        <w:tc>
          <w:tcPr>
            <w:tcW w:w="1134" w:type="dxa"/>
            <w:tcBorders>
              <w:top w:val="nil"/>
              <w:left w:val="nil"/>
              <w:bottom w:val="nil"/>
              <w:right w:val="single" w:sz="4" w:space="0" w:color="auto"/>
            </w:tcBorders>
            <w:shd w:val="clear" w:color="auto" w:fill="auto"/>
            <w:vAlign w:val="bottom"/>
          </w:tcPr>
          <w:p w14:paraId="6B701FAD" w14:textId="599DFEB7" w:rsidR="00A220E9" w:rsidRPr="001F224B" w:rsidRDefault="00A220E9" w:rsidP="00A220E9">
            <w:pPr>
              <w:jc w:val="right"/>
              <w:rPr>
                <w:b/>
                <w:bCs/>
                <w:color w:val="000000"/>
                <w:sz w:val="18"/>
                <w:szCs w:val="18"/>
              </w:rPr>
            </w:pPr>
            <w:r w:rsidRPr="001F224B">
              <w:rPr>
                <w:b/>
                <w:bCs/>
                <w:color w:val="000000"/>
                <w:sz w:val="20"/>
                <w:szCs w:val="20"/>
              </w:rPr>
              <w:t>31.719.210</w:t>
            </w:r>
          </w:p>
        </w:tc>
        <w:tc>
          <w:tcPr>
            <w:tcW w:w="1159" w:type="dxa"/>
            <w:tcBorders>
              <w:top w:val="nil"/>
              <w:left w:val="nil"/>
              <w:bottom w:val="nil"/>
              <w:right w:val="single" w:sz="4" w:space="0" w:color="auto"/>
            </w:tcBorders>
            <w:shd w:val="clear" w:color="auto" w:fill="auto"/>
            <w:vAlign w:val="bottom"/>
          </w:tcPr>
          <w:p w14:paraId="477C3273" w14:textId="79DE72DC" w:rsidR="00A220E9" w:rsidRPr="001F224B" w:rsidRDefault="00A220E9" w:rsidP="00A220E9">
            <w:pPr>
              <w:ind w:left="-273"/>
              <w:jc w:val="right"/>
              <w:rPr>
                <w:b/>
                <w:bCs/>
                <w:color w:val="000000"/>
                <w:sz w:val="18"/>
                <w:szCs w:val="18"/>
              </w:rPr>
            </w:pPr>
            <w:r w:rsidRPr="001F224B">
              <w:rPr>
                <w:b/>
                <w:bCs/>
                <w:color w:val="000000"/>
                <w:sz w:val="20"/>
                <w:szCs w:val="20"/>
              </w:rPr>
              <w:t>11.015.344</w:t>
            </w:r>
          </w:p>
        </w:tc>
      </w:tr>
      <w:tr w:rsidR="00A220E9" w:rsidRPr="001F224B" w14:paraId="3C64AC9C" w14:textId="77777777" w:rsidTr="00D27A20">
        <w:trPr>
          <w:trHeight w:val="542"/>
        </w:trPr>
        <w:tc>
          <w:tcPr>
            <w:tcW w:w="5362" w:type="dxa"/>
            <w:vAlign w:val="bottom"/>
            <w:hideMark/>
          </w:tcPr>
          <w:p w14:paraId="0952FC75" w14:textId="77777777" w:rsidR="00A220E9" w:rsidRPr="001F224B" w:rsidRDefault="00A220E9" w:rsidP="00A220E9">
            <w:pPr>
              <w:rPr>
                <w:sz w:val="18"/>
                <w:szCs w:val="18"/>
              </w:rPr>
            </w:pPr>
            <w:r w:rsidRPr="001F224B">
              <w:rPr>
                <w:sz w:val="18"/>
                <w:szCs w:val="18"/>
              </w:rPr>
              <w:t> </w:t>
            </w:r>
          </w:p>
        </w:tc>
        <w:tc>
          <w:tcPr>
            <w:tcW w:w="1134" w:type="dxa"/>
            <w:tcBorders>
              <w:bottom w:val="single" w:sz="4" w:space="0" w:color="000000"/>
            </w:tcBorders>
            <w:vAlign w:val="bottom"/>
          </w:tcPr>
          <w:p w14:paraId="4FABC43C" w14:textId="77777777" w:rsidR="00A220E9" w:rsidRPr="001F224B" w:rsidRDefault="00A220E9" w:rsidP="00A220E9">
            <w:pPr>
              <w:jc w:val="right"/>
              <w:rPr>
                <w:sz w:val="18"/>
                <w:szCs w:val="18"/>
              </w:rPr>
            </w:pPr>
          </w:p>
        </w:tc>
        <w:tc>
          <w:tcPr>
            <w:tcW w:w="1134" w:type="dxa"/>
            <w:vAlign w:val="bottom"/>
          </w:tcPr>
          <w:p w14:paraId="0B941752" w14:textId="77777777" w:rsidR="00A220E9" w:rsidRPr="001F224B" w:rsidRDefault="00A220E9" w:rsidP="00A220E9">
            <w:pPr>
              <w:jc w:val="right"/>
              <w:rPr>
                <w:sz w:val="18"/>
                <w:szCs w:val="18"/>
              </w:rPr>
            </w:pPr>
          </w:p>
        </w:tc>
        <w:tc>
          <w:tcPr>
            <w:tcW w:w="2293" w:type="dxa"/>
            <w:gridSpan w:val="2"/>
            <w:vAlign w:val="bottom"/>
          </w:tcPr>
          <w:p w14:paraId="4B4F4DB3" w14:textId="4307B296" w:rsidR="00A220E9" w:rsidRPr="001F224B" w:rsidRDefault="00A220E9" w:rsidP="00A220E9">
            <w:pPr>
              <w:jc w:val="center"/>
              <w:rPr>
                <w:b/>
                <w:bCs/>
                <w:sz w:val="18"/>
                <w:szCs w:val="18"/>
              </w:rPr>
            </w:pPr>
            <w:r w:rsidRPr="001F224B">
              <w:rPr>
                <w:b/>
                <w:bCs/>
                <w:sz w:val="20"/>
                <w:szCs w:val="20"/>
              </w:rPr>
              <w:t>Üst Sınır Uygulanmış Değerler</w:t>
            </w:r>
          </w:p>
        </w:tc>
      </w:tr>
      <w:tr w:rsidR="00A220E9" w:rsidRPr="001F224B" w14:paraId="355F38C5" w14:textId="77777777" w:rsidTr="00D27A20">
        <w:trPr>
          <w:trHeight w:val="256"/>
        </w:trPr>
        <w:tc>
          <w:tcPr>
            <w:tcW w:w="5362" w:type="dxa"/>
            <w:vAlign w:val="bottom"/>
            <w:hideMark/>
          </w:tcPr>
          <w:p w14:paraId="7D3EBBAD" w14:textId="77777777" w:rsidR="00A220E9" w:rsidRPr="001F224B" w:rsidRDefault="00A220E9" w:rsidP="00A220E9">
            <w:pPr>
              <w:rPr>
                <w:b/>
                <w:sz w:val="18"/>
                <w:szCs w:val="18"/>
              </w:rPr>
            </w:pPr>
            <w:r w:rsidRPr="001F224B">
              <w:rPr>
                <w:b/>
                <w:sz w:val="18"/>
                <w:szCs w:val="18"/>
              </w:rPr>
              <w:t>TOPLAM YÜKSEK KALİTELİ LİKİT VARLIKLAR STOKU</w:t>
            </w:r>
          </w:p>
        </w:tc>
        <w:tc>
          <w:tcPr>
            <w:tcW w:w="1134" w:type="dxa"/>
            <w:tcBorders>
              <w:right w:val="nil"/>
            </w:tcBorders>
            <w:vAlign w:val="bottom"/>
          </w:tcPr>
          <w:p w14:paraId="6AB2E856" w14:textId="77777777" w:rsidR="00A220E9" w:rsidRPr="001F224B" w:rsidRDefault="00A220E9" w:rsidP="00A220E9">
            <w:pPr>
              <w:jc w:val="right"/>
              <w:rPr>
                <w:sz w:val="18"/>
                <w:szCs w:val="18"/>
              </w:rPr>
            </w:pPr>
          </w:p>
        </w:tc>
        <w:tc>
          <w:tcPr>
            <w:tcW w:w="1134" w:type="dxa"/>
            <w:tcBorders>
              <w:left w:val="nil"/>
            </w:tcBorders>
            <w:vAlign w:val="bottom"/>
          </w:tcPr>
          <w:p w14:paraId="6C881B42" w14:textId="77777777" w:rsidR="00A220E9" w:rsidRPr="001F224B" w:rsidRDefault="00A220E9" w:rsidP="00A220E9">
            <w:pPr>
              <w:jc w:val="right"/>
              <w:rPr>
                <w:sz w:val="18"/>
                <w:szCs w:val="18"/>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C8AA205" w14:textId="50DF0B71" w:rsidR="00A220E9" w:rsidRPr="001F224B" w:rsidRDefault="00A220E9" w:rsidP="00A220E9">
            <w:pPr>
              <w:jc w:val="right"/>
              <w:rPr>
                <w:b/>
                <w:bCs/>
                <w:color w:val="000000"/>
                <w:sz w:val="18"/>
                <w:szCs w:val="18"/>
              </w:rPr>
            </w:pPr>
            <w:r w:rsidRPr="001F224B">
              <w:rPr>
                <w:b/>
                <w:bCs/>
                <w:color w:val="000000"/>
                <w:sz w:val="20"/>
                <w:szCs w:val="20"/>
              </w:rPr>
              <w:t>17.928.077</w:t>
            </w:r>
          </w:p>
        </w:tc>
        <w:tc>
          <w:tcPr>
            <w:tcW w:w="1159" w:type="dxa"/>
            <w:tcBorders>
              <w:top w:val="single" w:sz="4" w:space="0" w:color="auto"/>
              <w:left w:val="nil"/>
              <w:bottom w:val="nil"/>
              <w:right w:val="single" w:sz="4" w:space="0" w:color="auto"/>
            </w:tcBorders>
            <w:shd w:val="clear" w:color="auto" w:fill="auto"/>
            <w:vAlign w:val="bottom"/>
          </w:tcPr>
          <w:p w14:paraId="2D767B26" w14:textId="3FF2275F" w:rsidR="00A220E9" w:rsidRPr="001F224B" w:rsidRDefault="00A220E9" w:rsidP="00A220E9">
            <w:pPr>
              <w:jc w:val="right"/>
              <w:rPr>
                <w:b/>
                <w:bCs/>
                <w:color w:val="000000"/>
                <w:sz w:val="18"/>
                <w:szCs w:val="18"/>
              </w:rPr>
            </w:pPr>
            <w:r w:rsidRPr="001F224B">
              <w:rPr>
                <w:b/>
                <w:bCs/>
                <w:color w:val="000000"/>
                <w:sz w:val="20"/>
                <w:szCs w:val="20"/>
              </w:rPr>
              <w:t>5.720.041</w:t>
            </w:r>
          </w:p>
        </w:tc>
      </w:tr>
      <w:tr w:rsidR="00A220E9" w:rsidRPr="001F224B" w14:paraId="30780E93" w14:textId="77777777" w:rsidTr="00D27A20">
        <w:trPr>
          <w:trHeight w:val="256"/>
        </w:trPr>
        <w:tc>
          <w:tcPr>
            <w:tcW w:w="5362" w:type="dxa"/>
            <w:vAlign w:val="bottom"/>
            <w:hideMark/>
          </w:tcPr>
          <w:p w14:paraId="2111C0D9" w14:textId="77777777" w:rsidR="00A220E9" w:rsidRPr="001F224B" w:rsidRDefault="00A220E9" w:rsidP="00A220E9">
            <w:pPr>
              <w:rPr>
                <w:b/>
                <w:sz w:val="18"/>
                <w:szCs w:val="18"/>
              </w:rPr>
            </w:pPr>
            <w:r w:rsidRPr="001F224B">
              <w:rPr>
                <w:b/>
                <w:sz w:val="18"/>
                <w:szCs w:val="18"/>
              </w:rPr>
              <w:t>TOPLAM NET NAKİT ÇIKIŞLARI</w:t>
            </w:r>
          </w:p>
        </w:tc>
        <w:tc>
          <w:tcPr>
            <w:tcW w:w="1134" w:type="dxa"/>
            <w:tcBorders>
              <w:right w:val="nil"/>
            </w:tcBorders>
            <w:vAlign w:val="bottom"/>
          </w:tcPr>
          <w:p w14:paraId="41201229" w14:textId="77777777" w:rsidR="00A220E9" w:rsidRPr="001F224B" w:rsidRDefault="00A220E9" w:rsidP="00A220E9">
            <w:pPr>
              <w:jc w:val="right"/>
              <w:rPr>
                <w:sz w:val="18"/>
                <w:szCs w:val="18"/>
              </w:rPr>
            </w:pPr>
          </w:p>
        </w:tc>
        <w:tc>
          <w:tcPr>
            <w:tcW w:w="1134" w:type="dxa"/>
            <w:tcBorders>
              <w:left w:val="nil"/>
            </w:tcBorders>
            <w:vAlign w:val="bottom"/>
          </w:tcPr>
          <w:p w14:paraId="066573C2" w14:textId="77777777" w:rsidR="00A220E9" w:rsidRPr="001F224B" w:rsidRDefault="00A220E9" w:rsidP="00A220E9">
            <w:pPr>
              <w:jc w:val="right"/>
              <w:rPr>
                <w:sz w:val="18"/>
                <w:szCs w:val="18"/>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7D168A2D" w14:textId="0D719342" w:rsidR="00A220E9" w:rsidRPr="001F224B" w:rsidRDefault="00A220E9" w:rsidP="00A220E9">
            <w:pPr>
              <w:jc w:val="right"/>
              <w:rPr>
                <w:b/>
                <w:bCs/>
                <w:color w:val="000000"/>
                <w:sz w:val="18"/>
                <w:szCs w:val="18"/>
              </w:rPr>
            </w:pPr>
            <w:r w:rsidRPr="001F224B">
              <w:rPr>
                <w:b/>
                <w:bCs/>
                <w:color w:val="000000"/>
                <w:sz w:val="20"/>
                <w:szCs w:val="20"/>
              </w:rPr>
              <w:t>5.173.066</w:t>
            </w:r>
          </w:p>
        </w:tc>
        <w:tc>
          <w:tcPr>
            <w:tcW w:w="1159" w:type="dxa"/>
            <w:tcBorders>
              <w:top w:val="single" w:sz="4" w:space="0" w:color="auto"/>
              <w:left w:val="nil"/>
              <w:bottom w:val="single" w:sz="4" w:space="0" w:color="auto"/>
              <w:right w:val="single" w:sz="4" w:space="0" w:color="auto"/>
            </w:tcBorders>
            <w:shd w:val="clear" w:color="auto" w:fill="auto"/>
            <w:vAlign w:val="bottom"/>
          </w:tcPr>
          <w:p w14:paraId="64BFE318" w14:textId="648CB5FD" w:rsidR="00A220E9" w:rsidRPr="001F224B" w:rsidRDefault="00A220E9" w:rsidP="00A220E9">
            <w:pPr>
              <w:jc w:val="right"/>
              <w:rPr>
                <w:b/>
                <w:bCs/>
                <w:color w:val="000000"/>
                <w:sz w:val="18"/>
                <w:szCs w:val="18"/>
              </w:rPr>
            </w:pPr>
            <w:r w:rsidRPr="001F224B">
              <w:rPr>
                <w:b/>
                <w:bCs/>
                <w:color w:val="000000"/>
                <w:sz w:val="20"/>
                <w:szCs w:val="20"/>
              </w:rPr>
              <w:t>3.973.087</w:t>
            </w:r>
          </w:p>
        </w:tc>
      </w:tr>
      <w:tr w:rsidR="00A220E9" w:rsidRPr="001F224B" w14:paraId="22A2D384" w14:textId="77777777" w:rsidTr="00D27A20">
        <w:trPr>
          <w:trHeight w:val="256"/>
        </w:trPr>
        <w:tc>
          <w:tcPr>
            <w:tcW w:w="5362" w:type="dxa"/>
            <w:vAlign w:val="bottom"/>
            <w:hideMark/>
          </w:tcPr>
          <w:p w14:paraId="08D3E4BD" w14:textId="77777777" w:rsidR="00A220E9" w:rsidRPr="001F224B" w:rsidRDefault="00A220E9" w:rsidP="00A220E9">
            <w:pPr>
              <w:rPr>
                <w:b/>
                <w:sz w:val="18"/>
                <w:szCs w:val="18"/>
              </w:rPr>
            </w:pPr>
            <w:r w:rsidRPr="001F224B">
              <w:rPr>
                <w:b/>
                <w:sz w:val="18"/>
                <w:szCs w:val="18"/>
              </w:rPr>
              <w:t>LİKİDİTE KARŞILAMA ORANI (%)</w:t>
            </w:r>
          </w:p>
        </w:tc>
        <w:tc>
          <w:tcPr>
            <w:tcW w:w="1134" w:type="dxa"/>
            <w:tcBorders>
              <w:right w:val="nil"/>
            </w:tcBorders>
            <w:vAlign w:val="bottom"/>
          </w:tcPr>
          <w:p w14:paraId="43FAD724" w14:textId="77777777" w:rsidR="00A220E9" w:rsidRPr="001F224B" w:rsidRDefault="00A220E9" w:rsidP="00A220E9">
            <w:pPr>
              <w:jc w:val="right"/>
              <w:rPr>
                <w:sz w:val="18"/>
                <w:szCs w:val="18"/>
              </w:rPr>
            </w:pPr>
          </w:p>
        </w:tc>
        <w:tc>
          <w:tcPr>
            <w:tcW w:w="1134" w:type="dxa"/>
            <w:tcBorders>
              <w:left w:val="nil"/>
            </w:tcBorders>
            <w:vAlign w:val="bottom"/>
          </w:tcPr>
          <w:p w14:paraId="091C4790" w14:textId="77777777" w:rsidR="00A220E9" w:rsidRPr="001F224B" w:rsidRDefault="00A220E9" w:rsidP="00A220E9">
            <w:pPr>
              <w:jc w:val="right"/>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F21DBB" w14:textId="65FD9C08" w:rsidR="00A220E9" w:rsidRPr="001F224B" w:rsidRDefault="00A220E9" w:rsidP="00A220E9">
            <w:pPr>
              <w:jc w:val="right"/>
              <w:rPr>
                <w:b/>
                <w:bCs/>
                <w:color w:val="000000"/>
                <w:sz w:val="18"/>
                <w:szCs w:val="18"/>
              </w:rPr>
            </w:pPr>
            <w:r w:rsidRPr="001F224B">
              <w:rPr>
                <w:b/>
                <w:bCs/>
                <w:color w:val="000000"/>
                <w:sz w:val="20"/>
                <w:szCs w:val="20"/>
              </w:rPr>
              <w:t>346,57</w:t>
            </w:r>
          </w:p>
        </w:tc>
        <w:tc>
          <w:tcPr>
            <w:tcW w:w="1159" w:type="dxa"/>
            <w:tcBorders>
              <w:top w:val="single" w:sz="4" w:space="0" w:color="auto"/>
              <w:left w:val="nil"/>
              <w:bottom w:val="single" w:sz="4" w:space="0" w:color="auto"/>
              <w:right w:val="single" w:sz="4" w:space="0" w:color="auto"/>
            </w:tcBorders>
            <w:shd w:val="clear" w:color="auto" w:fill="auto"/>
            <w:vAlign w:val="bottom"/>
          </w:tcPr>
          <w:p w14:paraId="0F6B4E2D" w14:textId="3A851B7B" w:rsidR="00A220E9" w:rsidRPr="001F224B" w:rsidRDefault="00A220E9" w:rsidP="00A220E9">
            <w:pPr>
              <w:jc w:val="right"/>
              <w:rPr>
                <w:b/>
                <w:bCs/>
                <w:color w:val="000000"/>
                <w:sz w:val="18"/>
                <w:szCs w:val="18"/>
              </w:rPr>
            </w:pPr>
            <w:r w:rsidRPr="001F224B">
              <w:rPr>
                <w:b/>
                <w:bCs/>
                <w:color w:val="000000"/>
                <w:sz w:val="20"/>
                <w:szCs w:val="20"/>
              </w:rPr>
              <w:t>143,97</w:t>
            </w:r>
          </w:p>
        </w:tc>
      </w:tr>
    </w:tbl>
    <w:p w14:paraId="5B992726" w14:textId="77777777" w:rsidR="005347CD" w:rsidRPr="001F224B" w:rsidRDefault="005347CD" w:rsidP="005347CD">
      <w:pPr>
        <w:spacing w:before="60" w:after="60"/>
        <w:rPr>
          <w:bCs/>
          <w:iCs/>
          <w:sz w:val="16"/>
          <w:szCs w:val="16"/>
        </w:rPr>
      </w:pPr>
      <w:r w:rsidRPr="001F224B">
        <w:rPr>
          <w:bCs/>
          <w:iCs/>
          <w:sz w:val="16"/>
          <w:szCs w:val="16"/>
        </w:rPr>
        <w:t>(*) Aylık basit aritmetik ortalama alınmak suretiyle hesaplanan değerlerin son üç ay için hesaplanan basit aritmetik ortalaması.</w:t>
      </w:r>
    </w:p>
    <w:p w14:paraId="1D7FBF7D" w14:textId="77777777" w:rsidR="005347CD" w:rsidRPr="001F224B" w:rsidRDefault="005347CD" w:rsidP="005347CD">
      <w:pPr>
        <w:rPr>
          <w:b/>
          <w:bCs/>
          <w:iCs/>
          <w:sz w:val="22"/>
          <w:szCs w:val="22"/>
        </w:rPr>
      </w:pPr>
    </w:p>
    <w:p w14:paraId="75E185EB" w14:textId="48E1DA5A" w:rsidR="005347CD" w:rsidRPr="001F224B" w:rsidRDefault="005347CD">
      <w:pPr>
        <w:rPr>
          <w:iCs/>
          <w:sz w:val="22"/>
          <w:szCs w:val="22"/>
        </w:rPr>
      </w:pPr>
    </w:p>
    <w:p w14:paraId="6A4755D7" w14:textId="7B88ACBF" w:rsidR="005347CD" w:rsidRPr="001F224B" w:rsidRDefault="005347CD">
      <w:pPr>
        <w:rPr>
          <w:iCs/>
          <w:sz w:val="22"/>
          <w:szCs w:val="22"/>
        </w:rPr>
      </w:pPr>
      <w:r w:rsidRPr="001F224B">
        <w:rPr>
          <w:iCs/>
          <w:sz w:val="22"/>
          <w:szCs w:val="22"/>
        </w:rPr>
        <w:br w:type="page"/>
      </w:r>
    </w:p>
    <w:p w14:paraId="06AB7381" w14:textId="77777777" w:rsidR="005347CD" w:rsidRPr="001F224B" w:rsidRDefault="005347CD" w:rsidP="005347CD">
      <w:pPr>
        <w:pStyle w:val="ListParagraph"/>
        <w:tabs>
          <w:tab w:val="left" w:pos="0"/>
        </w:tabs>
        <w:spacing w:before="120"/>
        <w:ind w:left="0"/>
        <w:rPr>
          <w:b/>
          <w:bCs/>
          <w:sz w:val="22"/>
          <w:szCs w:val="22"/>
        </w:rPr>
      </w:pPr>
      <w:r w:rsidRPr="001F224B">
        <w:rPr>
          <w:b/>
          <w:bCs/>
          <w:sz w:val="22"/>
          <w:szCs w:val="22"/>
        </w:rPr>
        <w:t>DÖRDÜNCÜ BÖLÜM (Devamı)</w:t>
      </w:r>
    </w:p>
    <w:p w14:paraId="7A7AD1BC" w14:textId="77777777" w:rsidR="005347CD" w:rsidRPr="001F224B" w:rsidRDefault="005347CD" w:rsidP="005347CD">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54CD0A23" w14:textId="7CB3CE52" w:rsidR="005347CD" w:rsidRPr="001F224B" w:rsidRDefault="005347CD" w:rsidP="005347CD">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590ACFD5" w14:textId="55822E74" w:rsidR="005347CD" w:rsidRPr="001F224B" w:rsidRDefault="005347CD" w:rsidP="005347CD">
      <w:pPr>
        <w:spacing w:before="120" w:after="120"/>
        <w:ind w:firstLine="567"/>
        <w:rPr>
          <w:rFonts w:eastAsia="Arial Unicode MS"/>
          <w:b/>
          <w:bCs/>
          <w:sz w:val="22"/>
          <w:szCs w:val="22"/>
          <w:lang w:eastAsia="en-US"/>
        </w:rPr>
      </w:pPr>
      <w:r w:rsidRPr="001F224B">
        <w:rPr>
          <w:rFonts w:eastAsia="Arial Unicode MS"/>
          <w:b/>
          <w:bCs/>
          <w:sz w:val="22"/>
          <w:szCs w:val="22"/>
          <w:lang w:eastAsia="en-US"/>
        </w:rPr>
        <w:t>3. Konsolide Likidite Karşılama Oranına İlişkin Açıklamalar</w:t>
      </w:r>
      <w:r w:rsidR="001E3833" w:rsidRPr="001F224B">
        <w:rPr>
          <w:rFonts w:eastAsia="Arial Unicode MS"/>
          <w:b/>
          <w:bCs/>
          <w:sz w:val="22"/>
          <w:szCs w:val="22"/>
          <w:lang w:eastAsia="en-US"/>
        </w:rPr>
        <w:t>:</w:t>
      </w:r>
    </w:p>
    <w:p w14:paraId="0ED40688" w14:textId="09902367" w:rsidR="005347CD" w:rsidRPr="001F224B" w:rsidRDefault="005347CD" w:rsidP="005347CD">
      <w:pPr>
        <w:spacing w:before="120" w:after="120"/>
        <w:ind w:left="567"/>
        <w:jc w:val="both"/>
        <w:rPr>
          <w:rFonts w:eastAsia="Arial Unicode MS"/>
          <w:b/>
          <w:bCs/>
          <w:sz w:val="22"/>
          <w:szCs w:val="22"/>
          <w:lang w:eastAsia="en-US"/>
        </w:rPr>
      </w:pPr>
      <w:r w:rsidRPr="001F224B">
        <w:rPr>
          <w:rFonts w:eastAsia="Arial Unicode MS"/>
          <w:b/>
          <w:bCs/>
          <w:sz w:val="22"/>
          <w:szCs w:val="22"/>
          <w:lang w:eastAsia="en-US"/>
        </w:rPr>
        <w:t>Konsolide likidite karşılama oranı sonucunu etkileyen önemli unsurlar ve bu oran hesaplamasında dikkate alınan kalemlerin zaman içerisindeki değişimi</w:t>
      </w:r>
      <w:r w:rsidR="001E3833" w:rsidRPr="001F224B">
        <w:rPr>
          <w:rFonts w:eastAsia="Arial Unicode MS"/>
          <w:b/>
          <w:bCs/>
          <w:sz w:val="22"/>
          <w:szCs w:val="22"/>
          <w:lang w:eastAsia="en-US"/>
        </w:rPr>
        <w:t>:</w:t>
      </w:r>
    </w:p>
    <w:p w14:paraId="770B5550" w14:textId="77777777" w:rsidR="005347CD" w:rsidRPr="001F224B" w:rsidRDefault="005347CD" w:rsidP="005347CD">
      <w:pPr>
        <w:spacing w:before="120" w:after="120"/>
        <w:ind w:left="567"/>
        <w:jc w:val="both"/>
        <w:rPr>
          <w:rFonts w:eastAsia="Arial Unicode MS"/>
          <w:bCs/>
          <w:sz w:val="22"/>
          <w:szCs w:val="22"/>
          <w:lang w:eastAsia="en-US"/>
        </w:rPr>
      </w:pPr>
      <w:r w:rsidRPr="001F224B">
        <w:rPr>
          <w:rFonts w:eastAsia="Arial Unicode MS"/>
          <w:bCs/>
          <w:sz w:val="22"/>
          <w:szCs w:val="22"/>
          <w:lang w:eastAsia="en-US"/>
        </w:rPr>
        <w:t>Likidite karşılama oranı sonucunu etkileyen önemli unsurlar net nakit çıkışları ile yüksek kaliteli likit varlık stokudur. Oran hesaplamasında dikkate alınan kalemler ekonomik yapı ve banka fon yönetiminin vereceği kararlar doğrultusunda zaman içerisinde farklılıklar gösterebilmektedir.</w:t>
      </w:r>
    </w:p>
    <w:p w14:paraId="08D4C9F7" w14:textId="79AAE0C9" w:rsidR="005347CD" w:rsidRPr="001F224B" w:rsidRDefault="005347CD" w:rsidP="005347CD">
      <w:pPr>
        <w:spacing w:before="120" w:after="120"/>
        <w:ind w:left="567"/>
        <w:jc w:val="both"/>
        <w:rPr>
          <w:rFonts w:eastAsia="Arial Unicode MS"/>
          <w:b/>
          <w:bCs/>
          <w:sz w:val="22"/>
          <w:szCs w:val="22"/>
          <w:lang w:eastAsia="en-US"/>
        </w:rPr>
      </w:pPr>
      <w:r w:rsidRPr="001F224B">
        <w:rPr>
          <w:rFonts w:eastAsia="Arial Unicode MS"/>
          <w:b/>
          <w:bCs/>
          <w:sz w:val="22"/>
          <w:szCs w:val="22"/>
          <w:lang w:eastAsia="en-US"/>
        </w:rPr>
        <w:t>Yüksek kaliteli likit varlıkların hangi kalemlerden oluştuğu hakkında açıklama</w:t>
      </w:r>
      <w:r w:rsidR="001E3833" w:rsidRPr="001F224B">
        <w:rPr>
          <w:rFonts w:eastAsia="Arial Unicode MS"/>
          <w:b/>
          <w:bCs/>
          <w:sz w:val="22"/>
          <w:szCs w:val="22"/>
          <w:lang w:eastAsia="en-US"/>
        </w:rPr>
        <w:t>:</w:t>
      </w:r>
    </w:p>
    <w:p w14:paraId="6654AB6C" w14:textId="77777777" w:rsidR="005347CD" w:rsidRPr="001F224B" w:rsidRDefault="005347CD" w:rsidP="005347CD">
      <w:pPr>
        <w:spacing w:before="120" w:after="120"/>
        <w:ind w:left="567"/>
        <w:jc w:val="both"/>
        <w:rPr>
          <w:rFonts w:eastAsia="Arial Unicode MS"/>
          <w:bCs/>
          <w:sz w:val="22"/>
          <w:szCs w:val="22"/>
          <w:lang w:eastAsia="en-US"/>
        </w:rPr>
      </w:pPr>
      <w:r w:rsidRPr="001F224B">
        <w:rPr>
          <w:rFonts w:eastAsia="Arial Unicode MS"/>
          <w:bCs/>
          <w:sz w:val="22"/>
          <w:szCs w:val="22"/>
          <w:lang w:eastAsia="en-US"/>
        </w:rPr>
        <w:t>Yüksek kaliteli likit varlıklar ağırlıklı olarak Devlet İç Borçlanma Senetleri ve Eurobond’lardan meydana gelmektedir.</w:t>
      </w:r>
    </w:p>
    <w:p w14:paraId="59412BE5" w14:textId="2B7E6BF8" w:rsidR="005347CD" w:rsidRPr="001F224B" w:rsidRDefault="005347CD" w:rsidP="005347CD">
      <w:pPr>
        <w:spacing w:before="120" w:after="120"/>
        <w:ind w:left="567"/>
        <w:jc w:val="both"/>
        <w:rPr>
          <w:rFonts w:eastAsia="Arial Unicode MS"/>
          <w:b/>
          <w:bCs/>
          <w:sz w:val="22"/>
          <w:szCs w:val="22"/>
          <w:lang w:eastAsia="en-US"/>
        </w:rPr>
      </w:pPr>
      <w:r w:rsidRPr="001F224B">
        <w:rPr>
          <w:rFonts w:eastAsia="Arial Unicode MS"/>
          <w:b/>
          <w:bCs/>
          <w:sz w:val="22"/>
          <w:szCs w:val="22"/>
          <w:lang w:eastAsia="en-US"/>
        </w:rPr>
        <w:t>Fon kaynaklarının hangi kalemlerden oluştuğu ve tüm fonlar içerisindeki yoğunlukları</w:t>
      </w:r>
      <w:r w:rsidR="001E3833" w:rsidRPr="001F224B">
        <w:rPr>
          <w:rFonts w:eastAsia="Arial Unicode MS"/>
          <w:b/>
          <w:bCs/>
          <w:sz w:val="22"/>
          <w:szCs w:val="22"/>
          <w:lang w:eastAsia="en-US"/>
        </w:rPr>
        <w:t>:</w:t>
      </w:r>
    </w:p>
    <w:p w14:paraId="08FB8488" w14:textId="114D9984" w:rsidR="00BF1BB7" w:rsidRPr="001F224B" w:rsidRDefault="00BF1BB7" w:rsidP="00BF1BB7">
      <w:pPr>
        <w:spacing w:before="120" w:after="120"/>
        <w:ind w:left="567"/>
        <w:jc w:val="both"/>
        <w:rPr>
          <w:rFonts w:eastAsia="Arial Unicode MS"/>
          <w:bCs/>
          <w:sz w:val="22"/>
          <w:szCs w:val="22"/>
          <w:lang w:eastAsia="en-US"/>
        </w:rPr>
      </w:pPr>
      <w:r w:rsidRPr="001F224B">
        <w:rPr>
          <w:rFonts w:eastAsia="Arial Unicode MS"/>
          <w:bCs/>
          <w:sz w:val="22"/>
          <w:szCs w:val="22"/>
          <w:lang w:eastAsia="en-US"/>
        </w:rPr>
        <w:t>Ana Ortaklık Banka’nın temel fon kaynağı yurt içi ve uluslararası finansal kurumlardan tesis edilen kredilerdir. Bu kaynakların tüm fonlar içerisindeki payı yaklaşık %</w:t>
      </w:r>
      <w:r w:rsidR="00AA7822" w:rsidRPr="001F224B">
        <w:rPr>
          <w:rFonts w:eastAsia="Arial Unicode MS"/>
          <w:bCs/>
          <w:sz w:val="22"/>
          <w:szCs w:val="22"/>
          <w:lang w:eastAsia="en-US"/>
        </w:rPr>
        <w:t xml:space="preserve">81,9’dur </w:t>
      </w:r>
      <w:r w:rsidRPr="001F224B">
        <w:rPr>
          <w:rFonts w:eastAsia="Arial Unicode MS"/>
          <w:bCs/>
          <w:sz w:val="22"/>
          <w:szCs w:val="22"/>
          <w:lang w:eastAsia="en-US"/>
        </w:rPr>
        <w:t>(31 Aralık 2024: %82,4). Banka’nın toplam fonlamasının %</w:t>
      </w:r>
      <w:r w:rsidR="00AA7822" w:rsidRPr="001F224B">
        <w:rPr>
          <w:rFonts w:eastAsia="Arial Unicode MS"/>
          <w:bCs/>
          <w:sz w:val="22"/>
          <w:szCs w:val="22"/>
          <w:lang w:eastAsia="en-US"/>
        </w:rPr>
        <w:t xml:space="preserve">6,2‘si </w:t>
      </w:r>
      <w:r w:rsidRPr="001F224B">
        <w:rPr>
          <w:rFonts w:eastAsia="Arial Unicode MS"/>
          <w:bCs/>
          <w:sz w:val="22"/>
          <w:szCs w:val="22"/>
          <w:lang w:eastAsia="en-US"/>
        </w:rPr>
        <w:t>(31 Aralık 2024: %6,4) uluslararası finansal kuruluşlar, T.C. Hazine ve Maliye Bakanlığı, müstakrizler ve bankalardan temin edilen fonlardan, %</w:t>
      </w:r>
      <w:r w:rsidR="00AA7822" w:rsidRPr="001F224B">
        <w:rPr>
          <w:rFonts w:eastAsia="Arial Unicode MS"/>
          <w:bCs/>
          <w:sz w:val="22"/>
          <w:szCs w:val="22"/>
          <w:lang w:eastAsia="en-US"/>
        </w:rPr>
        <w:t>5,9</w:t>
      </w:r>
      <w:r w:rsidRPr="001F224B">
        <w:rPr>
          <w:rFonts w:eastAsia="Arial Unicode MS"/>
          <w:bCs/>
          <w:sz w:val="22"/>
          <w:szCs w:val="22"/>
          <w:lang w:eastAsia="en-US"/>
        </w:rPr>
        <w:t>’</w:t>
      </w:r>
      <w:r w:rsidR="00AA7822" w:rsidRPr="001F224B">
        <w:rPr>
          <w:rFonts w:eastAsia="Arial Unicode MS"/>
          <w:bCs/>
          <w:sz w:val="22"/>
          <w:szCs w:val="22"/>
          <w:lang w:eastAsia="en-US"/>
        </w:rPr>
        <w:t>u</w:t>
      </w:r>
      <w:r w:rsidRPr="001F224B">
        <w:rPr>
          <w:rFonts w:eastAsia="Arial Unicode MS"/>
          <w:bCs/>
          <w:sz w:val="22"/>
          <w:szCs w:val="22"/>
          <w:lang w:eastAsia="en-US"/>
        </w:rPr>
        <w:t xml:space="preserve"> (31 Aralık 2024: %5,8)</w:t>
      </w:r>
      <w:r w:rsidR="00AA7822" w:rsidRPr="001F224B">
        <w:rPr>
          <w:rFonts w:eastAsia="Arial Unicode MS"/>
          <w:bCs/>
          <w:sz w:val="22"/>
          <w:szCs w:val="22"/>
          <w:lang w:eastAsia="en-US"/>
        </w:rPr>
        <w:t xml:space="preserve"> </w:t>
      </w:r>
      <w:r w:rsidRPr="001F224B">
        <w:rPr>
          <w:rFonts w:eastAsia="Arial Unicode MS"/>
          <w:bCs/>
          <w:sz w:val="22"/>
          <w:szCs w:val="22"/>
          <w:lang w:eastAsia="en-US"/>
        </w:rPr>
        <w:t>sermaye benzeri borçlanma araçlarından, %</w:t>
      </w:r>
      <w:r w:rsidR="00AA7822" w:rsidRPr="001F224B">
        <w:rPr>
          <w:rFonts w:eastAsia="Arial Unicode MS"/>
          <w:bCs/>
          <w:sz w:val="22"/>
          <w:szCs w:val="22"/>
          <w:lang w:eastAsia="en-US"/>
        </w:rPr>
        <w:t>2,7</w:t>
      </w:r>
      <w:r w:rsidRPr="001F224B">
        <w:rPr>
          <w:rFonts w:eastAsia="Arial Unicode MS"/>
          <w:bCs/>
          <w:sz w:val="22"/>
          <w:szCs w:val="22"/>
          <w:lang w:eastAsia="en-US"/>
        </w:rPr>
        <w:t>’</w:t>
      </w:r>
      <w:r w:rsidR="00AA7822" w:rsidRPr="001F224B">
        <w:rPr>
          <w:rFonts w:eastAsia="Arial Unicode MS"/>
          <w:bCs/>
          <w:sz w:val="22"/>
          <w:szCs w:val="22"/>
          <w:lang w:eastAsia="en-US"/>
        </w:rPr>
        <w:t>s</w:t>
      </w:r>
      <w:r w:rsidRPr="001F224B">
        <w:rPr>
          <w:rFonts w:eastAsia="Arial Unicode MS"/>
          <w:bCs/>
          <w:sz w:val="22"/>
          <w:szCs w:val="22"/>
          <w:lang w:eastAsia="en-US"/>
        </w:rPr>
        <w:t>i (31 Aralık 2024: %2,6) para piyasalarından sağlanan fonlardan, %3,</w:t>
      </w:r>
      <w:r w:rsidR="00AA7822" w:rsidRPr="001F224B">
        <w:rPr>
          <w:rFonts w:eastAsia="Arial Unicode MS"/>
          <w:bCs/>
          <w:sz w:val="22"/>
          <w:szCs w:val="22"/>
          <w:lang w:eastAsia="en-US"/>
        </w:rPr>
        <w:t>4</w:t>
      </w:r>
      <w:r w:rsidRPr="001F224B">
        <w:rPr>
          <w:rFonts w:eastAsia="Arial Unicode MS"/>
          <w:bCs/>
          <w:sz w:val="22"/>
          <w:szCs w:val="22"/>
          <w:lang w:eastAsia="en-US"/>
        </w:rPr>
        <w:t>’</w:t>
      </w:r>
      <w:r w:rsidR="00AA7822" w:rsidRPr="001F224B">
        <w:rPr>
          <w:rFonts w:eastAsia="Arial Unicode MS"/>
          <w:bCs/>
          <w:sz w:val="22"/>
          <w:szCs w:val="22"/>
          <w:lang w:eastAsia="en-US"/>
        </w:rPr>
        <w:t>ü</w:t>
      </w:r>
      <w:r w:rsidRPr="001F224B">
        <w:rPr>
          <w:rFonts w:eastAsia="Arial Unicode MS"/>
          <w:bCs/>
          <w:sz w:val="22"/>
          <w:szCs w:val="22"/>
          <w:lang w:eastAsia="en-US"/>
        </w:rPr>
        <w:t xml:space="preserve"> (31 Aralık 2024: %2,8) ise ihraç edilen menkul değerlerden oluşmaktadır.</w:t>
      </w:r>
    </w:p>
    <w:p w14:paraId="41C72337" w14:textId="2C00C0C4" w:rsidR="005347CD" w:rsidRPr="001F224B" w:rsidRDefault="005347CD" w:rsidP="005347CD">
      <w:pPr>
        <w:spacing w:before="120" w:after="120"/>
        <w:ind w:left="567"/>
        <w:jc w:val="both"/>
        <w:rPr>
          <w:rFonts w:eastAsia="Arial Unicode MS"/>
          <w:b/>
          <w:bCs/>
          <w:sz w:val="22"/>
          <w:szCs w:val="22"/>
          <w:lang w:eastAsia="en-US"/>
        </w:rPr>
      </w:pPr>
      <w:r w:rsidRPr="001F224B">
        <w:rPr>
          <w:rFonts w:eastAsia="Arial Unicode MS"/>
          <w:b/>
          <w:bCs/>
          <w:sz w:val="22"/>
          <w:szCs w:val="22"/>
          <w:lang w:eastAsia="en-US"/>
        </w:rPr>
        <w:t>Türev işlemlerden kaynaklanan nakit çıkışları ve teminat tamamlama ihtimali olan işlemlere ilişkin bilgiler</w:t>
      </w:r>
      <w:r w:rsidR="001E3833" w:rsidRPr="001F224B">
        <w:rPr>
          <w:rFonts w:eastAsia="Arial Unicode MS"/>
          <w:b/>
          <w:bCs/>
          <w:sz w:val="22"/>
          <w:szCs w:val="22"/>
          <w:lang w:eastAsia="en-US"/>
        </w:rPr>
        <w:t>:</w:t>
      </w:r>
    </w:p>
    <w:p w14:paraId="0F9ED651" w14:textId="77777777" w:rsidR="005347CD" w:rsidRPr="001F224B" w:rsidRDefault="005347CD" w:rsidP="005347CD">
      <w:pPr>
        <w:spacing w:before="120" w:after="120"/>
        <w:ind w:left="567"/>
        <w:jc w:val="both"/>
        <w:rPr>
          <w:rFonts w:eastAsia="Arial Unicode MS"/>
          <w:bCs/>
          <w:sz w:val="22"/>
          <w:szCs w:val="22"/>
          <w:lang w:eastAsia="en-US"/>
        </w:rPr>
      </w:pPr>
      <w:r w:rsidRPr="001F224B">
        <w:rPr>
          <w:iCs/>
          <w:sz w:val="22"/>
          <w:szCs w:val="22"/>
        </w:rPr>
        <w:t>Ana Ortaklık Banka’nın türev işlemleri ağırlıklı olarak swap para alım-satım işlemleridir. Yıl içerisinde yapılan türev işlemlere ilişkin gerçekleşen gelir-gider rakamları türev finansal işlemlerden kar/zarar kalemi içerisinde muhasebeleştirilmektedir. Teminat tamamlama ihtimali olan işlem bulunmamaktadır</w:t>
      </w:r>
      <w:r w:rsidRPr="001F224B">
        <w:rPr>
          <w:rFonts w:eastAsia="Arial Unicode MS"/>
          <w:bCs/>
          <w:sz w:val="22"/>
          <w:szCs w:val="22"/>
          <w:lang w:eastAsia="en-US"/>
        </w:rPr>
        <w:t>.</w:t>
      </w:r>
    </w:p>
    <w:p w14:paraId="5B909307" w14:textId="33EFF778" w:rsidR="005347CD" w:rsidRPr="001F224B" w:rsidRDefault="005347CD" w:rsidP="005347CD">
      <w:pPr>
        <w:spacing w:before="120" w:after="120"/>
        <w:ind w:left="567"/>
        <w:jc w:val="both"/>
        <w:rPr>
          <w:rFonts w:eastAsia="Arial Unicode MS"/>
          <w:b/>
          <w:bCs/>
          <w:sz w:val="22"/>
          <w:szCs w:val="22"/>
          <w:lang w:val="en-US" w:eastAsia="en-US"/>
        </w:rPr>
      </w:pPr>
      <w:proofErr w:type="spellStart"/>
      <w:r w:rsidRPr="001F224B">
        <w:rPr>
          <w:rFonts w:eastAsia="Arial Unicode MS"/>
          <w:b/>
          <w:bCs/>
          <w:sz w:val="22"/>
          <w:szCs w:val="22"/>
          <w:lang w:val="en-US" w:eastAsia="en-US"/>
        </w:rPr>
        <w:t>Karşı</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taraf</w:t>
      </w:r>
      <w:proofErr w:type="spellEnd"/>
      <w:r w:rsidRPr="001F224B">
        <w:rPr>
          <w:rFonts w:eastAsia="Arial Unicode MS"/>
          <w:b/>
          <w:bCs/>
          <w:sz w:val="22"/>
          <w:szCs w:val="22"/>
          <w:lang w:val="en-US" w:eastAsia="en-US"/>
        </w:rPr>
        <w:t xml:space="preserve"> ve </w:t>
      </w:r>
      <w:proofErr w:type="spellStart"/>
      <w:r w:rsidRPr="001F224B">
        <w:rPr>
          <w:rFonts w:eastAsia="Arial Unicode MS"/>
          <w:b/>
          <w:bCs/>
          <w:sz w:val="22"/>
          <w:szCs w:val="22"/>
          <w:lang w:val="en-US" w:eastAsia="en-US"/>
        </w:rPr>
        <w:t>ürün</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bazında</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fon</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kaynakları</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ile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teminata</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ilişkin</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yoğunlaşma</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limitleri</w:t>
      </w:r>
      <w:proofErr w:type="spellEnd"/>
      <w:r w:rsidR="001E3833" w:rsidRPr="001F224B">
        <w:rPr>
          <w:rFonts w:eastAsia="Arial Unicode MS"/>
          <w:b/>
          <w:bCs/>
          <w:sz w:val="22"/>
          <w:szCs w:val="22"/>
          <w:lang w:val="en-US" w:eastAsia="en-US"/>
        </w:rPr>
        <w:t>:</w:t>
      </w:r>
      <w:r w:rsidRPr="001F224B">
        <w:rPr>
          <w:rFonts w:eastAsia="Arial Unicode MS"/>
          <w:b/>
          <w:bCs/>
          <w:sz w:val="22"/>
          <w:szCs w:val="22"/>
          <w:lang w:val="en-US" w:eastAsia="en-US"/>
        </w:rPr>
        <w:t xml:space="preserve"> </w:t>
      </w:r>
    </w:p>
    <w:p w14:paraId="546556D2" w14:textId="77777777" w:rsidR="005347CD" w:rsidRPr="001F224B" w:rsidRDefault="005347CD" w:rsidP="005347CD">
      <w:pPr>
        <w:spacing w:before="120" w:after="120"/>
        <w:ind w:left="567"/>
        <w:jc w:val="both"/>
        <w:rPr>
          <w:rFonts w:eastAsia="Arial Unicode MS"/>
          <w:bCs/>
          <w:sz w:val="22"/>
          <w:szCs w:val="22"/>
          <w:lang w:eastAsia="en-US"/>
        </w:rPr>
      </w:pPr>
      <w:r w:rsidRPr="001F224B">
        <w:rPr>
          <w:rFonts w:eastAsia="Arial Unicode MS"/>
          <w:bCs/>
          <w:sz w:val="22"/>
          <w:szCs w:val="22"/>
          <w:lang w:eastAsia="en-US"/>
        </w:rPr>
        <w:t xml:space="preserve">Faaliyet alanı kalkınma ve yatırım bankacılığı olan </w:t>
      </w:r>
      <w:r w:rsidRPr="001F224B">
        <w:rPr>
          <w:iCs/>
          <w:sz w:val="22"/>
          <w:szCs w:val="22"/>
        </w:rPr>
        <w:t>Ana Ortaklık</w:t>
      </w:r>
      <w:r w:rsidRPr="001F224B">
        <w:rPr>
          <w:rFonts w:eastAsia="Arial Unicode MS"/>
          <w:color w:val="000000" w:themeColor="text1"/>
          <w:sz w:val="22"/>
          <w:szCs w:val="22"/>
          <w:lang w:eastAsia="en-US"/>
        </w:rPr>
        <w:t xml:space="preserve"> </w:t>
      </w:r>
      <w:r w:rsidRPr="001F224B">
        <w:rPr>
          <w:rFonts w:eastAsia="Arial Unicode MS"/>
          <w:bCs/>
          <w:sz w:val="22"/>
          <w:szCs w:val="22"/>
          <w:lang w:eastAsia="en-US"/>
        </w:rPr>
        <w:t>Banka’nın fon kaynakları genel olarak uluslararası kalkınma bankaları ve finansal kuruluşlardır; karşı taraf ve ürün bazında bir yoğunlaşma limiti bulunmamaktadır.</w:t>
      </w:r>
    </w:p>
    <w:p w14:paraId="4EC0A9FA" w14:textId="17F58F63" w:rsidR="005347CD" w:rsidRPr="001F224B" w:rsidRDefault="005347CD" w:rsidP="005347CD">
      <w:pPr>
        <w:spacing w:before="120" w:after="120"/>
        <w:ind w:left="567"/>
        <w:jc w:val="both"/>
        <w:rPr>
          <w:rFonts w:eastAsia="Arial Unicode MS"/>
          <w:bCs/>
          <w:sz w:val="22"/>
          <w:szCs w:val="22"/>
          <w:lang w:val="en-US" w:eastAsia="en-US"/>
        </w:rPr>
      </w:pPr>
      <w:proofErr w:type="spellStart"/>
      <w:r w:rsidRPr="001F224B">
        <w:rPr>
          <w:rFonts w:eastAsia="Arial Unicode MS"/>
          <w:b/>
          <w:bCs/>
          <w:sz w:val="22"/>
          <w:szCs w:val="22"/>
          <w:lang w:val="en-US" w:eastAsia="en-US"/>
        </w:rPr>
        <w:t>Konsolide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likidite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transferini</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engelleyici</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operasyonel</w:t>
      </w:r>
      <w:proofErr w:type="spellEnd"/>
      <w:r w:rsidRPr="001F224B">
        <w:rPr>
          <w:rFonts w:eastAsia="Arial Unicode MS"/>
          <w:b/>
          <w:bCs/>
          <w:sz w:val="22"/>
          <w:szCs w:val="22"/>
          <w:lang w:val="en-US" w:eastAsia="en-US"/>
        </w:rPr>
        <w:t xml:space="preserve"> ve </w:t>
      </w:r>
      <w:proofErr w:type="spellStart"/>
      <w:r w:rsidRPr="001F224B">
        <w:rPr>
          <w:rFonts w:eastAsia="Arial Unicode MS"/>
          <w:b/>
          <w:bCs/>
          <w:sz w:val="22"/>
          <w:szCs w:val="22"/>
          <w:lang w:val="en-US" w:eastAsia="en-US"/>
        </w:rPr>
        <w:t>yasal</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faktörleri</w:t>
      </w:r>
      <w:proofErr w:type="spellEnd"/>
      <w:r w:rsidRPr="001F224B">
        <w:rPr>
          <w:rFonts w:eastAsia="Arial Unicode MS"/>
          <w:b/>
          <w:bCs/>
          <w:sz w:val="22"/>
          <w:szCs w:val="22"/>
          <w:lang w:val="en-US" w:eastAsia="en-US"/>
        </w:rPr>
        <w:t xml:space="preserve"> de </w:t>
      </w:r>
      <w:proofErr w:type="spellStart"/>
      <w:r w:rsidRPr="001F224B">
        <w:rPr>
          <w:rFonts w:eastAsia="Arial Unicode MS"/>
          <w:b/>
          <w:bCs/>
          <w:sz w:val="22"/>
          <w:szCs w:val="22"/>
          <w:lang w:val="en-US" w:eastAsia="en-US"/>
        </w:rPr>
        <w:t>dikkate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alarak</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bankanın</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kendisi</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yabancı</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ülkedeki</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şubesi</w:t>
      </w:r>
      <w:proofErr w:type="spellEnd"/>
      <w:r w:rsidRPr="001F224B">
        <w:rPr>
          <w:rFonts w:eastAsia="Arial Unicode MS"/>
          <w:b/>
          <w:bCs/>
          <w:sz w:val="22"/>
          <w:szCs w:val="22"/>
          <w:lang w:val="en-US" w:eastAsia="en-US"/>
        </w:rPr>
        <w:t xml:space="preserve"> ve </w:t>
      </w:r>
      <w:proofErr w:type="spellStart"/>
      <w:r w:rsidRPr="001F224B">
        <w:rPr>
          <w:rFonts w:eastAsia="Arial Unicode MS"/>
          <w:b/>
          <w:bCs/>
          <w:sz w:val="22"/>
          <w:szCs w:val="22"/>
          <w:lang w:val="en-US" w:eastAsia="en-US"/>
        </w:rPr>
        <w:t>konsolide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ettiği</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ortaklıkları</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bazında</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ihtiyaç</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duyulan</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fonlama</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ihtiyacı</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ile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maruz</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kalınan</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likidite</w:t>
      </w:r>
      <w:proofErr w:type="spellEnd"/>
      <w:r w:rsidRPr="001F224B">
        <w:rPr>
          <w:rFonts w:eastAsia="Arial Unicode MS"/>
          <w:b/>
          <w:bCs/>
          <w:sz w:val="22"/>
          <w:szCs w:val="22"/>
          <w:lang w:val="en-US" w:eastAsia="en-US"/>
        </w:rPr>
        <w:t xml:space="preserve"> </w:t>
      </w:r>
      <w:proofErr w:type="spellStart"/>
      <w:r w:rsidRPr="001F224B">
        <w:rPr>
          <w:rFonts w:eastAsia="Arial Unicode MS"/>
          <w:b/>
          <w:bCs/>
          <w:sz w:val="22"/>
          <w:szCs w:val="22"/>
          <w:lang w:val="en-US" w:eastAsia="en-US"/>
        </w:rPr>
        <w:t>riski</w:t>
      </w:r>
      <w:proofErr w:type="spellEnd"/>
      <w:r w:rsidR="001E3833" w:rsidRPr="001F224B">
        <w:rPr>
          <w:rFonts w:eastAsia="Arial Unicode MS"/>
          <w:b/>
          <w:bCs/>
          <w:sz w:val="22"/>
          <w:szCs w:val="22"/>
          <w:lang w:val="en-US" w:eastAsia="en-US"/>
        </w:rPr>
        <w:t>:</w:t>
      </w:r>
      <w:r w:rsidRPr="001F224B">
        <w:rPr>
          <w:rFonts w:eastAsia="Arial Unicode MS"/>
          <w:b/>
          <w:bCs/>
          <w:sz w:val="22"/>
          <w:szCs w:val="22"/>
          <w:lang w:val="en-US" w:eastAsia="en-US"/>
        </w:rPr>
        <w:t xml:space="preserve"> </w:t>
      </w:r>
    </w:p>
    <w:p w14:paraId="5045C70B" w14:textId="77777777" w:rsidR="005347CD" w:rsidRPr="001F224B" w:rsidRDefault="005347CD" w:rsidP="005347CD">
      <w:pPr>
        <w:spacing w:before="120" w:after="120"/>
        <w:ind w:left="567"/>
        <w:jc w:val="both"/>
        <w:rPr>
          <w:rFonts w:eastAsia="Arial Unicode MS"/>
          <w:bCs/>
          <w:sz w:val="22"/>
          <w:szCs w:val="22"/>
          <w:lang w:val="en-US" w:eastAsia="en-US"/>
        </w:rPr>
      </w:pPr>
      <w:r w:rsidRPr="001F224B">
        <w:rPr>
          <w:rFonts w:eastAsia="Arial Unicode MS"/>
          <w:bCs/>
          <w:sz w:val="22"/>
          <w:szCs w:val="22"/>
          <w:lang w:val="en-US" w:eastAsia="en-US"/>
        </w:rPr>
        <w:t xml:space="preserve">Bu </w:t>
      </w:r>
      <w:proofErr w:type="spellStart"/>
      <w:r w:rsidRPr="001F224B">
        <w:rPr>
          <w:rFonts w:eastAsia="Arial Unicode MS"/>
          <w:bCs/>
          <w:sz w:val="22"/>
          <w:szCs w:val="22"/>
          <w:lang w:val="en-US" w:eastAsia="en-US"/>
        </w:rPr>
        <w:t>kapsamda</w:t>
      </w:r>
      <w:proofErr w:type="spellEnd"/>
      <w:r w:rsidRPr="001F224B">
        <w:rPr>
          <w:rFonts w:eastAsia="Arial Unicode MS"/>
          <w:bCs/>
          <w:sz w:val="22"/>
          <w:szCs w:val="22"/>
          <w:lang w:val="en-US" w:eastAsia="en-US"/>
        </w:rPr>
        <w:t xml:space="preserve"> </w:t>
      </w:r>
      <w:proofErr w:type="spellStart"/>
      <w:r w:rsidRPr="001F224B">
        <w:rPr>
          <w:rFonts w:eastAsia="Arial Unicode MS"/>
          <w:bCs/>
          <w:sz w:val="22"/>
          <w:szCs w:val="22"/>
          <w:lang w:val="en-US" w:eastAsia="en-US"/>
        </w:rPr>
        <w:t>bir</w:t>
      </w:r>
      <w:proofErr w:type="spellEnd"/>
      <w:r w:rsidRPr="001F224B">
        <w:rPr>
          <w:rFonts w:eastAsia="Arial Unicode MS"/>
          <w:bCs/>
          <w:sz w:val="22"/>
          <w:szCs w:val="22"/>
          <w:lang w:val="en-US" w:eastAsia="en-US"/>
        </w:rPr>
        <w:t xml:space="preserve"> risk bulunmamaktadır. </w:t>
      </w:r>
    </w:p>
    <w:p w14:paraId="1FF1C811" w14:textId="7E3D0A67" w:rsidR="005347CD" w:rsidRPr="001F224B" w:rsidRDefault="005347CD" w:rsidP="005347CD">
      <w:pPr>
        <w:tabs>
          <w:tab w:val="left" w:pos="567"/>
        </w:tabs>
        <w:spacing w:after="120"/>
        <w:ind w:left="567" w:right="-539"/>
        <w:rPr>
          <w:b/>
          <w:bCs/>
          <w:iCs/>
          <w:sz w:val="22"/>
          <w:szCs w:val="22"/>
        </w:rPr>
      </w:pPr>
      <w:r w:rsidRPr="001F224B">
        <w:rPr>
          <w:b/>
          <w:bCs/>
          <w:iCs/>
          <w:sz w:val="22"/>
          <w:szCs w:val="22"/>
        </w:rPr>
        <w:t>4. Net istikrarlı fonlama oranı</w:t>
      </w:r>
      <w:r w:rsidR="001E3833" w:rsidRPr="001F224B">
        <w:rPr>
          <w:b/>
          <w:bCs/>
          <w:iCs/>
          <w:sz w:val="22"/>
          <w:szCs w:val="22"/>
        </w:rPr>
        <w:t>:</w:t>
      </w:r>
    </w:p>
    <w:p w14:paraId="1994EA34" w14:textId="77777777" w:rsidR="005347CD" w:rsidRPr="001F224B" w:rsidRDefault="005347CD" w:rsidP="005347CD">
      <w:pPr>
        <w:spacing w:before="120" w:after="120"/>
        <w:ind w:left="567"/>
        <w:jc w:val="both"/>
        <w:rPr>
          <w:rFonts w:eastAsia="Arial Unicode MS"/>
          <w:bCs/>
          <w:sz w:val="22"/>
          <w:szCs w:val="22"/>
          <w:lang w:val="en-US" w:eastAsia="en-US"/>
        </w:rPr>
      </w:pPr>
      <w:r w:rsidRPr="001F224B">
        <w:rPr>
          <w:rFonts w:eastAsia="Arial Unicode MS"/>
          <w:bCs/>
          <w:sz w:val="22"/>
          <w:szCs w:val="22"/>
          <w:lang w:eastAsia="en-US"/>
        </w:rPr>
        <w:t>BDDK tarafından, 26 Mayıs 2023 tarih ve 32202 sayılı Resmî Gazete'de yayımlanan “Bankaların Net İstikrarlı Fonlama Oranı Hesaplamasına İlişkin Yönetmelik” ile bankaların uzun vadede maruz kalabilecekleri fonlama riskinin likidite düzeylerinin bozulmasına yol açmasını önleyebilmek için istikrarlı fonlama yapmalarına yönelik usul ve esaslar belirlenmiştir. İlgili yönetmelik uyarınca,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yeniden fonlanması beklenen kısmını ifade etmektedir. Söz konusu tutarlar, yönetmelikte belirlenmiş olan dikkate alma oranları uygulandıktan sonra oran hesaplamasına dahil edilmektedir.</w:t>
      </w:r>
    </w:p>
    <w:p w14:paraId="00E97EF2" w14:textId="77777777" w:rsidR="005347CD" w:rsidRPr="001F224B" w:rsidRDefault="005347CD" w:rsidP="005347CD">
      <w:pPr>
        <w:pStyle w:val="ListParagraph"/>
        <w:tabs>
          <w:tab w:val="left" w:pos="0"/>
        </w:tabs>
        <w:spacing w:before="120"/>
        <w:ind w:left="0"/>
        <w:rPr>
          <w:iCs/>
          <w:sz w:val="22"/>
          <w:szCs w:val="22"/>
        </w:rPr>
      </w:pPr>
    </w:p>
    <w:p w14:paraId="6CFE6074" w14:textId="75C732C1" w:rsidR="005347CD" w:rsidRPr="001F224B" w:rsidRDefault="005347CD">
      <w:pPr>
        <w:rPr>
          <w:iCs/>
          <w:sz w:val="22"/>
          <w:szCs w:val="22"/>
        </w:rPr>
      </w:pPr>
      <w:r w:rsidRPr="001F224B">
        <w:rPr>
          <w:iCs/>
          <w:sz w:val="22"/>
          <w:szCs w:val="22"/>
        </w:rPr>
        <w:br w:type="page"/>
      </w:r>
    </w:p>
    <w:p w14:paraId="689231B2" w14:textId="77777777" w:rsidR="00BB4DF0" w:rsidRPr="001F224B" w:rsidRDefault="00BB4DF0" w:rsidP="00326CAB">
      <w:pPr>
        <w:rPr>
          <w:iCs/>
          <w:sz w:val="22"/>
          <w:szCs w:val="22"/>
        </w:rPr>
        <w:sectPr w:rsidR="00BB4DF0" w:rsidRPr="001F224B" w:rsidSect="00863228">
          <w:footerReference w:type="first" r:id="rId101"/>
          <w:pgSz w:w="11907" w:h="16840" w:code="9"/>
          <w:pgMar w:top="680" w:right="964" w:bottom="567" w:left="1134" w:header="624" w:footer="397" w:gutter="0"/>
          <w:cols w:space="708"/>
          <w:titlePg/>
          <w:docGrid w:linePitch="326"/>
        </w:sectPr>
      </w:pPr>
    </w:p>
    <w:p w14:paraId="1C1A2957" w14:textId="77777777" w:rsidR="006327DF" w:rsidRPr="001F224B" w:rsidRDefault="006327DF" w:rsidP="006327DF">
      <w:pPr>
        <w:pStyle w:val="ListParagraph"/>
        <w:tabs>
          <w:tab w:val="left" w:pos="0"/>
        </w:tabs>
        <w:spacing w:before="120"/>
        <w:ind w:left="0"/>
        <w:rPr>
          <w:b/>
          <w:bCs/>
          <w:sz w:val="22"/>
          <w:szCs w:val="22"/>
        </w:rPr>
      </w:pPr>
      <w:r w:rsidRPr="001F224B">
        <w:rPr>
          <w:b/>
          <w:bCs/>
          <w:sz w:val="22"/>
          <w:szCs w:val="22"/>
        </w:rPr>
        <w:t>DÖRDÜNCÜ BÖLÜM (Devamı)</w:t>
      </w:r>
    </w:p>
    <w:p w14:paraId="289B44FA" w14:textId="77777777" w:rsidR="009F26AF" w:rsidRPr="001F224B" w:rsidRDefault="009F26AF" w:rsidP="009F26AF">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32119D82" w14:textId="18FF2CA8" w:rsidR="00AE60E1" w:rsidRPr="001F224B" w:rsidRDefault="00AE60E1" w:rsidP="004A0427">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666DDF72" w14:textId="0C7B4B0E" w:rsidR="006327DF" w:rsidRPr="001F224B" w:rsidRDefault="006327DF" w:rsidP="00AD102B">
      <w:pPr>
        <w:tabs>
          <w:tab w:val="left" w:pos="567"/>
        </w:tabs>
        <w:spacing w:after="120"/>
        <w:ind w:left="567" w:right="-539"/>
        <w:rPr>
          <w:b/>
          <w:bCs/>
          <w:iCs/>
          <w:sz w:val="22"/>
          <w:szCs w:val="22"/>
        </w:rPr>
      </w:pPr>
      <w:r w:rsidRPr="001F224B">
        <w:rPr>
          <w:b/>
          <w:bCs/>
          <w:iCs/>
          <w:sz w:val="22"/>
          <w:szCs w:val="22"/>
        </w:rPr>
        <w:t>4. Net istikrarlı fonlama oranı</w:t>
      </w:r>
      <w:r w:rsidR="005A7ADB" w:rsidRPr="001F224B">
        <w:rPr>
          <w:b/>
          <w:bCs/>
          <w:iCs/>
          <w:sz w:val="22"/>
          <w:szCs w:val="22"/>
        </w:rPr>
        <w:t xml:space="preserve"> </w:t>
      </w:r>
      <w:r w:rsidR="005A7ADB" w:rsidRPr="001F224B">
        <w:rPr>
          <w:b/>
          <w:bCs/>
          <w:sz w:val="22"/>
          <w:szCs w:val="22"/>
        </w:rPr>
        <w:t>(Devamı):</w:t>
      </w:r>
    </w:p>
    <w:p w14:paraId="02AA8949" w14:textId="27079DEF" w:rsidR="00EB4909" w:rsidRPr="001F224B" w:rsidRDefault="00EB4909" w:rsidP="00EB4909">
      <w:pPr>
        <w:spacing w:before="120" w:after="120"/>
        <w:ind w:left="567"/>
        <w:jc w:val="both"/>
        <w:rPr>
          <w:rFonts w:eastAsia="Arial Unicode MS"/>
          <w:bCs/>
          <w:sz w:val="22"/>
          <w:szCs w:val="22"/>
          <w:lang w:eastAsia="en-US"/>
        </w:rPr>
      </w:pPr>
      <w:r w:rsidRPr="001F224B">
        <w:rPr>
          <w:rFonts w:eastAsia="Arial Unicode MS"/>
          <w:bCs/>
          <w:sz w:val="22"/>
          <w:szCs w:val="22"/>
          <w:lang w:eastAsia="en-US"/>
        </w:rPr>
        <w:t xml:space="preserve">Aylık ve üç aylık bazda hesaplanarak BDDK’ya raporlanan net istikrarlı fonlama oranının çeyrekler itibarıyla üç aylık basit aritmetik ortalaması %100’den az olamaz. Bununla birlikte kalkınma ve yatırım bankaları, BDDK tarafından aksi belirleninceye kadar söz konusu asgari oranları sağlamaktan muaf tutulmuştur. </w:t>
      </w:r>
      <w:r w:rsidR="00C76576" w:rsidRPr="001F224B">
        <w:rPr>
          <w:rFonts w:eastAsia="Arial Unicode MS"/>
          <w:bCs/>
          <w:sz w:val="22"/>
          <w:szCs w:val="22"/>
          <w:lang w:eastAsia="en-US"/>
        </w:rPr>
        <w:t xml:space="preserve">Ana Ortaklık Banka’nın </w:t>
      </w:r>
      <w:r w:rsidR="001E3833" w:rsidRPr="001F224B">
        <w:rPr>
          <w:rFonts w:eastAsia="Arial Unicode MS"/>
          <w:bCs/>
          <w:sz w:val="22"/>
          <w:szCs w:val="22"/>
          <w:lang w:eastAsia="en-US"/>
        </w:rPr>
        <w:t>3</w:t>
      </w:r>
      <w:r w:rsidR="00A13EFD" w:rsidRPr="001F224B">
        <w:rPr>
          <w:rFonts w:eastAsia="Arial Unicode MS"/>
          <w:bCs/>
          <w:sz w:val="22"/>
          <w:szCs w:val="22"/>
          <w:lang w:eastAsia="en-US"/>
        </w:rPr>
        <w:t>0</w:t>
      </w:r>
      <w:r w:rsidR="001E3833" w:rsidRPr="001F224B">
        <w:rPr>
          <w:rFonts w:eastAsia="Arial Unicode MS"/>
          <w:bCs/>
          <w:sz w:val="22"/>
          <w:szCs w:val="22"/>
          <w:lang w:eastAsia="en-US"/>
        </w:rPr>
        <w:t xml:space="preserve"> </w:t>
      </w:r>
      <w:r w:rsidR="00A13EFD" w:rsidRPr="001F224B">
        <w:rPr>
          <w:rFonts w:eastAsia="Arial Unicode MS"/>
          <w:bCs/>
          <w:sz w:val="22"/>
          <w:szCs w:val="22"/>
          <w:lang w:eastAsia="en-US"/>
        </w:rPr>
        <w:t>Haziran</w:t>
      </w:r>
      <w:r w:rsidRPr="001F224B">
        <w:rPr>
          <w:rFonts w:eastAsia="Arial Unicode MS"/>
          <w:bCs/>
          <w:sz w:val="22"/>
          <w:szCs w:val="22"/>
          <w:lang w:eastAsia="en-US"/>
        </w:rPr>
        <w:t xml:space="preserve"> 202</w:t>
      </w:r>
      <w:r w:rsidR="00A220E9" w:rsidRPr="001F224B">
        <w:rPr>
          <w:rFonts w:eastAsia="Arial Unicode MS"/>
          <w:bCs/>
          <w:sz w:val="22"/>
          <w:szCs w:val="22"/>
          <w:lang w:eastAsia="en-US"/>
        </w:rPr>
        <w:t>5</w:t>
      </w:r>
      <w:r w:rsidRPr="001F224B">
        <w:rPr>
          <w:rFonts w:eastAsia="Arial Unicode MS"/>
          <w:bCs/>
          <w:sz w:val="22"/>
          <w:szCs w:val="22"/>
          <w:lang w:eastAsia="en-US"/>
        </w:rPr>
        <w:t xml:space="preserve"> itibarıyla son üç aya ilişkin net istikrarlı fonlama oranlarının ortalaması %</w:t>
      </w:r>
      <w:r w:rsidR="001554E8" w:rsidRPr="001F224B">
        <w:rPr>
          <w:rFonts w:eastAsia="Arial Unicode MS"/>
          <w:bCs/>
          <w:sz w:val="22"/>
          <w:szCs w:val="22"/>
          <w:lang w:eastAsia="en-US"/>
        </w:rPr>
        <w:t>150,94</w:t>
      </w:r>
      <w:r w:rsidRPr="001F224B">
        <w:rPr>
          <w:rFonts w:eastAsia="Arial Unicode MS"/>
          <w:bCs/>
          <w:sz w:val="22"/>
          <w:szCs w:val="22"/>
          <w:lang w:eastAsia="en-US"/>
        </w:rPr>
        <w:t>’</w:t>
      </w:r>
      <w:r w:rsidR="00C5045C" w:rsidRPr="001F224B">
        <w:rPr>
          <w:rFonts w:eastAsia="Arial Unicode MS"/>
          <w:bCs/>
          <w:sz w:val="22"/>
          <w:szCs w:val="22"/>
          <w:lang w:eastAsia="en-US"/>
        </w:rPr>
        <w:t>tü</w:t>
      </w:r>
      <w:r w:rsidRPr="001F224B">
        <w:rPr>
          <w:rFonts w:eastAsia="Arial Unicode MS"/>
          <w:bCs/>
          <w:sz w:val="22"/>
          <w:szCs w:val="22"/>
          <w:lang w:eastAsia="en-US"/>
        </w:rPr>
        <w:t>r (31 Aralık 202</w:t>
      </w:r>
      <w:r w:rsidR="004C43B0" w:rsidRPr="001F224B">
        <w:rPr>
          <w:rFonts w:eastAsia="Arial Unicode MS"/>
          <w:bCs/>
          <w:sz w:val="22"/>
          <w:szCs w:val="22"/>
          <w:lang w:eastAsia="en-US"/>
        </w:rPr>
        <w:t>4</w:t>
      </w:r>
      <w:r w:rsidRPr="001F224B">
        <w:rPr>
          <w:rFonts w:eastAsia="Arial Unicode MS"/>
          <w:bCs/>
          <w:sz w:val="22"/>
          <w:szCs w:val="22"/>
          <w:lang w:eastAsia="en-US"/>
        </w:rPr>
        <w:t>: %</w:t>
      </w:r>
      <w:r w:rsidR="004C43B0" w:rsidRPr="001F224B">
        <w:rPr>
          <w:rFonts w:eastAsia="Arial Unicode MS"/>
          <w:bCs/>
          <w:sz w:val="22"/>
          <w:szCs w:val="22"/>
          <w:lang w:eastAsia="en-US"/>
        </w:rPr>
        <w:t>141,93</w:t>
      </w:r>
      <w:r w:rsidRPr="001F224B">
        <w:rPr>
          <w:rFonts w:eastAsia="Arial Unicode MS"/>
          <w:bCs/>
          <w:sz w:val="22"/>
          <w:szCs w:val="22"/>
          <w:lang w:eastAsia="en-US"/>
        </w:rPr>
        <w:t>).</w:t>
      </w:r>
    </w:p>
    <w:tbl>
      <w:tblPr>
        <w:tblW w:w="10485"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276"/>
      </w:tblGrid>
      <w:tr w:rsidR="006327DF" w:rsidRPr="001F224B" w14:paraId="2589CFFA" w14:textId="77777777" w:rsidTr="00A909C8">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20220117" w14:textId="77777777" w:rsidR="006327DF" w:rsidRPr="001F224B" w:rsidRDefault="006327DF" w:rsidP="00B14E44">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53909FAD" w14:textId="77777777" w:rsidR="006327DF" w:rsidRPr="001F224B" w:rsidRDefault="006327DF" w:rsidP="00B14E44">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AA542" w14:textId="77777777" w:rsidR="006327DF" w:rsidRPr="001F224B" w:rsidRDefault="006327DF" w:rsidP="00B14E44">
            <w:pPr>
              <w:jc w:val="center"/>
              <w:rPr>
                <w:b/>
                <w:bCs/>
                <w:sz w:val="15"/>
                <w:szCs w:val="15"/>
              </w:rPr>
            </w:pPr>
            <w:r w:rsidRPr="001F224B">
              <w:rPr>
                <w:b/>
                <w:bCs/>
                <w:sz w:val="15"/>
                <w:szCs w:val="15"/>
              </w:rPr>
              <w:t>Kalan Vadesine Göre Dikkate Alma Oranı Uygulanmamış Tutar</w:t>
            </w:r>
          </w:p>
        </w:tc>
        <w:tc>
          <w:tcPr>
            <w:tcW w:w="1276" w:type="dxa"/>
            <w:tcBorders>
              <w:top w:val="single" w:sz="4" w:space="0" w:color="auto"/>
              <w:left w:val="single" w:sz="4" w:space="0" w:color="auto"/>
              <w:right w:val="single" w:sz="4" w:space="0" w:color="auto"/>
            </w:tcBorders>
            <w:shd w:val="clear" w:color="auto" w:fill="auto"/>
            <w:vAlign w:val="bottom"/>
            <w:hideMark/>
          </w:tcPr>
          <w:p w14:paraId="40B2C705" w14:textId="77777777" w:rsidR="006327DF" w:rsidRPr="001F224B" w:rsidRDefault="006327DF" w:rsidP="00B14E44">
            <w:pPr>
              <w:jc w:val="center"/>
              <w:rPr>
                <w:b/>
                <w:bCs/>
                <w:sz w:val="15"/>
                <w:szCs w:val="15"/>
              </w:rPr>
            </w:pPr>
          </w:p>
        </w:tc>
      </w:tr>
      <w:tr w:rsidR="006327DF" w:rsidRPr="001F224B" w14:paraId="74F191E0" w14:textId="77777777" w:rsidTr="00A909C8">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32FC7666" w14:textId="77777777" w:rsidR="006327DF" w:rsidRPr="001F224B" w:rsidRDefault="006327DF" w:rsidP="00B14E44">
            <w:pPr>
              <w:rPr>
                <w:b/>
                <w:bCs/>
                <w:sz w:val="16"/>
                <w:szCs w:val="16"/>
              </w:rPr>
            </w:pPr>
            <w:r w:rsidRPr="001F224B">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1A56F2F6" w14:textId="1499C4E2" w:rsidR="006327DF" w:rsidRPr="001F224B" w:rsidRDefault="006327DF" w:rsidP="00B14E44">
            <w:pPr>
              <w:rPr>
                <w:b/>
                <w:bCs/>
                <w:sz w:val="16"/>
                <w:szCs w:val="16"/>
              </w:rPr>
            </w:pPr>
            <w:r w:rsidRPr="001F224B">
              <w:rPr>
                <w:b/>
                <w:bCs/>
                <w:sz w:val="16"/>
                <w:szCs w:val="16"/>
              </w:rPr>
              <w:t> Cari Dönem (3</w:t>
            </w:r>
            <w:r w:rsidR="00A13EFD" w:rsidRPr="001F224B">
              <w:rPr>
                <w:b/>
                <w:bCs/>
                <w:sz w:val="16"/>
                <w:szCs w:val="16"/>
              </w:rPr>
              <w:t>0</w:t>
            </w:r>
            <w:r w:rsidRPr="001F224B">
              <w:rPr>
                <w:b/>
                <w:bCs/>
                <w:sz w:val="16"/>
                <w:szCs w:val="16"/>
              </w:rPr>
              <w:t>.</w:t>
            </w:r>
            <w:r w:rsidR="004C43B0" w:rsidRPr="001F224B">
              <w:rPr>
                <w:b/>
                <w:bCs/>
                <w:sz w:val="16"/>
                <w:szCs w:val="16"/>
              </w:rPr>
              <w:t>0</w:t>
            </w:r>
            <w:r w:rsidR="00A13EFD" w:rsidRPr="001F224B">
              <w:rPr>
                <w:b/>
                <w:bCs/>
                <w:sz w:val="16"/>
                <w:szCs w:val="16"/>
              </w:rPr>
              <w:t>6</w:t>
            </w:r>
            <w:r w:rsidRPr="001F224B">
              <w:rPr>
                <w:b/>
                <w:bCs/>
                <w:sz w:val="16"/>
                <w:szCs w:val="16"/>
              </w:rPr>
              <w:t>.202</w:t>
            </w:r>
            <w:r w:rsidR="004C43B0" w:rsidRPr="001F224B">
              <w:rPr>
                <w:b/>
                <w:bCs/>
                <w:sz w:val="16"/>
                <w:szCs w:val="16"/>
              </w:rPr>
              <w:t>5</w:t>
            </w:r>
            <w:r w:rsidRPr="001F224B">
              <w:rPr>
                <w:b/>
                <w:bCs/>
                <w:sz w:val="16"/>
                <w:szCs w:val="16"/>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4B37AEC" w14:textId="7B2610EB" w:rsidR="006327DF" w:rsidRPr="001F224B" w:rsidRDefault="006327DF" w:rsidP="00B14E44">
            <w:pPr>
              <w:jc w:val="center"/>
              <w:rPr>
                <w:b/>
                <w:bCs/>
                <w:sz w:val="15"/>
                <w:szCs w:val="15"/>
              </w:rPr>
            </w:pPr>
            <w:r w:rsidRPr="001F224B">
              <w:rPr>
                <w:b/>
                <w:bCs/>
                <w:sz w:val="15"/>
                <w:szCs w:val="15"/>
              </w:rPr>
              <w:t>Vadesiz</w:t>
            </w:r>
            <w:r w:rsidR="002F19A4" w:rsidRPr="001F224B">
              <w:rPr>
                <w:b/>
                <w:bCs/>
                <w:sz w:val="15"/>
                <w:szCs w:val="15"/>
                <w:vertAlign w:val="superscript"/>
              </w:rPr>
              <w:t>(</w:t>
            </w:r>
            <w:r w:rsidRPr="001F224B">
              <w:rPr>
                <w:b/>
                <w:bCs/>
                <w:sz w:val="15"/>
                <w:szCs w:val="15"/>
                <w:vertAlign w:val="superscript"/>
              </w:rPr>
              <w:t>*</w:t>
            </w:r>
            <w:r w:rsidR="002F19A4" w:rsidRPr="001F224B">
              <w:rPr>
                <w:b/>
                <w:bCs/>
                <w:sz w:val="15"/>
                <w:szCs w:val="15"/>
                <w:vertAlign w:val="superscript"/>
              </w:rPr>
              <w:t>)</w:t>
            </w:r>
          </w:p>
        </w:tc>
        <w:tc>
          <w:tcPr>
            <w:tcW w:w="1134" w:type="dxa"/>
            <w:tcBorders>
              <w:top w:val="nil"/>
              <w:left w:val="nil"/>
              <w:bottom w:val="single" w:sz="4" w:space="0" w:color="auto"/>
              <w:right w:val="single" w:sz="4" w:space="0" w:color="auto"/>
            </w:tcBorders>
            <w:shd w:val="clear" w:color="auto" w:fill="auto"/>
            <w:noWrap/>
            <w:vAlign w:val="bottom"/>
            <w:hideMark/>
          </w:tcPr>
          <w:p w14:paraId="447F6203" w14:textId="77777777" w:rsidR="006327DF" w:rsidRPr="001F224B" w:rsidRDefault="006327DF" w:rsidP="00B14E44">
            <w:pPr>
              <w:jc w:val="center"/>
              <w:rPr>
                <w:b/>
                <w:bCs/>
                <w:sz w:val="15"/>
                <w:szCs w:val="15"/>
              </w:rPr>
            </w:pPr>
            <w:r w:rsidRPr="001F224B">
              <w:rPr>
                <w:b/>
                <w:bCs/>
                <w:sz w:val="15"/>
                <w:szCs w:val="15"/>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65DFE25B" w14:textId="77777777" w:rsidR="006327DF" w:rsidRPr="001F224B" w:rsidRDefault="006327DF" w:rsidP="00B14E44">
            <w:pPr>
              <w:jc w:val="center"/>
              <w:rPr>
                <w:b/>
                <w:bCs/>
                <w:sz w:val="15"/>
                <w:szCs w:val="15"/>
              </w:rPr>
            </w:pPr>
            <w:r w:rsidRPr="001F224B">
              <w:rPr>
                <w:b/>
                <w:bCs/>
                <w:sz w:val="15"/>
                <w:szCs w:val="15"/>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8FBB205" w14:textId="77777777" w:rsidR="006327DF" w:rsidRPr="001F224B" w:rsidRDefault="006327DF" w:rsidP="00B14E44">
            <w:pPr>
              <w:jc w:val="center"/>
              <w:rPr>
                <w:b/>
                <w:bCs/>
                <w:sz w:val="15"/>
                <w:szCs w:val="15"/>
              </w:rPr>
            </w:pPr>
            <w:r w:rsidRPr="001F224B">
              <w:rPr>
                <w:b/>
                <w:bCs/>
                <w:sz w:val="15"/>
                <w:szCs w:val="15"/>
              </w:rPr>
              <w:t>1 Yıl ve 1 Yıldan Uzun Vadeli</w:t>
            </w:r>
          </w:p>
        </w:tc>
        <w:tc>
          <w:tcPr>
            <w:tcW w:w="1276" w:type="dxa"/>
            <w:tcBorders>
              <w:left w:val="single" w:sz="4" w:space="0" w:color="auto"/>
              <w:bottom w:val="single" w:sz="4" w:space="0" w:color="auto"/>
              <w:right w:val="single" w:sz="4" w:space="0" w:color="auto"/>
            </w:tcBorders>
            <w:vAlign w:val="bottom"/>
            <w:hideMark/>
          </w:tcPr>
          <w:p w14:paraId="4AE95869" w14:textId="77777777" w:rsidR="006327DF" w:rsidRPr="001F224B" w:rsidRDefault="006327DF" w:rsidP="00B14E44">
            <w:pPr>
              <w:jc w:val="center"/>
              <w:rPr>
                <w:b/>
                <w:bCs/>
                <w:sz w:val="15"/>
                <w:szCs w:val="15"/>
              </w:rPr>
            </w:pPr>
            <w:r w:rsidRPr="001F224B">
              <w:rPr>
                <w:b/>
                <w:bCs/>
                <w:sz w:val="15"/>
                <w:szCs w:val="15"/>
              </w:rPr>
              <w:t>Dikkate Alma Oranı Uygulanmış Toplam Tutar</w:t>
            </w:r>
          </w:p>
        </w:tc>
      </w:tr>
      <w:tr w:rsidR="006327DF" w:rsidRPr="001F224B" w14:paraId="5BCC20AF" w14:textId="77777777" w:rsidTr="00A909C8">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76477E" w14:textId="77777777" w:rsidR="006327DF" w:rsidRPr="001F224B" w:rsidRDefault="006327DF" w:rsidP="00B14E44">
            <w:pPr>
              <w:jc w:val="center"/>
              <w:rPr>
                <w:sz w:val="16"/>
                <w:szCs w:val="16"/>
              </w:rPr>
            </w:pPr>
            <w:r w:rsidRPr="001F224B">
              <w:rPr>
                <w:sz w:val="16"/>
                <w:szCs w:val="16"/>
              </w:rPr>
              <w:t> </w:t>
            </w:r>
          </w:p>
        </w:tc>
        <w:tc>
          <w:tcPr>
            <w:tcW w:w="4252" w:type="dxa"/>
            <w:tcBorders>
              <w:top w:val="nil"/>
              <w:left w:val="nil"/>
              <w:bottom w:val="single" w:sz="4" w:space="0" w:color="auto"/>
              <w:right w:val="nil"/>
            </w:tcBorders>
            <w:shd w:val="clear" w:color="auto" w:fill="auto"/>
            <w:vAlign w:val="center"/>
            <w:hideMark/>
          </w:tcPr>
          <w:p w14:paraId="3EA19633" w14:textId="77777777" w:rsidR="006327DF" w:rsidRPr="001F224B" w:rsidRDefault="006327DF" w:rsidP="00B14E44">
            <w:pPr>
              <w:rPr>
                <w:b/>
                <w:bCs/>
                <w:sz w:val="16"/>
                <w:szCs w:val="16"/>
              </w:rPr>
            </w:pPr>
            <w:r w:rsidRPr="001F224B">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80BEBE2" w14:textId="77777777" w:rsidR="006327DF" w:rsidRPr="001F224B" w:rsidRDefault="006327DF" w:rsidP="00B14E44">
            <w:pPr>
              <w:rPr>
                <w:sz w:val="16"/>
                <w:szCs w:val="16"/>
              </w:rPr>
            </w:pPr>
            <w:r w:rsidRPr="001F224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C651045" w14:textId="77777777" w:rsidR="006327DF" w:rsidRPr="001F224B" w:rsidRDefault="006327DF" w:rsidP="00B14E44">
            <w:pPr>
              <w:rPr>
                <w:sz w:val="16"/>
                <w:szCs w:val="16"/>
              </w:rPr>
            </w:pPr>
            <w:r w:rsidRPr="001F224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2E18BC" w14:textId="77777777" w:rsidR="006327DF" w:rsidRPr="001F224B" w:rsidRDefault="006327DF" w:rsidP="00B14E44">
            <w:pPr>
              <w:rPr>
                <w:sz w:val="16"/>
                <w:szCs w:val="16"/>
              </w:rPr>
            </w:pPr>
            <w:r w:rsidRPr="001F224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77ACD3" w14:textId="77777777" w:rsidR="006327DF" w:rsidRPr="001F224B" w:rsidRDefault="006327DF" w:rsidP="00B14E44">
            <w:pPr>
              <w:rPr>
                <w:sz w:val="16"/>
                <w:szCs w:val="16"/>
              </w:rPr>
            </w:pPr>
            <w:r w:rsidRPr="001F224B">
              <w:rPr>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2D2E1443" w14:textId="77777777" w:rsidR="006327DF" w:rsidRPr="001F224B" w:rsidRDefault="006327DF" w:rsidP="00B14E44">
            <w:pPr>
              <w:rPr>
                <w:sz w:val="16"/>
                <w:szCs w:val="16"/>
              </w:rPr>
            </w:pPr>
            <w:r w:rsidRPr="001F224B">
              <w:rPr>
                <w:sz w:val="16"/>
                <w:szCs w:val="16"/>
              </w:rPr>
              <w:t> </w:t>
            </w:r>
          </w:p>
        </w:tc>
      </w:tr>
      <w:tr w:rsidR="00BB76CE" w:rsidRPr="001F224B" w14:paraId="710DF584" w14:textId="77777777" w:rsidTr="008D3D42">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10ECB51" w14:textId="77777777" w:rsidR="00BB76CE" w:rsidRPr="001F224B" w:rsidRDefault="00BB76CE" w:rsidP="00BB76CE">
            <w:pPr>
              <w:jc w:val="center"/>
              <w:rPr>
                <w:sz w:val="16"/>
                <w:szCs w:val="16"/>
              </w:rPr>
            </w:pPr>
            <w:r w:rsidRPr="001F224B">
              <w:rPr>
                <w:sz w:val="16"/>
                <w:szCs w:val="16"/>
              </w:rPr>
              <w:t>1</w:t>
            </w:r>
          </w:p>
        </w:tc>
        <w:tc>
          <w:tcPr>
            <w:tcW w:w="4252" w:type="dxa"/>
            <w:tcBorders>
              <w:top w:val="nil"/>
              <w:left w:val="nil"/>
              <w:bottom w:val="single" w:sz="4" w:space="0" w:color="auto"/>
              <w:right w:val="nil"/>
            </w:tcBorders>
            <w:shd w:val="clear" w:color="auto" w:fill="auto"/>
            <w:vAlign w:val="center"/>
            <w:hideMark/>
          </w:tcPr>
          <w:p w14:paraId="6F9AB1EC" w14:textId="77777777" w:rsidR="00BB76CE" w:rsidRPr="001F224B" w:rsidRDefault="00BB76CE" w:rsidP="00BB76CE">
            <w:pPr>
              <w:rPr>
                <w:b/>
                <w:bCs/>
                <w:sz w:val="16"/>
                <w:szCs w:val="16"/>
              </w:rPr>
            </w:pPr>
            <w:r w:rsidRPr="001F224B">
              <w:rPr>
                <w:b/>
                <w:bCs/>
                <w:sz w:val="16"/>
                <w:szCs w:val="16"/>
              </w:rPr>
              <w:t>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CA8A039" w14:textId="09A2C295" w:rsidR="00BB76CE" w:rsidRPr="001F224B" w:rsidRDefault="008D3D42" w:rsidP="00BB76CE">
            <w:pPr>
              <w:jc w:val="right"/>
              <w:rPr>
                <w:b/>
                <w:bCs/>
                <w:sz w:val="16"/>
                <w:szCs w:val="16"/>
              </w:rPr>
            </w:pPr>
            <w:r w:rsidRPr="001F224B">
              <w:rPr>
                <w:b/>
                <w:bCs/>
                <w:sz w:val="16"/>
                <w:szCs w:val="16"/>
              </w:rPr>
              <w:t>29.729.135</w:t>
            </w:r>
          </w:p>
        </w:tc>
        <w:tc>
          <w:tcPr>
            <w:tcW w:w="1134" w:type="dxa"/>
            <w:tcBorders>
              <w:top w:val="nil"/>
              <w:left w:val="nil"/>
              <w:bottom w:val="single" w:sz="4" w:space="0" w:color="auto"/>
              <w:right w:val="single" w:sz="4" w:space="0" w:color="auto"/>
            </w:tcBorders>
            <w:shd w:val="clear" w:color="auto" w:fill="auto"/>
            <w:noWrap/>
            <w:vAlign w:val="bottom"/>
          </w:tcPr>
          <w:p w14:paraId="0C177D5B" w14:textId="49D87C0E" w:rsidR="00BB76CE" w:rsidRPr="001F224B" w:rsidRDefault="00BB76CE" w:rsidP="00BB76CE">
            <w:pPr>
              <w:jc w:val="right"/>
              <w:rPr>
                <w:b/>
                <w:bCs/>
                <w:sz w:val="16"/>
                <w:szCs w:val="16"/>
              </w:rPr>
            </w:pPr>
            <w:r w:rsidRPr="001F224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C30CCF1" w14:textId="0FCE1DFA" w:rsidR="00BB76CE" w:rsidRPr="001F224B" w:rsidRDefault="00BB76CE" w:rsidP="00BB76CE">
            <w:pPr>
              <w:jc w:val="right"/>
              <w:rPr>
                <w:b/>
                <w:bCs/>
                <w:sz w:val="16"/>
                <w:szCs w:val="16"/>
              </w:rPr>
            </w:pPr>
            <w:r w:rsidRPr="001F224B">
              <w:rPr>
                <w:b/>
                <w:bCs/>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7733454A" w14:textId="315E16AA" w:rsidR="00BB76CE" w:rsidRPr="001F224B" w:rsidRDefault="008D3D42" w:rsidP="00BB76CE">
            <w:pPr>
              <w:jc w:val="right"/>
              <w:rPr>
                <w:b/>
                <w:bCs/>
                <w:sz w:val="16"/>
                <w:szCs w:val="16"/>
              </w:rPr>
            </w:pPr>
            <w:r w:rsidRPr="001F224B">
              <w:rPr>
                <w:b/>
                <w:bCs/>
                <w:sz w:val="16"/>
                <w:szCs w:val="16"/>
              </w:rPr>
              <w:t>3.560.311</w:t>
            </w:r>
          </w:p>
        </w:tc>
        <w:tc>
          <w:tcPr>
            <w:tcW w:w="1276" w:type="dxa"/>
            <w:tcBorders>
              <w:top w:val="nil"/>
              <w:left w:val="nil"/>
              <w:bottom w:val="single" w:sz="4" w:space="0" w:color="auto"/>
              <w:right w:val="single" w:sz="4" w:space="0" w:color="auto"/>
            </w:tcBorders>
            <w:shd w:val="clear" w:color="auto" w:fill="auto"/>
            <w:noWrap/>
            <w:vAlign w:val="bottom"/>
          </w:tcPr>
          <w:p w14:paraId="04F61EF3" w14:textId="534BB63A" w:rsidR="00BB76CE" w:rsidRPr="001F224B" w:rsidRDefault="008D3D42" w:rsidP="00BB76CE">
            <w:pPr>
              <w:jc w:val="right"/>
              <w:rPr>
                <w:b/>
                <w:bCs/>
                <w:sz w:val="16"/>
                <w:szCs w:val="16"/>
              </w:rPr>
            </w:pPr>
            <w:r w:rsidRPr="001F224B">
              <w:rPr>
                <w:b/>
                <w:bCs/>
                <w:sz w:val="16"/>
                <w:szCs w:val="16"/>
              </w:rPr>
              <w:t>33.289.446</w:t>
            </w:r>
          </w:p>
        </w:tc>
      </w:tr>
      <w:tr w:rsidR="00BB76CE" w:rsidRPr="001F224B" w14:paraId="732C6B5D" w14:textId="77777777" w:rsidTr="008D3D42">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90AD5B" w14:textId="77777777" w:rsidR="00BB76CE" w:rsidRPr="001F224B" w:rsidRDefault="00BB76CE" w:rsidP="00BB76CE">
            <w:pPr>
              <w:jc w:val="center"/>
              <w:rPr>
                <w:sz w:val="16"/>
                <w:szCs w:val="16"/>
              </w:rPr>
            </w:pPr>
            <w:r w:rsidRPr="001F224B">
              <w:rPr>
                <w:sz w:val="16"/>
                <w:szCs w:val="16"/>
              </w:rPr>
              <w:t>2</w:t>
            </w:r>
          </w:p>
        </w:tc>
        <w:tc>
          <w:tcPr>
            <w:tcW w:w="4252" w:type="dxa"/>
            <w:tcBorders>
              <w:top w:val="nil"/>
              <w:left w:val="nil"/>
              <w:bottom w:val="single" w:sz="4" w:space="0" w:color="auto"/>
              <w:right w:val="nil"/>
            </w:tcBorders>
            <w:shd w:val="clear" w:color="auto" w:fill="auto"/>
            <w:vAlign w:val="center"/>
            <w:hideMark/>
          </w:tcPr>
          <w:p w14:paraId="2C57652F" w14:textId="77777777" w:rsidR="00BB76CE" w:rsidRPr="001F224B" w:rsidRDefault="00BB76CE" w:rsidP="00BB76CE">
            <w:pPr>
              <w:rPr>
                <w:sz w:val="16"/>
                <w:szCs w:val="16"/>
              </w:rPr>
            </w:pPr>
            <w:r w:rsidRPr="001F224B">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FD18FD8" w14:textId="308AE7E7" w:rsidR="00BB76CE" w:rsidRPr="001F224B" w:rsidRDefault="008D3D42" w:rsidP="00BB76CE">
            <w:pPr>
              <w:jc w:val="right"/>
              <w:rPr>
                <w:sz w:val="16"/>
                <w:szCs w:val="16"/>
              </w:rPr>
            </w:pPr>
            <w:r w:rsidRPr="001F224B">
              <w:rPr>
                <w:sz w:val="16"/>
                <w:szCs w:val="16"/>
              </w:rPr>
              <w:t>29.729.135</w:t>
            </w:r>
          </w:p>
        </w:tc>
        <w:tc>
          <w:tcPr>
            <w:tcW w:w="1134" w:type="dxa"/>
            <w:tcBorders>
              <w:top w:val="nil"/>
              <w:left w:val="nil"/>
              <w:bottom w:val="single" w:sz="4" w:space="0" w:color="auto"/>
              <w:right w:val="single" w:sz="4" w:space="0" w:color="auto"/>
            </w:tcBorders>
            <w:shd w:val="clear" w:color="auto" w:fill="auto"/>
            <w:noWrap/>
            <w:vAlign w:val="bottom"/>
          </w:tcPr>
          <w:p w14:paraId="15882E28" w14:textId="0D3C56C9" w:rsidR="00BB76CE" w:rsidRPr="001F224B" w:rsidRDefault="00BB76CE" w:rsidP="00BB76CE">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45F8275" w14:textId="4A73859D" w:rsidR="00BB76CE" w:rsidRPr="001F224B" w:rsidRDefault="00BB76CE" w:rsidP="00BB76CE">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1C98BE" w14:textId="56665AFC" w:rsidR="00BB76CE" w:rsidRPr="001F224B" w:rsidRDefault="008D3D42" w:rsidP="00BB76CE">
            <w:pPr>
              <w:jc w:val="right"/>
              <w:rPr>
                <w:sz w:val="16"/>
                <w:szCs w:val="16"/>
              </w:rPr>
            </w:pPr>
            <w:r w:rsidRPr="001F224B">
              <w:rPr>
                <w:sz w:val="16"/>
                <w:szCs w:val="16"/>
              </w:rPr>
              <w:t>3.560.311</w:t>
            </w:r>
          </w:p>
        </w:tc>
        <w:tc>
          <w:tcPr>
            <w:tcW w:w="1276" w:type="dxa"/>
            <w:tcBorders>
              <w:top w:val="nil"/>
              <w:left w:val="nil"/>
              <w:bottom w:val="single" w:sz="4" w:space="0" w:color="auto"/>
              <w:right w:val="single" w:sz="4" w:space="0" w:color="auto"/>
            </w:tcBorders>
            <w:shd w:val="clear" w:color="auto" w:fill="auto"/>
            <w:noWrap/>
            <w:vAlign w:val="bottom"/>
          </w:tcPr>
          <w:p w14:paraId="071CB3DA" w14:textId="74CA5DDE" w:rsidR="00BB76CE" w:rsidRPr="001F224B" w:rsidRDefault="008D3D42" w:rsidP="00BB76CE">
            <w:pPr>
              <w:jc w:val="right"/>
              <w:rPr>
                <w:sz w:val="16"/>
                <w:szCs w:val="16"/>
              </w:rPr>
            </w:pPr>
            <w:r w:rsidRPr="001F224B">
              <w:rPr>
                <w:sz w:val="16"/>
                <w:szCs w:val="16"/>
              </w:rPr>
              <w:t>33.289.446</w:t>
            </w:r>
          </w:p>
        </w:tc>
      </w:tr>
      <w:tr w:rsidR="00C62C88" w:rsidRPr="001F224B" w14:paraId="3E8B3D47" w14:textId="77777777" w:rsidTr="008D3D42">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1FBF55" w14:textId="77777777" w:rsidR="00C62C88" w:rsidRPr="001F224B" w:rsidRDefault="00C62C88" w:rsidP="00C62C88">
            <w:pPr>
              <w:jc w:val="center"/>
              <w:rPr>
                <w:sz w:val="16"/>
                <w:szCs w:val="16"/>
              </w:rPr>
            </w:pPr>
            <w:r w:rsidRPr="001F224B">
              <w:rPr>
                <w:sz w:val="16"/>
                <w:szCs w:val="16"/>
              </w:rPr>
              <w:t>3</w:t>
            </w:r>
          </w:p>
        </w:tc>
        <w:tc>
          <w:tcPr>
            <w:tcW w:w="4252" w:type="dxa"/>
            <w:tcBorders>
              <w:top w:val="nil"/>
              <w:left w:val="nil"/>
              <w:bottom w:val="single" w:sz="4" w:space="0" w:color="auto"/>
              <w:right w:val="nil"/>
            </w:tcBorders>
            <w:shd w:val="clear" w:color="auto" w:fill="auto"/>
            <w:vAlign w:val="center"/>
            <w:hideMark/>
          </w:tcPr>
          <w:p w14:paraId="7EFBCCC2" w14:textId="77777777" w:rsidR="00C62C88" w:rsidRPr="001F224B" w:rsidRDefault="00C62C88" w:rsidP="00C62C88">
            <w:pPr>
              <w:rPr>
                <w:sz w:val="16"/>
                <w:szCs w:val="16"/>
              </w:rPr>
            </w:pPr>
            <w:r w:rsidRPr="001F224B">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CEB271D" w14:textId="27369156"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4484819" w14:textId="035D2758"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402A246" w14:textId="4F7EED91"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418444D" w14:textId="0BD92C2A" w:rsidR="00C62C88" w:rsidRPr="001F224B" w:rsidRDefault="00C62C88" w:rsidP="00C62C88">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420114E4" w14:textId="378F6951" w:rsidR="00C62C88" w:rsidRPr="001F224B" w:rsidRDefault="00C62C88" w:rsidP="00C62C88">
            <w:pPr>
              <w:jc w:val="right"/>
              <w:rPr>
                <w:sz w:val="16"/>
                <w:szCs w:val="16"/>
              </w:rPr>
            </w:pPr>
            <w:r w:rsidRPr="001F224B">
              <w:rPr>
                <w:sz w:val="16"/>
                <w:szCs w:val="16"/>
              </w:rPr>
              <w:t>-</w:t>
            </w:r>
          </w:p>
        </w:tc>
      </w:tr>
      <w:tr w:rsidR="00C62C88" w:rsidRPr="001F224B" w14:paraId="12A4919B" w14:textId="77777777" w:rsidTr="008D3D42">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EBAAD72" w14:textId="77777777" w:rsidR="00C62C88" w:rsidRPr="001F224B" w:rsidRDefault="00C62C88" w:rsidP="00C62C88">
            <w:pPr>
              <w:jc w:val="center"/>
              <w:rPr>
                <w:sz w:val="16"/>
                <w:szCs w:val="16"/>
              </w:rPr>
            </w:pPr>
            <w:r w:rsidRPr="001F224B">
              <w:rPr>
                <w:sz w:val="16"/>
                <w:szCs w:val="16"/>
              </w:rPr>
              <w:t>4</w:t>
            </w:r>
          </w:p>
        </w:tc>
        <w:tc>
          <w:tcPr>
            <w:tcW w:w="4252" w:type="dxa"/>
            <w:tcBorders>
              <w:top w:val="nil"/>
              <w:left w:val="nil"/>
              <w:bottom w:val="single" w:sz="4" w:space="0" w:color="auto"/>
              <w:right w:val="nil"/>
            </w:tcBorders>
            <w:shd w:val="clear" w:color="auto" w:fill="auto"/>
            <w:vAlign w:val="center"/>
            <w:hideMark/>
          </w:tcPr>
          <w:p w14:paraId="5A9CFAC1" w14:textId="77777777" w:rsidR="00C62C88" w:rsidRPr="001F224B" w:rsidRDefault="00C62C88" w:rsidP="00C62C88">
            <w:pPr>
              <w:rPr>
                <w:b/>
                <w:bCs/>
                <w:sz w:val="16"/>
                <w:szCs w:val="16"/>
              </w:rPr>
            </w:pPr>
            <w:r w:rsidRPr="001F224B">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4CA032" w14:textId="00169989" w:rsidR="00C62C88" w:rsidRPr="001F224B" w:rsidRDefault="00C62C88" w:rsidP="00C62C88">
            <w:pPr>
              <w:jc w:val="right"/>
              <w:rPr>
                <w:b/>
                <w:bCs/>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DAA6F16" w14:textId="4A75EB64" w:rsidR="00C62C88" w:rsidRPr="001F224B" w:rsidRDefault="00C62C88" w:rsidP="00C62C88">
            <w:pPr>
              <w:jc w:val="right"/>
              <w:rPr>
                <w:b/>
                <w:bCs/>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747F6D" w14:textId="6FE0461A" w:rsidR="00C62C88" w:rsidRPr="001F224B" w:rsidRDefault="00C62C88" w:rsidP="00C62C88">
            <w:pPr>
              <w:jc w:val="right"/>
              <w:rPr>
                <w:b/>
                <w:bCs/>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4949AB" w14:textId="14207AAE" w:rsidR="00C62C88" w:rsidRPr="001F224B" w:rsidRDefault="00C62C88" w:rsidP="00C62C88">
            <w:pPr>
              <w:jc w:val="right"/>
              <w:rPr>
                <w:b/>
                <w:bCs/>
                <w:sz w:val="16"/>
                <w:szCs w:val="16"/>
              </w:rPr>
            </w:pPr>
            <w:r w:rsidRPr="001F224B">
              <w:rPr>
                <w:b/>
                <w:bCs/>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249C137E" w14:textId="3F3FF77C" w:rsidR="00C62C88" w:rsidRPr="001F224B" w:rsidRDefault="00C62C88" w:rsidP="00C62C88">
            <w:pPr>
              <w:jc w:val="right"/>
              <w:rPr>
                <w:b/>
                <w:bCs/>
                <w:sz w:val="16"/>
                <w:szCs w:val="16"/>
              </w:rPr>
            </w:pPr>
            <w:r w:rsidRPr="001F224B">
              <w:rPr>
                <w:b/>
                <w:bCs/>
                <w:sz w:val="16"/>
                <w:szCs w:val="16"/>
              </w:rPr>
              <w:t>-</w:t>
            </w:r>
          </w:p>
        </w:tc>
      </w:tr>
      <w:tr w:rsidR="00C62C88" w:rsidRPr="001F224B" w14:paraId="01FEBD0F" w14:textId="77777777" w:rsidTr="008D3D42">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72B010" w14:textId="77777777" w:rsidR="00C62C88" w:rsidRPr="001F224B" w:rsidRDefault="00C62C88" w:rsidP="00C62C88">
            <w:pPr>
              <w:jc w:val="center"/>
              <w:rPr>
                <w:sz w:val="16"/>
                <w:szCs w:val="16"/>
              </w:rPr>
            </w:pPr>
            <w:r w:rsidRPr="001F224B">
              <w:rPr>
                <w:sz w:val="16"/>
                <w:szCs w:val="16"/>
              </w:rPr>
              <w:t>5</w:t>
            </w:r>
          </w:p>
        </w:tc>
        <w:tc>
          <w:tcPr>
            <w:tcW w:w="4252" w:type="dxa"/>
            <w:tcBorders>
              <w:top w:val="nil"/>
              <w:left w:val="nil"/>
              <w:bottom w:val="single" w:sz="4" w:space="0" w:color="auto"/>
              <w:right w:val="nil"/>
            </w:tcBorders>
            <w:shd w:val="clear" w:color="auto" w:fill="auto"/>
            <w:vAlign w:val="center"/>
            <w:hideMark/>
          </w:tcPr>
          <w:p w14:paraId="20D93DF7" w14:textId="77777777" w:rsidR="00C62C88" w:rsidRPr="001F224B" w:rsidRDefault="00C62C88" w:rsidP="00C62C88">
            <w:pPr>
              <w:rPr>
                <w:sz w:val="16"/>
                <w:szCs w:val="16"/>
              </w:rPr>
            </w:pPr>
            <w:r w:rsidRPr="001F224B">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92AF2A3" w14:textId="5E76642B"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AB431D" w14:textId="00EAF6ED"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3A7897" w14:textId="5D827EBB"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311684" w14:textId="4F7B8462" w:rsidR="00C62C88" w:rsidRPr="001F224B" w:rsidRDefault="00C62C88" w:rsidP="00C62C88">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1439A1BE" w14:textId="21C8C85C" w:rsidR="00C62C88" w:rsidRPr="001F224B" w:rsidRDefault="00C62C88" w:rsidP="00C62C88">
            <w:pPr>
              <w:jc w:val="right"/>
              <w:rPr>
                <w:sz w:val="16"/>
                <w:szCs w:val="16"/>
              </w:rPr>
            </w:pPr>
            <w:r w:rsidRPr="001F224B">
              <w:rPr>
                <w:sz w:val="16"/>
                <w:szCs w:val="16"/>
              </w:rPr>
              <w:t>-</w:t>
            </w:r>
          </w:p>
        </w:tc>
      </w:tr>
      <w:tr w:rsidR="00C62C88" w:rsidRPr="001F224B" w14:paraId="019F9717" w14:textId="77777777" w:rsidTr="008D3D42">
        <w:trPr>
          <w:trHeight w:val="5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A7A36B" w14:textId="77777777" w:rsidR="00C62C88" w:rsidRPr="001F224B" w:rsidRDefault="00C62C88" w:rsidP="00C62C88">
            <w:pPr>
              <w:jc w:val="center"/>
              <w:rPr>
                <w:sz w:val="16"/>
                <w:szCs w:val="16"/>
              </w:rPr>
            </w:pPr>
            <w:r w:rsidRPr="001F224B">
              <w:rPr>
                <w:sz w:val="16"/>
                <w:szCs w:val="16"/>
              </w:rPr>
              <w:t>6</w:t>
            </w:r>
          </w:p>
        </w:tc>
        <w:tc>
          <w:tcPr>
            <w:tcW w:w="4252" w:type="dxa"/>
            <w:tcBorders>
              <w:top w:val="nil"/>
              <w:left w:val="nil"/>
              <w:bottom w:val="single" w:sz="4" w:space="0" w:color="auto"/>
              <w:right w:val="nil"/>
            </w:tcBorders>
            <w:shd w:val="clear" w:color="auto" w:fill="auto"/>
            <w:vAlign w:val="center"/>
            <w:hideMark/>
          </w:tcPr>
          <w:p w14:paraId="4E3517D7" w14:textId="77777777" w:rsidR="00C62C88" w:rsidRPr="001F224B" w:rsidRDefault="00C62C88" w:rsidP="00C62C88">
            <w:pPr>
              <w:rPr>
                <w:sz w:val="16"/>
                <w:szCs w:val="16"/>
              </w:rPr>
            </w:pPr>
            <w:r w:rsidRPr="001F224B">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5E06706" w14:textId="5E15CB1F"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DD3BCD" w14:textId="73F6807A"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4C1384" w14:textId="21F69CEA" w:rsidR="00C62C88" w:rsidRPr="001F224B" w:rsidRDefault="00C62C88" w:rsidP="00C62C88">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795AC75" w14:textId="33862966" w:rsidR="00C62C88" w:rsidRPr="001F224B" w:rsidRDefault="00C62C88" w:rsidP="00C62C88">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5405E7EF" w14:textId="389E92E8" w:rsidR="00C62C88" w:rsidRPr="001F224B" w:rsidRDefault="00C62C88" w:rsidP="00C62C88">
            <w:pPr>
              <w:jc w:val="right"/>
              <w:rPr>
                <w:sz w:val="16"/>
                <w:szCs w:val="16"/>
              </w:rPr>
            </w:pPr>
            <w:r w:rsidRPr="001F224B">
              <w:rPr>
                <w:sz w:val="16"/>
                <w:szCs w:val="16"/>
              </w:rPr>
              <w:t>-</w:t>
            </w:r>
          </w:p>
        </w:tc>
      </w:tr>
      <w:tr w:rsidR="008D3D42" w:rsidRPr="001F224B" w14:paraId="4BCC5F2F" w14:textId="77777777" w:rsidTr="008D3D42">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27409F8" w14:textId="77777777" w:rsidR="008D3D42" w:rsidRPr="001F224B" w:rsidRDefault="008D3D42" w:rsidP="008D3D42">
            <w:pPr>
              <w:jc w:val="center"/>
              <w:rPr>
                <w:sz w:val="16"/>
                <w:szCs w:val="16"/>
              </w:rPr>
            </w:pPr>
            <w:r w:rsidRPr="001F224B">
              <w:rPr>
                <w:sz w:val="16"/>
                <w:szCs w:val="16"/>
              </w:rPr>
              <w:t>7</w:t>
            </w:r>
          </w:p>
        </w:tc>
        <w:tc>
          <w:tcPr>
            <w:tcW w:w="4252" w:type="dxa"/>
            <w:tcBorders>
              <w:top w:val="nil"/>
              <w:left w:val="nil"/>
              <w:bottom w:val="single" w:sz="4" w:space="0" w:color="auto"/>
              <w:right w:val="nil"/>
            </w:tcBorders>
            <w:shd w:val="clear" w:color="auto" w:fill="auto"/>
            <w:vAlign w:val="center"/>
            <w:hideMark/>
          </w:tcPr>
          <w:p w14:paraId="18AF6D47" w14:textId="77777777" w:rsidR="008D3D42" w:rsidRPr="001F224B" w:rsidRDefault="008D3D42" w:rsidP="008D3D42">
            <w:pPr>
              <w:rPr>
                <w:b/>
                <w:bCs/>
                <w:sz w:val="16"/>
                <w:szCs w:val="16"/>
              </w:rPr>
            </w:pPr>
            <w:r w:rsidRPr="001F224B">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CFFF73D" w14:textId="03B175BA" w:rsidR="008D3D42" w:rsidRPr="001F224B" w:rsidRDefault="008D3D42" w:rsidP="008D3D42">
            <w:pPr>
              <w:jc w:val="right"/>
              <w:rPr>
                <w:b/>
                <w:bCs/>
                <w:sz w:val="16"/>
                <w:szCs w:val="16"/>
              </w:rPr>
            </w:pPr>
            <w:r w:rsidRPr="001F224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2BCACB7" w14:textId="0940BE3C" w:rsidR="008D3D42" w:rsidRPr="001F224B" w:rsidRDefault="008D3D42" w:rsidP="008D3D42">
            <w:pPr>
              <w:jc w:val="right"/>
              <w:rPr>
                <w:b/>
                <w:bCs/>
                <w:sz w:val="16"/>
                <w:szCs w:val="16"/>
              </w:rPr>
            </w:pPr>
            <w:r w:rsidRPr="001F224B">
              <w:rPr>
                <w:b/>
                <w:bCs/>
                <w:sz w:val="16"/>
                <w:szCs w:val="16"/>
              </w:rPr>
              <w:t xml:space="preserve"> 14.174.894 </w:t>
            </w:r>
          </w:p>
        </w:tc>
        <w:tc>
          <w:tcPr>
            <w:tcW w:w="1134" w:type="dxa"/>
            <w:tcBorders>
              <w:top w:val="nil"/>
              <w:left w:val="nil"/>
              <w:bottom w:val="single" w:sz="4" w:space="0" w:color="auto"/>
              <w:right w:val="single" w:sz="4" w:space="0" w:color="auto"/>
            </w:tcBorders>
            <w:shd w:val="clear" w:color="auto" w:fill="auto"/>
            <w:noWrap/>
            <w:vAlign w:val="bottom"/>
          </w:tcPr>
          <w:p w14:paraId="3B3A9BE2" w14:textId="7BCCF06F" w:rsidR="008D3D42" w:rsidRPr="001F224B" w:rsidRDefault="008D3D42" w:rsidP="008D3D42">
            <w:pPr>
              <w:jc w:val="right"/>
              <w:rPr>
                <w:b/>
                <w:bCs/>
                <w:sz w:val="16"/>
                <w:szCs w:val="16"/>
              </w:rPr>
            </w:pPr>
            <w:r w:rsidRPr="001F224B">
              <w:rPr>
                <w:b/>
                <w:bCs/>
                <w:sz w:val="16"/>
                <w:szCs w:val="16"/>
              </w:rPr>
              <w:t xml:space="preserve"> 941.651 </w:t>
            </w:r>
          </w:p>
        </w:tc>
        <w:tc>
          <w:tcPr>
            <w:tcW w:w="1134" w:type="dxa"/>
            <w:tcBorders>
              <w:top w:val="nil"/>
              <w:left w:val="nil"/>
              <w:bottom w:val="single" w:sz="4" w:space="0" w:color="auto"/>
              <w:right w:val="single" w:sz="4" w:space="0" w:color="auto"/>
            </w:tcBorders>
            <w:shd w:val="clear" w:color="auto" w:fill="auto"/>
            <w:noWrap/>
            <w:vAlign w:val="bottom"/>
          </w:tcPr>
          <w:p w14:paraId="527AF7CE" w14:textId="6D7C2608" w:rsidR="008D3D42" w:rsidRPr="001F224B" w:rsidRDefault="008D3D42" w:rsidP="008D3D42">
            <w:pPr>
              <w:jc w:val="right"/>
              <w:rPr>
                <w:b/>
                <w:bCs/>
                <w:sz w:val="16"/>
                <w:szCs w:val="16"/>
              </w:rPr>
            </w:pPr>
            <w:r w:rsidRPr="001F224B">
              <w:rPr>
                <w:b/>
                <w:bCs/>
                <w:sz w:val="16"/>
                <w:szCs w:val="16"/>
              </w:rPr>
              <w:t xml:space="preserve"> 135.769.270 </w:t>
            </w:r>
          </w:p>
        </w:tc>
        <w:tc>
          <w:tcPr>
            <w:tcW w:w="1276" w:type="dxa"/>
            <w:tcBorders>
              <w:top w:val="nil"/>
              <w:left w:val="nil"/>
              <w:bottom w:val="single" w:sz="4" w:space="0" w:color="auto"/>
              <w:right w:val="single" w:sz="4" w:space="0" w:color="auto"/>
            </w:tcBorders>
            <w:shd w:val="clear" w:color="auto" w:fill="auto"/>
            <w:noWrap/>
            <w:vAlign w:val="bottom"/>
          </w:tcPr>
          <w:p w14:paraId="52817758" w14:textId="7E5448C7" w:rsidR="008D3D42" w:rsidRPr="001F224B" w:rsidRDefault="008D3D42" w:rsidP="008D3D42">
            <w:pPr>
              <w:jc w:val="right"/>
              <w:rPr>
                <w:b/>
                <w:bCs/>
                <w:sz w:val="16"/>
                <w:szCs w:val="16"/>
              </w:rPr>
            </w:pPr>
            <w:r w:rsidRPr="001F224B">
              <w:rPr>
                <w:b/>
                <w:bCs/>
                <w:sz w:val="16"/>
                <w:szCs w:val="16"/>
              </w:rPr>
              <w:t xml:space="preserve"> 140.924.052 </w:t>
            </w:r>
          </w:p>
        </w:tc>
      </w:tr>
      <w:tr w:rsidR="008D3D42" w:rsidRPr="001F224B" w14:paraId="38A9EE6D" w14:textId="77777777" w:rsidTr="008D3D42">
        <w:trPr>
          <w:trHeight w:val="8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6C5D58" w14:textId="77777777" w:rsidR="008D3D42" w:rsidRPr="001F224B" w:rsidRDefault="008D3D42" w:rsidP="008D3D42">
            <w:pPr>
              <w:jc w:val="center"/>
              <w:rPr>
                <w:sz w:val="16"/>
                <w:szCs w:val="16"/>
              </w:rPr>
            </w:pPr>
            <w:r w:rsidRPr="001F224B">
              <w:rPr>
                <w:sz w:val="16"/>
                <w:szCs w:val="16"/>
              </w:rPr>
              <w:t>8</w:t>
            </w:r>
          </w:p>
        </w:tc>
        <w:tc>
          <w:tcPr>
            <w:tcW w:w="4252" w:type="dxa"/>
            <w:tcBorders>
              <w:top w:val="nil"/>
              <w:left w:val="nil"/>
              <w:bottom w:val="single" w:sz="4" w:space="0" w:color="auto"/>
              <w:right w:val="nil"/>
            </w:tcBorders>
            <w:shd w:val="clear" w:color="auto" w:fill="auto"/>
            <w:vAlign w:val="center"/>
            <w:hideMark/>
          </w:tcPr>
          <w:p w14:paraId="2A45FFEB" w14:textId="77777777" w:rsidR="008D3D42" w:rsidRPr="001F224B" w:rsidRDefault="008D3D42" w:rsidP="008D3D42">
            <w:pPr>
              <w:rPr>
                <w:sz w:val="16"/>
                <w:szCs w:val="16"/>
              </w:rPr>
            </w:pPr>
            <w:r w:rsidRPr="001F224B">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A779317" w14:textId="193469F3" w:rsidR="008D3D42" w:rsidRPr="001F224B" w:rsidRDefault="008D3D42" w:rsidP="008D3D42">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3852C674" w14:textId="744321EC" w:rsidR="008D3D42" w:rsidRPr="001F224B" w:rsidRDefault="008D3D42" w:rsidP="008D3D42">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5A941599" w14:textId="1CF0DC7D" w:rsidR="008D3D42" w:rsidRPr="001F224B" w:rsidRDefault="008D3D42" w:rsidP="008D3D42">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E0D7707" w14:textId="510BD5E7" w:rsidR="008D3D42" w:rsidRPr="001F224B" w:rsidRDefault="008D3D42" w:rsidP="008D3D42">
            <w:pPr>
              <w:jc w:val="right"/>
              <w:rPr>
                <w:sz w:val="16"/>
                <w:szCs w:val="16"/>
              </w:rPr>
            </w:pPr>
            <w:r w:rsidRPr="001F224B">
              <w:rPr>
                <w:sz w:val="16"/>
                <w:szCs w:val="16"/>
              </w:rPr>
              <w:t xml:space="preserve"> -   </w:t>
            </w:r>
          </w:p>
        </w:tc>
        <w:tc>
          <w:tcPr>
            <w:tcW w:w="1276" w:type="dxa"/>
            <w:tcBorders>
              <w:top w:val="nil"/>
              <w:left w:val="nil"/>
              <w:bottom w:val="single" w:sz="4" w:space="0" w:color="auto"/>
              <w:right w:val="single" w:sz="4" w:space="0" w:color="auto"/>
            </w:tcBorders>
            <w:shd w:val="clear" w:color="auto" w:fill="auto"/>
            <w:noWrap/>
            <w:vAlign w:val="bottom"/>
          </w:tcPr>
          <w:p w14:paraId="659C4FB0" w14:textId="1D63E147" w:rsidR="008D3D42" w:rsidRPr="001F224B" w:rsidRDefault="008D3D42" w:rsidP="008D3D42">
            <w:pPr>
              <w:jc w:val="right"/>
              <w:rPr>
                <w:sz w:val="16"/>
                <w:szCs w:val="16"/>
              </w:rPr>
            </w:pPr>
          </w:p>
        </w:tc>
      </w:tr>
      <w:tr w:rsidR="008D3D42" w:rsidRPr="001F224B" w14:paraId="646E0F38" w14:textId="77777777" w:rsidTr="008D3D42">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2C9D1E" w14:textId="77777777" w:rsidR="008D3D42" w:rsidRPr="001F224B" w:rsidRDefault="008D3D42" w:rsidP="008D3D42">
            <w:pPr>
              <w:jc w:val="center"/>
              <w:rPr>
                <w:sz w:val="16"/>
                <w:szCs w:val="16"/>
              </w:rPr>
            </w:pPr>
            <w:r w:rsidRPr="001F224B">
              <w:rPr>
                <w:sz w:val="16"/>
                <w:szCs w:val="16"/>
              </w:rPr>
              <w:t>9</w:t>
            </w:r>
          </w:p>
        </w:tc>
        <w:tc>
          <w:tcPr>
            <w:tcW w:w="4252" w:type="dxa"/>
            <w:tcBorders>
              <w:top w:val="nil"/>
              <w:left w:val="nil"/>
              <w:bottom w:val="single" w:sz="4" w:space="0" w:color="auto"/>
              <w:right w:val="nil"/>
            </w:tcBorders>
            <w:shd w:val="clear" w:color="auto" w:fill="auto"/>
            <w:vAlign w:val="center"/>
            <w:hideMark/>
          </w:tcPr>
          <w:p w14:paraId="4C9479B7" w14:textId="77777777" w:rsidR="008D3D42" w:rsidRPr="001F224B" w:rsidRDefault="008D3D42" w:rsidP="008D3D42">
            <w:pPr>
              <w:rPr>
                <w:sz w:val="16"/>
                <w:szCs w:val="16"/>
              </w:rPr>
            </w:pPr>
            <w:r w:rsidRPr="001F224B">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70E37F2" w14:textId="2F1C8F3D"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853047" w14:textId="4FB486A0" w:rsidR="008D3D42" w:rsidRPr="001F224B" w:rsidRDefault="008D3D42" w:rsidP="008D3D42">
            <w:pPr>
              <w:jc w:val="right"/>
              <w:rPr>
                <w:sz w:val="16"/>
                <w:szCs w:val="16"/>
              </w:rPr>
            </w:pPr>
            <w:r w:rsidRPr="001F224B">
              <w:rPr>
                <w:sz w:val="16"/>
                <w:szCs w:val="16"/>
              </w:rPr>
              <w:t xml:space="preserve"> 14.174.894 </w:t>
            </w:r>
          </w:p>
        </w:tc>
        <w:tc>
          <w:tcPr>
            <w:tcW w:w="1134" w:type="dxa"/>
            <w:tcBorders>
              <w:top w:val="nil"/>
              <w:left w:val="nil"/>
              <w:bottom w:val="single" w:sz="4" w:space="0" w:color="auto"/>
              <w:right w:val="single" w:sz="4" w:space="0" w:color="auto"/>
            </w:tcBorders>
            <w:shd w:val="clear" w:color="auto" w:fill="auto"/>
            <w:noWrap/>
            <w:vAlign w:val="bottom"/>
          </w:tcPr>
          <w:p w14:paraId="4B9A0D40" w14:textId="42C6A6F7" w:rsidR="008D3D42" w:rsidRPr="001F224B" w:rsidRDefault="008D3D42" w:rsidP="008D3D42">
            <w:pPr>
              <w:jc w:val="right"/>
              <w:rPr>
                <w:sz w:val="16"/>
                <w:szCs w:val="16"/>
              </w:rPr>
            </w:pPr>
            <w:r w:rsidRPr="001F224B">
              <w:rPr>
                <w:sz w:val="16"/>
                <w:szCs w:val="16"/>
              </w:rPr>
              <w:t xml:space="preserve"> 941.651 </w:t>
            </w:r>
          </w:p>
        </w:tc>
        <w:tc>
          <w:tcPr>
            <w:tcW w:w="1134" w:type="dxa"/>
            <w:tcBorders>
              <w:top w:val="nil"/>
              <w:left w:val="nil"/>
              <w:bottom w:val="single" w:sz="4" w:space="0" w:color="auto"/>
              <w:right w:val="single" w:sz="4" w:space="0" w:color="auto"/>
            </w:tcBorders>
            <w:shd w:val="clear" w:color="auto" w:fill="auto"/>
            <w:noWrap/>
            <w:vAlign w:val="bottom"/>
          </w:tcPr>
          <w:p w14:paraId="6FFB3B05" w14:textId="53F8ED2F" w:rsidR="008D3D42" w:rsidRPr="001F224B" w:rsidRDefault="008D3D42" w:rsidP="008D3D42">
            <w:pPr>
              <w:jc w:val="right"/>
              <w:rPr>
                <w:sz w:val="16"/>
                <w:szCs w:val="16"/>
              </w:rPr>
            </w:pPr>
            <w:r w:rsidRPr="001F224B">
              <w:rPr>
                <w:sz w:val="16"/>
                <w:szCs w:val="16"/>
              </w:rPr>
              <w:t xml:space="preserve"> 135.769.270 </w:t>
            </w:r>
          </w:p>
        </w:tc>
        <w:tc>
          <w:tcPr>
            <w:tcW w:w="1276" w:type="dxa"/>
            <w:tcBorders>
              <w:top w:val="nil"/>
              <w:left w:val="nil"/>
              <w:bottom w:val="single" w:sz="4" w:space="0" w:color="auto"/>
              <w:right w:val="single" w:sz="4" w:space="0" w:color="auto"/>
            </w:tcBorders>
            <w:shd w:val="clear" w:color="auto" w:fill="auto"/>
            <w:noWrap/>
            <w:vAlign w:val="bottom"/>
          </w:tcPr>
          <w:p w14:paraId="141428CD" w14:textId="6EFD1C8C" w:rsidR="008D3D42" w:rsidRPr="001F224B" w:rsidRDefault="008D3D42" w:rsidP="008D3D42">
            <w:pPr>
              <w:jc w:val="right"/>
              <w:rPr>
                <w:sz w:val="16"/>
                <w:szCs w:val="16"/>
              </w:rPr>
            </w:pPr>
            <w:r w:rsidRPr="001F224B">
              <w:rPr>
                <w:sz w:val="16"/>
                <w:szCs w:val="16"/>
              </w:rPr>
              <w:t xml:space="preserve"> 140.924.052 </w:t>
            </w:r>
          </w:p>
        </w:tc>
      </w:tr>
      <w:tr w:rsidR="00E14B15" w:rsidRPr="001F224B" w14:paraId="0603F94F" w14:textId="77777777" w:rsidTr="008D3D42">
        <w:trPr>
          <w:trHeight w:val="8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D4AD3DF" w14:textId="77777777" w:rsidR="00E14B15" w:rsidRPr="001F224B" w:rsidRDefault="00E14B15" w:rsidP="00E14B15">
            <w:pPr>
              <w:jc w:val="center"/>
              <w:rPr>
                <w:sz w:val="16"/>
                <w:szCs w:val="16"/>
              </w:rPr>
            </w:pPr>
            <w:r w:rsidRPr="001F224B">
              <w:rPr>
                <w:sz w:val="16"/>
                <w:szCs w:val="16"/>
              </w:rPr>
              <w:t>10</w:t>
            </w:r>
          </w:p>
        </w:tc>
        <w:tc>
          <w:tcPr>
            <w:tcW w:w="4252" w:type="dxa"/>
            <w:tcBorders>
              <w:top w:val="nil"/>
              <w:left w:val="nil"/>
              <w:bottom w:val="single" w:sz="4" w:space="0" w:color="auto"/>
              <w:right w:val="nil"/>
            </w:tcBorders>
            <w:shd w:val="clear" w:color="auto" w:fill="auto"/>
            <w:vAlign w:val="center"/>
            <w:hideMark/>
          </w:tcPr>
          <w:p w14:paraId="6AAF0DDE" w14:textId="77777777" w:rsidR="00E14B15" w:rsidRPr="001F224B" w:rsidRDefault="00E14B15" w:rsidP="00E14B15">
            <w:pPr>
              <w:rPr>
                <w:b/>
                <w:bCs/>
                <w:sz w:val="16"/>
                <w:szCs w:val="16"/>
              </w:rPr>
            </w:pPr>
            <w:r w:rsidRPr="001F224B">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8B3E13A" w14:textId="77777777" w:rsidR="00E14B15" w:rsidRPr="001F224B"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7D45746" w14:textId="77777777" w:rsidR="00E14B15" w:rsidRPr="001F224B"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824CCCD" w14:textId="77777777" w:rsidR="00E14B15" w:rsidRPr="001F224B"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6D1D367" w14:textId="77777777" w:rsidR="00E14B15" w:rsidRPr="001F224B"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AA7E4DF" w14:textId="77777777" w:rsidR="00E14B15" w:rsidRPr="001F224B" w:rsidRDefault="00E14B15" w:rsidP="00E14B15">
            <w:pPr>
              <w:jc w:val="right"/>
              <w:rPr>
                <w:sz w:val="16"/>
                <w:szCs w:val="16"/>
              </w:rPr>
            </w:pPr>
          </w:p>
        </w:tc>
      </w:tr>
      <w:tr w:rsidR="008D3D42" w:rsidRPr="001F224B" w14:paraId="2B330D0C" w14:textId="77777777" w:rsidTr="008D3D42">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1800B50" w14:textId="77777777" w:rsidR="008D3D42" w:rsidRPr="001F224B" w:rsidRDefault="008D3D42" w:rsidP="008D3D42">
            <w:pPr>
              <w:jc w:val="center"/>
              <w:rPr>
                <w:sz w:val="16"/>
                <w:szCs w:val="16"/>
              </w:rPr>
            </w:pPr>
            <w:r w:rsidRPr="001F224B">
              <w:rPr>
                <w:sz w:val="16"/>
                <w:szCs w:val="16"/>
              </w:rPr>
              <w:t>11</w:t>
            </w:r>
          </w:p>
        </w:tc>
        <w:tc>
          <w:tcPr>
            <w:tcW w:w="4252" w:type="dxa"/>
            <w:tcBorders>
              <w:top w:val="nil"/>
              <w:left w:val="nil"/>
              <w:bottom w:val="single" w:sz="4" w:space="0" w:color="auto"/>
              <w:right w:val="nil"/>
            </w:tcBorders>
            <w:shd w:val="clear" w:color="auto" w:fill="auto"/>
            <w:vAlign w:val="center"/>
            <w:hideMark/>
          </w:tcPr>
          <w:p w14:paraId="083EDE13" w14:textId="77777777" w:rsidR="008D3D42" w:rsidRPr="001F224B" w:rsidRDefault="008D3D42" w:rsidP="008D3D42">
            <w:pPr>
              <w:rPr>
                <w:b/>
                <w:bCs/>
                <w:sz w:val="16"/>
                <w:szCs w:val="16"/>
              </w:rPr>
            </w:pPr>
            <w:r w:rsidRPr="001F224B">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EDA227E" w14:textId="00E8F3C3" w:rsidR="008D3D42" w:rsidRPr="001F224B" w:rsidRDefault="008D3D42" w:rsidP="008D3D42">
            <w:pPr>
              <w:jc w:val="right"/>
              <w:rPr>
                <w:b/>
                <w:bCs/>
                <w:sz w:val="16"/>
                <w:szCs w:val="16"/>
              </w:rPr>
            </w:pPr>
            <w:r w:rsidRPr="001F224B">
              <w:rPr>
                <w:b/>
                <w:bCs/>
                <w:sz w:val="16"/>
                <w:szCs w:val="16"/>
              </w:rPr>
              <w:t xml:space="preserve"> 11.652.804 </w:t>
            </w:r>
          </w:p>
        </w:tc>
        <w:tc>
          <w:tcPr>
            <w:tcW w:w="1134" w:type="dxa"/>
            <w:tcBorders>
              <w:top w:val="nil"/>
              <w:left w:val="nil"/>
              <w:bottom w:val="single" w:sz="4" w:space="0" w:color="auto"/>
              <w:right w:val="single" w:sz="4" w:space="0" w:color="auto"/>
            </w:tcBorders>
            <w:shd w:val="clear" w:color="auto" w:fill="auto"/>
            <w:noWrap/>
            <w:vAlign w:val="bottom"/>
          </w:tcPr>
          <w:p w14:paraId="416A2054" w14:textId="3272B30C" w:rsidR="008D3D42" w:rsidRPr="001F224B" w:rsidRDefault="008D3D42" w:rsidP="008D3D42">
            <w:pPr>
              <w:jc w:val="right"/>
              <w:rPr>
                <w:b/>
                <w:bCs/>
                <w:sz w:val="16"/>
                <w:szCs w:val="16"/>
              </w:rPr>
            </w:pPr>
            <w:r w:rsidRPr="001F224B">
              <w:rPr>
                <w:b/>
                <w:bCs/>
                <w:sz w:val="16"/>
                <w:szCs w:val="16"/>
              </w:rPr>
              <w:t xml:space="preserve"> 1.089.503 </w:t>
            </w:r>
          </w:p>
        </w:tc>
        <w:tc>
          <w:tcPr>
            <w:tcW w:w="1134" w:type="dxa"/>
            <w:tcBorders>
              <w:top w:val="nil"/>
              <w:left w:val="nil"/>
              <w:bottom w:val="single" w:sz="4" w:space="0" w:color="auto"/>
              <w:right w:val="single" w:sz="4" w:space="0" w:color="auto"/>
            </w:tcBorders>
            <w:shd w:val="clear" w:color="auto" w:fill="auto"/>
            <w:noWrap/>
            <w:vAlign w:val="bottom"/>
          </w:tcPr>
          <w:p w14:paraId="1F67075E" w14:textId="4B9EFA33" w:rsidR="008D3D42" w:rsidRPr="001F224B" w:rsidRDefault="008D3D42" w:rsidP="008D3D42">
            <w:pPr>
              <w:jc w:val="right"/>
              <w:rPr>
                <w:b/>
                <w:bCs/>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925440" w14:textId="41B8EB68" w:rsidR="008D3D42" w:rsidRPr="001F224B" w:rsidRDefault="008D3D42" w:rsidP="008D3D42">
            <w:pPr>
              <w:jc w:val="right"/>
              <w:rPr>
                <w:b/>
                <w:bCs/>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5EB6F071" w14:textId="1FC550E7" w:rsidR="008D3D42" w:rsidRPr="001F224B" w:rsidRDefault="008D3D42" w:rsidP="008D3D42">
            <w:pPr>
              <w:jc w:val="right"/>
              <w:rPr>
                <w:b/>
                <w:bCs/>
                <w:sz w:val="16"/>
                <w:szCs w:val="16"/>
              </w:rPr>
            </w:pPr>
            <w:r w:rsidRPr="001F224B">
              <w:rPr>
                <w:sz w:val="16"/>
                <w:szCs w:val="16"/>
              </w:rPr>
              <w:t>-</w:t>
            </w:r>
          </w:p>
        </w:tc>
      </w:tr>
      <w:tr w:rsidR="008D3D42" w:rsidRPr="001F224B" w14:paraId="5800E32C" w14:textId="77777777" w:rsidTr="008D3D42">
        <w:trPr>
          <w:trHeight w:val="12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08851B6" w14:textId="77777777" w:rsidR="008D3D42" w:rsidRPr="001F224B" w:rsidRDefault="008D3D42" w:rsidP="008D3D42">
            <w:pPr>
              <w:jc w:val="center"/>
              <w:rPr>
                <w:sz w:val="16"/>
                <w:szCs w:val="16"/>
              </w:rPr>
            </w:pPr>
            <w:r w:rsidRPr="001F224B">
              <w:rPr>
                <w:sz w:val="16"/>
                <w:szCs w:val="16"/>
              </w:rPr>
              <w:t>12</w:t>
            </w:r>
          </w:p>
        </w:tc>
        <w:tc>
          <w:tcPr>
            <w:tcW w:w="4252" w:type="dxa"/>
            <w:tcBorders>
              <w:top w:val="nil"/>
              <w:left w:val="nil"/>
              <w:bottom w:val="single" w:sz="4" w:space="0" w:color="auto"/>
              <w:right w:val="nil"/>
            </w:tcBorders>
            <w:shd w:val="clear" w:color="auto" w:fill="auto"/>
            <w:vAlign w:val="center"/>
            <w:hideMark/>
          </w:tcPr>
          <w:p w14:paraId="68B3907A" w14:textId="77777777" w:rsidR="008D3D42" w:rsidRPr="001F224B" w:rsidRDefault="008D3D42" w:rsidP="008D3D42">
            <w:pPr>
              <w:rPr>
                <w:sz w:val="16"/>
                <w:szCs w:val="16"/>
              </w:rPr>
            </w:pPr>
            <w:r w:rsidRPr="001F224B">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BBA7E99" w14:textId="4FB8D353"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C978B19" w14:textId="71EB8084" w:rsidR="008D3D42" w:rsidRPr="001F224B" w:rsidRDefault="008D3D42" w:rsidP="008D3D42">
            <w:pPr>
              <w:jc w:val="right"/>
              <w:rPr>
                <w:sz w:val="16"/>
                <w:szCs w:val="16"/>
              </w:rPr>
            </w:pPr>
            <w:r w:rsidRPr="001F224B">
              <w:rPr>
                <w:sz w:val="16"/>
                <w:szCs w:val="16"/>
              </w:rPr>
              <w:t xml:space="preserve"> 336.272 </w:t>
            </w:r>
          </w:p>
        </w:tc>
        <w:tc>
          <w:tcPr>
            <w:tcW w:w="1134" w:type="dxa"/>
            <w:tcBorders>
              <w:top w:val="nil"/>
              <w:left w:val="nil"/>
              <w:bottom w:val="single" w:sz="4" w:space="0" w:color="auto"/>
              <w:right w:val="single" w:sz="4" w:space="0" w:color="auto"/>
            </w:tcBorders>
            <w:shd w:val="clear" w:color="auto" w:fill="auto"/>
            <w:noWrap/>
            <w:vAlign w:val="bottom"/>
          </w:tcPr>
          <w:p w14:paraId="6CC01DEA" w14:textId="646F5F79"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488010" w14:textId="093F705D" w:rsidR="008D3D42" w:rsidRPr="001F224B" w:rsidRDefault="008D3D42" w:rsidP="008D3D42">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565A892" w14:textId="77777777" w:rsidR="008D3D42" w:rsidRPr="001F224B" w:rsidRDefault="008D3D42" w:rsidP="008D3D42">
            <w:pPr>
              <w:jc w:val="right"/>
              <w:rPr>
                <w:sz w:val="16"/>
                <w:szCs w:val="16"/>
              </w:rPr>
            </w:pPr>
          </w:p>
        </w:tc>
      </w:tr>
      <w:tr w:rsidR="008D3D42" w:rsidRPr="001F224B" w14:paraId="0B561FE2" w14:textId="77777777" w:rsidTr="008D3D42">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517EBD2" w14:textId="77777777" w:rsidR="008D3D42" w:rsidRPr="001F224B" w:rsidRDefault="008D3D42" w:rsidP="008D3D42">
            <w:pPr>
              <w:jc w:val="center"/>
              <w:rPr>
                <w:sz w:val="16"/>
                <w:szCs w:val="16"/>
              </w:rPr>
            </w:pPr>
            <w:r w:rsidRPr="001F224B">
              <w:rPr>
                <w:sz w:val="16"/>
                <w:szCs w:val="16"/>
              </w:rPr>
              <w:t>13</w:t>
            </w:r>
          </w:p>
        </w:tc>
        <w:tc>
          <w:tcPr>
            <w:tcW w:w="4252" w:type="dxa"/>
            <w:tcBorders>
              <w:top w:val="nil"/>
              <w:left w:val="nil"/>
              <w:bottom w:val="single" w:sz="4" w:space="0" w:color="auto"/>
              <w:right w:val="nil"/>
            </w:tcBorders>
            <w:shd w:val="clear" w:color="auto" w:fill="auto"/>
            <w:vAlign w:val="center"/>
            <w:hideMark/>
          </w:tcPr>
          <w:p w14:paraId="71BEB326" w14:textId="77777777" w:rsidR="008D3D42" w:rsidRPr="001F224B" w:rsidRDefault="008D3D42" w:rsidP="008D3D42">
            <w:pPr>
              <w:rPr>
                <w:sz w:val="16"/>
                <w:szCs w:val="16"/>
              </w:rPr>
            </w:pPr>
            <w:r w:rsidRPr="001F224B">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EBAD2B" w14:textId="214CCCB7" w:rsidR="008D3D42" w:rsidRPr="001F224B" w:rsidRDefault="008D3D42" w:rsidP="008D3D42">
            <w:pPr>
              <w:jc w:val="right"/>
              <w:rPr>
                <w:sz w:val="16"/>
                <w:szCs w:val="16"/>
              </w:rPr>
            </w:pPr>
            <w:r w:rsidRPr="001F224B">
              <w:rPr>
                <w:sz w:val="16"/>
                <w:szCs w:val="16"/>
              </w:rPr>
              <w:t xml:space="preserve"> 11.652.804 </w:t>
            </w:r>
          </w:p>
        </w:tc>
        <w:tc>
          <w:tcPr>
            <w:tcW w:w="1134" w:type="dxa"/>
            <w:tcBorders>
              <w:top w:val="nil"/>
              <w:left w:val="nil"/>
              <w:bottom w:val="single" w:sz="4" w:space="0" w:color="auto"/>
              <w:right w:val="single" w:sz="4" w:space="0" w:color="auto"/>
            </w:tcBorders>
            <w:shd w:val="clear" w:color="auto" w:fill="auto"/>
            <w:noWrap/>
            <w:vAlign w:val="bottom"/>
          </w:tcPr>
          <w:p w14:paraId="5B5F27E8" w14:textId="7A1BAE1A" w:rsidR="008D3D42" w:rsidRPr="001F224B" w:rsidRDefault="008D3D42" w:rsidP="008D3D42">
            <w:pPr>
              <w:jc w:val="right"/>
              <w:rPr>
                <w:sz w:val="16"/>
                <w:szCs w:val="16"/>
              </w:rPr>
            </w:pPr>
            <w:r w:rsidRPr="001F224B">
              <w:rPr>
                <w:sz w:val="16"/>
                <w:szCs w:val="16"/>
              </w:rPr>
              <w:t xml:space="preserve"> 753.231 </w:t>
            </w:r>
          </w:p>
        </w:tc>
        <w:tc>
          <w:tcPr>
            <w:tcW w:w="1134" w:type="dxa"/>
            <w:tcBorders>
              <w:top w:val="nil"/>
              <w:left w:val="nil"/>
              <w:bottom w:val="single" w:sz="4" w:space="0" w:color="auto"/>
              <w:right w:val="single" w:sz="4" w:space="0" w:color="auto"/>
            </w:tcBorders>
            <w:shd w:val="clear" w:color="auto" w:fill="auto"/>
            <w:noWrap/>
            <w:vAlign w:val="bottom"/>
          </w:tcPr>
          <w:p w14:paraId="6C8ACE96" w14:textId="0D917200"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424527F" w14:textId="6A96015D" w:rsidR="008D3D42" w:rsidRPr="001F224B" w:rsidRDefault="008D3D42" w:rsidP="008D3D42">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207D8B4F" w14:textId="214F93B4" w:rsidR="008D3D42" w:rsidRPr="001F224B" w:rsidRDefault="008D3D42" w:rsidP="008D3D42">
            <w:pPr>
              <w:jc w:val="right"/>
              <w:rPr>
                <w:sz w:val="16"/>
                <w:szCs w:val="16"/>
              </w:rPr>
            </w:pPr>
            <w:r w:rsidRPr="001F224B">
              <w:rPr>
                <w:sz w:val="16"/>
                <w:szCs w:val="16"/>
              </w:rPr>
              <w:t>-</w:t>
            </w:r>
          </w:p>
        </w:tc>
      </w:tr>
      <w:tr w:rsidR="00BB76CE" w:rsidRPr="001F224B" w14:paraId="11608F1C" w14:textId="77777777" w:rsidTr="008D3D42">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11CDD6" w14:textId="77777777" w:rsidR="00BB76CE" w:rsidRPr="001F224B" w:rsidRDefault="00BB76CE" w:rsidP="00BB76CE">
            <w:pPr>
              <w:jc w:val="center"/>
              <w:rPr>
                <w:sz w:val="16"/>
                <w:szCs w:val="16"/>
              </w:rPr>
            </w:pPr>
            <w:r w:rsidRPr="001F224B">
              <w:rPr>
                <w:sz w:val="16"/>
                <w:szCs w:val="16"/>
              </w:rPr>
              <w:t>14</w:t>
            </w:r>
          </w:p>
        </w:tc>
        <w:tc>
          <w:tcPr>
            <w:tcW w:w="4252" w:type="dxa"/>
            <w:tcBorders>
              <w:top w:val="nil"/>
              <w:left w:val="nil"/>
              <w:bottom w:val="single" w:sz="4" w:space="0" w:color="auto"/>
              <w:right w:val="nil"/>
            </w:tcBorders>
            <w:shd w:val="clear" w:color="auto" w:fill="auto"/>
            <w:vAlign w:val="center"/>
            <w:hideMark/>
          </w:tcPr>
          <w:p w14:paraId="00124F15" w14:textId="77777777" w:rsidR="00BB76CE" w:rsidRPr="001F224B" w:rsidRDefault="00BB76CE" w:rsidP="00BB76CE">
            <w:pPr>
              <w:rPr>
                <w:b/>
                <w:bCs/>
                <w:sz w:val="16"/>
                <w:szCs w:val="16"/>
              </w:rPr>
            </w:pPr>
            <w:r w:rsidRPr="001F224B">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707EEB"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BC1E73D"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8D0F150"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2C68851" w14:textId="77777777" w:rsidR="00BB76CE" w:rsidRPr="001F224B" w:rsidRDefault="00BB76CE" w:rsidP="00BB76CE">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56867BE" w14:textId="5BDF77B1" w:rsidR="00BB76CE" w:rsidRPr="001F224B" w:rsidRDefault="008D3D42" w:rsidP="00BB76CE">
            <w:pPr>
              <w:jc w:val="right"/>
              <w:rPr>
                <w:b/>
                <w:bCs/>
                <w:sz w:val="16"/>
                <w:szCs w:val="16"/>
              </w:rPr>
            </w:pPr>
            <w:r w:rsidRPr="001F224B">
              <w:rPr>
                <w:b/>
                <w:bCs/>
                <w:sz w:val="16"/>
                <w:szCs w:val="16"/>
              </w:rPr>
              <w:t>174.213.498</w:t>
            </w:r>
          </w:p>
        </w:tc>
      </w:tr>
      <w:tr w:rsidR="00BB76CE" w:rsidRPr="001F224B" w14:paraId="3B065659" w14:textId="77777777" w:rsidTr="008D3D42">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05EE9A8" w14:textId="77777777" w:rsidR="00BB76CE" w:rsidRPr="001F224B" w:rsidRDefault="00BB76CE" w:rsidP="00BB76CE">
            <w:pPr>
              <w:jc w:val="center"/>
              <w:rPr>
                <w:sz w:val="16"/>
                <w:szCs w:val="16"/>
              </w:rPr>
            </w:pPr>
            <w:r w:rsidRPr="001F224B">
              <w:rPr>
                <w:sz w:val="16"/>
                <w:szCs w:val="16"/>
              </w:rPr>
              <w:t> </w:t>
            </w:r>
          </w:p>
        </w:tc>
        <w:tc>
          <w:tcPr>
            <w:tcW w:w="4252" w:type="dxa"/>
            <w:tcBorders>
              <w:top w:val="nil"/>
              <w:left w:val="nil"/>
              <w:bottom w:val="single" w:sz="4" w:space="0" w:color="auto"/>
              <w:right w:val="nil"/>
            </w:tcBorders>
            <w:shd w:val="clear" w:color="auto" w:fill="auto"/>
            <w:vAlign w:val="center"/>
            <w:hideMark/>
          </w:tcPr>
          <w:p w14:paraId="1436AC9F" w14:textId="77777777" w:rsidR="00BB76CE" w:rsidRPr="001F224B" w:rsidRDefault="00BB76CE" w:rsidP="00BB76CE">
            <w:pPr>
              <w:rPr>
                <w:b/>
                <w:bCs/>
                <w:sz w:val="16"/>
                <w:szCs w:val="16"/>
              </w:rPr>
            </w:pPr>
            <w:r w:rsidRPr="001F224B">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0891A65"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6C644DE"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F4CF0FC"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5C5C299" w14:textId="77777777" w:rsidR="00BB76CE" w:rsidRPr="001F224B" w:rsidRDefault="00BB76CE" w:rsidP="00BB76CE">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EC73342" w14:textId="77777777" w:rsidR="00BB76CE" w:rsidRPr="001F224B" w:rsidRDefault="00BB76CE" w:rsidP="00BB76CE">
            <w:pPr>
              <w:jc w:val="right"/>
              <w:rPr>
                <w:b/>
                <w:bCs/>
                <w:sz w:val="16"/>
                <w:szCs w:val="16"/>
              </w:rPr>
            </w:pPr>
          </w:p>
        </w:tc>
      </w:tr>
      <w:tr w:rsidR="00BB76CE" w:rsidRPr="001F224B" w14:paraId="262195C8" w14:textId="77777777" w:rsidTr="008D3D42">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D2B7968" w14:textId="77777777" w:rsidR="00BB76CE" w:rsidRPr="001F224B" w:rsidRDefault="00BB76CE" w:rsidP="00BB76CE">
            <w:pPr>
              <w:jc w:val="center"/>
              <w:rPr>
                <w:sz w:val="16"/>
                <w:szCs w:val="16"/>
              </w:rPr>
            </w:pPr>
            <w:r w:rsidRPr="001F224B">
              <w:rPr>
                <w:sz w:val="16"/>
                <w:szCs w:val="16"/>
              </w:rPr>
              <w:t>15</w:t>
            </w:r>
          </w:p>
        </w:tc>
        <w:tc>
          <w:tcPr>
            <w:tcW w:w="4252" w:type="dxa"/>
            <w:tcBorders>
              <w:top w:val="nil"/>
              <w:left w:val="nil"/>
              <w:bottom w:val="single" w:sz="4" w:space="0" w:color="auto"/>
              <w:right w:val="nil"/>
            </w:tcBorders>
            <w:shd w:val="clear" w:color="auto" w:fill="auto"/>
            <w:vAlign w:val="center"/>
            <w:hideMark/>
          </w:tcPr>
          <w:p w14:paraId="07DD8C43" w14:textId="77777777" w:rsidR="00BB76CE" w:rsidRPr="001F224B" w:rsidRDefault="00BB76CE" w:rsidP="00BB76CE">
            <w:pPr>
              <w:rPr>
                <w:b/>
                <w:bCs/>
                <w:sz w:val="16"/>
                <w:szCs w:val="16"/>
              </w:rPr>
            </w:pPr>
            <w:r w:rsidRPr="001F224B">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5A9505"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13C0E1"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7DB25F9" w14:textId="77777777"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D4C77B6" w14:textId="77777777" w:rsidR="00BB76CE" w:rsidRPr="001F224B" w:rsidRDefault="00BB76CE" w:rsidP="00BB76CE">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199938B7" w14:textId="0917D18D" w:rsidR="00BB76CE" w:rsidRPr="001F224B" w:rsidRDefault="008D3D42" w:rsidP="00BB76CE">
            <w:pPr>
              <w:jc w:val="right"/>
              <w:rPr>
                <w:b/>
                <w:bCs/>
                <w:sz w:val="16"/>
                <w:szCs w:val="16"/>
              </w:rPr>
            </w:pPr>
            <w:r w:rsidRPr="001F224B">
              <w:rPr>
                <w:b/>
                <w:bCs/>
                <w:sz w:val="16"/>
                <w:szCs w:val="16"/>
              </w:rPr>
              <w:t>1.033.52</w:t>
            </w:r>
            <w:r w:rsidR="00A337FF" w:rsidRPr="001F224B">
              <w:rPr>
                <w:b/>
                <w:bCs/>
                <w:sz w:val="16"/>
                <w:szCs w:val="16"/>
              </w:rPr>
              <w:t>0</w:t>
            </w:r>
          </w:p>
        </w:tc>
      </w:tr>
      <w:tr w:rsidR="00E14B15" w:rsidRPr="001F224B" w14:paraId="1C97BDB7" w14:textId="77777777" w:rsidTr="008D3D42">
        <w:trPr>
          <w:trHeight w:val="10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17BD034" w14:textId="77777777" w:rsidR="00E14B15" w:rsidRPr="001F224B" w:rsidRDefault="00E14B15" w:rsidP="00E14B15">
            <w:pPr>
              <w:jc w:val="center"/>
              <w:rPr>
                <w:sz w:val="16"/>
                <w:szCs w:val="16"/>
              </w:rPr>
            </w:pPr>
            <w:r w:rsidRPr="001F224B">
              <w:rPr>
                <w:sz w:val="16"/>
                <w:szCs w:val="16"/>
              </w:rPr>
              <w:t>16</w:t>
            </w:r>
          </w:p>
        </w:tc>
        <w:tc>
          <w:tcPr>
            <w:tcW w:w="4252" w:type="dxa"/>
            <w:tcBorders>
              <w:top w:val="nil"/>
              <w:left w:val="nil"/>
              <w:bottom w:val="single" w:sz="4" w:space="0" w:color="auto"/>
              <w:right w:val="nil"/>
            </w:tcBorders>
            <w:shd w:val="clear" w:color="auto" w:fill="auto"/>
            <w:vAlign w:val="center"/>
            <w:hideMark/>
          </w:tcPr>
          <w:p w14:paraId="35EF3DB9" w14:textId="77777777" w:rsidR="00E14B15" w:rsidRPr="001F224B" w:rsidRDefault="00E14B15" w:rsidP="00E14B15">
            <w:pPr>
              <w:rPr>
                <w:b/>
                <w:bCs/>
                <w:sz w:val="16"/>
                <w:szCs w:val="16"/>
              </w:rPr>
            </w:pPr>
            <w:r w:rsidRPr="001F224B">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1FAC2A" w14:textId="77777777" w:rsidR="00E14B15" w:rsidRPr="001F224B"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81C8572" w14:textId="77777777" w:rsidR="00E14B15" w:rsidRPr="001F224B"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385D79" w14:textId="77777777" w:rsidR="00E14B15" w:rsidRPr="001F224B"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266DCED" w14:textId="77777777" w:rsidR="00E14B15" w:rsidRPr="001F224B"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3F362E37" w14:textId="77777777" w:rsidR="00E14B15" w:rsidRPr="001F224B" w:rsidRDefault="00E14B15" w:rsidP="00E14B15">
            <w:pPr>
              <w:jc w:val="right"/>
              <w:rPr>
                <w:sz w:val="16"/>
                <w:szCs w:val="16"/>
              </w:rPr>
            </w:pPr>
          </w:p>
        </w:tc>
      </w:tr>
      <w:tr w:rsidR="008D3D42" w:rsidRPr="001F224B" w14:paraId="0C42168F" w14:textId="77777777" w:rsidTr="008D3D42">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455D5C6" w14:textId="77777777" w:rsidR="008D3D42" w:rsidRPr="001F224B" w:rsidRDefault="008D3D42" w:rsidP="008D3D42">
            <w:pPr>
              <w:jc w:val="center"/>
              <w:rPr>
                <w:sz w:val="16"/>
                <w:szCs w:val="16"/>
              </w:rPr>
            </w:pPr>
            <w:r w:rsidRPr="001F224B">
              <w:rPr>
                <w:sz w:val="16"/>
                <w:szCs w:val="16"/>
              </w:rPr>
              <w:t>17</w:t>
            </w:r>
          </w:p>
        </w:tc>
        <w:tc>
          <w:tcPr>
            <w:tcW w:w="4252" w:type="dxa"/>
            <w:tcBorders>
              <w:top w:val="nil"/>
              <w:left w:val="nil"/>
              <w:bottom w:val="single" w:sz="4" w:space="0" w:color="auto"/>
              <w:right w:val="nil"/>
            </w:tcBorders>
            <w:shd w:val="clear" w:color="auto" w:fill="auto"/>
            <w:vAlign w:val="center"/>
            <w:hideMark/>
          </w:tcPr>
          <w:p w14:paraId="6BF6BA8F" w14:textId="77777777" w:rsidR="008D3D42" w:rsidRPr="001F224B" w:rsidRDefault="008D3D42" w:rsidP="008D3D42">
            <w:pPr>
              <w:rPr>
                <w:b/>
                <w:bCs/>
                <w:sz w:val="16"/>
                <w:szCs w:val="16"/>
              </w:rPr>
            </w:pPr>
            <w:r w:rsidRPr="001F224B">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35FF18A" w14:textId="13003EBF" w:rsidR="008D3D42" w:rsidRPr="001F224B" w:rsidRDefault="008D3D42" w:rsidP="008D3D42">
            <w:pPr>
              <w:jc w:val="right"/>
              <w:rPr>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2C2230F" w14:textId="7823B1EB" w:rsidR="008D3D42" w:rsidRPr="001F224B" w:rsidRDefault="008D3D42" w:rsidP="008D3D42">
            <w:pPr>
              <w:jc w:val="right"/>
              <w:rPr>
                <w:b/>
                <w:bCs/>
                <w:sz w:val="16"/>
                <w:szCs w:val="16"/>
              </w:rPr>
            </w:pPr>
            <w:r w:rsidRPr="001F224B">
              <w:rPr>
                <w:b/>
                <w:bCs/>
                <w:sz w:val="16"/>
                <w:szCs w:val="16"/>
              </w:rPr>
              <w:t xml:space="preserve"> 40.112.850 </w:t>
            </w:r>
          </w:p>
        </w:tc>
        <w:tc>
          <w:tcPr>
            <w:tcW w:w="1134" w:type="dxa"/>
            <w:tcBorders>
              <w:top w:val="nil"/>
              <w:left w:val="nil"/>
              <w:bottom w:val="single" w:sz="4" w:space="0" w:color="auto"/>
              <w:right w:val="single" w:sz="4" w:space="0" w:color="auto"/>
            </w:tcBorders>
            <w:shd w:val="clear" w:color="auto" w:fill="auto"/>
            <w:noWrap/>
            <w:vAlign w:val="bottom"/>
          </w:tcPr>
          <w:p w14:paraId="2CC7CDE4" w14:textId="5E0B6999" w:rsidR="008D3D42" w:rsidRPr="001F224B" w:rsidRDefault="008D3D42" w:rsidP="008D3D42">
            <w:pPr>
              <w:jc w:val="right"/>
              <w:rPr>
                <w:b/>
                <w:bCs/>
                <w:sz w:val="16"/>
                <w:szCs w:val="16"/>
              </w:rPr>
            </w:pPr>
            <w:r w:rsidRPr="001F224B">
              <w:rPr>
                <w:b/>
                <w:bCs/>
                <w:sz w:val="16"/>
                <w:szCs w:val="16"/>
              </w:rPr>
              <w:t xml:space="preserve"> 7.327.263 </w:t>
            </w:r>
          </w:p>
        </w:tc>
        <w:tc>
          <w:tcPr>
            <w:tcW w:w="1134" w:type="dxa"/>
            <w:tcBorders>
              <w:top w:val="nil"/>
              <w:left w:val="nil"/>
              <w:bottom w:val="single" w:sz="4" w:space="0" w:color="auto"/>
              <w:right w:val="single" w:sz="4" w:space="0" w:color="auto"/>
            </w:tcBorders>
            <w:shd w:val="clear" w:color="auto" w:fill="auto"/>
            <w:noWrap/>
            <w:vAlign w:val="bottom"/>
          </w:tcPr>
          <w:p w14:paraId="08327CB2" w14:textId="65BE27C0" w:rsidR="008D3D42" w:rsidRPr="001F224B" w:rsidRDefault="008D3D42" w:rsidP="008D3D42">
            <w:pPr>
              <w:jc w:val="right"/>
              <w:rPr>
                <w:b/>
                <w:bCs/>
                <w:sz w:val="16"/>
                <w:szCs w:val="16"/>
              </w:rPr>
            </w:pPr>
            <w:r w:rsidRPr="001F224B">
              <w:rPr>
                <w:b/>
                <w:bCs/>
                <w:sz w:val="16"/>
                <w:szCs w:val="16"/>
              </w:rPr>
              <w:t xml:space="preserve"> 115.988.190 </w:t>
            </w:r>
          </w:p>
        </w:tc>
        <w:tc>
          <w:tcPr>
            <w:tcW w:w="1276" w:type="dxa"/>
            <w:tcBorders>
              <w:top w:val="nil"/>
              <w:left w:val="nil"/>
              <w:bottom w:val="single" w:sz="4" w:space="0" w:color="auto"/>
              <w:right w:val="single" w:sz="4" w:space="0" w:color="auto"/>
            </w:tcBorders>
            <w:shd w:val="clear" w:color="auto" w:fill="auto"/>
            <w:noWrap/>
            <w:vAlign w:val="bottom"/>
          </w:tcPr>
          <w:p w14:paraId="13E67C7A" w14:textId="09C7DCEC" w:rsidR="008D3D42" w:rsidRPr="001F224B" w:rsidRDefault="008D3D42" w:rsidP="008D3D42">
            <w:pPr>
              <w:jc w:val="right"/>
              <w:rPr>
                <w:b/>
                <w:bCs/>
                <w:sz w:val="16"/>
                <w:szCs w:val="16"/>
              </w:rPr>
            </w:pPr>
            <w:r w:rsidRPr="001F224B">
              <w:rPr>
                <w:b/>
                <w:bCs/>
                <w:sz w:val="16"/>
                <w:szCs w:val="16"/>
              </w:rPr>
              <w:t xml:space="preserve"> 110.754.569 </w:t>
            </w:r>
          </w:p>
        </w:tc>
      </w:tr>
      <w:tr w:rsidR="008D3D42" w:rsidRPr="001F224B" w14:paraId="038EA1E6" w14:textId="77777777" w:rsidTr="008D3D42">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E68354D" w14:textId="77777777" w:rsidR="008D3D42" w:rsidRPr="001F224B" w:rsidRDefault="008D3D42" w:rsidP="008D3D42">
            <w:pPr>
              <w:jc w:val="center"/>
              <w:rPr>
                <w:sz w:val="16"/>
                <w:szCs w:val="16"/>
              </w:rPr>
            </w:pPr>
            <w:r w:rsidRPr="001F224B">
              <w:rPr>
                <w:sz w:val="16"/>
                <w:szCs w:val="16"/>
              </w:rPr>
              <w:t>18</w:t>
            </w:r>
          </w:p>
        </w:tc>
        <w:tc>
          <w:tcPr>
            <w:tcW w:w="4252" w:type="dxa"/>
            <w:tcBorders>
              <w:top w:val="nil"/>
              <w:left w:val="nil"/>
              <w:bottom w:val="single" w:sz="4" w:space="0" w:color="auto"/>
              <w:right w:val="nil"/>
            </w:tcBorders>
            <w:shd w:val="clear" w:color="auto" w:fill="auto"/>
            <w:vAlign w:val="center"/>
            <w:hideMark/>
          </w:tcPr>
          <w:p w14:paraId="5ED1C481" w14:textId="77777777" w:rsidR="008D3D42" w:rsidRPr="001F224B" w:rsidRDefault="008D3D42" w:rsidP="008D3D42">
            <w:pPr>
              <w:rPr>
                <w:sz w:val="16"/>
                <w:szCs w:val="16"/>
              </w:rPr>
            </w:pPr>
            <w:r w:rsidRPr="001F224B">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6C7A88" w14:textId="4D739283"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A57BF0" w14:textId="7C3DDFBC" w:rsidR="008D3D42" w:rsidRPr="001F224B" w:rsidRDefault="008D3D42" w:rsidP="008D3D42">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03907970" w14:textId="5C575E28"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88F6998" w14:textId="1EC40890" w:rsidR="008D3D42" w:rsidRPr="001F224B" w:rsidRDefault="008D3D42" w:rsidP="008D3D42">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10D2D6FF" w14:textId="61894298" w:rsidR="008D3D42" w:rsidRPr="001F224B" w:rsidRDefault="008D3D42" w:rsidP="008D3D42">
            <w:pPr>
              <w:jc w:val="right"/>
              <w:rPr>
                <w:sz w:val="16"/>
                <w:szCs w:val="16"/>
              </w:rPr>
            </w:pPr>
          </w:p>
        </w:tc>
      </w:tr>
      <w:tr w:rsidR="008D3D42" w:rsidRPr="001F224B" w14:paraId="17917585" w14:textId="77777777" w:rsidTr="008D3D42">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1E59CF2" w14:textId="77777777" w:rsidR="008D3D42" w:rsidRPr="001F224B" w:rsidRDefault="008D3D42" w:rsidP="008D3D42">
            <w:pPr>
              <w:jc w:val="center"/>
              <w:rPr>
                <w:sz w:val="16"/>
                <w:szCs w:val="16"/>
              </w:rPr>
            </w:pPr>
            <w:r w:rsidRPr="001F224B">
              <w:rPr>
                <w:sz w:val="16"/>
                <w:szCs w:val="16"/>
              </w:rPr>
              <w:t>19</w:t>
            </w:r>
          </w:p>
        </w:tc>
        <w:tc>
          <w:tcPr>
            <w:tcW w:w="4252" w:type="dxa"/>
            <w:tcBorders>
              <w:top w:val="nil"/>
              <w:left w:val="nil"/>
              <w:bottom w:val="single" w:sz="4" w:space="0" w:color="auto"/>
              <w:right w:val="nil"/>
            </w:tcBorders>
            <w:shd w:val="clear" w:color="auto" w:fill="auto"/>
            <w:vAlign w:val="center"/>
            <w:hideMark/>
          </w:tcPr>
          <w:p w14:paraId="30C29FB8" w14:textId="77777777" w:rsidR="008D3D42" w:rsidRPr="001F224B" w:rsidRDefault="008D3D42" w:rsidP="008D3D42">
            <w:pPr>
              <w:rPr>
                <w:sz w:val="16"/>
                <w:szCs w:val="16"/>
              </w:rPr>
            </w:pPr>
            <w:r w:rsidRPr="001F224B">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762B57" w14:textId="7E07C614"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16965C0" w14:textId="31BFC8A5" w:rsidR="008D3D42" w:rsidRPr="001F224B" w:rsidRDefault="008D3D42" w:rsidP="008D3D42">
            <w:pPr>
              <w:jc w:val="right"/>
              <w:rPr>
                <w:sz w:val="16"/>
                <w:szCs w:val="16"/>
              </w:rPr>
            </w:pPr>
            <w:r w:rsidRPr="001F224B">
              <w:rPr>
                <w:sz w:val="16"/>
                <w:szCs w:val="16"/>
              </w:rPr>
              <w:t xml:space="preserve"> 40.086.567 </w:t>
            </w:r>
          </w:p>
        </w:tc>
        <w:tc>
          <w:tcPr>
            <w:tcW w:w="1134" w:type="dxa"/>
            <w:tcBorders>
              <w:top w:val="nil"/>
              <w:left w:val="nil"/>
              <w:bottom w:val="single" w:sz="4" w:space="0" w:color="auto"/>
              <w:right w:val="single" w:sz="4" w:space="0" w:color="auto"/>
            </w:tcBorders>
            <w:shd w:val="clear" w:color="auto" w:fill="auto"/>
            <w:noWrap/>
            <w:vAlign w:val="bottom"/>
          </w:tcPr>
          <w:p w14:paraId="1371329F" w14:textId="6636237C" w:rsidR="008D3D42" w:rsidRPr="001F224B" w:rsidRDefault="008D3D42" w:rsidP="008D3D42">
            <w:pPr>
              <w:jc w:val="right"/>
              <w:rPr>
                <w:sz w:val="16"/>
                <w:szCs w:val="16"/>
              </w:rPr>
            </w:pPr>
            <w:r w:rsidRPr="001F224B">
              <w:rPr>
                <w:sz w:val="16"/>
                <w:szCs w:val="16"/>
              </w:rPr>
              <w:t xml:space="preserve"> 6.930.660 </w:t>
            </w:r>
          </w:p>
        </w:tc>
        <w:tc>
          <w:tcPr>
            <w:tcW w:w="1134" w:type="dxa"/>
            <w:tcBorders>
              <w:top w:val="nil"/>
              <w:left w:val="nil"/>
              <w:bottom w:val="single" w:sz="4" w:space="0" w:color="auto"/>
              <w:right w:val="single" w:sz="4" w:space="0" w:color="auto"/>
            </w:tcBorders>
            <w:shd w:val="clear" w:color="auto" w:fill="auto"/>
            <w:noWrap/>
            <w:vAlign w:val="bottom"/>
          </w:tcPr>
          <w:p w14:paraId="78AFB641" w14:textId="7B118467" w:rsidR="008D3D42" w:rsidRPr="001F224B" w:rsidRDefault="008D3D42" w:rsidP="008D3D42">
            <w:pPr>
              <w:jc w:val="right"/>
              <w:rPr>
                <w:sz w:val="16"/>
                <w:szCs w:val="16"/>
              </w:rPr>
            </w:pPr>
            <w:r w:rsidRPr="001F224B">
              <w:rPr>
                <w:sz w:val="16"/>
                <w:szCs w:val="16"/>
              </w:rPr>
              <w:t xml:space="preserve"> 16.740.353 </w:t>
            </w:r>
          </w:p>
        </w:tc>
        <w:tc>
          <w:tcPr>
            <w:tcW w:w="1276" w:type="dxa"/>
            <w:tcBorders>
              <w:top w:val="nil"/>
              <w:left w:val="nil"/>
              <w:bottom w:val="single" w:sz="4" w:space="0" w:color="auto"/>
              <w:right w:val="single" w:sz="4" w:space="0" w:color="auto"/>
            </w:tcBorders>
            <w:shd w:val="clear" w:color="auto" w:fill="auto"/>
            <w:noWrap/>
            <w:vAlign w:val="bottom"/>
          </w:tcPr>
          <w:p w14:paraId="07EFDA2C" w14:textId="359DF9BD" w:rsidR="008D3D42" w:rsidRPr="001F224B" w:rsidRDefault="008D3D42" w:rsidP="008D3D42">
            <w:pPr>
              <w:jc w:val="right"/>
              <w:rPr>
                <w:sz w:val="16"/>
                <w:szCs w:val="16"/>
              </w:rPr>
            </w:pPr>
            <w:r w:rsidRPr="001F224B">
              <w:rPr>
                <w:sz w:val="16"/>
                <w:szCs w:val="16"/>
              </w:rPr>
              <w:t xml:space="preserve"> 26.218.668 </w:t>
            </w:r>
          </w:p>
        </w:tc>
      </w:tr>
      <w:tr w:rsidR="008D3D42" w:rsidRPr="001F224B" w14:paraId="0E389C21" w14:textId="77777777" w:rsidTr="008D3D42">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256373F" w14:textId="77777777" w:rsidR="008D3D42" w:rsidRPr="001F224B" w:rsidRDefault="008D3D42" w:rsidP="008D3D42">
            <w:pPr>
              <w:jc w:val="center"/>
              <w:rPr>
                <w:sz w:val="16"/>
                <w:szCs w:val="16"/>
              </w:rPr>
            </w:pPr>
            <w:r w:rsidRPr="001F224B">
              <w:rPr>
                <w:sz w:val="16"/>
                <w:szCs w:val="16"/>
              </w:rPr>
              <w:t>20</w:t>
            </w:r>
          </w:p>
        </w:tc>
        <w:tc>
          <w:tcPr>
            <w:tcW w:w="4252" w:type="dxa"/>
            <w:tcBorders>
              <w:top w:val="nil"/>
              <w:left w:val="nil"/>
              <w:bottom w:val="single" w:sz="4" w:space="0" w:color="auto"/>
              <w:right w:val="nil"/>
            </w:tcBorders>
            <w:shd w:val="clear" w:color="auto" w:fill="auto"/>
            <w:vAlign w:val="center"/>
            <w:hideMark/>
          </w:tcPr>
          <w:p w14:paraId="0092541E" w14:textId="77777777" w:rsidR="008D3D42" w:rsidRPr="001F224B" w:rsidRDefault="008D3D42" w:rsidP="008D3D42">
            <w:pPr>
              <w:rPr>
                <w:sz w:val="16"/>
                <w:szCs w:val="16"/>
              </w:rPr>
            </w:pPr>
            <w:r w:rsidRPr="001F224B">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8B1A96A" w14:textId="71483A83"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BD08EC" w14:textId="08828C4C" w:rsidR="008D3D42" w:rsidRPr="001F224B" w:rsidRDefault="008D3D42" w:rsidP="008D3D42">
            <w:pPr>
              <w:jc w:val="right"/>
              <w:rPr>
                <w:sz w:val="16"/>
                <w:szCs w:val="16"/>
              </w:rPr>
            </w:pPr>
            <w:r w:rsidRPr="001F224B">
              <w:rPr>
                <w:sz w:val="16"/>
                <w:szCs w:val="16"/>
              </w:rPr>
              <w:t xml:space="preserve"> 26.283 </w:t>
            </w:r>
          </w:p>
        </w:tc>
        <w:tc>
          <w:tcPr>
            <w:tcW w:w="1134" w:type="dxa"/>
            <w:tcBorders>
              <w:top w:val="nil"/>
              <w:left w:val="nil"/>
              <w:bottom w:val="single" w:sz="4" w:space="0" w:color="auto"/>
              <w:right w:val="single" w:sz="4" w:space="0" w:color="auto"/>
            </w:tcBorders>
            <w:shd w:val="clear" w:color="auto" w:fill="auto"/>
            <w:noWrap/>
            <w:vAlign w:val="bottom"/>
          </w:tcPr>
          <w:p w14:paraId="490C1AAA" w14:textId="0C49CB52" w:rsidR="008D3D42" w:rsidRPr="001F224B" w:rsidRDefault="008D3D42" w:rsidP="008D3D42">
            <w:pPr>
              <w:jc w:val="right"/>
              <w:rPr>
                <w:sz w:val="16"/>
                <w:szCs w:val="16"/>
              </w:rPr>
            </w:pPr>
            <w:r w:rsidRPr="001F224B">
              <w:rPr>
                <w:sz w:val="16"/>
                <w:szCs w:val="16"/>
              </w:rPr>
              <w:t xml:space="preserve"> 396.603 </w:t>
            </w:r>
          </w:p>
        </w:tc>
        <w:tc>
          <w:tcPr>
            <w:tcW w:w="1134" w:type="dxa"/>
            <w:tcBorders>
              <w:top w:val="nil"/>
              <w:left w:val="nil"/>
              <w:bottom w:val="single" w:sz="4" w:space="0" w:color="auto"/>
              <w:right w:val="single" w:sz="4" w:space="0" w:color="auto"/>
            </w:tcBorders>
            <w:shd w:val="clear" w:color="auto" w:fill="auto"/>
            <w:noWrap/>
            <w:vAlign w:val="bottom"/>
          </w:tcPr>
          <w:p w14:paraId="7067D48B" w14:textId="3E2692C6" w:rsidR="008D3D42" w:rsidRPr="001F224B" w:rsidRDefault="008D3D42" w:rsidP="008D3D42">
            <w:pPr>
              <w:jc w:val="right"/>
              <w:rPr>
                <w:sz w:val="16"/>
                <w:szCs w:val="16"/>
              </w:rPr>
            </w:pPr>
            <w:r w:rsidRPr="001F224B">
              <w:rPr>
                <w:sz w:val="16"/>
                <w:szCs w:val="16"/>
              </w:rPr>
              <w:t xml:space="preserve"> 91.944.849 </w:t>
            </w:r>
          </w:p>
        </w:tc>
        <w:tc>
          <w:tcPr>
            <w:tcW w:w="1276" w:type="dxa"/>
            <w:tcBorders>
              <w:top w:val="nil"/>
              <w:left w:val="nil"/>
              <w:bottom w:val="single" w:sz="4" w:space="0" w:color="auto"/>
              <w:right w:val="single" w:sz="4" w:space="0" w:color="auto"/>
            </w:tcBorders>
            <w:shd w:val="clear" w:color="auto" w:fill="auto"/>
            <w:noWrap/>
            <w:vAlign w:val="bottom"/>
          </w:tcPr>
          <w:p w14:paraId="5A51C67D" w14:textId="23402955" w:rsidR="008D3D42" w:rsidRPr="001F224B" w:rsidRDefault="008D3D42" w:rsidP="008D3D42">
            <w:pPr>
              <w:jc w:val="right"/>
              <w:rPr>
                <w:sz w:val="16"/>
                <w:szCs w:val="16"/>
              </w:rPr>
            </w:pPr>
            <w:r w:rsidRPr="001F224B">
              <w:rPr>
                <w:sz w:val="16"/>
                <w:szCs w:val="16"/>
              </w:rPr>
              <w:t xml:space="preserve"> 78.364.56</w:t>
            </w:r>
            <w:r w:rsidR="00A337FF" w:rsidRPr="001F224B">
              <w:rPr>
                <w:sz w:val="16"/>
                <w:szCs w:val="16"/>
              </w:rPr>
              <w:t>4</w:t>
            </w:r>
            <w:r w:rsidRPr="001F224B">
              <w:rPr>
                <w:sz w:val="16"/>
                <w:szCs w:val="16"/>
              </w:rPr>
              <w:t xml:space="preserve"> </w:t>
            </w:r>
          </w:p>
        </w:tc>
      </w:tr>
      <w:tr w:rsidR="00BB76CE" w:rsidRPr="001F224B" w14:paraId="080D548F" w14:textId="77777777" w:rsidTr="008D3D42">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CA54FD" w14:textId="77777777" w:rsidR="00BB76CE" w:rsidRPr="001F224B" w:rsidRDefault="00BB76CE" w:rsidP="00BB76CE">
            <w:pPr>
              <w:jc w:val="center"/>
              <w:rPr>
                <w:sz w:val="16"/>
                <w:szCs w:val="16"/>
              </w:rPr>
            </w:pPr>
            <w:r w:rsidRPr="001F224B">
              <w:rPr>
                <w:sz w:val="16"/>
                <w:szCs w:val="16"/>
              </w:rPr>
              <w:t>21</w:t>
            </w:r>
          </w:p>
        </w:tc>
        <w:tc>
          <w:tcPr>
            <w:tcW w:w="4252" w:type="dxa"/>
            <w:tcBorders>
              <w:top w:val="nil"/>
              <w:left w:val="nil"/>
              <w:bottom w:val="single" w:sz="4" w:space="0" w:color="auto"/>
              <w:right w:val="nil"/>
            </w:tcBorders>
            <w:shd w:val="clear" w:color="auto" w:fill="auto"/>
            <w:vAlign w:val="center"/>
            <w:hideMark/>
          </w:tcPr>
          <w:p w14:paraId="692B2DD2" w14:textId="77777777" w:rsidR="00BB76CE" w:rsidRPr="001F224B" w:rsidRDefault="00BB76CE" w:rsidP="00BB76CE">
            <w:pPr>
              <w:rPr>
                <w:sz w:val="16"/>
                <w:szCs w:val="16"/>
              </w:rPr>
            </w:pPr>
            <w:r w:rsidRPr="001F224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889CF2B" w14:textId="374B082B" w:rsidR="00BB76CE" w:rsidRPr="001F224B" w:rsidRDefault="00BB76CE" w:rsidP="00BB76CE">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DD8475" w14:textId="7426F825"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22F3C31" w14:textId="160A96E9" w:rsidR="00BB76CE" w:rsidRPr="001F224B" w:rsidRDefault="00BB76CE" w:rsidP="00BB76CE">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9250CC6" w14:textId="2F4C18AD" w:rsidR="00BB76CE" w:rsidRPr="001F224B" w:rsidRDefault="00BB76CE" w:rsidP="00BB76CE">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D67F421" w14:textId="155B68E3" w:rsidR="00BB76CE" w:rsidRPr="001F224B" w:rsidRDefault="00BB76CE" w:rsidP="00BB76CE">
            <w:pPr>
              <w:jc w:val="right"/>
              <w:rPr>
                <w:sz w:val="16"/>
                <w:szCs w:val="16"/>
              </w:rPr>
            </w:pPr>
          </w:p>
        </w:tc>
      </w:tr>
      <w:tr w:rsidR="008D3D42" w:rsidRPr="001F224B" w14:paraId="1E9EEA84" w14:textId="77777777" w:rsidTr="008D3D42">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7198C4" w14:textId="77777777" w:rsidR="008D3D42" w:rsidRPr="001F224B" w:rsidRDefault="008D3D42" w:rsidP="008D3D42">
            <w:pPr>
              <w:jc w:val="center"/>
              <w:rPr>
                <w:sz w:val="16"/>
                <w:szCs w:val="16"/>
              </w:rPr>
            </w:pPr>
            <w:r w:rsidRPr="001F224B">
              <w:rPr>
                <w:sz w:val="16"/>
                <w:szCs w:val="16"/>
              </w:rPr>
              <w:t>22</w:t>
            </w:r>
          </w:p>
        </w:tc>
        <w:tc>
          <w:tcPr>
            <w:tcW w:w="4252" w:type="dxa"/>
            <w:tcBorders>
              <w:top w:val="nil"/>
              <w:left w:val="nil"/>
              <w:bottom w:val="single" w:sz="4" w:space="0" w:color="auto"/>
              <w:right w:val="nil"/>
            </w:tcBorders>
            <w:shd w:val="clear" w:color="auto" w:fill="auto"/>
            <w:vAlign w:val="center"/>
            <w:hideMark/>
          </w:tcPr>
          <w:p w14:paraId="5AFE4E20" w14:textId="77777777" w:rsidR="008D3D42" w:rsidRPr="001F224B" w:rsidRDefault="008D3D42" w:rsidP="008D3D42">
            <w:pPr>
              <w:rPr>
                <w:sz w:val="16"/>
                <w:szCs w:val="16"/>
              </w:rPr>
            </w:pPr>
            <w:r w:rsidRPr="001F224B">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90800EF" w14:textId="70B67D80"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318C376" w14:textId="366F0678"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80F82A0" w14:textId="37ADE951"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612F83D" w14:textId="6F377E02" w:rsidR="008D3D42" w:rsidRPr="001F224B" w:rsidRDefault="008D3D42" w:rsidP="008D3D42">
            <w:pPr>
              <w:jc w:val="right"/>
              <w:rPr>
                <w:sz w:val="16"/>
                <w:szCs w:val="16"/>
              </w:rPr>
            </w:pPr>
            <w:r w:rsidRPr="001F224B">
              <w:rPr>
                <w:sz w:val="16"/>
                <w:szCs w:val="16"/>
              </w:rPr>
              <w:t>181.018</w:t>
            </w:r>
          </w:p>
        </w:tc>
        <w:tc>
          <w:tcPr>
            <w:tcW w:w="1276" w:type="dxa"/>
            <w:tcBorders>
              <w:top w:val="nil"/>
              <w:left w:val="nil"/>
              <w:bottom w:val="single" w:sz="4" w:space="0" w:color="auto"/>
              <w:right w:val="single" w:sz="4" w:space="0" w:color="auto"/>
            </w:tcBorders>
            <w:shd w:val="clear" w:color="auto" w:fill="auto"/>
            <w:noWrap/>
            <w:vAlign w:val="bottom"/>
          </w:tcPr>
          <w:p w14:paraId="40C9F3E8" w14:textId="33BA13A9" w:rsidR="008D3D42" w:rsidRPr="001F224B" w:rsidRDefault="008D3D42" w:rsidP="008D3D42">
            <w:pPr>
              <w:jc w:val="right"/>
              <w:rPr>
                <w:sz w:val="16"/>
                <w:szCs w:val="16"/>
              </w:rPr>
            </w:pPr>
            <w:r w:rsidRPr="001F224B">
              <w:rPr>
                <w:sz w:val="16"/>
                <w:szCs w:val="16"/>
              </w:rPr>
              <w:t>117.662</w:t>
            </w:r>
          </w:p>
        </w:tc>
      </w:tr>
      <w:tr w:rsidR="008D3D42" w:rsidRPr="001F224B" w14:paraId="0432A65E" w14:textId="77777777" w:rsidTr="008D3D42">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979E9F" w14:textId="77777777" w:rsidR="008D3D42" w:rsidRPr="001F224B" w:rsidRDefault="008D3D42" w:rsidP="008D3D42">
            <w:pPr>
              <w:jc w:val="center"/>
              <w:rPr>
                <w:sz w:val="16"/>
                <w:szCs w:val="16"/>
              </w:rPr>
            </w:pPr>
            <w:r w:rsidRPr="001F224B">
              <w:rPr>
                <w:sz w:val="16"/>
                <w:szCs w:val="16"/>
              </w:rPr>
              <w:t>23</w:t>
            </w:r>
          </w:p>
        </w:tc>
        <w:tc>
          <w:tcPr>
            <w:tcW w:w="4252" w:type="dxa"/>
            <w:tcBorders>
              <w:top w:val="nil"/>
              <w:left w:val="nil"/>
              <w:bottom w:val="single" w:sz="4" w:space="0" w:color="auto"/>
              <w:right w:val="nil"/>
            </w:tcBorders>
            <w:shd w:val="clear" w:color="auto" w:fill="auto"/>
            <w:vAlign w:val="center"/>
            <w:hideMark/>
          </w:tcPr>
          <w:p w14:paraId="40AD1D57" w14:textId="77777777" w:rsidR="008D3D42" w:rsidRPr="001F224B" w:rsidRDefault="008D3D42" w:rsidP="008D3D42">
            <w:pPr>
              <w:rPr>
                <w:sz w:val="16"/>
                <w:szCs w:val="16"/>
              </w:rPr>
            </w:pPr>
            <w:r w:rsidRPr="001F224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C4B7BCE" w14:textId="19F11768"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6D96894" w14:textId="511BB51D"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D8DA7F7" w14:textId="2F000C8D"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E71A365" w14:textId="48F95F0D" w:rsidR="008D3D42" w:rsidRPr="001F224B" w:rsidRDefault="008D3D42" w:rsidP="008D3D42">
            <w:pPr>
              <w:jc w:val="right"/>
              <w:rPr>
                <w:sz w:val="16"/>
                <w:szCs w:val="16"/>
              </w:rPr>
            </w:pPr>
            <w:r w:rsidRPr="001F224B">
              <w:rPr>
                <w:sz w:val="16"/>
                <w:szCs w:val="16"/>
              </w:rPr>
              <w:t>181.018</w:t>
            </w:r>
          </w:p>
        </w:tc>
        <w:tc>
          <w:tcPr>
            <w:tcW w:w="1276" w:type="dxa"/>
            <w:tcBorders>
              <w:top w:val="nil"/>
              <w:left w:val="nil"/>
              <w:bottom w:val="single" w:sz="4" w:space="0" w:color="auto"/>
              <w:right w:val="single" w:sz="4" w:space="0" w:color="auto"/>
            </w:tcBorders>
            <w:shd w:val="clear" w:color="auto" w:fill="auto"/>
            <w:noWrap/>
            <w:vAlign w:val="bottom"/>
          </w:tcPr>
          <w:p w14:paraId="08962C6A" w14:textId="6ACFEC70" w:rsidR="008D3D42" w:rsidRPr="001F224B" w:rsidRDefault="008D3D42" w:rsidP="008D3D42">
            <w:pPr>
              <w:jc w:val="right"/>
              <w:rPr>
                <w:sz w:val="16"/>
                <w:szCs w:val="16"/>
              </w:rPr>
            </w:pPr>
            <w:r w:rsidRPr="001F224B">
              <w:rPr>
                <w:sz w:val="16"/>
                <w:szCs w:val="16"/>
              </w:rPr>
              <w:t>117.662</w:t>
            </w:r>
          </w:p>
        </w:tc>
      </w:tr>
      <w:tr w:rsidR="008D3D42" w:rsidRPr="001F224B" w14:paraId="64555CEB" w14:textId="77777777" w:rsidTr="008D3D42">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6251F0B" w14:textId="77777777" w:rsidR="008D3D42" w:rsidRPr="001F224B" w:rsidRDefault="008D3D42" w:rsidP="008D3D42">
            <w:pPr>
              <w:jc w:val="center"/>
              <w:rPr>
                <w:sz w:val="16"/>
                <w:szCs w:val="16"/>
              </w:rPr>
            </w:pPr>
            <w:r w:rsidRPr="001F224B">
              <w:rPr>
                <w:sz w:val="16"/>
                <w:szCs w:val="16"/>
              </w:rPr>
              <w:t>24</w:t>
            </w:r>
          </w:p>
        </w:tc>
        <w:tc>
          <w:tcPr>
            <w:tcW w:w="4252" w:type="dxa"/>
            <w:tcBorders>
              <w:top w:val="nil"/>
              <w:left w:val="nil"/>
              <w:bottom w:val="single" w:sz="4" w:space="0" w:color="auto"/>
              <w:right w:val="nil"/>
            </w:tcBorders>
            <w:shd w:val="clear" w:color="auto" w:fill="auto"/>
            <w:vAlign w:val="center"/>
            <w:hideMark/>
          </w:tcPr>
          <w:p w14:paraId="7924B9FE" w14:textId="77777777" w:rsidR="008D3D42" w:rsidRPr="001F224B" w:rsidRDefault="008D3D42" w:rsidP="008D3D42">
            <w:pPr>
              <w:rPr>
                <w:sz w:val="16"/>
                <w:szCs w:val="16"/>
              </w:rPr>
            </w:pPr>
            <w:r w:rsidRPr="001F224B">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1002CAD" w14:textId="64837E82"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BEB5CC" w14:textId="2399409B"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5141DB" w14:textId="49504C0E"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5833DF" w14:textId="50B1AD3B" w:rsidR="008D3D42" w:rsidRPr="001F224B" w:rsidRDefault="008D3D42" w:rsidP="008D3D42">
            <w:pPr>
              <w:jc w:val="right"/>
              <w:rPr>
                <w:sz w:val="16"/>
                <w:szCs w:val="16"/>
              </w:rPr>
            </w:pPr>
            <w:r w:rsidRPr="001F224B">
              <w:rPr>
                <w:sz w:val="16"/>
                <w:szCs w:val="16"/>
              </w:rPr>
              <w:t>7.121.970</w:t>
            </w:r>
          </w:p>
        </w:tc>
        <w:tc>
          <w:tcPr>
            <w:tcW w:w="1276" w:type="dxa"/>
            <w:tcBorders>
              <w:top w:val="nil"/>
              <w:left w:val="nil"/>
              <w:bottom w:val="single" w:sz="4" w:space="0" w:color="auto"/>
              <w:right w:val="single" w:sz="4" w:space="0" w:color="auto"/>
            </w:tcBorders>
            <w:shd w:val="clear" w:color="auto" w:fill="auto"/>
            <w:noWrap/>
            <w:vAlign w:val="bottom"/>
          </w:tcPr>
          <w:p w14:paraId="67CAA629" w14:textId="2A45FC1A" w:rsidR="008D3D42" w:rsidRPr="001F224B" w:rsidRDefault="008D3D42" w:rsidP="008D3D42">
            <w:pPr>
              <w:jc w:val="right"/>
              <w:rPr>
                <w:sz w:val="16"/>
                <w:szCs w:val="16"/>
              </w:rPr>
            </w:pPr>
            <w:r w:rsidRPr="001F224B">
              <w:rPr>
                <w:sz w:val="16"/>
                <w:szCs w:val="16"/>
              </w:rPr>
              <w:t xml:space="preserve"> </w:t>
            </w:r>
            <w:r w:rsidR="00A337FF" w:rsidRPr="001F224B">
              <w:rPr>
                <w:sz w:val="16"/>
                <w:szCs w:val="16"/>
              </w:rPr>
              <w:t xml:space="preserve"> 6.053.675 </w:t>
            </w:r>
          </w:p>
        </w:tc>
      </w:tr>
      <w:tr w:rsidR="006548C0" w:rsidRPr="001F224B" w14:paraId="002C8AFE" w14:textId="77777777" w:rsidTr="008D3D42">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DA7E09" w14:textId="77777777" w:rsidR="006548C0" w:rsidRPr="001F224B" w:rsidRDefault="006548C0" w:rsidP="006548C0">
            <w:pPr>
              <w:jc w:val="center"/>
              <w:rPr>
                <w:sz w:val="16"/>
                <w:szCs w:val="16"/>
              </w:rPr>
            </w:pPr>
            <w:r w:rsidRPr="001F224B">
              <w:rPr>
                <w:sz w:val="16"/>
                <w:szCs w:val="16"/>
              </w:rPr>
              <w:t>25</w:t>
            </w:r>
          </w:p>
        </w:tc>
        <w:tc>
          <w:tcPr>
            <w:tcW w:w="4252" w:type="dxa"/>
            <w:tcBorders>
              <w:top w:val="nil"/>
              <w:left w:val="nil"/>
              <w:bottom w:val="single" w:sz="4" w:space="0" w:color="auto"/>
              <w:right w:val="nil"/>
            </w:tcBorders>
            <w:shd w:val="clear" w:color="auto" w:fill="auto"/>
            <w:vAlign w:val="center"/>
            <w:hideMark/>
          </w:tcPr>
          <w:p w14:paraId="0E21F0DF" w14:textId="77777777" w:rsidR="006548C0" w:rsidRPr="001F224B" w:rsidRDefault="006548C0" w:rsidP="006548C0">
            <w:pPr>
              <w:rPr>
                <w:b/>
                <w:bCs/>
                <w:sz w:val="16"/>
                <w:szCs w:val="16"/>
              </w:rPr>
            </w:pPr>
            <w:r w:rsidRPr="001F224B">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7224712" w14:textId="455C53C2" w:rsidR="006548C0" w:rsidRPr="001F224B" w:rsidRDefault="006548C0" w:rsidP="006548C0">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90D4FE4" w14:textId="3BB5B7E3" w:rsidR="006548C0" w:rsidRPr="001F224B" w:rsidRDefault="006548C0" w:rsidP="006548C0">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BE82D7" w14:textId="6494CE28" w:rsidR="006548C0" w:rsidRPr="001F224B" w:rsidRDefault="006548C0" w:rsidP="006548C0">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DAE67F8" w14:textId="25E1DAD4" w:rsidR="006548C0" w:rsidRPr="001F224B" w:rsidRDefault="006548C0" w:rsidP="006548C0">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36D76438" w14:textId="2C070F47" w:rsidR="006548C0" w:rsidRPr="001F224B" w:rsidRDefault="006548C0" w:rsidP="006548C0">
            <w:pPr>
              <w:jc w:val="right"/>
              <w:rPr>
                <w:sz w:val="16"/>
                <w:szCs w:val="16"/>
              </w:rPr>
            </w:pPr>
          </w:p>
        </w:tc>
      </w:tr>
      <w:tr w:rsidR="008D3D42" w:rsidRPr="001F224B" w14:paraId="3567F592" w14:textId="77777777" w:rsidTr="008D3D42">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7DCF329" w14:textId="77777777" w:rsidR="008D3D42" w:rsidRPr="001F224B" w:rsidRDefault="008D3D42" w:rsidP="008D3D42">
            <w:pPr>
              <w:jc w:val="center"/>
              <w:rPr>
                <w:sz w:val="16"/>
                <w:szCs w:val="16"/>
              </w:rPr>
            </w:pPr>
            <w:r w:rsidRPr="001F224B">
              <w:rPr>
                <w:sz w:val="16"/>
                <w:szCs w:val="16"/>
              </w:rPr>
              <w:t>26</w:t>
            </w:r>
          </w:p>
        </w:tc>
        <w:tc>
          <w:tcPr>
            <w:tcW w:w="4252" w:type="dxa"/>
            <w:tcBorders>
              <w:top w:val="nil"/>
              <w:left w:val="nil"/>
              <w:bottom w:val="single" w:sz="4" w:space="0" w:color="auto"/>
              <w:right w:val="nil"/>
            </w:tcBorders>
            <w:shd w:val="clear" w:color="auto" w:fill="auto"/>
            <w:vAlign w:val="center"/>
            <w:hideMark/>
          </w:tcPr>
          <w:p w14:paraId="02695147" w14:textId="77777777" w:rsidR="008D3D42" w:rsidRPr="001F224B" w:rsidRDefault="008D3D42" w:rsidP="008D3D42">
            <w:pPr>
              <w:rPr>
                <w:b/>
                <w:bCs/>
                <w:sz w:val="16"/>
                <w:szCs w:val="16"/>
              </w:rPr>
            </w:pPr>
            <w:r w:rsidRPr="001F224B">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D5FC971" w14:textId="5053A882" w:rsidR="008D3D42" w:rsidRPr="001F224B" w:rsidRDefault="008D3D42" w:rsidP="008D3D42">
            <w:pPr>
              <w:jc w:val="right"/>
              <w:rPr>
                <w:b/>
                <w:bCs/>
                <w:sz w:val="16"/>
                <w:szCs w:val="16"/>
              </w:rPr>
            </w:pPr>
            <w:r w:rsidRPr="001F224B">
              <w:rPr>
                <w:b/>
                <w:bCs/>
                <w:sz w:val="16"/>
                <w:szCs w:val="16"/>
              </w:rPr>
              <w:t xml:space="preserve"> 2.093.402 </w:t>
            </w:r>
          </w:p>
        </w:tc>
        <w:tc>
          <w:tcPr>
            <w:tcW w:w="1134" w:type="dxa"/>
            <w:tcBorders>
              <w:top w:val="nil"/>
              <w:left w:val="nil"/>
              <w:bottom w:val="single" w:sz="4" w:space="0" w:color="auto"/>
              <w:right w:val="single" w:sz="4" w:space="0" w:color="auto"/>
            </w:tcBorders>
            <w:shd w:val="clear" w:color="auto" w:fill="auto"/>
            <w:noWrap/>
            <w:vAlign w:val="bottom"/>
          </w:tcPr>
          <w:p w14:paraId="7EBFB3D0" w14:textId="6FE6B50E" w:rsidR="008D3D42" w:rsidRPr="001F224B" w:rsidRDefault="008D3D42" w:rsidP="008D3D42">
            <w:pPr>
              <w:jc w:val="right"/>
              <w:rPr>
                <w:b/>
                <w:bCs/>
                <w:sz w:val="16"/>
                <w:szCs w:val="16"/>
              </w:rPr>
            </w:pPr>
            <w:r w:rsidRPr="001F224B">
              <w:rPr>
                <w:b/>
                <w:bCs/>
                <w:sz w:val="16"/>
                <w:szCs w:val="16"/>
              </w:rPr>
              <w:t xml:space="preserve"> 754.223 </w:t>
            </w:r>
          </w:p>
        </w:tc>
        <w:tc>
          <w:tcPr>
            <w:tcW w:w="1134" w:type="dxa"/>
            <w:tcBorders>
              <w:top w:val="nil"/>
              <w:left w:val="nil"/>
              <w:bottom w:val="single" w:sz="4" w:space="0" w:color="auto"/>
              <w:right w:val="single" w:sz="4" w:space="0" w:color="auto"/>
            </w:tcBorders>
            <w:shd w:val="clear" w:color="auto" w:fill="auto"/>
            <w:noWrap/>
            <w:vAlign w:val="bottom"/>
          </w:tcPr>
          <w:p w14:paraId="1B623983" w14:textId="50899747" w:rsidR="008D3D42" w:rsidRPr="001F224B" w:rsidRDefault="008D3D42" w:rsidP="008D3D42">
            <w:pPr>
              <w:jc w:val="right"/>
              <w:rPr>
                <w:b/>
                <w:bCs/>
                <w:sz w:val="16"/>
                <w:szCs w:val="16"/>
              </w:rPr>
            </w:pPr>
            <w:r w:rsidRPr="001F224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2450F50" w14:textId="6BE2EC4F" w:rsidR="008D3D42" w:rsidRPr="001F224B" w:rsidRDefault="008D3D42" w:rsidP="008D3D42">
            <w:pPr>
              <w:jc w:val="right"/>
              <w:rPr>
                <w:b/>
                <w:bCs/>
                <w:sz w:val="16"/>
                <w:szCs w:val="16"/>
              </w:rPr>
            </w:pPr>
            <w:r w:rsidRPr="001F224B">
              <w:rPr>
                <w:b/>
                <w:bCs/>
                <w:sz w:val="16"/>
                <w:szCs w:val="16"/>
              </w:rPr>
              <w:t xml:space="preserve"> -   </w:t>
            </w:r>
          </w:p>
        </w:tc>
        <w:tc>
          <w:tcPr>
            <w:tcW w:w="1276" w:type="dxa"/>
            <w:tcBorders>
              <w:top w:val="nil"/>
              <w:left w:val="nil"/>
              <w:bottom w:val="single" w:sz="4" w:space="0" w:color="auto"/>
              <w:right w:val="single" w:sz="4" w:space="0" w:color="auto"/>
            </w:tcBorders>
            <w:shd w:val="clear" w:color="auto" w:fill="auto"/>
            <w:noWrap/>
            <w:vAlign w:val="bottom"/>
          </w:tcPr>
          <w:p w14:paraId="4E6936CB" w14:textId="01FD507A" w:rsidR="008D3D42" w:rsidRPr="001F224B" w:rsidRDefault="008D3D42" w:rsidP="008D3D42">
            <w:pPr>
              <w:jc w:val="right"/>
              <w:rPr>
                <w:b/>
                <w:bCs/>
                <w:sz w:val="16"/>
                <w:szCs w:val="16"/>
              </w:rPr>
            </w:pPr>
            <w:r w:rsidRPr="001F224B">
              <w:rPr>
                <w:b/>
                <w:bCs/>
                <w:sz w:val="16"/>
                <w:szCs w:val="16"/>
              </w:rPr>
              <w:t>2.136.485</w:t>
            </w:r>
          </w:p>
        </w:tc>
      </w:tr>
      <w:tr w:rsidR="006548C0" w:rsidRPr="001F224B" w14:paraId="150B2839" w14:textId="77777777" w:rsidTr="008D3D42">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044A420" w14:textId="77777777" w:rsidR="006548C0" w:rsidRPr="001F224B" w:rsidRDefault="006548C0" w:rsidP="006548C0">
            <w:pPr>
              <w:jc w:val="center"/>
              <w:rPr>
                <w:sz w:val="16"/>
                <w:szCs w:val="16"/>
              </w:rPr>
            </w:pPr>
            <w:r w:rsidRPr="001F224B">
              <w:rPr>
                <w:sz w:val="16"/>
                <w:szCs w:val="16"/>
              </w:rPr>
              <w:t>27</w:t>
            </w:r>
          </w:p>
        </w:tc>
        <w:tc>
          <w:tcPr>
            <w:tcW w:w="4252" w:type="dxa"/>
            <w:tcBorders>
              <w:top w:val="nil"/>
              <w:left w:val="nil"/>
              <w:bottom w:val="single" w:sz="4" w:space="0" w:color="auto"/>
              <w:right w:val="nil"/>
            </w:tcBorders>
            <w:shd w:val="clear" w:color="auto" w:fill="auto"/>
            <w:vAlign w:val="center"/>
            <w:hideMark/>
          </w:tcPr>
          <w:p w14:paraId="14594169" w14:textId="77777777" w:rsidR="006548C0" w:rsidRPr="001F224B" w:rsidRDefault="006548C0" w:rsidP="006548C0">
            <w:pPr>
              <w:rPr>
                <w:sz w:val="16"/>
                <w:szCs w:val="16"/>
              </w:rPr>
            </w:pPr>
            <w:r w:rsidRPr="001F224B">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2F0E45" w14:textId="0EEB0510" w:rsidR="006548C0" w:rsidRPr="001F224B" w:rsidRDefault="006548C0" w:rsidP="006548C0">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B433E98" w14:textId="77777777" w:rsidR="006548C0" w:rsidRPr="001F224B" w:rsidRDefault="006548C0" w:rsidP="006548C0">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DC4F24F" w14:textId="77777777" w:rsidR="006548C0" w:rsidRPr="001F224B" w:rsidRDefault="006548C0" w:rsidP="006548C0">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90972A" w14:textId="77777777" w:rsidR="006548C0" w:rsidRPr="001F224B" w:rsidRDefault="006548C0" w:rsidP="006548C0">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10417A1" w14:textId="232B53AE" w:rsidR="006548C0" w:rsidRPr="001F224B" w:rsidRDefault="006548C0" w:rsidP="006548C0">
            <w:pPr>
              <w:jc w:val="right"/>
              <w:rPr>
                <w:sz w:val="16"/>
                <w:szCs w:val="16"/>
              </w:rPr>
            </w:pPr>
            <w:r w:rsidRPr="001F224B">
              <w:rPr>
                <w:sz w:val="16"/>
                <w:szCs w:val="16"/>
              </w:rPr>
              <w:t>-</w:t>
            </w:r>
          </w:p>
        </w:tc>
      </w:tr>
      <w:tr w:rsidR="006548C0" w:rsidRPr="001F224B" w14:paraId="370E4520" w14:textId="77777777" w:rsidTr="008D3D42">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12D70A" w14:textId="77777777" w:rsidR="006548C0" w:rsidRPr="001F224B" w:rsidRDefault="006548C0" w:rsidP="006548C0">
            <w:pPr>
              <w:jc w:val="center"/>
              <w:rPr>
                <w:sz w:val="16"/>
                <w:szCs w:val="16"/>
              </w:rPr>
            </w:pPr>
            <w:r w:rsidRPr="001F224B">
              <w:rPr>
                <w:sz w:val="16"/>
                <w:szCs w:val="16"/>
              </w:rPr>
              <w:t>28</w:t>
            </w:r>
          </w:p>
        </w:tc>
        <w:tc>
          <w:tcPr>
            <w:tcW w:w="4252" w:type="dxa"/>
            <w:tcBorders>
              <w:top w:val="nil"/>
              <w:left w:val="nil"/>
              <w:bottom w:val="single" w:sz="4" w:space="0" w:color="auto"/>
              <w:right w:val="nil"/>
            </w:tcBorders>
            <w:shd w:val="clear" w:color="auto" w:fill="auto"/>
            <w:vAlign w:val="center"/>
            <w:hideMark/>
          </w:tcPr>
          <w:p w14:paraId="35D09926" w14:textId="77777777" w:rsidR="006548C0" w:rsidRPr="001F224B" w:rsidRDefault="006548C0" w:rsidP="006548C0">
            <w:pPr>
              <w:rPr>
                <w:sz w:val="16"/>
                <w:szCs w:val="16"/>
              </w:rPr>
            </w:pPr>
            <w:r w:rsidRPr="001F224B">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E90285D" w14:textId="77777777" w:rsidR="006548C0" w:rsidRPr="001F224B" w:rsidRDefault="006548C0" w:rsidP="006548C0">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B693E4C" w14:textId="1FBE9EDC" w:rsidR="006548C0" w:rsidRPr="001F224B" w:rsidRDefault="006548C0" w:rsidP="006548C0">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F879A2A" w14:textId="504D6F36" w:rsidR="006548C0" w:rsidRPr="001F224B" w:rsidRDefault="006548C0" w:rsidP="006548C0">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0320BB6" w14:textId="16840B13" w:rsidR="006548C0" w:rsidRPr="001F224B" w:rsidRDefault="006548C0" w:rsidP="006548C0">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1AF7FF6A" w14:textId="1521986A" w:rsidR="006548C0" w:rsidRPr="001F224B" w:rsidRDefault="006548C0" w:rsidP="006548C0">
            <w:pPr>
              <w:jc w:val="right"/>
              <w:rPr>
                <w:sz w:val="16"/>
                <w:szCs w:val="16"/>
              </w:rPr>
            </w:pPr>
            <w:r w:rsidRPr="001F224B">
              <w:rPr>
                <w:sz w:val="16"/>
                <w:szCs w:val="16"/>
              </w:rPr>
              <w:t>-</w:t>
            </w:r>
          </w:p>
        </w:tc>
      </w:tr>
      <w:tr w:rsidR="008D3D42" w:rsidRPr="001F224B" w14:paraId="18385765" w14:textId="77777777" w:rsidTr="008D3D42">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7EA6A8" w14:textId="77777777" w:rsidR="008D3D42" w:rsidRPr="001F224B" w:rsidRDefault="008D3D42" w:rsidP="008D3D42">
            <w:pPr>
              <w:jc w:val="center"/>
              <w:rPr>
                <w:sz w:val="16"/>
                <w:szCs w:val="16"/>
              </w:rPr>
            </w:pPr>
            <w:r w:rsidRPr="001F224B">
              <w:rPr>
                <w:sz w:val="16"/>
                <w:szCs w:val="16"/>
              </w:rPr>
              <w:t>29</w:t>
            </w:r>
          </w:p>
        </w:tc>
        <w:tc>
          <w:tcPr>
            <w:tcW w:w="4252" w:type="dxa"/>
            <w:tcBorders>
              <w:top w:val="nil"/>
              <w:left w:val="nil"/>
              <w:bottom w:val="single" w:sz="4" w:space="0" w:color="auto"/>
              <w:right w:val="nil"/>
            </w:tcBorders>
            <w:shd w:val="clear" w:color="auto" w:fill="auto"/>
            <w:vAlign w:val="center"/>
            <w:hideMark/>
          </w:tcPr>
          <w:p w14:paraId="4ACC4031" w14:textId="77777777" w:rsidR="008D3D42" w:rsidRPr="001F224B" w:rsidRDefault="008D3D42" w:rsidP="008D3D42">
            <w:pPr>
              <w:rPr>
                <w:sz w:val="16"/>
                <w:szCs w:val="16"/>
              </w:rPr>
            </w:pPr>
            <w:r w:rsidRPr="001F224B">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8C76461" w14:textId="77777777"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462A924" w14:textId="1FB07EC1"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7FFA3FE" w14:textId="59ED8713"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5431FEA" w14:textId="777E1C28" w:rsidR="008D3D42" w:rsidRPr="001F224B" w:rsidRDefault="008D3D42" w:rsidP="008D3D42">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6B2C2946" w14:textId="4D905470" w:rsidR="008D3D42" w:rsidRPr="001F224B" w:rsidRDefault="008D3D42" w:rsidP="008D3D42">
            <w:pPr>
              <w:jc w:val="right"/>
              <w:rPr>
                <w:sz w:val="16"/>
                <w:szCs w:val="16"/>
              </w:rPr>
            </w:pPr>
            <w:r w:rsidRPr="001F224B">
              <w:rPr>
                <w:sz w:val="16"/>
                <w:szCs w:val="16"/>
              </w:rPr>
              <w:t>9.456</w:t>
            </w:r>
          </w:p>
        </w:tc>
      </w:tr>
      <w:tr w:rsidR="008D3D42" w:rsidRPr="001F224B" w14:paraId="29AC838F" w14:textId="77777777" w:rsidTr="008D3D42">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47D85FF" w14:textId="77777777" w:rsidR="008D3D42" w:rsidRPr="001F224B" w:rsidRDefault="008D3D42" w:rsidP="008D3D42">
            <w:pPr>
              <w:jc w:val="center"/>
              <w:rPr>
                <w:sz w:val="16"/>
                <w:szCs w:val="16"/>
              </w:rPr>
            </w:pPr>
            <w:r w:rsidRPr="001F224B">
              <w:rPr>
                <w:sz w:val="16"/>
                <w:szCs w:val="16"/>
              </w:rPr>
              <w:t>30</w:t>
            </w:r>
          </w:p>
        </w:tc>
        <w:tc>
          <w:tcPr>
            <w:tcW w:w="4252" w:type="dxa"/>
            <w:tcBorders>
              <w:top w:val="nil"/>
              <w:left w:val="nil"/>
              <w:bottom w:val="single" w:sz="4" w:space="0" w:color="auto"/>
              <w:right w:val="nil"/>
            </w:tcBorders>
            <w:shd w:val="clear" w:color="auto" w:fill="auto"/>
            <w:vAlign w:val="center"/>
            <w:hideMark/>
          </w:tcPr>
          <w:p w14:paraId="1E8A6C58" w14:textId="77777777" w:rsidR="008D3D42" w:rsidRPr="001F224B" w:rsidRDefault="008D3D42" w:rsidP="008D3D42">
            <w:pPr>
              <w:rPr>
                <w:sz w:val="16"/>
                <w:szCs w:val="16"/>
              </w:rPr>
            </w:pPr>
            <w:r w:rsidRPr="001F224B">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6B243E" w14:textId="77777777"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5A21D0" w14:textId="1037654B"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8CFE062" w14:textId="7D2820C3" w:rsidR="008D3D42" w:rsidRPr="001F224B" w:rsidRDefault="008D3D42" w:rsidP="008D3D42">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DFF5CD" w14:textId="0272275F" w:rsidR="008D3D42" w:rsidRPr="001F224B" w:rsidRDefault="008D3D42" w:rsidP="008D3D42">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FE5B061" w14:textId="79B18CF2" w:rsidR="008D3D42" w:rsidRPr="001F224B" w:rsidRDefault="008D3D42" w:rsidP="008D3D42">
            <w:pPr>
              <w:jc w:val="right"/>
              <w:rPr>
                <w:sz w:val="16"/>
                <w:szCs w:val="16"/>
              </w:rPr>
            </w:pPr>
            <w:r w:rsidRPr="001F224B">
              <w:rPr>
                <w:sz w:val="16"/>
                <w:szCs w:val="16"/>
              </w:rPr>
              <w:t>33.627</w:t>
            </w:r>
          </w:p>
        </w:tc>
      </w:tr>
      <w:tr w:rsidR="008D3D42" w:rsidRPr="001F224B" w14:paraId="0060051F" w14:textId="77777777" w:rsidTr="008D3D42">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A3FC46A" w14:textId="77777777" w:rsidR="008D3D42" w:rsidRPr="001F224B" w:rsidRDefault="008D3D42" w:rsidP="008D3D42">
            <w:pPr>
              <w:jc w:val="center"/>
              <w:rPr>
                <w:sz w:val="16"/>
                <w:szCs w:val="16"/>
              </w:rPr>
            </w:pPr>
            <w:r w:rsidRPr="001F224B">
              <w:rPr>
                <w:sz w:val="16"/>
                <w:szCs w:val="16"/>
              </w:rPr>
              <w:t>31</w:t>
            </w:r>
          </w:p>
        </w:tc>
        <w:tc>
          <w:tcPr>
            <w:tcW w:w="4252" w:type="dxa"/>
            <w:tcBorders>
              <w:top w:val="nil"/>
              <w:left w:val="nil"/>
              <w:bottom w:val="single" w:sz="4" w:space="0" w:color="auto"/>
              <w:right w:val="nil"/>
            </w:tcBorders>
            <w:shd w:val="clear" w:color="auto" w:fill="auto"/>
            <w:vAlign w:val="center"/>
            <w:hideMark/>
          </w:tcPr>
          <w:p w14:paraId="5B5EEA93" w14:textId="77777777" w:rsidR="008D3D42" w:rsidRPr="001F224B" w:rsidRDefault="008D3D42" w:rsidP="008D3D42">
            <w:pPr>
              <w:rPr>
                <w:sz w:val="16"/>
                <w:szCs w:val="16"/>
              </w:rPr>
            </w:pPr>
            <w:r w:rsidRPr="001F224B">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5A01F6" w14:textId="3029CCF7" w:rsidR="008D3D42" w:rsidRPr="001F224B" w:rsidRDefault="008D3D42" w:rsidP="008D3D42">
            <w:pPr>
              <w:jc w:val="right"/>
              <w:rPr>
                <w:sz w:val="16"/>
                <w:szCs w:val="16"/>
              </w:rPr>
            </w:pPr>
            <w:r w:rsidRPr="001F224B">
              <w:rPr>
                <w:sz w:val="16"/>
                <w:szCs w:val="16"/>
              </w:rPr>
              <w:t xml:space="preserve"> 2.093.402 </w:t>
            </w:r>
          </w:p>
        </w:tc>
        <w:tc>
          <w:tcPr>
            <w:tcW w:w="1134" w:type="dxa"/>
            <w:tcBorders>
              <w:top w:val="nil"/>
              <w:left w:val="nil"/>
              <w:bottom w:val="single" w:sz="4" w:space="0" w:color="auto"/>
              <w:right w:val="single" w:sz="4" w:space="0" w:color="auto"/>
            </w:tcBorders>
            <w:shd w:val="clear" w:color="auto" w:fill="auto"/>
            <w:noWrap/>
            <w:vAlign w:val="bottom"/>
          </w:tcPr>
          <w:p w14:paraId="0F0A1E2D" w14:textId="3F287980" w:rsidR="008D3D42" w:rsidRPr="001F224B" w:rsidRDefault="008D3D42" w:rsidP="008D3D42">
            <w:pPr>
              <w:jc w:val="right"/>
              <w:rPr>
                <w:sz w:val="16"/>
                <w:szCs w:val="16"/>
              </w:rPr>
            </w:pPr>
            <w:r w:rsidRPr="001F224B">
              <w:rPr>
                <w:sz w:val="16"/>
                <w:szCs w:val="16"/>
              </w:rPr>
              <w:t xml:space="preserve"> 754.223 </w:t>
            </w:r>
          </w:p>
        </w:tc>
        <w:tc>
          <w:tcPr>
            <w:tcW w:w="1134" w:type="dxa"/>
            <w:tcBorders>
              <w:top w:val="nil"/>
              <w:left w:val="nil"/>
              <w:bottom w:val="single" w:sz="4" w:space="0" w:color="auto"/>
              <w:right w:val="single" w:sz="4" w:space="0" w:color="auto"/>
            </w:tcBorders>
            <w:shd w:val="clear" w:color="auto" w:fill="auto"/>
            <w:noWrap/>
            <w:vAlign w:val="bottom"/>
          </w:tcPr>
          <w:p w14:paraId="123455BB" w14:textId="5A8A947F"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CC98EF1" w14:textId="116FA933" w:rsidR="008D3D42" w:rsidRPr="001F224B" w:rsidRDefault="008D3D42" w:rsidP="008D3D42">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5B7DB39A" w14:textId="619847A5" w:rsidR="008D3D42" w:rsidRPr="001F224B" w:rsidRDefault="008D3D42" w:rsidP="008D3D42">
            <w:pPr>
              <w:jc w:val="right"/>
              <w:rPr>
                <w:sz w:val="16"/>
                <w:szCs w:val="16"/>
              </w:rPr>
            </w:pPr>
            <w:r w:rsidRPr="001F224B">
              <w:rPr>
                <w:sz w:val="16"/>
                <w:szCs w:val="16"/>
              </w:rPr>
              <w:t>2.093.402</w:t>
            </w:r>
          </w:p>
        </w:tc>
      </w:tr>
      <w:tr w:rsidR="008D3D42" w:rsidRPr="001F224B" w14:paraId="6CA34712" w14:textId="77777777" w:rsidTr="008D3D42">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EB1387F" w14:textId="77777777" w:rsidR="008D3D42" w:rsidRPr="001F224B" w:rsidRDefault="008D3D42" w:rsidP="008D3D42">
            <w:pPr>
              <w:jc w:val="center"/>
              <w:rPr>
                <w:sz w:val="16"/>
                <w:szCs w:val="16"/>
              </w:rPr>
            </w:pPr>
            <w:r w:rsidRPr="001F224B">
              <w:rPr>
                <w:sz w:val="16"/>
                <w:szCs w:val="16"/>
              </w:rPr>
              <w:t>32</w:t>
            </w:r>
          </w:p>
        </w:tc>
        <w:tc>
          <w:tcPr>
            <w:tcW w:w="4252" w:type="dxa"/>
            <w:tcBorders>
              <w:top w:val="nil"/>
              <w:left w:val="nil"/>
              <w:bottom w:val="single" w:sz="4" w:space="0" w:color="auto"/>
              <w:right w:val="nil"/>
            </w:tcBorders>
            <w:shd w:val="clear" w:color="auto" w:fill="auto"/>
            <w:vAlign w:val="center"/>
            <w:hideMark/>
          </w:tcPr>
          <w:p w14:paraId="6FD14FDB" w14:textId="77777777" w:rsidR="008D3D42" w:rsidRPr="001F224B" w:rsidRDefault="008D3D42" w:rsidP="008D3D42">
            <w:pPr>
              <w:rPr>
                <w:b/>
                <w:bCs/>
                <w:sz w:val="16"/>
                <w:szCs w:val="16"/>
              </w:rPr>
            </w:pPr>
            <w:r w:rsidRPr="001F224B">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BF16631" w14:textId="77777777" w:rsidR="008D3D42" w:rsidRPr="001F224B" w:rsidRDefault="008D3D42" w:rsidP="008D3D42">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6EA335B" w14:textId="78058D62" w:rsidR="008D3D42" w:rsidRPr="001F224B" w:rsidRDefault="008D3D42" w:rsidP="008D3D42">
            <w:pPr>
              <w:jc w:val="right"/>
              <w:rPr>
                <w:b/>
                <w:bCs/>
                <w:sz w:val="16"/>
                <w:szCs w:val="16"/>
              </w:rPr>
            </w:pPr>
            <w:r w:rsidRPr="001F224B">
              <w:rPr>
                <w:b/>
                <w:bCs/>
                <w:sz w:val="16"/>
                <w:szCs w:val="16"/>
              </w:rPr>
              <w:t xml:space="preserve"> 12.144.394 </w:t>
            </w:r>
          </w:p>
        </w:tc>
        <w:tc>
          <w:tcPr>
            <w:tcW w:w="1134" w:type="dxa"/>
            <w:tcBorders>
              <w:top w:val="nil"/>
              <w:left w:val="nil"/>
              <w:bottom w:val="single" w:sz="4" w:space="0" w:color="auto"/>
              <w:right w:val="single" w:sz="4" w:space="0" w:color="auto"/>
            </w:tcBorders>
            <w:shd w:val="clear" w:color="auto" w:fill="auto"/>
            <w:noWrap/>
            <w:vAlign w:val="bottom"/>
          </w:tcPr>
          <w:p w14:paraId="61C0DD75" w14:textId="72B57293" w:rsidR="008D3D42" w:rsidRPr="001F224B" w:rsidRDefault="008D3D42" w:rsidP="008D3D42">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FCC292" w14:textId="35F9640B" w:rsidR="008D3D42" w:rsidRPr="001F224B" w:rsidRDefault="008D3D42" w:rsidP="008D3D42">
            <w:pPr>
              <w:jc w:val="right"/>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1C1388E" w14:textId="14EDEA2E" w:rsidR="008D3D42" w:rsidRPr="001F224B" w:rsidRDefault="008D3D42" w:rsidP="008D3D42">
            <w:pPr>
              <w:jc w:val="right"/>
              <w:rPr>
                <w:b/>
                <w:bCs/>
                <w:sz w:val="16"/>
                <w:szCs w:val="16"/>
              </w:rPr>
            </w:pPr>
            <w:r w:rsidRPr="001F224B">
              <w:rPr>
                <w:b/>
                <w:bCs/>
                <w:sz w:val="16"/>
                <w:szCs w:val="16"/>
              </w:rPr>
              <w:t xml:space="preserve"> 607.220 </w:t>
            </w:r>
          </w:p>
        </w:tc>
      </w:tr>
      <w:tr w:rsidR="00A337FF" w:rsidRPr="001F224B" w14:paraId="16DBE557" w14:textId="77777777" w:rsidTr="008D3D42">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EA732E" w14:textId="77777777" w:rsidR="00A337FF" w:rsidRPr="001F224B" w:rsidRDefault="00A337FF" w:rsidP="00A337FF">
            <w:pPr>
              <w:jc w:val="center"/>
              <w:rPr>
                <w:sz w:val="16"/>
                <w:szCs w:val="16"/>
              </w:rPr>
            </w:pPr>
            <w:r w:rsidRPr="001F224B">
              <w:rPr>
                <w:sz w:val="16"/>
                <w:szCs w:val="16"/>
              </w:rPr>
              <w:t>33</w:t>
            </w:r>
          </w:p>
        </w:tc>
        <w:tc>
          <w:tcPr>
            <w:tcW w:w="4252" w:type="dxa"/>
            <w:tcBorders>
              <w:top w:val="nil"/>
              <w:left w:val="nil"/>
              <w:bottom w:val="single" w:sz="4" w:space="0" w:color="auto"/>
              <w:right w:val="nil"/>
            </w:tcBorders>
            <w:shd w:val="clear" w:color="auto" w:fill="auto"/>
            <w:vAlign w:val="center"/>
            <w:hideMark/>
          </w:tcPr>
          <w:p w14:paraId="13517D03" w14:textId="77777777" w:rsidR="00A337FF" w:rsidRPr="001F224B" w:rsidRDefault="00A337FF" w:rsidP="00A337FF">
            <w:pPr>
              <w:rPr>
                <w:b/>
                <w:bCs/>
                <w:sz w:val="16"/>
                <w:szCs w:val="16"/>
              </w:rPr>
            </w:pPr>
            <w:r w:rsidRPr="001F224B">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83592A3" w14:textId="77777777" w:rsidR="00A337FF" w:rsidRPr="001F224B" w:rsidRDefault="00A337FF" w:rsidP="00A337FF">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A475A0B" w14:textId="77777777" w:rsidR="00A337FF" w:rsidRPr="001F224B" w:rsidRDefault="00A337FF" w:rsidP="00A337FF">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E56483E" w14:textId="77777777" w:rsidR="00A337FF" w:rsidRPr="001F224B" w:rsidRDefault="00A337FF" w:rsidP="00A337FF">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1E29E5" w14:textId="77777777" w:rsidR="00A337FF" w:rsidRPr="001F224B" w:rsidRDefault="00A337FF" w:rsidP="00A337FF">
            <w:pPr>
              <w:jc w:val="right"/>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33A18F2" w14:textId="5FA8C70F" w:rsidR="00A337FF" w:rsidRPr="001F224B" w:rsidRDefault="00A337FF" w:rsidP="00A337FF">
            <w:pPr>
              <w:jc w:val="right"/>
              <w:rPr>
                <w:b/>
                <w:bCs/>
                <w:sz w:val="16"/>
                <w:szCs w:val="16"/>
              </w:rPr>
            </w:pPr>
            <w:r w:rsidRPr="001F224B">
              <w:rPr>
                <w:b/>
                <w:bCs/>
                <w:sz w:val="16"/>
                <w:szCs w:val="16"/>
              </w:rPr>
              <w:t xml:space="preserve"> 114.531.794 </w:t>
            </w:r>
          </w:p>
        </w:tc>
      </w:tr>
      <w:tr w:rsidR="00A337FF" w:rsidRPr="001F224B" w14:paraId="16EB450C" w14:textId="77777777" w:rsidTr="008D3D42">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CFA03F7" w14:textId="77777777" w:rsidR="00A337FF" w:rsidRPr="001F224B" w:rsidRDefault="00A337FF" w:rsidP="00A337FF">
            <w:pPr>
              <w:jc w:val="center"/>
              <w:rPr>
                <w:sz w:val="16"/>
                <w:szCs w:val="16"/>
              </w:rPr>
            </w:pPr>
            <w:r w:rsidRPr="001F224B">
              <w:rPr>
                <w:sz w:val="16"/>
                <w:szCs w:val="16"/>
              </w:rPr>
              <w:t>34</w:t>
            </w:r>
          </w:p>
        </w:tc>
        <w:tc>
          <w:tcPr>
            <w:tcW w:w="4252" w:type="dxa"/>
            <w:tcBorders>
              <w:top w:val="nil"/>
              <w:left w:val="nil"/>
              <w:bottom w:val="single" w:sz="4" w:space="0" w:color="auto"/>
              <w:right w:val="nil"/>
            </w:tcBorders>
            <w:shd w:val="clear" w:color="auto" w:fill="auto"/>
            <w:vAlign w:val="center"/>
            <w:hideMark/>
          </w:tcPr>
          <w:p w14:paraId="6E76C789" w14:textId="77777777" w:rsidR="00A337FF" w:rsidRPr="001F224B" w:rsidRDefault="00A337FF" w:rsidP="00A337FF">
            <w:pPr>
              <w:rPr>
                <w:b/>
                <w:bCs/>
                <w:sz w:val="16"/>
                <w:szCs w:val="16"/>
              </w:rPr>
            </w:pPr>
            <w:r w:rsidRPr="001F224B">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DD1C46F" w14:textId="77777777" w:rsidR="00A337FF" w:rsidRPr="001F224B" w:rsidRDefault="00A337FF" w:rsidP="00A337FF">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69C54B" w14:textId="77777777" w:rsidR="00A337FF" w:rsidRPr="001F224B" w:rsidRDefault="00A337FF" w:rsidP="00A337FF">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BC2A876" w14:textId="77777777" w:rsidR="00A337FF" w:rsidRPr="001F224B" w:rsidRDefault="00A337FF" w:rsidP="00A337FF">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5C58505" w14:textId="77777777" w:rsidR="00A337FF" w:rsidRPr="001F224B" w:rsidRDefault="00A337FF" w:rsidP="00A337FF">
            <w:pPr>
              <w:jc w:val="right"/>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558CD599" w14:textId="6402AD8F" w:rsidR="00A337FF" w:rsidRPr="001F224B" w:rsidRDefault="00A337FF" w:rsidP="00A337FF">
            <w:pPr>
              <w:jc w:val="right"/>
              <w:rPr>
                <w:b/>
                <w:bCs/>
                <w:sz w:val="16"/>
                <w:szCs w:val="16"/>
              </w:rPr>
            </w:pPr>
            <w:r w:rsidRPr="001F224B">
              <w:rPr>
                <w:b/>
                <w:bCs/>
                <w:sz w:val="16"/>
                <w:szCs w:val="16"/>
              </w:rPr>
              <w:t xml:space="preserve">152,11 </w:t>
            </w:r>
          </w:p>
        </w:tc>
      </w:tr>
    </w:tbl>
    <w:p w14:paraId="5AC49781" w14:textId="77777777" w:rsidR="006327DF" w:rsidRPr="001F224B" w:rsidRDefault="006327DF" w:rsidP="006327DF">
      <w:pPr>
        <w:ind w:right="-256"/>
        <w:jc w:val="both"/>
        <w:rPr>
          <w:rFonts w:eastAsia="Arial Unicode MS"/>
          <w:bCs/>
          <w:sz w:val="4"/>
          <w:szCs w:val="4"/>
        </w:rPr>
      </w:pPr>
    </w:p>
    <w:p w14:paraId="42F507E7" w14:textId="77777777" w:rsidR="006327DF" w:rsidRPr="001F224B" w:rsidRDefault="006327DF" w:rsidP="006327DF">
      <w:pPr>
        <w:ind w:right="-256"/>
        <w:jc w:val="both"/>
        <w:rPr>
          <w:rFonts w:eastAsia="Arial Unicode MS"/>
          <w:bCs/>
          <w:sz w:val="15"/>
          <w:szCs w:val="15"/>
        </w:rPr>
      </w:pPr>
      <w:r w:rsidRPr="001F224B">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76F669BB" w14:textId="77777777" w:rsidR="006327DF" w:rsidRPr="001F224B" w:rsidRDefault="006327DF" w:rsidP="006327DF">
      <w:pPr>
        <w:pStyle w:val="ListParagraph"/>
        <w:tabs>
          <w:tab w:val="left" w:pos="0"/>
        </w:tabs>
        <w:spacing w:before="120"/>
        <w:ind w:left="0"/>
        <w:rPr>
          <w:b/>
          <w:bCs/>
          <w:sz w:val="22"/>
          <w:szCs w:val="22"/>
        </w:rPr>
      </w:pPr>
      <w:r w:rsidRPr="001F224B">
        <w:rPr>
          <w:rFonts w:eastAsia="Arial Unicode MS"/>
          <w:bCs/>
          <w:sz w:val="15"/>
          <w:szCs w:val="15"/>
        </w:rPr>
        <w:br w:type="page"/>
      </w:r>
      <w:r w:rsidRPr="001F224B">
        <w:rPr>
          <w:b/>
          <w:bCs/>
          <w:sz w:val="22"/>
          <w:szCs w:val="22"/>
        </w:rPr>
        <w:t>DÖRDÜNCÜ BÖLÜM (Devamı)</w:t>
      </w:r>
    </w:p>
    <w:p w14:paraId="66432357" w14:textId="77777777" w:rsidR="006327DF" w:rsidRPr="001F224B" w:rsidRDefault="006327DF" w:rsidP="006327DF">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206AE622" w14:textId="1060EF18" w:rsidR="00AE60E1" w:rsidRPr="001F224B" w:rsidRDefault="00AE60E1" w:rsidP="004A0427">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48EF1D99" w14:textId="6A33D25D" w:rsidR="006327DF" w:rsidRPr="001F224B" w:rsidRDefault="006327DF" w:rsidP="00AD102B">
      <w:pPr>
        <w:tabs>
          <w:tab w:val="left" w:pos="567"/>
        </w:tabs>
        <w:spacing w:after="120"/>
        <w:ind w:left="567" w:right="-539"/>
        <w:rPr>
          <w:b/>
          <w:bCs/>
          <w:iCs/>
          <w:sz w:val="22"/>
          <w:szCs w:val="22"/>
        </w:rPr>
      </w:pPr>
      <w:r w:rsidRPr="001F224B">
        <w:rPr>
          <w:b/>
          <w:bCs/>
          <w:iCs/>
          <w:sz w:val="22"/>
          <w:szCs w:val="22"/>
        </w:rPr>
        <w:t xml:space="preserve">4. Net istikrarlı fonlama </w:t>
      </w:r>
      <w:r w:rsidR="00965C67" w:rsidRPr="001F224B">
        <w:rPr>
          <w:b/>
          <w:bCs/>
          <w:iCs/>
          <w:sz w:val="22"/>
          <w:szCs w:val="22"/>
        </w:rPr>
        <w:t>oranı (Devamı):</w:t>
      </w:r>
    </w:p>
    <w:tbl>
      <w:tblPr>
        <w:tblW w:w="10485"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276"/>
      </w:tblGrid>
      <w:tr w:rsidR="006327DF" w:rsidRPr="001F224B" w14:paraId="20F9046E" w14:textId="77777777" w:rsidTr="00C15783">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184F4017" w14:textId="77777777" w:rsidR="006327DF" w:rsidRPr="001F224B" w:rsidRDefault="006327DF" w:rsidP="00B14E44">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335A6D1A" w14:textId="77777777" w:rsidR="006327DF" w:rsidRPr="001F224B" w:rsidRDefault="006327DF" w:rsidP="00B14E44">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84182" w14:textId="77777777" w:rsidR="006327DF" w:rsidRPr="001F224B" w:rsidRDefault="006327DF" w:rsidP="00B14E44">
            <w:pPr>
              <w:jc w:val="center"/>
              <w:rPr>
                <w:b/>
                <w:bCs/>
                <w:sz w:val="15"/>
                <w:szCs w:val="15"/>
              </w:rPr>
            </w:pPr>
            <w:r w:rsidRPr="001F224B">
              <w:rPr>
                <w:b/>
                <w:bCs/>
                <w:sz w:val="15"/>
                <w:szCs w:val="15"/>
              </w:rPr>
              <w:t>Kalan Vadesine Göre Dikkate Alma Oranı Uygulanmamış Tutar</w:t>
            </w:r>
          </w:p>
        </w:tc>
        <w:tc>
          <w:tcPr>
            <w:tcW w:w="1276" w:type="dxa"/>
            <w:tcBorders>
              <w:top w:val="single" w:sz="4" w:space="0" w:color="auto"/>
              <w:left w:val="single" w:sz="4" w:space="0" w:color="auto"/>
              <w:right w:val="single" w:sz="4" w:space="0" w:color="auto"/>
            </w:tcBorders>
            <w:shd w:val="clear" w:color="auto" w:fill="auto"/>
            <w:vAlign w:val="bottom"/>
            <w:hideMark/>
          </w:tcPr>
          <w:p w14:paraId="5095E181" w14:textId="77777777" w:rsidR="006327DF" w:rsidRPr="001F224B" w:rsidRDefault="006327DF" w:rsidP="00B14E44">
            <w:pPr>
              <w:jc w:val="center"/>
              <w:rPr>
                <w:b/>
                <w:bCs/>
                <w:sz w:val="15"/>
                <w:szCs w:val="15"/>
              </w:rPr>
            </w:pPr>
          </w:p>
        </w:tc>
      </w:tr>
      <w:tr w:rsidR="006327DF" w:rsidRPr="001F224B" w14:paraId="56CDF9C8" w14:textId="77777777" w:rsidTr="00C15783">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0C2BBF63" w14:textId="77777777" w:rsidR="006327DF" w:rsidRPr="001F224B" w:rsidRDefault="006327DF" w:rsidP="00B14E44">
            <w:pPr>
              <w:rPr>
                <w:b/>
                <w:bCs/>
                <w:sz w:val="16"/>
                <w:szCs w:val="16"/>
              </w:rPr>
            </w:pPr>
            <w:r w:rsidRPr="001F224B">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055A0120" w14:textId="6D51022E" w:rsidR="006327DF" w:rsidRPr="001F224B" w:rsidRDefault="006327DF" w:rsidP="00B14E44">
            <w:pPr>
              <w:rPr>
                <w:b/>
                <w:bCs/>
                <w:sz w:val="16"/>
                <w:szCs w:val="16"/>
              </w:rPr>
            </w:pPr>
            <w:r w:rsidRPr="001F224B">
              <w:rPr>
                <w:b/>
                <w:bCs/>
                <w:sz w:val="16"/>
                <w:szCs w:val="16"/>
              </w:rPr>
              <w:t> Önceki Dönem (31.12.202</w:t>
            </w:r>
            <w:r w:rsidR="004C43B0" w:rsidRPr="001F224B">
              <w:rPr>
                <w:b/>
                <w:bCs/>
                <w:sz w:val="16"/>
                <w:szCs w:val="16"/>
              </w:rPr>
              <w:t>4</w:t>
            </w:r>
            <w:r w:rsidRPr="001F224B">
              <w:rPr>
                <w:b/>
                <w:bCs/>
                <w:sz w:val="16"/>
                <w:szCs w:val="16"/>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8E9D907" w14:textId="77777777" w:rsidR="006327DF" w:rsidRPr="001F224B" w:rsidRDefault="006327DF" w:rsidP="00B14E44">
            <w:pPr>
              <w:jc w:val="center"/>
              <w:rPr>
                <w:b/>
                <w:bCs/>
                <w:sz w:val="15"/>
                <w:szCs w:val="15"/>
              </w:rPr>
            </w:pPr>
            <w:r w:rsidRPr="001F224B">
              <w:rPr>
                <w:b/>
                <w:bCs/>
                <w:sz w:val="15"/>
                <w:szCs w:val="15"/>
              </w:rPr>
              <w:t>Vadesiz*</w:t>
            </w:r>
          </w:p>
        </w:tc>
        <w:tc>
          <w:tcPr>
            <w:tcW w:w="1134" w:type="dxa"/>
            <w:tcBorders>
              <w:top w:val="nil"/>
              <w:left w:val="nil"/>
              <w:bottom w:val="single" w:sz="4" w:space="0" w:color="auto"/>
              <w:right w:val="single" w:sz="4" w:space="0" w:color="auto"/>
            </w:tcBorders>
            <w:shd w:val="clear" w:color="auto" w:fill="auto"/>
            <w:noWrap/>
            <w:vAlign w:val="bottom"/>
            <w:hideMark/>
          </w:tcPr>
          <w:p w14:paraId="6E37C86B" w14:textId="77777777" w:rsidR="006327DF" w:rsidRPr="001F224B" w:rsidRDefault="006327DF" w:rsidP="00B14E44">
            <w:pPr>
              <w:jc w:val="center"/>
              <w:rPr>
                <w:b/>
                <w:bCs/>
                <w:sz w:val="15"/>
                <w:szCs w:val="15"/>
              </w:rPr>
            </w:pPr>
            <w:r w:rsidRPr="001F224B">
              <w:rPr>
                <w:b/>
                <w:bCs/>
                <w:sz w:val="15"/>
                <w:szCs w:val="15"/>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6D1099C5" w14:textId="77777777" w:rsidR="006327DF" w:rsidRPr="001F224B" w:rsidRDefault="006327DF" w:rsidP="00B14E44">
            <w:pPr>
              <w:jc w:val="center"/>
              <w:rPr>
                <w:b/>
                <w:bCs/>
                <w:sz w:val="15"/>
                <w:szCs w:val="15"/>
              </w:rPr>
            </w:pPr>
            <w:r w:rsidRPr="001F224B">
              <w:rPr>
                <w:b/>
                <w:bCs/>
                <w:sz w:val="15"/>
                <w:szCs w:val="15"/>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30E7FFCC" w14:textId="77777777" w:rsidR="006327DF" w:rsidRPr="001F224B" w:rsidRDefault="006327DF" w:rsidP="00B14E44">
            <w:pPr>
              <w:jc w:val="center"/>
              <w:rPr>
                <w:b/>
                <w:bCs/>
                <w:sz w:val="15"/>
                <w:szCs w:val="15"/>
              </w:rPr>
            </w:pPr>
            <w:r w:rsidRPr="001F224B">
              <w:rPr>
                <w:b/>
                <w:bCs/>
                <w:sz w:val="15"/>
                <w:szCs w:val="15"/>
              </w:rPr>
              <w:t>1 Yıl ve 1 Yıldan Uzun Vadeli</w:t>
            </w:r>
          </w:p>
        </w:tc>
        <w:tc>
          <w:tcPr>
            <w:tcW w:w="1276" w:type="dxa"/>
            <w:tcBorders>
              <w:left w:val="single" w:sz="4" w:space="0" w:color="auto"/>
              <w:bottom w:val="single" w:sz="4" w:space="0" w:color="auto"/>
              <w:right w:val="single" w:sz="4" w:space="0" w:color="auto"/>
            </w:tcBorders>
            <w:vAlign w:val="bottom"/>
            <w:hideMark/>
          </w:tcPr>
          <w:p w14:paraId="4F4CF7DF" w14:textId="664AC02A" w:rsidR="006327DF" w:rsidRPr="001F224B" w:rsidRDefault="00C62C88" w:rsidP="00B14E44">
            <w:pPr>
              <w:jc w:val="center"/>
              <w:rPr>
                <w:b/>
                <w:bCs/>
                <w:sz w:val="15"/>
                <w:szCs w:val="15"/>
              </w:rPr>
            </w:pPr>
            <w:r w:rsidRPr="001F224B">
              <w:rPr>
                <w:b/>
                <w:bCs/>
                <w:sz w:val="15"/>
                <w:szCs w:val="15"/>
              </w:rPr>
              <w:t>Dikkate Alma O</w:t>
            </w:r>
            <w:r w:rsidR="006327DF" w:rsidRPr="001F224B">
              <w:rPr>
                <w:b/>
                <w:bCs/>
                <w:sz w:val="15"/>
                <w:szCs w:val="15"/>
              </w:rPr>
              <w:t>ranı Uygulanmış Toplam Tutar</w:t>
            </w:r>
          </w:p>
        </w:tc>
      </w:tr>
      <w:tr w:rsidR="006327DF" w:rsidRPr="001F224B" w14:paraId="78DDE6E6" w14:textId="77777777" w:rsidTr="00C15783">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F44A58" w14:textId="77777777" w:rsidR="006327DF" w:rsidRPr="001F224B" w:rsidRDefault="006327DF" w:rsidP="00B14E44">
            <w:pPr>
              <w:jc w:val="center"/>
              <w:rPr>
                <w:sz w:val="16"/>
                <w:szCs w:val="16"/>
              </w:rPr>
            </w:pPr>
            <w:r w:rsidRPr="001F224B">
              <w:rPr>
                <w:sz w:val="16"/>
                <w:szCs w:val="16"/>
              </w:rPr>
              <w:t> </w:t>
            </w:r>
          </w:p>
        </w:tc>
        <w:tc>
          <w:tcPr>
            <w:tcW w:w="4252" w:type="dxa"/>
            <w:tcBorders>
              <w:top w:val="nil"/>
              <w:left w:val="nil"/>
              <w:bottom w:val="single" w:sz="4" w:space="0" w:color="auto"/>
              <w:right w:val="nil"/>
            </w:tcBorders>
            <w:shd w:val="clear" w:color="auto" w:fill="auto"/>
            <w:vAlign w:val="center"/>
            <w:hideMark/>
          </w:tcPr>
          <w:p w14:paraId="54D4DFE5" w14:textId="77777777" w:rsidR="006327DF" w:rsidRPr="001F224B" w:rsidRDefault="006327DF" w:rsidP="00B14E44">
            <w:pPr>
              <w:rPr>
                <w:b/>
                <w:bCs/>
                <w:sz w:val="16"/>
                <w:szCs w:val="16"/>
              </w:rPr>
            </w:pPr>
            <w:r w:rsidRPr="001F224B">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59E2A70" w14:textId="77777777" w:rsidR="006327DF" w:rsidRPr="001F224B" w:rsidRDefault="006327DF" w:rsidP="00B14E44">
            <w:pPr>
              <w:rPr>
                <w:sz w:val="16"/>
                <w:szCs w:val="16"/>
              </w:rPr>
            </w:pPr>
            <w:r w:rsidRPr="001F224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CEC0CA" w14:textId="77777777" w:rsidR="006327DF" w:rsidRPr="001F224B" w:rsidRDefault="006327DF" w:rsidP="00B14E44">
            <w:pPr>
              <w:rPr>
                <w:sz w:val="16"/>
                <w:szCs w:val="16"/>
              </w:rPr>
            </w:pPr>
            <w:r w:rsidRPr="001F224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C6BE67" w14:textId="77777777" w:rsidR="006327DF" w:rsidRPr="001F224B" w:rsidRDefault="006327DF" w:rsidP="00B14E44">
            <w:pPr>
              <w:rPr>
                <w:sz w:val="16"/>
                <w:szCs w:val="16"/>
              </w:rPr>
            </w:pPr>
            <w:r w:rsidRPr="001F224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835806" w14:textId="77777777" w:rsidR="006327DF" w:rsidRPr="001F224B" w:rsidRDefault="006327DF" w:rsidP="00B14E44">
            <w:pPr>
              <w:rPr>
                <w:sz w:val="16"/>
                <w:szCs w:val="16"/>
              </w:rPr>
            </w:pPr>
            <w:r w:rsidRPr="001F224B">
              <w:rPr>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21D4B985" w14:textId="77777777" w:rsidR="006327DF" w:rsidRPr="001F224B" w:rsidRDefault="006327DF" w:rsidP="00B14E44">
            <w:pPr>
              <w:rPr>
                <w:sz w:val="16"/>
                <w:szCs w:val="16"/>
              </w:rPr>
            </w:pPr>
            <w:r w:rsidRPr="001F224B">
              <w:rPr>
                <w:sz w:val="16"/>
                <w:szCs w:val="16"/>
              </w:rPr>
              <w:t> </w:t>
            </w:r>
          </w:p>
        </w:tc>
      </w:tr>
      <w:tr w:rsidR="00A220E9" w:rsidRPr="001F224B" w14:paraId="19E2E381" w14:textId="77777777" w:rsidTr="00C15783">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3EFFF9C" w14:textId="77777777" w:rsidR="00A220E9" w:rsidRPr="001F224B" w:rsidRDefault="00A220E9" w:rsidP="00A220E9">
            <w:pPr>
              <w:jc w:val="center"/>
              <w:rPr>
                <w:sz w:val="16"/>
                <w:szCs w:val="16"/>
              </w:rPr>
            </w:pPr>
            <w:r w:rsidRPr="001F224B">
              <w:rPr>
                <w:sz w:val="16"/>
                <w:szCs w:val="16"/>
              </w:rPr>
              <w:t>1</w:t>
            </w:r>
          </w:p>
        </w:tc>
        <w:tc>
          <w:tcPr>
            <w:tcW w:w="4252" w:type="dxa"/>
            <w:tcBorders>
              <w:top w:val="nil"/>
              <w:left w:val="nil"/>
              <w:bottom w:val="single" w:sz="4" w:space="0" w:color="auto"/>
              <w:right w:val="nil"/>
            </w:tcBorders>
            <w:shd w:val="clear" w:color="auto" w:fill="auto"/>
            <w:vAlign w:val="center"/>
            <w:hideMark/>
          </w:tcPr>
          <w:p w14:paraId="592DFFD4" w14:textId="77777777" w:rsidR="00A220E9" w:rsidRPr="001F224B" w:rsidRDefault="00A220E9" w:rsidP="00A220E9">
            <w:pPr>
              <w:rPr>
                <w:b/>
                <w:bCs/>
                <w:sz w:val="16"/>
                <w:szCs w:val="16"/>
              </w:rPr>
            </w:pPr>
            <w:r w:rsidRPr="001F224B">
              <w:rPr>
                <w:b/>
                <w:bCs/>
                <w:sz w:val="16"/>
                <w:szCs w:val="16"/>
              </w:rPr>
              <w:t>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4BC411B" w14:textId="6E457772" w:rsidR="00A220E9" w:rsidRPr="001F224B" w:rsidRDefault="00A220E9" w:rsidP="00A220E9">
            <w:pPr>
              <w:jc w:val="right"/>
              <w:rPr>
                <w:sz w:val="16"/>
                <w:szCs w:val="16"/>
              </w:rPr>
            </w:pPr>
            <w:r w:rsidRPr="001F224B">
              <w:rPr>
                <w:b/>
                <w:bCs/>
                <w:sz w:val="16"/>
                <w:szCs w:val="16"/>
              </w:rPr>
              <w:t>20.678.008</w:t>
            </w:r>
          </w:p>
        </w:tc>
        <w:tc>
          <w:tcPr>
            <w:tcW w:w="1134" w:type="dxa"/>
            <w:tcBorders>
              <w:top w:val="nil"/>
              <w:left w:val="nil"/>
              <w:bottom w:val="single" w:sz="4" w:space="0" w:color="auto"/>
              <w:right w:val="single" w:sz="4" w:space="0" w:color="auto"/>
            </w:tcBorders>
            <w:shd w:val="clear" w:color="auto" w:fill="auto"/>
            <w:noWrap/>
            <w:vAlign w:val="bottom"/>
          </w:tcPr>
          <w:p w14:paraId="551A8186" w14:textId="0E262228" w:rsidR="00A220E9" w:rsidRPr="001F224B" w:rsidRDefault="00A220E9" w:rsidP="00A220E9">
            <w:pPr>
              <w:jc w:val="right"/>
              <w:rPr>
                <w:sz w:val="16"/>
                <w:szCs w:val="16"/>
              </w:rPr>
            </w:pPr>
            <w:r w:rsidRPr="001F224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4E7CDEA" w14:textId="5ABB5E76" w:rsidR="00A220E9" w:rsidRPr="001F224B" w:rsidRDefault="00A220E9" w:rsidP="00A220E9">
            <w:pPr>
              <w:jc w:val="right"/>
              <w:rPr>
                <w:sz w:val="16"/>
                <w:szCs w:val="16"/>
              </w:rPr>
            </w:pPr>
            <w:r w:rsidRPr="001F224B">
              <w:rPr>
                <w:b/>
                <w:bCs/>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7BD37AD9" w14:textId="3575B370" w:rsidR="00A220E9" w:rsidRPr="001F224B" w:rsidRDefault="00A220E9" w:rsidP="00A220E9">
            <w:pPr>
              <w:jc w:val="right"/>
              <w:rPr>
                <w:sz w:val="16"/>
                <w:szCs w:val="16"/>
              </w:rPr>
            </w:pPr>
            <w:r w:rsidRPr="001F224B">
              <w:rPr>
                <w:b/>
                <w:bCs/>
                <w:sz w:val="16"/>
                <w:szCs w:val="16"/>
              </w:rPr>
              <w:t xml:space="preserve">  3.560.311</w:t>
            </w:r>
          </w:p>
        </w:tc>
        <w:tc>
          <w:tcPr>
            <w:tcW w:w="1276" w:type="dxa"/>
            <w:tcBorders>
              <w:top w:val="nil"/>
              <w:left w:val="nil"/>
              <w:bottom w:val="single" w:sz="4" w:space="0" w:color="auto"/>
              <w:right w:val="single" w:sz="4" w:space="0" w:color="auto"/>
            </w:tcBorders>
            <w:shd w:val="clear" w:color="auto" w:fill="auto"/>
            <w:noWrap/>
            <w:vAlign w:val="bottom"/>
          </w:tcPr>
          <w:p w14:paraId="7B1CC5F3" w14:textId="4561FEA6" w:rsidR="00A220E9" w:rsidRPr="001F224B" w:rsidRDefault="00A220E9" w:rsidP="00A220E9">
            <w:pPr>
              <w:jc w:val="right"/>
              <w:rPr>
                <w:sz w:val="16"/>
                <w:szCs w:val="16"/>
              </w:rPr>
            </w:pPr>
            <w:r w:rsidRPr="001F224B">
              <w:rPr>
                <w:b/>
                <w:bCs/>
                <w:sz w:val="16"/>
                <w:szCs w:val="16"/>
              </w:rPr>
              <w:t>24.238.319</w:t>
            </w:r>
          </w:p>
        </w:tc>
      </w:tr>
      <w:tr w:rsidR="00A220E9" w:rsidRPr="001F224B" w14:paraId="6A4EF9C4" w14:textId="77777777" w:rsidTr="00C15783">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03E98D1" w14:textId="77777777" w:rsidR="00A220E9" w:rsidRPr="001F224B" w:rsidRDefault="00A220E9" w:rsidP="00A220E9">
            <w:pPr>
              <w:jc w:val="center"/>
              <w:rPr>
                <w:sz w:val="16"/>
                <w:szCs w:val="16"/>
              </w:rPr>
            </w:pPr>
            <w:r w:rsidRPr="001F224B">
              <w:rPr>
                <w:sz w:val="16"/>
                <w:szCs w:val="16"/>
              </w:rPr>
              <w:t>2</w:t>
            </w:r>
          </w:p>
        </w:tc>
        <w:tc>
          <w:tcPr>
            <w:tcW w:w="4252" w:type="dxa"/>
            <w:tcBorders>
              <w:top w:val="nil"/>
              <w:left w:val="nil"/>
              <w:bottom w:val="single" w:sz="4" w:space="0" w:color="auto"/>
              <w:right w:val="nil"/>
            </w:tcBorders>
            <w:shd w:val="clear" w:color="auto" w:fill="auto"/>
            <w:vAlign w:val="center"/>
            <w:hideMark/>
          </w:tcPr>
          <w:p w14:paraId="6C79524E" w14:textId="77777777" w:rsidR="00A220E9" w:rsidRPr="001F224B" w:rsidRDefault="00A220E9" w:rsidP="00A220E9">
            <w:pPr>
              <w:rPr>
                <w:sz w:val="16"/>
                <w:szCs w:val="16"/>
              </w:rPr>
            </w:pPr>
            <w:r w:rsidRPr="001F224B">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5576603" w14:textId="64526EB3" w:rsidR="00A220E9" w:rsidRPr="001F224B" w:rsidRDefault="00A220E9" w:rsidP="00A220E9">
            <w:pPr>
              <w:jc w:val="right"/>
              <w:rPr>
                <w:sz w:val="16"/>
                <w:szCs w:val="16"/>
              </w:rPr>
            </w:pPr>
            <w:r w:rsidRPr="001F224B">
              <w:rPr>
                <w:sz w:val="16"/>
                <w:szCs w:val="16"/>
              </w:rPr>
              <w:t xml:space="preserve">  20.678.008</w:t>
            </w:r>
          </w:p>
        </w:tc>
        <w:tc>
          <w:tcPr>
            <w:tcW w:w="1134" w:type="dxa"/>
            <w:tcBorders>
              <w:top w:val="nil"/>
              <w:left w:val="nil"/>
              <w:bottom w:val="single" w:sz="4" w:space="0" w:color="auto"/>
              <w:right w:val="single" w:sz="4" w:space="0" w:color="auto"/>
            </w:tcBorders>
            <w:shd w:val="clear" w:color="auto" w:fill="auto"/>
            <w:noWrap/>
            <w:vAlign w:val="bottom"/>
          </w:tcPr>
          <w:p w14:paraId="04F13552" w14:textId="117D88C0" w:rsidR="00A220E9" w:rsidRPr="001F224B" w:rsidRDefault="00A220E9" w:rsidP="00A220E9">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34972F0E" w14:textId="02C0B7FD"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6F502A1" w14:textId="7696BDE6" w:rsidR="00A220E9" w:rsidRPr="001F224B" w:rsidRDefault="00A220E9" w:rsidP="00A220E9">
            <w:pPr>
              <w:jc w:val="right"/>
              <w:rPr>
                <w:sz w:val="16"/>
                <w:szCs w:val="16"/>
              </w:rPr>
            </w:pPr>
            <w:r w:rsidRPr="001F224B">
              <w:rPr>
                <w:sz w:val="16"/>
                <w:szCs w:val="16"/>
              </w:rPr>
              <w:t>3.560.311</w:t>
            </w:r>
          </w:p>
        </w:tc>
        <w:tc>
          <w:tcPr>
            <w:tcW w:w="1276" w:type="dxa"/>
            <w:tcBorders>
              <w:top w:val="nil"/>
              <w:left w:val="nil"/>
              <w:bottom w:val="single" w:sz="4" w:space="0" w:color="auto"/>
              <w:right w:val="single" w:sz="4" w:space="0" w:color="auto"/>
            </w:tcBorders>
            <w:shd w:val="clear" w:color="auto" w:fill="auto"/>
            <w:noWrap/>
            <w:vAlign w:val="bottom"/>
          </w:tcPr>
          <w:p w14:paraId="2072AC76" w14:textId="6E603688" w:rsidR="00A220E9" w:rsidRPr="001F224B" w:rsidRDefault="00A220E9" w:rsidP="00A220E9">
            <w:pPr>
              <w:jc w:val="right"/>
              <w:rPr>
                <w:sz w:val="16"/>
                <w:szCs w:val="16"/>
              </w:rPr>
            </w:pPr>
            <w:r w:rsidRPr="001F224B">
              <w:rPr>
                <w:sz w:val="16"/>
                <w:szCs w:val="16"/>
              </w:rPr>
              <w:t>24.238.319</w:t>
            </w:r>
          </w:p>
        </w:tc>
      </w:tr>
      <w:tr w:rsidR="00A220E9" w:rsidRPr="001F224B" w14:paraId="670DA6AD"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D0B84E" w14:textId="77777777" w:rsidR="00A220E9" w:rsidRPr="001F224B" w:rsidRDefault="00A220E9" w:rsidP="00A220E9">
            <w:pPr>
              <w:jc w:val="center"/>
              <w:rPr>
                <w:sz w:val="16"/>
                <w:szCs w:val="16"/>
              </w:rPr>
            </w:pPr>
            <w:r w:rsidRPr="001F224B">
              <w:rPr>
                <w:sz w:val="16"/>
                <w:szCs w:val="16"/>
              </w:rPr>
              <w:t>3</w:t>
            </w:r>
          </w:p>
        </w:tc>
        <w:tc>
          <w:tcPr>
            <w:tcW w:w="4252" w:type="dxa"/>
            <w:tcBorders>
              <w:top w:val="nil"/>
              <w:left w:val="nil"/>
              <w:bottom w:val="single" w:sz="4" w:space="0" w:color="auto"/>
              <w:right w:val="nil"/>
            </w:tcBorders>
            <w:shd w:val="clear" w:color="auto" w:fill="auto"/>
            <w:vAlign w:val="center"/>
            <w:hideMark/>
          </w:tcPr>
          <w:p w14:paraId="4C3B7BF3" w14:textId="77777777" w:rsidR="00A220E9" w:rsidRPr="001F224B" w:rsidRDefault="00A220E9" w:rsidP="00A220E9">
            <w:pPr>
              <w:rPr>
                <w:sz w:val="16"/>
                <w:szCs w:val="16"/>
              </w:rPr>
            </w:pPr>
            <w:r w:rsidRPr="001F224B">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0EFD9C" w14:textId="633016BA"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7240577" w14:textId="54E34930"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BF27E20" w14:textId="5623FC69"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DD4793" w14:textId="6CB1732E"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040FA3DA" w14:textId="06ECF644" w:rsidR="00A220E9" w:rsidRPr="001F224B" w:rsidRDefault="00A220E9" w:rsidP="00A220E9">
            <w:pPr>
              <w:jc w:val="right"/>
              <w:rPr>
                <w:sz w:val="16"/>
                <w:szCs w:val="16"/>
              </w:rPr>
            </w:pPr>
            <w:r w:rsidRPr="001F224B">
              <w:rPr>
                <w:sz w:val="16"/>
                <w:szCs w:val="16"/>
              </w:rPr>
              <w:t>-</w:t>
            </w:r>
          </w:p>
        </w:tc>
      </w:tr>
      <w:tr w:rsidR="00A220E9" w:rsidRPr="001F224B" w14:paraId="2B0AC9B4" w14:textId="77777777" w:rsidTr="00C15783">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1C03BCD" w14:textId="77777777" w:rsidR="00A220E9" w:rsidRPr="001F224B" w:rsidRDefault="00A220E9" w:rsidP="00A220E9">
            <w:pPr>
              <w:jc w:val="center"/>
              <w:rPr>
                <w:sz w:val="16"/>
                <w:szCs w:val="16"/>
              </w:rPr>
            </w:pPr>
            <w:r w:rsidRPr="001F224B">
              <w:rPr>
                <w:sz w:val="16"/>
                <w:szCs w:val="16"/>
              </w:rPr>
              <w:t>4</w:t>
            </w:r>
          </w:p>
        </w:tc>
        <w:tc>
          <w:tcPr>
            <w:tcW w:w="4252" w:type="dxa"/>
            <w:tcBorders>
              <w:top w:val="nil"/>
              <w:left w:val="nil"/>
              <w:bottom w:val="single" w:sz="4" w:space="0" w:color="auto"/>
              <w:right w:val="nil"/>
            </w:tcBorders>
            <w:shd w:val="clear" w:color="auto" w:fill="auto"/>
            <w:vAlign w:val="center"/>
            <w:hideMark/>
          </w:tcPr>
          <w:p w14:paraId="16C2F21B" w14:textId="77777777" w:rsidR="00A220E9" w:rsidRPr="001F224B" w:rsidRDefault="00A220E9" w:rsidP="00A220E9">
            <w:pPr>
              <w:rPr>
                <w:b/>
                <w:bCs/>
                <w:sz w:val="16"/>
                <w:szCs w:val="16"/>
              </w:rPr>
            </w:pPr>
            <w:r w:rsidRPr="001F224B">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FCEA5FD" w14:textId="42AB7E9C" w:rsidR="00A220E9" w:rsidRPr="001F224B" w:rsidRDefault="00A220E9" w:rsidP="00A220E9">
            <w:pPr>
              <w:jc w:val="right"/>
              <w:rPr>
                <w:b/>
                <w:bCs/>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5C2ACE2" w14:textId="4D720032" w:rsidR="00A220E9" w:rsidRPr="001F224B" w:rsidRDefault="00A220E9" w:rsidP="00A220E9">
            <w:pPr>
              <w:jc w:val="right"/>
              <w:rPr>
                <w:b/>
                <w:bCs/>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86F2900" w14:textId="6D7641E1" w:rsidR="00A220E9" w:rsidRPr="001F224B" w:rsidRDefault="00A220E9" w:rsidP="00A220E9">
            <w:pPr>
              <w:jc w:val="right"/>
              <w:rPr>
                <w:b/>
                <w:bCs/>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B84C91B" w14:textId="28157FB7" w:rsidR="00A220E9" w:rsidRPr="001F224B" w:rsidRDefault="00A220E9" w:rsidP="00A220E9">
            <w:pPr>
              <w:jc w:val="right"/>
              <w:rPr>
                <w:b/>
                <w:bCs/>
                <w:sz w:val="16"/>
                <w:szCs w:val="16"/>
              </w:rPr>
            </w:pPr>
            <w:r w:rsidRPr="001F224B">
              <w:rPr>
                <w:b/>
                <w:bCs/>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023DE0F" w14:textId="08CB629B" w:rsidR="00A220E9" w:rsidRPr="001F224B" w:rsidRDefault="00A220E9" w:rsidP="00A220E9">
            <w:pPr>
              <w:jc w:val="right"/>
              <w:rPr>
                <w:b/>
                <w:bCs/>
                <w:sz w:val="16"/>
                <w:szCs w:val="16"/>
              </w:rPr>
            </w:pPr>
            <w:r w:rsidRPr="001F224B">
              <w:rPr>
                <w:b/>
                <w:bCs/>
                <w:sz w:val="16"/>
                <w:szCs w:val="16"/>
              </w:rPr>
              <w:t>-</w:t>
            </w:r>
          </w:p>
        </w:tc>
      </w:tr>
      <w:tr w:rsidR="00A220E9" w:rsidRPr="001F224B" w14:paraId="587DA1B5" w14:textId="77777777" w:rsidTr="00C15783">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7E8D9BA" w14:textId="77777777" w:rsidR="00A220E9" w:rsidRPr="001F224B" w:rsidRDefault="00A220E9" w:rsidP="00A220E9">
            <w:pPr>
              <w:jc w:val="center"/>
              <w:rPr>
                <w:sz w:val="16"/>
                <w:szCs w:val="16"/>
              </w:rPr>
            </w:pPr>
            <w:r w:rsidRPr="001F224B">
              <w:rPr>
                <w:sz w:val="16"/>
                <w:szCs w:val="16"/>
              </w:rPr>
              <w:t>5</w:t>
            </w:r>
          </w:p>
        </w:tc>
        <w:tc>
          <w:tcPr>
            <w:tcW w:w="4252" w:type="dxa"/>
            <w:tcBorders>
              <w:top w:val="nil"/>
              <w:left w:val="nil"/>
              <w:bottom w:val="single" w:sz="4" w:space="0" w:color="auto"/>
              <w:right w:val="nil"/>
            </w:tcBorders>
            <w:shd w:val="clear" w:color="auto" w:fill="auto"/>
            <w:vAlign w:val="center"/>
            <w:hideMark/>
          </w:tcPr>
          <w:p w14:paraId="1AF59E86" w14:textId="77777777" w:rsidR="00A220E9" w:rsidRPr="001F224B" w:rsidRDefault="00A220E9" w:rsidP="00A220E9">
            <w:pPr>
              <w:rPr>
                <w:sz w:val="16"/>
                <w:szCs w:val="16"/>
              </w:rPr>
            </w:pPr>
            <w:r w:rsidRPr="001F224B">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CF2803" w14:textId="7B6FA4AB"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53ED0CF" w14:textId="65D9AEB1" w:rsidR="00A220E9" w:rsidRPr="001F224B" w:rsidRDefault="00A220E9" w:rsidP="00A220E9">
            <w:pPr>
              <w:ind w:hanging="437"/>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5DD673F" w14:textId="52BA3553"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CEB1C1" w14:textId="2BE64B73"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69861918" w14:textId="59E236CD" w:rsidR="00A220E9" w:rsidRPr="001F224B" w:rsidRDefault="00A220E9" w:rsidP="00A220E9">
            <w:pPr>
              <w:jc w:val="right"/>
              <w:rPr>
                <w:sz w:val="16"/>
                <w:szCs w:val="16"/>
              </w:rPr>
            </w:pPr>
            <w:r w:rsidRPr="001F224B">
              <w:rPr>
                <w:sz w:val="16"/>
                <w:szCs w:val="16"/>
              </w:rPr>
              <w:t>-</w:t>
            </w:r>
          </w:p>
        </w:tc>
      </w:tr>
      <w:tr w:rsidR="00A220E9" w:rsidRPr="001F224B" w14:paraId="27B9F4E0" w14:textId="77777777" w:rsidTr="00C15783">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6B17D7C" w14:textId="77777777" w:rsidR="00A220E9" w:rsidRPr="001F224B" w:rsidRDefault="00A220E9" w:rsidP="00A220E9">
            <w:pPr>
              <w:jc w:val="center"/>
              <w:rPr>
                <w:sz w:val="16"/>
                <w:szCs w:val="16"/>
              </w:rPr>
            </w:pPr>
            <w:r w:rsidRPr="001F224B">
              <w:rPr>
                <w:sz w:val="16"/>
                <w:szCs w:val="16"/>
              </w:rPr>
              <w:t>6</w:t>
            </w:r>
          </w:p>
        </w:tc>
        <w:tc>
          <w:tcPr>
            <w:tcW w:w="4252" w:type="dxa"/>
            <w:tcBorders>
              <w:top w:val="nil"/>
              <w:left w:val="nil"/>
              <w:bottom w:val="single" w:sz="4" w:space="0" w:color="auto"/>
              <w:right w:val="nil"/>
            </w:tcBorders>
            <w:shd w:val="clear" w:color="auto" w:fill="auto"/>
            <w:vAlign w:val="center"/>
            <w:hideMark/>
          </w:tcPr>
          <w:p w14:paraId="4227EAFE" w14:textId="77777777" w:rsidR="00A220E9" w:rsidRPr="001F224B" w:rsidRDefault="00A220E9" w:rsidP="00A220E9">
            <w:pPr>
              <w:rPr>
                <w:sz w:val="16"/>
                <w:szCs w:val="16"/>
              </w:rPr>
            </w:pPr>
            <w:r w:rsidRPr="001F224B">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06EF029" w14:textId="4FD40194"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B001F3A" w14:textId="1D1EC8B4"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EBAAEBE" w14:textId="2EB2AF20"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ACE6B1D" w14:textId="3624F7A9"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5BF02B4C" w14:textId="38DAD948" w:rsidR="00A220E9" w:rsidRPr="001F224B" w:rsidRDefault="00A220E9" w:rsidP="00A220E9">
            <w:pPr>
              <w:jc w:val="right"/>
              <w:rPr>
                <w:sz w:val="16"/>
                <w:szCs w:val="16"/>
              </w:rPr>
            </w:pPr>
            <w:r w:rsidRPr="001F224B">
              <w:rPr>
                <w:sz w:val="16"/>
                <w:szCs w:val="16"/>
              </w:rPr>
              <w:t>-</w:t>
            </w:r>
          </w:p>
        </w:tc>
      </w:tr>
      <w:tr w:rsidR="00A220E9" w:rsidRPr="001F224B" w14:paraId="533712FD"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F40F4A" w14:textId="77777777" w:rsidR="00A220E9" w:rsidRPr="001F224B" w:rsidRDefault="00A220E9" w:rsidP="00A220E9">
            <w:pPr>
              <w:jc w:val="center"/>
              <w:rPr>
                <w:sz w:val="16"/>
                <w:szCs w:val="16"/>
              </w:rPr>
            </w:pPr>
            <w:r w:rsidRPr="001F224B">
              <w:rPr>
                <w:sz w:val="16"/>
                <w:szCs w:val="16"/>
              </w:rPr>
              <w:t>7</w:t>
            </w:r>
          </w:p>
        </w:tc>
        <w:tc>
          <w:tcPr>
            <w:tcW w:w="4252" w:type="dxa"/>
            <w:tcBorders>
              <w:top w:val="nil"/>
              <w:left w:val="nil"/>
              <w:bottom w:val="single" w:sz="4" w:space="0" w:color="auto"/>
              <w:right w:val="nil"/>
            </w:tcBorders>
            <w:shd w:val="clear" w:color="auto" w:fill="auto"/>
            <w:vAlign w:val="center"/>
            <w:hideMark/>
          </w:tcPr>
          <w:p w14:paraId="64FB6285" w14:textId="77777777" w:rsidR="00A220E9" w:rsidRPr="001F224B" w:rsidRDefault="00A220E9" w:rsidP="00A220E9">
            <w:pPr>
              <w:rPr>
                <w:b/>
                <w:bCs/>
                <w:sz w:val="16"/>
                <w:szCs w:val="16"/>
              </w:rPr>
            </w:pPr>
            <w:r w:rsidRPr="001F224B">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AFF83F3" w14:textId="0F1941F0" w:rsidR="00A220E9" w:rsidRPr="001F224B" w:rsidRDefault="00A220E9" w:rsidP="00A220E9">
            <w:pPr>
              <w:jc w:val="right"/>
              <w:rPr>
                <w:b/>
                <w:bCs/>
                <w:sz w:val="16"/>
                <w:szCs w:val="16"/>
              </w:rPr>
            </w:pPr>
            <w:r w:rsidRPr="001F224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5775CFE0" w14:textId="33685BDD" w:rsidR="00A220E9" w:rsidRPr="001F224B" w:rsidRDefault="00A220E9" w:rsidP="00A220E9">
            <w:pPr>
              <w:jc w:val="right"/>
              <w:rPr>
                <w:b/>
                <w:bCs/>
                <w:sz w:val="16"/>
                <w:szCs w:val="16"/>
              </w:rPr>
            </w:pPr>
            <w:r w:rsidRPr="001F224B">
              <w:rPr>
                <w:b/>
                <w:bCs/>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5DB4B2F8" w14:textId="17D34968" w:rsidR="00A220E9" w:rsidRPr="001F224B" w:rsidRDefault="00A220E9" w:rsidP="00A220E9">
            <w:pPr>
              <w:jc w:val="right"/>
              <w:rPr>
                <w:b/>
                <w:bCs/>
                <w:sz w:val="16"/>
                <w:szCs w:val="16"/>
              </w:rPr>
            </w:pPr>
            <w:r w:rsidRPr="001F224B">
              <w:rPr>
                <w:b/>
                <w:bCs/>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7842B1D3" w14:textId="52CB2B51" w:rsidR="00A220E9" w:rsidRPr="001F224B" w:rsidRDefault="00A220E9" w:rsidP="00A220E9">
            <w:pPr>
              <w:jc w:val="right"/>
              <w:rPr>
                <w:b/>
                <w:bCs/>
                <w:sz w:val="16"/>
                <w:szCs w:val="16"/>
              </w:rPr>
            </w:pPr>
            <w:r w:rsidRPr="001F224B">
              <w:rPr>
                <w:b/>
                <w:bCs/>
                <w:sz w:val="16"/>
                <w:szCs w:val="16"/>
              </w:rPr>
              <w:t xml:space="preserve"> 113.849.837 </w:t>
            </w:r>
          </w:p>
        </w:tc>
        <w:tc>
          <w:tcPr>
            <w:tcW w:w="1276" w:type="dxa"/>
            <w:tcBorders>
              <w:top w:val="nil"/>
              <w:left w:val="nil"/>
              <w:bottom w:val="single" w:sz="4" w:space="0" w:color="auto"/>
              <w:right w:val="single" w:sz="4" w:space="0" w:color="auto"/>
            </w:tcBorders>
            <w:shd w:val="clear" w:color="auto" w:fill="auto"/>
            <w:noWrap/>
            <w:vAlign w:val="bottom"/>
          </w:tcPr>
          <w:p w14:paraId="31ACF4C6" w14:textId="3EC02595" w:rsidR="00A220E9" w:rsidRPr="001F224B" w:rsidRDefault="00A220E9" w:rsidP="00A220E9">
            <w:pPr>
              <w:jc w:val="right"/>
              <w:rPr>
                <w:b/>
                <w:bCs/>
                <w:sz w:val="16"/>
                <w:szCs w:val="16"/>
              </w:rPr>
            </w:pPr>
            <w:r w:rsidRPr="001F224B">
              <w:rPr>
                <w:b/>
                <w:bCs/>
                <w:sz w:val="16"/>
                <w:szCs w:val="16"/>
              </w:rPr>
              <w:t xml:space="preserve"> 117.124.756 </w:t>
            </w:r>
          </w:p>
        </w:tc>
      </w:tr>
      <w:tr w:rsidR="00A220E9" w:rsidRPr="001F224B" w14:paraId="17365037" w14:textId="77777777" w:rsidTr="00C15783">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E0638F" w14:textId="77777777" w:rsidR="00A220E9" w:rsidRPr="001F224B" w:rsidRDefault="00A220E9" w:rsidP="00A220E9">
            <w:pPr>
              <w:jc w:val="center"/>
              <w:rPr>
                <w:sz w:val="16"/>
                <w:szCs w:val="16"/>
              </w:rPr>
            </w:pPr>
            <w:r w:rsidRPr="001F224B">
              <w:rPr>
                <w:sz w:val="16"/>
                <w:szCs w:val="16"/>
              </w:rPr>
              <w:t>8</w:t>
            </w:r>
          </w:p>
        </w:tc>
        <w:tc>
          <w:tcPr>
            <w:tcW w:w="4252" w:type="dxa"/>
            <w:tcBorders>
              <w:top w:val="nil"/>
              <w:left w:val="nil"/>
              <w:bottom w:val="single" w:sz="4" w:space="0" w:color="auto"/>
              <w:right w:val="nil"/>
            </w:tcBorders>
            <w:shd w:val="clear" w:color="auto" w:fill="auto"/>
            <w:vAlign w:val="center"/>
            <w:hideMark/>
          </w:tcPr>
          <w:p w14:paraId="75580AC9" w14:textId="77777777" w:rsidR="00A220E9" w:rsidRPr="001F224B" w:rsidRDefault="00A220E9" w:rsidP="00A220E9">
            <w:pPr>
              <w:rPr>
                <w:sz w:val="16"/>
                <w:szCs w:val="16"/>
              </w:rPr>
            </w:pPr>
            <w:r w:rsidRPr="001F224B">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DA2B6CF" w14:textId="6903B6B7" w:rsidR="00A220E9" w:rsidRPr="001F224B" w:rsidRDefault="00A220E9" w:rsidP="00A220E9">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64C026E" w14:textId="70A55598" w:rsidR="00A220E9" w:rsidRPr="001F224B" w:rsidRDefault="00A220E9" w:rsidP="00A220E9">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5D0630FE" w14:textId="305CE9D5" w:rsidR="00A220E9" w:rsidRPr="001F224B" w:rsidRDefault="00A220E9" w:rsidP="00A220E9">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51926401" w14:textId="046CBC1A" w:rsidR="00A220E9" w:rsidRPr="001F224B" w:rsidRDefault="00A220E9" w:rsidP="00A220E9">
            <w:pPr>
              <w:jc w:val="right"/>
              <w:rPr>
                <w:sz w:val="16"/>
                <w:szCs w:val="16"/>
              </w:rPr>
            </w:pPr>
            <w:r w:rsidRPr="001F224B">
              <w:rPr>
                <w:sz w:val="16"/>
                <w:szCs w:val="16"/>
              </w:rPr>
              <w:t xml:space="preserve"> -   </w:t>
            </w:r>
          </w:p>
        </w:tc>
        <w:tc>
          <w:tcPr>
            <w:tcW w:w="1276" w:type="dxa"/>
            <w:tcBorders>
              <w:top w:val="nil"/>
              <w:left w:val="nil"/>
              <w:bottom w:val="single" w:sz="4" w:space="0" w:color="auto"/>
              <w:right w:val="single" w:sz="4" w:space="0" w:color="auto"/>
            </w:tcBorders>
            <w:shd w:val="clear" w:color="auto" w:fill="auto"/>
            <w:noWrap/>
            <w:vAlign w:val="bottom"/>
          </w:tcPr>
          <w:p w14:paraId="78134B22" w14:textId="5A78E36C" w:rsidR="00A220E9" w:rsidRPr="001F224B" w:rsidRDefault="00A220E9" w:rsidP="00A220E9">
            <w:pPr>
              <w:jc w:val="right"/>
              <w:rPr>
                <w:sz w:val="16"/>
                <w:szCs w:val="16"/>
              </w:rPr>
            </w:pPr>
          </w:p>
        </w:tc>
      </w:tr>
      <w:tr w:rsidR="00A220E9" w:rsidRPr="001F224B" w14:paraId="693BC35A" w14:textId="77777777" w:rsidTr="00C15783">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9B00102" w14:textId="77777777" w:rsidR="00A220E9" w:rsidRPr="001F224B" w:rsidRDefault="00A220E9" w:rsidP="00A220E9">
            <w:pPr>
              <w:jc w:val="center"/>
              <w:rPr>
                <w:sz w:val="16"/>
                <w:szCs w:val="16"/>
              </w:rPr>
            </w:pPr>
            <w:r w:rsidRPr="001F224B">
              <w:rPr>
                <w:sz w:val="16"/>
                <w:szCs w:val="16"/>
              </w:rPr>
              <w:t>9</w:t>
            </w:r>
          </w:p>
        </w:tc>
        <w:tc>
          <w:tcPr>
            <w:tcW w:w="4252" w:type="dxa"/>
            <w:tcBorders>
              <w:top w:val="nil"/>
              <w:left w:val="nil"/>
              <w:bottom w:val="single" w:sz="4" w:space="0" w:color="auto"/>
              <w:right w:val="nil"/>
            </w:tcBorders>
            <w:shd w:val="clear" w:color="auto" w:fill="auto"/>
            <w:vAlign w:val="center"/>
            <w:hideMark/>
          </w:tcPr>
          <w:p w14:paraId="102377F4" w14:textId="77777777" w:rsidR="00A220E9" w:rsidRPr="001F224B" w:rsidRDefault="00A220E9" w:rsidP="00A220E9">
            <w:pPr>
              <w:rPr>
                <w:sz w:val="16"/>
                <w:szCs w:val="16"/>
              </w:rPr>
            </w:pPr>
            <w:r w:rsidRPr="001F224B">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BD9765" w14:textId="6AB985FE"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365C9AA" w14:textId="09EFD028" w:rsidR="00A220E9" w:rsidRPr="001F224B" w:rsidRDefault="00A220E9" w:rsidP="00A220E9">
            <w:pPr>
              <w:jc w:val="right"/>
              <w:rPr>
                <w:sz w:val="16"/>
                <w:szCs w:val="16"/>
              </w:rPr>
            </w:pPr>
            <w:r w:rsidRPr="001F224B">
              <w:rPr>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22F68601" w14:textId="43CFF95C" w:rsidR="00A220E9" w:rsidRPr="001F224B" w:rsidRDefault="00A220E9" w:rsidP="00A220E9">
            <w:pPr>
              <w:jc w:val="right"/>
              <w:rPr>
                <w:sz w:val="16"/>
                <w:szCs w:val="16"/>
              </w:rPr>
            </w:pPr>
            <w:r w:rsidRPr="001F224B">
              <w:rPr>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667FA8F5" w14:textId="7946464D" w:rsidR="00A220E9" w:rsidRPr="001F224B" w:rsidRDefault="00A220E9" w:rsidP="00A220E9">
            <w:pPr>
              <w:jc w:val="right"/>
              <w:rPr>
                <w:sz w:val="16"/>
                <w:szCs w:val="16"/>
              </w:rPr>
            </w:pPr>
            <w:r w:rsidRPr="001F224B">
              <w:rPr>
                <w:sz w:val="16"/>
                <w:szCs w:val="16"/>
              </w:rPr>
              <w:t xml:space="preserve"> 113.849.837 </w:t>
            </w:r>
          </w:p>
        </w:tc>
        <w:tc>
          <w:tcPr>
            <w:tcW w:w="1276" w:type="dxa"/>
            <w:tcBorders>
              <w:top w:val="nil"/>
              <w:left w:val="nil"/>
              <w:bottom w:val="single" w:sz="4" w:space="0" w:color="auto"/>
              <w:right w:val="single" w:sz="4" w:space="0" w:color="auto"/>
            </w:tcBorders>
            <w:shd w:val="clear" w:color="auto" w:fill="auto"/>
            <w:noWrap/>
            <w:vAlign w:val="bottom"/>
          </w:tcPr>
          <w:p w14:paraId="4A819B9D" w14:textId="690A427A" w:rsidR="00A220E9" w:rsidRPr="001F224B" w:rsidRDefault="00A220E9" w:rsidP="00A220E9">
            <w:pPr>
              <w:jc w:val="right"/>
              <w:rPr>
                <w:sz w:val="16"/>
                <w:szCs w:val="16"/>
              </w:rPr>
            </w:pPr>
            <w:r w:rsidRPr="001F224B">
              <w:rPr>
                <w:sz w:val="16"/>
                <w:szCs w:val="16"/>
              </w:rPr>
              <w:t xml:space="preserve"> 117.124.756 </w:t>
            </w:r>
          </w:p>
        </w:tc>
      </w:tr>
      <w:tr w:rsidR="00A220E9" w:rsidRPr="001F224B" w14:paraId="7C32C3BB" w14:textId="77777777" w:rsidTr="00C15783">
        <w:trPr>
          <w:trHeight w:val="2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4C2546C" w14:textId="77777777" w:rsidR="00A220E9" w:rsidRPr="001F224B" w:rsidRDefault="00A220E9" w:rsidP="00A220E9">
            <w:pPr>
              <w:jc w:val="center"/>
              <w:rPr>
                <w:sz w:val="16"/>
                <w:szCs w:val="16"/>
              </w:rPr>
            </w:pPr>
            <w:r w:rsidRPr="001F224B">
              <w:rPr>
                <w:sz w:val="16"/>
                <w:szCs w:val="16"/>
              </w:rPr>
              <w:t>10</w:t>
            </w:r>
          </w:p>
        </w:tc>
        <w:tc>
          <w:tcPr>
            <w:tcW w:w="4252" w:type="dxa"/>
            <w:tcBorders>
              <w:top w:val="nil"/>
              <w:left w:val="nil"/>
              <w:bottom w:val="single" w:sz="4" w:space="0" w:color="auto"/>
              <w:right w:val="nil"/>
            </w:tcBorders>
            <w:shd w:val="clear" w:color="auto" w:fill="auto"/>
            <w:vAlign w:val="center"/>
            <w:hideMark/>
          </w:tcPr>
          <w:p w14:paraId="1E2D8F53" w14:textId="77777777" w:rsidR="00A220E9" w:rsidRPr="001F224B" w:rsidRDefault="00A220E9" w:rsidP="00A220E9">
            <w:pPr>
              <w:rPr>
                <w:b/>
                <w:bCs/>
                <w:sz w:val="16"/>
                <w:szCs w:val="16"/>
              </w:rPr>
            </w:pPr>
            <w:r w:rsidRPr="001F224B">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4E01FB2"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52CC083"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0E23B0F"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2005D47"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3075AC9" w14:textId="77777777" w:rsidR="00A220E9" w:rsidRPr="001F224B" w:rsidRDefault="00A220E9" w:rsidP="00A220E9">
            <w:pPr>
              <w:jc w:val="right"/>
              <w:rPr>
                <w:sz w:val="16"/>
                <w:szCs w:val="16"/>
              </w:rPr>
            </w:pPr>
          </w:p>
        </w:tc>
      </w:tr>
      <w:tr w:rsidR="00A220E9" w:rsidRPr="001F224B" w14:paraId="332F2AB0"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28BE0BC" w14:textId="77777777" w:rsidR="00A220E9" w:rsidRPr="001F224B" w:rsidRDefault="00A220E9" w:rsidP="00A220E9">
            <w:pPr>
              <w:jc w:val="center"/>
              <w:rPr>
                <w:sz w:val="16"/>
                <w:szCs w:val="16"/>
              </w:rPr>
            </w:pPr>
            <w:r w:rsidRPr="001F224B">
              <w:rPr>
                <w:sz w:val="16"/>
                <w:szCs w:val="16"/>
              </w:rPr>
              <w:t>11</w:t>
            </w:r>
          </w:p>
        </w:tc>
        <w:tc>
          <w:tcPr>
            <w:tcW w:w="4252" w:type="dxa"/>
            <w:tcBorders>
              <w:top w:val="nil"/>
              <w:left w:val="nil"/>
              <w:bottom w:val="single" w:sz="4" w:space="0" w:color="auto"/>
              <w:right w:val="nil"/>
            </w:tcBorders>
            <w:shd w:val="clear" w:color="auto" w:fill="auto"/>
            <w:vAlign w:val="center"/>
            <w:hideMark/>
          </w:tcPr>
          <w:p w14:paraId="0B395342" w14:textId="77777777" w:rsidR="00A220E9" w:rsidRPr="001F224B" w:rsidRDefault="00A220E9" w:rsidP="00A220E9">
            <w:pPr>
              <w:rPr>
                <w:b/>
                <w:bCs/>
                <w:sz w:val="16"/>
                <w:szCs w:val="16"/>
              </w:rPr>
            </w:pPr>
            <w:r w:rsidRPr="001F224B">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3BBEFA" w14:textId="5EB1BD01" w:rsidR="00A220E9" w:rsidRPr="001F224B" w:rsidRDefault="00A220E9" w:rsidP="00A220E9">
            <w:pPr>
              <w:jc w:val="right"/>
              <w:rPr>
                <w:sz w:val="16"/>
                <w:szCs w:val="16"/>
              </w:rPr>
            </w:pPr>
            <w:r w:rsidRPr="001F224B">
              <w:rPr>
                <w:b/>
                <w:bCs/>
                <w:sz w:val="16"/>
                <w:szCs w:val="16"/>
              </w:rPr>
              <w:t xml:space="preserve"> 11.327.747 </w:t>
            </w:r>
          </w:p>
        </w:tc>
        <w:tc>
          <w:tcPr>
            <w:tcW w:w="1134" w:type="dxa"/>
            <w:tcBorders>
              <w:top w:val="nil"/>
              <w:left w:val="nil"/>
              <w:bottom w:val="single" w:sz="4" w:space="0" w:color="auto"/>
              <w:right w:val="single" w:sz="4" w:space="0" w:color="auto"/>
            </w:tcBorders>
            <w:shd w:val="clear" w:color="auto" w:fill="auto"/>
            <w:noWrap/>
            <w:vAlign w:val="bottom"/>
          </w:tcPr>
          <w:p w14:paraId="5C1A58E8" w14:textId="7403491E" w:rsidR="00A220E9" w:rsidRPr="001F224B" w:rsidRDefault="00A220E9" w:rsidP="00A220E9">
            <w:pPr>
              <w:jc w:val="right"/>
              <w:rPr>
                <w:sz w:val="16"/>
                <w:szCs w:val="16"/>
              </w:rPr>
            </w:pPr>
            <w:r w:rsidRPr="001F224B">
              <w:rPr>
                <w:b/>
                <w:bCs/>
                <w:sz w:val="16"/>
                <w:szCs w:val="16"/>
              </w:rPr>
              <w:t xml:space="preserve"> 407.652 </w:t>
            </w:r>
          </w:p>
        </w:tc>
        <w:tc>
          <w:tcPr>
            <w:tcW w:w="1134" w:type="dxa"/>
            <w:tcBorders>
              <w:top w:val="nil"/>
              <w:left w:val="nil"/>
              <w:bottom w:val="single" w:sz="4" w:space="0" w:color="auto"/>
              <w:right w:val="single" w:sz="4" w:space="0" w:color="auto"/>
            </w:tcBorders>
            <w:shd w:val="clear" w:color="auto" w:fill="auto"/>
            <w:noWrap/>
            <w:vAlign w:val="bottom"/>
          </w:tcPr>
          <w:p w14:paraId="79D19F2F" w14:textId="01F06018"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9D4C548" w14:textId="75DB033E"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2A15B0E" w14:textId="3897EC40" w:rsidR="00A220E9" w:rsidRPr="001F224B" w:rsidRDefault="00A220E9" w:rsidP="00A220E9">
            <w:pPr>
              <w:jc w:val="right"/>
              <w:rPr>
                <w:sz w:val="16"/>
                <w:szCs w:val="16"/>
              </w:rPr>
            </w:pPr>
            <w:r w:rsidRPr="001F224B">
              <w:rPr>
                <w:sz w:val="16"/>
                <w:szCs w:val="16"/>
              </w:rPr>
              <w:t>-</w:t>
            </w:r>
          </w:p>
        </w:tc>
      </w:tr>
      <w:tr w:rsidR="00A220E9" w:rsidRPr="001F224B" w14:paraId="3717F16B" w14:textId="77777777" w:rsidTr="00C15783">
        <w:trPr>
          <w:trHeight w:val="7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3856C7E" w14:textId="77777777" w:rsidR="00A220E9" w:rsidRPr="001F224B" w:rsidRDefault="00A220E9" w:rsidP="00A220E9">
            <w:pPr>
              <w:jc w:val="center"/>
              <w:rPr>
                <w:sz w:val="16"/>
                <w:szCs w:val="16"/>
              </w:rPr>
            </w:pPr>
            <w:r w:rsidRPr="001F224B">
              <w:rPr>
                <w:sz w:val="16"/>
                <w:szCs w:val="16"/>
              </w:rPr>
              <w:t>12</w:t>
            </w:r>
          </w:p>
        </w:tc>
        <w:tc>
          <w:tcPr>
            <w:tcW w:w="4252" w:type="dxa"/>
            <w:tcBorders>
              <w:top w:val="nil"/>
              <w:left w:val="nil"/>
              <w:bottom w:val="single" w:sz="4" w:space="0" w:color="auto"/>
              <w:right w:val="nil"/>
            </w:tcBorders>
            <w:shd w:val="clear" w:color="auto" w:fill="auto"/>
            <w:vAlign w:val="center"/>
            <w:hideMark/>
          </w:tcPr>
          <w:p w14:paraId="209FED59" w14:textId="77777777" w:rsidR="00A220E9" w:rsidRPr="001F224B" w:rsidRDefault="00A220E9" w:rsidP="00A220E9">
            <w:pPr>
              <w:rPr>
                <w:sz w:val="16"/>
                <w:szCs w:val="16"/>
              </w:rPr>
            </w:pPr>
            <w:r w:rsidRPr="001F224B">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261456D"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8B1351F" w14:textId="705CC13C" w:rsidR="00A220E9" w:rsidRPr="001F224B" w:rsidRDefault="00A220E9" w:rsidP="00A220E9">
            <w:pPr>
              <w:jc w:val="right"/>
              <w:rPr>
                <w:sz w:val="16"/>
                <w:szCs w:val="16"/>
              </w:rPr>
            </w:pPr>
            <w:r w:rsidRPr="001F224B">
              <w:rPr>
                <w:sz w:val="16"/>
                <w:szCs w:val="16"/>
              </w:rPr>
              <w:t xml:space="preserve"> 311.297 </w:t>
            </w:r>
          </w:p>
        </w:tc>
        <w:tc>
          <w:tcPr>
            <w:tcW w:w="1134" w:type="dxa"/>
            <w:tcBorders>
              <w:top w:val="nil"/>
              <w:left w:val="nil"/>
              <w:bottom w:val="single" w:sz="4" w:space="0" w:color="auto"/>
              <w:right w:val="single" w:sz="4" w:space="0" w:color="auto"/>
            </w:tcBorders>
            <w:shd w:val="clear" w:color="auto" w:fill="auto"/>
            <w:noWrap/>
            <w:vAlign w:val="bottom"/>
          </w:tcPr>
          <w:p w14:paraId="214FCDE4" w14:textId="68705C59"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A5F53" w14:textId="71D4D362"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647AF2B" w14:textId="77777777" w:rsidR="00A220E9" w:rsidRPr="001F224B" w:rsidRDefault="00A220E9" w:rsidP="00A220E9">
            <w:pPr>
              <w:jc w:val="right"/>
              <w:rPr>
                <w:sz w:val="16"/>
                <w:szCs w:val="16"/>
              </w:rPr>
            </w:pPr>
          </w:p>
        </w:tc>
      </w:tr>
      <w:tr w:rsidR="00A220E9" w:rsidRPr="001F224B" w14:paraId="73372EDA"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9565D2" w14:textId="77777777" w:rsidR="00A220E9" w:rsidRPr="001F224B" w:rsidRDefault="00A220E9" w:rsidP="00A220E9">
            <w:pPr>
              <w:jc w:val="center"/>
              <w:rPr>
                <w:sz w:val="16"/>
                <w:szCs w:val="16"/>
              </w:rPr>
            </w:pPr>
            <w:r w:rsidRPr="001F224B">
              <w:rPr>
                <w:sz w:val="16"/>
                <w:szCs w:val="16"/>
              </w:rPr>
              <w:t>13</w:t>
            </w:r>
          </w:p>
        </w:tc>
        <w:tc>
          <w:tcPr>
            <w:tcW w:w="4252" w:type="dxa"/>
            <w:tcBorders>
              <w:top w:val="nil"/>
              <w:left w:val="nil"/>
              <w:bottom w:val="single" w:sz="4" w:space="0" w:color="auto"/>
              <w:right w:val="nil"/>
            </w:tcBorders>
            <w:shd w:val="clear" w:color="auto" w:fill="auto"/>
            <w:vAlign w:val="center"/>
            <w:hideMark/>
          </w:tcPr>
          <w:p w14:paraId="7A6FFBDB" w14:textId="77777777" w:rsidR="00A220E9" w:rsidRPr="001F224B" w:rsidRDefault="00A220E9" w:rsidP="00A220E9">
            <w:pPr>
              <w:rPr>
                <w:sz w:val="16"/>
                <w:szCs w:val="16"/>
              </w:rPr>
            </w:pPr>
            <w:r w:rsidRPr="001F224B">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1E0735" w14:textId="7A54AE57" w:rsidR="00A220E9" w:rsidRPr="001F224B" w:rsidRDefault="00A220E9" w:rsidP="00A220E9">
            <w:pPr>
              <w:jc w:val="right"/>
              <w:rPr>
                <w:sz w:val="16"/>
                <w:szCs w:val="16"/>
              </w:rPr>
            </w:pPr>
            <w:r w:rsidRPr="001F224B">
              <w:rPr>
                <w:sz w:val="16"/>
                <w:szCs w:val="16"/>
              </w:rPr>
              <w:t xml:space="preserve"> 11.327.747 </w:t>
            </w:r>
          </w:p>
        </w:tc>
        <w:tc>
          <w:tcPr>
            <w:tcW w:w="1134" w:type="dxa"/>
            <w:tcBorders>
              <w:top w:val="nil"/>
              <w:left w:val="nil"/>
              <w:bottom w:val="single" w:sz="4" w:space="0" w:color="auto"/>
              <w:right w:val="single" w:sz="4" w:space="0" w:color="auto"/>
            </w:tcBorders>
            <w:shd w:val="clear" w:color="auto" w:fill="auto"/>
            <w:noWrap/>
            <w:vAlign w:val="bottom"/>
          </w:tcPr>
          <w:p w14:paraId="5C073F77" w14:textId="3203EFE1" w:rsidR="00A220E9" w:rsidRPr="001F224B" w:rsidRDefault="00A220E9" w:rsidP="00A220E9">
            <w:pPr>
              <w:jc w:val="right"/>
              <w:rPr>
                <w:sz w:val="16"/>
                <w:szCs w:val="16"/>
              </w:rPr>
            </w:pPr>
            <w:r w:rsidRPr="001F224B">
              <w:rPr>
                <w:sz w:val="16"/>
                <w:szCs w:val="16"/>
              </w:rPr>
              <w:t xml:space="preserve"> 96.355 </w:t>
            </w:r>
          </w:p>
        </w:tc>
        <w:tc>
          <w:tcPr>
            <w:tcW w:w="1134" w:type="dxa"/>
            <w:tcBorders>
              <w:top w:val="nil"/>
              <w:left w:val="nil"/>
              <w:bottom w:val="single" w:sz="4" w:space="0" w:color="auto"/>
              <w:right w:val="single" w:sz="4" w:space="0" w:color="auto"/>
            </w:tcBorders>
            <w:shd w:val="clear" w:color="auto" w:fill="auto"/>
            <w:noWrap/>
            <w:vAlign w:val="bottom"/>
          </w:tcPr>
          <w:p w14:paraId="1D1A8F73" w14:textId="5F461428"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EFDF2BD" w14:textId="34C18F31"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0F560CD6" w14:textId="737BA2B0" w:rsidR="00A220E9" w:rsidRPr="001F224B" w:rsidRDefault="00A220E9" w:rsidP="00A220E9">
            <w:pPr>
              <w:jc w:val="right"/>
              <w:rPr>
                <w:sz w:val="16"/>
                <w:szCs w:val="16"/>
              </w:rPr>
            </w:pPr>
            <w:r w:rsidRPr="001F224B">
              <w:rPr>
                <w:sz w:val="16"/>
                <w:szCs w:val="16"/>
              </w:rPr>
              <w:t>-</w:t>
            </w:r>
          </w:p>
        </w:tc>
      </w:tr>
      <w:tr w:rsidR="00A220E9" w:rsidRPr="001F224B" w14:paraId="2D7B3600" w14:textId="77777777" w:rsidTr="00C15783">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70D5B7B" w14:textId="77777777" w:rsidR="00A220E9" w:rsidRPr="001F224B" w:rsidRDefault="00A220E9" w:rsidP="00A220E9">
            <w:pPr>
              <w:jc w:val="center"/>
              <w:rPr>
                <w:sz w:val="16"/>
                <w:szCs w:val="16"/>
              </w:rPr>
            </w:pPr>
            <w:r w:rsidRPr="001F224B">
              <w:rPr>
                <w:sz w:val="16"/>
                <w:szCs w:val="16"/>
              </w:rPr>
              <w:t>14</w:t>
            </w:r>
          </w:p>
        </w:tc>
        <w:tc>
          <w:tcPr>
            <w:tcW w:w="4252" w:type="dxa"/>
            <w:tcBorders>
              <w:top w:val="nil"/>
              <w:left w:val="nil"/>
              <w:bottom w:val="single" w:sz="4" w:space="0" w:color="auto"/>
              <w:right w:val="nil"/>
            </w:tcBorders>
            <w:shd w:val="clear" w:color="auto" w:fill="auto"/>
            <w:vAlign w:val="center"/>
            <w:hideMark/>
          </w:tcPr>
          <w:p w14:paraId="467B41F1" w14:textId="77777777" w:rsidR="00A220E9" w:rsidRPr="001F224B" w:rsidRDefault="00A220E9" w:rsidP="00A220E9">
            <w:pPr>
              <w:rPr>
                <w:b/>
                <w:bCs/>
                <w:sz w:val="16"/>
                <w:szCs w:val="16"/>
              </w:rPr>
            </w:pPr>
            <w:r w:rsidRPr="001F224B">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19DA69A"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80D1294"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8E66D2"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A0B6E54"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43945B31" w14:textId="20523F8B" w:rsidR="00A220E9" w:rsidRPr="001F224B" w:rsidRDefault="00A220E9" w:rsidP="00A220E9">
            <w:pPr>
              <w:jc w:val="right"/>
              <w:rPr>
                <w:sz w:val="16"/>
                <w:szCs w:val="16"/>
              </w:rPr>
            </w:pPr>
            <w:r w:rsidRPr="001F224B">
              <w:rPr>
                <w:b/>
                <w:bCs/>
                <w:sz w:val="16"/>
                <w:szCs w:val="16"/>
              </w:rPr>
              <w:t>141.363.075</w:t>
            </w:r>
          </w:p>
        </w:tc>
      </w:tr>
      <w:tr w:rsidR="00A220E9" w:rsidRPr="001F224B" w14:paraId="0F420113"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D3779D" w14:textId="77777777" w:rsidR="00A220E9" w:rsidRPr="001F224B" w:rsidRDefault="00A220E9" w:rsidP="00A220E9">
            <w:pPr>
              <w:jc w:val="center"/>
              <w:rPr>
                <w:sz w:val="16"/>
                <w:szCs w:val="16"/>
              </w:rPr>
            </w:pPr>
            <w:r w:rsidRPr="001F224B">
              <w:rPr>
                <w:sz w:val="16"/>
                <w:szCs w:val="16"/>
              </w:rPr>
              <w:t> </w:t>
            </w:r>
          </w:p>
        </w:tc>
        <w:tc>
          <w:tcPr>
            <w:tcW w:w="4252" w:type="dxa"/>
            <w:tcBorders>
              <w:top w:val="nil"/>
              <w:left w:val="nil"/>
              <w:bottom w:val="single" w:sz="4" w:space="0" w:color="auto"/>
              <w:right w:val="nil"/>
            </w:tcBorders>
            <w:shd w:val="clear" w:color="auto" w:fill="auto"/>
            <w:vAlign w:val="center"/>
            <w:hideMark/>
          </w:tcPr>
          <w:p w14:paraId="4DA0A52A" w14:textId="77777777" w:rsidR="00A220E9" w:rsidRPr="001F224B" w:rsidRDefault="00A220E9" w:rsidP="00A220E9">
            <w:pPr>
              <w:rPr>
                <w:b/>
                <w:bCs/>
                <w:sz w:val="16"/>
                <w:szCs w:val="16"/>
              </w:rPr>
            </w:pPr>
            <w:r w:rsidRPr="001F224B">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6ED2216"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417A0F"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4F48A02"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45F529B"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17F0E305" w14:textId="77777777" w:rsidR="00A220E9" w:rsidRPr="001F224B" w:rsidRDefault="00A220E9" w:rsidP="00A220E9">
            <w:pPr>
              <w:jc w:val="right"/>
              <w:rPr>
                <w:sz w:val="16"/>
                <w:szCs w:val="16"/>
              </w:rPr>
            </w:pPr>
          </w:p>
        </w:tc>
      </w:tr>
      <w:tr w:rsidR="00A220E9" w:rsidRPr="001F224B" w14:paraId="523EF4EE" w14:textId="77777777" w:rsidTr="00C15783">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2FE99A" w14:textId="77777777" w:rsidR="00A220E9" w:rsidRPr="001F224B" w:rsidRDefault="00A220E9" w:rsidP="00A220E9">
            <w:pPr>
              <w:jc w:val="center"/>
              <w:rPr>
                <w:sz w:val="16"/>
                <w:szCs w:val="16"/>
              </w:rPr>
            </w:pPr>
            <w:r w:rsidRPr="001F224B">
              <w:rPr>
                <w:sz w:val="16"/>
                <w:szCs w:val="16"/>
              </w:rPr>
              <w:t>15</w:t>
            </w:r>
          </w:p>
        </w:tc>
        <w:tc>
          <w:tcPr>
            <w:tcW w:w="4252" w:type="dxa"/>
            <w:tcBorders>
              <w:top w:val="nil"/>
              <w:left w:val="nil"/>
              <w:bottom w:val="single" w:sz="4" w:space="0" w:color="auto"/>
              <w:right w:val="nil"/>
            </w:tcBorders>
            <w:shd w:val="clear" w:color="auto" w:fill="auto"/>
            <w:vAlign w:val="center"/>
            <w:hideMark/>
          </w:tcPr>
          <w:p w14:paraId="33219F86" w14:textId="77777777" w:rsidR="00A220E9" w:rsidRPr="001F224B" w:rsidRDefault="00A220E9" w:rsidP="00A220E9">
            <w:pPr>
              <w:rPr>
                <w:b/>
                <w:bCs/>
                <w:sz w:val="16"/>
                <w:szCs w:val="16"/>
              </w:rPr>
            </w:pPr>
            <w:r w:rsidRPr="001F224B">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BF1A4C8"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04B62F9"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20CDE4"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8758CD"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43669A6C" w14:textId="0C43EFD4" w:rsidR="00A220E9" w:rsidRPr="001F224B" w:rsidRDefault="00A220E9" w:rsidP="00A220E9">
            <w:pPr>
              <w:jc w:val="right"/>
              <w:rPr>
                <w:sz w:val="16"/>
                <w:szCs w:val="16"/>
              </w:rPr>
            </w:pPr>
            <w:r w:rsidRPr="001F224B">
              <w:rPr>
                <w:b/>
                <w:bCs/>
                <w:sz w:val="16"/>
                <w:szCs w:val="16"/>
              </w:rPr>
              <w:t>972.148</w:t>
            </w:r>
          </w:p>
        </w:tc>
      </w:tr>
      <w:tr w:rsidR="00A220E9" w:rsidRPr="001F224B" w14:paraId="17A46828"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447242E" w14:textId="77777777" w:rsidR="00A220E9" w:rsidRPr="001F224B" w:rsidRDefault="00A220E9" w:rsidP="00A220E9">
            <w:pPr>
              <w:jc w:val="center"/>
              <w:rPr>
                <w:sz w:val="16"/>
                <w:szCs w:val="16"/>
              </w:rPr>
            </w:pPr>
            <w:r w:rsidRPr="001F224B">
              <w:rPr>
                <w:sz w:val="16"/>
                <w:szCs w:val="16"/>
              </w:rPr>
              <w:t>16</w:t>
            </w:r>
          </w:p>
        </w:tc>
        <w:tc>
          <w:tcPr>
            <w:tcW w:w="4252" w:type="dxa"/>
            <w:tcBorders>
              <w:top w:val="nil"/>
              <w:left w:val="nil"/>
              <w:bottom w:val="single" w:sz="4" w:space="0" w:color="auto"/>
              <w:right w:val="nil"/>
            </w:tcBorders>
            <w:shd w:val="clear" w:color="auto" w:fill="auto"/>
            <w:vAlign w:val="center"/>
            <w:hideMark/>
          </w:tcPr>
          <w:p w14:paraId="4843CAC2" w14:textId="77777777" w:rsidR="00A220E9" w:rsidRPr="001F224B" w:rsidRDefault="00A220E9" w:rsidP="00A220E9">
            <w:pPr>
              <w:rPr>
                <w:b/>
                <w:bCs/>
                <w:sz w:val="16"/>
                <w:szCs w:val="16"/>
              </w:rPr>
            </w:pPr>
            <w:r w:rsidRPr="001F224B">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BC64A58"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11EF1F4"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34EB58"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835504F"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056A92A" w14:textId="77777777" w:rsidR="00A220E9" w:rsidRPr="001F224B" w:rsidRDefault="00A220E9" w:rsidP="00A220E9">
            <w:pPr>
              <w:jc w:val="right"/>
              <w:rPr>
                <w:sz w:val="16"/>
                <w:szCs w:val="16"/>
              </w:rPr>
            </w:pPr>
          </w:p>
        </w:tc>
      </w:tr>
      <w:tr w:rsidR="00A220E9" w:rsidRPr="001F224B" w14:paraId="3F3D33A0" w14:textId="77777777" w:rsidTr="00C66037">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93C8D58" w14:textId="77777777" w:rsidR="00A220E9" w:rsidRPr="001F224B" w:rsidRDefault="00A220E9" w:rsidP="00A220E9">
            <w:pPr>
              <w:jc w:val="center"/>
              <w:rPr>
                <w:sz w:val="16"/>
                <w:szCs w:val="16"/>
              </w:rPr>
            </w:pPr>
            <w:r w:rsidRPr="001F224B">
              <w:rPr>
                <w:sz w:val="16"/>
                <w:szCs w:val="16"/>
              </w:rPr>
              <w:t>17</w:t>
            </w:r>
          </w:p>
        </w:tc>
        <w:tc>
          <w:tcPr>
            <w:tcW w:w="4252" w:type="dxa"/>
            <w:tcBorders>
              <w:top w:val="nil"/>
              <w:left w:val="nil"/>
              <w:bottom w:val="single" w:sz="4" w:space="0" w:color="auto"/>
              <w:right w:val="nil"/>
            </w:tcBorders>
            <w:shd w:val="clear" w:color="auto" w:fill="auto"/>
            <w:vAlign w:val="center"/>
            <w:hideMark/>
          </w:tcPr>
          <w:p w14:paraId="43071D66" w14:textId="77777777" w:rsidR="00A220E9" w:rsidRPr="001F224B" w:rsidRDefault="00A220E9" w:rsidP="00A220E9">
            <w:pPr>
              <w:rPr>
                <w:b/>
                <w:bCs/>
                <w:sz w:val="16"/>
                <w:szCs w:val="16"/>
              </w:rPr>
            </w:pPr>
            <w:r w:rsidRPr="001F224B">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2FFB971" w14:textId="2E960A4D" w:rsidR="00A220E9" w:rsidRPr="001F224B" w:rsidRDefault="00A220E9" w:rsidP="00A220E9">
            <w:pPr>
              <w:jc w:val="right"/>
              <w:rPr>
                <w:sz w:val="16"/>
                <w:szCs w:val="16"/>
              </w:rPr>
            </w:pPr>
            <w:r w:rsidRPr="001F224B">
              <w:rPr>
                <w:b/>
                <w:bCs/>
                <w:sz w:val="16"/>
                <w:szCs w:val="16"/>
              </w:rPr>
              <w:t>-</w:t>
            </w:r>
          </w:p>
        </w:tc>
        <w:tc>
          <w:tcPr>
            <w:tcW w:w="1134" w:type="dxa"/>
            <w:tcBorders>
              <w:top w:val="nil"/>
              <w:left w:val="nil"/>
              <w:bottom w:val="single" w:sz="4" w:space="0" w:color="auto"/>
              <w:right w:val="single" w:sz="4" w:space="0" w:color="auto"/>
            </w:tcBorders>
            <w:shd w:val="clear" w:color="auto" w:fill="auto"/>
            <w:noWrap/>
          </w:tcPr>
          <w:p w14:paraId="2779D282" w14:textId="5C6EE1D5" w:rsidR="00A220E9" w:rsidRPr="001F224B" w:rsidRDefault="00A220E9" w:rsidP="00A220E9">
            <w:pPr>
              <w:jc w:val="right"/>
              <w:rPr>
                <w:sz w:val="16"/>
                <w:szCs w:val="16"/>
              </w:rPr>
            </w:pPr>
            <w:r w:rsidRPr="001F224B">
              <w:rPr>
                <w:b/>
                <w:bCs/>
                <w:sz w:val="16"/>
                <w:szCs w:val="16"/>
              </w:rPr>
              <w:t xml:space="preserve"> 31.546.024 </w:t>
            </w:r>
          </w:p>
        </w:tc>
        <w:tc>
          <w:tcPr>
            <w:tcW w:w="1134" w:type="dxa"/>
            <w:tcBorders>
              <w:top w:val="nil"/>
              <w:left w:val="nil"/>
              <w:bottom w:val="single" w:sz="4" w:space="0" w:color="auto"/>
              <w:right w:val="single" w:sz="4" w:space="0" w:color="auto"/>
            </w:tcBorders>
            <w:shd w:val="clear" w:color="auto" w:fill="auto"/>
            <w:noWrap/>
          </w:tcPr>
          <w:p w14:paraId="078D9063" w14:textId="72A4D7C2" w:rsidR="00A220E9" w:rsidRPr="001F224B" w:rsidRDefault="00A220E9" w:rsidP="00A220E9">
            <w:pPr>
              <w:jc w:val="right"/>
              <w:rPr>
                <w:sz w:val="16"/>
                <w:szCs w:val="16"/>
              </w:rPr>
            </w:pPr>
            <w:r w:rsidRPr="001F224B">
              <w:rPr>
                <w:b/>
                <w:bCs/>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tcPr>
          <w:p w14:paraId="5CE8D132" w14:textId="5301CEE5" w:rsidR="00A220E9" w:rsidRPr="001F224B" w:rsidRDefault="00A220E9" w:rsidP="00A220E9">
            <w:pPr>
              <w:jc w:val="right"/>
              <w:rPr>
                <w:sz w:val="16"/>
                <w:szCs w:val="16"/>
              </w:rPr>
            </w:pPr>
            <w:r w:rsidRPr="001F224B">
              <w:rPr>
                <w:b/>
                <w:bCs/>
                <w:sz w:val="16"/>
                <w:szCs w:val="16"/>
              </w:rPr>
              <w:t xml:space="preserve"> 109.908.851 </w:t>
            </w:r>
          </w:p>
        </w:tc>
        <w:tc>
          <w:tcPr>
            <w:tcW w:w="1276" w:type="dxa"/>
            <w:tcBorders>
              <w:top w:val="nil"/>
              <w:left w:val="nil"/>
              <w:bottom w:val="single" w:sz="4" w:space="0" w:color="auto"/>
              <w:right w:val="single" w:sz="4" w:space="0" w:color="auto"/>
            </w:tcBorders>
            <w:shd w:val="clear" w:color="auto" w:fill="auto"/>
            <w:noWrap/>
          </w:tcPr>
          <w:p w14:paraId="6AAE63F2" w14:textId="331B5327" w:rsidR="00A220E9" w:rsidRPr="001F224B" w:rsidRDefault="00A220E9" w:rsidP="00A220E9">
            <w:pPr>
              <w:jc w:val="right"/>
              <w:rPr>
                <w:sz w:val="16"/>
                <w:szCs w:val="16"/>
              </w:rPr>
            </w:pPr>
            <w:r w:rsidRPr="001F224B">
              <w:rPr>
                <w:b/>
                <w:bCs/>
                <w:sz w:val="16"/>
                <w:szCs w:val="16"/>
              </w:rPr>
              <w:t xml:space="preserve"> 100.746.741 </w:t>
            </w:r>
          </w:p>
        </w:tc>
      </w:tr>
      <w:tr w:rsidR="00A220E9" w:rsidRPr="001F224B" w14:paraId="08927E83"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9F24C81" w14:textId="77777777" w:rsidR="00A220E9" w:rsidRPr="001F224B" w:rsidRDefault="00A220E9" w:rsidP="00A220E9">
            <w:pPr>
              <w:jc w:val="center"/>
              <w:rPr>
                <w:sz w:val="16"/>
                <w:szCs w:val="16"/>
              </w:rPr>
            </w:pPr>
            <w:r w:rsidRPr="001F224B">
              <w:rPr>
                <w:sz w:val="16"/>
                <w:szCs w:val="16"/>
              </w:rPr>
              <w:t>18</w:t>
            </w:r>
          </w:p>
        </w:tc>
        <w:tc>
          <w:tcPr>
            <w:tcW w:w="4252" w:type="dxa"/>
            <w:tcBorders>
              <w:top w:val="nil"/>
              <w:left w:val="nil"/>
              <w:bottom w:val="single" w:sz="4" w:space="0" w:color="auto"/>
              <w:right w:val="nil"/>
            </w:tcBorders>
            <w:shd w:val="clear" w:color="auto" w:fill="auto"/>
            <w:vAlign w:val="center"/>
            <w:hideMark/>
          </w:tcPr>
          <w:p w14:paraId="4F6DC05D" w14:textId="77777777" w:rsidR="00A220E9" w:rsidRPr="001F224B" w:rsidRDefault="00A220E9" w:rsidP="00A220E9">
            <w:pPr>
              <w:rPr>
                <w:sz w:val="16"/>
                <w:szCs w:val="16"/>
              </w:rPr>
            </w:pPr>
            <w:r w:rsidRPr="001F224B">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797EE9" w14:textId="6DAEF98C"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006834B" w14:textId="13059CFA" w:rsidR="00A220E9" w:rsidRPr="001F224B" w:rsidRDefault="00A220E9" w:rsidP="00A220E9">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64E79522" w14:textId="5963D94B"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511EBB" w14:textId="6693EE1B"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A14BC8E" w14:textId="5422762C" w:rsidR="00A220E9" w:rsidRPr="001F224B" w:rsidRDefault="00A220E9" w:rsidP="00A220E9">
            <w:pPr>
              <w:jc w:val="right"/>
              <w:rPr>
                <w:sz w:val="16"/>
                <w:szCs w:val="16"/>
              </w:rPr>
            </w:pPr>
          </w:p>
        </w:tc>
      </w:tr>
      <w:tr w:rsidR="00A220E9" w:rsidRPr="001F224B" w14:paraId="2AF36A9E" w14:textId="77777777" w:rsidTr="00C15783">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70C22DB" w14:textId="77777777" w:rsidR="00A220E9" w:rsidRPr="001F224B" w:rsidRDefault="00A220E9" w:rsidP="00A220E9">
            <w:pPr>
              <w:jc w:val="center"/>
              <w:rPr>
                <w:sz w:val="16"/>
                <w:szCs w:val="16"/>
              </w:rPr>
            </w:pPr>
            <w:r w:rsidRPr="001F224B">
              <w:rPr>
                <w:sz w:val="16"/>
                <w:szCs w:val="16"/>
              </w:rPr>
              <w:t>19</w:t>
            </w:r>
          </w:p>
        </w:tc>
        <w:tc>
          <w:tcPr>
            <w:tcW w:w="4252" w:type="dxa"/>
            <w:tcBorders>
              <w:top w:val="nil"/>
              <w:left w:val="nil"/>
              <w:bottom w:val="single" w:sz="4" w:space="0" w:color="auto"/>
              <w:right w:val="nil"/>
            </w:tcBorders>
            <w:shd w:val="clear" w:color="auto" w:fill="auto"/>
            <w:vAlign w:val="center"/>
            <w:hideMark/>
          </w:tcPr>
          <w:p w14:paraId="27A21F66" w14:textId="77777777" w:rsidR="00A220E9" w:rsidRPr="001F224B" w:rsidRDefault="00A220E9" w:rsidP="00A220E9">
            <w:pPr>
              <w:rPr>
                <w:sz w:val="16"/>
                <w:szCs w:val="16"/>
              </w:rPr>
            </w:pPr>
            <w:r w:rsidRPr="001F224B">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19B5F01" w14:textId="5EB07D81"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0985FC4" w14:textId="256ABBD9" w:rsidR="00A220E9" w:rsidRPr="001F224B" w:rsidRDefault="00A220E9" w:rsidP="00A220E9">
            <w:pPr>
              <w:jc w:val="right"/>
              <w:rPr>
                <w:sz w:val="16"/>
                <w:szCs w:val="16"/>
              </w:rPr>
            </w:pPr>
            <w:r w:rsidRPr="001F224B">
              <w:rPr>
                <w:sz w:val="16"/>
                <w:szCs w:val="16"/>
              </w:rPr>
              <w:t xml:space="preserve"> 31.546.024 </w:t>
            </w:r>
          </w:p>
        </w:tc>
        <w:tc>
          <w:tcPr>
            <w:tcW w:w="1134" w:type="dxa"/>
            <w:tcBorders>
              <w:top w:val="nil"/>
              <w:left w:val="nil"/>
              <w:bottom w:val="single" w:sz="4" w:space="0" w:color="auto"/>
              <w:right w:val="single" w:sz="4" w:space="0" w:color="auto"/>
            </w:tcBorders>
            <w:shd w:val="clear" w:color="auto" w:fill="auto"/>
            <w:noWrap/>
            <w:vAlign w:val="bottom"/>
          </w:tcPr>
          <w:p w14:paraId="409E90BC" w14:textId="65949222" w:rsidR="00A220E9" w:rsidRPr="001F224B" w:rsidRDefault="00A220E9" w:rsidP="00A220E9">
            <w:pPr>
              <w:jc w:val="right"/>
              <w:rPr>
                <w:sz w:val="16"/>
                <w:szCs w:val="16"/>
              </w:rPr>
            </w:pPr>
            <w:r w:rsidRPr="001F224B">
              <w:rPr>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1E234E6C" w14:textId="7C263C40" w:rsidR="00A220E9" w:rsidRPr="001F224B" w:rsidRDefault="00A220E9" w:rsidP="00A220E9">
            <w:pPr>
              <w:jc w:val="right"/>
              <w:rPr>
                <w:sz w:val="16"/>
                <w:szCs w:val="16"/>
              </w:rPr>
            </w:pPr>
            <w:r w:rsidRPr="001F224B">
              <w:rPr>
                <w:sz w:val="16"/>
                <w:szCs w:val="16"/>
              </w:rPr>
              <w:t xml:space="preserve"> 11.906.215 </w:t>
            </w:r>
          </w:p>
        </w:tc>
        <w:tc>
          <w:tcPr>
            <w:tcW w:w="1276" w:type="dxa"/>
            <w:tcBorders>
              <w:top w:val="nil"/>
              <w:left w:val="nil"/>
              <w:bottom w:val="single" w:sz="4" w:space="0" w:color="auto"/>
              <w:right w:val="single" w:sz="4" w:space="0" w:color="auto"/>
            </w:tcBorders>
            <w:shd w:val="clear" w:color="auto" w:fill="auto"/>
            <w:noWrap/>
            <w:vAlign w:val="bottom"/>
          </w:tcPr>
          <w:p w14:paraId="4B843BB5" w14:textId="454A8819" w:rsidR="00A220E9" w:rsidRPr="001F224B" w:rsidRDefault="00A220E9" w:rsidP="00A220E9">
            <w:pPr>
              <w:jc w:val="right"/>
              <w:rPr>
                <w:sz w:val="16"/>
                <w:szCs w:val="16"/>
              </w:rPr>
            </w:pPr>
            <w:r w:rsidRPr="001F224B">
              <w:rPr>
                <w:sz w:val="16"/>
                <w:szCs w:val="16"/>
              </w:rPr>
              <w:t xml:space="preserve"> 17.453.570 </w:t>
            </w:r>
          </w:p>
        </w:tc>
      </w:tr>
      <w:tr w:rsidR="00A220E9" w:rsidRPr="001F224B" w14:paraId="164A7274" w14:textId="77777777" w:rsidTr="00C15783">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74DFD66" w14:textId="77777777" w:rsidR="00A220E9" w:rsidRPr="001F224B" w:rsidRDefault="00A220E9" w:rsidP="00A220E9">
            <w:pPr>
              <w:jc w:val="center"/>
              <w:rPr>
                <w:sz w:val="16"/>
                <w:szCs w:val="16"/>
              </w:rPr>
            </w:pPr>
            <w:r w:rsidRPr="001F224B">
              <w:rPr>
                <w:sz w:val="16"/>
                <w:szCs w:val="16"/>
              </w:rPr>
              <w:t>20</w:t>
            </w:r>
          </w:p>
        </w:tc>
        <w:tc>
          <w:tcPr>
            <w:tcW w:w="4252" w:type="dxa"/>
            <w:tcBorders>
              <w:top w:val="nil"/>
              <w:left w:val="nil"/>
              <w:bottom w:val="single" w:sz="4" w:space="0" w:color="auto"/>
              <w:right w:val="nil"/>
            </w:tcBorders>
            <w:shd w:val="clear" w:color="auto" w:fill="auto"/>
            <w:vAlign w:val="center"/>
            <w:hideMark/>
          </w:tcPr>
          <w:p w14:paraId="65FF0F43" w14:textId="77777777" w:rsidR="00A220E9" w:rsidRPr="001F224B" w:rsidRDefault="00A220E9" w:rsidP="00A220E9">
            <w:pPr>
              <w:rPr>
                <w:sz w:val="16"/>
                <w:szCs w:val="16"/>
              </w:rPr>
            </w:pPr>
            <w:r w:rsidRPr="001F224B">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F97C0C" w14:textId="4B2A6120"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21891C0" w14:textId="3A36B46E" w:rsidR="00A220E9" w:rsidRPr="001F224B" w:rsidRDefault="00A220E9" w:rsidP="00A220E9">
            <w:pPr>
              <w:jc w:val="right"/>
              <w:rPr>
                <w:sz w:val="16"/>
                <w:szCs w:val="16"/>
              </w:rPr>
            </w:pPr>
            <w:r w:rsidRPr="001F224B">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339C7833" w14:textId="5FB4C1D1"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4BC0356" w14:textId="20480A22" w:rsidR="00A220E9" w:rsidRPr="001F224B" w:rsidRDefault="00A220E9" w:rsidP="00A220E9">
            <w:pPr>
              <w:jc w:val="right"/>
              <w:rPr>
                <w:sz w:val="16"/>
                <w:szCs w:val="16"/>
              </w:rPr>
            </w:pPr>
            <w:r w:rsidRPr="001F224B">
              <w:rPr>
                <w:sz w:val="16"/>
                <w:szCs w:val="16"/>
              </w:rPr>
              <w:t xml:space="preserve"> 91.820.897 </w:t>
            </w:r>
          </w:p>
        </w:tc>
        <w:tc>
          <w:tcPr>
            <w:tcW w:w="1276" w:type="dxa"/>
            <w:tcBorders>
              <w:top w:val="nil"/>
              <w:left w:val="nil"/>
              <w:bottom w:val="single" w:sz="4" w:space="0" w:color="auto"/>
              <w:right w:val="single" w:sz="4" w:space="0" w:color="auto"/>
            </w:tcBorders>
            <w:shd w:val="clear" w:color="auto" w:fill="auto"/>
            <w:noWrap/>
            <w:vAlign w:val="bottom"/>
          </w:tcPr>
          <w:p w14:paraId="0BD8C6AC" w14:textId="16FB7E8C" w:rsidR="00A220E9" w:rsidRPr="001F224B" w:rsidRDefault="00A220E9" w:rsidP="00A220E9">
            <w:pPr>
              <w:jc w:val="right"/>
              <w:rPr>
                <w:sz w:val="16"/>
                <w:szCs w:val="16"/>
              </w:rPr>
            </w:pPr>
            <w:r w:rsidRPr="001F224B">
              <w:rPr>
                <w:sz w:val="16"/>
                <w:szCs w:val="16"/>
              </w:rPr>
              <w:t xml:space="preserve"> 78.047.762 </w:t>
            </w:r>
          </w:p>
        </w:tc>
      </w:tr>
      <w:tr w:rsidR="00A220E9" w:rsidRPr="001F224B" w14:paraId="6D741BEC" w14:textId="77777777" w:rsidTr="00C15783">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11587EF" w14:textId="77777777" w:rsidR="00A220E9" w:rsidRPr="001F224B" w:rsidRDefault="00A220E9" w:rsidP="00A220E9">
            <w:pPr>
              <w:jc w:val="center"/>
              <w:rPr>
                <w:sz w:val="16"/>
                <w:szCs w:val="16"/>
              </w:rPr>
            </w:pPr>
            <w:r w:rsidRPr="001F224B">
              <w:rPr>
                <w:sz w:val="16"/>
                <w:szCs w:val="16"/>
              </w:rPr>
              <w:t>21</w:t>
            </w:r>
          </w:p>
        </w:tc>
        <w:tc>
          <w:tcPr>
            <w:tcW w:w="4252" w:type="dxa"/>
            <w:tcBorders>
              <w:top w:val="nil"/>
              <w:left w:val="nil"/>
              <w:bottom w:val="single" w:sz="4" w:space="0" w:color="auto"/>
              <w:right w:val="nil"/>
            </w:tcBorders>
            <w:shd w:val="clear" w:color="auto" w:fill="auto"/>
            <w:vAlign w:val="center"/>
            <w:hideMark/>
          </w:tcPr>
          <w:p w14:paraId="720CB3B6" w14:textId="77777777" w:rsidR="00A220E9" w:rsidRPr="001F224B" w:rsidRDefault="00A220E9" w:rsidP="00A220E9">
            <w:pPr>
              <w:rPr>
                <w:sz w:val="16"/>
                <w:szCs w:val="16"/>
              </w:rPr>
            </w:pPr>
            <w:r w:rsidRPr="001F224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C574FCA" w14:textId="309D0DCB"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9CF031" w14:textId="3591A2B8" w:rsidR="00A220E9" w:rsidRPr="001F224B" w:rsidRDefault="00A220E9" w:rsidP="00A220E9">
            <w:pPr>
              <w:jc w:val="right"/>
              <w:rPr>
                <w:sz w:val="16"/>
                <w:szCs w:val="16"/>
              </w:rPr>
            </w:pPr>
            <w:r w:rsidRPr="001F224B">
              <w:rPr>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5BB772B9" w14:textId="694F4A93" w:rsidR="00A220E9" w:rsidRPr="001F224B" w:rsidRDefault="00A220E9" w:rsidP="00A220E9">
            <w:pPr>
              <w:jc w:val="right"/>
              <w:rPr>
                <w:sz w:val="16"/>
                <w:szCs w:val="16"/>
              </w:rPr>
            </w:pPr>
            <w:r w:rsidRPr="001F224B">
              <w:rPr>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27B904D7" w14:textId="153E59DA"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FFB7994" w14:textId="52DCE38D" w:rsidR="00A220E9" w:rsidRPr="001F224B" w:rsidRDefault="00A220E9" w:rsidP="00A220E9">
            <w:pPr>
              <w:jc w:val="right"/>
              <w:rPr>
                <w:sz w:val="16"/>
                <w:szCs w:val="16"/>
              </w:rPr>
            </w:pPr>
            <w:r w:rsidRPr="001F224B">
              <w:rPr>
                <w:sz w:val="16"/>
                <w:szCs w:val="16"/>
              </w:rPr>
              <w:t xml:space="preserve">- </w:t>
            </w:r>
          </w:p>
        </w:tc>
      </w:tr>
      <w:tr w:rsidR="00A220E9" w:rsidRPr="001F224B" w14:paraId="45D60E7A"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A602200" w14:textId="77777777" w:rsidR="00A220E9" w:rsidRPr="001F224B" w:rsidRDefault="00A220E9" w:rsidP="00A220E9">
            <w:pPr>
              <w:jc w:val="center"/>
              <w:rPr>
                <w:sz w:val="16"/>
                <w:szCs w:val="16"/>
              </w:rPr>
            </w:pPr>
            <w:r w:rsidRPr="001F224B">
              <w:rPr>
                <w:sz w:val="16"/>
                <w:szCs w:val="16"/>
              </w:rPr>
              <w:t>22</w:t>
            </w:r>
          </w:p>
        </w:tc>
        <w:tc>
          <w:tcPr>
            <w:tcW w:w="4252" w:type="dxa"/>
            <w:tcBorders>
              <w:top w:val="nil"/>
              <w:left w:val="nil"/>
              <w:bottom w:val="single" w:sz="4" w:space="0" w:color="auto"/>
              <w:right w:val="nil"/>
            </w:tcBorders>
            <w:shd w:val="clear" w:color="auto" w:fill="auto"/>
            <w:vAlign w:val="center"/>
            <w:hideMark/>
          </w:tcPr>
          <w:p w14:paraId="750517D0" w14:textId="77777777" w:rsidR="00A220E9" w:rsidRPr="001F224B" w:rsidRDefault="00A220E9" w:rsidP="00A220E9">
            <w:pPr>
              <w:rPr>
                <w:sz w:val="16"/>
                <w:szCs w:val="16"/>
              </w:rPr>
            </w:pPr>
            <w:r w:rsidRPr="001F224B">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F6F8125" w14:textId="055D7712"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BA4893" w14:textId="37A2782A"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7F0AF7" w14:textId="6DB76746"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D47E39" w14:textId="5326ED88" w:rsidR="00A220E9" w:rsidRPr="001F224B" w:rsidRDefault="00A220E9" w:rsidP="00A220E9">
            <w:pPr>
              <w:jc w:val="right"/>
              <w:rPr>
                <w:sz w:val="16"/>
                <w:szCs w:val="16"/>
              </w:rPr>
            </w:pPr>
            <w:r w:rsidRPr="001F224B">
              <w:rPr>
                <w:sz w:val="16"/>
                <w:szCs w:val="16"/>
              </w:rPr>
              <w:t>45.350</w:t>
            </w:r>
          </w:p>
        </w:tc>
        <w:tc>
          <w:tcPr>
            <w:tcW w:w="1276" w:type="dxa"/>
            <w:tcBorders>
              <w:top w:val="nil"/>
              <w:left w:val="nil"/>
              <w:bottom w:val="single" w:sz="4" w:space="0" w:color="auto"/>
              <w:right w:val="single" w:sz="4" w:space="0" w:color="auto"/>
            </w:tcBorders>
            <w:shd w:val="clear" w:color="auto" w:fill="auto"/>
            <w:noWrap/>
            <w:vAlign w:val="bottom"/>
          </w:tcPr>
          <w:p w14:paraId="12FB180B" w14:textId="3DF26C61" w:rsidR="00A220E9" w:rsidRPr="001F224B" w:rsidRDefault="00A220E9" w:rsidP="00A220E9">
            <w:pPr>
              <w:jc w:val="right"/>
              <w:rPr>
                <w:sz w:val="16"/>
                <w:szCs w:val="16"/>
              </w:rPr>
            </w:pPr>
            <w:r w:rsidRPr="001F224B">
              <w:rPr>
                <w:sz w:val="16"/>
                <w:szCs w:val="16"/>
              </w:rPr>
              <w:t>29.478</w:t>
            </w:r>
          </w:p>
        </w:tc>
      </w:tr>
      <w:tr w:rsidR="00A220E9" w:rsidRPr="001F224B" w14:paraId="5589C2B4" w14:textId="77777777" w:rsidTr="00C15783">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F625CD" w14:textId="77777777" w:rsidR="00A220E9" w:rsidRPr="001F224B" w:rsidRDefault="00A220E9" w:rsidP="00A220E9">
            <w:pPr>
              <w:jc w:val="center"/>
              <w:rPr>
                <w:sz w:val="16"/>
                <w:szCs w:val="16"/>
              </w:rPr>
            </w:pPr>
            <w:r w:rsidRPr="001F224B">
              <w:rPr>
                <w:sz w:val="16"/>
                <w:szCs w:val="16"/>
              </w:rPr>
              <w:t>23</w:t>
            </w:r>
          </w:p>
        </w:tc>
        <w:tc>
          <w:tcPr>
            <w:tcW w:w="4252" w:type="dxa"/>
            <w:tcBorders>
              <w:top w:val="nil"/>
              <w:left w:val="nil"/>
              <w:bottom w:val="single" w:sz="4" w:space="0" w:color="auto"/>
              <w:right w:val="nil"/>
            </w:tcBorders>
            <w:shd w:val="clear" w:color="auto" w:fill="auto"/>
            <w:vAlign w:val="center"/>
            <w:hideMark/>
          </w:tcPr>
          <w:p w14:paraId="61150E40" w14:textId="77777777" w:rsidR="00A220E9" w:rsidRPr="001F224B" w:rsidRDefault="00A220E9" w:rsidP="00A220E9">
            <w:pPr>
              <w:rPr>
                <w:sz w:val="16"/>
                <w:szCs w:val="16"/>
              </w:rPr>
            </w:pPr>
            <w:r w:rsidRPr="001F224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FD092D9" w14:textId="34C1FFB5"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9E9AB8" w14:textId="4CD7748A"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2A289D8" w14:textId="62242208"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08EE6D5" w14:textId="22C5F983" w:rsidR="00A220E9" w:rsidRPr="001F224B" w:rsidRDefault="00A220E9" w:rsidP="00A220E9">
            <w:pPr>
              <w:jc w:val="right"/>
              <w:rPr>
                <w:sz w:val="16"/>
                <w:szCs w:val="16"/>
              </w:rPr>
            </w:pPr>
            <w:r w:rsidRPr="001F224B">
              <w:rPr>
                <w:sz w:val="16"/>
                <w:szCs w:val="16"/>
              </w:rPr>
              <w:t>45.350</w:t>
            </w:r>
          </w:p>
        </w:tc>
        <w:tc>
          <w:tcPr>
            <w:tcW w:w="1276" w:type="dxa"/>
            <w:tcBorders>
              <w:top w:val="nil"/>
              <w:left w:val="nil"/>
              <w:bottom w:val="single" w:sz="4" w:space="0" w:color="auto"/>
              <w:right w:val="single" w:sz="4" w:space="0" w:color="auto"/>
            </w:tcBorders>
            <w:shd w:val="clear" w:color="auto" w:fill="auto"/>
            <w:noWrap/>
            <w:vAlign w:val="bottom"/>
          </w:tcPr>
          <w:p w14:paraId="753A382B" w14:textId="00137B74" w:rsidR="00A220E9" w:rsidRPr="001F224B" w:rsidRDefault="00A220E9" w:rsidP="00A220E9">
            <w:pPr>
              <w:jc w:val="right"/>
              <w:rPr>
                <w:sz w:val="16"/>
                <w:szCs w:val="16"/>
              </w:rPr>
            </w:pPr>
            <w:r w:rsidRPr="001F224B">
              <w:rPr>
                <w:sz w:val="16"/>
                <w:szCs w:val="16"/>
              </w:rPr>
              <w:t>29.478</w:t>
            </w:r>
          </w:p>
        </w:tc>
      </w:tr>
      <w:tr w:rsidR="00A220E9" w:rsidRPr="001F224B" w14:paraId="221A9A43"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0FF619D" w14:textId="77777777" w:rsidR="00A220E9" w:rsidRPr="001F224B" w:rsidRDefault="00A220E9" w:rsidP="00A220E9">
            <w:pPr>
              <w:jc w:val="center"/>
              <w:rPr>
                <w:sz w:val="16"/>
                <w:szCs w:val="16"/>
              </w:rPr>
            </w:pPr>
            <w:r w:rsidRPr="001F224B">
              <w:rPr>
                <w:sz w:val="16"/>
                <w:szCs w:val="16"/>
              </w:rPr>
              <w:t>24</w:t>
            </w:r>
          </w:p>
        </w:tc>
        <w:tc>
          <w:tcPr>
            <w:tcW w:w="4252" w:type="dxa"/>
            <w:tcBorders>
              <w:top w:val="nil"/>
              <w:left w:val="nil"/>
              <w:bottom w:val="single" w:sz="4" w:space="0" w:color="auto"/>
              <w:right w:val="nil"/>
            </w:tcBorders>
            <w:shd w:val="clear" w:color="auto" w:fill="auto"/>
            <w:vAlign w:val="center"/>
            <w:hideMark/>
          </w:tcPr>
          <w:p w14:paraId="00507EEF" w14:textId="77777777" w:rsidR="00A220E9" w:rsidRPr="001F224B" w:rsidRDefault="00A220E9" w:rsidP="00A220E9">
            <w:pPr>
              <w:rPr>
                <w:sz w:val="16"/>
                <w:szCs w:val="16"/>
              </w:rPr>
            </w:pPr>
            <w:r w:rsidRPr="001F224B">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B224176" w14:textId="24391CD4"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C360CE8" w14:textId="179745FA"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99FB9F" w14:textId="1E8875AB"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56C659" w14:textId="2FC92B00" w:rsidR="00A220E9" w:rsidRPr="001F224B" w:rsidRDefault="00A220E9" w:rsidP="00A220E9">
            <w:pPr>
              <w:jc w:val="right"/>
              <w:rPr>
                <w:sz w:val="16"/>
                <w:szCs w:val="16"/>
              </w:rPr>
            </w:pPr>
            <w:r w:rsidRPr="001F224B">
              <w:rPr>
                <w:sz w:val="16"/>
                <w:szCs w:val="16"/>
              </w:rPr>
              <w:t>6.136.389</w:t>
            </w:r>
          </w:p>
        </w:tc>
        <w:tc>
          <w:tcPr>
            <w:tcW w:w="1276" w:type="dxa"/>
            <w:tcBorders>
              <w:top w:val="nil"/>
              <w:left w:val="nil"/>
              <w:bottom w:val="single" w:sz="4" w:space="0" w:color="auto"/>
              <w:right w:val="single" w:sz="4" w:space="0" w:color="auto"/>
            </w:tcBorders>
            <w:shd w:val="clear" w:color="auto" w:fill="auto"/>
            <w:noWrap/>
            <w:vAlign w:val="bottom"/>
          </w:tcPr>
          <w:p w14:paraId="72041806" w14:textId="718112A9" w:rsidR="00A220E9" w:rsidRPr="001F224B" w:rsidRDefault="00A220E9" w:rsidP="00A220E9">
            <w:pPr>
              <w:jc w:val="right"/>
              <w:rPr>
                <w:sz w:val="16"/>
                <w:szCs w:val="16"/>
              </w:rPr>
            </w:pPr>
            <w:r w:rsidRPr="001F224B">
              <w:rPr>
                <w:sz w:val="16"/>
                <w:szCs w:val="16"/>
              </w:rPr>
              <w:t xml:space="preserve"> 5.215.931 </w:t>
            </w:r>
          </w:p>
        </w:tc>
      </w:tr>
      <w:tr w:rsidR="00A220E9" w:rsidRPr="001F224B" w14:paraId="079AA0E2" w14:textId="77777777" w:rsidTr="00C15783">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19CCE62" w14:textId="77777777" w:rsidR="00A220E9" w:rsidRPr="001F224B" w:rsidRDefault="00A220E9" w:rsidP="00A220E9">
            <w:pPr>
              <w:jc w:val="center"/>
              <w:rPr>
                <w:sz w:val="16"/>
                <w:szCs w:val="16"/>
              </w:rPr>
            </w:pPr>
            <w:r w:rsidRPr="001F224B">
              <w:rPr>
                <w:sz w:val="16"/>
                <w:szCs w:val="16"/>
              </w:rPr>
              <w:t>25</w:t>
            </w:r>
          </w:p>
        </w:tc>
        <w:tc>
          <w:tcPr>
            <w:tcW w:w="4252" w:type="dxa"/>
            <w:tcBorders>
              <w:top w:val="nil"/>
              <w:left w:val="nil"/>
              <w:bottom w:val="single" w:sz="4" w:space="0" w:color="auto"/>
              <w:right w:val="nil"/>
            </w:tcBorders>
            <w:shd w:val="clear" w:color="auto" w:fill="auto"/>
            <w:vAlign w:val="center"/>
            <w:hideMark/>
          </w:tcPr>
          <w:p w14:paraId="27A681D6" w14:textId="77777777" w:rsidR="00A220E9" w:rsidRPr="001F224B" w:rsidRDefault="00A220E9" w:rsidP="00A220E9">
            <w:pPr>
              <w:rPr>
                <w:b/>
                <w:bCs/>
                <w:sz w:val="16"/>
                <w:szCs w:val="16"/>
              </w:rPr>
            </w:pPr>
            <w:r w:rsidRPr="001F224B">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CFA883"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808526"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8101A8"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2977CE"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CE5D149" w14:textId="77777777" w:rsidR="00A220E9" w:rsidRPr="001F224B" w:rsidRDefault="00A220E9" w:rsidP="00A220E9">
            <w:pPr>
              <w:jc w:val="right"/>
              <w:rPr>
                <w:sz w:val="16"/>
                <w:szCs w:val="16"/>
              </w:rPr>
            </w:pPr>
          </w:p>
        </w:tc>
      </w:tr>
      <w:tr w:rsidR="00A220E9" w:rsidRPr="001F224B" w14:paraId="1A78BA37" w14:textId="77777777" w:rsidTr="00C15783">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21ABCE4" w14:textId="77777777" w:rsidR="00A220E9" w:rsidRPr="001F224B" w:rsidRDefault="00A220E9" w:rsidP="00A220E9">
            <w:pPr>
              <w:jc w:val="center"/>
              <w:rPr>
                <w:sz w:val="16"/>
                <w:szCs w:val="16"/>
              </w:rPr>
            </w:pPr>
            <w:r w:rsidRPr="001F224B">
              <w:rPr>
                <w:sz w:val="16"/>
                <w:szCs w:val="16"/>
              </w:rPr>
              <w:t>26</w:t>
            </w:r>
          </w:p>
        </w:tc>
        <w:tc>
          <w:tcPr>
            <w:tcW w:w="4252" w:type="dxa"/>
            <w:tcBorders>
              <w:top w:val="nil"/>
              <w:left w:val="nil"/>
              <w:bottom w:val="single" w:sz="4" w:space="0" w:color="auto"/>
              <w:right w:val="nil"/>
            </w:tcBorders>
            <w:shd w:val="clear" w:color="auto" w:fill="auto"/>
            <w:vAlign w:val="center"/>
            <w:hideMark/>
          </w:tcPr>
          <w:p w14:paraId="66CD58E8" w14:textId="77777777" w:rsidR="00A220E9" w:rsidRPr="001F224B" w:rsidRDefault="00A220E9" w:rsidP="00A220E9">
            <w:pPr>
              <w:rPr>
                <w:b/>
                <w:bCs/>
                <w:sz w:val="16"/>
                <w:szCs w:val="16"/>
              </w:rPr>
            </w:pPr>
            <w:r w:rsidRPr="001F224B">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ED8B391" w14:textId="7CAD233A" w:rsidR="00A220E9" w:rsidRPr="001F224B" w:rsidRDefault="00A220E9" w:rsidP="00A220E9">
            <w:pPr>
              <w:jc w:val="right"/>
              <w:rPr>
                <w:sz w:val="16"/>
                <w:szCs w:val="16"/>
              </w:rPr>
            </w:pPr>
            <w:r w:rsidRPr="001F224B">
              <w:rPr>
                <w:b/>
                <w:bCs/>
                <w:sz w:val="16"/>
                <w:szCs w:val="16"/>
              </w:rPr>
              <w:t xml:space="preserve"> 2.031.809 </w:t>
            </w:r>
          </w:p>
        </w:tc>
        <w:tc>
          <w:tcPr>
            <w:tcW w:w="1134" w:type="dxa"/>
            <w:tcBorders>
              <w:top w:val="nil"/>
              <w:left w:val="nil"/>
              <w:bottom w:val="single" w:sz="4" w:space="0" w:color="auto"/>
              <w:right w:val="single" w:sz="4" w:space="0" w:color="auto"/>
            </w:tcBorders>
            <w:shd w:val="clear" w:color="auto" w:fill="auto"/>
            <w:noWrap/>
            <w:vAlign w:val="bottom"/>
          </w:tcPr>
          <w:p w14:paraId="0A6DA21D" w14:textId="7B3D373F" w:rsidR="00A220E9" w:rsidRPr="001F224B" w:rsidRDefault="00A220E9" w:rsidP="00A220E9">
            <w:pPr>
              <w:jc w:val="right"/>
              <w:rPr>
                <w:sz w:val="16"/>
                <w:szCs w:val="16"/>
              </w:rPr>
            </w:pPr>
            <w:r w:rsidRPr="001F224B">
              <w:rPr>
                <w:b/>
                <w:bCs/>
                <w:sz w:val="16"/>
                <w:szCs w:val="16"/>
              </w:rPr>
              <w:t xml:space="preserve"> 96.208 </w:t>
            </w:r>
          </w:p>
        </w:tc>
        <w:tc>
          <w:tcPr>
            <w:tcW w:w="1134" w:type="dxa"/>
            <w:tcBorders>
              <w:top w:val="nil"/>
              <w:left w:val="nil"/>
              <w:bottom w:val="single" w:sz="4" w:space="0" w:color="auto"/>
              <w:right w:val="single" w:sz="4" w:space="0" w:color="auto"/>
            </w:tcBorders>
            <w:shd w:val="clear" w:color="auto" w:fill="auto"/>
            <w:noWrap/>
            <w:vAlign w:val="bottom"/>
          </w:tcPr>
          <w:p w14:paraId="2AF0DD52" w14:textId="4391ACB9" w:rsidR="00A220E9" w:rsidRPr="001F224B" w:rsidRDefault="00A220E9" w:rsidP="00A220E9">
            <w:pPr>
              <w:jc w:val="right"/>
              <w:rPr>
                <w:sz w:val="16"/>
                <w:szCs w:val="16"/>
              </w:rPr>
            </w:pPr>
            <w:r w:rsidRPr="001F224B">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56761C3" w14:textId="6AACA008" w:rsidR="00A220E9" w:rsidRPr="001F224B" w:rsidRDefault="00A220E9" w:rsidP="00A220E9">
            <w:pPr>
              <w:jc w:val="right"/>
              <w:rPr>
                <w:sz w:val="16"/>
                <w:szCs w:val="16"/>
              </w:rPr>
            </w:pPr>
            <w:r w:rsidRPr="001F224B">
              <w:rPr>
                <w:b/>
                <w:bCs/>
                <w:sz w:val="16"/>
                <w:szCs w:val="16"/>
              </w:rPr>
              <w:t xml:space="preserve"> -   </w:t>
            </w:r>
          </w:p>
        </w:tc>
        <w:tc>
          <w:tcPr>
            <w:tcW w:w="1276" w:type="dxa"/>
            <w:tcBorders>
              <w:top w:val="nil"/>
              <w:left w:val="nil"/>
              <w:bottom w:val="single" w:sz="4" w:space="0" w:color="auto"/>
              <w:right w:val="single" w:sz="4" w:space="0" w:color="auto"/>
            </w:tcBorders>
            <w:shd w:val="clear" w:color="auto" w:fill="auto"/>
            <w:noWrap/>
            <w:vAlign w:val="bottom"/>
          </w:tcPr>
          <w:p w14:paraId="1A1E60EA" w14:textId="1B4A8F51" w:rsidR="00A220E9" w:rsidRPr="001F224B" w:rsidRDefault="00A220E9" w:rsidP="00A220E9">
            <w:pPr>
              <w:jc w:val="right"/>
              <w:rPr>
                <w:sz w:val="16"/>
                <w:szCs w:val="16"/>
              </w:rPr>
            </w:pPr>
            <w:r w:rsidRPr="001F224B">
              <w:rPr>
                <w:b/>
                <w:bCs/>
                <w:sz w:val="16"/>
                <w:szCs w:val="16"/>
              </w:rPr>
              <w:t>2.062.939</w:t>
            </w:r>
          </w:p>
        </w:tc>
      </w:tr>
      <w:tr w:rsidR="00A220E9" w:rsidRPr="001F224B" w14:paraId="2B0B27EE" w14:textId="77777777" w:rsidTr="00C15783">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8C9537" w14:textId="77777777" w:rsidR="00A220E9" w:rsidRPr="001F224B" w:rsidRDefault="00A220E9" w:rsidP="00A220E9">
            <w:pPr>
              <w:jc w:val="center"/>
              <w:rPr>
                <w:sz w:val="16"/>
                <w:szCs w:val="16"/>
              </w:rPr>
            </w:pPr>
            <w:r w:rsidRPr="001F224B">
              <w:rPr>
                <w:sz w:val="16"/>
                <w:szCs w:val="16"/>
              </w:rPr>
              <w:t>27</w:t>
            </w:r>
          </w:p>
        </w:tc>
        <w:tc>
          <w:tcPr>
            <w:tcW w:w="4252" w:type="dxa"/>
            <w:tcBorders>
              <w:top w:val="nil"/>
              <w:left w:val="nil"/>
              <w:bottom w:val="single" w:sz="4" w:space="0" w:color="auto"/>
              <w:right w:val="nil"/>
            </w:tcBorders>
            <w:shd w:val="clear" w:color="auto" w:fill="auto"/>
            <w:vAlign w:val="center"/>
            <w:hideMark/>
          </w:tcPr>
          <w:p w14:paraId="40453287" w14:textId="77777777" w:rsidR="00A220E9" w:rsidRPr="001F224B" w:rsidRDefault="00A220E9" w:rsidP="00A220E9">
            <w:pPr>
              <w:rPr>
                <w:sz w:val="16"/>
                <w:szCs w:val="16"/>
              </w:rPr>
            </w:pPr>
            <w:r w:rsidRPr="001F224B">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B02CD3" w14:textId="4EB461F7"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B474F1"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F716AB"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2D8525"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6259D347" w14:textId="3C47C250" w:rsidR="00A220E9" w:rsidRPr="001F224B" w:rsidRDefault="00A220E9" w:rsidP="00A220E9">
            <w:pPr>
              <w:jc w:val="right"/>
              <w:rPr>
                <w:sz w:val="16"/>
                <w:szCs w:val="16"/>
              </w:rPr>
            </w:pPr>
            <w:r w:rsidRPr="001F224B">
              <w:rPr>
                <w:sz w:val="16"/>
                <w:szCs w:val="16"/>
              </w:rPr>
              <w:t>-</w:t>
            </w:r>
          </w:p>
        </w:tc>
      </w:tr>
      <w:tr w:rsidR="00A220E9" w:rsidRPr="001F224B" w14:paraId="4DCBD131" w14:textId="77777777" w:rsidTr="00C15783">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607A6D5" w14:textId="77777777" w:rsidR="00A220E9" w:rsidRPr="001F224B" w:rsidRDefault="00A220E9" w:rsidP="00A220E9">
            <w:pPr>
              <w:jc w:val="center"/>
              <w:rPr>
                <w:sz w:val="16"/>
                <w:szCs w:val="16"/>
              </w:rPr>
            </w:pPr>
            <w:r w:rsidRPr="001F224B">
              <w:rPr>
                <w:sz w:val="16"/>
                <w:szCs w:val="16"/>
              </w:rPr>
              <w:t>28</w:t>
            </w:r>
          </w:p>
        </w:tc>
        <w:tc>
          <w:tcPr>
            <w:tcW w:w="4252" w:type="dxa"/>
            <w:tcBorders>
              <w:top w:val="nil"/>
              <w:left w:val="nil"/>
              <w:bottom w:val="single" w:sz="4" w:space="0" w:color="auto"/>
              <w:right w:val="nil"/>
            </w:tcBorders>
            <w:shd w:val="clear" w:color="auto" w:fill="auto"/>
            <w:vAlign w:val="center"/>
            <w:hideMark/>
          </w:tcPr>
          <w:p w14:paraId="4E981D42" w14:textId="77777777" w:rsidR="00A220E9" w:rsidRPr="001F224B" w:rsidRDefault="00A220E9" w:rsidP="00A220E9">
            <w:pPr>
              <w:rPr>
                <w:sz w:val="16"/>
                <w:szCs w:val="16"/>
              </w:rPr>
            </w:pPr>
            <w:r w:rsidRPr="001F224B">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CA74BB0"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0F6930" w14:textId="2C2C2664"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4356DD" w14:textId="32284B48"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5684303" w14:textId="0BFA16EE"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BDFA50D" w14:textId="203D746D" w:rsidR="00A220E9" w:rsidRPr="001F224B" w:rsidRDefault="00A220E9" w:rsidP="00A220E9">
            <w:pPr>
              <w:jc w:val="right"/>
              <w:rPr>
                <w:sz w:val="16"/>
                <w:szCs w:val="16"/>
              </w:rPr>
            </w:pPr>
            <w:r w:rsidRPr="001F224B">
              <w:rPr>
                <w:sz w:val="16"/>
                <w:szCs w:val="16"/>
              </w:rPr>
              <w:t>-</w:t>
            </w:r>
          </w:p>
        </w:tc>
      </w:tr>
      <w:tr w:rsidR="00A220E9" w:rsidRPr="001F224B" w14:paraId="5AF22F4F" w14:textId="77777777" w:rsidTr="00C15783">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F252D2E" w14:textId="77777777" w:rsidR="00A220E9" w:rsidRPr="001F224B" w:rsidRDefault="00A220E9" w:rsidP="00A220E9">
            <w:pPr>
              <w:jc w:val="center"/>
              <w:rPr>
                <w:sz w:val="16"/>
                <w:szCs w:val="16"/>
              </w:rPr>
            </w:pPr>
            <w:r w:rsidRPr="001F224B">
              <w:rPr>
                <w:sz w:val="16"/>
                <w:szCs w:val="16"/>
              </w:rPr>
              <w:t>29</w:t>
            </w:r>
          </w:p>
        </w:tc>
        <w:tc>
          <w:tcPr>
            <w:tcW w:w="4252" w:type="dxa"/>
            <w:tcBorders>
              <w:top w:val="nil"/>
              <w:left w:val="nil"/>
              <w:bottom w:val="single" w:sz="4" w:space="0" w:color="auto"/>
              <w:right w:val="nil"/>
            </w:tcBorders>
            <w:shd w:val="clear" w:color="auto" w:fill="auto"/>
            <w:vAlign w:val="center"/>
            <w:hideMark/>
          </w:tcPr>
          <w:p w14:paraId="7042F228" w14:textId="77777777" w:rsidR="00A220E9" w:rsidRPr="001F224B" w:rsidRDefault="00A220E9" w:rsidP="00A220E9">
            <w:pPr>
              <w:rPr>
                <w:sz w:val="16"/>
                <w:szCs w:val="16"/>
              </w:rPr>
            </w:pPr>
            <w:r w:rsidRPr="001F224B">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50EE6D"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2D7BC37" w14:textId="02065EDA"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95C640C" w14:textId="2004AE4E"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76E093" w14:textId="7B8EF5B9"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4392346E" w14:textId="5CDC2722" w:rsidR="00A220E9" w:rsidRPr="001F224B" w:rsidRDefault="00A220E9" w:rsidP="00A220E9">
            <w:pPr>
              <w:jc w:val="right"/>
              <w:rPr>
                <w:sz w:val="16"/>
                <w:szCs w:val="16"/>
              </w:rPr>
            </w:pPr>
            <w:r w:rsidRPr="001F224B">
              <w:rPr>
                <w:sz w:val="16"/>
                <w:szCs w:val="16"/>
              </w:rPr>
              <w:t>-</w:t>
            </w:r>
          </w:p>
        </w:tc>
      </w:tr>
      <w:tr w:rsidR="00A220E9" w:rsidRPr="001F224B" w14:paraId="199D6AA8"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80DD141" w14:textId="77777777" w:rsidR="00A220E9" w:rsidRPr="001F224B" w:rsidRDefault="00A220E9" w:rsidP="00A220E9">
            <w:pPr>
              <w:jc w:val="center"/>
              <w:rPr>
                <w:sz w:val="16"/>
                <w:szCs w:val="16"/>
              </w:rPr>
            </w:pPr>
            <w:r w:rsidRPr="001F224B">
              <w:rPr>
                <w:sz w:val="16"/>
                <w:szCs w:val="16"/>
              </w:rPr>
              <w:t>30</w:t>
            </w:r>
          </w:p>
        </w:tc>
        <w:tc>
          <w:tcPr>
            <w:tcW w:w="4252" w:type="dxa"/>
            <w:tcBorders>
              <w:top w:val="nil"/>
              <w:left w:val="nil"/>
              <w:bottom w:val="single" w:sz="4" w:space="0" w:color="auto"/>
              <w:right w:val="nil"/>
            </w:tcBorders>
            <w:shd w:val="clear" w:color="auto" w:fill="auto"/>
            <w:vAlign w:val="center"/>
            <w:hideMark/>
          </w:tcPr>
          <w:p w14:paraId="65215F23" w14:textId="77777777" w:rsidR="00A220E9" w:rsidRPr="001F224B" w:rsidRDefault="00A220E9" w:rsidP="00A220E9">
            <w:pPr>
              <w:rPr>
                <w:sz w:val="16"/>
                <w:szCs w:val="16"/>
              </w:rPr>
            </w:pPr>
            <w:r w:rsidRPr="001F224B">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C4BA837"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D813268" w14:textId="263BC630"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0776CE4" w14:textId="49DED8D2" w:rsidR="00A220E9" w:rsidRPr="001F224B" w:rsidRDefault="00A220E9" w:rsidP="00A220E9">
            <w:pPr>
              <w:jc w:val="right"/>
              <w:rPr>
                <w:sz w:val="16"/>
                <w:szCs w:val="16"/>
              </w:rPr>
            </w:pPr>
            <w:r w:rsidRPr="001F224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09927A3" w14:textId="3B45CB7B" w:rsidR="00A220E9" w:rsidRPr="001F224B" w:rsidRDefault="00A220E9" w:rsidP="00A220E9">
            <w:pPr>
              <w:jc w:val="right"/>
              <w:rPr>
                <w:sz w:val="16"/>
                <w:szCs w:val="16"/>
              </w:rPr>
            </w:pPr>
            <w:r w:rsidRPr="001F224B">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3E929CFD" w14:textId="1ED3DD1F" w:rsidR="00A220E9" w:rsidRPr="001F224B" w:rsidRDefault="00A220E9" w:rsidP="00A220E9">
            <w:pPr>
              <w:jc w:val="right"/>
              <w:rPr>
                <w:sz w:val="16"/>
                <w:szCs w:val="16"/>
              </w:rPr>
            </w:pPr>
            <w:r w:rsidRPr="001F224B">
              <w:rPr>
                <w:sz w:val="16"/>
                <w:szCs w:val="16"/>
              </w:rPr>
              <w:t>31.130</w:t>
            </w:r>
          </w:p>
        </w:tc>
      </w:tr>
      <w:tr w:rsidR="00A220E9" w:rsidRPr="001F224B" w14:paraId="5DF7D5DA" w14:textId="77777777" w:rsidTr="00C15783">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7117337" w14:textId="77777777" w:rsidR="00A220E9" w:rsidRPr="001F224B" w:rsidRDefault="00A220E9" w:rsidP="00A220E9">
            <w:pPr>
              <w:jc w:val="center"/>
              <w:rPr>
                <w:sz w:val="16"/>
                <w:szCs w:val="16"/>
              </w:rPr>
            </w:pPr>
            <w:r w:rsidRPr="001F224B">
              <w:rPr>
                <w:sz w:val="16"/>
                <w:szCs w:val="16"/>
              </w:rPr>
              <w:t>31</w:t>
            </w:r>
          </w:p>
        </w:tc>
        <w:tc>
          <w:tcPr>
            <w:tcW w:w="4252" w:type="dxa"/>
            <w:tcBorders>
              <w:top w:val="nil"/>
              <w:left w:val="nil"/>
              <w:bottom w:val="single" w:sz="4" w:space="0" w:color="auto"/>
              <w:right w:val="nil"/>
            </w:tcBorders>
            <w:shd w:val="clear" w:color="auto" w:fill="auto"/>
            <w:vAlign w:val="center"/>
            <w:hideMark/>
          </w:tcPr>
          <w:p w14:paraId="037DEA10" w14:textId="77777777" w:rsidR="00A220E9" w:rsidRPr="001F224B" w:rsidRDefault="00A220E9" w:rsidP="00A220E9">
            <w:pPr>
              <w:rPr>
                <w:sz w:val="16"/>
                <w:szCs w:val="16"/>
              </w:rPr>
            </w:pPr>
            <w:r w:rsidRPr="001F224B">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0891C91" w14:textId="096E6EA4" w:rsidR="00A220E9" w:rsidRPr="001F224B" w:rsidRDefault="00A220E9" w:rsidP="00A220E9">
            <w:pPr>
              <w:jc w:val="right"/>
              <w:rPr>
                <w:sz w:val="16"/>
                <w:szCs w:val="16"/>
              </w:rPr>
            </w:pPr>
            <w:r w:rsidRPr="001F224B">
              <w:rPr>
                <w:sz w:val="16"/>
                <w:szCs w:val="16"/>
              </w:rPr>
              <w:t xml:space="preserve"> 2.031.809 </w:t>
            </w:r>
          </w:p>
        </w:tc>
        <w:tc>
          <w:tcPr>
            <w:tcW w:w="1134" w:type="dxa"/>
            <w:tcBorders>
              <w:top w:val="nil"/>
              <w:left w:val="nil"/>
              <w:bottom w:val="single" w:sz="4" w:space="0" w:color="auto"/>
              <w:right w:val="single" w:sz="4" w:space="0" w:color="auto"/>
            </w:tcBorders>
            <w:shd w:val="clear" w:color="auto" w:fill="auto"/>
            <w:noWrap/>
            <w:vAlign w:val="bottom"/>
          </w:tcPr>
          <w:p w14:paraId="7719955A" w14:textId="005BDBC8" w:rsidR="00A220E9" w:rsidRPr="001F224B" w:rsidRDefault="00A220E9" w:rsidP="00A220E9">
            <w:pPr>
              <w:jc w:val="right"/>
              <w:rPr>
                <w:sz w:val="16"/>
                <w:szCs w:val="16"/>
              </w:rPr>
            </w:pPr>
            <w:r w:rsidRPr="001F224B">
              <w:rPr>
                <w:sz w:val="16"/>
                <w:szCs w:val="16"/>
              </w:rPr>
              <w:t xml:space="preserve"> 96.208 </w:t>
            </w:r>
          </w:p>
        </w:tc>
        <w:tc>
          <w:tcPr>
            <w:tcW w:w="1134" w:type="dxa"/>
            <w:tcBorders>
              <w:top w:val="nil"/>
              <w:left w:val="nil"/>
              <w:bottom w:val="single" w:sz="4" w:space="0" w:color="auto"/>
              <w:right w:val="single" w:sz="4" w:space="0" w:color="auto"/>
            </w:tcBorders>
            <w:shd w:val="clear" w:color="auto" w:fill="auto"/>
            <w:noWrap/>
            <w:vAlign w:val="bottom"/>
          </w:tcPr>
          <w:p w14:paraId="2B83A41E" w14:textId="5F0B2DA5"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43BE7A4" w14:textId="4AE2F04E"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39326920" w14:textId="7D1D75EF" w:rsidR="00A220E9" w:rsidRPr="001F224B" w:rsidRDefault="00A220E9" w:rsidP="00A220E9">
            <w:pPr>
              <w:jc w:val="right"/>
              <w:rPr>
                <w:sz w:val="16"/>
                <w:szCs w:val="16"/>
              </w:rPr>
            </w:pPr>
            <w:r w:rsidRPr="001F224B">
              <w:rPr>
                <w:sz w:val="16"/>
                <w:szCs w:val="16"/>
              </w:rPr>
              <w:t>2.031.809</w:t>
            </w:r>
          </w:p>
        </w:tc>
      </w:tr>
      <w:tr w:rsidR="00A220E9" w:rsidRPr="001F224B" w14:paraId="5D3CF288" w14:textId="77777777" w:rsidTr="00C15783">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7D3F540" w14:textId="77777777" w:rsidR="00A220E9" w:rsidRPr="001F224B" w:rsidRDefault="00A220E9" w:rsidP="00A220E9">
            <w:pPr>
              <w:jc w:val="center"/>
              <w:rPr>
                <w:sz w:val="16"/>
                <w:szCs w:val="16"/>
              </w:rPr>
            </w:pPr>
            <w:r w:rsidRPr="001F224B">
              <w:rPr>
                <w:sz w:val="16"/>
                <w:szCs w:val="16"/>
              </w:rPr>
              <w:t>32</w:t>
            </w:r>
          </w:p>
        </w:tc>
        <w:tc>
          <w:tcPr>
            <w:tcW w:w="4252" w:type="dxa"/>
            <w:tcBorders>
              <w:top w:val="nil"/>
              <w:left w:val="nil"/>
              <w:bottom w:val="single" w:sz="4" w:space="0" w:color="auto"/>
              <w:right w:val="nil"/>
            </w:tcBorders>
            <w:shd w:val="clear" w:color="auto" w:fill="auto"/>
            <w:vAlign w:val="center"/>
            <w:hideMark/>
          </w:tcPr>
          <w:p w14:paraId="69743EB0" w14:textId="77777777" w:rsidR="00A220E9" w:rsidRPr="001F224B" w:rsidRDefault="00A220E9" w:rsidP="00A220E9">
            <w:pPr>
              <w:rPr>
                <w:b/>
                <w:bCs/>
                <w:sz w:val="16"/>
                <w:szCs w:val="16"/>
              </w:rPr>
            </w:pPr>
            <w:r w:rsidRPr="001F224B">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B95C6BF"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BF65AF0" w14:textId="7E9FC753" w:rsidR="00A220E9" w:rsidRPr="001F224B" w:rsidRDefault="00A220E9" w:rsidP="00A220E9">
            <w:pPr>
              <w:jc w:val="right"/>
              <w:rPr>
                <w:sz w:val="16"/>
                <w:szCs w:val="16"/>
              </w:rPr>
            </w:pPr>
            <w:r w:rsidRPr="001F224B">
              <w:rPr>
                <w:b/>
                <w:bCs/>
                <w:sz w:val="16"/>
                <w:szCs w:val="16"/>
              </w:rPr>
              <w:t xml:space="preserve"> 9.414.992 </w:t>
            </w:r>
          </w:p>
        </w:tc>
        <w:tc>
          <w:tcPr>
            <w:tcW w:w="1134" w:type="dxa"/>
            <w:tcBorders>
              <w:top w:val="nil"/>
              <w:left w:val="nil"/>
              <w:bottom w:val="single" w:sz="4" w:space="0" w:color="auto"/>
              <w:right w:val="single" w:sz="4" w:space="0" w:color="auto"/>
            </w:tcBorders>
            <w:shd w:val="clear" w:color="auto" w:fill="auto"/>
            <w:noWrap/>
            <w:vAlign w:val="bottom"/>
          </w:tcPr>
          <w:p w14:paraId="250B82F4" w14:textId="52AEB98E"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AB9558" w14:textId="141166EA"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628D2E7A" w14:textId="4515E167" w:rsidR="00A220E9" w:rsidRPr="001F224B" w:rsidRDefault="00A220E9" w:rsidP="00A220E9">
            <w:pPr>
              <w:jc w:val="right"/>
              <w:rPr>
                <w:sz w:val="16"/>
                <w:szCs w:val="16"/>
              </w:rPr>
            </w:pPr>
            <w:r w:rsidRPr="001F224B">
              <w:rPr>
                <w:b/>
                <w:bCs/>
                <w:sz w:val="16"/>
                <w:szCs w:val="16"/>
              </w:rPr>
              <w:t xml:space="preserve">  470.750</w:t>
            </w:r>
          </w:p>
        </w:tc>
      </w:tr>
      <w:tr w:rsidR="00A220E9" w:rsidRPr="001F224B" w14:paraId="04AE470D" w14:textId="77777777" w:rsidTr="00C15783">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631410C" w14:textId="77777777" w:rsidR="00A220E9" w:rsidRPr="001F224B" w:rsidRDefault="00A220E9" w:rsidP="00A220E9">
            <w:pPr>
              <w:jc w:val="center"/>
              <w:rPr>
                <w:sz w:val="16"/>
                <w:szCs w:val="16"/>
              </w:rPr>
            </w:pPr>
            <w:r w:rsidRPr="001F224B">
              <w:rPr>
                <w:sz w:val="16"/>
                <w:szCs w:val="16"/>
              </w:rPr>
              <w:t>33</w:t>
            </w:r>
          </w:p>
        </w:tc>
        <w:tc>
          <w:tcPr>
            <w:tcW w:w="4252" w:type="dxa"/>
            <w:tcBorders>
              <w:top w:val="nil"/>
              <w:left w:val="nil"/>
              <w:bottom w:val="single" w:sz="4" w:space="0" w:color="auto"/>
              <w:right w:val="nil"/>
            </w:tcBorders>
            <w:shd w:val="clear" w:color="auto" w:fill="auto"/>
            <w:vAlign w:val="center"/>
            <w:hideMark/>
          </w:tcPr>
          <w:p w14:paraId="2A992395" w14:textId="77777777" w:rsidR="00A220E9" w:rsidRPr="001F224B" w:rsidRDefault="00A220E9" w:rsidP="00A220E9">
            <w:pPr>
              <w:rPr>
                <w:b/>
                <w:bCs/>
                <w:sz w:val="16"/>
                <w:szCs w:val="16"/>
              </w:rPr>
            </w:pPr>
            <w:r w:rsidRPr="001F224B">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FF6C3C6"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C1690F"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E82E07"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C3AAA9E"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1B054B4" w14:textId="6A9DADBC" w:rsidR="00A220E9" w:rsidRPr="001F224B" w:rsidRDefault="00A220E9" w:rsidP="00A220E9">
            <w:pPr>
              <w:jc w:val="right"/>
              <w:rPr>
                <w:sz w:val="16"/>
                <w:szCs w:val="16"/>
              </w:rPr>
            </w:pPr>
            <w:r w:rsidRPr="001F224B">
              <w:rPr>
                <w:b/>
                <w:bCs/>
                <w:sz w:val="16"/>
                <w:szCs w:val="16"/>
              </w:rPr>
              <w:t>104.252.577</w:t>
            </w:r>
          </w:p>
        </w:tc>
      </w:tr>
      <w:tr w:rsidR="00A220E9" w:rsidRPr="001F224B" w14:paraId="14119F73" w14:textId="77777777" w:rsidTr="00C15783">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E8600B" w14:textId="77777777" w:rsidR="00A220E9" w:rsidRPr="001F224B" w:rsidRDefault="00A220E9" w:rsidP="00A220E9">
            <w:pPr>
              <w:jc w:val="center"/>
              <w:rPr>
                <w:sz w:val="16"/>
                <w:szCs w:val="16"/>
              </w:rPr>
            </w:pPr>
            <w:r w:rsidRPr="001F224B">
              <w:rPr>
                <w:sz w:val="16"/>
                <w:szCs w:val="16"/>
              </w:rPr>
              <w:t>34</w:t>
            </w:r>
          </w:p>
        </w:tc>
        <w:tc>
          <w:tcPr>
            <w:tcW w:w="4252" w:type="dxa"/>
            <w:tcBorders>
              <w:top w:val="nil"/>
              <w:left w:val="nil"/>
              <w:bottom w:val="single" w:sz="4" w:space="0" w:color="auto"/>
              <w:right w:val="nil"/>
            </w:tcBorders>
            <w:shd w:val="clear" w:color="auto" w:fill="auto"/>
            <w:vAlign w:val="center"/>
            <w:hideMark/>
          </w:tcPr>
          <w:p w14:paraId="69B940D0" w14:textId="77777777" w:rsidR="00A220E9" w:rsidRPr="001F224B" w:rsidRDefault="00A220E9" w:rsidP="00A220E9">
            <w:pPr>
              <w:rPr>
                <w:b/>
                <w:bCs/>
                <w:sz w:val="16"/>
                <w:szCs w:val="16"/>
              </w:rPr>
            </w:pPr>
            <w:r w:rsidRPr="001F224B">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2F85BF6"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EC8B2B"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9A396D6" w14:textId="77777777" w:rsidR="00A220E9" w:rsidRPr="001F224B" w:rsidRDefault="00A220E9" w:rsidP="00A220E9">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DE72A3" w14:textId="77777777" w:rsidR="00A220E9" w:rsidRPr="001F224B" w:rsidRDefault="00A220E9" w:rsidP="00A220E9">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47E0BF24" w14:textId="437F7B13" w:rsidR="00A220E9" w:rsidRPr="001F224B" w:rsidRDefault="00A220E9" w:rsidP="00A220E9">
            <w:pPr>
              <w:jc w:val="right"/>
              <w:rPr>
                <w:sz w:val="16"/>
                <w:szCs w:val="16"/>
              </w:rPr>
            </w:pPr>
            <w:r w:rsidRPr="001F224B">
              <w:rPr>
                <w:b/>
                <w:bCs/>
                <w:sz w:val="16"/>
                <w:szCs w:val="16"/>
              </w:rPr>
              <w:t>135,60</w:t>
            </w:r>
          </w:p>
        </w:tc>
      </w:tr>
    </w:tbl>
    <w:p w14:paraId="031EAA51" w14:textId="77777777" w:rsidR="006327DF" w:rsidRPr="001F224B" w:rsidRDefault="006327DF" w:rsidP="006327DF">
      <w:pPr>
        <w:ind w:right="-256"/>
        <w:jc w:val="both"/>
        <w:rPr>
          <w:rFonts w:eastAsia="Arial Unicode MS"/>
          <w:bCs/>
          <w:sz w:val="4"/>
          <w:szCs w:val="4"/>
        </w:rPr>
      </w:pPr>
    </w:p>
    <w:p w14:paraId="4A7886FE" w14:textId="77777777" w:rsidR="006327DF" w:rsidRPr="001F224B" w:rsidRDefault="006327DF" w:rsidP="006327DF">
      <w:pPr>
        <w:ind w:right="-256"/>
        <w:jc w:val="both"/>
        <w:rPr>
          <w:rFonts w:eastAsia="Arial Unicode MS"/>
          <w:bCs/>
          <w:sz w:val="15"/>
          <w:szCs w:val="15"/>
        </w:rPr>
      </w:pPr>
      <w:r w:rsidRPr="001F224B">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4D3D132A" w14:textId="7C5B882B" w:rsidR="006327DF" w:rsidRPr="001F224B" w:rsidRDefault="006327DF">
      <w:pPr>
        <w:rPr>
          <w:rFonts w:eastAsia="Arial Unicode MS"/>
          <w:bCs/>
          <w:sz w:val="15"/>
          <w:szCs w:val="15"/>
        </w:rPr>
      </w:pPr>
      <w:r w:rsidRPr="001F224B">
        <w:rPr>
          <w:rFonts w:eastAsia="Arial Unicode MS"/>
          <w:bCs/>
          <w:sz w:val="15"/>
          <w:szCs w:val="15"/>
        </w:rPr>
        <w:br w:type="page"/>
      </w:r>
    </w:p>
    <w:p w14:paraId="6FFC6124" w14:textId="77777777" w:rsidR="00510F55" w:rsidRPr="001F224B" w:rsidRDefault="00510F55" w:rsidP="00510F55">
      <w:pPr>
        <w:pStyle w:val="ListParagraph"/>
        <w:tabs>
          <w:tab w:val="left" w:pos="0"/>
        </w:tabs>
        <w:spacing w:before="120"/>
        <w:ind w:left="0"/>
        <w:rPr>
          <w:b/>
          <w:bCs/>
          <w:sz w:val="22"/>
          <w:szCs w:val="22"/>
        </w:rPr>
      </w:pPr>
      <w:r w:rsidRPr="001F224B">
        <w:rPr>
          <w:b/>
          <w:bCs/>
          <w:sz w:val="22"/>
          <w:szCs w:val="22"/>
        </w:rPr>
        <w:t>DÖRDÜNCÜ BÖLÜM (Devamı)</w:t>
      </w:r>
    </w:p>
    <w:p w14:paraId="4027A7E6" w14:textId="21264750" w:rsidR="00510F55" w:rsidRPr="001F224B" w:rsidRDefault="00EF6E83" w:rsidP="00510F55">
      <w:pPr>
        <w:pStyle w:val="ListParagraph"/>
        <w:tabs>
          <w:tab w:val="left" w:pos="0"/>
        </w:tabs>
        <w:spacing w:before="120" w:after="120"/>
        <w:ind w:left="0"/>
        <w:rPr>
          <w:b/>
          <w:bCs/>
          <w:sz w:val="22"/>
          <w:szCs w:val="22"/>
        </w:rPr>
      </w:pPr>
      <w:r w:rsidRPr="001F224B">
        <w:rPr>
          <w:b/>
          <w:bCs/>
          <w:sz w:val="22"/>
          <w:szCs w:val="22"/>
        </w:rPr>
        <w:t xml:space="preserve">KONSOLİDE MALİ BÜNYE VE RİSK YÖNETİMİNE İLİŞKİN BİLGİLER </w:t>
      </w:r>
      <w:r w:rsidR="00510F55" w:rsidRPr="001F224B">
        <w:rPr>
          <w:b/>
          <w:bCs/>
          <w:sz w:val="22"/>
          <w:szCs w:val="22"/>
        </w:rPr>
        <w:t>(Devamı)</w:t>
      </w:r>
    </w:p>
    <w:p w14:paraId="400B5A81" w14:textId="432613CD" w:rsidR="00AE60E1" w:rsidRPr="001F224B" w:rsidRDefault="00AE60E1" w:rsidP="004A0427">
      <w:pPr>
        <w:pStyle w:val="Heading2"/>
        <w:numPr>
          <w:ilvl w:val="0"/>
          <w:numId w:val="0"/>
        </w:numPr>
        <w:tabs>
          <w:tab w:val="left" w:pos="567"/>
        </w:tabs>
        <w:spacing w:after="120"/>
        <w:ind w:left="567" w:hanging="567"/>
        <w:jc w:val="both"/>
        <w:rPr>
          <w:rFonts w:ascii="Times New Roman" w:hAnsi="Times New Roman"/>
          <w:i w:val="0"/>
          <w:sz w:val="22"/>
          <w:szCs w:val="22"/>
        </w:rPr>
      </w:pPr>
      <w:r w:rsidRPr="001F224B">
        <w:rPr>
          <w:rFonts w:ascii="Times New Roman" w:hAnsi="Times New Roman"/>
          <w:i w:val="0"/>
          <w:sz w:val="22"/>
          <w:szCs w:val="22"/>
        </w:rPr>
        <w:t xml:space="preserve">V.   </w:t>
      </w:r>
      <w:r w:rsidRPr="001F224B">
        <w:rPr>
          <w:rFonts w:ascii="Times New Roman" w:hAnsi="Times New Roman"/>
          <w:i w:val="0"/>
          <w:sz w:val="22"/>
          <w:szCs w:val="22"/>
        </w:rPr>
        <w:tab/>
        <w:t>Konsolide likidite riski yönetimi, likidite karşılama oranı ve net istikrarlı fonlama oranına ilişkin açıklamalar (Devamı)</w:t>
      </w:r>
    </w:p>
    <w:p w14:paraId="4220E4F2" w14:textId="402486C0" w:rsidR="00F21B9D" w:rsidRPr="001F224B" w:rsidRDefault="00B05DBB" w:rsidP="0090126D">
      <w:pPr>
        <w:spacing w:after="120"/>
        <w:ind w:left="567"/>
        <w:rPr>
          <w:rFonts w:eastAsia="Arial Unicode MS"/>
          <w:b/>
          <w:bCs/>
          <w:sz w:val="22"/>
          <w:szCs w:val="22"/>
          <w:lang w:eastAsia="en-US"/>
        </w:rPr>
      </w:pPr>
      <w:r w:rsidRPr="001F224B">
        <w:rPr>
          <w:rFonts w:eastAsia="Arial Unicode MS"/>
          <w:b/>
          <w:bCs/>
          <w:sz w:val="22"/>
          <w:szCs w:val="22"/>
          <w:lang w:eastAsia="en-US"/>
        </w:rPr>
        <w:t>5.</w:t>
      </w:r>
      <w:r w:rsidR="009B55AF" w:rsidRPr="001F224B">
        <w:rPr>
          <w:rFonts w:eastAsia="Arial Unicode MS"/>
          <w:b/>
          <w:bCs/>
          <w:sz w:val="22"/>
          <w:szCs w:val="22"/>
          <w:lang w:eastAsia="en-US"/>
        </w:rPr>
        <w:t xml:space="preserve"> </w:t>
      </w:r>
      <w:bookmarkStart w:id="26" w:name="OLE_LINK21"/>
      <w:r w:rsidR="00F21B9D" w:rsidRPr="001F224B">
        <w:rPr>
          <w:rFonts w:eastAsia="Arial Unicode MS"/>
          <w:b/>
          <w:bCs/>
          <w:sz w:val="22"/>
          <w:szCs w:val="22"/>
          <w:lang w:eastAsia="en-US"/>
        </w:rPr>
        <w:t xml:space="preserve">Aktif ve pasif kalemlerin </w:t>
      </w:r>
      <w:r w:rsidR="00D66A25" w:rsidRPr="001F224B">
        <w:rPr>
          <w:rFonts w:eastAsia="Arial Unicode MS"/>
          <w:b/>
          <w:bCs/>
          <w:sz w:val="22"/>
          <w:szCs w:val="22"/>
          <w:lang w:eastAsia="en-US"/>
        </w:rPr>
        <w:t xml:space="preserve">kalan </w:t>
      </w:r>
      <w:r w:rsidR="00F21B9D" w:rsidRPr="001F224B">
        <w:rPr>
          <w:rFonts w:eastAsia="Arial Unicode MS"/>
          <w:b/>
          <w:bCs/>
          <w:sz w:val="22"/>
          <w:szCs w:val="22"/>
          <w:lang w:eastAsia="en-US"/>
        </w:rPr>
        <w:t>vadelerine göre gösterimi:</w:t>
      </w:r>
      <w:bookmarkEnd w:id="26"/>
    </w:p>
    <w:tbl>
      <w:tblPr>
        <w:tblW w:w="10840" w:type="dxa"/>
        <w:tblInd w:w="-5" w:type="dxa"/>
        <w:tblLayout w:type="fixed"/>
        <w:tblCellMar>
          <w:left w:w="70" w:type="dxa"/>
          <w:right w:w="70" w:type="dxa"/>
        </w:tblCellMar>
        <w:tblLook w:val="00A0" w:firstRow="1" w:lastRow="0" w:firstColumn="1" w:lastColumn="0" w:noHBand="0" w:noVBand="0"/>
      </w:tblPr>
      <w:tblGrid>
        <w:gridCol w:w="2380"/>
        <w:gridCol w:w="1022"/>
        <w:gridCol w:w="992"/>
        <w:gridCol w:w="850"/>
        <w:gridCol w:w="993"/>
        <w:gridCol w:w="863"/>
        <w:gridCol w:w="980"/>
        <w:gridCol w:w="1276"/>
        <w:gridCol w:w="992"/>
        <w:gridCol w:w="492"/>
      </w:tblGrid>
      <w:tr w:rsidR="00F21B9D" w:rsidRPr="001F224B" w14:paraId="6D5993D4" w14:textId="77777777" w:rsidTr="005A28E8">
        <w:trPr>
          <w:gridAfter w:val="1"/>
          <w:wAfter w:w="492" w:type="dxa"/>
          <w:trHeight w:val="113"/>
        </w:trPr>
        <w:tc>
          <w:tcPr>
            <w:tcW w:w="2380" w:type="dxa"/>
            <w:tcBorders>
              <w:top w:val="single" w:sz="4" w:space="0" w:color="auto"/>
              <w:left w:val="single" w:sz="4" w:space="0" w:color="auto"/>
              <w:bottom w:val="single" w:sz="4" w:space="0" w:color="auto"/>
              <w:right w:val="single" w:sz="4" w:space="0" w:color="auto"/>
            </w:tcBorders>
            <w:shd w:val="clear" w:color="000000" w:fill="FFFFFF"/>
            <w:vAlign w:val="bottom"/>
          </w:tcPr>
          <w:p w14:paraId="02FBFA00" w14:textId="77777777" w:rsidR="00F21B9D" w:rsidRPr="001F224B" w:rsidRDefault="00F21B9D" w:rsidP="00F21B9D">
            <w:pPr>
              <w:jc w:val="center"/>
              <w:rPr>
                <w:sz w:val="16"/>
                <w:szCs w:val="16"/>
              </w:rPr>
            </w:pPr>
            <w:r w:rsidRPr="001F224B">
              <w:rPr>
                <w:sz w:val="16"/>
                <w:szCs w:val="16"/>
              </w:rPr>
              <w:t> </w:t>
            </w:r>
          </w:p>
        </w:tc>
        <w:tc>
          <w:tcPr>
            <w:tcW w:w="1022" w:type="dxa"/>
            <w:tcBorders>
              <w:top w:val="single" w:sz="4" w:space="0" w:color="auto"/>
              <w:left w:val="nil"/>
              <w:bottom w:val="single" w:sz="4" w:space="0" w:color="auto"/>
              <w:right w:val="single" w:sz="4" w:space="0" w:color="auto"/>
            </w:tcBorders>
            <w:shd w:val="clear" w:color="000000" w:fill="FFFFFF"/>
            <w:vAlign w:val="center"/>
          </w:tcPr>
          <w:p w14:paraId="17B27C90" w14:textId="77777777" w:rsidR="00F21B9D" w:rsidRPr="001F224B" w:rsidRDefault="00F21B9D" w:rsidP="007B3722">
            <w:pPr>
              <w:jc w:val="center"/>
              <w:rPr>
                <w:b/>
                <w:bCs/>
                <w:sz w:val="16"/>
                <w:szCs w:val="16"/>
              </w:rPr>
            </w:pPr>
            <w:r w:rsidRPr="001F224B">
              <w:rPr>
                <w:b/>
                <w:bCs/>
                <w:sz w:val="16"/>
                <w:szCs w:val="16"/>
              </w:rPr>
              <w:t>Vadesiz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5615A63" w14:textId="77777777" w:rsidR="00F21B9D" w:rsidRPr="001F224B" w:rsidRDefault="00F21B9D" w:rsidP="007B3722">
            <w:pPr>
              <w:jc w:val="center"/>
              <w:rPr>
                <w:b/>
                <w:bCs/>
                <w:sz w:val="16"/>
                <w:szCs w:val="16"/>
              </w:rPr>
            </w:pPr>
            <w:r w:rsidRPr="001F224B">
              <w:rPr>
                <w:b/>
                <w:bCs/>
                <w:sz w:val="16"/>
                <w:szCs w:val="16"/>
              </w:rPr>
              <w:t>1 Aya Kadar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2D549AD" w14:textId="77777777" w:rsidR="00F21B9D" w:rsidRPr="001F224B" w:rsidRDefault="00F21B9D" w:rsidP="007B3722">
            <w:pPr>
              <w:jc w:val="center"/>
              <w:rPr>
                <w:b/>
                <w:bCs/>
                <w:sz w:val="16"/>
                <w:szCs w:val="16"/>
              </w:rPr>
            </w:pPr>
            <w:r w:rsidRPr="001F224B">
              <w:rPr>
                <w:b/>
                <w:bCs/>
                <w:sz w:val="16"/>
                <w:szCs w:val="16"/>
              </w:rPr>
              <w:t>1-3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B785726" w14:textId="77777777" w:rsidR="00F21B9D" w:rsidRPr="001F224B" w:rsidRDefault="00F21B9D" w:rsidP="007B3722">
            <w:pPr>
              <w:jc w:val="center"/>
              <w:rPr>
                <w:b/>
                <w:bCs/>
                <w:sz w:val="16"/>
                <w:szCs w:val="16"/>
              </w:rPr>
            </w:pPr>
            <w:r w:rsidRPr="001F224B">
              <w:rPr>
                <w:b/>
                <w:bCs/>
                <w:sz w:val="16"/>
                <w:szCs w:val="16"/>
              </w:rPr>
              <w:t>3-12 Ay</w:t>
            </w:r>
          </w:p>
        </w:tc>
        <w:tc>
          <w:tcPr>
            <w:tcW w:w="863" w:type="dxa"/>
            <w:tcBorders>
              <w:top w:val="single" w:sz="4" w:space="0" w:color="auto"/>
              <w:left w:val="nil"/>
              <w:bottom w:val="single" w:sz="4" w:space="0" w:color="auto"/>
              <w:right w:val="single" w:sz="4" w:space="0" w:color="auto"/>
            </w:tcBorders>
            <w:shd w:val="clear" w:color="000000" w:fill="FFFFFF"/>
            <w:vAlign w:val="center"/>
          </w:tcPr>
          <w:p w14:paraId="52B43CD2" w14:textId="77777777" w:rsidR="00F21B9D" w:rsidRPr="001F224B" w:rsidRDefault="00F21B9D" w:rsidP="007B3722">
            <w:pPr>
              <w:jc w:val="center"/>
              <w:rPr>
                <w:b/>
                <w:bCs/>
                <w:sz w:val="16"/>
                <w:szCs w:val="16"/>
              </w:rPr>
            </w:pPr>
            <w:r w:rsidRPr="001F224B">
              <w:rPr>
                <w:b/>
                <w:bCs/>
                <w:sz w:val="16"/>
                <w:szCs w:val="16"/>
              </w:rPr>
              <w:t>1-5 Yıl</w:t>
            </w:r>
          </w:p>
        </w:tc>
        <w:tc>
          <w:tcPr>
            <w:tcW w:w="980" w:type="dxa"/>
            <w:tcBorders>
              <w:top w:val="single" w:sz="4" w:space="0" w:color="auto"/>
              <w:left w:val="nil"/>
              <w:bottom w:val="single" w:sz="4" w:space="0" w:color="auto"/>
              <w:right w:val="single" w:sz="4" w:space="0" w:color="auto"/>
            </w:tcBorders>
            <w:shd w:val="clear" w:color="000000" w:fill="FFFFFF"/>
            <w:vAlign w:val="center"/>
          </w:tcPr>
          <w:p w14:paraId="678E3368" w14:textId="77777777" w:rsidR="00F21B9D" w:rsidRPr="001F224B" w:rsidRDefault="00F21B9D" w:rsidP="007B3722">
            <w:pPr>
              <w:jc w:val="center"/>
              <w:rPr>
                <w:b/>
                <w:bCs/>
                <w:sz w:val="16"/>
                <w:szCs w:val="16"/>
              </w:rPr>
            </w:pPr>
            <w:r w:rsidRPr="001F224B">
              <w:rPr>
                <w:b/>
                <w:bCs/>
                <w:sz w:val="16"/>
                <w:szCs w:val="16"/>
              </w:rPr>
              <w:t>5 Yıl ve Üzeri</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555704EE" w14:textId="77777777" w:rsidR="00F21B9D" w:rsidRPr="001F224B" w:rsidRDefault="00BB2C38" w:rsidP="007B3722">
            <w:pPr>
              <w:ind w:left="-70"/>
              <w:jc w:val="center"/>
              <w:rPr>
                <w:b/>
                <w:bCs/>
                <w:sz w:val="16"/>
                <w:szCs w:val="16"/>
              </w:rPr>
            </w:pPr>
            <w:r w:rsidRPr="001F224B">
              <w:rPr>
                <w:b/>
                <w:bCs/>
                <w:sz w:val="16"/>
                <w:szCs w:val="16"/>
              </w:rPr>
              <w:t>Dağıtılamayan</w:t>
            </w:r>
            <w:r w:rsidRPr="001F224B">
              <w:rPr>
                <w:b/>
                <w:bCs/>
                <w:sz w:val="16"/>
                <w:szCs w:val="16"/>
                <w:vertAlign w:val="superscript"/>
              </w:rPr>
              <w:t>(1)</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6650ABC" w14:textId="77777777" w:rsidR="00F21B9D" w:rsidRPr="001F224B" w:rsidRDefault="00F21B9D" w:rsidP="007B3722">
            <w:pPr>
              <w:jc w:val="center"/>
              <w:rPr>
                <w:b/>
                <w:bCs/>
                <w:sz w:val="16"/>
                <w:szCs w:val="16"/>
              </w:rPr>
            </w:pPr>
            <w:r w:rsidRPr="001F224B">
              <w:rPr>
                <w:b/>
                <w:bCs/>
                <w:sz w:val="16"/>
                <w:szCs w:val="16"/>
              </w:rPr>
              <w:t>Toplam</w:t>
            </w:r>
          </w:p>
        </w:tc>
      </w:tr>
      <w:tr w:rsidR="00F21B9D" w:rsidRPr="001F224B" w14:paraId="471E3745"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0891B70" w14:textId="0C3FC20F" w:rsidR="00F21B9D" w:rsidRPr="001F224B" w:rsidRDefault="00F21B9D" w:rsidP="00B60DDB">
            <w:pPr>
              <w:rPr>
                <w:b/>
                <w:bCs/>
                <w:sz w:val="16"/>
                <w:szCs w:val="16"/>
              </w:rPr>
            </w:pPr>
            <w:r w:rsidRPr="001F224B">
              <w:rPr>
                <w:b/>
                <w:bCs/>
                <w:sz w:val="16"/>
                <w:szCs w:val="16"/>
              </w:rPr>
              <w:t>Cari Dönem (</w:t>
            </w:r>
            <w:r w:rsidR="002052ED" w:rsidRPr="001F224B">
              <w:rPr>
                <w:b/>
                <w:bCs/>
                <w:sz w:val="16"/>
                <w:szCs w:val="16"/>
              </w:rPr>
              <w:t>3</w:t>
            </w:r>
            <w:r w:rsidR="00A13EFD" w:rsidRPr="001F224B">
              <w:rPr>
                <w:b/>
                <w:bCs/>
                <w:sz w:val="16"/>
                <w:szCs w:val="16"/>
              </w:rPr>
              <w:t>0</w:t>
            </w:r>
            <w:r w:rsidR="00BD00BB" w:rsidRPr="001F224B">
              <w:rPr>
                <w:b/>
                <w:bCs/>
                <w:sz w:val="16"/>
                <w:szCs w:val="16"/>
              </w:rPr>
              <w:t>.</w:t>
            </w:r>
            <w:r w:rsidR="00B22F30" w:rsidRPr="001F224B">
              <w:rPr>
                <w:b/>
                <w:bCs/>
                <w:sz w:val="16"/>
                <w:szCs w:val="16"/>
              </w:rPr>
              <w:t>0</w:t>
            </w:r>
            <w:r w:rsidR="00A13EFD" w:rsidRPr="001F224B">
              <w:rPr>
                <w:b/>
                <w:bCs/>
                <w:sz w:val="16"/>
                <w:szCs w:val="16"/>
              </w:rPr>
              <w:t>6</w:t>
            </w:r>
            <w:r w:rsidR="00A0775D" w:rsidRPr="001F224B">
              <w:rPr>
                <w:b/>
                <w:bCs/>
                <w:sz w:val="16"/>
                <w:szCs w:val="16"/>
              </w:rPr>
              <w:t>.20</w:t>
            </w:r>
            <w:r w:rsidR="00997C17" w:rsidRPr="001F224B">
              <w:rPr>
                <w:b/>
                <w:bCs/>
                <w:sz w:val="16"/>
                <w:szCs w:val="16"/>
              </w:rPr>
              <w:t>2</w:t>
            </w:r>
            <w:r w:rsidR="00B22F30" w:rsidRPr="001F224B">
              <w:rPr>
                <w:b/>
                <w:bCs/>
                <w:sz w:val="16"/>
                <w:szCs w:val="16"/>
              </w:rPr>
              <w:t>5</w:t>
            </w:r>
            <w:r w:rsidRPr="001F224B">
              <w:rPr>
                <w:b/>
                <w:bCs/>
                <w:sz w:val="16"/>
                <w:szCs w:val="16"/>
              </w:rPr>
              <w:t>)</w:t>
            </w:r>
          </w:p>
        </w:tc>
        <w:tc>
          <w:tcPr>
            <w:tcW w:w="1022" w:type="dxa"/>
            <w:tcBorders>
              <w:top w:val="single" w:sz="4" w:space="0" w:color="auto"/>
              <w:left w:val="nil"/>
              <w:bottom w:val="single" w:sz="4" w:space="0" w:color="auto"/>
              <w:right w:val="single" w:sz="4" w:space="0" w:color="auto"/>
            </w:tcBorders>
            <w:shd w:val="clear" w:color="000000" w:fill="FFFFFF"/>
            <w:vAlign w:val="bottom"/>
          </w:tcPr>
          <w:p w14:paraId="46EE4F0F" w14:textId="77777777" w:rsidR="00F21B9D" w:rsidRPr="001F224B" w:rsidRDefault="00F21B9D">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3F5BD534" w14:textId="77777777" w:rsidR="00F21B9D" w:rsidRPr="001F224B" w:rsidRDefault="00F21B9D">
            <w:pPr>
              <w:jc w:val="right"/>
              <w:rPr>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bottom"/>
          </w:tcPr>
          <w:p w14:paraId="410F152A" w14:textId="77777777" w:rsidR="00F21B9D" w:rsidRPr="001F224B" w:rsidRDefault="00F21B9D">
            <w:pPr>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bottom"/>
          </w:tcPr>
          <w:p w14:paraId="7AABCDF6" w14:textId="77777777" w:rsidR="00F21B9D" w:rsidRPr="001F224B" w:rsidRDefault="00F21B9D">
            <w:pPr>
              <w:jc w:val="right"/>
              <w:rPr>
                <w:sz w:val="16"/>
                <w:szCs w:val="16"/>
              </w:rPr>
            </w:pPr>
          </w:p>
        </w:tc>
        <w:tc>
          <w:tcPr>
            <w:tcW w:w="863" w:type="dxa"/>
            <w:tcBorders>
              <w:top w:val="single" w:sz="4" w:space="0" w:color="auto"/>
              <w:left w:val="nil"/>
              <w:bottom w:val="single" w:sz="4" w:space="0" w:color="auto"/>
              <w:right w:val="single" w:sz="4" w:space="0" w:color="auto"/>
            </w:tcBorders>
            <w:shd w:val="clear" w:color="000000" w:fill="FFFFFF"/>
            <w:vAlign w:val="bottom"/>
          </w:tcPr>
          <w:p w14:paraId="2C09512D" w14:textId="77777777" w:rsidR="00F21B9D" w:rsidRPr="001F224B" w:rsidRDefault="00F21B9D">
            <w:pPr>
              <w:jc w:val="right"/>
              <w:rPr>
                <w:sz w:val="16"/>
                <w:szCs w:val="16"/>
              </w:rPr>
            </w:pPr>
          </w:p>
        </w:tc>
        <w:tc>
          <w:tcPr>
            <w:tcW w:w="980" w:type="dxa"/>
            <w:tcBorders>
              <w:top w:val="single" w:sz="4" w:space="0" w:color="auto"/>
              <w:left w:val="nil"/>
              <w:bottom w:val="single" w:sz="4" w:space="0" w:color="auto"/>
              <w:right w:val="single" w:sz="4" w:space="0" w:color="auto"/>
            </w:tcBorders>
            <w:shd w:val="clear" w:color="000000" w:fill="FFFFFF"/>
            <w:vAlign w:val="bottom"/>
          </w:tcPr>
          <w:p w14:paraId="7C7BFA18" w14:textId="77777777" w:rsidR="00F21B9D" w:rsidRPr="001F224B" w:rsidRDefault="00F21B9D">
            <w:pPr>
              <w:jc w:val="right"/>
              <w:rPr>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bottom"/>
          </w:tcPr>
          <w:p w14:paraId="3B366740" w14:textId="77777777" w:rsidR="00F21B9D" w:rsidRPr="001F224B" w:rsidRDefault="00F21B9D">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3123D7E5" w14:textId="77777777" w:rsidR="00F21B9D" w:rsidRPr="001F224B" w:rsidRDefault="00F21B9D">
            <w:pPr>
              <w:jc w:val="right"/>
              <w:rPr>
                <w:sz w:val="16"/>
                <w:szCs w:val="16"/>
              </w:rPr>
            </w:pPr>
          </w:p>
        </w:tc>
      </w:tr>
      <w:tr w:rsidR="00F21B9D" w:rsidRPr="001F224B" w14:paraId="7790A3B8"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D3B2C0E" w14:textId="77777777" w:rsidR="00F21B9D" w:rsidRPr="001F224B" w:rsidRDefault="00F21B9D" w:rsidP="00F21B9D">
            <w:pPr>
              <w:rPr>
                <w:sz w:val="16"/>
                <w:szCs w:val="16"/>
              </w:rPr>
            </w:pPr>
            <w:r w:rsidRPr="001F224B">
              <w:rPr>
                <w:sz w:val="16"/>
                <w:szCs w:val="16"/>
              </w:rPr>
              <w:t>Varlıklar</w:t>
            </w:r>
          </w:p>
        </w:tc>
        <w:tc>
          <w:tcPr>
            <w:tcW w:w="1022" w:type="dxa"/>
            <w:tcBorders>
              <w:top w:val="single" w:sz="4" w:space="0" w:color="auto"/>
              <w:left w:val="nil"/>
              <w:bottom w:val="single" w:sz="4" w:space="0" w:color="auto"/>
              <w:right w:val="single" w:sz="4" w:space="0" w:color="auto"/>
            </w:tcBorders>
            <w:shd w:val="clear" w:color="000000" w:fill="FFFFFF"/>
            <w:vAlign w:val="bottom"/>
          </w:tcPr>
          <w:p w14:paraId="1215F4B3" w14:textId="77777777" w:rsidR="00F21B9D" w:rsidRPr="001F224B" w:rsidRDefault="00F21B9D">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6F5921CF" w14:textId="77777777" w:rsidR="00F21B9D" w:rsidRPr="001F224B" w:rsidRDefault="00F21B9D">
            <w:pPr>
              <w:jc w:val="right"/>
              <w:rPr>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bottom"/>
          </w:tcPr>
          <w:p w14:paraId="4972F789" w14:textId="77777777" w:rsidR="00F21B9D" w:rsidRPr="001F224B" w:rsidRDefault="00F21B9D">
            <w:pPr>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bottom"/>
          </w:tcPr>
          <w:p w14:paraId="5A8F2DFE" w14:textId="77777777" w:rsidR="00F21B9D" w:rsidRPr="001F224B" w:rsidRDefault="00F21B9D">
            <w:pPr>
              <w:jc w:val="right"/>
              <w:rPr>
                <w:sz w:val="16"/>
                <w:szCs w:val="16"/>
              </w:rPr>
            </w:pPr>
          </w:p>
        </w:tc>
        <w:tc>
          <w:tcPr>
            <w:tcW w:w="863" w:type="dxa"/>
            <w:tcBorders>
              <w:top w:val="single" w:sz="4" w:space="0" w:color="auto"/>
              <w:left w:val="nil"/>
              <w:bottom w:val="single" w:sz="4" w:space="0" w:color="auto"/>
              <w:right w:val="single" w:sz="4" w:space="0" w:color="auto"/>
            </w:tcBorders>
            <w:shd w:val="clear" w:color="000000" w:fill="FFFFFF"/>
            <w:vAlign w:val="bottom"/>
          </w:tcPr>
          <w:p w14:paraId="41E44057" w14:textId="77777777" w:rsidR="00F21B9D" w:rsidRPr="001F224B" w:rsidRDefault="00F21B9D">
            <w:pPr>
              <w:jc w:val="right"/>
              <w:rPr>
                <w:sz w:val="16"/>
                <w:szCs w:val="16"/>
              </w:rPr>
            </w:pPr>
          </w:p>
        </w:tc>
        <w:tc>
          <w:tcPr>
            <w:tcW w:w="980" w:type="dxa"/>
            <w:tcBorders>
              <w:top w:val="single" w:sz="4" w:space="0" w:color="auto"/>
              <w:left w:val="nil"/>
              <w:bottom w:val="single" w:sz="4" w:space="0" w:color="auto"/>
              <w:right w:val="single" w:sz="4" w:space="0" w:color="auto"/>
            </w:tcBorders>
            <w:shd w:val="clear" w:color="000000" w:fill="FFFFFF"/>
            <w:vAlign w:val="bottom"/>
          </w:tcPr>
          <w:p w14:paraId="6C8525FD" w14:textId="77777777" w:rsidR="00F21B9D" w:rsidRPr="001F224B" w:rsidRDefault="00F21B9D">
            <w:pPr>
              <w:jc w:val="right"/>
              <w:rPr>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bottom"/>
          </w:tcPr>
          <w:p w14:paraId="4B0F59B0" w14:textId="77777777" w:rsidR="00F21B9D" w:rsidRPr="001F224B" w:rsidRDefault="00F21B9D">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26F09BAB" w14:textId="77777777" w:rsidR="00F21B9D" w:rsidRPr="001F224B" w:rsidRDefault="00F21B9D">
            <w:pPr>
              <w:jc w:val="right"/>
              <w:rPr>
                <w:sz w:val="16"/>
                <w:szCs w:val="16"/>
              </w:rPr>
            </w:pPr>
          </w:p>
        </w:tc>
      </w:tr>
      <w:tr w:rsidR="00AB2BBC" w:rsidRPr="001F224B" w14:paraId="1966C2E7"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2E5B751" w14:textId="77777777" w:rsidR="00AB2BBC" w:rsidRPr="001F224B" w:rsidRDefault="00AB2BBC" w:rsidP="00AB2BBC">
            <w:pPr>
              <w:ind w:left="219"/>
              <w:rPr>
                <w:sz w:val="16"/>
                <w:szCs w:val="16"/>
              </w:rPr>
            </w:pPr>
            <w:r w:rsidRPr="001F224B">
              <w:rPr>
                <w:sz w:val="16"/>
                <w:szCs w:val="16"/>
              </w:rPr>
              <w:t>Nakit Değerler (Kasa, Efektif Deposu, Yoldaki Paralar, Satın Alınan Çekler) ve TCMB</w:t>
            </w:r>
          </w:p>
        </w:tc>
        <w:tc>
          <w:tcPr>
            <w:tcW w:w="1022" w:type="dxa"/>
            <w:tcBorders>
              <w:top w:val="single" w:sz="4" w:space="0" w:color="auto"/>
              <w:left w:val="nil"/>
              <w:bottom w:val="single" w:sz="4" w:space="0" w:color="auto"/>
              <w:right w:val="single" w:sz="4" w:space="0" w:color="auto"/>
            </w:tcBorders>
            <w:shd w:val="clear" w:color="auto" w:fill="auto"/>
            <w:vAlign w:val="bottom"/>
          </w:tcPr>
          <w:p w14:paraId="41B66070" w14:textId="2084755C" w:rsidR="00AB2BBC" w:rsidRPr="001F224B" w:rsidRDefault="00AB2BBC" w:rsidP="00AB2BBC">
            <w:pPr>
              <w:jc w:val="right"/>
              <w:rPr>
                <w:sz w:val="16"/>
                <w:szCs w:val="16"/>
              </w:rPr>
            </w:pPr>
            <w:r w:rsidRPr="001F224B">
              <w:rPr>
                <w:sz w:val="16"/>
                <w:szCs w:val="16"/>
              </w:rPr>
              <w:t>1.670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C9E8382" w14:textId="6107231A" w:rsidR="00AB2BBC" w:rsidRPr="001F224B" w:rsidRDefault="00AB2BBC" w:rsidP="00AB2BBC">
            <w:pPr>
              <w:jc w:val="right"/>
              <w:rPr>
                <w:sz w:val="16"/>
                <w:szCs w:val="16"/>
              </w:rPr>
            </w:pPr>
            <w:r w:rsidRPr="001F224B">
              <w:rPr>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827BC0A" w14:textId="7E01144A" w:rsidR="00AB2BBC" w:rsidRPr="001F224B" w:rsidRDefault="00AB2BBC" w:rsidP="00AB2BBC">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7658CBE" w14:textId="2D7265C2" w:rsidR="00AB2BBC" w:rsidRPr="001F224B" w:rsidRDefault="00AB2BBC" w:rsidP="00AB2BBC">
            <w:pPr>
              <w:jc w:val="right"/>
              <w:rPr>
                <w:sz w:val="16"/>
                <w:szCs w:val="16"/>
              </w:rPr>
            </w:pPr>
            <w:r w:rsidRPr="001F224B">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DD54F4F" w14:textId="2D1D87DF" w:rsidR="00AB2BBC" w:rsidRPr="001F224B" w:rsidRDefault="00AB2BBC" w:rsidP="00AB2BBC">
            <w:pPr>
              <w:jc w:val="right"/>
              <w:rPr>
                <w:sz w:val="16"/>
                <w:szCs w:val="16"/>
              </w:rPr>
            </w:pPr>
            <w:r w:rsidRPr="001F224B">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B504DF6" w14:textId="491F64B0" w:rsidR="00AB2BBC" w:rsidRPr="001F224B" w:rsidRDefault="00AB2BBC" w:rsidP="00AB2BBC">
            <w:pPr>
              <w:jc w:val="right"/>
              <w:rPr>
                <w:sz w:val="16"/>
                <w:szCs w:val="16"/>
              </w:rPr>
            </w:pPr>
            <w:r w:rsidRPr="001F224B">
              <w:rPr>
                <w:sz w:val="16"/>
                <w:szCs w:val="16"/>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2CB9C0E" w14:textId="7EFAAA36"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82E75B7" w14:textId="392E4BFE" w:rsidR="00AB2BBC" w:rsidRPr="001F224B" w:rsidRDefault="00AB2BBC" w:rsidP="00AB2BBC">
            <w:pPr>
              <w:jc w:val="right"/>
              <w:rPr>
                <w:sz w:val="16"/>
                <w:szCs w:val="16"/>
              </w:rPr>
            </w:pPr>
            <w:r w:rsidRPr="001F224B">
              <w:rPr>
                <w:sz w:val="16"/>
                <w:szCs w:val="16"/>
              </w:rPr>
              <w:t>1.670</w:t>
            </w:r>
          </w:p>
        </w:tc>
      </w:tr>
      <w:tr w:rsidR="00AB2BBC" w:rsidRPr="001F224B" w14:paraId="4EC585AE"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64FCE18" w14:textId="77777777" w:rsidR="00AB2BBC" w:rsidRPr="001F224B" w:rsidRDefault="00AB2BBC" w:rsidP="00AB2BBC">
            <w:pPr>
              <w:ind w:left="219"/>
              <w:rPr>
                <w:sz w:val="16"/>
                <w:szCs w:val="16"/>
              </w:rPr>
            </w:pPr>
            <w:r w:rsidRPr="001F224B">
              <w:rPr>
                <w:sz w:val="16"/>
                <w:szCs w:val="16"/>
              </w:rPr>
              <w:t xml:space="preserve">Bankalar </w:t>
            </w:r>
          </w:p>
        </w:tc>
        <w:tc>
          <w:tcPr>
            <w:tcW w:w="1022" w:type="dxa"/>
            <w:tcBorders>
              <w:top w:val="single" w:sz="4" w:space="0" w:color="auto"/>
              <w:left w:val="nil"/>
              <w:bottom w:val="single" w:sz="4" w:space="0" w:color="auto"/>
              <w:right w:val="single" w:sz="4" w:space="0" w:color="auto"/>
            </w:tcBorders>
            <w:shd w:val="clear" w:color="auto" w:fill="auto"/>
            <w:vAlign w:val="bottom"/>
          </w:tcPr>
          <w:p w14:paraId="0EA22EB6" w14:textId="10C52913" w:rsidR="00AB2BBC" w:rsidRPr="001F224B" w:rsidRDefault="00AB2BBC" w:rsidP="00AB2BBC">
            <w:pPr>
              <w:jc w:val="right"/>
              <w:rPr>
                <w:sz w:val="16"/>
                <w:szCs w:val="16"/>
              </w:rPr>
            </w:pPr>
            <w:r w:rsidRPr="001F224B">
              <w:rPr>
                <w:sz w:val="16"/>
                <w:szCs w:val="16"/>
              </w:rPr>
              <w:t>371.061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E6B43C" w14:textId="1253089E" w:rsidR="00AB2BBC" w:rsidRPr="001F224B" w:rsidRDefault="00AB2BBC" w:rsidP="00AB2BBC">
            <w:pPr>
              <w:jc w:val="right"/>
              <w:rPr>
                <w:sz w:val="16"/>
                <w:szCs w:val="16"/>
              </w:rPr>
            </w:pPr>
            <w:r w:rsidRPr="001F224B">
              <w:rPr>
                <w:sz w:val="16"/>
                <w:szCs w:val="16"/>
              </w:rPr>
              <w:t>16.367.708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39D63DF" w14:textId="2A977A16" w:rsidR="00AB2BBC" w:rsidRPr="001F224B" w:rsidRDefault="00AB2BBC" w:rsidP="00AB2BBC">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80D4870" w14:textId="1E69DC01" w:rsidR="00AB2BBC" w:rsidRPr="001F224B" w:rsidRDefault="00AB2BBC" w:rsidP="00AB2BBC">
            <w:pPr>
              <w:jc w:val="right"/>
              <w:rPr>
                <w:sz w:val="16"/>
                <w:szCs w:val="16"/>
              </w:rPr>
            </w:pPr>
            <w:r w:rsidRPr="001F224B">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0A0D637" w14:textId="087CE265" w:rsidR="00AB2BBC" w:rsidRPr="001F224B" w:rsidRDefault="00AB2BBC" w:rsidP="00AB2BBC">
            <w:pPr>
              <w:jc w:val="right"/>
              <w:rPr>
                <w:sz w:val="16"/>
                <w:szCs w:val="16"/>
              </w:rPr>
            </w:pPr>
            <w:r w:rsidRPr="001F224B">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546DA9E" w14:textId="11BBA935" w:rsidR="00AB2BBC" w:rsidRPr="001F224B" w:rsidRDefault="00AB2BBC" w:rsidP="00AB2BBC">
            <w:pPr>
              <w:jc w:val="right"/>
              <w:rPr>
                <w:sz w:val="16"/>
                <w:szCs w:val="16"/>
              </w:rPr>
            </w:pPr>
            <w:r w:rsidRPr="001F224B">
              <w:rPr>
                <w:sz w:val="16"/>
                <w:szCs w:val="16"/>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A3DA2B0" w14:textId="149DF442"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996F1C3" w14:textId="2DF4769D" w:rsidR="00AB2BBC" w:rsidRPr="001F224B" w:rsidRDefault="00AB2BBC" w:rsidP="00AB2BBC">
            <w:pPr>
              <w:jc w:val="right"/>
              <w:rPr>
                <w:sz w:val="16"/>
                <w:szCs w:val="16"/>
              </w:rPr>
            </w:pPr>
            <w:r w:rsidRPr="001F224B">
              <w:rPr>
                <w:sz w:val="16"/>
                <w:szCs w:val="16"/>
              </w:rPr>
              <w:t>16.738.769</w:t>
            </w:r>
          </w:p>
        </w:tc>
      </w:tr>
      <w:tr w:rsidR="00AB2BBC" w:rsidRPr="001F224B" w14:paraId="5792EE7A"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AA634C3" w14:textId="77777777" w:rsidR="00AB2BBC" w:rsidRPr="001F224B" w:rsidRDefault="00AB2BBC" w:rsidP="00AB2BBC">
            <w:pPr>
              <w:ind w:left="219"/>
              <w:rPr>
                <w:sz w:val="16"/>
                <w:szCs w:val="16"/>
              </w:rPr>
            </w:pPr>
            <w:r w:rsidRPr="001F224B">
              <w:rPr>
                <w:sz w:val="16"/>
                <w:szCs w:val="16"/>
              </w:rPr>
              <w:t>Gerçeğe Uygun Değer Farkı Kar veya Zarara Yansıtılan Finansal Varlıklar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2542DA6F" w14:textId="746F6EAE" w:rsidR="00AB2BBC" w:rsidRPr="001F224B" w:rsidRDefault="00AB2BBC" w:rsidP="00AB2BBC">
            <w:pPr>
              <w:jc w:val="right"/>
              <w:rPr>
                <w:sz w:val="16"/>
                <w:szCs w:val="16"/>
              </w:rPr>
            </w:pPr>
            <w:r w:rsidRPr="001F224B">
              <w:rPr>
                <w:sz w:val="16"/>
                <w:szCs w:val="16"/>
              </w:rPr>
              <w:t>868.925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0C293A4" w14:textId="43092885" w:rsidR="00AB2BBC" w:rsidRPr="001F224B" w:rsidRDefault="00AB2BBC" w:rsidP="00AB2BBC">
            <w:pPr>
              <w:jc w:val="right"/>
              <w:rPr>
                <w:sz w:val="16"/>
                <w:szCs w:val="16"/>
              </w:rPr>
            </w:pPr>
            <w:r w:rsidRPr="001F224B">
              <w:rPr>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3A6C0B7" w14:textId="123B4AFF" w:rsidR="00AB2BBC" w:rsidRPr="001F224B" w:rsidRDefault="00AB2BBC" w:rsidP="00AB2BBC">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F3BE08D" w14:textId="599D6DA2" w:rsidR="00AB2BBC" w:rsidRPr="001F224B" w:rsidRDefault="00AB2BBC" w:rsidP="00AB2BBC">
            <w:pPr>
              <w:jc w:val="right"/>
              <w:rPr>
                <w:sz w:val="16"/>
                <w:szCs w:val="16"/>
              </w:rPr>
            </w:pPr>
            <w:r w:rsidRPr="001F224B">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7228AA4" w14:textId="66CA66B1" w:rsidR="00AB2BBC" w:rsidRPr="001F224B" w:rsidRDefault="00AB2BBC" w:rsidP="00AB2BBC">
            <w:pPr>
              <w:jc w:val="right"/>
              <w:rPr>
                <w:sz w:val="16"/>
                <w:szCs w:val="16"/>
              </w:rPr>
            </w:pPr>
            <w:r w:rsidRPr="001F224B">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432D9483" w14:textId="0DF1E014" w:rsidR="00AB2BBC" w:rsidRPr="001F224B" w:rsidRDefault="00AB2BBC" w:rsidP="00AB2BBC">
            <w:pPr>
              <w:jc w:val="right"/>
              <w:rPr>
                <w:sz w:val="16"/>
                <w:szCs w:val="16"/>
              </w:rPr>
            </w:pPr>
            <w:r w:rsidRPr="001F224B">
              <w:rPr>
                <w:sz w:val="16"/>
                <w:szCs w:val="16"/>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6A744C0" w14:textId="6C38362C"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A054774" w14:textId="57A97B07" w:rsidR="00AB2BBC" w:rsidRPr="001F224B" w:rsidRDefault="00AB2BBC" w:rsidP="00AB2BBC">
            <w:pPr>
              <w:jc w:val="right"/>
              <w:rPr>
                <w:sz w:val="16"/>
                <w:szCs w:val="16"/>
              </w:rPr>
            </w:pPr>
            <w:r w:rsidRPr="001F224B">
              <w:rPr>
                <w:sz w:val="16"/>
                <w:szCs w:val="16"/>
              </w:rPr>
              <w:t>868.925</w:t>
            </w:r>
          </w:p>
        </w:tc>
      </w:tr>
      <w:tr w:rsidR="00AB2BBC" w:rsidRPr="001F224B" w14:paraId="5702B7C7"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AD3A725" w14:textId="77777777" w:rsidR="00AB2BBC" w:rsidRPr="001F224B" w:rsidRDefault="00AB2BBC" w:rsidP="00AB2BBC">
            <w:pPr>
              <w:ind w:left="219"/>
              <w:rPr>
                <w:sz w:val="16"/>
                <w:szCs w:val="16"/>
              </w:rPr>
            </w:pPr>
            <w:r w:rsidRPr="001F224B">
              <w:rPr>
                <w:sz w:val="16"/>
                <w:szCs w:val="16"/>
              </w:rPr>
              <w:t>Para Piyasalarından Alacaklar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64C014B3" w14:textId="75B4A75E"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7E70433" w14:textId="102CEA5A" w:rsidR="00AB2BBC" w:rsidRPr="001F224B" w:rsidRDefault="00AB2BBC" w:rsidP="00AB2BBC">
            <w:pPr>
              <w:jc w:val="right"/>
              <w:rPr>
                <w:sz w:val="16"/>
                <w:szCs w:val="16"/>
              </w:rPr>
            </w:pPr>
            <w:r w:rsidRPr="001F224B">
              <w:rPr>
                <w:sz w:val="16"/>
                <w:szCs w:val="16"/>
              </w:rPr>
              <w:t>19.890.447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498E4F5" w14:textId="7BAF6EC0" w:rsidR="00AB2BBC" w:rsidRPr="001F224B" w:rsidRDefault="00AB2BBC" w:rsidP="00AB2BBC">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89448F8" w14:textId="5F8F5163" w:rsidR="00AB2BBC" w:rsidRPr="001F224B" w:rsidRDefault="00AB2BBC" w:rsidP="00AB2BBC">
            <w:pPr>
              <w:jc w:val="right"/>
              <w:rPr>
                <w:sz w:val="16"/>
                <w:szCs w:val="16"/>
              </w:rPr>
            </w:pPr>
            <w:r w:rsidRPr="001F224B">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1BC03441" w14:textId="5681F141" w:rsidR="00AB2BBC" w:rsidRPr="001F224B" w:rsidRDefault="00AB2BBC" w:rsidP="00AB2BBC">
            <w:pPr>
              <w:jc w:val="right"/>
              <w:rPr>
                <w:sz w:val="16"/>
                <w:szCs w:val="16"/>
              </w:rPr>
            </w:pPr>
            <w:r w:rsidRPr="001F224B">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7A15324" w14:textId="7A61FD43" w:rsidR="00AB2BBC" w:rsidRPr="001F224B" w:rsidRDefault="00AB2BBC" w:rsidP="00AB2BBC">
            <w:pPr>
              <w:jc w:val="right"/>
              <w:rPr>
                <w:sz w:val="16"/>
                <w:szCs w:val="16"/>
              </w:rPr>
            </w:pPr>
            <w:r w:rsidRPr="001F224B">
              <w:rPr>
                <w:sz w:val="16"/>
                <w:szCs w:val="16"/>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2FF6864" w14:textId="0DACA4BB"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B5495C6" w14:textId="01A4768F" w:rsidR="00AB2BBC" w:rsidRPr="001F224B" w:rsidRDefault="00AB2BBC" w:rsidP="00AB2BBC">
            <w:pPr>
              <w:jc w:val="right"/>
              <w:rPr>
                <w:sz w:val="16"/>
                <w:szCs w:val="16"/>
              </w:rPr>
            </w:pPr>
            <w:r w:rsidRPr="001F224B">
              <w:rPr>
                <w:sz w:val="16"/>
                <w:szCs w:val="16"/>
              </w:rPr>
              <w:t>19.890.447</w:t>
            </w:r>
          </w:p>
        </w:tc>
      </w:tr>
      <w:tr w:rsidR="00AB2BBC" w:rsidRPr="001F224B" w14:paraId="2B869D08"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E5127E2" w14:textId="77777777" w:rsidR="00AB2BBC" w:rsidRPr="001F224B" w:rsidRDefault="00AB2BBC" w:rsidP="00AB2BBC">
            <w:pPr>
              <w:ind w:left="219"/>
              <w:rPr>
                <w:sz w:val="16"/>
                <w:szCs w:val="16"/>
              </w:rPr>
            </w:pPr>
            <w:r w:rsidRPr="001F224B">
              <w:rPr>
                <w:sz w:val="16"/>
                <w:szCs w:val="16"/>
              </w:rPr>
              <w:t>Gerçeğe Uygun Değer Farkı Diğer Kapsamlı Gelire Yansıtılan Finansal Varlıklar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2A73D3BB" w14:textId="44B96084" w:rsidR="00AB2BBC" w:rsidRPr="001F224B" w:rsidRDefault="00AB2BBC" w:rsidP="00AB2BBC">
            <w:pPr>
              <w:jc w:val="right"/>
              <w:rPr>
                <w:sz w:val="16"/>
                <w:szCs w:val="16"/>
              </w:rPr>
            </w:pPr>
            <w:r w:rsidRPr="001F224B">
              <w:rPr>
                <w:sz w:val="16"/>
                <w:szCs w:val="16"/>
              </w:rPr>
              <w:t>8.813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88E837A" w14:textId="3DFDBA0A" w:rsidR="00AB2BBC" w:rsidRPr="001F224B" w:rsidRDefault="00AB2BBC" w:rsidP="00AB2BBC">
            <w:pPr>
              <w:jc w:val="right"/>
              <w:rPr>
                <w:sz w:val="16"/>
                <w:szCs w:val="16"/>
              </w:rPr>
            </w:pPr>
            <w:r w:rsidRPr="001F224B">
              <w:rPr>
                <w:sz w:val="16"/>
                <w:szCs w:val="16"/>
              </w:rPr>
              <w:t>501.873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E56B14B" w14:textId="5536D113" w:rsidR="00AB2BBC" w:rsidRPr="001F224B" w:rsidRDefault="00AB2BBC" w:rsidP="00AB2BBC">
            <w:pPr>
              <w:jc w:val="right"/>
              <w:rPr>
                <w:sz w:val="16"/>
                <w:szCs w:val="16"/>
              </w:rPr>
            </w:pPr>
            <w:r w:rsidRPr="001F224B">
              <w:rPr>
                <w:sz w:val="16"/>
                <w:szCs w:val="16"/>
              </w:rPr>
              <w:t>2.239.116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EDC5925" w14:textId="17A51F66" w:rsidR="00AB2BBC" w:rsidRPr="001F224B" w:rsidRDefault="00AB2BBC" w:rsidP="00AB2BBC">
            <w:pPr>
              <w:jc w:val="right"/>
              <w:rPr>
                <w:sz w:val="16"/>
                <w:szCs w:val="16"/>
              </w:rPr>
            </w:pPr>
            <w:r w:rsidRPr="001F224B">
              <w:rPr>
                <w:sz w:val="16"/>
                <w:szCs w:val="16"/>
              </w:rPr>
              <w:t>13.166.081</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1654C48C" w14:textId="3849F2E7" w:rsidR="00AB2BBC" w:rsidRPr="001F224B" w:rsidRDefault="00AB2BBC" w:rsidP="00AB2BBC">
            <w:pPr>
              <w:jc w:val="right"/>
              <w:rPr>
                <w:sz w:val="16"/>
                <w:szCs w:val="16"/>
              </w:rPr>
            </w:pPr>
            <w:r w:rsidRPr="001F224B">
              <w:rPr>
                <w:sz w:val="16"/>
                <w:szCs w:val="16"/>
              </w:rPr>
              <w:t>11.898.843</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4D04FC1C" w14:textId="5D77F068" w:rsidR="00AB2BBC" w:rsidRPr="001F224B" w:rsidRDefault="00AB2BBC" w:rsidP="00AB2BBC">
            <w:pPr>
              <w:jc w:val="right"/>
              <w:rPr>
                <w:sz w:val="16"/>
                <w:szCs w:val="16"/>
              </w:rPr>
            </w:pPr>
            <w:r w:rsidRPr="001F224B">
              <w:rPr>
                <w:sz w:val="16"/>
                <w:szCs w:val="16"/>
              </w:rPr>
              <w:t>67.169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348A26D" w14:textId="10D0B466"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48C0ACA" w14:textId="7AD216A5" w:rsidR="00AB2BBC" w:rsidRPr="001F224B" w:rsidRDefault="00AB2BBC" w:rsidP="00AB2BBC">
            <w:pPr>
              <w:jc w:val="right"/>
              <w:rPr>
                <w:sz w:val="16"/>
                <w:szCs w:val="16"/>
              </w:rPr>
            </w:pPr>
            <w:r w:rsidRPr="001F224B">
              <w:rPr>
                <w:sz w:val="16"/>
                <w:szCs w:val="16"/>
              </w:rPr>
              <w:t>27.881.895</w:t>
            </w:r>
          </w:p>
        </w:tc>
      </w:tr>
      <w:tr w:rsidR="00AB2BBC" w:rsidRPr="001F224B" w14:paraId="06766367"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64317D7" w14:textId="06B7617B" w:rsidR="00AB2BBC" w:rsidRPr="001F224B" w:rsidRDefault="00AB2BBC" w:rsidP="00AB2BBC">
            <w:pPr>
              <w:ind w:left="219"/>
              <w:rPr>
                <w:sz w:val="16"/>
                <w:szCs w:val="16"/>
              </w:rPr>
            </w:pPr>
            <w:bookmarkStart w:id="27" w:name="OLE_LINK26"/>
            <w:r w:rsidRPr="001F224B">
              <w:rPr>
                <w:sz w:val="16"/>
                <w:szCs w:val="16"/>
              </w:rPr>
              <w:t xml:space="preserve">Verilen Krediler </w:t>
            </w:r>
            <w:bookmarkEnd w:id="27"/>
          </w:p>
        </w:tc>
        <w:tc>
          <w:tcPr>
            <w:tcW w:w="1022" w:type="dxa"/>
            <w:tcBorders>
              <w:top w:val="single" w:sz="4" w:space="0" w:color="auto"/>
              <w:left w:val="nil"/>
              <w:bottom w:val="single" w:sz="4" w:space="0" w:color="auto"/>
              <w:right w:val="single" w:sz="4" w:space="0" w:color="auto"/>
            </w:tcBorders>
            <w:shd w:val="clear" w:color="auto" w:fill="auto"/>
            <w:vAlign w:val="bottom"/>
          </w:tcPr>
          <w:p w14:paraId="36F68E70" w14:textId="2A812CC2"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BC337C7" w14:textId="2A3D6A33" w:rsidR="00AB2BBC" w:rsidRPr="001F224B" w:rsidRDefault="00AB2BBC" w:rsidP="00AB2BBC">
            <w:pPr>
              <w:jc w:val="right"/>
              <w:rPr>
                <w:sz w:val="16"/>
                <w:szCs w:val="16"/>
              </w:rPr>
            </w:pPr>
            <w:r w:rsidRPr="001F224B">
              <w:rPr>
                <w:sz w:val="16"/>
                <w:szCs w:val="16"/>
              </w:rPr>
              <w:t>1.058.128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B3FA601" w14:textId="0EA1E28A" w:rsidR="00AB2BBC" w:rsidRPr="001F224B" w:rsidRDefault="00AB2BBC" w:rsidP="00AB2BBC">
            <w:pPr>
              <w:jc w:val="right"/>
              <w:rPr>
                <w:sz w:val="16"/>
                <w:szCs w:val="16"/>
              </w:rPr>
            </w:pPr>
            <w:r w:rsidRPr="001F224B">
              <w:rPr>
                <w:sz w:val="16"/>
                <w:szCs w:val="16"/>
              </w:rPr>
              <w:t>4.808.311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3D076F6" w14:textId="083A7162" w:rsidR="00AB2BBC" w:rsidRPr="001F224B" w:rsidRDefault="00AB2BBC" w:rsidP="00AB2BBC">
            <w:pPr>
              <w:jc w:val="right"/>
              <w:rPr>
                <w:sz w:val="16"/>
                <w:szCs w:val="16"/>
              </w:rPr>
            </w:pPr>
            <w:r w:rsidRPr="001F224B">
              <w:rPr>
                <w:sz w:val="16"/>
                <w:szCs w:val="16"/>
              </w:rPr>
              <w:t>16.794.156</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7F70AC48" w14:textId="70D06C3E" w:rsidR="00AB2BBC" w:rsidRPr="001F224B" w:rsidRDefault="00AB2BBC" w:rsidP="00AB2BBC">
            <w:pPr>
              <w:jc w:val="right"/>
              <w:rPr>
                <w:sz w:val="16"/>
                <w:szCs w:val="16"/>
              </w:rPr>
            </w:pPr>
            <w:r w:rsidRPr="001F224B">
              <w:rPr>
                <w:sz w:val="16"/>
                <w:szCs w:val="16"/>
              </w:rPr>
              <w:t>63.713.947</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08E3C18" w14:textId="47792C82" w:rsidR="00AB2BBC" w:rsidRPr="001F224B" w:rsidRDefault="00AB2BBC" w:rsidP="00AB2BBC">
            <w:pPr>
              <w:jc w:val="right"/>
              <w:rPr>
                <w:sz w:val="16"/>
                <w:szCs w:val="16"/>
              </w:rPr>
            </w:pPr>
            <w:r w:rsidRPr="001F224B">
              <w:rPr>
                <w:sz w:val="16"/>
                <w:szCs w:val="16"/>
              </w:rPr>
              <w:t>21.286.806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BA43AF7" w14:textId="2AC6A271" w:rsidR="00AB2BBC" w:rsidRPr="001F224B" w:rsidRDefault="00AB2BBC" w:rsidP="00AB2BBC">
            <w:pPr>
              <w:jc w:val="right"/>
              <w:rPr>
                <w:sz w:val="16"/>
                <w:szCs w:val="16"/>
              </w:rPr>
            </w:pPr>
            <w:r w:rsidRPr="001F224B">
              <w:rPr>
                <w:sz w:val="16"/>
                <w:szCs w:val="16"/>
              </w:rPr>
              <w:t>127.431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676CBD4" w14:textId="7A48761C" w:rsidR="00AB2BBC" w:rsidRPr="001F224B" w:rsidRDefault="00AB2BBC" w:rsidP="00AB2BBC">
            <w:pPr>
              <w:jc w:val="right"/>
              <w:rPr>
                <w:sz w:val="16"/>
                <w:szCs w:val="16"/>
              </w:rPr>
            </w:pPr>
            <w:r w:rsidRPr="001F224B">
              <w:rPr>
                <w:sz w:val="16"/>
                <w:szCs w:val="16"/>
              </w:rPr>
              <w:t>107.788.779</w:t>
            </w:r>
          </w:p>
        </w:tc>
      </w:tr>
      <w:tr w:rsidR="00AB2BBC" w:rsidRPr="001F224B" w14:paraId="704FE56C"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6D022AA" w14:textId="77777777" w:rsidR="00AB2BBC" w:rsidRPr="001F224B" w:rsidRDefault="00AB2BBC" w:rsidP="00AB2BBC">
            <w:pPr>
              <w:tabs>
                <w:tab w:val="left" w:pos="361"/>
              </w:tabs>
              <w:ind w:left="219"/>
              <w:rPr>
                <w:sz w:val="16"/>
                <w:szCs w:val="16"/>
              </w:rPr>
            </w:pPr>
            <w:r w:rsidRPr="001F224B">
              <w:rPr>
                <w:sz w:val="16"/>
                <w:szCs w:val="16"/>
              </w:rPr>
              <w:t>İtfa Edilmiş Maliyeti Üzerinden Değerlenen Finansal Varlıklar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79CE88BB" w14:textId="402FA089"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36057E3" w14:textId="5AA6FACD" w:rsidR="00AB2BBC" w:rsidRPr="001F224B" w:rsidRDefault="00AB2BBC" w:rsidP="00AB2BBC">
            <w:pPr>
              <w:jc w:val="right"/>
              <w:rPr>
                <w:sz w:val="16"/>
                <w:szCs w:val="16"/>
              </w:rPr>
            </w:pPr>
            <w:r w:rsidRPr="001F224B">
              <w:rPr>
                <w:sz w:val="16"/>
                <w:szCs w:val="16"/>
              </w:rPr>
              <w:t>104.994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2184CF3" w14:textId="6D2AECE0" w:rsidR="00AB2BBC" w:rsidRPr="001F224B" w:rsidRDefault="00AB2BBC" w:rsidP="00AB2BBC">
            <w:pPr>
              <w:jc w:val="right"/>
              <w:rPr>
                <w:sz w:val="16"/>
                <w:szCs w:val="16"/>
              </w:rPr>
            </w:pPr>
            <w:r w:rsidRPr="001F224B">
              <w:rPr>
                <w:sz w:val="16"/>
                <w:szCs w:val="16"/>
              </w:rPr>
              <w:t>684.637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94CC392" w14:textId="5E8EA394" w:rsidR="00AB2BBC" w:rsidRPr="001F224B" w:rsidRDefault="00AB2BBC" w:rsidP="00AB2BBC">
            <w:pPr>
              <w:jc w:val="right"/>
              <w:rPr>
                <w:sz w:val="16"/>
                <w:szCs w:val="16"/>
              </w:rPr>
            </w:pPr>
            <w:r w:rsidRPr="001F224B">
              <w:rPr>
                <w:sz w:val="16"/>
                <w:szCs w:val="16"/>
              </w:rPr>
              <w:t>1.016.036</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0F781D8" w14:textId="56029209" w:rsidR="00AB2BBC" w:rsidRPr="001F224B" w:rsidRDefault="00AB2BBC" w:rsidP="00AB2BBC">
            <w:pPr>
              <w:jc w:val="right"/>
              <w:rPr>
                <w:sz w:val="16"/>
                <w:szCs w:val="16"/>
              </w:rPr>
            </w:pPr>
            <w:r w:rsidRPr="001F224B">
              <w:rPr>
                <w:sz w:val="16"/>
                <w:szCs w:val="16"/>
              </w:rPr>
              <w:t>2.574.234</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23D1217" w14:textId="6937EEB5" w:rsidR="00AB2BBC" w:rsidRPr="001F224B" w:rsidRDefault="00AB2BBC" w:rsidP="00AB2BBC">
            <w:pPr>
              <w:jc w:val="right"/>
              <w:rPr>
                <w:sz w:val="16"/>
                <w:szCs w:val="16"/>
              </w:rPr>
            </w:pPr>
            <w:r w:rsidRPr="001F224B">
              <w:rPr>
                <w:sz w:val="16"/>
                <w:szCs w:val="16"/>
              </w:rPr>
              <w:t>6.459.968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BEBAEEF" w14:textId="31FEE15D"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BA2D19A" w14:textId="6C04FD20" w:rsidR="00AB2BBC" w:rsidRPr="001F224B" w:rsidRDefault="00AB2BBC" w:rsidP="00AB2BBC">
            <w:pPr>
              <w:jc w:val="right"/>
              <w:rPr>
                <w:sz w:val="16"/>
                <w:szCs w:val="16"/>
              </w:rPr>
            </w:pPr>
            <w:r w:rsidRPr="001F224B">
              <w:rPr>
                <w:sz w:val="16"/>
                <w:szCs w:val="16"/>
              </w:rPr>
              <w:t>10.839.869</w:t>
            </w:r>
          </w:p>
        </w:tc>
      </w:tr>
      <w:tr w:rsidR="00AB2BBC" w:rsidRPr="001F224B" w14:paraId="574A740E" w14:textId="77777777" w:rsidTr="00AB2BBC">
        <w:trPr>
          <w:gridAfter w:val="1"/>
          <w:wAfter w:w="492" w:type="dxa"/>
          <w:trHeight w:val="109"/>
        </w:trPr>
        <w:tc>
          <w:tcPr>
            <w:tcW w:w="2380" w:type="dxa"/>
            <w:tcBorders>
              <w:top w:val="nil"/>
              <w:left w:val="single" w:sz="4" w:space="0" w:color="auto"/>
              <w:bottom w:val="single" w:sz="4" w:space="0" w:color="auto"/>
              <w:right w:val="single" w:sz="4" w:space="0" w:color="auto"/>
            </w:tcBorders>
            <w:shd w:val="clear" w:color="000000" w:fill="FFFFFF"/>
            <w:vAlign w:val="bottom"/>
          </w:tcPr>
          <w:p w14:paraId="44215054" w14:textId="5E3FEF25" w:rsidR="00AB2BBC" w:rsidRPr="001F224B" w:rsidRDefault="00AB2BBC" w:rsidP="00AB2BBC">
            <w:pPr>
              <w:ind w:left="219"/>
              <w:rPr>
                <w:sz w:val="16"/>
                <w:szCs w:val="16"/>
              </w:rPr>
            </w:pPr>
            <w:r w:rsidRPr="001F224B">
              <w:rPr>
                <w:sz w:val="16"/>
                <w:szCs w:val="16"/>
              </w:rPr>
              <w:t>Diğer Varlıklar</w:t>
            </w:r>
            <w:r w:rsidRPr="001F224B">
              <w:rPr>
                <w:sz w:val="16"/>
                <w:szCs w:val="16"/>
                <w:vertAlign w:val="superscript"/>
              </w:rPr>
              <w:t xml:space="preserve"> </w:t>
            </w:r>
          </w:p>
        </w:tc>
        <w:tc>
          <w:tcPr>
            <w:tcW w:w="1022" w:type="dxa"/>
            <w:tcBorders>
              <w:top w:val="single" w:sz="4" w:space="0" w:color="auto"/>
              <w:left w:val="nil"/>
              <w:bottom w:val="single" w:sz="4" w:space="0" w:color="auto"/>
              <w:right w:val="single" w:sz="4" w:space="0" w:color="auto"/>
            </w:tcBorders>
            <w:shd w:val="clear" w:color="auto" w:fill="auto"/>
            <w:vAlign w:val="bottom"/>
          </w:tcPr>
          <w:p w14:paraId="4D13762A" w14:textId="55DC35A0" w:rsidR="00AB2BBC" w:rsidRPr="001F224B" w:rsidRDefault="00AB2BBC" w:rsidP="00AB2BBC">
            <w:pPr>
              <w:jc w:val="right"/>
              <w:rPr>
                <w:sz w:val="16"/>
                <w:szCs w:val="16"/>
              </w:rPr>
            </w:pPr>
            <w:r w:rsidRPr="001F224B">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A90651" w14:textId="7CD7B9E5" w:rsidR="00AB2BBC" w:rsidRPr="001F224B" w:rsidRDefault="00AB2BBC" w:rsidP="00AB2BBC">
            <w:pPr>
              <w:jc w:val="right"/>
              <w:rPr>
                <w:sz w:val="16"/>
                <w:szCs w:val="16"/>
              </w:rPr>
            </w:pPr>
            <w:r w:rsidRPr="001F224B">
              <w:rPr>
                <w:sz w:val="16"/>
                <w:szCs w:val="16"/>
              </w:rPr>
              <w:t>73.209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5644232" w14:textId="2CAE9B07" w:rsidR="00AB2BBC" w:rsidRPr="001F224B" w:rsidRDefault="00AB2BBC" w:rsidP="00AB2BBC">
            <w:pPr>
              <w:jc w:val="right"/>
              <w:rPr>
                <w:sz w:val="16"/>
                <w:szCs w:val="16"/>
              </w:rPr>
            </w:pPr>
            <w:r w:rsidRPr="001F224B">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24C39E0" w14:textId="21A7A437" w:rsidR="00AB2BBC" w:rsidRPr="001F224B" w:rsidRDefault="00AB2BBC" w:rsidP="00AB2BBC">
            <w:pPr>
              <w:jc w:val="right"/>
              <w:rPr>
                <w:sz w:val="16"/>
                <w:szCs w:val="16"/>
              </w:rPr>
            </w:pPr>
            <w:r w:rsidRPr="001F224B">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21552BAE" w14:textId="1DA6237A" w:rsidR="00AB2BBC" w:rsidRPr="001F224B" w:rsidRDefault="00AB2BBC" w:rsidP="00AB2BBC">
            <w:pPr>
              <w:jc w:val="right"/>
              <w:rPr>
                <w:sz w:val="16"/>
                <w:szCs w:val="16"/>
              </w:rPr>
            </w:pPr>
            <w:r w:rsidRPr="001F224B">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5B797BDD" w14:textId="1B056D23" w:rsidR="00AB2BBC" w:rsidRPr="001F224B" w:rsidRDefault="00AB2BBC" w:rsidP="00AB2BBC">
            <w:pPr>
              <w:jc w:val="right"/>
              <w:rPr>
                <w:sz w:val="16"/>
                <w:szCs w:val="16"/>
              </w:rPr>
            </w:pPr>
            <w:r w:rsidRPr="001F224B">
              <w:rPr>
                <w:sz w:val="16"/>
                <w:szCs w:val="16"/>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E91BC54" w14:textId="2E95FF8E" w:rsidR="00AB2BBC" w:rsidRPr="001F224B" w:rsidRDefault="00AB2BBC" w:rsidP="00AB2BBC">
            <w:pPr>
              <w:jc w:val="right"/>
              <w:rPr>
                <w:sz w:val="16"/>
                <w:szCs w:val="16"/>
              </w:rPr>
            </w:pPr>
            <w:r w:rsidRPr="001F224B">
              <w:rPr>
                <w:sz w:val="16"/>
                <w:szCs w:val="16"/>
              </w:rPr>
              <w:t>1.408.632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7F2C3B3" w14:textId="19885A3D" w:rsidR="00AB2BBC" w:rsidRPr="001F224B" w:rsidRDefault="00AB2BBC" w:rsidP="00AB2BBC">
            <w:pPr>
              <w:jc w:val="right"/>
              <w:rPr>
                <w:sz w:val="16"/>
                <w:szCs w:val="16"/>
              </w:rPr>
            </w:pPr>
            <w:r w:rsidRPr="001F224B">
              <w:rPr>
                <w:sz w:val="16"/>
                <w:szCs w:val="16"/>
              </w:rPr>
              <w:t>1.481.841</w:t>
            </w:r>
          </w:p>
        </w:tc>
      </w:tr>
      <w:tr w:rsidR="00AB2BBC" w:rsidRPr="001F224B" w14:paraId="13DCBE99" w14:textId="77777777" w:rsidTr="00AB2BBC">
        <w:trPr>
          <w:gridAfter w:val="1"/>
          <w:wAfter w:w="492" w:type="dxa"/>
          <w:trHeight w:val="60"/>
        </w:trPr>
        <w:tc>
          <w:tcPr>
            <w:tcW w:w="2380" w:type="dxa"/>
            <w:tcBorders>
              <w:top w:val="nil"/>
              <w:left w:val="single" w:sz="4" w:space="0" w:color="auto"/>
              <w:bottom w:val="single" w:sz="4" w:space="0" w:color="auto"/>
              <w:right w:val="single" w:sz="4" w:space="0" w:color="auto"/>
            </w:tcBorders>
            <w:shd w:val="clear" w:color="000000" w:fill="FFFFFF"/>
            <w:vAlign w:val="bottom"/>
          </w:tcPr>
          <w:p w14:paraId="5E53289B" w14:textId="6BFDF624" w:rsidR="00AB2BBC" w:rsidRPr="001F224B" w:rsidRDefault="00AB2BBC" w:rsidP="00AB2BBC">
            <w:pPr>
              <w:rPr>
                <w:b/>
                <w:sz w:val="16"/>
                <w:szCs w:val="16"/>
              </w:rPr>
            </w:pPr>
            <w:r w:rsidRPr="001F224B">
              <w:rPr>
                <w:b/>
                <w:sz w:val="16"/>
                <w:szCs w:val="16"/>
              </w:rPr>
              <w:t>Toplam Varlıklar</w:t>
            </w:r>
            <w:r w:rsidRPr="001F224B">
              <w:rPr>
                <w:b/>
                <w:sz w:val="16"/>
                <w:szCs w:val="16"/>
                <w:vertAlign w:val="superscript"/>
              </w:rPr>
              <w:t xml:space="preserve"> (2)</w:t>
            </w:r>
          </w:p>
        </w:tc>
        <w:tc>
          <w:tcPr>
            <w:tcW w:w="1022" w:type="dxa"/>
            <w:tcBorders>
              <w:top w:val="single" w:sz="4" w:space="0" w:color="auto"/>
              <w:left w:val="nil"/>
              <w:bottom w:val="single" w:sz="4" w:space="0" w:color="auto"/>
              <w:right w:val="single" w:sz="4" w:space="0" w:color="auto"/>
            </w:tcBorders>
            <w:shd w:val="clear" w:color="auto" w:fill="auto"/>
            <w:vAlign w:val="bottom"/>
          </w:tcPr>
          <w:p w14:paraId="3749B540" w14:textId="0D3CBB5B" w:rsidR="00AB2BBC" w:rsidRPr="001F224B" w:rsidRDefault="00AB2BBC" w:rsidP="00AB2BBC">
            <w:pPr>
              <w:jc w:val="right"/>
              <w:rPr>
                <w:b/>
                <w:bCs/>
                <w:sz w:val="16"/>
                <w:szCs w:val="16"/>
              </w:rPr>
            </w:pPr>
            <w:r w:rsidRPr="001F224B">
              <w:rPr>
                <w:b/>
                <w:bCs/>
                <w:sz w:val="16"/>
                <w:szCs w:val="16"/>
              </w:rPr>
              <w:t>1.250.469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1BB2428" w14:textId="1B9EF12B" w:rsidR="00AB2BBC" w:rsidRPr="001F224B" w:rsidRDefault="00AB2BBC" w:rsidP="00AB2BBC">
            <w:pPr>
              <w:jc w:val="right"/>
              <w:rPr>
                <w:b/>
                <w:bCs/>
                <w:sz w:val="16"/>
                <w:szCs w:val="16"/>
              </w:rPr>
            </w:pPr>
            <w:r w:rsidRPr="001F224B">
              <w:rPr>
                <w:b/>
                <w:bCs/>
                <w:sz w:val="16"/>
                <w:szCs w:val="16"/>
              </w:rPr>
              <w:t>37.996.359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366C616" w14:textId="228E147A" w:rsidR="00AB2BBC" w:rsidRPr="001F224B" w:rsidRDefault="00AB2BBC" w:rsidP="00AB2BBC">
            <w:pPr>
              <w:ind w:left="-211"/>
              <w:jc w:val="right"/>
              <w:rPr>
                <w:b/>
                <w:bCs/>
                <w:sz w:val="16"/>
                <w:szCs w:val="16"/>
              </w:rPr>
            </w:pPr>
            <w:r w:rsidRPr="001F224B">
              <w:rPr>
                <w:b/>
                <w:bCs/>
                <w:sz w:val="16"/>
                <w:szCs w:val="16"/>
              </w:rPr>
              <w:t>7.732.064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8C9EC45" w14:textId="0219FA1D" w:rsidR="00AB2BBC" w:rsidRPr="001F224B" w:rsidRDefault="00AB2BBC" w:rsidP="00AB2BBC">
            <w:pPr>
              <w:jc w:val="right"/>
              <w:rPr>
                <w:b/>
                <w:bCs/>
                <w:sz w:val="16"/>
                <w:szCs w:val="16"/>
              </w:rPr>
            </w:pPr>
            <w:r w:rsidRPr="001F224B">
              <w:rPr>
                <w:b/>
                <w:bCs/>
                <w:sz w:val="16"/>
                <w:szCs w:val="16"/>
              </w:rPr>
              <w:t>30.976.273</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579E856" w14:textId="4EE48E75" w:rsidR="00AB2BBC" w:rsidRPr="001F224B" w:rsidRDefault="00AB2BBC" w:rsidP="00AB2BBC">
            <w:pPr>
              <w:jc w:val="right"/>
              <w:rPr>
                <w:b/>
                <w:bCs/>
                <w:sz w:val="16"/>
                <w:szCs w:val="16"/>
              </w:rPr>
            </w:pPr>
            <w:r w:rsidRPr="001F224B">
              <w:rPr>
                <w:b/>
                <w:bCs/>
                <w:sz w:val="16"/>
                <w:szCs w:val="16"/>
              </w:rPr>
              <w:t>78.187.024</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0D2F9D8" w14:textId="1954E9FF" w:rsidR="00AB2BBC" w:rsidRPr="001F224B" w:rsidRDefault="00AB2BBC" w:rsidP="00AB2BBC">
            <w:pPr>
              <w:jc w:val="right"/>
              <w:rPr>
                <w:b/>
                <w:bCs/>
                <w:sz w:val="16"/>
                <w:szCs w:val="16"/>
              </w:rPr>
            </w:pPr>
            <w:r w:rsidRPr="001F224B">
              <w:rPr>
                <w:b/>
                <w:bCs/>
                <w:sz w:val="16"/>
                <w:szCs w:val="16"/>
              </w:rPr>
              <w:t>27.813.943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8C79BB3" w14:textId="75EDBDDA" w:rsidR="00AB2BBC" w:rsidRPr="001F224B" w:rsidRDefault="00AB2BBC" w:rsidP="00AB2BBC">
            <w:pPr>
              <w:jc w:val="right"/>
              <w:rPr>
                <w:b/>
                <w:bCs/>
                <w:sz w:val="16"/>
                <w:szCs w:val="16"/>
              </w:rPr>
            </w:pPr>
            <w:r w:rsidRPr="001F224B">
              <w:rPr>
                <w:b/>
                <w:bCs/>
                <w:sz w:val="16"/>
                <w:szCs w:val="16"/>
              </w:rPr>
              <w:t>1.536.063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CACFFC2" w14:textId="5E8D1E27" w:rsidR="00AB2BBC" w:rsidRPr="001F224B" w:rsidRDefault="00AB2BBC" w:rsidP="00AB2BBC">
            <w:pPr>
              <w:ind w:left="-68" w:right="-8"/>
              <w:jc w:val="right"/>
              <w:rPr>
                <w:b/>
                <w:bCs/>
                <w:sz w:val="16"/>
                <w:szCs w:val="16"/>
              </w:rPr>
            </w:pPr>
            <w:r w:rsidRPr="001F224B">
              <w:rPr>
                <w:b/>
                <w:bCs/>
                <w:sz w:val="16"/>
                <w:szCs w:val="16"/>
              </w:rPr>
              <w:t>185.492.195</w:t>
            </w:r>
          </w:p>
        </w:tc>
      </w:tr>
      <w:tr w:rsidR="005A28E8" w:rsidRPr="001F224B" w14:paraId="4483F1E3"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688B6A5" w14:textId="77777777" w:rsidR="005A28E8" w:rsidRPr="001F224B" w:rsidRDefault="005A28E8" w:rsidP="005A28E8">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15D3A139" w14:textId="77777777"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72DCD3E8" w14:textId="77777777" w:rsidR="005A28E8" w:rsidRPr="001F224B" w:rsidRDefault="005A28E8" w:rsidP="005A28E8">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1CBA6112" w14:textId="77777777" w:rsidR="005A28E8" w:rsidRPr="001F224B" w:rsidRDefault="005A28E8" w:rsidP="005A28E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52AB7B2" w14:textId="77777777" w:rsidR="005A28E8" w:rsidRPr="001F224B" w:rsidRDefault="005A28E8" w:rsidP="005A28E8">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42D5FE6E" w14:textId="77777777" w:rsidR="005A28E8" w:rsidRPr="001F224B" w:rsidRDefault="005A28E8" w:rsidP="005A28E8">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268EA8D7" w14:textId="77777777" w:rsidR="005A28E8" w:rsidRPr="001F224B" w:rsidRDefault="005A28E8" w:rsidP="005A28E8">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FFFFFF"/>
            <w:vAlign w:val="bottom"/>
          </w:tcPr>
          <w:p w14:paraId="49F002A4" w14:textId="77777777"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17A232CF" w14:textId="77777777" w:rsidR="005A28E8" w:rsidRPr="001F224B" w:rsidRDefault="005A28E8" w:rsidP="005A28E8">
            <w:pPr>
              <w:jc w:val="right"/>
              <w:rPr>
                <w:sz w:val="16"/>
                <w:szCs w:val="16"/>
              </w:rPr>
            </w:pPr>
          </w:p>
        </w:tc>
      </w:tr>
      <w:tr w:rsidR="005A28E8" w:rsidRPr="001F224B" w14:paraId="7969CF31"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4E35E45" w14:textId="77777777" w:rsidR="005A28E8" w:rsidRPr="001F224B" w:rsidRDefault="005A28E8" w:rsidP="005A28E8">
            <w:pPr>
              <w:rPr>
                <w:sz w:val="16"/>
                <w:szCs w:val="16"/>
              </w:rPr>
            </w:pPr>
            <w:r w:rsidRPr="001F224B">
              <w:rPr>
                <w:sz w:val="16"/>
                <w:szCs w:val="16"/>
              </w:rPr>
              <w:t>Yükümlülükler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71A43782" w14:textId="77777777"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3F26A24" w14:textId="77777777" w:rsidR="005A28E8" w:rsidRPr="001F224B" w:rsidRDefault="005A28E8" w:rsidP="005A28E8">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45DEC0EB" w14:textId="77777777" w:rsidR="005A28E8" w:rsidRPr="001F224B" w:rsidRDefault="005A28E8" w:rsidP="005A28E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0D9BC90C" w14:textId="77777777" w:rsidR="005A28E8" w:rsidRPr="001F224B" w:rsidRDefault="005A28E8" w:rsidP="005A28E8">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2C7C8463" w14:textId="77777777" w:rsidR="005A28E8" w:rsidRPr="001F224B" w:rsidRDefault="005A28E8" w:rsidP="005A28E8">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3FEF9831" w14:textId="77777777" w:rsidR="005A28E8" w:rsidRPr="001F224B" w:rsidRDefault="005A28E8" w:rsidP="005A28E8">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FFFFFF"/>
            <w:vAlign w:val="bottom"/>
          </w:tcPr>
          <w:p w14:paraId="65AE5B8D" w14:textId="77777777"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6CFB2290" w14:textId="77777777" w:rsidR="005A28E8" w:rsidRPr="001F224B" w:rsidRDefault="005A28E8" w:rsidP="005A28E8">
            <w:pPr>
              <w:jc w:val="right"/>
              <w:rPr>
                <w:sz w:val="16"/>
                <w:szCs w:val="16"/>
              </w:rPr>
            </w:pPr>
          </w:p>
        </w:tc>
      </w:tr>
      <w:tr w:rsidR="005A28E8" w:rsidRPr="001F224B" w14:paraId="403B9D2E"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B3E85C1" w14:textId="77777777" w:rsidR="005A28E8" w:rsidRPr="001F224B" w:rsidRDefault="005A28E8" w:rsidP="005A28E8">
            <w:pPr>
              <w:ind w:left="219"/>
              <w:rPr>
                <w:sz w:val="16"/>
                <w:szCs w:val="16"/>
              </w:rPr>
            </w:pPr>
            <w:r w:rsidRPr="001F224B">
              <w:rPr>
                <w:sz w:val="16"/>
                <w:szCs w:val="16"/>
              </w:rPr>
              <w:t>Bankalar Mevduatı</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89E4029" w14:textId="26E0D8DA" w:rsidR="005A28E8" w:rsidRPr="001F224B" w:rsidRDefault="005A28E8" w:rsidP="005A28E8">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105942" w14:textId="656C0C96" w:rsidR="005A28E8" w:rsidRPr="001F224B" w:rsidRDefault="005A28E8" w:rsidP="005A28E8">
            <w:pPr>
              <w:jc w:val="right"/>
              <w:rPr>
                <w:sz w:val="16"/>
                <w:szCs w:val="16"/>
              </w:rPr>
            </w:pPr>
            <w:r w:rsidRPr="001F224B">
              <w:rPr>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703D162F" w14:textId="1051FBF8" w:rsidR="005A28E8" w:rsidRPr="001F224B" w:rsidRDefault="005A28E8" w:rsidP="005A28E8">
            <w:pPr>
              <w:jc w:val="right"/>
              <w:rPr>
                <w:sz w:val="16"/>
                <w:szCs w:val="16"/>
              </w:rPr>
            </w:pPr>
            <w:r w:rsidRPr="001F224B">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28907C6" w14:textId="7DD5190E" w:rsidR="005A28E8" w:rsidRPr="001F224B" w:rsidRDefault="005A28E8" w:rsidP="005A28E8">
            <w:pPr>
              <w:jc w:val="right"/>
              <w:rPr>
                <w:sz w:val="16"/>
                <w:szCs w:val="16"/>
              </w:rPr>
            </w:pPr>
            <w:r w:rsidRPr="001F224B">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0DFC3D21" w14:textId="71A87A4D" w:rsidR="005A28E8" w:rsidRPr="001F224B" w:rsidRDefault="005A28E8" w:rsidP="005A28E8">
            <w:pPr>
              <w:jc w:val="right"/>
              <w:rPr>
                <w:sz w:val="16"/>
                <w:szCs w:val="16"/>
              </w:rPr>
            </w:pPr>
            <w:r w:rsidRPr="001F224B">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20C1DAC1" w14:textId="3DBF317D" w:rsidR="005A28E8" w:rsidRPr="001F224B" w:rsidRDefault="005A28E8" w:rsidP="005A28E8">
            <w:pPr>
              <w:jc w:val="right"/>
              <w:rPr>
                <w:sz w:val="16"/>
                <w:szCs w:val="16"/>
              </w:rPr>
            </w:pPr>
            <w:r w:rsidRPr="001F224B">
              <w:rPr>
                <w:sz w:val="16"/>
                <w:szCs w:val="16"/>
              </w:rPr>
              <w:t xml:space="preserve"> -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47F1E7B1" w14:textId="590BCAFF" w:rsidR="005A28E8" w:rsidRPr="001F224B" w:rsidRDefault="005A28E8" w:rsidP="005A28E8">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26525961" w14:textId="661BFC3B" w:rsidR="005A28E8" w:rsidRPr="001F224B" w:rsidRDefault="005A28E8" w:rsidP="005A28E8">
            <w:pPr>
              <w:jc w:val="right"/>
              <w:rPr>
                <w:sz w:val="16"/>
                <w:szCs w:val="16"/>
              </w:rPr>
            </w:pPr>
            <w:r w:rsidRPr="001F224B">
              <w:rPr>
                <w:sz w:val="16"/>
                <w:szCs w:val="16"/>
              </w:rPr>
              <w:t xml:space="preserve"> -      </w:t>
            </w:r>
          </w:p>
        </w:tc>
      </w:tr>
      <w:tr w:rsidR="005A28E8" w:rsidRPr="001F224B" w14:paraId="7ECFB5FC"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A09B75D" w14:textId="2088BCE3" w:rsidR="005A28E8" w:rsidRPr="001F224B" w:rsidRDefault="005A28E8" w:rsidP="005A28E8">
            <w:pPr>
              <w:ind w:left="219"/>
              <w:rPr>
                <w:sz w:val="16"/>
                <w:szCs w:val="16"/>
              </w:rPr>
            </w:pPr>
            <w:r w:rsidRPr="001F224B">
              <w:rPr>
                <w:sz w:val="16"/>
                <w:szCs w:val="16"/>
              </w:rPr>
              <w:t xml:space="preserve"> Diğer Mevduat</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71CC59D3" w14:textId="06629427" w:rsidR="005A28E8" w:rsidRPr="001F224B" w:rsidRDefault="005A28E8" w:rsidP="005A28E8">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79EFB33" w14:textId="68E63656" w:rsidR="005A28E8" w:rsidRPr="001F224B" w:rsidRDefault="005A28E8" w:rsidP="005A28E8">
            <w:pPr>
              <w:jc w:val="right"/>
              <w:rPr>
                <w:sz w:val="16"/>
                <w:szCs w:val="16"/>
              </w:rPr>
            </w:pPr>
            <w:r w:rsidRPr="001F224B">
              <w:rPr>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39179DA2" w14:textId="62BCBECC" w:rsidR="005A28E8" w:rsidRPr="001F224B" w:rsidRDefault="005A28E8" w:rsidP="005A28E8">
            <w:pPr>
              <w:jc w:val="right"/>
              <w:rPr>
                <w:sz w:val="16"/>
                <w:szCs w:val="16"/>
              </w:rPr>
            </w:pPr>
            <w:r w:rsidRPr="001F224B">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071BFA" w14:textId="10AB96C6" w:rsidR="005A28E8" w:rsidRPr="001F224B" w:rsidRDefault="005A28E8" w:rsidP="005A28E8">
            <w:pPr>
              <w:jc w:val="right"/>
              <w:rPr>
                <w:sz w:val="16"/>
                <w:szCs w:val="16"/>
              </w:rPr>
            </w:pPr>
            <w:r w:rsidRPr="001F224B">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5DC934A3" w14:textId="73DD9BC2" w:rsidR="005A28E8" w:rsidRPr="001F224B" w:rsidRDefault="005A28E8" w:rsidP="005A28E8">
            <w:pPr>
              <w:jc w:val="right"/>
              <w:rPr>
                <w:sz w:val="16"/>
                <w:szCs w:val="16"/>
              </w:rPr>
            </w:pPr>
            <w:r w:rsidRPr="001F224B">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0AF543DC" w14:textId="7063EF25" w:rsidR="005A28E8" w:rsidRPr="001F224B" w:rsidRDefault="005A28E8" w:rsidP="005A28E8">
            <w:pPr>
              <w:jc w:val="right"/>
              <w:rPr>
                <w:sz w:val="16"/>
                <w:szCs w:val="16"/>
              </w:rPr>
            </w:pPr>
            <w:r w:rsidRPr="001F224B">
              <w:rPr>
                <w:sz w:val="16"/>
                <w:szCs w:val="16"/>
              </w:rPr>
              <w:t xml:space="preserve"> -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7E38FEF3" w14:textId="09288936" w:rsidR="005A28E8" w:rsidRPr="001F224B" w:rsidRDefault="005A28E8" w:rsidP="005A28E8">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6B999AAC" w14:textId="5CC15A00" w:rsidR="005A28E8" w:rsidRPr="001F224B" w:rsidRDefault="005A28E8" w:rsidP="005A28E8">
            <w:pPr>
              <w:jc w:val="right"/>
              <w:rPr>
                <w:sz w:val="16"/>
                <w:szCs w:val="16"/>
              </w:rPr>
            </w:pPr>
            <w:r w:rsidRPr="001F224B">
              <w:rPr>
                <w:sz w:val="16"/>
                <w:szCs w:val="16"/>
              </w:rPr>
              <w:t xml:space="preserve"> -      </w:t>
            </w:r>
          </w:p>
        </w:tc>
      </w:tr>
      <w:tr w:rsidR="00AB2BBC" w:rsidRPr="001F224B" w14:paraId="4820E0DD"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1858E58" w14:textId="77777777" w:rsidR="00AB2BBC" w:rsidRPr="001F224B" w:rsidRDefault="00AB2BBC" w:rsidP="00AB2BBC">
            <w:pPr>
              <w:ind w:left="219"/>
              <w:rPr>
                <w:sz w:val="16"/>
                <w:szCs w:val="16"/>
              </w:rPr>
            </w:pPr>
            <w:r w:rsidRPr="001F224B">
              <w:rPr>
                <w:sz w:val="16"/>
                <w:szCs w:val="16"/>
              </w:rPr>
              <w:t>Diğer Mali Kuruluşlar. Sağl. Fonlar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7BB27AF1" w14:textId="078BA528"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09235981" w14:textId="12A622E8" w:rsidR="00AB2BBC" w:rsidRPr="001F224B" w:rsidRDefault="00AB2BBC" w:rsidP="00AB2BBC">
            <w:pPr>
              <w:jc w:val="right"/>
              <w:rPr>
                <w:sz w:val="16"/>
                <w:szCs w:val="16"/>
              </w:rPr>
            </w:pPr>
            <w:r w:rsidRPr="001F224B">
              <w:rPr>
                <w:sz w:val="16"/>
                <w:szCs w:val="16"/>
              </w:rPr>
              <w:t xml:space="preserve"> 1.911.186    </w:t>
            </w:r>
          </w:p>
        </w:tc>
        <w:tc>
          <w:tcPr>
            <w:tcW w:w="850" w:type="dxa"/>
            <w:tcBorders>
              <w:top w:val="single" w:sz="4" w:space="0" w:color="auto"/>
              <w:left w:val="nil"/>
              <w:bottom w:val="single" w:sz="4" w:space="0" w:color="auto"/>
              <w:right w:val="single" w:sz="4" w:space="0" w:color="auto"/>
            </w:tcBorders>
            <w:shd w:val="clear" w:color="auto" w:fill="auto"/>
            <w:vAlign w:val="bottom"/>
          </w:tcPr>
          <w:p w14:paraId="2C2D62BC" w14:textId="2FFEB843" w:rsidR="00AB2BBC" w:rsidRPr="001F224B" w:rsidRDefault="00AB2BBC" w:rsidP="00AB2BBC">
            <w:pPr>
              <w:jc w:val="right"/>
              <w:rPr>
                <w:sz w:val="16"/>
                <w:szCs w:val="16"/>
              </w:rPr>
            </w:pPr>
            <w:r w:rsidRPr="001F224B">
              <w:rPr>
                <w:sz w:val="16"/>
                <w:szCs w:val="16"/>
              </w:rPr>
              <w:t xml:space="preserve"> 3.400.682    </w:t>
            </w:r>
          </w:p>
        </w:tc>
        <w:tc>
          <w:tcPr>
            <w:tcW w:w="993" w:type="dxa"/>
            <w:tcBorders>
              <w:top w:val="single" w:sz="4" w:space="0" w:color="auto"/>
              <w:left w:val="nil"/>
              <w:bottom w:val="single" w:sz="4" w:space="0" w:color="auto"/>
              <w:right w:val="single" w:sz="4" w:space="0" w:color="auto"/>
            </w:tcBorders>
            <w:shd w:val="clear" w:color="auto" w:fill="auto"/>
            <w:vAlign w:val="bottom"/>
          </w:tcPr>
          <w:p w14:paraId="64319AF7" w14:textId="5C7AA93C" w:rsidR="00AB2BBC" w:rsidRPr="001F224B" w:rsidRDefault="00AB2BBC" w:rsidP="00AB2BBC">
            <w:pPr>
              <w:jc w:val="right"/>
              <w:rPr>
                <w:sz w:val="16"/>
                <w:szCs w:val="16"/>
              </w:rPr>
            </w:pPr>
            <w:r w:rsidRPr="001F224B">
              <w:rPr>
                <w:sz w:val="16"/>
                <w:szCs w:val="16"/>
              </w:rPr>
              <w:t xml:space="preserve"> 10.858.306    </w:t>
            </w:r>
          </w:p>
        </w:tc>
        <w:tc>
          <w:tcPr>
            <w:tcW w:w="863" w:type="dxa"/>
            <w:tcBorders>
              <w:top w:val="single" w:sz="4" w:space="0" w:color="auto"/>
              <w:left w:val="nil"/>
              <w:bottom w:val="single" w:sz="4" w:space="0" w:color="auto"/>
              <w:right w:val="single" w:sz="4" w:space="0" w:color="auto"/>
            </w:tcBorders>
            <w:shd w:val="clear" w:color="auto" w:fill="auto"/>
            <w:vAlign w:val="bottom"/>
          </w:tcPr>
          <w:p w14:paraId="5E12D94F" w14:textId="75FD3DC0" w:rsidR="00AB2BBC" w:rsidRPr="001F224B" w:rsidRDefault="00AB2BBC" w:rsidP="00AB2BBC">
            <w:pPr>
              <w:jc w:val="right"/>
              <w:rPr>
                <w:sz w:val="16"/>
                <w:szCs w:val="16"/>
              </w:rPr>
            </w:pPr>
            <w:r w:rsidRPr="001F224B">
              <w:rPr>
                <w:sz w:val="16"/>
                <w:szCs w:val="16"/>
              </w:rPr>
              <w:t xml:space="preserve"> 42.511.026    </w:t>
            </w:r>
          </w:p>
        </w:tc>
        <w:tc>
          <w:tcPr>
            <w:tcW w:w="980" w:type="dxa"/>
            <w:tcBorders>
              <w:top w:val="single" w:sz="4" w:space="0" w:color="auto"/>
              <w:left w:val="nil"/>
              <w:bottom w:val="single" w:sz="4" w:space="0" w:color="auto"/>
              <w:right w:val="single" w:sz="4" w:space="0" w:color="auto"/>
            </w:tcBorders>
            <w:shd w:val="clear" w:color="auto" w:fill="auto"/>
            <w:vAlign w:val="bottom"/>
          </w:tcPr>
          <w:p w14:paraId="142794E7" w14:textId="469719B3" w:rsidR="00AB2BBC" w:rsidRPr="001F224B" w:rsidRDefault="00AB2BBC" w:rsidP="00AB2BBC">
            <w:pPr>
              <w:jc w:val="right"/>
              <w:rPr>
                <w:sz w:val="16"/>
                <w:szCs w:val="16"/>
              </w:rPr>
            </w:pPr>
            <w:r w:rsidRPr="001F224B">
              <w:rPr>
                <w:sz w:val="16"/>
                <w:szCs w:val="16"/>
              </w:rPr>
              <w:t xml:space="preserve"> 69.613.150    </w:t>
            </w:r>
          </w:p>
        </w:tc>
        <w:tc>
          <w:tcPr>
            <w:tcW w:w="1276" w:type="dxa"/>
            <w:tcBorders>
              <w:top w:val="single" w:sz="4" w:space="0" w:color="auto"/>
              <w:left w:val="nil"/>
              <w:bottom w:val="single" w:sz="4" w:space="0" w:color="auto"/>
              <w:right w:val="single" w:sz="4" w:space="0" w:color="auto"/>
            </w:tcBorders>
            <w:shd w:val="clear" w:color="auto" w:fill="auto"/>
            <w:vAlign w:val="bottom"/>
          </w:tcPr>
          <w:p w14:paraId="4D88164B" w14:textId="47400F97"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78CC13CF" w14:textId="3DF1FA7A" w:rsidR="00AB2BBC" w:rsidRPr="001F224B" w:rsidRDefault="00AB2BBC" w:rsidP="00AB2BBC">
            <w:pPr>
              <w:ind w:left="-69"/>
              <w:jc w:val="right"/>
              <w:rPr>
                <w:sz w:val="16"/>
                <w:szCs w:val="16"/>
              </w:rPr>
            </w:pPr>
            <w:r w:rsidRPr="001F224B">
              <w:rPr>
                <w:sz w:val="16"/>
                <w:szCs w:val="16"/>
              </w:rPr>
              <w:t xml:space="preserve"> 128.294.350    </w:t>
            </w:r>
          </w:p>
        </w:tc>
      </w:tr>
      <w:tr w:rsidR="00AB2BBC" w:rsidRPr="001F224B" w14:paraId="3FB0075B"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05F5115" w14:textId="77777777" w:rsidR="00AB2BBC" w:rsidRPr="001F224B" w:rsidRDefault="00AB2BBC" w:rsidP="00AB2BBC">
            <w:pPr>
              <w:ind w:left="219"/>
              <w:rPr>
                <w:sz w:val="16"/>
                <w:szCs w:val="16"/>
              </w:rPr>
            </w:pPr>
            <w:r w:rsidRPr="001F224B">
              <w:rPr>
                <w:sz w:val="16"/>
                <w:szCs w:val="16"/>
              </w:rPr>
              <w:t>Para Piyasalarına Borçlar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53B66174" w14:textId="134B9214"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16C57C48" w14:textId="369BFA7E" w:rsidR="00AB2BBC" w:rsidRPr="001F224B" w:rsidRDefault="00AB2BBC" w:rsidP="00AB2BBC">
            <w:pPr>
              <w:jc w:val="right"/>
              <w:rPr>
                <w:sz w:val="16"/>
                <w:szCs w:val="16"/>
              </w:rPr>
            </w:pPr>
            <w:r w:rsidRPr="001F224B">
              <w:rPr>
                <w:sz w:val="16"/>
                <w:szCs w:val="16"/>
              </w:rPr>
              <w:t xml:space="preserve"> 4.152.350    </w:t>
            </w:r>
          </w:p>
        </w:tc>
        <w:tc>
          <w:tcPr>
            <w:tcW w:w="850" w:type="dxa"/>
            <w:tcBorders>
              <w:top w:val="single" w:sz="4" w:space="0" w:color="auto"/>
              <w:left w:val="nil"/>
              <w:bottom w:val="single" w:sz="4" w:space="0" w:color="auto"/>
              <w:right w:val="single" w:sz="4" w:space="0" w:color="auto"/>
            </w:tcBorders>
            <w:shd w:val="clear" w:color="auto" w:fill="auto"/>
            <w:vAlign w:val="bottom"/>
          </w:tcPr>
          <w:p w14:paraId="313D812B" w14:textId="57482CD0" w:rsidR="00AB2BBC" w:rsidRPr="001F224B" w:rsidRDefault="00AB2BBC" w:rsidP="00AB2BBC">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F910C24" w14:textId="63D61646" w:rsidR="00AB2BBC" w:rsidRPr="001F224B" w:rsidRDefault="00AB2BBC" w:rsidP="00AB2BBC">
            <w:pPr>
              <w:jc w:val="right"/>
              <w:rPr>
                <w:sz w:val="16"/>
                <w:szCs w:val="16"/>
              </w:rPr>
            </w:pPr>
            <w:r w:rsidRPr="001F224B">
              <w:rPr>
                <w:sz w:val="16"/>
                <w:szCs w:val="16"/>
              </w:rPr>
              <w:t>-</w:t>
            </w:r>
          </w:p>
        </w:tc>
        <w:tc>
          <w:tcPr>
            <w:tcW w:w="863" w:type="dxa"/>
            <w:tcBorders>
              <w:top w:val="single" w:sz="4" w:space="0" w:color="auto"/>
              <w:left w:val="nil"/>
              <w:bottom w:val="single" w:sz="4" w:space="0" w:color="auto"/>
              <w:right w:val="single" w:sz="4" w:space="0" w:color="auto"/>
            </w:tcBorders>
            <w:shd w:val="clear" w:color="auto" w:fill="auto"/>
            <w:vAlign w:val="bottom"/>
          </w:tcPr>
          <w:p w14:paraId="1A8B796D" w14:textId="27215BCA" w:rsidR="00AB2BBC" w:rsidRPr="001F224B" w:rsidRDefault="00AB2BBC" w:rsidP="00AB2BBC">
            <w:pPr>
              <w:jc w:val="right"/>
              <w:rPr>
                <w:sz w:val="16"/>
                <w:szCs w:val="16"/>
              </w:rPr>
            </w:pPr>
            <w:r w:rsidRPr="001F224B">
              <w:rPr>
                <w:sz w:val="16"/>
                <w:szCs w:val="16"/>
              </w:rPr>
              <w:t>-</w:t>
            </w:r>
          </w:p>
        </w:tc>
        <w:tc>
          <w:tcPr>
            <w:tcW w:w="980" w:type="dxa"/>
            <w:tcBorders>
              <w:top w:val="single" w:sz="4" w:space="0" w:color="auto"/>
              <w:left w:val="nil"/>
              <w:bottom w:val="single" w:sz="4" w:space="0" w:color="auto"/>
              <w:right w:val="single" w:sz="4" w:space="0" w:color="auto"/>
            </w:tcBorders>
            <w:shd w:val="clear" w:color="auto" w:fill="auto"/>
            <w:vAlign w:val="bottom"/>
          </w:tcPr>
          <w:p w14:paraId="73BE14D9" w14:textId="45CB1E7D" w:rsidR="00AB2BBC" w:rsidRPr="001F224B" w:rsidRDefault="00AB2BBC" w:rsidP="00AB2BBC">
            <w:pPr>
              <w:jc w:val="right"/>
              <w:rPr>
                <w:sz w:val="16"/>
                <w:szCs w:val="16"/>
              </w:rPr>
            </w:pPr>
            <w:r w:rsidRPr="001F224B">
              <w:rPr>
                <w:sz w:val="16"/>
                <w:szCs w:val="16"/>
              </w:rPr>
              <w:t>-</w:t>
            </w:r>
          </w:p>
        </w:tc>
        <w:tc>
          <w:tcPr>
            <w:tcW w:w="1276" w:type="dxa"/>
            <w:tcBorders>
              <w:top w:val="single" w:sz="4" w:space="0" w:color="auto"/>
              <w:left w:val="nil"/>
              <w:bottom w:val="single" w:sz="4" w:space="0" w:color="auto"/>
              <w:right w:val="single" w:sz="4" w:space="0" w:color="auto"/>
            </w:tcBorders>
            <w:shd w:val="clear" w:color="auto" w:fill="auto"/>
            <w:vAlign w:val="bottom"/>
          </w:tcPr>
          <w:p w14:paraId="5E32C942" w14:textId="1C5D6D8A"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5D5FCFB4" w14:textId="2BB5A2FB" w:rsidR="00AB2BBC" w:rsidRPr="001F224B" w:rsidRDefault="00AB2BBC" w:rsidP="00AB2BBC">
            <w:pPr>
              <w:jc w:val="right"/>
              <w:rPr>
                <w:sz w:val="16"/>
                <w:szCs w:val="16"/>
              </w:rPr>
            </w:pPr>
            <w:r w:rsidRPr="001F224B">
              <w:rPr>
                <w:sz w:val="16"/>
                <w:szCs w:val="16"/>
              </w:rPr>
              <w:t xml:space="preserve"> 4.152.350    </w:t>
            </w:r>
          </w:p>
        </w:tc>
      </w:tr>
      <w:tr w:rsidR="00AB2BBC" w:rsidRPr="001F224B" w14:paraId="0BFFEEA4" w14:textId="77777777" w:rsidTr="00AB2BBC">
        <w:trPr>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5F16F52A" w14:textId="77777777" w:rsidR="00AB2BBC" w:rsidRPr="001F224B" w:rsidRDefault="00AB2BBC" w:rsidP="00AB2BBC">
            <w:pPr>
              <w:ind w:left="219"/>
              <w:rPr>
                <w:sz w:val="16"/>
                <w:szCs w:val="16"/>
              </w:rPr>
            </w:pPr>
            <w:r w:rsidRPr="001F224B">
              <w:rPr>
                <w:sz w:val="16"/>
                <w:szCs w:val="16"/>
              </w:rPr>
              <w:t>İhraç Edilen Menkul Değerler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0EC83490" w14:textId="552FB2A0"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19525CC" w14:textId="21E48828" w:rsidR="00AB2BBC" w:rsidRPr="001F224B" w:rsidRDefault="00AB2BBC" w:rsidP="00AB2BBC">
            <w:pPr>
              <w:jc w:val="right"/>
              <w:rPr>
                <w:sz w:val="16"/>
                <w:szCs w:val="16"/>
              </w:rPr>
            </w:pPr>
            <w:r w:rsidRPr="001F224B">
              <w:rPr>
                <w:sz w:val="16"/>
                <w:szCs w:val="16"/>
              </w:rPr>
              <w:t>-</w:t>
            </w:r>
          </w:p>
        </w:tc>
        <w:tc>
          <w:tcPr>
            <w:tcW w:w="850" w:type="dxa"/>
            <w:tcBorders>
              <w:top w:val="single" w:sz="4" w:space="0" w:color="auto"/>
              <w:left w:val="nil"/>
              <w:bottom w:val="single" w:sz="4" w:space="0" w:color="auto"/>
              <w:right w:val="single" w:sz="4" w:space="0" w:color="auto"/>
            </w:tcBorders>
            <w:shd w:val="clear" w:color="auto" w:fill="auto"/>
            <w:vAlign w:val="bottom"/>
          </w:tcPr>
          <w:p w14:paraId="41D7C067" w14:textId="06EC0FF1" w:rsidR="00AB2BBC" w:rsidRPr="001F224B" w:rsidRDefault="00AB2BBC" w:rsidP="00AB2BBC">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CFCF93A" w14:textId="69EC338D" w:rsidR="00AB2BBC" w:rsidRPr="001F224B" w:rsidRDefault="00AB2BBC" w:rsidP="00AB2BBC">
            <w:pPr>
              <w:jc w:val="right"/>
              <w:rPr>
                <w:sz w:val="16"/>
                <w:szCs w:val="16"/>
              </w:rPr>
            </w:pPr>
            <w:r w:rsidRPr="001F224B">
              <w:rPr>
                <w:sz w:val="16"/>
                <w:szCs w:val="16"/>
              </w:rPr>
              <w:t xml:space="preserve"> 494.810    </w:t>
            </w:r>
          </w:p>
        </w:tc>
        <w:tc>
          <w:tcPr>
            <w:tcW w:w="863" w:type="dxa"/>
            <w:tcBorders>
              <w:top w:val="single" w:sz="4" w:space="0" w:color="auto"/>
              <w:left w:val="nil"/>
              <w:bottom w:val="single" w:sz="4" w:space="0" w:color="auto"/>
              <w:right w:val="single" w:sz="4" w:space="0" w:color="auto"/>
            </w:tcBorders>
            <w:shd w:val="clear" w:color="auto" w:fill="auto"/>
            <w:vAlign w:val="bottom"/>
          </w:tcPr>
          <w:p w14:paraId="5FF1D653" w14:textId="205ED0F4" w:rsidR="00AB2BBC" w:rsidRPr="001F224B" w:rsidRDefault="00AB2BBC" w:rsidP="00AB2BBC">
            <w:pPr>
              <w:jc w:val="right"/>
              <w:rPr>
                <w:sz w:val="16"/>
                <w:szCs w:val="16"/>
              </w:rPr>
            </w:pPr>
            <w:r w:rsidRPr="001F224B">
              <w:rPr>
                <w:sz w:val="16"/>
                <w:szCs w:val="16"/>
              </w:rPr>
              <w:t xml:space="preserve"> 2.338.884    </w:t>
            </w:r>
          </w:p>
        </w:tc>
        <w:tc>
          <w:tcPr>
            <w:tcW w:w="980" w:type="dxa"/>
            <w:tcBorders>
              <w:top w:val="single" w:sz="4" w:space="0" w:color="auto"/>
              <w:left w:val="nil"/>
              <w:bottom w:val="single" w:sz="4" w:space="0" w:color="auto"/>
              <w:right w:val="single" w:sz="4" w:space="0" w:color="auto"/>
            </w:tcBorders>
            <w:shd w:val="clear" w:color="auto" w:fill="auto"/>
            <w:vAlign w:val="bottom"/>
          </w:tcPr>
          <w:p w14:paraId="5BB80717" w14:textId="68469B17" w:rsidR="00AB2BBC" w:rsidRPr="001F224B" w:rsidRDefault="00AB2BBC" w:rsidP="00AB2BBC">
            <w:pPr>
              <w:jc w:val="right"/>
              <w:rPr>
                <w:sz w:val="16"/>
                <w:szCs w:val="16"/>
              </w:rPr>
            </w:pPr>
            <w:r w:rsidRPr="001F224B">
              <w:rPr>
                <w:sz w:val="16"/>
                <w:szCs w:val="16"/>
              </w:rPr>
              <w:t xml:space="preserve"> 2.338.884    </w:t>
            </w:r>
          </w:p>
        </w:tc>
        <w:tc>
          <w:tcPr>
            <w:tcW w:w="1276" w:type="dxa"/>
            <w:tcBorders>
              <w:top w:val="single" w:sz="4" w:space="0" w:color="auto"/>
              <w:left w:val="nil"/>
              <w:bottom w:val="single" w:sz="4" w:space="0" w:color="auto"/>
              <w:right w:val="single" w:sz="4" w:space="0" w:color="auto"/>
            </w:tcBorders>
            <w:shd w:val="clear" w:color="auto" w:fill="auto"/>
            <w:vAlign w:val="bottom"/>
          </w:tcPr>
          <w:p w14:paraId="3DF4EE7F" w14:textId="686E2032"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786E629D" w14:textId="0947B2ED" w:rsidR="00AB2BBC" w:rsidRPr="001F224B" w:rsidRDefault="00AB2BBC" w:rsidP="00AB2BBC">
            <w:pPr>
              <w:jc w:val="right"/>
              <w:rPr>
                <w:sz w:val="16"/>
                <w:szCs w:val="16"/>
              </w:rPr>
            </w:pPr>
            <w:r w:rsidRPr="001F224B">
              <w:rPr>
                <w:sz w:val="16"/>
                <w:szCs w:val="16"/>
              </w:rPr>
              <w:t xml:space="preserve"> 5.172.578    </w:t>
            </w:r>
          </w:p>
        </w:tc>
        <w:tc>
          <w:tcPr>
            <w:tcW w:w="492" w:type="dxa"/>
            <w:vAlign w:val="bottom"/>
          </w:tcPr>
          <w:p w14:paraId="3DCA1121" w14:textId="77777777" w:rsidR="00AB2BBC" w:rsidRPr="001F224B" w:rsidRDefault="00AB2BBC" w:rsidP="00AB2BBC">
            <w:pPr>
              <w:jc w:val="right"/>
              <w:rPr>
                <w:sz w:val="16"/>
                <w:szCs w:val="16"/>
              </w:rPr>
            </w:pPr>
            <w:r w:rsidRPr="001F224B">
              <w:rPr>
                <w:sz w:val="16"/>
                <w:szCs w:val="16"/>
              </w:rPr>
              <w:t> </w:t>
            </w:r>
          </w:p>
        </w:tc>
      </w:tr>
      <w:tr w:rsidR="00AB2BBC" w:rsidRPr="001F224B" w14:paraId="7E8EBA07"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472C046" w14:textId="77777777" w:rsidR="00AB2BBC" w:rsidRPr="001F224B" w:rsidRDefault="00AB2BBC" w:rsidP="00AB2BBC">
            <w:pPr>
              <w:ind w:left="219"/>
              <w:rPr>
                <w:sz w:val="16"/>
                <w:szCs w:val="16"/>
              </w:rPr>
            </w:pPr>
            <w:r w:rsidRPr="001F224B">
              <w:rPr>
                <w:sz w:val="16"/>
                <w:szCs w:val="16"/>
              </w:rPr>
              <w:t>Muhtelif Borçlar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71472E32" w14:textId="2AADA8C1" w:rsidR="00AB2BBC" w:rsidRPr="001F224B" w:rsidRDefault="00AB2BBC" w:rsidP="00AB2BBC">
            <w:pPr>
              <w:jc w:val="right"/>
              <w:rPr>
                <w:sz w:val="16"/>
                <w:szCs w:val="16"/>
              </w:rPr>
            </w:pPr>
            <w:r w:rsidRPr="001F224B">
              <w:rPr>
                <w:sz w:val="16"/>
                <w:szCs w:val="16"/>
              </w:rPr>
              <w:t xml:space="preserve"> 166.380    </w:t>
            </w:r>
          </w:p>
        </w:tc>
        <w:tc>
          <w:tcPr>
            <w:tcW w:w="992" w:type="dxa"/>
            <w:tcBorders>
              <w:top w:val="single" w:sz="4" w:space="0" w:color="auto"/>
              <w:left w:val="nil"/>
              <w:bottom w:val="single" w:sz="4" w:space="0" w:color="auto"/>
              <w:right w:val="single" w:sz="4" w:space="0" w:color="auto"/>
            </w:tcBorders>
            <w:shd w:val="clear" w:color="auto" w:fill="auto"/>
            <w:vAlign w:val="bottom"/>
          </w:tcPr>
          <w:p w14:paraId="52C41C3D" w14:textId="292C4501" w:rsidR="00AB2BBC" w:rsidRPr="001F224B" w:rsidRDefault="00AB2BBC" w:rsidP="00AB2BBC">
            <w:pPr>
              <w:jc w:val="right"/>
              <w:rPr>
                <w:sz w:val="16"/>
                <w:szCs w:val="16"/>
              </w:rPr>
            </w:pPr>
            <w:r w:rsidRPr="001F224B">
              <w:rPr>
                <w:sz w:val="16"/>
                <w:szCs w:val="16"/>
              </w:rPr>
              <w:t>-</w:t>
            </w:r>
          </w:p>
        </w:tc>
        <w:tc>
          <w:tcPr>
            <w:tcW w:w="850" w:type="dxa"/>
            <w:tcBorders>
              <w:top w:val="single" w:sz="4" w:space="0" w:color="auto"/>
              <w:left w:val="nil"/>
              <w:bottom w:val="single" w:sz="4" w:space="0" w:color="auto"/>
              <w:right w:val="single" w:sz="4" w:space="0" w:color="auto"/>
            </w:tcBorders>
            <w:shd w:val="clear" w:color="auto" w:fill="auto"/>
            <w:vAlign w:val="bottom"/>
          </w:tcPr>
          <w:p w14:paraId="487C358A" w14:textId="225FF089" w:rsidR="00AB2BBC" w:rsidRPr="001F224B" w:rsidRDefault="00AB2BBC" w:rsidP="00AB2BBC">
            <w:pPr>
              <w:jc w:val="right"/>
              <w:rPr>
                <w:sz w:val="16"/>
                <w:szCs w:val="16"/>
              </w:rPr>
            </w:pPr>
            <w:r w:rsidRPr="001F224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01EBFC1" w14:textId="559B81F3" w:rsidR="00AB2BBC" w:rsidRPr="001F224B" w:rsidRDefault="00AB2BBC" w:rsidP="00AB2BBC">
            <w:pPr>
              <w:jc w:val="right"/>
              <w:rPr>
                <w:sz w:val="16"/>
                <w:szCs w:val="16"/>
              </w:rPr>
            </w:pPr>
            <w:r w:rsidRPr="001F224B">
              <w:rPr>
                <w:sz w:val="16"/>
                <w:szCs w:val="16"/>
              </w:rPr>
              <w:t>-</w:t>
            </w:r>
          </w:p>
        </w:tc>
        <w:tc>
          <w:tcPr>
            <w:tcW w:w="863" w:type="dxa"/>
            <w:tcBorders>
              <w:top w:val="single" w:sz="4" w:space="0" w:color="auto"/>
              <w:left w:val="nil"/>
              <w:bottom w:val="single" w:sz="4" w:space="0" w:color="auto"/>
              <w:right w:val="single" w:sz="4" w:space="0" w:color="auto"/>
            </w:tcBorders>
            <w:shd w:val="clear" w:color="auto" w:fill="auto"/>
            <w:vAlign w:val="bottom"/>
          </w:tcPr>
          <w:p w14:paraId="16AF3A0A" w14:textId="49D51A5F" w:rsidR="00AB2BBC" w:rsidRPr="001F224B" w:rsidRDefault="00AB2BBC" w:rsidP="00AB2BBC">
            <w:pPr>
              <w:jc w:val="right"/>
              <w:rPr>
                <w:sz w:val="16"/>
                <w:szCs w:val="16"/>
              </w:rPr>
            </w:pPr>
            <w:r w:rsidRPr="001F224B">
              <w:rPr>
                <w:sz w:val="16"/>
                <w:szCs w:val="16"/>
              </w:rPr>
              <w:t>-</w:t>
            </w:r>
          </w:p>
        </w:tc>
        <w:tc>
          <w:tcPr>
            <w:tcW w:w="980" w:type="dxa"/>
            <w:tcBorders>
              <w:top w:val="single" w:sz="4" w:space="0" w:color="auto"/>
              <w:left w:val="nil"/>
              <w:bottom w:val="single" w:sz="4" w:space="0" w:color="auto"/>
              <w:right w:val="single" w:sz="4" w:space="0" w:color="auto"/>
            </w:tcBorders>
            <w:shd w:val="clear" w:color="auto" w:fill="auto"/>
            <w:vAlign w:val="bottom"/>
          </w:tcPr>
          <w:p w14:paraId="5B524CD3" w14:textId="541C1EF0" w:rsidR="00AB2BBC" w:rsidRPr="001F224B" w:rsidRDefault="00AB2BBC" w:rsidP="00AB2BBC">
            <w:pPr>
              <w:jc w:val="right"/>
              <w:rPr>
                <w:sz w:val="16"/>
                <w:szCs w:val="16"/>
              </w:rPr>
            </w:pPr>
            <w:r w:rsidRPr="001F224B">
              <w:rPr>
                <w:sz w:val="16"/>
                <w:szCs w:val="16"/>
              </w:rPr>
              <w:t>-</w:t>
            </w:r>
          </w:p>
        </w:tc>
        <w:tc>
          <w:tcPr>
            <w:tcW w:w="1276" w:type="dxa"/>
            <w:tcBorders>
              <w:top w:val="single" w:sz="4" w:space="0" w:color="auto"/>
              <w:left w:val="nil"/>
              <w:bottom w:val="single" w:sz="4" w:space="0" w:color="auto"/>
              <w:right w:val="single" w:sz="4" w:space="0" w:color="auto"/>
            </w:tcBorders>
            <w:shd w:val="clear" w:color="auto" w:fill="auto"/>
            <w:vAlign w:val="bottom"/>
          </w:tcPr>
          <w:p w14:paraId="7F5A2785" w14:textId="55DBB2FB"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40AB1699" w14:textId="5C09E64A" w:rsidR="00AB2BBC" w:rsidRPr="001F224B" w:rsidRDefault="00AB2BBC" w:rsidP="00AB2BBC">
            <w:pPr>
              <w:jc w:val="right"/>
              <w:rPr>
                <w:sz w:val="16"/>
                <w:szCs w:val="16"/>
              </w:rPr>
            </w:pPr>
            <w:r w:rsidRPr="001F224B">
              <w:rPr>
                <w:sz w:val="16"/>
                <w:szCs w:val="16"/>
              </w:rPr>
              <w:t xml:space="preserve"> 166.380    </w:t>
            </w:r>
          </w:p>
        </w:tc>
      </w:tr>
      <w:tr w:rsidR="00AB2BBC" w:rsidRPr="001F224B" w14:paraId="54FFBDAC"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51D26DF3" w14:textId="1D178C7A" w:rsidR="00AB2BBC" w:rsidRPr="001F224B" w:rsidRDefault="00AB2BBC" w:rsidP="00AB2BBC">
            <w:pPr>
              <w:ind w:left="219"/>
              <w:rPr>
                <w:sz w:val="16"/>
                <w:szCs w:val="16"/>
              </w:rPr>
            </w:pPr>
            <w:r w:rsidRPr="001F224B">
              <w:rPr>
                <w:sz w:val="16"/>
                <w:szCs w:val="16"/>
              </w:rPr>
              <w:t xml:space="preserve">Diğer Yükümlülükler </w:t>
            </w:r>
            <w:r w:rsidRPr="001F224B">
              <w:rPr>
                <w:bCs/>
                <w:sz w:val="16"/>
                <w:szCs w:val="16"/>
                <w:vertAlign w:val="superscript"/>
              </w:rPr>
              <w:t>(3)</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10D0E057" w14:textId="300AEE7B" w:rsidR="00AB2BBC" w:rsidRPr="001F224B" w:rsidRDefault="00AB2BBC" w:rsidP="00AB2BBC">
            <w:pPr>
              <w:jc w:val="right"/>
              <w:rPr>
                <w:sz w:val="16"/>
                <w:szCs w:val="16"/>
              </w:rPr>
            </w:pPr>
            <w:r w:rsidRPr="001F224B">
              <w:rPr>
                <w:sz w:val="16"/>
                <w:szCs w:val="16"/>
              </w:rPr>
              <w:t xml:space="preserve"> 6.572.589    </w:t>
            </w:r>
          </w:p>
        </w:tc>
        <w:tc>
          <w:tcPr>
            <w:tcW w:w="992" w:type="dxa"/>
            <w:tcBorders>
              <w:top w:val="single" w:sz="4" w:space="0" w:color="auto"/>
              <w:left w:val="nil"/>
              <w:bottom w:val="single" w:sz="4" w:space="0" w:color="auto"/>
              <w:right w:val="single" w:sz="4" w:space="0" w:color="auto"/>
            </w:tcBorders>
            <w:shd w:val="clear" w:color="auto" w:fill="auto"/>
            <w:vAlign w:val="bottom"/>
          </w:tcPr>
          <w:p w14:paraId="383B3403" w14:textId="731AAA26" w:rsidR="00AB2BBC" w:rsidRPr="001F224B" w:rsidRDefault="00AB2BBC" w:rsidP="00AB2BBC">
            <w:pPr>
              <w:jc w:val="right"/>
              <w:rPr>
                <w:sz w:val="16"/>
                <w:szCs w:val="16"/>
              </w:rPr>
            </w:pPr>
            <w:r w:rsidRPr="001F224B">
              <w:rPr>
                <w:sz w:val="16"/>
                <w:szCs w:val="16"/>
              </w:rPr>
              <w:t xml:space="preserve"> 1.192.567    </w:t>
            </w:r>
          </w:p>
        </w:tc>
        <w:tc>
          <w:tcPr>
            <w:tcW w:w="850" w:type="dxa"/>
            <w:tcBorders>
              <w:top w:val="single" w:sz="4" w:space="0" w:color="auto"/>
              <w:left w:val="nil"/>
              <w:bottom w:val="single" w:sz="4" w:space="0" w:color="auto"/>
              <w:right w:val="single" w:sz="4" w:space="0" w:color="auto"/>
            </w:tcBorders>
            <w:shd w:val="clear" w:color="auto" w:fill="auto"/>
            <w:vAlign w:val="bottom"/>
          </w:tcPr>
          <w:p w14:paraId="524718BA" w14:textId="1C95A3D3" w:rsidR="00AB2BBC" w:rsidRPr="001F224B" w:rsidRDefault="00AB2BBC" w:rsidP="00AB2BBC">
            <w:pPr>
              <w:jc w:val="right"/>
              <w:rPr>
                <w:sz w:val="16"/>
                <w:szCs w:val="16"/>
              </w:rPr>
            </w:pPr>
            <w:r w:rsidRPr="001F224B">
              <w:rPr>
                <w:sz w:val="16"/>
                <w:szCs w:val="16"/>
              </w:rPr>
              <w:t xml:space="preserve"> 1.047.293    </w:t>
            </w:r>
          </w:p>
        </w:tc>
        <w:tc>
          <w:tcPr>
            <w:tcW w:w="993" w:type="dxa"/>
            <w:tcBorders>
              <w:top w:val="single" w:sz="4" w:space="0" w:color="auto"/>
              <w:left w:val="nil"/>
              <w:bottom w:val="single" w:sz="4" w:space="0" w:color="auto"/>
              <w:right w:val="single" w:sz="4" w:space="0" w:color="auto"/>
            </w:tcBorders>
            <w:shd w:val="clear" w:color="auto" w:fill="auto"/>
            <w:vAlign w:val="bottom"/>
          </w:tcPr>
          <w:p w14:paraId="0C8C75E9" w14:textId="0F619937" w:rsidR="00AB2BBC" w:rsidRPr="001F224B" w:rsidRDefault="00AB2BBC" w:rsidP="00AB2BBC">
            <w:pPr>
              <w:jc w:val="right"/>
              <w:rPr>
                <w:sz w:val="16"/>
                <w:szCs w:val="16"/>
              </w:rPr>
            </w:pPr>
            <w:r w:rsidRPr="001F224B">
              <w:rPr>
                <w:sz w:val="16"/>
                <w:szCs w:val="16"/>
              </w:rPr>
              <w:t>-</w:t>
            </w:r>
          </w:p>
        </w:tc>
        <w:tc>
          <w:tcPr>
            <w:tcW w:w="863" w:type="dxa"/>
            <w:tcBorders>
              <w:top w:val="single" w:sz="4" w:space="0" w:color="auto"/>
              <w:left w:val="nil"/>
              <w:bottom w:val="single" w:sz="4" w:space="0" w:color="auto"/>
              <w:right w:val="single" w:sz="4" w:space="0" w:color="auto"/>
            </w:tcBorders>
            <w:shd w:val="clear" w:color="auto" w:fill="auto"/>
            <w:vAlign w:val="bottom"/>
          </w:tcPr>
          <w:p w14:paraId="03941310" w14:textId="2E3F7945" w:rsidR="00AB2BBC" w:rsidRPr="001F224B" w:rsidRDefault="00AB2BBC" w:rsidP="00AB2BBC">
            <w:pPr>
              <w:jc w:val="right"/>
              <w:rPr>
                <w:sz w:val="16"/>
                <w:szCs w:val="16"/>
              </w:rPr>
            </w:pPr>
            <w:r w:rsidRPr="001F224B">
              <w:rPr>
                <w:sz w:val="16"/>
                <w:szCs w:val="16"/>
              </w:rPr>
              <w:t>-</w:t>
            </w:r>
          </w:p>
        </w:tc>
        <w:tc>
          <w:tcPr>
            <w:tcW w:w="980" w:type="dxa"/>
            <w:tcBorders>
              <w:top w:val="single" w:sz="4" w:space="0" w:color="auto"/>
              <w:left w:val="nil"/>
              <w:bottom w:val="single" w:sz="4" w:space="0" w:color="auto"/>
              <w:right w:val="single" w:sz="4" w:space="0" w:color="auto"/>
            </w:tcBorders>
            <w:shd w:val="clear" w:color="auto" w:fill="auto"/>
            <w:vAlign w:val="bottom"/>
          </w:tcPr>
          <w:p w14:paraId="62ABEEC1" w14:textId="4515F2E3" w:rsidR="00AB2BBC" w:rsidRPr="001F224B" w:rsidRDefault="00AB2BBC" w:rsidP="00AB2BBC">
            <w:pPr>
              <w:jc w:val="right"/>
              <w:rPr>
                <w:sz w:val="16"/>
                <w:szCs w:val="16"/>
              </w:rPr>
            </w:pPr>
            <w:r w:rsidRPr="001F224B">
              <w:rPr>
                <w:sz w:val="16"/>
                <w:szCs w:val="16"/>
              </w:rPr>
              <w:t xml:space="preserve"> 9.085.438    </w:t>
            </w:r>
          </w:p>
        </w:tc>
        <w:tc>
          <w:tcPr>
            <w:tcW w:w="1276" w:type="dxa"/>
            <w:tcBorders>
              <w:top w:val="single" w:sz="4" w:space="0" w:color="auto"/>
              <w:left w:val="nil"/>
              <w:bottom w:val="single" w:sz="4" w:space="0" w:color="auto"/>
              <w:right w:val="single" w:sz="4" w:space="0" w:color="auto"/>
            </w:tcBorders>
            <w:shd w:val="clear" w:color="auto" w:fill="auto"/>
            <w:vAlign w:val="bottom"/>
          </w:tcPr>
          <w:p w14:paraId="78F346D0" w14:textId="6DEFE16A" w:rsidR="00AB2BBC" w:rsidRPr="001F224B" w:rsidRDefault="00AB2BBC" w:rsidP="00AB2BBC">
            <w:pPr>
              <w:jc w:val="right"/>
              <w:rPr>
                <w:sz w:val="16"/>
                <w:szCs w:val="16"/>
              </w:rPr>
            </w:pPr>
            <w:r w:rsidRPr="001F224B">
              <w:rPr>
                <w:sz w:val="16"/>
                <w:szCs w:val="16"/>
              </w:rPr>
              <w:t xml:space="preserve"> 29.808.650    </w:t>
            </w:r>
          </w:p>
        </w:tc>
        <w:tc>
          <w:tcPr>
            <w:tcW w:w="992" w:type="dxa"/>
            <w:tcBorders>
              <w:top w:val="single" w:sz="4" w:space="0" w:color="auto"/>
              <w:left w:val="nil"/>
              <w:bottom w:val="single" w:sz="4" w:space="0" w:color="auto"/>
              <w:right w:val="single" w:sz="4" w:space="0" w:color="auto"/>
            </w:tcBorders>
            <w:shd w:val="clear" w:color="auto" w:fill="auto"/>
            <w:vAlign w:val="bottom"/>
          </w:tcPr>
          <w:p w14:paraId="27F09E90" w14:textId="0465405F" w:rsidR="00AB2BBC" w:rsidRPr="001F224B" w:rsidRDefault="00AB2BBC" w:rsidP="00AB2BBC">
            <w:pPr>
              <w:jc w:val="right"/>
              <w:rPr>
                <w:sz w:val="16"/>
                <w:szCs w:val="16"/>
              </w:rPr>
            </w:pPr>
            <w:r w:rsidRPr="001F224B">
              <w:rPr>
                <w:sz w:val="16"/>
                <w:szCs w:val="16"/>
              </w:rPr>
              <w:t xml:space="preserve"> 47.706.537    </w:t>
            </w:r>
          </w:p>
        </w:tc>
      </w:tr>
      <w:tr w:rsidR="00AB2BBC" w:rsidRPr="001F224B" w14:paraId="6A0B305D"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A7A4FAD" w14:textId="5C65EE44" w:rsidR="00AB2BBC" w:rsidRPr="001F224B" w:rsidRDefault="00AB2BBC" w:rsidP="00AB2BBC">
            <w:pPr>
              <w:ind w:left="219"/>
              <w:rPr>
                <w:sz w:val="16"/>
                <w:szCs w:val="16"/>
              </w:rPr>
            </w:pPr>
            <w:r w:rsidRPr="001F224B">
              <w:rPr>
                <w:b/>
                <w:sz w:val="16"/>
                <w:szCs w:val="16"/>
              </w:rPr>
              <w:t>Toplam Yükümlülükler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614F6A06" w14:textId="690F193E" w:rsidR="00AB2BBC" w:rsidRPr="001F224B" w:rsidRDefault="00AB2BBC" w:rsidP="00AB2BBC">
            <w:pPr>
              <w:jc w:val="right"/>
              <w:rPr>
                <w:b/>
                <w:bCs/>
                <w:sz w:val="16"/>
                <w:szCs w:val="16"/>
              </w:rPr>
            </w:pPr>
            <w:r w:rsidRPr="001F224B">
              <w:rPr>
                <w:b/>
                <w:bCs/>
                <w:sz w:val="16"/>
                <w:szCs w:val="16"/>
              </w:rPr>
              <w:t xml:space="preserve"> 6.738.969    </w:t>
            </w:r>
          </w:p>
        </w:tc>
        <w:tc>
          <w:tcPr>
            <w:tcW w:w="992" w:type="dxa"/>
            <w:tcBorders>
              <w:top w:val="single" w:sz="4" w:space="0" w:color="auto"/>
              <w:left w:val="nil"/>
              <w:bottom w:val="single" w:sz="4" w:space="0" w:color="auto"/>
              <w:right w:val="single" w:sz="4" w:space="0" w:color="auto"/>
            </w:tcBorders>
            <w:shd w:val="clear" w:color="auto" w:fill="auto"/>
            <w:vAlign w:val="bottom"/>
          </w:tcPr>
          <w:p w14:paraId="3EA361A4" w14:textId="06518500" w:rsidR="00AB2BBC" w:rsidRPr="001F224B" w:rsidRDefault="00AB2BBC" w:rsidP="00AB2BBC">
            <w:pPr>
              <w:jc w:val="right"/>
              <w:rPr>
                <w:b/>
                <w:bCs/>
                <w:sz w:val="16"/>
                <w:szCs w:val="16"/>
              </w:rPr>
            </w:pPr>
            <w:r w:rsidRPr="001F224B">
              <w:rPr>
                <w:b/>
                <w:bCs/>
                <w:sz w:val="16"/>
                <w:szCs w:val="16"/>
              </w:rPr>
              <w:t xml:space="preserve"> 7.256.103    </w:t>
            </w:r>
          </w:p>
        </w:tc>
        <w:tc>
          <w:tcPr>
            <w:tcW w:w="850" w:type="dxa"/>
            <w:tcBorders>
              <w:top w:val="single" w:sz="4" w:space="0" w:color="auto"/>
              <w:left w:val="nil"/>
              <w:bottom w:val="single" w:sz="4" w:space="0" w:color="auto"/>
              <w:right w:val="single" w:sz="4" w:space="0" w:color="auto"/>
            </w:tcBorders>
            <w:shd w:val="clear" w:color="auto" w:fill="auto"/>
            <w:vAlign w:val="bottom"/>
          </w:tcPr>
          <w:p w14:paraId="1CE594EA" w14:textId="344C64C9" w:rsidR="00AB2BBC" w:rsidRPr="001F224B" w:rsidRDefault="00AB2BBC" w:rsidP="00AB2BBC">
            <w:pPr>
              <w:jc w:val="right"/>
              <w:rPr>
                <w:b/>
                <w:bCs/>
                <w:sz w:val="16"/>
                <w:szCs w:val="16"/>
              </w:rPr>
            </w:pPr>
            <w:r w:rsidRPr="001F224B">
              <w:rPr>
                <w:b/>
                <w:bCs/>
                <w:sz w:val="16"/>
                <w:szCs w:val="16"/>
              </w:rPr>
              <w:t xml:space="preserve"> 4.447.975    </w:t>
            </w:r>
          </w:p>
        </w:tc>
        <w:tc>
          <w:tcPr>
            <w:tcW w:w="993" w:type="dxa"/>
            <w:tcBorders>
              <w:top w:val="single" w:sz="4" w:space="0" w:color="auto"/>
              <w:left w:val="nil"/>
              <w:bottom w:val="single" w:sz="4" w:space="0" w:color="auto"/>
              <w:right w:val="single" w:sz="4" w:space="0" w:color="auto"/>
            </w:tcBorders>
            <w:shd w:val="clear" w:color="auto" w:fill="auto"/>
            <w:vAlign w:val="bottom"/>
          </w:tcPr>
          <w:p w14:paraId="2E8EA1A9" w14:textId="6A24E206" w:rsidR="00AB2BBC" w:rsidRPr="001F224B" w:rsidRDefault="00AB2BBC" w:rsidP="00AB2BBC">
            <w:pPr>
              <w:jc w:val="right"/>
              <w:rPr>
                <w:b/>
                <w:bCs/>
                <w:sz w:val="16"/>
                <w:szCs w:val="16"/>
              </w:rPr>
            </w:pPr>
            <w:r w:rsidRPr="001F224B">
              <w:rPr>
                <w:b/>
                <w:bCs/>
                <w:sz w:val="16"/>
                <w:szCs w:val="16"/>
              </w:rPr>
              <w:t xml:space="preserve"> 11.353.116    </w:t>
            </w:r>
          </w:p>
        </w:tc>
        <w:tc>
          <w:tcPr>
            <w:tcW w:w="863" w:type="dxa"/>
            <w:tcBorders>
              <w:top w:val="single" w:sz="4" w:space="0" w:color="auto"/>
              <w:left w:val="nil"/>
              <w:bottom w:val="single" w:sz="4" w:space="0" w:color="auto"/>
              <w:right w:val="single" w:sz="4" w:space="0" w:color="auto"/>
            </w:tcBorders>
            <w:shd w:val="clear" w:color="auto" w:fill="auto"/>
            <w:vAlign w:val="bottom"/>
          </w:tcPr>
          <w:p w14:paraId="30DCA344" w14:textId="7FA2E021" w:rsidR="00AB2BBC" w:rsidRPr="001F224B" w:rsidRDefault="00AB2BBC" w:rsidP="00AB2BBC">
            <w:pPr>
              <w:jc w:val="right"/>
              <w:rPr>
                <w:b/>
                <w:bCs/>
                <w:sz w:val="16"/>
                <w:szCs w:val="16"/>
              </w:rPr>
            </w:pPr>
            <w:r w:rsidRPr="001F224B">
              <w:rPr>
                <w:b/>
                <w:bCs/>
                <w:sz w:val="16"/>
                <w:szCs w:val="16"/>
              </w:rPr>
              <w:t xml:space="preserve">44.849.910    </w:t>
            </w:r>
          </w:p>
        </w:tc>
        <w:tc>
          <w:tcPr>
            <w:tcW w:w="980" w:type="dxa"/>
            <w:tcBorders>
              <w:top w:val="single" w:sz="4" w:space="0" w:color="auto"/>
              <w:left w:val="nil"/>
              <w:bottom w:val="single" w:sz="4" w:space="0" w:color="auto"/>
              <w:right w:val="single" w:sz="4" w:space="0" w:color="auto"/>
            </w:tcBorders>
            <w:shd w:val="clear" w:color="auto" w:fill="auto"/>
            <w:vAlign w:val="bottom"/>
          </w:tcPr>
          <w:p w14:paraId="1B703D80" w14:textId="2AB0E90E" w:rsidR="00AB2BBC" w:rsidRPr="001F224B" w:rsidRDefault="00AB2BBC" w:rsidP="00AB2BBC">
            <w:pPr>
              <w:jc w:val="right"/>
              <w:rPr>
                <w:b/>
                <w:bCs/>
                <w:sz w:val="16"/>
                <w:szCs w:val="16"/>
              </w:rPr>
            </w:pPr>
            <w:r w:rsidRPr="001F224B">
              <w:rPr>
                <w:b/>
                <w:bCs/>
                <w:sz w:val="16"/>
                <w:szCs w:val="16"/>
              </w:rPr>
              <w:t xml:space="preserve"> 81.037.472    </w:t>
            </w:r>
          </w:p>
        </w:tc>
        <w:tc>
          <w:tcPr>
            <w:tcW w:w="1276" w:type="dxa"/>
            <w:tcBorders>
              <w:top w:val="single" w:sz="4" w:space="0" w:color="auto"/>
              <w:left w:val="nil"/>
              <w:bottom w:val="single" w:sz="4" w:space="0" w:color="auto"/>
              <w:right w:val="single" w:sz="4" w:space="0" w:color="auto"/>
            </w:tcBorders>
            <w:shd w:val="clear" w:color="auto" w:fill="auto"/>
            <w:vAlign w:val="bottom"/>
          </w:tcPr>
          <w:p w14:paraId="3BF40A27" w14:textId="1D7687CB" w:rsidR="00AB2BBC" w:rsidRPr="001F224B" w:rsidRDefault="00AB2BBC" w:rsidP="00AB2BBC">
            <w:pPr>
              <w:jc w:val="right"/>
              <w:rPr>
                <w:b/>
                <w:bCs/>
                <w:sz w:val="16"/>
                <w:szCs w:val="16"/>
              </w:rPr>
            </w:pPr>
            <w:r w:rsidRPr="001F224B">
              <w:rPr>
                <w:b/>
                <w:bCs/>
                <w:sz w:val="16"/>
                <w:szCs w:val="16"/>
              </w:rPr>
              <w:t xml:space="preserve"> 29.808.650    </w:t>
            </w:r>
          </w:p>
        </w:tc>
        <w:tc>
          <w:tcPr>
            <w:tcW w:w="992" w:type="dxa"/>
            <w:tcBorders>
              <w:top w:val="single" w:sz="4" w:space="0" w:color="auto"/>
              <w:left w:val="nil"/>
              <w:bottom w:val="single" w:sz="4" w:space="0" w:color="auto"/>
              <w:right w:val="single" w:sz="4" w:space="0" w:color="auto"/>
            </w:tcBorders>
            <w:shd w:val="clear" w:color="auto" w:fill="auto"/>
            <w:vAlign w:val="bottom"/>
          </w:tcPr>
          <w:p w14:paraId="1C364BEB" w14:textId="3DB59723" w:rsidR="00AB2BBC" w:rsidRPr="001F224B" w:rsidRDefault="00AB2BBC" w:rsidP="00AB2BBC">
            <w:pPr>
              <w:ind w:left="-71" w:right="-40"/>
              <w:jc w:val="right"/>
              <w:rPr>
                <w:b/>
                <w:bCs/>
                <w:sz w:val="16"/>
                <w:szCs w:val="16"/>
              </w:rPr>
            </w:pPr>
            <w:r w:rsidRPr="001F224B">
              <w:rPr>
                <w:b/>
                <w:bCs/>
                <w:sz w:val="16"/>
                <w:szCs w:val="16"/>
              </w:rPr>
              <w:t xml:space="preserve"> 185.492.195    </w:t>
            </w:r>
          </w:p>
        </w:tc>
      </w:tr>
      <w:tr w:rsidR="005A28E8" w:rsidRPr="001F224B" w14:paraId="0DCE1137"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051821F" w14:textId="77777777" w:rsidR="005A28E8" w:rsidRPr="001F224B" w:rsidRDefault="005A28E8" w:rsidP="005A28E8">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31F9B7E7" w14:textId="23D4607D"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5410EE2F" w14:textId="1116695A" w:rsidR="005A28E8" w:rsidRPr="001F224B" w:rsidRDefault="005A28E8" w:rsidP="005A28E8">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288E760A" w14:textId="35E44421" w:rsidR="005A28E8" w:rsidRPr="001F224B" w:rsidRDefault="005A28E8" w:rsidP="005A28E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C5325DC" w14:textId="53A9D885" w:rsidR="005A28E8" w:rsidRPr="001F224B" w:rsidRDefault="005A28E8" w:rsidP="005A28E8">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1CE06D06" w14:textId="379469C1" w:rsidR="005A28E8" w:rsidRPr="001F224B" w:rsidRDefault="005A28E8" w:rsidP="005A28E8">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68C33BA5" w14:textId="5E31CD0E" w:rsidR="005A28E8" w:rsidRPr="001F224B" w:rsidRDefault="005A28E8" w:rsidP="005A28E8">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FFFFFF"/>
            <w:vAlign w:val="bottom"/>
          </w:tcPr>
          <w:p w14:paraId="24D41930" w14:textId="3DC58951"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77D6FDA8" w14:textId="6C957C11" w:rsidR="005A28E8" w:rsidRPr="001F224B" w:rsidRDefault="005A28E8" w:rsidP="005A28E8">
            <w:pPr>
              <w:jc w:val="right"/>
              <w:rPr>
                <w:sz w:val="16"/>
                <w:szCs w:val="16"/>
              </w:rPr>
            </w:pPr>
          </w:p>
        </w:tc>
      </w:tr>
      <w:tr w:rsidR="00AB2BBC" w:rsidRPr="001F224B" w14:paraId="7A751208"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5773622" w14:textId="77777777" w:rsidR="00AB2BBC" w:rsidRPr="001F224B" w:rsidRDefault="00AB2BBC" w:rsidP="00AB2BBC">
            <w:pPr>
              <w:rPr>
                <w:b/>
                <w:sz w:val="16"/>
                <w:szCs w:val="16"/>
              </w:rPr>
            </w:pPr>
            <w:r w:rsidRPr="001F224B">
              <w:rPr>
                <w:b/>
                <w:sz w:val="16"/>
                <w:szCs w:val="16"/>
              </w:rPr>
              <w:t>Likidite Açığı</w:t>
            </w:r>
          </w:p>
        </w:tc>
        <w:tc>
          <w:tcPr>
            <w:tcW w:w="1022" w:type="dxa"/>
            <w:tcBorders>
              <w:top w:val="single" w:sz="4" w:space="0" w:color="auto"/>
              <w:left w:val="nil"/>
              <w:bottom w:val="single" w:sz="4" w:space="0" w:color="auto"/>
              <w:right w:val="single" w:sz="4" w:space="0" w:color="auto"/>
            </w:tcBorders>
            <w:shd w:val="clear" w:color="auto" w:fill="auto"/>
            <w:vAlign w:val="bottom"/>
          </w:tcPr>
          <w:p w14:paraId="3964974F" w14:textId="507D9813" w:rsidR="00AB2BBC" w:rsidRPr="001F224B" w:rsidRDefault="00AB2BBC" w:rsidP="00AB2BBC">
            <w:pPr>
              <w:jc w:val="right"/>
              <w:rPr>
                <w:b/>
                <w:bCs/>
                <w:sz w:val="16"/>
                <w:szCs w:val="16"/>
              </w:rPr>
            </w:pPr>
            <w:r w:rsidRPr="001F224B">
              <w:rPr>
                <w:b/>
                <w:bCs/>
                <w:sz w:val="16"/>
                <w:szCs w:val="16"/>
              </w:rPr>
              <w:t>(5.488.500)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30D8D2F" w14:textId="06C8A3F6" w:rsidR="00AB2BBC" w:rsidRPr="001F224B" w:rsidRDefault="00AB2BBC" w:rsidP="00AB2BBC">
            <w:pPr>
              <w:jc w:val="right"/>
              <w:rPr>
                <w:b/>
                <w:bCs/>
                <w:sz w:val="16"/>
                <w:szCs w:val="16"/>
              </w:rPr>
            </w:pPr>
            <w:r w:rsidRPr="001F224B">
              <w:rPr>
                <w:b/>
                <w:bCs/>
                <w:sz w:val="16"/>
                <w:szCs w:val="16"/>
              </w:rPr>
              <w:t>30.740.256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9EE3BF6" w14:textId="67D521FE" w:rsidR="00AB2BBC" w:rsidRPr="001F224B" w:rsidRDefault="00AB2BBC" w:rsidP="00AB2BBC">
            <w:pPr>
              <w:jc w:val="right"/>
              <w:rPr>
                <w:b/>
                <w:bCs/>
                <w:sz w:val="16"/>
                <w:szCs w:val="16"/>
              </w:rPr>
            </w:pPr>
            <w:r w:rsidRPr="001F224B">
              <w:rPr>
                <w:b/>
                <w:bCs/>
                <w:sz w:val="16"/>
                <w:szCs w:val="16"/>
              </w:rPr>
              <w:t>3.284.089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37F17D1" w14:textId="0DEB4813" w:rsidR="00AB2BBC" w:rsidRPr="001F224B" w:rsidRDefault="00AB2BBC" w:rsidP="00AB2BBC">
            <w:pPr>
              <w:jc w:val="right"/>
              <w:rPr>
                <w:b/>
                <w:bCs/>
                <w:sz w:val="16"/>
                <w:szCs w:val="16"/>
              </w:rPr>
            </w:pPr>
            <w:r w:rsidRPr="001F224B">
              <w:rPr>
                <w:b/>
                <w:bCs/>
                <w:sz w:val="16"/>
                <w:szCs w:val="16"/>
              </w:rPr>
              <w:t>19.623.157</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1DC1A9C2" w14:textId="1B4C9DCE" w:rsidR="00AB2BBC" w:rsidRPr="001F224B" w:rsidRDefault="00AB2BBC" w:rsidP="00AB2BBC">
            <w:pPr>
              <w:jc w:val="right"/>
              <w:rPr>
                <w:b/>
                <w:bCs/>
                <w:sz w:val="16"/>
                <w:szCs w:val="16"/>
              </w:rPr>
            </w:pPr>
            <w:r w:rsidRPr="001F224B">
              <w:rPr>
                <w:b/>
                <w:bCs/>
                <w:sz w:val="16"/>
                <w:szCs w:val="16"/>
              </w:rPr>
              <w:t>33.337.114</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99A427B" w14:textId="2C98C508" w:rsidR="00AB2BBC" w:rsidRPr="001F224B" w:rsidRDefault="00AB2BBC" w:rsidP="00AB2BBC">
            <w:pPr>
              <w:jc w:val="right"/>
              <w:rPr>
                <w:b/>
                <w:bCs/>
                <w:sz w:val="16"/>
                <w:szCs w:val="16"/>
              </w:rPr>
            </w:pPr>
            <w:r w:rsidRPr="001F224B">
              <w:rPr>
                <w:b/>
                <w:bCs/>
                <w:sz w:val="16"/>
                <w:szCs w:val="16"/>
              </w:rPr>
              <w:t>(53.223.529)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DF53BB5" w14:textId="3B794B93" w:rsidR="00AB2BBC" w:rsidRPr="001F224B" w:rsidRDefault="00AB2BBC" w:rsidP="00AB2BBC">
            <w:pPr>
              <w:jc w:val="right"/>
              <w:rPr>
                <w:b/>
                <w:bCs/>
                <w:sz w:val="16"/>
                <w:szCs w:val="16"/>
              </w:rPr>
            </w:pPr>
            <w:r w:rsidRPr="001F224B">
              <w:rPr>
                <w:b/>
                <w:bCs/>
                <w:sz w:val="16"/>
                <w:szCs w:val="16"/>
              </w:rPr>
              <w:t>(28.272.587)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4004C1E" w14:textId="5683AA8D" w:rsidR="00AB2BBC" w:rsidRPr="001F224B" w:rsidRDefault="00AB2BBC" w:rsidP="00AB2BBC">
            <w:pPr>
              <w:jc w:val="right"/>
              <w:rPr>
                <w:b/>
                <w:bCs/>
                <w:sz w:val="16"/>
                <w:szCs w:val="16"/>
              </w:rPr>
            </w:pPr>
            <w:r w:rsidRPr="001F224B">
              <w:rPr>
                <w:b/>
                <w:bCs/>
                <w:sz w:val="16"/>
                <w:szCs w:val="16"/>
              </w:rPr>
              <w:t>-</w:t>
            </w:r>
          </w:p>
        </w:tc>
      </w:tr>
      <w:tr w:rsidR="005A28E8" w:rsidRPr="001F224B" w14:paraId="3DDBA1C6"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841B5C3" w14:textId="77777777" w:rsidR="005A28E8" w:rsidRPr="001F224B" w:rsidRDefault="005A28E8" w:rsidP="005A28E8">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BE6F999" w14:textId="77777777"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7020A85" w14:textId="77777777" w:rsidR="005A28E8" w:rsidRPr="001F224B" w:rsidRDefault="005A28E8" w:rsidP="005A28E8">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645A6309" w14:textId="77777777" w:rsidR="005A28E8" w:rsidRPr="001F224B" w:rsidRDefault="005A28E8" w:rsidP="005A28E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A963E7C" w14:textId="77777777" w:rsidR="005A28E8" w:rsidRPr="001F224B" w:rsidRDefault="005A28E8" w:rsidP="005A28E8">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70E822AA" w14:textId="77777777" w:rsidR="005A28E8" w:rsidRPr="001F224B" w:rsidRDefault="005A28E8" w:rsidP="005A28E8">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1486CB45" w14:textId="77777777" w:rsidR="005A28E8" w:rsidRPr="001F224B" w:rsidRDefault="005A28E8" w:rsidP="005A28E8">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FFFFFF"/>
            <w:vAlign w:val="bottom"/>
          </w:tcPr>
          <w:p w14:paraId="1230E51E" w14:textId="77777777" w:rsidR="005A28E8" w:rsidRPr="001F224B" w:rsidRDefault="005A28E8" w:rsidP="005A28E8">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78D27B93" w14:textId="77777777" w:rsidR="005A28E8" w:rsidRPr="001F224B" w:rsidRDefault="005A28E8" w:rsidP="005A28E8">
            <w:pPr>
              <w:jc w:val="right"/>
              <w:rPr>
                <w:sz w:val="16"/>
                <w:szCs w:val="16"/>
              </w:rPr>
            </w:pPr>
          </w:p>
        </w:tc>
      </w:tr>
      <w:tr w:rsidR="00AB2BBC" w:rsidRPr="001F224B" w14:paraId="0DD36535"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DDA0E02" w14:textId="77777777" w:rsidR="00AB2BBC" w:rsidRPr="001F224B" w:rsidRDefault="00AB2BBC" w:rsidP="00AB2BBC">
            <w:pPr>
              <w:rPr>
                <w:b/>
                <w:sz w:val="16"/>
                <w:szCs w:val="16"/>
              </w:rPr>
            </w:pPr>
            <w:r w:rsidRPr="001F224B">
              <w:rPr>
                <w:b/>
                <w:sz w:val="16"/>
                <w:szCs w:val="16"/>
              </w:rPr>
              <w:t>Net Bilanço Dışı Pozisyonu</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21583DD7" w14:textId="790A864D" w:rsidR="00AB2BBC" w:rsidRPr="001F224B" w:rsidRDefault="00AB2BBC" w:rsidP="00AB2BBC">
            <w:pPr>
              <w:jc w:val="right"/>
              <w:rPr>
                <w:b/>
                <w:bCs/>
                <w:sz w:val="16"/>
                <w:szCs w:val="16"/>
              </w:rPr>
            </w:pPr>
            <w:r w:rsidRPr="001F224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1493626" w14:textId="26AE5AE8" w:rsidR="00AB2BBC" w:rsidRPr="001F224B" w:rsidRDefault="00AB2BBC" w:rsidP="00AB2BBC">
            <w:pPr>
              <w:jc w:val="right"/>
              <w:rPr>
                <w:b/>
                <w:bCs/>
                <w:sz w:val="16"/>
                <w:szCs w:val="16"/>
              </w:rPr>
            </w:pPr>
            <w:r w:rsidRPr="001F224B">
              <w:rPr>
                <w:b/>
                <w:bCs/>
                <w:sz w:val="16"/>
                <w:szCs w:val="16"/>
              </w:rPr>
              <w:t>14.196</w:t>
            </w:r>
          </w:p>
        </w:tc>
        <w:tc>
          <w:tcPr>
            <w:tcW w:w="850" w:type="dxa"/>
            <w:tcBorders>
              <w:top w:val="single" w:sz="4" w:space="0" w:color="auto"/>
              <w:left w:val="nil"/>
              <w:bottom w:val="single" w:sz="4" w:space="0" w:color="auto"/>
              <w:right w:val="single" w:sz="4" w:space="0" w:color="auto"/>
            </w:tcBorders>
            <w:shd w:val="clear" w:color="auto" w:fill="auto"/>
            <w:vAlign w:val="bottom"/>
          </w:tcPr>
          <w:p w14:paraId="00AF2FDE" w14:textId="47A4A3E7" w:rsidR="00AB2BBC" w:rsidRPr="001F224B" w:rsidRDefault="00AB2BBC" w:rsidP="00AB2BBC">
            <w:pPr>
              <w:ind w:left="-211" w:right="-209" w:hanging="142"/>
              <w:jc w:val="center"/>
              <w:rPr>
                <w:b/>
                <w:bCs/>
                <w:sz w:val="16"/>
                <w:szCs w:val="16"/>
              </w:rPr>
            </w:pPr>
            <w:r w:rsidRPr="001F224B">
              <w:rPr>
                <w:b/>
                <w:bCs/>
                <w:sz w:val="16"/>
                <w:szCs w:val="16"/>
              </w:rPr>
              <w:t>-35.539</w:t>
            </w:r>
          </w:p>
        </w:tc>
        <w:tc>
          <w:tcPr>
            <w:tcW w:w="993" w:type="dxa"/>
            <w:tcBorders>
              <w:top w:val="single" w:sz="4" w:space="0" w:color="auto"/>
              <w:left w:val="nil"/>
              <w:bottom w:val="single" w:sz="4" w:space="0" w:color="auto"/>
              <w:right w:val="single" w:sz="4" w:space="0" w:color="auto"/>
            </w:tcBorders>
            <w:shd w:val="clear" w:color="auto" w:fill="auto"/>
            <w:vAlign w:val="bottom"/>
          </w:tcPr>
          <w:p w14:paraId="5BCC05E1" w14:textId="3C54340B" w:rsidR="00AB2BBC" w:rsidRPr="001F224B" w:rsidRDefault="00AB2BBC" w:rsidP="00AB2BBC">
            <w:pPr>
              <w:jc w:val="right"/>
              <w:rPr>
                <w:b/>
                <w:bCs/>
                <w:sz w:val="16"/>
                <w:szCs w:val="16"/>
              </w:rPr>
            </w:pPr>
            <w:r w:rsidRPr="001F224B">
              <w:rPr>
                <w:sz w:val="16"/>
                <w:szCs w:val="16"/>
              </w:rPr>
              <w:t>-</w:t>
            </w:r>
          </w:p>
        </w:tc>
        <w:tc>
          <w:tcPr>
            <w:tcW w:w="863" w:type="dxa"/>
            <w:tcBorders>
              <w:top w:val="single" w:sz="4" w:space="0" w:color="auto"/>
              <w:left w:val="nil"/>
              <w:bottom w:val="single" w:sz="4" w:space="0" w:color="auto"/>
              <w:right w:val="single" w:sz="4" w:space="0" w:color="auto"/>
            </w:tcBorders>
            <w:shd w:val="clear" w:color="auto" w:fill="FFFFFF"/>
            <w:vAlign w:val="bottom"/>
          </w:tcPr>
          <w:p w14:paraId="3D0A655A" w14:textId="67E91BA6" w:rsidR="00AB2BBC" w:rsidRPr="001F224B" w:rsidRDefault="00AB2BBC" w:rsidP="00AB2BBC">
            <w:pPr>
              <w:jc w:val="right"/>
              <w:rPr>
                <w:b/>
                <w:bCs/>
                <w:sz w:val="16"/>
                <w:szCs w:val="16"/>
              </w:rPr>
            </w:pPr>
            <w:r w:rsidRPr="001F224B">
              <w:rPr>
                <w:sz w:val="16"/>
                <w:szCs w:val="16"/>
              </w:rPr>
              <w:t>-</w:t>
            </w:r>
          </w:p>
        </w:tc>
        <w:tc>
          <w:tcPr>
            <w:tcW w:w="980" w:type="dxa"/>
            <w:tcBorders>
              <w:top w:val="single" w:sz="4" w:space="0" w:color="auto"/>
              <w:left w:val="nil"/>
              <w:bottom w:val="single" w:sz="4" w:space="0" w:color="auto"/>
              <w:right w:val="single" w:sz="4" w:space="0" w:color="auto"/>
            </w:tcBorders>
            <w:shd w:val="clear" w:color="auto" w:fill="FFFFFF"/>
            <w:vAlign w:val="bottom"/>
          </w:tcPr>
          <w:p w14:paraId="52DF001E" w14:textId="68C4DAAB" w:rsidR="00AB2BBC" w:rsidRPr="001F224B" w:rsidRDefault="00AB2BBC" w:rsidP="00AB2BBC">
            <w:pPr>
              <w:jc w:val="right"/>
              <w:rPr>
                <w:b/>
                <w:bCs/>
                <w:sz w:val="16"/>
                <w:szCs w:val="16"/>
              </w:rPr>
            </w:pPr>
            <w:r w:rsidRPr="001F224B">
              <w:rPr>
                <w:sz w:val="16"/>
                <w:szCs w:val="16"/>
              </w:rPr>
              <w:t>-</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5014513E" w14:textId="6CF03F09" w:rsidR="00AB2BBC" w:rsidRPr="001F224B" w:rsidRDefault="00AB2BBC" w:rsidP="00AB2BBC">
            <w:pPr>
              <w:jc w:val="right"/>
              <w:rPr>
                <w:b/>
                <w:bCs/>
                <w:sz w:val="16"/>
                <w:szCs w:val="16"/>
              </w:rPr>
            </w:pPr>
            <w:r w:rsidRPr="001F224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67DA944" w14:textId="1652C1A0" w:rsidR="00AB2BBC" w:rsidRPr="001F224B" w:rsidRDefault="00AB2BBC" w:rsidP="00AB2BBC">
            <w:pPr>
              <w:jc w:val="right"/>
              <w:rPr>
                <w:b/>
                <w:bCs/>
                <w:sz w:val="16"/>
                <w:szCs w:val="16"/>
              </w:rPr>
            </w:pPr>
            <w:r w:rsidRPr="001F224B">
              <w:rPr>
                <w:b/>
                <w:bCs/>
                <w:sz w:val="16"/>
                <w:szCs w:val="16"/>
              </w:rPr>
              <w:t>(21.343)</w:t>
            </w:r>
          </w:p>
        </w:tc>
      </w:tr>
      <w:tr w:rsidR="00AB2BBC" w:rsidRPr="001F224B" w14:paraId="393FDA4F" w14:textId="77777777" w:rsidTr="00AB2BBC">
        <w:trPr>
          <w:gridAfter w:val="1"/>
          <w:wAfter w:w="492" w:type="dxa"/>
          <w:trHeight w:val="58"/>
        </w:trPr>
        <w:tc>
          <w:tcPr>
            <w:tcW w:w="2380" w:type="dxa"/>
            <w:tcBorders>
              <w:top w:val="nil"/>
              <w:left w:val="single" w:sz="4" w:space="0" w:color="auto"/>
              <w:bottom w:val="single" w:sz="4" w:space="0" w:color="auto"/>
              <w:right w:val="single" w:sz="4" w:space="0" w:color="auto"/>
            </w:tcBorders>
            <w:shd w:val="clear" w:color="000000" w:fill="FFFFFF"/>
            <w:vAlign w:val="bottom"/>
          </w:tcPr>
          <w:p w14:paraId="01DE4B05" w14:textId="77777777" w:rsidR="00AB2BBC" w:rsidRPr="001F224B" w:rsidRDefault="00AB2BBC" w:rsidP="00AB2BBC">
            <w:pPr>
              <w:rPr>
                <w:sz w:val="16"/>
                <w:szCs w:val="16"/>
              </w:rPr>
            </w:pPr>
            <w:r w:rsidRPr="001F224B">
              <w:rPr>
                <w:sz w:val="16"/>
                <w:szCs w:val="16"/>
              </w:rPr>
              <w:t xml:space="preserve">  Türev Finansal Araçlardan    Alacaklar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47F0AB19" w14:textId="23CF315C"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6E0C555" w14:textId="574A500D" w:rsidR="00AB2BBC" w:rsidRPr="001F224B" w:rsidRDefault="00AB2BBC" w:rsidP="00AB2BBC">
            <w:pPr>
              <w:jc w:val="right"/>
              <w:rPr>
                <w:sz w:val="16"/>
                <w:szCs w:val="16"/>
              </w:rPr>
            </w:pPr>
            <w:r w:rsidRPr="001F224B">
              <w:rPr>
                <w:sz w:val="16"/>
                <w:szCs w:val="16"/>
              </w:rPr>
              <w:t xml:space="preserve"> 8.517.994    </w:t>
            </w:r>
          </w:p>
        </w:tc>
        <w:tc>
          <w:tcPr>
            <w:tcW w:w="850" w:type="dxa"/>
            <w:tcBorders>
              <w:top w:val="single" w:sz="4" w:space="0" w:color="auto"/>
              <w:left w:val="nil"/>
              <w:bottom w:val="single" w:sz="4" w:space="0" w:color="auto"/>
              <w:right w:val="single" w:sz="4" w:space="0" w:color="auto"/>
            </w:tcBorders>
            <w:shd w:val="clear" w:color="auto" w:fill="auto"/>
            <w:vAlign w:val="bottom"/>
          </w:tcPr>
          <w:p w14:paraId="27FF4A43" w14:textId="399AA1D2" w:rsidR="00AB2BBC" w:rsidRPr="001F224B" w:rsidRDefault="00AB2BBC" w:rsidP="00AB2BBC">
            <w:pPr>
              <w:jc w:val="right"/>
              <w:rPr>
                <w:sz w:val="16"/>
                <w:szCs w:val="16"/>
              </w:rPr>
            </w:pPr>
            <w:r w:rsidRPr="001F224B">
              <w:rPr>
                <w:sz w:val="16"/>
                <w:szCs w:val="16"/>
              </w:rPr>
              <w:t xml:space="preserve"> 2.851.826    </w:t>
            </w:r>
          </w:p>
        </w:tc>
        <w:tc>
          <w:tcPr>
            <w:tcW w:w="993" w:type="dxa"/>
            <w:tcBorders>
              <w:top w:val="single" w:sz="4" w:space="0" w:color="auto"/>
              <w:left w:val="nil"/>
              <w:bottom w:val="single" w:sz="4" w:space="0" w:color="auto"/>
              <w:right w:val="single" w:sz="4" w:space="0" w:color="auto"/>
            </w:tcBorders>
            <w:shd w:val="clear" w:color="auto" w:fill="auto"/>
            <w:vAlign w:val="bottom"/>
          </w:tcPr>
          <w:p w14:paraId="07D0B3E6" w14:textId="10B03A2F" w:rsidR="00AB2BBC" w:rsidRPr="001F224B" w:rsidRDefault="00AB2BBC" w:rsidP="00AB2BBC">
            <w:pPr>
              <w:jc w:val="right"/>
              <w:rPr>
                <w:sz w:val="16"/>
                <w:szCs w:val="16"/>
              </w:rPr>
            </w:pPr>
            <w:r w:rsidRPr="001F224B">
              <w:rPr>
                <w:sz w:val="16"/>
                <w:szCs w:val="16"/>
              </w:rPr>
              <w:t>-</w:t>
            </w:r>
          </w:p>
        </w:tc>
        <w:tc>
          <w:tcPr>
            <w:tcW w:w="863" w:type="dxa"/>
            <w:tcBorders>
              <w:top w:val="single" w:sz="4" w:space="0" w:color="auto"/>
              <w:left w:val="nil"/>
              <w:bottom w:val="single" w:sz="4" w:space="0" w:color="auto"/>
              <w:right w:val="single" w:sz="4" w:space="0" w:color="auto"/>
            </w:tcBorders>
            <w:shd w:val="clear" w:color="auto" w:fill="FFFFFF"/>
            <w:vAlign w:val="bottom"/>
          </w:tcPr>
          <w:p w14:paraId="6C9243F0" w14:textId="53B4C695" w:rsidR="00AB2BBC" w:rsidRPr="001F224B" w:rsidRDefault="00AB2BBC" w:rsidP="00AB2BBC">
            <w:pPr>
              <w:jc w:val="right"/>
              <w:rPr>
                <w:sz w:val="16"/>
                <w:szCs w:val="16"/>
              </w:rPr>
            </w:pPr>
            <w:r w:rsidRPr="001F224B">
              <w:rPr>
                <w:sz w:val="16"/>
                <w:szCs w:val="16"/>
              </w:rPr>
              <w:t>-</w:t>
            </w:r>
          </w:p>
        </w:tc>
        <w:tc>
          <w:tcPr>
            <w:tcW w:w="980" w:type="dxa"/>
            <w:tcBorders>
              <w:top w:val="single" w:sz="4" w:space="0" w:color="auto"/>
              <w:left w:val="nil"/>
              <w:bottom w:val="single" w:sz="4" w:space="0" w:color="auto"/>
              <w:right w:val="single" w:sz="4" w:space="0" w:color="auto"/>
            </w:tcBorders>
            <w:shd w:val="clear" w:color="auto" w:fill="FFFFFF"/>
            <w:vAlign w:val="bottom"/>
          </w:tcPr>
          <w:p w14:paraId="42452FAB" w14:textId="556B68BC" w:rsidR="00AB2BBC" w:rsidRPr="001F224B" w:rsidRDefault="00AB2BBC" w:rsidP="00AB2BBC">
            <w:pPr>
              <w:jc w:val="right"/>
              <w:rPr>
                <w:sz w:val="16"/>
                <w:szCs w:val="16"/>
              </w:rPr>
            </w:pPr>
            <w:r w:rsidRPr="001F224B">
              <w:rPr>
                <w:sz w:val="16"/>
                <w:szCs w:val="16"/>
              </w:rPr>
              <w:t>-</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73429918" w14:textId="149DD0FC" w:rsidR="00AB2BBC" w:rsidRPr="001F224B" w:rsidRDefault="00AB2BBC" w:rsidP="00AB2BBC">
            <w:pPr>
              <w:jc w:val="right"/>
              <w:rPr>
                <w:sz w:val="16"/>
                <w:szCs w:val="16"/>
              </w:rPr>
            </w:pPr>
            <w:r w:rsidRPr="001F224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CF83616" w14:textId="0E7774D0" w:rsidR="00AB2BBC" w:rsidRPr="001F224B" w:rsidRDefault="00AB2BBC" w:rsidP="00AB2BBC">
            <w:pPr>
              <w:jc w:val="right"/>
              <w:rPr>
                <w:sz w:val="16"/>
                <w:szCs w:val="16"/>
              </w:rPr>
            </w:pPr>
            <w:r w:rsidRPr="001F224B">
              <w:rPr>
                <w:sz w:val="16"/>
                <w:szCs w:val="16"/>
              </w:rPr>
              <w:t xml:space="preserve"> 11.369.820    </w:t>
            </w:r>
          </w:p>
        </w:tc>
      </w:tr>
      <w:tr w:rsidR="00AB2BBC" w:rsidRPr="001F224B" w14:paraId="58521A0B"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1A6ED40" w14:textId="77777777" w:rsidR="00AB2BBC" w:rsidRPr="001F224B" w:rsidRDefault="00AB2BBC" w:rsidP="00AB2BBC">
            <w:pPr>
              <w:rPr>
                <w:sz w:val="16"/>
                <w:szCs w:val="16"/>
              </w:rPr>
            </w:pPr>
            <w:r w:rsidRPr="001F224B">
              <w:rPr>
                <w:sz w:val="16"/>
                <w:szCs w:val="16"/>
              </w:rPr>
              <w:t xml:space="preserve">  Türev Finansal Araçlardan Borçlar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BE8A74F" w14:textId="5EA553C9" w:rsidR="00AB2BBC" w:rsidRPr="001F224B" w:rsidRDefault="00AB2BBC" w:rsidP="00AB2BBC">
            <w:pPr>
              <w:jc w:val="right"/>
              <w:rPr>
                <w:sz w:val="16"/>
                <w:szCs w:val="16"/>
              </w:rPr>
            </w:pPr>
            <w:r w:rsidRPr="001F224B">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07677398" w14:textId="7FC37B99" w:rsidR="00AB2BBC" w:rsidRPr="001F224B" w:rsidRDefault="00AB2BBC" w:rsidP="00AB2BBC">
            <w:pPr>
              <w:jc w:val="right"/>
              <w:rPr>
                <w:sz w:val="16"/>
                <w:szCs w:val="16"/>
              </w:rPr>
            </w:pPr>
            <w:r w:rsidRPr="001F224B">
              <w:rPr>
                <w:sz w:val="16"/>
                <w:szCs w:val="16"/>
              </w:rPr>
              <w:t xml:space="preserve"> 8.503.798    </w:t>
            </w:r>
          </w:p>
        </w:tc>
        <w:tc>
          <w:tcPr>
            <w:tcW w:w="850" w:type="dxa"/>
            <w:tcBorders>
              <w:top w:val="nil"/>
              <w:left w:val="nil"/>
              <w:bottom w:val="single" w:sz="4" w:space="0" w:color="auto"/>
              <w:right w:val="single" w:sz="4" w:space="0" w:color="auto"/>
            </w:tcBorders>
            <w:shd w:val="clear" w:color="auto" w:fill="auto"/>
            <w:vAlign w:val="bottom"/>
          </w:tcPr>
          <w:p w14:paraId="26CA454B" w14:textId="3517EC87" w:rsidR="00AB2BBC" w:rsidRPr="001F224B" w:rsidRDefault="00AB2BBC" w:rsidP="00AB2BBC">
            <w:pPr>
              <w:jc w:val="right"/>
              <w:rPr>
                <w:sz w:val="16"/>
                <w:szCs w:val="16"/>
              </w:rPr>
            </w:pPr>
            <w:r w:rsidRPr="001F224B">
              <w:rPr>
                <w:sz w:val="16"/>
                <w:szCs w:val="16"/>
              </w:rPr>
              <w:t xml:space="preserve"> 2.887.365    </w:t>
            </w:r>
          </w:p>
        </w:tc>
        <w:tc>
          <w:tcPr>
            <w:tcW w:w="993" w:type="dxa"/>
            <w:tcBorders>
              <w:top w:val="nil"/>
              <w:left w:val="nil"/>
              <w:bottom w:val="single" w:sz="4" w:space="0" w:color="auto"/>
              <w:right w:val="single" w:sz="4" w:space="0" w:color="auto"/>
            </w:tcBorders>
            <w:shd w:val="clear" w:color="auto" w:fill="auto"/>
            <w:vAlign w:val="bottom"/>
          </w:tcPr>
          <w:p w14:paraId="38D11521" w14:textId="350EB7DC" w:rsidR="00AB2BBC" w:rsidRPr="001F224B" w:rsidRDefault="00AB2BBC" w:rsidP="00AB2BBC">
            <w:pPr>
              <w:jc w:val="right"/>
              <w:rPr>
                <w:sz w:val="16"/>
                <w:szCs w:val="16"/>
              </w:rPr>
            </w:pPr>
            <w:r w:rsidRPr="001F224B">
              <w:rPr>
                <w:sz w:val="16"/>
                <w:szCs w:val="16"/>
              </w:rPr>
              <w:t>-</w:t>
            </w:r>
          </w:p>
        </w:tc>
        <w:tc>
          <w:tcPr>
            <w:tcW w:w="863" w:type="dxa"/>
            <w:tcBorders>
              <w:top w:val="single" w:sz="4" w:space="0" w:color="auto"/>
              <w:left w:val="nil"/>
              <w:bottom w:val="single" w:sz="4" w:space="0" w:color="auto"/>
              <w:right w:val="single" w:sz="4" w:space="0" w:color="auto"/>
            </w:tcBorders>
            <w:shd w:val="clear" w:color="auto" w:fill="FFFFFF"/>
            <w:vAlign w:val="bottom"/>
          </w:tcPr>
          <w:p w14:paraId="48246662" w14:textId="59333418" w:rsidR="00AB2BBC" w:rsidRPr="001F224B" w:rsidRDefault="00AB2BBC" w:rsidP="00AB2BBC">
            <w:pPr>
              <w:jc w:val="right"/>
              <w:rPr>
                <w:sz w:val="16"/>
                <w:szCs w:val="16"/>
              </w:rPr>
            </w:pPr>
            <w:r w:rsidRPr="001F224B">
              <w:rPr>
                <w:sz w:val="16"/>
                <w:szCs w:val="16"/>
              </w:rPr>
              <w:t>-</w:t>
            </w:r>
          </w:p>
        </w:tc>
        <w:tc>
          <w:tcPr>
            <w:tcW w:w="980" w:type="dxa"/>
            <w:tcBorders>
              <w:top w:val="single" w:sz="4" w:space="0" w:color="auto"/>
              <w:left w:val="nil"/>
              <w:bottom w:val="single" w:sz="4" w:space="0" w:color="auto"/>
              <w:right w:val="single" w:sz="4" w:space="0" w:color="auto"/>
            </w:tcBorders>
            <w:shd w:val="clear" w:color="auto" w:fill="FFFFFF"/>
            <w:vAlign w:val="bottom"/>
          </w:tcPr>
          <w:p w14:paraId="37789DCF" w14:textId="0534CB64" w:rsidR="00AB2BBC" w:rsidRPr="001F224B" w:rsidRDefault="00AB2BBC" w:rsidP="00AB2BBC">
            <w:pPr>
              <w:jc w:val="right"/>
              <w:rPr>
                <w:sz w:val="16"/>
                <w:szCs w:val="16"/>
              </w:rPr>
            </w:pPr>
            <w:r w:rsidRPr="001F224B">
              <w:rPr>
                <w:sz w:val="16"/>
                <w:szCs w:val="16"/>
              </w:rPr>
              <w:t>-</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294AF0BB" w14:textId="0567217A" w:rsidR="00AB2BBC" w:rsidRPr="001F224B" w:rsidRDefault="00AB2BBC" w:rsidP="00AB2BBC">
            <w:pPr>
              <w:jc w:val="right"/>
              <w:rPr>
                <w:sz w:val="16"/>
                <w:szCs w:val="16"/>
              </w:rPr>
            </w:pPr>
            <w:r w:rsidRPr="001F224B">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3B020A4E" w14:textId="766FD07B" w:rsidR="00AB2BBC" w:rsidRPr="001F224B" w:rsidRDefault="00AB2BBC" w:rsidP="00AB2BBC">
            <w:pPr>
              <w:jc w:val="right"/>
              <w:rPr>
                <w:sz w:val="16"/>
                <w:szCs w:val="16"/>
              </w:rPr>
            </w:pPr>
            <w:r w:rsidRPr="001F224B">
              <w:rPr>
                <w:sz w:val="16"/>
                <w:szCs w:val="16"/>
              </w:rPr>
              <w:t xml:space="preserve"> 11.391.163    </w:t>
            </w:r>
          </w:p>
        </w:tc>
      </w:tr>
      <w:tr w:rsidR="00AB2BBC" w:rsidRPr="001F224B" w14:paraId="66E9CD51" w14:textId="77777777" w:rsidTr="00AB2BBC">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0BDEB51" w14:textId="77777777" w:rsidR="00AB2BBC" w:rsidRPr="001F224B" w:rsidRDefault="00AB2BBC" w:rsidP="00AB2BBC">
            <w:pPr>
              <w:rPr>
                <w:b/>
                <w:sz w:val="16"/>
                <w:szCs w:val="16"/>
              </w:rPr>
            </w:pPr>
            <w:r w:rsidRPr="001F224B">
              <w:rPr>
                <w:b/>
                <w:sz w:val="16"/>
                <w:szCs w:val="16"/>
              </w:rPr>
              <w:t>Gayrinakdi Krediler</w:t>
            </w:r>
          </w:p>
        </w:tc>
        <w:tc>
          <w:tcPr>
            <w:tcW w:w="1022" w:type="dxa"/>
            <w:tcBorders>
              <w:top w:val="single" w:sz="4" w:space="0" w:color="auto"/>
              <w:bottom w:val="single" w:sz="4" w:space="0" w:color="auto"/>
              <w:right w:val="single" w:sz="4" w:space="0" w:color="auto"/>
            </w:tcBorders>
            <w:shd w:val="clear" w:color="auto" w:fill="auto"/>
            <w:vAlign w:val="bottom"/>
          </w:tcPr>
          <w:p w14:paraId="70F95BAA" w14:textId="5AE3553A" w:rsidR="00AB2BBC" w:rsidRPr="001F224B" w:rsidRDefault="00AB2BBC" w:rsidP="00AB2BBC">
            <w:pPr>
              <w:jc w:val="right"/>
              <w:rPr>
                <w:b/>
                <w:bCs/>
                <w:sz w:val="16"/>
                <w:szCs w:val="16"/>
              </w:rPr>
            </w:pPr>
            <w:r w:rsidRPr="001F224B">
              <w:rPr>
                <w:b/>
                <w:bCs/>
                <w:sz w:val="16"/>
                <w:szCs w:val="16"/>
              </w:rPr>
              <w:t xml:space="preserve"> 153.021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93E6F69" w14:textId="078C3D29" w:rsidR="00AB2BBC" w:rsidRPr="001F224B" w:rsidRDefault="00AB2BBC" w:rsidP="00AB2BBC">
            <w:pPr>
              <w:jc w:val="right"/>
              <w:rPr>
                <w:b/>
                <w:bCs/>
                <w:sz w:val="16"/>
                <w:szCs w:val="16"/>
              </w:rPr>
            </w:pPr>
            <w:r w:rsidRPr="001F224B">
              <w:rPr>
                <w:b/>
                <w:bCs/>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44E34A" w14:textId="2A12FA07" w:rsidR="00AB2BBC" w:rsidRPr="001F224B" w:rsidRDefault="00AB2BBC" w:rsidP="00AB2BBC">
            <w:pPr>
              <w:jc w:val="right"/>
              <w:rPr>
                <w:b/>
                <w:bCs/>
                <w:sz w:val="16"/>
                <w:szCs w:val="16"/>
              </w:rPr>
            </w:pPr>
            <w:r w:rsidRPr="001F224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CD0670B" w14:textId="564C9579" w:rsidR="00AB2BBC" w:rsidRPr="001F224B" w:rsidRDefault="00AB2BBC" w:rsidP="00AB2BBC">
            <w:pPr>
              <w:jc w:val="right"/>
              <w:rPr>
                <w:b/>
                <w:bCs/>
                <w:sz w:val="16"/>
                <w:szCs w:val="16"/>
              </w:rPr>
            </w:pPr>
            <w:r w:rsidRPr="001F224B">
              <w:rPr>
                <w:b/>
                <w:bCs/>
                <w:sz w:val="16"/>
                <w:szCs w:val="16"/>
              </w:rPr>
              <w:t xml:space="preserve"> 90.557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620E170B" w14:textId="1C626120" w:rsidR="00AB2BBC" w:rsidRPr="001F224B" w:rsidRDefault="00AB2BBC" w:rsidP="00AB2BBC">
            <w:pPr>
              <w:jc w:val="right"/>
              <w:rPr>
                <w:b/>
                <w:bCs/>
                <w:sz w:val="16"/>
                <w:szCs w:val="16"/>
              </w:rPr>
            </w:pPr>
            <w:r w:rsidRPr="001F224B">
              <w:rPr>
                <w:b/>
                <w:bCs/>
                <w:sz w:val="16"/>
                <w:szCs w:val="16"/>
              </w:rPr>
              <w:t>-</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5196D930" w14:textId="230ABF32" w:rsidR="00AB2BBC" w:rsidRPr="001F224B" w:rsidRDefault="00AB2BBC" w:rsidP="00AB2BBC">
            <w:pPr>
              <w:jc w:val="right"/>
              <w:rPr>
                <w:b/>
                <w:bCs/>
                <w:sz w:val="16"/>
                <w:szCs w:val="16"/>
              </w:rPr>
            </w:pPr>
            <w:r w:rsidRPr="001F224B">
              <w:rPr>
                <w:b/>
                <w:bCs/>
                <w:sz w:val="16"/>
                <w:szCs w:val="16"/>
              </w:rPr>
              <w:t xml:space="preserve"> 5.438.938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316D843" w14:textId="607BF533" w:rsidR="00AB2BBC" w:rsidRPr="001F224B" w:rsidRDefault="00AB2BBC" w:rsidP="00AB2BBC">
            <w:pPr>
              <w:jc w:val="right"/>
              <w:rPr>
                <w:b/>
                <w:bCs/>
                <w:sz w:val="16"/>
                <w:szCs w:val="16"/>
              </w:rPr>
            </w:pPr>
            <w:r w:rsidRPr="001F224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E73434E" w14:textId="3C13534C" w:rsidR="00AB2BBC" w:rsidRPr="001F224B" w:rsidRDefault="00AB2BBC" w:rsidP="00AB2BBC">
            <w:pPr>
              <w:jc w:val="right"/>
              <w:rPr>
                <w:b/>
                <w:bCs/>
                <w:sz w:val="16"/>
                <w:szCs w:val="16"/>
              </w:rPr>
            </w:pPr>
            <w:r w:rsidRPr="001F224B">
              <w:rPr>
                <w:b/>
                <w:bCs/>
                <w:sz w:val="16"/>
                <w:szCs w:val="16"/>
              </w:rPr>
              <w:t xml:space="preserve"> 5.682.516    </w:t>
            </w:r>
          </w:p>
        </w:tc>
      </w:tr>
      <w:tr w:rsidR="0005619A" w:rsidRPr="001F224B" w14:paraId="5CDF3AAA"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2768F4B" w14:textId="77777777" w:rsidR="0005619A" w:rsidRPr="001F224B" w:rsidRDefault="0005619A" w:rsidP="0005619A">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963F52F" w14:textId="52624C05" w:rsidR="0005619A" w:rsidRPr="001F224B" w:rsidRDefault="0005619A" w:rsidP="0005619A">
            <w:pPr>
              <w:jc w:val="right"/>
              <w:rPr>
                <w:sz w:val="16"/>
                <w:szCs w:val="16"/>
              </w:rPr>
            </w:pPr>
            <w:r w:rsidRPr="001F224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AC1C3BF" w14:textId="6CB6B5EE" w:rsidR="0005619A" w:rsidRPr="001F224B" w:rsidRDefault="0005619A" w:rsidP="0005619A">
            <w:pPr>
              <w:jc w:val="right"/>
              <w:rPr>
                <w:sz w:val="16"/>
                <w:szCs w:val="16"/>
              </w:rPr>
            </w:pPr>
            <w:r w:rsidRPr="001F224B">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567F4EA7" w14:textId="7B11B95F" w:rsidR="0005619A" w:rsidRPr="001F224B" w:rsidRDefault="0005619A" w:rsidP="0005619A">
            <w:pPr>
              <w:jc w:val="right"/>
              <w:rPr>
                <w:sz w:val="16"/>
                <w:szCs w:val="16"/>
              </w:rPr>
            </w:pPr>
            <w:r w:rsidRPr="001F224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CF93575" w14:textId="3C5A6C77" w:rsidR="0005619A" w:rsidRPr="001F224B" w:rsidRDefault="0005619A" w:rsidP="0005619A">
            <w:pPr>
              <w:jc w:val="right"/>
              <w:rPr>
                <w:sz w:val="16"/>
                <w:szCs w:val="16"/>
              </w:rPr>
            </w:pPr>
            <w:r w:rsidRPr="001F224B">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2F84ACB6" w14:textId="3DC14E00" w:rsidR="0005619A" w:rsidRPr="001F224B" w:rsidRDefault="0005619A" w:rsidP="0005619A">
            <w:pPr>
              <w:jc w:val="right"/>
              <w:rPr>
                <w:sz w:val="16"/>
                <w:szCs w:val="16"/>
              </w:rPr>
            </w:pPr>
            <w:r w:rsidRPr="001F224B">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0FE2887A" w14:textId="3E9203F2" w:rsidR="0005619A" w:rsidRPr="001F224B" w:rsidRDefault="0005619A" w:rsidP="0005619A">
            <w:pPr>
              <w:jc w:val="right"/>
              <w:rPr>
                <w:sz w:val="16"/>
                <w:szCs w:val="16"/>
              </w:rPr>
            </w:pPr>
            <w:r w:rsidRPr="001F224B">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009A794E" w14:textId="724149BA" w:rsidR="0005619A" w:rsidRPr="001F224B" w:rsidRDefault="0005619A" w:rsidP="0005619A">
            <w:pPr>
              <w:jc w:val="right"/>
              <w:rPr>
                <w:sz w:val="16"/>
                <w:szCs w:val="16"/>
              </w:rPr>
            </w:pPr>
            <w:r w:rsidRPr="001F224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412C55AA" w14:textId="69506816" w:rsidR="0005619A" w:rsidRPr="001F224B" w:rsidRDefault="0005619A" w:rsidP="0005619A">
            <w:pPr>
              <w:jc w:val="right"/>
              <w:rPr>
                <w:sz w:val="16"/>
                <w:szCs w:val="16"/>
              </w:rPr>
            </w:pPr>
            <w:r w:rsidRPr="001F224B">
              <w:rPr>
                <w:color w:val="000000"/>
                <w:sz w:val="16"/>
                <w:szCs w:val="16"/>
              </w:rPr>
              <w:t> </w:t>
            </w:r>
          </w:p>
        </w:tc>
      </w:tr>
      <w:tr w:rsidR="0005619A" w:rsidRPr="001F224B" w14:paraId="0713B6E7"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ADA843D" w14:textId="132B72A9" w:rsidR="0005619A" w:rsidRPr="001F224B" w:rsidRDefault="0005619A" w:rsidP="0005619A">
            <w:pPr>
              <w:rPr>
                <w:b/>
                <w:bCs/>
                <w:sz w:val="16"/>
                <w:szCs w:val="16"/>
              </w:rPr>
            </w:pPr>
            <w:r w:rsidRPr="001F224B">
              <w:rPr>
                <w:b/>
                <w:bCs/>
                <w:sz w:val="16"/>
                <w:szCs w:val="16"/>
              </w:rPr>
              <w:t>Önceki Dönem (31.12.202</w:t>
            </w:r>
            <w:r w:rsidR="00B22F30" w:rsidRPr="001F224B">
              <w:rPr>
                <w:b/>
                <w:bCs/>
                <w:sz w:val="16"/>
                <w:szCs w:val="16"/>
              </w:rPr>
              <w:t>4</w:t>
            </w:r>
            <w:r w:rsidRPr="001F224B">
              <w:rPr>
                <w:b/>
                <w:bCs/>
                <w:sz w:val="16"/>
                <w:szCs w:val="16"/>
              </w:rPr>
              <w:t>)</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2C101B5C" w14:textId="7C4C20B5" w:rsidR="0005619A" w:rsidRPr="001F224B" w:rsidRDefault="0005619A" w:rsidP="0005619A">
            <w:pPr>
              <w:jc w:val="right"/>
              <w:rPr>
                <w:sz w:val="16"/>
                <w:szCs w:val="16"/>
              </w:rPr>
            </w:pPr>
            <w:r w:rsidRPr="001F224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0F6745D" w14:textId="1A47FA5F" w:rsidR="0005619A" w:rsidRPr="001F224B" w:rsidRDefault="0005619A" w:rsidP="0005619A">
            <w:pPr>
              <w:jc w:val="right"/>
              <w:rPr>
                <w:sz w:val="16"/>
                <w:szCs w:val="16"/>
              </w:rPr>
            </w:pPr>
            <w:r w:rsidRPr="001F224B">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09DAC265" w14:textId="3EAD828A" w:rsidR="0005619A" w:rsidRPr="001F224B" w:rsidRDefault="0005619A" w:rsidP="0005619A">
            <w:pPr>
              <w:jc w:val="right"/>
              <w:rPr>
                <w:sz w:val="16"/>
                <w:szCs w:val="16"/>
              </w:rPr>
            </w:pPr>
            <w:r w:rsidRPr="001F224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8604F6C" w14:textId="3F1D8DEE" w:rsidR="0005619A" w:rsidRPr="001F224B" w:rsidRDefault="0005619A" w:rsidP="0005619A">
            <w:pPr>
              <w:jc w:val="right"/>
              <w:rPr>
                <w:sz w:val="16"/>
                <w:szCs w:val="16"/>
              </w:rPr>
            </w:pPr>
            <w:r w:rsidRPr="001F224B">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11D3A017" w14:textId="3FE5386F" w:rsidR="0005619A" w:rsidRPr="001F224B" w:rsidRDefault="0005619A" w:rsidP="0005619A">
            <w:pPr>
              <w:jc w:val="right"/>
              <w:rPr>
                <w:sz w:val="16"/>
                <w:szCs w:val="16"/>
              </w:rPr>
            </w:pPr>
            <w:r w:rsidRPr="001F224B">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7EB156E0" w14:textId="7F3506F3" w:rsidR="0005619A" w:rsidRPr="001F224B" w:rsidRDefault="0005619A" w:rsidP="0005619A">
            <w:pPr>
              <w:jc w:val="right"/>
              <w:rPr>
                <w:sz w:val="16"/>
                <w:szCs w:val="16"/>
              </w:rPr>
            </w:pPr>
            <w:r w:rsidRPr="001F224B">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745EC0A0" w14:textId="4F6614E2" w:rsidR="0005619A" w:rsidRPr="001F224B" w:rsidRDefault="0005619A" w:rsidP="0005619A">
            <w:pPr>
              <w:jc w:val="right"/>
              <w:rPr>
                <w:sz w:val="16"/>
                <w:szCs w:val="16"/>
              </w:rPr>
            </w:pPr>
            <w:r w:rsidRPr="001F224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7210BC46" w14:textId="091ACB4A" w:rsidR="0005619A" w:rsidRPr="001F224B" w:rsidRDefault="0005619A" w:rsidP="0005619A">
            <w:pPr>
              <w:jc w:val="right"/>
              <w:rPr>
                <w:sz w:val="16"/>
                <w:szCs w:val="16"/>
              </w:rPr>
            </w:pPr>
            <w:r w:rsidRPr="001F224B">
              <w:rPr>
                <w:color w:val="000000"/>
                <w:sz w:val="16"/>
                <w:szCs w:val="16"/>
              </w:rPr>
              <w:t> </w:t>
            </w:r>
          </w:p>
        </w:tc>
      </w:tr>
      <w:tr w:rsidR="00B22F30" w:rsidRPr="001F224B" w14:paraId="0571CB72"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A5C7DEF" w14:textId="77777777" w:rsidR="00B22F30" w:rsidRPr="001F224B" w:rsidRDefault="00B22F30" w:rsidP="00B22F30">
            <w:pPr>
              <w:rPr>
                <w:b/>
                <w:sz w:val="16"/>
                <w:szCs w:val="16"/>
              </w:rPr>
            </w:pPr>
            <w:r w:rsidRPr="001F224B">
              <w:rPr>
                <w:b/>
                <w:sz w:val="16"/>
                <w:szCs w:val="16"/>
              </w:rPr>
              <w:t>Toplam Varlıklar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6957EE46" w14:textId="254CF394" w:rsidR="00B22F30" w:rsidRPr="001F224B" w:rsidRDefault="00B22F30" w:rsidP="00B22F30">
            <w:pPr>
              <w:jc w:val="right"/>
              <w:rPr>
                <w:sz w:val="16"/>
                <w:szCs w:val="16"/>
              </w:rPr>
            </w:pPr>
            <w:r w:rsidRPr="001F224B">
              <w:rPr>
                <w:b/>
                <w:bCs/>
                <w:sz w:val="16"/>
                <w:szCs w:val="16"/>
              </w:rPr>
              <w:t>787.274</w:t>
            </w:r>
          </w:p>
        </w:tc>
        <w:tc>
          <w:tcPr>
            <w:tcW w:w="992" w:type="dxa"/>
            <w:tcBorders>
              <w:top w:val="single" w:sz="4" w:space="0" w:color="auto"/>
              <w:left w:val="nil"/>
              <w:bottom w:val="single" w:sz="4" w:space="0" w:color="auto"/>
              <w:right w:val="single" w:sz="4" w:space="0" w:color="auto"/>
            </w:tcBorders>
            <w:shd w:val="clear" w:color="auto" w:fill="auto"/>
            <w:vAlign w:val="bottom"/>
          </w:tcPr>
          <w:p w14:paraId="6D5CD2F6" w14:textId="0CF641CC" w:rsidR="00B22F30" w:rsidRPr="001F224B" w:rsidRDefault="00B22F30" w:rsidP="00B22F30">
            <w:pPr>
              <w:jc w:val="right"/>
              <w:rPr>
                <w:sz w:val="16"/>
                <w:szCs w:val="16"/>
              </w:rPr>
            </w:pPr>
            <w:r w:rsidRPr="001F224B">
              <w:rPr>
                <w:b/>
                <w:bCs/>
                <w:sz w:val="16"/>
                <w:szCs w:val="16"/>
              </w:rPr>
              <w:t>26.630.968</w:t>
            </w:r>
          </w:p>
        </w:tc>
        <w:tc>
          <w:tcPr>
            <w:tcW w:w="850" w:type="dxa"/>
            <w:tcBorders>
              <w:top w:val="single" w:sz="4" w:space="0" w:color="auto"/>
              <w:left w:val="nil"/>
              <w:bottom w:val="single" w:sz="4" w:space="0" w:color="auto"/>
              <w:right w:val="single" w:sz="4" w:space="0" w:color="auto"/>
            </w:tcBorders>
            <w:shd w:val="clear" w:color="auto" w:fill="auto"/>
            <w:vAlign w:val="bottom"/>
          </w:tcPr>
          <w:p w14:paraId="1D1617E9" w14:textId="62D0CABF" w:rsidR="00B22F30" w:rsidRPr="001F224B" w:rsidRDefault="00B22F30" w:rsidP="00B22F30">
            <w:pPr>
              <w:jc w:val="right"/>
              <w:rPr>
                <w:sz w:val="16"/>
                <w:szCs w:val="16"/>
              </w:rPr>
            </w:pPr>
            <w:r w:rsidRPr="001F224B">
              <w:rPr>
                <w:b/>
                <w:bCs/>
                <w:sz w:val="16"/>
                <w:szCs w:val="16"/>
              </w:rPr>
              <w:t>7.681.856</w:t>
            </w:r>
          </w:p>
        </w:tc>
        <w:tc>
          <w:tcPr>
            <w:tcW w:w="993" w:type="dxa"/>
            <w:tcBorders>
              <w:top w:val="single" w:sz="4" w:space="0" w:color="auto"/>
              <w:left w:val="nil"/>
              <w:bottom w:val="single" w:sz="4" w:space="0" w:color="auto"/>
              <w:right w:val="single" w:sz="4" w:space="0" w:color="auto"/>
            </w:tcBorders>
            <w:shd w:val="clear" w:color="auto" w:fill="auto"/>
            <w:vAlign w:val="bottom"/>
          </w:tcPr>
          <w:p w14:paraId="73A018E3" w14:textId="13694385" w:rsidR="00B22F30" w:rsidRPr="001F224B" w:rsidRDefault="00B22F30" w:rsidP="00B22F30">
            <w:pPr>
              <w:jc w:val="right"/>
              <w:rPr>
                <w:sz w:val="16"/>
                <w:szCs w:val="16"/>
              </w:rPr>
            </w:pPr>
            <w:r w:rsidRPr="001F224B">
              <w:rPr>
                <w:b/>
                <w:bCs/>
                <w:sz w:val="16"/>
                <w:szCs w:val="16"/>
              </w:rPr>
              <w:t>25.117.303</w:t>
            </w:r>
          </w:p>
        </w:tc>
        <w:tc>
          <w:tcPr>
            <w:tcW w:w="863" w:type="dxa"/>
            <w:tcBorders>
              <w:top w:val="single" w:sz="4" w:space="0" w:color="auto"/>
              <w:left w:val="nil"/>
              <w:bottom w:val="single" w:sz="4" w:space="0" w:color="auto"/>
              <w:right w:val="single" w:sz="4" w:space="0" w:color="auto"/>
            </w:tcBorders>
            <w:shd w:val="clear" w:color="auto" w:fill="auto"/>
            <w:vAlign w:val="bottom"/>
          </w:tcPr>
          <w:p w14:paraId="5FE7B519" w14:textId="40054A0A" w:rsidR="00B22F30" w:rsidRPr="001F224B" w:rsidRDefault="00B22F30" w:rsidP="00B22F30">
            <w:pPr>
              <w:jc w:val="right"/>
              <w:rPr>
                <w:sz w:val="16"/>
                <w:szCs w:val="16"/>
              </w:rPr>
            </w:pPr>
            <w:r w:rsidRPr="001F224B">
              <w:rPr>
                <w:b/>
                <w:bCs/>
                <w:sz w:val="16"/>
                <w:szCs w:val="16"/>
              </w:rPr>
              <w:t>65.914.991</w:t>
            </w:r>
          </w:p>
        </w:tc>
        <w:tc>
          <w:tcPr>
            <w:tcW w:w="980" w:type="dxa"/>
            <w:tcBorders>
              <w:top w:val="single" w:sz="4" w:space="0" w:color="auto"/>
              <w:left w:val="nil"/>
              <w:bottom w:val="single" w:sz="4" w:space="0" w:color="auto"/>
              <w:right w:val="single" w:sz="4" w:space="0" w:color="auto"/>
            </w:tcBorders>
            <w:shd w:val="clear" w:color="auto" w:fill="auto"/>
            <w:vAlign w:val="bottom"/>
          </w:tcPr>
          <w:p w14:paraId="571B6B01" w14:textId="6FA84168" w:rsidR="00B22F30" w:rsidRPr="001F224B" w:rsidRDefault="00B22F30" w:rsidP="00B22F30">
            <w:pPr>
              <w:jc w:val="right"/>
              <w:rPr>
                <w:sz w:val="16"/>
                <w:szCs w:val="16"/>
              </w:rPr>
            </w:pPr>
            <w:r w:rsidRPr="001F224B">
              <w:rPr>
                <w:b/>
                <w:bCs/>
                <w:sz w:val="16"/>
                <w:szCs w:val="16"/>
              </w:rPr>
              <w:t>26.193.879</w:t>
            </w:r>
          </w:p>
        </w:tc>
        <w:tc>
          <w:tcPr>
            <w:tcW w:w="1276" w:type="dxa"/>
            <w:tcBorders>
              <w:top w:val="single" w:sz="4" w:space="0" w:color="auto"/>
              <w:left w:val="nil"/>
              <w:bottom w:val="single" w:sz="4" w:space="0" w:color="auto"/>
              <w:right w:val="single" w:sz="4" w:space="0" w:color="auto"/>
            </w:tcBorders>
            <w:shd w:val="clear" w:color="auto" w:fill="auto"/>
            <w:vAlign w:val="bottom"/>
          </w:tcPr>
          <w:p w14:paraId="51E4E6EB" w14:textId="123B5CC8" w:rsidR="00B22F30" w:rsidRPr="001F224B" w:rsidRDefault="00B22F30" w:rsidP="00B22F30">
            <w:pPr>
              <w:jc w:val="right"/>
              <w:rPr>
                <w:sz w:val="16"/>
                <w:szCs w:val="16"/>
              </w:rPr>
            </w:pPr>
            <w:r w:rsidRPr="001F224B">
              <w:rPr>
                <w:b/>
                <w:bCs/>
                <w:sz w:val="16"/>
                <w:szCs w:val="16"/>
              </w:rPr>
              <w:t>1.268.198</w:t>
            </w:r>
          </w:p>
        </w:tc>
        <w:tc>
          <w:tcPr>
            <w:tcW w:w="992" w:type="dxa"/>
            <w:tcBorders>
              <w:top w:val="single" w:sz="4" w:space="0" w:color="auto"/>
              <w:left w:val="nil"/>
              <w:bottom w:val="single" w:sz="4" w:space="0" w:color="auto"/>
              <w:right w:val="single" w:sz="4" w:space="0" w:color="auto"/>
            </w:tcBorders>
            <w:shd w:val="clear" w:color="auto" w:fill="auto"/>
            <w:vAlign w:val="bottom"/>
          </w:tcPr>
          <w:p w14:paraId="557BB23E" w14:textId="1A70162F" w:rsidR="00B22F30" w:rsidRPr="001F224B" w:rsidRDefault="00B22F30" w:rsidP="00B22F30">
            <w:pPr>
              <w:ind w:left="-73"/>
              <w:jc w:val="right"/>
              <w:rPr>
                <w:sz w:val="16"/>
                <w:szCs w:val="16"/>
              </w:rPr>
            </w:pPr>
            <w:r w:rsidRPr="001F224B">
              <w:rPr>
                <w:b/>
                <w:bCs/>
                <w:sz w:val="16"/>
                <w:szCs w:val="16"/>
              </w:rPr>
              <w:t>153.594.469</w:t>
            </w:r>
          </w:p>
        </w:tc>
      </w:tr>
      <w:tr w:rsidR="00B22F30" w:rsidRPr="001F224B" w14:paraId="3EB80097"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9967C7F" w14:textId="77777777" w:rsidR="00B22F30" w:rsidRPr="001F224B" w:rsidRDefault="00B22F30" w:rsidP="00B22F30">
            <w:pPr>
              <w:rPr>
                <w:b/>
                <w:sz w:val="16"/>
                <w:szCs w:val="16"/>
              </w:rPr>
            </w:pPr>
            <w:r w:rsidRPr="001F224B">
              <w:rPr>
                <w:b/>
                <w:sz w:val="16"/>
                <w:szCs w:val="16"/>
              </w:rPr>
              <w:t>Toplam Yükümlülükler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1D331B29" w14:textId="64B01D0C" w:rsidR="00B22F30" w:rsidRPr="001F224B" w:rsidRDefault="00B22F30" w:rsidP="00B22F30">
            <w:pPr>
              <w:jc w:val="right"/>
              <w:rPr>
                <w:sz w:val="16"/>
                <w:szCs w:val="16"/>
              </w:rPr>
            </w:pPr>
            <w:r w:rsidRPr="001F224B">
              <w:rPr>
                <w:b/>
                <w:bCs/>
                <w:sz w:val="16"/>
                <w:szCs w:val="16"/>
              </w:rPr>
              <w:t xml:space="preserve"> 3.034.326    </w:t>
            </w:r>
          </w:p>
        </w:tc>
        <w:tc>
          <w:tcPr>
            <w:tcW w:w="992" w:type="dxa"/>
            <w:tcBorders>
              <w:top w:val="single" w:sz="4" w:space="0" w:color="auto"/>
              <w:left w:val="nil"/>
              <w:bottom w:val="single" w:sz="4" w:space="0" w:color="auto"/>
              <w:right w:val="single" w:sz="4" w:space="0" w:color="auto"/>
            </w:tcBorders>
            <w:shd w:val="clear" w:color="auto" w:fill="auto"/>
            <w:vAlign w:val="bottom"/>
          </w:tcPr>
          <w:p w14:paraId="4CA5B3A8" w14:textId="57665366" w:rsidR="00B22F30" w:rsidRPr="001F224B" w:rsidRDefault="00B22F30" w:rsidP="00B22F30">
            <w:pPr>
              <w:jc w:val="right"/>
              <w:rPr>
                <w:sz w:val="16"/>
                <w:szCs w:val="16"/>
              </w:rPr>
            </w:pPr>
            <w:r w:rsidRPr="001F224B">
              <w:rPr>
                <w:b/>
                <w:bCs/>
                <w:sz w:val="16"/>
                <w:szCs w:val="16"/>
              </w:rPr>
              <w:t xml:space="preserve"> 8.874.882    </w:t>
            </w:r>
          </w:p>
        </w:tc>
        <w:tc>
          <w:tcPr>
            <w:tcW w:w="850" w:type="dxa"/>
            <w:tcBorders>
              <w:top w:val="single" w:sz="4" w:space="0" w:color="auto"/>
              <w:left w:val="nil"/>
              <w:bottom w:val="single" w:sz="4" w:space="0" w:color="auto"/>
              <w:right w:val="single" w:sz="4" w:space="0" w:color="auto"/>
            </w:tcBorders>
            <w:shd w:val="clear" w:color="auto" w:fill="auto"/>
            <w:vAlign w:val="bottom"/>
          </w:tcPr>
          <w:p w14:paraId="0BEA23FA" w14:textId="3ACC53F3" w:rsidR="00B22F30" w:rsidRPr="001F224B" w:rsidRDefault="00B22F30" w:rsidP="00B22F30">
            <w:pPr>
              <w:jc w:val="right"/>
              <w:rPr>
                <w:sz w:val="16"/>
                <w:szCs w:val="16"/>
              </w:rPr>
            </w:pPr>
            <w:r w:rsidRPr="001F224B">
              <w:rPr>
                <w:b/>
                <w:bCs/>
                <w:sz w:val="16"/>
                <w:szCs w:val="16"/>
              </w:rPr>
              <w:t xml:space="preserve"> 3.552.247    </w:t>
            </w:r>
          </w:p>
        </w:tc>
        <w:tc>
          <w:tcPr>
            <w:tcW w:w="993" w:type="dxa"/>
            <w:tcBorders>
              <w:top w:val="single" w:sz="4" w:space="0" w:color="auto"/>
              <w:left w:val="nil"/>
              <w:bottom w:val="single" w:sz="4" w:space="0" w:color="auto"/>
              <w:right w:val="single" w:sz="4" w:space="0" w:color="auto"/>
            </w:tcBorders>
            <w:shd w:val="clear" w:color="auto" w:fill="auto"/>
            <w:vAlign w:val="bottom"/>
          </w:tcPr>
          <w:p w14:paraId="3072EF89" w14:textId="3992D44D" w:rsidR="00B22F30" w:rsidRPr="001F224B" w:rsidRDefault="00B22F30" w:rsidP="00B22F30">
            <w:pPr>
              <w:jc w:val="right"/>
              <w:rPr>
                <w:sz w:val="16"/>
                <w:szCs w:val="16"/>
              </w:rPr>
            </w:pPr>
            <w:r w:rsidRPr="001F224B">
              <w:rPr>
                <w:b/>
                <w:bCs/>
                <w:sz w:val="16"/>
                <w:szCs w:val="16"/>
              </w:rPr>
              <w:t xml:space="preserve"> 9.305.061    </w:t>
            </w:r>
          </w:p>
        </w:tc>
        <w:tc>
          <w:tcPr>
            <w:tcW w:w="863" w:type="dxa"/>
            <w:tcBorders>
              <w:top w:val="single" w:sz="4" w:space="0" w:color="auto"/>
              <w:left w:val="nil"/>
              <w:bottom w:val="single" w:sz="4" w:space="0" w:color="auto"/>
              <w:right w:val="single" w:sz="4" w:space="0" w:color="auto"/>
            </w:tcBorders>
            <w:shd w:val="clear" w:color="auto" w:fill="auto"/>
            <w:vAlign w:val="bottom"/>
          </w:tcPr>
          <w:p w14:paraId="445C19B6" w14:textId="55A0C999" w:rsidR="00B22F30" w:rsidRPr="001F224B" w:rsidRDefault="00B22F30" w:rsidP="00B22F30">
            <w:pPr>
              <w:jc w:val="center"/>
              <w:rPr>
                <w:sz w:val="16"/>
                <w:szCs w:val="16"/>
              </w:rPr>
            </w:pPr>
            <w:r w:rsidRPr="001F224B">
              <w:rPr>
                <w:b/>
                <w:bCs/>
                <w:sz w:val="16"/>
                <w:szCs w:val="16"/>
              </w:rPr>
              <w:t xml:space="preserve">38.893.831    </w:t>
            </w:r>
          </w:p>
        </w:tc>
        <w:tc>
          <w:tcPr>
            <w:tcW w:w="980" w:type="dxa"/>
            <w:tcBorders>
              <w:top w:val="single" w:sz="4" w:space="0" w:color="auto"/>
              <w:left w:val="nil"/>
              <w:bottom w:val="single" w:sz="4" w:space="0" w:color="auto"/>
              <w:right w:val="single" w:sz="4" w:space="0" w:color="auto"/>
            </w:tcBorders>
            <w:shd w:val="clear" w:color="auto" w:fill="auto"/>
            <w:vAlign w:val="bottom"/>
          </w:tcPr>
          <w:p w14:paraId="1C5324C6" w14:textId="3153EE5A" w:rsidR="00B22F30" w:rsidRPr="001F224B" w:rsidRDefault="00B22F30" w:rsidP="00B22F30">
            <w:pPr>
              <w:jc w:val="right"/>
              <w:rPr>
                <w:sz w:val="16"/>
                <w:szCs w:val="16"/>
              </w:rPr>
            </w:pPr>
            <w:r w:rsidRPr="001F224B">
              <w:rPr>
                <w:b/>
                <w:bCs/>
                <w:sz w:val="16"/>
                <w:szCs w:val="16"/>
              </w:rPr>
              <w:t xml:space="preserve"> 68.742.801    </w:t>
            </w:r>
          </w:p>
        </w:tc>
        <w:tc>
          <w:tcPr>
            <w:tcW w:w="1276" w:type="dxa"/>
            <w:tcBorders>
              <w:top w:val="single" w:sz="4" w:space="0" w:color="auto"/>
              <w:left w:val="nil"/>
              <w:bottom w:val="single" w:sz="4" w:space="0" w:color="auto"/>
              <w:right w:val="single" w:sz="4" w:space="0" w:color="auto"/>
            </w:tcBorders>
            <w:shd w:val="clear" w:color="auto" w:fill="auto"/>
            <w:vAlign w:val="bottom"/>
          </w:tcPr>
          <w:p w14:paraId="3CB6889C" w14:textId="1C2462B5" w:rsidR="00B22F30" w:rsidRPr="001F224B" w:rsidRDefault="00B22F30" w:rsidP="00B22F30">
            <w:pPr>
              <w:jc w:val="right"/>
              <w:rPr>
                <w:sz w:val="16"/>
                <w:szCs w:val="16"/>
              </w:rPr>
            </w:pPr>
            <w:r w:rsidRPr="001F224B">
              <w:rPr>
                <w:b/>
                <w:bCs/>
                <w:sz w:val="16"/>
                <w:szCs w:val="16"/>
              </w:rPr>
              <w:t xml:space="preserve"> 21.191.321    </w:t>
            </w:r>
          </w:p>
        </w:tc>
        <w:tc>
          <w:tcPr>
            <w:tcW w:w="992" w:type="dxa"/>
            <w:tcBorders>
              <w:top w:val="single" w:sz="4" w:space="0" w:color="auto"/>
              <w:left w:val="nil"/>
              <w:bottom w:val="single" w:sz="4" w:space="0" w:color="auto"/>
              <w:right w:val="single" w:sz="4" w:space="0" w:color="auto"/>
            </w:tcBorders>
            <w:shd w:val="clear" w:color="auto" w:fill="auto"/>
            <w:vAlign w:val="bottom"/>
          </w:tcPr>
          <w:p w14:paraId="41A3A9DB" w14:textId="78289B4E" w:rsidR="00B22F30" w:rsidRPr="001F224B" w:rsidRDefault="00B22F30" w:rsidP="00B22F30">
            <w:pPr>
              <w:ind w:left="-73"/>
              <w:jc w:val="right"/>
              <w:rPr>
                <w:sz w:val="16"/>
                <w:szCs w:val="16"/>
              </w:rPr>
            </w:pPr>
            <w:r w:rsidRPr="001F224B">
              <w:rPr>
                <w:b/>
                <w:bCs/>
                <w:sz w:val="16"/>
                <w:szCs w:val="16"/>
              </w:rPr>
              <w:t xml:space="preserve"> 153.594.469    </w:t>
            </w:r>
          </w:p>
        </w:tc>
      </w:tr>
      <w:tr w:rsidR="0005619A" w:rsidRPr="001F224B" w14:paraId="2B8EDA86"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3FB6604" w14:textId="77777777" w:rsidR="0005619A" w:rsidRPr="001F224B" w:rsidRDefault="0005619A" w:rsidP="0005619A">
            <w:pPr>
              <w:rPr>
                <w:b/>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4E857407" w14:textId="7E916506" w:rsidR="0005619A" w:rsidRPr="001F224B" w:rsidRDefault="0005619A" w:rsidP="0005619A">
            <w:pPr>
              <w:jc w:val="right"/>
              <w:rPr>
                <w:sz w:val="16"/>
                <w:szCs w:val="16"/>
              </w:rPr>
            </w:pPr>
            <w:r w:rsidRPr="001F224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C122CE" w14:textId="0F115E4A" w:rsidR="0005619A" w:rsidRPr="001F224B" w:rsidRDefault="0005619A" w:rsidP="0005619A">
            <w:pPr>
              <w:jc w:val="right"/>
              <w:rPr>
                <w:sz w:val="16"/>
                <w:szCs w:val="16"/>
              </w:rPr>
            </w:pPr>
            <w:r w:rsidRPr="001F224B">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3C61391D" w14:textId="45255B30" w:rsidR="0005619A" w:rsidRPr="001F224B" w:rsidRDefault="0005619A" w:rsidP="0005619A">
            <w:pPr>
              <w:jc w:val="right"/>
              <w:rPr>
                <w:sz w:val="16"/>
                <w:szCs w:val="16"/>
              </w:rPr>
            </w:pPr>
            <w:r w:rsidRPr="001F224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8D8E62C" w14:textId="2D3A5657" w:rsidR="0005619A" w:rsidRPr="001F224B" w:rsidRDefault="0005619A" w:rsidP="0005619A">
            <w:pPr>
              <w:jc w:val="right"/>
              <w:rPr>
                <w:sz w:val="16"/>
                <w:szCs w:val="16"/>
              </w:rPr>
            </w:pPr>
            <w:r w:rsidRPr="001F224B">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3403219E" w14:textId="05BA2FAC" w:rsidR="0005619A" w:rsidRPr="001F224B" w:rsidRDefault="0005619A" w:rsidP="0005619A">
            <w:pPr>
              <w:jc w:val="right"/>
              <w:rPr>
                <w:sz w:val="16"/>
                <w:szCs w:val="16"/>
              </w:rPr>
            </w:pPr>
            <w:r w:rsidRPr="001F224B">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772D7925" w14:textId="341A5E7F" w:rsidR="0005619A" w:rsidRPr="001F224B" w:rsidRDefault="0005619A" w:rsidP="0005619A">
            <w:pPr>
              <w:jc w:val="right"/>
              <w:rPr>
                <w:sz w:val="16"/>
                <w:szCs w:val="16"/>
              </w:rPr>
            </w:pPr>
            <w:r w:rsidRPr="001F224B">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268D7CF9" w14:textId="30CB9013" w:rsidR="0005619A" w:rsidRPr="001F224B" w:rsidRDefault="0005619A" w:rsidP="0005619A">
            <w:pPr>
              <w:jc w:val="right"/>
              <w:rPr>
                <w:sz w:val="16"/>
                <w:szCs w:val="16"/>
              </w:rPr>
            </w:pPr>
            <w:r w:rsidRPr="001F224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1D00321A" w14:textId="4BE0568B" w:rsidR="0005619A" w:rsidRPr="001F224B" w:rsidRDefault="0005619A" w:rsidP="0005619A">
            <w:pPr>
              <w:jc w:val="right"/>
              <w:rPr>
                <w:sz w:val="16"/>
                <w:szCs w:val="16"/>
              </w:rPr>
            </w:pPr>
            <w:r w:rsidRPr="001F224B">
              <w:rPr>
                <w:color w:val="000000"/>
                <w:sz w:val="16"/>
                <w:szCs w:val="16"/>
              </w:rPr>
              <w:t> </w:t>
            </w:r>
          </w:p>
        </w:tc>
      </w:tr>
      <w:tr w:rsidR="00B22F30" w:rsidRPr="001F224B" w14:paraId="7A524C61"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26220AC" w14:textId="77777777" w:rsidR="00B22F30" w:rsidRPr="001F224B" w:rsidRDefault="00B22F30" w:rsidP="00B22F30">
            <w:pPr>
              <w:rPr>
                <w:b/>
                <w:sz w:val="16"/>
                <w:szCs w:val="16"/>
              </w:rPr>
            </w:pPr>
            <w:r w:rsidRPr="001F224B">
              <w:rPr>
                <w:b/>
                <w:sz w:val="16"/>
                <w:szCs w:val="16"/>
              </w:rPr>
              <w:t>Likidite Açığı</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298C1FBB" w14:textId="072745EC" w:rsidR="00B22F30" w:rsidRPr="001F224B" w:rsidRDefault="00B22F30" w:rsidP="00B22F30">
            <w:pPr>
              <w:jc w:val="right"/>
              <w:rPr>
                <w:sz w:val="16"/>
                <w:szCs w:val="16"/>
              </w:rPr>
            </w:pPr>
            <w:r w:rsidRPr="001F224B">
              <w:rPr>
                <w:b/>
                <w:bCs/>
                <w:sz w:val="16"/>
                <w:szCs w:val="16"/>
              </w:rPr>
              <w:t>(2.247.052)</w:t>
            </w:r>
          </w:p>
        </w:tc>
        <w:tc>
          <w:tcPr>
            <w:tcW w:w="992" w:type="dxa"/>
            <w:tcBorders>
              <w:top w:val="single" w:sz="4" w:space="0" w:color="auto"/>
              <w:left w:val="nil"/>
              <w:bottom w:val="single" w:sz="4" w:space="0" w:color="auto"/>
              <w:right w:val="single" w:sz="4" w:space="0" w:color="auto"/>
            </w:tcBorders>
            <w:shd w:val="clear" w:color="auto" w:fill="auto"/>
            <w:vAlign w:val="bottom"/>
          </w:tcPr>
          <w:p w14:paraId="7FAA1A14" w14:textId="34E2C2C6" w:rsidR="00B22F30" w:rsidRPr="001F224B" w:rsidRDefault="00B22F30" w:rsidP="00B22F30">
            <w:pPr>
              <w:jc w:val="right"/>
              <w:rPr>
                <w:sz w:val="16"/>
                <w:szCs w:val="16"/>
              </w:rPr>
            </w:pPr>
            <w:r w:rsidRPr="001F224B">
              <w:rPr>
                <w:b/>
                <w:bCs/>
                <w:sz w:val="16"/>
                <w:szCs w:val="16"/>
              </w:rPr>
              <w:t>17.756.086</w:t>
            </w:r>
          </w:p>
        </w:tc>
        <w:tc>
          <w:tcPr>
            <w:tcW w:w="850" w:type="dxa"/>
            <w:tcBorders>
              <w:top w:val="single" w:sz="4" w:space="0" w:color="auto"/>
              <w:left w:val="nil"/>
              <w:bottom w:val="single" w:sz="4" w:space="0" w:color="auto"/>
              <w:right w:val="single" w:sz="4" w:space="0" w:color="auto"/>
            </w:tcBorders>
            <w:shd w:val="clear" w:color="auto" w:fill="auto"/>
            <w:vAlign w:val="bottom"/>
          </w:tcPr>
          <w:p w14:paraId="3BB7669B" w14:textId="74155777" w:rsidR="00B22F30" w:rsidRPr="001F224B" w:rsidRDefault="00B22F30" w:rsidP="00B22F30">
            <w:pPr>
              <w:jc w:val="right"/>
              <w:rPr>
                <w:sz w:val="16"/>
                <w:szCs w:val="16"/>
              </w:rPr>
            </w:pPr>
            <w:r w:rsidRPr="001F224B">
              <w:rPr>
                <w:b/>
                <w:bCs/>
                <w:sz w:val="16"/>
                <w:szCs w:val="16"/>
              </w:rPr>
              <w:t>4.129.609</w:t>
            </w:r>
          </w:p>
        </w:tc>
        <w:tc>
          <w:tcPr>
            <w:tcW w:w="993" w:type="dxa"/>
            <w:tcBorders>
              <w:top w:val="single" w:sz="4" w:space="0" w:color="auto"/>
              <w:left w:val="nil"/>
              <w:bottom w:val="single" w:sz="4" w:space="0" w:color="auto"/>
              <w:right w:val="single" w:sz="4" w:space="0" w:color="auto"/>
            </w:tcBorders>
            <w:shd w:val="clear" w:color="auto" w:fill="auto"/>
            <w:vAlign w:val="bottom"/>
          </w:tcPr>
          <w:p w14:paraId="05E80D2C" w14:textId="53B254B2" w:rsidR="00B22F30" w:rsidRPr="001F224B" w:rsidRDefault="00B22F30" w:rsidP="00B22F30">
            <w:pPr>
              <w:jc w:val="right"/>
              <w:rPr>
                <w:sz w:val="16"/>
                <w:szCs w:val="16"/>
              </w:rPr>
            </w:pPr>
            <w:r w:rsidRPr="001F224B">
              <w:rPr>
                <w:b/>
                <w:bCs/>
                <w:sz w:val="16"/>
                <w:szCs w:val="16"/>
              </w:rPr>
              <w:t>15.812.242</w:t>
            </w:r>
          </w:p>
        </w:tc>
        <w:tc>
          <w:tcPr>
            <w:tcW w:w="863" w:type="dxa"/>
            <w:tcBorders>
              <w:top w:val="single" w:sz="4" w:space="0" w:color="auto"/>
              <w:left w:val="nil"/>
              <w:bottom w:val="single" w:sz="4" w:space="0" w:color="auto"/>
              <w:right w:val="single" w:sz="4" w:space="0" w:color="auto"/>
            </w:tcBorders>
            <w:shd w:val="clear" w:color="auto" w:fill="auto"/>
            <w:vAlign w:val="bottom"/>
          </w:tcPr>
          <w:p w14:paraId="324E01B0" w14:textId="64A3A34A" w:rsidR="00B22F30" w:rsidRPr="001F224B" w:rsidRDefault="00B22F30" w:rsidP="00B22F30">
            <w:pPr>
              <w:jc w:val="right"/>
              <w:rPr>
                <w:sz w:val="16"/>
                <w:szCs w:val="16"/>
              </w:rPr>
            </w:pPr>
            <w:r w:rsidRPr="001F224B">
              <w:rPr>
                <w:b/>
                <w:bCs/>
                <w:sz w:val="16"/>
                <w:szCs w:val="16"/>
              </w:rPr>
              <w:t>27.021.160</w:t>
            </w:r>
          </w:p>
        </w:tc>
        <w:tc>
          <w:tcPr>
            <w:tcW w:w="980" w:type="dxa"/>
            <w:tcBorders>
              <w:top w:val="single" w:sz="4" w:space="0" w:color="auto"/>
              <w:left w:val="nil"/>
              <w:bottom w:val="single" w:sz="4" w:space="0" w:color="auto"/>
              <w:right w:val="single" w:sz="4" w:space="0" w:color="auto"/>
            </w:tcBorders>
            <w:shd w:val="clear" w:color="auto" w:fill="auto"/>
            <w:vAlign w:val="bottom"/>
          </w:tcPr>
          <w:p w14:paraId="75A39952" w14:textId="719D3241" w:rsidR="00B22F30" w:rsidRPr="001F224B" w:rsidRDefault="00B22F30" w:rsidP="00B22F30">
            <w:pPr>
              <w:jc w:val="right"/>
              <w:rPr>
                <w:sz w:val="16"/>
                <w:szCs w:val="16"/>
              </w:rPr>
            </w:pPr>
            <w:r w:rsidRPr="001F224B">
              <w:rPr>
                <w:b/>
                <w:bCs/>
                <w:sz w:val="16"/>
                <w:szCs w:val="16"/>
              </w:rPr>
              <w:t>(42.548.922)</w:t>
            </w:r>
          </w:p>
        </w:tc>
        <w:tc>
          <w:tcPr>
            <w:tcW w:w="1276" w:type="dxa"/>
            <w:tcBorders>
              <w:top w:val="single" w:sz="4" w:space="0" w:color="auto"/>
              <w:left w:val="nil"/>
              <w:bottom w:val="single" w:sz="4" w:space="0" w:color="auto"/>
              <w:right w:val="single" w:sz="4" w:space="0" w:color="auto"/>
            </w:tcBorders>
            <w:shd w:val="clear" w:color="auto" w:fill="auto"/>
            <w:vAlign w:val="bottom"/>
          </w:tcPr>
          <w:p w14:paraId="203DDD92" w14:textId="62BC0FB5" w:rsidR="00B22F30" w:rsidRPr="001F224B" w:rsidRDefault="00B22F30" w:rsidP="00B22F30">
            <w:pPr>
              <w:jc w:val="right"/>
              <w:rPr>
                <w:sz w:val="16"/>
                <w:szCs w:val="16"/>
              </w:rPr>
            </w:pPr>
            <w:r w:rsidRPr="001F224B">
              <w:rPr>
                <w:b/>
                <w:bCs/>
                <w:sz w:val="16"/>
                <w:szCs w:val="16"/>
              </w:rPr>
              <w:t>(19.923.123)</w:t>
            </w:r>
          </w:p>
        </w:tc>
        <w:tc>
          <w:tcPr>
            <w:tcW w:w="992" w:type="dxa"/>
            <w:tcBorders>
              <w:top w:val="single" w:sz="4" w:space="0" w:color="auto"/>
              <w:left w:val="nil"/>
              <w:bottom w:val="single" w:sz="4" w:space="0" w:color="auto"/>
              <w:right w:val="single" w:sz="4" w:space="0" w:color="auto"/>
            </w:tcBorders>
            <w:shd w:val="clear" w:color="auto" w:fill="auto"/>
            <w:vAlign w:val="bottom"/>
          </w:tcPr>
          <w:p w14:paraId="0069EA68" w14:textId="7584F2F3" w:rsidR="00B22F30" w:rsidRPr="001F224B" w:rsidRDefault="00B22F30" w:rsidP="00B22F30">
            <w:pPr>
              <w:jc w:val="right"/>
              <w:rPr>
                <w:sz w:val="16"/>
                <w:szCs w:val="16"/>
              </w:rPr>
            </w:pPr>
            <w:r w:rsidRPr="001F224B">
              <w:rPr>
                <w:b/>
                <w:bCs/>
                <w:sz w:val="16"/>
                <w:szCs w:val="16"/>
              </w:rPr>
              <w:t>-</w:t>
            </w:r>
          </w:p>
        </w:tc>
      </w:tr>
      <w:tr w:rsidR="00B22F30" w:rsidRPr="001F224B" w14:paraId="2D1224DA"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24912B6" w14:textId="77777777" w:rsidR="00B22F30" w:rsidRPr="001F224B" w:rsidRDefault="00B22F30" w:rsidP="00B22F30">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85FA085" w14:textId="04B9B399" w:rsidR="00B22F30" w:rsidRPr="001F224B" w:rsidRDefault="00B22F30" w:rsidP="00B22F30">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579DBDF8" w14:textId="632BAB34" w:rsidR="00B22F30" w:rsidRPr="001F224B" w:rsidRDefault="00B22F30" w:rsidP="00B22F30">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598DC103" w14:textId="1D53D3B1" w:rsidR="00B22F30" w:rsidRPr="001F224B" w:rsidRDefault="00B22F30" w:rsidP="00B22F30">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E327BD7" w14:textId="33ECF30F" w:rsidR="00B22F30" w:rsidRPr="001F224B" w:rsidRDefault="00B22F30" w:rsidP="00B22F30">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61C5A239" w14:textId="24356469" w:rsidR="00B22F30" w:rsidRPr="001F224B" w:rsidRDefault="00B22F30" w:rsidP="00B22F30">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75ED4A9B" w14:textId="2F59E171" w:rsidR="00B22F30" w:rsidRPr="001F224B" w:rsidRDefault="00B22F30" w:rsidP="00B22F30">
            <w:pPr>
              <w:jc w:val="right"/>
              <w:rPr>
                <w:sz w:val="16"/>
                <w:szCs w:val="16"/>
              </w:rPr>
            </w:pPr>
          </w:p>
        </w:tc>
        <w:tc>
          <w:tcPr>
            <w:tcW w:w="1276" w:type="dxa"/>
            <w:tcBorders>
              <w:top w:val="single" w:sz="4" w:space="0" w:color="auto"/>
              <w:left w:val="nil"/>
              <w:bottom w:val="single" w:sz="4" w:space="0" w:color="auto"/>
              <w:right w:val="single" w:sz="4" w:space="0" w:color="auto"/>
            </w:tcBorders>
            <w:shd w:val="clear" w:color="auto" w:fill="FFFFFF"/>
            <w:vAlign w:val="bottom"/>
          </w:tcPr>
          <w:p w14:paraId="2B541DB6" w14:textId="262A88F7" w:rsidR="00B22F30" w:rsidRPr="001F224B" w:rsidRDefault="00B22F30" w:rsidP="00B22F30">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55049D44" w14:textId="48D52833" w:rsidR="00B22F30" w:rsidRPr="001F224B" w:rsidRDefault="00B22F30" w:rsidP="00B22F30">
            <w:pPr>
              <w:jc w:val="right"/>
              <w:rPr>
                <w:sz w:val="16"/>
                <w:szCs w:val="16"/>
              </w:rPr>
            </w:pPr>
          </w:p>
        </w:tc>
      </w:tr>
      <w:tr w:rsidR="00B22F30" w:rsidRPr="001F224B" w14:paraId="6FE4ED72"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C1C8F4C" w14:textId="77777777" w:rsidR="00B22F30" w:rsidRPr="001F224B" w:rsidRDefault="00B22F30" w:rsidP="00B22F30">
            <w:pPr>
              <w:rPr>
                <w:b/>
                <w:sz w:val="16"/>
                <w:szCs w:val="16"/>
              </w:rPr>
            </w:pPr>
            <w:r w:rsidRPr="001F224B">
              <w:rPr>
                <w:b/>
                <w:sz w:val="16"/>
                <w:szCs w:val="16"/>
              </w:rPr>
              <w:t>Net Bilanço Dışı Pozisyonu</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EB210C1" w14:textId="4845CD9C" w:rsidR="00B22F30" w:rsidRPr="001F224B" w:rsidRDefault="00B22F30" w:rsidP="00B22F30">
            <w:pPr>
              <w:jc w:val="right"/>
              <w:rPr>
                <w:sz w:val="16"/>
                <w:szCs w:val="16"/>
              </w:rPr>
            </w:pPr>
            <w:r w:rsidRPr="001F224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399427" w14:textId="13850953" w:rsidR="00B22F30" w:rsidRPr="001F224B" w:rsidRDefault="00B22F30" w:rsidP="00B22F30">
            <w:pPr>
              <w:jc w:val="right"/>
              <w:rPr>
                <w:sz w:val="16"/>
                <w:szCs w:val="16"/>
              </w:rPr>
            </w:pPr>
            <w:r w:rsidRPr="001F224B">
              <w:rPr>
                <w:b/>
                <w:bCs/>
                <w:sz w:val="16"/>
                <w:szCs w:val="16"/>
              </w:rPr>
              <w:t>128.539</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BF5866A" w14:textId="70161FB8" w:rsidR="00B22F30" w:rsidRPr="001F224B" w:rsidRDefault="00B22F30" w:rsidP="00B22F30">
            <w:pPr>
              <w:jc w:val="right"/>
              <w:rPr>
                <w:sz w:val="16"/>
                <w:szCs w:val="16"/>
              </w:rPr>
            </w:pPr>
            <w:r w:rsidRPr="001F224B">
              <w:rPr>
                <w:b/>
                <w:bCs/>
                <w:sz w:val="16"/>
                <w:szCs w:val="16"/>
              </w:rPr>
              <w:t>(34.644)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532803A" w14:textId="73A075F8" w:rsidR="00B22F30" w:rsidRPr="001F224B" w:rsidRDefault="00B22F30" w:rsidP="00B22F30">
            <w:pPr>
              <w:jc w:val="right"/>
              <w:rPr>
                <w:b/>
                <w:bCs/>
                <w:sz w:val="16"/>
                <w:szCs w:val="16"/>
              </w:rPr>
            </w:pPr>
            <w:r w:rsidRPr="001F224B">
              <w:rPr>
                <w:b/>
                <w:bCs/>
                <w:sz w:val="16"/>
                <w:szCs w:val="16"/>
              </w:rPr>
              <w:t>-</w:t>
            </w:r>
          </w:p>
        </w:tc>
        <w:tc>
          <w:tcPr>
            <w:tcW w:w="863" w:type="dxa"/>
            <w:tcBorders>
              <w:top w:val="single" w:sz="4" w:space="0" w:color="auto"/>
              <w:left w:val="nil"/>
              <w:bottom w:val="single" w:sz="4" w:space="0" w:color="auto"/>
              <w:right w:val="single" w:sz="4" w:space="0" w:color="auto"/>
            </w:tcBorders>
            <w:shd w:val="clear" w:color="auto" w:fill="FFFFFF"/>
            <w:vAlign w:val="bottom"/>
          </w:tcPr>
          <w:p w14:paraId="3D6E0451" w14:textId="76ED8B52" w:rsidR="00B22F30" w:rsidRPr="001F224B" w:rsidRDefault="00B22F30" w:rsidP="00B22F30">
            <w:pPr>
              <w:jc w:val="right"/>
              <w:rPr>
                <w:b/>
                <w:bCs/>
                <w:sz w:val="16"/>
                <w:szCs w:val="16"/>
              </w:rPr>
            </w:pPr>
            <w:r w:rsidRPr="001F224B">
              <w:rPr>
                <w:b/>
                <w:bCs/>
                <w:sz w:val="16"/>
                <w:szCs w:val="16"/>
              </w:rPr>
              <w:t>-</w:t>
            </w:r>
          </w:p>
        </w:tc>
        <w:tc>
          <w:tcPr>
            <w:tcW w:w="980" w:type="dxa"/>
            <w:tcBorders>
              <w:top w:val="single" w:sz="4" w:space="0" w:color="auto"/>
              <w:left w:val="nil"/>
              <w:bottom w:val="single" w:sz="4" w:space="0" w:color="auto"/>
              <w:right w:val="single" w:sz="4" w:space="0" w:color="auto"/>
            </w:tcBorders>
            <w:shd w:val="clear" w:color="auto" w:fill="FFFFFF"/>
            <w:vAlign w:val="bottom"/>
          </w:tcPr>
          <w:p w14:paraId="40A869B3" w14:textId="25B633EC" w:rsidR="00B22F30" w:rsidRPr="001F224B" w:rsidRDefault="00B22F30" w:rsidP="00B22F30">
            <w:pPr>
              <w:jc w:val="right"/>
              <w:rPr>
                <w:b/>
                <w:bCs/>
                <w:sz w:val="16"/>
                <w:szCs w:val="16"/>
              </w:rPr>
            </w:pPr>
            <w:r w:rsidRPr="001F224B">
              <w:rPr>
                <w:b/>
                <w:bCs/>
                <w:sz w:val="16"/>
                <w:szCs w:val="16"/>
              </w:rPr>
              <w:t>-</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17EBBC71" w14:textId="506080C1" w:rsidR="00B22F30" w:rsidRPr="001F224B" w:rsidRDefault="00B22F30" w:rsidP="00B22F30">
            <w:pPr>
              <w:jc w:val="right"/>
              <w:rPr>
                <w:b/>
                <w:bCs/>
                <w:sz w:val="16"/>
                <w:szCs w:val="16"/>
              </w:rPr>
            </w:pPr>
            <w:r w:rsidRPr="001F224B">
              <w:rPr>
                <w:b/>
                <w:bCs/>
                <w:sz w:val="16"/>
                <w:szCs w:val="16"/>
              </w:rPr>
              <w:t>-</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49A8E84F" w14:textId="0916B9D7" w:rsidR="00B22F30" w:rsidRPr="001F224B" w:rsidRDefault="00B22F30" w:rsidP="00B22F30">
            <w:pPr>
              <w:jc w:val="right"/>
              <w:rPr>
                <w:sz w:val="16"/>
                <w:szCs w:val="16"/>
              </w:rPr>
            </w:pPr>
            <w:r w:rsidRPr="001F224B">
              <w:rPr>
                <w:b/>
                <w:bCs/>
                <w:sz w:val="16"/>
                <w:szCs w:val="16"/>
              </w:rPr>
              <w:t>93.895</w:t>
            </w:r>
          </w:p>
        </w:tc>
      </w:tr>
      <w:tr w:rsidR="00B22F30" w:rsidRPr="001F224B" w14:paraId="58729020"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C762AF2" w14:textId="77777777" w:rsidR="00B22F30" w:rsidRPr="001F224B" w:rsidRDefault="00B22F30" w:rsidP="00B22F30">
            <w:pPr>
              <w:rPr>
                <w:sz w:val="16"/>
                <w:szCs w:val="16"/>
              </w:rPr>
            </w:pPr>
            <w:r w:rsidRPr="001F224B">
              <w:rPr>
                <w:sz w:val="16"/>
                <w:szCs w:val="16"/>
              </w:rPr>
              <w:t xml:space="preserve">  Türev Finansal Araçlardan Alacaklar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1C5A5B8F" w14:textId="14C2F150" w:rsidR="00B22F30" w:rsidRPr="001F224B" w:rsidRDefault="00B22F30" w:rsidP="00B22F30">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1774807" w14:textId="285D6477" w:rsidR="00B22F30" w:rsidRPr="001F224B" w:rsidRDefault="00B22F30" w:rsidP="00B22F30">
            <w:pPr>
              <w:jc w:val="right"/>
              <w:rPr>
                <w:sz w:val="16"/>
                <w:szCs w:val="16"/>
              </w:rPr>
            </w:pPr>
            <w:r w:rsidRPr="001F224B">
              <w:rPr>
                <w:sz w:val="16"/>
                <w:szCs w:val="16"/>
              </w:rPr>
              <w:t xml:space="preserve"> 8.706.736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8130E88" w14:textId="42344846" w:rsidR="00B22F30" w:rsidRPr="001F224B" w:rsidRDefault="00B22F30" w:rsidP="00B22F30">
            <w:pPr>
              <w:jc w:val="right"/>
              <w:rPr>
                <w:sz w:val="16"/>
                <w:szCs w:val="16"/>
              </w:rPr>
            </w:pPr>
            <w:r w:rsidRPr="001F224B">
              <w:rPr>
                <w:sz w:val="16"/>
                <w:szCs w:val="16"/>
              </w:rPr>
              <w:t xml:space="preserve"> 705.796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215704" w14:textId="34C1B679" w:rsidR="00B22F30" w:rsidRPr="001F224B" w:rsidRDefault="00B22F30" w:rsidP="00B22F30">
            <w:pPr>
              <w:jc w:val="right"/>
              <w:rPr>
                <w:sz w:val="16"/>
                <w:szCs w:val="16"/>
              </w:rPr>
            </w:pPr>
            <w:r w:rsidRPr="001F224B">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2014059A" w14:textId="479A7EFD" w:rsidR="00B22F30" w:rsidRPr="001F224B" w:rsidRDefault="00B22F30" w:rsidP="00B22F30">
            <w:pPr>
              <w:jc w:val="right"/>
              <w:rPr>
                <w:sz w:val="16"/>
                <w:szCs w:val="16"/>
              </w:rPr>
            </w:pPr>
            <w:r w:rsidRPr="001F224B">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3B27B3EC" w14:textId="4FB412DA" w:rsidR="00B22F30" w:rsidRPr="001F224B" w:rsidRDefault="00B22F30" w:rsidP="00B22F30">
            <w:pPr>
              <w:jc w:val="right"/>
              <w:rPr>
                <w:sz w:val="16"/>
                <w:szCs w:val="16"/>
              </w:rPr>
            </w:pPr>
            <w:r w:rsidRPr="001F224B">
              <w:rPr>
                <w:sz w:val="16"/>
                <w:szCs w:val="16"/>
              </w:rPr>
              <w:t xml:space="preserve"> -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7D2E2971" w14:textId="303B1B5B" w:rsidR="00B22F30" w:rsidRPr="001F224B" w:rsidRDefault="00B22F30" w:rsidP="00B22F30">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6EF8C38B" w14:textId="07A1D2D6" w:rsidR="00B22F30" w:rsidRPr="001F224B" w:rsidRDefault="00B22F30" w:rsidP="00B22F30">
            <w:pPr>
              <w:jc w:val="right"/>
              <w:rPr>
                <w:sz w:val="16"/>
                <w:szCs w:val="16"/>
              </w:rPr>
            </w:pPr>
            <w:r w:rsidRPr="001F224B">
              <w:rPr>
                <w:sz w:val="16"/>
                <w:szCs w:val="16"/>
              </w:rPr>
              <w:t xml:space="preserve"> 9.412.532    </w:t>
            </w:r>
          </w:p>
        </w:tc>
      </w:tr>
      <w:tr w:rsidR="00B22F30" w:rsidRPr="001F224B" w14:paraId="2DFA7A8C"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E0FF35E" w14:textId="77777777" w:rsidR="00B22F30" w:rsidRPr="001F224B" w:rsidRDefault="00B22F30" w:rsidP="00B22F30">
            <w:pPr>
              <w:rPr>
                <w:sz w:val="16"/>
                <w:szCs w:val="16"/>
              </w:rPr>
            </w:pPr>
            <w:r w:rsidRPr="001F224B">
              <w:rPr>
                <w:sz w:val="16"/>
                <w:szCs w:val="16"/>
              </w:rPr>
              <w:t xml:space="preserve">  Türev Finansal Araçlardan Borçlar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04F82B87" w14:textId="4283B677" w:rsidR="00B22F30" w:rsidRPr="001F224B" w:rsidRDefault="00B22F30" w:rsidP="00B22F30">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FAA8D5F" w14:textId="44E2B29B" w:rsidR="00B22F30" w:rsidRPr="001F224B" w:rsidRDefault="00B22F30" w:rsidP="00B22F30">
            <w:pPr>
              <w:jc w:val="right"/>
              <w:rPr>
                <w:sz w:val="16"/>
                <w:szCs w:val="16"/>
              </w:rPr>
            </w:pPr>
            <w:r w:rsidRPr="001F224B">
              <w:rPr>
                <w:sz w:val="16"/>
                <w:szCs w:val="16"/>
              </w:rPr>
              <w:t xml:space="preserve"> 8.578.197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0CFE3940" w14:textId="1495FD95" w:rsidR="00B22F30" w:rsidRPr="001F224B" w:rsidRDefault="00B22F30" w:rsidP="00B22F30">
            <w:pPr>
              <w:jc w:val="right"/>
              <w:rPr>
                <w:sz w:val="16"/>
                <w:szCs w:val="16"/>
              </w:rPr>
            </w:pPr>
            <w:r w:rsidRPr="001F224B">
              <w:rPr>
                <w:sz w:val="16"/>
                <w:szCs w:val="16"/>
              </w:rPr>
              <w:t xml:space="preserve"> 740.440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FE70786" w14:textId="530F74FF" w:rsidR="00B22F30" w:rsidRPr="001F224B" w:rsidRDefault="00B22F30" w:rsidP="00B22F30">
            <w:pPr>
              <w:jc w:val="right"/>
              <w:rPr>
                <w:sz w:val="16"/>
                <w:szCs w:val="16"/>
              </w:rPr>
            </w:pPr>
            <w:r w:rsidRPr="001F224B">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2D1846CB" w14:textId="3DE5F194" w:rsidR="00B22F30" w:rsidRPr="001F224B" w:rsidRDefault="00B22F30" w:rsidP="00B22F30">
            <w:pPr>
              <w:jc w:val="right"/>
              <w:rPr>
                <w:sz w:val="16"/>
                <w:szCs w:val="16"/>
              </w:rPr>
            </w:pPr>
            <w:r w:rsidRPr="001F224B">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1760AC8B" w14:textId="5381A573" w:rsidR="00B22F30" w:rsidRPr="001F224B" w:rsidRDefault="00B22F30" w:rsidP="00B22F30">
            <w:pPr>
              <w:jc w:val="right"/>
              <w:rPr>
                <w:sz w:val="16"/>
                <w:szCs w:val="16"/>
              </w:rPr>
            </w:pPr>
            <w:r w:rsidRPr="001F224B">
              <w:rPr>
                <w:sz w:val="16"/>
                <w:szCs w:val="16"/>
              </w:rPr>
              <w:t xml:space="preserve"> -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72C81F51" w14:textId="4DC338F8" w:rsidR="00B22F30" w:rsidRPr="001F224B" w:rsidRDefault="00B22F30" w:rsidP="00B22F30">
            <w:pPr>
              <w:jc w:val="right"/>
              <w:rPr>
                <w:sz w:val="16"/>
                <w:szCs w:val="16"/>
              </w:rPr>
            </w:pPr>
            <w:r w:rsidRPr="001F224B">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026669EE" w14:textId="5EAEFA08" w:rsidR="00B22F30" w:rsidRPr="001F224B" w:rsidRDefault="00B22F30" w:rsidP="00B22F30">
            <w:pPr>
              <w:jc w:val="right"/>
              <w:rPr>
                <w:sz w:val="16"/>
                <w:szCs w:val="16"/>
              </w:rPr>
            </w:pPr>
            <w:r w:rsidRPr="001F224B">
              <w:rPr>
                <w:sz w:val="16"/>
                <w:szCs w:val="16"/>
              </w:rPr>
              <w:t xml:space="preserve"> 9.318.637    </w:t>
            </w:r>
          </w:p>
        </w:tc>
      </w:tr>
      <w:tr w:rsidR="00B22F30" w:rsidRPr="001F224B" w14:paraId="621D7285" w14:textId="77777777" w:rsidTr="005A28E8">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D3C1158" w14:textId="77777777" w:rsidR="00B22F30" w:rsidRPr="001F224B" w:rsidRDefault="00B22F30" w:rsidP="00B22F30">
            <w:pPr>
              <w:rPr>
                <w:b/>
                <w:sz w:val="16"/>
                <w:szCs w:val="16"/>
              </w:rPr>
            </w:pPr>
            <w:r w:rsidRPr="001F224B">
              <w:rPr>
                <w:b/>
                <w:sz w:val="16"/>
                <w:szCs w:val="16"/>
              </w:rPr>
              <w:t>Gayrinakdi Krediler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04724E90" w14:textId="117311E4" w:rsidR="00B22F30" w:rsidRPr="001F224B" w:rsidRDefault="00B22F30" w:rsidP="00B22F30">
            <w:pPr>
              <w:jc w:val="right"/>
              <w:rPr>
                <w:b/>
                <w:sz w:val="16"/>
                <w:szCs w:val="16"/>
              </w:rPr>
            </w:pPr>
            <w:r w:rsidRPr="001F224B">
              <w:rPr>
                <w:b/>
                <w:bCs/>
                <w:sz w:val="16"/>
                <w:szCs w:val="16"/>
              </w:rPr>
              <w:t xml:space="preserve"> 149.197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03CABE0" w14:textId="4438152F" w:rsidR="00B22F30" w:rsidRPr="001F224B" w:rsidRDefault="00B22F30" w:rsidP="00B22F30">
            <w:pPr>
              <w:jc w:val="right"/>
              <w:rPr>
                <w:sz w:val="16"/>
                <w:szCs w:val="16"/>
              </w:rPr>
            </w:pPr>
            <w:r w:rsidRPr="001F224B">
              <w:rPr>
                <w:b/>
                <w:bCs/>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229A87BE" w14:textId="0655847F" w:rsidR="00B22F30" w:rsidRPr="001F224B" w:rsidRDefault="00B22F30" w:rsidP="00B22F30">
            <w:pPr>
              <w:jc w:val="right"/>
              <w:rPr>
                <w:sz w:val="16"/>
                <w:szCs w:val="16"/>
              </w:rPr>
            </w:pPr>
            <w:r w:rsidRPr="001F224B">
              <w:rPr>
                <w:b/>
                <w:bCs/>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D5655EC" w14:textId="42C0EED0" w:rsidR="00B22F30" w:rsidRPr="001F224B" w:rsidRDefault="00B22F30" w:rsidP="00B22F30">
            <w:pPr>
              <w:jc w:val="right"/>
              <w:rPr>
                <w:sz w:val="16"/>
                <w:szCs w:val="16"/>
              </w:rPr>
            </w:pPr>
            <w:r w:rsidRPr="001F224B">
              <w:rPr>
                <w:b/>
                <w:bCs/>
                <w:sz w:val="16"/>
                <w:szCs w:val="16"/>
              </w:rPr>
              <w:t xml:space="preserve"> 140.033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142B06AB" w14:textId="6B8ACCCC" w:rsidR="00B22F30" w:rsidRPr="001F224B" w:rsidRDefault="00B22F30" w:rsidP="00B22F30">
            <w:pPr>
              <w:jc w:val="right"/>
              <w:rPr>
                <w:sz w:val="16"/>
                <w:szCs w:val="16"/>
              </w:rPr>
            </w:pPr>
            <w:r w:rsidRPr="001F224B">
              <w:rPr>
                <w:b/>
                <w:bCs/>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51AB8FFB" w14:textId="0D3D8FAD" w:rsidR="00B22F30" w:rsidRPr="001F224B" w:rsidRDefault="00B22F30" w:rsidP="00B22F30">
            <w:pPr>
              <w:jc w:val="right"/>
              <w:rPr>
                <w:sz w:val="16"/>
                <w:szCs w:val="16"/>
              </w:rPr>
            </w:pPr>
            <w:r w:rsidRPr="001F224B">
              <w:rPr>
                <w:b/>
                <w:bCs/>
                <w:sz w:val="16"/>
                <w:szCs w:val="16"/>
              </w:rPr>
              <w:t xml:space="preserve"> 4.785.940    </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3DBF836C" w14:textId="3DE63C05" w:rsidR="00B22F30" w:rsidRPr="001F224B" w:rsidRDefault="00B22F30" w:rsidP="00B22F30">
            <w:pPr>
              <w:jc w:val="right"/>
              <w:rPr>
                <w:sz w:val="16"/>
                <w:szCs w:val="16"/>
              </w:rPr>
            </w:pPr>
            <w:r w:rsidRPr="001F224B">
              <w:rPr>
                <w:b/>
                <w:bCs/>
                <w:sz w:val="16"/>
                <w:szCs w:val="16"/>
              </w:rPr>
              <w:t xml:space="preserve"> -      </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7721AE02" w14:textId="4DE5F84B" w:rsidR="00B22F30" w:rsidRPr="001F224B" w:rsidRDefault="00B22F30" w:rsidP="00B22F30">
            <w:pPr>
              <w:jc w:val="right"/>
              <w:rPr>
                <w:b/>
                <w:sz w:val="16"/>
                <w:szCs w:val="16"/>
              </w:rPr>
            </w:pPr>
            <w:r w:rsidRPr="001F224B">
              <w:rPr>
                <w:b/>
                <w:bCs/>
                <w:sz w:val="16"/>
                <w:szCs w:val="16"/>
              </w:rPr>
              <w:t xml:space="preserve"> 5.075.170    </w:t>
            </w:r>
          </w:p>
        </w:tc>
      </w:tr>
    </w:tbl>
    <w:p w14:paraId="75BEDC10" w14:textId="77777777" w:rsidR="00453147" w:rsidRPr="001F224B" w:rsidRDefault="00453147" w:rsidP="00453147">
      <w:pPr>
        <w:spacing w:before="60"/>
        <w:jc w:val="both"/>
        <w:rPr>
          <w:rFonts w:eastAsia="Arial Unicode MS"/>
          <w:bCs/>
          <w:sz w:val="15"/>
          <w:szCs w:val="15"/>
        </w:rPr>
      </w:pPr>
      <w:r w:rsidRPr="001F224B">
        <w:rPr>
          <w:rFonts w:eastAsia="Arial Unicode MS"/>
          <w:bCs/>
          <w:sz w:val="15"/>
          <w:szCs w:val="15"/>
          <w:vertAlign w:val="superscript"/>
        </w:rPr>
        <w:t>(1)</w:t>
      </w:r>
      <w:r w:rsidRPr="001F224B">
        <w:rPr>
          <w:rFonts w:eastAsia="Arial Unicode MS"/>
          <w:bCs/>
          <w:sz w:val="15"/>
          <w:szCs w:val="15"/>
        </w:rPr>
        <w:t xml:space="preserve"> Bilançoyu oluşturan aktif hesaplardan sabit kıymetler, iştirak, bağlı ortaklıklar, ayniyat mevcudu, peşin ödenmiş giderler ve net takipteki alacaklar gibi bankacılık faaliyetinin sürdürülmesi için gereksinim duyulan, kısa zamanda nakde dönüşme şansı bulunmayan diğer aktif nitelikli hesaplar, ertelenmiş vergi varlığı; bilançoyu oluşturan pasif hesaplardan ise belirli bir vadesi olmayan, karşılıklar gibi diğer pasif hesaplar ve özkaynak toplamı dağıtılamayan sütununda gösterilmektedir.</w:t>
      </w:r>
    </w:p>
    <w:p w14:paraId="0EEC1DD9" w14:textId="1D0AF34A" w:rsidR="00A110EF" w:rsidRPr="001F224B" w:rsidRDefault="00453147" w:rsidP="00453147">
      <w:pPr>
        <w:spacing w:before="60"/>
        <w:jc w:val="both"/>
        <w:rPr>
          <w:rFonts w:eastAsia="Arial Unicode MS"/>
          <w:bCs/>
          <w:sz w:val="15"/>
          <w:szCs w:val="15"/>
        </w:rPr>
      </w:pPr>
      <w:r w:rsidRPr="001F224B">
        <w:rPr>
          <w:rFonts w:eastAsia="Arial Unicode MS"/>
          <w:bCs/>
          <w:sz w:val="15"/>
          <w:szCs w:val="15"/>
          <w:vertAlign w:val="superscript"/>
        </w:rPr>
        <w:t xml:space="preserve"> (2)</w:t>
      </w:r>
      <w:r w:rsidRPr="001F224B">
        <w:rPr>
          <w:rFonts w:eastAsia="Arial Unicode MS"/>
          <w:bCs/>
          <w:sz w:val="15"/>
          <w:szCs w:val="15"/>
        </w:rPr>
        <w:t xml:space="preserve"> Finansal varlıklar ve diğer aktifler için ayrılan beklenen zarar karşılıkları ilgili kalemlere yansıtılmıştır.</w:t>
      </w:r>
    </w:p>
    <w:p w14:paraId="48242AE9" w14:textId="61675DE2" w:rsidR="003F7BDB" w:rsidRPr="001F224B" w:rsidRDefault="003F7BDB" w:rsidP="00453147">
      <w:pPr>
        <w:spacing w:before="60"/>
        <w:jc w:val="both"/>
        <w:rPr>
          <w:rFonts w:eastAsia="Arial Unicode MS"/>
          <w:bCs/>
          <w:sz w:val="15"/>
          <w:szCs w:val="15"/>
        </w:rPr>
      </w:pPr>
      <w:r w:rsidRPr="001F224B">
        <w:rPr>
          <w:rFonts w:eastAsia="Arial Unicode MS"/>
          <w:bCs/>
          <w:sz w:val="15"/>
          <w:szCs w:val="15"/>
          <w:vertAlign w:val="superscript"/>
        </w:rPr>
        <w:t xml:space="preserve"> (3)</w:t>
      </w:r>
      <w:r w:rsidRPr="001F224B">
        <w:rPr>
          <w:rFonts w:eastAsia="Arial Unicode MS"/>
          <w:bCs/>
          <w:sz w:val="15"/>
          <w:szCs w:val="15"/>
        </w:rPr>
        <w:t xml:space="preserve"> Sermaye </w:t>
      </w:r>
      <w:r w:rsidR="00C62C88" w:rsidRPr="001F224B">
        <w:rPr>
          <w:rFonts w:eastAsia="Arial Unicode MS"/>
          <w:bCs/>
          <w:sz w:val="15"/>
          <w:szCs w:val="15"/>
        </w:rPr>
        <w:t>benzeri krediler</w:t>
      </w:r>
      <w:r w:rsidRPr="001F224B">
        <w:rPr>
          <w:rFonts w:eastAsia="Arial Unicode MS"/>
          <w:bCs/>
          <w:sz w:val="15"/>
          <w:szCs w:val="15"/>
        </w:rPr>
        <w:t>, “Diğer Yükümlülükler” satırında gösterilmiştir.</w:t>
      </w:r>
    </w:p>
    <w:p w14:paraId="6A391BEF" w14:textId="47D2B25D" w:rsidR="00FC3512" w:rsidRPr="001F224B" w:rsidRDefault="004E6A42" w:rsidP="003F5784">
      <w:pPr>
        <w:pStyle w:val="ListParagraph"/>
        <w:tabs>
          <w:tab w:val="left" w:pos="0"/>
        </w:tabs>
        <w:spacing w:before="120"/>
        <w:ind w:left="0"/>
        <w:rPr>
          <w:rFonts w:eastAsia="Arial Unicode MS"/>
          <w:bCs/>
          <w:sz w:val="16"/>
          <w:szCs w:val="16"/>
        </w:rPr>
      </w:pPr>
      <w:r w:rsidRPr="001F224B">
        <w:rPr>
          <w:rFonts w:eastAsia="Arial Unicode MS"/>
          <w:bCs/>
          <w:sz w:val="16"/>
          <w:szCs w:val="16"/>
        </w:rPr>
        <w:br w:type="page"/>
      </w:r>
    </w:p>
    <w:p w14:paraId="7B05A44E" w14:textId="70DD46B0" w:rsidR="007E2FA1" w:rsidRPr="001F224B" w:rsidRDefault="007E2FA1" w:rsidP="005D6AC5">
      <w:pPr>
        <w:pStyle w:val="ListParagraph"/>
        <w:tabs>
          <w:tab w:val="left" w:pos="0"/>
        </w:tabs>
        <w:spacing w:before="120"/>
        <w:ind w:left="0"/>
        <w:rPr>
          <w:b/>
          <w:bCs/>
          <w:sz w:val="22"/>
          <w:szCs w:val="22"/>
        </w:rPr>
      </w:pPr>
      <w:r w:rsidRPr="001F224B">
        <w:rPr>
          <w:b/>
          <w:bCs/>
          <w:sz w:val="22"/>
          <w:szCs w:val="22"/>
        </w:rPr>
        <w:t>DÖRDÜNCÜ BÖLÜM (Devamı)</w:t>
      </w:r>
    </w:p>
    <w:p w14:paraId="52633DA2" w14:textId="1B915AEB" w:rsidR="00910C48" w:rsidRPr="001F224B" w:rsidRDefault="000B5F78" w:rsidP="005D6AC5">
      <w:pPr>
        <w:pStyle w:val="ListParagraph"/>
        <w:tabs>
          <w:tab w:val="left" w:pos="0"/>
        </w:tabs>
        <w:spacing w:before="120"/>
        <w:ind w:left="0"/>
        <w:rPr>
          <w:b/>
          <w:bCs/>
          <w:sz w:val="22"/>
          <w:szCs w:val="22"/>
        </w:rPr>
      </w:pPr>
      <w:r w:rsidRPr="001F224B">
        <w:rPr>
          <w:b/>
          <w:bCs/>
          <w:sz w:val="22"/>
          <w:szCs w:val="22"/>
        </w:rPr>
        <w:t xml:space="preserve">KONSOLİDE MALİ BÜNYE VE RİSK YÖNETİMİNE İLİŞKİN BİLGİLER </w:t>
      </w:r>
      <w:r w:rsidR="007E2FA1" w:rsidRPr="001F224B">
        <w:rPr>
          <w:b/>
          <w:bCs/>
          <w:sz w:val="22"/>
          <w:szCs w:val="22"/>
        </w:rPr>
        <w:t xml:space="preserve"> (Devamı)</w:t>
      </w:r>
    </w:p>
    <w:p w14:paraId="37D5953F" w14:textId="43609866" w:rsidR="00761ACC" w:rsidRPr="001F224B" w:rsidRDefault="00B36344" w:rsidP="005D6AC5">
      <w:pPr>
        <w:pStyle w:val="ListParagraph"/>
        <w:tabs>
          <w:tab w:val="left" w:pos="0"/>
        </w:tabs>
        <w:spacing w:before="120"/>
        <w:ind w:left="0"/>
        <w:rPr>
          <w:b/>
          <w:bCs/>
          <w:sz w:val="22"/>
          <w:szCs w:val="22"/>
        </w:rPr>
      </w:pPr>
      <w:r w:rsidRPr="001F224B">
        <w:rPr>
          <w:b/>
          <w:bCs/>
          <w:sz w:val="22"/>
          <w:szCs w:val="22"/>
        </w:rPr>
        <w:t>V</w:t>
      </w:r>
      <w:r w:rsidR="00C026ED" w:rsidRPr="001F224B">
        <w:rPr>
          <w:b/>
          <w:bCs/>
          <w:sz w:val="22"/>
          <w:szCs w:val="22"/>
        </w:rPr>
        <w:t>I</w:t>
      </w:r>
      <w:r w:rsidR="00F034E4" w:rsidRPr="001F224B">
        <w:rPr>
          <w:b/>
          <w:bCs/>
          <w:sz w:val="22"/>
          <w:szCs w:val="22"/>
        </w:rPr>
        <w:t>.</w:t>
      </w:r>
      <w:r w:rsidR="003F7749" w:rsidRPr="001F224B">
        <w:rPr>
          <w:b/>
          <w:bCs/>
          <w:sz w:val="22"/>
          <w:szCs w:val="22"/>
        </w:rPr>
        <w:t xml:space="preserve"> </w:t>
      </w:r>
      <w:r w:rsidR="000B5F78" w:rsidRPr="001F224B">
        <w:rPr>
          <w:b/>
          <w:bCs/>
          <w:sz w:val="22"/>
          <w:szCs w:val="22"/>
        </w:rPr>
        <w:t>Konsolide k</w:t>
      </w:r>
      <w:r w:rsidR="007007FE" w:rsidRPr="001F224B">
        <w:rPr>
          <w:b/>
          <w:bCs/>
          <w:sz w:val="22"/>
          <w:szCs w:val="22"/>
        </w:rPr>
        <w:t>aldıraç oranına il</w:t>
      </w:r>
      <w:r w:rsidR="00FD2205" w:rsidRPr="001F224B">
        <w:rPr>
          <w:b/>
          <w:bCs/>
          <w:sz w:val="22"/>
          <w:szCs w:val="22"/>
        </w:rPr>
        <w:t>iş</w:t>
      </w:r>
      <w:r w:rsidR="007007FE" w:rsidRPr="001F224B">
        <w:rPr>
          <w:b/>
          <w:bCs/>
          <w:sz w:val="22"/>
          <w:szCs w:val="22"/>
        </w:rPr>
        <w:t>kin a</w:t>
      </w:r>
      <w:r w:rsidR="00603AFB" w:rsidRPr="001F224B">
        <w:rPr>
          <w:b/>
          <w:bCs/>
          <w:sz w:val="22"/>
          <w:szCs w:val="22"/>
        </w:rPr>
        <w:t>çıklamalar</w:t>
      </w:r>
    </w:p>
    <w:p w14:paraId="3D277860" w14:textId="77777777" w:rsidR="002B4CAF" w:rsidRPr="001F224B" w:rsidRDefault="001D4B6F" w:rsidP="001D4B6F">
      <w:pPr>
        <w:spacing w:before="120" w:after="120"/>
        <w:ind w:left="142"/>
        <w:jc w:val="both"/>
        <w:rPr>
          <w:sz w:val="22"/>
          <w:szCs w:val="22"/>
        </w:rPr>
      </w:pPr>
      <w:r w:rsidRPr="001F224B">
        <w:rPr>
          <w:sz w:val="22"/>
          <w:szCs w:val="22"/>
        </w:rPr>
        <w:t xml:space="preserve">Cari dönemde ana sermaye </w:t>
      </w:r>
      <w:r w:rsidR="00B57F3E" w:rsidRPr="001F224B">
        <w:rPr>
          <w:sz w:val="22"/>
          <w:szCs w:val="22"/>
        </w:rPr>
        <w:t>düşüş</w:t>
      </w:r>
      <w:r w:rsidRPr="001F224B">
        <w:rPr>
          <w:sz w:val="22"/>
          <w:szCs w:val="22"/>
        </w:rPr>
        <w:t xml:space="preserve"> hızı, toplam risk tutarı artış hızından daha yüksek olarak gerçekleşmiştir. Grup’un </w:t>
      </w:r>
      <w:r w:rsidR="001E3833" w:rsidRPr="001F224B">
        <w:rPr>
          <w:sz w:val="22"/>
          <w:szCs w:val="22"/>
        </w:rPr>
        <w:t>3</w:t>
      </w:r>
      <w:r w:rsidR="00A13EFD" w:rsidRPr="001F224B">
        <w:rPr>
          <w:sz w:val="22"/>
          <w:szCs w:val="22"/>
        </w:rPr>
        <w:t>0</w:t>
      </w:r>
      <w:r w:rsidR="001E3833" w:rsidRPr="001F224B">
        <w:rPr>
          <w:sz w:val="22"/>
          <w:szCs w:val="22"/>
        </w:rPr>
        <w:t xml:space="preserve"> </w:t>
      </w:r>
      <w:r w:rsidR="00A13EFD" w:rsidRPr="001F224B">
        <w:rPr>
          <w:sz w:val="22"/>
          <w:szCs w:val="22"/>
        </w:rPr>
        <w:t>Haziran</w:t>
      </w:r>
      <w:r w:rsidRPr="001F224B">
        <w:rPr>
          <w:sz w:val="22"/>
          <w:szCs w:val="22"/>
        </w:rPr>
        <w:t xml:space="preserve"> 202</w:t>
      </w:r>
      <w:r w:rsidR="00F84AAE" w:rsidRPr="001F224B">
        <w:rPr>
          <w:sz w:val="22"/>
          <w:szCs w:val="22"/>
        </w:rPr>
        <w:t>5</w:t>
      </w:r>
      <w:r w:rsidRPr="001F224B">
        <w:rPr>
          <w:sz w:val="22"/>
          <w:szCs w:val="22"/>
        </w:rPr>
        <w:t xml:space="preserve"> itibarıyla üç aylık ortalama tutarlardan hesaplanan kaldıraç oranı %</w:t>
      </w:r>
      <w:r w:rsidR="00893416" w:rsidRPr="001F224B">
        <w:rPr>
          <w:sz w:val="22"/>
          <w:szCs w:val="22"/>
        </w:rPr>
        <w:t>13,51’dir</w:t>
      </w:r>
      <w:r w:rsidRPr="001F224B">
        <w:rPr>
          <w:sz w:val="22"/>
          <w:szCs w:val="22"/>
        </w:rPr>
        <w:t xml:space="preserve"> (31 Aralık 202</w:t>
      </w:r>
      <w:r w:rsidR="00F84AAE" w:rsidRPr="001F224B">
        <w:rPr>
          <w:sz w:val="22"/>
          <w:szCs w:val="22"/>
        </w:rPr>
        <w:t>4</w:t>
      </w:r>
      <w:r w:rsidRPr="001F224B">
        <w:rPr>
          <w:sz w:val="22"/>
          <w:szCs w:val="22"/>
        </w:rPr>
        <w:t xml:space="preserve">: </w:t>
      </w:r>
      <w:r w:rsidR="00F84AAE" w:rsidRPr="001F224B">
        <w:rPr>
          <w:sz w:val="22"/>
          <w:szCs w:val="22"/>
        </w:rPr>
        <w:t>%14,73</w:t>
      </w:r>
      <w:r w:rsidRPr="001F224B">
        <w:rPr>
          <w:sz w:val="22"/>
          <w:szCs w:val="22"/>
        </w:rPr>
        <w:t xml:space="preserve">). </w:t>
      </w:r>
      <w:r w:rsidR="002B4CAF" w:rsidRPr="001F224B">
        <w:rPr>
          <w:sz w:val="22"/>
          <w:szCs w:val="22"/>
        </w:rPr>
        <w:t>Cari dönem kaldıraç oranının önceki dönem kaldıraç oranından daha düşük olmasının sebebi toplam risk tutarının ana sermaye tutarından daha yüksek oranda artmış olmasıdır.</w:t>
      </w:r>
    </w:p>
    <w:p w14:paraId="761B8336" w14:textId="0E35B32D" w:rsidR="001D4B6F" w:rsidRPr="001F224B" w:rsidRDefault="001D4B6F" w:rsidP="001D4B6F">
      <w:pPr>
        <w:spacing w:before="120" w:after="120"/>
        <w:ind w:left="142"/>
        <w:jc w:val="both"/>
        <w:rPr>
          <w:sz w:val="22"/>
          <w:szCs w:val="22"/>
        </w:rPr>
      </w:pPr>
      <w:r w:rsidRPr="001F224B">
        <w:rPr>
          <w:sz w:val="22"/>
          <w:szCs w:val="22"/>
        </w:rPr>
        <w:t>TMS uyarınca düzenlenen konsolide finansal tablolarda yer alan toplam varlık tutarı ile toplam risk tutarının özet karşılaştırma tablosu:</w:t>
      </w:r>
    </w:p>
    <w:tbl>
      <w:tblPr>
        <w:tblStyle w:val="TableNormal1"/>
        <w:tblW w:w="9781" w:type="dxa"/>
        <w:tblInd w:w="-5" w:type="dxa"/>
        <w:tblLayout w:type="fixed"/>
        <w:tblLook w:val="01E0" w:firstRow="1" w:lastRow="1" w:firstColumn="1" w:lastColumn="1" w:noHBand="0" w:noVBand="0"/>
      </w:tblPr>
      <w:tblGrid>
        <w:gridCol w:w="321"/>
        <w:gridCol w:w="5775"/>
        <w:gridCol w:w="1842"/>
        <w:gridCol w:w="1843"/>
      </w:tblGrid>
      <w:tr w:rsidR="00B13450" w:rsidRPr="001F224B" w14:paraId="1CF29912" w14:textId="77777777" w:rsidTr="00AE60E1">
        <w:trPr>
          <w:trHeight w:val="172"/>
        </w:trPr>
        <w:tc>
          <w:tcPr>
            <w:tcW w:w="321" w:type="dxa"/>
            <w:tcBorders>
              <w:top w:val="single" w:sz="4" w:space="0" w:color="000000"/>
              <w:left w:val="single" w:sz="4" w:space="0" w:color="000000"/>
              <w:bottom w:val="single" w:sz="4" w:space="0" w:color="auto"/>
            </w:tcBorders>
          </w:tcPr>
          <w:p w14:paraId="434230EF" w14:textId="77777777" w:rsidR="00B13450" w:rsidRPr="001F224B" w:rsidRDefault="00B13450" w:rsidP="00B13450">
            <w:pPr>
              <w:adjustRightInd w:val="0"/>
              <w:spacing w:after="100" w:afterAutospacing="1"/>
              <w:ind w:right="-170"/>
              <w:jc w:val="both"/>
              <w:rPr>
                <w:rFonts w:eastAsia="Times New Roman" w:cs="Times New Roman"/>
                <w:b/>
                <w:bCs/>
                <w:color w:val="000000"/>
                <w:sz w:val="16"/>
                <w:szCs w:val="16"/>
                <w:lang w:val="tr-TR" w:eastAsia="tr-TR"/>
              </w:rPr>
            </w:pPr>
            <w:bookmarkStart w:id="28" w:name="OLE_LINK23"/>
          </w:p>
        </w:tc>
        <w:tc>
          <w:tcPr>
            <w:tcW w:w="5775" w:type="dxa"/>
            <w:tcBorders>
              <w:top w:val="single" w:sz="4" w:space="0" w:color="000000"/>
              <w:bottom w:val="single" w:sz="4" w:space="0" w:color="auto"/>
            </w:tcBorders>
          </w:tcPr>
          <w:p w14:paraId="5D5C297F" w14:textId="77777777" w:rsidR="00B13450" w:rsidRPr="001F224B" w:rsidRDefault="00B13450" w:rsidP="00B13450">
            <w:pPr>
              <w:adjustRightInd w:val="0"/>
              <w:spacing w:after="100" w:afterAutospacing="1"/>
              <w:ind w:right="-170"/>
              <w:jc w:val="both"/>
              <w:rPr>
                <w:rFonts w:eastAsia="Times New Roman" w:cs="Times New Roman"/>
                <w:b/>
                <w:bCs/>
                <w:color w:val="000000"/>
                <w:sz w:val="16"/>
                <w:szCs w:val="16"/>
                <w:lang w:val="tr-TR" w:eastAsia="tr-TR"/>
              </w:rPr>
            </w:pPr>
          </w:p>
        </w:tc>
        <w:tc>
          <w:tcPr>
            <w:tcW w:w="1842" w:type="dxa"/>
            <w:tcBorders>
              <w:top w:val="single" w:sz="4" w:space="0" w:color="000000"/>
              <w:bottom w:val="single" w:sz="4" w:space="0" w:color="auto"/>
            </w:tcBorders>
          </w:tcPr>
          <w:p w14:paraId="33B0E3D3" w14:textId="0B3E9935" w:rsidR="00B13450" w:rsidRPr="001F224B" w:rsidRDefault="00B13450" w:rsidP="00B33348">
            <w:pPr>
              <w:adjustRightInd w:val="0"/>
              <w:spacing w:after="100" w:afterAutospacing="1"/>
              <w:ind w:left="437" w:right="-170"/>
              <w:rPr>
                <w:rFonts w:cs="Times New Roman"/>
                <w:b/>
                <w:bCs/>
                <w:color w:val="000000"/>
                <w:sz w:val="16"/>
                <w:szCs w:val="16"/>
                <w:vertAlign w:val="superscript"/>
              </w:rPr>
            </w:pPr>
            <w:proofErr w:type="spellStart"/>
            <w:r w:rsidRPr="001F224B">
              <w:rPr>
                <w:rFonts w:cs="Times New Roman"/>
                <w:b/>
                <w:bCs/>
                <w:color w:val="000000"/>
                <w:sz w:val="16"/>
                <w:szCs w:val="16"/>
              </w:rPr>
              <w:t>Cari</w:t>
            </w:r>
            <w:proofErr w:type="spellEnd"/>
            <w:r w:rsidRPr="001F224B">
              <w:rPr>
                <w:rFonts w:cs="Times New Roman"/>
                <w:b/>
                <w:bCs/>
                <w:color w:val="000000"/>
                <w:sz w:val="16"/>
                <w:szCs w:val="16"/>
              </w:rPr>
              <w:t xml:space="preserve"> </w:t>
            </w:r>
            <w:proofErr w:type="spellStart"/>
            <w:r w:rsidRPr="001F224B">
              <w:rPr>
                <w:rFonts w:cs="Times New Roman"/>
                <w:b/>
                <w:bCs/>
                <w:color w:val="000000"/>
                <w:sz w:val="16"/>
                <w:szCs w:val="16"/>
              </w:rPr>
              <w:t>Dönem</w:t>
            </w:r>
            <w:proofErr w:type="spellEnd"/>
            <w:r w:rsidRPr="001F224B">
              <w:rPr>
                <w:rFonts w:cs="Times New Roman"/>
                <w:b/>
                <w:bCs/>
                <w:color w:val="000000"/>
                <w:sz w:val="16"/>
                <w:szCs w:val="16"/>
                <w:vertAlign w:val="superscript"/>
              </w:rPr>
              <w:t>(1),(2)</w:t>
            </w:r>
          </w:p>
        </w:tc>
        <w:tc>
          <w:tcPr>
            <w:tcW w:w="1843" w:type="dxa"/>
            <w:tcBorders>
              <w:top w:val="single" w:sz="4" w:space="0" w:color="000000"/>
              <w:bottom w:val="single" w:sz="4" w:space="0" w:color="auto"/>
              <w:right w:val="single" w:sz="4" w:space="0" w:color="auto"/>
            </w:tcBorders>
          </w:tcPr>
          <w:p w14:paraId="2420E4B4" w14:textId="7B882F16" w:rsidR="00B13450" w:rsidRPr="001F224B" w:rsidRDefault="00B13450" w:rsidP="00AE60E1">
            <w:pPr>
              <w:adjustRightInd w:val="0"/>
              <w:spacing w:after="100" w:afterAutospacing="1"/>
              <w:ind w:right="-170"/>
              <w:jc w:val="center"/>
              <w:rPr>
                <w:rFonts w:eastAsia="Times New Roman" w:cs="Times New Roman"/>
                <w:b/>
                <w:bCs/>
                <w:color w:val="000000"/>
                <w:sz w:val="16"/>
                <w:szCs w:val="16"/>
                <w:lang w:val="tr-TR" w:eastAsia="tr-TR"/>
              </w:rPr>
            </w:pPr>
            <w:proofErr w:type="spellStart"/>
            <w:r w:rsidRPr="001F224B">
              <w:rPr>
                <w:rFonts w:cs="Times New Roman"/>
                <w:b/>
                <w:bCs/>
                <w:color w:val="000000"/>
                <w:sz w:val="16"/>
                <w:szCs w:val="16"/>
              </w:rPr>
              <w:t>Önceki</w:t>
            </w:r>
            <w:proofErr w:type="spellEnd"/>
            <w:r w:rsidRPr="001F224B">
              <w:rPr>
                <w:rFonts w:cs="Times New Roman"/>
                <w:b/>
                <w:bCs/>
                <w:color w:val="000000"/>
                <w:sz w:val="16"/>
                <w:szCs w:val="16"/>
              </w:rPr>
              <w:t xml:space="preserve"> </w:t>
            </w:r>
            <w:proofErr w:type="spellStart"/>
            <w:r w:rsidRPr="001F224B">
              <w:rPr>
                <w:rFonts w:cs="Times New Roman"/>
                <w:b/>
                <w:bCs/>
                <w:color w:val="000000"/>
                <w:sz w:val="16"/>
                <w:szCs w:val="16"/>
              </w:rPr>
              <w:t>Dönem</w:t>
            </w:r>
            <w:proofErr w:type="spellEnd"/>
            <w:r w:rsidRPr="001F224B">
              <w:rPr>
                <w:rFonts w:cs="Times New Roman"/>
                <w:b/>
                <w:bCs/>
                <w:color w:val="000000"/>
                <w:sz w:val="16"/>
                <w:szCs w:val="16"/>
                <w:vertAlign w:val="superscript"/>
              </w:rPr>
              <w:t>(1)</w:t>
            </w:r>
            <w:r w:rsidR="00964984" w:rsidRPr="001F224B">
              <w:rPr>
                <w:rFonts w:cs="Times New Roman"/>
                <w:b/>
                <w:bCs/>
                <w:color w:val="000000"/>
                <w:sz w:val="16"/>
                <w:szCs w:val="16"/>
                <w:vertAlign w:val="superscript"/>
              </w:rPr>
              <w:t>,(3)</w:t>
            </w:r>
          </w:p>
        </w:tc>
      </w:tr>
      <w:tr w:rsidR="00930099" w:rsidRPr="001F224B" w:rsidDel="00F317A0" w14:paraId="0E6AB550" w14:textId="77777777" w:rsidTr="00AE60E1">
        <w:trPr>
          <w:trHeight w:val="172"/>
        </w:trPr>
        <w:tc>
          <w:tcPr>
            <w:tcW w:w="321" w:type="dxa"/>
            <w:tcBorders>
              <w:top w:val="single" w:sz="4" w:space="0" w:color="000000"/>
              <w:left w:val="single" w:sz="4" w:space="0" w:color="000000"/>
              <w:bottom w:val="single" w:sz="4" w:space="0" w:color="auto"/>
            </w:tcBorders>
          </w:tcPr>
          <w:p w14:paraId="21E70C8D" w14:textId="77777777" w:rsidR="00930099" w:rsidRPr="001F224B" w:rsidRDefault="00930099" w:rsidP="00930099">
            <w:pPr>
              <w:adjustRightInd w:val="0"/>
              <w:spacing w:after="100" w:afterAutospacing="1"/>
              <w:ind w:right="-170"/>
              <w:jc w:val="both"/>
              <w:rPr>
                <w:rFonts w:cs="Times New Roman"/>
                <w:b/>
                <w:bCs/>
                <w:color w:val="000000"/>
                <w:sz w:val="16"/>
                <w:szCs w:val="16"/>
              </w:rPr>
            </w:pPr>
          </w:p>
        </w:tc>
        <w:tc>
          <w:tcPr>
            <w:tcW w:w="5775" w:type="dxa"/>
            <w:tcBorders>
              <w:top w:val="single" w:sz="4" w:space="0" w:color="000000"/>
              <w:bottom w:val="single" w:sz="4" w:space="0" w:color="auto"/>
            </w:tcBorders>
          </w:tcPr>
          <w:p w14:paraId="37D93BDD" w14:textId="77777777" w:rsidR="00930099" w:rsidRPr="001F224B" w:rsidRDefault="00930099" w:rsidP="00930099">
            <w:pPr>
              <w:adjustRightInd w:val="0"/>
              <w:spacing w:after="100" w:afterAutospacing="1"/>
              <w:ind w:right="-170"/>
              <w:jc w:val="both"/>
              <w:rPr>
                <w:rFonts w:cs="Times New Roman"/>
                <w:b/>
                <w:bCs/>
                <w:color w:val="000000"/>
                <w:sz w:val="16"/>
                <w:szCs w:val="16"/>
              </w:rPr>
            </w:pPr>
          </w:p>
        </w:tc>
        <w:tc>
          <w:tcPr>
            <w:tcW w:w="1842" w:type="dxa"/>
            <w:tcBorders>
              <w:top w:val="single" w:sz="4" w:space="0" w:color="000000"/>
              <w:bottom w:val="single" w:sz="4" w:space="0" w:color="auto"/>
            </w:tcBorders>
          </w:tcPr>
          <w:p w14:paraId="23DA616F" w14:textId="4BCBF8B4" w:rsidR="00930099" w:rsidRPr="001F224B" w:rsidRDefault="00930099" w:rsidP="00B33348">
            <w:pPr>
              <w:adjustRightInd w:val="0"/>
              <w:spacing w:after="100" w:afterAutospacing="1"/>
              <w:ind w:left="437" w:right="142"/>
              <w:rPr>
                <w:rFonts w:cs="Times New Roman"/>
                <w:b/>
                <w:bCs/>
                <w:color w:val="000000"/>
                <w:sz w:val="16"/>
                <w:szCs w:val="16"/>
              </w:rPr>
            </w:pPr>
            <w:r w:rsidRPr="001F224B">
              <w:rPr>
                <w:b/>
                <w:sz w:val="16"/>
                <w:szCs w:val="16"/>
              </w:rPr>
              <w:t>(3</w:t>
            </w:r>
            <w:r w:rsidR="00A13EFD" w:rsidRPr="001F224B">
              <w:rPr>
                <w:b/>
                <w:sz w:val="16"/>
                <w:szCs w:val="16"/>
              </w:rPr>
              <w:t>0</w:t>
            </w:r>
            <w:r w:rsidRPr="001F224B">
              <w:rPr>
                <w:b/>
                <w:sz w:val="16"/>
                <w:szCs w:val="16"/>
              </w:rPr>
              <w:t>.</w:t>
            </w:r>
            <w:r w:rsidR="000F2B0F" w:rsidRPr="001F224B">
              <w:rPr>
                <w:b/>
                <w:sz w:val="16"/>
                <w:szCs w:val="16"/>
              </w:rPr>
              <w:t>0</w:t>
            </w:r>
            <w:r w:rsidR="00A13EFD" w:rsidRPr="001F224B">
              <w:rPr>
                <w:b/>
                <w:sz w:val="16"/>
                <w:szCs w:val="16"/>
              </w:rPr>
              <w:t>6</w:t>
            </w:r>
            <w:r w:rsidRPr="001F224B">
              <w:rPr>
                <w:b/>
                <w:sz w:val="16"/>
                <w:szCs w:val="16"/>
              </w:rPr>
              <w:t>.202</w:t>
            </w:r>
            <w:r w:rsidR="000F2B0F" w:rsidRPr="001F224B">
              <w:rPr>
                <w:b/>
                <w:sz w:val="16"/>
                <w:szCs w:val="16"/>
              </w:rPr>
              <w:t>5</w:t>
            </w:r>
            <w:r w:rsidRPr="001F224B">
              <w:rPr>
                <w:b/>
                <w:sz w:val="16"/>
                <w:szCs w:val="16"/>
              </w:rPr>
              <w:t>)</w:t>
            </w:r>
          </w:p>
        </w:tc>
        <w:tc>
          <w:tcPr>
            <w:tcW w:w="1843" w:type="dxa"/>
            <w:tcBorders>
              <w:top w:val="single" w:sz="4" w:space="0" w:color="000000"/>
              <w:bottom w:val="single" w:sz="4" w:space="0" w:color="auto"/>
              <w:right w:val="single" w:sz="4" w:space="0" w:color="auto"/>
            </w:tcBorders>
          </w:tcPr>
          <w:p w14:paraId="0BD89221" w14:textId="1CCB2170" w:rsidR="00930099" w:rsidRPr="001F224B" w:rsidDel="00F317A0" w:rsidRDefault="00930099" w:rsidP="00AE60E1">
            <w:pPr>
              <w:adjustRightInd w:val="0"/>
              <w:spacing w:after="100" w:afterAutospacing="1"/>
              <w:ind w:right="142"/>
              <w:jc w:val="center"/>
              <w:rPr>
                <w:rFonts w:cs="Times New Roman"/>
                <w:b/>
                <w:bCs/>
                <w:color w:val="000000"/>
                <w:sz w:val="16"/>
                <w:szCs w:val="16"/>
              </w:rPr>
            </w:pPr>
            <w:r w:rsidRPr="001F224B">
              <w:rPr>
                <w:b/>
                <w:sz w:val="16"/>
                <w:szCs w:val="16"/>
              </w:rPr>
              <w:t>(31.12.202</w:t>
            </w:r>
            <w:r w:rsidR="000F2B0F" w:rsidRPr="001F224B">
              <w:rPr>
                <w:b/>
                <w:sz w:val="16"/>
                <w:szCs w:val="16"/>
              </w:rPr>
              <w:t>4</w:t>
            </w:r>
            <w:r w:rsidRPr="001F224B">
              <w:rPr>
                <w:b/>
                <w:sz w:val="16"/>
                <w:szCs w:val="16"/>
              </w:rPr>
              <w:t>)</w:t>
            </w:r>
          </w:p>
        </w:tc>
      </w:tr>
      <w:tr w:rsidR="000F2B0F" w:rsidRPr="001F224B" w14:paraId="3FF466EA" w14:textId="77777777" w:rsidTr="00AE60E1">
        <w:trPr>
          <w:trHeight w:val="230"/>
        </w:trPr>
        <w:tc>
          <w:tcPr>
            <w:tcW w:w="321" w:type="dxa"/>
            <w:tcBorders>
              <w:top w:val="single" w:sz="4" w:space="0" w:color="auto"/>
              <w:left w:val="single" w:sz="4" w:space="0" w:color="auto"/>
              <w:bottom w:val="single" w:sz="4" w:space="0" w:color="auto"/>
              <w:right w:val="single" w:sz="4" w:space="0" w:color="auto"/>
            </w:tcBorders>
            <w:vAlign w:val="bottom"/>
          </w:tcPr>
          <w:p w14:paraId="2EBA6FD1" w14:textId="77777777" w:rsidR="000F2B0F" w:rsidRPr="001F224B" w:rsidRDefault="000F2B0F" w:rsidP="000F2B0F">
            <w:pPr>
              <w:adjustRightInd w:val="0"/>
              <w:ind w:right="-170"/>
              <w:jc w:val="both"/>
              <w:rPr>
                <w:rFonts w:eastAsia="Times New Roman" w:cs="Times New Roman"/>
                <w:b/>
                <w:bCs/>
                <w:color w:val="000000"/>
                <w:sz w:val="16"/>
                <w:szCs w:val="16"/>
                <w:lang w:val="tr-TR" w:eastAsia="tr-TR"/>
              </w:rPr>
            </w:pPr>
          </w:p>
          <w:p w14:paraId="41606FC8" w14:textId="77777777" w:rsidR="000F2B0F" w:rsidRPr="001F224B" w:rsidRDefault="000F2B0F" w:rsidP="000F2B0F">
            <w:pPr>
              <w:adjustRightInd w:val="0"/>
              <w:ind w:right="-170"/>
              <w:jc w:val="both"/>
              <w:rPr>
                <w:rFonts w:eastAsia="Times New Roman" w:cs="Times New Roman"/>
                <w:b/>
                <w:bCs/>
                <w:color w:val="000000"/>
                <w:sz w:val="16"/>
                <w:szCs w:val="16"/>
                <w:lang w:val="tr-TR" w:eastAsia="tr-TR"/>
              </w:rPr>
            </w:pPr>
            <w:r w:rsidRPr="001F224B">
              <w:rPr>
                <w:rFonts w:cs="Times New Roman"/>
                <w:b/>
                <w:bCs/>
                <w:color w:val="000000"/>
                <w:sz w:val="16"/>
                <w:szCs w:val="16"/>
              </w:rPr>
              <w:t>1</w:t>
            </w:r>
          </w:p>
        </w:tc>
        <w:tc>
          <w:tcPr>
            <w:tcW w:w="5775" w:type="dxa"/>
            <w:tcBorders>
              <w:top w:val="single" w:sz="4" w:space="0" w:color="auto"/>
              <w:left w:val="single" w:sz="4" w:space="0" w:color="auto"/>
              <w:bottom w:val="single" w:sz="4" w:space="0" w:color="auto"/>
              <w:right w:val="single" w:sz="4" w:space="0" w:color="auto"/>
            </w:tcBorders>
            <w:vAlign w:val="bottom"/>
          </w:tcPr>
          <w:p w14:paraId="2BAD10BE" w14:textId="77777777" w:rsidR="000F2B0F" w:rsidRPr="001F224B" w:rsidRDefault="000F2B0F" w:rsidP="000F2B0F">
            <w:pPr>
              <w:adjustRightInd w:val="0"/>
              <w:ind w:right="-170"/>
              <w:rPr>
                <w:rFonts w:eastAsia="Times New Roman" w:cs="Times New Roman"/>
                <w:color w:val="000000"/>
                <w:sz w:val="16"/>
                <w:szCs w:val="16"/>
                <w:lang w:val="tr-TR" w:eastAsia="tr-TR"/>
              </w:rPr>
            </w:pPr>
            <w:r w:rsidRPr="001F224B">
              <w:rPr>
                <w:rFonts w:cs="Times New Roman"/>
                <w:color w:val="000000"/>
                <w:sz w:val="16"/>
                <w:szCs w:val="16"/>
              </w:rPr>
              <w:t xml:space="preserve">TMS </w:t>
            </w:r>
            <w:proofErr w:type="spellStart"/>
            <w:r w:rsidRPr="001F224B">
              <w:rPr>
                <w:rFonts w:cs="Times New Roman"/>
                <w:color w:val="000000"/>
                <w:sz w:val="16"/>
                <w:szCs w:val="16"/>
              </w:rPr>
              <w:t>uyarınca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toplam</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varlık</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tutarı</w:t>
            </w:r>
            <w:proofErr w:type="spellEnd"/>
          </w:p>
        </w:tc>
        <w:tc>
          <w:tcPr>
            <w:tcW w:w="1842" w:type="dxa"/>
            <w:tcBorders>
              <w:top w:val="single" w:sz="4" w:space="0" w:color="auto"/>
              <w:left w:val="single" w:sz="4" w:space="0" w:color="auto"/>
              <w:bottom w:val="single" w:sz="4" w:space="0" w:color="auto"/>
              <w:right w:val="single" w:sz="4" w:space="0" w:color="auto"/>
            </w:tcBorders>
            <w:vAlign w:val="bottom"/>
          </w:tcPr>
          <w:p w14:paraId="29680EA2" w14:textId="2BFA45BC" w:rsidR="000F2B0F" w:rsidRPr="001F224B" w:rsidRDefault="0070670D" w:rsidP="000F2B0F">
            <w:pPr>
              <w:adjustRightInd w:val="0"/>
              <w:ind w:right="142"/>
              <w:jc w:val="right"/>
              <w:rPr>
                <w:rFonts w:cs="Times New Roman"/>
                <w:color w:val="000000"/>
                <w:sz w:val="16"/>
                <w:szCs w:val="16"/>
              </w:rPr>
            </w:pPr>
            <w:r w:rsidRPr="001F224B">
              <w:rPr>
                <w:rFonts w:cs="Times New Roman"/>
                <w:color w:val="000000"/>
                <w:sz w:val="16"/>
                <w:szCs w:val="16"/>
              </w:rPr>
              <w:t>248.757.077</w:t>
            </w:r>
          </w:p>
        </w:tc>
        <w:tc>
          <w:tcPr>
            <w:tcW w:w="1843" w:type="dxa"/>
            <w:tcBorders>
              <w:top w:val="single" w:sz="4" w:space="0" w:color="auto"/>
              <w:left w:val="single" w:sz="4" w:space="0" w:color="auto"/>
              <w:bottom w:val="single" w:sz="4" w:space="0" w:color="auto"/>
              <w:right w:val="single" w:sz="4" w:space="0" w:color="auto"/>
            </w:tcBorders>
            <w:vAlign w:val="bottom"/>
          </w:tcPr>
          <w:p w14:paraId="18062CE1" w14:textId="75E4471A" w:rsidR="000F2B0F" w:rsidRPr="001F224B" w:rsidRDefault="000F2B0F" w:rsidP="000F2B0F">
            <w:pPr>
              <w:adjustRightInd w:val="0"/>
              <w:ind w:right="142"/>
              <w:jc w:val="right"/>
              <w:rPr>
                <w:rFonts w:eastAsia="Times New Roman" w:cs="Times New Roman"/>
                <w:color w:val="000000"/>
                <w:sz w:val="16"/>
                <w:szCs w:val="16"/>
                <w:lang w:val="tr-TR" w:eastAsia="tr-TR"/>
              </w:rPr>
            </w:pPr>
            <w:r w:rsidRPr="001F224B">
              <w:rPr>
                <w:rFonts w:cs="Times New Roman"/>
                <w:color w:val="000000"/>
                <w:sz w:val="16"/>
                <w:szCs w:val="16"/>
              </w:rPr>
              <w:t>211.805.516</w:t>
            </w:r>
          </w:p>
        </w:tc>
      </w:tr>
      <w:tr w:rsidR="000F2B0F" w:rsidRPr="001F224B" w14:paraId="05CDCC01" w14:textId="77777777" w:rsidTr="00AE60E1">
        <w:trPr>
          <w:trHeight w:val="259"/>
        </w:trPr>
        <w:tc>
          <w:tcPr>
            <w:tcW w:w="321" w:type="dxa"/>
            <w:tcBorders>
              <w:top w:val="single" w:sz="4" w:space="0" w:color="auto"/>
              <w:left w:val="single" w:sz="4" w:space="0" w:color="auto"/>
              <w:right w:val="single" w:sz="4" w:space="0" w:color="auto"/>
            </w:tcBorders>
            <w:vAlign w:val="bottom"/>
          </w:tcPr>
          <w:p w14:paraId="1E1CFB2C" w14:textId="22B77B7D"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r w:rsidRPr="001F224B">
              <w:rPr>
                <w:rFonts w:eastAsia="Times New Roman" w:cs="Times New Roman"/>
                <w:b/>
                <w:bCs/>
                <w:color w:val="000000"/>
                <w:sz w:val="16"/>
                <w:szCs w:val="16"/>
                <w:lang w:val="tr-TR" w:eastAsia="tr-TR"/>
              </w:rPr>
              <w:t>2</w:t>
            </w:r>
          </w:p>
        </w:tc>
        <w:tc>
          <w:tcPr>
            <w:tcW w:w="5775" w:type="dxa"/>
            <w:vMerge w:val="restart"/>
            <w:tcBorders>
              <w:top w:val="single" w:sz="4" w:space="0" w:color="auto"/>
              <w:left w:val="single" w:sz="4" w:space="0" w:color="auto"/>
              <w:bottom w:val="single" w:sz="4" w:space="0" w:color="auto"/>
              <w:right w:val="single" w:sz="4" w:space="0" w:color="auto"/>
            </w:tcBorders>
          </w:tcPr>
          <w:p w14:paraId="58DC8A7E" w14:textId="77777777" w:rsidR="000F2B0F" w:rsidRPr="001F224B" w:rsidRDefault="000F2B0F" w:rsidP="000F2B0F">
            <w:pPr>
              <w:adjustRightInd w:val="0"/>
              <w:ind w:right="-170"/>
              <w:rPr>
                <w:rFonts w:cs="Times New Roman"/>
                <w:color w:val="000000"/>
                <w:sz w:val="16"/>
                <w:szCs w:val="16"/>
              </w:rPr>
            </w:pPr>
            <w:r w:rsidRPr="001F224B">
              <w:rPr>
                <w:rFonts w:cs="Times New Roman"/>
                <w:color w:val="000000"/>
                <w:sz w:val="16"/>
                <w:szCs w:val="16"/>
              </w:rPr>
              <w:t xml:space="preserve">TMS </w:t>
            </w:r>
            <w:proofErr w:type="spellStart"/>
            <w:r w:rsidRPr="001F224B">
              <w:rPr>
                <w:rFonts w:cs="Times New Roman"/>
                <w:color w:val="000000"/>
                <w:sz w:val="16"/>
                <w:szCs w:val="16"/>
              </w:rPr>
              <w:t>uyarınca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varlık</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Bankaların</w:t>
            </w:r>
            <w:proofErr w:type="spellEnd"/>
            <w:r w:rsidRPr="001F224B">
              <w:rPr>
                <w:rFonts w:cs="Times New Roman"/>
                <w:color w:val="000000"/>
                <w:sz w:val="16"/>
                <w:szCs w:val="16"/>
              </w:rPr>
              <w:t xml:space="preserve"> </w:t>
            </w:r>
          </w:p>
          <w:p w14:paraId="1FB9F6DE" w14:textId="77777777" w:rsidR="000F2B0F" w:rsidRPr="001F224B" w:rsidRDefault="000F2B0F" w:rsidP="000F2B0F">
            <w:pPr>
              <w:adjustRightInd w:val="0"/>
              <w:ind w:right="-170"/>
              <w:rPr>
                <w:rFonts w:eastAsia="Times New Roman" w:cs="Times New Roman"/>
                <w:color w:val="000000"/>
                <w:sz w:val="16"/>
                <w:szCs w:val="16"/>
                <w:lang w:val="tr-TR" w:eastAsia="tr-TR"/>
              </w:rPr>
            </w:pP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Finansal </w:t>
            </w:r>
            <w:proofErr w:type="spellStart"/>
            <w:r w:rsidRPr="001F224B">
              <w:rPr>
                <w:rFonts w:cs="Times New Roman"/>
                <w:color w:val="000000"/>
                <w:sz w:val="16"/>
                <w:szCs w:val="16"/>
              </w:rPr>
              <w:t>Tablolarının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Düzenlenmesine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İlişkin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Tebliğ</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kapsamında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varlık</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arasındaki</w:t>
            </w:r>
            <w:proofErr w:type="spellEnd"/>
            <w:r w:rsidRPr="001F224B">
              <w:rPr>
                <w:rFonts w:cs="Times New Roman"/>
                <w:color w:val="000000"/>
                <w:sz w:val="16"/>
                <w:szCs w:val="16"/>
              </w:rPr>
              <w:t xml:space="preserve"> fark</w:t>
            </w:r>
          </w:p>
        </w:tc>
        <w:tc>
          <w:tcPr>
            <w:tcW w:w="1842" w:type="dxa"/>
            <w:tcBorders>
              <w:top w:val="single" w:sz="4" w:space="0" w:color="auto"/>
              <w:left w:val="single" w:sz="4" w:space="0" w:color="auto"/>
              <w:right w:val="single" w:sz="4" w:space="0" w:color="auto"/>
            </w:tcBorders>
            <w:vAlign w:val="bottom"/>
          </w:tcPr>
          <w:p w14:paraId="3C405620" w14:textId="77777777" w:rsidR="000F2B0F" w:rsidRPr="001F224B" w:rsidRDefault="000F2B0F" w:rsidP="000F2B0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0B34DB4D" w14:textId="77777777"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p>
        </w:tc>
      </w:tr>
      <w:tr w:rsidR="000F2B0F" w:rsidRPr="001F224B" w14:paraId="55CB1E08" w14:textId="77777777" w:rsidTr="00AE60E1">
        <w:trPr>
          <w:trHeight w:val="259"/>
        </w:trPr>
        <w:tc>
          <w:tcPr>
            <w:tcW w:w="321" w:type="dxa"/>
            <w:tcBorders>
              <w:left w:val="single" w:sz="4" w:space="0" w:color="auto"/>
              <w:bottom w:val="single" w:sz="4" w:space="0" w:color="auto"/>
              <w:right w:val="single" w:sz="4" w:space="0" w:color="auto"/>
            </w:tcBorders>
            <w:vAlign w:val="bottom"/>
          </w:tcPr>
          <w:p w14:paraId="4317EA3A" w14:textId="74092719"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07817ED4" w14:textId="77777777" w:rsidR="000F2B0F" w:rsidRPr="001F224B" w:rsidRDefault="000F2B0F" w:rsidP="000F2B0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0DEB30A2" w14:textId="1FF07BC2" w:rsidR="000F2B0F" w:rsidRPr="001F224B" w:rsidRDefault="0070670D" w:rsidP="000F2B0F">
            <w:pPr>
              <w:adjustRightInd w:val="0"/>
              <w:spacing w:after="100" w:afterAutospacing="1"/>
              <w:ind w:right="142"/>
              <w:jc w:val="right"/>
              <w:rPr>
                <w:rFonts w:cs="Times New Roman"/>
                <w:color w:val="000000"/>
                <w:sz w:val="16"/>
                <w:szCs w:val="16"/>
              </w:rPr>
            </w:pPr>
            <w:r w:rsidRPr="001F224B">
              <w:rPr>
                <w:rFonts w:cs="Times New Roman"/>
                <w:color w:val="000000"/>
                <w:sz w:val="16"/>
                <w:szCs w:val="16"/>
              </w:rPr>
              <w:t>71.453.387</w:t>
            </w:r>
          </w:p>
        </w:tc>
        <w:tc>
          <w:tcPr>
            <w:tcW w:w="1843" w:type="dxa"/>
            <w:tcBorders>
              <w:left w:val="single" w:sz="4" w:space="0" w:color="auto"/>
              <w:bottom w:val="single" w:sz="4" w:space="0" w:color="auto"/>
              <w:right w:val="single" w:sz="4" w:space="0" w:color="auto"/>
            </w:tcBorders>
            <w:vAlign w:val="bottom"/>
          </w:tcPr>
          <w:p w14:paraId="12B57160" w14:textId="00196E3B"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r w:rsidRPr="001F224B">
              <w:rPr>
                <w:rFonts w:cs="Times New Roman"/>
                <w:color w:val="000000"/>
                <w:sz w:val="16"/>
                <w:szCs w:val="16"/>
              </w:rPr>
              <w:t>60.839.361</w:t>
            </w:r>
          </w:p>
        </w:tc>
      </w:tr>
      <w:tr w:rsidR="000F2B0F" w:rsidRPr="001F224B" w14:paraId="666B92FC" w14:textId="77777777" w:rsidTr="00AE60E1">
        <w:trPr>
          <w:trHeight w:val="257"/>
        </w:trPr>
        <w:tc>
          <w:tcPr>
            <w:tcW w:w="321" w:type="dxa"/>
            <w:tcBorders>
              <w:top w:val="single" w:sz="4" w:space="0" w:color="auto"/>
              <w:left w:val="single" w:sz="4" w:space="0" w:color="auto"/>
              <w:right w:val="single" w:sz="4" w:space="0" w:color="auto"/>
            </w:tcBorders>
            <w:vAlign w:val="bottom"/>
          </w:tcPr>
          <w:p w14:paraId="6C4BEE8C" w14:textId="77777777" w:rsidR="000F2B0F" w:rsidRPr="001F224B" w:rsidRDefault="000F2B0F" w:rsidP="000F2B0F">
            <w:pPr>
              <w:adjustRightInd w:val="0"/>
              <w:ind w:right="-170"/>
              <w:jc w:val="both"/>
              <w:rPr>
                <w:rFonts w:eastAsia="Times New Roman" w:cs="Times New Roman"/>
                <w:b/>
                <w:bCs/>
                <w:color w:val="000000"/>
                <w:sz w:val="16"/>
                <w:szCs w:val="16"/>
                <w:lang w:val="tr-TR" w:eastAsia="tr-TR"/>
              </w:rPr>
            </w:pPr>
            <w:r w:rsidRPr="001F224B">
              <w:rPr>
                <w:rFonts w:cs="Times New Roman"/>
                <w:b/>
                <w:bCs/>
                <w:color w:val="000000"/>
                <w:sz w:val="16"/>
                <w:szCs w:val="16"/>
              </w:rPr>
              <w:t>3</w:t>
            </w:r>
          </w:p>
        </w:tc>
        <w:tc>
          <w:tcPr>
            <w:tcW w:w="5775" w:type="dxa"/>
            <w:vMerge w:val="restart"/>
            <w:tcBorders>
              <w:top w:val="single" w:sz="4" w:space="0" w:color="auto"/>
              <w:left w:val="single" w:sz="4" w:space="0" w:color="auto"/>
              <w:bottom w:val="single" w:sz="4" w:space="0" w:color="auto"/>
              <w:right w:val="single" w:sz="4" w:space="0" w:color="auto"/>
            </w:tcBorders>
          </w:tcPr>
          <w:p w14:paraId="380B624D" w14:textId="77777777" w:rsidR="000F2B0F" w:rsidRPr="001F224B" w:rsidRDefault="000F2B0F" w:rsidP="000F2B0F">
            <w:pPr>
              <w:adjustRightInd w:val="0"/>
              <w:ind w:right="-170"/>
              <w:rPr>
                <w:rFonts w:cs="Times New Roman"/>
                <w:color w:val="000000"/>
                <w:sz w:val="16"/>
                <w:szCs w:val="16"/>
              </w:rPr>
            </w:pPr>
            <w:proofErr w:type="spellStart"/>
            <w:r w:rsidRPr="001F224B">
              <w:rPr>
                <w:rFonts w:cs="Times New Roman"/>
                <w:color w:val="000000"/>
                <w:sz w:val="16"/>
                <w:szCs w:val="16"/>
              </w:rPr>
              <w:t>Türev</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araçlar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kredi</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türevlerinin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Bankaların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Finansal </w:t>
            </w:r>
            <w:proofErr w:type="spellStart"/>
            <w:r w:rsidRPr="001F224B">
              <w:rPr>
                <w:rFonts w:cs="Times New Roman"/>
                <w:color w:val="000000"/>
                <w:sz w:val="16"/>
                <w:szCs w:val="16"/>
              </w:rPr>
              <w:t>Tablolarının</w:t>
            </w:r>
            <w:proofErr w:type="spellEnd"/>
            <w:r w:rsidRPr="001F224B">
              <w:rPr>
                <w:rFonts w:cs="Times New Roman"/>
                <w:color w:val="000000"/>
                <w:sz w:val="16"/>
                <w:szCs w:val="16"/>
              </w:rPr>
              <w:t xml:space="preserve"> </w:t>
            </w:r>
          </w:p>
          <w:p w14:paraId="180F65B8" w14:textId="0667983E" w:rsidR="000F2B0F" w:rsidRPr="001F224B" w:rsidRDefault="000F2B0F" w:rsidP="000F2B0F">
            <w:pPr>
              <w:adjustRightInd w:val="0"/>
              <w:ind w:right="-170"/>
              <w:rPr>
                <w:rFonts w:cs="Times New Roman"/>
                <w:color w:val="000000"/>
                <w:sz w:val="16"/>
                <w:szCs w:val="16"/>
              </w:rPr>
            </w:pPr>
            <w:proofErr w:type="spellStart"/>
            <w:r w:rsidRPr="001F224B">
              <w:rPr>
                <w:rFonts w:cs="Times New Roman"/>
                <w:color w:val="000000"/>
                <w:sz w:val="16"/>
                <w:szCs w:val="16"/>
              </w:rPr>
              <w:t>Düzenlenmesine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İlişkin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Tebliğ</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kapsamında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tutarları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ile</w:t>
            </w:r>
            <w:proofErr w:type="spellEnd"/>
            <w:r w:rsidRPr="001F224B">
              <w:rPr>
                <w:rFonts w:cs="Times New Roman"/>
                <w:color w:val="000000"/>
                <w:sz w:val="16"/>
                <w:szCs w:val="16"/>
              </w:rPr>
              <w:t xml:space="preserve"> risk </w:t>
            </w:r>
            <w:proofErr w:type="spellStart"/>
            <w:r w:rsidRPr="001F224B">
              <w:rPr>
                <w:rFonts w:cs="Times New Roman"/>
                <w:color w:val="000000"/>
                <w:sz w:val="16"/>
                <w:szCs w:val="16"/>
              </w:rPr>
              <w:t>tutarları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arasındaki</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fark</w:t>
            </w:r>
            <w:proofErr w:type="spellEnd"/>
          </w:p>
        </w:tc>
        <w:tc>
          <w:tcPr>
            <w:tcW w:w="1842" w:type="dxa"/>
            <w:tcBorders>
              <w:top w:val="single" w:sz="4" w:space="0" w:color="auto"/>
              <w:left w:val="single" w:sz="4" w:space="0" w:color="auto"/>
              <w:right w:val="single" w:sz="4" w:space="0" w:color="auto"/>
            </w:tcBorders>
            <w:vAlign w:val="bottom"/>
          </w:tcPr>
          <w:p w14:paraId="21BE0CC0" w14:textId="77777777" w:rsidR="000F2B0F" w:rsidRPr="001F224B" w:rsidRDefault="000F2B0F" w:rsidP="000F2B0F">
            <w:pPr>
              <w:adjustRightInd w:val="0"/>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12FBF17A" w14:textId="77777777" w:rsidR="000F2B0F" w:rsidRPr="001F224B" w:rsidRDefault="000F2B0F" w:rsidP="000F2B0F">
            <w:pPr>
              <w:adjustRightInd w:val="0"/>
              <w:ind w:right="142"/>
              <w:jc w:val="right"/>
              <w:rPr>
                <w:rFonts w:eastAsia="Times New Roman" w:cs="Times New Roman"/>
                <w:color w:val="000000"/>
                <w:sz w:val="16"/>
                <w:szCs w:val="16"/>
                <w:lang w:val="tr-TR" w:eastAsia="tr-TR"/>
              </w:rPr>
            </w:pPr>
          </w:p>
        </w:tc>
      </w:tr>
      <w:tr w:rsidR="000F2B0F" w:rsidRPr="001F224B" w14:paraId="645AF523" w14:textId="77777777" w:rsidTr="00600179">
        <w:trPr>
          <w:trHeight w:val="130"/>
        </w:trPr>
        <w:tc>
          <w:tcPr>
            <w:tcW w:w="321" w:type="dxa"/>
            <w:tcBorders>
              <w:left w:val="single" w:sz="4" w:space="0" w:color="auto"/>
              <w:bottom w:val="single" w:sz="4" w:space="0" w:color="auto"/>
              <w:right w:val="single" w:sz="4" w:space="0" w:color="auto"/>
            </w:tcBorders>
            <w:vAlign w:val="bottom"/>
          </w:tcPr>
          <w:p w14:paraId="47F2BA31"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45DDD22D" w14:textId="77777777" w:rsidR="000F2B0F" w:rsidRPr="001F224B" w:rsidRDefault="000F2B0F" w:rsidP="000F2B0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69D4E329" w14:textId="23AFBEF5" w:rsidR="000F2B0F" w:rsidRPr="001F224B" w:rsidRDefault="00B33348" w:rsidP="000F2B0F">
            <w:pPr>
              <w:adjustRightInd w:val="0"/>
              <w:spacing w:after="100" w:afterAutospacing="1"/>
              <w:ind w:right="142"/>
              <w:jc w:val="right"/>
              <w:rPr>
                <w:rFonts w:cs="Times New Roman"/>
                <w:color w:val="000000"/>
                <w:sz w:val="16"/>
                <w:szCs w:val="16"/>
              </w:rPr>
            </w:pPr>
            <w:r w:rsidRPr="001F224B">
              <w:rPr>
                <w:rFonts w:cs="Times New Roman"/>
                <w:color w:val="000000"/>
                <w:sz w:val="16"/>
                <w:szCs w:val="16"/>
              </w:rPr>
              <w:t>582.256</w:t>
            </w:r>
          </w:p>
        </w:tc>
        <w:tc>
          <w:tcPr>
            <w:tcW w:w="1843" w:type="dxa"/>
            <w:tcBorders>
              <w:left w:val="single" w:sz="4" w:space="0" w:color="auto"/>
              <w:bottom w:val="single" w:sz="4" w:space="0" w:color="auto"/>
              <w:right w:val="single" w:sz="4" w:space="0" w:color="auto"/>
            </w:tcBorders>
            <w:vAlign w:val="bottom"/>
          </w:tcPr>
          <w:p w14:paraId="271B7B6E" w14:textId="10925D7C"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r w:rsidRPr="001F224B">
              <w:rPr>
                <w:rFonts w:cs="Times New Roman"/>
                <w:color w:val="000000"/>
                <w:sz w:val="16"/>
                <w:szCs w:val="16"/>
              </w:rPr>
              <w:t>689.053</w:t>
            </w:r>
          </w:p>
        </w:tc>
      </w:tr>
      <w:tr w:rsidR="000F2B0F" w:rsidRPr="001F224B" w14:paraId="1F99882B" w14:textId="77777777" w:rsidTr="00AE60E1">
        <w:trPr>
          <w:trHeight w:val="259"/>
        </w:trPr>
        <w:tc>
          <w:tcPr>
            <w:tcW w:w="321" w:type="dxa"/>
            <w:tcBorders>
              <w:top w:val="single" w:sz="4" w:space="0" w:color="auto"/>
              <w:left w:val="single" w:sz="4" w:space="0" w:color="auto"/>
              <w:right w:val="single" w:sz="4" w:space="0" w:color="auto"/>
            </w:tcBorders>
            <w:vAlign w:val="bottom"/>
          </w:tcPr>
          <w:p w14:paraId="107B392D"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r w:rsidRPr="001F224B">
              <w:rPr>
                <w:rFonts w:cs="Times New Roman"/>
                <w:b/>
                <w:bCs/>
                <w:color w:val="000000"/>
                <w:sz w:val="16"/>
                <w:szCs w:val="16"/>
              </w:rPr>
              <w:t>4</w:t>
            </w:r>
          </w:p>
        </w:tc>
        <w:tc>
          <w:tcPr>
            <w:tcW w:w="5775" w:type="dxa"/>
            <w:vMerge w:val="restart"/>
            <w:tcBorders>
              <w:top w:val="single" w:sz="4" w:space="0" w:color="auto"/>
              <w:left w:val="single" w:sz="4" w:space="0" w:color="auto"/>
              <w:bottom w:val="single" w:sz="4" w:space="0" w:color="auto"/>
              <w:right w:val="single" w:sz="4" w:space="0" w:color="auto"/>
            </w:tcBorders>
          </w:tcPr>
          <w:p w14:paraId="624D37AE" w14:textId="77777777" w:rsidR="000F2B0F" w:rsidRPr="001F224B" w:rsidRDefault="000F2B0F" w:rsidP="000F2B0F">
            <w:pPr>
              <w:adjustRightInd w:val="0"/>
              <w:ind w:right="-170"/>
              <w:rPr>
                <w:rFonts w:cs="Times New Roman"/>
                <w:color w:val="000000"/>
                <w:sz w:val="16"/>
                <w:szCs w:val="16"/>
              </w:rPr>
            </w:pPr>
            <w:proofErr w:type="spellStart"/>
            <w:r w:rsidRPr="001F224B">
              <w:rPr>
                <w:rFonts w:cs="Times New Roman"/>
                <w:color w:val="000000"/>
                <w:sz w:val="16"/>
                <w:szCs w:val="16"/>
              </w:rPr>
              <w:t>Menkul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kıymet</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veya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emtia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teminatlı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finansman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işlemlerinin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Bankaların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Finansal </w:t>
            </w:r>
          </w:p>
          <w:p w14:paraId="7C61E0F0" w14:textId="177EE20D" w:rsidR="000F2B0F" w:rsidRPr="001F224B" w:rsidRDefault="000F2B0F" w:rsidP="000F2B0F">
            <w:pPr>
              <w:adjustRightInd w:val="0"/>
              <w:ind w:right="-170"/>
              <w:rPr>
                <w:rFonts w:cs="Times New Roman"/>
                <w:color w:val="000000"/>
                <w:sz w:val="16"/>
                <w:szCs w:val="16"/>
              </w:rPr>
            </w:pPr>
            <w:proofErr w:type="spellStart"/>
            <w:r w:rsidRPr="001F224B">
              <w:rPr>
                <w:rFonts w:cs="Times New Roman"/>
                <w:color w:val="000000"/>
                <w:sz w:val="16"/>
                <w:szCs w:val="16"/>
              </w:rPr>
              <w:t>Tablolarının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Düzenlenmesine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İlişkin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Tebliğ</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kapsamında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tutarları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ile</w:t>
            </w:r>
            <w:proofErr w:type="spellEnd"/>
            <w:r w:rsidRPr="001F224B">
              <w:rPr>
                <w:rFonts w:cs="Times New Roman"/>
                <w:color w:val="000000"/>
                <w:sz w:val="16"/>
                <w:szCs w:val="16"/>
              </w:rPr>
              <w:t xml:space="preserve"> risk </w:t>
            </w:r>
            <w:proofErr w:type="spellStart"/>
            <w:r w:rsidRPr="001F224B">
              <w:rPr>
                <w:rFonts w:cs="Times New Roman"/>
                <w:color w:val="000000"/>
                <w:sz w:val="16"/>
                <w:szCs w:val="16"/>
              </w:rPr>
              <w:t>tutarları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arasındaki</w:t>
            </w:r>
            <w:proofErr w:type="spellEnd"/>
            <w:r w:rsidRPr="001F224B">
              <w:rPr>
                <w:rFonts w:cs="Times New Roman"/>
                <w:color w:val="000000"/>
                <w:sz w:val="16"/>
                <w:szCs w:val="16"/>
              </w:rPr>
              <w:t xml:space="preserve"> fark</w:t>
            </w:r>
          </w:p>
        </w:tc>
        <w:tc>
          <w:tcPr>
            <w:tcW w:w="1842" w:type="dxa"/>
            <w:tcBorders>
              <w:top w:val="single" w:sz="4" w:space="0" w:color="auto"/>
              <w:left w:val="single" w:sz="4" w:space="0" w:color="auto"/>
              <w:right w:val="single" w:sz="4" w:space="0" w:color="auto"/>
            </w:tcBorders>
            <w:vAlign w:val="bottom"/>
          </w:tcPr>
          <w:p w14:paraId="51FF5358" w14:textId="77777777" w:rsidR="000F2B0F" w:rsidRPr="001F224B" w:rsidRDefault="000F2B0F" w:rsidP="000F2B0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4B2D300F" w14:textId="77777777"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p>
        </w:tc>
      </w:tr>
      <w:tr w:rsidR="000F2B0F" w:rsidRPr="001F224B" w14:paraId="3BA07AEB" w14:textId="77777777" w:rsidTr="00AE60E1">
        <w:trPr>
          <w:trHeight w:val="242"/>
        </w:trPr>
        <w:tc>
          <w:tcPr>
            <w:tcW w:w="321" w:type="dxa"/>
            <w:tcBorders>
              <w:left w:val="single" w:sz="4" w:space="0" w:color="auto"/>
              <w:bottom w:val="single" w:sz="4" w:space="0" w:color="auto"/>
              <w:right w:val="single" w:sz="4" w:space="0" w:color="auto"/>
            </w:tcBorders>
            <w:vAlign w:val="bottom"/>
          </w:tcPr>
          <w:p w14:paraId="60098F7E"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69D2C59D" w14:textId="77777777" w:rsidR="000F2B0F" w:rsidRPr="001F224B" w:rsidRDefault="000F2B0F" w:rsidP="000F2B0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55F40701" w14:textId="61CDA387" w:rsidR="000F2B0F" w:rsidRPr="001F224B" w:rsidRDefault="000F2B0F" w:rsidP="000F2B0F">
            <w:pPr>
              <w:adjustRightInd w:val="0"/>
              <w:spacing w:after="100" w:afterAutospacing="1"/>
              <w:ind w:right="142"/>
              <w:jc w:val="right"/>
              <w:rPr>
                <w:rFonts w:cs="Times New Roman"/>
                <w:color w:val="000000"/>
                <w:sz w:val="16"/>
                <w:szCs w:val="16"/>
              </w:rPr>
            </w:pPr>
            <w:r w:rsidRPr="001F224B">
              <w:rPr>
                <w:rFonts w:cs="Times New Roman"/>
                <w:color w:val="000000"/>
                <w:sz w:val="16"/>
                <w:szCs w:val="16"/>
              </w:rPr>
              <w:t>(</w:t>
            </w:r>
            <w:r w:rsidR="0070670D" w:rsidRPr="001F224B">
              <w:rPr>
                <w:rFonts w:cs="Times New Roman"/>
                <w:color w:val="000000"/>
                <w:sz w:val="16"/>
                <w:szCs w:val="16"/>
              </w:rPr>
              <w:t>2.932.912</w:t>
            </w:r>
            <w:r w:rsidRPr="001F224B">
              <w:rPr>
                <w:rFonts w:cs="Times New Roman"/>
                <w:color w:val="000000"/>
                <w:sz w:val="16"/>
                <w:szCs w:val="16"/>
              </w:rPr>
              <w:t>)</w:t>
            </w:r>
          </w:p>
        </w:tc>
        <w:tc>
          <w:tcPr>
            <w:tcW w:w="1843" w:type="dxa"/>
            <w:tcBorders>
              <w:left w:val="single" w:sz="4" w:space="0" w:color="auto"/>
              <w:bottom w:val="single" w:sz="4" w:space="0" w:color="auto"/>
              <w:right w:val="single" w:sz="4" w:space="0" w:color="auto"/>
            </w:tcBorders>
            <w:vAlign w:val="bottom"/>
          </w:tcPr>
          <w:p w14:paraId="0DBD8B95" w14:textId="108B1ECB"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r w:rsidRPr="001F224B">
              <w:rPr>
                <w:rFonts w:cs="Times New Roman"/>
                <w:color w:val="000000"/>
                <w:sz w:val="16"/>
                <w:szCs w:val="16"/>
              </w:rPr>
              <w:t>(2.722.103)</w:t>
            </w:r>
          </w:p>
        </w:tc>
      </w:tr>
      <w:tr w:rsidR="000F2B0F" w:rsidRPr="001F224B" w14:paraId="5DC00549" w14:textId="77777777" w:rsidTr="00AE60E1">
        <w:trPr>
          <w:trHeight w:val="173"/>
        </w:trPr>
        <w:tc>
          <w:tcPr>
            <w:tcW w:w="321" w:type="dxa"/>
            <w:tcBorders>
              <w:top w:val="single" w:sz="4" w:space="0" w:color="auto"/>
              <w:left w:val="single" w:sz="4" w:space="0" w:color="auto"/>
              <w:right w:val="single" w:sz="4" w:space="0" w:color="auto"/>
            </w:tcBorders>
            <w:vAlign w:val="bottom"/>
          </w:tcPr>
          <w:p w14:paraId="16984E28"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r w:rsidRPr="001F224B">
              <w:rPr>
                <w:rFonts w:cs="Times New Roman"/>
                <w:b/>
                <w:bCs/>
                <w:color w:val="000000"/>
                <w:sz w:val="16"/>
                <w:szCs w:val="16"/>
              </w:rPr>
              <w:t>5</w:t>
            </w:r>
          </w:p>
        </w:tc>
        <w:tc>
          <w:tcPr>
            <w:tcW w:w="5775" w:type="dxa"/>
            <w:vMerge w:val="restart"/>
            <w:tcBorders>
              <w:top w:val="single" w:sz="4" w:space="0" w:color="auto"/>
              <w:left w:val="single" w:sz="4" w:space="0" w:color="auto"/>
              <w:bottom w:val="single" w:sz="4" w:space="0" w:color="auto"/>
              <w:right w:val="single" w:sz="4" w:space="0" w:color="auto"/>
            </w:tcBorders>
          </w:tcPr>
          <w:p w14:paraId="1CB91500" w14:textId="5AA0E066" w:rsidR="000F2B0F" w:rsidRPr="001F224B" w:rsidRDefault="000F2B0F" w:rsidP="000F2B0F">
            <w:pPr>
              <w:adjustRightInd w:val="0"/>
              <w:ind w:right="-170"/>
              <w:rPr>
                <w:rFonts w:eastAsia="Times New Roman" w:cs="Times New Roman"/>
                <w:color w:val="000000"/>
                <w:sz w:val="16"/>
                <w:szCs w:val="16"/>
                <w:lang w:val="tr-TR" w:eastAsia="tr-TR"/>
              </w:rPr>
            </w:pPr>
            <w:r w:rsidRPr="001F224B">
              <w:rPr>
                <w:rFonts w:cs="Times New Roman"/>
                <w:color w:val="000000"/>
                <w:sz w:val="16"/>
                <w:szCs w:val="16"/>
              </w:rPr>
              <w:t xml:space="preserve">Bilanço </w:t>
            </w:r>
            <w:proofErr w:type="spellStart"/>
            <w:r w:rsidRPr="001F224B">
              <w:rPr>
                <w:rFonts w:cs="Times New Roman"/>
                <w:color w:val="000000"/>
                <w:sz w:val="16"/>
                <w:szCs w:val="16"/>
              </w:rPr>
              <w:t>dışı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işlemlerinin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Bankaların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Finansal </w:t>
            </w:r>
            <w:proofErr w:type="spellStart"/>
            <w:r w:rsidRPr="001F224B">
              <w:rPr>
                <w:rFonts w:cs="Times New Roman"/>
                <w:color w:val="000000"/>
                <w:sz w:val="16"/>
                <w:szCs w:val="16"/>
              </w:rPr>
              <w:t>Tablolarının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Düzenlenmesine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İlişkin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Tebliğ</w:t>
            </w:r>
            <w:proofErr w:type="spellEnd"/>
            <w:r w:rsidRPr="001F224B">
              <w:rPr>
                <w:rFonts w:eastAsia="Times New Roman" w:cs="Times New Roman"/>
                <w:color w:val="000000"/>
                <w:sz w:val="16"/>
                <w:szCs w:val="16"/>
                <w:lang w:val="tr-TR" w:eastAsia="tr-TR"/>
              </w:rPr>
              <w:t xml:space="preserve"> </w:t>
            </w:r>
            <w:proofErr w:type="spellStart"/>
            <w:r w:rsidRPr="001F224B">
              <w:rPr>
                <w:rFonts w:cs="Times New Roman"/>
                <w:color w:val="000000"/>
                <w:sz w:val="16"/>
                <w:szCs w:val="16"/>
              </w:rPr>
              <w:t>kapsamında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tutarları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ile</w:t>
            </w:r>
            <w:proofErr w:type="spellEnd"/>
            <w:r w:rsidRPr="001F224B">
              <w:rPr>
                <w:rFonts w:cs="Times New Roman"/>
                <w:color w:val="000000"/>
                <w:sz w:val="16"/>
                <w:szCs w:val="16"/>
              </w:rPr>
              <w:t xml:space="preserve"> risk </w:t>
            </w:r>
            <w:proofErr w:type="spellStart"/>
            <w:r w:rsidRPr="001F224B">
              <w:rPr>
                <w:rFonts w:cs="Times New Roman"/>
                <w:color w:val="000000"/>
                <w:sz w:val="16"/>
                <w:szCs w:val="16"/>
              </w:rPr>
              <w:t>tutarları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arasındaki</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fark</w:t>
            </w:r>
            <w:proofErr w:type="spellEnd"/>
          </w:p>
        </w:tc>
        <w:tc>
          <w:tcPr>
            <w:tcW w:w="1842" w:type="dxa"/>
            <w:tcBorders>
              <w:top w:val="single" w:sz="4" w:space="0" w:color="auto"/>
              <w:left w:val="single" w:sz="4" w:space="0" w:color="auto"/>
              <w:right w:val="single" w:sz="4" w:space="0" w:color="auto"/>
            </w:tcBorders>
            <w:vAlign w:val="bottom"/>
          </w:tcPr>
          <w:p w14:paraId="036752AE" w14:textId="77777777" w:rsidR="000F2B0F" w:rsidRPr="001F224B" w:rsidRDefault="000F2B0F" w:rsidP="000F2B0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2DDBA119" w14:textId="77777777"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p>
        </w:tc>
      </w:tr>
      <w:tr w:rsidR="000F2B0F" w:rsidRPr="001F224B" w14:paraId="42038B43" w14:textId="77777777" w:rsidTr="00AE60E1">
        <w:trPr>
          <w:trHeight w:val="172"/>
        </w:trPr>
        <w:tc>
          <w:tcPr>
            <w:tcW w:w="321" w:type="dxa"/>
            <w:tcBorders>
              <w:left w:val="single" w:sz="4" w:space="0" w:color="auto"/>
              <w:bottom w:val="single" w:sz="4" w:space="0" w:color="auto"/>
              <w:right w:val="single" w:sz="4" w:space="0" w:color="auto"/>
            </w:tcBorders>
            <w:vAlign w:val="bottom"/>
          </w:tcPr>
          <w:p w14:paraId="2A97AD1E"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17D92B72" w14:textId="77777777" w:rsidR="000F2B0F" w:rsidRPr="001F224B" w:rsidRDefault="000F2B0F" w:rsidP="000F2B0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01647C33" w14:textId="372E665F" w:rsidR="000F2B0F" w:rsidRPr="001F224B" w:rsidRDefault="000F2B0F" w:rsidP="000F2B0F">
            <w:pPr>
              <w:adjustRightInd w:val="0"/>
              <w:spacing w:after="100" w:afterAutospacing="1"/>
              <w:ind w:right="142"/>
              <w:jc w:val="right"/>
              <w:rPr>
                <w:rFonts w:cs="Times New Roman"/>
                <w:color w:val="000000"/>
                <w:sz w:val="16"/>
                <w:szCs w:val="16"/>
              </w:rPr>
            </w:pPr>
            <w:r w:rsidRPr="001F224B">
              <w:rPr>
                <w:rFonts w:cs="Times New Roman"/>
                <w:color w:val="000000"/>
                <w:sz w:val="16"/>
                <w:szCs w:val="16"/>
              </w:rPr>
              <w:t>(</w:t>
            </w:r>
            <w:r w:rsidR="0070670D" w:rsidRPr="001F224B">
              <w:rPr>
                <w:rFonts w:cs="Times New Roman"/>
                <w:color w:val="000000"/>
                <w:sz w:val="16"/>
                <w:szCs w:val="16"/>
              </w:rPr>
              <w:t>13.608.933</w:t>
            </w:r>
            <w:r w:rsidRPr="001F224B">
              <w:rPr>
                <w:rFonts w:cs="Times New Roman"/>
                <w:color w:val="000000"/>
                <w:sz w:val="16"/>
                <w:szCs w:val="16"/>
              </w:rPr>
              <w:t>)</w:t>
            </w:r>
          </w:p>
        </w:tc>
        <w:tc>
          <w:tcPr>
            <w:tcW w:w="1843" w:type="dxa"/>
            <w:tcBorders>
              <w:left w:val="single" w:sz="4" w:space="0" w:color="auto"/>
              <w:bottom w:val="single" w:sz="4" w:space="0" w:color="auto"/>
              <w:right w:val="single" w:sz="4" w:space="0" w:color="auto"/>
            </w:tcBorders>
            <w:vAlign w:val="bottom"/>
          </w:tcPr>
          <w:p w14:paraId="06FD6475" w14:textId="74331374"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r w:rsidRPr="001F224B">
              <w:rPr>
                <w:rFonts w:cs="Times New Roman"/>
                <w:color w:val="000000"/>
                <w:sz w:val="16"/>
                <w:szCs w:val="16"/>
              </w:rPr>
              <w:t>(21.229.692)</w:t>
            </w:r>
          </w:p>
        </w:tc>
      </w:tr>
      <w:tr w:rsidR="000F2B0F" w:rsidRPr="001F224B" w14:paraId="655BB1BD" w14:textId="77777777" w:rsidTr="00AE60E1">
        <w:trPr>
          <w:trHeight w:val="172"/>
        </w:trPr>
        <w:tc>
          <w:tcPr>
            <w:tcW w:w="321" w:type="dxa"/>
            <w:tcBorders>
              <w:top w:val="single" w:sz="4" w:space="0" w:color="auto"/>
              <w:left w:val="single" w:sz="4" w:space="0" w:color="auto"/>
              <w:right w:val="single" w:sz="4" w:space="0" w:color="auto"/>
            </w:tcBorders>
            <w:vAlign w:val="bottom"/>
          </w:tcPr>
          <w:p w14:paraId="1D025582"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r w:rsidRPr="001F224B">
              <w:rPr>
                <w:rFonts w:cs="Times New Roman"/>
                <w:b/>
                <w:bCs/>
                <w:color w:val="000000"/>
                <w:sz w:val="16"/>
                <w:szCs w:val="16"/>
              </w:rPr>
              <w:t>6</w:t>
            </w:r>
          </w:p>
        </w:tc>
        <w:tc>
          <w:tcPr>
            <w:tcW w:w="5775" w:type="dxa"/>
            <w:vMerge w:val="restart"/>
            <w:tcBorders>
              <w:top w:val="single" w:sz="4" w:space="0" w:color="auto"/>
              <w:left w:val="single" w:sz="4" w:space="0" w:color="auto"/>
              <w:bottom w:val="single" w:sz="4" w:space="0" w:color="auto"/>
              <w:right w:val="single" w:sz="4" w:space="0" w:color="auto"/>
            </w:tcBorders>
          </w:tcPr>
          <w:p w14:paraId="280E54E2" w14:textId="2FCFD51B" w:rsidR="000F2B0F" w:rsidRPr="001F224B" w:rsidRDefault="000F2B0F" w:rsidP="000F2B0F">
            <w:pPr>
              <w:adjustRightInd w:val="0"/>
              <w:ind w:right="-170"/>
              <w:rPr>
                <w:rFonts w:eastAsia="Times New Roman" w:cs="Times New Roman"/>
                <w:color w:val="000000"/>
                <w:sz w:val="16"/>
                <w:szCs w:val="16"/>
                <w:lang w:val="tr-TR" w:eastAsia="tr-TR"/>
              </w:rPr>
            </w:pPr>
            <w:proofErr w:type="spellStart"/>
            <w:r w:rsidRPr="001F224B">
              <w:rPr>
                <w:rFonts w:cs="Times New Roman"/>
                <w:color w:val="000000"/>
                <w:sz w:val="16"/>
                <w:szCs w:val="16"/>
              </w:rPr>
              <w:t>Bankaların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Finansal </w:t>
            </w:r>
            <w:proofErr w:type="spellStart"/>
            <w:r w:rsidRPr="001F224B">
              <w:rPr>
                <w:rFonts w:cs="Times New Roman"/>
                <w:color w:val="000000"/>
                <w:sz w:val="16"/>
                <w:szCs w:val="16"/>
              </w:rPr>
              <w:t>Tablolarının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Düzenlenmesine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İlişkin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Tebliğ</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kapsamında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düzenlenen</w:t>
            </w:r>
            <w:proofErr w:type="spellEnd"/>
            <w:r w:rsidRPr="001F224B">
              <w:rPr>
                <w:rFonts w:eastAsia="Times New Roman" w:cs="Times New Roman"/>
                <w:color w:val="000000"/>
                <w:sz w:val="16"/>
                <w:szCs w:val="16"/>
                <w:lang w:val="tr-TR" w:eastAsia="tr-TR"/>
              </w:rPr>
              <w:t xml:space="preserve"> </w:t>
            </w:r>
            <w:proofErr w:type="spellStart"/>
            <w:r w:rsidRPr="001F224B">
              <w:rPr>
                <w:rFonts w:cs="Times New Roman"/>
                <w:color w:val="000000"/>
                <w:sz w:val="16"/>
                <w:szCs w:val="16"/>
              </w:rPr>
              <w:t>konsolide</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finansal</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tablolarda</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yer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alan</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tutar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ile</w:t>
            </w:r>
            <w:proofErr w:type="spellEnd"/>
            <w:r w:rsidRPr="001F224B">
              <w:rPr>
                <w:rFonts w:cs="Times New Roman"/>
                <w:color w:val="000000"/>
                <w:sz w:val="16"/>
                <w:szCs w:val="16"/>
              </w:rPr>
              <w:t xml:space="preserve"> risk </w:t>
            </w:r>
            <w:proofErr w:type="spellStart"/>
            <w:r w:rsidRPr="001F224B">
              <w:rPr>
                <w:rFonts w:cs="Times New Roman"/>
                <w:color w:val="000000"/>
                <w:sz w:val="16"/>
                <w:szCs w:val="16"/>
              </w:rPr>
              <w:t>tutarı</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arasındaki</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diğer</w:t>
            </w:r>
            <w:proofErr w:type="spellEnd"/>
            <w:r w:rsidRPr="001F224B">
              <w:rPr>
                <w:rFonts w:cs="Times New Roman"/>
                <w:color w:val="000000"/>
                <w:sz w:val="16"/>
                <w:szCs w:val="16"/>
              </w:rPr>
              <w:t xml:space="preserve"> </w:t>
            </w:r>
            <w:proofErr w:type="spellStart"/>
            <w:r w:rsidRPr="001F224B">
              <w:rPr>
                <w:rFonts w:cs="Times New Roman"/>
                <w:color w:val="000000"/>
                <w:sz w:val="16"/>
                <w:szCs w:val="16"/>
              </w:rPr>
              <w:t>farklar</w:t>
            </w:r>
            <w:proofErr w:type="spellEnd"/>
          </w:p>
        </w:tc>
        <w:tc>
          <w:tcPr>
            <w:tcW w:w="1842" w:type="dxa"/>
            <w:tcBorders>
              <w:top w:val="single" w:sz="4" w:space="0" w:color="auto"/>
              <w:left w:val="single" w:sz="4" w:space="0" w:color="auto"/>
              <w:right w:val="single" w:sz="4" w:space="0" w:color="auto"/>
            </w:tcBorders>
            <w:vAlign w:val="bottom"/>
          </w:tcPr>
          <w:p w14:paraId="48DB2384" w14:textId="77777777" w:rsidR="000F2B0F" w:rsidRPr="001F224B" w:rsidRDefault="000F2B0F" w:rsidP="000F2B0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19EE4863" w14:textId="77777777"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p>
        </w:tc>
      </w:tr>
      <w:tr w:rsidR="000F2B0F" w:rsidRPr="001F224B" w14:paraId="76F5423E" w14:textId="77777777" w:rsidTr="00AE60E1">
        <w:trPr>
          <w:trHeight w:val="171"/>
        </w:trPr>
        <w:tc>
          <w:tcPr>
            <w:tcW w:w="321" w:type="dxa"/>
            <w:tcBorders>
              <w:left w:val="single" w:sz="4" w:space="0" w:color="auto"/>
              <w:bottom w:val="single" w:sz="4" w:space="0" w:color="auto"/>
              <w:right w:val="single" w:sz="4" w:space="0" w:color="auto"/>
            </w:tcBorders>
            <w:vAlign w:val="bottom"/>
          </w:tcPr>
          <w:p w14:paraId="09BE8D35"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6E3BF328" w14:textId="77777777" w:rsidR="000F2B0F" w:rsidRPr="001F224B" w:rsidRDefault="000F2B0F" w:rsidP="000F2B0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tcPr>
          <w:p w14:paraId="0CEC3B9F" w14:textId="4792DD63" w:rsidR="000F2B0F" w:rsidRPr="001F224B" w:rsidRDefault="0070670D" w:rsidP="000F2B0F">
            <w:pPr>
              <w:adjustRightInd w:val="0"/>
              <w:spacing w:after="100" w:afterAutospacing="1"/>
              <w:ind w:right="142"/>
              <w:jc w:val="right"/>
              <w:rPr>
                <w:rFonts w:cs="Times New Roman"/>
                <w:color w:val="000000"/>
                <w:sz w:val="16"/>
                <w:szCs w:val="16"/>
              </w:rPr>
            </w:pPr>
            <w:r w:rsidRPr="001F224B">
              <w:rPr>
                <w:rFonts w:cs="Times New Roman"/>
                <w:color w:val="000000"/>
                <w:sz w:val="16"/>
                <w:szCs w:val="16"/>
              </w:rPr>
              <w:t>178.130.810</w:t>
            </w:r>
          </w:p>
        </w:tc>
        <w:tc>
          <w:tcPr>
            <w:tcW w:w="1843" w:type="dxa"/>
            <w:tcBorders>
              <w:left w:val="single" w:sz="4" w:space="0" w:color="auto"/>
              <w:bottom w:val="single" w:sz="4" w:space="0" w:color="auto"/>
              <w:right w:val="single" w:sz="4" w:space="0" w:color="auto"/>
            </w:tcBorders>
          </w:tcPr>
          <w:p w14:paraId="5DB8006D" w14:textId="16072456" w:rsidR="000F2B0F" w:rsidRPr="001F224B" w:rsidRDefault="000F2B0F" w:rsidP="000F2B0F">
            <w:pPr>
              <w:adjustRightInd w:val="0"/>
              <w:spacing w:after="100" w:afterAutospacing="1"/>
              <w:ind w:right="142"/>
              <w:jc w:val="right"/>
              <w:rPr>
                <w:rFonts w:eastAsia="Times New Roman" w:cs="Times New Roman"/>
                <w:color w:val="000000"/>
                <w:sz w:val="16"/>
                <w:szCs w:val="16"/>
                <w:lang w:val="tr-TR" w:eastAsia="tr-TR"/>
              </w:rPr>
            </w:pPr>
            <w:r w:rsidRPr="001F224B">
              <w:rPr>
                <w:rFonts w:cs="Times New Roman"/>
                <w:color w:val="000000"/>
                <w:sz w:val="16"/>
                <w:szCs w:val="16"/>
              </w:rPr>
              <w:t>144.162.555</w:t>
            </w:r>
          </w:p>
        </w:tc>
      </w:tr>
      <w:tr w:rsidR="000F2B0F" w:rsidRPr="001F224B" w14:paraId="3ADF096A" w14:textId="77777777" w:rsidTr="00AE60E1">
        <w:trPr>
          <w:trHeight w:val="174"/>
        </w:trPr>
        <w:tc>
          <w:tcPr>
            <w:tcW w:w="321" w:type="dxa"/>
            <w:tcBorders>
              <w:top w:val="single" w:sz="4" w:space="0" w:color="auto"/>
              <w:left w:val="single" w:sz="4" w:space="0" w:color="auto"/>
              <w:bottom w:val="single" w:sz="4" w:space="0" w:color="auto"/>
              <w:right w:val="single" w:sz="4" w:space="0" w:color="auto"/>
            </w:tcBorders>
            <w:vAlign w:val="bottom"/>
          </w:tcPr>
          <w:p w14:paraId="39FB2CE6" w14:textId="77777777" w:rsidR="000F2B0F" w:rsidRPr="001F224B" w:rsidRDefault="000F2B0F" w:rsidP="000F2B0F">
            <w:pPr>
              <w:adjustRightInd w:val="0"/>
              <w:spacing w:after="100" w:afterAutospacing="1"/>
              <w:ind w:right="-170"/>
              <w:jc w:val="both"/>
              <w:rPr>
                <w:rFonts w:eastAsia="Times New Roman" w:cs="Times New Roman"/>
                <w:b/>
                <w:bCs/>
                <w:color w:val="000000"/>
                <w:sz w:val="16"/>
                <w:szCs w:val="16"/>
                <w:lang w:val="tr-TR" w:eastAsia="tr-TR"/>
              </w:rPr>
            </w:pPr>
            <w:r w:rsidRPr="001F224B">
              <w:rPr>
                <w:rFonts w:cs="Times New Roman"/>
                <w:b/>
                <w:bCs/>
                <w:color w:val="000000"/>
                <w:sz w:val="16"/>
                <w:szCs w:val="16"/>
              </w:rPr>
              <w:t>7</w:t>
            </w:r>
          </w:p>
        </w:tc>
        <w:tc>
          <w:tcPr>
            <w:tcW w:w="5775" w:type="dxa"/>
            <w:tcBorders>
              <w:top w:val="single" w:sz="4" w:space="0" w:color="auto"/>
              <w:left w:val="single" w:sz="4" w:space="0" w:color="auto"/>
              <w:bottom w:val="single" w:sz="4" w:space="0" w:color="auto"/>
              <w:right w:val="single" w:sz="4" w:space="0" w:color="auto"/>
            </w:tcBorders>
          </w:tcPr>
          <w:p w14:paraId="73F64E71" w14:textId="77777777" w:rsidR="000F2B0F" w:rsidRPr="001F224B" w:rsidRDefault="000F2B0F" w:rsidP="000F2B0F">
            <w:pPr>
              <w:adjustRightInd w:val="0"/>
              <w:spacing w:after="100" w:afterAutospacing="1"/>
              <w:ind w:right="-170"/>
              <w:rPr>
                <w:rFonts w:eastAsia="Times New Roman" w:cs="Times New Roman"/>
                <w:b/>
                <w:color w:val="000000"/>
                <w:sz w:val="16"/>
                <w:szCs w:val="16"/>
                <w:lang w:val="tr-TR" w:eastAsia="tr-TR"/>
              </w:rPr>
            </w:pPr>
            <w:proofErr w:type="spellStart"/>
            <w:r w:rsidRPr="001F224B">
              <w:rPr>
                <w:rFonts w:cs="Times New Roman"/>
                <w:b/>
                <w:color w:val="000000"/>
                <w:sz w:val="16"/>
                <w:szCs w:val="16"/>
              </w:rPr>
              <w:t>Toplam</w:t>
            </w:r>
            <w:proofErr w:type="spellEnd"/>
            <w:r w:rsidRPr="001F224B">
              <w:rPr>
                <w:rFonts w:cs="Times New Roman"/>
                <w:b/>
                <w:color w:val="000000"/>
                <w:sz w:val="16"/>
                <w:szCs w:val="16"/>
              </w:rPr>
              <w:t xml:space="preserve"> risk </w:t>
            </w:r>
            <w:proofErr w:type="spellStart"/>
            <w:r w:rsidRPr="001F224B">
              <w:rPr>
                <w:rFonts w:cs="Times New Roman"/>
                <w:b/>
                <w:color w:val="000000"/>
                <w:sz w:val="16"/>
                <w:szCs w:val="16"/>
              </w:rPr>
              <w:t>tutarı</w:t>
            </w:r>
            <w:proofErr w:type="spellEnd"/>
          </w:p>
        </w:tc>
        <w:tc>
          <w:tcPr>
            <w:tcW w:w="1842" w:type="dxa"/>
            <w:tcBorders>
              <w:top w:val="single" w:sz="4" w:space="0" w:color="auto"/>
              <w:left w:val="single" w:sz="4" w:space="0" w:color="auto"/>
              <w:bottom w:val="single" w:sz="4" w:space="0" w:color="auto"/>
              <w:right w:val="single" w:sz="4" w:space="0" w:color="auto"/>
            </w:tcBorders>
          </w:tcPr>
          <w:p w14:paraId="4B2C2B8D" w14:textId="701C323E" w:rsidR="000F2B0F" w:rsidRPr="001F224B" w:rsidRDefault="0070670D" w:rsidP="000F2B0F">
            <w:pPr>
              <w:adjustRightInd w:val="0"/>
              <w:spacing w:after="100" w:afterAutospacing="1"/>
              <w:ind w:right="142"/>
              <w:jc w:val="right"/>
              <w:rPr>
                <w:rFonts w:cs="Times New Roman"/>
                <w:b/>
                <w:bCs/>
                <w:color w:val="000000"/>
                <w:sz w:val="16"/>
                <w:szCs w:val="16"/>
              </w:rPr>
            </w:pPr>
            <w:r w:rsidRPr="001F224B">
              <w:rPr>
                <w:rFonts w:cs="Times New Roman"/>
                <w:b/>
                <w:bCs/>
                <w:color w:val="000000"/>
                <w:sz w:val="16"/>
                <w:szCs w:val="16"/>
              </w:rPr>
              <w:t>189.389.087</w:t>
            </w:r>
          </w:p>
        </w:tc>
        <w:tc>
          <w:tcPr>
            <w:tcW w:w="1843" w:type="dxa"/>
            <w:tcBorders>
              <w:top w:val="single" w:sz="4" w:space="0" w:color="auto"/>
              <w:left w:val="single" w:sz="4" w:space="0" w:color="auto"/>
              <w:bottom w:val="single" w:sz="4" w:space="0" w:color="auto"/>
              <w:right w:val="single" w:sz="4" w:space="0" w:color="auto"/>
            </w:tcBorders>
          </w:tcPr>
          <w:p w14:paraId="788FACA4" w14:textId="2EB031F4" w:rsidR="000F2B0F" w:rsidRPr="001F224B" w:rsidRDefault="000F2B0F" w:rsidP="000F2B0F">
            <w:pPr>
              <w:adjustRightInd w:val="0"/>
              <w:spacing w:after="100" w:afterAutospacing="1"/>
              <w:ind w:right="142"/>
              <w:jc w:val="right"/>
              <w:rPr>
                <w:rFonts w:eastAsia="Times New Roman" w:cs="Times New Roman"/>
                <w:b/>
                <w:bCs/>
                <w:color w:val="000000"/>
                <w:sz w:val="16"/>
                <w:szCs w:val="16"/>
                <w:lang w:val="tr-TR" w:eastAsia="tr-TR"/>
              </w:rPr>
            </w:pPr>
            <w:r w:rsidRPr="001F224B">
              <w:rPr>
                <w:rFonts w:cs="Times New Roman"/>
                <w:b/>
                <w:bCs/>
                <w:color w:val="000000"/>
                <w:sz w:val="16"/>
                <w:szCs w:val="16"/>
              </w:rPr>
              <w:t>163.359.197</w:t>
            </w:r>
          </w:p>
        </w:tc>
      </w:tr>
    </w:tbl>
    <w:bookmarkEnd w:id="28"/>
    <w:p w14:paraId="60063397" w14:textId="4D0D9021" w:rsidR="00910C48" w:rsidRPr="001F224B" w:rsidRDefault="00910C48" w:rsidP="00910C48">
      <w:pPr>
        <w:adjustRightInd w:val="0"/>
        <w:spacing w:before="120"/>
        <w:ind w:right="-284"/>
        <w:rPr>
          <w:color w:val="000000"/>
          <w:sz w:val="16"/>
          <w:szCs w:val="16"/>
        </w:rPr>
      </w:pPr>
      <w:r w:rsidRPr="001F224B">
        <w:rPr>
          <w:color w:val="000000"/>
          <w:sz w:val="16"/>
          <w:szCs w:val="16"/>
        </w:rPr>
        <w:t>(1)</w:t>
      </w:r>
      <w:r w:rsidR="00424B20" w:rsidRPr="001F224B">
        <w:rPr>
          <w:color w:val="000000"/>
          <w:sz w:val="16"/>
          <w:szCs w:val="16"/>
        </w:rPr>
        <w:t xml:space="preserve"> </w:t>
      </w:r>
      <w:r w:rsidRPr="001F224B">
        <w:rPr>
          <w:color w:val="000000"/>
          <w:sz w:val="16"/>
          <w:szCs w:val="16"/>
        </w:rPr>
        <w:t>Tabloda yer alan tutarlar ilgili dönemin son 3 aylık ortalamalarını göstermektedir.</w:t>
      </w:r>
    </w:p>
    <w:p w14:paraId="11423164" w14:textId="69D90E4D" w:rsidR="003F5784" w:rsidRPr="001F224B" w:rsidRDefault="003F5784" w:rsidP="003F2B7A">
      <w:pPr>
        <w:adjustRightInd w:val="0"/>
        <w:ind w:left="6" w:right="28"/>
        <w:jc w:val="both"/>
        <w:rPr>
          <w:color w:val="000000"/>
          <w:sz w:val="16"/>
          <w:szCs w:val="16"/>
        </w:rPr>
      </w:pPr>
      <w:r w:rsidRPr="001F224B">
        <w:rPr>
          <w:color w:val="000000"/>
          <w:sz w:val="16"/>
          <w:szCs w:val="16"/>
        </w:rPr>
        <w:t>(2) Bankaların Konsolide Finansal Tablolarının Düzenlenmesine İlişkin Tebliğ’in 5. maddesinin 6. fıkrası uyarınca hazırlanan konsolide finansal tabloların</w:t>
      </w:r>
      <w:r w:rsidR="003F2B7A" w:rsidRPr="001F224B">
        <w:rPr>
          <w:color w:val="000000"/>
          <w:sz w:val="16"/>
          <w:szCs w:val="16"/>
        </w:rPr>
        <w:t xml:space="preserve"> </w:t>
      </w:r>
      <w:r w:rsidRPr="001F224B">
        <w:rPr>
          <w:color w:val="000000"/>
          <w:sz w:val="16"/>
          <w:szCs w:val="16"/>
        </w:rPr>
        <w:t xml:space="preserve">cari döneme ilişkin tutarı, mali olmayan ortaklıkların </w:t>
      </w:r>
      <w:r w:rsidR="00B33348" w:rsidRPr="001F224B">
        <w:rPr>
          <w:color w:val="000000"/>
          <w:sz w:val="16"/>
          <w:szCs w:val="16"/>
        </w:rPr>
        <w:t>31 Aralık</w:t>
      </w:r>
      <w:r w:rsidR="00600179" w:rsidRPr="001F224B">
        <w:rPr>
          <w:color w:val="000000"/>
          <w:sz w:val="16"/>
          <w:szCs w:val="16"/>
        </w:rPr>
        <w:t xml:space="preserve"> 2024</w:t>
      </w:r>
      <w:r w:rsidRPr="001F224B">
        <w:rPr>
          <w:color w:val="000000"/>
          <w:sz w:val="16"/>
          <w:szCs w:val="16"/>
        </w:rPr>
        <w:t xml:space="preserve"> tarihli </w:t>
      </w:r>
      <w:r w:rsidR="008638A4" w:rsidRPr="001F224B">
        <w:rPr>
          <w:color w:val="000000"/>
          <w:sz w:val="16"/>
          <w:szCs w:val="16"/>
        </w:rPr>
        <w:t>bağımsız</w:t>
      </w:r>
      <w:r w:rsidR="002E45CF" w:rsidRPr="001F224B">
        <w:rPr>
          <w:color w:val="000000"/>
          <w:sz w:val="16"/>
          <w:szCs w:val="16"/>
        </w:rPr>
        <w:t xml:space="preserve"> </w:t>
      </w:r>
      <w:r w:rsidRPr="001F224B">
        <w:rPr>
          <w:color w:val="000000"/>
          <w:sz w:val="16"/>
          <w:szCs w:val="16"/>
        </w:rPr>
        <w:t>denetimden geçmiş finansal tabloları kullanılarak hazırlanmıştır.</w:t>
      </w:r>
    </w:p>
    <w:p w14:paraId="33820A1F" w14:textId="714A9C39" w:rsidR="00964984" w:rsidRPr="001F224B" w:rsidRDefault="003F5784" w:rsidP="001E6E12">
      <w:pPr>
        <w:adjustRightInd w:val="0"/>
        <w:spacing w:after="120"/>
        <w:ind w:left="6" w:right="28"/>
        <w:jc w:val="both"/>
        <w:rPr>
          <w:color w:val="000000"/>
          <w:sz w:val="16"/>
          <w:szCs w:val="16"/>
        </w:rPr>
      </w:pPr>
      <w:r w:rsidRPr="001F224B">
        <w:rPr>
          <w:color w:val="000000"/>
          <w:sz w:val="16"/>
          <w:szCs w:val="16"/>
        </w:rPr>
        <w:t>(3) Bankaların Konsolide Finansal Tablolarının Düzenlenmesine İlişkin Tebliğ’in 5. maddesinin 6. fıkrası uyarınca hazırlanan konsolide finansal tabloların</w:t>
      </w:r>
      <w:r w:rsidR="003F2B7A" w:rsidRPr="001F224B">
        <w:rPr>
          <w:color w:val="000000"/>
          <w:sz w:val="16"/>
          <w:szCs w:val="16"/>
        </w:rPr>
        <w:t xml:space="preserve"> </w:t>
      </w:r>
      <w:r w:rsidRPr="001F224B">
        <w:rPr>
          <w:color w:val="000000"/>
          <w:sz w:val="16"/>
          <w:szCs w:val="16"/>
        </w:rPr>
        <w:t xml:space="preserve">önceki döneme ilişkin tutarı, mali olmayan ortaklıkların </w:t>
      </w:r>
      <w:r w:rsidR="007B4B48" w:rsidRPr="001F224B">
        <w:rPr>
          <w:color w:val="000000"/>
          <w:sz w:val="16"/>
          <w:szCs w:val="16"/>
        </w:rPr>
        <w:t xml:space="preserve">30 Haziran 2024 </w:t>
      </w:r>
      <w:r w:rsidRPr="001F224B">
        <w:rPr>
          <w:color w:val="000000"/>
          <w:sz w:val="16"/>
          <w:szCs w:val="16"/>
        </w:rPr>
        <w:t xml:space="preserve">tarihli </w:t>
      </w:r>
      <w:r w:rsidR="002020D9" w:rsidRPr="001F224B">
        <w:rPr>
          <w:color w:val="000000"/>
          <w:sz w:val="16"/>
          <w:szCs w:val="16"/>
        </w:rPr>
        <w:t>bağımsız</w:t>
      </w:r>
      <w:r w:rsidRPr="001F224B">
        <w:rPr>
          <w:color w:val="000000"/>
          <w:sz w:val="16"/>
          <w:szCs w:val="16"/>
        </w:rPr>
        <w:t xml:space="preserve"> denetimden geçmiş finansal tabloları kullanılarak hazırlanmıştır.</w:t>
      </w:r>
    </w:p>
    <w:tbl>
      <w:tblPr>
        <w:tblStyle w:val="TabloKlavuzu3"/>
        <w:tblW w:w="9763" w:type="dxa"/>
        <w:tblInd w:w="13" w:type="dxa"/>
        <w:tblLayout w:type="fixed"/>
        <w:tblLook w:val="04A0" w:firstRow="1" w:lastRow="0" w:firstColumn="1" w:lastColumn="0" w:noHBand="0" w:noVBand="1"/>
      </w:tblPr>
      <w:tblGrid>
        <w:gridCol w:w="6078"/>
        <w:gridCol w:w="1788"/>
        <w:gridCol w:w="1897"/>
      </w:tblGrid>
      <w:tr w:rsidR="0093788B" w:rsidRPr="001F224B" w14:paraId="7F4E0C70" w14:textId="77777777" w:rsidTr="00424B20">
        <w:trPr>
          <w:trHeight w:val="480"/>
        </w:trPr>
        <w:tc>
          <w:tcPr>
            <w:tcW w:w="6078" w:type="dxa"/>
            <w:vAlign w:val="bottom"/>
            <w:hideMark/>
          </w:tcPr>
          <w:p w14:paraId="78F45311" w14:textId="42BCC950" w:rsidR="0093788B" w:rsidRPr="001F224B" w:rsidRDefault="00B36D05" w:rsidP="00604594">
            <w:pPr>
              <w:autoSpaceDE w:val="0"/>
              <w:autoSpaceDN w:val="0"/>
              <w:adjustRightInd w:val="0"/>
              <w:jc w:val="both"/>
              <w:rPr>
                <w:b/>
                <w:bCs/>
                <w:color w:val="000000"/>
                <w:sz w:val="16"/>
                <w:szCs w:val="16"/>
              </w:rPr>
            </w:pPr>
            <w:r w:rsidRPr="001F224B">
              <w:rPr>
                <w:b/>
                <w:bCs/>
                <w:color w:val="000000"/>
                <w:sz w:val="16"/>
                <w:szCs w:val="16"/>
              </w:rPr>
              <w:t xml:space="preserve">Bilanço içi varlıklar </w:t>
            </w:r>
            <w:r w:rsidRPr="001F224B">
              <w:rPr>
                <w:b/>
                <w:bCs/>
                <w:color w:val="000000"/>
                <w:sz w:val="16"/>
                <w:szCs w:val="16"/>
                <w:vertAlign w:val="superscript"/>
              </w:rPr>
              <w:t>(*)</w:t>
            </w:r>
          </w:p>
        </w:tc>
        <w:tc>
          <w:tcPr>
            <w:tcW w:w="1788" w:type="dxa"/>
            <w:vAlign w:val="bottom"/>
            <w:hideMark/>
          </w:tcPr>
          <w:p w14:paraId="5023AA03" w14:textId="4B14246B" w:rsidR="0093788B" w:rsidRPr="001F224B" w:rsidRDefault="0093788B" w:rsidP="00AE60E1">
            <w:pPr>
              <w:autoSpaceDE w:val="0"/>
              <w:autoSpaceDN w:val="0"/>
              <w:adjustRightInd w:val="0"/>
              <w:jc w:val="center"/>
              <w:rPr>
                <w:b/>
                <w:color w:val="000000"/>
                <w:sz w:val="16"/>
                <w:szCs w:val="16"/>
              </w:rPr>
            </w:pPr>
            <w:r w:rsidRPr="001F224B">
              <w:rPr>
                <w:b/>
                <w:sz w:val="16"/>
                <w:szCs w:val="16"/>
              </w:rPr>
              <w:t>Cari Dönem (</w:t>
            </w:r>
            <w:r w:rsidR="00FA37A2" w:rsidRPr="001F224B">
              <w:rPr>
                <w:b/>
                <w:sz w:val="16"/>
                <w:szCs w:val="16"/>
              </w:rPr>
              <w:t>3</w:t>
            </w:r>
            <w:r w:rsidR="00A13EFD" w:rsidRPr="001F224B">
              <w:rPr>
                <w:b/>
                <w:sz w:val="16"/>
                <w:szCs w:val="16"/>
              </w:rPr>
              <w:t>0</w:t>
            </w:r>
            <w:r w:rsidR="00BD00BB" w:rsidRPr="001F224B">
              <w:rPr>
                <w:b/>
                <w:sz w:val="16"/>
                <w:szCs w:val="16"/>
              </w:rPr>
              <w:t>.</w:t>
            </w:r>
            <w:r w:rsidR="00CC6C7C" w:rsidRPr="001F224B">
              <w:rPr>
                <w:b/>
                <w:sz w:val="16"/>
                <w:szCs w:val="16"/>
              </w:rPr>
              <w:t>0</w:t>
            </w:r>
            <w:r w:rsidR="00A13EFD" w:rsidRPr="001F224B">
              <w:rPr>
                <w:b/>
                <w:sz w:val="16"/>
                <w:szCs w:val="16"/>
              </w:rPr>
              <w:t>6</w:t>
            </w:r>
            <w:r w:rsidR="00A0775D" w:rsidRPr="001F224B">
              <w:rPr>
                <w:b/>
                <w:sz w:val="16"/>
                <w:szCs w:val="16"/>
              </w:rPr>
              <w:t>.20</w:t>
            </w:r>
            <w:r w:rsidR="00B13450" w:rsidRPr="001F224B">
              <w:rPr>
                <w:b/>
                <w:sz w:val="16"/>
                <w:szCs w:val="16"/>
              </w:rPr>
              <w:t>2</w:t>
            </w:r>
            <w:r w:rsidR="00CC6C7C" w:rsidRPr="001F224B">
              <w:rPr>
                <w:b/>
                <w:sz w:val="16"/>
                <w:szCs w:val="16"/>
              </w:rPr>
              <w:t>5</w:t>
            </w:r>
            <w:r w:rsidRPr="001F224B">
              <w:rPr>
                <w:b/>
                <w:sz w:val="16"/>
                <w:szCs w:val="16"/>
              </w:rPr>
              <w:t>)</w:t>
            </w:r>
          </w:p>
        </w:tc>
        <w:tc>
          <w:tcPr>
            <w:tcW w:w="1897" w:type="dxa"/>
            <w:vAlign w:val="bottom"/>
            <w:hideMark/>
          </w:tcPr>
          <w:p w14:paraId="033E123B" w14:textId="3285F205" w:rsidR="0093788B" w:rsidRPr="001F224B" w:rsidRDefault="0093788B" w:rsidP="00AE60E1">
            <w:pPr>
              <w:autoSpaceDE w:val="0"/>
              <w:autoSpaceDN w:val="0"/>
              <w:adjustRightInd w:val="0"/>
              <w:jc w:val="center"/>
              <w:rPr>
                <w:b/>
                <w:color w:val="000000"/>
                <w:sz w:val="16"/>
                <w:szCs w:val="16"/>
              </w:rPr>
            </w:pPr>
            <w:r w:rsidRPr="001F224B">
              <w:rPr>
                <w:b/>
                <w:color w:val="000000"/>
                <w:sz w:val="16"/>
                <w:szCs w:val="16"/>
              </w:rPr>
              <w:t>Önceki Dönem (31.12.20</w:t>
            </w:r>
            <w:r w:rsidR="00B13450" w:rsidRPr="001F224B">
              <w:rPr>
                <w:b/>
                <w:color w:val="000000"/>
                <w:sz w:val="16"/>
                <w:szCs w:val="16"/>
              </w:rPr>
              <w:t>2</w:t>
            </w:r>
            <w:r w:rsidR="00CC6C7C" w:rsidRPr="001F224B">
              <w:rPr>
                <w:b/>
                <w:color w:val="000000"/>
                <w:sz w:val="16"/>
                <w:szCs w:val="16"/>
              </w:rPr>
              <w:t>4</w:t>
            </w:r>
            <w:r w:rsidRPr="001F224B">
              <w:rPr>
                <w:b/>
                <w:color w:val="000000"/>
                <w:sz w:val="16"/>
                <w:szCs w:val="16"/>
              </w:rPr>
              <w:t>)</w:t>
            </w:r>
          </w:p>
        </w:tc>
      </w:tr>
      <w:tr w:rsidR="00CC6C7C" w:rsidRPr="001F224B" w14:paraId="3491EB87" w14:textId="77777777" w:rsidTr="00893416">
        <w:trPr>
          <w:trHeight w:val="266"/>
        </w:trPr>
        <w:tc>
          <w:tcPr>
            <w:tcW w:w="6078" w:type="dxa"/>
            <w:vAlign w:val="bottom"/>
            <w:hideMark/>
          </w:tcPr>
          <w:p w14:paraId="70402EEE"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Bilanço içi varlıklar (Türev finansal araçlar ile kredi türevleri hariç, teminatlar dahil)</w:t>
            </w:r>
          </w:p>
        </w:tc>
        <w:tc>
          <w:tcPr>
            <w:tcW w:w="1788" w:type="dxa"/>
            <w:vAlign w:val="bottom"/>
          </w:tcPr>
          <w:p w14:paraId="6955562C" w14:textId="1842F147" w:rsidR="00CC6C7C" w:rsidRPr="001F224B" w:rsidRDefault="00893416" w:rsidP="00CC6C7C">
            <w:pPr>
              <w:jc w:val="right"/>
              <w:rPr>
                <w:color w:val="000000"/>
                <w:sz w:val="16"/>
                <w:szCs w:val="16"/>
              </w:rPr>
            </w:pPr>
            <w:r w:rsidRPr="001F224B">
              <w:rPr>
                <w:color w:val="000000"/>
                <w:sz w:val="16"/>
                <w:szCs w:val="16"/>
              </w:rPr>
              <w:t xml:space="preserve">178.413.961    </w:t>
            </w:r>
          </w:p>
        </w:tc>
        <w:tc>
          <w:tcPr>
            <w:tcW w:w="1897" w:type="dxa"/>
            <w:vAlign w:val="bottom"/>
            <w:hideMark/>
          </w:tcPr>
          <w:p w14:paraId="09D7BD9D" w14:textId="5DA5F31E"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 xml:space="preserve">152.639.700    </w:t>
            </w:r>
          </w:p>
        </w:tc>
      </w:tr>
      <w:tr w:rsidR="00CC6C7C" w:rsidRPr="001F224B" w14:paraId="7D12C620" w14:textId="77777777" w:rsidTr="00893416">
        <w:trPr>
          <w:trHeight w:val="129"/>
        </w:trPr>
        <w:tc>
          <w:tcPr>
            <w:tcW w:w="6078" w:type="dxa"/>
            <w:vAlign w:val="bottom"/>
            <w:hideMark/>
          </w:tcPr>
          <w:p w14:paraId="5D057C6C"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(Ana sermayeden indirilen varlıklar)</w:t>
            </w:r>
          </w:p>
        </w:tc>
        <w:tc>
          <w:tcPr>
            <w:tcW w:w="1788" w:type="dxa"/>
            <w:vAlign w:val="bottom"/>
          </w:tcPr>
          <w:p w14:paraId="36832808" w14:textId="3D3A8A32" w:rsidR="00CC6C7C" w:rsidRPr="001F224B" w:rsidRDefault="00CC6C7C" w:rsidP="00CC6C7C">
            <w:pPr>
              <w:jc w:val="right"/>
              <w:rPr>
                <w:color w:val="000000"/>
                <w:sz w:val="16"/>
                <w:szCs w:val="16"/>
              </w:rPr>
            </w:pPr>
            <w:r w:rsidRPr="001F224B">
              <w:rPr>
                <w:color w:val="000000"/>
                <w:sz w:val="16"/>
                <w:szCs w:val="16"/>
              </w:rPr>
              <w:t>-</w:t>
            </w:r>
          </w:p>
        </w:tc>
        <w:tc>
          <w:tcPr>
            <w:tcW w:w="1897" w:type="dxa"/>
            <w:vAlign w:val="bottom"/>
            <w:hideMark/>
          </w:tcPr>
          <w:p w14:paraId="60A38ADA" w14:textId="60497884"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w:t>
            </w:r>
          </w:p>
        </w:tc>
      </w:tr>
      <w:tr w:rsidR="00CC6C7C" w:rsidRPr="001F224B" w14:paraId="2866D812" w14:textId="77777777" w:rsidTr="00893416">
        <w:trPr>
          <w:trHeight w:val="246"/>
        </w:trPr>
        <w:tc>
          <w:tcPr>
            <w:tcW w:w="6078" w:type="dxa"/>
            <w:vAlign w:val="bottom"/>
            <w:hideMark/>
          </w:tcPr>
          <w:p w14:paraId="5447C045"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Bilanço içi varlıklara ilişkin toplam risk tutarı</w:t>
            </w:r>
          </w:p>
        </w:tc>
        <w:tc>
          <w:tcPr>
            <w:tcW w:w="1788" w:type="dxa"/>
            <w:vAlign w:val="bottom"/>
          </w:tcPr>
          <w:p w14:paraId="5FA800A4" w14:textId="52756B76" w:rsidR="00CC6C7C" w:rsidRPr="001F224B" w:rsidRDefault="00893416" w:rsidP="00CC6C7C">
            <w:pPr>
              <w:jc w:val="right"/>
              <w:rPr>
                <w:color w:val="000000"/>
                <w:sz w:val="16"/>
                <w:szCs w:val="16"/>
              </w:rPr>
            </w:pPr>
            <w:r w:rsidRPr="001F224B">
              <w:rPr>
                <w:color w:val="000000"/>
                <w:sz w:val="16"/>
                <w:szCs w:val="16"/>
              </w:rPr>
              <w:t xml:space="preserve">178.413.961    </w:t>
            </w:r>
          </w:p>
        </w:tc>
        <w:tc>
          <w:tcPr>
            <w:tcW w:w="1897" w:type="dxa"/>
            <w:vAlign w:val="bottom"/>
            <w:hideMark/>
          </w:tcPr>
          <w:p w14:paraId="4B2D6ACB" w14:textId="2DC86BB2"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 xml:space="preserve">152.639.700    </w:t>
            </w:r>
          </w:p>
        </w:tc>
      </w:tr>
      <w:tr w:rsidR="00CC6C7C" w:rsidRPr="001F224B" w14:paraId="7683AF56" w14:textId="77777777" w:rsidTr="00893416">
        <w:trPr>
          <w:trHeight w:val="223"/>
        </w:trPr>
        <w:tc>
          <w:tcPr>
            <w:tcW w:w="6078" w:type="dxa"/>
            <w:vAlign w:val="bottom"/>
            <w:hideMark/>
          </w:tcPr>
          <w:p w14:paraId="0C7BFAB7" w14:textId="77777777" w:rsidR="00CC6C7C" w:rsidRPr="001F224B" w:rsidRDefault="00CC6C7C" w:rsidP="00CC6C7C">
            <w:pPr>
              <w:autoSpaceDE w:val="0"/>
              <w:autoSpaceDN w:val="0"/>
              <w:adjustRightInd w:val="0"/>
              <w:rPr>
                <w:b/>
                <w:bCs/>
                <w:color w:val="000000"/>
                <w:sz w:val="16"/>
                <w:szCs w:val="16"/>
              </w:rPr>
            </w:pPr>
            <w:r w:rsidRPr="001F224B">
              <w:rPr>
                <w:b/>
                <w:bCs/>
                <w:color w:val="000000"/>
                <w:sz w:val="16"/>
                <w:szCs w:val="16"/>
              </w:rPr>
              <w:t>Türev finansal araçlar ile kredi türevleri</w:t>
            </w:r>
          </w:p>
        </w:tc>
        <w:tc>
          <w:tcPr>
            <w:tcW w:w="1788" w:type="dxa"/>
            <w:vAlign w:val="bottom"/>
          </w:tcPr>
          <w:p w14:paraId="0B4DFF99" w14:textId="77777777" w:rsidR="00CC6C7C" w:rsidRPr="001F224B" w:rsidRDefault="00CC6C7C" w:rsidP="00CC6C7C">
            <w:pPr>
              <w:jc w:val="right"/>
              <w:rPr>
                <w:color w:val="000000"/>
                <w:sz w:val="16"/>
                <w:szCs w:val="16"/>
              </w:rPr>
            </w:pPr>
          </w:p>
        </w:tc>
        <w:tc>
          <w:tcPr>
            <w:tcW w:w="1897" w:type="dxa"/>
            <w:vAlign w:val="bottom"/>
          </w:tcPr>
          <w:p w14:paraId="4A533E23" w14:textId="77777777" w:rsidR="00CC6C7C" w:rsidRPr="001F224B" w:rsidRDefault="00CC6C7C" w:rsidP="00CC6C7C">
            <w:pPr>
              <w:autoSpaceDE w:val="0"/>
              <w:autoSpaceDN w:val="0"/>
              <w:adjustRightInd w:val="0"/>
              <w:ind w:left="567"/>
              <w:jc w:val="right"/>
              <w:rPr>
                <w:color w:val="000000"/>
                <w:sz w:val="16"/>
                <w:szCs w:val="16"/>
              </w:rPr>
            </w:pPr>
          </w:p>
        </w:tc>
      </w:tr>
      <w:tr w:rsidR="00CC6C7C" w:rsidRPr="001F224B" w14:paraId="689D2910" w14:textId="77777777" w:rsidTr="00893416">
        <w:trPr>
          <w:trHeight w:val="198"/>
        </w:trPr>
        <w:tc>
          <w:tcPr>
            <w:tcW w:w="6078" w:type="dxa"/>
            <w:vAlign w:val="bottom"/>
            <w:hideMark/>
          </w:tcPr>
          <w:p w14:paraId="34EA624A"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Türev finansal araçlar ile kredi türevlerinin yenileme maliyeti</w:t>
            </w:r>
          </w:p>
        </w:tc>
        <w:tc>
          <w:tcPr>
            <w:tcW w:w="1788" w:type="dxa"/>
            <w:vAlign w:val="bottom"/>
          </w:tcPr>
          <w:p w14:paraId="1EC98807" w14:textId="7CBAF424" w:rsidR="00CC6C7C" w:rsidRPr="001F224B" w:rsidRDefault="00CC6C7C" w:rsidP="00CC6C7C">
            <w:pPr>
              <w:jc w:val="right"/>
              <w:rPr>
                <w:color w:val="000000"/>
                <w:sz w:val="16"/>
                <w:szCs w:val="16"/>
              </w:rPr>
            </w:pPr>
            <w:r w:rsidRPr="001F224B">
              <w:rPr>
                <w:color w:val="000000"/>
                <w:sz w:val="16"/>
                <w:szCs w:val="16"/>
              </w:rPr>
              <w:t>-</w:t>
            </w:r>
          </w:p>
        </w:tc>
        <w:tc>
          <w:tcPr>
            <w:tcW w:w="1897" w:type="dxa"/>
            <w:vAlign w:val="bottom"/>
            <w:hideMark/>
          </w:tcPr>
          <w:p w14:paraId="34743189" w14:textId="1150FEDA"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w:t>
            </w:r>
          </w:p>
        </w:tc>
      </w:tr>
      <w:tr w:rsidR="00CC6C7C" w:rsidRPr="001F224B" w14:paraId="1D6CBEB3" w14:textId="77777777" w:rsidTr="00893416">
        <w:trPr>
          <w:trHeight w:val="175"/>
        </w:trPr>
        <w:tc>
          <w:tcPr>
            <w:tcW w:w="6078" w:type="dxa"/>
            <w:vAlign w:val="bottom"/>
            <w:hideMark/>
          </w:tcPr>
          <w:p w14:paraId="703D31E9"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 xml:space="preserve">Türev finansal araçlar ile kredi türevlerinin potansiyel kredi risk tutarı </w:t>
            </w:r>
          </w:p>
        </w:tc>
        <w:tc>
          <w:tcPr>
            <w:tcW w:w="1788" w:type="dxa"/>
            <w:vAlign w:val="bottom"/>
          </w:tcPr>
          <w:p w14:paraId="76B0B572" w14:textId="7F7440C4" w:rsidR="00CC6C7C" w:rsidRPr="001F224B" w:rsidRDefault="00B33348" w:rsidP="00CC6C7C">
            <w:pPr>
              <w:jc w:val="right"/>
              <w:rPr>
                <w:color w:val="000000"/>
                <w:sz w:val="16"/>
                <w:szCs w:val="16"/>
              </w:rPr>
            </w:pPr>
            <w:r w:rsidRPr="001F224B">
              <w:rPr>
                <w:color w:val="000000"/>
                <w:sz w:val="16"/>
                <w:szCs w:val="16"/>
              </w:rPr>
              <w:t xml:space="preserve">582.256    </w:t>
            </w:r>
          </w:p>
        </w:tc>
        <w:tc>
          <w:tcPr>
            <w:tcW w:w="1897" w:type="dxa"/>
            <w:vAlign w:val="bottom"/>
            <w:hideMark/>
          </w:tcPr>
          <w:p w14:paraId="742DD5B7" w14:textId="206D8139"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 xml:space="preserve">689.053    </w:t>
            </w:r>
          </w:p>
        </w:tc>
      </w:tr>
      <w:tr w:rsidR="00CC6C7C" w:rsidRPr="001F224B" w14:paraId="37F371CA" w14:textId="77777777" w:rsidTr="00893416">
        <w:trPr>
          <w:trHeight w:val="219"/>
        </w:trPr>
        <w:tc>
          <w:tcPr>
            <w:tcW w:w="6078" w:type="dxa"/>
            <w:vAlign w:val="bottom"/>
            <w:hideMark/>
          </w:tcPr>
          <w:p w14:paraId="6FDC9E2F"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Türev finansal araçlar ile kredi türevlerine ilişkin toplam risk tutarı</w:t>
            </w:r>
          </w:p>
        </w:tc>
        <w:tc>
          <w:tcPr>
            <w:tcW w:w="1788" w:type="dxa"/>
            <w:vAlign w:val="bottom"/>
          </w:tcPr>
          <w:p w14:paraId="7DAD6403" w14:textId="05EA186F" w:rsidR="00CC6C7C" w:rsidRPr="001F224B" w:rsidRDefault="00B33348" w:rsidP="00CC6C7C">
            <w:pPr>
              <w:jc w:val="right"/>
              <w:rPr>
                <w:color w:val="000000"/>
                <w:sz w:val="16"/>
                <w:szCs w:val="16"/>
              </w:rPr>
            </w:pPr>
            <w:r w:rsidRPr="001F224B">
              <w:rPr>
                <w:color w:val="000000"/>
                <w:sz w:val="16"/>
                <w:szCs w:val="16"/>
              </w:rPr>
              <w:t xml:space="preserve">582.256    </w:t>
            </w:r>
          </w:p>
        </w:tc>
        <w:tc>
          <w:tcPr>
            <w:tcW w:w="1897" w:type="dxa"/>
            <w:vAlign w:val="bottom"/>
            <w:hideMark/>
          </w:tcPr>
          <w:p w14:paraId="7FE2B980" w14:textId="28199605"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 xml:space="preserve">689.053    </w:t>
            </w:r>
          </w:p>
        </w:tc>
      </w:tr>
      <w:tr w:rsidR="00CC6C7C" w:rsidRPr="001F224B" w14:paraId="4D109A39" w14:textId="77777777" w:rsidTr="00893416">
        <w:trPr>
          <w:trHeight w:val="247"/>
        </w:trPr>
        <w:tc>
          <w:tcPr>
            <w:tcW w:w="6078" w:type="dxa"/>
            <w:vAlign w:val="bottom"/>
            <w:hideMark/>
          </w:tcPr>
          <w:p w14:paraId="116129D4" w14:textId="77777777" w:rsidR="00CC6C7C" w:rsidRPr="001F224B" w:rsidRDefault="00CC6C7C" w:rsidP="00CC6C7C">
            <w:pPr>
              <w:autoSpaceDE w:val="0"/>
              <w:autoSpaceDN w:val="0"/>
              <w:adjustRightInd w:val="0"/>
              <w:rPr>
                <w:b/>
                <w:bCs/>
                <w:color w:val="000000"/>
                <w:sz w:val="16"/>
                <w:szCs w:val="16"/>
              </w:rPr>
            </w:pPr>
            <w:r w:rsidRPr="001F224B">
              <w:rPr>
                <w:b/>
                <w:bCs/>
                <w:color w:val="000000"/>
                <w:sz w:val="16"/>
                <w:szCs w:val="16"/>
              </w:rPr>
              <w:t>Menkul kıymet veya emtia teminatlı finansman işlemleri</w:t>
            </w:r>
          </w:p>
        </w:tc>
        <w:tc>
          <w:tcPr>
            <w:tcW w:w="1788" w:type="dxa"/>
            <w:vAlign w:val="bottom"/>
          </w:tcPr>
          <w:p w14:paraId="578E5C84" w14:textId="77777777" w:rsidR="00CC6C7C" w:rsidRPr="001F224B" w:rsidRDefault="00CC6C7C" w:rsidP="00CC6C7C">
            <w:pPr>
              <w:jc w:val="right"/>
              <w:rPr>
                <w:color w:val="000000"/>
                <w:sz w:val="16"/>
                <w:szCs w:val="16"/>
              </w:rPr>
            </w:pPr>
          </w:p>
        </w:tc>
        <w:tc>
          <w:tcPr>
            <w:tcW w:w="1897" w:type="dxa"/>
            <w:vAlign w:val="bottom"/>
          </w:tcPr>
          <w:p w14:paraId="0B801E21" w14:textId="77777777" w:rsidR="00CC6C7C" w:rsidRPr="001F224B" w:rsidRDefault="00CC6C7C" w:rsidP="00CC6C7C">
            <w:pPr>
              <w:autoSpaceDE w:val="0"/>
              <w:autoSpaceDN w:val="0"/>
              <w:adjustRightInd w:val="0"/>
              <w:ind w:left="567"/>
              <w:jc w:val="right"/>
              <w:rPr>
                <w:color w:val="000000"/>
                <w:sz w:val="16"/>
                <w:szCs w:val="16"/>
              </w:rPr>
            </w:pPr>
          </w:p>
        </w:tc>
      </w:tr>
      <w:tr w:rsidR="00CC6C7C" w:rsidRPr="001F224B" w14:paraId="1F18C78B" w14:textId="77777777" w:rsidTr="00893416">
        <w:trPr>
          <w:trHeight w:val="257"/>
        </w:trPr>
        <w:tc>
          <w:tcPr>
            <w:tcW w:w="6078" w:type="dxa"/>
            <w:vAlign w:val="bottom"/>
            <w:hideMark/>
          </w:tcPr>
          <w:p w14:paraId="10F96C6E" w14:textId="160AA794" w:rsidR="00CC6C7C" w:rsidRPr="001F224B" w:rsidRDefault="00CC6C7C" w:rsidP="00CC6C7C">
            <w:pPr>
              <w:autoSpaceDE w:val="0"/>
              <w:autoSpaceDN w:val="0"/>
              <w:adjustRightInd w:val="0"/>
              <w:rPr>
                <w:color w:val="000000"/>
                <w:sz w:val="16"/>
                <w:szCs w:val="16"/>
              </w:rPr>
            </w:pPr>
            <w:r w:rsidRPr="001F224B">
              <w:rPr>
                <w:color w:val="000000"/>
                <w:sz w:val="16"/>
                <w:szCs w:val="16"/>
              </w:rPr>
              <w:t>Menkul kıymet veya emtia teminatlı finansman işlemlerinin risk tutarı (Bilanço içi hariç)</w:t>
            </w:r>
          </w:p>
        </w:tc>
        <w:tc>
          <w:tcPr>
            <w:tcW w:w="1788" w:type="dxa"/>
            <w:vAlign w:val="bottom"/>
          </w:tcPr>
          <w:p w14:paraId="4BC164C5" w14:textId="46FA9475" w:rsidR="00CC6C7C" w:rsidRPr="001F224B" w:rsidRDefault="00893416" w:rsidP="00CC6C7C">
            <w:pPr>
              <w:jc w:val="right"/>
              <w:rPr>
                <w:color w:val="000000"/>
                <w:sz w:val="16"/>
                <w:szCs w:val="16"/>
              </w:rPr>
            </w:pPr>
            <w:r w:rsidRPr="001F224B">
              <w:rPr>
                <w:color w:val="000000"/>
                <w:sz w:val="16"/>
                <w:szCs w:val="16"/>
              </w:rPr>
              <w:t xml:space="preserve">1.998.392    </w:t>
            </w:r>
          </w:p>
        </w:tc>
        <w:tc>
          <w:tcPr>
            <w:tcW w:w="1897" w:type="dxa"/>
            <w:vAlign w:val="bottom"/>
            <w:hideMark/>
          </w:tcPr>
          <w:p w14:paraId="5543A4DE" w14:textId="3D4B1D95"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 xml:space="preserve">1.887.654    </w:t>
            </w:r>
          </w:p>
        </w:tc>
      </w:tr>
      <w:tr w:rsidR="00CC6C7C" w:rsidRPr="001F224B" w14:paraId="7FFAB86F" w14:textId="77777777" w:rsidTr="00893416">
        <w:trPr>
          <w:trHeight w:val="205"/>
        </w:trPr>
        <w:tc>
          <w:tcPr>
            <w:tcW w:w="6078" w:type="dxa"/>
            <w:vAlign w:val="bottom"/>
            <w:hideMark/>
          </w:tcPr>
          <w:p w14:paraId="14ABF2BF"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Aracılık edilen işlemlerden kaynaklanan risk tutarı</w:t>
            </w:r>
          </w:p>
        </w:tc>
        <w:tc>
          <w:tcPr>
            <w:tcW w:w="1788" w:type="dxa"/>
            <w:vAlign w:val="bottom"/>
          </w:tcPr>
          <w:p w14:paraId="238C354C" w14:textId="1B36B763" w:rsidR="00CC6C7C" w:rsidRPr="001F224B" w:rsidRDefault="00CC6C7C" w:rsidP="00CC6C7C">
            <w:pPr>
              <w:jc w:val="right"/>
              <w:rPr>
                <w:color w:val="000000"/>
                <w:sz w:val="16"/>
                <w:szCs w:val="16"/>
              </w:rPr>
            </w:pPr>
            <w:r w:rsidRPr="001F224B">
              <w:rPr>
                <w:color w:val="000000"/>
                <w:sz w:val="16"/>
                <w:szCs w:val="16"/>
              </w:rPr>
              <w:t>-</w:t>
            </w:r>
          </w:p>
        </w:tc>
        <w:tc>
          <w:tcPr>
            <w:tcW w:w="1897" w:type="dxa"/>
            <w:vAlign w:val="bottom"/>
            <w:hideMark/>
          </w:tcPr>
          <w:p w14:paraId="54E56905" w14:textId="68408BCC"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w:t>
            </w:r>
          </w:p>
        </w:tc>
      </w:tr>
      <w:tr w:rsidR="00CC6C7C" w:rsidRPr="001F224B" w14:paraId="2FE0241F" w14:textId="77777777" w:rsidTr="00893416">
        <w:trPr>
          <w:trHeight w:val="278"/>
        </w:trPr>
        <w:tc>
          <w:tcPr>
            <w:tcW w:w="6078" w:type="dxa"/>
            <w:vAlign w:val="bottom"/>
            <w:hideMark/>
          </w:tcPr>
          <w:p w14:paraId="50826F70"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Menkul kıymet veya emtia teminatlı finansman işlemlerine ilişkin toplam risk tutarı</w:t>
            </w:r>
          </w:p>
        </w:tc>
        <w:tc>
          <w:tcPr>
            <w:tcW w:w="1788" w:type="dxa"/>
            <w:vAlign w:val="bottom"/>
          </w:tcPr>
          <w:p w14:paraId="36F9F1EE" w14:textId="060DCBD4" w:rsidR="00CC6C7C" w:rsidRPr="001F224B" w:rsidRDefault="00893416" w:rsidP="00CC6C7C">
            <w:pPr>
              <w:jc w:val="right"/>
              <w:rPr>
                <w:color w:val="000000"/>
                <w:sz w:val="16"/>
                <w:szCs w:val="16"/>
              </w:rPr>
            </w:pPr>
            <w:r w:rsidRPr="001F224B">
              <w:rPr>
                <w:color w:val="000000"/>
                <w:sz w:val="16"/>
                <w:szCs w:val="16"/>
              </w:rPr>
              <w:t xml:space="preserve">1.998.392    </w:t>
            </w:r>
          </w:p>
        </w:tc>
        <w:tc>
          <w:tcPr>
            <w:tcW w:w="1897" w:type="dxa"/>
            <w:vAlign w:val="bottom"/>
            <w:hideMark/>
          </w:tcPr>
          <w:p w14:paraId="2DC313ED" w14:textId="245E6458" w:rsidR="00CC6C7C" w:rsidRPr="001F224B" w:rsidRDefault="00CC6C7C" w:rsidP="00CC6C7C">
            <w:pPr>
              <w:autoSpaceDE w:val="0"/>
              <w:autoSpaceDN w:val="0"/>
              <w:adjustRightInd w:val="0"/>
              <w:ind w:left="567"/>
              <w:jc w:val="right"/>
              <w:rPr>
                <w:color w:val="000000"/>
                <w:sz w:val="16"/>
                <w:szCs w:val="16"/>
              </w:rPr>
            </w:pPr>
            <w:r w:rsidRPr="001F224B">
              <w:rPr>
                <w:color w:val="000000"/>
                <w:sz w:val="16"/>
                <w:szCs w:val="16"/>
              </w:rPr>
              <w:t xml:space="preserve">1.887.654    </w:t>
            </w:r>
          </w:p>
        </w:tc>
      </w:tr>
      <w:tr w:rsidR="00CC6C7C" w:rsidRPr="001F224B" w14:paraId="30F8AB2B" w14:textId="77777777" w:rsidTr="00893416">
        <w:trPr>
          <w:trHeight w:val="193"/>
        </w:trPr>
        <w:tc>
          <w:tcPr>
            <w:tcW w:w="6078" w:type="dxa"/>
            <w:vAlign w:val="bottom"/>
            <w:hideMark/>
          </w:tcPr>
          <w:p w14:paraId="44D67581" w14:textId="77777777" w:rsidR="00CC6C7C" w:rsidRPr="001F224B" w:rsidRDefault="00CC6C7C" w:rsidP="00CC6C7C">
            <w:pPr>
              <w:autoSpaceDE w:val="0"/>
              <w:autoSpaceDN w:val="0"/>
              <w:adjustRightInd w:val="0"/>
              <w:rPr>
                <w:b/>
                <w:bCs/>
                <w:color w:val="000000"/>
                <w:sz w:val="16"/>
                <w:szCs w:val="16"/>
              </w:rPr>
            </w:pPr>
            <w:r w:rsidRPr="001F224B">
              <w:rPr>
                <w:b/>
                <w:bCs/>
                <w:color w:val="000000"/>
                <w:sz w:val="16"/>
                <w:szCs w:val="16"/>
              </w:rPr>
              <w:t>Bilanço dışı işlemler</w:t>
            </w:r>
          </w:p>
        </w:tc>
        <w:tc>
          <w:tcPr>
            <w:tcW w:w="1788" w:type="dxa"/>
            <w:vAlign w:val="bottom"/>
          </w:tcPr>
          <w:p w14:paraId="7266B133" w14:textId="2E7350EF" w:rsidR="00CC6C7C" w:rsidRPr="001F224B" w:rsidRDefault="00CC6C7C" w:rsidP="00CC6C7C">
            <w:pPr>
              <w:jc w:val="right"/>
              <w:rPr>
                <w:color w:val="000000"/>
                <w:sz w:val="16"/>
                <w:szCs w:val="16"/>
              </w:rPr>
            </w:pPr>
          </w:p>
        </w:tc>
        <w:tc>
          <w:tcPr>
            <w:tcW w:w="1897" w:type="dxa"/>
            <w:vAlign w:val="bottom"/>
            <w:hideMark/>
          </w:tcPr>
          <w:p w14:paraId="68A8DB79" w14:textId="18F4AEAD" w:rsidR="00CC6C7C" w:rsidRPr="001F224B" w:rsidRDefault="00CC6C7C" w:rsidP="00CC6C7C">
            <w:pPr>
              <w:autoSpaceDE w:val="0"/>
              <w:autoSpaceDN w:val="0"/>
              <w:adjustRightInd w:val="0"/>
              <w:ind w:left="567"/>
              <w:jc w:val="right"/>
              <w:rPr>
                <w:color w:val="000000"/>
                <w:sz w:val="16"/>
                <w:szCs w:val="16"/>
              </w:rPr>
            </w:pPr>
          </w:p>
        </w:tc>
      </w:tr>
      <w:tr w:rsidR="00893416" w:rsidRPr="001F224B" w14:paraId="2A0122A7" w14:textId="77777777" w:rsidTr="00893416">
        <w:trPr>
          <w:trHeight w:val="102"/>
        </w:trPr>
        <w:tc>
          <w:tcPr>
            <w:tcW w:w="6078" w:type="dxa"/>
            <w:vAlign w:val="bottom"/>
            <w:hideMark/>
          </w:tcPr>
          <w:p w14:paraId="4ECB4DE9" w14:textId="77777777" w:rsidR="00893416" w:rsidRPr="001F224B" w:rsidRDefault="00893416" w:rsidP="00893416">
            <w:pPr>
              <w:autoSpaceDE w:val="0"/>
              <w:autoSpaceDN w:val="0"/>
              <w:adjustRightInd w:val="0"/>
              <w:rPr>
                <w:color w:val="000000"/>
                <w:sz w:val="16"/>
                <w:szCs w:val="16"/>
              </w:rPr>
            </w:pPr>
            <w:r w:rsidRPr="001F224B">
              <w:rPr>
                <w:color w:val="000000"/>
                <w:sz w:val="16"/>
                <w:szCs w:val="16"/>
              </w:rPr>
              <w:t>Bilanço dışı işlemlerin brüt nominal tutarı</w:t>
            </w:r>
          </w:p>
        </w:tc>
        <w:tc>
          <w:tcPr>
            <w:tcW w:w="1788" w:type="dxa"/>
            <w:vAlign w:val="bottom"/>
          </w:tcPr>
          <w:p w14:paraId="6878D3CF" w14:textId="6063887A"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 22.003.411    </w:t>
            </w:r>
          </w:p>
        </w:tc>
        <w:tc>
          <w:tcPr>
            <w:tcW w:w="1897" w:type="dxa"/>
            <w:vAlign w:val="bottom"/>
            <w:hideMark/>
          </w:tcPr>
          <w:p w14:paraId="7E62A92D" w14:textId="2949B27F"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 29.372.482    </w:t>
            </w:r>
          </w:p>
        </w:tc>
      </w:tr>
      <w:tr w:rsidR="00893416" w:rsidRPr="001F224B" w14:paraId="04724797" w14:textId="77777777" w:rsidTr="00893416">
        <w:trPr>
          <w:trHeight w:val="221"/>
        </w:trPr>
        <w:tc>
          <w:tcPr>
            <w:tcW w:w="6078" w:type="dxa"/>
            <w:vAlign w:val="bottom"/>
            <w:hideMark/>
          </w:tcPr>
          <w:p w14:paraId="089B2B86" w14:textId="77777777" w:rsidR="00893416" w:rsidRPr="001F224B" w:rsidRDefault="00893416" w:rsidP="00893416">
            <w:pPr>
              <w:autoSpaceDE w:val="0"/>
              <w:autoSpaceDN w:val="0"/>
              <w:adjustRightInd w:val="0"/>
              <w:rPr>
                <w:color w:val="000000"/>
                <w:sz w:val="16"/>
                <w:szCs w:val="16"/>
              </w:rPr>
            </w:pPr>
            <w:r w:rsidRPr="001F224B">
              <w:rPr>
                <w:color w:val="000000"/>
                <w:sz w:val="16"/>
                <w:szCs w:val="16"/>
              </w:rPr>
              <w:t>(Krediye dönüştürme oranları ile çarpımdan kaynaklanan düzeltme tutarı)</w:t>
            </w:r>
          </w:p>
        </w:tc>
        <w:tc>
          <w:tcPr>
            <w:tcW w:w="1788" w:type="dxa"/>
            <w:vAlign w:val="bottom"/>
          </w:tcPr>
          <w:p w14:paraId="43E178C3" w14:textId="08070A29"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(13.608.933)    </w:t>
            </w:r>
          </w:p>
        </w:tc>
        <w:tc>
          <w:tcPr>
            <w:tcW w:w="1897" w:type="dxa"/>
            <w:vAlign w:val="bottom"/>
            <w:hideMark/>
          </w:tcPr>
          <w:p w14:paraId="3BE2BCD0" w14:textId="4F54AB72"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(21.229.692)    </w:t>
            </w:r>
          </w:p>
        </w:tc>
      </w:tr>
      <w:tr w:rsidR="00893416" w:rsidRPr="001F224B" w14:paraId="647AFF73" w14:textId="77777777" w:rsidTr="00893416">
        <w:trPr>
          <w:trHeight w:val="95"/>
        </w:trPr>
        <w:tc>
          <w:tcPr>
            <w:tcW w:w="6078" w:type="dxa"/>
            <w:vAlign w:val="bottom"/>
            <w:hideMark/>
          </w:tcPr>
          <w:p w14:paraId="2F311F08" w14:textId="77777777" w:rsidR="00893416" w:rsidRPr="001F224B" w:rsidRDefault="00893416" w:rsidP="00893416">
            <w:pPr>
              <w:autoSpaceDE w:val="0"/>
              <w:autoSpaceDN w:val="0"/>
              <w:adjustRightInd w:val="0"/>
              <w:rPr>
                <w:color w:val="000000"/>
                <w:sz w:val="16"/>
                <w:szCs w:val="16"/>
              </w:rPr>
            </w:pPr>
            <w:r w:rsidRPr="001F224B">
              <w:rPr>
                <w:color w:val="000000"/>
                <w:sz w:val="16"/>
                <w:szCs w:val="16"/>
              </w:rPr>
              <w:t>Bilanço dışı işlemlere ilişkin toplam risk tutarı</w:t>
            </w:r>
          </w:p>
        </w:tc>
        <w:tc>
          <w:tcPr>
            <w:tcW w:w="1788" w:type="dxa"/>
            <w:vAlign w:val="bottom"/>
          </w:tcPr>
          <w:p w14:paraId="0A805212" w14:textId="1F8D0023"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 8.394.478    </w:t>
            </w:r>
          </w:p>
        </w:tc>
        <w:tc>
          <w:tcPr>
            <w:tcW w:w="1897" w:type="dxa"/>
            <w:vAlign w:val="bottom"/>
            <w:hideMark/>
          </w:tcPr>
          <w:p w14:paraId="77D9400C" w14:textId="464F2F1D"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 8.142.790    </w:t>
            </w:r>
          </w:p>
        </w:tc>
      </w:tr>
      <w:tr w:rsidR="00B33348" w:rsidRPr="001F224B" w14:paraId="7CE446AF" w14:textId="77777777" w:rsidTr="00893416">
        <w:trPr>
          <w:trHeight w:val="196"/>
        </w:trPr>
        <w:tc>
          <w:tcPr>
            <w:tcW w:w="6078" w:type="dxa"/>
            <w:vAlign w:val="bottom"/>
            <w:hideMark/>
          </w:tcPr>
          <w:p w14:paraId="5DA6B89D" w14:textId="77777777" w:rsidR="00B33348" w:rsidRPr="001F224B" w:rsidRDefault="00B33348" w:rsidP="00B33348">
            <w:pPr>
              <w:autoSpaceDE w:val="0"/>
              <w:autoSpaceDN w:val="0"/>
              <w:adjustRightInd w:val="0"/>
              <w:rPr>
                <w:b/>
                <w:bCs/>
                <w:color w:val="000000"/>
                <w:sz w:val="16"/>
                <w:szCs w:val="16"/>
              </w:rPr>
            </w:pPr>
            <w:r w:rsidRPr="001F224B">
              <w:rPr>
                <w:b/>
                <w:bCs/>
                <w:color w:val="000000"/>
                <w:sz w:val="16"/>
                <w:szCs w:val="16"/>
              </w:rPr>
              <w:t>Sermaye ve toplam risk</w:t>
            </w:r>
          </w:p>
        </w:tc>
        <w:tc>
          <w:tcPr>
            <w:tcW w:w="1788" w:type="dxa"/>
            <w:vAlign w:val="bottom"/>
          </w:tcPr>
          <w:p w14:paraId="60055712" w14:textId="0DCCBF6A" w:rsidR="00B33348" w:rsidRPr="001F224B" w:rsidRDefault="00B33348" w:rsidP="00B33348">
            <w:pPr>
              <w:jc w:val="right"/>
              <w:rPr>
                <w:color w:val="000000"/>
                <w:sz w:val="16"/>
                <w:szCs w:val="16"/>
              </w:rPr>
            </w:pPr>
            <w:r w:rsidRPr="001F224B">
              <w:rPr>
                <w:color w:val="000000"/>
                <w:sz w:val="16"/>
                <w:szCs w:val="16"/>
              </w:rPr>
              <w:t xml:space="preserve"> </w:t>
            </w:r>
          </w:p>
        </w:tc>
        <w:tc>
          <w:tcPr>
            <w:tcW w:w="1897" w:type="dxa"/>
            <w:vAlign w:val="bottom"/>
          </w:tcPr>
          <w:p w14:paraId="47EA26EE" w14:textId="77777777" w:rsidR="00B33348" w:rsidRPr="001F224B" w:rsidRDefault="00B33348" w:rsidP="00B33348">
            <w:pPr>
              <w:autoSpaceDE w:val="0"/>
              <w:autoSpaceDN w:val="0"/>
              <w:adjustRightInd w:val="0"/>
              <w:ind w:left="567"/>
              <w:jc w:val="right"/>
              <w:rPr>
                <w:color w:val="000000"/>
                <w:sz w:val="16"/>
                <w:szCs w:val="16"/>
              </w:rPr>
            </w:pPr>
          </w:p>
        </w:tc>
      </w:tr>
      <w:tr w:rsidR="00893416" w:rsidRPr="001F224B" w14:paraId="06DC7E43" w14:textId="77777777" w:rsidTr="00893416">
        <w:trPr>
          <w:trHeight w:val="129"/>
        </w:trPr>
        <w:tc>
          <w:tcPr>
            <w:tcW w:w="6078" w:type="dxa"/>
            <w:vAlign w:val="bottom"/>
            <w:hideMark/>
          </w:tcPr>
          <w:p w14:paraId="5C7899B0" w14:textId="77777777" w:rsidR="00893416" w:rsidRPr="001F224B" w:rsidRDefault="00893416" w:rsidP="00893416">
            <w:pPr>
              <w:autoSpaceDE w:val="0"/>
              <w:autoSpaceDN w:val="0"/>
              <w:adjustRightInd w:val="0"/>
              <w:rPr>
                <w:color w:val="000000"/>
                <w:sz w:val="16"/>
                <w:szCs w:val="16"/>
              </w:rPr>
            </w:pPr>
            <w:r w:rsidRPr="001F224B">
              <w:rPr>
                <w:color w:val="000000"/>
                <w:sz w:val="16"/>
                <w:szCs w:val="16"/>
              </w:rPr>
              <w:t>Ana sermaye</w:t>
            </w:r>
          </w:p>
        </w:tc>
        <w:tc>
          <w:tcPr>
            <w:tcW w:w="1788" w:type="dxa"/>
            <w:vAlign w:val="bottom"/>
          </w:tcPr>
          <w:p w14:paraId="19ACE75B" w14:textId="51B4DF00" w:rsidR="00893416" w:rsidRPr="001F224B" w:rsidRDefault="00893416" w:rsidP="00893416">
            <w:pPr>
              <w:jc w:val="right"/>
              <w:rPr>
                <w:color w:val="000000"/>
                <w:sz w:val="16"/>
                <w:szCs w:val="16"/>
              </w:rPr>
            </w:pPr>
            <w:r w:rsidRPr="001F224B">
              <w:rPr>
                <w:color w:val="000000"/>
                <w:sz w:val="16"/>
                <w:szCs w:val="16"/>
              </w:rPr>
              <w:t xml:space="preserve"> 25.652.056    </w:t>
            </w:r>
          </w:p>
        </w:tc>
        <w:tc>
          <w:tcPr>
            <w:tcW w:w="1897" w:type="dxa"/>
            <w:vAlign w:val="bottom"/>
            <w:hideMark/>
          </w:tcPr>
          <w:p w14:paraId="19344F8C" w14:textId="398B3B34"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 24.062.722    </w:t>
            </w:r>
          </w:p>
        </w:tc>
      </w:tr>
      <w:tr w:rsidR="00893416" w:rsidRPr="001F224B" w14:paraId="49AE1C58" w14:textId="77777777" w:rsidTr="00893416">
        <w:trPr>
          <w:trHeight w:val="75"/>
        </w:trPr>
        <w:tc>
          <w:tcPr>
            <w:tcW w:w="6078" w:type="dxa"/>
            <w:vAlign w:val="bottom"/>
            <w:hideMark/>
          </w:tcPr>
          <w:p w14:paraId="53E47FFE" w14:textId="77777777" w:rsidR="00893416" w:rsidRPr="001F224B" w:rsidRDefault="00893416" w:rsidP="00893416">
            <w:pPr>
              <w:autoSpaceDE w:val="0"/>
              <w:autoSpaceDN w:val="0"/>
              <w:adjustRightInd w:val="0"/>
              <w:rPr>
                <w:color w:val="000000"/>
                <w:sz w:val="16"/>
                <w:szCs w:val="16"/>
              </w:rPr>
            </w:pPr>
            <w:r w:rsidRPr="001F224B">
              <w:rPr>
                <w:color w:val="000000"/>
                <w:sz w:val="16"/>
                <w:szCs w:val="16"/>
              </w:rPr>
              <w:t>Toplam risk tutarı</w:t>
            </w:r>
          </w:p>
        </w:tc>
        <w:tc>
          <w:tcPr>
            <w:tcW w:w="1788" w:type="dxa"/>
            <w:vAlign w:val="bottom"/>
          </w:tcPr>
          <w:p w14:paraId="000F2133" w14:textId="694383CC" w:rsidR="00893416" w:rsidRPr="001F224B" w:rsidRDefault="00893416" w:rsidP="00893416">
            <w:pPr>
              <w:jc w:val="right"/>
              <w:rPr>
                <w:color w:val="000000"/>
                <w:sz w:val="16"/>
                <w:szCs w:val="16"/>
              </w:rPr>
            </w:pPr>
            <w:r w:rsidRPr="001F224B">
              <w:rPr>
                <w:color w:val="000000"/>
                <w:sz w:val="16"/>
                <w:szCs w:val="16"/>
              </w:rPr>
              <w:t xml:space="preserve"> 189.389.087    </w:t>
            </w:r>
          </w:p>
        </w:tc>
        <w:tc>
          <w:tcPr>
            <w:tcW w:w="1897" w:type="dxa"/>
            <w:vAlign w:val="bottom"/>
            <w:hideMark/>
          </w:tcPr>
          <w:p w14:paraId="5F79408C" w14:textId="7C65A6B1" w:rsidR="00893416" w:rsidRPr="001F224B" w:rsidRDefault="00893416" w:rsidP="00893416">
            <w:pPr>
              <w:autoSpaceDE w:val="0"/>
              <w:autoSpaceDN w:val="0"/>
              <w:adjustRightInd w:val="0"/>
              <w:ind w:left="567"/>
              <w:jc w:val="right"/>
              <w:rPr>
                <w:color w:val="000000"/>
                <w:sz w:val="16"/>
                <w:szCs w:val="16"/>
              </w:rPr>
            </w:pPr>
            <w:r w:rsidRPr="001F224B">
              <w:rPr>
                <w:color w:val="000000"/>
                <w:sz w:val="16"/>
                <w:szCs w:val="16"/>
              </w:rPr>
              <w:t xml:space="preserve"> 163.359.197    </w:t>
            </w:r>
          </w:p>
        </w:tc>
      </w:tr>
      <w:tr w:rsidR="00CC6C7C" w:rsidRPr="001F224B" w14:paraId="05FE0E61" w14:textId="77777777" w:rsidTr="00893416">
        <w:trPr>
          <w:trHeight w:val="198"/>
        </w:trPr>
        <w:tc>
          <w:tcPr>
            <w:tcW w:w="6078" w:type="dxa"/>
            <w:vAlign w:val="bottom"/>
            <w:hideMark/>
          </w:tcPr>
          <w:p w14:paraId="37822925" w14:textId="77777777" w:rsidR="00CC6C7C" w:rsidRPr="001F224B" w:rsidRDefault="00CC6C7C" w:rsidP="00CC6C7C">
            <w:pPr>
              <w:autoSpaceDE w:val="0"/>
              <w:autoSpaceDN w:val="0"/>
              <w:adjustRightInd w:val="0"/>
              <w:rPr>
                <w:b/>
                <w:bCs/>
                <w:color w:val="000000"/>
                <w:sz w:val="16"/>
                <w:szCs w:val="16"/>
              </w:rPr>
            </w:pPr>
            <w:r w:rsidRPr="001F224B">
              <w:rPr>
                <w:b/>
                <w:bCs/>
                <w:color w:val="000000"/>
                <w:sz w:val="16"/>
                <w:szCs w:val="16"/>
              </w:rPr>
              <w:t>Kaldıraç oranı</w:t>
            </w:r>
          </w:p>
        </w:tc>
        <w:tc>
          <w:tcPr>
            <w:tcW w:w="1788" w:type="dxa"/>
            <w:vAlign w:val="bottom"/>
          </w:tcPr>
          <w:p w14:paraId="17714DBB" w14:textId="489CF6D5" w:rsidR="00CC6C7C" w:rsidRPr="001F224B" w:rsidRDefault="00CC6C7C" w:rsidP="00CC6C7C">
            <w:pPr>
              <w:jc w:val="right"/>
              <w:rPr>
                <w:color w:val="000000"/>
                <w:sz w:val="16"/>
                <w:szCs w:val="16"/>
              </w:rPr>
            </w:pPr>
          </w:p>
        </w:tc>
        <w:tc>
          <w:tcPr>
            <w:tcW w:w="1897" w:type="dxa"/>
            <w:vAlign w:val="bottom"/>
          </w:tcPr>
          <w:p w14:paraId="70BFB7E0" w14:textId="77777777" w:rsidR="00CC6C7C" w:rsidRPr="001F224B" w:rsidRDefault="00CC6C7C" w:rsidP="00CC6C7C">
            <w:pPr>
              <w:autoSpaceDE w:val="0"/>
              <w:autoSpaceDN w:val="0"/>
              <w:adjustRightInd w:val="0"/>
              <w:ind w:left="567"/>
              <w:jc w:val="right"/>
              <w:rPr>
                <w:color w:val="000000"/>
                <w:sz w:val="16"/>
                <w:szCs w:val="16"/>
              </w:rPr>
            </w:pPr>
          </w:p>
        </w:tc>
      </w:tr>
      <w:tr w:rsidR="00CC6C7C" w:rsidRPr="001F224B" w14:paraId="1AB26054" w14:textId="77777777" w:rsidTr="00893416">
        <w:trPr>
          <w:trHeight w:val="58"/>
        </w:trPr>
        <w:tc>
          <w:tcPr>
            <w:tcW w:w="6078" w:type="dxa"/>
            <w:vAlign w:val="bottom"/>
            <w:hideMark/>
          </w:tcPr>
          <w:p w14:paraId="7E7A5868" w14:textId="77777777" w:rsidR="00CC6C7C" w:rsidRPr="001F224B" w:rsidRDefault="00CC6C7C" w:rsidP="00CC6C7C">
            <w:pPr>
              <w:autoSpaceDE w:val="0"/>
              <w:autoSpaceDN w:val="0"/>
              <w:adjustRightInd w:val="0"/>
              <w:rPr>
                <w:color w:val="000000"/>
                <w:sz w:val="16"/>
                <w:szCs w:val="16"/>
              </w:rPr>
            </w:pPr>
            <w:r w:rsidRPr="001F224B">
              <w:rPr>
                <w:color w:val="000000"/>
                <w:sz w:val="16"/>
                <w:szCs w:val="16"/>
              </w:rPr>
              <w:t>Kaldıraç oranı</w:t>
            </w:r>
          </w:p>
        </w:tc>
        <w:tc>
          <w:tcPr>
            <w:tcW w:w="1788" w:type="dxa"/>
            <w:vAlign w:val="bottom"/>
          </w:tcPr>
          <w:p w14:paraId="369E7E53" w14:textId="346DD7BD" w:rsidR="00CC6C7C" w:rsidRPr="001F224B" w:rsidRDefault="00893416" w:rsidP="00CC6C7C">
            <w:pPr>
              <w:jc w:val="right"/>
              <w:rPr>
                <w:bCs/>
                <w:color w:val="000000"/>
                <w:sz w:val="16"/>
                <w:szCs w:val="16"/>
              </w:rPr>
            </w:pPr>
            <w:r w:rsidRPr="001F224B">
              <w:rPr>
                <w:bCs/>
                <w:color w:val="000000"/>
                <w:sz w:val="16"/>
                <w:szCs w:val="16"/>
              </w:rPr>
              <w:t>13,51</w:t>
            </w:r>
          </w:p>
        </w:tc>
        <w:tc>
          <w:tcPr>
            <w:tcW w:w="1897" w:type="dxa"/>
            <w:vAlign w:val="bottom"/>
            <w:hideMark/>
          </w:tcPr>
          <w:p w14:paraId="79610965" w14:textId="69669778" w:rsidR="00CC6C7C" w:rsidRPr="001F224B" w:rsidRDefault="00CC6C7C" w:rsidP="00CC6C7C">
            <w:pPr>
              <w:autoSpaceDE w:val="0"/>
              <w:autoSpaceDN w:val="0"/>
              <w:adjustRightInd w:val="0"/>
              <w:ind w:left="567"/>
              <w:jc w:val="right"/>
              <w:rPr>
                <w:bCs/>
                <w:color w:val="000000"/>
                <w:sz w:val="16"/>
                <w:szCs w:val="16"/>
              </w:rPr>
            </w:pPr>
            <w:r w:rsidRPr="001F224B">
              <w:rPr>
                <w:bCs/>
                <w:color w:val="000000"/>
                <w:sz w:val="16"/>
                <w:szCs w:val="16"/>
              </w:rPr>
              <w:t>14,73</w:t>
            </w:r>
          </w:p>
        </w:tc>
      </w:tr>
    </w:tbl>
    <w:p w14:paraId="2AF9C329" w14:textId="77777777" w:rsidR="00DE7F91" w:rsidRPr="001F224B" w:rsidRDefault="0093788B" w:rsidP="00B13450">
      <w:pPr>
        <w:autoSpaceDE w:val="0"/>
        <w:autoSpaceDN w:val="0"/>
        <w:adjustRightInd w:val="0"/>
        <w:spacing w:before="60"/>
        <w:jc w:val="both"/>
        <w:rPr>
          <w:bCs/>
          <w:color w:val="000000"/>
          <w:sz w:val="18"/>
          <w:szCs w:val="18"/>
        </w:rPr>
      </w:pPr>
      <w:r w:rsidRPr="001F224B">
        <w:rPr>
          <w:bCs/>
          <w:color w:val="000000"/>
          <w:sz w:val="18"/>
          <w:szCs w:val="18"/>
          <w:vertAlign w:val="superscript"/>
        </w:rPr>
        <w:t>(*)</w:t>
      </w:r>
      <w:r w:rsidRPr="001F224B">
        <w:rPr>
          <w:bCs/>
          <w:color w:val="000000"/>
          <w:sz w:val="18"/>
          <w:szCs w:val="18"/>
        </w:rPr>
        <w:t xml:space="preserve"> Son üç aylık finansal tablo verilerinin ortalaması alınarak hesaplanmıştır.</w:t>
      </w:r>
    </w:p>
    <w:p w14:paraId="610E3367" w14:textId="361CEB47" w:rsidR="00DE7F91" w:rsidRPr="001F224B" w:rsidRDefault="00DE7F91" w:rsidP="00B13450">
      <w:pPr>
        <w:autoSpaceDE w:val="0"/>
        <w:autoSpaceDN w:val="0"/>
        <w:adjustRightInd w:val="0"/>
        <w:spacing w:before="60"/>
        <w:jc w:val="both"/>
        <w:rPr>
          <w:bCs/>
          <w:color w:val="000000"/>
          <w:sz w:val="18"/>
          <w:szCs w:val="18"/>
        </w:rPr>
      </w:pPr>
    </w:p>
    <w:p w14:paraId="0E7AD032" w14:textId="5D0BC7C9" w:rsidR="001E6E12" w:rsidRPr="001F224B" w:rsidRDefault="001E6E12" w:rsidP="00B13450">
      <w:pPr>
        <w:autoSpaceDE w:val="0"/>
        <w:autoSpaceDN w:val="0"/>
        <w:adjustRightInd w:val="0"/>
        <w:spacing w:before="60"/>
        <w:jc w:val="both"/>
        <w:rPr>
          <w:bCs/>
          <w:color w:val="000000"/>
          <w:sz w:val="18"/>
          <w:szCs w:val="18"/>
        </w:rPr>
      </w:pPr>
    </w:p>
    <w:p w14:paraId="73DA29C5" w14:textId="053D286F" w:rsidR="001E3833" w:rsidRPr="001F224B" w:rsidRDefault="001E3833" w:rsidP="00CC6C7C">
      <w:pPr>
        <w:tabs>
          <w:tab w:val="left" w:pos="602"/>
        </w:tabs>
        <w:spacing w:before="120"/>
        <w:rPr>
          <w:b/>
          <w:sz w:val="22"/>
          <w:szCs w:val="22"/>
        </w:rPr>
      </w:pPr>
    </w:p>
    <w:p w14:paraId="70AADCD0" w14:textId="77777777" w:rsidR="001A36F6" w:rsidRPr="001F224B" w:rsidRDefault="001A36F6" w:rsidP="001A36F6">
      <w:pPr>
        <w:pStyle w:val="ListParagraph"/>
        <w:tabs>
          <w:tab w:val="left" w:pos="0"/>
        </w:tabs>
        <w:spacing w:before="120"/>
        <w:ind w:left="0"/>
        <w:rPr>
          <w:b/>
          <w:bCs/>
          <w:sz w:val="22"/>
          <w:szCs w:val="22"/>
        </w:rPr>
      </w:pPr>
      <w:r w:rsidRPr="001F224B">
        <w:rPr>
          <w:b/>
          <w:bCs/>
          <w:sz w:val="22"/>
          <w:szCs w:val="22"/>
        </w:rPr>
        <w:t>DÖRDÜNCÜ BÖLÜM (Devamı)</w:t>
      </w:r>
    </w:p>
    <w:p w14:paraId="65E6178A" w14:textId="77777777" w:rsidR="001A36F6" w:rsidRPr="001F224B" w:rsidRDefault="001A36F6" w:rsidP="001A36F6">
      <w:pPr>
        <w:pStyle w:val="ListParagraph"/>
        <w:tabs>
          <w:tab w:val="left" w:pos="0"/>
        </w:tabs>
        <w:spacing w:before="120" w:after="120"/>
        <w:ind w:left="0"/>
        <w:rPr>
          <w:b/>
          <w:bCs/>
          <w:sz w:val="22"/>
          <w:szCs w:val="22"/>
        </w:rPr>
      </w:pPr>
      <w:r w:rsidRPr="001F224B">
        <w:rPr>
          <w:b/>
          <w:bCs/>
          <w:sz w:val="22"/>
          <w:szCs w:val="22"/>
        </w:rPr>
        <w:t>KONSOLİDE MALİ BÜNYE VE RİSK YÖNETİMİNE İLİŞKİN BİLGİLER (Devamı)</w:t>
      </w:r>
    </w:p>
    <w:p w14:paraId="46C1028E" w14:textId="16480486" w:rsidR="000835D4" w:rsidRPr="001F224B" w:rsidRDefault="000835D4" w:rsidP="000835D4">
      <w:pPr>
        <w:tabs>
          <w:tab w:val="left" w:pos="602"/>
        </w:tabs>
        <w:spacing w:before="120"/>
        <w:rPr>
          <w:b/>
          <w:sz w:val="22"/>
          <w:szCs w:val="22"/>
        </w:rPr>
      </w:pPr>
      <w:r w:rsidRPr="001F224B">
        <w:rPr>
          <w:b/>
          <w:sz w:val="22"/>
          <w:szCs w:val="22"/>
        </w:rPr>
        <w:t>Ⅶ.</w:t>
      </w:r>
      <w:r w:rsidRPr="001F224B">
        <w:rPr>
          <w:i/>
          <w:sz w:val="22"/>
          <w:szCs w:val="22"/>
        </w:rPr>
        <w:tab/>
      </w:r>
      <w:r w:rsidRPr="001F224B">
        <w:rPr>
          <w:b/>
          <w:sz w:val="22"/>
          <w:szCs w:val="22"/>
        </w:rPr>
        <w:t xml:space="preserve">Konsolide risk yönetimine ilişkin açıklamalar </w:t>
      </w:r>
    </w:p>
    <w:p w14:paraId="7B71AC17" w14:textId="170C2925" w:rsidR="001A36F6" w:rsidRPr="001F224B" w:rsidRDefault="001A36F6" w:rsidP="001A36F6">
      <w:pPr>
        <w:spacing w:before="120"/>
        <w:ind w:left="588"/>
        <w:jc w:val="both"/>
        <w:rPr>
          <w:rFonts w:eastAsia="Calibri"/>
          <w:b/>
          <w:sz w:val="22"/>
          <w:szCs w:val="22"/>
          <w:lang w:val="en-US" w:eastAsia="en-US"/>
        </w:rPr>
      </w:pPr>
      <w:r w:rsidRPr="001F224B">
        <w:rPr>
          <w:rFonts w:eastAsia="Calibri"/>
          <w:b/>
          <w:sz w:val="22"/>
          <w:szCs w:val="22"/>
          <w:lang w:val="en-US" w:eastAsia="en-US"/>
        </w:rPr>
        <w:t xml:space="preserve">1. Risk </w:t>
      </w:r>
      <w:proofErr w:type="spellStart"/>
      <w:r w:rsidRPr="001F224B">
        <w:rPr>
          <w:rFonts w:eastAsia="Calibri"/>
          <w:b/>
          <w:sz w:val="22"/>
          <w:szCs w:val="22"/>
          <w:lang w:val="en-US" w:eastAsia="en-US"/>
        </w:rPr>
        <w:t>yönetimi</w:t>
      </w:r>
      <w:proofErr w:type="spellEnd"/>
      <w:r w:rsidRPr="001F224B">
        <w:rPr>
          <w:rFonts w:eastAsia="Calibri"/>
          <w:b/>
          <w:sz w:val="22"/>
          <w:szCs w:val="22"/>
          <w:lang w:val="en-US" w:eastAsia="en-US"/>
        </w:rPr>
        <w:t xml:space="preserve"> ve risk </w:t>
      </w:r>
      <w:proofErr w:type="spellStart"/>
      <w:r w:rsidRPr="001F224B">
        <w:rPr>
          <w:rFonts w:eastAsia="Calibri"/>
          <w:b/>
          <w:sz w:val="22"/>
          <w:szCs w:val="22"/>
          <w:lang w:val="en-US" w:eastAsia="en-US"/>
        </w:rPr>
        <w:t>ağırlıklı</w:t>
      </w:r>
      <w:proofErr w:type="spellEnd"/>
      <w:r w:rsidRPr="001F224B">
        <w:rPr>
          <w:rFonts w:eastAsia="Calibri"/>
          <w:b/>
          <w:sz w:val="22"/>
          <w:szCs w:val="22"/>
          <w:lang w:val="en-US" w:eastAsia="en-US"/>
        </w:rPr>
        <w:t xml:space="preserve"> </w:t>
      </w:r>
      <w:proofErr w:type="spellStart"/>
      <w:r w:rsidRPr="001F224B">
        <w:rPr>
          <w:rFonts w:eastAsia="Calibri"/>
          <w:b/>
          <w:sz w:val="22"/>
          <w:szCs w:val="22"/>
          <w:lang w:val="en-US" w:eastAsia="en-US"/>
        </w:rPr>
        <w:t>tutarlara</w:t>
      </w:r>
      <w:proofErr w:type="spellEnd"/>
      <w:r w:rsidRPr="001F224B">
        <w:rPr>
          <w:rFonts w:eastAsia="Calibri"/>
          <w:b/>
          <w:sz w:val="22"/>
          <w:szCs w:val="22"/>
          <w:lang w:val="en-US" w:eastAsia="en-US"/>
        </w:rPr>
        <w:t xml:space="preserve"> </w:t>
      </w:r>
      <w:proofErr w:type="spellStart"/>
      <w:r w:rsidRPr="001F224B">
        <w:rPr>
          <w:rFonts w:eastAsia="Calibri"/>
          <w:b/>
          <w:sz w:val="22"/>
          <w:szCs w:val="22"/>
          <w:lang w:val="en-US" w:eastAsia="en-US"/>
        </w:rPr>
        <w:t>ilişkin</w:t>
      </w:r>
      <w:proofErr w:type="spellEnd"/>
      <w:r w:rsidRPr="001F224B">
        <w:rPr>
          <w:rFonts w:eastAsia="Calibri"/>
          <w:b/>
          <w:sz w:val="22"/>
          <w:szCs w:val="22"/>
          <w:lang w:val="en-US" w:eastAsia="en-US"/>
        </w:rPr>
        <w:t xml:space="preserve"> </w:t>
      </w:r>
      <w:proofErr w:type="spellStart"/>
      <w:r w:rsidRPr="001F224B">
        <w:rPr>
          <w:rFonts w:eastAsia="Calibri"/>
          <w:b/>
          <w:sz w:val="22"/>
          <w:szCs w:val="22"/>
          <w:lang w:val="en-US" w:eastAsia="en-US"/>
        </w:rPr>
        <w:t>genel</w:t>
      </w:r>
      <w:proofErr w:type="spellEnd"/>
      <w:r w:rsidRPr="001F224B">
        <w:rPr>
          <w:rFonts w:eastAsia="Calibri"/>
          <w:b/>
          <w:sz w:val="22"/>
          <w:szCs w:val="22"/>
          <w:lang w:val="en-US" w:eastAsia="en-US"/>
        </w:rPr>
        <w:t xml:space="preserve"> </w:t>
      </w:r>
      <w:proofErr w:type="spellStart"/>
      <w:r w:rsidRPr="001F224B">
        <w:rPr>
          <w:rFonts w:eastAsia="Calibri"/>
          <w:b/>
          <w:sz w:val="22"/>
          <w:szCs w:val="22"/>
          <w:lang w:val="en-US" w:eastAsia="en-US"/>
        </w:rPr>
        <w:t>açıklamalar</w:t>
      </w:r>
      <w:proofErr w:type="spellEnd"/>
      <w:r w:rsidR="001B20D3" w:rsidRPr="001F224B">
        <w:rPr>
          <w:rFonts w:eastAsia="Calibri"/>
          <w:b/>
          <w:sz w:val="22"/>
          <w:szCs w:val="22"/>
          <w:lang w:val="en-US" w:eastAsia="en-US"/>
        </w:rPr>
        <w:t xml:space="preserve"> </w:t>
      </w:r>
      <w:r w:rsidR="001B20D3" w:rsidRPr="001F224B">
        <w:rPr>
          <w:b/>
          <w:bCs/>
          <w:sz w:val="22"/>
          <w:szCs w:val="22"/>
        </w:rPr>
        <w:t>(Devamı)</w:t>
      </w:r>
      <w:r w:rsidR="00995BB1" w:rsidRPr="001F224B">
        <w:rPr>
          <w:rFonts w:eastAsia="Calibri"/>
          <w:b/>
          <w:sz w:val="22"/>
          <w:szCs w:val="22"/>
          <w:lang w:val="en-US" w:eastAsia="en-US"/>
        </w:rPr>
        <w:t>:</w:t>
      </w:r>
    </w:p>
    <w:p w14:paraId="52E3E1D2" w14:textId="65B5B1A7" w:rsidR="001A36F6" w:rsidRPr="001F224B" w:rsidRDefault="001A36F6" w:rsidP="001A36F6">
      <w:pPr>
        <w:spacing w:before="120" w:after="120"/>
        <w:ind w:left="567"/>
        <w:jc w:val="both"/>
        <w:rPr>
          <w:sz w:val="22"/>
        </w:rPr>
      </w:pPr>
      <w:r w:rsidRPr="001F224B">
        <w:rPr>
          <w:sz w:val="22"/>
        </w:rPr>
        <w:t xml:space="preserve">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üçer aylık dönemlerde verilmesi gereken aşağıdaki tablolar, </w:t>
      </w:r>
      <w:r w:rsidRPr="001F224B">
        <w:rPr>
          <w:sz w:val="22"/>
          <w:szCs w:val="22"/>
        </w:rPr>
        <w:t xml:space="preserve">Ana Ortaklık </w:t>
      </w:r>
      <w:r w:rsidRPr="001F224B">
        <w:rPr>
          <w:rFonts w:eastAsia="Calibri"/>
          <w:sz w:val="22"/>
          <w:szCs w:val="22"/>
          <w:lang w:val="en-US" w:eastAsia="en-US"/>
        </w:rPr>
        <w:t>Banka</w:t>
      </w:r>
      <w:r w:rsidRPr="001F224B">
        <w:rPr>
          <w:sz w:val="22"/>
        </w:rPr>
        <w:t xml:space="preserve">’nın sermaye yeterliliği  hesaplamasında standart yaklaşım kullanıldığından, </w:t>
      </w:r>
      <w:r w:rsidR="001E3833" w:rsidRPr="001F224B">
        <w:rPr>
          <w:sz w:val="22"/>
        </w:rPr>
        <w:t>3</w:t>
      </w:r>
      <w:r w:rsidR="00A13EFD" w:rsidRPr="001F224B">
        <w:rPr>
          <w:sz w:val="22"/>
        </w:rPr>
        <w:t>0</w:t>
      </w:r>
      <w:r w:rsidR="001E3833" w:rsidRPr="001F224B">
        <w:rPr>
          <w:sz w:val="22"/>
        </w:rPr>
        <w:t xml:space="preserve"> </w:t>
      </w:r>
      <w:r w:rsidR="00A13EFD" w:rsidRPr="001F224B">
        <w:rPr>
          <w:sz w:val="22"/>
        </w:rPr>
        <w:t>Haziran</w:t>
      </w:r>
      <w:r w:rsidR="0073501C" w:rsidRPr="001F224B">
        <w:rPr>
          <w:sz w:val="22"/>
        </w:rPr>
        <w:t xml:space="preserve"> </w:t>
      </w:r>
      <w:r w:rsidRPr="001F224B">
        <w:rPr>
          <w:sz w:val="22"/>
        </w:rPr>
        <w:t>20</w:t>
      </w:r>
      <w:r w:rsidR="00EA3953" w:rsidRPr="001F224B">
        <w:rPr>
          <w:sz w:val="22"/>
        </w:rPr>
        <w:t>2</w:t>
      </w:r>
      <w:r w:rsidR="00C14110" w:rsidRPr="001F224B">
        <w:rPr>
          <w:sz w:val="22"/>
        </w:rPr>
        <w:t>5</w:t>
      </w:r>
      <w:r w:rsidRPr="001F224B">
        <w:rPr>
          <w:sz w:val="22"/>
        </w:rPr>
        <w:t xml:space="preserve"> tarihi itibarıyla sunulmamıştır: </w:t>
      </w:r>
    </w:p>
    <w:p w14:paraId="0B5B0BAF" w14:textId="77777777" w:rsidR="001A36F6" w:rsidRPr="001F224B" w:rsidRDefault="001A36F6" w:rsidP="001A36F6">
      <w:pPr>
        <w:spacing w:before="120" w:after="120"/>
        <w:ind w:left="567"/>
        <w:jc w:val="both"/>
        <w:rPr>
          <w:sz w:val="22"/>
        </w:rPr>
      </w:pPr>
      <w:r w:rsidRPr="001F224B">
        <w:rPr>
          <w:sz w:val="22"/>
        </w:rPr>
        <w:t xml:space="preserve">- İDD (İçsel Derecelendirmeye Dayalı) yaklaşımı altındaki RAV’ın değişim tablosu </w:t>
      </w:r>
    </w:p>
    <w:p w14:paraId="3EDBFC9C" w14:textId="77777777" w:rsidR="001A36F6" w:rsidRPr="001F224B" w:rsidRDefault="001A36F6" w:rsidP="001A36F6">
      <w:pPr>
        <w:spacing w:before="120" w:after="120"/>
        <w:ind w:firstLine="567"/>
        <w:jc w:val="both"/>
        <w:rPr>
          <w:sz w:val="22"/>
        </w:rPr>
      </w:pPr>
      <w:r w:rsidRPr="001F224B">
        <w:rPr>
          <w:sz w:val="22"/>
        </w:rPr>
        <w:t xml:space="preserve">- İçsel Model Yöntemi kapsamında KKR’ye ilişkin RAV değişimleri </w:t>
      </w:r>
    </w:p>
    <w:p w14:paraId="1876C3D1" w14:textId="77777777" w:rsidR="001A36F6" w:rsidRPr="001F224B" w:rsidRDefault="001A36F6" w:rsidP="001A36F6">
      <w:pPr>
        <w:spacing w:before="120" w:after="120"/>
        <w:ind w:firstLine="567"/>
        <w:jc w:val="both"/>
        <w:rPr>
          <w:b/>
          <w:bCs/>
          <w:iCs/>
          <w:sz w:val="20"/>
          <w:szCs w:val="22"/>
        </w:rPr>
      </w:pPr>
      <w:r w:rsidRPr="001F224B">
        <w:rPr>
          <w:sz w:val="22"/>
        </w:rPr>
        <w:t>- İçsel model yaklaşımına göre piyasa riski RAV değişim tablosu</w:t>
      </w:r>
    </w:p>
    <w:p w14:paraId="501E0CB9" w14:textId="77777777" w:rsidR="00484789" w:rsidRPr="001F224B" w:rsidRDefault="001A36F6" w:rsidP="00484789">
      <w:pPr>
        <w:spacing w:before="120" w:after="120" w:line="276" w:lineRule="auto"/>
        <w:contextualSpacing/>
        <w:jc w:val="both"/>
        <w:rPr>
          <w:sz w:val="22"/>
          <w:szCs w:val="22"/>
        </w:rPr>
      </w:pPr>
      <w:r w:rsidRPr="001F224B">
        <w:rPr>
          <w:b/>
          <w:sz w:val="22"/>
          <w:szCs w:val="22"/>
        </w:rPr>
        <w:t xml:space="preserve">          </w:t>
      </w:r>
      <w:r w:rsidR="00C54B1C" w:rsidRPr="001F224B">
        <w:rPr>
          <w:b/>
          <w:sz w:val="22"/>
          <w:szCs w:val="22"/>
        </w:rPr>
        <w:t xml:space="preserve">Risk ağırlıklı </w:t>
      </w:r>
      <w:r w:rsidR="00484789" w:rsidRPr="001F224B">
        <w:rPr>
          <w:b/>
          <w:sz w:val="22"/>
          <w:szCs w:val="22"/>
        </w:rPr>
        <w:t>tutarlara genel bakış:</w:t>
      </w:r>
    </w:p>
    <w:tbl>
      <w:tblPr>
        <w:tblW w:w="9214" w:type="dxa"/>
        <w:tblInd w:w="562" w:type="dxa"/>
        <w:tblLayout w:type="fixed"/>
        <w:tblCellMar>
          <w:left w:w="70" w:type="dxa"/>
          <w:right w:w="70" w:type="dxa"/>
        </w:tblCellMar>
        <w:tblLook w:val="04A0" w:firstRow="1" w:lastRow="0" w:firstColumn="1" w:lastColumn="0" w:noHBand="0" w:noVBand="1"/>
      </w:tblPr>
      <w:tblGrid>
        <w:gridCol w:w="561"/>
        <w:gridCol w:w="4117"/>
        <w:gridCol w:w="1559"/>
        <w:gridCol w:w="1418"/>
        <w:gridCol w:w="1559"/>
      </w:tblGrid>
      <w:tr w:rsidR="001A36F6" w:rsidRPr="001F224B" w14:paraId="47DAD57A" w14:textId="77777777" w:rsidTr="00AE60E1">
        <w:trPr>
          <w:trHeight w:val="675"/>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B3CAA" w14:textId="77777777" w:rsidR="001A36F6" w:rsidRPr="001F224B" w:rsidRDefault="001A36F6" w:rsidP="00D37080">
            <w:pPr>
              <w:rPr>
                <w:color w:val="000000"/>
                <w:sz w:val="20"/>
                <w:szCs w:val="20"/>
              </w:rPr>
            </w:pPr>
            <w:r w:rsidRPr="001F224B">
              <w:rPr>
                <w:color w:val="000000"/>
                <w:sz w:val="20"/>
                <w:szCs w:val="20"/>
              </w:rPr>
              <w:t> </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66D32CDB" w14:textId="77777777" w:rsidR="001A36F6" w:rsidRPr="001F224B" w:rsidRDefault="001A36F6" w:rsidP="00D37080">
            <w:pPr>
              <w:rPr>
                <w:color w:val="000000"/>
                <w:sz w:val="20"/>
                <w:szCs w:val="20"/>
              </w:rPr>
            </w:pPr>
            <w:r w:rsidRPr="001F224B">
              <w:rPr>
                <w:color w:val="000000"/>
                <w:sz w:val="20"/>
                <w:szCs w:val="20"/>
              </w:rPr>
              <w:t> </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E6CCB5D" w14:textId="77777777" w:rsidR="001A36F6" w:rsidRPr="001F224B" w:rsidRDefault="001A36F6" w:rsidP="00D37080">
            <w:pPr>
              <w:jc w:val="center"/>
              <w:rPr>
                <w:b/>
                <w:color w:val="000000"/>
                <w:sz w:val="20"/>
                <w:szCs w:val="20"/>
              </w:rPr>
            </w:pPr>
            <w:r w:rsidRPr="001F224B">
              <w:rPr>
                <w:b/>
                <w:color w:val="000000"/>
                <w:sz w:val="20"/>
                <w:szCs w:val="20"/>
              </w:rPr>
              <w:t>Risk Ağırlıklı</w:t>
            </w:r>
            <w:r w:rsidRPr="001F224B">
              <w:rPr>
                <w:b/>
                <w:color w:val="000000"/>
                <w:sz w:val="20"/>
                <w:szCs w:val="20"/>
              </w:rPr>
              <w:br/>
              <w:t xml:space="preserve"> Tutarlar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287A7" w14:textId="77777777" w:rsidR="001A36F6" w:rsidRPr="001F224B" w:rsidRDefault="001A36F6" w:rsidP="00D37080">
            <w:pPr>
              <w:jc w:val="center"/>
              <w:rPr>
                <w:b/>
                <w:color w:val="000000"/>
                <w:sz w:val="20"/>
                <w:szCs w:val="20"/>
              </w:rPr>
            </w:pPr>
            <w:r w:rsidRPr="001F224B">
              <w:rPr>
                <w:b/>
                <w:color w:val="000000"/>
                <w:sz w:val="20"/>
                <w:szCs w:val="20"/>
              </w:rPr>
              <w:t>Asgari Sermaye Yükümlülüğü</w:t>
            </w:r>
          </w:p>
        </w:tc>
      </w:tr>
      <w:tr w:rsidR="001A36F6" w:rsidRPr="001F224B" w14:paraId="04CFCE51" w14:textId="77777777" w:rsidTr="00AE60E1">
        <w:trPr>
          <w:trHeight w:val="449"/>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C91EC" w14:textId="77777777" w:rsidR="001A36F6" w:rsidRPr="001F224B" w:rsidRDefault="001A36F6" w:rsidP="00D37080">
            <w:pPr>
              <w:rPr>
                <w:color w:val="000000"/>
                <w:sz w:val="20"/>
                <w:szCs w:val="20"/>
              </w:rPr>
            </w:pPr>
            <w:r w:rsidRPr="001F224B">
              <w:rPr>
                <w:color w:val="000000"/>
                <w:sz w:val="20"/>
                <w:szCs w:val="20"/>
              </w:rPr>
              <w:t> </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7BB6D416" w14:textId="77777777" w:rsidR="001A36F6" w:rsidRPr="001F224B" w:rsidRDefault="001A36F6" w:rsidP="00D37080">
            <w:pPr>
              <w:rPr>
                <w:color w:val="000000"/>
                <w:sz w:val="20"/>
                <w:szCs w:val="20"/>
              </w:rPr>
            </w:pPr>
            <w:r w:rsidRPr="001F224B">
              <w:rPr>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FF34987" w14:textId="49F5B676" w:rsidR="001A36F6" w:rsidRPr="001F224B" w:rsidRDefault="001A36F6" w:rsidP="00D37080">
            <w:pPr>
              <w:jc w:val="center"/>
              <w:rPr>
                <w:b/>
                <w:color w:val="000000"/>
                <w:sz w:val="20"/>
                <w:szCs w:val="20"/>
              </w:rPr>
            </w:pPr>
            <w:r w:rsidRPr="001F224B">
              <w:rPr>
                <w:b/>
                <w:color w:val="000000"/>
                <w:sz w:val="20"/>
                <w:szCs w:val="20"/>
              </w:rPr>
              <w:t>Cari</w:t>
            </w:r>
            <w:r w:rsidRPr="001F224B">
              <w:rPr>
                <w:b/>
                <w:color w:val="000000"/>
                <w:sz w:val="20"/>
                <w:szCs w:val="20"/>
              </w:rPr>
              <w:br/>
              <w:t>Dönem (3</w:t>
            </w:r>
            <w:r w:rsidR="00204F45" w:rsidRPr="001F224B">
              <w:rPr>
                <w:b/>
                <w:color w:val="000000"/>
                <w:sz w:val="20"/>
                <w:szCs w:val="20"/>
              </w:rPr>
              <w:t>0</w:t>
            </w:r>
            <w:r w:rsidRPr="001F224B">
              <w:rPr>
                <w:b/>
                <w:color w:val="000000"/>
                <w:sz w:val="20"/>
                <w:szCs w:val="20"/>
              </w:rPr>
              <w:t>.</w:t>
            </w:r>
            <w:r w:rsidR="00C14110" w:rsidRPr="001F224B">
              <w:rPr>
                <w:b/>
                <w:color w:val="000000"/>
                <w:sz w:val="20"/>
                <w:szCs w:val="20"/>
              </w:rPr>
              <w:t>0</w:t>
            </w:r>
            <w:r w:rsidR="00204F45" w:rsidRPr="001F224B">
              <w:rPr>
                <w:b/>
                <w:color w:val="000000"/>
                <w:sz w:val="20"/>
                <w:szCs w:val="20"/>
              </w:rPr>
              <w:t>6</w:t>
            </w:r>
            <w:r w:rsidRPr="001F224B">
              <w:rPr>
                <w:b/>
                <w:color w:val="000000"/>
                <w:sz w:val="20"/>
                <w:szCs w:val="20"/>
              </w:rPr>
              <w:t>.202</w:t>
            </w:r>
            <w:r w:rsidR="00C14110" w:rsidRPr="001F224B">
              <w:rPr>
                <w:b/>
                <w:color w:val="000000"/>
                <w:sz w:val="20"/>
                <w:szCs w:val="20"/>
              </w:rPr>
              <w:t>5</w:t>
            </w:r>
            <w:r w:rsidRPr="001F224B">
              <w:rPr>
                <w:b/>
                <w:color w:val="000000"/>
                <w:sz w:val="20"/>
                <w:szCs w:val="20"/>
              </w:rPr>
              <w: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FA2C6AB" w14:textId="77777777" w:rsidR="001D7A17" w:rsidRPr="001F224B" w:rsidRDefault="001A36F6" w:rsidP="00D37080">
            <w:pPr>
              <w:jc w:val="center"/>
              <w:rPr>
                <w:b/>
                <w:color w:val="000000"/>
                <w:sz w:val="20"/>
                <w:szCs w:val="20"/>
              </w:rPr>
            </w:pPr>
            <w:r w:rsidRPr="001F224B">
              <w:rPr>
                <w:b/>
                <w:color w:val="000000"/>
                <w:sz w:val="20"/>
                <w:szCs w:val="20"/>
              </w:rPr>
              <w:t xml:space="preserve">Önceki </w:t>
            </w:r>
          </w:p>
          <w:p w14:paraId="23588B7F" w14:textId="24139E0B" w:rsidR="001A36F6" w:rsidRPr="001F224B" w:rsidRDefault="001A36F6" w:rsidP="00D37080">
            <w:pPr>
              <w:jc w:val="center"/>
              <w:rPr>
                <w:b/>
                <w:color w:val="000000"/>
                <w:sz w:val="20"/>
                <w:szCs w:val="20"/>
              </w:rPr>
            </w:pPr>
            <w:r w:rsidRPr="001F224B">
              <w:rPr>
                <w:b/>
                <w:color w:val="000000"/>
                <w:sz w:val="20"/>
                <w:szCs w:val="20"/>
              </w:rPr>
              <w:t>Dönem (31.12.202</w:t>
            </w:r>
            <w:r w:rsidR="00C14110" w:rsidRPr="001F224B">
              <w:rPr>
                <w:b/>
                <w:color w:val="000000"/>
                <w:sz w:val="20"/>
                <w:szCs w:val="20"/>
              </w:rPr>
              <w:t>4</w:t>
            </w:r>
            <w:r w:rsidRPr="001F224B">
              <w:rPr>
                <w:b/>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vAlign w:val="bottom"/>
          </w:tcPr>
          <w:p w14:paraId="16EC5D9B" w14:textId="3764CAAA" w:rsidR="001A36F6" w:rsidRPr="001F224B" w:rsidRDefault="001A36F6" w:rsidP="00D37080">
            <w:pPr>
              <w:jc w:val="center"/>
              <w:rPr>
                <w:b/>
                <w:color w:val="000000"/>
                <w:sz w:val="20"/>
                <w:szCs w:val="20"/>
              </w:rPr>
            </w:pPr>
            <w:r w:rsidRPr="001F224B">
              <w:rPr>
                <w:b/>
                <w:color w:val="000000"/>
                <w:sz w:val="20"/>
                <w:szCs w:val="20"/>
              </w:rPr>
              <w:t>Cari</w:t>
            </w:r>
            <w:r w:rsidRPr="001F224B">
              <w:rPr>
                <w:b/>
                <w:color w:val="000000"/>
                <w:sz w:val="20"/>
                <w:szCs w:val="20"/>
              </w:rPr>
              <w:br/>
              <w:t>Dönem (3</w:t>
            </w:r>
            <w:r w:rsidR="00204F45" w:rsidRPr="001F224B">
              <w:rPr>
                <w:b/>
                <w:color w:val="000000"/>
                <w:sz w:val="20"/>
                <w:szCs w:val="20"/>
              </w:rPr>
              <w:t>0</w:t>
            </w:r>
            <w:r w:rsidRPr="001F224B">
              <w:rPr>
                <w:b/>
                <w:color w:val="000000"/>
                <w:sz w:val="20"/>
                <w:szCs w:val="20"/>
              </w:rPr>
              <w:t>.</w:t>
            </w:r>
            <w:r w:rsidR="00C14110" w:rsidRPr="001F224B">
              <w:rPr>
                <w:b/>
                <w:color w:val="000000"/>
                <w:sz w:val="20"/>
                <w:szCs w:val="20"/>
              </w:rPr>
              <w:t>0</w:t>
            </w:r>
            <w:r w:rsidR="00204F45" w:rsidRPr="001F224B">
              <w:rPr>
                <w:b/>
                <w:color w:val="000000"/>
                <w:sz w:val="20"/>
                <w:szCs w:val="20"/>
              </w:rPr>
              <w:t>6</w:t>
            </w:r>
            <w:r w:rsidRPr="001F224B">
              <w:rPr>
                <w:b/>
                <w:color w:val="000000"/>
                <w:sz w:val="20"/>
                <w:szCs w:val="20"/>
              </w:rPr>
              <w:t>.202</w:t>
            </w:r>
            <w:r w:rsidR="00C14110" w:rsidRPr="001F224B">
              <w:rPr>
                <w:b/>
                <w:color w:val="000000"/>
                <w:sz w:val="20"/>
                <w:szCs w:val="20"/>
              </w:rPr>
              <w:t>5</w:t>
            </w:r>
            <w:r w:rsidRPr="001F224B">
              <w:rPr>
                <w:b/>
                <w:color w:val="000000"/>
                <w:sz w:val="20"/>
                <w:szCs w:val="20"/>
              </w:rPr>
              <w:t>)</w:t>
            </w:r>
          </w:p>
        </w:tc>
      </w:tr>
      <w:tr w:rsidR="004E57A7" w:rsidRPr="001F224B" w14:paraId="027FE261"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AA616" w14:textId="77777777" w:rsidR="004E57A7" w:rsidRPr="001F224B" w:rsidRDefault="004E57A7" w:rsidP="004E57A7">
            <w:pPr>
              <w:rPr>
                <w:color w:val="000000"/>
                <w:sz w:val="20"/>
                <w:szCs w:val="20"/>
              </w:rPr>
            </w:pPr>
            <w:r w:rsidRPr="001F224B">
              <w:rPr>
                <w:color w:val="000000"/>
                <w:sz w:val="20"/>
                <w:szCs w:val="20"/>
              </w:rPr>
              <w:t>1</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632575D" w14:textId="77777777" w:rsidR="004E57A7" w:rsidRPr="001F224B" w:rsidRDefault="004E57A7" w:rsidP="004E57A7">
            <w:pPr>
              <w:rPr>
                <w:color w:val="000000"/>
                <w:sz w:val="20"/>
                <w:szCs w:val="20"/>
              </w:rPr>
            </w:pPr>
            <w:r w:rsidRPr="001F224B">
              <w:rPr>
                <w:color w:val="000000"/>
                <w:sz w:val="20"/>
                <w:szCs w:val="20"/>
              </w:rPr>
              <w:t>Kredi riski (karşı taraf kredi riski hariç)</w:t>
            </w:r>
          </w:p>
        </w:tc>
        <w:tc>
          <w:tcPr>
            <w:tcW w:w="1559" w:type="dxa"/>
            <w:tcBorders>
              <w:top w:val="single" w:sz="4" w:space="0" w:color="auto"/>
              <w:left w:val="nil"/>
              <w:bottom w:val="single" w:sz="4" w:space="0" w:color="auto"/>
              <w:right w:val="single" w:sz="4" w:space="0" w:color="auto"/>
            </w:tcBorders>
            <w:noWrap/>
            <w:vAlign w:val="bottom"/>
          </w:tcPr>
          <w:p w14:paraId="544E3532" w14:textId="661DD54A" w:rsidR="004E57A7" w:rsidRPr="001F224B" w:rsidRDefault="004E57A7" w:rsidP="004E57A7">
            <w:pPr>
              <w:jc w:val="right"/>
              <w:rPr>
                <w:color w:val="000000"/>
                <w:sz w:val="20"/>
                <w:szCs w:val="20"/>
              </w:rPr>
            </w:pPr>
            <w:r w:rsidRPr="001F224B">
              <w:rPr>
                <w:color w:val="000000"/>
                <w:sz w:val="20"/>
                <w:szCs w:val="20"/>
              </w:rPr>
              <w:t>133.577.875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B91A9" w14:textId="5FF7420C" w:rsidR="004E57A7" w:rsidRPr="001F224B" w:rsidRDefault="004E57A7" w:rsidP="004E57A7">
            <w:pPr>
              <w:jc w:val="right"/>
              <w:rPr>
                <w:color w:val="000000"/>
                <w:sz w:val="20"/>
                <w:szCs w:val="20"/>
              </w:rPr>
            </w:pPr>
            <w:r w:rsidRPr="001F224B">
              <w:rPr>
                <w:color w:val="000000"/>
                <w:sz w:val="20"/>
                <w:szCs w:val="20"/>
              </w:rPr>
              <w:t>106.681.360</w:t>
            </w:r>
          </w:p>
        </w:tc>
        <w:tc>
          <w:tcPr>
            <w:tcW w:w="1559" w:type="dxa"/>
            <w:tcBorders>
              <w:top w:val="single" w:sz="4" w:space="0" w:color="auto"/>
              <w:left w:val="nil"/>
              <w:bottom w:val="single" w:sz="4" w:space="0" w:color="auto"/>
              <w:right w:val="single" w:sz="4" w:space="0" w:color="auto"/>
            </w:tcBorders>
            <w:vAlign w:val="bottom"/>
          </w:tcPr>
          <w:p w14:paraId="6EEFD9B5" w14:textId="2F3399D6" w:rsidR="004E57A7" w:rsidRPr="001F224B" w:rsidRDefault="004E57A7" w:rsidP="004E57A7">
            <w:pPr>
              <w:jc w:val="right"/>
              <w:rPr>
                <w:color w:val="000000"/>
                <w:sz w:val="20"/>
                <w:szCs w:val="20"/>
              </w:rPr>
            </w:pPr>
            <w:r w:rsidRPr="001F224B">
              <w:rPr>
                <w:color w:val="000000"/>
                <w:sz w:val="20"/>
                <w:szCs w:val="20"/>
              </w:rPr>
              <w:t>10.686.230</w:t>
            </w:r>
          </w:p>
        </w:tc>
      </w:tr>
      <w:tr w:rsidR="004E57A7" w:rsidRPr="001F224B" w14:paraId="5307E8FC"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C4CD2" w14:textId="77777777" w:rsidR="004E57A7" w:rsidRPr="001F224B" w:rsidRDefault="004E57A7" w:rsidP="004E57A7">
            <w:pPr>
              <w:rPr>
                <w:color w:val="000000"/>
                <w:sz w:val="20"/>
                <w:szCs w:val="20"/>
              </w:rPr>
            </w:pPr>
            <w:r w:rsidRPr="001F224B">
              <w:rPr>
                <w:color w:val="000000"/>
                <w:sz w:val="20"/>
                <w:szCs w:val="20"/>
              </w:rPr>
              <w:t>2</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7BBC0D39" w14:textId="77777777" w:rsidR="004E57A7" w:rsidRPr="001F224B" w:rsidRDefault="004E57A7" w:rsidP="004E57A7">
            <w:pPr>
              <w:rPr>
                <w:color w:val="000000"/>
                <w:sz w:val="20"/>
                <w:szCs w:val="20"/>
              </w:rPr>
            </w:pPr>
            <w:r w:rsidRPr="001F224B">
              <w:rPr>
                <w:color w:val="000000"/>
                <w:sz w:val="20"/>
                <w:szCs w:val="20"/>
              </w:rPr>
              <w:t>Standart yaklaşım</w:t>
            </w:r>
          </w:p>
        </w:tc>
        <w:tc>
          <w:tcPr>
            <w:tcW w:w="1559" w:type="dxa"/>
            <w:tcBorders>
              <w:top w:val="single" w:sz="4" w:space="0" w:color="auto"/>
              <w:left w:val="nil"/>
              <w:bottom w:val="single" w:sz="4" w:space="0" w:color="auto"/>
              <w:right w:val="single" w:sz="4" w:space="0" w:color="auto"/>
            </w:tcBorders>
            <w:noWrap/>
            <w:vAlign w:val="bottom"/>
          </w:tcPr>
          <w:p w14:paraId="78543B11" w14:textId="2080E85D" w:rsidR="004E57A7" w:rsidRPr="001F224B" w:rsidRDefault="004E57A7" w:rsidP="004E57A7">
            <w:pPr>
              <w:jc w:val="right"/>
              <w:rPr>
                <w:color w:val="000000"/>
                <w:sz w:val="20"/>
                <w:szCs w:val="20"/>
              </w:rPr>
            </w:pPr>
            <w:r w:rsidRPr="001F224B">
              <w:rPr>
                <w:color w:val="000000"/>
                <w:sz w:val="20"/>
                <w:szCs w:val="20"/>
              </w:rPr>
              <w:t>133.577.875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AE2A7" w14:textId="437C616F" w:rsidR="004E57A7" w:rsidRPr="001F224B" w:rsidRDefault="004E57A7" w:rsidP="004E57A7">
            <w:pPr>
              <w:jc w:val="right"/>
              <w:rPr>
                <w:color w:val="000000"/>
                <w:sz w:val="20"/>
                <w:szCs w:val="20"/>
              </w:rPr>
            </w:pPr>
            <w:r w:rsidRPr="001F224B">
              <w:rPr>
                <w:color w:val="000000"/>
                <w:sz w:val="20"/>
                <w:szCs w:val="20"/>
              </w:rPr>
              <w:t>106.681.360</w:t>
            </w:r>
          </w:p>
        </w:tc>
        <w:tc>
          <w:tcPr>
            <w:tcW w:w="1559" w:type="dxa"/>
            <w:tcBorders>
              <w:top w:val="single" w:sz="4" w:space="0" w:color="auto"/>
              <w:left w:val="nil"/>
              <w:bottom w:val="single" w:sz="4" w:space="0" w:color="auto"/>
              <w:right w:val="single" w:sz="4" w:space="0" w:color="auto"/>
            </w:tcBorders>
            <w:vAlign w:val="bottom"/>
          </w:tcPr>
          <w:p w14:paraId="6985F4A9" w14:textId="6F061CE4" w:rsidR="004E57A7" w:rsidRPr="001F224B" w:rsidRDefault="004E57A7" w:rsidP="004E57A7">
            <w:pPr>
              <w:jc w:val="right"/>
              <w:rPr>
                <w:color w:val="000000"/>
                <w:sz w:val="20"/>
                <w:szCs w:val="20"/>
              </w:rPr>
            </w:pPr>
            <w:r w:rsidRPr="001F224B">
              <w:rPr>
                <w:color w:val="000000"/>
                <w:sz w:val="20"/>
                <w:szCs w:val="20"/>
              </w:rPr>
              <w:t>10.686.230</w:t>
            </w:r>
          </w:p>
        </w:tc>
      </w:tr>
      <w:tr w:rsidR="004E57A7" w:rsidRPr="001F224B" w14:paraId="150DC87A"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1F378" w14:textId="77777777" w:rsidR="004E57A7" w:rsidRPr="001F224B" w:rsidRDefault="004E57A7" w:rsidP="004E57A7">
            <w:pPr>
              <w:rPr>
                <w:color w:val="000000"/>
                <w:sz w:val="20"/>
                <w:szCs w:val="20"/>
              </w:rPr>
            </w:pPr>
            <w:r w:rsidRPr="001F224B">
              <w:rPr>
                <w:color w:val="000000"/>
                <w:sz w:val="20"/>
                <w:szCs w:val="20"/>
              </w:rPr>
              <w:t>3</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21664053" w14:textId="77777777" w:rsidR="004E57A7" w:rsidRPr="001F224B" w:rsidRDefault="004E57A7" w:rsidP="004E57A7">
            <w:pPr>
              <w:rPr>
                <w:color w:val="000000"/>
                <w:sz w:val="20"/>
                <w:szCs w:val="20"/>
              </w:rPr>
            </w:pPr>
            <w:r w:rsidRPr="001F224B">
              <w:rPr>
                <w:color w:val="000000"/>
                <w:sz w:val="20"/>
                <w:szCs w:val="20"/>
              </w:rPr>
              <w:t>İçsel derecelendirmeye dayalı yaklaşım</w:t>
            </w:r>
          </w:p>
        </w:tc>
        <w:tc>
          <w:tcPr>
            <w:tcW w:w="1559" w:type="dxa"/>
            <w:tcBorders>
              <w:top w:val="single" w:sz="4" w:space="0" w:color="auto"/>
              <w:left w:val="nil"/>
              <w:bottom w:val="single" w:sz="4" w:space="0" w:color="auto"/>
              <w:right w:val="single" w:sz="4" w:space="0" w:color="auto"/>
            </w:tcBorders>
            <w:noWrap/>
            <w:vAlign w:val="bottom"/>
          </w:tcPr>
          <w:p w14:paraId="6ABE8232" w14:textId="3103F48C"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5B466" w14:textId="3C249E93" w:rsidR="004E57A7" w:rsidRPr="001F224B" w:rsidRDefault="004E57A7" w:rsidP="004E57A7">
            <w:pPr>
              <w:jc w:val="right"/>
              <w:rPr>
                <w:b/>
                <w:bCs/>
                <w:color w:val="000000"/>
                <w:sz w:val="20"/>
                <w:szCs w:val="20"/>
              </w:rPr>
            </w:pPr>
            <w:r w:rsidRPr="001F224B">
              <w:rPr>
                <w:b/>
                <w:bCs/>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vAlign w:val="bottom"/>
          </w:tcPr>
          <w:p w14:paraId="6F3666AC" w14:textId="0C9AB036" w:rsidR="004E57A7" w:rsidRPr="001F224B" w:rsidRDefault="004E57A7" w:rsidP="004E57A7">
            <w:pPr>
              <w:jc w:val="right"/>
              <w:rPr>
                <w:b/>
                <w:bCs/>
                <w:color w:val="000000"/>
                <w:sz w:val="20"/>
                <w:szCs w:val="20"/>
              </w:rPr>
            </w:pPr>
            <w:r w:rsidRPr="001F224B">
              <w:rPr>
                <w:b/>
                <w:bCs/>
                <w:color w:val="000000"/>
                <w:sz w:val="20"/>
                <w:szCs w:val="20"/>
              </w:rPr>
              <w:t>- </w:t>
            </w:r>
          </w:p>
        </w:tc>
      </w:tr>
      <w:tr w:rsidR="004E57A7" w:rsidRPr="001F224B" w14:paraId="467BE9A6"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0AAB0" w14:textId="77777777" w:rsidR="004E57A7" w:rsidRPr="001F224B" w:rsidRDefault="004E57A7" w:rsidP="004E57A7">
            <w:pPr>
              <w:rPr>
                <w:color w:val="000000"/>
                <w:sz w:val="20"/>
                <w:szCs w:val="20"/>
              </w:rPr>
            </w:pPr>
            <w:r w:rsidRPr="001F224B">
              <w:rPr>
                <w:color w:val="000000"/>
                <w:sz w:val="20"/>
                <w:szCs w:val="20"/>
              </w:rPr>
              <w:t>4</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7C310EE1" w14:textId="77777777" w:rsidR="004E57A7" w:rsidRPr="001F224B" w:rsidRDefault="004E57A7" w:rsidP="004E57A7">
            <w:pPr>
              <w:rPr>
                <w:color w:val="000000"/>
                <w:sz w:val="20"/>
                <w:szCs w:val="20"/>
              </w:rPr>
            </w:pPr>
            <w:r w:rsidRPr="001F224B">
              <w:rPr>
                <w:color w:val="000000"/>
                <w:sz w:val="20"/>
                <w:szCs w:val="20"/>
              </w:rPr>
              <w:t>Karşı taraf kredi riski</w:t>
            </w:r>
          </w:p>
        </w:tc>
        <w:tc>
          <w:tcPr>
            <w:tcW w:w="1559" w:type="dxa"/>
            <w:tcBorders>
              <w:top w:val="single" w:sz="4" w:space="0" w:color="auto"/>
              <w:left w:val="nil"/>
              <w:bottom w:val="single" w:sz="4" w:space="0" w:color="auto"/>
              <w:right w:val="single" w:sz="4" w:space="0" w:color="auto"/>
            </w:tcBorders>
            <w:noWrap/>
            <w:vAlign w:val="bottom"/>
          </w:tcPr>
          <w:p w14:paraId="0114D1FE" w14:textId="6CF4D60B" w:rsidR="004E57A7" w:rsidRPr="001F224B" w:rsidRDefault="004E57A7" w:rsidP="004E57A7">
            <w:pPr>
              <w:jc w:val="right"/>
              <w:rPr>
                <w:color w:val="000000"/>
                <w:sz w:val="20"/>
                <w:szCs w:val="20"/>
              </w:rPr>
            </w:pPr>
            <w:r w:rsidRPr="001F224B">
              <w:rPr>
                <w:color w:val="000000"/>
                <w:sz w:val="20"/>
                <w:szCs w:val="20"/>
              </w:rPr>
              <w:t>455.766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8A151" w14:textId="07635A0D" w:rsidR="004E57A7" w:rsidRPr="001F224B" w:rsidRDefault="004E57A7" w:rsidP="004E57A7">
            <w:pPr>
              <w:jc w:val="right"/>
              <w:rPr>
                <w:color w:val="000000"/>
                <w:sz w:val="20"/>
                <w:szCs w:val="20"/>
              </w:rPr>
            </w:pPr>
            <w:r w:rsidRPr="001F224B">
              <w:rPr>
                <w:color w:val="000000"/>
                <w:sz w:val="20"/>
                <w:szCs w:val="20"/>
              </w:rPr>
              <w:t>363.655</w:t>
            </w:r>
          </w:p>
        </w:tc>
        <w:tc>
          <w:tcPr>
            <w:tcW w:w="1559" w:type="dxa"/>
            <w:tcBorders>
              <w:top w:val="single" w:sz="4" w:space="0" w:color="auto"/>
              <w:left w:val="single" w:sz="4" w:space="0" w:color="auto"/>
              <w:bottom w:val="single" w:sz="4" w:space="0" w:color="auto"/>
              <w:right w:val="single" w:sz="4" w:space="0" w:color="auto"/>
            </w:tcBorders>
            <w:vAlign w:val="bottom"/>
          </w:tcPr>
          <w:p w14:paraId="29E16211" w14:textId="70AE7EB1" w:rsidR="004E57A7" w:rsidRPr="001F224B" w:rsidRDefault="004E57A7" w:rsidP="004E57A7">
            <w:pPr>
              <w:jc w:val="right"/>
              <w:rPr>
                <w:color w:val="000000"/>
                <w:sz w:val="20"/>
                <w:szCs w:val="20"/>
              </w:rPr>
            </w:pPr>
            <w:r w:rsidRPr="001F224B">
              <w:rPr>
                <w:color w:val="000000"/>
                <w:sz w:val="20"/>
                <w:szCs w:val="20"/>
              </w:rPr>
              <w:t>36.461</w:t>
            </w:r>
          </w:p>
        </w:tc>
      </w:tr>
      <w:tr w:rsidR="004E57A7" w:rsidRPr="001F224B" w14:paraId="7903CED8"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F61BB" w14:textId="77777777" w:rsidR="004E57A7" w:rsidRPr="001F224B" w:rsidRDefault="004E57A7" w:rsidP="004E57A7">
            <w:pPr>
              <w:rPr>
                <w:color w:val="000000"/>
                <w:sz w:val="20"/>
                <w:szCs w:val="20"/>
              </w:rPr>
            </w:pPr>
            <w:r w:rsidRPr="001F224B">
              <w:rPr>
                <w:color w:val="000000"/>
                <w:sz w:val="20"/>
                <w:szCs w:val="20"/>
              </w:rPr>
              <w:t>5</w:t>
            </w:r>
          </w:p>
        </w:tc>
        <w:tc>
          <w:tcPr>
            <w:tcW w:w="4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50B9D" w14:textId="77777777" w:rsidR="004E57A7" w:rsidRPr="001F224B" w:rsidRDefault="004E57A7" w:rsidP="004E57A7">
            <w:pPr>
              <w:rPr>
                <w:color w:val="000000"/>
                <w:sz w:val="20"/>
                <w:szCs w:val="20"/>
              </w:rPr>
            </w:pPr>
            <w:r w:rsidRPr="001F224B">
              <w:rPr>
                <w:color w:val="000000"/>
                <w:sz w:val="20"/>
                <w:szCs w:val="20"/>
              </w:rPr>
              <w:t>Karşı taraf kredi riski için standart yaklaşım</w:t>
            </w:r>
          </w:p>
        </w:tc>
        <w:tc>
          <w:tcPr>
            <w:tcW w:w="1559" w:type="dxa"/>
            <w:tcBorders>
              <w:top w:val="single" w:sz="4" w:space="0" w:color="auto"/>
              <w:left w:val="nil"/>
              <w:bottom w:val="single" w:sz="4" w:space="0" w:color="auto"/>
              <w:right w:val="single" w:sz="4" w:space="0" w:color="auto"/>
            </w:tcBorders>
            <w:noWrap/>
            <w:vAlign w:val="bottom"/>
          </w:tcPr>
          <w:p w14:paraId="316B6738" w14:textId="1489C72C" w:rsidR="004E57A7" w:rsidRPr="001F224B" w:rsidRDefault="004E57A7" w:rsidP="004E57A7">
            <w:pPr>
              <w:jc w:val="right"/>
              <w:rPr>
                <w:color w:val="000000"/>
                <w:sz w:val="20"/>
                <w:szCs w:val="20"/>
              </w:rPr>
            </w:pPr>
            <w:r w:rsidRPr="001F224B">
              <w:rPr>
                <w:color w:val="000000"/>
                <w:sz w:val="20"/>
                <w:szCs w:val="20"/>
              </w:rPr>
              <w:t>455.766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39961" w14:textId="6919A737" w:rsidR="004E57A7" w:rsidRPr="001F224B" w:rsidRDefault="004E57A7" w:rsidP="004E57A7">
            <w:pPr>
              <w:jc w:val="right"/>
              <w:rPr>
                <w:color w:val="000000"/>
                <w:sz w:val="20"/>
                <w:szCs w:val="20"/>
              </w:rPr>
            </w:pPr>
            <w:r w:rsidRPr="001F224B">
              <w:rPr>
                <w:color w:val="000000"/>
                <w:sz w:val="20"/>
                <w:szCs w:val="20"/>
              </w:rPr>
              <w:t>363.655</w:t>
            </w:r>
          </w:p>
        </w:tc>
        <w:tc>
          <w:tcPr>
            <w:tcW w:w="1559" w:type="dxa"/>
            <w:tcBorders>
              <w:top w:val="single" w:sz="4" w:space="0" w:color="auto"/>
              <w:left w:val="single" w:sz="4" w:space="0" w:color="auto"/>
              <w:bottom w:val="single" w:sz="4" w:space="0" w:color="auto"/>
              <w:right w:val="single" w:sz="4" w:space="0" w:color="auto"/>
            </w:tcBorders>
            <w:shd w:val="clear" w:color="000000" w:fill="auto"/>
            <w:vAlign w:val="bottom"/>
          </w:tcPr>
          <w:p w14:paraId="07FFBD0A" w14:textId="20E8CAC2" w:rsidR="004E57A7" w:rsidRPr="001F224B" w:rsidRDefault="004E57A7" w:rsidP="004E57A7">
            <w:pPr>
              <w:jc w:val="right"/>
              <w:rPr>
                <w:color w:val="000000"/>
                <w:sz w:val="20"/>
                <w:szCs w:val="20"/>
              </w:rPr>
            </w:pPr>
            <w:r w:rsidRPr="001F224B">
              <w:rPr>
                <w:color w:val="000000"/>
                <w:sz w:val="20"/>
                <w:szCs w:val="20"/>
              </w:rPr>
              <w:t>36.461</w:t>
            </w:r>
          </w:p>
        </w:tc>
      </w:tr>
      <w:tr w:rsidR="004E57A7" w:rsidRPr="001F224B" w14:paraId="390757EC"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3351D" w14:textId="77777777" w:rsidR="004E57A7" w:rsidRPr="001F224B" w:rsidRDefault="004E57A7" w:rsidP="004E57A7">
            <w:pPr>
              <w:rPr>
                <w:color w:val="000000"/>
                <w:sz w:val="20"/>
                <w:szCs w:val="20"/>
              </w:rPr>
            </w:pPr>
            <w:r w:rsidRPr="001F224B">
              <w:rPr>
                <w:color w:val="000000"/>
                <w:sz w:val="20"/>
                <w:szCs w:val="20"/>
              </w:rPr>
              <w:t>6</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BB95F72" w14:textId="77777777" w:rsidR="004E57A7" w:rsidRPr="001F224B" w:rsidRDefault="004E57A7" w:rsidP="004E57A7">
            <w:pPr>
              <w:rPr>
                <w:color w:val="000000"/>
                <w:sz w:val="20"/>
                <w:szCs w:val="20"/>
              </w:rPr>
            </w:pPr>
            <w:r w:rsidRPr="001F224B">
              <w:rPr>
                <w:color w:val="000000"/>
                <w:sz w:val="20"/>
                <w:szCs w:val="20"/>
              </w:rPr>
              <w:t>İçsel model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F5DF2" w14:textId="22C1F75B"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3FC56" w14:textId="5CD3C97F"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0DC4268B" w14:textId="18CEF2EF"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49DD4194" w14:textId="77777777" w:rsidTr="000E1C24">
        <w:trPr>
          <w:trHeight w:val="339"/>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69C4BFC4" w14:textId="77777777" w:rsidR="004E57A7" w:rsidRPr="001F224B" w:rsidRDefault="004E57A7" w:rsidP="004E57A7">
            <w:pPr>
              <w:rPr>
                <w:color w:val="000000"/>
                <w:sz w:val="20"/>
                <w:szCs w:val="20"/>
              </w:rPr>
            </w:pPr>
            <w:r w:rsidRPr="001F224B">
              <w:rPr>
                <w:color w:val="000000"/>
                <w:sz w:val="20"/>
                <w:szCs w:val="20"/>
              </w:rPr>
              <w:t>7</w:t>
            </w:r>
          </w:p>
        </w:tc>
        <w:tc>
          <w:tcPr>
            <w:tcW w:w="4117" w:type="dxa"/>
            <w:tcBorders>
              <w:top w:val="single" w:sz="4" w:space="0" w:color="auto"/>
              <w:left w:val="nil"/>
              <w:bottom w:val="single" w:sz="4" w:space="0" w:color="auto"/>
              <w:right w:val="single" w:sz="4" w:space="0" w:color="auto"/>
            </w:tcBorders>
            <w:shd w:val="clear" w:color="auto" w:fill="auto"/>
            <w:vAlign w:val="bottom"/>
            <w:hideMark/>
          </w:tcPr>
          <w:p w14:paraId="3BFDA389" w14:textId="079D5047" w:rsidR="004E57A7" w:rsidRPr="001F224B" w:rsidRDefault="004E57A7" w:rsidP="004E57A7">
            <w:pPr>
              <w:rPr>
                <w:color w:val="000000"/>
                <w:sz w:val="20"/>
                <w:szCs w:val="20"/>
              </w:rPr>
            </w:pPr>
            <w:r w:rsidRPr="001F224B">
              <w:rPr>
                <w:color w:val="000000"/>
                <w:sz w:val="20"/>
                <w:szCs w:val="20"/>
              </w:rPr>
              <w:t>Basit risk ağırlığı yaklaşımı veya içsel modeller yaklaşımında bankacılık hesabındaki hisse senedi pozisyonları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796BD" w14:textId="25A34958"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E8D93" w14:textId="447836CF"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0EEA3418" w14:textId="00E38CBC"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0885682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9A1D5" w14:textId="77777777" w:rsidR="004E57A7" w:rsidRPr="001F224B" w:rsidRDefault="004E57A7" w:rsidP="004E57A7">
            <w:pPr>
              <w:rPr>
                <w:color w:val="000000"/>
                <w:sz w:val="20"/>
                <w:szCs w:val="20"/>
              </w:rPr>
            </w:pPr>
            <w:r w:rsidRPr="001F224B">
              <w:rPr>
                <w:color w:val="000000"/>
                <w:sz w:val="20"/>
                <w:szCs w:val="20"/>
              </w:rPr>
              <w:t>8</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03244C5" w14:textId="77777777" w:rsidR="004E57A7" w:rsidRPr="001F224B" w:rsidRDefault="004E57A7" w:rsidP="004E57A7">
            <w:pPr>
              <w:rPr>
                <w:color w:val="000000"/>
                <w:sz w:val="20"/>
                <w:szCs w:val="20"/>
              </w:rPr>
            </w:pPr>
            <w:r w:rsidRPr="001F224B">
              <w:rPr>
                <w:color w:val="000000"/>
                <w:sz w:val="20"/>
                <w:szCs w:val="20"/>
              </w:rPr>
              <w:t>KYK’ya yapılan yatırımlar-içerik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4EB9F" w14:textId="610518E6"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FF321" w14:textId="7BE1EAE0"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3F2EFBF9" w14:textId="2E9872D0"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68046885"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8B0AE" w14:textId="77777777" w:rsidR="004E57A7" w:rsidRPr="001F224B" w:rsidRDefault="004E57A7" w:rsidP="004E57A7">
            <w:pPr>
              <w:rPr>
                <w:color w:val="000000"/>
                <w:sz w:val="20"/>
                <w:szCs w:val="20"/>
              </w:rPr>
            </w:pPr>
            <w:r w:rsidRPr="001F224B">
              <w:rPr>
                <w:color w:val="000000"/>
                <w:sz w:val="20"/>
                <w:szCs w:val="20"/>
              </w:rPr>
              <w:t>9</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5F9EABE5" w14:textId="77777777" w:rsidR="004E57A7" w:rsidRPr="001F224B" w:rsidRDefault="004E57A7" w:rsidP="004E57A7">
            <w:pPr>
              <w:rPr>
                <w:color w:val="000000"/>
                <w:sz w:val="20"/>
                <w:szCs w:val="20"/>
              </w:rPr>
            </w:pPr>
            <w:r w:rsidRPr="001F224B">
              <w:rPr>
                <w:color w:val="000000"/>
                <w:sz w:val="20"/>
                <w:szCs w:val="20"/>
              </w:rPr>
              <w:t>KYK’ya yapılan yatırımlar-izahname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5623B" w14:textId="58EA9AC9"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66845" w14:textId="7075268B"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2CDAFC0E" w14:textId="2F81C8E2"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07488F36"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AA271" w14:textId="77777777" w:rsidR="004E57A7" w:rsidRPr="001F224B" w:rsidRDefault="004E57A7" w:rsidP="004E57A7">
            <w:pPr>
              <w:rPr>
                <w:color w:val="000000"/>
                <w:sz w:val="20"/>
                <w:szCs w:val="20"/>
              </w:rPr>
            </w:pPr>
            <w:r w:rsidRPr="001F224B">
              <w:rPr>
                <w:color w:val="000000"/>
                <w:sz w:val="20"/>
                <w:szCs w:val="20"/>
              </w:rPr>
              <w:t>10</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5AA680A5" w14:textId="6733D1C3" w:rsidR="004E57A7" w:rsidRPr="001F224B" w:rsidRDefault="004E57A7" w:rsidP="004E57A7">
            <w:pPr>
              <w:rPr>
                <w:color w:val="000000"/>
                <w:sz w:val="20"/>
                <w:szCs w:val="20"/>
              </w:rPr>
            </w:pPr>
            <w:r w:rsidRPr="001F224B">
              <w:rPr>
                <w:color w:val="000000"/>
                <w:sz w:val="20"/>
                <w:szCs w:val="20"/>
              </w:rPr>
              <w:t>KYK’ya yapılan yatırımlar-%1250 risk ağırlığı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2319A" w14:textId="4578E058"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5BDDC" w14:textId="20072768"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59615D63" w14:textId="402ABEED"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73C31AD7"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AC1D8" w14:textId="77777777" w:rsidR="004E57A7" w:rsidRPr="001F224B" w:rsidRDefault="004E57A7" w:rsidP="004E57A7">
            <w:pPr>
              <w:rPr>
                <w:color w:val="000000"/>
                <w:sz w:val="20"/>
                <w:szCs w:val="20"/>
              </w:rPr>
            </w:pPr>
            <w:r w:rsidRPr="001F224B">
              <w:rPr>
                <w:color w:val="000000"/>
                <w:sz w:val="20"/>
                <w:szCs w:val="20"/>
              </w:rPr>
              <w:t>11</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2DB29EE" w14:textId="77777777" w:rsidR="004E57A7" w:rsidRPr="001F224B" w:rsidRDefault="004E57A7" w:rsidP="004E57A7">
            <w:pPr>
              <w:rPr>
                <w:color w:val="000000"/>
                <w:sz w:val="20"/>
                <w:szCs w:val="20"/>
              </w:rPr>
            </w:pPr>
            <w:r w:rsidRPr="001F224B">
              <w:rPr>
                <w:color w:val="000000"/>
                <w:sz w:val="20"/>
                <w:szCs w:val="20"/>
              </w:rPr>
              <w:t>Takas riski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43441" w14:textId="3830F38A"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55C36" w14:textId="6539FBD9"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4D9F4FBE" w14:textId="59F46084"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45D97D1C"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99CC0" w14:textId="77777777" w:rsidR="004E57A7" w:rsidRPr="001F224B" w:rsidRDefault="004E57A7" w:rsidP="004E57A7">
            <w:pPr>
              <w:rPr>
                <w:color w:val="000000"/>
                <w:sz w:val="20"/>
                <w:szCs w:val="20"/>
              </w:rPr>
            </w:pPr>
            <w:r w:rsidRPr="001F224B">
              <w:rPr>
                <w:color w:val="000000"/>
                <w:sz w:val="20"/>
                <w:szCs w:val="20"/>
              </w:rPr>
              <w:t>12</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32F21EF" w14:textId="77777777" w:rsidR="004E57A7" w:rsidRPr="001F224B" w:rsidRDefault="004E57A7" w:rsidP="004E57A7">
            <w:pPr>
              <w:rPr>
                <w:color w:val="000000"/>
                <w:sz w:val="20"/>
                <w:szCs w:val="20"/>
              </w:rPr>
            </w:pPr>
            <w:r w:rsidRPr="001F224B">
              <w:rPr>
                <w:color w:val="000000"/>
                <w:sz w:val="20"/>
                <w:szCs w:val="20"/>
              </w:rPr>
              <w:t>Bankacılık hesaplarındaki menkul kıymetleştirme pozisyonları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5796F" w14:textId="7D37AF89"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0663B" w14:textId="6721751C"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10DE93D1" w14:textId="78FEA22D"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42B8B0C0"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18040" w14:textId="77777777" w:rsidR="004E57A7" w:rsidRPr="001F224B" w:rsidRDefault="004E57A7" w:rsidP="004E57A7">
            <w:pPr>
              <w:rPr>
                <w:color w:val="000000"/>
                <w:sz w:val="20"/>
                <w:szCs w:val="20"/>
              </w:rPr>
            </w:pPr>
            <w:r w:rsidRPr="001F224B">
              <w:rPr>
                <w:color w:val="000000"/>
                <w:sz w:val="20"/>
                <w:szCs w:val="20"/>
              </w:rPr>
              <w:t>13</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25C1F25D" w14:textId="77777777" w:rsidR="004E57A7" w:rsidRPr="001F224B" w:rsidRDefault="004E57A7" w:rsidP="004E57A7">
            <w:pPr>
              <w:rPr>
                <w:color w:val="000000"/>
                <w:sz w:val="20"/>
                <w:szCs w:val="20"/>
              </w:rPr>
            </w:pPr>
            <w:r w:rsidRPr="001F224B">
              <w:rPr>
                <w:color w:val="000000"/>
                <w:sz w:val="20"/>
                <w:szCs w:val="20"/>
              </w:rPr>
              <w:t>İDD derecelendirmeye dayalı yaklaşım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BAED5" w14:textId="6B1119C3"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EDB13" w14:textId="68238712"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19573C80" w14:textId="37C7907A"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2219025F"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17CB5" w14:textId="77777777" w:rsidR="004E57A7" w:rsidRPr="001F224B" w:rsidRDefault="004E57A7" w:rsidP="004E57A7">
            <w:pPr>
              <w:rPr>
                <w:color w:val="000000"/>
                <w:sz w:val="20"/>
                <w:szCs w:val="20"/>
              </w:rPr>
            </w:pPr>
            <w:r w:rsidRPr="001F224B">
              <w:rPr>
                <w:color w:val="000000"/>
                <w:sz w:val="20"/>
                <w:szCs w:val="20"/>
              </w:rPr>
              <w:t>14</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0FA061E" w14:textId="77777777" w:rsidR="004E57A7" w:rsidRPr="001F224B" w:rsidRDefault="004E57A7" w:rsidP="004E57A7">
            <w:pPr>
              <w:rPr>
                <w:color w:val="000000"/>
                <w:sz w:val="20"/>
                <w:szCs w:val="20"/>
              </w:rPr>
            </w:pPr>
            <w:r w:rsidRPr="001F224B">
              <w:rPr>
                <w:color w:val="000000"/>
                <w:sz w:val="20"/>
                <w:szCs w:val="20"/>
              </w:rPr>
              <w:t>İDD denetim otoritesi formülü yaklaşımı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88FD" w14:textId="106A1F9D"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90E75" w14:textId="082A2EA9"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72CC48FD" w14:textId="2188ED72"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6AE60E70"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CB36E" w14:textId="77777777" w:rsidR="004E57A7" w:rsidRPr="001F224B" w:rsidRDefault="004E57A7" w:rsidP="004E57A7">
            <w:pPr>
              <w:rPr>
                <w:color w:val="000000"/>
                <w:sz w:val="20"/>
                <w:szCs w:val="20"/>
              </w:rPr>
            </w:pPr>
            <w:r w:rsidRPr="001F224B">
              <w:rPr>
                <w:color w:val="000000"/>
                <w:sz w:val="20"/>
                <w:szCs w:val="20"/>
              </w:rPr>
              <w:t>15</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2EFC504A" w14:textId="77777777" w:rsidR="004E57A7" w:rsidRPr="001F224B" w:rsidRDefault="004E57A7" w:rsidP="004E57A7">
            <w:pPr>
              <w:rPr>
                <w:color w:val="000000"/>
                <w:sz w:val="20"/>
                <w:szCs w:val="20"/>
              </w:rPr>
            </w:pPr>
            <w:r w:rsidRPr="001F224B">
              <w:rPr>
                <w:color w:val="000000"/>
                <w:sz w:val="20"/>
                <w:szCs w:val="20"/>
              </w:rPr>
              <w:t>Standart basitleştirilmiş denetim otoritesi formülü yaklaşımı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0EBBF" w14:textId="336E8F88"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AF17" w14:textId="674525D5"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5BC9E1BE" w14:textId="20B2A7EA"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4715B94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4C56B" w14:textId="77777777" w:rsidR="004E57A7" w:rsidRPr="001F224B" w:rsidRDefault="004E57A7" w:rsidP="004E57A7">
            <w:pPr>
              <w:rPr>
                <w:color w:val="000000"/>
                <w:sz w:val="20"/>
                <w:szCs w:val="20"/>
              </w:rPr>
            </w:pPr>
            <w:r w:rsidRPr="001F224B">
              <w:rPr>
                <w:color w:val="000000"/>
                <w:sz w:val="20"/>
                <w:szCs w:val="20"/>
              </w:rPr>
              <w:t>16</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15D64E8C" w14:textId="77777777" w:rsidR="004E57A7" w:rsidRPr="001F224B" w:rsidRDefault="004E57A7" w:rsidP="004E57A7">
            <w:pPr>
              <w:rPr>
                <w:color w:val="000000"/>
                <w:sz w:val="20"/>
                <w:szCs w:val="20"/>
              </w:rPr>
            </w:pPr>
            <w:r w:rsidRPr="001F224B">
              <w:rPr>
                <w:color w:val="000000"/>
                <w:sz w:val="20"/>
                <w:szCs w:val="20"/>
              </w:rPr>
              <w:t>Piyasa riski</w:t>
            </w:r>
          </w:p>
        </w:tc>
        <w:tc>
          <w:tcPr>
            <w:tcW w:w="1559" w:type="dxa"/>
            <w:tcBorders>
              <w:top w:val="single" w:sz="4" w:space="0" w:color="auto"/>
              <w:left w:val="nil"/>
              <w:bottom w:val="single" w:sz="4" w:space="0" w:color="auto"/>
              <w:right w:val="single" w:sz="4" w:space="0" w:color="auto"/>
            </w:tcBorders>
            <w:noWrap/>
            <w:vAlign w:val="bottom"/>
          </w:tcPr>
          <w:p w14:paraId="59901EEF" w14:textId="174358F3" w:rsidR="004E57A7" w:rsidRPr="001F224B" w:rsidRDefault="004E57A7" w:rsidP="004E57A7">
            <w:pPr>
              <w:jc w:val="right"/>
              <w:rPr>
                <w:color w:val="000000"/>
                <w:sz w:val="20"/>
                <w:szCs w:val="20"/>
              </w:rPr>
            </w:pPr>
            <w:r w:rsidRPr="001F224B">
              <w:rPr>
                <w:color w:val="000000"/>
                <w:sz w:val="20"/>
                <w:szCs w:val="20"/>
              </w:rPr>
              <w:t>19.202.540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F9B02" w14:textId="68357C97" w:rsidR="004E57A7" w:rsidRPr="001F224B" w:rsidRDefault="004E57A7" w:rsidP="004E57A7">
            <w:pPr>
              <w:jc w:val="right"/>
              <w:rPr>
                <w:color w:val="000000"/>
                <w:sz w:val="20"/>
                <w:szCs w:val="20"/>
              </w:rPr>
            </w:pPr>
            <w:r w:rsidRPr="001F224B">
              <w:rPr>
                <w:color w:val="000000"/>
                <w:sz w:val="20"/>
                <w:szCs w:val="20"/>
              </w:rPr>
              <w:t>20.484.321</w:t>
            </w:r>
          </w:p>
        </w:tc>
        <w:tc>
          <w:tcPr>
            <w:tcW w:w="1559" w:type="dxa"/>
            <w:tcBorders>
              <w:top w:val="single" w:sz="4" w:space="0" w:color="auto"/>
              <w:left w:val="single" w:sz="4" w:space="0" w:color="auto"/>
              <w:bottom w:val="single" w:sz="4" w:space="0" w:color="auto"/>
              <w:right w:val="single" w:sz="4" w:space="0" w:color="auto"/>
            </w:tcBorders>
            <w:vAlign w:val="bottom"/>
          </w:tcPr>
          <w:p w14:paraId="50EA4995" w14:textId="3F4F60A1" w:rsidR="004E57A7" w:rsidRPr="001F224B" w:rsidRDefault="004E57A7" w:rsidP="004E57A7">
            <w:pPr>
              <w:jc w:val="right"/>
              <w:rPr>
                <w:color w:val="000000"/>
                <w:sz w:val="20"/>
                <w:szCs w:val="20"/>
              </w:rPr>
            </w:pPr>
            <w:r w:rsidRPr="001F224B">
              <w:rPr>
                <w:color w:val="000000"/>
                <w:sz w:val="20"/>
                <w:szCs w:val="20"/>
              </w:rPr>
              <w:t>1.536.203</w:t>
            </w:r>
          </w:p>
        </w:tc>
      </w:tr>
      <w:tr w:rsidR="004E57A7" w:rsidRPr="001F224B" w14:paraId="3C020F70"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11AE7" w14:textId="77777777" w:rsidR="004E57A7" w:rsidRPr="001F224B" w:rsidRDefault="004E57A7" w:rsidP="004E57A7">
            <w:pPr>
              <w:rPr>
                <w:color w:val="000000"/>
                <w:sz w:val="20"/>
                <w:szCs w:val="20"/>
              </w:rPr>
            </w:pPr>
            <w:r w:rsidRPr="001F224B">
              <w:rPr>
                <w:color w:val="000000"/>
                <w:sz w:val="20"/>
                <w:szCs w:val="20"/>
              </w:rPr>
              <w:t>17</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921E869" w14:textId="77777777" w:rsidR="004E57A7" w:rsidRPr="001F224B" w:rsidRDefault="004E57A7" w:rsidP="004E57A7">
            <w:pPr>
              <w:rPr>
                <w:color w:val="000000"/>
                <w:sz w:val="20"/>
                <w:szCs w:val="20"/>
              </w:rPr>
            </w:pPr>
            <w:r w:rsidRPr="001F224B">
              <w:rPr>
                <w:color w:val="000000"/>
                <w:sz w:val="20"/>
                <w:szCs w:val="20"/>
              </w:rPr>
              <w:t>Standart yaklaşım</w:t>
            </w:r>
          </w:p>
        </w:tc>
        <w:tc>
          <w:tcPr>
            <w:tcW w:w="1559" w:type="dxa"/>
            <w:tcBorders>
              <w:top w:val="single" w:sz="4" w:space="0" w:color="auto"/>
              <w:left w:val="nil"/>
              <w:bottom w:val="single" w:sz="4" w:space="0" w:color="auto"/>
              <w:right w:val="single" w:sz="4" w:space="0" w:color="auto"/>
            </w:tcBorders>
            <w:noWrap/>
            <w:vAlign w:val="bottom"/>
          </w:tcPr>
          <w:p w14:paraId="64DDCB79" w14:textId="6BF06A38" w:rsidR="004E57A7" w:rsidRPr="001F224B" w:rsidRDefault="004E57A7" w:rsidP="004E57A7">
            <w:pPr>
              <w:jc w:val="right"/>
              <w:rPr>
                <w:color w:val="000000"/>
                <w:sz w:val="20"/>
                <w:szCs w:val="20"/>
              </w:rPr>
            </w:pPr>
            <w:r w:rsidRPr="001F224B">
              <w:rPr>
                <w:color w:val="000000"/>
                <w:sz w:val="20"/>
                <w:szCs w:val="20"/>
              </w:rPr>
              <w:t>19.202.540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3DE2A" w14:textId="107A0C44" w:rsidR="004E57A7" w:rsidRPr="001F224B" w:rsidRDefault="004E57A7" w:rsidP="004E57A7">
            <w:pPr>
              <w:jc w:val="right"/>
              <w:rPr>
                <w:color w:val="000000"/>
                <w:sz w:val="20"/>
                <w:szCs w:val="20"/>
              </w:rPr>
            </w:pPr>
            <w:r w:rsidRPr="001F224B">
              <w:rPr>
                <w:color w:val="000000"/>
                <w:sz w:val="20"/>
                <w:szCs w:val="20"/>
              </w:rPr>
              <w:t>20.484.321</w:t>
            </w:r>
          </w:p>
        </w:tc>
        <w:tc>
          <w:tcPr>
            <w:tcW w:w="1559" w:type="dxa"/>
            <w:tcBorders>
              <w:top w:val="single" w:sz="4" w:space="0" w:color="auto"/>
              <w:left w:val="single" w:sz="4" w:space="0" w:color="auto"/>
              <w:bottom w:val="single" w:sz="4" w:space="0" w:color="auto"/>
              <w:right w:val="single" w:sz="4" w:space="0" w:color="auto"/>
            </w:tcBorders>
            <w:vAlign w:val="bottom"/>
          </w:tcPr>
          <w:p w14:paraId="79FEB8BC" w14:textId="64B11BD2" w:rsidR="004E57A7" w:rsidRPr="001F224B" w:rsidRDefault="004E57A7" w:rsidP="004E57A7">
            <w:pPr>
              <w:jc w:val="right"/>
              <w:rPr>
                <w:color w:val="000000"/>
                <w:sz w:val="20"/>
                <w:szCs w:val="20"/>
              </w:rPr>
            </w:pPr>
            <w:r w:rsidRPr="001F224B">
              <w:rPr>
                <w:color w:val="000000"/>
                <w:sz w:val="20"/>
                <w:szCs w:val="20"/>
              </w:rPr>
              <w:t>1.536.203</w:t>
            </w:r>
          </w:p>
        </w:tc>
      </w:tr>
      <w:tr w:rsidR="004E57A7" w:rsidRPr="001F224B" w14:paraId="7C69523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7215E" w14:textId="77777777" w:rsidR="004E57A7" w:rsidRPr="001F224B" w:rsidRDefault="004E57A7" w:rsidP="004E57A7">
            <w:pPr>
              <w:rPr>
                <w:color w:val="000000"/>
                <w:sz w:val="20"/>
                <w:szCs w:val="20"/>
              </w:rPr>
            </w:pPr>
            <w:r w:rsidRPr="001F224B">
              <w:rPr>
                <w:color w:val="000000"/>
                <w:sz w:val="20"/>
                <w:szCs w:val="20"/>
              </w:rPr>
              <w:t>18</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067D948" w14:textId="77777777" w:rsidR="004E57A7" w:rsidRPr="001F224B" w:rsidRDefault="004E57A7" w:rsidP="004E57A7">
            <w:pPr>
              <w:rPr>
                <w:color w:val="000000"/>
                <w:sz w:val="20"/>
                <w:szCs w:val="20"/>
              </w:rPr>
            </w:pPr>
            <w:r w:rsidRPr="001F224B">
              <w:rPr>
                <w:color w:val="000000"/>
                <w:sz w:val="20"/>
                <w:szCs w:val="20"/>
              </w:rPr>
              <w:t>İçsel model yaklaşımları</w:t>
            </w:r>
          </w:p>
        </w:tc>
        <w:tc>
          <w:tcPr>
            <w:tcW w:w="1559" w:type="dxa"/>
            <w:tcBorders>
              <w:top w:val="single" w:sz="4" w:space="0" w:color="auto"/>
              <w:left w:val="nil"/>
              <w:bottom w:val="single" w:sz="4" w:space="0" w:color="auto"/>
              <w:right w:val="single" w:sz="4" w:space="0" w:color="auto"/>
            </w:tcBorders>
            <w:noWrap/>
            <w:vAlign w:val="bottom"/>
          </w:tcPr>
          <w:p w14:paraId="1B077999" w14:textId="723D409B" w:rsidR="004E57A7" w:rsidRPr="001F224B" w:rsidRDefault="004E57A7" w:rsidP="004E57A7">
            <w:pPr>
              <w:jc w:val="right"/>
              <w:rPr>
                <w:color w:val="000000"/>
                <w:sz w:val="20"/>
                <w:szCs w:val="20"/>
              </w:rPr>
            </w:pPr>
            <w:r w:rsidRPr="001F224B">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09F47" w14:textId="711A4C91" w:rsidR="004E57A7" w:rsidRPr="001F224B" w:rsidRDefault="004E57A7" w:rsidP="004E57A7">
            <w:pPr>
              <w:jc w:val="right"/>
              <w:rPr>
                <w:color w:val="000000"/>
                <w:sz w:val="20"/>
                <w:szCs w:val="20"/>
              </w:rPr>
            </w:pPr>
            <w:r w:rsidRPr="001F224B">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vAlign w:val="bottom"/>
          </w:tcPr>
          <w:p w14:paraId="467B1F37" w14:textId="06DE37ED" w:rsidR="004E57A7" w:rsidRPr="001F224B" w:rsidRDefault="004E57A7" w:rsidP="004E57A7">
            <w:pPr>
              <w:jc w:val="right"/>
              <w:rPr>
                <w:color w:val="000000"/>
                <w:sz w:val="20"/>
                <w:szCs w:val="20"/>
              </w:rPr>
            </w:pPr>
            <w:r w:rsidRPr="001F224B">
              <w:rPr>
                <w:color w:val="000000"/>
                <w:sz w:val="20"/>
                <w:szCs w:val="20"/>
              </w:rPr>
              <w:t>- </w:t>
            </w:r>
          </w:p>
        </w:tc>
      </w:tr>
      <w:tr w:rsidR="004E57A7" w:rsidRPr="001F224B" w14:paraId="329C5CA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6AD5" w14:textId="77777777" w:rsidR="004E57A7" w:rsidRPr="001F224B" w:rsidRDefault="004E57A7" w:rsidP="004E57A7">
            <w:pPr>
              <w:rPr>
                <w:color w:val="000000"/>
                <w:sz w:val="20"/>
                <w:szCs w:val="20"/>
              </w:rPr>
            </w:pPr>
            <w:r w:rsidRPr="001F224B">
              <w:rPr>
                <w:color w:val="000000"/>
                <w:sz w:val="20"/>
                <w:szCs w:val="20"/>
              </w:rPr>
              <w:t>19</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1FA65468" w14:textId="77777777" w:rsidR="004E57A7" w:rsidRPr="001F224B" w:rsidRDefault="004E57A7" w:rsidP="004E57A7">
            <w:pPr>
              <w:rPr>
                <w:color w:val="000000"/>
                <w:sz w:val="20"/>
                <w:szCs w:val="20"/>
              </w:rPr>
            </w:pPr>
            <w:r w:rsidRPr="001F224B">
              <w:rPr>
                <w:color w:val="000000"/>
                <w:sz w:val="20"/>
                <w:szCs w:val="20"/>
              </w:rPr>
              <w:t>Operasyonel risk</w:t>
            </w:r>
          </w:p>
        </w:tc>
        <w:tc>
          <w:tcPr>
            <w:tcW w:w="1559" w:type="dxa"/>
            <w:tcBorders>
              <w:top w:val="single" w:sz="4" w:space="0" w:color="auto"/>
              <w:left w:val="nil"/>
              <w:bottom w:val="single" w:sz="4" w:space="0" w:color="auto"/>
              <w:right w:val="single" w:sz="4" w:space="0" w:color="auto"/>
            </w:tcBorders>
            <w:noWrap/>
            <w:vAlign w:val="bottom"/>
          </w:tcPr>
          <w:p w14:paraId="4B00EA54" w14:textId="02736E59" w:rsidR="004E57A7" w:rsidRPr="001F224B" w:rsidRDefault="004E57A7" w:rsidP="004E57A7">
            <w:pPr>
              <w:jc w:val="right"/>
              <w:rPr>
                <w:color w:val="000000"/>
                <w:sz w:val="20"/>
                <w:szCs w:val="20"/>
              </w:rPr>
            </w:pPr>
            <w:r w:rsidRPr="001F224B">
              <w:rPr>
                <w:color w:val="000000"/>
                <w:sz w:val="20"/>
                <w:szCs w:val="20"/>
              </w:rPr>
              <w:t>12.968.046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A7C77" w14:textId="53553097" w:rsidR="004E57A7" w:rsidRPr="001F224B" w:rsidRDefault="004E57A7" w:rsidP="004E57A7">
            <w:pPr>
              <w:jc w:val="right"/>
              <w:rPr>
                <w:color w:val="000000"/>
                <w:sz w:val="20"/>
                <w:szCs w:val="20"/>
              </w:rPr>
            </w:pPr>
            <w:r w:rsidRPr="001F224B">
              <w:rPr>
                <w:color w:val="000000"/>
                <w:sz w:val="20"/>
                <w:szCs w:val="20"/>
              </w:rPr>
              <w:t>7.260.018</w:t>
            </w:r>
          </w:p>
        </w:tc>
        <w:tc>
          <w:tcPr>
            <w:tcW w:w="1559" w:type="dxa"/>
            <w:tcBorders>
              <w:top w:val="single" w:sz="4" w:space="0" w:color="auto"/>
              <w:left w:val="single" w:sz="4" w:space="0" w:color="auto"/>
              <w:bottom w:val="single" w:sz="4" w:space="0" w:color="auto"/>
              <w:right w:val="single" w:sz="4" w:space="0" w:color="auto"/>
            </w:tcBorders>
            <w:vAlign w:val="bottom"/>
          </w:tcPr>
          <w:p w14:paraId="61F5ED45" w14:textId="20C538FD" w:rsidR="004E57A7" w:rsidRPr="001F224B" w:rsidRDefault="004E57A7" w:rsidP="004E57A7">
            <w:pPr>
              <w:jc w:val="right"/>
              <w:rPr>
                <w:color w:val="000000"/>
                <w:sz w:val="20"/>
                <w:szCs w:val="20"/>
              </w:rPr>
            </w:pPr>
            <w:r w:rsidRPr="001F224B">
              <w:rPr>
                <w:color w:val="000000"/>
                <w:sz w:val="20"/>
                <w:szCs w:val="20"/>
              </w:rPr>
              <w:t>1.037.444</w:t>
            </w:r>
          </w:p>
        </w:tc>
      </w:tr>
      <w:tr w:rsidR="004E57A7" w:rsidRPr="001F224B" w14:paraId="10F14664"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ABA9F" w14:textId="77777777" w:rsidR="004E57A7" w:rsidRPr="001F224B" w:rsidRDefault="004E57A7" w:rsidP="004E57A7">
            <w:pPr>
              <w:rPr>
                <w:color w:val="000000"/>
                <w:sz w:val="20"/>
                <w:szCs w:val="20"/>
              </w:rPr>
            </w:pPr>
            <w:r w:rsidRPr="001F224B">
              <w:rPr>
                <w:color w:val="000000"/>
                <w:sz w:val="20"/>
                <w:szCs w:val="20"/>
              </w:rPr>
              <w:t>20</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51F644B2" w14:textId="77777777" w:rsidR="004E57A7" w:rsidRPr="001F224B" w:rsidRDefault="004E57A7" w:rsidP="004E57A7">
            <w:pPr>
              <w:rPr>
                <w:color w:val="000000"/>
                <w:sz w:val="20"/>
                <w:szCs w:val="20"/>
              </w:rPr>
            </w:pPr>
            <w:r w:rsidRPr="001F224B">
              <w:rPr>
                <w:color w:val="000000"/>
                <w:sz w:val="20"/>
                <w:szCs w:val="20"/>
              </w:rPr>
              <w:t>Temel gösterge yaklaşımı</w:t>
            </w:r>
          </w:p>
        </w:tc>
        <w:tc>
          <w:tcPr>
            <w:tcW w:w="1559" w:type="dxa"/>
            <w:tcBorders>
              <w:top w:val="single" w:sz="4" w:space="0" w:color="auto"/>
              <w:left w:val="nil"/>
              <w:bottom w:val="single" w:sz="4" w:space="0" w:color="auto"/>
              <w:right w:val="single" w:sz="4" w:space="0" w:color="auto"/>
            </w:tcBorders>
            <w:noWrap/>
            <w:vAlign w:val="bottom"/>
          </w:tcPr>
          <w:p w14:paraId="6FB63FD2" w14:textId="07589F2E" w:rsidR="004E57A7" w:rsidRPr="001F224B" w:rsidRDefault="004E57A7" w:rsidP="004E57A7">
            <w:pPr>
              <w:jc w:val="right"/>
              <w:rPr>
                <w:color w:val="000000"/>
                <w:sz w:val="20"/>
                <w:szCs w:val="20"/>
              </w:rPr>
            </w:pPr>
            <w:r w:rsidRPr="001F224B">
              <w:rPr>
                <w:color w:val="000000"/>
                <w:sz w:val="20"/>
                <w:szCs w:val="20"/>
              </w:rPr>
              <w:t>12.968.046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B4F5A" w14:textId="5F28ACEF" w:rsidR="004E57A7" w:rsidRPr="001F224B" w:rsidRDefault="004E57A7" w:rsidP="004E57A7">
            <w:pPr>
              <w:jc w:val="right"/>
              <w:rPr>
                <w:color w:val="000000"/>
                <w:sz w:val="20"/>
                <w:szCs w:val="20"/>
              </w:rPr>
            </w:pPr>
            <w:r w:rsidRPr="001F224B">
              <w:rPr>
                <w:color w:val="000000"/>
                <w:sz w:val="20"/>
                <w:szCs w:val="20"/>
              </w:rPr>
              <w:t>7.260.018</w:t>
            </w:r>
          </w:p>
        </w:tc>
        <w:tc>
          <w:tcPr>
            <w:tcW w:w="1559" w:type="dxa"/>
            <w:tcBorders>
              <w:top w:val="single" w:sz="4" w:space="0" w:color="auto"/>
              <w:left w:val="single" w:sz="4" w:space="0" w:color="auto"/>
              <w:bottom w:val="single" w:sz="4" w:space="0" w:color="auto"/>
              <w:right w:val="single" w:sz="4" w:space="0" w:color="auto"/>
            </w:tcBorders>
            <w:vAlign w:val="bottom"/>
          </w:tcPr>
          <w:p w14:paraId="55E01778" w14:textId="207E804A" w:rsidR="004E57A7" w:rsidRPr="001F224B" w:rsidRDefault="004E57A7" w:rsidP="004E57A7">
            <w:pPr>
              <w:jc w:val="right"/>
              <w:rPr>
                <w:color w:val="000000"/>
                <w:sz w:val="20"/>
                <w:szCs w:val="20"/>
              </w:rPr>
            </w:pPr>
            <w:r w:rsidRPr="001F224B">
              <w:rPr>
                <w:color w:val="000000"/>
                <w:sz w:val="20"/>
                <w:szCs w:val="20"/>
              </w:rPr>
              <w:t>1.037.444</w:t>
            </w:r>
          </w:p>
        </w:tc>
      </w:tr>
      <w:tr w:rsidR="004E57A7" w:rsidRPr="001F224B" w14:paraId="4725E057"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61E1B" w14:textId="77777777" w:rsidR="004E57A7" w:rsidRPr="001F224B" w:rsidRDefault="004E57A7" w:rsidP="004E57A7">
            <w:pPr>
              <w:rPr>
                <w:color w:val="000000"/>
                <w:sz w:val="20"/>
                <w:szCs w:val="20"/>
              </w:rPr>
            </w:pPr>
            <w:r w:rsidRPr="001F224B">
              <w:rPr>
                <w:color w:val="000000"/>
                <w:sz w:val="20"/>
                <w:szCs w:val="20"/>
              </w:rPr>
              <w:t>21</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85DB8FE" w14:textId="77777777" w:rsidR="004E57A7" w:rsidRPr="001F224B" w:rsidRDefault="004E57A7" w:rsidP="004E57A7">
            <w:pPr>
              <w:rPr>
                <w:color w:val="000000"/>
                <w:sz w:val="20"/>
                <w:szCs w:val="20"/>
              </w:rPr>
            </w:pPr>
            <w:r w:rsidRPr="001F224B">
              <w:rPr>
                <w:color w:val="000000"/>
                <w:sz w:val="20"/>
                <w:szCs w:val="20"/>
              </w:rPr>
              <w:t>Standart yaklaşım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EB12D" w14:textId="2CAE92A1"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0016F" w14:textId="74E722FB"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23B3E35B" w14:textId="65451DCB"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7708D164"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C51FC" w14:textId="77777777" w:rsidR="004E57A7" w:rsidRPr="001F224B" w:rsidRDefault="004E57A7" w:rsidP="004E57A7">
            <w:pPr>
              <w:rPr>
                <w:color w:val="000000"/>
                <w:sz w:val="20"/>
                <w:szCs w:val="20"/>
              </w:rPr>
            </w:pPr>
            <w:r w:rsidRPr="001F224B">
              <w:rPr>
                <w:color w:val="000000"/>
                <w:sz w:val="20"/>
                <w:szCs w:val="20"/>
              </w:rPr>
              <w:t>22</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4081E4FF" w14:textId="77777777" w:rsidR="004E57A7" w:rsidRPr="001F224B" w:rsidRDefault="004E57A7" w:rsidP="004E57A7">
            <w:pPr>
              <w:rPr>
                <w:color w:val="000000"/>
                <w:sz w:val="20"/>
                <w:szCs w:val="20"/>
              </w:rPr>
            </w:pPr>
            <w:r w:rsidRPr="001F224B">
              <w:rPr>
                <w:color w:val="000000"/>
                <w:sz w:val="20"/>
                <w:szCs w:val="20"/>
              </w:rPr>
              <w:t>İleri ölçüm yaklaşımı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AEA2B" w14:textId="562C0278"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6642A" w14:textId="7EB4A7ED"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76AD725A" w14:textId="187A6078"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6386F41A" w14:textId="77777777" w:rsidTr="000E1C24">
        <w:trPr>
          <w:trHeight w:val="344"/>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2855DC58" w14:textId="77777777" w:rsidR="004E57A7" w:rsidRPr="001F224B" w:rsidRDefault="004E57A7" w:rsidP="004E57A7">
            <w:pPr>
              <w:rPr>
                <w:color w:val="000000"/>
                <w:sz w:val="20"/>
                <w:szCs w:val="20"/>
              </w:rPr>
            </w:pPr>
            <w:r w:rsidRPr="001F224B">
              <w:rPr>
                <w:color w:val="000000"/>
                <w:sz w:val="20"/>
                <w:szCs w:val="20"/>
              </w:rPr>
              <w:t>23</w:t>
            </w:r>
          </w:p>
        </w:tc>
        <w:tc>
          <w:tcPr>
            <w:tcW w:w="4117" w:type="dxa"/>
            <w:tcBorders>
              <w:top w:val="single" w:sz="4" w:space="0" w:color="auto"/>
              <w:left w:val="nil"/>
              <w:bottom w:val="single" w:sz="4" w:space="0" w:color="auto"/>
              <w:right w:val="single" w:sz="4" w:space="0" w:color="auto"/>
            </w:tcBorders>
            <w:shd w:val="clear" w:color="auto" w:fill="auto"/>
            <w:vAlign w:val="bottom"/>
            <w:hideMark/>
          </w:tcPr>
          <w:p w14:paraId="02C463C6" w14:textId="71A9B9D7" w:rsidR="004E57A7" w:rsidRPr="001F224B" w:rsidRDefault="004E57A7" w:rsidP="004E57A7">
            <w:pPr>
              <w:rPr>
                <w:color w:val="000000"/>
                <w:sz w:val="20"/>
                <w:szCs w:val="20"/>
              </w:rPr>
            </w:pPr>
            <w:r w:rsidRPr="001F224B">
              <w:rPr>
                <w:color w:val="000000"/>
                <w:sz w:val="20"/>
                <w:szCs w:val="20"/>
              </w:rPr>
              <w:t>Özkaynaklardan indirim eşiklerinin altındaki tutarlar (%250 risk ağırlığına tabi)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45176" w14:textId="2BBA3539"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5F97D" w14:textId="77959ECD"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50E104EE" w14:textId="368B9B89"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7D36CF1D"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F7AE3" w14:textId="77777777" w:rsidR="004E57A7" w:rsidRPr="001F224B" w:rsidRDefault="004E57A7" w:rsidP="004E57A7">
            <w:pPr>
              <w:rPr>
                <w:color w:val="000000"/>
                <w:sz w:val="20"/>
                <w:szCs w:val="20"/>
              </w:rPr>
            </w:pPr>
            <w:r w:rsidRPr="001F224B">
              <w:rPr>
                <w:color w:val="000000"/>
                <w:sz w:val="20"/>
                <w:szCs w:val="20"/>
              </w:rPr>
              <w:t>24</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432A3074" w14:textId="77777777" w:rsidR="004E57A7" w:rsidRPr="001F224B" w:rsidRDefault="004E57A7" w:rsidP="004E57A7">
            <w:pPr>
              <w:rPr>
                <w:color w:val="000000"/>
                <w:sz w:val="20"/>
                <w:szCs w:val="20"/>
              </w:rPr>
            </w:pPr>
            <w:r w:rsidRPr="001F224B">
              <w:rPr>
                <w:color w:val="000000"/>
                <w:sz w:val="20"/>
                <w:szCs w:val="20"/>
              </w:rPr>
              <w:t>En düşük değer ayarlamaları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1B1C0" w14:textId="76F44A76" w:rsidR="004E57A7" w:rsidRPr="001F224B" w:rsidRDefault="004E57A7" w:rsidP="004E57A7">
            <w:pPr>
              <w:jc w:val="right"/>
              <w:rPr>
                <w:b/>
                <w:bCs/>
                <w:color w:val="000000"/>
                <w:sz w:val="20"/>
                <w:szCs w:val="20"/>
              </w:rPr>
            </w:pPr>
            <w:r w:rsidRPr="001F224B">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CE3E6" w14:textId="4002B8A3" w:rsidR="004E57A7" w:rsidRPr="001F224B" w:rsidRDefault="004E57A7" w:rsidP="004E57A7">
            <w:pPr>
              <w:jc w:val="right"/>
              <w:rPr>
                <w:b/>
                <w:bCs/>
                <w:sz w:val="20"/>
                <w:szCs w:val="20"/>
              </w:rPr>
            </w:pPr>
            <w:r w:rsidRPr="001F224B">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1A9FBD88" w14:textId="74B62257" w:rsidR="004E57A7" w:rsidRPr="001F224B" w:rsidRDefault="004E57A7" w:rsidP="004E57A7">
            <w:pPr>
              <w:jc w:val="right"/>
              <w:rPr>
                <w:b/>
                <w:bCs/>
                <w:sz w:val="20"/>
                <w:szCs w:val="20"/>
              </w:rPr>
            </w:pPr>
            <w:r w:rsidRPr="001F224B">
              <w:rPr>
                <w:b/>
                <w:bCs/>
                <w:color w:val="000000"/>
                <w:sz w:val="20"/>
                <w:szCs w:val="20"/>
              </w:rPr>
              <w:t>- </w:t>
            </w:r>
          </w:p>
        </w:tc>
      </w:tr>
      <w:tr w:rsidR="004E57A7" w:rsidRPr="001F224B" w14:paraId="3381D6D8"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47B07" w14:textId="77777777" w:rsidR="004E57A7" w:rsidRPr="001F224B" w:rsidRDefault="004E57A7" w:rsidP="004E57A7">
            <w:pPr>
              <w:rPr>
                <w:b/>
                <w:color w:val="000000"/>
                <w:sz w:val="20"/>
                <w:szCs w:val="20"/>
              </w:rPr>
            </w:pPr>
            <w:r w:rsidRPr="001F224B">
              <w:rPr>
                <w:b/>
                <w:color w:val="000000"/>
                <w:sz w:val="20"/>
                <w:szCs w:val="20"/>
              </w:rPr>
              <w:t>25</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8E0A02C" w14:textId="77777777" w:rsidR="004E57A7" w:rsidRPr="001F224B" w:rsidRDefault="004E57A7" w:rsidP="004E57A7">
            <w:pPr>
              <w:rPr>
                <w:b/>
                <w:color w:val="000000"/>
                <w:sz w:val="20"/>
                <w:szCs w:val="20"/>
              </w:rPr>
            </w:pPr>
            <w:r w:rsidRPr="001F224B">
              <w:rPr>
                <w:b/>
                <w:color w:val="000000"/>
                <w:sz w:val="20"/>
                <w:szCs w:val="20"/>
              </w:rPr>
              <w:t>Toplam (1+4+7+8+9+10+11+12+16+19+23+24)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D8FA7" w14:textId="78128321" w:rsidR="004E57A7" w:rsidRPr="001F224B" w:rsidRDefault="004E57A7" w:rsidP="004E57A7">
            <w:pPr>
              <w:jc w:val="right"/>
              <w:rPr>
                <w:b/>
                <w:bCs/>
                <w:color w:val="000000"/>
                <w:sz w:val="20"/>
                <w:szCs w:val="20"/>
              </w:rPr>
            </w:pPr>
            <w:r w:rsidRPr="001F224B">
              <w:rPr>
                <w:b/>
                <w:bCs/>
                <w:color w:val="000000"/>
                <w:sz w:val="20"/>
                <w:szCs w:val="20"/>
              </w:rPr>
              <w:t>166.204.227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CC113" w14:textId="13359B27" w:rsidR="004E57A7" w:rsidRPr="001F224B" w:rsidRDefault="004E57A7" w:rsidP="004E57A7">
            <w:pPr>
              <w:jc w:val="right"/>
              <w:rPr>
                <w:b/>
                <w:bCs/>
                <w:sz w:val="20"/>
                <w:szCs w:val="20"/>
              </w:rPr>
            </w:pPr>
            <w:r w:rsidRPr="001F224B">
              <w:rPr>
                <w:b/>
                <w:bCs/>
                <w:color w:val="000000"/>
                <w:sz w:val="20"/>
                <w:szCs w:val="20"/>
              </w:rPr>
              <w:t>134.789.354</w:t>
            </w:r>
          </w:p>
        </w:tc>
        <w:tc>
          <w:tcPr>
            <w:tcW w:w="1559" w:type="dxa"/>
            <w:tcBorders>
              <w:top w:val="single" w:sz="4" w:space="0" w:color="auto"/>
              <w:left w:val="nil"/>
              <w:bottom w:val="single" w:sz="4" w:space="0" w:color="auto"/>
              <w:right w:val="single" w:sz="4" w:space="0" w:color="auto"/>
            </w:tcBorders>
            <w:shd w:val="clear" w:color="auto" w:fill="auto"/>
            <w:vAlign w:val="bottom"/>
          </w:tcPr>
          <w:p w14:paraId="79F7D3B6" w14:textId="49008EB9" w:rsidR="004E57A7" w:rsidRPr="001F224B" w:rsidRDefault="004E57A7" w:rsidP="004E57A7">
            <w:pPr>
              <w:jc w:val="right"/>
              <w:rPr>
                <w:b/>
                <w:bCs/>
                <w:sz w:val="20"/>
                <w:szCs w:val="20"/>
              </w:rPr>
            </w:pPr>
            <w:r w:rsidRPr="001F224B">
              <w:rPr>
                <w:b/>
                <w:bCs/>
                <w:color w:val="000000"/>
                <w:sz w:val="20"/>
                <w:szCs w:val="20"/>
              </w:rPr>
              <w:t>13.296.338</w:t>
            </w:r>
          </w:p>
        </w:tc>
      </w:tr>
    </w:tbl>
    <w:p w14:paraId="79B8E526" w14:textId="77777777" w:rsidR="009F3EFE" w:rsidRPr="001F224B" w:rsidRDefault="009F3EFE" w:rsidP="00F64EC3">
      <w:pPr>
        <w:spacing w:line="360" w:lineRule="auto"/>
        <w:rPr>
          <w:b/>
          <w:bCs/>
          <w:sz w:val="22"/>
          <w:szCs w:val="22"/>
        </w:rPr>
      </w:pPr>
    </w:p>
    <w:p w14:paraId="3B2B9CF1" w14:textId="77777777" w:rsidR="00C14110" w:rsidRPr="001F224B" w:rsidRDefault="00C14110" w:rsidP="001E3833">
      <w:pPr>
        <w:pStyle w:val="ListParagraph"/>
        <w:tabs>
          <w:tab w:val="left" w:pos="0"/>
        </w:tabs>
        <w:spacing w:before="120"/>
        <w:ind w:left="0"/>
        <w:rPr>
          <w:b/>
          <w:bCs/>
          <w:sz w:val="22"/>
          <w:szCs w:val="22"/>
        </w:rPr>
      </w:pPr>
    </w:p>
    <w:p w14:paraId="0F331930" w14:textId="77777777" w:rsidR="00DE2FA3" w:rsidRPr="001F224B" w:rsidRDefault="00DE2FA3" w:rsidP="00DE2FA3">
      <w:pPr>
        <w:pStyle w:val="ListParagraph"/>
        <w:tabs>
          <w:tab w:val="left" w:pos="0"/>
        </w:tabs>
        <w:spacing w:before="120"/>
        <w:ind w:left="0"/>
        <w:rPr>
          <w:b/>
          <w:bCs/>
          <w:sz w:val="22"/>
          <w:szCs w:val="22"/>
        </w:rPr>
      </w:pPr>
      <w:r w:rsidRPr="001F224B">
        <w:rPr>
          <w:b/>
          <w:bCs/>
          <w:sz w:val="22"/>
          <w:szCs w:val="22"/>
        </w:rPr>
        <w:t>DÖRDÜNCÜ BÖLÜM (Devamı)</w:t>
      </w:r>
    </w:p>
    <w:p w14:paraId="3659F8B7" w14:textId="77777777" w:rsidR="00DE2FA3" w:rsidRPr="001F224B" w:rsidRDefault="00DE2FA3" w:rsidP="00DE2FA3">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34A759C0" w14:textId="77777777" w:rsidR="00DE2FA3" w:rsidRPr="001F224B" w:rsidRDefault="00DE2FA3" w:rsidP="00DE2FA3">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132AE95A" w14:textId="77777777" w:rsidR="00DE2FA3" w:rsidRPr="001F224B" w:rsidRDefault="00DE2FA3" w:rsidP="00DE2FA3">
      <w:pPr>
        <w:spacing w:before="120" w:after="120"/>
      </w:pPr>
      <w:r w:rsidRPr="001F224B">
        <w:rPr>
          <w:b/>
          <w:sz w:val="22"/>
          <w:szCs w:val="22"/>
          <w:lang w:eastAsia="x-none"/>
        </w:rPr>
        <w:t>2. Varlıkların kredi kalitesi: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2289"/>
        <w:gridCol w:w="1716"/>
        <w:gridCol w:w="1484"/>
        <w:gridCol w:w="2301"/>
        <w:gridCol w:w="1707"/>
      </w:tblGrid>
      <w:tr w:rsidR="00DE2FA3" w:rsidRPr="001F224B" w14:paraId="6B057E35" w14:textId="77777777" w:rsidTr="00001A93">
        <w:trPr>
          <w:trHeight w:val="586"/>
        </w:trPr>
        <w:tc>
          <w:tcPr>
            <w:tcW w:w="2573" w:type="dxa"/>
            <w:gridSpan w:val="2"/>
            <w:vMerge w:val="restart"/>
            <w:tcBorders>
              <w:top w:val="single" w:sz="4" w:space="0" w:color="auto"/>
              <w:left w:val="single" w:sz="4" w:space="0" w:color="auto"/>
              <w:bottom w:val="single" w:sz="4" w:space="0" w:color="auto"/>
              <w:right w:val="single" w:sz="4" w:space="0" w:color="auto"/>
            </w:tcBorders>
            <w:noWrap/>
            <w:vAlign w:val="bottom"/>
            <w:hideMark/>
          </w:tcPr>
          <w:p w14:paraId="7046E9EC" w14:textId="77777777" w:rsidR="00DE2FA3" w:rsidRPr="001F224B" w:rsidRDefault="00DE2FA3" w:rsidP="00001A93">
            <w:pPr>
              <w:jc w:val="center"/>
              <w:rPr>
                <w:b/>
                <w:color w:val="000000"/>
                <w:sz w:val="20"/>
                <w:szCs w:val="20"/>
              </w:rPr>
            </w:pPr>
            <w:r w:rsidRPr="001F224B">
              <w:rPr>
                <w:b/>
                <w:color w:val="000000"/>
                <w:sz w:val="20"/>
                <w:szCs w:val="20"/>
              </w:rPr>
              <w:t>Cari Dönem</w:t>
            </w:r>
          </w:p>
          <w:p w14:paraId="6B8906D5" w14:textId="3DCEF703" w:rsidR="00DE2FA3" w:rsidRPr="001F224B" w:rsidRDefault="00DE2FA3" w:rsidP="00001A93">
            <w:pPr>
              <w:jc w:val="center"/>
              <w:rPr>
                <w:b/>
                <w:color w:val="000000"/>
                <w:sz w:val="20"/>
                <w:szCs w:val="20"/>
              </w:rPr>
            </w:pPr>
            <w:r w:rsidRPr="001F224B">
              <w:rPr>
                <w:b/>
                <w:color w:val="000000"/>
                <w:sz w:val="20"/>
                <w:szCs w:val="20"/>
              </w:rPr>
              <w:t xml:space="preserve"> (30.06.2025)</w:t>
            </w:r>
          </w:p>
        </w:tc>
        <w:tc>
          <w:tcPr>
            <w:tcW w:w="1716" w:type="dxa"/>
            <w:tcBorders>
              <w:top w:val="single" w:sz="4" w:space="0" w:color="auto"/>
              <w:left w:val="single" w:sz="4" w:space="0" w:color="auto"/>
              <w:bottom w:val="single" w:sz="4" w:space="0" w:color="auto"/>
              <w:right w:val="single" w:sz="4" w:space="0" w:color="auto"/>
            </w:tcBorders>
            <w:noWrap/>
            <w:vAlign w:val="center"/>
            <w:hideMark/>
          </w:tcPr>
          <w:p w14:paraId="02D7FC37" w14:textId="77777777" w:rsidR="00DE2FA3" w:rsidRPr="001F224B" w:rsidRDefault="00DE2FA3" w:rsidP="00001A93">
            <w:pPr>
              <w:jc w:val="center"/>
              <w:rPr>
                <w:bCs/>
                <w:color w:val="000000"/>
                <w:sz w:val="20"/>
                <w:szCs w:val="20"/>
              </w:rPr>
            </w:pPr>
            <w:r w:rsidRPr="001F224B">
              <w:rPr>
                <w:bCs/>
                <w:color w:val="000000"/>
                <w:sz w:val="20"/>
                <w:szCs w:val="20"/>
              </w:rPr>
              <w:t>Temerrüt etmiş</w:t>
            </w:r>
          </w:p>
          <w:p w14:paraId="32F36D93" w14:textId="77777777" w:rsidR="00DE2FA3" w:rsidRPr="001F224B" w:rsidRDefault="00DE2FA3" w:rsidP="00001A93">
            <w:pPr>
              <w:jc w:val="center"/>
              <w:rPr>
                <w:bCs/>
                <w:color w:val="000000"/>
                <w:sz w:val="20"/>
                <w:szCs w:val="20"/>
              </w:rPr>
            </w:pPr>
            <w:r w:rsidRPr="001F224B">
              <w:rPr>
                <w:bCs/>
                <w:color w:val="000000"/>
                <w:sz w:val="20"/>
                <w:szCs w:val="20"/>
              </w:rPr>
              <w:t>(a)</w:t>
            </w:r>
          </w:p>
        </w:tc>
        <w:tc>
          <w:tcPr>
            <w:tcW w:w="1484" w:type="dxa"/>
            <w:tcBorders>
              <w:top w:val="single" w:sz="4" w:space="0" w:color="auto"/>
              <w:left w:val="single" w:sz="4" w:space="0" w:color="auto"/>
              <w:bottom w:val="single" w:sz="4" w:space="0" w:color="auto"/>
              <w:right w:val="single" w:sz="4" w:space="0" w:color="auto"/>
            </w:tcBorders>
            <w:noWrap/>
            <w:vAlign w:val="center"/>
            <w:hideMark/>
          </w:tcPr>
          <w:p w14:paraId="3FBF5E98" w14:textId="77777777" w:rsidR="00DE2FA3" w:rsidRPr="001F224B" w:rsidRDefault="00DE2FA3" w:rsidP="00001A93">
            <w:pPr>
              <w:jc w:val="center"/>
              <w:rPr>
                <w:bCs/>
                <w:color w:val="000000"/>
                <w:sz w:val="20"/>
                <w:szCs w:val="20"/>
              </w:rPr>
            </w:pPr>
            <w:r w:rsidRPr="001F224B">
              <w:rPr>
                <w:bCs/>
                <w:color w:val="000000"/>
                <w:sz w:val="20"/>
                <w:szCs w:val="20"/>
              </w:rPr>
              <w:t>Temerrüt etmemiş</w:t>
            </w:r>
          </w:p>
          <w:p w14:paraId="2B9CD4EC" w14:textId="77777777" w:rsidR="00DE2FA3" w:rsidRPr="001F224B" w:rsidRDefault="00DE2FA3" w:rsidP="00001A93">
            <w:pPr>
              <w:jc w:val="center"/>
              <w:rPr>
                <w:bCs/>
                <w:color w:val="000000"/>
                <w:sz w:val="20"/>
                <w:szCs w:val="20"/>
              </w:rPr>
            </w:pPr>
            <w:r w:rsidRPr="001F224B">
              <w:rPr>
                <w:bCs/>
                <w:color w:val="000000"/>
                <w:sz w:val="20"/>
                <w:szCs w:val="20"/>
              </w:rPr>
              <w:t>(b)</w:t>
            </w:r>
          </w:p>
        </w:tc>
        <w:tc>
          <w:tcPr>
            <w:tcW w:w="2301" w:type="dxa"/>
            <w:vMerge w:val="restart"/>
            <w:tcBorders>
              <w:top w:val="single" w:sz="4" w:space="0" w:color="auto"/>
              <w:left w:val="single" w:sz="4" w:space="0" w:color="auto"/>
              <w:bottom w:val="single" w:sz="4" w:space="0" w:color="auto"/>
              <w:right w:val="single" w:sz="4" w:space="0" w:color="auto"/>
            </w:tcBorders>
            <w:noWrap/>
            <w:vAlign w:val="center"/>
            <w:hideMark/>
          </w:tcPr>
          <w:p w14:paraId="3AA12432" w14:textId="77777777" w:rsidR="00DE2FA3" w:rsidRPr="001F224B" w:rsidRDefault="00DE2FA3" w:rsidP="00001A93">
            <w:pPr>
              <w:jc w:val="center"/>
              <w:rPr>
                <w:bCs/>
                <w:color w:val="000000"/>
                <w:sz w:val="20"/>
                <w:szCs w:val="20"/>
              </w:rPr>
            </w:pPr>
            <w:r w:rsidRPr="001F224B">
              <w:rPr>
                <w:bCs/>
                <w:color w:val="000000"/>
                <w:sz w:val="20"/>
                <w:szCs w:val="20"/>
              </w:rPr>
              <w:t>Karşılıklar/Amortisman ve Değer düşüklüğü</w:t>
            </w:r>
          </w:p>
          <w:p w14:paraId="52F6706C" w14:textId="77777777" w:rsidR="00DE2FA3" w:rsidRPr="001F224B" w:rsidRDefault="00DE2FA3" w:rsidP="00001A93">
            <w:pPr>
              <w:jc w:val="center"/>
              <w:rPr>
                <w:bCs/>
                <w:color w:val="000000"/>
                <w:sz w:val="20"/>
                <w:szCs w:val="20"/>
              </w:rPr>
            </w:pPr>
            <w:r w:rsidRPr="001F224B">
              <w:rPr>
                <w:bCs/>
                <w:color w:val="000000"/>
                <w:sz w:val="20"/>
                <w:szCs w:val="20"/>
              </w:rPr>
              <w:t xml:space="preserve">(c) </w:t>
            </w:r>
          </w:p>
        </w:tc>
        <w:tc>
          <w:tcPr>
            <w:tcW w:w="1707" w:type="dxa"/>
            <w:vMerge w:val="restart"/>
            <w:tcBorders>
              <w:top w:val="single" w:sz="4" w:space="0" w:color="auto"/>
              <w:left w:val="single" w:sz="4" w:space="0" w:color="auto"/>
              <w:bottom w:val="single" w:sz="4" w:space="0" w:color="auto"/>
              <w:right w:val="single" w:sz="4" w:space="0" w:color="auto"/>
            </w:tcBorders>
            <w:noWrap/>
            <w:vAlign w:val="center"/>
            <w:hideMark/>
          </w:tcPr>
          <w:p w14:paraId="5343CC67" w14:textId="77777777" w:rsidR="00DE2FA3" w:rsidRPr="001F224B" w:rsidRDefault="00DE2FA3" w:rsidP="00001A93">
            <w:pPr>
              <w:jc w:val="center"/>
              <w:rPr>
                <w:bCs/>
                <w:color w:val="000000"/>
                <w:sz w:val="20"/>
                <w:szCs w:val="20"/>
              </w:rPr>
            </w:pPr>
            <w:r w:rsidRPr="001F224B">
              <w:rPr>
                <w:bCs/>
                <w:color w:val="000000"/>
                <w:sz w:val="20"/>
                <w:szCs w:val="20"/>
              </w:rPr>
              <w:t>Net Değer (a+b-c)</w:t>
            </w:r>
          </w:p>
        </w:tc>
      </w:tr>
      <w:tr w:rsidR="00DE2FA3" w:rsidRPr="001F224B" w14:paraId="2CE4833B" w14:textId="77777777" w:rsidTr="00001A93">
        <w:trPr>
          <w:trHeight w:val="100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C79B95" w14:textId="77777777" w:rsidR="00DE2FA3" w:rsidRPr="001F224B" w:rsidRDefault="00DE2FA3" w:rsidP="00001A93">
            <w:pPr>
              <w:rPr>
                <w:b/>
                <w:color w:val="000000"/>
                <w:sz w:val="20"/>
                <w:szCs w:val="20"/>
              </w:rPr>
            </w:pPr>
          </w:p>
        </w:tc>
        <w:tc>
          <w:tcPr>
            <w:tcW w:w="3200" w:type="dxa"/>
            <w:gridSpan w:val="2"/>
            <w:tcBorders>
              <w:top w:val="single" w:sz="4" w:space="0" w:color="auto"/>
              <w:left w:val="single" w:sz="4" w:space="0" w:color="auto"/>
              <w:bottom w:val="single" w:sz="4" w:space="0" w:color="auto"/>
              <w:right w:val="single" w:sz="4" w:space="0" w:color="auto"/>
            </w:tcBorders>
            <w:vAlign w:val="center"/>
            <w:hideMark/>
          </w:tcPr>
          <w:p w14:paraId="20A8855D" w14:textId="77777777" w:rsidR="00DE2FA3" w:rsidRPr="001F224B" w:rsidRDefault="00DE2FA3" w:rsidP="00001A93">
            <w:pPr>
              <w:jc w:val="center"/>
              <w:rPr>
                <w:bCs/>
                <w:color w:val="000000"/>
                <w:sz w:val="20"/>
                <w:szCs w:val="20"/>
              </w:rPr>
            </w:pPr>
            <w:r w:rsidRPr="001F224B">
              <w:rPr>
                <w:bCs/>
                <w:color w:val="000000"/>
                <w:sz w:val="20"/>
                <w:szCs w:val="20"/>
              </w:rPr>
              <w:t>Finansal tablolarda yer alan TMS uyarınca değerlenmiş brüt tutarı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0F947" w14:textId="77777777" w:rsidR="00DE2FA3" w:rsidRPr="001F224B" w:rsidRDefault="00DE2FA3" w:rsidP="00001A93">
            <w:pPr>
              <w:rPr>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81759" w14:textId="77777777" w:rsidR="00DE2FA3" w:rsidRPr="001F224B" w:rsidRDefault="00DE2FA3" w:rsidP="00001A93">
            <w:pPr>
              <w:rPr>
                <w:bCs/>
                <w:color w:val="000000"/>
                <w:sz w:val="20"/>
                <w:szCs w:val="20"/>
              </w:rPr>
            </w:pPr>
          </w:p>
        </w:tc>
      </w:tr>
      <w:tr w:rsidR="00DE2FA3" w:rsidRPr="001F224B" w14:paraId="1D24922B" w14:textId="77777777" w:rsidTr="00001A93">
        <w:trPr>
          <w:trHeight w:val="288"/>
        </w:trPr>
        <w:tc>
          <w:tcPr>
            <w:tcW w:w="284" w:type="dxa"/>
            <w:tcBorders>
              <w:top w:val="single" w:sz="4" w:space="0" w:color="auto"/>
              <w:left w:val="single" w:sz="4" w:space="0" w:color="auto"/>
              <w:bottom w:val="single" w:sz="4" w:space="0" w:color="auto"/>
              <w:right w:val="single" w:sz="4" w:space="0" w:color="auto"/>
            </w:tcBorders>
            <w:noWrap/>
            <w:vAlign w:val="bottom"/>
          </w:tcPr>
          <w:p w14:paraId="558B365D" w14:textId="77777777" w:rsidR="00DE2FA3" w:rsidRPr="001F224B" w:rsidRDefault="00DE2FA3" w:rsidP="00001A93">
            <w:pPr>
              <w:rPr>
                <w:color w:val="000000"/>
                <w:sz w:val="20"/>
                <w:szCs w:val="20"/>
              </w:rPr>
            </w:pPr>
          </w:p>
        </w:tc>
        <w:tc>
          <w:tcPr>
            <w:tcW w:w="2289" w:type="dxa"/>
            <w:tcBorders>
              <w:top w:val="single" w:sz="4" w:space="0" w:color="auto"/>
              <w:left w:val="single" w:sz="4" w:space="0" w:color="auto"/>
              <w:bottom w:val="single" w:sz="4" w:space="0" w:color="auto"/>
              <w:right w:val="single" w:sz="4" w:space="0" w:color="auto"/>
            </w:tcBorders>
            <w:noWrap/>
            <w:vAlign w:val="bottom"/>
          </w:tcPr>
          <w:p w14:paraId="58B17602" w14:textId="77777777" w:rsidR="00DE2FA3" w:rsidRPr="001F224B" w:rsidRDefault="00DE2FA3" w:rsidP="00001A93">
            <w:pPr>
              <w:rPr>
                <w:color w:val="000000"/>
                <w:sz w:val="20"/>
                <w:szCs w:val="20"/>
              </w:rPr>
            </w:pPr>
          </w:p>
        </w:tc>
        <w:tc>
          <w:tcPr>
            <w:tcW w:w="1716" w:type="dxa"/>
            <w:tcBorders>
              <w:top w:val="single" w:sz="4" w:space="0" w:color="auto"/>
              <w:left w:val="single" w:sz="4" w:space="0" w:color="auto"/>
              <w:bottom w:val="single" w:sz="4" w:space="0" w:color="auto"/>
              <w:right w:val="single" w:sz="4" w:space="0" w:color="auto"/>
            </w:tcBorders>
            <w:vAlign w:val="bottom"/>
          </w:tcPr>
          <w:p w14:paraId="2B091DF8" w14:textId="77777777" w:rsidR="00DE2FA3" w:rsidRPr="001F224B" w:rsidRDefault="00DE2FA3" w:rsidP="00001A93">
            <w:pPr>
              <w:jc w:val="right"/>
              <w:rPr>
                <w:rFonts w:ascii="Calibri" w:hAnsi="Calibri"/>
                <w:sz w:val="20"/>
                <w:szCs w:val="20"/>
              </w:rPr>
            </w:pPr>
          </w:p>
        </w:tc>
        <w:tc>
          <w:tcPr>
            <w:tcW w:w="1484" w:type="dxa"/>
            <w:tcBorders>
              <w:top w:val="single" w:sz="4" w:space="0" w:color="auto"/>
              <w:left w:val="single" w:sz="4" w:space="0" w:color="auto"/>
              <w:bottom w:val="single" w:sz="4" w:space="0" w:color="auto"/>
              <w:right w:val="single" w:sz="4" w:space="0" w:color="auto"/>
            </w:tcBorders>
            <w:vAlign w:val="bottom"/>
          </w:tcPr>
          <w:p w14:paraId="17CF7482" w14:textId="77777777" w:rsidR="00DE2FA3" w:rsidRPr="001F224B" w:rsidRDefault="00DE2FA3" w:rsidP="00001A93">
            <w:pPr>
              <w:jc w:val="right"/>
              <w:rPr>
                <w:rFonts w:ascii="Calibri" w:hAnsi="Calibri"/>
                <w:sz w:val="20"/>
                <w:szCs w:val="20"/>
              </w:rPr>
            </w:pPr>
          </w:p>
        </w:tc>
        <w:tc>
          <w:tcPr>
            <w:tcW w:w="2301" w:type="dxa"/>
            <w:tcBorders>
              <w:top w:val="single" w:sz="4" w:space="0" w:color="auto"/>
              <w:left w:val="single" w:sz="4" w:space="0" w:color="auto"/>
              <w:bottom w:val="single" w:sz="4" w:space="0" w:color="auto"/>
              <w:right w:val="single" w:sz="4" w:space="0" w:color="auto"/>
            </w:tcBorders>
            <w:vAlign w:val="bottom"/>
          </w:tcPr>
          <w:p w14:paraId="0CB568A9" w14:textId="77777777" w:rsidR="00DE2FA3" w:rsidRPr="001F224B" w:rsidRDefault="00DE2FA3" w:rsidP="00001A93">
            <w:pPr>
              <w:jc w:val="right"/>
              <w:rPr>
                <w:rFonts w:ascii="Calibri" w:hAnsi="Calibri"/>
                <w:sz w:val="20"/>
                <w:szCs w:val="20"/>
              </w:rPr>
            </w:pPr>
          </w:p>
        </w:tc>
        <w:tc>
          <w:tcPr>
            <w:tcW w:w="1707" w:type="dxa"/>
            <w:tcBorders>
              <w:top w:val="single" w:sz="4" w:space="0" w:color="auto"/>
              <w:left w:val="single" w:sz="4" w:space="0" w:color="auto"/>
              <w:bottom w:val="single" w:sz="4" w:space="0" w:color="auto"/>
              <w:right w:val="single" w:sz="4" w:space="0" w:color="auto"/>
            </w:tcBorders>
            <w:noWrap/>
            <w:vAlign w:val="bottom"/>
          </w:tcPr>
          <w:p w14:paraId="267CCF2C" w14:textId="77777777" w:rsidR="00DE2FA3" w:rsidRPr="001F224B" w:rsidRDefault="00DE2FA3" w:rsidP="00001A93">
            <w:pPr>
              <w:rPr>
                <w:rFonts w:ascii="Calibri" w:hAnsi="Calibri"/>
                <w:color w:val="000000"/>
                <w:sz w:val="22"/>
                <w:szCs w:val="22"/>
              </w:rPr>
            </w:pPr>
          </w:p>
        </w:tc>
      </w:tr>
      <w:tr w:rsidR="00E12F71" w:rsidRPr="001F224B" w14:paraId="3F0FB4F1" w14:textId="77777777" w:rsidTr="00E12F71">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1F084487" w14:textId="77777777" w:rsidR="00E12F71" w:rsidRPr="001F224B" w:rsidRDefault="00E12F71" w:rsidP="00E12F71">
            <w:pPr>
              <w:rPr>
                <w:color w:val="000000"/>
                <w:sz w:val="20"/>
                <w:szCs w:val="20"/>
              </w:rPr>
            </w:pPr>
            <w:r w:rsidRPr="001F224B">
              <w:rPr>
                <w:color w:val="000000"/>
                <w:sz w:val="20"/>
                <w:szCs w:val="20"/>
              </w:rPr>
              <w:t>1</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1B39BEC5" w14:textId="77777777" w:rsidR="00E12F71" w:rsidRPr="001F224B" w:rsidRDefault="00E12F71" w:rsidP="00E12F71">
            <w:pPr>
              <w:rPr>
                <w:color w:val="000000"/>
                <w:sz w:val="20"/>
                <w:szCs w:val="20"/>
              </w:rPr>
            </w:pPr>
            <w:r w:rsidRPr="001F224B">
              <w:rPr>
                <w:color w:val="000000"/>
                <w:sz w:val="20"/>
                <w:szCs w:val="20"/>
              </w:rPr>
              <w:t>Krediler</w:t>
            </w:r>
          </w:p>
        </w:tc>
        <w:tc>
          <w:tcPr>
            <w:tcW w:w="1716" w:type="dxa"/>
            <w:tcBorders>
              <w:top w:val="single" w:sz="4" w:space="0" w:color="auto"/>
              <w:left w:val="single" w:sz="4" w:space="0" w:color="auto"/>
              <w:bottom w:val="single" w:sz="4" w:space="0" w:color="auto"/>
              <w:right w:val="single" w:sz="4" w:space="0" w:color="auto"/>
            </w:tcBorders>
            <w:vAlign w:val="bottom"/>
            <w:hideMark/>
          </w:tcPr>
          <w:p w14:paraId="1158493C" w14:textId="53787748" w:rsidR="00E12F71" w:rsidRPr="001F224B" w:rsidRDefault="00E12F71" w:rsidP="00E12F71">
            <w:pPr>
              <w:jc w:val="right"/>
              <w:rPr>
                <w:sz w:val="20"/>
                <w:szCs w:val="20"/>
              </w:rPr>
            </w:pPr>
            <w:r w:rsidRPr="001F224B">
              <w:rPr>
                <w:sz w:val="20"/>
                <w:szCs w:val="20"/>
              </w:rPr>
              <w:t xml:space="preserve"> 612.295    </w:t>
            </w:r>
          </w:p>
        </w:tc>
        <w:tc>
          <w:tcPr>
            <w:tcW w:w="1484" w:type="dxa"/>
            <w:tcBorders>
              <w:top w:val="single" w:sz="4" w:space="0" w:color="auto"/>
              <w:left w:val="single" w:sz="4" w:space="0" w:color="auto"/>
              <w:bottom w:val="single" w:sz="4" w:space="0" w:color="auto"/>
              <w:right w:val="single" w:sz="4" w:space="0" w:color="auto"/>
            </w:tcBorders>
            <w:vAlign w:val="bottom"/>
            <w:hideMark/>
          </w:tcPr>
          <w:p w14:paraId="02FE4915" w14:textId="6C929B05" w:rsidR="00E12F71" w:rsidRPr="001F224B" w:rsidRDefault="00E12F71" w:rsidP="00E12F71">
            <w:pPr>
              <w:jc w:val="right"/>
              <w:rPr>
                <w:sz w:val="20"/>
                <w:szCs w:val="20"/>
              </w:rPr>
            </w:pPr>
            <w:r w:rsidRPr="001F224B">
              <w:rPr>
                <w:sz w:val="20"/>
                <w:szCs w:val="20"/>
              </w:rPr>
              <w:t>108.734.921</w:t>
            </w:r>
          </w:p>
        </w:tc>
        <w:tc>
          <w:tcPr>
            <w:tcW w:w="2301" w:type="dxa"/>
            <w:tcBorders>
              <w:top w:val="single" w:sz="4" w:space="0" w:color="auto"/>
              <w:left w:val="single" w:sz="4" w:space="0" w:color="auto"/>
              <w:bottom w:val="single" w:sz="4" w:space="0" w:color="auto"/>
              <w:right w:val="single" w:sz="4" w:space="0" w:color="auto"/>
            </w:tcBorders>
            <w:vAlign w:val="bottom"/>
            <w:hideMark/>
          </w:tcPr>
          <w:p w14:paraId="70466CA3" w14:textId="6401E488" w:rsidR="00E12F71" w:rsidRPr="001F224B" w:rsidRDefault="00E12F71" w:rsidP="00E12F71">
            <w:pPr>
              <w:jc w:val="right"/>
              <w:rPr>
                <w:sz w:val="20"/>
                <w:szCs w:val="20"/>
              </w:rPr>
            </w:pPr>
            <w:r w:rsidRPr="001F224B">
              <w:rPr>
                <w:sz w:val="20"/>
                <w:szCs w:val="20"/>
              </w:rPr>
              <w:t>(1.558.437)</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58C2AA64" w14:textId="2A0B133A" w:rsidR="00E12F71" w:rsidRPr="001F224B" w:rsidRDefault="00E12F71" w:rsidP="00E12F71">
            <w:pPr>
              <w:jc w:val="right"/>
              <w:rPr>
                <w:sz w:val="20"/>
                <w:szCs w:val="20"/>
              </w:rPr>
            </w:pPr>
            <w:r w:rsidRPr="001F224B">
              <w:rPr>
                <w:sz w:val="20"/>
                <w:szCs w:val="20"/>
              </w:rPr>
              <w:t>107.788.779</w:t>
            </w:r>
          </w:p>
        </w:tc>
      </w:tr>
      <w:tr w:rsidR="00E12F71" w:rsidRPr="001F224B" w14:paraId="66361025" w14:textId="77777777" w:rsidTr="00E12F71">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589D49A1" w14:textId="77777777" w:rsidR="00E12F71" w:rsidRPr="001F224B" w:rsidRDefault="00E12F71" w:rsidP="00E12F71">
            <w:pPr>
              <w:rPr>
                <w:color w:val="000000"/>
                <w:sz w:val="20"/>
                <w:szCs w:val="20"/>
              </w:rPr>
            </w:pPr>
            <w:r w:rsidRPr="001F224B">
              <w:rPr>
                <w:color w:val="000000"/>
                <w:sz w:val="20"/>
                <w:szCs w:val="20"/>
              </w:rPr>
              <w:t>2</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251E9BA7" w14:textId="77777777" w:rsidR="00E12F71" w:rsidRPr="001F224B" w:rsidRDefault="00E12F71" w:rsidP="00E12F71">
            <w:pPr>
              <w:rPr>
                <w:color w:val="000000"/>
                <w:sz w:val="20"/>
                <w:szCs w:val="20"/>
              </w:rPr>
            </w:pPr>
            <w:r w:rsidRPr="001F224B">
              <w:rPr>
                <w:color w:val="000000"/>
                <w:sz w:val="20"/>
                <w:szCs w:val="20"/>
              </w:rPr>
              <w:t>Borçlanma araçları</w:t>
            </w:r>
          </w:p>
        </w:tc>
        <w:tc>
          <w:tcPr>
            <w:tcW w:w="1716" w:type="dxa"/>
            <w:tcBorders>
              <w:top w:val="single" w:sz="4" w:space="0" w:color="auto"/>
              <w:left w:val="single" w:sz="4" w:space="0" w:color="auto"/>
              <w:bottom w:val="single" w:sz="4" w:space="0" w:color="auto"/>
              <w:right w:val="single" w:sz="4" w:space="0" w:color="auto"/>
            </w:tcBorders>
            <w:noWrap/>
            <w:vAlign w:val="bottom"/>
            <w:hideMark/>
          </w:tcPr>
          <w:p w14:paraId="22461A4E" w14:textId="5F4733F1" w:rsidR="00E12F71" w:rsidRPr="001F224B" w:rsidRDefault="00E12F71" w:rsidP="00E12F71">
            <w:pPr>
              <w:jc w:val="right"/>
              <w:rPr>
                <w:sz w:val="20"/>
                <w:szCs w:val="20"/>
              </w:rPr>
            </w:pPr>
            <w:r w:rsidRPr="001F224B">
              <w:rPr>
                <w:sz w:val="20"/>
                <w:szCs w:val="20"/>
              </w:rPr>
              <w:t xml:space="preserve"> -     </w:t>
            </w:r>
          </w:p>
        </w:tc>
        <w:tc>
          <w:tcPr>
            <w:tcW w:w="1484" w:type="dxa"/>
            <w:tcBorders>
              <w:top w:val="single" w:sz="4" w:space="0" w:color="auto"/>
              <w:left w:val="single" w:sz="4" w:space="0" w:color="auto"/>
              <w:bottom w:val="single" w:sz="4" w:space="0" w:color="auto"/>
              <w:right w:val="single" w:sz="4" w:space="0" w:color="auto"/>
            </w:tcBorders>
            <w:vAlign w:val="bottom"/>
            <w:hideMark/>
          </w:tcPr>
          <w:p w14:paraId="766BE47F" w14:textId="1756C453" w:rsidR="00E12F71" w:rsidRPr="001F224B" w:rsidRDefault="00E12F71" w:rsidP="00E12F71">
            <w:pPr>
              <w:jc w:val="right"/>
              <w:rPr>
                <w:sz w:val="20"/>
                <w:szCs w:val="20"/>
              </w:rPr>
            </w:pPr>
            <w:r w:rsidRPr="001F224B">
              <w:rPr>
                <w:sz w:val="20"/>
                <w:szCs w:val="20"/>
              </w:rPr>
              <w:t>38.748.231</w:t>
            </w:r>
          </w:p>
        </w:tc>
        <w:tc>
          <w:tcPr>
            <w:tcW w:w="2301" w:type="dxa"/>
            <w:tcBorders>
              <w:top w:val="single" w:sz="4" w:space="0" w:color="auto"/>
              <w:left w:val="single" w:sz="4" w:space="0" w:color="auto"/>
              <w:bottom w:val="single" w:sz="4" w:space="0" w:color="auto"/>
              <w:right w:val="single" w:sz="4" w:space="0" w:color="auto"/>
            </w:tcBorders>
            <w:vAlign w:val="bottom"/>
            <w:hideMark/>
          </w:tcPr>
          <w:p w14:paraId="2429C4E3" w14:textId="67749066" w:rsidR="00E12F71" w:rsidRPr="001F224B" w:rsidRDefault="00E12F71" w:rsidP="00E12F71">
            <w:pPr>
              <w:jc w:val="right"/>
              <w:rPr>
                <w:sz w:val="20"/>
                <w:szCs w:val="20"/>
              </w:rPr>
            </w:pPr>
            <w:r w:rsidRPr="001F224B">
              <w:rPr>
                <w:sz w:val="20"/>
                <w:szCs w:val="20"/>
              </w:rPr>
              <w:t>(93.818)</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71730FE7" w14:textId="7BF685D6" w:rsidR="00E12F71" w:rsidRPr="001F224B" w:rsidRDefault="00E12F71" w:rsidP="00E12F71">
            <w:pPr>
              <w:jc w:val="right"/>
              <w:rPr>
                <w:sz w:val="20"/>
                <w:szCs w:val="20"/>
              </w:rPr>
            </w:pPr>
            <w:r w:rsidRPr="001F224B">
              <w:rPr>
                <w:sz w:val="20"/>
                <w:szCs w:val="20"/>
              </w:rPr>
              <w:t>38.654.413</w:t>
            </w:r>
          </w:p>
        </w:tc>
      </w:tr>
      <w:tr w:rsidR="00E12F71" w:rsidRPr="001F224B" w14:paraId="1885DE43" w14:textId="77777777" w:rsidTr="00E12F71">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431645C4" w14:textId="77777777" w:rsidR="00E12F71" w:rsidRPr="001F224B" w:rsidRDefault="00E12F71" w:rsidP="00E12F71">
            <w:pPr>
              <w:rPr>
                <w:color w:val="000000"/>
                <w:sz w:val="20"/>
                <w:szCs w:val="20"/>
              </w:rPr>
            </w:pPr>
            <w:r w:rsidRPr="001F224B">
              <w:rPr>
                <w:color w:val="000000"/>
                <w:sz w:val="20"/>
                <w:szCs w:val="20"/>
              </w:rPr>
              <w:t>3</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487F4060" w14:textId="77777777" w:rsidR="00E12F71" w:rsidRPr="001F224B" w:rsidRDefault="00E12F71" w:rsidP="00E12F71">
            <w:pPr>
              <w:rPr>
                <w:color w:val="000000"/>
                <w:sz w:val="20"/>
                <w:szCs w:val="20"/>
              </w:rPr>
            </w:pPr>
            <w:r w:rsidRPr="001F224B">
              <w:rPr>
                <w:color w:val="000000"/>
                <w:sz w:val="20"/>
                <w:szCs w:val="20"/>
              </w:rPr>
              <w:t>Bilanço dışı alacaklar</w:t>
            </w:r>
          </w:p>
        </w:tc>
        <w:tc>
          <w:tcPr>
            <w:tcW w:w="1716" w:type="dxa"/>
            <w:tcBorders>
              <w:top w:val="single" w:sz="4" w:space="0" w:color="auto"/>
              <w:left w:val="single" w:sz="4" w:space="0" w:color="auto"/>
              <w:bottom w:val="single" w:sz="4" w:space="0" w:color="auto"/>
              <w:right w:val="single" w:sz="4" w:space="0" w:color="auto"/>
            </w:tcBorders>
            <w:vAlign w:val="bottom"/>
            <w:hideMark/>
          </w:tcPr>
          <w:p w14:paraId="54D58A5A" w14:textId="41534956" w:rsidR="00E12F71" w:rsidRPr="001F224B" w:rsidRDefault="00E12F71" w:rsidP="00E12F71">
            <w:pPr>
              <w:jc w:val="right"/>
              <w:rPr>
                <w:sz w:val="20"/>
                <w:szCs w:val="20"/>
              </w:rPr>
            </w:pPr>
            <w:r w:rsidRPr="001F224B">
              <w:rPr>
                <w:sz w:val="20"/>
                <w:szCs w:val="20"/>
              </w:rPr>
              <w:t xml:space="preserve"> 2    </w:t>
            </w:r>
          </w:p>
        </w:tc>
        <w:tc>
          <w:tcPr>
            <w:tcW w:w="1484" w:type="dxa"/>
            <w:tcBorders>
              <w:top w:val="single" w:sz="4" w:space="0" w:color="auto"/>
              <w:left w:val="single" w:sz="4" w:space="0" w:color="auto"/>
              <w:bottom w:val="single" w:sz="4" w:space="0" w:color="auto"/>
              <w:right w:val="single" w:sz="4" w:space="0" w:color="auto"/>
            </w:tcBorders>
            <w:vAlign w:val="bottom"/>
            <w:hideMark/>
          </w:tcPr>
          <w:p w14:paraId="1F29729E" w14:textId="502680CD" w:rsidR="00E12F71" w:rsidRPr="001F224B" w:rsidRDefault="00E12F71" w:rsidP="00E12F71">
            <w:pPr>
              <w:jc w:val="right"/>
              <w:rPr>
                <w:sz w:val="20"/>
                <w:szCs w:val="20"/>
              </w:rPr>
            </w:pPr>
            <w:r w:rsidRPr="001F224B">
              <w:rPr>
                <w:sz w:val="20"/>
                <w:szCs w:val="20"/>
              </w:rPr>
              <w:t>5.682.514</w:t>
            </w:r>
          </w:p>
        </w:tc>
        <w:tc>
          <w:tcPr>
            <w:tcW w:w="2301" w:type="dxa"/>
            <w:tcBorders>
              <w:top w:val="single" w:sz="4" w:space="0" w:color="auto"/>
              <w:left w:val="single" w:sz="4" w:space="0" w:color="auto"/>
              <w:bottom w:val="single" w:sz="4" w:space="0" w:color="auto"/>
              <w:right w:val="single" w:sz="4" w:space="0" w:color="auto"/>
            </w:tcBorders>
            <w:vAlign w:val="bottom"/>
            <w:hideMark/>
          </w:tcPr>
          <w:p w14:paraId="141EDBA9" w14:textId="031CA9F6" w:rsidR="00E12F71" w:rsidRPr="001F224B" w:rsidRDefault="00E12F71" w:rsidP="00E12F71">
            <w:pPr>
              <w:jc w:val="right"/>
              <w:rPr>
                <w:sz w:val="20"/>
                <w:szCs w:val="20"/>
              </w:rPr>
            </w:pPr>
            <w:r w:rsidRPr="001F224B">
              <w:rPr>
                <w:sz w:val="20"/>
                <w:szCs w:val="20"/>
              </w:rPr>
              <w:t>(38.499)</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7EDDA813" w14:textId="3C56DE55" w:rsidR="00E12F71" w:rsidRPr="001F224B" w:rsidRDefault="00E12F71" w:rsidP="00E12F71">
            <w:pPr>
              <w:jc w:val="right"/>
              <w:rPr>
                <w:sz w:val="20"/>
                <w:szCs w:val="20"/>
              </w:rPr>
            </w:pPr>
            <w:r w:rsidRPr="001F224B">
              <w:rPr>
                <w:sz w:val="20"/>
                <w:szCs w:val="20"/>
              </w:rPr>
              <w:t>5.644.017</w:t>
            </w:r>
          </w:p>
        </w:tc>
      </w:tr>
      <w:tr w:rsidR="00E12F71" w:rsidRPr="001F224B" w14:paraId="64A40EB2" w14:textId="77777777" w:rsidTr="00E12F71">
        <w:trPr>
          <w:trHeight w:val="300"/>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62AC5F78" w14:textId="77777777" w:rsidR="00E12F71" w:rsidRPr="001F224B" w:rsidRDefault="00E12F71" w:rsidP="00E12F71">
            <w:pPr>
              <w:rPr>
                <w:b/>
                <w:bCs/>
                <w:color w:val="000000"/>
                <w:sz w:val="20"/>
                <w:szCs w:val="20"/>
              </w:rPr>
            </w:pPr>
            <w:r w:rsidRPr="001F224B">
              <w:rPr>
                <w:b/>
                <w:bCs/>
                <w:color w:val="000000"/>
                <w:sz w:val="20"/>
                <w:szCs w:val="20"/>
              </w:rPr>
              <w:t>4</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09D7621A" w14:textId="77777777" w:rsidR="00E12F71" w:rsidRPr="001F224B" w:rsidRDefault="00E12F71" w:rsidP="00E12F71">
            <w:pPr>
              <w:rPr>
                <w:b/>
                <w:bCs/>
                <w:color w:val="000000"/>
                <w:sz w:val="20"/>
                <w:szCs w:val="20"/>
              </w:rPr>
            </w:pPr>
            <w:r w:rsidRPr="001F224B">
              <w:rPr>
                <w:b/>
                <w:bCs/>
                <w:color w:val="000000"/>
                <w:sz w:val="20"/>
                <w:szCs w:val="20"/>
              </w:rPr>
              <w:t>Toplam</w:t>
            </w:r>
          </w:p>
        </w:tc>
        <w:tc>
          <w:tcPr>
            <w:tcW w:w="1716" w:type="dxa"/>
            <w:tcBorders>
              <w:top w:val="single" w:sz="4" w:space="0" w:color="auto"/>
              <w:left w:val="single" w:sz="4" w:space="0" w:color="auto"/>
              <w:bottom w:val="single" w:sz="4" w:space="0" w:color="auto"/>
              <w:right w:val="single" w:sz="4" w:space="0" w:color="auto"/>
            </w:tcBorders>
            <w:noWrap/>
            <w:vAlign w:val="bottom"/>
            <w:hideMark/>
          </w:tcPr>
          <w:p w14:paraId="26DB3B51" w14:textId="4E1AE9D5" w:rsidR="00E12F71" w:rsidRPr="001F224B" w:rsidRDefault="00E12F71" w:rsidP="00E12F71">
            <w:pPr>
              <w:jc w:val="right"/>
              <w:rPr>
                <w:b/>
                <w:bCs/>
                <w:sz w:val="20"/>
                <w:szCs w:val="20"/>
              </w:rPr>
            </w:pPr>
            <w:r w:rsidRPr="001F224B">
              <w:rPr>
                <w:b/>
                <w:sz w:val="20"/>
                <w:szCs w:val="20"/>
              </w:rPr>
              <w:t>612.297</w:t>
            </w:r>
          </w:p>
        </w:tc>
        <w:tc>
          <w:tcPr>
            <w:tcW w:w="1484" w:type="dxa"/>
            <w:tcBorders>
              <w:top w:val="single" w:sz="4" w:space="0" w:color="auto"/>
              <w:left w:val="single" w:sz="4" w:space="0" w:color="auto"/>
              <w:bottom w:val="single" w:sz="4" w:space="0" w:color="auto"/>
              <w:right w:val="single" w:sz="4" w:space="0" w:color="auto"/>
            </w:tcBorders>
            <w:noWrap/>
            <w:vAlign w:val="bottom"/>
            <w:hideMark/>
          </w:tcPr>
          <w:p w14:paraId="437F4AEC" w14:textId="4D280F2A" w:rsidR="00E12F71" w:rsidRPr="001F224B" w:rsidRDefault="00E12F71" w:rsidP="00E12F71">
            <w:pPr>
              <w:jc w:val="right"/>
              <w:rPr>
                <w:b/>
                <w:bCs/>
                <w:sz w:val="20"/>
                <w:szCs w:val="20"/>
              </w:rPr>
            </w:pPr>
            <w:r w:rsidRPr="001F224B">
              <w:rPr>
                <w:b/>
                <w:bCs/>
                <w:sz w:val="20"/>
                <w:szCs w:val="20"/>
              </w:rPr>
              <w:t>153.165.666</w:t>
            </w:r>
          </w:p>
        </w:tc>
        <w:tc>
          <w:tcPr>
            <w:tcW w:w="2301" w:type="dxa"/>
            <w:tcBorders>
              <w:top w:val="single" w:sz="4" w:space="0" w:color="auto"/>
              <w:left w:val="single" w:sz="4" w:space="0" w:color="auto"/>
              <w:bottom w:val="single" w:sz="4" w:space="0" w:color="auto"/>
              <w:right w:val="single" w:sz="4" w:space="0" w:color="auto"/>
            </w:tcBorders>
            <w:noWrap/>
            <w:vAlign w:val="bottom"/>
            <w:hideMark/>
          </w:tcPr>
          <w:p w14:paraId="056A17EE" w14:textId="23B883F8" w:rsidR="00E12F71" w:rsidRPr="001F224B" w:rsidRDefault="00E12F71" w:rsidP="00E12F71">
            <w:pPr>
              <w:jc w:val="right"/>
              <w:rPr>
                <w:b/>
                <w:bCs/>
                <w:sz w:val="20"/>
                <w:szCs w:val="20"/>
              </w:rPr>
            </w:pPr>
            <w:r w:rsidRPr="001F224B">
              <w:rPr>
                <w:b/>
                <w:bCs/>
                <w:sz w:val="20"/>
                <w:szCs w:val="20"/>
              </w:rPr>
              <w:t>(1.690.754)</w:t>
            </w:r>
          </w:p>
        </w:tc>
        <w:tc>
          <w:tcPr>
            <w:tcW w:w="1707" w:type="dxa"/>
            <w:tcBorders>
              <w:top w:val="single" w:sz="4" w:space="0" w:color="auto"/>
              <w:left w:val="single" w:sz="4" w:space="0" w:color="auto"/>
              <w:bottom w:val="single" w:sz="4" w:space="0" w:color="auto"/>
              <w:right w:val="single" w:sz="4" w:space="0" w:color="auto"/>
            </w:tcBorders>
            <w:noWrap/>
            <w:vAlign w:val="bottom"/>
            <w:hideMark/>
          </w:tcPr>
          <w:p w14:paraId="5224B0EB" w14:textId="62879F63" w:rsidR="00E12F71" w:rsidRPr="001F224B" w:rsidRDefault="00E12F71" w:rsidP="00E12F71">
            <w:pPr>
              <w:jc w:val="right"/>
              <w:rPr>
                <w:b/>
                <w:bCs/>
                <w:sz w:val="20"/>
                <w:szCs w:val="20"/>
              </w:rPr>
            </w:pPr>
            <w:r w:rsidRPr="001F224B">
              <w:rPr>
                <w:b/>
                <w:bCs/>
                <w:sz w:val="20"/>
                <w:szCs w:val="20"/>
              </w:rPr>
              <w:t>152.087.209</w:t>
            </w:r>
          </w:p>
        </w:tc>
      </w:tr>
    </w:tbl>
    <w:p w14:paraId="04D4AF04" w14:textId="77777777" w:rsidR="00DE2FA3" w:rsidRPr="001F224B" w:rsidRDefault="00DE2FA3" w:rsidP="00DE2FA3">
      <w:pPr>
        <w:jc w:val="both"/>
        <w:rPr>
          <w:sz w:val="16"/>
          <w:szCs w:val="16"/>
          <w:lang w:eastAsia="x-none"/>
        </w:rPr>
      </w:pPr>
      <w:r w:rsidRPr="001F224B">
        <w:rPr>
          <w:sz w:val="16"/>
          <w:szCs w:val="16"/>
          <w:lang w:eastAsia="x-none"/>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2289"/>
        <w:gridCol w:w="1716"/>
        <w:gridCol w:w="1484"/>
        <w:gridCol w:w="2301"/>
        <w:gridCol w:w="1707"/>
      </w:tblGrid>
      <w:tr w:rsidR="00DE2FA3" w:rsidRPr="001F224B" w14:paraId="1E88CF44" w14:textId="77777777" w:rsidTr="00001A93">
        <w:trPr>
          <w:trHeight w:val="586"/>
        </w:trPr>
        <w:tc>
          <w:tcPr>
            <w:tcW w:w="2573" w:type="dxa"/>
            <w:gridSpan w:val="2"/>
            <w:vMerge w:val="restart"/>
            <w:tcBorders>
              <w:top w:val="single" w:sz="4" w:space="0" w:color="auto"/>
              <w:left w:val="single" w:sz="4" w:space="0" w:color="auto"/>
              <w:bottom w:val="single" w:sz="4" w:space="0" w:color="auto"/>
              <w:right w:val="single" w:sz="4" w:space="0" w:color="auto"/>
            </w:tcBorders>
            <w:noWrap/>
            <w:vAlign w:val="bottom"/>
            <w:hideMark/>
          </w:tcPr>
          <w:p w14:paraId="6E4AD297" w14:textId="77777777" w:rsidR="00DE2FA3" w:rsidRPr="001F224B" w:rsidRDefault="00DE2FA3" w:rsidP="00001A93">
            <w:pPr>
              <w:jc w:val="center"/>
              <w:rPr>
                <w:b/>
                <w:color w:val="000000"/>
                <w:sz w:val="20"/>
                <w:szCs w:val="20"/>
              </w:rPr>
            </w:pPr>
            <w:r w:rsidRPr="001F224B">
              <w:rPr>
                <w:b/>
                <w:color w:val="000000"/>
                <w:sz w:val="20"/>
                <w:szCs w:val="20"/>
              </w:rPr>
              <w:t>Önceki Dönem</w:t>
            </w:r>
          </w:p>
          <w:p w14:paraId="477DD627" w14:textId="04D78AC2" w:rsidR="00DE2FA3" w:rsidRPr="001F224B" w:rsidRDefault="00DE2FA3" w:rsidP="00001A93">
            <w:pPr>
              <w:jc w:val="center"/>
              <w:rPr>
                <w:b/>
                <w:color w:val="000000"/>
                <w:sz w:val="20"/>
                <w:szCs w:val="20"/>
              </w:rPr>
            </w:pPr>
            <w:r w:rsidRPr="001F224B">
              <w:rPr>
                <w:b/>
                <w:color w:val="000000"/>
                <w:sz w:val="20"/>
                <w:szCs w:val="20"/>
              </w:rPr>
              <w:t xml:space="preserve"> (31.12.2024)</w:t>
            </w:r>
          </w:p>
        </w:tc>
        <w:tc>
          <w:tcPr>
            <w:tcW w:w="1716" w:type="dxa"/>
            <w:tcBorders>
              <w:top w:val="single" w:sz="4" w:space="0" w:color="auto"/>
              <w:left w:val="single" w:sz="4" w:space="0" w:color="auto"/>
              <w:bottom w:val="single" w:sz="4" w:space="0" w:color="auto"/>
              <w:right w:val="single" w:sz="4" w:space="0" w:color="auto"/>
            </w:tcBorders>
            <w:noWrap/>
            <w:vAlign w:val="center"/>
            <w:hideMark/>
          </w:tcPr>
          <w:p w14:paraId="418D7434" w14:textId="77777777" w:rsidR="00DE2FA3" w:rsidRPr="001F224B" w:rsidRDefault="00DE2FA3" w:rsidP="00001A93">
            <w:pPr>
              <w:jc w:val="center"/>
              <w:rPr>
                <w:bCs/>
                <w:color w:val="000000"/>
                <w:sz w:val="20"/>
                <w:szCs w:val="20"/>
              </w:rPr>
            </w:pPr>
            <w:r w:rsidRPr="001F224B">
              <w:rPr>
                <w:bCs/>
                <w:color w:val="000000"/>
                <w:sz w:val="20"/>
                <w:szCs w:val="20"/>
              </w:rPr>
              <w:t>Temerrüt etmiş</w:t>
            </w:r>
          </w:p>
          <w:p w14:paraId="6AAFC727" w14:textId="77777777" w:rsidR="00DE2FA3" w:rsidRPr="001F224B" w:rsidRDefault="00DE2FA3" w:rsidP="00001A93">
            <w:pPr>
              <w:jc w:val="center"/>
              <w:rPr>
                <w:bCs/>
                <w:color w:val="000000"/>
                <w:sz w:val="20"/>
                <w:szCs w:val="20"/>
              </w:rPr>
            </w:pPr>
            <w:r w:rsidRPr="001F224B">
              <w:rPr>
                <w:bCs/>
                <w:color w:val="000000"/>
                <w:sz w:val="20"/>
                <w:szCs w:val="20"/>
              </w:rPr>
              <w:t>(a)</w:t>
            </w:r>
          </w:p>
        </w:tc>
        <w:tc>
          <w:tcPr>
            <w:tcW w:w="1484" w:type="dxa"/>
            <w:tcBorders>
              <w:top w:val="single" w:sz="4" w:space="0" w:color="auto"/>
              <w:left w:val="single" w:sz="4" w:space="0" w:color="auto"/>
              <w:bottom w:val="single" w:sz="4" w:space="0" w:color="auto"/>
              <w:right w:val="single" w:sz="4" w:space="0" w:color="auto"/>
            </w:tcBorders>
            <w:noWrap/>
            <w:vAlign w:val="center"/>
            <w:hideMark/>
          </w:tcPr>
          <w:p w14:paraId="74782252" w14:textId="77777777" w:rsidR="00DE2FA3" w:rsidRPr="001F224B" w:rsidRDefault="00DE2FA3" w:rsidP="00001A93">
            <w:pPr>
              <w:jc w:val="center"/>
              <w:rPr>
                <w:bCs/>
                <w:color w:val="000000"/>
                <w:sz w:val="20"/>
                <w:szCs w:val="20"/>
              </w:rPr>
            </w:pPr>
            <w:r w:rsidRPr="001F224B">
              <w:rPr>
                <w:bCs/>
                <w:color w:val="000000"/>
                <w:sz w:val="20"/>
                <w:szCs w:val="20"/>
              </w:rPr>
              <w:t>Temerrüt etmemiş</w:t>
            </w:r>
          </w:p>
          <w:p w14:paraId="3FC986FF" w14:textId="77777777" w:rsidR="00DE2FA3" w:rsidRPr="001F224B" w:rsidRDefault="00DE2FA3" w:rsidP="00001A93">
            <w:pPr>
              <w:jc w:val="center"/>
              <w:rPr>
                <w:bCs/>
                <w:color w:val="000000"/>
                <w:sz w:val="20"/>
                <w:szCs w:val="20"/>
              </w:rPr>
            </w:pPr>
            <w:r w:rsidRPr="001F224B">
              <w:rPr>
                <w:bCs/>
                <w:color w:val="000000"/>
                <w:sz w:val="20"/>
                <w:szCs w:val="20"/>
              </w:rPr>
              <w:t>(b)</w:t>
            </w:r>
          </w:p>
        </w:tc>
        <w:tc>
          <w:tcPr>
            <w:tcW w:w="2301" w:type="dxa"/>
            <w:vMerge w:val="restart"/>
            <w:tcBorders>
              <w:top w:val="single" w:sz="4" w:space="0" w:color="auto"/>
              <w:left w:val="single" w:sz="4" w:space="0" w:color="auto"/>
              <w:bottom w:val="single" w:sz="4" w:space="0" w:color="auto"/>
              <w:right w:val="single" w:sz="4" w:space="0" w:color="auto"/>
            </w:tcBorders>
            <w:noWrap/>
            <w:vAlign w:val="center"/>
            <w:hideMark/>
          </w:tcPr>
          <w:p w14:paraId="314CAAFF" w14:textId="77777777" w:rsidR="00DE2FA3" w:rsidRPr="001F224B" w:rsidRDefault="00DE2FA3" w:rsidP="00001A93">
            <w:pPr>
              <w:jc w:val="center"/>
              <w:rPr>
                <w:bCs/>
                <w:color w:val="000000"/>
                <w:sz w:val="20"/>
                <w:szCs w:val="20"/>
              </w:rPr>
            </w:pPr>
            <w:r w:rsidRPr="001F224B">
              <w:rPr>
                <w:bCs/>
                <w:color w:val="000000"/>
                <w:sz w:val="20"/>
                <w:szCs w:val="20"/>
              </w:rPr>
              <w:t>Karşılıklar/Amortisman ve Değer düşüklüğü</w:t>
            </w:r>
          </w:p>
          <w:p w14:paraId="6548C19D" w14:textId="77777777" w:rsidR="00DE2FA3" w:rsidRPr="001F224B" w:rsidRDefault="00DE2FA3" w:rsidP="00001A93">
            <w:pPr>
              <w:jc w:val="center"/>
              <w:rPr>
                <w:bCs/>
                <w:color w:val="000000"/>
                <w:sz w:val="20"/>
                <w:szCs w:val="20"/>
              </w:rPr>
            </w:pPr>
            <w:r w:rsidRPr="001F224B">
              <w:rPr>
                <w:bCs/>
                <w:color w:val="000000"/>
                <w:sz w:val="20"/>
                <w:szCs w:val="20"/>
              </w:rPr>
              <w:t xml:space="preserve">(c) </w:t>
            </w:r>
          </w:p>
        </w:tc>
        <w:tc>
          <w:tcPr>
            <w:tcW w:w="1707" w:type="dxa"/>
            <w:vMerge w:val="restart"/>
            <w:tcBorders>
              <w:top w:val="single" w:sz="4" w:space="0" w:color="auto"/>
              <w:left w:val="single" w:sz="4" w:space="0" w:color="auto"/>
              <w:bottom w:val="single" w:sz="4" w:space="0" w:color="auto"/>
              <w:right w:val="single" w:sz="4" w:space="0" w:color="auto"/>
            </w:tcBorders>
            <w:noWrap/>
            <w:vAlign w:val="center"/>
            <w:hideMark/>
          </w:tcPr>
          <w:p w14:paraId="3338A117" w14:textId="77777777" w:rsidR="00DE2FA3" w:rsidRPr="001F224B" w:rsidRDefault="00DE2FA3" w:rsidP="00001A93">
            <w:pPr>
              <w:jc w:val="center"/>
              <w:rPr>
                <w:bCs/>
                <w:color w:val="000000"/>
                <w:sz w:val="20"/>
                <w:szCs w:val="20"/>
              </w:rPr>
            </w:pPr>
            <w:r w:rsidRPr="001F224B">
              <w:rPr>
                <w:bCs/>
                <w:color w:val="000000"/>
                <w:sz w:val="20"/>
                <w:szCs w:val="20"/>
              </w:rPr>
              <w:t>Net Değer (a+b-c)</w:t>
            </w:r>
          </w:p>
        </w:tc>
      </w:tr>
      <w:tr w:rsidR="00DE2FA3" w:rsidRPr="001F224B" w14:paraId="71CDE7ED" w14:textId="77777777" w:rsidTr="00001A93">
        <w:trPr>
          <w:trHeight w:val="100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842A5D" w14:textId="77777777" w:rsidR="00DE2FA3" w:rsidRPr="001F224B" w:rsidRDefault="00DE2FA3" w:rsidP="00001A93">
            <w:pPr>
              <w:rPr>
                <w:b/>
                <w:color w:val="000000"/>
                <w:sz w:val="20"/>
                <w:szCs w:val="20"/>
              </w:rPr>
            </w:pPr>
          </w:p>
        </w:tc>
        <w:tc>
          <w:tcPr>
            <w:tcW w:w="3200" w:type="dxa"/>
            <w:gridSpan w:val="2"/>
            <w:tcBorders>
              <w:top w:val="single" w:sz="4" w:space="0" w:color="auto"/>
              <w:left w:val="single" w:sz="4" w:space="0" w:color="auto"/>
              <w:bottom w:val="single" w:sz="4" w:space="0" w:color="auto"/>
              <w:right w:val="single" w:sz="4" w:space="0" w:color="auto"/>
            </w:tcBorders>
            <w:vAlign w:val="center"/>
            <w:hideMark/>
          </w:tcPr>
          <w:p w14:paraId="4659F046" w14:textId="77777777" w:rsidR="00DE2FA3" w:rsidRPr="001F224B" w:rsidRDefault="00DE2FA3" w:rsidP="00001A93">
            <w:pPr>
              <w:jc w:val="center"/>
              <w:rPr>
                <w:bCs/>
                <w:color w:val="000000"/>
                <w:sz w:val="20"/>
                <w:szCs w:val="20"/>
              </w:rPr>
            </w:pPr>
            <w:r w:rsidRPr="001F224B">
              <w:rPr>
                <w:bCs/>
                <w:color w:val="000000"/>
                <w:sz w:val="20"/>
                <w:szCs w:val="20"/>
              </w:rPr>
              <w:t>Finansal tablolarda yer alan TMS uyarınca değerlenmiş brüt tutarı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39A02" w14:textId="77777777" w:rsidR="00DE2FA3" w:rsidRPr="001F224B" w:rsidRDefault="00DE2FA3" w:rsidP="00001A93">
            <w:pPr>
              <w:rPr>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7DEE0" w14:textId="77777777" w:rsidR="00DE2FA3" w:rsidRPr="001F224B" w:rsidRDefault="00DE2FA3" w:rsidP="00001A93">
            <w:pPr>
              <w:rPr>
                <w:bCs/>
                <w:color w:val="000000"/>
                <w:sz w:val="20"/>
                <w:szCs w:val="20"/>
              </w:rPr>
            </w:pPr>
          </w:p>
        </w:tc>
      </w:tr>
      <w:tr w:rsidR="00DE2FA3" w:rsidRPr="001F224B" w14:paraId="5FD4D097" w14:textId="77777777" w:rsidTr="00001A93">
        <w:trPr>
          <w:trHeight w:val="288"/>
        </w:trPr>
        <w:tc>
          <w:tcPr>
            <w:tcW w:w="284" w:type="dxa"/>
            <w:tcBorders>
              <w:top w:val="single" w:sz="4" w:space="0" w:color="auto"/>
              <w:left w:val="single" w:sz="4" w:space="0" w:color="auto"/>
              <w:bottom w:val="single" w:sz="4" w:space="0" w:color="auto"/>
              <w:right w:val="single" w:sz="4" w:space="0" w:color="auto"/>
            </w:tcBorders>
            <w:noWrap/>
            <w:vAlign w:val="bottom"/>
          </w:tcPr>
          <w:p w14:paraId="034763EA" w14:textId="77777777" w:rsidR="00DE2FA3" w:rsidRPr="001F224B" w:rsidRDefault="00DE2FA3" w:rsidP="00001A93">
            <w:pPr>
              <w:rPr>
                <w:color w:val="000000"/>
                <w:sz w:val="20"/>
                <w:szCs w:val="20"/>
              </w:rPr>
            </w:pPr>
          </w:p>
        </w:tc>
        <w:tc>
          <w:tcPr>
            <w:tcW w:w="2289" w:type="dxa"/>
            <w:tcBorders>
              <w:top w:val="single" w:sz="4" w:space="0" w:color="auto"/>
              <w:left w:val="single" w:sz="4" w:space="0" w:color="auto"/>
              <w:bottom w:val="single" w:sz="4" w:space="0" w:color="auto"/>
              <w:right w:val="single" w:sz="4" w:space="0" w:color="auto"/>
            </w:tcBorders>
            <w:noWrap/>
            <w:vAlign w:val="bottom"/>
          </w:tcPr>
          <w:p w14:paraId="64D0C260" w14:textId="77777777" w:rsidR="00DE2FA3" w:rsidRPr="001F224B" w:rsidRDefault="00DE2FA3" w:rsidP="00001A93">
            <w:pPr>
              <w:rPr>
                <w:color w:val="000000"/>
                <w:sz w:val="20"/>
                <w:szCs w:val="20"/>
              </w:rPr>
            </w:pPr>
          </w:p>
        </w:tc>
        <w:tc>
          <w:tcPr>
            <w:tcW w:w="1716" w:type="dxa"/>
            <w:tcBorders>
              <w:top w:val="single" w:sz="4" w:space="0" w:color="auto"/>
              <w:left w:val="single" w:sz="4" w:space="0" w:color="auto"/>
              <w:bottom w:val="single" w:sz="4" w:space="0" w:color="auto"/>
              <w:right w:val="single" w:sz="4" w:space="0" w:color="auto"/>
            </w:tcBorders>
            <w:vAlign w:val="bottom"/>
          </w:tcPr>
          <w:p w14:paraId="37BDC9D3" w14:textId="77777777" w:rsidR="00DE2FA3" w:rsidRPr="001F224B" w:rsidRDefault="00DE2FA3" w:rsidP="00001A93">
            <w:pPr>
              <w:jc w:val="right"/>
              <w:rPr>
                <w:rFonts w:ascii="Calibri" w:hAnsi="Calibri"/>
                <w:sz w:val="20"/>
                <w:szCs w:val="20"/>
              </w:rPr>
            </w:pPr>
          </w:p>
        </w:tc>
        <w:tc>
          <w:tcPr>
            <w:tcW w:w="1484" w:type="dxa"/>
            <w:tcBorders>
              <w:top w:val="single" w:sz="4" w:space="0" w:color="auto"/>
              <w:left w:val="single" w:sz="4" w:space="0" w:color="auto"/>
              <w:bottom w:val="single" w:sz="4" w:space="0" w:color="auto"/>
              <w:right w:val="single" w:sz="4" w:space="0" w:color="auto"/>
            </w:tcBorders>
            <w:vAlign w:val="bottom"/>
          </w:tcPr>
          <w:p w14:paraId="06F4722E" w14:textId="77777777" w:rsidR="00DE2FA3" w:rsidRPr="001F224B" w:rsidRDefault="00DE2FA3" w:rsidP="00001A93">
            <w:pPr>
              <w:jc w:val="right"/>
              <w:rPr>
                <w:rFonts w:ascii="Calibri" w:hAnsi="Calibri"/>
                <w:sz w:val="20"/>
                <w:szCs w:val="20"/>
              </w:rPr>
            </w:pPr>
          </w:p>
        </w:tc>
        <w:tc>
          <w:tcPr>
            <w:tcW w:w="2301" w:type="dxa"/>
            <w:tcBorders>
              <w:top w:val="single" w:sz="4" w:space="0" w:color="auto"/>
              <w:left w:val="single" w:sz="4" w:space="0" w:color="auto"/>
              <w:bottom w:val="single" w:sz="4" w:space="0" w:color="auto"/>
              <w:right w:val="single" w:sz="4" w:space="0" w:color="auto"/>
            </w:tcBorders>
            <w:vAlign w:val="bottom"/>
          </w:tcPr>
          <w:p w14:paraId="6ACD0FF9" w14:textId="77777777" w:rsidR="00DE2FA3" w:rsidRPr="001F224B" w:rsidRDefault="00DE2FA3" w:rsidP="00001A93">
            <w:pPr>
              <w:jc w:val="right"/>
              <w:rPr>
                <w:rFonts w:ascii="Calibri" w:hAnsi="Calibri"/>
                <w:sz w:val="20"/>
                <w:szCs w:val="20"/>
              </w:rPr>
            </w:pPr>
          </w:p>
        </w:tc>
        <w:tc>
          <w:tcPr>
            <w:tcW w:w="1707" w:type="dxa"/>
            <w:tcBorders>
              <w:top w:val="single" w:sz="4" w:space="0" w:color="auto"/>
              <w:left w:val="single" w:sz="4" w:space="0" w:color="auto"/>
              <w:bottom w:val="single" w:sz="4" w:space="0" w:color="auto"/>
              <w:right w:val="single" w:sz="4" w:space="0" w:color="auto"/>
            </w:tcBorders>
            <w:noWrap/>
            <w:vAlign w:val="bottom"/>
          </w:tcPr>
          <w:p w14:paraId="57EAA550" w14:textId="77777777" w:rsidR="00DE2FA3" w:rsidRPr="001F224B" w:rsidRDefault="00DE2FA3" w:rsidP="00001A93">
            <w:pPr>
              <w:rPr>
                <w:rFonts w:ascii="Calibri" w:hAnsi="Calibri"/>
                <w:color w:val="000000"/>
                <w:sz w:val="22"/>
                <w:szCs w:val="22"/>
              </w:rPr>
            </w:pPr>
          </w:p>
        </w:tc>
      </w:tr>
      <w:tr w:rsidR="00DE2FA3" w:rsidRPr="001F224B" w14:paraId="4A3365AF" w14:textId="77777777" w:rsidTr="00001A93">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02532B98" w14:textId="77777777" w:rsidR="00DE2FA3" w:rsidRPr="001F224B" w:rsidRDefault="00DE2FA3" w:rsidP="00DE2FA3">
            <w:pPr>
              <w:rPr>
                <w:color w:val="000000"/>
                <w:sz w:val="20"/>
                <w:szCs w:val="20"/>
              </w:rPr>
            </w:pPr>
            <w:r w:rsidRPr="001F224B">
              <w:rPr>
                <w:color w:val="000000"/>
                <w:sz w:val="20"/>
                <w:szCs w:val="20"/>
              </w:rPr>
              <w:t>1</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4BBC0790" w14:textId="77777777" w:rsidR="00DE2FA3" w:rsidRPr="001F224B" w:rsidRDefault="00DE2FA3" w:rsidP="00DE2FA3">
            <w:pPr>
              <w:rPr>
                <w:color w:val="000000"/>
                <w:sz w:val="20"/>
                <w:szCs w:val="20"/>
              </w:rPr>
            </w:pPr>
            <w:r w:rsidRPr="001F224B">
              <w:rPr>
                <w:color w:val="000000"/>
                <w:sz w:val="20"/>
                <w:szCs w:val="20"/>
              </w:rPr>
              <w:t>Krediler</w:t>
            </w:r>
          </w:p>
        </w:tc>
        <w:tc>
          <w:tcPr>
            <w:tcW w:w="1716" w:type="dxa"/>
            <w:shd w:val="clear" w:color="auto" w:fill="auto"/>
            <w:vAlign w:val="bottom"/>
            <w:hideMark/>
          </w:tcPr>
          <w:p w14:paraId="077AF2A4" w14:textId="469BAEE6" w:rsidR="00DE2FA3" w:rsidRPr="001F224B" w:rsidRDefault="00DE2FA3" w:rsidP="00DE2FA3">
            <w:pPr>
              <w:jc w:val="right"/>
              <w:rPr>
                <w:sz w:val="20"/>
                <w:szCs w:val="20"/>
              </w:rPr>
            </w:pPr>
            <w:r w:rsidRPr="001F224B">
              <w:rPr>
                <w:sz w:val="20"/>
                <w:szCs w:val="20"/>
              </w:rPr>
              <w:t>732.750</w:t>
            </w:r>
          </w:p>
        </w:tc>
        <w:tc>
          <w:tcPr>
            <w:tcW w:w="1484" w:type="dxa"/>
            <w:shd w:val="clear" w:color="auto" w:fill="auto"/>
            <w:vAlign w:val="bottom"/>
            <w:hideMark/>
          </w:tcPr>
          <w:p w14:paraId="12BB2119" w14:textId="345CEFD8" w:rsidR="00DE2FA3" w:rsidRPr="001F224B" w:rsidRDefault="00DE2FA3" w:rsidP="00DE2FA3">
            <w:pPr>
              <w:jc w:val="right"/>
              <w:rPr>
                <w:sz w:val="20"/>
                <w:szCs w:val="20"/>
              </w:rPr>
            </w:pPr>
            <w:r w:rsidRPr="001F224B">
              <w:rPr>
                <w:sz w:val="20"/>
                <w:szCs w:val="20"/>
              </w:rPr>
              <w:t>94.080.085</w:t>
            </w:r>
          </w:p>
        </w:tc>
        <w:tc>
          <w:tcPr>
            <w:tcW w:w="2301" w:type="dxa"/>
            <w:shd w:val="clear" w:color="auto" w:fill="auto"/>
            <w:vAlign w:val="bottom"/>
            <w:hideMark/>
          </w:tcPr>
          <w:p w14:paraId="2FF1734E" w14:textId="3BD060E8" w:rsidR="00DE2FA3" w:rsidRPr="001F224B" w:rsidRDefault="00DE2FA3" w:rsidP="00DE2FA3">
            <w:pPr>
              <w:jc w:val="right"/>
              <w:rPr>
                <w:sz w:val="20"/>
                <w:szCs w:val="20"/>
              </w:rPr>
            </w:pPr>
            <w:r w:rsidRPr="001F224B">
              <w:rPr>
                <w:sz w:val="20"/>
                <w:szCs w:val="20"/>
              </w:rPr>
              <w:t>(1.703.056)</w:t>
            </w:r>
          </w:p>
        </w:tc>
        <w:tc>
          <w:tcPr>
            <w:tcW w:w="1707" w:type="dxa"/>
            <w:shd w:val="clear" w:color="auto" w:fill="auto"/>
            <w:noWrap/>
            <w:vAlign w:val="bottom"/>
            <w:hideMark/>
          </w:tcPr>
          <w:p w14:paraId="5CE14C27" w14:textId="7819D647" w:rsidR="00DE2FA3" w:rsidRPr="001F224B" w:rsidRDefault="00DE2FA3" w:rsidP="00DE2FA3">
            <w:pPr>
              <w:jc w:val="right"/>
              <w:rPr>
                <w:sz w:val="20"/>
                <w:szCs w:val="20"/>
              </w:rPr>
            </w:pPr>
            <w:r w:rsidRPr="001F224B">
              <w:rPr>
                <w:sz w:val="20"/>
                <w:szCs w:val="20"/>
              </w:rPr>
              <w:t>93.109.779</w:t>
            </w:r>
          </w:p>
        </w:tc>
      </w:tr>
      <w:tr w:rsidR="00DE2FA3" w:rsidRPr="001F224B" w14:paraId="3F976503" w14:textId="77777777" w:rsidTr="00001A93">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30D0CB88" w14:textId="77777777" w:rsidR="00DE2FA3" w:rsidRPr="001F224B" w:rsidRDefault="00DE2FA3" w:rsidP="00DE2FA3">
            <w:pPr>
              <w:rPr>
                <w:color w:val="000000"/>
                <w:sz w:val="20"/>
                <w:szCs w:val="20"/>
              </w:rPr>
            </w:pPr>
            <w:r w:rsidRPr="001F224B">
              <w:rPr>
                <w:color w:val="000000"/>
                <w:sz w:val="20"/>
                <w:szCs w:val="20"/>
              </w:rPr>
              <w:t>2</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551CFBE5" w14:textId="77777777" w:rsidR="00DE2FA3" w:rsidRPr="001F224B" w:rsidRDefault="00DE2FA3" w:rsidP="00DE2FA3">
            <w:pPr>
              <w:rPr>
                <w:color w:val="000000"/>
                <w:sz w:val="20"/>
                <w:szCs w:val="20"/>
              </w:rPr>
            </w:pPr>
            <w:r w:rsidRPr="001F224B">
              <w:rPr>
                <w:color w:val="000000"/>
                <w:sz w:val="20"/>
                <w:szCs w:val="20"/>
              </w:rPr>
              <w:t>Borçlanma araçları</w:t>
            </w:r>
          </w:p>
        </w:tc>
        <w:tc>
          <w:tcPr>
            <w:tcW w:w="1716" w:type="dxa"/>
            <w:shd w:val="clear" w:color="auto" w:fill="auto"/>
            <w:noWrap/>
            <w:vAlign w:val="bottom"/>
            <w:hideMark/>
          </w:tcPr>
          <w:p w14:paraId="53F851B6" w14:textId="7E818289" w:rsidR="00DE2FA3" w:rsidRPr="001F224B" w:rsidRDefault="00DE2FA3" w:rsidP="00DE2FA3">
            <w:pPr>
              <w:jc w:val="right"/>
              <w:rPr>
                <w:b/>
                <w:bCs/>
                <w:sz w:val="20"/>
                <w:szCs w:val="20"/>
              </w:rPr>
            </w:pPr>
            <w:r w:rsidRPr="001F224B">
              <w:rPr>
                <w:sz w:val="20"/>
                <w:szCs w:val="20"/>
              </w:rPr>
              <w:t>-</w:t>
            </w:r>
          </w:p>
        </w:tc>
        <w:tc>
          <w:tcPr>
            <w:tcW w:w="1484" w:type="dxa"/>
            <w:shd w:val="clear" w:color="auto" w:fill="auto"/>
            <w:vAlign w:val="bottom"/>
            <w:hideMark/>
          </w:tcPr>
          <w:p w14:paraId="7863A4EE" w14:textId="5DF6ABEE" w:rsidR="00DE2FA3" w:rsidRPr="001F224B" w:rsidRDefault="00DE2FA3" w:rsidP="00DE2FA3">
            <w:pPr>
              <w:jc w:val="right"/>
              <w:rPr>
                <w:sz w:val="20"/>
                <w:szCs w:val="20"/>
              </w:rPr>
            </w:pPr>
            <w:r w:rsidRPr="001F224B">
              <w:rPr>
                <w:sz w:val="20"/>
                <w:szCs w:val="20"/>
              </w:rPr>
              <w:t>35.920.579</w:t>
            </w:r>
          </w:p>
        </w:tc>
        <w:tc>
          <w:tcPr>
            <w:tcW w:w="2301" w:type="dxa"/>
            <w:shd w:val="clear" w:color="auto" w:fill="auto"/>
            <w:vAlign w:val="bottom"/>
            <w:hideMark/>
          </w:tcPr>
          <w:p w14:paraId="21BB3B4B" w14:textId="2AD08964" w:rsidR="00DE2FA3" w:rsidRPr="001F224B" w:rsidRDefault="00DE2FA3" w:rsidP="00DE2FA3">
            <w:pPr>
              <w:jc w:val="right"/>
              <w:rPr>
                <w:sz w:val="20"/>
                <w:szCs w:val="20"/>
              </w:rPr>
            </w:pPr>
            <w:r w:rsidRPr="001F224B">
              <w:rPr>
                <w:sz w:val="20"/>
                <w:szCs w:val="20"/>
              </w:rPr>
              <w:t>(83.284)</w:t>
            </w:r>
          </w:p>
        </w:tc>
        <w:tc>
          <w:tcPr>
            <w:tcW w:w="1707" w:type="dxa"/>
            <w:shd w:val="clear" w:color="auto" w:fill="auto"/>
            <w:noWrap/>
            <w:vAlign w:val="bottom"/>
            <w:hideMark/>
          </w:tcPr>
          <w:p w14:paraId="26DE7767" w14:textId="5E3984C9" w:rsidR="00DE2FA3" w:rsidRPr="001F224B" w:rsidRDefault="00DE2FA3" w:rsidP="00DE2FA3">
            <w:pPr>
              <w:jc w:val="right"/>
              <w:rPr>
                <w:sz w:val="20"/>
                <w:szCs w:val="20"/>
              </w:rPr>
            </w:pPr>
            <w:r w:rsidRPr="001F224B">
              <w:rPr>
                <w:sz w:val="20"/>
                <w:szCs w:val="20"/>
              </w:rPr>
              <w:t>35.837.295</w:t>
            </w:r>
          </w:p>
        </w:tc>
      </w:tr>
      <w:tr w:rsidR="00DE2FA3" w:rsidRPr="001F224B" w14:paraId="44F20817" w14:textId="77777777" w:rsidTr="00001A93">
        <w:trPr>
          <w:trHeight w:val="288"/>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2E0AFF94" w14:textId="77777777" w:rsidR="00DE2FA3" w:rsidRPr="001F224B" w:rsidRDefault="00DE2FA3" w:rsidP="00DE2FA3">
            <w:pPr>
              <w:rPr>
                <w:color w:val="000000"/>
                <w:sz w:val="20"/>
                <w:szCs w:val="20"/>
              </w:rPr>
            </w:pPr>
            <w:r w:rsidRPr="001F224B">
              <w:rPr>
                <w:color w:val="000000"/>
                <w:sz w:val="20"/>
                <w:szCs w:val="20"/>
              </w:rPr>
              <w:t>3</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76FBA249" w14:textId="77777777" w:rsidR="00DE2FA3" w:rsidRPr="001F224B" w:rsidRDefault="00DE2FA3" w:rsidP="00DE2FA3">
            <w:pPr>
              <w:rPr>
                <w:color w:val="000000"/>
                <w:sz w:val="20"/>
                <w:szCs w:val="20"/>
              </w:rPr>
            </w:pPr>
            <w:r w:rsidRPr="001F224B">
              <w:rPr>
                <w:color w:val="000000"/>
                <w:sz w:val="20"/>
                <w:szCs w:val="20"/>
              </w:rPr>
              <w:t>Bilanço dışı alacaklar</w:t>
            </w:r>
          </w:p>
        </w:tc>
        <w:tc>
          <w:tcPr>
            <w:tcW w:w="1716" w:type="dxa"/>
            <w:shd w:val="clear" w:color="auto" w:fill="auto"/>
            <w:vAlign w:val="bottom"/>
            <w:hideMark/>
          </w:tcPr>
          <w:p w14:paraId="2E8DBC56" w14:textId="4A390E72" w:rsidR="00DE2FA3" w:rsidRPr="001F224B" w:rsidRDefault="00DE2FA3" w:rsidP="00DE2FA3">
            <w:pPr>
              <w:jc w:val="right"/>
              <w:rPr>
                <w:sz w:val="20"/>
                <w:szCs w:val="20"/>
              </w:rPr>
            </w:pPr>
            <w:r w:rsidRPr="001F224B">
              <w:rPr>
                <w:sz w:val="20"/>
                <w:szCs w:val="20"/>
              </w:rPr>
              <w:t>2</w:t>
            </w:r>
          </w:p>
        </w:tc>
        <w:tc>
          <w:tcPr>
            <w:tcW w:w="1484" w:type="dxa"/>
            <w:shd w:val="clear" w:color="auto" w:fill="auto"/>
            <w:vAlign w:val="bottom"/>
            <w:hideMark/>
          </w:tcPr>
          <w:p w14:paraId="0E7F05CA" w14:textId="3D30D031" w:rsidR="00DE2FA3" w:rsidRPr="001F224B" w:rsidRDefault="00DE2FA3" w:rsidP="00DE2FA3">
            <w:pPr>
              <w:jc w:val="right"/>
              <w:rPr>
                <w:sz w:val="20"/>
                <w:szCs w:val="20"/>
              </w:rPr>
            </w:pPr>
            <w:r w:rsidRPr="001F224B">
              <w:rPr>
                <w:sz w:val="20"/>
                <w:szCs w:val="20"/>
              </w:rPr>
              <w:t>5.075.168</w:t>
            </w:r>
          </w:p>
        </w:tc>
        <w:tc>
          <w:tcPr>
            <w:tcW w:w="2301" w:type="dxa"/>
            <w:shd w:val="clear" w:color="auto" w:fill="auto"/>
            <w:vAlign w:val="bottom"/>
            <w:hideMark/>
          </w:tcPr>
          <w:p w14:paraId="3A0DC1FE" w14:textId="36CC94EE" w:rsidR="00DE2FA3" w:rsidRPr="001F224B" w:rsidRDefault="00DE2FA3" w:rsidP="00DE2FA3">
            <w:pPr>
              <w:jc w:val="right"/>
              <w:rPr>
                <w:sz w:val="20"/>
                <w:szCs w:val="20"/>
              </w:rPr>
            </w:pPr>
            <w:r w:rsidRPr="001F224B">
              <w:rPr>
                <w:sz w:val="20"/>
                <w:szCs w:val="20"/>
              </w:rPr>
              <w:t>(20.728)</w:t>
            </w:r>
          </w:p>
        </w:tc>
        <w:tc>
          <w:tcPr>
            <w:tcW w:w="1707" w:type="dxa"/>
            <w:shd w:val="clear" w:color="auto" w:fill="auto"/>
            <w:noWrap/>
            <w:vAlign w:val="bottom"/>
            <w:hideMark/>
          </w:tcPr>
          <w:p w14:paraId="3CD7FC2C" w14:textId="2AC468B1" w:rsidR="00DE2FA3" w:rsidRPr="001F224B" w:rsidRDefault="00DE2FA3" w:rsidP="00DE2FA3">
            <w:pPr>
              <w:jc w:val="right"/>
              <w:rPr>
                <w:sz w:val="20"/>
                <w:szCs w:val="20"/>
              </w:rPr>
            </w:pPr>
            <w:r w:rsidRPr="001F224B">
              <w:rPr>
                <w:sz w:val="20"/>
                <w:szCs w:val="20"/>
              </w:rPr>
              <w:t>5.054.442</w:t>
            </w:r>
          </w:p>
        </w:tc>
      </w:tr>
      <w:tr w:rsidR="00DE2FA3" w:rsidRPr="001F224B" w14:paraId="0F01A72F" w14:textId="77777777" w:rsidTr="00001A93">
        <w:trPr>
          <w:trHeight w:val="300"/>
        </w:trPr>
        <w:tc>
          <w:tcPr>
            <w:tcW w:w="284" w:type="dxa"/>
            <w:tcBorders>
              <w:top w:val="single" w:sz="4" w:space="0" w:color="auto"/>
              <w:left w:val="single" w:sz="4" w:space="0" w:color="auto"/>
              <w:bottom w:val="single" w:sz="4" w:space="0" w:color="auto"/>
              <w:right w:val="single" w:sz="4" w:space="0" w:color="auto"/>
            </w:tcBorders>
            <w:noWrap/>
            <w:vAlign w:val="bottom"/>
            <w:hideMark/>
          </w:tcPr>
          <w:p w14:paraId="142D279C" w14:textId="77777777" w:rsidR="00DE2FA3" w:rsidRPr="001F224B" w:rsidRDefault="00DE2FA3" w:rsidP="00DE2FA3">
            <w:pPr>
              <w:rPr>
                <w:b/>
                <w:bCs/>
                <w:color w:val="000000"/>
                <w:sz w:val="20"/>
                <w:szCs w:val="20"/>
              </w:rPr>
            </w:pPr>
            <w:r w:rsidRPr="001F224B">
              <w:rPr>
                <w:b/>
                <w:bCs/>
                <w:color w:val="000000"/>
                <w:sz w:val="20"/>
                <w:szCs w:val="20"/>
              </w:rPr>
              <w:t>4</w:t>
            </w:r>
          </w:p>
        </w:tc>
        <w:tc>
          <w:tcPr>
            <w:tcW w:w="2289" w:type="dxa"/>
            <w:tcBorders>
              <w:top w:val="single" w:sz="4" w:space="0" w:color="auto"/>
              <w:left w:val="single" w:sz="4" w:space="0" w:color="auto"/>
              <w:bottom w:val="single" w:sz="4" w:space="0" w:color="auto"/>
              <w:right w:val="single" w:sz="4" w:space="0" w:color="auto"/>
            </w:tcBorders>
            <w:noWrap/>
            <w:vAlign w:val="bottom"/>
            <w:hideMark/>
          </w:tcPr>
          <w:p w14:paraId="23554991" w14:textId="77777777" w:rsidR="00DE2FA3" w:rsidRPr="001F224B" w:rsidRDefault="00DE2FA3" w:rsidP="00DE2FA3">
            <w:pPr>
              <w:rPr>
                <w:b/>
                <w:bCs/>
                <w:color w:val="000000"/>
                <w:sz w:val="20"/>
                <w:szCs w:val="20"/>
              </w:rPr>
            </w:pPr>
            <w:r w:rsidRPr="001F224B">
              <w:rPr>
                <w:b/>
                <w:bCs/>
                <w:color w:val="000000"/>
                <w:sz w:val="20"/>
                <w:szCs w:val="20"/>
              </w:rPr>
              <w:t>Toplam</w:t>
            </w:r>
          </w:p>
        </w:tc>
        <w:tc>
          <w:tcPr>
            <w:tcW w:w="1716" w:type="dxa"/>
            <w:shd w:val="clear" w:color="auto" w:fill="auto"/>
            <w:noWrap/>
            <w:vAlign w:val="bottom"/>
            <w:hideMark/>
          </w:tcPr>
          <w:p w14:paraId="19F3F481" w14:textId="78E39531" w:rsidR="00DE2FA3" w:rsidRPr="001F224B" w:rsidRDefault="00DE2FA3" w:rsidP="00DE2FA3">
            <w:pPr>
              <w:jc w:val="right"/>
              <w:rPr>
                <w:b/>
                <w:sz w:val="20"/>
                <w:szCs w:val="20"/>
              </w:rPr>
            </w:pPr>
            <w:r w:rsidRPr="001F224B">
              <w:rPr>
                <w:b/>
                <w:bCs/>
                <w:sz w:val="20"/>
                <w:szCs w:val="20"/>
              </w:rPr>
              <w:t>732.752</w:t>
            </w:r>
          </w:p>
        </w:tc>
        <w:tc>
          <w:tcPr>
            <w:tcW w:w="1484" w:type="dxa"/>
            <w:shd w:val="clear" w:color="auto" w:fill="auto"/>
            <w:noWrap/>
            <w:vAlign w:val="bottom"/>
            <w:hideMark/>
          </w:tcPr>
          <w:p w14:paraId="3EF7AE83" w14:textId="126B3EF1" w:rsidR="00DE2FA3" w:rsidRPr="001F224B" w:rsidRDefault="00DE2FA3" w:rsidP="00DE2FA3">
            <w:pPr>
              <w:jc w:val="right"/>
              <w:rPr>
                <w:b/>
                <w:sz w:val="20"/>
                <w:szCs w:val="20"/>
              </w:rPr>
            </w:pPr>
            <w:r w:rsidRPr="001F224B">
              <w:rPr>
                <w:b/>
                <w:bCs/>
                <w:sz w:val="20"/>
                <w:szCs w:val="20"/>
              </w:rPr>
              <w:t>135.075.832</w:t>
            </w:r>
          </w:p>
        </w:tc>
        <w:tc>
          <w:tcPr>
            <w:tcW w:w="2301" w:type="dxa"/>
            <w:shd w:val="clear" w:color="auto" w:fill="auto"/>
            <w:noWrap/>
            <w:vAlign w:val="bottom"/>
            <w:hideMark/>
          </w:tcPr>
          <w:p w14:paraId="3EEEB387" w14:textId="216486B9" w:rsidR="00DE2FA3" w:rsidRPr="001F224B" w:rsidRDefault="00DE2FA3" w:rsidP="00DE2FA3">
            <w:pPr>
              <w:jc w:val="right"/>
              <w:rPr>
                <w:b/>
                <w:sz w:val="20"/>
                <w:szCs w:val="20"/>
              </w:rPr>
            </w:pPr>
            <w:r w:rsidRPr="001F224B">
              <w:rPr>
                <w:b/>
                <w:bCs/>
                <w:sz w:val="20"/>
                <w:szCs w:val="20"/>
              </w:rPr>
              <w:t>(1.807.068)</w:t>
            </w:r>
          </w:p>
        </w:tc>
        <w:tc>
          <w:tcPr>
            <w:tcW w:w="1707" w:type="dxa"/>
            <w:shd w:val="clear" w:color="auto" w:fill="auto"/>
            <w:noWrap/>
            <w:vAlign w:val="bottom"/>
            <w:hideMark/>
          </w:tcPr>
          <w:p w14:paraId="666A1702" w14:textId="655433BB" w:rsidR="00DE2FA3" w:rsidRPr="001F224B" w:rsidRDefault="00DE2FA3" w:rsidP="00DE2FA3">
            <w:pPr>
              <w:jc w:val="right"/>
              <w:rPr>
                <w:b/>
                <w:sz w:val="20"/>
                <w:szCs w:val="20"/>
              </w:rPr>
            </w:pPr>
            <w:r w:rsidRPr="001F224B">
              <w:rPr>
                <w:b/>
                <w:bCs/>
                <w:sz w:val="20"/>
                <w:szCs w:val="20"/>
              </w:rPr>
              <w:t>134.001.516</w:t>
            </w:r>
          </w:p>
        </w:tc>
      </w:tr>
    </w:tbl>
    <w:p w14:paraId="557611FC" w14:textId="77777777" w:rsidR="00DE2FA3" w:rsidRPr="001F224B" w:rsidRDefault="00DE2FA3" w:rsidP="00DE2FA3">
      <w:pPr>
        <w:spacing w:before="120" w:after="120"/>
        <w:jc w:val="both"/>
        <w:rPr>
          <w:b/>
          <w:sz w:val="22"/>
          <w:szCs w:val="22"/>
          <w:lang w:eastAsia="x-none"/>
        </w:rPr>
      </w:pPr>
    </w:p>
    <w:p w14:paraId="78EDF9D5" w14:textId="05958E05" w:rsidR="00DE2FA3" w:rsidRPr="001F224B" w:rsidRDefault="00DE2FA3" w:rsidP="00DE2FA3">
      <w:pPr>
        <w:spacing w:before="120" w:after="120"/>
        <w:jc w:val="both"/>
        <w:rPr>
          <w:b/>
          <w:sz w:val="22"/>
          <w:szCs w:val="22"/>
          <w:lang w:eastAsia="x-none"/>
        </w:rPr>
      </w:pPr>
      <w:r w:rsidRPr="001F224B">
        <w:rPr>
          <w:b/>
          <w:sz w:val="22"/>
          <w:szCs w:val="22"/>
          <w:lang w:eastAsia="x-none"/>
        </w:rPr>
        <w:t>3. Temerrüde düşmüş alacaklar ve borçlanma araçları stoğundaki değişimler:</w:t>
      </w:r>
    </w:p>
    <w:tbl>
      <w:tblPr>
        <w:tblW w:w="9903" w:type="dxa"/>
        <w:tblInd w:w="-10" w:type="dxa"/>
        <w:tblBorders>
          <w:top w:val="single" w:sz="8" w:space="0" w:color="auto"/>
          <w:left w:val="single" w:sz="8" w:space="0" w:color="auto"/>
          <w:bottom w:val="single" w:sz="8" w:space="0" w:color="auto"/>
          <w:right w:val="single" w:sz="8" w:space="0" w:color="auto"/>
          <w:insideH w:val="single" w:sz="8" w:space="0" w:color="auto"/>
        </w:tblBorders>
        <w:tblCellMar>
          <w:left w:w="70" w:type="dxa"/>
          <w:right w:w="70" w:type="dxa"/>
        </w:tblCellMar>
        <w:tblLook w:val="04A0" w:firstRow="1" w:lastRow="0" w:firstColumn="1" w:lastColumn="0" w:noHBand="0" w:noVBand="1"/>
      </w:tblPr>
      <w:tblGrid>
        <w:gridCol w:w="266"/>
        <w:gridCol w:w="8036"/>
        <w:gridCol w:w="1601"/>
      </w:tblGrid>
      <w:tr w:rsidR="00DE2FA3" w:rsidRPr="001F224B" w14:paraId="6FD120B9"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tcPr>
          <w:p w14:paraId="5C965138" w14:textId="77777777" w:rsidR="00DE2FA3" w:rsidRPr="001F224B" w:rsidRDefault="00DE2FA3" w:rsidP="00001A93">
            <w:pPr>
              <w:rPr>
                <w:color w:val="000000"/>
                <w:sz w:val="20"/>
                <w:szCs w:val="20"/>
              </w:rPr>
            </w:pPr>
          </w:p>
        </w:tc>
        <w:tc>
          <w:tcPr>
            <w:tcW w:w="8036" w:type="dxa"/>
            <w:tcBorders>
              <w:top w:val="single" w:sz="4" w:space="0" w:color="auto"/>
              <w:left w:val="nil"/>
              <w:bottom w:val="single" w:sz="4" w:space="0" w:color="auto"/>
              <w:right w:val="single" w:sz="4" w:space="0" w:color="auto"/>
            </w:tcBorders>
            <w:noWrap/>
            <w:vAlign w:val="bottom"/>
            <w:hideMark/>
          </w:tcPr>
          <w:p w14:paraId="0DB6C077" w14:textId="723B3313" w:rsidR="00DE2FA3" w:rsidRPr="001F224B" w:rsidRDefault="00DE2FA3" w:rsidP="00001A93">
            <w:pPr>
              <w:rPr>
                <w:b/>
                <w:color w:val="000000"/>
                <w:sz w:val="20"/>
                <w:szCs w:val="20"/>
              </w:rPr>
            </w:pPr>
            <w:r w:rsidRPr="001F224B">
              <w:rPr>
                <w:b/>
                <w:color w:val="000000"/>
                <w:sz w:val="20"/>
                <w:szCs w:val="20"/>
              </w:rPr>
              <w:t>Cari Dönem (30.06.2025)</w:t>
            </w:r>
          </w:p>
        </w:tc>
        <w:tc>
          <w:tcPr>
            <w:tcW w:w="1601" w:type="dxa"/>
            <w:tcBorders>
              <w:top w:val="single" w:sz="4" w:space="0" w:color="auto"/>
              <w:left w:val="single" w:sz="4" w:space="0" w:color="auto"/>
              <w:bottom w:val="single" w:sz="4" w:space="0" w:color="auto"/>
              <w:right w:val="single" w:sz="4" w:space="0" w:color="auto"/>
            </w:tcBorders>
            <w:noWrap/>
            <w:vAlign w:val="bottom"/>
          </w:tcPr>
          <w:p w14:paraId="37025705" w14:textId="77777777" w:rsidR="00DE2FA3" w:rsidRPr="001F224B" w:rsidRDefault="00DE2FA3" w:rsidP="00001A93">
            <w:pPr>
              <w:jc w:val="right"/>
              <w:rPr>
                <w:sz w:val="20"/>
                <w:szCs w:val="20"/>
              </w:rPr>
            </w:pPr>
          </w:p>
        </w:tc>
      </w:tr>
      <w:tr w:rsidR="00C425D2" w:rsidRPr="001F224B" w14:paraId="5C301BB3"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hideMark/>
          </w:tcPr>
          <w:p w14:paraId="44E1451B" w14:textId="77777777" w:rsidR="00C425D2" w:rsidRPr="001F224B" w:rsidRDefault="00C425D2" w:rsidP="00C425D2">
            <w:pPr>
              <w:rPr>
                <w:color w:val="000000"/>
                <w:sz w:val="20"/>
                <w:szCs w:val="20"/>
              </w:rPr>
            </w:pPr>
            <w:r w:rsidRPr="001F224B">
              <w:rPr>
                <w:color w:val="000000"/>
                <w:sz w:val="20"/>
                <w:szCs w:val="20"/>
              </w:rPr>
              <w:t>1</w:t>
            </w:r>
          </w:p>
        </w:tc>
        <w:tc>
          <w:tcPr>
            <w:tcW w:w="8036" w:type="dxa"/>
            <w:tcBorders>
              <w:top w:val="single" w:sz="4" w:space="0" w:color="auto"/>
              <w:left w:val="nil"/>
              <w:bottom w:val="single" w:sz="4" w:space="0" w:color="auto"/>
              <w:right w:val="single" w:sz="4" w:space="0" w:color="auto"/>
            </w:tcBorders>
            <w:noWrap/>
            <w:vAlign w:val="bottom"/>
            <w:hideMark/>
          </w:tcPr>
          <w:p w14:paraId="1124E5DE" w14:textId="77777777" w:rsidR="00C425D2" w:rsidRPr="001F224B" w:rsidRDefault="00C425D2" w:rsidP="00C425D2">
            <w:pPr>
              <w:rPr>
                <w:color w:val="000000"/>
                <w:sz w:val="20"/>
                <w:szCs w:val="20"/>
              </w:rPr>
            </w:pPr>
            <w:r w:rsidRPr="001F224B">
              <w:rPr>
                <w:color w:val="000000"/>
                <w:sz w:val="20"/>
                <w:szCs w:val="20"/>
              </w:rPr>
              <w:t>Önceki raporlama dönemi sonundaki temerrüt etmiş krediler ve borçlanma araçları tutarı</w:t>
            </w:r>
          </w:p>
        </w:tc>
        <w:tc>
          <w:tcPr>
            <w:tcW w:w="1601" w:type="dxa"/>
            <w:tcBorders>
              <w:top w:val="single" w:sz="4" w:space="0" w:color="auto"/>
              <w:left w:val="single" w:sz="4" w:space="0" w:color="auto"/>
              <w:bottom w:val="single" w:sz="4" w:space="0" w:color="auto"/>
              <w:right w:val="single" w:sz="4" w:space="0" w:color="auto"/>
            </w:tcBorders>
            <w:noWrap/>
            <w:vAlign w:val="bottom"/>
            <w:hideMark/>
          </w:tcPr>
          <w:p w14:paraId="4F932CF2" w14:textId="2CD4D81B" w:rsidR="00C425D2" w:rsidRPr="001F224B" w:rsidRDefault="00C425D2" w:rsidP="00C425D2">
            <w:pPr>
              <w:jc w:val="right"/>
              <w:rPr>
                <w:color w:val="000000"/>
                <w:sz w:val="20"/>
                <w:szCs w:val="20"/>
              </w:rPr>
            </w:pPr>
            <w:r w:rsidRPr="001F224B">
              <w:rPr>
                <w:color w:val="000000"/>
                <w:sz w:val="20"/>
                <w:szCs w:val="20"/>
              </w:rPr>
              <w:t>732.750</w:t>
            </w:r>
          </w:p>
        </w:tc>
      </w:tr>
      <w:tr w:rsidR="00C425D2" w:rsidRPr="001F224B" w14:paraId="1AEBDBDC"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hideMark/>
          </w:tcPr>
          <w:p w14:paraId="3CA38F6C" w14:textId="77777777" w:rsidR="00C425D2" w:rsidRPr="001F224B" w:rsidRDefault="00C425D2" w:rsidP="00C425D2">
            <w:pPr>
              <w:rPr>
                <w:color w:val="000000"/>
                <w:sz w:val="20"/>
                <w:szCs w:val="20"/>
              </w:rPr>
            </w:pPr>
            <w:r w:rsidRPr="001F224B">
              <w:rPr>
                <w:color w:val="000000"/>
                <w:sz w:val="20"/>
                <w:szCs w:val="20"/>
              </w:rPr>
              <w:t>2</w:t>
            </w:r>
          </w:p>
        </w:tc>
        <w:tc>
          <w:tcPr>
            <w:tcW w:w="8036" w:type="dxa"/>
            <w:tcBorders>
              <w:top w:val="single" w:sz="4" w:space="0" w:color="auto"/>
              <w:left w:val="nil"/>
              <w:bottom w:val="single" w:sz="4" w:space="0" w:color="auto"/>
              <w:right w:val="single" w:sz="4" w:space="0" w:color="auto"/>
            </w:tcBorders>
            <w:noWrap/>
            <w:vAlign w:val="bottom"/>
            <w:hideMark/>
          </w:tcPr>
          <w:p w14:paraId="69C20390" w14:textId="77777777" w:rsidR="00C425D2" w:rsidRPr="001F224B" w:rsidRDefault="00C425D2" w:rsidP="00C425D2">
            <w:pPr>
              <w:rPr>
                <w:color w:val="000000"/>
                <w:sz w:val="20"/>
                <w:szCs w:val="20"/>
              </w:rPr>
            </w:pPr>
            <w:r w:rsidRPr="001F224B">
              <w:rPr>
                <w:color w:val="000000"/>
                <w:sz w:val="20"/>
                <w:szCs w:val="20"/>
              </w:rPr>
              <w:t>Son raporlama döneminden itibaren temerrüt eden krediler ve borçlanma araçları</w:t>
            </w:r>
          </w:p>
        </w:tc>
        <w:tc>
          <w:tcPr>
            <w:tcW w:w="16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0FA9A4" w14:textId="713876D6" w:rsidR="00C425D2" w:rsidRPr="001F224B" w:rsidRDefault="00C425D2" w:rsidP="00C425D2">
            <w:pPr>
              <w:jc w:val="right"/>
              <w:rPr>
                <w:color w:val="000000"/>
                <w:sz w:val="20"/>
                <w:szCs w:val="20"/>
              </w:rPr>
            </w:pPr>
            <w:r w:rsidRPr="001F224B">
              <w:rPr>
                <w:color w:val="000000"/>
                <w:sz w:val="20"/>
                <w:szCs w:val="20"/>
              </w:rPr>
              <w:t>1.146</w:t>
            </w:r>
          </w:p>
        </w:tc>
      </w:tr>
      <w:tr w:rsidR="00C425D2" w:rsidRPr="001F224B" w14:paraId="4A8E25B2"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hideMark/>
          </w:tcPr>
          <w:p w14:paraId="655E543F" w14:textId="77777777" w:rsidR="00C425D2" w:rsidRPr="001F224B" w:rsidRDefault="00C425D2" w:rsidP="00C425D2">
            <w:pPr>
              <w:rPr>
                <w:color w:val="000000"/>
                <w:sz w:val="20"/>
                <w:szCs w:val="20"/>
              </w:rPr>
            </w:pPr>
            <w:r w:rsidRPr="001F224B">
              <w:rPr>
                <w:color w:val="000000"/>
                <w:sz w:val="20"/>
                <w:szCs w:val="20"/>
              </w:rPr>
              <w:t>3</w:t>
            </w:r>
          </w:p>
        </w:tc>
        <w:tc>
          <w:tcPr>
            <w:tcW w:w="8036" w:type="dxa"/>
            <w:tcBorders>
              <w:top w:val="single" w:sz="4" w:space="0" w:color="auto"/>
              <w:left w:val="nil"/>
              <w:bottom w:val="single" w:sz="4" w:space="0" w:color="auto"/>
              <w:right w:val="single" w:sz="4" w:space="0" w:color="auto"/>
            </w:tcBorders>
            <w:noWrap/>
            <w:vAlign w:val="bottom"/>
            <w:hideMark/>
          </w:tcPr>
          <w:p w14:paraId="6ED2E01B" w14:textId="77777777" w:rsidR="00C425D2" w:rsidRPr="001F224B" w:rsidRDefault="00C425D2" w:rsidP="00C425D2">
            <w:pPr>
              <w:rPr>
                <w:color w:val="000000"/>
                <w:sz w:val="20"/>
                <w:szCs w:val="20"/>
              </w:rPr>
            </w:pPr>
            <w:r w:rsidRPr="001F224B">
              <w:rPr>
                <w:color w:val="000000"/>
                <w:sz w:val="20"/>
                <w:szCs w:val="20"/>
              </w:rPr>
              <w:t xml:space="preserve">Tekrar temerrüt etmemiş durumuna gelen alacaklar </w:t>
            </w:r>
          </w:p>
        </w:tc>
        <w:tc>
          <w:tcPr>
            <w:tcW w:w="16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AEC693D" w14:textId="46F98626" w:rsidR="00C425D2" w:rsidRPr="001F224B" w:rsidRDefault="00C425D2" w:rsidP="00C425D2">
            <w:pPr>
              <w:jc w:val="right"/>
              <w:rPr>
                <w:color w:val="000000"/>
                <w:sz w:val="20"/>
                <w:szCs w:val="20"/>
              </w:rPr>
            </w:pPr>
            <w:r w:rsidRPr="001F224B">
              <w:rPr>
                <w:color w:val="000000"/>
                <w:sz w:val="20"/>
                <w:szCs w:val="20"/>
              </w:rPr>
              <w:t>-</w:t>
            </w:r>
          </w:p>
        </w:tc>
      </w:tr>
      <w:tr w:rsidR="00C425D2" w:rsidRPr="001F224B" w14:paraId="7D122AFA"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hideMark/>
          </w:tcPr>
          <w:p w14:paraId="4A490404" w14:textId="77777777" w:rsidR="00C425D2" w:rsidRPr="001F224B" w:rsidRDefault="00C425D2" w:rsidP="00C425D2">
            <w:pPr>
              <w:rPr>
                <w:color w:val="000000"/>
                <w:sz w:val="20"/>
                <w:szCs w:val="20"/>
              </w:rPr>
            </w:pPr>
            <w:r w:rsidRPr="001F224B">
              <w:rPr>
                <w:color w:val="000000"/>
                <w:sz w:val="20"/>
                <w:szCs w:val="20"/>
              </w:rPr>
              <w:t>4</w:t>
            </w:r>
          </w:p>
        </w:tc>
        <w:tc>
          <w:tcPr>
            <w:tcW w:w="8036" w:type="dxa"/>
            <w:tcBorders>
              <w:top w:val="single" w:sz="4" w:space="0" w:color="auto"/>
              <w:left w:val="nil"/>
              <w:bottom w:val="single" w:sz="4" w:space="0" w:color="auto"/>
              <w:right w:val="single" w:sz="4" w:space="0" w:color="auto"/>
            </w:tcBorders>
            <w:noWrap/>
            <w:vAlign w:val="bottom"/>
            <w:hideMark/>
          </w:tcPr>
          <w:p w14:paraId="6E2BEBEF" w14:textId="77777777" w:rsidR="00C425D2" w:rsidRPr="001F224B" w:rsidRDefault="00C425D2" w:rsidP="00C425D2">
            <w:pPr>
              <w:rPr>
                <w:color w:val="000000"/>
                <w:sz w:val="20"/>
                <w:szCs w:val="20"/>
              </w:rPr>
            </w:pPr>
            <w:r w:rsidRPr="001F224B">
              <w:rPr>
                <w:color w:val="000000"/>
                <w:sz w:val="20"/>
                <w:szCs w:val="20"/>
              </w:rPr>
              <w:t>Aktiften silinen tutarlar</w:t>
            </w:r>
          </w:p>
        </w:tc>
        <w:tc>
          <w:tcPr>
            <w:tcW w:w="16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0731E7" w14:textId="1B6AF6FD" w:rsidR="00C425D2" w:rsidRPr="001F224B" w:rsidRDefault="00C425D2" w:rsidP="00C425D2">
            <w:pPr>
              <w:jc w:val="right"/>
              <w:rPr>
                <w:color w:val="000000"/>
                <w:sz w:val="20"/>
                <w:szCs w:val="20"/>
              </w:rPr>
            </w:pPr>
            <w:r w:rsidRPr="001F224B">
              <w:rPr>
                <w:sz w:val="20"/>
                <w:szCs w:val="20"/>
              </w:rPr>
              <w:t xml:space="preserve"> -     </w:t>
            </w:r>
          </w:p>
        </w:tc>
      </w:tr>
      <w:tr w:rsidR="00C425D2" w:rsidRPr="001F224B" w14:paraId="3393EC14"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hideMark/>
          </w:tcPr>
          <w:p w14:paraId="3D07C4A3" w14:textId="77777777" w:rsidR="00C425D2" w:rsidRPr="001F224B" w:rsidRDefault="00C425D2" w:rsidP="00C425D2">
            <w:pPr>
              <w:rPr>
                <w:color w:val="000000"/>
                <w:sz w:val="20"/>
                <w:szCs w:val="20"/>
              </w:rPr>
            </w:pPr>
            <w:r w:rsidRPr="001F224B">
              <w:rPr>
                <w:color w:val="000000"/>
                <w:sz w:val="20"/>
                <w:szCs w:val="20"/>
              </w:rPr>
              <w:t>5</w:t>
            </w:r>
          </w:p>
        </w:tc>
        <w:tc>
          <w:tcPr>
            <w:tcW w:w="8036" w:type="dxa"/>
            <w:tcBorders>
              <w:top w:val="single" w:sz="4" w:space="0" w:color="auto"/>
              <w:left w:val="nil"/>
              <w:bottom w:val="single" w:sz="4" w:space="0" w:color="auto"/>
              <w:right w:val="single" w:sz="4" w:space="0" w:color="auto"/>
            </w:tcBorders>
            <w:noWrap/>
            <w:vAlign w:val="bottom"/>
            <w:hideMark/>
          </w:tcPr>
          <w:p w14:paraId="6E0F78F4" w14:textId="77777777" w:rsidR="00C425D2" w:rsidRPr="001F224B" w:rsidRDefault="00C425D2" w:rsidP="00C425D2">
            <w:pPr>
              <w:rPr>
                <w:color w:val="000000"/>
                <w:sz w:val="20"/>
                <w:szCs w:val="20"/>
              </w:rPr>
            </w:pPr>
            <w:r w:rsidRPr="001F224B">
              <w:rPr>
                <w:color w:val="000000"/>
                <w:sz w:val="20"/>
                <w:szCs w:val="20"/>
              </w:rPr>
              <w:t>Diğer değişimler</w:t>
            </w:r>
          </w:p>
        </w:tc>
        <w:tc>
          <w:tcPr>
            <w:tcW w:w="16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2A01D61" w14:textId="0BB2F09E" w:rsidR="00C425D2" w:rsidRPr="001F224B" w:rsidRDefault="00C425D2" w:rsidP="00C425D2">
            <w:pPr>
              <w:jc w:val="right"/>
              <w:rPr>
                <w:color w:val="000000"/>
                <w:sz w:val="20"/>
                <w:szCs w:val="20"/>
              </w:rPr>
            </w:pPr>
            <w:r w:rsidRPr="001F224B">
              <w:rPr>
                <w:sz w:val="20"/>
                <w:szCs w:val="20"/>
              </w:rPr>
              <w:t xml:space="preserve"> </w:t>
            </w:r>
            <w:r w:rsidRPr="001F224B">
              <w:rPr>
                <w:color w:val="000000"/>
                <w:sz w:val="20"/>
                <w:szCs w:val="20"/>
              </w:rPr>
              <w:t>(121.601)</w:t>
            </w:r>
            <w:r w:rsidRPr="001F224B">
              <w:rPr>
                <w:sz w:val="20"/>
                <w:szCs w:val="20"/>
              </w:rPr>
              <w:t xml:space="preserve">     </w:t>
            </w:r>
          </w:p>
        </w:tc>
      </w:tr>
      <w:tr w:rsidR="00C425D2" w:rsidRPr="001F224B" w14:paraId="2C941707" w14:textId="77777777" w:rsidTr="00DE2FA3">
        <w:trPr>
          <w:trHeight w:val="279"/>
        </w:trPr>
        <w:tc>
          <w:tcPr>
            <w:tcW w:w="266" w:type="dxa"/>
            <w:tcBorders>
              <w:top w:val="single" w:sz="4" w:space="0" w:color="auto"/>
              <w:left w:val="single" w:sz="4" w:space="0" w:color="auto"/>
              <w:bottom w:val="single" w:sz="4" w:space="0" w:color="auto"/>
              <w:right w:val="nil"/>
            </w:tcBorders>
            <w:noWrap/>
            <w:vAlign w:val="bottom"/>
            <w:hideMark/>
          </w:tcPr>
          <w:p w14:paraId="4CD48CF0" w14:textId="77777777" w:rsidR="00C425D2" w:rsidRPr="001F224B" w:rsidRDefault="00C425D2" w:rsidP="00C425D2">
            <w:pPr>
              <w:rPr>
                <w:color w:val="000000"/>
                <w:sz w:val="20"/>
                <w:szCs w:val="20"/>
              </w:rPr>
            </w:pPr>
            <w:r w:rsidRPr="001F224B">
              <w:rPr>
                <w:color w:val="000000"/>
                <w:sz w:val="20"/>
                <w:szCs w:val="20"/>
              </w:rPr>
              <w:t>6</w:t>
            </w:r>
          </w:p>
        </w:tc>
        <w:tc>
          <w:tcPr>
            <w:tcW w:w="8036" w:type="dxa"/>
            <w:tcBorders>
              <w:top w:val="single" w:sz="4" w:space="0" w:color="auto"/>
              <w:left w:val="nil"/>
              <w:bottom w:val="single" w:sz="4" w:space="0" w:color="auto"/>
              <w:right w:val="single" w:sz="4" w:space="0" w:color="auto"/>
            </w:tcBorders>
            <w:noWrap/>
            <w:vAlign w:val="bottom"/>
            <w:hideMark/>
          </w:tcPr>
          <w:p w14:paraId="112FAC95" w14:textId="77777777" w:rsidR="00C425D2" w:rsidRPr="001F224B" w:rsidRDefault="00C425D2" w:rsidP="00C425D2">
            <w:pPr>
              <w:rPr>
                <w:color w:val="000000"/>
                <w:sz w:val="20"/>
                <w:szCs w:val="20"/>
              </w:rPr>
            </w:pPr>
            <w:r w:rsidRPr="001F224B">
              <w:rPr>
                <w:color w:val="000000"/>
                <w:sz w:val="20"/>
                <w:szCs w:val="20"/>
              </w:rPr>
              <w:t>Raporlama dönemi sonundaki temerrüt etmiş krediler ve borçlanma araçları tutarı (1+2-3-4+-5)</w:t>
            </w:r>
          </w:p>
        </w:tc>
        <w:tc>
          <w:tcPr>
            <w:tcW w:w="1601" w:type="dxa"/>
            <w:tcBorders>
              <w:top w:val="single" w:sz="4" w:space="0" w:color="auto"/>
              <w:left w:val="single" w:sz="4" w:space="0" w:color="auto"/>
              <w:bottom w:val="single" w:sz="4" w:space="0" w:color="auto"/>
              <w:right w:val="single" w:sz="4" w:space="0" w:color="auto"/>
            </w:tcBorders>
            <w:noWrap/>
            <w:vAlign w:val="bottom"/>
            <w:hideMark/>
          </w:tcPr>
          <w:p w14:paraId="6CFC77FD" w14:textId="3AA99826" w:rsidR="00C425D2" w:rsidRPr="001F224B" w:rsidRDefault="00C425D2" w:rsidP="00C425D2">
            <w:pPr>
              <w:jc w:val="right"/>
              <w:rPr>
                <w:color w:val="000000"/>
                <w:sz w:val="20"/>
                <w:szCs w:val="20"/>
              </w:rPr>
            </w:pPr>
            <w:r w:rsidRPr="001F224B">
              <w:rPr>
                <w:sz w:val="20"/>
                <w:szCs w:val="20"/>
              </w:rPr>
              <w:t xml:space="preserve"> </w:t>
            </w:r>
            <w:r w:rsidRPr="001F224B">
              <w:rPr>
                <w:color w:val="000000"/>
                <w:sz w:val="20"/>
                <w:szCs w:val="20"/>
              </w:rPr>
              <w:t>612.295</w:t>
            </w:r>
          </w:p>
        </w:tc>
      </w:tr>
    </w:tbl>
    <w:p w14:paraId="48443398" w14:textId="77777777" w:rsidR="00DE2FA3" w:rsidRPr="001F224B" w:rsidRDefault="00DE2FA3" w:rsidP="00DE2FA3">
      <w:pPr>
        <w:ind w:left="567"/>
        <w:jc w:val="both"/>
        <w:rPr>
          <w:sz w:val="16"/>
          <w:szCs w:val="16"/>
          <w:lang w:eastAsia="x-none"/>
        </w:rPr>
      </w:pPr>
    </w:p>
    <w:p w14:paraId="7B7C3611" w14:textId="77777777" w:rsidR="00DE2FA3" w:rsidRPr="001F224B" w:rsidRDefault="00DE2FA3" w:rsidP="00DE2FA3">
      <w:pPr>
        <w:jc w:val="both"/>
        <w:rPr>
          <w:sz w:val="16"/>
          <w:szCs w:val="16"/>
          <w:lang w:eastAsia="x-none"/>
        </w:rPr>
      </w:pPr>
    </w:p>
    <w:tbl>
      <w:tblPr>
        <w:tblW w:w="99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
        <w:gridCol w:w="8036"/>
        <w:gridCol w:w="1601"/>
      </w:tblGrid>
      <w:tr w:rsidR="00DE2FA3" w:rsidRPr="001F224B" w14:paraId="1BF2C7D7" w14:textId="77777777" w:rsidTr="00001A93">
        <w:trPr>
          <w:trHeight w:val="279"/>
        </w:trPr>
        <w:tc>
          <w:tcPr>
            <w:tcW w:w="266" w:type="dxa"/>
            <w:tcBorders>
              <w:right w:val="nil"/>
            </w:tcBorders>
            <w:noWrap/>
            <w:vAlign w:val="bottom"/>
            <w:hideMark/>
          </w:tcPr>
          <w:p w14:paraId="673320EF" w14:textId="77777777" w:rsidR="00DE2FA3" w:rsidRPr="001F224B" w:rsidRDefault="00DE2FA3" w:rsidP="00001A93">
            <w:pPr>
              <w:rPr>
                <w:color w:val="000000"/>
                <w:sz w:val="20"/>
                <w:szCs w:val="20"/>
              </w:rPr>
            </w:pPr>
            <w:r w:rsidRPr="001F224B">
              <w:rPr>
                <w:b/>
                <w:lang w:eastAsia="x-none"/>
              </w:rPr>
              <w:t xml:space="preserve"> </w:t>
            </w:r>
          </w:p>
        </w:tc>
        <w:tc>
          <w:tcPr>
            <w:tcW w:w="8036" w:type="dxa"/>
            <w:tcBorders>
              <w:left w:val="nil"/>
            </w:tcBorders>
            <w:noWrap/>
            <w:vAlign w:val="bottom"/>
            <w:hideMark/>
          </w:tcPr>
          <w:p w14:paraId="2F836D48" w14:textId="6DC85195" w:rsidR="00DE2FA3" w:rsidRPr="001F224B" w:rsidRDefault="00DE2FA3" w:rsidP="00001A93">
            <w:pPr>
              <w:rPr>
                <w:b/>
                <w:color w:val="000000"/>
                <w:sz w:val="20"/>
                <w:szCs w:val="20"/>
              </w:rPr>
            </w:pPr>
            <w:r w:rsidRPr="001F224B">
              <w:rPr>
                <w:b/>
                <w:color w:val="000000"/>
                <w:sz w:val="20"/>
                <w:szCs w:val="20"/>
              </w:rPr>
              <w:t>Önceki Dönem (31.12.2024)</w:t>
            </w:r>
          </w:p>
        </w:tc>
        <w:tc>
          <w:tcPr>
            <w:tcW w:w="1601" w:type="dxa"/>
            <w:noWrap/>
            <w:vAlign w:val="bottom"/>
          </w:tcPr>
          <w:p w14:paraId="600431AE" w14:textId="77777777" w:rsidR="00DE2FA3" w:rsidRPr="001F224B" w:rsidRDefault="00DE2FA3" w:rsidP="00001A93">
            <w:pPr>
              <w:jc w:val="right"/>
              <w:rPr>
                <w:sz w:val="20"/>
                <w:szCs w:val="20"/>
              </w:rPr>
            </w:pPr>
          </w:p>
        </w:tc>
      </w:tr>
      <w:tr w:rsidR="00DE2FA3" w:rsidRPr="001F224B" w14:paraId="5E143A34" w14:textId="77777777" w:rsidTr="00001A93">
        <w:trPr>
          <w:trHeight w:val="279"/>
        </w:trPr>
        <w:tc>
          <w:tcPr>
            <w:tcW w:w="266" w:type="dxa"/>
            <w:tcBorders>
              <w:right w:val="nil"/>
            </w:tcBorders>
            <w:noWrap/>
            <w:vAlign w:val="bottom"/>
            <w:hideMark/>
          </w:tcPr>
          <w:p w14:paraId="4BE93E99" w14:textId="77777777" w:rsidR="00DE2FA3" w:rsidRPr="001F224B" w:rsidRDefault="00DE2FA3" w:rsidP="00DE2FA3">
            <w:pPr>
              <w:rPr>
                <w:color w:val="000000"/>
                <w:sz w:val="20"/>
                <w:szCs w:val="20"/>
              </w:rPr>
            </w:pPr>
            <w:r w:rsidRPr="001F224B">
              <w:rPr>
                <w:color w:val="000000"/>
                <w:sz w:val="20"/>
                <w:szCs w:val="20"/>
              </w:rPr>
              <w:t>1</w:t>
            </w:r>
          </w:p>
        </w:tc>
        <w:tc>
          <w:tcPr>
            <w:tcW w:w="8036" w:type="dxa"/>
            <w:tcBorders>
              <w:left w:val="nil"/>
            </w:tcBorders>
            <w:noWrap/>
            <w:vAlign w:val="bottom"/>
            <w:hideMark/>
          </w:tcPr>
          <w:p w14:paraId="4E1355F6" w14:textId="77777777" w:rsidR="00DE2FA3" w:rsidRPr="001F224B" w:rsidRDefault="00DE2FA3" w:rsidP="00DE2FA3">
            <w:pPr>
              <w:rPr>
                <w:color w:val="000000"/>
                <w:sz w:val="20"/>
                <w:szCs w:val="20"/>
              </w:rPr>
            </w:pPr>
            <w:r w:rsidRPr="001F224B">
              <w:rPr>
                <w:color w:val="000000"/>
                <w:sz w:val="20"/>
                <w:szCs w:val="20"/>
              </w:rPr>
              <w:t>Önceki raporlama dönemi sonundaki temerrüt etmiş krediler ve borçlanma araçları tutarı</w:t>
            </w:r>
          </w:p>
        </w:tc>
        <w:tc>
          <w:tcPr>
            <w:tcW w:w="1601" w:type="dxa"/>
            <w:noWrap/>
            <w:vAlign w:val="bottom"/>
            <w:hideMark/>
          </w:tcPr>
          <w:p w14:paraId="56D5AB29" w14:textId="3E136633" w:rsidR="00DE2FA3" w:rsidRPr="001F224B" w:rsidRDefault="00DE2FA3" w:rsidP="00DE2FA3">
            <w:pPr>
              <w:jc w:val="right"/>
              <w:rPr>
                <w:color w:val="000000"/>
                <w:sz w:val="20"/>
                <w:szCs w:val="20"/>
              </w:rPr>
            </w:pPr>
            <w:r w:rsidRPr="001F224B">
              <w:rPr>
                <w:color w:val="000000"/>
                <w:sz w:val="20"/>
                <w:szCs w:val="20"/>
              </w:rPr>
              <w:t>848.082</w:t>
            </w:r>
          </w:p>
        </w:tc>
      </w:tr>
      <w:tr w:rsidR="00DE2FA3" w:rsidRPr="001F224B" w14:paraId="12F6E967" w14:textId="77777777" w:rsidTr="00001A93">
        <w:trPr>
          <w:trHeight w:val="279"/>
        </w:trPr>
        <w:tc>
          <w:tcPr>
            <w:tcW w:w="266" w:type="dxa"/>
            <w:tcBorders>
              <w:right w:val="nil"/>
            </w:tcBorders>
            <w:noWrap/>
            <w:vAlign w:val="bottom"/>
            <w:hideMark/>
          </w:tcPr>
          <w:p w14:paraId="4909D5D3" w14:textId="77777777" w:rsidR="00DE2FA3" w:rsidRPr="001F224B" w:rsidRDefault="00DE2FA3" w:rsidP="00DE2FA3">
            <w:pPr>
              <w:rPr>
                <w:color w:val="000000"/>
                <w:sz w:val="20"/>
                <w:szCs w:val="20"/>
              </w:rPr>
            </w:pPr>
            <w:r w:rsidRPr="001F224B">
              <w:rPr>
                <w:color w:val="000000"/>
                <w:sz w:val="20"/>
                <w:szCs w:val="20"/>
              </w:rPr>
              <w:t>2</w:t>
            </w:r>
          </w:p>
        </w:tc>
        <w:tc>
          <w:tcPr>
            <w:tcW w:w="8036" w:type="dxa"/>
            <w:tcBorders>
              <w:left w:val="nil"/>
            </w:tcBorders>
            <w:noWrap/>
            <w:vAlign w:val="bottom"/>
            <w:hideMark/>
          </w:tcPr>
          <w:p w14:paraId="195CDFF0" w14:textId="77777777" w:rsidR="00DE2FA3" w:rsidRPr="001F224B" w:rsidRDefault="00DE2FA3" w:rsidP="00DE2FA3">
            <w:pPr>
              <w:rPr>
                <w:color w:val="000000"/>
                <w:sz w:val="20"/>
                <w:szCs w:val="20"/>
              </w:rPr>
            </w:pPr>
            <w:r w:rsidRPr="001F224B">
              <w:rPr>
                <w:color w:val="000000"/>
                <w:sz w:val="20"/>
                <w:szCs w:val="20"/>
              </w:rPr>
              <w:t>Son raporlama döneminden itibaren temerrüt eden krediler ve borçlanma araçları</w:t>
            </w:r>
          </w:p>
        </w:tc>
        <w:tc>
          <w:tcPr>
            <w:tcW w:w="1601" w:type="dxa"/>
            <w:shd w:val="clear" w:color="auto" w:fill="FFFFFF"/>
            <w:noWrap/>
            <w:vAlign w:val="bottom"/>
            <w:hideMark/>
          </w:tcPr>
          <w:p w14:paraId="1B07BD53" w14:textId="2603413C" w:rsidR="00DE2FA3" w:rsidRPr="001F224B" w:rsidRDefault="00DE2FA3" w:rsidP="00DE2FA3">
            <w:pPr>
              <w:jc w:val="right"/>
              <w:rPr>
                <w:color w:val="000000"/>
                <w:sz w:val="20"/>
                <w:szCs w:val="20"/>
              </w:rPr>
            </w:pPr>
            <w:r w:rsidRPr="001F224B">
              <w:rPr>
                <w:color w:val="000000"/>
                <w:sz w:val="20"/>
                <w:szCs w:val="20"/>
              </w:rPr>
              <w:t>27.174</w:t>
            </w:r>
          </w:p>
        </w:tc>
      </w:tr>
      <w:tr w:rsidR="00DE2FA3" w:rsidRPr="001F224B" w14:paraId="560932D5" w14:textId="77777777" w:rsidTr="00001A93">
        <w:trPr>
          <w:trHeight w:val="279"/>
        </w:trPr>
        <w:tc>
          <w:tcPr>
            <w:tcW w:w="266" w:type="dxa"/>
            <w:tcBorders>
              <w:right w:val="nil"/>
            </w:tcBorders>
            <w:noWrap/>
            <w:vAlign w:val="bottom"/>
            <w:hideMark/>
          </w:tcPr>
          <w:p w14:paraId="2564DC80" w14:textId="77777777" w:rsidR="00DE2FA3" w:rsidRPr="001F224B" w:rsidRDefault="00DE2FA3" w:rsidP="00DE2FA3">
            <w:pPr>
              <w:rPr>
                <w:color w:val="000000"/>
                <w:sz w:val="20"/>
                <w:szCs w:val="20"/>
              </w:rPr>
            </w:pPr>
            <w:r w:rsidRPr="001F224B">
              <w:rPr>
                <w:color w:val="000000"/>
                <w:sz w:val="20"/>
                <w:szCs w:val="20"/>
              </w:rPr>
              <w:t>3</w:t>
            </w:r>
          </w:p>
        </w:tc>
        <w:tc>
          <w:tcPr>
            <w:tcW w:w="8036" w:type="dxa"/>
            <w:tcBorders>
              <w:left w:val="nil"/>
            </w:tcBorders>
            <w:noWrap/>
            <w:vAlign w:val="bottom"/>
            <w:hideMark/>
          </w:tcPr>
          <w:p w14:paraId="296BEA4D" w14:textId="77777777" w:rsidR="00DE2FA3" w:rsidRPr="001F224B" w:rsidRDefault="00DE2FA3" w:rsidP="00DE2FA3">
            <w:pPr>
              <w:rPr>
                <w:color w:val="000000"/>
                <w:sz w:val="20"/>
                <w:szCs w:val="20"/>
              </w:rPr>
            </w:pPr>
            <w:r w:rsidRPr="001F224B">
              <w:rPr>
                <w:color w:val="000000"/>
                <w:sz w:val="20"/>
                <w:szCs w:val="20"/>
              </w:rPr>
              <w:t xml:space="preserve">Tekrar temerrüt etmemiş durumuna gelen alacaklar </w:t>
            </w:r>
          </w:p>
        </w:tc>
        <w:tc>
          <w:tcPr>
            <w:tcW w:w="1601" w:type="dxa"/>
            <w:shd w:val="clear" w:color="auto" w:fill="FFFFFF"/>
            <w:noWrap/>
            <w:vAlign w:val="bottom"/>
            <w:hideMark/>
          </w:tcPr>
          <w:p w14:paraId="2C08509C" w14:textId="6D9DAD7D" w:rsidR="00DE2FA3" w:rsidRPr="001F224B" w:rsidRDefault="00DE2FA3" w:rsidP="00DE2FA3">
            <w:pPr>
              <w:jc w:val="right"/>
              <w:rPr>
                <w:color w:val="000000"/>
                <w:sz w:val="20"/>
                <w:szCs w:val="20"/>
              </w:rPr>
            </w:pPr>
            <w:r w:rsidRPr="001F224B">
              <w:rPr>
                <w:color w:val="000000"/>
                <w:sz w:val="20"/>
                <w:szCs w:val="20"/>
              </w:rPr>
              <w:t>-</w:t>
            </w:r>
          </w:p>
        </w:tc>
      </w:tr>
      <w:tr w:rsidR="00DE2FA3" w:rsidRPr="001F224B" w14:paraId="463B000B" w14:textId="77777777" w:rsidTr="00001A93">
        <w:trPr>
          <w:trHeight w:val="279"/>
        </w:trPr>
        <w:tc>
          <w:tcPr>
            <w:tcW w:w="266" w:type="dxa"/>
            <w:tcBorders>
              <w:right w:val="nil"/>
            </w:tcBorders>
            <w:noWrap/>
            <w:vAlign w:val="bottom"/>
            <w:hideMark/>
          </w:tcPr>
          <w:p w14:paraId="39EFFE21" w14:textId="77777777" w:rsidR="00DE2FA3" w:rsidRPr="001F224B" w:rsidRDefault="00DE2FA3" w:rsidP="00DE2FA3">
            <w:pPr>
              <w:rPr>
                <w:color w:val="000000"/>
                <w:sz w:val="20"/>
                <w:szCs w:val="20"/>
              </w:rPr>
            </w:pPr>
            <w:r w:rsidRPr="001F224B">
              <w:rPr>
                <w:color w:val="000000"/>
                <w:sz w:val="20"/>
                <w:szCs w:val="20"/>
              </w:rPr>
              <w:t>4</w:t>
            </w:r>
          </w:p>
        </w:tc>
        <w:tc>
          <w:tcPr>
            <w:tcW w:w="8036" w:type="dxa"/>
            <w:tcBorders>
              <w:left w:val="nil"/>
            </w:tcBorders>
            <w:noWrap/>
            <w:vAlign w:val="bottom"/>
            <w:hideMark/>
          </w:tcPr>
          <w:p w14:paraId="46F50F48" w14:textId="77777777" w:rsidR="00DE2FA3" w:rsidRPr="001F224B" w:rsidRDefault="00DE2FA3" w:rsidP="00DE2FA3">
            <w:pPr>
              <w:rPr>
                <w:color w:val="000000"/>
                <w:sz w:val="20"/>
                <w:szCs w:val="20"/>
              </w:rPr>
            </w:pPr>
            <w:r w:rsidRPr="001F224B">
              <w:rPr>
                <w:color w:val="000000"/>
                <w:sz w:val="20"/>
                <w:szCs w:val="20"/>
              </w:rPr>
              <w:t>Aktiften silinen tutarlar</w:t>
            </w:r>
          </w:p>
        </w:tc>
        <w:tc>
          <w:tcPr>
            <w:tcW w:w="1601" w:type="dxa"/>
            <w:shd w:val="clear" w:color="auto" w:fill="FFFFFF"/>
            <w:noWrap/>
            <w:vAlign w:val="bottom"/>
            <w:hideMark/>
          </w:tcPr>
          <w:p w14:paraId="42580816" w14:textId="36C82A3C" w:rsidR="00DE2FA3" w:rsidRPr="001F224B" w:rsidRDefault="00DE2FA3" w:rsidP="00DE2FA3">
            <w:pPr>
              <w:jc w:val="right"/>
              <w:rPr>
                <w:b/>
                <w:bCs/>
                <w:sz w:val="20"/>
                <w:szCs w:val="20"/>
              </w:rPr>
            </w:pPr>
            <w:r w:rsidRPr="001F224B">
              <w:rPr>
                <w:color w:val="000000"/>
                <w:sz w:val="20"/>
                <w:szCs w:val="20"/>
              </w:rPr>
              <w:t>-</w:t>
            </w:r>
          </w:p>
        </w:tc>
      </w:tr>
      <w:tr w:rsidR="00DE2FA3" w:rsidRPr="001F224B" w14:paraId="12A080B3" w14:textId="77777777" w:rsidTr="00001A93">
        <w:trPr>
          <w:trHeight w:val="279"/>
        </w:trPr>
        <w:tc>
          <w:tcPr>
            <w:tcW w:w="266" w:type="dxa"/>
            <w:tcBorders>
              <w:bottom w:val="single" w:sz="4" w:space="0" w:color="auto"/>
              <w:right w:val="nil"/>
            </w:tcBorders>
            <w:noWrap/>
            <w:vAlign w:val="bottom"/>
            <w:hideMark/>
          </w:tcPr>
          <w:p w14:paraId="607D8DD8" w14:textId="77777777" w:rsidR="00DE2FA3" w:rsidRPr="001F224B" w:rsidRDefault="00DE2FA3" w:rsidP="00DE2FA3">
            <w:pPr>
              <w:rPr>
                <w:color w:val="000000"/>
                <w:sz w:val="20"/>
                <w:szCs w:val="20"/>
              </w:rPr>
            </w:pPr>
            <w:r w:rsidRPr="001F224B">
              <w:rPr>
                <w:color w:val="000000"/>
                <w:sz w:val="20"/>
                <w:szCs w:val="20"/>
              </w:rPr>
              <w:t>5</w:t>
            </w:r>
          </w:p>
        </w:tc>
        <w:tc>
          <w:tcPr>
            <w:tcW w:w="8036" w:type="dxa"/>
            <w:tcBorders>
              <w:left w:val="nil"/>
              <w:bottom w:val="single" w:sz="4" w:space="0" w:color="auto"/>
            </w:tcBorders>
            <w:noWrap/>
            <w:vAlign w:val="bottom"/>
            <w:hideMark/>
          </w:tcPr>
          <w:p w14:paraId="4BB78E3B" w14:textId="77777777" w:rsidR="00DE2FA3" w:rsidRPr="001F224B" w:rsidRDefault="00DE2FA3" w:rsidP="00DE2FA3">
            <w:pPr>
              <w:rPr>
                <w:color w:val="000000"/>
                <w:sz w:val="20"/>
                <w:szCs w:val="20"/>
              </w:rPr>
            </w:pPr>
            <w:r w:rsidRPr="001F224B">
              <w:rPr>
                <w:color w:val="000000"/>
                <w:sz w:val="20"/>
                <w:szCs w:val="20"/>
              </w:rPr>
              <w:t>Diğer değişimler</w:t>
            </w:r>
          </w:p>
        </w:tc>
        <w:tc>
          <w:tcPr>
            <w:tcW w:w="1601" w:type="dxa"/>
            <w:shd w:val="clear" w:color="auto" w:fill="FFFFFF"/>
            <w:noWrap/>
            <w:vAlign w:val="bottom"/>
            <w:hideMark/>
          </w:tcPr>
          <w:p w14:paraId="5BD84373" w14:textId="4C609F78" w:rsidR="00DE2FA3" w:rsidRPr="001F224B" w:rsidRDefault="00DE2FA3" w:rsidP="00DE2FA3">
            <w:pPr>
              <w:jc w:val="right"/>
              <w:rPr>
                <w:b/>
                <w:bCs/>
                <w:sz w:val="20"/>
                <w:szCs w:val="20"/>
              </w:rPr>
            </w:pPr>
            <w:r w:rsidRPr="001F224B">
              <w:rPr>
                <w:color w:val="000000"/>
                <w:sz w:val="20"/>
                <w:szCs w:val="20"/>
              </w:rPr>
              <w:t>(142.506)</w:t>
            </w:r>
          </w:p>
        </w:tc>
      </w:tr>
      <w:tr w:rsidR="00DE2FA3" w:rsidRPr="001F224B" w14:paraId="04220496" w14:textId="77777777" w:rsidTr="00001A93">
        <w:trPr>
          <w:trHeight w:val="279"/>
        </w:trPr>
        <w:tc>
          <w:tcPr>
            <w:tcW w:w="266" w:type="dxa"/>
            <w:tcBorders>
              <w:bottom w:val="single" w:sz="4" w:space="0" w:color="auto"/>
              <w:right w:val="nil"/>
            </w:tcBorders>
            <w:noWrap/>
            <w:vAlign w:val="bottom"/>
            <w:hideMark/>
          </w:tcPr>
          <w:p w14:paraId="32761869" w14:textId="77777777" w:rsidR="00DE2FA3" w:rsidRPr="001F224B" w:rsidRDefault="00DE2FA3" w:rsidP="00DE2FA3">
            <w:pPr>
              <w:rPr>
                <w:color w:val="000000"/>
                <w:sz w:val="20"/>
                <w:szCs w:val="20"/>
              </w:rPr>
            </w:pPr>
            <w:r w:rsidRPr="001F224B">
              <w:rPr>
                <w:color w:val="000000"/>
                <w:sz w:val="20"/>
                <w:szCs w:val="20"/>
              </w:rPr>
              <w:t>6</w:t>
            </w:r>
          </w:p>
        </w:tc>
        <w:tc>
          <w:tcPr>
            <w:tcW w:w="8036" w:type="dxa"/>
            <w:tcBorders>
              <w:left w:val="nil"/>
              <w:bottom w:val="single" w:sz="4" w:space="0" w:color="auto"/>
            </w:tcBorders>
            <w:noWrap/>
            <w:vAlign w:val="bottom"/>
            <w:hideMark/>
          </w:tcPr>
          <w:p w14:paraId="779355A0" w14:textId="77777777" w:rsidR="00DE2FA3" w:rsidRPr="001F224B" w:rsidRDefault="00DE2FA3" w:rsidP="00DE2FA3">
            <w:pPr>
              <w:rPr>
                <w:color w:val="000000"/>
                <w:sz w:val="20"/>
                <w:szCs w:val="20"/>
              </w:rPr>
            </w:pPr>
            <w:r w:rsidRPr="001F224B">
              <w:rPr>
                <w:color w:val="000000"/>
                <w:sz w:val="20"/>
                <w:szCs w:val="20"/>
              </w:rPr>
              <w:t>Raporlama dönemi sonundaki temerrüt etmiş krediler ve borçlanma araçları tutarı (1+2-3-4+-5)</w:t>
            </w:r>
          </w:p>
        </w:tc>
        <w:tc>
          <w:tcPr>
            <w:tcW w:w="1601" w:type="dxa"/>
            <w:noWrap/>
            <w:vAlign w:val="bottom"/>
            <w:hideMark/>
          </w:tcPr>
          <w:p w14:paraId="6A48C106" w14:textId="78457F73" w:rsidR="00DE2FA3" w:rsidRPr="001F224B" w:rsidRDefault="00DE2FA3" w:rsidP="00DE2FA3">
            <w:pPr>
              <w:jc w:val="right"/>
              <w:rPr>
                <w:color w:val="000000"/>
                <w:sz w:val="20"/>
                <w:szCs w:val="20"/>
              </w:rPr>
            </w:pPr>
            <w:r w:rsidRPr="001F224B">
              <w:rPr>
                <w:color w:val="000000"/>
                <w:sz w:val="20"/>
                <w:szCs w:val="20"/>
              </w:rPr>
              <w:t>732.750</w:t>
            </w:r>
          </w:p>
        </w:tc>
      </w:tr>
    </w:tbl>
    <w:p w14:paraId="28169635" w14:textId="77777777" w:rsidR="00DE2FA3" w:rsidRPr="001F224B" w:rsidRDefault="00DE2FA3" w:rsidP="00DE2FA3">
      <w:pPr>
        <w:rPr>
          <w:b/>
          <w:bCs/>
          <w:sz w:val="22"/>
          <w:szCs w:val="22"/>
        </w:rPr>
      </w:pPr>
    </w:p>
    <w:p w14:paraId="5960D132" w14:textId="77777777" w:rsidR="00DE2FA3" w:rsidRPr="001F224B" w:rsidRDefault="00DE2FA3" w:rsidP="00F64EC3">
      <w:pPr>
        <w:spacing w:line="360" w:lineRule="auto"/>
        <w:rPr>
          <w:b/>
          <w:bCs/>
          <w:sz w:val="22"/>
          <w:szCs w:val="22"/>
        </w:rPr>
      </w:pPr>
    </w:p>
    <w:p w14:paraId="0146CE04" w14:textId="77777777" w:rsidR="002278DB" w:rsidRPr="001F224B" w:rsidRDefault="002278DB" w:rsidP="002278DB">
      <w:pPr>
        <w:pStyle w:val="ListParagraph"/>
        <w:tabs>
          <w:tab w:val="left" w:pos="0"/>
        </w:tabs>
        <w:spacing w:before="120"/>
        <w:ind w:left="0"/>
        <w:rPr>
          <w:b/>
          <w:bCs/>
          <w:sz w:val="22"/>
          <w:szCs w:val="22"/>
        </w:rPr>
      </w:pPr>
      <w:r w:rsidRPr="001F224B">
        <w:rPr>
          <w:b/>
          <w:bCs/>
          <w:sz w:val="22"/>
          <w:szCs w:val="22"/>
        </w:rPr>
        <w:t>DÖRDÜNCÜ BÖLÜM (Devamı)</w:t>
      </w:r>
    </w:p>
    <w:p w14:paraId="145A2255" w14:textId="77777777" w:rsidR="002278DB" w:rsidRPr="001F224B" w:rsidRDefault="002278DB" w:rsidP="002278DB">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60E3D72B" w14:textId="77777777" w:rsidR="002278DB" w:rsidRPr="001F224B" w:rsidRDefault="002278DB" w:rsidP="002278DB">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1FC26C1F" w14:textId="77777777" w:rsidR="002278DB" w:rsidRPr="001F224B" w:rsidRDefault="002278DB" w:rsidP="002278DB">
      <w:pPr>
        <w:jc w:val="both"/>
        <w:rPr>
          <w:b/>
          <w:sz w:val="22"/>
          <w:szCs w:val="22"/>
          <w:lang w:eastAsia="x-none"/>
        </w:rPr>
      </w:pPr>
      <w:r w:rsidRPr="001F224B">
        <w:rPr>
          <w:b/>
          <w:sz w:val="22"/>
          <w:szCs w:val="22"/>
          <w:lang w:eastAsia="x-none"/>
        </w:rPr>
        <w:t>4. Kredi riski azaltım teknikleri - Genel bakış:</w:t>
      </w:r>
    </w:p>
    <w:p w14:paraId="00BA94D1" w14:textId="77777777" w:rsidR="002278DB" w:rsidRPr="001F224B" w:rsidRDefault="002278DB" w:rsidP="002278DB">
      <w:pPr>
        <w:rPr>
          <w:rFonts w:ascii="Calibri" w:eastAsia="Calibri" w:hAnsi="Calibri"/>
          <w:sz w:val="22"/>
          <w:szCs w:val="22"/>
          <w:lang w:eastAsia="en-US"/>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1679"/>
        <w:gridCol w:w="1070"/>
        <w:gridCol w:w="1439"/>
        <w:gridCol w:w="1219"/>
        <w:gridCol w:w="910"/>
        <w:gridCol w:w="1011"/>
        <w:gridCol w:w="860"/>
        <w:gridCol w:w="1011"/>
      </w:tblGrid>
      <w:tr w:rsidR="002278DB" w:rsidRPr="001F224B" w14:paraId="5B292E5C" w14:textId="77777777" w:rsidTr="00001A93">
        <w:trPr>
          <w:trHeight w:val="1150"/>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10EBC835" w14:textId="77777777" w:rsidR="002278DB" w:rsidRPr="001F224B" w:rsidRDefault="002278DB" w:rsidP="00001A93">
            <w:pPr>
              <w:rPr>
                <w:sz w:val="20"/>
                <w:szCs w:val="20"/>
              </w:rPr>
            </w:pPr>
            <w:r w:rsidRPr="001F224B">
              <w:rPr>
                <w:sz w:val="16"/>
                <w:szCs w:val="16"/>
                <w:lang w:eastAsia="x-none"/>
              </w:rPr>
              <w:tab/>
            </w:r>
            <w:r w:rsidRPr="001F224B">
              <w:rPr>
                <w:sz w:val="20"/>
                <w:szCs w:val="20"/>
              </w:rPr>
              <w:t> </w:t>
            </w:r>
          </w:p>
        </w:tc>
        <w:tc>
          <w:tcPr>
            <w:tcW w:w="830" w:type="pct"/>
            <w:tcBorders>
              <w:top w:val="single" w:sz="4" w:space="0" w:color="auto"/>
              <w:left w:val="single" w:sz="4" w:space="0" w:color="auto"/>
              <w:bottom w:val="single" w:sz="4" w:space="0" w:color="auto"/>
              <w:right w:val="single" w:sz="4" w:space="0" w:color="auto"/>
            </w:tcBorders>
            <w:vAlign w:val="center"/>
            <w:hideMark/>
          </w:tcPr>
          <w:p w14:paraId="406C4829" w14:textId="77777777" w:rsidR="002278DB" w:rsidRPr="001F224B" w:rsidRDefault="002278DB" w:rsidP="00001A93">
            <w:pPr>
              <w:jc w:val="center"/>
              <w:rPr>
                <w:b/>
                <w:sz w:val="20"/>
                <w:szCs w:val="20"/>
              </w:rPr>
            </w:pPr>
            <w:r w:rsidRPr="001F224B">
              <w:rPr>
                <w:b/>
                <w:sz w:val="20"/>
                <w:szCs w:val="20"/>
              </w:rPr>
              <w:t>Cari Dönem</w:t>
            </w:r>
          </w:p>
          <w:p w14:paraId="15192700" w14:textId="17F12287" w:rsidR="002278DB" w:rsidRPr="001F224B" w:rsidRDefault="002278DB" w:rsidP="00001A93">
            <w:pPr>
              <w:jc w:val="center"/>
              <w:rPr>
                <w:sz w:val="20"/>
                <w:szCs w:val="20"/>
              </w:rPr>
            </w:pPr>
            <w:r w:rsidRPr="001F224B">
              <w:rPr>
                <w:b/>
                <w:sz w:val="20"/>
                <w:szCs w:val="20"/>
              </w:rPr>
              <w:t>(30.06.2025)</w:t>
            </w:r>
          </w:p>
        </w:tc>
        <w:tc>
          <w:tcPr>
            <w:tcW w:w="529" w:type="pct"/>
            <w:tcBorders>
              <w:top w:val="single" w:sz="4" w:space="0" w:color="auto"/>
              <w:left w:val="single" w:sz="4" w:space="0" w:color="auto"/>
              <w:bottom w:val="single" w:sz="4" w:space="0" w:color="auto"/>
              <w:right w:val="single" w:sz="4" w:space="0" w:color="auto"/>
            </w:tcBorders>
            <w:vAlign w:val="center"/>
            <w:hideMark/>
          </w:tcPr>
          <w:p w14:paraId="00F9DB8F" w14:textId="77777777" w:rsidR="002278DB" w:rsidRPr="001F224B" w:rsidRDefault="002278DB" w:rsidP="00001A93">
            <w:pPr>
              <w:jc w:val="center"/>
              <w:rPr>
                <w:b/>
                <w:color w:val="000000"/>
                <w:sz w:val="18"/>
                <w:szCs w:val="18"/>
              </w:rPr>
            </w:pPr>
            <w:r w:rsidRPr="001F224B">
              <w:rPr>
                <w:b/>
                <w:color w:val="000000"/>
                <w:sz w:val="18"/>
                <w:szCs w:val="18"/>
              </w:rPr>
              <w:t xml:space="preserve">Teminatsız alacaklar: TMS uyarınca değerlenmiş tutar </w:t>
            </w:r>
          </w:p>
        </w:tc>
        <w:tc>
          <w:tcPr>
            <w:tcW w:w="712" w:type="pct"/>
            <w:tcBorders>
              <w:top w:val="single" w:sz="4" w:space="0" w:color="auto"/>
              <w:left w:val="single" w:sz="4" w:space="0" w:color="auto"/>
              <w:bottom w:val="single" w:sz="4" w:space="0" w:color="auto"/>
              <w:right w:val="single" w:sz="4" w:space="0" w:color="auto"/>
            </w:tcBorders>
            <w:vAlign w:val="center"/>
            <w:hideMark/>
          </w:tcPr>
          <w:p w14:paraId="0C68A50A" w14:textId="77777777" w:rsidR="002278DB" w:rsidRPr="001F224B" w:rsidRDefault="002278DB" w:rsidP="00001A93">
            <w:pPr>
              <w:jc w:val="center"/>
              <w:rPr>
                <w:b/>
                <w:color w:val="000000"/>
                <w:sz w:val="18"/>
                <w:szCs w:val="18"/>
              </w:rPr>
            </w:pPr>
            <w:r w:rsidRPr="001F224B">
              <w:rPr>
                <w:b/>
                <w:color w:val="000000"/>
                <w:sz w:val="18"/>
                <w:szCs w:val="18"/>
              </w:rPr>
              <w:t xml:space="preserve"> Teminat ile korunan alacaklar </w:t>
            </w:r>
          </w:p>
        </w:tc>
        <w:tc>
          <w:tcPr>
            <w:tcW w:w="603" w:type="pct"/>
            <w:tcBorders>
              <w:top w:val="single" w:sz="4" w:space="0" w:color="auto"/>
              <w:left w:val="single" w:sz="4" w:space="0" w:color="auto"/>
              <w:bottom w:val="single" w:sz="4" w:space="0" w:color="auto"/>
              <w:right w:val="single" w:sz="4" w:space="0" w:color="auto"/>
            </w:tcBorders>
            <w:vAlign w:val="center"/>
            <w:hideMark/>
          </w:tcPr>
          <w:p w14:paraId="25902AEE" w14:textId="77777777" w:rsidR="002278DB" w:rsidRPr="001F224B" w:rsidRDefault="002278DB" w:rsidP="00001A93">
            <w:pPr>
              <w:jc w:val="center"/>
              <w:rPr>
                <w:b/>
                <w:color w:val="000000"/>
                <w:sz w:val="18"/>
                <w:szCs w:val="18"/>
              </w:rPr>
            </w:pPr>
            <w:r w:rsidRPr="001F224B">
              <w:rPr>
                <w:b/>
                <w:color w:val="000000"/>
                <w:sz w:val="18"/>
                <w:szCs w:val="18"/>
              </w:rPr>
              <w:t xml:space="preserve"> Teminat ile korunan alacakların teminatlı kısımları </w:t>
            </w:r>
          </w:p>
        </w:tc>
        <w:tc>
          <w:tcPr>
            <w:tcW w:w="450" w:type="pct"/>
            <w:tcBorders>
              <w:top w:val="single" w:sz="4" w:space="0" w:color="auto"/>
              <w:left w:val="single" w:sz="4" w:space="0" w:color="auto"/>
              <w:bottom w:val="single" w:sz="4" w:space="0" w:color="auto"/>
              <w:right w:val="single" w:sz="4" w:space="0" w:color="auto"/>
            </w:tcBorders>
            <w:vAlign w:val="center"/>
            <w:hideMark/>
          </w:tcPr>
          <w:p w14:paraId="26CBB794" w14:textId="77777777" w:rsidR="002278DB" w:rsidRPr="001F224B" w:rsidRDefault="002278DB" w:rsidP="00001A93">
            <w:pPr>
              <w:jc w:val="center"/>
              <w:rPr>
                <w:b/>
                <w:color w:val="000000"/>
                <w:sz w:val="18"/>
                <w:szCs w:val="18"/>
              </w:rPr>
            </w:pPr>
            <w:r w:rsidRPr="001F224B">
              <w:rPr>
                <w:b/>
                <w:color w:val="000000"/>
                <w:sz w:val="18"/>
                <w:szCs w:val="18"/>
              </w:rPr>
              <w:t xml:space="preserve"> Finansal garantiler ile korunan alacaklar </w:t>
            </w:r>
          </w:p>
        </w:tc>
        <w:tc>
          <w:tcPr>
            <w:tcW w:w="500" w:type="pct"/>
            <w:tcBorders>
              <w:top w:val="single" w:sz="4" w:space="0" w:color="auto"/>
              <w:left w:val="single" w:sz="4" w:space="0" w:color="auto"/>
              <w:bottom w:val="single" w:sz="4" w:space="0" w:color="auto"/>
              <w:right w:val="single" w:sz="4" w:space="0" w:color="auto"/>
            </w:tcBorders>
            <w:vAlign w:val="center"/>
            <w:hideMark/>
          </w:tcPr>
          <w:p w14:paraId="704E730E" w14:textId="77777777" w:rsidR="002278DB" w:rsidRPr="001F224B" w:rsidRDefault="002278DB" w:rsidP="00001A93">
            <w:pPr>
              <w:jc w:val="center"/>
              <w:rPr>
                <w:b/>
                <w:color w:val="000000"/>
                <w:sz w:val="18"/>
                <w:szCs w:val="18"/>
              </w:rPr>
            </w:pPr>
            <w:r w:rsidRPr="001F224B">
              <w:rPr>
                <w:b/>
                <w:color w:val="000000"/>
                <w:sz w:val="18"/>
                <w:szCs w:val="18"/>
              </w:rPr>
              <w:t xml:space="preserve"> Finansal garantiler ile korunan alacakların teminatlı kısımları </w:t>
            </w:r>
          </w:p>
        </w:tc>
        <w:tc>
          <w:tcPr>
            <w:tcW w:w="425" w:type="pct"/>
            <w:tcBorders>
              <w:top w:val="single" w:sz="4" w:space="0" w:color="auto"/>
              <w:left w:val="single" w:sz="4" w:space="0" w:color="auto"/>
              <w:bottom w:val="single" w:sz="4" w:space="0" w:color="auto"/>
              <w:right w:val="single" w:sz="4" w:space="0" w:color="auto"/>
            </w:tcBorders>
            <w:vAlign w:val="center"/>
            <w:hideMark/>
          </w:tcPr>
          <w:p w14:paraId="0CA0D0D2" w14:textId="77777777" w:rsidR="002278DB" w:rsidRPr="001F224B" w:rsidRDefault="002278DB" w:rsidP="00001A93">
            <w:pPr>
              <w:jc w:val="center"/>
              <w:rPr>
                <w:b/>
                <w:color w:val="000000"/>
                <w:sz w:val="18"/>
                <w:szCs w:val="18"/>
              </w:rPr>
            </w:pPr>
            <w:r w:rsidRPr="001F224B">
              <w:rPr>
                <w:b/>
                <w:color w:val="000000"/>
                <w:sz w:val="18"/>
                <w:szCs w:val="18"/>
              </w:rPr>
              <w:t xml:space="preserve"> Kredi türevleri ile korunan alacaklar </w:t>
            </w:r>
          </w:p>
        </w:tc>
        <w:tc>
          <w:tcPr>
            <w:tcW w:w="500" w:type="pct"/>
            <w:tcBorders>
              <w:top w:val="single" w:sz="4" w:space="0" w:color="auto"/>
              <w:left w:val="single" w:sz="4" w:space="0" w:color="auto"/>
              <w:bottom w:val="single" w:sz="4" w:space="0" w:color="auto"/>
              <w:right w:val="single" w:sz="4" w:space="0" w:color="auto"/>
            </w:tcBorders>
            <w:vAlign w:val="center"/>
            <w:hideMark/>
          </w:tcPr>
          <w:p w14:paraId="1077B360" w14:textId="77777777" w:rsidR="002278DB" w:rsidRPr="001F224B" w:rsidRDefault="002278DB" w:rsidP="00001A93">
            <w:pPr>
              <w:jc w:val="center"/>
              <w:rPr>
                <w:b/>
                <w:color w:val="000000"/>
                <w:sz w:val="18"/>
                <w:szCs w:val="18"/>
              </w:rPr>
            </w:pPr>
            <w:r w:rsidRPr="001F224B">
              <w:rPr>
                <w:b/>
                <w:color w:val="000000"/>
                <w:sz w:val="18"/>
                <w:szCs w:val="18"/>
              </w:rPr>
              <w:t xml:space="preserve">Kredi türevleri ile korunan alacakların teminatlı kısımları </w:t>
            </w:r>
          </w:p>
        </w:tc>
      </w:tr>
      <w:tr w:rsidR="004E57A7" w:rsidRPr="001F224B" w14:paraId="4D54AF25" w14:textId="77777777" w:rsidTr="00001A93">
        <w:trPr>
          <w:trHeight w:val="276"/>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55E45A02" w14:textId="77777777" w:rsidR="004E57A7" w:rsidRPr="001F224B" w:rsidRDefault="004E57A7" w:rsidP="004E57A7">
            <w:pPr>
              <w:rPr>
                <w:color w:val="000000"/>
                <w:sz w:val="20"/>
                <w:szCs w:val="20"/>
              </w:rPr>
            </w:pPr>
            <w:r w:rsidRPr="001F224B">
              <w:rPr>
                <w:color w:val="000000"/>
                <w:sz w:val="20"/>
                <w:szCs w:val="20"/>
              </w:rPr>
              <w:t>1</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345DEFB8" w14:textId="77777777" w:rsidR="004E57A7" w:rsidRPr="001F224B" w:rsidRDefault="004E57A7" w:rsidP="004E57A7">
            <w:pPr>
              <w:rPr>
                <w:color w:val="000000"/>
                <w:sz w:val="20"/>
                <w:szCs w:val="20"/>
              </w:rPr>
            </w:pPr>
            <w:r w:rsidRPr="001F224B">
              <w:rPr>
                <w:color w:val="000000"/>
                <w:sz w:val="20"/>
                <w:szCs w:val="20"/>
              </w:rPr>
              <w:t>Krediler</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12C23C64" w14:textId="2383ECA2" w:rsidR="004E57A7" w:rsidRPr="001F224B" w:rsidRDefault="004E57A7" w:rsidP="004E57A7">
            <w:pPr>
              <w:jc w:val="right"/>
              <w:rPr>
                <w:color w:val="000000"/>
                <w:sz w:val="20"/>
                <w:szCs w:val="20"/>
              </w:rPr>
            </w:pPr>
            <w:r w:rsidRPr="001F224B">
              <w:rPr>
                <w:sz w:val="20"/>
                <w:szCs w:val="20"/>
              </w:rPr>
              <w:t>8.760.263</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409373F0" w14:textId="51B95793" w:rsidR="004E57A7" w:rsidRPr="001F224B" w:rsidRDefault="004E57A7" w:rsidP="004E57A7">
            <w:pPr>
              <w:jc w:val="right"/>
              <w:rPr>
                <w:color w:val="000000"/>
                <w:sz w:val="20"/>
                <w:szCs w:val="20"/>
              </w:rPr>
            </w:pPr>
            <w:r w:rsidRPr="001F224B">
              <w:rPr>
                <w:sz w:val="20"/>
                <w:szCs w:val="20"/>
              </w:rPr>
              <w:t xml:space="preserve">100.019.681  </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73D38D16" w14:textId="77777777" w:rsidR="004E57A7" w:rsidRPr="001F224B" w:rsidRDefault="004E57A7" w:rsidP="004E57A7">
            <w:pPr>
              <w:jc w:val="right"/>
              <w:rPr>
                <w:sz w:val="20"/>
                <w:szCs w:val="20"/>
              </w:rPr>
            </w:pPr>
            <w:r w:rsidRPr="001F224B">
              <w:rPr>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15D86919"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2A44B156"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2853EE22"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36E3698A" w14:textId="77777777" w:rsidR="004E57A7" w:rsidRPr="001F224B" w:rsidRDefault="004E57A7" w:rsidP="004E57A7">
            <w:pPr>
              <w:jc w:val="right"/>
              <w:rPr>
                <w:b/>
                <w:bCs/>
                <w:color w:val="000000"/>
                <w:sz w:val="20"/>
                <w:szCs w:val="20"/>
              </w:rPr>
            </w:pPr>
            <w:r w:rsidRPr="001F224B">
              <w:rPr>
                <w:b/>
                <w:bCs/>
                <w:color w:val="000000"/>
                <w:sz w:val="18"/>
                <w:szCs w:val="18"/>
              </w:rPr>
              <w:t>-</w:t>
            </w:r>
          </w:p>
        </w:tc>
      </w:tr>
      <w:tr w:rsidR="004E57A7" w:rsidRPr="001F224B" w14:paraId="134C6D4D" w14:textId="77777777" w:rsidTr="00001A93">
        <w:trPr>
          <w:trHeight w:val="299"/>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44CFFA61" w14:textId="77777777" w:rsidR="004E57A7" w:rsidRPr="001F224B" w:rsidRDefault="004E57A7" w:rsidP="004E57A7">
            <w:pPr>
              <w:rPr>
                <w:sz w:val="20"/>
                <w:szCs w:val="20"/>
              </w:rPr>
            </w:pPr>
            <w:r w:rsidRPr="001F224B">
              <w:rPr>
                <w:sz w:val="20"/>
                <w:szCs w:val="20"/>
              </w:rPr>
              <w:t>2</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79C53034" w14:textId="77777777" w:rsidR="004E57A7" w:rsidRPr="001F224B" w:rsidRDefault="004E57A7" w:rsidP="004E57A7">
            <w:pPr>
              <w:ind w:right="-208"/>
              <w:rPr>
                <w:color w:val="000000"/>
                <w:sz w:val="20"/>
                <w:szCs w:val="20"/>
              </w:rPr>
            </w:pPr>
            <w:r w:rsidRPr="001F224B">
              <w:rPr>
                <w:color w:val="000000"/>
                <w:sz w:val="20"/>
                <w:szCs w:val="20"/>
              </w:rPr>
              <w:t>Borçlanma araçları</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1CD73A59" w14:textId="0C0AD228" w:rsidR="004E57A7" w:rsidRPr="001F224B" w:rsidRDefault="004E57A7" w:rsidP="004E57A7">
            <w:pPr>
              <w:jc w:val="right"/>
              <w:rPr>
                <w:b/>
                <w:bCs/>
                <w:color w:val="000000"/>
                <w:sz w:val="20"/>
                <w:szCs w:val="20"/>
              </w:rPr>
            </w:pPr>
            <w:r w:rsidRPr="001F224B">
              <w:rPr>
                <w:sz w:val="20"/>
                <w:szCs w:val="20"/>
              </w:rPr>
              <w:t>-</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07E61AC3" w14:textId="584AF932" w:rsidR="004E57A7" w:rsidRPr="001F224B" w:rsidRDefault="004E57A7" w:rsidP="004E57A7">
            <w:pPr>
              <w:jc w:val="right"/>
              <w:rPr>
                <w:color w:val="000000"/>
                <w:sz w:val="20"/>
                <w:szCs w:val="20"/>
              </w:rPr>
            </w:pPr>
            <w:r w:rsidRPr="001F224B">
              <w:rPr>
                <w:sz w:val="20"/>
                <w:szCs w:val="20"/>
              </w:rPr>
              <w:t>38.748.231</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219D67AF" w14:textId="77777777" w:rsidR="004E57A7" w:rsidRPr="001F224B" w:rsidRDefault="004E57A7" w:rsidP="004E57A7">
            <w:pPr>
              <w:jc w:val="right"/>
              <w:rPr>
                <w:sz w:val="20"/>
                <w:szCs w:val="20"/>
              </w:rPr>
            </w:pPr>
            <w:r w:rsidRPr="001F224B">
              <w:rPr>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2E9F6AEF"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34D61BCE"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14F58488"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29EA0EF4" w14:textId="77777777" w:rsidR="004E57A7" w:rsidRPr="001F224B" w:rsidRDefault="004E57A7" w:rsidP="004E57A7">
            <w:pPr>
              <w:jc w:val="right"/>
              <w:rPr>
                <w:b/>
                <w:bCs/>
                <w:color w:val="000000"/>
                <w:sz w:val="20"/>
                <w:szCs w:val="20"/>
              </w:rPr>
            </w:pPr>
            <w:r w:rsidRPr="001F224B">
              <w:rPr>
                <w:b/>
                <w:bCs/>
                <w:color w:val="000000"/>
                <w:sz w:val="18"/>
                <w:szCs w:val="18"/>
              </w:rPr>
              <w:t>-</w:t>
            </w:r>
          </w:p>
        </w:tc>
      </w:tr>
      <w:tr w:rsidR="004E57A7" w:rsidRPr="001F224B" w14:paraId="629E74AB" w14:textId="77777777" w:rsidTr="00001A93">
        <w:trPr>
          <w:trHeight w:val="299"/>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7609E176" w14:textId="77777777" w:rsidR="004E57A7" w:rsidRPr="001F224B" w:rsidRDefault="004E57A7" w:rsidP="004E57A7">
            <w:pPr>
              <w:rPr>
                <w:sz w:val="20"/>
                <w:szCs w:val="20"/>
              </w:rPr>
            </w:pPr>
            <w:r w:rsidRPr="001F224B">
              <w:rPr>
                <w:sz w:val="20"/>
                <w:szCs w:val="20"/>
              </w:rPr>
              <w:t>3</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741B586F" w14:textId="77777777" w:rsidR="004E57A7" w:rsidRPr="001F224B" w:rsidRDefault="004E57A7" w:rsidP="004E57A7">
            <w:pPr>
              <w:rPr>
                <w:b/>
                <w:bCs/>
                <w:color w:val="000000"/>
                <w:sz w:val="20"/>
                <w:szCs w:val="20"/>
              </w:rPr>
            </w:pPr>
            <w:r w:rsidRPr="001F224B">
              <w:rPr>
                <w:b/>
                <w:bCs/>
                <w:color w:val="000000"/>
                <w:sz w:val="20"/>
                <w:szCs w:val="20"/>
              </w:rPr>
              <w:t>Toplam</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581CA22B" w14:textId="6E3B629B" w:rsidR="004E57A7" w:rsidRPr="001F224B" w:rsidRDefault="004E57A7" w:rsidP="004E57A7">
            <w:pPr>
              <w:jc w:val="right"/>
              <w:rPr>
                <w:b/>
                <w:bCs/>
                <w:color w:val="000000"/>
                <w:sz w:val="20"/>
                <w:szCs w:val="20"/>
              </w:rPr>
            </w:pPr>
            <w:r w:rsidRPr="001F224B">
              <w:rPr>
                <w:b/>
                <w:bCs/>
                <w:sz w:val="20"/>
                <w:szCs w:val="20"/>
              </w:rPr>
              <w:t>8.760.263</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5D863199" w14:textId="568F7D69" w:rsidR="004E57A7" w:rsidRPr="001F224B" w:rsidRDefault="004E57A7" w:rsidP="004E57A7">
            <w:pPr>
              <w:jc w:val="right"/>
              <w:rPr>
                <w:b/>
                <w:bCs/>
                <w:color w:val="000000"/>
                <w:sz w:val="20"/>
                <w:szCs w:val="20"/>
              </w:rPr>
            </w:pPr>
            <w:r w:rsidRPr="001F224B">
              <w:rPr>
                <w:b/>
                <w:bCs/>
                <w:sz w:val="20"/>
                <w:szCs w:val="20"/>
              </w:rPr>
              <w:t>138.767.912</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00299C98" w14:textId="77777777" w:rsidR="004E57A7" w:rsidRPr="001F224B" w:rsidRDefault="004E57A7" w:rsidP="004E57A7">
            <w:pPr>
              <w:jc w:val="right"/>
              <w:rPr>
                <w:b/>
                <w:sz w:val="20"/>
                <w:szCs w:val="20"/>
              </w:rPr>
            </w:pPr>
            <w:r w:rsidRPr="001F224B">
              <w:rPr>
                <w:b/>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576916CF"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759CE7C0"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1F73B633"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35218956" w14:textId="77777777" w:rsidR="004E57A7" w:rsidRPr="001F224B" w:rsidRDefault="004E57A7" w:rsidP="004E57A7">
            <w:pPr>
              <w:jc w:val="right"/>
              <w:rPr>
                <w:b/>
                <w:bCs/>
                <w:color w:val="000000"/>
                <w:sz w:val="20"/>
                <w:szCs w:val="20"/>
              </w:rPr>
            </w:pPr>
            <w:r w:rsidRPr="001F224B">
              <w:rPr>
                <w:b/>
                <w:bCs/>
                <w:color w:val="000000"/>
                <w:sz w:val="18"/>
                <w:szCs w:val="18"/>
              </w:rPr>
              <w:t>-</w:t>
            </w:r>
          </w:p>
        </w:tc>
      </w:tr>
      <w:tr w:rsidR="004E57A7" w:rsidRPr="001F224B" w14:paraId="429D3802" w14:textId="77777777" w:rsidTr="00001A93">
        <w:trPr>
          <w:trHeight w:val="299"/>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73EEA872" w14:textId="77777777" w:rsidR="004E57A7" w:rsidRPr="001F224B" w:rsidRDefault="004E57A7" w:rsidP="004E57A7">
            <w:pPr>
              <w:rPr>
                <w:sz w:val="20"/>
                <w:szCs w:val="20"/>
              </w:rPr>
            </w:pPr>
            <w:r w:rsidRPr="001F224B">
              <w:rPr>
                <w:sz w:val="20"/>
                <w:szCs w:val="20"/>
              </w:rPr>
              <w:t>4</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25C125EF" w14:textId="77777777" w:rsidR="004E57A7" w:rsidRPr="001F224B" w:rsidRDefault="004E57A7" w:rsidP="004E57A7">
            <w:pPr>
              <w:rPr>
                <w:color w:val="000000"/>
                <w:sz w:val="20"/>
                <w:szCs w:val="20"/>
              </w:rPr>
            </w:pPr>
            <w:r w:rsidRPr="001F224B">
              <w:rPr>
                <w:color w:val="000000"/>
                <w:sz w:val="20"/>
                <w:szCs w:val="20"/>
              </w:rPr>
              <w:t>Temerrüde düşmüş</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7DD919DD" w14:textId="5F8D2E36" w:rsidR="004E57A7" w:rsidRPr="001F224B" w:rsidRDefault="004E57A7" w:rsidP="004E57A7">
            <w:pPr>
              <w:jc w:val="right"/>
              <w:rPr>
                <w:b/>
                <w:bCs/>
                <w:color w:val="000000"/>
                <w:sz w:val="20"/>
                <w:szCs w:val="20"/>
              </w:rPr>
            </w:pPr>
            <w:r w:rsidRPr="001F224B">
              <w:rPr>
                <w:b/>
                <w:bCs/>
                <w:color w:val="000000"/>
                <w:sz w:val="20"/>
                <w:szCs w:val="20"/>
              </w:rPr>
              <w:t>-</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0CC21D89" w14:textId="23CA1D16" w:rsidR="004E57A7" w:rsidRPr="001F224B" w:rsidRDefault="004E57A7" w:rsidP="004E57A7">
            <w:pPr>
              <w:jc w:val="right"/>
              <w:rPr>
                <w:color w:val="000000"/>
                <w:sz w:val="20"/>
                <w:szCs w:val="20"/>
              </w:rPr>
            </w:pPr>
            <w:r w:rsidRPr="001F224B">
              <w:rPr>
                <w:sz w:val="20"/>
                <w:szCs w:val="20"/>
              </w:rPr>
              <w:t>612.295</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0DF3DA21" w14:textId="77777777" w:rsidR="004E57A7" w:rsidRPr="001F224B" w:rsidRDefault="004E57A7" w:rsidP="004E57A7">
            <w:pPr>
              <w:jc w:val="right"/>
              <w:rPr>
                <w:sz w:val="20"/>
                <w:szCs w:val="20"/>
              </w:rPr>
            </w:pPr>
            <w:r w:rsidRPr="001F224B">
              <w:rPr>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5F03D0CB"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306DED6A"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0439C40B" w14:textId="77777777" w:rsidR="004E57A7" w:rsidRPr="001F224B" w:rsidRDefault="004E57A7" w:rsidP="004E57A7">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372286E1" w14:textId="77777777" w:rsidR="004E57A7" w:rsidRPr="001F224B" w:rsidRDefault="004E57A7" w:rsidP="004E57A7">
            <w:pPr>
              <w:jc w:val="right"/>
              <w:rPr>
                <w:b/>
                <w:bCs/>
                <w:color w:val="000000"/>
                <w:sz w:val="20"/>
                <w:szCs w:val="20"/>
              </w:rPr>
            </w:pPr>
            <w:r w:rsidRPr="001F224B">
              <w:rPr>
                <w:b/>
                <w:bCs/>
                <w:color w:val="000000"/>
                <w:sz w:val="18"/>
                <w:szCs w:val="18"/>
              </w:rPr>
              <w:t>-</w:t>
            </w:r>
          </w:p>
        </w:tc>
      </w:tr>
    </w:tbl>
    <w:p w14:paraId="247A8F80" w14:textId="77777777" w:rsidR="002278DB" w:rsidRPr="001F224B" w:rsidRDefault="002278DB" w:rsidP="002278DB">
      <w:pPr>
        <w:rPr>
          <w:rFonts w:ascii="Calibri" w:eastAsia="Calibri" w:hAnsi="Calibri"/>
          <w:sz w:val="22"/>
          <w:szCs w:val="22"/>
          <w:lang w:eastAsia="en-US"/>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1679"/>
        <w:gridCol w:w="1070"/>
        <w:gridCol w:w="1439"/>
        <w:gridCol w:w="1219"/>
        <w:gridCol w:w="910"/>
        <w:gridCol w:w="1011"/>
        <w:gridCol w:w="860"/>
        <w:gridCol w:w="1011"/>
      </w:tblGrid>
      <w:tr w:rsidR="002278DB" w:rsidRPr="001F224B" w14:paraId="77171B02" w14:textId="77777777" w:rsidTr="00001A93">
        <w:trPr>
          <w:trHeight w:val="1150"/>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0CDFF520" w14:textId="77777777" w:rsidR="002278DB" w:rsidRPr="001F224B" w:rsidRDefault="002278DB" w:rsidP="00001A93">
            <w:pPr>
              <w:rPr>
                <w:sz w:val="20"/>
                <w:szCs w:val="20"/>
              </w:rPr>
            </w:pPr>
            <w:r w:rsidRPr="001F224B">
              <w:rPr>
                <w:sz w:val="16"/>
                <w:szCs w:val="16"/>
                <w:lang w:eastAsia="x-none"/>
              </w:rPr>
              <w:tab/>
            </w:r>
            <w:r w:rsidRPr="001F224B">
              <w:rPr>
                <w:sz w:val="20"/>
                <w:szCs w:val="20"/>
              </w:rPr>
              <w:t> </w:t>
            </w:r>
          </w:p>
        </w:tc>
        <w:tc>
          <w:tcPr>
            <w:tcW w:w="830" w:type="pct"/>
            <w:tcBorders>
              <w:top w:val="single" w:sz="4" w:space="0" w:color="auto"/>
              <w:left w:val="single" w:sz="4" w:space="0" w:color="auto"/>
              <w:bottom w:val="single" w:sz="4" w:space="0" w:color="auto"/>
              <w:right w:val="single" w:sz="4" w:space="0" w:color="auto"/>
            </w:tcBorders>
            <w:vAlign w:val="center"/>
            <w:hideMark/>
          </w:tcPr>
          <w:p w14:paraId="06CB7504" w14:textId="77777777" w:rsidR="002278DB" w:rsidRPr="001F224B" w:rsidRDefault="002278DB" w:rsidP="00001A93">
            <w:pPr>
              <w:jc w:val="center"/>
              <w:rPr>
                <w:b/>
                <w:sz w:val="20"/>
                <w:szCs w:val="20"/>
              </w:rPr>
            </w:pPr>
            <w:r w:rsidRPr="001F224B">
              <w:rPr>
                <w:b/>
                <w:sz w:val="20"/>
                <w:szCs w:val="20"/>
              </w:rPr>
              <w:t>Önceki Dönem</w:t>
            </w:r>
          </w:p>
          <w:p w14:paraId="4654CA42" w14:textId="0D00A3A7" w:rsidR="002278DB" w:rsidRPr="001F224B" w:rsidRDefault="002278DB" w:rsidP="00001A93">
            <w:pPr>
              <w:jc w:val="center"/>
              <w:rPr>
                <w:sz w:val="20"/>
                <w:szCs w:val="20"/>
              </w:rPr>
            </w:pPr>
            <w:r w:rsidRPr="001F224B">
              <w:rPr>
                <w:b/>
                <w:sz w:val="20"/>
                <w:szCs w:val="20"/>
              </w:rPr>
              <w:t>(31.12.2024)</w:t>
            </w:r>
          </w:p>
        </w:tc>
        <w:tc>
          <w:tcPr>
            <w:tcW w:w="529" w:type="pct"/>
            <w:tcBorders>
              <w:top w:val="single" w:sz="4" w:space="0" w:color="auto"/>
              <w:left w:val="single" w:sz="4" w:space="0" w:color="auto"/>
              <w:bottom w:val="single" w:sz="4" w:space="0" w:color="auto"/>
              <w:right w:val="single" w:sz="4" w:space="0" w:color="auto"/>
            </w:tcBorders>
            <w:vAlign w:val="center"/>
            <w:hideMark/>
          </w:tcPr>
          <w:p w14:paraId="3DE01B78" w14:textId="77777777" w:rsidR="002278DB" w:rsidRPr="001F224B" w:rsidRDefault="002278DB" w:rsidP="00001A93">
            <w:pPr>
              <w:jc w:val="center"/>
              <w:rPr>
                <w:b/>
                <w:color w:val="000000"/>
                <w:sz w:val="18"/>
                <w:szCs w:val="18"/>
              </w:rPr>
            </w:pPr>
            <w:r w:rsidRPr="001F224B">
              <w:rPr>
                <w:b/>
                <w:color w:val="000000"/>
                <w:sz w:val="18"/>
                <w:szCs w:val="18"/>
              </w:rPr>
              <w:t xml:space="preserve">Teminatsız alacaklar: TMS uyarınca değerlenmiş tutar </w:t>
            </w:r>
          </w:p>
        </w:tc>
        <w:tc>
          <w:tcPr>
            <w:tcW w:w="712" w:type="pct"/>
            <w:tcBorders>
              <w:top w:val="single" w:sz="4" w:space="0" w:color="auto"/>
              <w:left w:val="single" w:sz="4" w:space="0" w:color="auto"/>
              <w:bottom w:val="single" w:sz="4" w:space="0" w:color="auto"/>
              <w:right w:val="single" w:sz="4" w:space="0" w:color="auto"/>
            </w:tcBorders>
            <w:vAlign w:val="center"/>
            <w:hideMark/>
          </w:tcPr>
          <w:p w14:paraId="598AAE19" w14:textId="77777777" w:rsidR="002278DB" w:rsidRPr="001F224B" w:rsidRDefault="002278DB" w:rsidP="00001A93">
            <w:pPr>
              <w:jc w:val="center"/>
              <w:rPr>
                <w:b/>
                <w:color w:val="000000"/>
                <w:sz w:val="18"/>
                <w:szCs w:val="18"/>
              </w:rPr>
            </w:pPr>
            <w:r w:rsidRPr="001F224B">
              <w:rPr>
                <w:b/>
                <w:color w:val="000000"/>
                <w:sz w:val="18"/>
                <w:szCs w:val="18"/>
              </w:rPr>
              <w:t xml:space="preserve"> Teminat ile korunan alacaklar </w:t>
            </w:r>
          </w:p>
        </w:tc>
        <w:tc>
          <w:tcPr>
            <w:tcW w:w="603" w:type="pct"/>
            <w:tcBorders>
              <w:top w:val="single" w:sz="4" w:space="0" w:color="auto"/>
              <w:left w:val="single" w:sz="4" w:space="0" w:color="auto"/>
              <w:bottom w:val="single" w:sz="4" w:space="0" w:color="auto"/>
              <w:right w:val="single" w:sz="4" w:space="0" w:color="auto"/>
            </w:tcBorders>
            <w:vAlign w:val="center"/>
            <w:hideMark/>
          </w:tcPr>
          <w:p w14:paraId="3845D750" w14:textId="77777777" w:rsidR="002278DB" w:rsidRPr="001F224B" w:rsidRDefault="002278DB" w:rsidP="00001A93">
            <w:pPr>
              <w:jc w:val="center"/>
              <w:rPr>
                <w:b/>
                <w:color w:val="000000"/>
                <w:sz w:val="18"/>
                <w:szCs w:val="18"/>
              </w:rPr>
            </w:pPr>
            <w:r w:rsidRPr="001F224B">
              <w:rPr>
                <w:b/>
                <w:color w:val="000000"/>
                <w:sz w:val="18"/>
                <w:szCs w:val="18"/>
              </w:rPr>
              <w:t xml:space="preserve"> Teminat ile korunan alacakların teminatlı kısımları </w:t>
            </w:r>
          </w:p>
        </w:tc>
        <w:tc>
          <w:tcPr>
            <w:tcW w:w="450" w:type="pct"/>
            <w:tcBorders>
              <w:top w:val="single" w:sz="4" w:space="0" w:color="auto"/>
              <w:left w:val="single" w:sz="4" w:space="0" w:color="auto"/>
              <w:bottom w:val="single" w:sz="4" w:space="0" w:color="auto"/>
              <w:right w:val="single" w:sz="4" w:space="0" w:color="auto"/>
            </w:tcBorders>
            <w:vAlign w:val="center"/>
            <w:hideMark/>
          </w:tcPr>
          <w:p w14:paraId="6A61F6EB" w14:textId="77777777" w:rsidR="002278DB" w:rsidRPr="001F224B" w:rsidRDefault="002278DB" w:rsidP="00001A93">
            <w:pPr>
              <w:jc w:val="center"/>
              <w:rPr>
                <w:b/>
                <w:color w:val="000000"/>
                <w:sz w:val="18"/>
                <w:szCs w:val="18"/>
              </w:rPr>
            </w:pPr>
            <w:r w:rsidRPr="001F224B">
              <w:rPr>
                <w:b/>
                <w:color w:val="000000"/>
                <w:sz w:val="18"/>
                <w:szCs w:val="18"/>
              </w:rPr>
              <w:t xml:space="preserve"> Finansal garantiler ile korunan alacaklar </w:t>
            </w:r>
          </w:p>
        </w:tc>
        <w:tc>
          <w:tcPr>
            <w:tcW w:w="500" w:type="pct"/>
            <w:tcBorders>
              <w:top w:val="single" w:sz="4" w:space="0" w:color="auto"/>
              <w:left w:val="single" w:sz="4" w:space="0" w:color="auto"/>
              <w:bottom w:val="single" w:sz="4" w:space="0" w:color="auto"/>
              <w:right w:val="single" w:sz="4" w:space="0" w:color="auto"/>
            </w:tcBorders>
            <w:vAlign w:val="center"/>
            <w:hideMark/>
          </w:tcPr>
          <w:p w14:paraId="4B4A93ED" w14:textId="77777777" w:rsidR="002278DB" w:rsidRPr="001F224B" w:rsidRDefault="002278DB" w:rsidP="00001A93">
            <w:pPr>
              <w:jc w:val="center"/>
              <w:rPr>
                <w:b/>
                <w:color w:val="000000"/>
                <w:sz w:val="18"/>
                <w:szCs w:val="18"/>
              </w:rPr>
            </w:pPr>
            <w:r w:rsidRPr="001F224B">
              <w:rPr>
                <w:b/>
                <w:color w:val="000000"/>
                <w:sz w:val="18"/>
                <w:szCs w:val="18"/>
              </w:rPr>
              <w:t xml:space="preserve"> Finansal garantiler ile korunan alacakların teminatlı kısımları </w:t>
            </w:r>
          </w:p>
        </w:tc>
        <w:tc>
          <w:tcPr>
            <w:tcW w:w="425" w:type="pct"/>
            <w:tcBorders>
              <w:top w:val="single" w:sz="4" w:space="0" w:color="auto"/>
              <w:left w:val="single" w:sz="4" w:space="0" w:color="auto"/>
              <w:bottom w:val="single" w:sz="4" w:space="0" w:color="auto"/>
              <w:right w:val="single" w:sz="4" w:space="0" w:color="auto"/>
            </w:tcBorders>
            <w:vAlign w:val="center"/>
            <w:hideMark/>
          </w:tcPr>
          <w:p w14:paraId="0719BCEC" w14:textId="77777777" w:rsidR="002278DB" w:rsidRPr="001F224B" w:rsidRDefault="002278DB" w:rsidP="00001A93">
            <w:pPr>
              <w:jc w:val="center"/>
              <w:rPr>
                <w:b/>
                <w:color w:val="000000"/>
                <w:sz w:val="18"/>
                <w:szCs w:val="18"/>
              </w:rPr>
            </w:pPr>
            <w:r w:rsidRPr="001F224B">
              <w:rPr>
                <w:b/>
                <w:color w:val="000000"/>
                <w:sz w:val="18"/>
                <w:szCs w:val="18"/>
              </w:rPr>
              <w:t xml:space="preserve"> Kredi türevleri ile korunan alacaklar </w:t>
            </w:r>
          </w:p>
        </w:tc>
        <w:tc>
          <w:tcPr>
            <w:tcW w:w="500" w:type="pct"/>
            <w:tcBorders>
              <w:top w:val="single" w:sz="4" w:space="0" w:color="auto"/>
              <w:left w:val="single" w:sz="4" w:space="0" w:color="auto"/>
              <w:bottom w:val="single" w:sz="4" w:space="0" w:color="auto"/>
              <w:right w:val="single" w:sz="4" w:space="0" w:color="auto"/>
            </w:tcBorders>
            <w:vAlign w:val="center"/>
            <w:hideMark/>
          </w:tcPr>
          <w:p w14:paraId="01716AB4" w14:textId="77777777" w:rsidR="002278DB" w:rsidRPr="001F224B" w:rsidRDefault="002278DB" w:rsidP="00001A93">
            <w:pPr>
              <w:jc w:val="center"/>
              <w:rPr>
                <w:b/>
                <w:color w:val="000000"/>
                <w:sz w:val="18"/>
                <w:szCs w:val="18"/>
              </w:rPr>
            </w:pPr>
            <w:r w:rsidRPr="001F224B">
              <w:rPr>
                <w:b/>
                <w:color w:val="000000"/>
                <w:sz w:val="18"/>
                <w:szCs w:val="18"/>
              </w:rPr>
              <w:t xml:space="preserve">Kredi türevleri ile korunan alacakların teminatlı kısımları </w:t>
            </w:r>
          </w:p>
        </w:tc>
      </w:tr>
      <w:tr w:rsidR="002278DB" w:rsidRPr="001F224B" w14:paraId="451711B5" w14:textId="77777777" w:rsidTr="00001A93">
        <w:trPr>
          <w:trHeight w:val="276"/>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4C740E98" w14:textId="77777777" w:rsidR="002278DB" w:rsidRPr="001F224B" w:rsidRDefault="002278DB" w:rsidP="002278DB">
            <w:pPr>
              <w:rPr>
                <w:color w:val="000000"/>
                <w:sz w:val="20"/>
                <w:szCs w:val="20"/>
              </w:rPr>
            </w:pPr>
            <w:r w:rsidRPr="001F224B">
              <w:rPr>
                <w:color w:val="000000"/>
                <w:sz w:val="20"/>
                <w:szCs w:val="20"/>
              </w:rPr>
              <w:t>1</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1B60ADC5" w14:textId="77777777" w:rsidR="002278DB" w:rsidRPr="001F224B" w:rsidRDefault="002278DB" w:rsidP="002278DB">
            <w:pPr>
              <w:rPr>
                <w:color w:val="000000"/>
                <w:sz w:val="20"/>
                <w:szCs w:val="20"/>
              </w:rPr>
            </w:pPr>
            <w:r w:rsidRPr="001F224B">
              <w:rPr>
                <w:color w:val="000000"/>
                <w:sz w:val="20"/>
                <w:szCs w:val="20"/>
              </w:rPr>
              <w:t>Krediler</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66F71C28" w14:textId="2A59B89F" w:rsidR="002278DB" w:rsidRPr="001F224B" w:rsidRDefault="002278DB" w:rsidP="002278DB">
            <w:pPr>
              <w:jc w:val="right"/>
              <w:rPr>
                <w:color w:val="000000"/>
                <w:sz w:val="20"/>
                <w:szCs w:val="20"/>
              </w:rPr>
            </w:pPr>
            <w:r w:rsidRPr="001F224B">
              <w:rPr>
                <w:color w:val="000000"/>
                <w:sz w:val="20"/>
                <w:szCs w:val="20"/>
              </w:rPr>
              <w:t>6.306.135</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31001036" w14:textId="2B6339AB" w:rsidR="002278DB" w:rsidRPr="001F224B" w:rsidRDefault="002278DB" w:rsidP="002278DB">
            <w:pPr>
              <w:jc w:val="right"/>
              <w:rPr>
                <w:color w:val="000000"/>
                <w:sz w:val="20"/>
                <w:szCs w:val="20"/>
              </w:rPr>
            </w:pPr>
            <w:r w:rsidRPr="001F224B">
              <w:rPr>
                <w:color w:val="000000"/>
                <w:sz w:val="20"/>
                <w:szCs w:val="20"/>
              </w:rPr>
              <w:t>88.506.699</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6A7AADBF" w14:textId="01F140AA" w:rsidR="002278DB" w:rsidRPr="001F224B" w:rsidRDefault="002278DB" w:rsidP="002278DB">
            <w:pPr>
              <w:jc w:val="right"/>
              <w:rPr>
                <w:sz w:val="20"/>
                <w:szCs w:val="20"/>
              </w:rPr>
            </w:pPr>
            <w:r w:rsidRPr="001F224B">
              <w:rPr>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7F68792F" w14:textId="027BE8F0" w:rsidR="002278DB" w:rsidRPr="001F224B" w:rsidRDefault="002278DB" w:rsidP="002278DB">
            <w:pPr>
              <w:jc w:val="right"/>
              <w:rPr>
                <w:b/>
                <w:bCs/>
                <w:color w:val="000000"/>
                <w:sz w:val="20"/>
                <w:szCs w:val="20"/>
              </w:rPr>
            </w:pPr>
            <w:r w:rsidRPr="001F224B">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65FE097E" w14:textId="380C132E" w:rsidR="002278DB" w:rsidRPr="001F224B" w:rsidRDefault="002278DB" w:rsidP="002278DB">
            <w:pPr>
              <w:jc w:val="right"/>
              <w:rPr>
                <w:b/>
                <w:bCs/>
                <w:color w:val="000000"/>
                <w:sz w:val="20"/>
                <w:szCs w:val="20"/>
              </w:rPr>
            </w:pPr>
            <w:r w:rsidRPr="001F224B">
              <w:rPr>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5DBF05B5" w14:textId="73F63294" w:rsidR="002278DB" w:rsidRPr="001F224B" w:rsidRDefault="002278DB" w:rsidP="002278DB">
            <w:pPr>
              <w:jc w:val="right"/>
              <w:rPr>
                <w:b/>
                <w:bCs/>
                <w:color w:val="000000"/>
                <w:sz w:val="20"/>
                <w:szCs w:val="20"/>
              </w:rPr>
            </w:pPr>
            <w:r w:rsidRPr="001F224B">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044ACFEB" w14:textId="4B888628" w:rsidR="002278DB" w:rsidRPr="001F224B" w:rsidRDefault="002278DB" w:rsidP="002278DB">
            <w:pPr>
              <w:jc w:val="right"/>
              <w:rPr>
                <w:b/>
                <w:bCs/>
                <w:color w:val="000000"/>
                <w:sz w:val="20"/>
                <w:szCs w:val="20"/>
              </w:rPr>
            </w:pPr>
            <w:r w:rsidRPr="001F224B">
              <w:rPr>
                <w:color w:val="000000"/>
                <w:sz w:val="18"/>
                <w:szCs w:val="18"/>
              </w:rPr>
              <w:t>-</w:t>
            </w:r>
          </w:p>
        </w:tc>
      </w:tr>
      <w:tr w:rsidR="002278DB" w:rsidRPr="001F224B" w14:paraId="763373C0" w14:textId="77777777" w:rsidTr="00001A93">
        <w:trPr>
          <w:trHeight w:val="299"/>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210F3475" w14:textId="77777777" w:rsidR="002278DB" w:rsidRPr="001F224B" w:rsidRDefault="002278DB" w:rsidP="002278DB">
            <w:pPr>
              <w:rPr>
                <w:sz w:val="20"/>
                <w:szCs w:val="20"/>
              </w:rPr>
            </w:pPr>
            <w:r w:rsidRPr="001F224B">
              <w:rPr>
                <w:sz w:val="20"/>
                <w:szCs w:val="20"/>
              </w:rPr>
              <w:t>2</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5F5C2EF7" w14:textId="77777777" w:rsidR="002278DB" w:rsidRPr="001F224B" w:rsidRDefault="002278DB" w:rsidP="002278DB">
            <w:pPr>
              <w:ind w:right="-208"/>
              <w:rPr>
                <w:color w:val="000000"/>
                <w:sz w:val="20"/>
                <w:szCs w:val="20"/>
              </w:rPr>
            </w:pPr>
            <w:r w:rsidRPr="001F224B">
              <w:rPr>
                <w:color w:val="000000"/>
                <w:sz w:val="20"/>
                <w:szCs w:val="20"/>
              </w:rPr>
              <w:t>Borçlanma araçları</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6E8297FD" w14:textId="4ED26B50" w:rsidR="002278DB" w:rsidRPr="001F224B" w:rsidRDefault="002278DB" w:rsidP="002278DB">
            <w:pPr>
              <w:jc w:val="right"/>
              <w:rPr>
                <w:b/>
                <w:bCs/>
                <w:color w:val="000000"/>
                <w:sz w:val="20"/>
                <w:szCs w:val="20"/>
              </w:rPr>
            </w:pPr>
            <w:r w:rsidRPr="001F224B">
              <w:rPr>
                <w:color w:val="000000"/>
                <w:sz w:val="20"/>
                <w:szCs w:val="20"/>
              </w:rPr>
              <w:t>-</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230DB215" w14:textId="37616BBC" w:rsidR="002278DB" w:rsidRPr="001F224B" w:rsidRDefault="002278DB" w:rsidP="002278DB">
            <w:pPr>
              <w:jc w:val="right"/>
              <w:rPr>
                <w:color w:val="000000"/>
                <w:sz w:val="20"/>
                <w:szCs w:val="20"/>
              </w:rPr>
            </w:pPr>
            <w:r w:rsidRPr="001F224B">
              <w:rPr>
                <w:color w:val="000000"/>
                <w:sz w:val="20"/>
                <w:szCs w:val="20"/>
              </w:rPr>
              <w:t>35.920.579</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5F759C21" w14:textId="48C16AC5" w:rsidR="002278DB" w:rsidRPr="001F224B" w:rsidRDefault="002278DB" w:rsidP="002278DB">
            <w:pPr>
              <w:jc w:val="right"/>
              <w:rPr>
                <w:sz w:val="20"/>
                <w:szCs w:val="20"/>
              </w:rPr>
            </w:pPr>
            <w:r w:rsidRPr="001F224B">
              <w:rPr>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3DF38949" w14:textId="46CFCC66" w:rsidR="002278DB" w:rsidRPr="001F224B" w:rsidRDefault="002278DB" w:rsidP="002278DB">
            <w:pPr>
              <w:jc w:val="right"/>
              <w:rPr>
                <w:b/>
                <w:bCs/>
                <w:color w:val="000000"/>
                <w:sz w:val="20"/>
                <w:szCs w:val="20"/>
              </w:rPr>
            </w:pPr>
            <w:r w:rsidRPr="001F224B">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42E6938E" w14:textId="58422858" w:rsidR="002278DB" w:rsidRPr="001F224B" w:rsidRDefault="002278DB" w:rsidP="002278DB">
            <w:pPr>
              <w:jc w:val="right"/>
              <w:rPr>
                <w:b/>
                <w:bCs/>
                <w:color w:val="000000"/>
                <w:sz w:val="20"/>
                <w:szCs w:val="20"/>
              </w:rPr>
            </w:pPr>
            <w:r w:rsidRPr="001F224B">
              <w:rPr>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22B786DB" w14:textId="4FA69EE2" w:rsidR="002278DB" w:rsidRPr="001F224B" w:rsidRDefault="002278DB" w:rsidP="002278DB">
            <w:pPr>
              <w:jc w:val="right"/>
              <w:rPr>
                <w:b/>
                <w:bCs/>
                <w:color w:val="000000"/>
                <w:sz w:val="20"/>
                <w:szCs w:val="20"/>
              </w:rPr>
            </w:pPr>
            <w:r w:rsidRPr="001F224B">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75BD31FB" w14:textId="5A5266A2" w:rsidR="002278DB" w:rsidRPr="001F224B" w:rsidRDefault="002278DB" w:rsidP="002278DB">
            <w:pPr>
              <w:jc w:val="right"/>
              <w:rPr>
                <w:b/>
                <w:bCs/>
                <w:color w:val="000000"/>
                <w:sz w:val="20"/>
                <w:szCs w:val="20"/>
              </w:rPr>
            </w:pPr>
            <w:r w:rsidRPr="001F224B">
              <w:rPr>
                <w:color w:val="000000"/>
                <w:sz w:val="18"/>
                <w:szCs w:val="18"/>
              </w:rPr>
              <w:t>-</w:t>
            </w:r>
          </w:p>
        </w:tc>
      </w:tr>
      <w:tr w:rsidR="002278DB" w:rsidRPr="001F224B" w14:paraId="51ED4202" w14:textId="77777777" w:rsidTr="00001A93">
        <w:trPr>
          <w:trHeight w:val="299"/>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2EEC7979" w14:textId="77777777" w:rsidR="002278DB" w:rsidRPr="001F224B" w:rsidRDefault="002278DB" w:rsidP="002278DB">
            <w:pPr>
              <w:rPr>
                <w:sz w:val="20"/>
                <w:szCs w:val="20"/>
              </w:rPr>
            </w:pPr>
            <w:r w:rsidRPr="001F224B">
              <w:rPr>
                <w:sz w:val="20"/>
                <w:szCs w:val="20"/>
              </w:rPr>
              <w:t>3</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40FCE003" w14:textId="77777777" w:rsidR="002278DB" w:rsidRPr="001F224B" w:rsidRDefault="002278DB" w:rsidP="002278DB">
            <w:pPr>
              <w:rPr>
                <w:b/>
                <w:bCs/>
                <w:color w:val="000000"/>
                <w:sz w:val="20"/>
                <w:szCs w:val="20"/>
              </w:rPr>
            </w:pPr>
            <w:r w:rsidRPr="001F224B">
              <w:rPr>
                <w:b/>
                <w:bCs/>
                <w:color w:val="000000"/>
                <w:sz w:val="20"/>
                <w:szCs w:val="20"/>
              </w:rPr>
              <w:t>Toplam</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402AB0C0" w14:textId="5691B4E2" w:rsidR="002278DB" w:rsidRPr="001F224B" w:rsidRDefault="002278DB" w:rsidP="002278DB">
            <w:pPr>
              <w:jc w:val="right"/>
              <w:rPr>
                <w:b/>
                <w:bCs/>
                <w:color w:val="000000"/>
                <w:sz w:val="20"/>
                <w:szCs w:val="20"/>
              </w:rPr>
            </w:pPr>
            <w:r w:rsidRPr="001F224B">
              <w:rPr>
                <w:b/>
                <w:bCs/>
                <w:color w:val="000000"/>
                <w:sz w:val="20"/>
                <w:szCs w:val="20"/>
              </w:rPr>
              <w:t>6.306.135</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40CB918A" w14:textId="41783465" w:rsidR="002278DB" w:rsidRPr="001F224B" w:rsidRDefault="002278DB" w:rsidP="002278DB">
            <w:pPr>
              <w:jc w:val="right"/>
              <w:rPr>
                <w:b/>
                <w:bCs/>
                <w:color w:val="000000"/>
                <w:sz w:val="20"/>
                <w:szCs w:val="20"/>
              </w:rPr>
            </w:pPr>
            <w:r w:rsidRPr="001F224B">
              <w:rPr>
                <w:b/>
                <w:bCs/>
                <w:color w:val="000000"/>
                <w:sz w:val="20"/>
                <w:szCs w:val="20"/>
              </w:rPr>
              <w:t>124.427.278</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5C9B222A" w14:textId="0C75DEB9" w:rsidR="002278DB" w:rsidRPr="001F224B" w:rsidRDefault="002278DB" w:rsidP="002278DB">
            <w:pPr>
              <w:jc w:val="right"/>
              <w:rPr>
                <w:b/>
                <w:sz w:val="20"/>
                <w:szCs w:val="20"/>
              </w:rPr>
            </w:pPr>
            <w:r w:rsidRPr="001F224B">
              <w:rPr>
                <w:b/>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467A8697" w14:textId="6655AC01" w:rsidR="002278DB" w:rsidRPr="001F224B" w:rsidRDefault="002278DB" w:rsidP="002278DB">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658A26D2" w14:textId="4F322D55" w:rsidR="002278DB" w:rsidRPr="001F224B" w:rsidRDefault="002278DB" w:rsidP="002278DB">
            <w:pPr>
              <w:jc w:val="right"/>
              <w:rPr>
                <w:b/>
                <w:bCs/>
                <w:color w:val="000000"/>
                <w:sz w:val="20"/>
                <w:szCs w:val="20"/>
              </w:rPr>
            </w:pPr>
            <w:r w:rsidRPr="001F224B">
              <w:rPr>
                <w:b/>
                <w:bCs/>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00002993" w14:textId="0B1FC57D" w:rsidR="002278DB" w:rsidRPr="001F224B" w:rsidRDefault="002278DB" w:rsidP="002278DB">
            <w:pPr>
              <w:jc w:val="right"/>
              <w:rPr>
                <w:b/>
                <w:bCs/>
                <w:color w:val="000000"/>
                <w:sz w:val="20"/>
                <w:szCs w:val="20"/>
              </w:rPr>
            </w:pPr>
            <w:r w:rsidRPr="001F224B">
              <w:rPr>
                <w:b/>
                <w:bCs/>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2147935E" w14:textId="48F4D44B" w:rsidR="002278DB" w:rsidRPr="001F224B" w:rsidRDefault="002278DB" w:rsidP="002278DB">
            <w:pPr>
              <w:jc w:val="right"/>
              <w:rPr>
                <w:b/>
                <w:bCs/>
                <w:color w:val="000000"/>
                <w:sz w:val="20"/>
                <w:szCs w:val="20"/>
              </w:rPr>
            </w:pPr>
            <w:r w:rsidRPr="001F224B">
              <w:rPr>
                <w:b/>
                <w:bCs/>
                <w:color w:val="000000"/>
                <w:sz w:val="18"/>
                <w:szCs w:val="18"/>
              </w:rPr>
              <w:t>-</w:t>
            </w:r>
          </w:p>
        </w:tc>
      </w:tr>
      <w:tr w:rsidR="002278DB" w:rsidRPr="001F224B" w14:paraId="2AE40D91" w14:textId="77777777" w:rsidTr="00001A93">
        <w:trPr>
          <w:trHeight w:val="299"/>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160A2B95" w14:textId="77777777" w:rsidR="002278DB" w:rsidRPr="001F224B" w:rsidRDefault="002278DB" w:rsidP="002278DB">
            <w:pPr>
              <w:rPr>
                <w:sz w:val="20"/>
                <w:szCs w:val="20"/>
              </w:rPr>
            </w:pPr>
            <w:r w:rsidRPr="001F224B">
              <w:rPr>
                <w:sz w:val="20"/>
                <w:szCs w:val="20"/>
              </w:rPr>
              <w:t>4</w:t>
            </w:r>
          </w:p>
        </w:tc>
        <w:tc>
          <w:tcPr>
            <w:tcW w:w="830" w:type="pct"/>
            <w:tcBorders>
              <w:top w:val="single" w:sz="4" w:space="0" w:color="auto"/>
              <w:left w:val="single" w:sz="4" w:space="0" w:color="auto"/>
              <w:bottom w:val="single" w:sz="4" w:space="0" w:color="auto"/>
              <w:right w:val="single" w:sz="4" w:space="0" w:color="auto"/>
            </w:tcBorders>
            <w:noWrap/>
            <w:vAlign w:val="bottom"/>
            <w:hideMark/>
          </w:tcPr>
          <w:p w14:paraId="1F36B957" w14:textId="77777777" w:rsidR="002278DB" w:rsidRPr="001F224B" w:rsidRDefault="002278DB" w:rsidP="002278DB">
            <w:pPr>
              <w:rPr>
                <w:color w:val="000000"/>
                <w:sz w:val="20"/>
                <w:szCs w:val="20"/>
              </w:rPr>
            </w:pPr>
            <w:r w:rsidRPr="001F224B">
              <w:rPr>
                <w:color w:val="000000"/>
                <w:sz w:val="20"/>
                <w:szCs w:val="20"/>
              </w:rPr>
              <w:t>Temerrüde düşmüş</w:t>
            </w:r>
          </w:p>
        </w:tc>
        <w:tc>
          <w:tcPr>
            <w:tcW w:w="529" w:type="pct"/>
            <w:tcBorders>
              <w:top w:val="single" w:sz="4" w:space="0" w:color="auto"/>
              <w:left w:val="single" w:sz="4" w:space="0" w:color="auto"/>
              <w:bottom w:val="single" w:sz="4" w:space="0" w:color="auto"/>
              <w:right w:val="single" w:sz="4" w:space="0" w:color="auto"/>
            </w:tcBorders>
            <w:noWrap/>
            <w:vAlign w:val="bottom"/>
            <w:hideMark/>
          </w:tcPr>
          <w:p w14:paraId="1170F9A7" w14:textId="3E1DC874" w:rsidR="002278DB" w:rsidRPr="001F224B" w:rsidRDefault="002278DB" w:rsidP="002278DB">
            <w:pPr>
              <w:jc w:val="right"/>
              <w:rPr>
                <w:b/>
                <w:bCs/>
                <w:color w:val="000000"/>
                <w:sz w:val="20"/>
                <w:szCs w:val="20"/>
              </w:rPr>
            </w:pPr>
            <w:r w:rsidRPr="001F224B">
              <w:rPr>
                <w:color w:val="000000"/>
                <w:sz w:val="20"/>
                <w:szCs w:val="20"/>
              </w:rPr>
              <w:t>-</w:t>
            </w:r>
          </w:p>
        </w:tc>
        <w:tc>
          <w:tcPr>
            <w:tcW w:w="712" w:type="pct"/>
            <w:tcBorders>
              <w:top w:val="single" w:sz="4" w:space="0" w:color="auto"/>
              <w:left w:val="single" w:sz="4" w:space="0" w:color="auto"/>
              <w:bottom w:val="single" w:sz="4" w:space="0" w:color="auto"/>
              <w:right w:val="single" w:sz="4" w:space="0" w:color="auto"/>
            </w:tcBorders>
            <w:noWrap/>
            <w:vAlign w:val="bottom"/>
            <w:hideMark/>
          </w:tcPr>
          <w:p w14:paraId="3626343D" w14:textId="6B7B6B8B" w:rsidR="002278DB" w:rsidRPr="001F224B" w:rsidRDefault="002278DB" w:rsidP="002278DB">
            <w:pPr>
              <w:jc w:val="right"/>
              <w:rPr>
                <w:color w:val="000000"/>
                <w:sz w:val="20"/>
                <w:szCs w:val="20"/>
              </w:rPr>
            </w:pPr>
            <w:r w:rsidRPr="001F224B">
              <w:rPr>
                <w:color w:val="000000"/>
                <w:sz w:val="20"/>
                <w:szCs w:val="20"/>
              </w:rPr>
              <w:t>732.750</w:t>
            </w:r>
          </w:p>
        </w:tc>
        <w:tc>
          <w:tcPr>
            <w:tcW w:w="603" w:type="pct"/>
            <w:tcBorders>
              <w:top w:val="single" w:sz="4" w:space="0" w:color="auto"/>
              <w:left w:val="single" w:sz="4" w:space="0" w:color="auto"/>
              <w:bottom w:val="single" w:sz="4" w:space="0" w:color="auto"/>
              <w:right w:val="single" w:sz="4" w:space="0" w:color="auto"/>
            </w:tcBorders>
            <w:noWrap/>
            <w:vAlign w:val="bottom"/>
            <w:hideMark/>
          </w:tcPr>
          <w:p w14:paraId="72AEE751" w14:textId="512BFEA8" w:rsidR="002278DB" w:rsidRPr="001F224B" w:rsidRDefault="002278DB" w:rsidP="002278DB">
            <w:pPr>
              <w:jc w:val="right"/>
              <w:rPr>
                <w:sz w:val="20"/>
                <w:szCs w:val="20"/>
              </w:rPr>
            </w:pPr>
            <w:r w:rsidRPr="001F224B">
              <w:rPr>
                <w:sz w:val="20"/>
                <w:szCs w:val="20"/>
              </w:rPr>
              <w:t>%100</w:t>
            </w:r>
          </w:p>
        </w:tc>
        <w:tc>
          <w:tcPr>
            <w:tcW w:w="450" w:type="pct"/>
            <w:tcBorders>
              <w:top w:val="single" w:sz="4" w:space="0" w:color="auto"/>
              <w:left w:val="single" w:sz="4" w:space="0" w:color="auto"/>
              <w:bottom w:val="single" w:sz="4" w:space="0" w:color="auto"/>
              <w:right w:val="single" w:sz="4" w:space="0" w:color="auto"/>
            </w:tcBorders>
            <w:noWrap/>
            <w:vAlign w:val="bottom"/>
            <w:hideMark/>
          </w:tcPr>
          <w:p w14:paraId="3AED027E" w14:textId="541E2241" w:rsidR="002278DB" w:rsidRPr="001F224B" w:rsidRDefault="002278DB" w:rsidP="002278DB">
            <w:pPr>
              <w:jc w:val="right"/>
              <w:rPr>
                <w:b/>
                <w:bCs/>
                <w:color w:val="000000"/>
                <w:sz w:val="20"/>
                <w:szCs w:val="20"/>
              </w:rPr>
            </w:pPr>
            <w:r w:rsidRPr="001F224B">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31855D30" w14:textId="7523C4F3" w:rsidR="002278DB" w:rsidRPr="001F224B" w:rsidRDefault="002278DB" w:rsidP="002278DB">
            <w:pPr>
              <w:jc w:val="right"/>
              <w:rPr>
                <w:b/>
                <w:bCs/>
                <w:color w:val="000000"/>
                <w:sz w:val="20"/>
                <w:szCs w:val="20"/>
              </w:rPr>
            </w:pPr>
            <w:r w:rsidRPr="001F224B">
              <w:rPr>
                <w:color w:val="000000"/>
                <w:sz w:val="20"/>
                <w:szCs w:val="20"/>
              </w:rPr>
              <w:t>-</w:t>
            </w:r>
          </w:p>
        </w:tc>
        <w:tc>
          <w:tcPr>
            <w:tcW w:w="425" w:type="pct"/>
            <w:tcBorders>
              <w:top w:val="single" w:sz="4" w:space="0" w:color="auto"/>
              <w:left w:val="single" w:sz="4" w:space="0" w:color="auto"/>
              <w:bottom w:val="single" w:sz="4" w:space="0" w:color="auto"/>
              <w:right w:val="single" w:sz="4" w:space="0" w:color="auto"/>
            </w:tcBorders>
            <w:noWrap/>
            <w:vAlign w:val="bottom"/>
            <w:hideMark/>
          </w:tcPr>
          <w:p w14:paraId="6454C3DE" w14:textId="6B4A8C73" w:rsidR="002278DB" w:rsidRPr="001F224B" w:rsidRDefault="002278DB" w:rsidP="002278DB">
            <w:pPr>
              <w:jc w:val="right"/>
              <w:rPr>
                <w:b/>
                <w:bCs/>
                <w:color w:val="000000"/>
                <w:sz w:val="20"/>
                <w:szCs w:val="20"/>
              </w:rPr>
            </w:pPr>
            <w:r w:rsidRPr="001F224B">
              <w:rPr>
                <w:color w:val="000000"/>
                <w:sz w:val="20"/>
                <w:szCs w:val="20"/>
              </w:rPr>
              <w:t>-</w:t>
            </w:r>
          </w:p>
        </w:tc>
        <w:tc>
          <w:tcPr>
            <w:tcW w:w="500" w:type="pct"/>
            <w:tcBorders>
              <w:top w:val="single" w:sz="4" w:space="0" w:color="auto"/>
              <w:left w:val="single" w:sz="4" w:space="0" w:color="auto"/>
              <w:bottom w:val="single" w:sz="4" w:space="0" w:color="auto"/>
              <w:right w:val="single" w:sz="4" w:space="0" w:color="auto"/>
            </w:tcBorders>
            <w:noWrap/>
            <w:vAlign w:val="bottom"/>
            <w:hideMark/>
          </w:tcPr>
          <w:p w14:paraId="22EAF5CA" w14:textId="2B699A3A" w:rsidR="002278DB" w:rsidRPr="001F224B" w:rsidRDefault="002278DB" w:rsidP="002278DB">
            <w:pPr>
              <w:jc w:val="right"/>
              <w:rPr>
                <w:b/>
                <w:bCs/>
                <w:color w:val="000000"/>
                <w:sz w:val="20"/>
                <w:szCs w:val="20"/>
              </w:rPr>
            </w:pPr>
            <w:r w:rsidRPr="001F224B">
              <w:rPr>
                <w:color w:val="000000"/>
                <w:sz w:val="18"/>
                <w:szCs w:val="18"/>
              </w:rPr>
              <w:t>-</w:t>
            </w:r>
          </w:p>
        </w:tc>
      </w:tr>
    </w:tbl>
    <w:p w14:paraId="09E93C96" w14:textId="77777777" w:rsidR="002278DB" w:rsidRPr="001F224B" w:rsidRDefault="002278DB" w:rsidP="002278DB">
      <w:pPr>
        <w:rPr>
          <w:rFonts w:ascii="Calibri" w:eastAsia="Calibri" w:hAnsi="Calibri"/>
          <w:sz w:val="22"/>
          <w:szCs w:val="22"/>
          <w:lang w:eastAsia="en-US"/>
        </w:rPr>
      </w:pPr>
    </w:p>
    <w:p w14:paraId="53C5EFDA" w14:textId="77777777" w:rsidR="002278DB" w:rsidRPr="001F224B" w:rsidRDefault="002278DB" w:rsidP="002278DB">
      <w:pPr>
        <w:rPr>
          <w:rFonts w:ascii="Calibri" w:eastAsia="Calibri" w:hAnsi="Calibri"/>
          <w:sz w:val="22"/>
          <w:szCs w:val="22"/>
          <w:lang w:eastAsia="en-US"/>
        </w:rPr>
      </w:pPr>
    </w:p>
    <w:p w14:paraId="6B8F6239" w14:textId="77777777" w:rsidR="002278DB" w:rsidRPr="001F224B" w:rsidRDefault="002278DB" w:rsidP="002278DB">
      <w:pPr>
        <w:rPr>
          <w:b/>
          <w:bCs/>
          <w:sz w:val="22"/>
          <w:szCs w:val="22"/>
        </w:rPr>
      </w:pPr>
      <w:r w:rsidRPr="001F224B">
        <w:rPr>
          <w:b/>
          <w:bCs/>
          <w:sz w:val="22"/>
          <w:szCs w:val="22"/>
        </w:rPr>
        <w:br w:type="page"/>
      </w:r>
    </w:p>
    <w:p w14:paraId="54D8AC1D" w14:textId="77777777" w:rsidR="002278DB" w:rsidRPr="001F224B" w:rsidRDefault="002278DB" w:rsidP="002278DB">
      <w:pPr>
        <w:pStyle w:val="ListParagraph"/>
        <w:tabs>
          <w:tab w:val="left" w:pos="0"/>
        </w:tabs>
        <w:spacing w:before="120"/>
        <w:ind w:left="0"/>
        <w:rPr>
          <w:b/>
          <w:bCs/>
          <w:sz w:val="22"/>
          <w:szCs w:val="22"/>
        </w:rPr>
      </w:pPr>
      <w:r w:rsidRPr="001F224B">
        <w:rPr>
          <w:b/>
          <w:bCs/>
          <w:sz w:val="22"/>
          <w:szCs w:val="22"/>
        </w:rPr>
        <w:t>DÖRDÜNCÜ BÖLÜM (Devamı)</w:t>
      </w:r>
    </w:p>
    <w:p w14:paraId="174FB100" w14:textId="77777777" w:rsidR="002278DB" w:rsidRPr="001F224B" w:rsidRDefault="002278DB" w:rsidP="002278DB">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67460605" w14:textId="77777777" w:rsidR="002278DB" w:rsidRPr="001F224B" w:rsidRDefault="002278DB" w:rsidP="002278DB">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0461D06D" w14:textId="77777777" w:rsidR="002278DB" w:rsidRPr="001F224B" w:rsidRDefault="002278DB" w:rsidP="002278DB">
      <w:pPr>
        <w:jc w:val="both"/>
        <w:rPr>
          <w:b/>
          <w:sz w:val="22"/>
          <w:szCs w:val="22"/>
          <w:lang w:eastAsia="x-none"/>
        </w:rPr>
      </w:pPr>
      <w:r w:rsidRPr="001F224B">
        <w:rPr>
          <w:b/>
          <w:sz w:val="22"/>
          <w:szCs w:val="22"/>
          <w:lang w:eastAsia="x-none"/>
        </w:rPr>
        <w:t>5. Standart Yaklaşım - Maruz kalınan kredi riski ve kredi riski azaltım etkileri:</w:t>
      </w:r>
    </w:p>
    <w:p w14:paraId="37859A93" w14:textId="77777777" w:rsidR="002278DB" w:rsidRPr="001F224B" w:rsidRDefault="002278DB" w:rsidP="002278DB">
      <w:pPr>
        <w:spacing w:before="120" w:after="120"/>
        <w:jc w:val="both"/>
        <w:rPr>
          <w:sz w:val="22"/>
          <w:szCs w:val="22"/>
        </w:rPr>
      </w:pPr>
      <w:r w:rsidRPr="001F224B">
        <w:rPr>
          <w:sz w:val="22"/>
          <w:szCs w:val="22"/>
        </w:rPr>
        <w:t>Banka, kredi riskini standart yaklaşım ile hesaplamakta olup, derecelendirme notu kullanmamaktadır.</w:t>
      </w:r>
    </w:p>
    <w:tbl>
      <w:tblPr>
        <w:tblW w:w="0" w:type="auto"/>
        <w:tblLayout w:type="fixed"/>
        <w:tblCellMar>
          <w:left w:w="70" w:type="dxa"/>
          <w:right w:w="70" w:type="dxa"/>
        </w:tblCellMar>
        <w:tblLook w:val="04A0" w:firstRow="1" w:lastRow="0" w:firstColumn="1" w:lastColumn="0" w:noHBand="0" w:noVBand="1"/>
      </w:tblPr>
      <w:tblGrid>
        <w:gridCol w:w="3054"/>
        <w:gridCol w:w="1055"/>
        <w:gridCol w:w="992"/>
        <w:gridCol w:w="970"/>
        <w:gridCol w:w="954"/>
        <w:gridCol w:w="1293"/>
        <w:gridCol w:w="1601"/>
      </w:tblGrid>
      <w:tr w:rsidR="002278DB" w:rsidRPr="001F224B" w14:paraId="665BD9B9" w14:textId="77777777" w:rsidTr="00A81B93">
        <w:trPr>
          <w:trHeight w:val="794"/>
        </w:trPr>
        <w:tc>
          <w:tcPr>
            <w:tcW w:w="3054" w:type="dxa"/>
            <w:tcBorders>
              <w:top w:val="single" w:sz="4" w:space="0" w:color="auto"/>
              <w:left w:val="single" w:sz="4" w:space="0" w:color="auto"/>
              <w:bottom w:val="nil"/>
              <w:right w:val="single" w:sz="4" w:space="0" w:color="auto"/>
            </w:tcBorders>
            <w:noWrap/>
            <w:vAlign w:val="bottom"/>
            <w:hideMark/>
          </w:tcPr>
          <w:p w14:paraId="1B87BCFD" w14:textId="2D87ED8B" w:rsidR="002278DB" w:rsidRPr="001F224B" w:rsidRDefault="002278DB" w:rsidP="00001A93">
            <w:pPr>
              <w:jc w:val="center"/>
              <w:rPr>
                <w:b/>
                <w:color w:val="000000"/>
                <w:sz w:val="20"/>
                <w:szCs w:val="20"/>
              </w:rPr>
            </w:pPr>
            <w:r w:rsidRPr="001F224B">
              <w:rPr>
                <w:b/>
                <w:color w:val="000000"/>
                <w:sz w:val="20"/>
                <w:szCs w:val="20"/>
              </w:rPr>
              <w:t>Cari Dönem (30.06.2025)</w:t>
            </w:r>
          </w:p>
        </w:tc>
        <w:tc>
          <w:tcPr>
            <w:tcW w:w="2047" w:type="dxa"/>
            <w:gridSpan w:val="2"/>
            <w:tcBorders>
              <w:top w:val="single" w:sz="4" w:space="0" w:color="auto"/>
              <w:left w:val="single" w:sz="4" w:space="0" w:color="auto"/>
              <w:bottom w:val="single" w:sz="4" w:space="0" w:color="auto"/>
              <w:right w:val="single" w:sz="4" w:space="0" w:color="auto"/>
            </w:tcBorders>
            <w:vAlign w:val="bottom"/>
            <w:hideMark/>
          </w:tcPr>
          <w:p w14:paraId="416A099B" w14:textId="77777777" w:rsidR="002278DB" w:rsidRPr="001F224B" w:rsidRDefault="002278DB" w:rsidP="00001A93">
            <w:pPr>
              <w:jc w:val="center"/>
              <w:rPr>
                <w:color w:val="000000"/>
                <w:sz w:val="20"/>
                <w:szCs w:val="20"/>
              </w:rPr>
            </w:pPr>
            <w:r w:rsidRPr="001F224B">
              <w:rPr>
                <w:color w:val="000000"/>
                <w:sz w:val="20"/>
                <w:szCs w:val="20"/>
              </w:rPr>
              <w:t xml:space="preserve">Kredi dönüşüm oranı ve kredi riski </w:t>
            </w:r>
            <w:r w:rsidRPr="001F224B">
              <w:rPr>
                <w:color w:val="000000"/>
                <w:sz w:val="20"/>
                <w:szCs w:val="20"/>
              </w:rPr>
              <w:br/>
              <w:t>azaltımından önce alacak tutarı</w:t>
            </w:r>
          </w:p>
        </w:tc>
        <w:tc>
          <w:tcPr>
            <w:tcW w:w="1924" w:type="dxa"/>
            <w:gridSpan w:val="2"/>
            <w:tcBorders>
              <w:top w:val="single" w:sz="4" w:space="0" w:color="auto"/>
              <w:left w:val="single" w:sz="4" w:space="0" w:color="auto"/>
              <w:bottom w:val="nil"/>
              <w:right w:val="single" w:sz="4" w:space="0" w:color="auto"/>
            </w:tcBorders>
            <w:vAlign w:val="bottom"/>
            <w:hideMark/>
          </w:tcPr>
          <w:p w14:paraId="1BFF5507" w14:textId="77777777" w:rsidR="002278DB" w:rsidRPr="001F224B" w:rsidRDefault="002278DB" w:rsidP="00001A93">
            <w:pPr>
              <w:jc w:val="center"/>
              <w:rPr>
                <w:color w:val="000000"/>
                <w:sz w:val="20"/>
                <w:szCs w:val="20"/>
              </w:rPr>
            </w:pPr>
            <w:r w:rsidRPr="001F224B">
              <w:rPr>
                <w:color w:val="000000"/>
                <w:sz w:val="20"/>
                <w:szCs w:val="20"/>
              </w:rPr>
              <w:t>Kredi dönüşüm oranı ve kredi riski azaltımından sonra alacak tutarı</w:t>
            </w:r>
          </w:p>
        </w:tc>
        <w:tc>
          <w:tcPr>
            <w:tcW w:w="2894" w:type="dxa"/>
            <w:gridSpan w:val="2"/>
            <w:tcBorders>
              <w:top w:val="single" w:sz="4" w:space="0" w:color="auto"/>
              <w:left w:val="single" w:sz="4" w:space="0" w:color="auto"/>
              <w:bottom w:val="nil"/>
              <w:right w:val="single" w:sz="4" w:space="0" w:color="auto"/>
            </w:tcBorders>
            <w:vAlign w:val="bottom"/>
            <w:hideMark/>
          </w:tcPr>
          <w:p w14:paraId="2D6DBF97" w14:textId="77777777" w:rsidR="002278DB" w:rsidRPr="001F224B" w:rsidRDefault="002278DB" w:rsidP="00001A93">
            <w:pPr>
              <w:jc w:val="center"/>
              <w:rPr>
                <w:color w:val="000000"/>
                <w:sz w:val="20"/>
                <w:szCs w:val="20"/>
              </w:rPr>
            </w:pPr>
            <w:r w:rsidRPr="001F224B">
              <w:rPr>
                <w:color w:val="000000"/>
                <w:sz w:val="20"/>
                <w:szCs w:val="20"/>
              </w:rPr>
              <w:t xml:space="preserve">Risk ağırlıklı tutar ve </w:t>
            </w:r>
            <w:r w:rsidRPr="001F224B">
              <w:rPr>
                <w:color w:val="000000"/>
                <w:sz w:val="20"/>
                <w:szCs w:val="20"/>
              </w:rPr>
              <w:br/>
              <w:t>risk ağırlıklı tutar yoğunluğu</w:t>
            </w:r>
          </w:p>
        </w:tc>
      </w:tr>
      <w:tr w:rsidR="002278DB" w:rsidRPr="001F224B" w14:paraId="6D242E3B" w14:textId="77777777" w:rsidTr="00A81B93">
        <w:trPr>
          <w:trHeight w:val="756"/>
        </w:trPr>
        <w:tc>
          <w:tcPr>
            <w:tcW w:w="3054" w:type="dxa"/>
            <w:tcBorders>
              <w:top w:val="single" w:sz="4" w:space="0" w:color="auto"/>
              <w:left w:val="single" w:sz="4" w:space="0" w:color="auto"/>
              <w:bottom w:val="single" w:sz="4" w:space="0" w:color="auto"/>
              <w:right w:val="single" w:sz="4" w:space="0" w:color="auto"/>
            </w:tcBorders>
            <w:noWrap/>
            <w:vAlign w:val="bottom"/>
            <w:hideMark/>
          </w:tcPr>
          <w:p w14:paraId="6CBC6E30" w14:textId="77777777" w:rsidR="002278DB" w:rsidRPr="001F224B" w:rsidRDefault="002278DB" w:rsidP="00001A93">
            <w:pPr>
              <w:rPr>
                <w:color w:val="000000"/>
                <w:sz w:val="20"/>
                <w:szCs w:val="20"/>
              </w:rPr>
            </w:pPr>
            <w:r w:rsidRPr="001F224B">
              <w:rPr>
                <w:color w:val="000000"/>
                <w:sz w:val="20"/>
                <w:szCs w:val="20"/>
              </w:rPr>
              <w:t>Risk sınıfları</w:t>
            </w:r>
          </w:p>
        </w:tc>
        <w:tc>
          <w:tcPr>
            <w:tcW w:w="1055" w:type="dxa"/>
            <w:tcBorders>
              <w:top w:val="single" w:sz="4" w:space="0" w:color="auto"/>
              <w:left w:val="nil"/>
              <w:bottom w:val="single" w:sz="4" w:space="0" w:color="auto"/>
              <w:right w:val="single" w:sz="4" w:space="0" w:color="auto"/>
            </w:tcBorders>
            <w:noWrap/>
            <w:vAlign w:val="bottom"/>
            <w:hideMark/>
          </w:tcPr>
          <w:p w14:paraId="13DC1B6E" w14:textId="77777777" w:rsidR="002278DB" w:rsidRPr="001F224B" w:rsidRDefault="002278DB" w:rsidP="00001A93">
            <w:pPr>
              <w:jc w:val="center"/>
              <w:rPr>
                <w:color w:val="000000"/>
                <w:sz w:val="20"/>
                <w:szCs w:val="20"/>
              </w:rPr>
            </w:pPr>
            <w:r w:rsidRPr="001F224B">
              <w:rPr>
                <w:color w:val="000000"/>
                <w:sz w:val="20"/>
                <w:szCs w:val="20"/>
              </w:rPr>
              <w:t>Bilanço içi tutar</w:t>
            </w:r>
          </w:p>
        </w:tc>
        <w:tc>
          <w:tcPr>
            <w:tcW w:w="992" w:type="dxa"/>
            <w:tcBorders>
              <w:top w:val="single" w:sz="4" w:space="0" w:color="auto"/>
              <w:left w:val="nil"/>
              <w:bottom w:val="single" w:sz="4" w:space="0" w:color="auto"/>
              <w:right w:val="single" w:sz="4" w:space="0" w:color="auto"/>
            </w:tcBorders>
            <w:noWrap/>
            <w:vAlign w:val="bottom"/>
            <w:hideMark/>
          </w:tcPr>
          <w:p w14:paraId="7E150554" w14:textId="77777777" w:rsidR="002278DB" w:rsidRPr="001F224B" w:rsidRDefault="002278DB" w:rsidP="00001A93">
            <w:pPr>
              <w:jc w:val="center"/>
              <w:rPr>
                <w:color w:val="000000"/>
                <w:sz w:val="20"/>
                <w:szCs w:val="20"/>
              </w:rPr>
            </w:pPr>
            <w:r w:rsidRPr="001F224B">
              <w:rPr>
                <w:color w:val="000000"/>
                <w:sz w:val="20"/>
                <w:szCs w:val="20"/>
              </w:rPr>
              <w:t>Bilanço dışı tutar</w:t>
            </w:r>
          </w:p>
        </w:tc>
        <w:tc>
          <w:tcPr>
            <w:tcW w:w="970" w:type="dxa"/>
            <w:tcBorders>
              <w:top w:val="single" w:sz="4" w:space="0" w:color="auto"/>
              <w:left w:val="nil"/>
              <w:bottom w:val="single" w:sz="4" w:space="0" w:color="auto"/>
              <w:right w:val="single" w:sz="4" w:space="0" w:color="auto"/>
            </w:tcBorders>
            <w:noWrap/>
            <w:vAlign w:val="bottom"/>
            <w:hideMark/>
          </w:tcPr>
          <w:p w14:paraId="077A5477" w14:textId="77777777" w:rsidR="002278DB" w:rsidRPr="001F224B" w:rsidRDefault="002278DB" w:rsidP="00001A93">
            <w:pPr>
              <w:ind w:right="-4"/>
              <w:jc w:val="center"/>
              <w:rPr>
                <w:color w:val="000000"/>
                <w:sz w:val="20"/>
                <w:szCs w:val="20"/>
              </w:rPr>
            </w:pPr>
            <w:r w:rsidRPr="001F224B">
              <w:rPr>
                <w:color w:val="000000"/>
                <w:sz w:val="20"/>
                <w:szCs w:val="20"/>
              </w:rPr>
              <w:t>Bilanço içi tutar</w:t>
            </w:r>
          </w:p>
        </w:tc>
        <w:tc>
          <w:tcPr>
            <w:tcW w:w="954" w:type="dxa"/>
            <w:tcBorders>
              <w:top w:val="single" w:sz="4" w:space="0" w:color="auto"/>
              <w:left w:val="nil"/>
              <w:bottom w:val="single" w:sz="4" w:space="0" w:color="auto"/>
              <w:right w:val="single" w:sz="4" w:space="0" w:color="auto"/>
            </w:tcBorders>
            <w:noWrap/>
            <w:vAlign w:val="bottom"/>
            <w:hideMark/>
          </w:tcPr>
          <w:p w14:paraId="7B0710E6" w14:textId="77777777" w:rsidR="002278DB" w:rsidRPr="001F224B" w:rsidRDefault="002278DB" w:rsidP="00001A93">
            <w:pPr>
              <w:jc w:val="center"/>
              <w:rPr>
                <w:color w:val="000000"/>
                <w:sz w:val="20"/>
                <w:szCs w:val="20"/>
              </w:rPr>
            </w:pPr>
            <w:r w:rsidRPr="001F224B">
              <w:rPr>
                <w:color w:val="000000"/>
                <w:sz w:val="20"/>
                <w:szCs w:val="20"/>
              </w:rPr>
              <w:t>Bilanço dışı tutar</w:t>
            </w:r>
          </w:p>
        </w:tc>
        <w:tc>
          <w:tcPr>
            <w:tcW w:w="1293" w:type="dxa"/>
            <w:tcBorders>
              <w:top w:val="single" w:sz="4" w:space="0" w:color="auto"/>
              <w:left w:val="nil"/>
              <w:bottom w:val="single" w:sz="4" w:space="0" w:color="auto"/>
              <w:right w:val="single" w:sz="4" w:space="0" w:color="auto"/>
            </w:tcBorders>
            <w:noWrap/>
            <w:vAlign w:val="bottom"/>
            <w:hideMark/>
          </w:tcPr>
          <w:p w14:paraId="5920462F" w14:textId="77777777" w:rsidR="002278DB" w:rsidRPr="001F224B" w:rsidRDefault="002278DB" w:rsidP="00001A93">
            <w:pPr>
              <w:jc w:val="center"/>
              <w:rPr>
                <w:color w:val="000000"/>
                <w:sz w:val="20"/>
                <w:szCs w:val="20"/>
              </w:rPr>
            </w:pPr>
            <w:r w:rsidRPr="001F224B">
              <w:rPr>
                <w:color w:val="000000"/>
                <w:sz w:val="20"/>
                <w:szCs w:val="20"/>
              </w:rPr>
              <w:t>Risk ağırlıklı tutar</w:t>
            </w:r>
          </w:p>
        </w:tc>
        <w:tc>
          <w:tcPr>
            <w:tcW w:w="1601" w:type="dxa"/>
            <w:tcBorders>
              <w:top w:val="single" w:sz="4" w:space="0" w:color="auto"/>
              <w:left w:val="nil"/>
              <w:bottom w:val="single" w:sz="4" w:space="0" w:color="auto"/>
              <w:right w:val="single" w:sz="4" w:space="0" w:color="auto"/>
            </w:tcBorders>
            <w:noWrap/>
            <w:vAlign w:val="bottom"/>
            <w:hideMark/>
          </w:tcPr>
          <w:p w14:paraId="46315204" w14:textId="77777777" w:rsidR="002278DB" w:rsidRPr="001F224B" w:rsidRDefault="002278DB" w:rsidP="00001A93">
            <w:pPr>
              <w:jc w:val="center"/>
              <w:rPr>
                <w:color w:val="000000"/>
                <w:sz w:val="20"/>
                <w:szCs w:val="20"/>
              </w:rPr>
            </w:pPr>
            <w:r w:rsidRPr="001F224B">
              <w:rPr>
                <w:color w:val="000000"/>
                <w:sz w:val="20"/>
                <w:szCs w:val="20"/>
              </w:rPr>
              <w:t>Risk ağırlıklı tutar yoğunluğu</w:t>
            </w:r>
          </w:p>
        </w:tc>
      </w:tr>
      <w:tr w:rsidR="00AC46C0" w:rsidRPr="001F224B" w14:paraId="6E29EBBC"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200E71EA" w14:textId="77777777" w:rsidR="00AC46C0" w:rsidRPr="001F224B" w:rsidRDefault="00AC46C0" w:rsidP="00AC46C0">
            <w:pPr>
              <w:rPr>
                <w:color w:val="000000"/>
                <w:sz w:val="18"/>
                <w:szCs w:val="18"/>
              </w:rPr>
            </w:pPr>
            <w:r w:rsidRPr="001F224B">
              <w:rPr>
                <w:color w:val="000000"/>
                <w:sz w:val="18"/>
                <w:szCs w:val="18"/>
              </w:rPr>
              <w:t>Merkezi yönetimlerden veya merkez bankalarından alacaklar</w:t>
            </w:r>
          </w:p>
        </w:tc>
        <w:tc>
          <w:tcPr>
            <w:tcW w:w="1055" w:type="dxa"/>
            <w:tcBorders>
              <w:top w:val="single" w:sz="4" w:space="0" w:color="auto"/>
              <w:left w:val="single" w:sz="4" w:space="0" w:color="auto"/>
              <w:bottom w:val="single" w:sz="4" w:space="0" w:color="auto"/>
              <w:right w:val="single" w:sz="4" w:space="0" w:color="auto"/>
            </w:tcBorders>
            <w:noWrap/>
            <w:vAlign w:val="bottom"/>
            <w:hideMark/>
          </w:tcPr>
          <w:p w14:paraId="39ADED2E" w14:textId="5CA7382B" w:rsidR="00AC46C0" w:rsidRPr="001F224B" w:rsidRDefault="00AC46C0" w:rsidP="00AC46C0">
            <w:pPr>
              <w:jc w:val="right"/>
              <w:rPr>
                <w:color w:val="000000"/>
                <w:sz w:val="18"/>
                <w:szCs w:val="18"/>
              </w:rPr>
            </w:pPr>
            <w:r w:rsidRPr="001F224B">
              <w:rPr>
                <w:rFonts w:ascii="Calibri" w:hAnsi="Calibri" w:cs="Calibri"/>
                <w:color w:val="000000"/>
                <w:sz w:val="18"/>
                <w:szCs w:val="18"/>
              </w:rPr>
              <w:t>17.363.889</w:t>
            </w:r>
          </w:p>
        </w:tc>
        <w:tc>
          <w:tcPr>
            <w:tcW w:w="992" w:type="dxa"/>
            <w:tcBorders>
              <w:top w:val="single" w:sz="4" w:space="0" w:color="auto"/>
              <w:left w:val="nil"/>
              <w:bottom w:val="single" w:sz="4" w:space="0" w:color="auto"/>
              <w:right w:val="single" w:sz="4" w:space="0" w:color="auto"/>
            </w:tcBorders>
            <w:noWrap/>
            <w:vAlign w:val="bottom"/>
            <w:hideMark/>
          </w:tcPr>
          <w:p w14:paraId="6070D6A6" w14:textId="1A4C3BB8"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single" w:sz="4" w:space="0" w:color="auto"/>
              <w:left w:val="nil"/>
              <w:bottom w:val="single" w:sz="4" w:space="0" w:color="auto"/>
              <w:right w:val="single" w:sz="4" w:space="0" w:color="auto"/>
            </w:tcBorders>
            <w:noWrap/>
            <w:vAlign w:val="bottom"/>
            <w:hideMark/>
          </w:tcPr>
          <w:p w14:paraId="63E78F72" w14:textId="6D05C16B" w:rsidR="00AC46C0" w:rsidRPr="001F224B" w:rsidRDefault="00AC46C0" w:rsidP="00AC46C0">
            <w:pPr>
              <w:jc w:val="right"/>
              <w:rPr>
                <w:color w:val="000000"/>
                <w:sz w:val="18"/>
                <w:szCs w:val="18"/>
              </w:rPr>
            </w:pPr>
            <w:r w:rsidRPr="001F224B">
              <w:rPr>
                <w:rFonts w:ascii="Calibri" w:hAnsi="Calibri" w:cs="Calibri"/>
                <w:color w:val="000000"/>
                <w:sz w:val="18"/>
                <w:szCs w:val="18"/>
              </w:rPr>
              <w:t>19.121.647</w:t>
            </w:r>
          </w:p>
        </w:tc>
        <w:tc>
          <w:tcPr>
            <w:tcW w:w="954" w:type="dxa"/>
            <w:tcBorders>
              <w:top w:val="single" w:sz="4" w:space="0" w:color="auto"/>
              <w:left w:val="nil"/>
              <w:bottom w:val="single" w:sz="4" w:space="0" w:color="auto"/>
              <w:right w:val="single" w:sz="4" w:space="0" w:color="auto"/>
            </w:tcBorders>
            <w:noWrap/>
            <w:vAlign w:val="bottom"/>
            <w:hideMark/>
          </w:tcPr>
          <w:p w14:paraId="4576ECE5" w14:textId="33155425"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single" w:sz="4" w:space="0" w:color="auto"/>
              <w:left w:val="nil"/>
              <w:bottom w:val="single" w:sz="4" w:space="0" w:color="auto"/>
              <w:right w:val="single" w:sz="4" w:space="0" w:color="auto"/>
            </w:tcBorders>
            <w:noWrap/>
            <w:vAlign w:val="bottom"/>
            <w:hideMark/>
          </w:tcPr>
          <w:p w14:paraId="7E6AD6EB" w14:textId="49A1C6F3" w:rsidR="00AC46C0" w:rsidRPr="001F224B" w:rsidRDefault="00AC46C0" w:rsidP="00AC46C0">
            <w:pPr>
              <w:jc w:val="right"/>
              <w:rPr>
                <w:color w:val="000000"/>
                <w:sz w:val="18"/>
                <w:szCs w:val="18"/>
              </w:rPr>
            </w:pPr>
            <w:r w:rsidRPr="001F224B">
              <w:rPr>
                <w:rFonts w:ascii="Calibri" w:hAnsi="Calibri" w:cs="Calibri"/>
                <w:color w:val="000000"/>
                <w:sz w:val="18"/>
                <w:szCs w:val="18"/>
              </w:rPr>
              <w:t>4.523.543</w:t>
            </w:r>
          </w:p>
        </w:tc>
        <w:tc>
          <w:tcPr>
            <w:tcW w:w="1601" w:type="dxa"/>
            <w:tcBorders>
              <w:top w:val="single" w:sz="4" w:space="0" w:color="auto"/>
              <w:left w:val="nil"/>
              <w:bottom w:val="single" w:sz="4" w:space="0" w:color="auto"/>
              <w:right w:val="single" w:sz="4" w:space="0" w:color="auto"/>
            </w:tcBorders>
            <w:noWrap/>
            <w:vAlign w:val="bottom"/>
            <w:hideMark/>
          </w:tcPr>
          <w:p w14:paraId="63C3EB62" w14:textId="474CA308" w:rsidR="00AC46C0" w:rsidRPr="001F224B" w:rsidRDefault="00AC46C0" w:rsidP="00AC46C0">
            <w:pPr>
              <w:jc w:val="right"/>
              <w:rPr>
                <w:color w:val="000000"/>
                <w:sz w:val="18"/>
                <w:szCs w:val="18"/>
              </w:rPr>
            </w:pPr>
            <w:r w:rsidRPr="001F224B">
              <w:rPr>
                <w:rFonts w:ascii="Calibri" w:hAnsi="Calibri" w:cs="Calibri"/>
                <w:color w:val="000000"/>
                <w:sz w:val="18"/>
                <w:szCs w:val="18"/>
              </w:rPr>
              <w:t>23,7%</w:t>
            </w:r>
          </w:p>
        </w:tc>
      </w:tr>
      <w:tr w:rsidR="00AC46C0" w:rsidRPr="001F224B" w14:paraId="36EF4B0E"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59458308" w14:textId="77777777" w:rsidR="00AC46C0" w:rsidRPr="001F224B" w:rsidRDefault="00AC46C0" w:rsidP="00AC46C0">
            <w:pPr>
              <w:rPr>
                <w:color w:val="000000"/>
                <w:sz w:val="18"/>
                <w:szCs w:val="18"/>
              </w:rPr>
            </w:pPr>
            <w:r w:rsidRPr="001F224B">
              <w:rPr>
                <w:color w:val="000000"/>
                <w:sz w:val="18"/>
                <w:szCs w:val="18"/>
              </w:rPr>
              <w:t>Bölgesel yönetimlerden veya yerel yönetimlerden alacaklar</w:t>
            </w:r>
          </w:p>
        </w:tc>
        <w:tc>
          <w:tcPr>
            <w:tcW w:w="1055" w:type="dxa"/>
            <w:tcBorders>
              <w:top w:val="nil"/>
              <w:left w:val="nil"/>
              <w:bottom w:val="single" w:sz="4" w:space="0" w:color="auto"/>
              <w:right w:val="single" w:sz="4" w:space="0" w:color="auto"/>
            </w:tcBorders>
            <w:noWrap/>
            <w:vAlign w:val="bottom"/>
            <w:hideMark/>
          </w:tcPr>
          <w:p w14:paraId="5AC0ADEF" w14:textId="3412AB17"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2CDD9679" w14:textId="1AC1F3C1"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4BE261F8" w14:textId="26F27BE0"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46D541E8" w14:textId="37F7FBDA"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7E4E40D0" w14:textId="037BBB6F"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1B195C1B" w14:textId="69500206"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04382F9E" w14:textId="77777777" w:rsidTr="00A81B93">
        <w:trPr>
          <w:trHeight w:val="406"/>
        </w:trPr>
        <w:tc>
          <w:tcPr>
            <w:tcW w:w="3054" w:type="dxa"/>
            <w:tcBorders>
              <w:top w:val="nil"/>
              <w:left w:val="single" w:sz="4" w:space="0" w:color="auto"/>
              <w:bottom w:val="single" w:sz="4" w:space="0" w:color="auto"/>
              <w:right w:val="single" w:sz="4" w:space="0" w:color="auto"/>
            </w:tcBorders>
            <w:noWrap/>
            <w:vAlign w:val="bottom"/>
            <w:hideMark/>
          </w:tcPr>
          <w:p w14:paraId="151F2A5C" w14:textId="77777777" w:rsidR="00AC46C0" w:rsidRPr="001F224B" w:rsidRDefault="00AC46C0" w:rsidP="00AC46C0">
            <w:pPr>
              <w:rPr>
                <w:color w:val="000000"/>
                <w:sz w:val="18"/>
                <w:szCs w:val="18"/>
              </w:rPr>
            </w:pPr>
            <w:r w:rsidRPr="001F224B">
              <w:rPr>
                <w:color w:val="000000"/>
                <w:sz w:val="18"/>
                <w:szCs w:val="18"/>
              </w:rPr>
              <w:t>İdari birimlerden ve ticari olmayan girişimlerden alacaklar</w:t>
            </w:r>
          </w:p>
        </w:tc>
        <w:tc>
          <w:tcPr>
            <w:tcW w:w="1055" w:type="dxa"/>
            <w:tcBorders>
              <w:top w:val="nil"/>
              <w:left w:val="nil"/>
              <w:bottom w:val="single" w:sz="4" w:space="0" w:color="auto"/>
              <w:right w:val="single" w:sz="4" w:space="0" w:color="auto"/>
            </w:tcBorders>
            <w:noWrap/>
            <w:vAlign w:val="bottom"/>
            <w:hideMark/>
          </w:tcPr>
          <w:p w14:paraId="67A8CFD4" w14:textId="3A0E5586"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5239F200" w14:textId="6AE65B98"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1405B8C1" w14:textId="2A14D19B"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3A8D73EB" w14:textId="27B71867"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5FA4D3DD" w14:textId="69E3DBB3"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5160A8CA" w14:textId="20A0E3B3"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5F95BD6D"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7A8778E4" w14:textId="77777777" w:rsidR="00AC46C0" w:rsidRPr="001F224B" w:rsidRDefault="00AC46C0" w:rsidP="00AC46C0">
            <w:pPr>
              <w:rPr>
                <w:color w:val="000000"/>
                <w:sz w:val="18"/>
                <w:szCs w:val="18"/>
              </w:rPr>
            </w:pPr>
            <w:r w:rsidRPr="001F224B">
              <w:rPr>
                <w:color w:val="000000"/>
                <w:sz w:val="18"/>
                <w:szCs w:val="18"/>
              </w:rPr>
              <w:t>Çok taraflı kalkınma bankalarından alacaklar</w:t>
            </w:r>
          </w:p>
        </w:tc>
        <w:tc>
          <w:tcPr>
            <w:tcW w:w="1055" w:type="dxa"/>
            <w:tcBorders>
              <w:top w:val="nil"/>
              <w:left w:val="nil"/>
              <w:bottom w:val="single" w:sz="4" w:space="0" w:color="auto"/>
              <w:right w:val="single" w:sz="4" w:space="0" w:color="auto"/>
            </w:tcBorders>
            <w:noWrap/>
            <w:vAlign w:val="bottom"/>
            <w:hideMark/>
          </w:tcPr>
          <w:p w14:paraId="3A35C162" w14:textId="199F4BA8"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3B489E80" w14:textId="48FA5D34"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6BF55C6E" w14:textId="078A38A1"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3EE7D030" w14:textId="2BBD0BAF"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5E2A8E63" w14:textId="5ECAAAED"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21A55AB6" w14:textId="0D180184"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0A2992E8"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0E90D91D" w14:textId="77777777" w:rsidR="00AC46C0" w:rsidRPr="001F224B" w:rsidRDefault="00AC46C0" w:rsidP="00AC46C0">
            <w:pPr>
              <w:rPr>
                <w:color w:val="000000"/>
                <w:sz w:val="18"/>
                <w:szCs w:val="18"/>
              </w:rPr>
            </w:pPr>
            <w:r w:rsidRPr="001F224B">
              <w:rPr>
                <w:color w:val="000000"/>
                <w:sz w:val="18"/>
                <w:szCs w:val="18"/>
              </w:rPr>
              <w:t>Uluslararası teşkilatlardan alacaklar</w:t>
            </w:r>
          </w:p>
        </w:tc>
        <w:tc>
          <w:tcPr>
            <w:tcW w:w="1055" w:type="dxa"/>
            <w:tcBorders>
              <w:top w:val="nil"/>
              <w:left w:val="nil"/>
              <w:bottom w:val="single" w:sz="4" w:space="0" w:color="auto"/>
              <w:right w:val="single" w:sz="4" w:space="0" w:color="auto"/>
            </w:tcBorders>
            <w:noWrap/>
            <w:vAlign w:val="bottom"/>
            <w:hideMark/>
          </w:tcPr>
          <w:p w14:paraId="65E5F132" w14:textId="0A066B83"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4162E5D4" w14:textId="351EAEB5"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0A17C79E" w14:textId="15AFE5F2"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4D51A475" w14:textId="7F0052E5"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501EEED9" w14:textId="1FB8AA7F"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4DBDEC93" w14:textId="4270793A"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41C35B39"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77F5770A" w14:textId="77777777" w:rsidR="00AC46C0" w:rsidRPr="001F224B" w:rsidRDefault="00AC46C0" w:rsidP="00AC46C0">
            <w:pPr>
              <w:rPr>
                <w:color w:val="000000"/>
                <w:sz w:val="18"/>
                <w:szCs w:val="18"/>
              </w:rPr>
            </w:pPr>
            <w:r w:rsidRPr="001F224B">
              <w:rPr>
                <w:color w:val="000000"/>
                <w:sz w:val="18"/>
                <w:szCs w:val="18"/>
              </w:rPr>
              <w:t>Bankalardan ve aracı kurumlardan alacaklar</w:t>
            </w:r>
          </w:p>
        </w:tc>
        <w:tc>
          <w:tcPr>
            <w:tcW w:w="1055" w:type="dxa"/>
            <w:tcBorders>
              <w:top w:val="nil"/>
              <w:left w:val="single" w:sz="4" w:space="0" w:color="auto"/>
              <w:bottom w:val="single" w:sz="4" w:space="0" w:color="auto"/>
              <w:right w:val="single" w:sz="4" w:space="0" w:color="auto"/>
            </w:tcBorders>
            <w:noWrap/>
            <w:vAlign w:val="bottom"/>
            <w:hideMark/>
          </w:tcPr>
          <w:p w14:paraId="1EE4B3A5" w14:textId="213C6722" w:rsidR="00AC46C0" w:rsidRPr="001F224B" w:rsidRDefault="00AC46C0" w:rsidP="00AC46C0">
            <w:pPr>
              <w:jc w:val="right"/>
              <w:rPr>
                <w:color w:val="000000"/>
                <w:sz w:val="18"/>
                <w:szCs w:val="18"/>
              </w:rPr>
            </w:pPr>
            <w:r w:rsidRPr="001F224B">
              <w:rPr>
                <w:rFonts w:ascii="Calibri" w:hAnsi="Calibri" w:cs="Calibri"/>
                <w:color w:val="000000"/>
                <w:sz w:val="18"/>
                <w:szCs w:val="18"/>
              </w:rPr>
              <w:t>42.148.078</w:t>
            </w:r>
          </w:p>
        </w:tc>
        <w:tc>
          <w:tcPr>
            <w:tcW w:w="992" w:type="dxa"/>
            <w:tcBorders>
              <w:top w:val="nil"/>
              <w:left w:val="nil"/>
              <w:bottom w:val="single" w:sz="4" w:space="0" w:color="auto"/>
              <w:right w:val="single" w:sz="4" w:space="0" w:color="auto"/>
            </w:tcBorders>
            <w:noWrap/>
            <w:vAlign w:val="bottom"/>
            <w:hideMark/>
          </w:tcPr>
          <w:p w14:paraId="46CC81E7" w14:textId="236D38F1" w:rsidR="00AC46C0" w:rsidRPr="001F224B" w:rsidRDefault="00AC46C0" w:rsidP="00AC46C0">
            <w:pPr>
              <w:jc w:val="right"/>
              <w:rPr>
                <w:color w:val="000000"/>
                <w:sz w:val="18"/>
                <w:szCs w:val="18"/>
              </w:rPr>
            </w:pPr>
            <w:r w:rsidRPr="001F224B">
              <w:rPr>
                <w:rFonts w:ascii="Calibri" w:hAnsi="Calibri" w:cs="Calibri"/>
                <w:color w:val="000000"/>
                <w:sz w:val="18"/>
                <w:szCs w:val="18"/>
              </w:rPr>
              <w:t>3.418.858</w:t>
            </w:r>
          </w:p>
        </w:tc>
        <w:tc>
          <w:tcPr>
            <w:tcW w:w="970" w:type="dxa"/>
            <w:tcBorders>
              <w:top w:val="nil"/>
              <w:left w:val="nil"/>
              <w:bottom w:val="single" w:sz="4" w:space="0" w:color="auto"/>
              <w:right w:val="single" w:sz="4" w:space="0" w:color="auto"/>
            </w:tcBorders>
            <w:noWrap/>
            <w:vAlign w:val="bottom"/>
            <w:hideMark/>
          </w:tcPr>
          <w:p w14:paraId="2EA06744" w14:textId="77F9AB6A" w:rsidR="00AC46C0" w:rsidRPr="001F224B" w:rsidRDefault="00AC46C0" w:rsidP="00AC46C0">
            <w:pPr>
              <w:jc w:val="right"/>
              <w:rPr>
                <w:color w:val="000000"/>
                <w:sz w:val="18"/>
                <w:szCs w:val="18"/>
              </w:rPr>
            </w:pPr>
            <w:r w:rsidRPr="001F224B">
              <w:rPr>
                <w:rFonts w:ascii="Calibri" w:hAnsi="Calibri" w:cs="Calibri"/>
                <w:color w:val="000000"/>
                <w:sz w:val="18"/>
                <w:szCs w:val="18"/>
              </w:rPr>
              <w:t>47.367.316</w:t>
            </w:r>
          </w:p>
        </w:tc>
        <w:tc>
          <w:tcPr>
            <w:tcW w:w="954" w:type="dxa"/>
            <w:tcBorders>
              <w:top w:val="nil"/>
              <w:left w:val="nil"/>
              <w:bottom w:val="single" w:sz="4" w:space="0" w:color="auto"/>
              <w:right w:val="single" w:sz="4" w:space="0" w:color="auto"/>
            </w:tcBorders>
            <w:noWrap/>
            <w:vAlign w:val="bottom"/>
            <w:hideMark/>
          </w:tcPr>
          <w:p w14:paraId="5AA66834" w14:textId="5AC0261F" w:rsidR="00AC46C0" w:rsidRPr="001F224B" w:rsidRDefault="00AC46C0" w:rsidP="00AC46C0">
            <w:pPr>
              <w:jc w:val="right"/>
              <w:rPr>
                <w:color w:val="000000"/>
                <w:sz w:val="18"/>
                <w:szCs w:val="18"/>
              </w:rPr>
            </w:pPr>
            <w:r w:rsidRPr="001F224B">
              <w:rPr>
                <w:rFonts w:ascii="Calibri" w:hAnsi="Calibri" w:cs="Calibri"/>
                <w:color w:val="000000"/>
                <w:sz w:val="18"/>
                <w:szCs w:val="18"/>
              </w:rPr>
              <w:t>400.870</w:t>
            </w:r>
          </w:p>
        </w:tc>
        <w:tc>
          <w:tcPr>
            <w:tcW w:w="1293" w:type="dxa"/>
            <w:tcBorders>
              <w:top w:val="single" w:sz="4" w:space="0" w:color="auto"/>
              <w:left w:val="nil"/>
              <w:bottom w:val="single" w:sz="4" w:space="0" w:color="auto"/>
              <w:right w:val="single" w:sz="4" w:space="0" w:color="auto"/>
            </w:tcBorders>
            <w:noWrap/>
            <w:vAlign w:val="bottom"/>
            <w:hideMark/>
          </w:tcPr>
          <w:p w14:paraId="3CF87E30" w14:textId="7FC19528" w:rsidR="00AC46C0" w:rsidRPr="001F224B" w:rsidRDefault="00AC46C0" w:rsidP="00AC46C0">
            <w:pPr>
              <w:jc w:val="right"/>
              <w:rPr>
                <w:color w:val="000000"/>
                <w:sz w:val="18"/>
                <w:szCs w:val="18"/>
              </w:rPr>
            </w:pPr>
            <w:r w:rsidRPr="001F224B">
              <w:rPr>
                <w:rFonts w:ascii="Calibri" w:hAnsi="Calibri" w:cs="Calibri"/>
                <w:color w:val="000000"/>
                <w:sz w:val="18"/>
                <w:szCs w:val="18"/>
              </w:rPr>
              <w:t>27.816.645</w:t>
            </w:r>
          </w:p>
        </w:tc>
        <w:tc>
          <w:tcPr>
            <w:tcW w:w="1601" w:type="dxa"/>
            <w:tcBorders>
              <w:top w:val="nil"/>
              <w:left w:val="nil"/>
              <w:bottom w:val="single" w:sz="4" w:space="0" w:color="auto"/>
              <w:right w:val="single" w:sz="4" w:space="0" w:color="auto"/>
            </w:tcBorders>
            <w:noWrap/>
            <w:vAlign w:val="bottom"/>
            <w:hideMark/>
          </w:tcPr>
          <w:p w14:paraId="240DD579" w14:textId="28C7D55A" w:rsidR="00AC46C0" w:rsidRPr="001F224B" w:rsidRDefault="00AC46C0" w:rsidP="00AC46C0">
            <w:pPr>
              <w:jc w:val="right"/>
              <w:rPr>
                <w:color w:val="000000"/>
                <w:sz w:val="18"/>
                <w:szCs w:val="18"/>
              </w:rPr>
            </w:pPr>
            <w:r w:rsidRPr="001F224B">
              <w:rPr>
                <w:rFonts w:ascii="Calibri" w:hAnsi="Calibri" w:cs="Calibri"/>
                <w:color w:val="000000"/>
                <w:sz w:val="18"/>
                <w:szCs w:val="18"/>
              </w:rPr>
              <w:t>58,2%</w:t>
            </w:r>
          </w:p>
        </w:tc>
      </w:tr>
      <w:tr w:rsidR="00AC46C0" w:rsidRPr="001F224B" w14:paraId="05C7D0DD"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7E8F727E" w14:textId="77777777" w:rsidR="00AC46C0" w:rsidRPr="001F224B" w:rsidRDefault="00AC46C0" w:rsidP="00AC46C0">
            <w:pPr>
              <w:rPr>
                <w:color w:val="000000"/>
                <w:sz w:val="18"/>
                <w:szCs w:val="18"/>
              </w:rPr>
            </w:pPr>
            <w:r w:rsidRPr="001F224B">
              <w:rPr>
                <w:color w:val="000000"/>
                <w:sz w:val="18"/>
                <w:szCs w:val="18"/>
              </w:rPr>
              <w:t>Kurumsal alacaklar</w:t>
            </w:r>
          </w:p>
        </w:tc>
        <w:tc>
          <w:tcPr>
            <w:tcW w:w="1055" w:type="dxa"/>
            <w:tcBorders>
              <w:top w:val="nil"/>
              <w:left w:val="single" w:sz="4" w:space="0" w:color="auto"/>
              <w:bottom w:val="single" w:sz="4" w:space="0" w:color="auto"/>
              <w:right w:val="single" w:sz="4" w:space="0" w:color="auto"/>
            </w:tcBorders>
            <w:noWrap/>
            <w:vAlign w:val="bottom"/>
            <w:hideMark/>
          </w:tcPr>
          <w:p w14:paraId="60285557" w14:textId="522E1081" w:rsidR="00AC46C0" w:rsidRPr="001F224B" w:rsidRDefault="00AC46C0" w:rsidP="00AC46C0">
            <w:pPr>
              <w:jc w:val="right"/>
              <w:rPr>
                <w:color w:val="000000"/>
                <w:sz w:val="18"/>
                <w:szCs w:val="18"/>
              </w:rPr>
            </w:pPr>
            <w:r w:rsidRPr="001F224B">
              <w:rPr>
                <w:rFonts w:ascii="Calibri" w:hAnsi="Calibri" w:cs="Calibri"/>
                <w:color w:val="000000"/>
                <w:sz w:val="18"/>
                <w:szCs w:val="18"/>
              </w:rPr>
              <w:t>97.406.686</w:t>
            </w:r>
          </w:p>
        </w:tc>
        <w:tc>
          <w:tcPr>
            <w:tcW w:w="992" w:type="dxa"/>
            <w:tcBorders>
              <w:top w:val="single" w:sz="4" w:space="0" w:color="auto"/>
              <w:left w:val="nil"/>
              <w:bottom w:val="single" w:sz="4" w:space="0" w:color="auto"/>
              <w:right w:val="single" w:sz="4" w:space="0" w:color="auto"/>
            </w:tcBorders>
            <w:noWrap/>
            <w:vAlign w:val="bottom"/>
            <w:hideMark/>
          </w:tcPr>
          <w:p w14:paraId="065ED755" w14:textId="365EDD47" w:rsidR="00AC46C0" w:rsidRPr="001F224B" w:rsidRDefault="00AC46C0" w:rsidP="00AC46C0">
            <w:pPr>
              <w:jc w:val="right"/>
              <w:rPr>
                <w:color w:val="000000"/>
                <w:sz w:val="18"/>
                <w:szCs w:val="18"/>
              </w:rPr>
            </w:pPr>
            <w:r w:rsidRPr="001F224B">
              <w:rPr>
                <w:rFonts w:ascii="Calibri" w:hAnsi="Calibri" w:cs="Calibri"/>
                <w:color w:val="000000"/>
                <w:sz w:val="18"/>
                <w:szCs w:val="18"/>
              </w:rPr>
              <w:t>19.003.806</w:t>
            </w:r>
          </w:p>
        </w:tc>
        <w:tc>
          <w:tcPr>
            <w:tcW w:w="970" w:type="dxa"/>
            <w:tcBorders>
              <w:top w:val="single" w:sz="4" w:space="0" w:color="auto"/>
              <w:left w:val="nil"/>
              <w:bottom w:val="single" w:sz="4" w:space="0" w:color="auto"/>
              <w:right w:val="single" w:sz="4" w:space="0" w:color="auto"/>
            </w:tcBorders>
            <w:noWrap/>
            <w:vAlign w:val="bottom"/>
            <w:hideMark/>
          </w:tcPr>
          <w:p w14:paraId="7F777A7E" w14:textId="094DC425" w:rsidR="00AC46C0" w:rsidRPr="001F224B" w:rsidRDefault="00AC46C0" w:rsidP="00AC46C0">
            <w:pPr>
              <w:jc w:val="right"/>
              <w:rPr>
                <w:color w:val="000000"/>
                <w:sz w:val="18"/>
                <w:szCs w:val="18"/>
              </w:rPr>
            </w:pPr>
            <w:r w:rsidRPr="001F224B">
              <w:rPr>
                <w:rFonts w:ascii="Calibri" w:hAnsi="Calibri" w:cs="Calibri"/>
                <w:color w:val="000000"/>
                <w:sz w:val="18"/>
                <w:szCs w:val="18"/>
              </w:rPr>
              <w:t>90.914.663</w:t>
            </w:r>
          </w:p>
        </w:tc>
        <w:tc>
          <w:tcPr>
            <w:tcW w:w="954" w:type="dxa"/>
            <w:tcBorders>
              <w:top w:val="nil"/>
              <w:left w:val="nil"/>
              <w:bottom w:val="single" w:sz="4" w:space="0" w:color="auto"/>
              <w:right w:val="single" w:sz="4" w:space="0" w:color="auto"/>
            </w:tcBorders>
            <w:noWrap/>
            <w:vAlign w:val="bottom"/>
            <w:hideMark/>
          </w:tcPr>
          <w:p w14:paraId="25A330D5" w14:textId="176BCE34" w:rsidR="00AC46C0" w:rsidRPr="001F224B" w:rsidRDefault="00AC46C0" w:rsidP="00AC46C0">
            <w:pPr>
              <w:jc w:val="right"/>
              <w:rPr>
                <w:color w:val="000000"/>
                <w:sz w:val="18"/>
                <w:szCs w:val="18"/>
              </w:rPr>
            </w:pPr>
            <w:r w:rsidRPr="001F224B">
              <w:rPr>
                <w:rFonts w:ascii="Calibri" w:hAnsi="Calibri" w:cs="Calibri"/>
                <w:color w:val="000000"/>
                <w:sz w:val="18"/>
                <w:szCs w:val="18"/>
              </w:rPr>
              <w:t>5.637.229</w:t>
            </w:r>
          </w:p>
        </w:tc>
        <w:tc>
          <w:tcPr>
            <w:tcW w:w="1293" w:type="dxa"/>
            <w:tcBorders>
              <w:top w:val="nil"/>
              <w:left w:val="nil"/>
              <w:bottom w:val="single" w:sz="4" w:space="0" w:color="auto"/>
              <w:right w:val="single" w:sz="4" w:space="0" w:color="auto"/>
            </w:tcBorders>
            <w:noWrap/>
            <w:vAlign w:val="bottom"/>
            <w:hideMark/>
          </w:tcPr>
          <w:p w14:paraId="00951501" w14:textId="2C20479C" w:rsidR="00AC46C0" w:rsidRPr="001F224B" w:rsidRDefault="00AC46C0" w:rsidP="00AC46C0">
            <w:pPr>
              <w:jc w:val="right"/>
              <w:rPr>
                <w:color w:val="000000"/>
                <w:sz w:val="18"/>
                <w:szCs w:val="18"/>
              </w:rPr>
            </w:pPr>
            <w:r w:rsidRPr="001F224B">
              <w:rPr>
                <w:rFonts w:ascii="Calibri" w:hAnsi="Calibri" w:cs="Calibri"/>
                <w:color w:val="000000"/>
                <w:sz w:val="18"/>
                <w:szCs w:val="18"/>
              </w:rPr>
              <w:t>96.551.892</w:t>
            </w:r>
          </w:p>
        </w:tc>
        <w:tc>
          <w:tcPr>
            <w:tcW w:w="1601" w:type="dxa"/>
            <w:tcBorders>
              <w:top w:val="nil"/>
              <w:left w:val="nil"/>
              <w:bottom w:val="single" w:sz="4" w:space="0" w:color="auto"/>
              <w:right w:val="single" w:sz="4" w:space="0" w:color="auto"/>
            </w:tcBorders>
            <w:noWrap/>
            <w:vAlign w:val="bottom"/>
            <w:hideMark/>
          </w:tcPr>
          <w:p w14:paraId="72536E9F" w14:textId="4A240A36" w:rsidR="00AC46C0" w:rsidRPr="001F224B" w:rsidRDefault="00AC46C0" w:rsidP="00AC46C0">
            <w:pPr>
              <w:jc w:val="right"/>
              <w:rPr>
                <w:color w:val="000000"/>
                <w:sz w:val="18"/>
                <w:szCs w:val="18"/>
              </w:rPr>
            </w:pPr>
            <w:r w:rsidRPr="001F224B">
              <w:rPr>
                <w:rFonts w:ascii="Calibri" w:hAnsi="Calibri" w:cs="Calibri"/>
                <w:color w:val="000000"/>
                <w:sz w:val="18"/>
                <w:szCs w:val="18"/>
              </w:rPr>
              <w:t>100,0%</w:t>
            </w:r>
          </w:p>
        </w:tc>
      </w:tr>
      <w:tr w:rsidR="00AC46C0" w:rsidRPr="001F224B" w14:paraId="6521C301"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5DA45A1E" w14:textId="77777777" w:rsidR="00AC46C0" w:rsidRPr="001F224B" w:rsidRDefault="00AC46C0" w:rsidP="00AC46C0">
            <w:pPr>
              <w:rPr>
                <w:color w:val="000000"/>
                <w:sz w:val="18"/>
                <w:szCs w:val="18"/>
              </w:rPr>
            </w:pPr>
            <w:r w:rsidRPr="001F224B">
              <w:rPr>
                <w:color w:val="000000"/>
                <w:sz w:val="18"/>
                <w:szCs w:val="18"/>
              </w:rPr>
              <w:t>Perakende alacaklar</w:t>
            </w:r>
          </w:p>
        </w:tc>
        <w:tc>
          <w:tcPr>
            <w:tcW w:w="1055" w:type="dxa"/>
            <w:tcBorders>
              <w:top w:val="nil"/>
              <w:left w:val="nil"/>
              <w:bottom w:val="single" w:sz="4" w:space="0" w:color="auto"/>
              <w:right w:val="single" w:sz="4" w:space="0" w:color="auto"/>
            </w:tcBorders>
            <w:noWrap/>
            <w:vAlign w:val="bottom"/>
            <w:hideMark/>
          </w:tcPr>
          <w:p w14:paraId="052214B5" w14:textId="54C645D5"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07811523" w14:textId="0A5F3D97"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7E1487B9" w14:textId="2CDAFBB1"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74A7C442" w14:textId="759126C6"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63210226" w14:textId="1D4B0847"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045C547C" w14:textId="46332CE7"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4B633430"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5B42F2C6" w14:textId="77777777" w:rsidR="00AC46C0" w:rsidRPr="001F224B" w:rsidRDefault="00AC46C0" w:rsidP="00AC46C0">
            <w:pPr>
              <w:rPr>
                <w:color w:val="000000"/>
                <w:sz w:val="18"/>
                <w:szCs w:val="18"/>
              </w:rPr>
            </w:pPr>
            <w:r w:rsidRPr="001F224B">
              <w:rPr>
                <w:color w:val="000000"/>
                <w:sz w:val="18"/>
                <w:szCs w:val="18"/>
              </w:rPr>
              <w:t>İkamet amaçlı gayrimenkul ipoteği ile teminatlandırılan alacaklar</w:t>
            </w:r>
          </w:p>
        </w:tc>
        <w:tc>
          <w:tcPr>
            <w:tcW w:w="1055" w:type="dxa"/>
            <w:tcBorders>
              <w:top w:val="nil"/>
              <w:left w:val="single" w:sz="4" w:space="0" w:color="auto"/>
              <w:bottom w:val="single" w:sz="4" w:space="0" w:color="auto"/>
              <w:right w:val="single" w:sz="4" w:space="0" w:color="auto"/>
            </w:tcBorders>
            <w:noWrap/>
            <w:vAlign w:val="bottom"/>
            <w:hideMark/>
          </w:tcPr>
          <w:p w14:paraId="326887F9" w14:textId="40798E20" w:rsidR="00AC46C0" w:rsidRPr="001F224B" w:rsidRDefault="00AC46C0" w:rsidP="00AC46C0">
            <w:pPr>
              <w:jc w:val="right"/>
              <w:rPr>
                <w:color w:val="000000"/>
                <w:sz w:val="18"/>
                <w:szCs w:val="18"/>
              </w:rPr>
            </w:pPr>
            <w:r w:rsidRPr="001F224B">
              <w:rPr>
                <w:rFonts w:ascii="Calibri" w:hAnsi="Calibri" w:cs="Calibri"/>
                <w:color w:val="000000"/>
                <w:sz w:val="18"/>
                <w:szCs w:val="18"/>
              </w:rPr>
              <w:t>181.018</w:t>
            </w:r>
          </w:p>
        </w:tc>
        <w:tc>
          <w:tcPr>
            <w:tcW w:w="992" w:type="dxa"/>
            <w:tcBorders>
              <w:top w:val="nil"/>
              <w:left w:val="nil"/>
              <w:bottom w:val="single" w:sz="4" w:space="0" w:color="auto"/>
              <w:right w:val="single" w:sz="4" w:space="0" w:color="auto"/>
            </w:tcBorders>
            <w:noWrap/>
            <w:vAlign w:val="bottom"/>
            <w:hideMark/>
          </w:tcPr>
          <w:p w14:paraId="6F352077" w14:textId="5B2FD9B9" w:rsidR="00AC46C0" w:rsidRPr="001F224B" w:rsidRDefault="00AC46C0" w:rsidP="00AC46C0">
            <w:pPr>
              <w:jc w:val="right"/>
              <w:rPr>
                <w:color w:val="000000"/>
                <w:sz w:val="18"/>
                <w:szCs w:val="18"/>
              </w:rPr>
            </w:pPr>
            <w:r w:rsidRPr="001F224B">
              <w:rPr>
                <w:rFonts w:ascii="Calibri" w:hAnsi="Calibri" w:cs="Calibri"/>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642B5A3B" w14:textId="55AB94C2" w:rsidR="00AC46C0" w:rsidRPr="001F224B" w:rsidRDefault="00AC46C0" w:rsidP="00AC46C0">
            <w:pPr>
              <w:jc w:val="right"/>
              <w:rPr>
                <w:color w:val="000000"/>
                <w:sz w:val="18"/>
                <w:szCs w:val="18"/>
              </w:rPr>
            </w:pPr>
            <w:r w:rsidRPr="001F224B">
              <w:rPr>
                <w:rFonts w:ascii="Calibri" w:hAnsi="Calibri" w:cs="Calibri"/>
                <w:color w:val="000000"/>
                <w:sz w:val="18"/>
                <w:szCs w:val="18"/>
              </w:rPr>
              <w:t>181.018</w:t>
            </w:r>
          </w:p>
        </w:tc>
        <w:tc>
          <w:tcPr>
            <w:tcW w:w="954" w:type="dxa"/>
            <w:tcBorders>
              <w:top w:val="nil"/>
              <w:left w:val="nil"/>
              <w:bottom w:val="single" w:sz="4" w:space="0" w:color="auto"/>
              <w:right w:val="single" w:sz="4" w:space="0" w:color="auto"/>
            </w:tcBorders>
            <w:noWrap/>
            <w:vAlign w:val="bottom"/>
            <w:hideMark/>
          </w:tcPr>
          <w:p w14:paraId="6E3183F0" w14:textId="0EB00118" w:rsidR="00AC46C0" w:rsidRPr="001F224B" w:rsidRDefault="00AC46C0" w:rsidP="00AC46C0">
            <w:pPr>
              <w:jc w:val="right"/>
              <w:rPr>
                <w:color w:val="000000"/>
                <w:sz w:val="18"/>
                <w:szCs w:val="18"/>
              </w:rPr>
            </w:pPr>
            <w:r w:rsidRPr="001F224B">
              <w:rPr>
                <w:rFonts w:ascii="Calibri" w:hAnsi="Calibri" w:cs="Calibri"/>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7C9F8DB6" w14:textId="113EAB79" w:rsidR="00AC46C0" w:rsidRPr="001F224B" w:rsidRDefault="00AC46C0" w:rsidP="00AC46C0">
            <w:pPr>
              <w:jc w:val="right"/>
              <w:rPr>
                <w:color w:val="000000"/>
                <w:sz w:val="18"/>
                <w:szCs w:val="18"/>
              </w:rPr>
            </w:pPr>
            <w:r w:rsidRPr="001F224B">
              <w:rPr>
                <w:rFonts w:ascii="Calibri" w:hAnsi="Calibri" w:cs="Calibri"/>
                <w:color w:val="000000"/>
                <w:sz w:val="18"/>
                <w:szCs w:val="18"/>
              </w:rPr>
              <w:t>63.356</w:t>
            </w:r>
          </w:p>
        </w:tc>
        <w:tc>
          <w:tcPr>
            <w:tcW w:w="1601" w:type="dxa"/>
            <w:tcBorders>
              <w:top w:val="nil"/>
              <w:left w:val="nil"/>
              <w:bottom w:val="single" w:sz="4" w:space="0" w:color="auto"/>
              <w:right w:val="single" w:sz="4" w:space="0" w:color="auto"/>
            </w:tcBorders>
            <w:noWrap/>
            <w:vAlign w:val="bottom"/>
            <w:hideMark/>
          </w:tcPr>
          <w:p w14:paraId="100C8551" w14:textId="6B28C617" w:rsidR="00AC46C0" w:rsidRPr="001F224B" w:rsidRDefault="00AC46C0" w:rsidP="00AC46C0">
            <w:pPr>
              <w:jc w:val="right"/>
              <w:rPr>
                <w:color w:val="000000"/>
                <w:sz w:val="18"/>
                <w:szCs w:val="18"/>
              </w:rPr>
            </w:pPr>
            <w:r w:rsidRPr="001F224B">
              <w:rPr>
                <w:rFonts w:ascii="Calibri" w:hAnsi="Calibri" w:cs="Calibri"/>
                <w:color w:val="000000"/>
                <w:sz w:val="18"/>
                <w:szCs w:val="18"/>
              </w:rPr>
              <w:t>35,0%</w:t>
            </w:r>
          </w:p>
        </w:tc>
      </w:tr>
      <w:tr w:rsidR="00AC46C0" w:rsidRPr="001F224B" w14:paraId="74E3FB8B"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37D60562" w14:textId="77777777" w:rsidR="00AC46C0" w:rsidRPr="001F224B" w:rsidRDefault="00AC46C0" w:rsidP="00AC46C0">
            <w:pPr>
              <w:rPr>
                <w:color w:val="000000"/>
                <w:sz w:val="18"/>
                <w:szCs w:val="18"/>
              </w:rPr>
            </w:pPr>
            <w:r w:rsidRPr="001F224B">
              <w:rPr>
                <w:color w:val="000000"/>
                <w:sz w:val="18"/>
                <w:szCs w:val="18"/>
              </w:rPr>
              <w:t>Ticari amaçlı gayrimenkul ipoteği ile teminatlandırılan alacaklar</w:t>
            </w:r>
          </w:p>
        </w:tc>
        <w:tc>
          <w:tcPr>
            <w:tcW w:w="1055" w:type="dxa"/>
            <w:tcBorders>
              <w:top w:val="nil"/>
              <w:left w:val="single" w:sz="4" w:space="0" w:color="auto"/>
              <w:bottom w:val="single" w:sz="4" w:space="0" w:color="auto"/>
              <w:right w:val="single" w:sz="4" w:space="0" w:color="auto"/>
            </w:tcBorders>
            <w:noWrap/>
            <w:vAlign w:val="bottom"/>
            <w:hideMark/>
          </w:tcPr>
          <w:p w14:paraId="28994251" w14:textId="567B93AA" w:rsidR="00AC46C0" w:rsidRPr="001F224B" w:rsidRDefault="00AC46C0" w:rsidP="00AC46C0">
            <w:pPr>
              <w:jc w:val="right"/>
              <w:rPr>
                <w:color w:val="000000"/>
                <w:sz w:val="18"/>
                <w:szCs w:val="18"/>
              </w:rPr>
            </w:pPr>
            <w:r w:rsidRPr="001F224B">
              <w:rPr>
                <w:rFonts w:ascii="Calibri" w:hAnsi="Calibri" w:cs="Calibri"/>
                <w:color w:val="000000"/>
                <w:sz w:val="18"/>
                <w:szCs w:val="18"/>
              </w:rPr>
              <w:t>6.270.523</w:t>
            </w:r>
          </w:p>
        </w:tc>
        <w:tc>
          <w:tcPr>
            <w:tcW w:w="992" w:type="dxa"/>
            <w:tcBorders>
              <w:top w:val="nil"/>
              <w:left w:val="nil"/>
              <w:bottom w:val="single" w:sz="4" w:space="0" w:color="auto"/>
              <w:right w:val="single" w:sz="4" w:space="0" w:color="auto"/>
            </w:tcBorders>
            <w:noWrap/>
            <w:vAlign w:val="bottom"/>
            <w:hideMark/>
          </w:tcPr>
          <w:p w14:paraId="1A91DC5E" w14:textId="7B9B46F6" w:rsidR="00AC46C0" w:rsidRPr="001F224B" w:rsidRDefault="00AC46C0" w:rsidP="00AC46C0">
            <w:pPr>
              <w:jc w:val="right"/>
              <w:rPr>
                <w:color w:val="000000"/>
                <w:sz w:val="18"/>
                <w:szCs w:val="18"/>
              </w:rPr>
            </w:pPr>
            <w:r w:rsidRPr="001F224B">
              <w:rPr>
                <w:rFonts w:ascii="Calibri" w:hAnsi="Calibri" w:cs="Calibri"/>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68BFCBCD" w14:textId="4BD9DAE5" w:rsidR="00AC46C0" w:rsidRPr="001F224B" w:rsidRDefault="00AC46C0" w:rsidP="00AC46C0">
            <w:pPr>
              <w:jc w:val="right"/>
              <w:rPr>
                <w:color w:val="000000"/>
                <w:sz w:val="18"/>
                <w:szCs w:val="18"/>
              </w:rPr>
            </w:pPr>
            <w:r w:rsidRPr="001F224B">
              <w:rPr>
                <w:rFonts w:ascii="Calibri" w:hAnsi="Calibri" w:cs="Calibri"/>
                <w:color w:val="000000"/>
                <w:sz w:val="18"/>
                <w:szCs w:val="18"/>
              </w:rPr>
              <w:t>6.239.523</w:t>
            </w:r>
          </w:p>
        </w:tc>
        <w:tc>
          <w:tcPr>
            <w:tcW w:w="954" w:type="dxa"/>
            <w:tcBorders>
              <w:top w:val="nil"/>
              <w:left w:val="nil"/>
              <w:bottom w:val="single" w:sz="4" w:space="0" w:color="auto"/>
              <w:right w:val="single" w:sz="4" w:space="0" w:color="auto"/>
            </w:tcBorders>
            <w:noWrap/>
            <w:vAlign w:val="bottom"/>
            <w:hideMark/>
          </w:tcPr>
          <w:p w14:paraId="20FA6685" w14:textId="035A870F" w:rsidR="00AC46C0" w:rsidRPr="001F224B" w:rsidRDefault="00AC46C0" w:rsidP="00AC46C0">
            <w:pPr>
              <w:jc w:val="right"/>
              <w:rPr>
                <w:color w:val="000000"/>
                <w:sz w:val="18"/>
                <w:szCs w:val="18"/>
              </w:rPr>
            </w:pPr>
            <w:r w:rsidRPr="001F224B">
              <w:rPr>
                <w:rFonts w:ascii="Calibri" w:hAnsi="Calibri" w:cs="Calibri"/>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413BB723" w14:textId="592974AE" w:rsidR="00AC46C0" w:rsidRPr="001F224B" w:rsidRDefault="00AC46C0" w:rsidP="00AC46C0">
            <w:pPr>
              <w:jc w:val="right"/>
              <w:rPr>
                <w:color w:val="000000"/>
                <w:sz w:val="18"/>
                <w:szCs w:val="18"/>
              </w:rPr>
            </w:pPr>
            <w:r w:rsidRPr="001F224B">
              <w:rPr>
                <w:rFonts w:ascii="Calibri" w:hAnsi="Calibri" w:cs="Calibri"/>
                <w:color w:val="000000"/>
                <w:sz w:val="18"/>
                <w:szCs w:val="18"/>
              </w:rPr>
              <w:t>3.281.974</w:t>
            </w:r>
          </w:p>
        </w:tc>
        <w:tc>
          <w:tcPr>
            <w:tcW w:w="1601" w:type="dxa"/>
            <w:tcBorders>
              <w:top w:val="nil"/>
              <w:left w:val="nil"/>
              <w:bottom w:val="single" w:sz="4" w:space="0" w:color="auto"/>
              <w:right w:val="single" w:sz="4" w:space="0" w:color="auto"/>
            </w:tcBorders>
            <w:noWrap/>
            <w:vAlign w:val="bottom"/>
            <w:hideMark/>
          </w:tcPr>
          <w:p w14:paraId="2AED83BF" w14:textId="6B11C90B" w:rsidR="00AC46C0" w:rsidRPr="001F224B" w:rsidRDefault="00AC46C0" w:rsidP="00AC46C0">
            <w:pPr>
              <w:jc w:val="right"/>
              <w:rPr>
                <w:color w:val="000000"/>
                <w:sz w:val="18"/>
                <w:szCs w:val="18"/>
              </w:rPr>
            </w:pPr>
            <w:r w:rsidRPr="001F224B">
              <w:rPr>
                <w:rFonts w:ascii="Calibri" w:hAnsi="Calibri" w:cs="Calibri"/>
                <w:color w:val="000000"/>
                <w:sz w:val="18"/>
                <w:szCs w:val="18"/>
              </w:rPr>
              <w:t>52,6%</w:t>
            </w:r>
          </w:p>
        </w:tc>
      </w:tr>
      <w:tr w:rsidR="00AC46C0" w:rsidRPr="001F224B" w14:paraId="3B55A902"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6935F66F" w14:textId="77777777" w:rsidR="00AC46C0" w:rsidRPr="001F224B" w:rsidRDefault="00AC46C0" w:rsidP="00AC46C0">
            <w:pPr>
              <w:rPr>
                <w:color w:val="000000"/>
                <w:sz w:val="18"/>
                <w:szCs w:val="18"/>
              </w:rPr>
            </w:pPr>
            <w:r w:rsidRPr="001F224B">
              <w:rPr>
                <w:color w:val="000000"/>
                <w:sz w:val="18"/>
                <w:szCs w:val="18"/>
              </w:rPr>
              <w:t>Tahsili gecikmiş alacaklar</w:t>
            </w:r>
          </w:p>
        </w:tc>
        <w:tc>
          <w:tcPr>
            <w:tcW w:w="1055" w:type="dxa"/>
            <w:tcBorders>
              <w:top w:val="nil"/>
              <w:left w:val="single" w:sz="4" w:space="0" w:color="auto"/>
              <w:bottom w:val="single" w:sz="4" w:space="0" w:color="auto"/>
              <w:right w:val="single" w:sz="4" w:space="0" w:color="auto"/>
            </w:tcBorders>
            <w:noWrap/>
            <w:vAlign w:val="bottom"/>
            <w:hideMark/>
          </w:tcPr>
          <w:p w14:paraId="563BF2BD" w14:textId="425E7831" w:rsidR="00AC46C0" w:rsidRPr="001F224B" w:rsidRDefault="00AC46C0" w:rsidP="00AC46C0">
            <w:pPr>
              <w:jc w:val="right"/>
              <w:rPr>
                <w:color w:val="000000"/>
                <w:sz w:val="18"/>
                <w:szCs w:val="18"/>
              </w:rPr>
            </w:pPr>
            <w:r w:rsidRPr="001F224B">
              <w:rPr>
                <w:rFonts w:ascii="Calibri" w:hAnsi="Calibri" w:cs="Calibri"/>
                <w:color w:val="000000"/>
                <w:sz w:val="18"/>
                <w:szCs w:val="18"/>
              </w:rPr>
              <w:t>127.430</w:t>
            </w:r>
          </w:p>
        </w:tc>
        <w:tc>
          <w:tcPr>
            <w:tcW w:w="992" w:type="dxa"/>
            <w:tcBorders>
              <w:top w:val="nil"/>
              <w:left w:val="nil"/>
              <w:bottom w:val="single" w:sz="4" w:space="0" w:color="auto"/>
              <w:right w:val="single" w:sz="4" w:space="0" w:color="auto"/>
            </w:tcBorders>
            <w:noWrap/>
            <w:vAlign w:val="bottom"/>
            <w:hideMark/>
          </w:tcPr>
          <w:p w14:paraId="54DC2483" w14:textId="54853EBD" w:rsidR="00AC46C0" w:rsidRPr="001F224B" w:rsidRDefault="00AC46C0" w:rsidP="00AC46C0">
            <w:pPr>
              <w:jc w:val="right"/>
              <w:rPr>
                <w:color w:val="000000"/>
                <w:sz w:val="18"/>
                <w:szCs w:val="18"/>
              </w:rPr>
            </w:pPr>
            <w:r w:rsidRPr="001F224B">
              <w:rPr>
                <w:rFonts w:ascii="Calibri" w:hAnsi="Calibri" w:cs="Calibri"/>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1C7185FE" w14:textId="15762DDA" w:rsidR="00AC46C0" w:rsidRPr="001F224B" w:rsidRDefault="00AC46C0" w:rsidP="00AC46C0">
            <w:pPr>
              <w:jc w:val="right"/>
              <w:rPr>
                <w:color w:val="000000"/>
                <w:sz w:val="18"/>
                <w:szCs w:val="18"/>
              </w:rPr>
            </w:pPr>
            <w:r w:rsidRPr="001F224B">
              <w:rPr>
                <w:rFonts w:ascii="Calibri" w:hAnsi="Calibri" w:cs="Calibri"/>
                <w:color w:val="000000"/>
                <w:sz w:val="18"/>
                <w:szCs w:val="18"/>
              </w:rPr>
              <w:t>127.431</w:t>
            </w:r>
          </w:p>
        </w:tc>
        <w:tc>
          <w:tcPr>
            <w:tcW w:w="954" w:type="dxa"/>
            <w:tcBorders>
              <w:top w:val="nil"/>
              <w:left w:val="nil"/>
              <w:bottom w:val="single" w:sz="4" w:space="0" w:color="auto"/>
              <w:right w:val="single" w:sz="4" w:space="0" w:color="auto"/>
            </w:tcBorders>
            <w:noWrap/>
            <w:vAlign w:val="bottom"/>
            <w:hideMark/>
          </w:tcPr>
          <w:p w14:paraId="4A2E10ED" w14:textId="65415481" w:rsidR="00AC46C0" w:rsidRPr="001F224B" w:rsidRDefault="00AC46C0" w:rsidP="00AC46C0">
            <w:pPr>
              <w:jc w:val="right"/>
              <w:rPr>
                <w:color w:val="000000"/>
                <w:sz w:val="18"/>
                <w:szCs w:val="18"/>
              </w:rPr>
            </w:pPr>
            <w:r w:rsidRPr="001F224B">
              <w:rPr>
                <w:rFonts w:ascii="Calibri" w:hAnsi="Calibri" w:cs="Calibri"/>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644C4204" w14:textId="270951E3" w:rsidR="00AC46C0" w:rsidRPr="001F224B" w:rsidRDefault="00AC46C0" w:rsidP="00AC46C0">
            <w:pPr>
              <w:jc w:val="right"/>
              <w:rPr>
                <w:color w:val="000000"/>
                <w:sz w:val="18"/>
                <w:szCs w:val="18"/>
              </w:rPr>
            </w:pPr>
            <w:r w:rsidRPr="001F224B">
              <w:rPr>
                <w:rFonts w:ascii="Calibri" w:hAnsi="Calibri" w:cs="Calibri"/>
                <w:color w:val="000000"/>
                <w:sz w:val="18"/>
                <w:szCs w:val="18"/>
              </w:rPr>
              <w:t>69.712</w:t>
            </w:r>
          </w:p>
        </w:tc>
        <w:tc>
          <w:tcPr>
            <w:tcW w:w="1601" w:type="dxa"/>
            <w:tcBorders>
              <w:top w:val="nil"/>
              <w:left w:val="nil"/>
              <w:bottom w:val="single" w:sz="4" w:space="0" w:color="auto"/>
              <w:right w:val="single" w:sz="4" w:space="0" w:color="auto"/>
            </w:tcBorders>
            <w:noWrap/>
            <w:vAlign w:val="bottom"/>
            <w:hideMark/>
          </w:tcPr>
          <w:p w14:paraId="5C8D7F33" w14:textId="64DD9044" w:rsidR="00AC46C0" w:rsidRPr="001F224B" w:rsidRDefault="00AC46C0" w:rsidP="00AC46C0">
            <w:pPr>
              <w:jc w:val="right"/>
              <w:rPr>
                <w:color w:val="000000"/>
                <w:sz w:val="18"/>
                <w:szCs w:val="18"/>
              </w:rPr>
            </w:pPr>
            <w:r w:rsidRPr="001F224B">
              <w:rPr>
                <w:rFonts w:ascii="Calibri" w:hAnsi="Calibri" w:cs="Calibri"/>
                <w:color w:val="000000"/>
                <w:sz w:val="18"/>
                <w:szCs w:val="18"/>
              </w:rPr>
              <w:t>54,7%</w:t>
            </w:r>
          </w:p>
        </w:tc>
      </w:tr>
      <w:tr w:rsidR="00AC46C0" w:rsidRPr="001F224B" w14:paraId="2FBE1FEC"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604197A1" w14:textId="77777777" w:rsidR="00AC46C0" w:rsidRPr="001F224B" w:rsidRDefault="00AC46C0" w:rsidP="00AC46C0">
            <w:pPr>
              <w:rPr>
                <w:color w:val="000000"/>
                <w:sz w:val="18"/>
                <w:szCs w:val="18"/>
              </w:rPr>
            </w:pPr>
            <w:r w:rsidRPr="001F224B">
              <w:rPr>
                <w:color w:val="000000"/>
                <w:sz w:val="18"/>
                <w:szCs w:val="18"/>
              </w:rPr>
              <w:t>Kurulca riski yüksek belirlenmiş alacaklar</w:t>
            </w:r>
          </w:p>
        </w:tc>
        <w:tc>
          <w:tcPr>
            <w:tcW w:w="1055" w:type="dxa"/>
            <w:tcBorders>
              <w:top w:val="nil"/>
              <w:left w:val="nil"/>
              <w:bottom w:val="single" w:sz="4" w:space="0" w:color="auto"/>
              <w:right w:val="single" w:sz="4" w:space="0" w:color="auto"/>
            </w:tcBorders>
            <w:noWrap/>
            <w:vAlign w:val="bottom"/>
            <w:hideMark/>
          </w:tcPr>
          <w:p w14:paraId="4F62D687" w14:textId="1713AC33"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1DCCC71F" w14:textId="719B1D41"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53FFAE14" w14:textId="295CB7F4"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12C6097D" w14:textId="4784938E"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5266BA2E" w14:textId="3AF67B8E"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4A015246" w14:textId="11DB4A78"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1624C09C"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2BDB6811" w14:textId="77777777" w:rsidR="00AC46C0" w:rsidRPr="001F224B" w:rsidRDefault="00AC46C0" w:rsidP="00AC46C0">
            <w:pPr>
              <w:rPr>
                <w:color w:val="000000"/>
                <w:sz w:val="18"/>
                <w:szCs w:val="18"/>
              </w:rPr>
            </w:pPr>
            <w:r w:rsidRPr="001F224B">
              <w:rPr>
                <w:color w:val="000000"/>
                <w:sz w:val="18"/>
                <w:szCs w:val="18"/>
              </w:rPr>
              <w:t>Teminatlı menkul kıymetler</w:t>
            </w:r>
          </w:p>
        </w:tc>
        <w:tc>
          <w:tcPr>
            <w:tcW w:w="1055" w:type="dxa"/>
            <w:tcBorders>
              <w:top w:val="nil"/>
              <w:left w:val="nil"/>
              <w:bottom w:val="single" w:sz="4" w:space="0" w:color="auto"/>
              <w:right w:val="single" w:sz="4" w:space="0" w:color="auto"/>
            </w:tcBorders>
            <w:noWrap/>
            <w:vAlign w:val="bottom"/>
            <w:hideMark/>
          </w:tcPr>
          <w:p w14:paraId="1B342B05" w14:textId="260679CE"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3B63264C" w14:textId="5E24D5A7"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65C11663" w14:textId="1E68C8BD"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3B84B991" w14:textId="03E9E4F8"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6DCFD533" w14:textId="3DE96C84"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59330A73" w14:textId="50C2BF61"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39894688" w14:textId="77777777" w:rsidTr="00A81B93">
        <w:trPr>
          <w:trHeight w:val="598"/>
        </w:trPr>
        <w:tc>
          <w:tcPr>
            <w:tcW w:w="3054" w:type="dxa"/>
            <w:tcBorders>
              <w:top w:val="nil"/>
              <w:left w:val="single" w:sz="4" w:space="0" w:color="auto"/>
              <w:bottom w:val="single" w:sz="4" w:space="0" w:color="auto"/>
              <w:right w:val="single" w:sz="4" w:space="0" w:color="auto"/>
            </w:tcBorders>
            <w:vAlign w:val="bottom"/>
            <w:hideMark/>
          </w:tcPr>
          <w:p w14:paraId="1AFDEA8E" w14:textId="77777777" w:rsidR="00AC46C0" w:rsidRPr="001F224B" w:rsidRDefault="00AC46C0" w:rsidP="00AC46C0">
            <w:pPr>
              <w:rPr>
                <w:color w:val="000000"/>
                <w:sz w:val="18"/>
                <w:szCs w:val="18"/>
              </w:rPr>
            </w:pPr>
            <w:r w:rsidRPr="001F224B">
              <w:rPr>
                <w:color w:val="000000"/>
                <w:sz w:val="18"/>
                <w:szCs w:val="18"/>
              </w:rPr>
              <w:t>Bankalardan ve aracı kurumlardan olan kısa vadeli alacaklar</w:t>
            </w:r>
            <w:r w:rsidRPr="001F224B">
              <w:rPr>
                <w:color w:val="000000"/>
                <w:sz w:val="18"/>
                <w:szCs w:val="18"/>
              </w:rPr>
              <w:br/>
              <w:t>ile kısa vadeli kurumsal alacaklar</w:t>
            </w:r>
          </w:p>
        </w:tc>
        <w:tc>
          <w:tcPr>
            <w:tcW w:w="1055" w:type="dxa"/>
            <w:tcBorders>
              <w:top w:val="nil"/>
              <w:left w:val="nil"/>
              <w:bottom w:val="single" w:sz="4" w:space="0" w:color="auto"/>
              <w:right w:val="single" w:sz="4" w:space="0" w:color="auto"/>
            </w:tcBorders>
            <w:noWrap/>
            <w:vAlign w:val="bottom"/>
            <w:hideMark/>
          </w:tcPr>
          <w:p w14:paraId="1A1C00D0" w14:textId="3404B16F"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3F57DA05" w14:textId="2ECFECFF"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2853BCF9" w14:textId="6626A5E6"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2F85570D" w14:textId="59A5E0EA"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29696936" w14:textId="10E5C468"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4BF60E24" w14:textId="4890672F"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0EA2EEF8"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6263A5DF" w14:textId="77777777" w:rsidR="00AC46C0" w:rsidRPr="001F224B" w:rsidRDefault="00AC46C0" w:rsidP="00AC46C0">
            <w:pPr>
              <w:rPr>
                <w:color w:val="000000"/>
                <w:sz w:val="18"/>
                <w:szCs w:val="18"/>
              </w:rPr>
            </w:pPr>
            <w:r w:rsidRPr="001F224B">
              <w:rPr>
                <w:color w:val="000000"/>
                <w:sz w:val="18"/>
                <w:szCs w:val="18"/>
              </w:rPr>
              <w:t>Kolektif yatırım kuruluşu niteliğindeki yatırımlar</w:t>
            </w:r>
          </w:p>
        </w:tc>
        <w:tc>
          <w:tcPr>
            <w:tcW w:w="1055" w:type="dxa"/>
            <w:tcBorders>
              <w:top w:val="nil"/>
              <w:left w:val="single" w:sz="4" w:space="0" w:color="auto"/>
              <w:bottom w:val="single" w:sz="4" w:space="0" w:color="auto"/>
              <w:right w:val="single" w:sz="4" w:space="0" w:color="auto"/>
            </w:tcBorders>
            <w:noWrap/>
            <w:vAlign w:val="bottom"/>
            <w:hideMark/>
          </w:tcPr>
          <w:p w14:paraId="23DF4D61" w14:textId="54209081" w:rsidR="00AC46C0" w:rsidRPr="001F224B" w:rsidRDefault="00AC46C0" w:rsidP="00AC46C0">
            <w:pPr>
              <w:jc w:val="right"/>
              <w:rPr>
                <w:color w:val="000000"/>
                <w:sz w:val="18"/>
                <w:szCs w:val="18"/>
              </w:rPr>
            </w:pPr>
            <w:r w:rsidRPr="001F224B">
              <w:rPr>
                <w:rFonts w:ascii="Calibri" w:hAnsi="Calibri" w:cs="Calibri"/>
                <w:color w:val="000000"/>
                <w:sz w:val="18"/>
                <w:szCs w:val="18"/>
              </w:rPr>
              <w:t>259.987</w:t>
            </w:r>
          </w:p>
        </w:tc>
        <w:tc>
          <w:tcPr>
            <w:tcW w:w="992" w:type="dxa"/>
            <w:tcBorders>
              <w:top w:val="nil"/>
              <w:left w:val="nil"/>
              <w:bottom w:val="single" w:sz="4" w:space="0" w:color="auto"/>
              <w:right w:val="single" w:sz="4" w:space="0" w:color="auto"/>
            </w:tcBorders>
            <w:noWrap/>
            <w:vAlign w:val="bottom"/>
            <w:hideMark/>
          </w:tcPr>
          <w:p w14:paraId="48A85542" w14:textId="48872348" w:rsidR="00AC46C0" w:rsidRPr="001F224B" w:rsidRDefault="00AC46C0" w:rsidP="00AC46C0">
            <w:pPr>
              <w:jc w:val="right"/>
              <w:rPr>
                <w:color w:val="000000"/>
                <w:sz w:val="18"/>
                <w:szCs w:val="18"/>
              </w:rPr>
            </w:pPr>
            <w:r w:rsidRPr="001F224B">
              <w:rPr>
                <w:rFonts w:ascii="Calibri" w:hAnsi="Calibri" w:cs="Calibri"/>
                <w:color w:val="000000"/>
                <w:sz w:val="18"/>
                <w:szCs w:val="18"/>
              </w:rPr>
              <w:t>78</w:t>
            </w:r>
          </w:p>
        </w:tc>
        <w:tc>
          <w:tcPr>
            <w:tcW w:w="970" w:type="dxa"/>
            <w:tcBorders>
              <w:top w:val="nil"/>
              <w:left w:val="nil"/>
              <w:bottom w:val="single" w:sz="4" w:space="0" w:color="auto"/>
              <w:right w:val="single" w:sz="4" w:space="0" w:color="auto"/>
            </w:tcBorders>
            <w:noWrap/>
            <w:vAlign w:val="bottom"/>
            <w:hideMark/>
          </w:tcPr>
          <w:p w14:paraId="7CDBA8B4" w14:textId="48B34B48" w:rsidR="00AC46C0" w:rsidRPr="001F224B" w:rsidRDefault="00AC46C0" w:rsidP="00AC46C0">
            <w:pPr>
              <w:jc w:val="right"/>
              <w:rPr>
                <w:color w:val="000000"/>
                <w:sz w:val="18"/>
                <w:szCs w:val="18"/>
              </w:rPr>
            </w:pPr>
            <w:r w:rsidRPr="001F224B">
              <w:rPr>
                <w:rFonts w:ascii="Calibri" w:hAnsi="Calibri" w:cs="Calibri"/>
                <w:color w:val="000000"/>
                <w:sz w:val="18"/>
                <w:szCs w:val="18"/>
              </w:rPr>
              <w:t>259.987</w:t>
            </w:r>
          </w:p>
        </w:tc>
        <w:tc>
          <w:tcPr>
            <w:tcW w:w="954" w:type="dxa"/>
            <w:tcBorders>
              <w:top w:val="nil"/>
              <w:left w:val="nil"/>
              <w:bottom w:val="single" w:sz="4" w:space="0" w:color="auto"/>
              <w:right w:val="single" w:sz="4" w:space="0" w:color="auto"/>
            </w:tcBorders>
            <w:noWrap/>
            <w:vAlign w:val="bottom"/>
            <w:hideMark/>
          </w:tcPr>
          <w:p w14:paraId="11E3F888" w14:textId="5D316188" w:rsidR="00AC46C0" w:rsidRPr="001F224B" w:rsidRDefault="00AC46C0" w:rsidP="00AC46C0">
            <w:pPr>
              <w:jc w:val="right"/>
              <w:rPr>
                <w:color w:val="000000"/>
                <w:sz w:val="18"/>
                <w:szCs w:val="18"/>
              </w:rPr>
            </w:pPr>
            <w:r w:rsidRPr="001F224B">
              <w:rPr>
                <w:rFonts w:ascii="Calibri" w:hAnsi="Calibri" w:cs="Calibri"/>
                <w:color w:val="000000"/>
                <w:sz w:val="18"/>
                <w:szCs w:val="18"/>
              </w:rPr>
              <w:t>78</w:t>
            </w:r>
          </w:p>
        </w:tc>
        <w:tc>
          <w:tcPr>
            <w:tcW w:w="1293" w:type="dxa"/>
            <w:tcBorders>
              <w:top w:val="nil"/>
              <w:left w:val="nil"/>
              <w:bottom w:val="single" w:sz="4" w:space="0" w:color="auto"/>
              <w:right w:val="single" w:sz="4" w:space="0" w:color="auto"/>
            </w:tcBorders>
            <w:noWrap/>
            <w:vAlign w:val="bottom"/>
            <w:hideMark/>
          </w:tcPr>
          <w:p w14:paraId="71C225B0" w14:textId="6646C3CC" w:rsidR="00AC46C0" w:rsidRPr="001F224B" w:rsidRDefault="00AC46C0" w:rsidP="00AC46C0">
            <w:pPr>
              <w:jc w:val="right"/>
              <w:rPr>
                <w:color w:val="000000"/>
                <w:sz w:val="18"/>
                <w:szCs w:val="18"/>
              </w:rPr>
            </w:pPr>
            <w:r w:rsidRPr="001F224B">
              <w:rPr>
                <w:rFonts w:ascii="Calibri" w:hAnsi="Calibri" w:cs="Calibri"/>
                <w:color w:val="000000"/>
                <w:sz w:val="18"/>
                <w:szCs w:val="18"/>
              </w:rPr>
              <w:t>260.065</w:t>
            </w:r>
          </w:p>
        </w:tc>
        <w:tc>
          <w:tcPr>
            <w:tcW w:w="1601" w:type="dxa"/>
            <w:tcBorders>
              <w:top w:val="nil"/>
              <w:left w:val="nil"/>
              <w:bottom w:val="single" w:sz="4" w:space="0" w:color="auto"/>
              <w:right w:val="single" w:sz="4" w:space="0" w:color="auto"/>
            </w:tcBorders>
            <w:noWrap/>
            <w:vAlign w:val="bottom"/>
            <w:hideMark/>
          </w:tcPr>
          <w:p w14:paraId="402CB830" w14:textId="74D7F084" w:rsidR="00AC46C0" w:rsidRPr="001F224B" w:rsidRDefault="00AC46C0" w:rsidP="00AC46C0">
            <w:pPr>
              <w:jc w:val="right"/>
              <w:rPr>
                <w:color w:val="000000"/>
                <w:sz w:val="18"/>
                <w:szCs w:val="18"/>
              </w:rPr>
            </w:pPr>
            <w:r w:rsidRPr="001F224B">
              <w:rPr>
                <w:rFonts w:ascii="Calibri" w:hAnsi="Calibri" w:cs="Calibri"/>
                <w:color w:val="000000"/>
                <w:sz w:val="18"/>
                <w:szCs w:val="18"/>
              </w:rPr>
              <w:t>100,0%</w:t>
            </w:r>
          </w:p>
        </w:tc>
      </w:tr>
      <w:tr w:rsidR="00AC46C0" w:rsidRPr="001F224B" w14:paraId="078AA48B" w14:textId="77777777" w:rsidTr="00A81B93">
        <w:trPr>
          <w:trHeight w:val="235"/>
        </w:trPr>
        <w:tc>
          <w:tcPr>
            <w:tcW w:w="3054" w:type="dxa"/>
            <w:tcBorders>
              <w:top w:val="nil"/>
              <w:left w:val="single" w:sz="4" w:space="0" w:color="auto"/>
              <w:bottom w:val="single" w:sz="4" w:space="0" w:color="auto"/>
              <w:right w:val="single" w:sz="4" w:space="0" w:color="auto"/>
            </w:tcBorders>
            <w:noWrap/>
            <w:vAlign w:val="bottom"/>
            <w:hideMark/>
          </w:tcPr>
          <w:p w14:paraId="1BB6584B" w14:textId="77777777" w:rsidR="00AC46C0" w:rsidRPr="001F224B" w:rsidRDefault="00AC46C0" w:rsidP="00AC46C0">
            <w:pPr>
              <w:rPr>
                <w:color w:val="000000"/>
                <w:sz w:val="18"/>
                <w:szCs w:val="18"/>
              </w:rPr>
            </w:pPr>
            <w:r w:rsidRPr="001F224B">
              <w:rPr>
                <w:color w:val="000000"/>
                <w:sz w:val="18"/>
                <w:szCs w:val="18"/>
              </w:rPr>
              <w:t>Diğer alacaklar</w:t>
            </w:r>
          </w:p>
        </w:tc>
        <w:tc>
          <w:tcPr>
            <w:tcW w:w="1055" w:type="dxa"/>
            <w:tcBorders>
              <w:top w:val="nil"/>
              <w:left w:val="single" w:sz="4" w:space="0" w:color="auto"/>
              <w:bottom w:val="single" w:sz="4" w:space="0" w:color="auto"/>
              <w:right w:val="single" w:sz="4" w:space="0" w:color="auto"/>
            </w:tcBorders>
            <w:noWrap/>
            <w:vAlign w:val="bottom"/>
            <w:hideMark/>
          </w:tcPr>
          <w:p w14:paraId="3D65F190" w14:textId="0A648AF1" w:rsidR="00AC46C0" w:rsidRPr="001F224B" w:rsidRDefault="00AC46C0" w:rsidP="00AC46C0">
            <w:pPr>
              <w:jc w:val="right"/>
              <w:rPr>
                <w:color w:val="000000"/>
                <w:sz w:val="18"/>
                <w:szCs w:val="18"/>
              </w:rPr>
            </w:pPr>
            <w:r w:rsidRPr="001F224B">
              <w:rPr>
                <w:rFonts w:ascii="Calibri" w:hAnsi="Calibri" w:cs="Calibri"/>
                <w:color w:val="000000"/>
                <w:sz w:val="18"/>
                <w:szCs w:val="18"/>
              </w:rPr>
              <w:t>1.437.993</w:t>
            </w:r>
          </w:p>
        </w:tc>
        <w:tc>
          <w:tcPr>
            <w:tcW w:w="992" w:type="dxa"/>
            <w:tcBorders>
              <w:top w:val="nil"/>
              <w:left w:val="nil"/>
              <w:bottom w:val="single" w:sz="4" w:space="0" w:color="auto"/>
              <w:right w:val="single" w:sz="4" w:space="0" w:color="auto"/>
            </w:tcBorders>
            <w:noWrap/>
            <w:vAlign w:val="bottom"/>
            <w:hideMark/>
          </w:tcPr>
          <w:p w14:paraId="0AF1039F" w14:textId="5AEE19D5"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5B24AA3A" w14:textId="088BDE7C" w:rsidR="00AC46C0" w:rsidRPr="001F224B" w:rsidRDefault="00AC46C0" w:rsidP="00AC46C0">
            <w:pPr>
              <w:jc w:val="right"/>
              <w:rPr>
                <w:color w:val="000000"/>
                <w:sz w:val="18"/>
                <w:szCs w:val="18"/>
              </w:rPr>
            </w:pPr>
            <w:r w:rsidRPr="001F224B">
              <w:rPr>
                <w:rFonts w:ascii="Calibri" w:hAnsi="Calibri" w:cs="Calibri"/>
                <w:color w:val="000000"/>
                <w:sz w:val="18"/>
                <w:szCs w:val="18"/>
              </w:rPr>
              <w:t>1.346.933</w:t>
            </w:r>
          </w:p>
        </w:tc>
        <w:tc>
          <w:tcPr>
            <w:tcW w:w="954" w:type="dxa"/>
            <w:tcBorders>
              <w:top w:val="nil"/>
              <w:left w:val="nil"/>
              <w:bottom w:val="single" w:sz="4" w:space="0" w:color="auto"/>
              <w:right w:val="single" w:sz="4" w:space="0" w:color="auto"/>
            </w:tcBorders>
            <w:noWrap/>
            <w:vAlign w:val="bottom"/>
            <w:hideMark/>
          </w:tcPr>
          <w:p w14:paraId="28A34724" w14:textId="6C6D21CC"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1AED0247" w14:textId="7756F676" w:rsidR="00AC46C0" w:rsidRPr="001F224B" w:rsidRDefault="00AC46C0" w:rsidP="00AC46C0">
            <w:pPr>
              <w:jc w:val="right"/>
              <w:rPr>
                <w:color w:val="000000"/>
                <w:sz w:val="18"/>
                <w:szCs w:val="18"/>
              </w:rPr>
            </w:pPr>
            <w:r w:rsidRPr="001F224B">
              <w:rPr>
                <w:rFonts w:ascii="Calibri" w:hAnsi="Calibri" w:cs="Calibri"/>
                <w:color w:val="000000"/>
                <w:sz w:val="18"/>
                <w:szCs w:val="18"/>
              </w:rPr>
              <w:t>1.346.804</w:t>
            </w:r>
          </w:p>
        </w:tc>
        <w:tc>
          <w:tcPr>
            <w:tcW w:w="1601" w:type="dxa"/>
            <w:tcBorders>
              <w:top w:val="nil"/>
              <w:left w:val="nil"/>
              <w:bottom w:val="single" w:sz="4" w:space="0" w:color="auto"/>
              <w:right w:val="single" w:sz="4" w:space="0" w:color="auto"/>
            </w:tcBorders>
            <w:noWrap/>
            <w:vAlign w:val="bottom"/>
            <w:hideMark/>
          </w:tcPr>
          <w:p w14:paraId="117D1B3D" w14:textId="751CB163" w:rsidR="00AC46C0" w:rsidRPr="001F224B" w:rsidRDefault="00AC46C0" w:rsidP="00AC46C0">
            <w:pPr>
              <w:jc w:val="right"/>
              <w:rPr>
                <w:color w:val="000000"/>
                <w:sz w:val="18"/>
                <w:szCs w:val="18"/>
              </w:rPr>
            </w:pPr>
            <w:r w:rsidRPr="001F224B">
              <w:rPr>
                <w:rFonts w:ascii="Calibri" w:hAnsi="Calibri" w:cs="Calibri"/>
                <w:color w:val="000000"/>
                <w:sz w:val="18"/>
                <w:szCs w:val="18"/>
              </w:rPr>
              <w:t>100,0%</w:t>
            </w:r>
          </w:p>
        </w:tc>
      </w:tr>
      <w:tr w:rsidR="00AC46C0" w:rsidRPr="001F224B" w14:paraId="72BF3980" w14:textId="77777777" w:rsidTr="00A81B93">
        <w:trPr>
          <w:trHeight w:val="294"/>
        </w:trPr>
        <w:tc>
          <w:tcPr>
            <w:tcW w:w="3054" w:type="dxa"/>
            <w:tcBorders>
              <w:top w:val="nil"/>
              <w:left w:val="single" w:sz="4" w:space="0" w:color="auto"/>
              <w:bottom w:val="single" w:sz="4" w:space="0" w:color="auto"/>
              <w:right w:val="single" w:sz="4" w:space="0" w:color="auto"/>
            </w:tcBorders>
            <w:noWrap/>
            <w:vAlign w:val="bottom"/>
            <w:hideMark/>
          </w:tcPr>
          <w:p w14:paraId="6CD71081" w14:textId="77777777" w:rsidR="00AC46C0" w:rsidRPr="001F224B" w:rsidRDefault="00AC46C0" w:rsidP="00AC46C0">
            <w:pPr>
              <w:rPr>
                <w:color w:val="000000"/>
                <w:sz w:val="18"/>
                <w:szCs w:val="18"/>
              </w:rPr>
            </w:pPr>
            <w:r w:rsidRPr="001F224B">
              <w:rPr>
                <w:color w:val="000000"/>
                <w:sz w:val="18"/>
                <w:szCs w:val="18"/>
              </w:rPr>
              <w:t>Hisse senedi yatırımları</w:t>
            </w:r>
          </w:p>
        </w:tc>
        <w:tc>
          <w:tcPr>
            <w:tcW w:w="1055" w:type="dxa"/>
            <w:tcBorders>
              <w:top w:val="nil"/>
              <w:left w:val="nil"/>
              <w:bottom w:val="single" w:sz="4" w:space="0" w:color="auto"/>
              <w:right w:val="single" w:sz="4" w:space="0" w:color="auto"/>
            </w:tcBorders>
            <w:noWrap/>
            <w:vAlign w:val="bottom"/>
            <w:hideMark/>
          </w:tcPr>
          <w:p w14:paraId="11A124EB" w14:textId="430EC9A6" w:rsidR="00AC46C0" w:rsidRPr="001F224B" w:rsidRDefault="00AC46C0" w:rsidP="00AC46C0">
            <w:pPr>
              <w:jc w:val="right"/>
              <w:rPr>
                <w:color w:val="000000"/>
                <w:sz w:val="18"/>
                <w:szCs w:val="18"/>
              </w:rPr>
            </w:pPr>
            <w:r w:rsidRPr="001F224B">
              <w:rPr>
                <w:color w:val="000000"/>
                <w:sz w:val="18"/>
                <w:szCs w:val="18"/>
              </w:rPr>
              <w:t>-</w:t>
            </w:r>
          </w:p>
        </w:tc>
        <w:tc>
          <w:tcPr>
            <w:tcW w:w="992" w:type="dxa"/>
            <w:tcBorders>
              <w:top w:val="nil"/>
              <w:left w:val="nil"/>
              <w:bottom w:val="single" w:sz="4" w:space="0" w:color="auto"/>
              <w:right w:val="single" w:sz="4" w:space="0" w:color="auto"/>
            </w:tcBorders>
            <w:noWrap/>
            <w:vAlign w:val="bottom"/>
            <w:hideMark/>
          </w:tcPr>
          <w:p w14:paraId="6E120F2E" w14:textId="16DCFD37" w:rsidR="00AC46C0" w:rsidRPr="001F224B" w:rsidRDefault="00AC46C0" w:rsidP="00AC46C0">
            <w:pPr>
              <w:jc w:val="right"/>
              <w:rPr>
                <w:color w:val="000000"/>
                <w:sz w:val="18"/>
                <w:szCs w:val="18"/>
              </w:rPr>
            </w:pPr>
            <w:r w:rsidRPr="001F224B">
              <w:rPr>
                <w:color w:val="000000"/>
                <w:sz w:val="18"/>
                <w:szCs w:val="18"/>
              </w:rPr>
              <w:t>-</w:t>
            </w:r>
          </w:p>
        </w:tc>
        <w:tc>
          <w:tcPr>
            <w:tcW w:w="970" w:type="dxa"/>
            <w:tcBorders>
              <w:top w:val="nil"/>
              <w:left w:val="nil"/>
              <w:bottom w:val="single" w:sz="4" w:space="0" w:color="auto"/>
              <w:right w:val="single" w:sz="4" w:space="0" w:color="auto"/>
            </w:tcBorders>
            <w:noWrap/>
            <w:vAlign w:val="bottom"/>
            <w:hideMark/>
          </w:tcPr>
          <w:p w14:paraId="45DD4050" w14:textId="6BB461B3" w:rsidR="00AC46C0" w:rsidRPr="001F224B" w:rsidRDefault="00AC46C0" w:rsidP="00AC46C0">
            <w:pPr>
              <w:jc w:val="right"/>
              <w:rPr>
                <w:color w:val="000000"/>
                <w:sz w:val="18"/>
                <w:szCs w:val="18"/>
              </w:rPr>
            </w:pPr>
            <w:r w:rsidRPr="001F224B">
              <w:rPr>
                <w:color w:val="000000"/>
                <w:sz w:val="18"/>
                <w:szCs w:val="18"/>
              </w:rPr>
              <w:t>-</w:t>
            </w:r>
          </w:p>
        </w:tc>
        <w:tc>
          <w:tcPr>
            <w:tcW w:w="954" w:type="dxa"/>
            <w:tcBorders>
              <w:top w:val="nil"/>
              <w:left w:val="nil"/>
              <w:bottom w:val="single" w:sz="4" w:space="0" w:color="auto"/>
              <w:right w:val="single" w:sz="4" w:space="0" w:color="auto"/>
            </w:tcBorders>
            <w:noWrap/>
            <w:vAlign w:val="bottom"/>
            <w:hideMark/>
          </w:tcPr>
          <w:p w14:paraId="53F9066B" w14:textId="79034875" w:rsidR="00AC46C0" w:rsidRPr="001F224B" w:rsidRDefault="00AC46C0" w:rsidP="00AC46C0">
            <w:pPr>
              <w:jc w:val="right"/>
              <w:rPr>
                <w:color w:val="000000"/>
                <w:sz w:val="18"/>
                <w:szCs w:val="18"/>
              </w:rPr>
            </w:pPr>
            <w:r w:rsidRPr="001F224B">
              <w:rPr>
                <w:color w:val="000000"/>
                <w:sz w:val="18"/>
                <w:szCs w:val="18"/>
              </w:rPr>
              <w:t>-</w:t>
            </w:r>
          </w:p>
        </w:tc>
        <w:tc>
          <w:tcPr>
            <w:tcW w:w="1293" w:type="dxa"/>
            <w:tcBorders>
              <w:top w:val="nil"/>
              <w:left w:val="nil"/>
              <w:bottom w:val="single" w:sz="4" w:space="0" w:color="auto"/>
              <w:right w:val="single" w:sz="4" w:space="0" w:color="auto"/>
            </w:tcBorders>
            <w:noWrap/>
            <w:vAlign w:val="bottom"/>
            <w:hideMark/>
          </w:tcPr>
          <w:p w14:paraId="13780A0B" w14:textId="22A4359B" w:rsidR="00AC46C0" w:rsidRPr="001F224B" w:rsidRDefault="00AC46C0" w:rsidP="00AC46C0">
            <w:pPr>
              <w:jc w:val="right"/>
              <w:rPr>
                <w:color w:val="000000"/>
                <w:sz w:val="18"/>
                <w:szCs w:val="18"/>
              </w:rPr>
            </w:pPr>
            <w:r w:rsidRPr="001F224B">
              <w:rPr>
                <w:color w:val="000000"/>
                <w:sz w:val="18"/>
                <w:szCs w:val="18"/>
              </w:rPr>
              <w:t>-</w:t>
            </w:r>
          </w:p>
        </w:tc>
        <w:tc>
          <w:tcPr>
            <w:tcW w:w="1601" w:type="dxa"/>
            <w:tcBorders>
              <w:top w:val="nil"/>
              <w:left w:val="nil"/>
              <w:bottom w:val="single" w:sz="4" w:space="0" w:color="auto"/>
              <w:right w:val="single" w:sz="4" w:space="0" w:color="auto"/>
            </w:tcBorders>
            <w:noWrap/>
            <w:vAlign w:val="bottom"/>
            <w:hideMark/>
          </w:tcPr>
          <w:p w14:paraId="7F26134C" w14:textId="460CFFD6" w:rsidR="00AC46C0" w:rsidRPr="001F224B" w:rsidRDefault="00AC46C0" w:rsidP="00AC46C0">
            <w:pPr>
              <w:jc w:val="right"/>
              <w:rPr>
                <w:color w:val="000000"/>
                <w:sz w:val="18"/>
                <w:szCs w:val="18"/>
              </w:rPr>
            </w:pPr>
            <w:r w:rsidRPr="001F224B">
              <w:rPr>
                <w:color w:val="000000"/>
                <w:sz w:val="18"/>
                <w:szCs w:val="18"/>
              </w:rPr>
              <w:t>-</w:t>
            </w:r>
          </w:p>
        </w:tc>
      </w:tr>
      <w:tr w:rsidR="00AC46C0" w:rsidRPr="001F224B" w14:paraId="229F500F" w14:textId="77777777" w:rsidTr="00A81B93">
        <w:trPr>
          <w:trHeight w:val="412"/>
        </w:trPr>
        <w:tc>
          <w:tcPr>
            <w:tcW w:w="3054" w:type="dxa"/>
            <w:tcBorders>
              <w:top w:val="single" w:sz="4" w:space="0" w:color="auto"/>
              <w:left w:val="single" w:sz="4" w:space="0" w:color="auto"/>
              <w:bottom w:val="single" w:sz="4" w:space="0" w:color="auto"/>
              <w:right w:val="single" w:sz="4" w:space="0" w:color="auto"/>
            </w:tcBorders>
            <w:noWrap/>
            <w:vAlign w:val="bottom"/>
            <w:hideMark/>
          </w:tcPr>
          <w:p w14:paraId="2D0DDD1C" w14:textId="77777777" w:rsidR="00AC46C0" w:rsidRPr="001F224B" w:rsidRDefault="00AC46C0" w:rsidP="00AC46C0">
            <w:pPr>
              <w:rPr>
                <w:b/>
                <w:bCs/>
                <w:color w:val="000000"/>
                <w:sz w:val="18"/>
                <w:szCs w:val="18"/>
              </w:rPr>
            </w:pPr>
            <w:r w:rsidRPr="001F224B">
              <w:rPr>
                <w:b/>
                <w:bCs/>
                <w:color w:val="000000"/>
                <w:sz w:val="18"/>
                <w:szCs w:val="18"/>
              </w:rPr>
              <w:t>Toplam</w:t>
            </w:r>
          </w:p>
        </w:tc>
        <w:tc>
          <w:tcPr>
            <w:tcW w:w="1055" w:type="dxa"/>
            <w:tcBorders>
              <w:top w:val="single" w:sz="4" w:space="0" w:color="auto"/>
              <w:left w:val="single" w:sz="4" w:space="0" w:color="auto"/>
              <w:bottom w:val="single" w:sz="4" w:space="0" w:color="auto"/>
              <w:right w:val="single" w:sz="4" w:space="0" w:color="auto"/>
            </w:tcBorders>
            <w:noWrap/>
            <w:vAlign w:val="bottom"/>
            <w:hideMark/>
          </w:tcPr>
          <w:p w14:paraId="07E84D86" w14:textId="007FC847" w:rsidR="00AC46C0" w:rsidRPr="001F224B" w:rsidRDefault="00AC46C0" w:rsidP="00AC46C0">
            <w:pPr>
              <w:ind w:left="-97"/>
              <w:jc w:val="right"/>
              <w:rPr>
                <w:b/>
                <w:bCs/>
                <w:color w:val="000000"/>
                <w:sz w:val="18"/>
                <w:szCs w:val="18"/>
              </w:rPr>
            </w:pPr>
            <w:r w:rsidRPr="001F224B">
              <w:rPr>
                <w:rFonts w:ascii="Calibri" w:hAnsi="Calibri" w:cs="Calibri"/>
                <w:b/>
                <w:bCs/>
                <w:color w:val="000000"/>
                <w:sz w:val="18"/>
                <w:szCs w:val="18"/>
              </w:rPr>
              <w:t>165.195.604</w:t>
            </w:r>
          </w:p>
        </w:tc>
        <w:tc>
          <w:tcPr>
            <w:tcW w:w="992" w:type="dxa"/>
            <w:tcBorders>
              <w:top w:val="single" w:sz="4" w:space="0" w:color="auto"/>
              <w:left w:val="nil"/>
              <w:bottom w:val="single" w:sz="4" w:space="0" w:color="auto"/>
              <w:right w:val="single" w:sz="4" w:space="0" w:color="auto"/>
            </w:tcBorders>
            <w:noWrap/>
            <w:vAlign w:val="bottom"/>
            <w:hideMark/>
          </w:tcPr>
          <w:p w14:paraId="75F2B2B1" w14:textId="5B249B00" w:rsidR="00AC46C0" w:rsidRPr="001F224B" w:rsidRDefault="00AC46C0" w:rsidP="00AC46C0">
            <w:pPr>
              <w:jc w:val="right"/>
              <w:rPr>
                <w:b/>
                <w:bCs/>
                <w:color w:val="000000"/>
                <w:sz w:val="18"/>
                <w:szCs w:val="18"/>
              </w:rPr>
            </w:pPr>
            <w:r w:rsidRPr="001F224B">
              <w:rPr>
                <w:rFonts w:ascii="Calibri" w:hAnsi="Calibri" w:cs="Calibri"/>
                <w:b/>
                <w:bCs/>
                <w:color w:val="000000"/>
                <w:sz w:val="18"/>
                <w:szCs w:val="18"/>
              </w:rPr>
              <w:t>22.422.742</w:t>
            </w:r>
          </w:p>
        </w:tc>
        <w:tc>
          <w:tcPr>
            <w:tcW w:w="970" w:type="dxa"/>
            <w:tcBorders>
              <w:top w:val="single" w:sz="4" w:space="0" w:color="auto"/>
              <w:left w:val="nil"/>
              <w:bottom w:val="single" w:sz="4" w:space="0" w:color="auto"/>
              <w:right w:val="single" w:sz="4" w:space="0" w:color="auto"/>
            </w:tcBorders>
            <w:noWrap/>
            <w:vAlign w:val="bottom"/>
            <w:hideMark/>
          </w:tcPr>
          <w:p w14:paraId="7ABE2629" w14:textId="1203F43D" w:rsidR="00AC46C0" w:rsidRPr="001F224B" w:rsidRDefault="00AC46C0" w:rsidP="00AC46C0">
            <w:pPr>
              <w:ind w:left="-222"/>
              <w:jc w:val="right"/>
              <w:rPr>
                <w:b/>
                <w:bCs/>
                <w:color w:val="000000"/>
                <w:sz w:val="18"/>
                <w:szCs w:val="18"/>
              </w:rPr>
            </w:pPr>
            <w:r w:rsidRPr="001F224B">
              <w:rPr>
                <w:rFonts w:ascii="Calibri" w:hAnsi="Calibri" w:cs="Calibri"/>
                <w:b/>
                <w:bCs/>
                <w:color w:val="000000"/>
                <w:sz w:val="18"/>
                <w:szCs w:val="18"/>
              </w:rPr>
              <w:t>165.558.518</w:t>
            </w:r>
          </w:p>
        </w:tc>
        <w:tc>
          <w:tcPr>
            <w:tcW w:w="954" w:type="dxa"/>
            <w:tcBorders>
              <w:top w:val="nil"/>
              <w:left w:val="nil"/>
              <w:bottom w:val="single" w:sz="4" w:space="0" w:color="auto"/>
              <w:right w:val="single" w:sz="4" w:space="0" w:color="auto"/>
            </w:tcBorders>
            <w:noWrap/>
            <w:vAlign w:val="bottom"/>
            <w:hideMark/>
          </w:tcPr>
          <w:p w14:paraId="6BCAE874" w14:textId="4C680BF2" w:rsidR="00AC46C0" w:rsidRPr="001F224B" w:rsidRDefault="00AC46C0" w:rsidP="00AC46C0">
            <w:pPr>
              <w:jc w:val="right"/>
              <w:rPr>
                <w:b/>
                <w:bCs/>
                <w:color w:val="000000"/>
                <w:sz w:val="18"/>
                <w:szCs w:val="18"/>
              </w:rPr>
            </w:pPr>
            <w:r w:rsidRPr="001F224B">
              <w:rPr>
                <w:rFonts w:ascii="Calibri" w:hAnsi="Calibri" w:cs="Calibri"/>
                <w:b/>
                <w:bCs/>
                <w:color w:val="000000"/>
                <w:sz w:val="18"/>
                <w:szCs w:val="18"/>
              </w:rPr>
              <w:t>6.038.177</w:t>
            </w:r>
          </w:p>
        </w:tc>
        <w:tc>
          <w:tcPr>
            <w:tcW w:w="1293" w:type="dxa"/>
            <w:tcBorders>
              <w:top w:val="nil"/>
              <w:left w:val="nil"/>
              <w:bottom w:val="single" w:sz="4" w:space="0" w:color="auto"/>
              <w:right w:val="single" w:sz="4" w:space="0" w:color="auto"/>
            </w:tcBorders>
            <w:noWrap/>
            <w:vAlign w:val="bottom"/>
            <w:hideMark/>
          </w:tcPr>
          <w:p w14:paraId="6244AA31" w14:textId="4B49B0D3" w:rsidR="00AC46C0" w:rsidRPr="001F224B" w:rsidRDefault="00AC46C0" w:rsidP="00AC46C0">
            <w:pPr>
              <w:jc w:val="right"/>
              <w:rPr>
                <w:b/>
                <w:bCs/>
                <w:color w:val="000000"/>
                <w:sz w:val="18"/>
                <w:szCs w:val="18"/>
              </w:rPr>
            </w:pPr>
            <w:r w:rsidRPr="001F224B">
              <w:rPr>
                <w:rFonts w:ascii="Calibri" w:hAnsi="Calibri" w:cs="Calibri"/>
                <w:b/>
                <w:bCs/>
                <w:color w:val="000000"/>
                <w:sz w:val="18"/>
                <w:szCs w:val="18"/>
              </w:rPr>
              <w:t>133.913.991</w:t>
            </w:r>
          </w:p>
        </w:tc>
        <w:tc>
          <w:tcPr>
            <w:tcW w:w="1601" w:type="dxa"/>
            <w:tcBorders>
              <w:top w:val="nil"/>
              <w:left w:val="nil"/>
              <w:bottom w:val="single" w:sz="4" w:space="0" w:color="auto"/>
              <w:right w:val="single" w:sz="4" w:space="0" w:color="auto"/>
            </w:tcBorders>
            <w:noWrap/>
            <w:vAlign w:val="bottom"/>
            <w:hideMark/>
          </w:tcPr>
          <w:p w14:paraId="7F4203F8" w14:textId="695B0A80" w:rsidR="00AC46C0" w:rsidRPr="001F224B" w:rsidRDefault="00AC46C0" w:rsidP="00AC46C0">
            <w:pPr>
              <w:jc w:val="right"/>
              <w:rPr>
                <w:b/>
                <w:bCs/>
                <w:color w:val="000000"/>
                <w:sz w:val="18"/>
                <w:szCs w:val="18"/>
              </w:rPr>
            </w:pPr>
            <w:r w:rsidRPr="001F224B">
              <w:rPr>
                <w:rFonts w:ascii="Calibri" w:hAnsi="Calibri" w:cs="Calibri"/>
                <w:b/>
                <w:bCs/>
                <w:color w:val="000000"/>
                <w:sz w:val="18"/>
                <w:szCs w:val="18"/>
              </w:rPr>
              <w:t>78,04%</w:t>
            </w:r>
          </w:p>
        </w:tc>
      </w:tr>
    </w:tbl>
    <w:p w14:paraId="0EC072CB" w14:textId="041FB2DC" w:rsidR="00DE2FA3" w:rsidRPr="001F224B" w:rsidRDefault="00DE2FA3" w:rsidP="00F64EC3">
      <w:pPr>
        <w:spacing w:line="360" w:lineRule="auto"/>
        <w:rPr>
          <w:b/>
          <w:bCs/>
          <w:sz w:val="22"/>
          <w:szCs w:val="22"/>
        </w:rPr>
      </w:pPr>
    </w:p>
    <w:p w14:paraId="4F1D5732" w14:textId="33A6F8A0" w:rsidR="002278DB" w:rsidRPr="001F224B" w:rsidRDefault="002278DB" w:rsidP="00F64EC3">
      <w:pPr>
        <w:spacing w:line="360" w:lineRule="auto"/>
        <w:rPr>
          <w:b/>
          <w:bCs/>
          <w:sz w:val="22"/>
          <w:szCs w:val="22"/>
        </w:rPr>
      </w:pPr>
    </w:p>
    <w:p w14:paraId="279CD556" w14:textId="46B11B75" w:rsidR="002278DB" w:rsidRPr="001F224B" w:rsidRDefault="002278DB" w:rsidP="00F64EC3">
      <w:pPr>
        <w:spacing w:line="360" w:lineRule="auto"/>
        <w:rPr>
          <w:b/>
          <w:bCs/>
          <w:sz w:val="22"/>
          <w:szCs w:val="22"/>
        </w:rPr>
      </w:pPr>
    </w:p>
    <w:p w14:paraId="137741D5" w14:textId="61253230" w:rsidR="002278DB" w:rsidRPr="001F224B" w:rsidRDefault="002278DB" w:rsidP="00F64EC3">
      <w:pPr>
        <w:spacing w:line="360" w:lineRule="auto"/>
        <w:rPr>
          <w:b/>
          <w:bCs/>
          <w:sz w:val="22"/>
          <w:szCs w:val="22"/>
        </w:rPr>
      </w:pPr>
    </w:p>
    <w:p w14:paraId="6B0342E9" w14:textId="772ADEED" w:rsidR="002278DB" w:rsidRPr="001F224B" w:rsidRDefault="002278DB" w:rsidP="00F64EC3">
      <w:pPr>
        <w:spacing w:line="360" w:lineRule="auto"/>
        <w:rPr>
          <w:b/>
          <w:bCs/>
          <w:sz w:val="22"/>
          <w:szCs w:val="22"/>
        </w:rPr>
      </w:pPr>
    </w:p>
    <w:p w14:paraId="42B714B9" w14:textId="04A2C2F8" w:rsidR="002278DB" w:rsidRPr="001F224B" w:rsidRDefault="002278DB" w:rsidP="00F64EC3">
      <w:pPr>
        <w:spacing w:line="360" w:lineRule="auto"/>
        <w:rPr>
          <w:b/>
          <w:bCs/>
          <w:sz w:val="22"/>
          <w:szCs w:val="22"/>
        </w:rPr>
      </w:pPr>
    </w:p>
    <w:p w14:paraId="731E5BB0" w14:textId="6EB06698" w:rsidR="002278DB" w:rsidRPr="001F224B" w:rsidRDefault="002278DB" w:rsidP="00F64EC3">
      <w:pPr>
        <w:spacing w:line="360" w:lineRule="auto"/>
        <w:rPr>
          <w:b/>
          <w:bCs/>
          <w:sz w:val="22"/>
          <w:szCs w:val="22"/>
        </w:rPr>
      </w:pPr>
    </w:p>
    <w:p w14:paraId="005CD892" w14:textId="04ED1C8E" w:rsidR="002278DB" w:rsidRPr="001F224B" w:rsidRDefault="002278DB" w:rsidP="00F64EC3">
      <w:pPr>
        <w:spacing w:line="360" w:lineRule="auto"/>
        <w:rPr>
          <w:b/>
          <w:bCs/>
          <w:sz w:val="22"/>
          <w:szCs w:val="22"/>
        </w:rPr>
      </w:pPr>
    </w:p>
    <w:p w14:paraId="176D19F4" w14:textId="4F89677D" w:rsidR="002278DB" w:rsidRPr="001F224B" w:rsidRDefault="002278DB" w:rsidP="00F64EC3">
      <w:pPr>
        <w:spacing w:line="360" w:lineRule="auto"/>
        <w:rPr>
          <w:b/>
          <w:bCs/>
          <w:sz w:val="22"/>
          <w:szCs w:val="22"/>
        </w:rPr>
      </w:pPr>
    </w:p>
    <w:p w14:paraId="655402C2" w14:textId="62FAB4A0" w:rsidR="002278DB" w:rsidRPr="001F224B" w:rsidRDefault="002278DB" w:rsidP="00F64EC3">
      <w:pPr>
        <w:spacing w:line="360" w:lineRule="auto"/>
        <w:rPr>
          <w:b/>
          <w:bCs/>
          <w:sz w:val="22"/>
          <w:szCs w:val="22"/>
        </w:rPr>
      </w:pPr>
    </w:p>
    <w:p w14:paraId="0B62F097" w14:textId="77777777" w:rsidR="002278DB" w:rsidRPr="001F224B" w:rsidRDefault="002278DB" w:rsidP="002278DB">
      <w:pPr>
        <w:pStyle w:val="ListParagraph"/>
        <w:tabs>
          <w:tab w:val="left" w:pos="0"/>
        </w:tabs>
        <w:spacing w:before="120"/>
        <w:ind w:left="0"/>
        <w:rPr>
          <w:b/>
          <w:bCs/>
          <w:sz w:val="22"/>
          <w:szCs w:val="22"/>
        </w:rPr>
      </w:pPr>
      <w:r w:rsidRPr="001F224B">
        <w:rPr>
          <w:b/>
          <w:bCs/>
          <w:sz w:val="22"/>
          <w:szCs w:val="22"/>
        </w:rPr>
        <w:t>DÖRDÜNCÜ BÖLÜM (Devamı)</w:t>
      </w:r>
    </w:p>
    <w:p w14:paraId="6DB499E8" w14:textId="77777777" w:rsidR="002278DB" w:rsidRPr="001F224B" w:rsidRDefault="002278DB" w:rsidP="002278DB">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44815D4E" w14:textId="77777777" w:rsidR="002278DB" w:rsidRPr="001F224B" w:rsidRDefault="002278DB" w:rsidP="002278DB">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31E55546" w14:textId="77777777" w:rsidR="002278DB" w:rsidRPr="001F224B" w:rsidRDefault="002278DB" w:rsidP="002278DB">
      <w:pPr>
        <w:spacing w:after="240"/>
        <w:jc w:val="both"/>
        <w:rPr>
          <w:b/>
          <w:sz w:val="22"/>
          <w:szCs w:val="22"/>
          <w:lang w:eastAsia="x-none"/>
        </w:rPr>
      </w:pPr>
      <w:r w:rsidRPr="001F224B">
        <w:rPr>
          <w:b/>
          <w:sz w:val="22"/>
          <w:szCs w:val="22"/>
          <w:lang w:eastAsia="x-none"/>
        </w:rPr>
        <w:t>5. Standart Yaklaşım - Maruz kalınan kredi riski ve kredi riski azaltım etkileri (Devamı):</w:t>
      </w:r>
    </w:p>
    <w:tbl>
      <w:tblPr>
        <w:tblW w:w="5000" w:type="pct"/>
        <w:tblCellMar>
          <w:left w:w="70" w:type="dxa"/>
          <w:right w:w="70" w:type="dxa"/>
        </w:tblCellMar>
        <w:tblLook w:val="04A0" w:firstRow="1" w:lastRow="0" w:firstColumn="1" w:lastColumn="0" w:noHBand="0" w:noVBand="1"/>
      </w:tblPr>
      <w:tblGrid>
        <w:gridCol w:w="3136"/>
        <w:gridCol w:w="958"/>
        <w:gridCol w:w="1015"/>
        <w:gridCol w:w="958"/>
        <w:gridCol w:w="1015"/>
        <w:gridCol w:w="1071"/>
        <w:gridCol w:w="1646"/>
      </w:tblGrid>
      <w:tr w:rsidR="002278DB" w:rsidRPr="001F224B" w14:paraId="5884531E" w14:textId="77777777" w:rsidTr="00001A93">
        <w:trPr>
          <w:trHeight w:val="794"/>
        </w:trPr>
        <w:tc>
          <w:tcPr>
            <w:tcW w:w="1600" w:type="pct"/>
            <w:tcBorders>
              <w:top w:val="single" w:sz="4" w:space="0" w:color="auto"/>
              <w:left w:val="single" w:sz="4" w:space="0" w:color="auto"/>
              <w:bottom w:val="nil"/>
              <w:right w:val="single" w:sz="4" w:space="0" w:color="auto"/>
            </w:tcBorders>
            <w:noWrap/>
            <w:vAlign w:val="bottom"/>
            <w:hideMark/>
          </w:tcPr>
          <w:p w14:paraId="46053366" w14:textId="556A2039" w:rsidR="002278DB" w:rsidRPr="001F224B" w:rsidRDefault="002278DB" w:rsidP="00001A93">
            <w:pPr>
              <w:jc w:val="center"/>
              <w:rPr>
                <w:b/>
                <w:color w:val="000000"/>
                <w:sz w:val="20"/>
                <w:szCs w:val="20"/>
              </w:rPr>
            </w:pPr>
            <w:r w:rsidRPr="001F224B">
              <w:rPr>
                <w:b/>
                <w:color w:val="000000"/>
                <w:sz w:val="20"/>
                <w:szCs w:val="20"/>
              </w:rPr>
              <w:t>Önceki Dönem (31.12.2024)</w:t>
            </w:r>
          </w:p>
        </w:tc>
        <w:tc>
          <w:tcPr>
            <w:tcW w:w="1007" w:type="pct"/>
            <w:gridSpan w:val="2"/>
            <w:tcBorders>
              <w:top w:val="single" w:sz="4" w:space="0" w:color="auto"/>
              <w:left w:val="single" w:sz="4" w:space="0" w:color="auto"/>
              <w:bottom w:val="single" w:sz="4" w:space="0" w:color="auto"/>
              <w:right w:val="single" w:sz="4" w:space="0" w:color="auto"/>
            </w:tcBorders>
            <w:vAlign w:val="bottom"/>
            <w:hideMark/>
          </w:tcPr>
          <w:p w14:paraId="5091A925" w14:textId="77777777" w:rsidR="002278DB" w:rsidRPr="001F224B" w:rsidRDefault="002278DB" w:rsidP="00001A93">
            <w:pPr>
              <w:jc w:val="center"/>
              <w:rPr>
                <w:color w:val="000000"/>
                <w:sz w:val="20"/>
                <w:szCs w:val="20"/>
              </w:rPr>
            </w:pPr>
            <w:r w:rsidRPr="001F224B">
              <w:rPr>
                <w:color w:val="000000"/>
                <w:sz w:val="20"/>
                <w:szCs w:val="20"/>
              </w:rPr>
              <w:t xml:space="preserve">Kredi dönüşüm oranı ve kredi riski </w:t>
            </w:r>
            <w:r w:rsidRPr="001F224B">
              <w:rPr>
                <w:color w:val="000000"/>
                <w:sz w:val="20"/>
                <w:szCs w:val="20"/>
              </w:rPr>
              <w:br/>
              <w:t>azaltımından önce alacak tutarı</w:t>
            </w:r>
          </w:p>
        </w:tc>
        <w:tc>
          <w:tcPr>
            <w:tcW w:w="1007" w:type="pct"/>
            <w:gridSpan w:val="2"/>
            <w:tcBorders>
              <w:top w:val="single" w:sz="4" w:space="0" w:color="auto"/>
              <w:left w:val="single" w:sz="4" w:space="0" w:color="auto"/>
              <w:bottom w:val="nil"/>
              <w:right w:val="single" w:sz="4" w:space="0" w:color="auto"/>
            </w:tcBorders>
            <w:vAlign w:val="bottom"/>
            <w:hideMark/>
          </w:tcPr>
          <w:p w14:paraId="7F12C927" w14:textId="77777777" w:rsidR="002278DB" w:rsidRPr="001F224B" w:rsidRDefault="002278DB" w:rsidP="00001A93">
            <w:pPr>
              <w:jc w:val="center"/>
              <w:rPr>
                <w:color w:val="000000"/>
                <w:sz w:val="20"/>
                <w:szCs w:val="20"/>
              </w:rPr>
            </w:pPr>
            <w:r w:rsidRPr="001F224B">
              <w:rPr>
                <w:color w:val="000000"/>
                <w:sz w:val="20"/>
                <w:szCs w:val="20"/>
              </w:rPr>
              <w:t>Kredi dönüşüm oranı ve kredi riski azaltımından sonra alacak tutarı</w:t>
            </w:r>
          </w:p>
        </w:tc>
        <w:tc>
          <w:tcPr>
            <w:tcW w:w="1386" w:type="pct"/>
            <w:gridSpan w:val="2"/>
            <w:tcBorders>
              <w:top w:val="single" w:sz="4" w:space="0" w:color="auto"/>
              <w:left w:val="single" w:sz="4" w:space="0" w:color="auto"/>
              <w:bottom w:val="nil"/>
              <w:right w:val="single" w:sz="4" w:space="0" w:color="auto"/>
            </w:tcBorders>
            <w:vAlign w:val="bottom"/>
            <w:hideMark/>
          </w:tcPr>
          <w:p w14:paraId="0EBBDFC5" w14:textId="77777777" w:rsidR="002278DB" w:rsidRPr="001F224B" w:rsidRDefault="002278DB" w:rsidP="00001A93">
            <w:pPr>
              <w:jc w:val="center"/>
              <w:rPr>
                <w:color w:val="000000"/>
                <w:sz w:val="20"/>
                <w:szCs w:val="20"/>
              </w:rPr>
            </w:pPr>
            <w:r w:rsidRPr="001F224B">
              <w:rPr>
                <w:color w:val="000000"/>
                <w:sz w:val="20"/>
                <w:szCs w:val="20"/>
              </w:rPr>
              <w:t xml:space="preserve">Risk ağırlıklı tutar ve </w:t>
            </w:r>
            <w:r w:rsidRPr="001F224B">
              <w:rPr>
                <w:color w:val="000000"/>
                <w:sz w:val="20"/>
                <w:szCs w:val="20"/>
              </w:rPr>
              <w:br/>
              <w:t>risk ağırlıklı tutar yoğunluğu</w:t>
            </w:r>
          </w:p>
        </w:tc>
      </w:tr>
      <w:tr w:rsidR="002278DB" w:rsidRPr="001F224B" w14:paraId="30754913" w14:textId="77777777" w:rsidTr="002278DB">
        <w:trPr>
          <w:trHeight w:val="756"/>
        </w:trPr>
        <w:tc>
          <w:tcPr>
            <w:tcW w:w="1600" w:type="pct"/>
            <w:tcBorders>
              <w:top w:val="single" w:sz="4" w:space="0" w:color="auto"/>
              <w:left w:val="single" w:sz="4" w:space="0" w:color="auto"/>
              <w:bottom w:val="single" w:sz="4" w:space="0" w:color="auto"/>
              <w:right w:val="single" w:sz="4" w:space="0" w:color="auto"/>
            </w:tcBorders>
            <w:noWrap/>
            <w:vAlign w:val="bottom"/>
            <w:hideMark/>
          </w:tcPr>
          <w:p w14:paraId="67759BD5" w14:textId="77777777" w:rsidR="002278DB" w:rsidRPr="001F224B" w:rsidRDefault="002278DB" w:rsidP="00001A93">
            <w:pPr>
              <w:rPr>
                <w:color w:val="000000"/>
                <w:sz w:val="20"/>
                <w:szCs w:val="20"/>
              </w:rPr>
            </w:pPr>
            <w:r w:rsidRPr="001F224B">
              <w:rPr>
                <w:color w:val="000000"/>
                <w:sz w:val="20"/>
                <w:szCs w:val="20"/>
              </w:rPr>
              <w:t>Risk sınıfları</w:t>
            </w:r>
          </w:p>
        </w:tc>
        <w:tc>
          <w:tcPr>
            <w:tcW w:w="489" w:type="pct"/>
            <w:tcBorders>
              <w:top w:val="single" w:sz="4" w:space="0" w:color="auto"/>
              <w:left w:val="nil"/>
              <w:bottom w:val="single" w:sz="4" w:space="0" w:color="auto"/>
              <w:right w:val="single" w:sz="4" w:space="0" w:color="auto"/>
            </w:tcBorders>
            <w:noWrap/>
            <w:vAlign w:val="bottom"/>
            <w:hideMark/>
          </w:tcPr>
          <w:p w14:paraId="25E836D6" w14:textId="77777777" w:rsidR="002278DB" w:rsidRPr="001F224B" w:rsidRDefault="002278DB" w:rsidP="00001A93">
            <w:pPr>
              <w:jc w:val="center"/>
              <w:rPr>
                <w:color w:val="000000"/>
                <w:sz w:val="20"/>
                <w:szCs w:val="20"/>
              </w:rPr>
            </w:pPr>
            <w:r w:rsidRPr="001F224B">
              <w:rPr>
                <w:color w:val="000000"/>
                <w:sz w:val="20"/>
                <w:szCs w:val="20"/>
              </w:rPr>
              <w:t>Bilanço içi tutar</w:t>
            </w:r>
          </w:p>
        </w:tc>
        <w:tc>
          <w:tcPr>
            <w:tcW w:w="518" w:type="pct"/>
            <w:tcBorders>
              <w:top w:val="single" w:sz="4" w:space="0" w:color="auto"/>
              <w:left w:val="nil"/>
              <w:bottom w:val="single" w:sz="4" w:space="0" w:color="auto"/>
              <w:right w:val="single" w:sz="4" w:space="0" w:color="auto"/>
            </w:tcBorders>
            <w:noWrap/>
            <w:vAlign w:val="bottom"/>
            <w:hideMark/>
          </w:tcPr>
          <w:p w14:paraId="588C7E44" w14:textId="77777777" w:rsidR="002278DB" w:rsidRPr="001F224B" w:rsidRDefault="002278DB" w:rsidP="00001A93">
            <w:pPr>
              <w:jc w:val="center"/>
              <w:rPr>
                <w:color w:val="000000"/>
                <w:sz w:val="20"/>
                <w:szCs w:val="20"/>
              </w:rPr>
            </w:pPr>
            <w:r w:rsidRPr="001F224B">
              <w:rPr>
                <w:color w:val="000000"/>
                <w:sz w:val="20"/>
                <w:szCs w:val="20"/>
              </w:rPr>
              <w:t>Bilanço dışı tutar</w:t>
            </w:r>
          </w:p>
        </w:tc>
        <w:tc>
          <w:tcPr>
            <w:tcW w:w="489" w:type="pct"/>
            <w:tcBorders>
              <w:top w:val="single" w:sz="4" w:space="0" w:color="auto"/>
              <w:left w:val="nil"/>
              <w:bottom w:val="single" w:sz="4" w:space="0" w:color="auto"/>
              <w:right w:val="single" w:sz="4" w:space="0" w:color="auto"/>
            </w:tcBorders>
            <w:noWrap/>
            <w:vAlign w:val="bottom"/>
            <w:hideMark/>
          </w:tcPr>
          <w:p w14:paraId="20D4DE55" w14:textId="77777777" w:rsidR="002278DB" w:rsidRPr="001F224B" w:rsidRDefault="002278DB" w:rsidP="00001A93">
            <w:pPr>
              <w:jc w:val="center"/>
              <w:rPr>
                <w:color w:val="000000"/>
                <w:sz w:val="20"/>
                <w:szCs w:val="20"/>
              </w:rPr>
            </w:pPr>
            <w:r w:rsidRPr="001F224B">
              <w:rPr>
                <w:color w:val="000000"/>
                <w:sz w:val="20"/>
                <w:szCs w:val="20"/>
              </w:rPr>
              <w:t>Bilanço içi tutar</w:t>
            </w:r>
          </w:p>
        </w:tc>
        <w:tc>
          <w:tcPr>
            <w:tcW w:w="518" w:type="pct"/>
            <w:tcBorders>
              <w:top w:val="single" w:sz="4" w:space="0" w:color="auto"/>
              <w:left w:val="nil"/>
              <w:bottom w:val="single" w:sz="4" w:space="0" w:color="auto"/>
              <w:right w:val="single" w:sz="4" w:space="0" w:color="auto"/>
            </w:tcBorders>
            <w:noWrap/>
            <w:vAlign w:val="bottom"/>
            <w:hideMark/>
          </w:tcPr>
          <w:p w14:paraId="21621E60" w14:textId="77777777" w:rsidR="002278DB" w:rsidRPr="001F224B" w:rsidRDefault="002278DB" w:rsidP="00001A93">
            <w:pPr>
              <w:jc w:val="center"/>
              <w:rPr>
                <w:color w:val="000000"/>
                <w:sz w:val="20"/>
                <w:szCs w:val="20"/>
              </w:rPr>
            </w:pPr>
            <w:r w:rsidRPr="001F224B">
              <w:rPr>
                <w:color w:val="000000"/>
                <w:sz w:val="20"/>
                <w:szCs w:val="20"/>
              </w:rPr>
              <w:t>Bilanço dışı tutar</w:t>
            </w:r>
          </w:p>
        </w:tc>
        <w:tc>
          <w:tcPr>
            <w:tcW w:w="546" w:type="pct"/>
            <w:tcBorders>
              <w:top w:val="single" w:sz="4" w:space="0" w:color="auto"/>
              <w:left w:val="nil"/>
              <w:bottom w:val="single" w:sz="4" w:space="0" w:color="auto"/>
              <w:right w:val="single" w:sz="4" w:space="0" w:color="auto"/>
            </w:tcBorders>
            <w:noWrap/>
            <w:vAlign w:val="bottom"/>
            <w:hideMark/>
          </w:tcPr>
          <w:p w14:paraId="4C3404E4" w14:textId="77777777" w:rsidR="002278DB" w:rsidRPr="001F224B" w:rsidRDefault="002278DB" w:rsidP="00001A93">
            <w:pPr>
              <w:jc w:val="center"/>
              <w:rPr>
                <w:color w:val="000000"/>
                <w:sz w:val="20"/>
                <w:szCs w:val="20"/>
              </w:rPr>
            </w:pPr>
            <w:r w:rsidRPr="001F224B">
              <w:rPr>
                <w:color w:val="000000"/>
                <w:sz w:val="20"/>
                <w:szCs w:val="20"/>
              </w:rPr>
              <w:t>Risk ağırlıklı tutar</w:t>
            </w:r>
          </w:p>
        </w:tc>
        <w:tc>
          <w:tcPr>
            <w:tcW w:w="840" w:type="pct"/>
            <w:tcBorders>
              <w:top w:val="single" w:sz="4" w:space="0" w:color="auto"/>
              <w:left w:val="nil"/>
              <w:bottom w:val="single" w:sz="4" w:space="0" w:color="auto"/>
              <w:right w:val="single" w:sz="4" w:space="0" w:color="auto"/>
            </w:tcBorders>
            <w:noWrap/>
            <w:vAlign w:val="bottom"/>
            <w:hideMark/>
          </w:tcPr>
          <w:p w14:paraId="02AC8BA1" w14:textId="77777777" w:rsidR="002278DB" w:rsidRPr="001F224B" w:rsidRDefault="002278DB" w:rsidP="00001A93">
            <w:pPr>
              <w:jc w:val="center"/>
              <w:rPr>
                <w:color w:val="000000"/>
                <w:sz w:val="20"/>
                <w:szCs w:val="20"/>
              </w:rPr>
            </w:pPr>
            <w:r w:rsidRPr="001F224B">
              <w:rPr>
                <w:color w:val="000000"/>
                <w:sz w:val="20"/>
                <w:szCs w:val="20"/>
              </w:rPr>
              <w:t>Risk ağırlıklı tutar yoğunluğu</w:t>
            </w:r>
          </w:p>
        </w:tc>
      </w:tr>
      <w:tr w:rsidR="002278DB" w:rsidRPr="001F224B" w14:paraId="30AF4BDF"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1E81307A" w14:textId="77777777" w:rsidR="002278DB" w:rsidRPr="001F224B" w:rsidRDefault="002278DB" w:rsidP="002278DB">
            <w:pPr>
              <w:rPr>
                <w:color w:val="000000"/>
                <w:sz w:val="18"/>
                <w:szCs w:val="18"/>
              </w:rPr>
            </w:pPr>
            <w:r w:rsidRPr="001F224B">
              <w:rPr>
                <w:color w:val="000000"/>
                <w:sz w:val="18"/>
                <w:szCs w:val="18"/>
              </w:rPr>
              <w:t>Merkezi yönetimlerden veya merkez bankalarından alacaklar</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D893E" w14:textId="723DD744" w:rsidR="002278DB" w:rsidRPr="001F224B" w:rsidRDefault="002278DB" w:rsidP="002278DB">
            <w:pPr>
              <w:jc w:val="right"/>
              <w:rPr>
                <w:color w:val="000000"/>
                <w:sz w:val="18"/>
                <w:szCs w:val="18"/>
              </w:rPr>
            </w:pPr>
            <w:r w:rsidRPr="001F224B">
              <w:rPr>
                <w:color w:val="000000"/>
                <w:sz w:val="18"/>
                <w:szCs w:val="18"/>
              </w:rPr>
              <w:t>14.046.693</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14:paraId="36F6EFF5" w14:textId="22E3049F" w:rsidR="002278DB" w:rsidRPr="001F224B" w:rsidRDefault="002278DB" w:rsidP="002278DB">
            <w:pPr>
              <w:jc w:val="right"/>
              <w:rPr>
                <w:color w:val="000000"/>
                <w:sz w:val="18"/>
                <w:szCs w:val="18"/>
              </w:rPr>
            </w:pPr>
            <w:r w:rsidRPr="001F224B">
              <w:rPr>
                <w:color w:val="000000"/>
                <w:sz w:val="18"/>
                <w:szCs w:val="18"/>
              </w:rPr>
              <w:t>-</w:t>
            </w:r>
          </w:p>
        </w:tc>
        <w:tc>
          <w:tcPr>
            <w:tcW w:w="489" w:type="pct"/>
            <w:tcBorders>
              <w:top w:val="single" w:sz="4" w:space="0" w:color="auto"/>
              <w:left w:val="nil"/>
              <w:bottom w:val="single" w:sz="4" w:space="0" w:color="auto"/>
              <w:right w:val="single" w:sz="4" w:space="0" w:color="auto"/>
            </w:tcBorders>
            <w:shd w:val="clear" w:color="auto" w:fill="auto"/>
            <w:noWrap/>
            <w:vAlign w:val="bottom"/>
            <w:hideMark/>
          </w:tcPr>
          <w:p w14:paraId="3A605B14" w14:textId="619F1667" w:rsidR="002278DB" w:rsidRPr="001F224B" w:rsidRDefault="002278DB" w:rsidP="002278DB">
            <w:pPr>
              <w:jc w:val="right"/>
              <w:rPr>
                <w:color w:val="000000"/>
                <w:sz w:val="18"/>
                <w:szCs w:val="18"/>
              </w:rPr>
            </w:pPr>
            <w:r w:rsidRPr="001F224B">
              <w:rPr>
                <w:color w:val="000000"/>
                <w:sz w:val="18"/>
                <w:szCs w:val="18"/>
              </w:rPr>
              <w:t>15.633.834</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14:paraId="1D92D646" w14:textId="2CCC2475" w:rsidR="002278DB" w:rsidRPr="001F224B" w:rsidRDefault="002278DB" w:rsidP="002278DB">
            <w:pPr>
              <w:jc w:val="right"/>
              <w:rPr>
                <w:color w:val="000000"/>
                <w:sz w:val="18"/>
                <w:szCs w:val="18"/>
              </w:rPr>
            </w:pPr>
            <w:r w:rsidRPr="001F224B">
              <w:rPr>
                <w:color w:val="000000"/>
                <w:sz w:val="18"/>
                <w:szCs w:val="18"/>
              </w:rPr>
              <w:t>-</w:t>
            </w:r>
          </w:p>
        </w:tc>
        <w:tc>
          <w:tcPr>
            <w:tcW w:w="546" w:type="pct"/>
            <w:tcBorders>
              <w:top w:val="single" w:sz="4" w:space="0" w:color="auto"/>
              <w:left w:val="nil"/>
              <w:bottom w:val="single" w:sz="4" w:space="0" w:color="auto"/>
              <w:right w:val="single" w:sz="4" w:space="0" w:color="auto"/>
            </w:tcBorders>
            <w:shd w:val="clear" w:color="auto" w:fill="auto"/>
            <w:noWrap/>
            <w:vAlign w:val="bottom"/>
            <w:hideMark/>
          </w:tcPr>
          <w:p w14:paraId="25330443" w14:textId="34137C18" w:rsidR="002278DB" w:rsidRPr="001F224B" w:rsidRDefault="002278DB" w:rsidP="002278DB">
            <w:pPr>
              <w:jc w:val="right"/>
              <w:rPr>
                <w:color w:val="000000"/>
                <w:sz w:val="18"/>
                <w:szCs w:val="18"/>
              </w:rPr>
            </w:pPr>
            <w:r w:rsidRPr="001F224B">
              <w:rPr>
                <w:color w:val="000000"/>
                <w:sz w:val="18"/>
                <w:szCs w:val="18"/>
              </w:rPr>
              <w:t>3.674.463</w:t>
            </w:r>
          </w:p>
        </w:tc>
        <w:tc>
          <w:tcPr>
            <w:tcW w:w="840" w:type="pct"/>
            <w:tcBorders>
              <w:top w:val="single" w:sz="4" w:space="0" w:color="auto"/>
              <w:left w:val="nil"/>
              <w:bottom w:val="single" w:sz="4" w:space="0" w:color="auto"/>
              <w:right w:val="single" w:sz="4" w:space="0" w:color="auto"/>
            </w:tcBorders>
            <w:shd w:val="clear" w:color="auto" w:fill="auto"/>
            <w:noWrap/>
            <w:vAlign w:val="bottom"/>
            <w:hideMark/>
          </w:tcPr>
          <w:p w14:paraId="31374719" w14:textId="28B25EB6" w:rsidR="002278DB" w:rsidRPr="001F224B" w:rsidRDefault="002278DB" w:rsidP="002278DB">
            <w:pPr>
              <w:jc w:val="right"/>
              <w:rPr>
                <w:color w:val="000000"/>
                <w:sz w:val="18"/>
                <w:szCs w:val="18"/>
              </w:rPr>
            </w:pPr>
            <w:r w:rsidRPr="001F224B">
              <w:rPr>
                <w:color w:val="000000"/>
                <w:sz w:val="18"/>
                <w:szCs w:val="18"/>
              </w:rPr>
              <w:t>23,50%</w:t>
            </w:r>
          </w:p>
        </w:tc>
      </w:tr>
      <w:tr w:rsidR="002278DB" w:rsidRPr="001F224B" w14:paraId="53D86E1D"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4FFE6FEB" w14:textId="77777777" w:rsidR="002278DB" w:rsidRPr="001F224B" w:rsidRDefault="002278DB" w:rsidP="002278DB">
            <w:pPr>
              <w:rPr>
                <w:color w:val="000000"/>
                <w:sz w:val="18"/>
                <w:szCs w:val="18"/>
              </w:rPr>
            </w:pPr>
            <w:r w:rsidRPr="001F224B">
              <w:rPr>
                <w:color w:val="000000"/>
                <w:sz w:val="18"/>
                <w:szCs w:val="18"/>
              </w:rPr>
              <w:t>Bölgesel yönetimlerden veya yerel yönetimlerden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6F187644" w14:textId="31D3A50F"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187DFE20" w14:textId="25116F8B" w:rsidR="002278DB" w:rsidRPr="001F224B" w:rsidRDefault="002278DB" w:rsidP="002278DB">
            <w:pPr>
              <w:jc w:val="right"/>
              <w:rPr>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348AC8FF" w14:textId="3F23A50E"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4B4DC164" w14:textId="25B11446" w:rsidR="002278DB" w:rsidRPr="001F224B" w:rsidRDefault="002278DB" w:rsidP="002278DB">
            <w:pPr>
              <w:jc w:val="right"/>
              <w:rPr>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0101029B" w14:textId="24CAAB78" w:rsidR="002278DB" w:rsidRPr="001F224B" w:rsidRDefault="002278DB" w:rsidP="002278DB">
            <w:pPr>
              <w:jc w:val="right"/>
              <w:rPr>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1ECDAFA7" w14:textId="210EDAD8" w:rsidR="002278DB" w:rsidRPr="001F224B" w:rsidRDefault="002278DB" w:rsidP="002278DB">
            <w:pPr>
              <w:jc w:val="right"/>
              <w:rPr>
                <w:color w:val="000000"/>
                <w:sz w:val="18"/>
                <w:szCs w:val="18"/>
              </w:rPr>
            </w:pPr>
            <w:r w:rsidRPr="001F224B">
              <w:rPr>
                <w:sz w:val="18"/>
                <w:szCs w:val="18"/>
              </w:rPr>
              <w:t>-</w:t>
            </w:r>
          </w:p>
        </w:tc>
      </w:tr>
      <w:tr w:rsidR="002278DB" w:rsidRPr="001F224B" w14:paraId="5B0E475B" w14:textId="77777777" w:rsidTr="002278DB">
        <w:trPr>
          <w:trHeight w:val="374"/>
        </w:trPr>
        <w:tc>
          <w:tcPr>
            <w:tcW w:w="1600" w:type="pct"/>
            <w:tcBorders>
              <w:top w:val="nil"/>
              <w:left w:val="single" w:sz="4" w:space="0" w:color="auto"/>
              <w:bottom w:val="single" w:sz="4" w:space="0" w:color="auto"/>
              <w:right w:val="single" w:sz="4" w:space="0" w:color="auto"/>
            </w:tcBorders>
            <w:noWrap/>
            <w:vAlign w:val="bottom"/>
            <w:hideMark/>
          </w:tcPr>
          <w:p w14:paraId="310528B6" w14:textId="77777777" w:rsidR="002278DB" w:rsidRPr="001F224B" w:rsidRDefault="002278DB" w:rsidP="002278DB">
            <w:pPr>
              <w:rPr>
                <w:color w:val="000000"/>
                <w:sz w:val="18"/>
                <w:szCs w:val="18"/>
              </w:rPr>
            </w:pPr>
            <w:r w:rsidRPr="001F224B">
              <w:rPr>
                <w:color w:val="000000"/>
                <w:sz w:val="18"/>
                <w:szCs w:val="18"/>
              </w:rPr>
              <w:t>İdari birimlerden ve ticari olmayan girişimlerden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2DF7ABEE" w14:textId="3EB6D54F"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118B8CD3" w14:textId="3F0803D3" w:rsidR="002278DB" w:rsidRPr="001F224B" w:rsidRDefault="002278DB" w:rsidP="002278DB">
            <w:pPr>
              <w:jc w:val="right"/>
              <w:rPr>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31A63972" w14:textId="39399F34"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50F68622" w14:textId="1B79046B" w:rsidR="002278DB" w:rsidRPr="001F224B" w:rsidRDefault="002278DB" w:rsidP="002278DB">
            <w:pPr>
              <w:jc w:val="right"/>
              <w:rPr>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1C849747" w14:textId="213EF76A" w:rsidR="002278DB" w:rsidRPr="001F224B" w:rsidRDefault="002278DB" w:rsidP="002278DB">
            <w:pPr>
              <w:jc w:val="right"/>
              <w:rPr>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25AC38DD" w14:textId="17C4A870" w:rsidR="002278DB" w:rsidRPr="001F224B" w:rsidRDefault="002278DB" w:rsidP="002278DB">
            <w:pPr>
              <w:jc w:val="right"/>
              <w:rPr>
                <w:color w:val="000000"/>
                <w:sz w:val="18"/>
                <w:szCs w:val="18"/>
              </w:rPr>
            </w:pPr>
            <w:r w:rsidRPr="001F224B">
              <w:rPr>
                <w:sz w:val="18"/>
                <w:szCs w:val="18"/>
              </w:rPr>
              <w:t>-</w:t>
            </w:r>
          </w:p>
        </w:tc>
      </w:tr>
      <w:tr w:rsidR="002278DB" w:rsidRPr="001F224B" w14:paraId="5E512234"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4DD45C6D" w14:textId="77777777" w:rsidR="002278DB" w:rsidRPr="001F224B" w:rsidRDefault="002278DB" w:rsidP="002278DB">
            <w:pPr>
              <w:rPr>
                <w:color w:val="000000"/>
                <w:sz w:val="18"/>
                <w:szCs w:val="18"/>
              </w:rPr>
            </w:pPr>
            <w:r w:rsidRPr="001F224B">
              <w:rPr>
                <w:color w:val="000000"/>
                <w:sz w:val="18"/>
                <w:szCs w:val="18"/>
              </w:rPr>
              <w:t>Çok taraflı kalkınma bankalarından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66EAB0CA" w14:textId="0980EFD3"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548D2480" w14:textId="08DA9413" w:rsidR="002278DB" w:rsidRPr="001F224B" w:rsidRDefault="002278DB" w:rsidP="002278DB">
            <w:pPr>
              <w:jc w:val="right"/>
              <w:rPr>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45BE2AA6" w14:textId="7CF2B057"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2B770E94" w14:textId="64936D0D" w:rsidR="002278DB" w:rsidRPr="001F224B" w:rsidRDefault="002278DB" w:rsidP="002278DB">
            <w:pPr>
              <w:jc w:val="right"/>
              <w:rPr>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1177094D" w14:textId="47DE0AA0" w:rsidR="002278DB" w:rsidRPr="001F224B" w:rsidRDefault="002278DB" w:rsidP="002278DB">
            <w:pPr>
              <w:jc w:val="right"/>
              <w:rPr>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1EAC9808" w14:textId="406E2CF6" w:rsidR="002278DB" w:rsidRPr="001F224B" w:rsidRDefault="002278DB" w:rsidP="002278DB">
            <w:pPr>
              <w:jc w:val="right"/>
              <w:rPr>
                <w:color w:val="000000"/>
                <w:sz w:val="18"/>
                <w:szCs w:val="18"/>
              </w:rPr>
            </w:pPr>
            <w:r w:rsidRPr="001F224B">
              <w:rPr>
                <w:sz w:val="18"/>
                <w:szCs w:val="18"/>
              </w:rPr>
              <w:t>-</w:t>
            </w:r>
          </w:p>
        </w:tc>
      </w:tr>
      <w:tr w:rsidR="002278DB" w:rsidRPr="001F224B" w14:paraId="794557BE"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699A00AD" w14:textId="77777777" w:rsidR="002278DB" w:rsidRPr="001F224B" w:rsidRDefault="002278DB" w:rsidP="002278DB">
            <w:pPr>
              <w:rPr>
                <w:color w:val="000000"/>
                <w:sz w:val="18"/>
                <w:szCs w:val="18"/>
              </w:rPr>
            </w:pPr>
            <w:r w:rsidRPr="001F224B">
              <w:rPr>
                <w:color w:val="000000"/>
                <w:sz w:val="18"/>
                <w:szCs w:val="18"/>
              </w:rPr>
              <w:t>Uluslararası teşkilatlardan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5418DA3E" w14:textId="1F22603B"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58795DDB" w14:textId="16F7A2D8" w:rsidR="002278DB" w:rsidRPr="001F224B" w:rsidRDefault="002278DB" w:rsidP="002278DB">
            <w:pPr>
              <w:jc w:val="right"/>
              <w:rPr>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43127286" w14:textId="686B630D"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35C061F6" w14:textId="480EE4FC" w:rsidR="002278DB" w:rsidRPr="001F224B" w:rsidRDefault="002278DB" w:rsidP="002278DB">
            <w:pPr>
              <w:jc w:val="right"/>
              <w:rPr>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307AE7B2" w14:textId="308F1515" w:rsidR="002278DB" w:rsidRPr="001F224B" w:rsidRDefault="002278DB" w:rsidP="002278DB">
            <w:pPr>
              <w:jc w:val="right"/>
              <w:rPr>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76175C85" w14:textId="3C5EFBC0" w:rsidR="002278DB" w:rsidRPr="001F224B" w:rsidRDefault="002278DB" w:rsidP="002278DB">
            <w:pPr>
              <w:jc w:val="right"/>
              <w:rPr>
                <w:color w:val="000000"/>
                <w:sz w:val="18"/>
                <w:szCs w:val="18"/>
              </w:rPr>
            </w:pPr>
            <w:r w:rsidRPr="001F224B">
              <w:rPr>
                <w:sz w:val="18"/>
                <w:szCs w:val="18"/>
              </w:rPr>
              <w:t>-</w:t>
            </w:r>
          </w:p>
        </w:tc>
      </w:tr>
      <w:tr w:rsidR="002278DB" w:rsidRPr="001F224B" w14:paraId="2513E7D4"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744416EC" w14:textId="77777777" w:rsidR="002278DB" w:rsidRPr="001F224B" w:rsidRDefault="002278DB" w:rsidP="002278DB">
            <w:pPr>
              <w:rPr>
                <w:color w:val="000000"/>
                <w:sz w:val="18"/>
                <w:szCs w:val="18"/>
              </w:rPr>
            </w:pPr>
            <w:r w:rsidRPr="001F224B">
              <w:rPr>
                <w:color w:val="000000"/>
                <w:sz w:val="18"/>
                <w:szCs w:val="18"/>
              </w:rPr>
              <w:t>Bankalardan ve aracı kurumlardan alacaklar</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04229" w14:textId="71E0C6F9" w:rsidR="002278DB" w:rsidRPr="001F224B" w:rsidRDefault="002278DB" w:rsidP="002278DB">
            <w:pPr>
              <w:jc w:val="right"/>
              <w:rPr>
                <w:color w:val="000000"/>
                <w:sz w:val="18"/>
                <w:szCs w:val="18"/>
              </w:rPr>
            </w:pPr>
            <w:r w:rsidRPr="001F224B">
              <w:rPr>
                <w:color w:val="000000"/>
                <w:sz w:val="18"/>
                <w:szCs w:val="18"/>
              </w:rPr>
              <w:t>25.675.522</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14:paraId="1D67046D" w14:textId="083BFF10" w:rsidR="002278DB" w:rsidRPr="001F224B" w:rsidRDefault="002278DB" w:rsidP="002278DB">
            <w:pPr>
              <w:jc w:val="right"/>
              <w:rPr>
                <w:color w:val="000000"/>
                <w:sz w:val="18"/>
                <w:szCs w:val="18"/>
              </w:rPr>
            </w:pPr>
            <w:r w:rsidRPr="001F224B">
              <w:rPr>
                <w:color w:val="000000"/>
                <w:sz w:val="18"/>
                <w:szCs w:val="18"/>
              </w:rPr>
              <w:t>9.454.025</w:t>
            </w:r>
          </w:p>
        </w:tc>
        <w:tc>
          <w:tcPr>
            <w:tcW w:w="489" w:type="pct"/>
            <w:tcBorders>
              <w:top w:val="single" w:sz="4" w:space="0" w:color="auto"/>
              <w:left w:val="nil"/>
              <w:bottom w:val="single" w:sz="4" w:space="0" w:color="auto"/>
              <w:right w:val="single" w:sz="4" w:space="0" w:color="auto"/>
            </w:tcBorders>
            <w:shd w:val="clear" w:color="auto" w:fill="auto"/>
            <w:noWrap/>
            <w:vAlign w:val="bottom"/>
            <w:hideMark/>
          </w:tcPr>
          <w:p w14:paraId="142181DF" w14:textId="2F01A791" w:rsidR="002278DB" w:rsidRPr="001F224B" w:rsidRDefault="002278DB" w:rsidP="002278DB">
            <w:pPr>
              <w:jc w:val="right"/>
              <w:rPr>
                <w:color w:val="000000"/>
                <w:sz w:val="18"/>
                <w:szCs w:val="18"/>
              </w:rPr>
            </w:pPr>
            <w:r w:rsidRPr="001F224B">
              <w:rPr>
                <w:color w:val="000000"/>
                <w:sz w:val="18"/>
                <w:szCs w:val="18"/>
              </w:rPr>
              <w:t>30.757.980</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14:paraId="64800B4C" w14:textId="50FAB6BD" w:rsidR="002278DB" w:rsidRPr="001F224B" w:rsidRDefault="002278DB" w:rsidP="002278DB">
            <w:pPr>
              <w:jc w:val="right"/>
              <w:rPr>
                <w:color w:val="000000"/>
                <w:sz w:val="18"/>
                <w:szCs w:val="18"/>
              </w:rPr>
            </w:pPr>
            <w:r w:rsidRPr="001F224B">
              <w:rPr>
                <w:color w:val="000000"/>
                <w:sz w:val="18"/>
                <w:szCs w:val="18"/>
              </w:rPr>
              <w:t>386.372</w:t>
            </w:r>
          </w:p>
        </w:tc>
        <w:tc>
          <w:tcPr>
            <w:tcW w:w="546" w:type="pct"/>
            <w:tcBorders>
              <w:top w:val="single" w:sz="4" w:space="0" w:color="auto"/>
              <w:left w:val="nil"/>
              <w:bottom w:val="single" w:sz="4" w:space="0" w:color="auto"/>
              <w:right w:val="single" w:sz="4" w:space="0" w:color="auto"/>
            </w:tcBorders>
            <w:shd w:val="clear" w:color="auto" w:fill="auto"/>
            <w:noWrap/>
            <w:vAlign w:val="bottom"/>
            <w:hideMark/>
          </w:tcPr>
          <w:p w14:paraId="1F3E40CC" w14:textId="0FC5004B" w:rsidR="002278DB" w:rsidRPr="001F224B" w:rsidRDefault="002278DB" w:rsidP="002278DB">
            <w:pPr>
              <w:jc w:val="right"/>
              <w:rPr>
                <w:color w:val="000000"/>
                <w:sz w:val="18"/>
                <w:szCs w:val="18"/>
              </w:rPr>
            </w:pPr>
            <w:r w:rsidRPr="001F224B">
              <w:rPr>
                <w:color w:val="000000"/>
                <w:sz w:val="18"/>
                <w:szCs w:val="18"/>
              </w:rPr>
              <w:t>13.454.691</w:t>
            </w:r>
          </w:p>
        </w:tc>
        <w:tc>
          <w:tcPr>
            <w:tcW w:w="840" w:type="pct"/>
            <w:tcBorders>
              <w:top w:val="single" w:sz="4" w:space="0" w:color="auto"/>
              <w:left w:val="nil"/>
              <w:bottom w:val="single" w:sz="4" w:space="0" w:color="auto"/>
              <w:right w:val="single" w:sz="4" w:space="0" w:color="auto"/>
            </w:tcBorders>
            <w:shd w:val="clear" w:color="auto" w:fill="auto"/>
            <w:noWrap/>
            <w:vAlign w:val="bottom"/>
            <w:hideMark/>
          </w:tcPr>
          <w:p w14:paraId="324891F3" w14:textId="5241C539" w:rsidR="002278DB" w:rsidRPr="001F224B" w:rsidRDefault="002278DB" w:rsidP="002278DB">
            <w:pPr>
              <w:jc w:val="right"/>
              <w:rPr>
                <w:color w:val="000000"/>
                <w:sz w:val="18"/>
                <w:szCs w:val="18"/>
              </w:rPr>
            </w:pPr>
            <w:r w:rsidRPr="001F224B">
              <w:rPr>
                <w:color w:val="000000"/>
                <w:sz w:val="18"/>
                <w:szCs w:val="18"/>
              </w:rPr>
              <w:t>43,20%</w:t>
            </w:r>
          </w:p>
        </w:tc>
      </w:tr>
      <w:tr w:rsidR="002278DB" w:rsidRPr="001F224B" w14:paraId="3B75695C"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07B16D9C" w14:textId="77777777" w:rsidR="002278DB" w:rsidRPr="001F224B" w:rsidRDefault="002278DB" w:rsidP="002278DB">
            <w:pPr>
              <w:rPr>
                <w:color w:val="000000"/>
                <w:sz w:val="18"/>
                <w:szCs w:val="18"/>
              </w:rPr>
            </w:pPr>
            <w:r w:rsidRPr="001F224B">
              <w:rPr>
                <w:color w:val="000000"/>
                <w:sz w:val="18"/>
                <w:szCs w:val="18"/>
              </w:rPr>
              <w:t>Kurumsal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3CC6B8FD" w14:textId="412C66FE" w:rsidR="002278DB" w:rsidRPr="001F224B" w:rsidRDefault="002278DB" w:rsidP="002278DB">
            <w:pPr>
              <w:jc w:val="right"/>
              <w:rPr>
                <w:color w:val="000000"/>
                <w:sz w:val="18"/>
                <w:szCs w:val="18"/>
              </w:rPr>
            </w:pPr>
            <w:r w:rsidRPr="001F224B">
              <w:rPr>
                <w:color w:val="000000"/>
                <w:sz w:val="18"/>
                <w:szCs w:val="18"/>
              </w:rPr>
              <w:t>87.087.470</w:t>
            </w:r>
          </w:p>
        </w:tc>
        <w:tc>
          <w:tcPr>
            <w:tcW w:w="518" w:type="pct"/>
            <w:tcBorders>
              <w:top w:val="nil"/>
              <w:left w:val="nil"/>
              <w:bottom w:val="single" w:sz="4" w:space="0" w:color="auto"/>
              <w:right w:val="single" w:sz="4" w:space="0" w:color="auto"/>
            </w:tcBorders>
            <w:shd w:val="clear" w:color="auto" w:fill="auto"/>
            <w:noWrap/>
            <w:vAlign w:val="bottom"/>
            <w:hideMark/>
          </w:tcPr>
          <w:p w14:paraId="2EB3880B" w14:textId="1853C3C3" w:rsidR="002278DB" w:rsidRPr="001F224B" w:rsidRDefault="002278DB" w:rsidP="002278DB">
            <w:pPr>
              <w:jc w:val="right"/>
              <w:rPr>
                <w:color w:val="000000"/>
                <w:sz w:val="18"/>
                <w:szCs w:val="18"/>
              </w:rPr>
            </w:pPr>
            <w:r w:rsidRPr="001F224B">
              <w:rPr>
                <w:color w:val="000000"/>
                <w:sz w:val="18"/>
                <w:szCs w:val="18"/>
              </w:rPr>
              <w:t>14.864.478</w:t>
            </w:r>
          </w:p>
        </w:tc>
        <w:tc>
          <w:tcPr>
            <w:tcW w:w="489" w:type="pct"/>
            <w:tcBorders>
              <w:top w:val="nil"/>
              <w:left w:val="nil"/>
              <w:bottom w:val="single" w:sz="4" w:space="0" w:color="auto"/>
              <w:right w:val="single" w:sz="4" w:space="0" w:color="auto"/>
            </w:tcBorders>
            <w:shd w:val="clear" w:color="auto" w:fill="auto"/>
            <w:noWrap/>
            <w:vAlign w:val="bottom"/>
            <w:hideMark/>
          </w:tcPr>
          <w:p w14:paraId="3876E86F" w14:textId="21AEF9BC" w:rsidR="002278DB" w:rsidRPr="001F224B" w:rsidRDefault="002278DB" w:rsidP="002278DB">
            <w:pPr>
              <w:jc w:val="right"/>
              <w:rPr>
                <w:color w:val="000000"/>
                <w:sz w:val="18"/>
                <w:szCs w:val="18"/>
              </w:rPr>
            </w:pPr>
            <w:r w:rsidRPr="001F224B">
              <w:rPr>
                <w:color w:val="000000"/>
                <w:sz w:val="18"/>
                <w:szCs w:val="18"/>
              </w:rPr>
              <w:t>80.484.511</w:t>
            </w:r>
          </w:p>
        </w:tc>
        <w:tc>
          <w:tcPr>
            <w:tcW w:w="518" w:type="pct"/>
            <w:tcBorders>
              <w:top w:val="nil"/>
              <w:left w:val="nil"/>
              <w:bottom w:val="single" w:sz="4" w:space="0" w:color="auto"/>
              <w:right w:val="single" w:sz="4" w:space="0" w:color="auto"/>
            </w:tcBorders>
            <w:shd w:val="clear" w:color="auto" w:fill="auto"/>
            <w:noWrap/>
            <w:vAlign w:val="bottom"/>
            <w:hideMark/>
          </w:tcPr>
          <w:p w14:paraId="44BFCD61" w14:textId="758CD0F9" w:rsidR="002278DB" w:rsidRPr="001F224B" w:rsidRDefault="002278DB" w:rsidP="002278DB">
            <w:pPr>
              <w:jc w:val="right"/>
              <w:rPr>
                <w:color w:val="000000"/>
                <w:sz w:val="18"/>
                <w:szCs w:val="18"/>
              </w:rPr>
            </w:pPr>
            <w:r w:rsidRPr="001F224B">
              <w:rPr>
                <w:color w:val="000000"/>
                <w:sz w:val="18"/>
                <w:szCs w:val="18"/>
              </w:rPr>
              <w:t>5.008.307</w:t>
            </w:r>
          </w:p>
        </w:tc>
        <w:tc>
          <w:tcPr>
            <w:tcW w:w="546" w:type="pct"/>
            <w:tcBorders>
              <w:top w:val="nil"/>
              <w:left w:val="nil"/>
              <w:bottom w:val="single" w:sz="4" w:space="0" w:color="auto"/>
              <w:right w:val="single" w:sz="4" w:space="0" w:color="auto"/>
            </w:tcBorders>
            <w:shd w:val="clear" w:color="auto" w:fill="auto"/>
            <w:noWrap/>
            <w:vAlign w:val="bottom"/>
            <w:hideMark/>
          </w:tcPr>
          <w:p w14:paraId="0D36E107" w14:textId="631C5FC8" w:rsidR="002278DB" w:rsidRPr="001F224B" w:rsidRDefault="002278DB" w:rsidP="002278DB">
            <w:pPr>
              <w:jc w:val="right"/>
              <w:rPr>
                <w:color w:val="000000"/>
                <w:sz w:val="18"/>
                <w:szCs w:val="18"/>
              </w:rPr>
            </w:pPr>
            <w:r w:rsidRPr="001F224B">
              <w:rPr>
                <w:color w:val="000000"/>
                <w:sz w:val="18"/>
                <w:szCs w:val="18"/>
              </w:rPr>
              <w:t>85.492.818</w:t>
            </w:r>
          </w:p>
        </w:tc>
        <w:tc>
          <w:tcPr>
            <w:tcW w:w="840" w:type="pct"/>
            <w:tcBorders>
              <w:top w:val="nil"/>
              <w:left w:val="nil"/>
              <w:bottom w:val="single" w:sz="4" w:space="0" w:color="auto"/>
              <w:right w:val="single" w:sz="4" w:space="0" w:color="auto"/>
            </w:tcBorders>
            <w:shd w:val="clear" w:color="auto" w:fill="auto"/>
            <w:noWrap/>
            <w:vAlign w:val="bottom"/>
            <w:hideMark/>
          </w:tcPr>
          <w:p w14:paraId="0D637468" w14:textId="7AFB8705" w:rsidR="002278DB" w:rsidRPr="001F224B" w:rsidRDefault="002278DB" w:rsidP="002278DB">
            <w:pPr>
              <w:jc w:val="right"/>
              <w:rPr>
                <w:color w:val="000000"/>
                <w:sz w:val="18"/>
                <w:szCs w:val="18"/>
              </w:rPr>
            </w:pPr>
            <w:r w:rsidRPr="001F224B">
              <w:rPr>
                <w:color w:val="000000"/>
                <w:sz w:val="18"/>
                <w:szCs w:val="18"/>
              </w:rPr>
              <w:t>100,00%</w:t>
            </w:r>
          </w:p>
        </w:tc>
      </w:tr>
      <w:tr w:rsidR="002278DB" w:rsidRPr="001F224B" w14:paraId="6E2A5D50"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2257D560" w14:textId="77777777" w:rsidR="002278DB" w:rsidRPr="001F224B" w:rsidRDefault="002278DB" w:rsidP="002278DB">
            <w:pPr>
              <w:rPr>
                <w:color w:val="000000"/>
                <w:sz w:val="18"/>
                <w:szCs w:val="18"/>
              </w:rPr>
            </w:pPr>
            <w:r w:rsidRPr="001F224B">
              <w:rPr>
                <w:color w:val="000000"/>
                <w:sz w:val="18"/>
                <w:szCs w:val="18"/>
              </w:rPr>
              <w:t>Perakende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1EA18D62" w14:textId="72220E40"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36B9A359" w14:textId="7F883031" w:rsidR="002278DB" w:rsidRPr="001F224B" w:rsidRDefault="002278DB" w:rsidP="002278DB">
            <w:pPr>
              <w:jc w:val="right"/>
              <w:rPr>
                <w:color w:val="000000"/>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0ABC5065" w14:textId="74153DBA"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7564FBF8" w14:textId="5BDCB367" w:rsidR="002278DB" w:rsidRPr="001F224B" w:rsidRDefault="002278DB" w:rsidP="002278DB">
            <w:pPr>
              <w:jc w:val="right"/>
              <w:rPr>
                <w:color w:val="000000"/>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3E234BA9" w14:textId="4635338B" w:rsidR="002278DB" w:rsidRPr="001F224B" w:rsidRDefault="002278DB" w:rsidP="002278DB">
            <w:pPr>
              <w:jc w:val="right"/>
              <w:rPr>
                <w:color w:val="000000"/>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6B1A61E4" w14:textId="694B3946" w:rsidR="002278DB" w:rsidRPr="001F224B" w:rsidRDefault="002278DB" w:rsidP="002278DB">
            <w:pPr>
              <w:jc w:val="right"/>
              <w:rPr>
                <w:color w:val="000000"/>
                <w:sz w:val="18"/>
                <w:szCs w:val="18"/>
              </w:rPr>
            </w:pPr>
            <w:r w:rsidRPr="001F224B">
              <w:rPr>
                <w:sz w:val="18"/>
                <w:szCs w:val="18"/>
              </w:rPr>
              <w:t>-</w:t>
            </w:r>
          </w:p>
        </w:tc>
      </w:tr>
      <w:tr w:rsidR="002278DB" w:rsidRPr="001F224B" w14:paraId="00755486"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6A4ABF12" w14:textId="77777777" w:rsidR="002278DB" w:rsidRPr="001F224B" w:rsidRDefault="002278DB" w:rsidP="002278DB">
            <w:pPr>
              <w:rPr>
                <w:color w:val="000000"/>
                <w:sz w:val="18"/>
                <w:szCs w:val="18"/>
              </w:rPr>
            </w:pPr>
            <w:r w:rsidRPr="001F224B">
              <w:rPr>
                <w:color w:val="000000"/>
                <w:sz w:val="18"/>
                <w:szCs w:val="18"/>
              </w:rPr>
              <w:t>İkamet amaçlı gayrimenkul ipoteği ile teminatlandırılan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5090FCDD" w14:textId="2A1E6803" w:rsidR="002278DB" w:rsidRPr="001F224B" w:rsidRDefault="002278DB" w:rsidP="002278DB">
            <w:pPr>
              <w:jc w:val="right"/>
              <w:rPr>
                <w:color w:val="000000"/>
                <w:sz w:val="18"/>
                <w:szCs w:val="18"/>
              </w:rPr>
            </w:pPr>
            <w:r w:rsidRPr="001F224B">
              <w:rPr>
                <w:color w:val="000000"/>
                <w:sz w:val="18"/>
                <w:szCs w:val="18"/>
              </w:rPr>
              <w:t>45.350</w:t>
            </w:r>
          </w:p>
        </w:tc>
        <w:tc>
          <w:tcPr>
            <w:tcW w:w="518" w:type="pct"/>
            <w:tcBorders>
              <w:top w:val="nil"/>
              <w:left w:val="nil"/>
              <w:bottom w:val="single" w:sz="4" w:space="0" w:color="auto"/>
              <w:right w:val="single" w:sz="4" w:space="0" w:color="auto"/>
            </w:tcBorders>
            <w:shd w:val="clear" w:color="auto" w:fill="auto"/>
            <w:noWrap/>
            <w:vAlign w:val="bottom"/>
            <w:hideMark/>
          </w:tcPr>
          <w:p w14:paraId="654196A1" w14:textId="03B5AE7E" w:rsidR="002278DB" w:rsidRPr="001F224B" w:rsidRDefault="002278DB" w:rsidP="002278DB">
            <w:pPr>
              <w:jc w:val="right"/>
              <w:rPr>
                <w:color w:val="000000"/>
                <w:sz w:val="18"/>
                <w:szCs w:val="18"/>
              </w:rPr>
            </w:pPr>
            <w:r w:rsidRPr="001F224B">
              <w:rPr>
                <w:color w:val="000000"/>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203C915B" w14:textId="024AAD9E" w:rsidR="002278DB" w:rsidRPr="001F224B" w:rsidRDefault="002278DB" w:rsidP="002278DB">
            <w:pPr>
              <w:jc w:val="right"/>
              <w:rPr>
                <w:color w:val="000000"/>
                <w:sz w:val="18"/>
                <w:szCs w:val="18"/>
              </w:rPr>
            </w:pPr>
            <w:r w:rsidRPr="001F224B">
              <w:rPr>
                <w:color w:val="000000"/>
                <w:sz w:val="18"/>
                <w:szCs w:val="18"/>
              </w:rPr>
              <w:t>45.350</w:t>
            </w:r>
          </w:p>
        </w:tc>
        <w:tc>
          <w:tcPr>
            <w:tcW w:w="518" w:type="pct"/>
            <w:tcBorders>
              <w:top w:val="nil"/>
              <w:left w:val="nil"/>
              <w:bottom w:val="single" w:sz="4" w:space="0" w:color="auto"/>
              <w:right w:val="single" w:sz="4" w:space="0" w:color="auto"/>
            </w:tcBorders>
            <w:shd w:val="clear" w:color="auto" w:fill="auto"/>
            <w:noWrap/>
            <w:vAlign w:val="bottom"/>
            <w:hideMark/>
          </w:tcPr>
          <w:p w14:paraId="4EA114FE" w14:textId="5D622AAC" w:rsidR="002278DB" w:rsidRPr="001F224B" w:rsidRDefault="002278DB" w:rsidP="002278DB">
            <w:pPr>
              <w:jc w:val="right"/>
              <w:rPr>
                <w:color w:val="000000"/>
                <w:sz w:val="18"/>
                <w:szCs w:val="18"/>
              </w:rPr>
            </w:pPr>
            <w:r w:rsidRPr="001F224B">
              <w:rPr>
                <w:color w:val="000000"/>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14AF3250" w14:textId="55495C10" w:rsidR="002278DB" w:rsidRPr="001F224B" w:rsidRDefault="002278DB" w:rsidP="002278DB">
            <w:pPr>
              <w:jc w:val="right"/>
              <w:rPr>
                <w:color w:val="000000"/>
                <w:sz w:val="18"/>
                <w:szCs w:val="18"/>
              </w:rPr>
            </w:pPr>
            <w:r w:rsidRPr="001F224B">
              <w:rPr>
                <w:color w:val="000000"/>
                <w:sz w:val="18"/>
                <w:szCs w:val="18"/>
              </w:rPr>
              <w:t>15.873</w:t>
            </w:r>
          </w:p>
        </w:tc>
        <w:tc>
          <w:tcPr>
            <w:tcW w:w="840" w:type="pct"/>
            <w:tcBorders>
              <w:top w:val="nil"/>
              <w:left w:val="nil"/>
              <w:bottom w:val="single" w:sz="4" w:space="0" w:color="auto"/>
              <w:right w:val="single" w:sz="4" w:space="0" w:color="auto"/>
            </w:tcBorders>
            <w:shd w:val="clear" w:color="auto" w:fill="auto"/>
            <w:noWrap/>
            <w:vAlign w:val="bottom"/>
            <w:hideMark/>
          </w:tcPr>
          <w:p w14:paraId="2029D8F8" w14:textId="7583A35D" w:rsidR="002278DB" w:rsidRPr="001F224B" w:rsidRDefault="002278DB" w:rsidP="002278DB">
            <w:pPr>
              <w:jc w:val="right"/>
              <w:rPr>
                <w:color w:val="000000"/>
                <w:sz w:val="18"/>
                <w:szCs w:val="18"/>
              </w:rPr>
            </w:pPr>
            <w:r w:rsidRPr="001F224B">
              <w:rPr>
                <w:color w:val="000000"/>
                <w:sz w:val="18"/>
                <w:szCs w:val="18"/>
              </w:rPr>
              <w:t>35,00%</w:t>
            </w:r>
          </w:p>
        </w:tc>
      </w:tr>
      <w:tr w:rsidR="002278DB" w:rsidRPr="001F224B" w14:paraId="3D57BDE6"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30385586" w14:textId="77777777" w:rsidR="002278DB" w:rsidRPr="001F224B" w:rsidRDefault="002278DB" w:rsidP="002278DB">
            <w:pPr>
              <w:rPr>
                <w:color w:val="000000"/>
                <w:sz w:val="18"/>
                <w:szCs w:val="18"/>
              </w:rPr>
            </w:pPr>
            <w:r w:rsidRPr="001F224B">
              <w:rPr>
                <w:color w:val="000000"/>
                <w:sz w:val="18"/>
                <w:szCs w:val="18"/>
              </w:rPr>
              <w:t>Ticari amaçlı gayrimenkul ipoteği ile teminatlandırılan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7C35BC09" w14:textId="040ACAF4" w:rsidR="002278DB" w:rsidRPr="001F224B" w:rsidRDefault="002278DB" w:rsidP="002278DB">
            <w:pPr>
              <w:jc w:val="right"/>
              <w:rPr>
                <w:color w:val="000000"/>
                <w:sz w:val="18"/>
                <w:szCs w:val="18"/>
              </w:rPr>
            </w:pPr>
            <w:r w:rsidRPr="001F224B">
              <w:rPr>
                <w:color w:val="000000"/>
                <w:sz w:val="18"/>
                <w:szCs w:val="18"/>
              </w:rPr>
              <w:t>5.438.781</w:t>
            </w:r>
          </w:p>
        </w:tc>
        <w:tc>
          <w:tcPr>
            <w:tcW w:w="518" w:type="pct"/>
            <w:tcBorders>
              <w:top w:val="nil"/>
              <w:left w:val="nil"/>
              <w:bottom w:val="single" w:sz="4" w:space="0" w:color="auto"/>
              <w:right w:val="single" w:sz="4" w:space="0" w:color="auto"/>
            </w:tcBorders>
            <w:shd w:val="clear" w:color="auto" w:fill="auto"/>
            <w:noWrap/>
            <w:vAlign w:val="bottom"/>
            <w:hideMark/>
          </w:tcPr>
          <w:p w14:paraId="347BA01E" w14:textId="2710EE68" w:rsidR="002278DB" w:rsidRPr="001F224B" w:rsidRDefault="002278DB" w:rsidP="002278DB">
            <w:pPr>
              <w:jc w:val="right"/>
              <w:rPr>
                <w:color w:val="000000"/>
                <w:sz w:val="18"/>
                <w:szCs w:val="18"/>
              </w:rPr>
            </w:pPr>
            <w:r w:rsidRPr="001F224B">
              <w:rPr>
                <w:color w:val="000000"/>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05BA5DEB" w14:textId="686D1388" w:rsidR="002278DB" w:rsidRPr="001F224B" w:rsidRDefault="002278DB" w:rsidP="002278DB">
            <w:pPr>
              <w:jc w:val="right"/>
              <w:rPr>
                <w:color w:val="000000"/>
                <w:sz w:val="18"/>
                <w:szCs w:val="18"/>
              </w:rPr>
            </w:pPr>
            <w:r w:rsidRPr="001F224B">
              <w:rPr>
                <w:color w:val="000000"/>
                <w:sz w:val="18"/>
                <w:szCs w:val="18"/>
              </w:rPr>
              <w:t>5.407.781</w:t>
            </w:r>
          </w:p>
        </w:tc>
        <w:tc>
          <w:tcPr>
            <w:tcW w:w="518" w:type="pct"/>
            <w:tcBorders>
              <w:top w:val="nil"/>
              <w:left w:val="nil"/>
              <w:bottom w:val="single" w:sz="4" w:space="0" w:color="auto"/>
              <w:right w:val="single" w:sz="4" w:space="0" w:color="auto"/>
            </w:tcBorders>
            <w:shd w:val="clear" w:color="auto" w:fill="auto"/>
            <w:noWrap/>
            <w:vAlign w:val="bottom"/>
            <w:hideMark/>
          </w:tcPr>
          <w:p w14:paraId="59B1AAA1" w14:textId="177E7216" w:rsidR="002278DB" w:rsidRPr="001F224B" w:rsidRDefault="002278DB" w:rsidP="002278DB">
            <w:pPr>
              <w:jc w:val="right"/>
              <w:rPr>
                <w:color w:val="000000"/>
                <w:sz w:val="18"/>
                <w:szCs w:val="18"/>
              </w:rPr>
            </w:pPr>
            <w:r w:rsidRPr="001F224B">
              <w:rPr>
                <w:color w:val="000000"/>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0FEBCD6A" w14:textId="2BE07F42" w:rsidR="002278DB" w:rsidRPr="001F224B" w:rsidRDefault="002278DB" w:rsidP="002278DB">
            <w:pPr>
              <w:jc w:val="right"/>
              <w:rPr>
                <w:color w:val="000000"/>
                <w:sz w:val="18"/>
                <w:szCs w:val="18"/>
              </w:rPr>
            </w:pPr>
            <w:r w:rsidRPr="001F224B">
              <w:rPr>
                <w:color w:val="000000"/>
                <w:sz w:val="18"/>
                <w:szCs w:val="18"/>
              </w:rPr>
              <w:t>2.953.856</w:t>
            </w:r>
          </w:p>
        </w:tc>
        <w:tc>
          <w:tcPr>
            <w:tcW w:w="840" w:type="pct"/>
            <w:tcBorders>
              <w:top w:val="nil"/>
              <w:left w:val="nil"/>
              <w:bottom w:val="single" w:sz="4" w:space="0" w:color="auto"/>
              <w:right w:val="single" w:sz="4" w:space="0" w:color="auto"/>
            </w:tcBorders>
            <w:shd w:val="clear" w:color="auto" w:fill="auto"/>
            <w:noWrap/>
            <w:vAlign w:val="bottom"/>
            <w:hideMark/>
          </w:tcPr>
          <w:p w14:paraId="643416B3" w14:textId="3FE618C0" w:rsidR="002278DB" w:rsidRPr="001F224B" w:rsidRDefault="002278DB" w:rsidP="002278DB">
            <w:pPr>
              <w:jc w:val="right"/>
              <w:rPr>
                <w:color w:val="000000"/>
                <w:sz w:val="18"/>
                <w:szCs w:val="18"/>
              </w:rPr>
            </w:pPr>
            <w:r w:rsidRPr="001F224B">
              <w:rPr>
                <w:color w:val="000000"/>
                <w:sz w:val="18"/>
                <w:szCs w:val="18"/>
              </w:rPr>
              <w:t>54,62%</w:t>
            </w:r>
          </w:p>
        </w:tc>
      </w:tr>
      <w:tr w:rsidR="002278DB" w:rsidRPr="001F224B" w14:paraId="7CF4396D"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6A1CF778" w14:textId="77777777" w:rsidR="002278DB" w:rsidRPr="001F224B" w:rsidRDefault="002278DB" w:rsidP="002278DB">
            <w:pPr>
              <w:rPr>
                <w:color w:val="000000"/>
                <w:sz w:val="18"/>
                <w:szCs w:val="18"/>
              </w:rPr>
            </w:pPr>
            <w:r w:rsidRPr="001F224B">
              <w:rPr>
                <w:color w:val="000000"/>
                <w:sz w:val="18"/>
                <w:szCs w:val="18"/>
              </w:rPr>
              <w:t>Tahsili gecikmiş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744EAB67" w14:textId="1B092459" w:rsidR="002278DB" w:rsidRPr="001F224B" w:rsidRDefault="002278DB" w:rsidP="002278DB">
            <w:pPr>
              <w:jc w:val="right"/>
              <w:rPr>
                <w:color w:val="000000"/>
                <w:sz w:val="18"/>
                <w:szCs w:val="18"/>
              </w:rPr>
            </w:pPr>
            <w:r w:rsidRPr="001F224B">
              <w:rPr>
                <w:color w:val="000000"/>
                <w:sz w:val="18"/>
                <w:szCs w:val="18"/>
              </w:rPr>
              <w:t>156.399</w:t>
            </w:r>
          </w:p>
        </w:tc>
        <w:tc>
          <w:tcPr>
            <w:tcW w:w="518" w:type="pct"/>
            <w:tcBorders>
              <w:top w:val="nil"/>
              <w:left w:val="nil"/>
              <w:bottom w:val="single" w:sz="4" w:space="0" w:color="auto"/>
              <w:right w:val="single" w:sz="4" w:space="0" w:color="auto"/>
            </w:tcBorders>
            <w:shd w:val="clear" w:color="auto" w:fill="auto"/>
            <w:noWrap/>
            <w:vAlign w:val="bottom"/>
            <w:hideMark/>
          </w:tcPr>
          <w:p w14:paraId="09129571" w14:textId="28CF07D1" w:rsidR="002278DB" w:rsidRPr="001F224B" w:rsidRDefault="002278DB" w:rsidP="002278DB">
            <w:pPr>
              <w:jc w:val="right"/>
              <w:rPr>
                <w:color w:val="000000"/>
                <w:sz w:val="18"/>
                <w:szCs w:val="18"/>
              </w:rPr>
            </w:pPr>
            <w:r w:rsidRPr="001F224B">
              <w:rPr>
                <w:color w:val="000000"/>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28FBCFD1" w14:textId="245ACE5C" w:rsidR="002278DB" w:rsidRPr="001F224B" w:rsidRDefault="002278DB" w:rsidP="002278DB">
            <w:pPr>
              <w:jc w:val="right"/>
              <w:rPr>
                <w:color w:val="000000"/>
                <w:sz w:val="18"/>
                <w:szCs w:val="18"/>
              </w:rPr>
            </w:pPr>
            <w:r w:rsidRPr="001F224B">
              <w:rPr>
                <w:color w:val="000000"/>
                <w:sz w:val="18"/>
                <w:szCs w:val="18"/>
              </w:rPr>
              <w:t>156.399</w:t>
            </w:r>
          </w:p>
        </w:tc>
        <w:tc>
          <w:tcPr>
            <w:tcW w:w="518" w:type="pct"/>
            <w:tcBorders>
              <w:top w:val="nil"/>
              <w:left w:val="nil"/>
              <w:bottom w:val="single" w:sz="4" w:space="0" w:color="auto"/>
              <w:right w:val="single" w:sz="4" w:space="0" w:color="auto"/>
            </w:tcBorders>
            <w:shd w:val="clear" w:color="auto" w:fill="auto"/>
            <w:noWrap/>
            <w:vAlign w:val="bottom"/>
            <w:hideMark/>
          </w:tcPr>
          <w:p w14:paraId="5F604E81" w14:textId="2CCE2E3E" w:rsidR="002278DB" w:rsidRPr="001F224B" w:rsidRDefault="002278DB" w:rsidP="002278DB">
            <w:pPr>
              <w:jc w:val="right"/>
              <w:rPr>
                <w:color w:val="000000"/>
                <w:sz w:val="18"/>
                <w:szCs w:val="18"/>
              </w:rPr>
            </w:pPr>
            <w:r w:rsidRPr="001F224B">
              <w:rPr>
                <w:color w:val="000000"/>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0CB092F1" w14:textId="6F1D2415" w:rsidR="002278DB" w:rsidRPr="001F224B" w:rsidRDefault="002278DB" w:rsidP="002278DB">
            <w:pPr>
              <w:jc w:val="right"/>
              <w:rPr>
                <w:color w:val="000000"/>
                <w:sz w:val="18"/>
                <w:szCs w:val="18"/>
              </w:rPr>
            </w:pPr>
            <w:r w:rsidRPr="001F224B">
              <w:rPr>
                <w:color w:val="000000"/>
                <w:sz w:val="18"/>
                <w:szCs w:val="18"/>
              </w:rPr>
              <w:t>88.508</w:t>
            </w:r>
          </w:p>
        </w:tc>
        <w:tc>
          <w:tcPr>
            <w:tcW w:w="840" w:type="pct"/>
            <w:tcBorders>
              <w:top w:val="nil"/>
              <w:left w:val="nil"/>
              <w:bottom w:val="single" w:sz="4" w:space="0" w:color="auto"/>
              <w:right w:val="single" w:sz="4" w:space="0" w:color="auto"/>
            </w:tcBorders>
            <w:shd w:val="clear" w:color="auto" w:fill="auto"/>
            <w:noWrap/>
            <w:vAlign w:val="bottom"/>
            <w:hideMark/>
          </w:tcPr>
          <w:p w14:paraId="6D01E67D" w14:textId="6F711AFD" w:rsidR="002278DB" w:rsidRPr="001F224B" w:rsidRDefault="002278DB" w:rsidP="002278DB">
            <w:pPr>
              <w:jc w:val="right"/>
              <w:rPr>
                <w:color w:val="000000"/>
                <w:sz w:val="18"/>
                <w:szCs w:val="18"/>
              </w:rPr>
            </w:pPr>
            <w:r w:rsidRPr="001F224B">
              <w:rPr>
                <w:color w:val="000000"/>
                <w:sz w:val="18"/>
                <w:szCs w:val="18"/>
              </w:rPr>
              <w:t>56,59%</w:t>
            </w:r>
          </w:p>
        </w:tc>
      </w:tr>
      <w:tr w:rsidR="002278DB" w:rsidRPr="001F224B" w14:paraId="75D8DD1F"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404BF9B7" w14:textId="77777777" w:rsidR="002278DB" w:rsidRPr="001F224B" w:rsidRDefault="002278DB" w:rsidP="002278DB">
            <w:pPr>
              <w:rPr>
                <w:color w:val="000000"/>
                <w:sz w:val="18"/>
                <w:szCs w:val="18"/>
              </w:rPr>
            </w:pPr>
            <w:r w:rsidRPr="001F224B">
              <w:rPr>
                <w:color w:val="000000"/>
                <w:sz w:val="18"/>
                <w:szCs w:val="18"/>
              </w:rPr>
              <w:t>Kurulca riski yüksek belirlenmiş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3DB7C9B5" w14:textId="71F52EB9"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4EC1F1A1" w14:textId="52E9000F" w:rsidR="002278DB" w:rsidRPr="001F224B" w:rsidRDefault="002278DB" w:rsidP="002278DB">
            <w:pPr>
              <w:jc w:val="right"/>
              <w:rPr>
                <w:color w:val="000000"/>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015F9545" w14:textId="4EAD75DA"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4AEE1B22" w14:textId="5CF5B84B" w:rsidR="002278DB" w:rsidRPr="001F224B" w:rsidRDefault="002278DB" w:rsidP="002278DB">
            <w:pPr>
              <w:jc w:val="right"/>
              <w:rPr>
                <w:color w:val="000000"/>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2B93C17E" w14:textId="369AD2A9" w:rsidR="002278DB" w:rsidRPr="001F224B" w:rsidRDefault="002278DB" w:rsidP="002278DB">
            <w:pPr>
              <w:jc w:val="right"/>
              <w:rPr>
                <w:color w:val="000000"/>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5E72D16B" w14:textId="7D9CC611" w:rsidR="002278DB" w:rsidRPr="001F224B" w:rsidRDefault="002278DB" w:rsidP="002278DB">
            <w:pPr>
              <w:jc w:val="right"/>
              <w:rPr>
                <w:color w:val="000000"/>
                <w:sz w:val="18"/>
                <w:szCs w:val="18"/>
              </w:rPr>
            </w:pPr>
            <w:r w:rsidRPr="001F224B">
              <w:rPr>
                <w:sz w:val="18"/>
                <w:szCs w:val="18"/>
              </w:rPr>
              <w:t>-</w:t>
            </w:r>
          </w:p>
        </w:tc>
      </w:tr>
      <w:tr w:rsidR="002278DB" w:rsidRPr="001F224B" w14:paraId="3EF663DA"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1BA7D3A4" w14:textId="77777777" w:rsidR="002278DB" w:rsidRPr="001F224B" w:rsidRDefault="002278DB" w:rsidP="002278DB">
            <w:pPr>
              <w:rPr>
                <w:color w:val="000000"/>
                <w:sz w:val="18"/>
                <w:szCs w:val="18"/>
              </w:rPr>
            </w:pPr>
            <w:r w:rsidRPr="001F224B">
              <w:rPr>
                <w:color w:val="000000"/>
                <w:sz w:val="18"/>
                <w:szCs w:val="18"/>
              </w:rPr>
              <w:t>Teminatlı menkul kıymetler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106F0B47" w14:textId="58BD16BD"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0F106E53" w14:textId="494DCB44" w:rsidR="002278DB" w:rsidRPr="001F224B" w:rsidRDefault="002278DB" w:rsidP="002278DB">
            <w:pPr>
              <w:jc w:val="right"/>
              <w:rPr>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04651D3B" w14:textId="4DBC4484"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361F00F4" w14:textId="11305B93" w:rsidR="002278DB" w:rsidRPr="001F224B" w:rsidRDefault="002278DB" w:rsidP="002278DB">
            <w:pPr>
              <w:jc w:val="right"/>
              <w:rPr>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5E746409" w14:textId="39266507" w:rsidR="002278DB" w:rsidRPr="001F224B" w:rsidRDefault="002278DB" w:rsidP="002278DB">
            <w:pPr>
              <w:jc w:val="right"/>
              <w:rPr>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322E8D7B" w14:textId="0FC935E2" w:rsidR="002278DB" w:rsidRPr="001F224B" w:rsidRDefault="002278DB" w:rsidP="002278DB">
            <w:pPr>
              <w:jc w:val="right"/>
              <w:rPr>
                <w:color w:val="000000"/>
                <w:sz w:val="18"/>
                <w:szCs w:val="18"/>
              </w:rPr>
            </w:pPr>
            <w:r w:rsidRPr="001F224B">
              <w:rPr>
                <w:sz w:val="18"/>
                <w:szCs w:val="18"/>
              </w:rPr>
              <w:t>-</w:t>
            </w:r>
          </w:p>
        </w:tc>
      </w:tr>
      <w:tr w:rsidR="002278DB" w:rsidRPr="001F224B" w14:paraId="72CAA589" w14:textId="77777777" w:rsidTr="002278DB">
        <w:trPr>
          <w:trHeight w:val="598"/>
        </w:trPr>
        <w:tc>
          <w:tcPr>
            <w:tcW w:w="1600" w:type="pct"/>
            <w:tcBorders>
              <w:top w:val="nil"/>
              <w:left w:val="single" w:sz="4" w:space="0" w:color="auto"/>
              <w:bottom w:val="single" w:sz="4" w:space="0" w:color="auto"/>
              <w:right w:val="single" w:sz="4" w:space="0" w:color="auto"/>
            </w:tcBorders>
            <w:vAlign w:val="bottom"/>
            <w:hideMark/>
          </w:tcPr>
          <w:p w14:paraId="0D617691" w14:textId="77777777" w:rsidR="002278DB" w:rsidRPr="001F224B" w:rsidRDefault="002278DB" w:rsidP="002278DB">
            <w:pPr>
              <w:rPr>
                <w:color w:val="000000"/>
                <w:sz w:val="18"/>
                <w:szCs w:val="18"/>
              </w:rPr>
            </w:pPr>
            <w:r w:rsidRPr="001F224B">
              <w:rPr>
                <w:color w:val="000000"/>
                <w:sz w:val="18"/>
                <w:szCs w:val="18"/>
              </w:rPr>
              <w:t>Bankalardan ve aracı kurumlardan olan kısa vadeli alacaklar</w:t>
            </w:r>
            <w:r w:rsidRPr="001F224B">
              <w:rPr>
                <w:color w:val="000000"/>
                <w:sz w:val="18"/>
                <w:szCs w:val="18"/>
              </w:rPr>
              <w:br/>
              <w:t>ile kısa vadeli kurumsal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6F0E6061" w14:textId="622AB85D"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159462ED" w14:textId="57BE5341" w:rsidR="002278DB" w:rsidRPr="001F224B" w:rsidRDefault="002278DB" w:rsidP="002278DB">
            <w:pPr>
              <w:jc w:val="right"/>
              <w:rPr>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78A3D0F9" w14:textId="246A17AC" w:rsidR="002278DB" w:rsidRPr="001F224B" w:rsidRDefault="002278DB" w:rsidP="002278DB">
            <w:pPr>
              <w:jc w:val="right"/>
              <w:rPr>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3F94C71C" w14:textId="45064965" w:rsidR="002278DB" w:rsidRPr="001F224B" w:rsidRDefault="002278DB" w:rsidP="002278DB">
            <w:pPr>
              <w:jc w:val="right"/>
              <w:rPr>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49A75151" w14:textId="6AD275B1" w:rsidR="002278DB" w:rsidRPr="001F224B" w:rsidRDefault="002278DB" w:rsidP="002278DB">
            <w:pPr>
              <w:jc w:val="right"/>
              <w:rPr>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32E76997" w14:textId="616BECB2" w:rsidR="002278DB" w:rsidRPr="001F224B" w:rsidRDefault="002278DB" w:rsidP="002278DB">
            <w:pPr>
              <w:jc w:val="right"/>
              <w:rPr>
                <w:color w:val="000000"/>
                <w:sz w:val="18"/>
                <w:szCs w:val="18"/>
              </w:rPr>
            </w:pPr>
            <w:r w:rsidRPr="001F224B">
              <w:rPr>
                <w:sz w:val="18"/>
                <w:szCs w:val="18"/>
              </w:rPr>
              <w:t>-</w:t>
            </w:r>
          </w:p>
        </w:tc>
      </w:tr>
      <w:tr w:rsidR="002278DB" w:rsidRPr="001F224B" w14:paraId="1567679A"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633D773F" w14:textId="77777777" w:rsidR="002278DB" w:rsidRPr="001F224B" w:rsidRDefault="002278DB" w:rsidP="002278DB">
            <w:pPr>
              <w:rPr>
                <w:color w:val="000000"/>
                <w:sz w:val="18"/>
                <w:szCs w:val="18"/>
              </w:rPr>
            </w:pPr>
            <w:r w:rsidRPr="001F224B">
              <w:rPr>
                <w:color w:val="000000"/>
                <w:sz w:val="18"/>
                <w:szCs w:val="18"/>
              </w:rPr>
              <w:t>Kolektif yatırım kuruluşu niteliğindeki yatırımlar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48149D1A" w14:textId="15D97AB8" w:rsidR="002278DB" w:rsidRPr="001F224B" w:rsidRDefault="002278DB" w:rsidP="002278DB">
            <w:pPr>
              <w:jc w:val="right"/>
              <w:rPr>
                <w:color w:val="000000"/>
                <w:sz w:val="18"/>
                <w:szCs w:val="18"/>
              </w:rPr>
            </w:pPr>
            <w:r w:rsidRPr="001F224B">
              <w:rPr>
                <w:color w:val="000000"/>
                <w:sz w:val="18"/>
                <w:szCs w:val="18"/>
              </w:rPr>
              <w:t>224.298</w:t>
            </w:r>
          </w:p>
        </w:tc>
        <w:tc>
          <w:tcPr>
            <w:tcW w:w="518" w:type="pct"/>
            <w:tcBorders>
              <w:top w:val="nil"/>
              <w:left w:val="nil"/>
              <w:bottom w:val="single" w:sz="4" w:space="0" w:color="auto"/>
              <w:right w:val="single" w:sz="4" w:space="0" w:color="auto"/>
            </w:tcBorders>
            <w:shd w:val="clear" w:color="auto" w:fill="auto"/>
            <w:noWrap/>
            <w:vAlign w:val="bottom"/>
            <w:hideMark/>
          </w:tcPr>
          <w:p w14:paraId="59DBD9E4" w14:textId="30D4693F" w:rsidR="002278DB" w:rsidRPr="001F224B" w:rsidRDefault="002278DB" w:rsidP="002278DB">
            <w:pPr>
              <w:jc w:val="right"/>
              <w:rPr>
                <w:color w:val="000000"/>
                <w:sz w:val="18"/>
                <w:szCs w:val="18"/>
              </w:rPr>
            </w:pPr>
            <w:r w:rsidRPr="001F224B">
              <w:rPr>
                <w:color w:val="000000"/>
                <w:sz w:val="18"/>
                <w:szCs w:val="18"/>
              </w:rPr>
              <w:t>61</w:t>
            </w:r>
          </w:p>
        </w:tc>
        <w:tc>
          <w:tcPr>
            <w:tcW w:w="489" w:type="pct"/>
            <w:tcBorders>
              <w:top w:val="nil"/>
              <w:left w:val="nil"/>
              <w:bottom w:val="single" w:sz="4" w:space="0" w:color="auto"/>
              <w:right w:val="single" w:sz="4" w:space="0" w:color="auto"/>
            </w:tcBorders>
            <w:shd w:val="clear" w:color="auto" w:fill="auto"/>
            <w:noWrap/>
            <w:vAlign w:val="bottom"/>
            <w:hideMark/>
          </w:tcPr>
          <w:p w14:paraId="6242EBCC" w14:textId="3DAC0539" w:rsidR="002278DB" w:rsidRPr="001F224B" w:rsidRDefault="002278DB" w:rsidP="002278DB">
            <w:pPr>
              <w:jc w:val="right"/>
              <w:rPr>
                <w:color w:val="000000"/>
                <w:sz w:val="18"/>
                <w:szCs w:val="18"/>
              </w:rPr>
            </w:pPr>
            <w:r w:rsidRPr="001F224B">
              <w:rPr>
                <w:color w:val="000000"/>
                <w:sz w:val="18"/>
                <w:szCs w:val="18"/>
              </w:rPr>
              <w:t>224.298</w:t>
            </w:r>
          </w:p>
        </w:tc>
        <w:tc>
          <w:tcPr>
            <w:tcW w:w="518" w:type="pct"/>
            <w:tcBorders>
              <w:top w:val="nil"/>
              <w:left w:val="nil"/>
              <w:bottom w:val="single" w:sz="4" w:space="0" w:color="auto"/>
              <w:right w:val="single" w:sz="4" w:space="0" w:color="auto"/>
            </w:tcBorders>
            <w:shd w:val="clear" w:color="auto" w:fill="auto"/>
            <w:noWrap/>
            <w:vAlign w:val="bottom"/>
            <w:hideMark/>
          </w:tcPr>
          <w:p w14:paraId="3C5CE77F" w14:textId="41F0D687" w:rsidR="002278DB" w:rsidRPr="001F224B" w:rsidRDefault="002278DB" w:rsidP="002278DB">
            <w:pPr>
              <w:jc w:val="right"/>
              <w:rPr>
                <w:color w:val="000000"/>
                <w:sz w:val="18"/>
                <w:szCs w:val="18"/>
              </w:rPr>
            </w:pPr>
            <w:r w:rsidRPr="001F224B">
              <w:rPr>
                <w:color w:val="000000"/>
                <w:sz w:val="18"/>
                <w:szCs w:val="18"/>
              </w:rPr>
              <w:t>61</w:t>
            </w:r>
          </w:p>
        </w:tc>
        <w:tc>
          <w:tcPr>
            <w:tcW w:w="546" w:type="pct"/>
            <w:tcBorders>
              <w:top w:val="nil"/>
              <w:left w:val="nil"/>
              <w:bottom w:val="single" w:sz="4" w:space="0" w:color="auto"/>
              <w:right w:val="single" w:sz="4" w:space="0" w:color="auto"/>
            </w:tcBorders>
            <w:shd w:val="clear" w:color="auto" w:fill="auto"/>
            <w:noWrap/>
            <w:vAlign w:val="bottom"/>
            <w:hideMark/>
          </w:tcPr>
          <w:p w14:paraId="5329CCAD" w14:textId="1D7D570F" w:rsidR="002278DB" w:rsidRPr="001F224B" w:rsidRDefault="002278DB" w:rsidP="002278DB">
            <w:pPr>
              <w:jc w:val="right"/>
              <w:rPr>
                <w:color w:val="000000"/>
                <w:sz w:val="18"/>
                <w:szCs w:val="18"/>
              </w:rPr>
            </w:pPr>
            <w:r w:rsidRPr="001F224B">
              <w:rPr>
                <w:color w:val="000000"/>
                <w:sz w:val="18"/>
                <w:szCs w:val="18"/>
              </w:rPr>
              <w:t>224.359</w:t>
            </w:r>
          </w:p>
        </w:tc>
        <w:tc>
          <w:tcPr>
            <w:tcW w:w="840" w:type="pct"/>
            <w:tcBorders>
              <w:top w:val="nil"/>
              <w:left w:val="nil"/>
              <w:bottom w:val="single" w:sz="4" w:space="0" w:color="auto"/>
              <w:right w:val="single" w:sz="4" w:space="0" w:color="auto"/>
            </w:tcBorders>
            <w:shd w:val="clear" w:color="auto" w:fill="auto"/>
            <w:noWrap/>
            <w:vAlign w:val="bottom"/>
            <w:hideMark/>
          </w:tcPr>
          <w:p w14:paraId="059DE503" w14:textId="45647E46" w:rsidR="002278DB" w:rsidRPr="001F224B" w:rsidRDefault="002278DB" w:rsidP="002278DB">
            <w:pPr>
              <w:jc w:val="right"/>
              <w:rPr>
                <w:color w:val="000000"/>
                <w:sz w:val="18"/>
                <w:szCs w:val="18"/>
              </w:rPr>
            </w:pPr>
            <w:r w:rsidRPr="001F224B">
              <w:rPr>
                <w:color w:val="000000"/>
                <w:sz w:val="18"/>
                <w:szCs w:val="18"/>
              </w:rPr>
              <w:t>100,00%</w:t>
            </w:r>
          </w:p>
        </w:tc>
      </w:tr>
      <w:tr w:rsidR="002278DB" w:rsidRPr="001F224B" w14:paraId="73FF2738"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3AFE4BAC" w14:textId="77777777" w:rsidR="002278DB" w:rsidRPr="001F224B" w:rsidRDefault="002278DB" w:rsidP="002278DB">
            <w:pPr>
              <w:rPr>
                <w:color w:val="000000"/>
                <w:sz w:val="18"/>
                <w:szCs w:val="18"/>
              </w:rPr>
            </w:pPr>
            <w:r w:rsidRPr="001F224B">
              <w:rPr>
                <w:color w:val="000000"/>
                <w:sz w:val="18"/>
                <w:szCs w:val="18"/>
              </w:rPr>
              <w:t>Diğer alacaklar</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48A9DF53" w14:textId="16B98524" w:rsidR="002278DB" w:rsidRPr="001F224B" w:rsidRDefault="002278DB" w:rsidP="002278DB">
            <w:pPr>
              <w:jc w:val="right"/>
              <w:rPr>
                <w:color w:val="000000"/>
                <w:sz w:val="18"/>
                <w:szCs w:val="18"/>
              </w:rPr>
            </w:pPr>
            <w:r w:rsidRPr="001F224B">
              <w:rPr>
                <w:color w:val="000000"/>
                <w:sz w:val="18"/>
                <w:szCs w:val="18"/>
              </w:rPr>
              <w:t>1.150.246</w:t>
            </w:r>
          </w:p>
        </w:tc>
        <w:tc>
          <w:tcPr>
            <w:tcW w:w="518" w:type="pct"/>
            <w:tcBorders>
              <w:top w:val="nil"/>
              <w:left w:val="nil"/>
              <w:bottom w:val="single" w:sz="4" w:space="0" w:color="auto"/>
              <w:right w:val="single" w:sz="4" w:space="0" w:color="auto"/>
            </w:tcBorders>
            <w:shd w:val="clear" w:color="auto" w:fill="auto"/>
            <w:noWrap/>
            <w:vAlign w:val="bottom"/>
            <w:hideMark/>
          </w:tcPr>
          <w:p w14:paraId="37E944D3" w14:textId="2AB4B789" w:rsidR="002278DB" w:rsidRPr="001F224B" w:rsidRDefault="002278DB" w:rsidP="002278DB">
            <w:pPr>
              <w:jc w:val="right"/>
              <w:rPr>
                <w:color w:val="000000"/>
                <w:sz w:val="18"/>
                <w:szCs w:val="18"/>
              </w:rPr>
            </w:pPr>
            <w:r w:rsidRPr="001F224B">
              <w:rPr>
                <w:color w:val="000000"/>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0B022C0C" w14:textId="633985EA" w:rsidR="002278DB" w:rsidRPr="001F224B" w:rsidRDefault="002278DB" w:rsidP="002278DB">
            <w:pPr>
              <w:jc w:val="right"/>
              <w:rPr>
                <w:color w:val="000000"/>
                <w:sz w:val="18"/>
                <w:szCs w:val="18"/>
              </w:rPr>
            </w:pPr>
            <w:r w:rsidRPr="001F224B">
              <w:rPr>
                <w:color w:val="000000"/>
                <w:sz w:val="18"/>
                <w:szCs w:val="18"/>
              </w:rPr>
              <w:t>1.060.929</w:t>
            </w:r>
          </w:p>
        </w:tc>
        <w:tc>
          <w:tcPr>
            <w:tcW w:w="518" w:type="pct"/>
            <w:tcBorders>
              <w:top w:val="nil"/>
              <w:left w:val="nil"/>
              <w:bottom w:val="single" w:sz="4" w:space="0" w:color="auto"/>
              <w:right w:val="single" w:sz="4" w:space="0" w:color="auto"/>
            </w:tcBorders>
            <w:shd w:val="clear" w:color="auto" w:fill="auto"/>
            <w:noWrap/>
            <w:vAlign w:val="bottom"/>
            <w:hideMark/>
          </w:tcPr>
          <w:p w14:paraId="6D607038" w14:textId="379C8C9A" w:rsidR="002278DB" w:rsidRPr="001F224B" w:rsidRDefault="002278DB" w:rsidP="002278DB">
            <w:pPr>
              <w:jc w:val="right"/>
              <w:rPr>
                <w:color w:val="000000"/>
                <w:sz w:val="18"/>
                <w:szCs w:val="18"/>
              </w:rPr>
            </w:pPr>
            <w:r w:rsidRPr="001F224B">
              <w:rPr>
                <w:color w:val="000000"/>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27BE0676" w14:textId="7C13C80D" w:rsidR="002278DB" w:rsidRPr="001F224B" w:rsidRDefault="002278DB" w:rsidP="002278DB">
            <w:pPr>
              <w:jc w:val="right"/>
              <w:rPr>
                <w:color w:val="000000"/>
                <w:sz w:val="18"/>
                <w:szCs w:val="18"/>
              </w:rPr>
            </w:pPr>
            <w:r w:rsidRPr="001F224B">
              <w:rPr>
                <w:color w:val="000000"/>
                <w:sz w:val="18"/>
                <w:szCs w:val="18"/>
              </w:rPr>
              <w:t>1.060.703</w:t>
            </w:r>
          </w:p>
        </w:tc>
        <w:tc>
          <w:tcPr>
            <w:tcW w:w="840" w:type="pct"/>
            <w:tcBorders>
              <w:top w:val="nil"/>
              <w:left w:val="nil"/>
              <w:bottom w:val="single" w:sz="4" w:space="0" w:color="auto"/>
              <w:right w:val="single" w:sz="4" w:space="0" w:color="auto"/>
            </w:tcBorders>
            <w:shd w:val="clear" w:color="auto" w:fill="auto"/>
            <w:noWrap/>
            <w:vAlign w:val="bottom"/>
            <w:hideMark/>
          </w:tcPr>
          <w:p w14:paraId="400AA8EB" w14:textId="671EB7CE" w:rsidR="002278DB" w:rsidRPr="001F224B" w:rsidRDefault="002278DB" w:rsidP="002278DB">
            <w:pPr>
              <w:jc w:val="right"/>
              <w:rPr>
                <w:color w:val="000000"/>
                <w:sz w:val="18"/>
                <w:szCs w:val="18"/>
              </w:rPr>
            </w:pPr>
            <w:r w:rsidRPr="001F224B">
              <w:rPr>
                <w:color w:val="000000"/>
                <w:sz w:val="18"/>
                <w:szCs w:val="18"/>
              </w:rPr>
              <w:t>99,98%</w:t>
            </w:r>
          </w:p>
        </w:tc>
      </w:tr>
      <w:tr w:rsidR="002278DB" w:rsidRPr="001F224B" w14:paraId="3375CBBC" w14:textId="77777777" w:rsidTr="002278DB">
        <w:trPr>
          <w:trHeight w:val="235"/>
        </w:trPr>
        <w:tc>
          <w:tcPr>
            <w:tcW w:w="1600" w:type="pct"/>
            <w:tcBorders>
              <w:top w:val="nil"/>
              <w:left w:val="single" w:sz="4" w:space="0" w:color="auto"/>
              <w:bottom w:val="single" w:sz="4" w:space="0" w:color="auto"/>
              <w:right w:val="single" w:sz="4" w:space="0" w:color="auto"/>
            </w:tcBorders>
            <w:noWrap/>
            <w:vAlign w:val="bottom"/>
            <w:hideMark/>
          </w:tcPr>
          <w:p w14:paraId="1E90861C" w14:textId="77777777" w:rsidR="002278DB" w:rsidRPr="001F224B" w:rsidRDefault="002278DB" w:rsidP="002278DB">
            <w:pPr>
              <w:rPr>
                <w:color w:val="000000"/>
                <w:sz w:val="18"/>
                <w:szCs w:val="18"/>
              </w:rPr>
            </w:pPr>
            <w:r w:rsidRPr="001F224B">
              <w:rPr>
                <w:color w:val="000000"/>
                <w:sz w:val="18"/>
                <w:szCs w:val="18"/>
              </w:rPr>
              <w:t>Hisse senedi yatırımları</w:t>
            </w:r>
          </w:p>
        </w:tc>
        <w:tc>
          <w:tcPr>
            <w:tcW w:w="489" w:type="pct"/>
            <w:tcBorders>
              <w:top w:val="nil"/>
              <w:left w:val="single" w:sz="4" w:space="0" w:color="auto"/>
              <w:bottom w:val="single" w:sz="4" w:space="0" w:color="auto"/>
              <w:right w:val="single" w:sz="4" w:space="0" w:color="auto"/>
            </w:tcBorders>
            <w:shd w:val="clear" w:color="auto" w:fill="auto"/>
            <w:noWrap/>
            <w:vAlign w:val="bottom"/>
            <w:hideMark/>
          </w:tcPr>
          <w:p w14:paraId="29758FE7" w14:textId="2973AD44"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1E1E5F72" w14:textId="5F46AE2E" w:rsidR="002278DB" w:rsidRPr="001F224B" w:rsidRDefault="002278DB" w:rsidP="002278DB">
            <w:pPr>
              <w:jc w:val="right"/>
              <w:rPr>
                <w:color w:val="000000"/>
                <w:sz w:val="18"/>
                <w:szCs w:val="18"/>
              </w:rPr>
            </w:pPr>
            <w:r w:rsidRPr="001F224B">
              <w:rPr>
                <w:sz w:val="18"/>
                <w:szCs w:val="18"/>
              </w:rPr>
              <w:t>-</w:t>
            </w:r>
          </w:p>
        </w:tc>
        <w:tc>
          <w:tcPr>
            <w:tcW w:w="489" w:type="pct"/>
            <w:tcBorders>
              <w:top w:val="nil"/>
              <w:left w:val="nil"/>
              <w:bottom w:val="single" w:sz="4" w:space="0" w:color="auto"/>
              <w:right w:val="single" w:sz="4" w:space="0" w:color="auto"/>
            </w:tcBorders>
            <w:shd w:val="clear" w:color="auto" w:fill="auto"/>
            <w:noWrap/>
            <w:vAlign w:val="bottom"/>
            <w:hideMark/>
          </w:tcPr>
          <w:p w14:paraId="0E4059AE" w14:textId="327E8878" w:rsidR="002278DB" w:rsidRPr="001F224B" w:rsidRDefault="002278DB" w:rsidP="002278DB">
            <w:pPr>
              <w:jc w:val="right"/>
              <w:rPr>
                <w:color w:val="000000"/>
                <w:sz w:val="18"/>
                <w:szCs w:val="18"/>
              </w:rPr>
            </w:pPr>
            <w:r w:rsidRPr="001F224B">
              <w:rPr>
                <w:sz w:val="18"/>
                <w:szCs w:val="18"/>
              </w:rPr>
              <w:t>-</w:t>
            </w:r>
          </w:p>
        </w:tc>
        <w:tc>
          <w:tcPr>
            <w:tcW w:w="518" w:type="pct"/>
            <w:tcBorders>
              <w:top w:val="nil"/>
              <w:left w:val="nil"/>
              <w:bottom w:val="single" w:sz="4" w:space="0" w:color="auto"/>
              <w:right w:val="single" w:sz="4" w:space="0" w:color="auto"/>
            </w:tcBorders>
            <w:shd w:val="clear" w:color="auto" w:fill="auto"/>
            <w:noWrap/>
            <w:vAlign w:val="bottom"/>
            <w:hideMark/>
          </w:tcPr>
          <w:p w14:paraId="55BD23B4" w14:textId="0D5FA327" w:rsidR="002278DB" w:rsidRPr="001F224B" w:rsidRDefault="002278DB" w:rsidP="002278DB">
            <w:pPr>
              <w:jc w:val="right"/>
              <w:rPr>
                <w:color w:val="000000"/>
                <w:sz w:val="18"/>
                <w:szCs w:val="18"/>
              </w:rPr>
            </w:pPr>
            <w:r w:rsidRPr="001F224B">
              <w:rPr>
                <w:sz w:val="18"/>
                <w:szCs w:val="18"/>
              </w:rPr>
              <w:t>-</w:t>
            </w:r>
          </w:p>
        </w:tc>
        <w:tc>
          <w:tcPr>
            <w:tcW w:w="546" w:type="pct"/>
            <w:tcBorders>
              <w:top w:val="nil"/>
              <w:left w:val="nil"/>
              <w:bottom w:val="single" w:sz="4" w:space="0" w:color="auto"/>
              <w:right w:val="single" w:sz="4" w:space="0" w:color="auto"/>
            </w:tcBorders>
            <w:shd w:val="clear" w:color="auto" w:fill="auto"/>
            <w:noWrap/>
            <w:vAlign w:val="bottom"/>
            <w:hideMark/>
          </w:tcPr>
          <w:p w14:paraId="540F92C5" w14:textId="6817BAF3" w:rsidR="002278DB" w:rsidRPr="001F224B" w:rsidRDefault="002278DB" w:rsidP="002278DB">
            <w:pPr>
              <w:jc w:val="right"/>
              <w:rPr>
                <w:color w:val="000000"/>
                <w:sz w:val="18"/>
                <w:szCs w:val="18"/>
              </w:rPr>
            </w:pPr>
            <w:r w:rsidRPr="001F224B">
              <w:rPr>
                <w:sz w:val="18"/>
                <w:szCs w:val="18"/>
              </w:rPr>
              <w:t>-</w:t>
            </w:r>
          </w:p>
        </w:tc>
        <w:tc>
          <w:tcPr>
            <w:tcW w:w="840" w:type="pct"/>
            <w:tcBorders>
              <w:top w:val="nil"/>
              <w:left w:val="nil"/>
              <w:bottom w:val="single" w:sz="4" w:space="0" w:color="auto"/>
              <w:right w:val="single" w:sz="4" w:space="0" w:color="auto"/>
            </w:tcBorders>
            <w:shd w:val="clear" w:color="auto" w:fill="auto"/>
            <w:noWrap/>
            <w:vAlign w:val="bottom"/>
            <w:hideMark/>
          </w:tcPr>
          <w:p w14:paraId="747E7C5C" w14:textId="551B3F5E" w:rsidR="002278DB" w:rsidRPr="001F224B" w:rsidRDefault="002278DB" w:rsidP="002278DB">
            <w:pPr>
              <w:jc w:val="right"/>
              <w:rPr>
                <w:color w:val="000000"/>
                <w:sz w:val="18"/>
                <w:szCs w:val="18"/>
              </w:rPr>
            </w:pPr>
            <w:r w:rsidRPr="001F224B">
              <w:rPr>
                <w:sz w:val="18"/>
                <w:szCs w:val="18"/>
              </w:rPr>
              <w:t>-</w:t>
            </w:r>
          </w:p>
        </w:tc>
      </w:tr>
      <w:tr w:rsidR="002278DB" w:rsidRPr="001F224B" w14:paraId="172E4DA9" w14:textId="77777777" w:rsidTr="002278DB">
        <w:trPr>
          <w:trHeight w:val="59"/>
        </w:trPr>
        <w:tc>
          <w:tcPr>
            <w:tcW w:w="1600" w:type="pct"/>
            <w:tcBorders>
              <w:top w:val="single" w:sz="4" w:space="0" w:color="auto"/>
              <w:left w:val="single" w:sz="4" w:space="0" w:color="auto"/>
              <w:bottom w:val="single" w:sz="4" w:space="0" w:color="auto"/>
              <w:right w:val="single" w:sz="4" w:space="0" w:color="auto"/>
            </w:tcBorders>
            <w:noWrap/>
            <w:vAlign w:val="bottom"/>
            <w:hideMark/>
          </w:tcPr>
          <w:p w14:paraId="4915BDF1" w14:textId="77777777" w:rsidR="002278DB" w:rsidRPr="001F224B" w:rsidRDefault="002278DB" w:rsidP="002278DB">
            <w:pPr>
              <w:rPr>
                <w:b/>
                <w:color w:val="000000"/>
                <w:sz w:val="18"/>
                <w:szCs w:val="18"/>
              </w:rPr>
            </w:pPr>
            <w:r w:rsidRPr="001F224B">
              <w:rPr>
                <w:b/>
                <w:color w:val="000000"/>
                <w:sz w:val="18"/>
                <w:szCs w:val="18"/>
              </w:rPr>
              <w:t>Toplam</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4ADCD" w14:textId="631B1411" w:rsidR="002278DB" w:rsidRPr="001F224B" w:rsidRDefault="002278DB" w:rsidP="002278DB">
            <w:pPr>
              <w:ind w:left="-93"/>
              <w:jc w:val="right"/>
              <w:rPr>
                <w:b/>
                <w:sz w:val="18"/>
                <w:szCs w:val="18"/>
              </w:rPr>
            </w:pPr>
            <w:r w:rsidRPr="001F224B">
              <w:rPr>
                <w:b/>
                <w:bCs/>
                <w:color w:val="000000"/>
                <w:sz w:val="18"/>
                <w:szCs w:val="18"/>
              </w:rPr>
              <w:t>133.824.759</w:t>
            </w:r>
          </w:p>
        </w:tc>
        <w:tc>
          <w:tcPr>
            <w:tcW w:w="518" w:type="pct"/>
            <w:tcBorders>
              <w:top w:val="nil"/>
              <w:left w:val="nil"/>
              <w:bottom w:val="single" w:sz="4" w:space="0" w:color="auto"/>
              <w:right w:val="single" w:sz="4" w:space="0" w:color="auto"/>
            </w:tcBorders>
            <w:shd w:val="clear" w:color="auto" w:fill="auto"/>
            <w:noWrap/>
            <w:vAlign w:val="bottom"/>
            <w:hideMark/>
          </w:tcPr>
          <w:p w14:paraId="342C76DA" w14:textId="72ECEBD4" w:rsidR="002278DB" w:rsidRPr="001F224B" w:rsidRDefault="002278DB" w:rsidP="002278DB">
            <w:pPr>
              <w:jc w:val="right"/>
              <w:rPr>
                <w:b/>
                <w:sz w:val="18"/>
                <w:szCs w:val="18"/>
              </w:rPr>
            </w:pPr>
            <w:r w:rsidRPr="001F224B">
              <w:rPr>
                <w:b/>
                <w:bCs/>
                <w:color w:val="000000"/>
                <w:sz w:val="18"/>
                <w:szCs w:val="18"/>
              </w:rPr>
              <w:t>24.318.564</w:t>
            </w:r>
          </w:p>
        </w:tc>
        <w:tc>
          <w:tcPr>
            <w:tcW w:w="489" w:type="pct"/>
            <w:tcBorders>
              <w:top w:val="nil"/>
              <w:left w:val="nil"/>
              <w:bottom w:val="single" w:sz="4" w:space="0" w:color="auto"/>
              <w:right w:val="single" w:sz="4" w:space="0" w:color="auto"/>
            </w:tcBorders>
            <w:shd w:val="clear" w:color="auto" w:fill="auto"/>
            <w:noWrap/>
            <w:vAlign w:val="bottom"/>
            <w:hideMark/>
          </w:tcPr>
          <w:p w14:paraId="28D859D2" w14:textId="199BCFC9" w:rsidR="002278DB" w:rsidRPr="001F224B" w:rsidRDefault="002278DB" w:rsidP="002278DB">
            <w:pPr>
              <w:ind w:left="-501"/>
              <w:jc w:val="right"/>
              <w:rPr>
                <w:b/>
                <w:color w:val="000000"/>
                <w:sz w:val="18"/>
                <w:szCs w:val="18"/>
              </w:rPr>
            </w:pPr>
            <w:r w:rsidRPr="001F224B">
              <w:rPr>
                <w:b/>
                <w:bCs/>
                <w:color w:val="000000"/>
                <w:sz w:val="18"/>
                <w:szCs w:val="18"/>
              </w:rPr>
              <w:t>133.771.082</w:t>
            </w:r>
          </w:p>
        </w:tc>
        <w:tc>
          <w:tcPr>
            <w:tcW w:w="518" w:type="pct"/>
            <w:tcBorders>
              <w:top w:val="nil"/>
              <w:left w:val="nil"/>
              <w:bottom w:val="single" w:sz="4" w:space="0" w:color="auto"/>
              <w:right w:val="single" w:sz="4" w:space="0" w:color="auto"/>
            </w:tcBorders>
            <w:shd w:val="clear" w:color="auto" w:fill="auto"/>
            <w:noWrap/>
            <w:vAlign w:val="bottom"/>
            <w:hideMark/>
          </w:tcPr>
          <w:p w14:paraId="0EFA91DA" w14:textId="686A51A9" w:rsidR="002278DB" w:rsidRPr="001F224B" w:rsidRDefault="002278DB" w:rsidP="002278DB">
            <w:pPr>
              <w:jc w:val="right"/>
              <w:rPr>
                <w:b/>
                <w:color w:val="000000"/>
                <w:sz w:val="18"/>
                <w:szCs w:val="18"/>
              </w:rPr>
            </w:pPr>
            <w:r w:rsidRPr="001F224B">
              <w:rPr>
                <w:b/>
                <w:bCs/>
                <w:color w:val="000000"/>
                <w:sz w:val="18"/>
                <w:szCs w:val="18"/>
              </w:rPr>
              <w:t>5.394.740</w:t>
            </w:r>
          </w:p>
        </w:tc>
        <w:tc>
          <w:tcPr>
            <w:tcW w:w="546" w:type="pct"/>
            <w:tcBorders>
              <w:top w:val="nil"/>
              <w:left w:val="nil"/>
              <w:bottom w:val="single" w:sz="4" w:space="0" w:color="auto"/>
              <w:right w:val="single" w:sz="4" w:space="0" w:color="auto"/>
            </w:tcBorders>
            <w:shd w:val="clear" w:color="auto" w:fill="auto"/>
            <w:noWrap/>
            <w:vAlign w:val="bottom"/>
            <w:hideMark/>
          </w:tcPr>
          <w:p w14:paraId="3DBA1364" w14:textId="0ED3F456" w:rsidR="002278DB" w:rsidRPr="001F224B" w:rsidRDefault="002278DB" w:rsidP="002278DB">
            <w:pPr>
              <w:jc w:val="right"/>
              <w:rPr>
                <w:b/>
                <w:color w:val="000000"/>
                <w:sz w:val="18"/>
                <w:szCs w:val="18"/>
              </w:rPr>
            </w:pPr>
            <w:r w:rsidRPr="001F224B">
              <w:rPr>
                <w:b/>
                <w:bCs/>
                <w:color w:val="000000"/>
                <w:sz w:val="18"/>
                <w:szCs w:val="18"/>
              </w:rPr>
              <w:t>106.965.271</w:t>
            </w:r>
          </w:p>
        </w:tc>
        <w:tc>
          <w:tcPr>
            <w:tcW w:w="840" w:type="pct"/>
            <w:tcBorders>
              <w:top w:val="nil"/>
              <w:left w:val="nil"/>
              <w:bottom w:val="single" w:sz="4" w:space="0" w:color="auto"/>
              <w:right w:val="single" w:sz="4" w:space="0" w:color="auto"/>
            </w:tcBorders>
            <w:shd w:val="clear" w:color="auto" w:fill="auto"/>
            <w:noWrap/>
            <w:vAlign w:val="bottom"/>
            <w:hideMark/>
          </w:tcPr>
          <w:p w14:paraId="2686A9D6" w14:textId="6E237589" w:rsidR="002278DB" w:rsidRPr="001F224B" w:rsidRDefault="002278DB" w:rsidP="002278DB">
            <w:pPr>
              <w:jc w:val="right"/>
              <w:rPr>
                <w:b/>
                <w:sz w:val="18"/>
                <w:szCs w:val="18"/>
              </w:rPr>
            </w:pPr>
            <w:r w:rsidRPr="001F224B">
              <w:rPr>
                <w:b/>
                <w:bCs/>
                <w:color w:val="000000"/>
                <w:sz w:val="18"/>
                <w:szCs w:val="18"/>
              </w:rPr>
              <w:t>76,86%</w:t>
            </w:r>
          </w:p>
        </w:tc>
      </w:tr>
    </w:tbl>
    <w:p w14:paraId="46F04A65" w14:textId="77777777" w:rsidR="002278DB" w:rsidRPr="001F224B" w:rsidRDefault="002278DB" w:rsidP="00F64EC3">
      <w:pPr>
        <w:spacing w:line="360" w:lineRule="auto"/>
        <w:rPr>
          <w:b/>
          <w:bCs/>
          <w:sz w:val="22"/>
          <w:szCs w:val="22"/>
        </w:rPr>
      </w:pPr>
    </w:p>
    <w:p w14:paraId="6A13D09F" w14:textId="77777777" w:rsidR="002278DB" w:rsidRPr="001F224B" w:rsidRDefault="002278DB" w:rsidP="00F64EC3">
      <w:pPr>
        <w:spacing w:line="360" w:lineRule="auto"/>
        <w:rPr>
          <w:b/>
          <w:bCs/>
          <w:sz w:val="22"/>
          <w:szCs w:val="22"/>
        </w:rPr>
      </w:pPr>
    </w:p>
    <w:p w14:paraId="07B83B47" w14:textId="77777777" w:rsidR="002278DB" w:rsidRPr="001F224B" w:rsidRDefault="002278DB" w:rsidP="00F64EC3">
      <w:pPr>
        <w:spacing w:line="360" w:lineRule="auto"/>
        <w:rPr>
          <w:b/>
          <w:bCs/>
          <w:sz w:val="22"/>
          <w:szCs w:val="22"/>
        </w:rPr>
      </w:pPr>
    </w:p>
    <w:p w14:paraId="03A8201C" w14:textId="77777777" w:rsidR="002278DB" w:rsidRPr="001F224B" w:rsidRDefault="002278DB" w:rsidP="00F64EC3">
      <w:pPr>
        <w:spacing w:line="360" w:lineRule="auto"/>
        <w:rPr>
          <w:b/>
          <w:bCs/>
          <w:sz w:val="22"/>
          <w:szCs w:val="22"/>
        </w:rPr>
      </w:pPr>
    </w:p>
    <w:p w14:paraId="51FED66E" w14:textId="77777777" w:rsidR="002278DB" w:rsidRPr="001F224B" w:rsidRDefault="002278DB" w:rsidP="00F64EC3">
      <w:pPr>
        <w:spacing w:line="360" w:lineRule="auto"/>
        <w:rPr>
          <w:b/>
          <w:bCs/>
          <w:sz w:val="22"/>
          <w:szCs w:val="22"/>
        </w:rPr>
      </w:pPr>
    </w:p>
    <w:p w14:paraId="01C9EB84" w14:textId="77777777" w:rsidR="002278DB" w:rsidRPr="001F224B" w:rsidRDefault="002278DB" w:rsidP="00F64EC3">
      <w:pPr>
        <w:spacing w:line="360" w:lineRule="auto"/>
        <w:rPr>
          <w:b/>
          <w:bCs/>
          <w:sz w:val="22"/>
          <w:szCs w:val="22"/>
        </w:rPr>
      </w:pPr>
    </w:p>
    <w:p w14:paraId="15A4F19D" w14:textId="77777777" w:rsidR="002278DB" w:rsidRPr="001F224B" w:rsidRDefault="002278DB" w:rsidP="00F64EC3">
      <w:pPr>
        <w:spacing w:line="360" w:lineRule="auto"/>
        <w:rPr>
          <w:b/>
          <w:bCs/>
          <w:sz w:val="22"/>
          <w:szCs w:val="22"/>
        </w:rPr>
      </w:pPr>
    </w:p>
    <w:p w14:paraId="6E505BDC" w14:textId="77777777" w:rsidR="002278DB" w:rsidRPr="001F224B" w:rsidRDefault="002278DB" w:rsidP="00F64EC3">
      <w:pPr>
        <w:spacing w:line="360" w:lineRule="auto"/>
        <w:rPr>
          <w:b/>
          <w:bCs/>
          <w:sz w:val="22"/>
          <w:szCs w:val="22"/>
        </w:rPr>
      </w:pPr>
    </w:p>
    <w:p w14:paraId="1F7CCF2C" w14:textId="77777777" w:rsidR="002278DB" w:rsidRPr="001F224B" w:rsidRDefault="002278DB" w:rsidP="00F64EC3">
      <w:pPr>
        <w:spacing w:line="360" w:lineRule="auto"/>
        <w:rPr>
          <w:b/>
          <w:bCs/>
          <w:sz w:val="22"/>
          <w:szCs w:val="22"/>
        </w:rPr>
      </w:pPr>
    </w:p>
    <w:p w14:paraId="1F5BCC4A" w14:textId="77777777" w:rsidR="002278DB" w:rsidRPr="001F224B" w:rsidRDefault="002278DB" w:rsidP="00F64EC3">
      <w:pPr>
        <w:spacing w:line="360" w:lineRule="auto"/>
        <w:rPr>
          <w:b/>
          <w:bCs/>
          <w:sz w:val="22"/>
          <w:szCs w:val="22"/>
        </w:rPr>
      </w:pPr>
    </w:p>
    <w:p w14:paraId="14757D12" w14:textId="77777777" w:rsidR="002278DB" w:rsidRPr="001F224B" w:rsidRDefault="002278DB" w:rsidP="00F64EC3">
      <w:pPr>
        <w:spacing w:line="360" w:lineRule="auto"/>
        <w:rPr>
          <w:b/>
          <w:bCs/>
          <w:sz w:val="22"/>
          <w:szCs w:val="22"/>
        </w:rPr>
      </w:pPr>
    </w:p>
    <w:p w14:paraId="494EBE41" w14:textId="77777777" w:rsidR="002278DB" w:rsidRPr="001F224B" w:rsidRDefault="002278DB" w:rsidP="00F64EC3">
      <w:pPr>
        <w:spacing w:line="360" w:lineRule="auto"/>
        <w:rPr>
          <w:b/>
          <w:bCs/>
          <w:sz w:val="22"/>
          <w:szCs w:val="22"/>
        </w:rPr>
      </w:pPr>
    </w:p>
    <w:p w14:paraId="3DDD2168" w14:textId="77777777" w:rsidR="002278DB" w:rsidRPr="001F224B" w:rsidRDefault="002278DB" w:rsidP="002278DB">
      <w:pPr>
        <w:pStyle w:val="ListParagraph"/>
        <w:tabs>
          <w:tab w:val="left" w:pos="0"/>
        </w:tabs>
        <w:spacing w:before="120"/>
        <w:ind w:left="0"/>
        <w:rPr>
          <w:b/>
          <w:bCs/>
          <w:sz w:val="22"/>
          <w:szCs w:val="22"/>
        </w:rPr>
      </w:pPr>
      <w:r w:rsidRPr="001F224B">
        <w:rPr>
          <w:b/>
          <w:bCs/>
          <w:sz w:val="22"/>
          <w:szCs w:val="22"/>
        </w:rPr>
        <w:t>DÖRDÜNCÜ BÖLÜM (Devamı)</w:t>
      </w:r>
    </w:p>
    <w:p w14:paraId="6757613B" w14:textId="77777777" w:rsidR="002278DB" w:rsidRPr="001F224B" w:rsidRDefault="002278DB" w:rsidP="002278DB">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1E39F518" w14:textId="77777777" w:rsidR="002278DB" w:rsidRPr="001F224B" w:rsidRDefault="002278DB" w:rsidP="002278DB">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307C5956" w14:textId="77777777" w:rsidR="002278DB" w:rsidRPr="001F224B" w:rsidRDefault="002278DB" w:rsidP="002278DB">
      <w:pPr>
        <w:spacing w:after="120"/>
        <w:jc w:val="both"/>
        <w:rPr>
          <w:b/>
          <w:sz w:val="22"/>
          <w:szCs w:val="22"/>
          <w:lang w:eastAsia="x-none"/>
        </w:rPr>
      </w:pPr>
      <w:r w:rsidRPr="001F224B">
        <w:rPr>
          <w:b/>
          <w:sz w:val="22"/>
          <w:szCs w:val="22"/>
          <w:lang w:eastAsia="x-none"/>
        </w:rPr>
        <w:t>6. Standart Yaklaşım - Risk sınıflarına ve risk ağırlıklarına göre alacaklar:</w:t>
      </w:r>
    </w:p>
    <w:p w14:paraId="2D7BF3E3" w14:textId="77777777" w:rsidR="002278DB" w:rsidRPr="001F224B" w:rsidRDefault="002278DB" w:rsidP="002278DB">
      <w:pPr>
        <w:jc w:val="both"/>
        <w:rPr>
          <w:sz w:val="2"/>
          <w:szCs w:val="2"/>
          <w:lang w:eastAsia="x-none"/>
        </w:rPr>
      </w:pPr>
    </w:p>
    <w:p w14:paraId="0748156C" w14:textId="77777777" w:rsidR="002278DB" w:rsidRPr="001F224B" w:rsidRDefault="002278DB" w:rsidP="002278DB">
      <w:pPr>
        <w:spacing w:before="120" w:after="120"/>
        <w:jc w:val="both"/>
        <w:rPr>
          <w:sz w:val="16"/>
          <w:szCs w:val="16"/>
          <w:lang w:eastAsia="x-none"/>
        </w:rPr>
      </w:pPr>
      <w:r w:rsidRPr="001F224B">
        <w:rPr>
          <w:sz w:val="22"/>
          <w:szCs w:val="22"/>
        </w:rPr>
        <w:t>Banka, kredi riskini standart yaklaşım ile hesaplamakta olup, derecelendirme notu kullanmamaktadır.</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850"/>
        <w:gridCol w:w="567"/>
        <w:gridCol w:w="851"/>
        <w:gridCol w:w="425"/>
        <w:gridCol w:w="709"/>
        <w:gridCol w:w="851"/>
        <w:gridCol w:w="425"/>
        <w:gridCol w:w="850"/>
        <w:gridCol w:w="426"/>
        <w:gridCol w:w="425"/>
        <w:gridCol w:w="709"/>
        <w:gridCol w:w="850"/>
      </w:tblGrid>
      <w:tr w:rsidR="002278DB" w:rsidRPr="001F224B" w14:paraId="0BA3082D" w14:textId="77777777" w:rsidTr="004E57A7">
        <w:trPr>
          <w:trHeight w:val="295"/>
        </w:trPr>
        <w:tc>
          <w:tcPr>
            <w:tcW w:w="2410" w:type="dxa"/>
            <w:gridSpan w:val="2"/>
            <w:shd w:val="clear" w:color="auto" w:fill="auto"/>
            <w:noWrap/>
            <w:vAlign w:val="center"/>
            <w:hideMark/>
          </w:tcPr>
          <w:p w14:paraId="736A8E6C" w14:textId="77777777" w:rsidR="002278DB" w:rsidRPr="001F224B" w:rsidRDefault="002278DB" w:rsidP="00001A93">
            <w:pPr>
              <w:rPr>
                <w:color w:val="000000"/>
                <w:sz w:val="16"/>
                <w:szCs w:val="16"/>
              </w:rPr>
            </w:pPr>
            <w:r w:rsidRPr="001F224B">
              <w:rPr>
                <w:color w:val="000000"/>
                <w:sz w:val="16"/>
                <w:szCs w:val="16"/>
              </w:rPr>
              <w:t> </w:t>
            </w:r>
          </w:p>
          <w:p w14:paraId="59E6BC4B" w14:textId="77777777" w:rsidR="002278DB" w:rsidRPr="001F224B" w:rsidRDefault="002278DB" w:rsidP="00001A93">
            <w:pPr>
              <w:jc w:val="center"/>
              <w:rPr>
                <w:b/>
                <w:sz w:val="16"/>
                <w:szCs w:val="16"/>
                <w:lang w:eastAsia="x-none"/>
              </w:rPr>
            </w:pPr>
            <w:r w:rsidRPr="001F224B">
              <w:rPr>
                <w:b/>
                <w:sz w:val="16"/>
                <w:szCs w:val="16"/>
                <w:lang w:eastAsia="x-none"/>
              </w:rPr>
              <w:t>Cari Dönem</w:t>
            </w:r>
          </w:p>
          <w:p w14:paraId="03D27B37" w14:textId="3222BEBC" w:rsidR="002278DB" w:rsidRPr="001F224B" w:rsidRDefault="002278DB" w:rsidP="00001A93">
            <w:pPr>
              <w:jc w:val="center"/>
              <w:rPr>
                <w:color w:val="000000"/>
                <w:sz w:val="16"/>
                <w:szCs w:val="16"/>
              </w:rPr>
            </w:pPr>
            <w:r w:rsidRPr="001F224B">
              <w:rPr>
                <w:b/>
                <w:sz w:val="16"/>
                <w:szCs w:val="16"/>
                <w:lang w:eastAsia="x-none"/>
              </w:rPr>
              <w:t>(30.06.202</w:t>
            </w:r>
            <w:r w:rsidR="000F7354" w:rsidRPr="001F224B">
              <w:rPr>
                <w:b/>
                <w:sz w:val="16"/>
                <w:szCs w:val="16"/>
                <w:lang w:eastAsia="x-none"/>
              </w:rPr>
              <w:t>5</w:t>
            </w:r>
            <w:r w:rsidRPr="001F224B">
              <w:rPr>
                <w:b/>
                <w:sz w:val="16"/>
                <w:szCs w:val="16"/>
                <w:lang w:eastAsia="x-none"/>
              </w:rPr>
              <w:t>)</w:t>
            </w:r>
          </w:p>
        </w:tc>
        <w:tc>
          <w:tcPr>
            <w:tcW w:w="850" w:type="dxa"/>
            <w:tcBorders>
              <w:right w:val="nil"/>
            </w:tcBorders>
            <w:shd w:val="clear" w:color="auto" w:fill="auto"/>
            <w:noWrap/>
            <w:vAlign w:val="bottom"/>
          </w:tcPr>
          <w:p w14:paraId="3CCDAB06" w14:textId="77777777" w:rsidR="002278DB" w:rsidRPr="001F224B" w:rsidRDefault="002278DB" w:rsidP="00001A93">
            <w:pPr>
              <w:jc w:val="center"/>
              <w:rPr>
                <w:color w:val="000000"/>
                <w:sz w:val="16"/>
                <w:szCs w:val="16"/>
              </w:rPr>
            </w:pPr>
          </w:p>
        </w:tc>
        <w:tc>
          <w:tcPr>
            <w:tcW w:w="567" w:type="dxa"/>
            <w:tcBorders>
              <w:left w:val="nil"/>
              <w:right w:val="nil"/>
            </w:tcBorders>
            <w:shd w:val="clear" w:color="auto" w:fill="auto"/>
            <w:noWrap/>
            <w:vAlign w:val="bottom"/>
          </w:tcPr>
          <w:p w14:paraId="3926C7F1" w14:textId="77777777" w:rsidR="002278DB" w:rsidRPr="001F224B" w:rsidRDefault="002278DB" w:rsidP="00001A93">
            <w:pPr>
              <w:jc w:val="center"/>
              <w:rPr>
                <w:color w:val="000000"/>
                <w:sz w:val="16"/>
                <w:szCs w:val="16"/>
              </w:rPr>
            </w:pPr>
          </w:p>
        </w:tc>
        <w:tc>
          <w:tcPr>
            <w:tcW w:w="851" w:type="dxa"/>
            <w:tcBorders>
              <w:left w:val="nil"/>
              <w:right w:val="nil"/>
            </w:tcBorders>
            <w:shd w:val="clear" w:color="auto" w:fill="auto"/>
            <w:noWrap/>
            <w:vAlign w:val="bottom"/>
          </w:tcPr>
          <w:p w14:paraId="1FD13C53" w14:textId="77777777" w:rsidR="002278DB" w:rsidRPr="001F224B" w:rsidRDefault="002278DB" w:rsidP="00001A93">
            <w:pPr>
              <w:jc w:val="center"/>
              <w:rPr>
                <w:color w:val="000000"/>
                <w:sz w:val="16"/>
                <w:szCs w:val="16"/>
              </w:rPr>
            </w:pPr>
          </w:p>
        </w:tc>
        <w:tc>
          <w:tcPr>
            <w:tcW w:w="425" w:type="dxa"/>
            <w:tcBorders>
              <w:left w:val="nil"/>
              <w:right w:val="nil"/>
            </w:tcBorders>
          </w:tcPr>
          <w:p w14:paraId="3903F27A" w14:textId="77777777" w:rsidR="002278DB" w:rsidRPr="001F224B" w:rsidRDefault="002278DB" w:rsidP="00001A93">
            <w:pPr>
              <w:jc w:val="center"/>
              <w:rPr>
                <w:color w:val="000000"/>
                <w:sz w:val="16"/>
                <w:szCs w:val="16"/>
              </w:rPr>
            </w:pPr>
          </w:p>
        </w:tc>
        <w:tc>
          <w:tcPr>
            <w:tcW w:w="709" w:type="dxa"/>
            <w:tcBorders>
              <w:left w:val="nil"/>
              <w:right w:val="nil"/>
            </w:tcBorders>
          </w:tcPr>
          <w:p w14:paraId="677A003E" w14:textId="77777777" w:rsidR="002278DB" w:rsidRPr="001F224B" w:rsidRDefault="002278DB" w:rsidP="00001A93">
            <w:pPr>
              <w:jc w:val="center"/>
              <w:rPr>
                <w:color w:val="000000"/>
                <w:sz w:val="16"/>
                <w:szCs w:val="16"/>
              </w:rPr>
            </w:pPr>
          </w:p>
        </w:tc>
        <w:tc>
          <w:tcPr>
            <w:tcW w:w="851" w:type="dxa"/>
            <w:tcBorders>
              <w:left w:val="nil"/>
              <w:right w:val="nil"/>
            </w:tcBorders>
            <w:shd w:val="clear" w:color="auto" w:fill="auto"/>
            <w:noWrap/>
            <w:vAlign w:val="bottom"/>
          </w:tcPr>
          <w:p w14:paraId="4E684721" w14:textId="77777777" w:rsidR="002278DB" w:rsidRPr="001F224B" w:rsidRDefault="002278DB" w:rsidP="00001A93">
            <w:pPr>
              <w:jc w:val="center"/>
              <w:rPr>
                <w:color w:val="000000"/>
                <w:sz w:val="16"/>
                <w:szCs w:val="16"/>
              </w:rPr>
            </w:pPr>
          </w:p>
        </w:tc>
        <w:tc>
          <w:tcPr>
            <w:tcW w:w="425" w:type="dxa"/>
            <w:tcBorders>
              <w:left w:val="nil"/>
              <w:right w:val="nil"/>
            </w:tcBorders>
            <w:shd w:val="clear" w:color="auto" w:fill="auto"/>
            <w:noWrap/>
            <w:vAlign w:val="bottom"/>
          </w:tcPr>
          <w:p w14:paraId="117D9974" w14:textId="77777777" w:rsidR="002278DB" w:rsidRPr="001F224B" w:rsidRDefault="002278DB" w:rsidP="00001A93">
            <w:pPr>
              <w:jc w:val="center"/>
              <w:rPr>
                <w:color w:val="000000"/>
                <w:sz w:val="16"/>
                <w:szCs w:val="16"/>
              </w:rPr>
            </w:pPr>
          </w:p>
        </w:tc>
        <w:tc>
          <w:tcPr>
            <w:tcW w:w="850" w:type="dxa"/>
            <w:tcBorders>
              <w:left w:val="nil"/>
              <w:right w:val="nil"/>
            </w:tcBorders>
            <w:shd w:val="clear" w:color="auto" w:fill="auto"/>
            <w:noWrap/>
            <w:vAlign w:val="bottom"/>
          </w:tcPr>
          <w:p w14:paraId="1A74B02A" w14:textId="77777777" w:rsidR="002278DB" w:rsidRPr="001F224B" w:rsidRDefault="002278DB" w:rsidP="00001A93">
            <w:pPr>
              <w:jc w:val="center"/>
              <w:rPr>
                <w:color w:val="000000"/>
                <w:sz w:val="16"/>
                <w:szCs w:val="16"/>
              </w:rPr>
            </w:pPr>
          </w:p>
        </w:tc>
        <w:tc>
          <w:tcPr>
            <w:tcW w:w="426" w:type="dxa"/>
            <w:tcBorders>
              <w:left w:val="nil"/>
              <w:right w:val="nil"/>
            </w:tcBorders>
            <w:shd w:val="clear" w:color="auto" w:fill="auto"/>
            <w:noWrap/>
            <w:vAlign w:val="bottom"/>
          </w:tcPr>
          <w:p w14:paraId="0996F781" w14:textId="77777777" w:rsidR="002278DB" w:rsidRPr="001F224B" w:rsidRDefault="002278DB" w:rsidP="00001A93">
            <w:pPr>
              <w:jc w:val="center"/>
              <w:rPr>
                <w:color w:val="000000"/>
                <w:sz w:val="16"/>
                <w:szCs w:val="16"/>
              </w:rPr>
            </w:pPr>
          </w:p>
        </w:tc>
        <w:tc>
          <w:tcPr>
            <w:tcW w:w="425" w:type="dxa"/>
            <w:tcBorders>
              <w:left w:val="nil"/>
              <w:right w:val="nil"/>
            </w:tcBorders>
            <w:shd w:val="clear" w:color="auto" w:fill="auto"/>
            <w:noWrap/>
            <w:vAlign w:val="bottom"/>
          </w:tcPr>
          <w:p w14:paraId="7FA1C4D6" w14:textId="77777777" w:rsidR="002278DB" w:rsidRPr="001F224B" w:rsidRDefault="002278DB" w:rsidP="00001A93">
            <w:pPr>
              <w:jc w:val="center"/>
              <w:rPr>
                <w:color w:val="000000"/>
                <w:sz w:val="16"/>
                <w:szCs w:val="16"/>
              </w:rPr>
            </w:pPr>
          </w:p>
        </w:tc>
        <w:tc>
          <w:tcPr>
            <w:tcW w:w="709" w:type="dxa"/>
            <w:tcBorders>
              <w:left w:val="nil"/>
              <w:right w:val="nil"/>
            </w:tcBorders>
            <w:shd w:val="clear" w:color="auto" w:fill="auto"/>
            <w:noWrap/>
            <w:vAlign w:val="bottom"/>
          </w:tcPr>
          <w:p w14:paraId="7C092FB0" w14:textId="77777777" w:rsidR="002278DB" w:rsidRPr="001F224B" w:rsidRDefault="002278DB" w:rsidP="00001A93">
            <w:pPr>
              <w:jc w:val="center"/>
              <w:rPr>
                <w:color w:val="000000"/>
                <w:sz w:val="16"/>
                <w:szCs w:val="16"/>
              </w:rPr>
            </w:pPr>
          </w:p>
        </w:tc>
        <w:tc>
          <w:tcPr>
            <w:tcW w:w="850" w:type="dxa"/>
            <w:tcBorders>
              <w:left w:val="nil"/>
            </w:tcBorders>
            <w:shd w:val="clear" w:color="auto" w:fill="auto"/>
            <w:noWrap/>
            <w:vAlign w:val="bottom"/>
          </w:tcPr>
          <w:p w14:paraId="07776D26" w14:textId="77777777" w:rsidR="002278DB" w:rsidRPr="001F224B" w:rsidRDefault="002278DB" w:rsidP="00001A93">
            <w:pPr>
              <w:jc w:val="center"/>
              <w:rPr>
                <w:color w:val="000000"/>
                <w:sz w:val="16"/>
                <w:szCs w:val="16"/>
              </w:rPr>
            </w:pPr>
          </w:p>
        </w:tc>
      </w:tr>
      <w:tr w:rsidR="002278DB" w:rsidRPr="001F224B" w14:paraId="2D6C2DA3" w14:textId="77777777" w:rsidTr="004E57A7">
        <w:trPr>
          <w:cantSplit/>
          <w:trHeight w:val="883"/>
        </w:trPr>
        <w:tc>
          <w:tcPr>
            <w:tcW w:w="425" w:type="dxa"/>
            <w:shd w:val="clear" w:color="auto" w:fill="auto"/>
            <w:noWrap/>
            <w:vAlign w:val="bottom"/>
            <w:hideMark/>
          </w:tcPr>
          <w:p w14:paraId="087D50C3" w14:textId="77777777" w:rsidR="002278DB" w:rsidRPr="001F224B" w:rsidRDefault="002278DB" w:rsidP="00001A93">
            <w:pPr>
              <w:rPr>
                <w:color w:val="000000"/>
                <w:sz w:val="16"/>
                <w:szCs w:val="16"/>
              </w:rPr>
            </w:pPr>
            <w:r w:rsidRPr="001F224B">
              <w:rPr>
                <w:color w:val="000000"/>
                <w:sz w:val="16"/>
                <w:szCs w:val="16"/>
              </w:rPr>
              <w:t> </w:t>
            </w:r>
          </w:p>
        </w:tc>
        <w:tc>
          <w:tcPr>
            <w:tcW w:w="1985" w:type="dxa"/>
            <w:shd w:val="clear" w:color="auto" w:fill="auto"/>
            <w:noWrap/>
            <w:vAlign w:val="bottom"/>
            <w:hideMark/>
          </w:tcPr>
          <w:p w14:paraId="4A8FF4F9" w14:textId="77777777" w:rsidR="002278DB" w:rsidRPr="001F224B" w:rsidRDefault="002278DB" w:rsidP="00001A93">
            <w:pPr>
              <w:rPr>
                <w:color w:val="000000"/>
                <w:sz w:val="16"/>
                <w:szCs w:val="16"/>
              </w:rPr>
            </w:pPr>
            <w:r w:rsidRPr="001F224B">
              <w:rPr>
                <w:color w:val="000000"/>
                <w:sz w:val="16"/>
                <w:szCs w:val="16"/>
              </w:rPr>
              <w:t>Risk sınıfları/Risk ağırlığı</w:t>
            </w:r>
          </w:p>
        </w:tc>
        <w:tc>
          <w:tcPr>
            <w:tcW w:w="850" w:type="dxa"/>
            <w:shd w:val="clear" w:color="auto" w:fill="auto"/>
            <w:noWrap/>
            <w:textDirection w:val="btLr"/>
            <w:vAlign w:val="center"/>
            <w:hideMark/>
          </w:tcPr>
          <w:p w14:paraId="0FB5CDC6" w14:textId="77777777" w:rsidR="002278DB" w:rsidRPr="001F224B" w:rsidRDefault="002278DB" w:rsidP="00001A93">
            <w:pPr>
              <w:ind w:left="113" w:right="113"/>
              <w:jc w:val="center"/>
              <w:rPr>
                <w:color w:val="000000"/>
                <w:sz w:val="14"/>
                <w:szCs w:val="16"/>
              </w:rPr>
            </w:pPr>
            <w:r w:rsidRPr="001F224B">
              <w:rPr>
                <w:color w:val="000000"/>
                <w:sz w:val="14"/>
                <w:szCs w:val="16"/>
              </w:rPr>
              <w:t>%0</w:t>
            </w:r>
          </w:p>
        </w:tc>
        <w:tc>
          <w:tcPr>
            <w:tcW w:w="567" w:type="dxa"/>
            <w:shd w:val="clear" w:color="auto" w:fill="auto"/>
            <w:noWrap/>
            <w:textDirection w:val="btLr"/>
            <w:vAlign w:val="center"/>
            <w:hideMark/>
          </w:tcPr>
          <w:p w14:paraId="4CA3EC30" w14:textId="77777777" w:rsidR="002278DB" w:rsidRPr="001F224B" w:rsidRDefault="002278DB" w:rsidP="00001A93">
            <w:pPr>
              <w:ind w:left="113" w:right="113"/>
              <w:jc w:val="center"/>
              <w:rPr>
                <w:color w:val="000000"/>
                <w:sz w:val="14"/>
                <w:szCs w:val="16"/>
              </w:rPr>
            </w:pPr>
            <w:r w:rsidRPr="001F224B">
              <w:rPr>
                <w:color w:val="000000"/>
                <w:sz w:val="14"/>
                <w:szCs w:val="16"/>
              </w:rPr>
              <w:t>%10</w:t>
            </w:r>
          </w:p>
        </w:tc>
        <w:tc>
          <w:tcPr>
            <w:tcW w:w="851" w:type="dxa"/>
            <w:shd w:val="clear" w:color="auto" w:fill="auto"/>
            <w:noWrap/>
            <w:textDirection w:val="btLr"/>
            <w:vAlign w:val="center"/>
            <w:hideMark/>
          </w:tcPr>
          <w:p w14:paraId="47A8BD50" w14:textId="77777777" w:rsidR="002278DB" w:rsidRPr="001F224B" w:rsidRDefault="002278DB" w:rsidP="00001A93">
            <w:pPr>
              <w:ind w:left="113" w:right="113"/>
              <w:jc w:val="center"/>
              <w:rPr>
                <w:color w:val="000000"/>
                <w:sz w:val="14"/>
                <w:szCs w:val="16"/>
              </w:rPr>
            </w:pPr>
            <w:r w:rsidRPr="001F224B">
              <w:rPr>
                <w:color w:val="000000"/>
                <w:sz w:val="14"/>
                <w:szCs w:val="16"/>
              </w:rPr>
              <w:t>%20</w:t>
            </w:r>
          </w:p>
        </w:tc>
        <w:tc>
          <w:tcPr>
            <w:tcW w:w="425" w:type="dxa"/>
            <w:textDirection w:val="btLr"/>
            <w:vAlign w:val="center"/>
          </w:tcPr>
          <w:p w14:paraId="2F7371AB" w14:textId="77777777" w:rsidR="002278DB" w:rsidRPr="001F224B" w:rsidRDefault="002278DB" w:rsidP="00001A93">
            <w:pPr>
              <w:ind w:left="113" w:right="113"/>
              <w:jc w:val="center"/>
              <w:rPr>
                <w:color w:val="000000"/>
                <w:sz w:val="14"/>
                <w:szCs w:val="16"/>
              </w:rPr>
            </w:pPr>
            <w:r w:rsidRPr="001F224B">
              <w:rPr>
                <w:color w:val="000000"/>
                <w:sz w:val="14"/>
                <w:szCs w:val="16"/>
              </w:rPr>
              <w:t>%25</w:t>
            </w:r>
          </w:p>
        </w:tc>
        <w:tc>
          <w:tcPr>
            <w:tcW w:w="709" w:type="dxa"/>
            <w:textDirection w:val="btLr"/>
            <w:vAlign w:val="center"/>
          </w:tcPr>
          <w:p w14:paraId="7ADC6B29" w14:textId="77777777" w:rsidR="002278DB" w:rsidRPr="001F224B" w:rsidRDefault="002278DB" w:rsidP="00001A93">
            <w:pPr>
              <w:ind w:left="113" w:right="113"/>
              <w:jc w:val="center"/>
              <w:rPr>
                <w:color w:val="000000"/>
                <w:sz w:val="14"/>
                <w:szCs w:val="16"/>
              </w:rPr>
            </w:pPr>
            <w:r w:rsidRPr="001F224B">
              <w:rPr>
                <w:color w:val="000000"/>
                <w:sz w:val="14"/>
                <w:szCs w:val="16"/>
              </w:rPr>
              <w:t>%35</w:t>
            </w:r>
          </w:p>
        </w:tc>
        <w:tc>
          <w:tcPr>
            <w:tcW w:w="851" w:type="dxa"/>
            <w:shd w:val="clear" w:color="auto" w:fill="auto"/>
            <w:noWrap/>
            <w:textDirection w:val="btLr"/>
            <w:vAlign w:val="center"/>
            <w:hideMark/>
          </w:tcPr>
          <w:p w14:paraId="7507ED04" w14:textId="77777777" w:rsidR="002278DB" w:rsidRPr="001F224B" w:rsidRDefault="002278DB" w:rsidP="00001A93">
            <w:pPr>
              <w:ind w:left="113" w:right="113"/>
              <w:jc w:val="center"/>
              <w:rPr>
                <w:color w:val="000000"/>
                <w:sz w:val="14"/>
                <w:szCs w:val="16"/>
              </w:rPr>
            </w:pPr>
            <w:r w:rsidRPr="001F224B">
              <w:rPr>
                <w:color w:val="000000"/>
                <w:sz w:val="14"/>
                <w:szCs w:val="16"/>
              </w:rPr>
              <w:t>%50</w:t>
            </w:r>
          </w:p>
        </w:tc>
        <w:tc>
          <w:tcPr>
            <w:tcW w:w="425" w:type="dxa"/>
            <w:shd w:val="clear" w:color="auto" w:fill="auto"/>
            <w:noWrap/>
            <w:textDirection w:val="btLr"/>
            <w:vAlign w:val="center"/>
            <w:hideMark/>
          </w:tcPr>
          <w:p w14:paraId="4C1CACA9" w14:textId="77777777" w:rsidR="002278DB" w:rsidRPr="001F224B" w:rsidRDefault="002278DB" w:rsidP="00001A93">
            <w:pPr>
              <w:ind w:left="113" w:right="113"/>
              <w:jc w:val="center"/>
              <w:rPr>
                <w:color w:val="000000"/>
                <w:sz w:val="14"/>
                <w:szCs w:val="16"/>
              </w:rPr>
            </w:pPr>
            <w:r w:rsidRPr="001F224B">
              <w:rPr>
                <w:color w:val="000000"/>
                <w:sz w:val="14"/>
                <w:szCs w:val="16"/>
              </w:rPr>
              <w:t>%75</w:t>
            </w:r>
          </w:p>
        </w:tc>
        <w:tc>
          <w:tcPr>
            <w:tcW w:w="850" w:type="dxa"/>
            <w:shd w:val="clear" w:color="auto" w:fill="auto"/>
            <w:noWrap/>
            <w:textDirection w:val="btLr"/>
            <w:vAlign w:val="center"/>
            <w:hideMark/>
          </w:tcPr>
          <w:p w14:paraId="0318B321" w14:textId="77777777" w:rsidR="002278DB" w:rsidRPr="001F224B" w:rsidRDefault="002278DB" w:rsidP="00001A93">
            <w:pPr>
              <w:ind w:left="113" w:right="113"/>
              <w:jc w:val="center"/>
              <w:rPr>
                <w:color w:val="000000"/>
                <w:sz w:val="14"/>
                <w:szCs w:val="16"/>
              </w:rPr>
            </w:pPr>
            <w:r w:rsidRPr="001F224B">
              <w:rPr>
                <w:color w:val="000000"/>
                <w:sz w:val="14"/>
                <w:szCs w:val="16"/>
              </w:rPr>
              <w:t>%100</w:t>
            </w:r>
          </w:p>
        </w:tc>
        <w:tc>
          <w:tcPr>
            <w:tcW w:w="426" w:type="dxa"/>
            <w:shd w:val="clear" w:color="auto" w:fill="auto"/>
            <w:noWrap/>
            <w:textDirection w:val="btLr"/>
            <w:vAlign w:val="center"/>
            <w:hideMark/>
          </w:tcPr>
          <w:p w14:paraId="659CA365" w14:textId="77777777" w:rsidR="002278DB" w:rsidRPr="001F224B" w:rsidRDefault="002278DB" w:rsidP="00001A93">
            <w:pPr>
              <w:ind w:left="113" w:right="113"/>
              <w:jc w:val="center"/>
              <w:rPr>
                <w:color w:val="000000"/>
                <w:sz w:val="14"/>
                <w:szCs w:val="16"/>
              </w:rPr>
            </w:pPr>
            <w:r w:rsidRPr="001F224B">
              <w:rPr>
                <w:color w:val="000000"/>
                <w:sz w:val="14"/>
                <w:szCs w:val="16"/>
              </w:rPr>
              <w:t>%150</w:t>
            </w:r>
          </w:p>
        </w:tc>
        <w:tc>
          <w:tcPr>
            <w:tcW w:w="425" w:type="dxa"/>
            <w:shd w:val="clear" w:color="auto" w:fill="auto"/>
            <w:noWrap/>
            <w:textDirection w:val="btLr"/>
            <w:vAlign w:val="center"/>
            <w:hideMark/>
          </w:tcPr>
          <w:p w14:paraId="4535528E" w14:textId="77777777" w:rsidR="002278DB" w:rsidRPr="001F224B" w:rsidRDefault="002278DB" w:rsidP="00001A93">
            <w:pPr>
              <w:ind w:left="113" w:right="113"/>
              <w:jc w:val="center"/>
              <w:rPr>
                <w:color w:val="000000"/>
                <w:sz w:val="14"/>
                <w:szCs w:val="16"/>
              </w:rPr>
            </w:pPr>
            <w:r w:rsidRPr="001F224B">
              <w:rPr>
                <w:color w:val="000000"/>
                <w:sz w:val="14"/>
                <w:szCs w:val="16"/>
              </w:rPr>
              <w:t>%250</w:t>
            </w:r>
          </w:p>
        </w:tc>
        <w:tc>
          <w:tcPr>
            <w:tcW w:w="709" w:type="dxa"/>
            <w:shd w:val="clear" w:color="auto" w:fill="auto"/>
            <w:noWrap/>
            <w:vAlign w:val="center"/>
            <w:hideMark/>
          </w:tcPr>
          <w:p w14:paraId="29ACDB8B" w14:textId="77777777" w:rsidR="002278DB" w:rsidRPr="001F224B" w:rsidRDefault="002278DB" w:rsidP="00001A93">
            <w:pPr>
              <w:jc w:val="center"/>
              <w:rPr>
                <w:color w:val="000000"/>
                <w:sz w:val="14"/>
                <w:szCs w:val="16"/>
              </w:rPr>
            </w:pPr>
            <w:r w:rsidRPr="001F224B">
              <w:rPr>
                <w:color w:val="000000"/>
                <w:sz w:val="14"/>
                <w:szCs w:val="16"/>
              </w:rPr>
              <w:t>Diğer</w:t>
            </w:r>
          </w:p>
        </w:tc>
        <w:tc>
          <w:tcPr>
            <w:tcW w:w="850" w:type="dxa"/>
            <w:shd w:val="clear" w:color="auto" w:fill="auto"/>
            <w:vAlign w:val="center"/>
            <w:hideMark/>
          </w:tcPr>
          <w:p w14:paraId="676F21AF" w14:textId="77777777" w:rsidR="002278DB" w:rsidRPr="001F224B" w:rsidRDefault="002278DB" w:rsidP="00001A93">
            <w:pPr>
              <w:jc w:val="center"/>
              <w:rPr>
                <w:color w:val="000000"/>
                <w:sz w:val="14"/>
                <w:szCs w:val="16"/>
              </w:rPr>
            </w:pPr>
            <w:r w:rsidRPr="001F224B">
              <w:rPr>
                <w:color w:val="000000"/>
                <w:sz w:val="14"/>
                <w:szCs w:val="16"/>
              </w:rPr>
              <w:t>Toplam risk tutarı (KDO ve KRA sonrası)</w:t>
            </w:r>
          </w:p>
        </w:tc>
      </w:tr>
      <w:tr w:rsidR="004E57A7" w:rsidRPr="001F224B" w14:paraId="09D3640C" w14:textId="77777777" w:rsidTr="004E57A7">
        <w:trPr>
          <w:trHeight w:val="295"/>
        </w:trPr>
        <w:tc>
          <w:tcPr>
            <w:tcW w:w="425" w:type="dxa"/>
            <w:shd w:val="clear" w:color="auto" w:fill="auto"/>
            <w:noWrap/>
            <w:vAlign w:val="bottom"/>
            <w:hideMark/>
          </w:tcPr>
          <w:p w14:paraId="2A1F91BF" w14:textId="77777777" w:rsidR="004E57A7" w:rsidRPr="001F224B" w:rsidRDefault="004E57A7" w:rsidP="004E57A7">
            <w:pPr>
              <w:rPr>
                <w:color w:val="000000"/>
                <w:sz w:val="16"/>
                <w:szCs w:val="16"/>
              </w:rPr>
            </w:pPr>
            <w:r w:rsidRPr="001F224B">
              <w:rPr>
                <w:color w:val="000000"/>
                <w:sz w:val="16"/>
                <w:szCs w:val="16"/>
              </w:rPr>
              <w:t>1</w:t>
            </w:r>
          </w:p>
        </w:tc>
        <w:tc>
          <w:tcPr>
            <w:tcW w:w="1985" w:type="dxa"/>
            <w:shd w:val="clear" w:color="auto" w:fill="auto"/>
            <w:noWrap/>
            <w:vAlign w:val="bottom"/>
            <w:hideMark/>
          </w:tcPr>
          <w:p w14:paraId="18270376" w14:textId="77777777" w:rsidR="004E57A7" w:rsidRPr="001F224B" w:rsidRDefault="004E57A7" w:rsidP="004E57A7">
            <w:pPr>
              <w:rPr>
                <w:color w:val="000000"/>
                <w:sz w:val="16"/>
                <w:szCs w:val="16"/>
              </w:rPr>
            </w:pPr>
            <w:r w:rsidRPr="001F224B">
              <w:rPr>
                <w:color w:val="000000"/>
                <w:sz w:val="16"/>
                <w:szCs w:val="16"/>
              </w:rPr>
              <w:t>Merkezi yönetimlerden veya merkez bankalarından alacaklar</w:t>
            </w:r>
          </w:p>
        </w:tc>
        <w:tc>
          <w:tcPr>
            <w:tcW w:w="850" w:type="dxa"/>
            <w:shd w:val="clear" w:color="auto" w:fill="auto"/>
            <w:noWrap/>
            <w:vAlign w:val="bottom"/>
          </w:tcPr>
          <w:p w14:paraId="2BBC8CC0" w14:textId="1C40B6BE" w:rsidR="004E57A7" w:rsidRPr="001F224B" w:rsidRDefault="004E57A7" w:rsidP="004E57A7">
            <w:pPr>
              <w:jc w:val="right"/>
              <w:rPr>
                <w:sz w:val="14"/>
                <w:szCs w:val="14"/>
              </w:rPr>
            </w:pPr>
            <w:r w:rsidRPr="001F224B">
              <w:rPr>
                <w:color w:val="000000"/>
                <w:sz w:val="14"/>
                <w:szCs w:val="14"/>
              </w:rPr>
              <w:t>14.598.104</w:t>
            </w:r>
          </w:p>
        </w:tc>
        <w:tc>
          <w:tcPr>
            <w:tcW w:w="567" w:type="dxa"/>
            <w:shd w:val="clear" w:color="auto" w:fill="auto"/>
            <w:noWrap/>
            <w:vAlign w:val="bottom"/>
          </w:tcPr>
          <w:p w14:paraId="7B707524" w14:textId="567BEEA5"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244AECA7" w14:textId="0253DE98" w:rsidR="004E57A7" w:rsidRPr="001F224B" w:rsidRDefault="004E57A7" w:rsidP="004E57A7">
            <w:pPr>
              <w:jc w:val="right"/>
              <w:rPr>
                <w:sz w:val="14"/>
                <w:szCs w:val="14"/>
              </w:rPr>
            </w:pPr>
            <w:r w:rsidRPr="001F224B">
              <w:rPr>
                <w:sz w:val="14"/>
                <w:szCs w:val="14"/>
              </w:rPr>
              <w:t>-</w:t>
            </w:r>
          </w:p>
        </w:tc>
        <w:tc>
          <w:tcPr>
            <w:tcW w:w="425" w:type="dxa"/>
            <w:vAlign w:val="bottom"/>
          </w:tcPr>
          <w:p w14:paraId="69657ED5" w14:textId="19F7B496" w:rsidR="004E57A7" w:rsidRPr="001F224B" w:rsidRDefault="004E57A7" w:rsidP="004E57A7">
            <w:pPr>
              <w:jc w:val="right"/>
              <w:rPr>
                <w:sz w:val="14"/>
                <w:szCs w:val="14"/>
              </w:rPr>
            </w:pPr>
            <w:r w:rsidRPr="001F224B">
              <w:rPr>
                <w:sz w:val="14"/>
                <w:szCs w:val="14"/>
              </w:rPr>
              <w:t>-</w:t>
            </w:r>
          </w:p>
        </w:tc>
        <w:tc>
          <w:tcPr>
            <w:tcW w:w="709" w:type="dxa"/>
            <w:vAlign w:val="bottom"/>
          </w:tcPr>
          <w:p w14:paraId="75BFAC1C" w14:textId="3F668480"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53A9C3E" w14:textId="26AB2C23"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4488C9EB" w14:textId="2DDED783"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4EB71C94" w14:textId="38AFF936" w:rsidR="004E57A7" w:rsidRPr="001F224B" w:rsidRDefault="004E57A7" w:rsidP="004E57A7">
            <w:pPr>
              <w:jc w:val="right"/>
              <w:rPr>
                <w:sz w:val="14"/>
                <w:szCs w:val="14"/>
              </w:rPr>
            </w:pPr>
            <w:r w:rsidRPr="001F224B">
              <w:rPr>
                <w:color w:val="000000"/>
                <w:sz w:val="14"/>
                <w:szCs w:val="14"/>
              </w:rPr>
              <w:t>4.523.543</w:t>
            </w:r>
          </w:p>
        </w:tc>
        <w:tc>
          <w:tcPr>
            <w:tcW w:w="426" w:type="dxa"/>
            <w:shd w:val="clear" w:color="auto" w:fill="auto"/>
            <w:noWrap/>
            <w:vAlign w:val="bottom"/>
          </w:tcPr>
          <w:p w14:paraId="61D03C4B" w14:textId="43093675"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0CA603FB" w14:textId="32588FAA"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57F37BE4" w14:textId="42D08981"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32E4AD26" w14:textId="5DD23A78" w:rsidR="004E57A7" w:rsidRPr="001F224B" w:rsidRDefault="004E57A7" w:rsidP="004E57A7">
            <w:pPr>
              <w:jc w:val="right"/>
              <w:rPr>
                <w:sz w:val="14"/>
                <w:szCs w:val="14"/>
              </w:rPr>
            </w:pPr>
            <w:r w:rsidRPr="001F224B">
              <w:rPr>
                <w:color w:val="000000"/>
                <w:sz w:val="14"/>
                <w:szCs w:val="14"/>
              </w:rPr>
              <w:t>19.121.647</w:t>
            </w:r>
          </w:p>
        </w:tc>
      </w:tr>
      <w:tr w:rsidR="004E57A7" w:rsidRPr="001F224B" w14:paraId="2B1048F4" w14:textId="77777777" w:rsidTr="004E57A7">
        <w:trPr>
          <w:trHeight w:val="295"/>
        </w:trPr>
        <w:tc>
          <w:tcPr>
            <w:tcW w:w="425" w:type="dxa"/>
            <w:shd w:val="clear" w:color="auto" w:fill="auto"/>
            <w:noWrap/>
            <w:vAlign w:val="bottom"/>
            <w:hideMark/>
          </w:tcPr>
          <w:p w14:paraId="0DB1E0A7" w14:textId="77777777" w:rsidR="004E57A7" w:rsidRPr="001F224B" w:rsidRDefault="004E57A7" w:rsidP="004E57A7">
            <w:pPr>
              <w:rPr>
                <w:color w:val="000000"/>
                <w:sz w:val="16"/>
                <w:szCs w:val="16"/>
              </w:rPr>
            </w:pPr>
            <w:r w:rsidRPr="001F224B">
              <w:rPr>
                <w:color w:val="000000"/>
                <w:sz w:val="16"/>
                <w:szCs w:val="16"/>
              </w:rPr>
              <w:t>2</w:t>
            </w:r>
          </w:p>
        </w:tc>
        <w:tc>
          <w:tcPr>
            <w:tcW w:w="1985" w:type="dxa"/>
            <w:shd w:val="clear" w:color="auto" w:fill="auto"/>
            <w:noWrap/>
            <w:vAlign w:val="bottom"/>
            <w:hideMark/>
          </w:tcPr>
          <w:p w14:paraId="7C04144C" w14:textId="77777777" w:rsidR="004E57A7" w:rsidRPr="001F224B" w:rsidRDefault="004E57A7" w:rsidP="004E57A7">
            <w:pPr>
              <w:rPr>
                <w:color w:val="000000"/>
                <w:sz w:val="16"/>
                <w:szCs w:val="16"/>
              </w:rPr>
            </w:pPr>
            <w:r w:rsidRPr="001F224B">
              <w:rPr>
                <w:color w:val="000000"/>
                <w:sz w:val="16"/>
                <w:szCs w:val="16"/>
              </w:rPr>
              <w:t>Bölgesel yönetimlerden veya yerel yönetimlerden alacaklar</w:t>
            </w:r>
          </w:p>
        </w:tc>
        <w:tc>
          <w:tcPr>
            <w:tcW w:w="850" w:type="dxa"/>
            <w:shd w:val="clear" w:color="auto" w:fill="auto"/>
            <w:noWrap/>
            <w:vAlign w:val="bottom"/>
          </w:tcPr>
          <w:p w14:paraId="438B9933" w14:textId="2DA540F0"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5D812174" w14:textId="4F81C5BA"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3DED3682" w14:textId="3AC0CF2C" w:rsidR="004E57A7" w:rsidRPr="001F224B" w:rsidRDefault="004E57A7" w:rsidP="004E57A7">
            <w:pPr>
              <w:jc w:val="right"/>
              <w:rPr>
                <w:sz w:val="14"/>
                <w:szCs w:val="14"/>
              </w:rPr>
            </w:pPr>
            <w:r w:rsidRPr="001F224B">
              <w:rPr>
                <w:sz w:val="14"/>
                <w:szCs w:val="14"/>
              </w:rPr>
              <w:t>-</w:t>
            </w:r>
          </w:p>
        </w:tc>
        <w:tc>
          <w:tcPr>
            <w:tcW w:w="425" w:type="dxa"/>
            <w:vAlign w:val="bottom"/>
          </w:tcPr>
          <w:p w14:paraId="5050EB1F" w14:textId="3C1048AA" w:rsidR="004E57A7" w:rsidRPr="001F224B" w:rsidRDefault="004E57A7" w:rsidP="004E57A7">
            <w:pPr>
              <w:jc w:val="right"/>
              <w:rPr>
                <w:sz w:val="14"/>
                <w:szCs w:val="14"/>
              </w:rPr>
            </w:pPr>
            <w:r w:rsidRPr="001F224B">
              <w:rPr>
                <w:sz w:val="14"/>
                <w:szCs w:val="14"/>
              </w:rPr>
              <w:t>-</w:t>
            </w:r>
          </w:p>
        </w:tc>
        <w:tc>
          <w:tcPr>
            <w:tcW w:w="709" w:type="dxa"/>
            <w:vAlign w:val="bottom"/>
          </w:tcPr>
          <w:p w14:paraId="4B58F28E" w14:textId="0F5242BF"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2E5E19D0" w14:textId="1E220FA3"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6B110D70" w14:textId="7BDE0052"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083D6978" w14:textId="58D1A643"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3703C3BC" w14:textId="37C7707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678E468" w14:textId="2C6D8F50"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06DF2CD9" w14:textId="142AA74A"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3AC823C0" w14:textId="6712ECA1" w:rsidR="004E57A7" w:rsidRPr="001F224B" w:rsidRDefault="004E57A7" w:rsidP="004E57A7">
            <w:pPr>
              <w:jc w:val="right"/>
              <w:rPr>
                <w:sz w:val="14"/>
                <w:szCs w:val="14"/>
              </w:rPr>
            </w:pPr>
            <w:r w:rsidRPr="001F224B">
              <w:rPr>
                <w:sz w:val="14"/>
                <w:szCs w:val="14"/>
              </w:rPr>
              <w:t>-</w:t>
            </w:r>
          </w:p>
        </w:tc>
      </w:tr>
      <w:tr w:rsidR="004E57A7" w:rsidRPr="001F224B" w14:paraId="2D124E2F" w14:textId="77777777" w:rsidTr="004E57A7">
        <w:trPr>
          <w:trHeight w:val="295"/>
        </w:trPr>
        <w:tc>
          <w:tcPr>
            <w:tcW w:w="425" w:type="dxa"/>
            <w:shd w:val="clear" w:color="auto" w:fill="auto"/>
            <w:noWrap/>
            <w:vAlign w:val="bottom"/>
            <w:hideMark/>
          </w:tcPr>
          <w:p w14:paraId="2ACB8811" w14:textId="77777777" w:rsidR="004E57A7" w:rsidRPr="001F224B" w:rsidRDefault="004E57A7" w:rsidP="004E57A7">
            <w:pPr>
              <w:rPr>
                <w:color w:val="000000"/>
                <w:sz w:val="16"/>
                <w:szCs w:val="16"/>
              </w:rPr>
            </w:pPr>
            <w:r w:rsidRPr="001F224B">
              <w:rPr>
                <w:color w:val="000000"/>
                <w:sz w:val="16"/>
                <w:szCs w:val="16"/>
              </w:rPr>
              <w:t>3</w:t>
            </w:r>
          </w:p>
        </w:tc>
        <w:tc>
          <w:tcPr>
            <w:tcW w:w="1985" w:type="dxa"/>
            <w:shd w:val="clear" w:color="auto" w:fill="auto"/>
            <w:noWrap/>
            <w:vAlign w:val="bottom"/>
            <w:hideMark/>
          </w:tcPr>
          <w:p w14:paraId="5D2FBC55" w14:textId="77777777" w:rsidR="004E57A7" w:rsidRPr="001F224B" w:rsidRDefault="004E57A7" w:rsidP="004E57A7">
            <w:pPr>
              <w:rPr>
                <w:color w:val="000000"/>
                <w:sz w:val="16"/>
                <w:szCs w:val="16"/>
              </w:rPr>
            </w:pPr>
            <w:r w:rsidRPr="001F224B">
              <w:rPr>
                <w:color w:val="000000"/>
                <w:sz w:val="16"/>
                <w:szCs w:val="16"/>
              </w:rPr>
              <w:t>İdari birimlerden ve ticari olmayan girişimlerden alacaklar</w:t>
            </w:r>
          </w:p>
        </w:tc>
        <w:tc>
          <w:tcPr>
            <w:tcW w:w="850" w:type="dxa"/>
            <w:shd w:val="clear" w:color="auto" w:fill="auto"/>
            <w:noWrap/>
            <w:vAlign w:val="bottom"/>
          </w:tcPr>
          <w:p w14:paraId="0B58DFA6" w14:textId="70EC0CF7"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6B88A3D1" w14:textId="4B3B82C8"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740171D3" w14:textId="52036787" w:rsidR="004E57A7" w:rsidRPr="001F224B" w:rsidRDefault="004E57A7" w:rsidP="004E57A7">
            <w:pPr>
              <w:jc w:val="right"/>
              <w:rPr>
                <w:sz w:val="14"/>
                <w:szCs w:val="14"/>
              </w:rPr>
            </w:pPr>
            <w:r w:rsidRPr="001F224B">
              <w:rPr>
                <w:sz w:val="14"/>
                <w:szCs w:val="14"/>
              </w:rPr>
              <w:t>-</w:t>
            </w:r>
          </w:p>
        </w:tc>
        <w:tc>
          <w:tcPr>
            <w:tcW w:w="425" w:type="dxa"/>
            <w:vAlign w:val="bottom"/>
          </w:tcPr>
          <w:p w14:paraId="767890E1" w14:textId="1E2FC64E" w:rsidR="004E57A7" w:rsidRPr="001F224B" w:rsidRDefault="004E57A7" w:rsidP="004E57A7">
            <w:pPr>
              <w:jc w:val="right"/>
              <w:rPr>
                <w:sz w:val="14"/>
                <w:szCs w:val="14"/>
              </w:rPr>
            </w:pPr>
            <w:r w:rsidRPr="001F224B">
              <w:rPr>
                <w:sz w:val="14"/>
                <w:szCs w:val="14"/>
              </w:rPr>
              <w:t>-</w:t>
            </w:r>
          </w:p>
        </w:tc>
        <w:tc>
          <w:tcPr>
            <w:tcW w:w="709" w:type="dxa"/>
            <w:vAlign w:val="bottom"/>
          </w:tcPr>
          <w:p w14:paraId="0A5AF0DE" w14:textId="459DFC65"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DD72221" w14:textId="6EA1DA5B"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1452FA5" w14:textId="67E569B4"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764196BE" w14:textId="2EF32E06"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4D40F401" w14:textId="2EE4ECD9"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4FDDA34D" w14:textId="1AF453AC"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04CEB21E" w14:textId="28F28FE0"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0893E705" w14:textId="44AC1146" w:rsidR="004E57A7" w:rsidRPr="001F224B" w:rsidRDefault="004E57A7" w:rsidP="004E57A7">
            <w:pPr>
              <w:jc w:val="right"/>
              <w:rPr>
                <w:sz w:val="14"/>
                <w:szCs w:val="14"/>
              </w:rPr>
            </w:pPr>
            <w:r w:rsidRPr="001F224B">
              <w:rPr>
                <w:sz w:val="14"/>
                <w:szCs w:val="14"/>
              </w:rPr>
              <w:t>-</w:t>
            </w:r>
          </w:p>
        </w:tc>
      </w:tr>
      <w:tr w:rsidR="004E57A7" w:rsidRPr="001F224B" w14:paraId="73ACBCF8" w14:textId="77777777" w:rsidTr="004E57A7">
        <w:trPr>
          <w:trHeight w:val="295"/>
        </w:trPr>
        <w:tc>
          <w:tcPr>
            <w:tcW w:w="425" w:type="dxa"/>
            <w:shd w:val="clear" w:color="auto" w:fill="auto"/>
            <w:noWrap/>
            <w:vAlign w:val="bottom"/>
            <w:hideMark/>
          </w:tcPr>
          <w:p w14:paraId="324E30B9" w14:textId="77777777" w:rsidR="004E57A7" w:rsidRPr="001F224B" w:rsidRDefault="004E57A7" w:rsidP="004E57A7">
            <w:pPr>
              <w:rPr>
                <w:color w:val="000000"/>
                <w:sz w:val="16"/>
                <w:szCs w:val="16"/>
              </w:rPr>
            </w:pPr>
            <w:r w:rsidRPr="001F224B">
              <w:rPr>
                <w:color w:val="000000"/>
                <w:sz w:val="16"/>
                <w:szCs w:val="16"/>
              </w:rPr>
              <w:t>4</w:t>
            </w:r>
          </w:p>
        </w:tc>
        <w:tc>
          <w:tcPr>
            <w:tcW w:w="1985" w:type="dxa"/>
            <w:shd w:val="clear" w:color="auto" w:fill="auto"/>
            <w:noWrap/>
            <w:vAlign w:val="bottom"/>
            <w:hideMark/>
          </w:tcPr>
          <w:p w14:paraId="7CB00644" w14:textId="77777777" w:rsidR="004E57A7" w:rsidRPr="001F224B" w:rsidRDefault="004E57A7" w:rsidP="004E57A7">
            <w:pPr>
              <w:rPr>
                <w:color w:val="000000"/>
                <w:sz w:val="16"/>
                <w:szCs w:val="16"/>
              </w:rPr>
            </w:pPr>
            <w:r w:rsidRPr="001F224B">
              <w:rPr>
                <w:color w:val="000000"/>
                <w:sz w:val="16"/>
                <w:szCs w:val="16"/>
              </w:rPr>
              <w:t>Çok taraflı kalkınma bankalarından alacaklar</w:t>
            </w:r>
          </w:p>
        </w:tc>
        <w:tc>
          <w:tcPr>
            <w:tcW w:w="850" w:type="dxa"/>
            <w:shd w:val="clear" w:color="auto" w:fill="auto"/>
            <w:noWrap/>
            <w:vAlign w:val="bottom"/>
          </w:tcPr>
          <w:p w14:paraId="07ED4F79" w14:textId="09537D13"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360E96AC" w14:textId="76796641"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68B7036C" w14:textId="0FB4BE5A" w:rsidR="004E57A7" w:rsidRPr="001F224B" w:rsidRDefault="004E57A7" w:rsidP="004E57A7">
            <w:pPr>
              <w:jc w:val="right"/>
              <w:rPr>
                <w:sz w:val="14"/>
                <w:szCs w:val="14"/>
              </w:rPr>
            </w:pPr>
            <w:r w:rsidRPr="001F224B">
              <w:rPr>
                <w:sz w:val="14"/>
                <w:szCs w:val="14"/>
              </w:rPr>
              <w:t>-</w:t>
            </w:r>
          </w:p>
        </w:tc>
        <w:tc>
          <w:tcPr>
            <w:tcW w:w="425" w:type="dxa"/>
            <w:vAlign w:val="bottom"/>
          </w:tcPr>
          <w:p w14:paraId="500B3640" w14:textId="5ECEDD2E" w:rsidR="004E57A7" w:rsidRPr="001F224B" w:rsidRDefault="004E57A7" w:rsidP="004E57A7">
            <w:pPr>
              <w:jc w:val="right"/>
              <w:rPr>
                <w:sz w:val="14"/>
                <w:szCs w:val="14"/>
              </w:rPr>
            </w:pPr>
            <w:r w:rsidRPr="001F224B">
              <w:rPr>
                <w:sz w:val="14"/>
                <w:szCs w:val="14"/>
              </w:rPr>
              <w:t>-</w:t>
            </w:r>
          </w:p>
        </w:tc>
        <w:tc>
          <w:tcPr>
            <w:tcW w:w="709" w:type="dxa"/>
            <w:vAlign w:val="bottom"/>
          </w:tcPr>
          <w:p w14:paraId="592D244B" w14:textId="6DBD0AE2"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33D6326E" w14:textId="1B44972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3B596FFE" w14:textId="78E4E9C9"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712A286E" w14:textId="1F6D9AAC"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795DF6E6" w14:textId="2C8B31E9"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4D5C7F9" w14:textId="5E38F185"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38655D05" w14:textId="283F2657"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23AE602F" w14:textId="5DA6766A" w:rsidR="004E57A7" w:rsidRPr="001F224B" w:rsidRDefault="004E57A7" w:rsidP="004E57A7">
            <w:pPr>
              <w:jc w:val="right"/>
              <w:rPr>
                <w:sz w:val="14"/>
                <w:szCs w:val="14"/>
              </w:rPr>
            </w:pPr>
            <w:r w:rsidRPr="001F224B">
              <w:rPr>
                <w:sz w:val="14"/>
                <w:szCs w:val="14"/>
              </w:rPr>
              <w:t>-</w:t>
            </w:r>
          </w:p>
        </w:tc>
      </w:tr>
      <w:tr w:rsidR="004E57A7" w:rsidRPr="001F224B" w14:paraId="4AB2D71D" w14:textId="77777777" w:rsidTr="004E57A7">
        <w:trPr>
          <w:trHeight w:val="295"/>
        </w:trPr>
        <w:tc>
          <w:tcPr>
            <w:tcW w:w="425" w:type="dxa"/>
            <w:shd w:val="clear" w:color="auto" w:fill="auto"/>
            <w:noWrap/>
            <w:vAlign w:val="bottom"/>
            <w:hideMark/>
          </w:tcPr>
          <w:p w14:paraId="44DA6463" w14:textId="77777777" w:rsidR="004E57A7" w:rsidRPr="001F224B" w:rsidRDefault="004E57A7" w:rsidP="004E57A7">
            <w:pPr>
              <w:rPr>
                <w:color w:val="000000"/>
                <w:sz w:val="16"/>
                <w:szCs w:val="16"/>
              </w:rPr>
            </w:pPr>
            <w:r w:rsidRPr="001F224B">
              <w:rPr>
                <w:color w:val="000000"/>
                <w:sz w:val="16"/>
                <w:szCs w:val="16"/>
              </w:rPr>
              <w:t>5</w:t>
            </w:r>
          </w:p>
        </w:tc>
        <w:tc>
          <w:tcPr>
            <w:tcW w:w="1985" w:type="dxa"/>
            <w:shd w:val="clear" w:color="auto" w:fill="auto"/>
            <w:noWrap/>
            <w:vAlign w:val="bottom"/>
            <w:hideMark/>
          </w:tcPr>
          <w:p w14:paraId="094A1232" w14:textId="77777777" w:rsidR="004E57A7" w:rsidRPr="001F224B" w:rsidRDefault="004E57A7" w:rsidP="004E57A7">
            <w:pPr>
              <w:rPr>
                <w:color w:val="000000"/>
                <w:sz w:val="16"/>
                <w:szCs w:val="16"/>
              </w:rPr>
            </w:pPr>
            <w:r w:rsidRPr="001F224B">
              <w:rPr>
                <w:color w:val="000000"/>
                <w:sz w:val="16"/>
                <w:szCs w:val="16"/>
              </w:rPr>
              <w:t>Uluslararası teşkilatlardan alacaklar</w:t>
            </w:r>
          </w:p>
        </w:tc>
        <w:tc>
          <w:tcPr>
            <w:tcW w:w="850" w:type="dxa"/>
            <w:shd w:val="clear" w:color="auto" w:fill="auto"/>
            <w:noWrap/>
            <w:vAlign w:val="bottom"/>
          </w:tcPr>
          <w:p w14:paraId="79A8AEAD" w14:textId="2ED01F2E"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57420A9F" w14:textId="64B13F3A"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1B9E65A2" w14:textId="11ECCC9C" w:rsidR="004E57A7" w:rsidRPr="001F224B" w:rsidRDefault="004E57A7" w:rsidP="004E57A7">
            <w:pPr>
              <w:jc w:val="right"/>
              <w:rPr>
                <w:sz w:val="14"/>
                <w:szCs w:val="14"/>
              </w:rPr>
            </w:pPr>
            <w:r w:rsidRPr="001F224B">
              <w:rPr>
                <w:sz w:val="14"/>
                <w:szCs w:val="14"/>
              </w:rPr>
              <w:t>-</w:t>
            </w:r>
          </w:p>
        </w:tc>
        <w:tc>
          <w:tcPr>
            <w:tcW w:w="425" w:type="dxa"/>
            <w:vAlign w:val="bottom"/>
          </w:tcPr>
          <w:p w14:paraId="26ADB299" w14:textId="6BD071EC" w:rsidR="004E57A7" w:rsidRPr="001F224B" w:rsidRDefault="004E57A7" w:rsidP="004E57A7">
            <w:pPr>
              <w:jc w:val="right"/>
              <w:rPr>
                <w:sz w:val="14"/>
                <w:szCs w:val="14"/>
              </w:rPr>
            </w:pPr>
            <w:r w:rsidRPr="001F224B">
              <w:rPr>
                <w:sz w:val="14"/>
                <w:szCs w:val="14"/>
              </w:rPr>
              <w:t>-</w:t>
            </w:r>
          </w:p>
        </w:tc>
        <w:tc>
          <w:tcPr>
            <w:tcW w:w="709" w:type="dxa"/>
            <w:vAlign w:val="bottom"/>
          </w:tcPr>
          <w:p w14:paraId="70A95AA4" w14:textId="00EB9EDB"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2C073539" w14:textId="4953FCF4"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B91980F" w14:textId="6A3E992E"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0B8354D0" w14:textId="2C96AC1D"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48596F7A" w14:textId="10D5ED23"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A1672D7" w14:textId="163E5F6C"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3A405B93" w14:textId="24FFA9C1"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205FC74" w14:textId="0B935890" w:rsidR="004E57A7" w:rsidRPr="001F224B" w:rsidRDefault="004E57A7" w:rsidP="004E57A7">
            <w:pPr>
              <w:jc w:val="right"/>
              <w:rPr>
                <w:sz w:val="14"/>
                <w:szCs w:val="14"/>
              </w:rPr>
            </w:pPr>
            <w:r w:rsidRPr="001F224B">
              <w:rPr>
                <w:sz w:val="14"/>
                <w:szCs w:val="14"/>
              </w:rPr>
              <w:t>-</w:t>
            </w:r>
          </w:p>
        </w:tc>
      </w:tr>
      <w:tr w:rsidR="004E57A7" w:rsidRPr="001F224B" w14:paraId="657A151A" w14:textId="77777777" w:rsidTr="004E57A7">
        <w:trPr>
          <w:trHeight w:val="295"/>
        </w:trPr>
        <w:tc>
          <w:tcPr>
            <w:tcW w:w="425" w:type="dxa"/>
            <w:shd w:val="clear" w:color="auto" w:fill="auto"/>
            <w:noWrap/>
            <w:vAlign w:val="bottom"/>
            <w:hideMark/>
          </w:tcPr>
          <w:p w14:paraId="49F35FBB" w14:textId="77777777" w:rsidR="004E57A7" w:rsidRPr="001F224B" w:rsidRDefault="004E57A7" w:rsidP="004E57A7">
            <w:pPr>
              <w:rPr>
                <w:color w:val="000000"/>
                <w:sz w:val="16"/>
                <w:szCs w:val="16"/>
              </w:rPr>
            </w:pPr>
            <w:r w:rsidRPr="001F224B">
              <w:rPr>
                <w:color w:val="000000"/>
                <w:sz w:val="16"/>
                <w:szCs w:val="16"/>
              </w:rPr>
              <w:t>6</w:t>
            </w:r>
          </w:p>
        </w:tc>
        <w:tc>
          <w:tcPr>
            <w:tcW w:w="1985" w:type="dxa"/>
            <w:shd w:val="clear" w:color="auto" w:fill="auto"/>
            <w:noWrap/>
            <w:vAlign w:val="bottom"/>
            <w:hideMark/>
          </w:tcPr>
          <w:p w14:paraId="18AC6DDD" w14:textId="77777777" w:rsidR="004E57A7" w:rsidRPr="001F224B" w:rsidRDefault="004E57A7" w:rsidP="004E57A7">
            <w:pPr>
              <w:rPr>
                <w:color w:val="000000"/>
                <w:sz w:val="16"/>
                <w:szCs w:val="16"/>
              </w:rPr>
            </w:pPr>
            <w:r w:rsidRPr="001F224B">
              <w:rPr>
                <w:color w:val="000000"/>
                <w:sz w:val="16"/>
                <w:szCs w:val="16"/>
              </w:rPr>
              <w:t>Bankalardan ve aracı kurumlardan alacaklar</w:t>
            </w:r>
          </w:p>
        </w:tc>
        <w:tc>
          <w:tcPr>
            <w:tcW w:w="850" w:type="dxa"/>
            <w:shd w:val="clear" w:color="auto" w:fill="auto"/>
            <w:noWrap/>
            <w:vAlign w:val="bottom"/>
          </w:tcPr>
          <w:p w14:paraId="29FF8477" w14:textId="160FE031" w:rsidR="004E57A7" w:rsidRPr="001F224B" w:rsidRDefault="004E57A7" w:rsidP="004E57A7">
            <w:pPr>
              <w:jc w:val="right"/>
              <w:rPr>
                <w:sz w:val="14"/>
                <w:szCs w:val="14"/>
              </w:rPr>
            </w:pPr>
            <w:r w:rsidRPr="001F224B">
              <w:rPr>
                <w:color w:val="000000"/>
                <w:sz w:val="14"/>
                <w:szCs w:val="14"/>
              </w:rPr>
              <w:t>-</w:t>
            </w:r>
          </w:p>
        </w:tc>
        <w:tc>
          <w:tcPr>
            <w:tcW w:w="567" w:type="dxa"/>
            <w:shd w:val="clear" w:color="auto" w:fill="auto"/>
            <w:noWrap/>
            <w:vAlign w:val="bottom"/>
          </w:tcPr>
          <w:p w14:paraId="4A898027" w14:textId="18BDF31A"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1806377B" w14:textId="5EE4A04D" w:rsidR="004E57A7" w:rsidRPr="001F224B" w:rsidRDefault="004E57A7" w:rsidP="004E57A7">
            <w:pPr>
              <w:jc w:val="right"/>
              <w:rPr>
                <w:sz w:val="14"/>
                <w:szCs w:val="14"/>
              </w:rPr>
            </w:pPr>
            <w:r w:rsidRPr="001F224B">
              <w:rPr>
                <w:sz w:val="14"/>
                <w:szCs w:val="14"/>
              </w:rPr>
              <w:t>14.397.827</w:t>
            </w:r>
          </w:p>
        </w:tc>
        <w:tc>
          <w:tcPr>
            <w:tcW w:w="425" w:type="dxa"/>
            <w:vAlign w:val="bottom"/>
          </w:tcPr>
          <w:p w14:paraId="418B1EF5" w14:textId="3D10D799" w:rsidR="004E57A7" w:rsidRPr="001F224B" w:rsidRDefault="004E57A7" w:rsidP="004E57A7">
            <w:pPr>
              <w:jc w:val="right"/>
              <w:rPr>
                <w:sz w:val="14"/>
                <w:szCs w:val="14"/>
              </w:rPr>
            </w:pPr>
            <w:r w:rsidRPr="001F224B">
              <w:rPr>
                <w:sz w:val="14"/>
                <w:szCs w:val="14"/>
              </w:rPr>
              <w:t>-</w:t>
            </w:r>
          </w:p>
        </w:tc>
        <w:tc>
          <w:tcPr>
            <w:tcW w:w="709" w:type="dxa"/>
            <w:vAlign w:val="bottom"/>
          </w:tcPr>
          <w:p w14:paraId="112F7C77" w14:textId="0F582965" w:rsidR="004E57A7" w:rsidRPr="001F224B" w:rsidRDefault="004E57A7" w:rsidP="004E57A7">
            <w:pPr>
              <w:jc w:val="right"/>
              <w:rPr>
                <w:sz w:val="14"/>
                <w:szCs w:val="14"/>
              </w:rPr>
            </w:pPr>
            <w:r w:rsidRPr="001F224B">
              <w:rPr>
                <w:color w:val="000000"/>
                <w:sz w:val="14"/>
                <w:szCs w:val="14"/>
              </w:rPr>
              <w:t>-</w:t>
            </w:r>
          </w:p>
        </w:tc>
        <w:tc>
          <w:tcPr>
            <w:tcW w:w="851" w:type="dxa"/>
            <w:shd w:val="clear" w:color="auto" w:fill="auto"/>
            <w:noWrap/>
            <w:vAlign w:val="bottom"/>
          </w:tcPr>
          <w:p w14:paraId="65C6A470" w14:textId="4F8DF100" w:rsidR="004E57A7" w:rsidRPr="001F224B" w:rsidRDefault="004E57A7" w:rsidP="004E57A7">
            <w:pPr>
              <w:jc w:val="right"/>
              <w:rPr>
                <w:sz w:val="14"/>
                <w:szCs w:val="14"/>
              </w:rPr>
            </w:pPr>
            <w:r w:rsidRPr="001F224B">
              <w:rPr>
                <w:color w:val="000000"/>
                <w:sz w:val="14"/>
                <w:szCs w:val="14"/>
              </w:rPr>
              <w:t>16.364.678</w:t>
            </w:r>
          </w:p>
        </w:tc>
        <w:tc>
          <w:tcPr>
            <w:tcW w:w="425" w:type="dxa"/>
            <w:shd w:val="clear" w:color="auto" w:fill="auto"/>
            <w:noWrap/>
            <w:vAlign w:val="bottom"/>
          </w:tcPr>
          <w:p w14:paraId="109F5A45" w14:textId="66EE9D77"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4C56CD07" w14:textId="258D6CE1" w:rsidR="004E57A7" w:rsidRPr="001F224B" w:rsidRDefault="004E57A7" w:rsidP="004E57A7">
            <w:pPr>
              <w:jc w:val="right"/>
              <w:rPr>
                <w:sz w:val="14"/>
                <w:szCs w:val="14"/>
              </w:rPr>
            </w:pPr>
            <w:r w:rsidRPr="001F224B">
              <w:rPr>
                <w:sz w:val="14"/>
                <w:szCs w:val="14"/>
              </w:rPr>
              <w:t>16.749.619</w:t>
            </w:r>
          </w:p>
        </w:tc>
        <w:tc>
          <w:tcPr>
            <w:tcW w:w="426" w:type="dxa"/>
            <w:shd w:val="clear" w:color="auto" w:fill="auto"/>
            <w:noWrap/>
            <w:vAlign w:val="bottom"/>
          </w:tcPr>
          <w:p w14:paraId="390455B8" w14:textId="5B768E2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765934F4" w14:textId="11A23D6E"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57516EEC" w14:textId="6C6D0EBC" w:rsidR="004E57A7" w:rsidRPr="001F224B" w:rsidRDefault="004E57A7" w:rsidP="004E57A7">
            <w:pPr>
              <w:jc w:val="right"/>
              <w:rPr>
                <w:sz w:val="14"/>
                <w:szCs w:val="14"/>
              </w:rPr>
            </w:pPr>
            <w:r w:rsidRPr="001F224B">
              <w:rPr>
                <w:sz w:val="14"/>
                <w:szCs w:val="14"/>
              </w:rPr>
              <w:t>256.062</w:t>
            </w:r>
          </w:p>
        </w:tc>
        <w:tc>
          <w:tcPr>
            <w:tcW w:w="850" w:type="dxa"/>
            <w:shd w:val="clear" w:color="auto" w:fill="auto"/>
            <w:noWrap/>
            <w:vAlign w:val="bottom"/>
          </w:tcPr>
          <w:p w14:paraId="6A193E5B" w14:textId="2C763B8B" w:rsidR="004E57A7" w:rsidRPr="001F224B" w:rsidRDefault="004E57A7" w:rsidP="004E57A7">
            <w:pPr>
              <w:jc w:val="right"/>
              <w:rPr>
                <w:sz w:val="14"/>
                <w:szCs w:val="14"/>
              </w:rPr>
            </w:pPr>
            <w:r w:rsidRPr="001F224B">
              <w:rPr>
                <w:color w:val="000000"/>
                <w:sz w:val="14"/>
                <w:szCs w:val="14"/>
              </w:rPr>
              <w:t>47.768.186</w:t>
            </w:r>
          </w:p>
        </w:tc>
      </w:tr>
      <w:tr w:rsidR="004E57A7" w:rsidRPr="001F224B" w14:paraId="6016D204" w14:textId="77777777" w:rsidTr="004E57A7">
        <w:trPr>
          <w:trHeight w:val="295"/>
        </w:trPr>
        <w:tc>
          <w:tcPr>
            <w:tcW w:w="425" w:type="dxa"/>
            <w:shd w:val="clear" w:color="auto" w:fill="auto"/>
            <w:noWrap/>
            <w:vAlign w:val="bottom"/>
            <w:hideMark/>
          </w:tcPr>
          <w:p w14:paraId="178883CE" w14:textId="77777777" w:rsidR="004E57A7" w:rsidRPr="001F224B" w:rsidRDefault="004E57A7" w:rsidP="004E57A7">
            <w:pPr>
              <w:rPr>
                <w:color w:val="000000"/>
                <w:sz w:val="16"/>
                <w:szCs w:val="16"/>
              </w:rPr>
            </w:pPr>
            <w:r w:rsidRPr="001F224B">
              <w:rPr>
                <w:color w:val="000000"/>
                <w:sz w:val="16"/>
                <w:szCs w:val="16"/>
              </w:rPr>
              <w:t>7</w:t>
            </w:r>
          </w:p>
        </w:tc>
        <w:tc>
          <w:tcPr>
            <w:tcW w:w="1985" w:type="dxa"/>
            <w:shd w:val="clear" w:color="auto" w:fill="auto"/>
            <w:noWrap/>
            <w:vAlign w:val="bottom"/>
            <w:hideMark/>
          </w:tcPr>
          <w:p w14:paraId="6B3524E3" w14:textId="77777777" w:rsidR="004E57A7" w:rsidRPr="001F224B" w:rsidRDefault="004E57A7" w:rsidP="004E57A7">
            <w:pPr>
              <w:rPr>
                <w:color w:val="000000"/>
                <w:sz w:val="16"/>
                <w:szCs w:val="16"/>
              </w:rPr>
            </w:pPr>
            <w:r w:rsidRPr="001F224B">
              <w:rPr>
                <w:color w:val="000000"/>
                <w:sz w:val="16"/>
                <w:szCs w:val="16"/>
              </w:rPr>
              <w:t>Kurumsal alacaklar</w:t>
            </w:r>
          </w:p>
        </w:tc>
        <w:tc>
          <w:tcPr>
            <w:tcW w:w="850" w:type="dxa"/>
            <w:shd w:val="clear" w:color="auto" w:fill="auto"/>
            <w:noWrap/>
            <w:vAlign w:val="bottom"/>
          </w:tcPr>
          <w:p w14:paraId="70D51B5D" w14:textId="2934CFF7"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3A87A536" w14:textId="28D0BFD0"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00D9EE26" w14:textId="27EA20D5" w:rsidR="004E57A7" w:rsidRPr="001F224B" w:rsidRDefault="004E57A7" w:rsidP="004E57A7">
            <w:pPr>
              <w:jc w:val="right"/>
              <w:rPr>
                <w:sz w:val="14"/>
                <w:szCs w:val="14"/>
              </w:rPr>
            </w:pPr>
            <w:r w:rsidRPr="001F224B">
              <w:rPr>
                <w:sz w:val="14"/>
                <w:szCs w:val="14"/>
              </w:rPr>
              <w:t>-</w:t>
            </w:r>
          </w:p>
        </w:tc>
        <w:tc>
          <w:tcPr>
            <w:tcW w:w="425" w:type="dxa"/>
            <w:vAlign w:val="bottom"/>
          </w:tcPr>
          <w:p w14:paraId="4391E000" w14:textId="2BF39617" w:rsidR="004E57A7" w:rsidRPr="001F224B" w:rsidRDefault="004E57A7" w:rsidP="004E57A7">
            <w:pPr>
              <w:jc w:val="right"/>
              <w:rPr>
                <w:sz w:val="14"/>
                <w:szCs w:val="14"/>
              </w:rPr>
            </w:pPr>
            <w:r w:rsidRPr="001F224B">
              <w:rPr>
                <w:sz w:val="14"/>
                <w:szCs w:val="14"/>
              </w:rPr>
              <w:t>-</w:t>
            </w:r>
          </w:p>
        </w:tc>
        <w:tc>
          <w:tcPr>
            <w:tcW w:w="709" w:type="dxa"/>
            <w:vAlign w:val="bottom"/>
          </w:tcPr>
          <w:p w14:paraId="4E4B42AE" w14:textId="1DCAEBE4"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3849FAFB" w14:textId="7929A7E7"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092E4CFF" w14:textId="046CE312"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04C95FF" w14:textId="70A2ADDC" w:rsidR="004E57A7" w:rsidRPr="001F224B" w:rsidRDefault="004E57A7" w:rsidP="004E57A7">
            <w:pPr>
              <w:jc w:val="right"/>
              <w:rPr>
                <w:sz w:val="14"/>
                <w:szCs w:val="14"/>
              </w:rPr>
            </w:pPr>
            <w:r w:rsidRPr="001F224B">
              <w:rPr>
                <w:color w:val="000000"/>
                <w:sz w:val="14"/>
                <w:szCs w:val="14"/>
              </w:rPr>
              <w:t>96.551.892</w:t>
            </w:r>
          </w:p>
        </w:tc>
        <w:tc>
          <w:tcPr>
            <w:tcW w:w="426" w:type="dxa"/>
            <w:shd w:val="clear" w:color="auto" w:fill="auto"/>
            <w:noWrap/>
            <w:vAlign w:val="bottom"/>
          </w:tcPr>
          <w:p w14:paraId="25233CCB" w14:textId="6661547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53DFF377" w14:textId="7F61531B"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518BED27" w14:textId="3FC3CDC6"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0015D19B" w14:textId="5CD12D54" w:rsidR="004E57A7" w:rsidRPr="001F224B" w:rsidRDefault="004E57A7" w:rsidP="004E57A7">
            <w:pPr>
              <w:jc w:val="right"/>
              <w:rPr>
                <w:sz w:val="14"/>
                <w:szCs w:val="14"/>
              </w:rPr>
            </w:pPr>
            <w:r w:rsidRPr="001F224B">
              <w:rPr>
                <w:color w:val="000000"/>
                <w:sz w:val="14"/>
                <w:szCs w:val="14"/>
              </w:rPr>
              <w:t>96.551.892</w:t>
            </w:r>
          </w:p>
        </w:tc>
      </w:tr>
      <w:tr w:rsidR="004E57A7" w:rsidRPr="001F224B" w14:paraId="66C2D361" w14:textId="77777777" w:rsidTr="004E57A7">
        <w:trPr>
          <w:trHeight w:val="295"/>
        </w:trPr>
        <w:tc>
          <w:tcPr>
            <w:tcW w:w="425" w:type="dxa"/>
            <w:shd w:val="clear" w:color="auto" w:fill="auto"/>
            <w:noWrap/>
            <w:vAlign w:val="bottom"/>
            <w:hideMark/>
          </w:tcPr>
          <w:p w14:paraId="6683D1D2" w14:textId="77777777" w:rsidR="004E57A7" w:rsidRPr="001F224B" w:rsidRDefault="004E57A7" w:rsidP="004E57A7">
            <w:pPr>
              <w:rPr>
                <w:color w:val="000000"/>
                <w:sz w:val="16"/>
                <w:szCs w:val="16"/>
              </w:rPr>
            </w:pPr>
            <w:r w:rsidRPr="001F224B">
              <w:rPr>
                <w:color w:val="000000"/>
                <w:sz w:val="16"/>
                <w:szCs w:val="16"/>
              </w:rPr>
              <w:t>8</w:t>
            </w:r>
          </w:p>
        </w:tc>
        <w:tc>
          <w:tcPr>
            <w:tcW w:w="1985" w:type="dxa"/>
            <w:shd w:val="clear" w:color="auto" w:fill="auto"/>
            <w:noWrap/>
            <w:vAlign w:val="bottom"/>
            <w:hideMark/>
          </w:tcPr>
          <w:p w14:paraId="6A15621E" w14:textId="77777777" w:rsidR="004E57A7" w:rsidRPr="001F224B" w:rsidRDefault="004E57A7" w:rsidP="004E57A7">
            <w:pPr>
              <w:rPr>
                <w:color w:val="000000"/>
                <w:sz w:val="16"/>
                <w:szCs w:val="16"/>
              </w:rPr>
            </w:pPr>
            <w:r w:rsidRPr="001F224B">
              <w:rPr>
                <w:color w:val="000000"/>
                <w:sz w:val="16"/>
                <w:szCs w:val="16"/>
              </w:rPr>
              <w:t>Perakende alacaklar</w:t>
            </w:r>
          </w:p>
        </w:tc>
        <w:tc>
          <w:tcPr>
            <w:tcW w:w="850" w:type="dxa"/>
            <w:shd w:val="clear" w:color="auto" w:fill="auto"/>
            <w:noWrap/>
            <w:vAlign w:val="bottom"/>
          </w:tcPr>
          <w:p w14:paraId="51620A44" w14:textId="1FE2A664"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3930A5B9" w14:textId="49ADA2E0"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1A528DF0" w14:textId="47D8F41C" w:rsidR="004E57A7" w:rsidRPr="001F224B" w:rsidRDefault="004E57A7" w:rsidP="004E57A7">
            <w:pPr>
              <w:jc w:val="right"/>
              <w:rPr>
                <w:sz w:val="14"/>
                <w:szCs w:val="14"/>
              </w:rPr>
            </w:pPr>
            <w:r w:rsidRPr="001F224B">
              <w:rPr>
                <w:sz w:val="14"/>
                <w:szCs w:val="14"/>
              </w:rPr>
              <w:t>-</w:t>
            </w:r>
          </w:p>
        </w:tc>
        <w:tc>
          <w:tcPr>
            <w:tcW w:w="425" w:type="dxa"/>
            <w:vAlign w:val="bottom"/>
          </w:tcPr>
          <w:p w14:paraId="6C1C00F5" w14:textId="1706F158" w:rsidR="004E57A7" w:rsidRPr="001F224B" w:rsidRDefault="004E57A7" w:rsidP="004E57A7">
            <w:pPr>
              <w:jc w:val="right"/>
              <w:rPr>
                <w:sz w:val="14"/>
                <w:szCs w:val="14"/>
              </w:rPr>
            </w:pPr>
            <w:r w:rsidRPr="001F224B">
              <w:rPr>
                <w:sz w:val="14"/>
                <w:szCs w:val="14"/>
              </w:rPr>
              <w:t>-</w:t>
            </w:r>
          </w:p>
        </w:tc>
        <w:tc>
          <w:tcPr>
            <w:tcW w:w="709" w:type="dxa"/>
            <w:vAlign w:val="bottom"/>
          </w:tcPr>
          <w:p w14:paraId="095DAFDE" w14:textId="52C7C6D9"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6A308AAC" w14:textId="6C2867D8"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6344DD12" w14:textId="4B23ADA7"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63E1EDA7" w14:textId="016E0FED"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6D671202" w14:textId="35A0F753"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62AB79C" w14:textId="6FF80A4E"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4FD2B044" w14:textId="1872F6E3"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60C0FD50" w14:textId="09620BA1" w:rsidR="004E57A7" w:rsidRPr="001F224B" w:rsidRDefault="004E57A7" w:rsidP="004E57A7">
            <w:pPr>
              <w:jc w:val="right"/>
              <w:rPr>
                <w:sz w:val="14"/>
                <w:szCs w:val="14"/>
              </w:rPr>
            </w:pPr>
            <w:r w:rsidRPr="001F224B">
              <w:rPr>
                <w:sz w:val="14"/>
                <w:szCs w:val="14"/>
              </w:rPr>
              <w:t>-</w:t>
            </w:r>
          </w:p>
        </w:tc>
      </w:tr>
      <w:tr w:rsidR="004E57A7" w:rsidRPr="001F224B" w14:paraId="15AE3F44" w14:textId="77777777" w:rsidTr="004E57A7">
        <w:trPr>
          <w:trHeight w:val="295"/>
        </w:trPr>
        <w:tc>
          <w:tcPr>
            <w:tcW w:w="425" w:type="dxa"/>
            <w:shd w:val="clear" w:color="auto" w:fill="auto"/>
            <w:noWrap/>
            <w:vAlign w:val="bottom"/>
            <w:hideMark/>
          </w:tcPr>
          <w:p w14:paraId="5B3430F7" w14:textId="77777777" w:rsidR="004E57A7" w:rsidRPr="001F224B" w:rsidRDefault="004E57A7" w:rsidP="004E57A7">
            <w:pPr>
              <w:rPr>
                <w:color w:val="000000"/>
                <w:sz w:val="16"/>
                <w:szCs w:val="16"/>
              </w:rPr>
            </w:pPr>
            <w:r w:rsidRPr="001F224B">
              <w:rPr>
                <w:color w:val="000000"/>
                <w:sz w:val="16"/>
                <w:szCs w:val="16"/>
              </w:rPr>
              <w:t>9</w:t>
            </w:r>
          </w:p>
        </w:tc>
        <w:tc>
          <w:tcPr>
            <w:tcW w:w="1985" w:type="dxa"/>
            <w:shd w:val="clear" w:color="auto" w:fill="auto"/>
            <w:noWrap/>
            <w:vAlign w:val="bottom"/>
            <w:hideMark/>
          </w:tcPr>
          <w:p w14:paraId="7C474FD0" w14:textId="77777777" w:rsidR="004E57A7" w:rsidRPr="001F224B" w:rsidRDefault="004E57A7" w:rsidP="004E57A7">
            <w:pPr>
              <w:rPr>
                <w:color w:val="000000"/>
                <w:sz w:val="16"/>
                <w:szCs w:val="16"/>
              </w:rPr>
            </w:pPr>
            <w:r w:rsidRPr="001F224B">
              <w:rPr>
                <w:color w:val="000000"/>
                <w:sz w:val="16"/>
                <w:szCs w:val="16"/>
              </w:rPr>
              <w:t xml:space="preserve">İkamet amaçlı gayrimenkul ipoteği ile </w:t>
            </w:r>
            <w:proofErr w:type="spellStart"/>
            <w:r w:rsidRPr="001F224B">
              <w:rPr>
                <w:color w:val="000000"/>
                <w:sz w:val="16"/>
                <w:szCs w:val="16"/>
              </w:rPr>
              <w:t>teminatlandırılan</w:t>
            </w:r>
            <w:proofErr w:type="spellEnd"/>
            <w:r w:rsidRPr="001F224B">
              <w:rPr>
                <w:color w:val="000000"/>
                <w:sz w:val="16"/>
                <w:szCs w:val="16"/>
              </w:rPr>
              <w:t xml:space="preserve"> alacaklar</w:t>
            </w:r>
          </w:p>
        </w:tc>
        <w:tc>
          <w:tcPr>
            <w:tcW w:w="850" w:type="dxa"/>
            <w:shd w:val="clear" w:color="auto" w:fill="auto"/>
            <w:noWrap/>
            <w:vAlign w:val="bottom"/>
          </w:tcPr>
          <w:p w14:paraId="56CDE7D4" w14:textId="619F9AB0"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3443A73A" w14:textId="2FA537A4"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22733589" w14:textId="71398269" w:rsidR="004E57A7" w:rsidRPr="001F224B" w:rsidRDefault="004E57A7" w:rsidP="004E57A7">
            <w:pPr>
              <w:jc w:val="right"/>
              <w:rPr>
                <w:sz w:val="14"/>
                <w:szCs w:val="14"/>
              </w:rPr>
            </w:pPr>
            <w:r w:rsidRPr="001F224B">
              <w:rPr>
                <w:sz w:val="14"/>
                <w:szCs w:val="14"/>
              </w:rPr>
              <w:t>-</w:t>
            </w:r>
          </w:p>
        </w:tc>
        <w:tc>
          <w:tcPr>
            <w:tcW w:w="425" w:type="dxa"/>
            <w:vAlign w:val="bottom"/>
          </w:tcPr>
          <w:p w14:paraId="38D99DF7" w14:textId="10E70DD7" w:rsidR="004E57A7" w:rsidRPr="001F224B" w:rsidRDefault="004E57A7" w:rsidP="004E57A7">
            <w:pPr>
              <w:jc w:val="right"/>
              <w:rPr>
                <w:sz w:val="14"/>
                <w:szCs w:val="14"/>
              </w:rPr>
            </w:pPr>
            <w:r w:rsidRPr="001F224B">
              <w:rPr>
                <w:sz w:val="14"/>
                <w:szCs w:val="14"/>
              </w:rPr>
              <w:t>-</w:t>
            </w:r>
          </w:p>
        </w:tc>
        <w:tc>
          <w:tcPr>
            <w:tcW w:w="709" w:type="dxa"/>
            <w:vAlign w:val="bottom"/>
          </w:tcPr>
          <w:p w14:paraId="0F8DD45D" w14:textId="35E23110" w:rsidR="004E57A7" w:rsidRPr="001F224B" w:rsidRDefault="004E57A7" w:rsidP="004E57A7">
            <w:pPr>
              <w:jc w:val="right"/>
              <w:rPr>
                <w:sz w:val="14"/>
                <w:szCs w:val="14"/>
              </w:rPr>
            </w:pPr>
            <w:r w:rsidRPr="001F224B">
              <w:rPr>
                <w:sz w:val="14"/>
                <w:szCs w:val="14"/>
              </w:rPr>
              <w:t xml:space="preserve">    181.018</w:t>
            </w:r>
          </w:p>
        </w:tc>
        <w:tc>
          <w:tcPr>
            <w:tcW w:w="851" w:type="dxa"/>
            <w:shd w:val="clear" w:color="auto" w:fill="auto"/>
            <w:noWrap/>
            <w:vAlign w:val="bottom"/>
          </w:tcPr>
          <w:p w14:paraId="4F18C023" w14:textId="0FAC8A63"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038FDC14" w14:textId="2F2E127A"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40FAAB2E" w14:textId="0E636F69"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6B85DB3A" w14:textId="32A4C32F"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09381FE8" w14:textId="4A2E2AD3"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492CC70C" w14:textId="3F0D31CA"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5DCE0F0" w14:textId="2BEDEEE2" w:rsidR="004E57A7" w:rsidRPr="001F224B" w:rsidRDefault="004E57A7" w:rsidP="004E57A7">
            <w:pPr>
              <w:jc w:val="right"/>
              <w:rPr>
                <w:sz w:val="14"/>
                <w:szCs w:val="14"/>
              </w:rPr>
            </w:pPr>
            <w:r w:rsidRPr="001F224B">
              <w:rPr>
                <w:color w:val="000000"/>
                <w:sz w:val="14"/>
                <w:szCs w:val="14"/>
              </w:rPr>
              <w:t>181.018</w:t>
            </w:r>
          </w:p>
        </w:tc>
      </w:tr>
      <w:tr w:rsidR="004E57A7" w:rsidRPr="001F224B" w14:paraId="7E0721FB" w14:textId="77777777" w:rsidTr="004E57A7">
        <w:trPr>
          <w:trHeight w:val="295"/>
        </w:trPr>
        <w:tc>
          <w:tcPr>
            <w:tcW w:w="425" w:type="dxa"/>
            <w:shd w:val="clear" w:color="auto" w:fill="auto"/>
            <w:noWrap/>
            <w:vAlign w:val="bottom"/>
            <w:hideMark/>
          </w:tcPr>
          <w:p w14:paraId="58BDD2A4" w14:textId="77777777" w:rsidR="004E57A7" w:rsidRPr="001F224B" w:rsidRDefault="004E57A7" w:rsidP="004E57A7">
            <w:pPr>
              <w:rPr>
                <w:color w:val="000000"/>
                <w:sz w:val="16"/>
                <w:szCs w:val="16"/>
              </w:rPr>
            </w:pPr>
            <w:r w:rsidRPr="001F224B">
              <w:rPr>
                <w:color w:val="000000"/>
                <w:sz w:val="16"/>
                <w:szCs w:val="16"/>
              </w:rPr>
              <w:t>10</w:t>
            </w:r>
          </w:p>
        </w:tc>
        <w:tc>
          <w:tcPr>
            <w:tcW w:w="1985" w:type="dxa"/>
            <w:shd w:val="clear" w:color="auto" w:fill="auto"/>
            <w:noWrap/>
            <w:vAlign w:val="bottom"/>
            <w:hideMark/>
          </w:tcPr>
          <w:p w14:paraId="0546CD9A" w14:textId="77777777" w:rsidR="004E57A7" w:rsidRPr="001F224B" w:rsidRDefault="004E57A7" w:rsidP="004E57A7">
            <w:pPr>
              <w:rPr>
                <w:color w:val="000000"/>
                <w:sz w:val="16"/>
                <w:szCs w:val="16"/>
              </w:rPr>
            </w:pPr>
            <w:r w:rsidRPr="001F224B">
              <w:rPr>
                <w:color w:val="000000"/>
                <w:sz w:val="16"/>
                <w:szCs w:val="16"/>
              </w:rPr>
              <w:t xml:space="preserve">Ticari amaçlı gayrimenkul ipoteği ile </w:t>
            </w:r>
            <w:proofErr w:type="spellStart"/>
            <w:r w:rsidRPr="001F224B">
              <w:rPr>
                <w:color w:val="000000"/>
                <w:sz w:val="16"/>
                <w:szCs w:val="16"/>
              </w:rPr>
              <w:t>teminatlandırılan</w:t>
            </w:r>
            <w:proofErr w:type="spellEnd"/>
            <w:r w:rsidRPr="001F224B">
              <w:rPr>
                <w:color w:val="000000"/>
                <w:sz w:val="16"/>
                <w:szCs w:val="16"/>
              </w:rPr>
              <w:t xml:space="preserve"> alacaklar</w:t>
            </w:r>
          </w:p>
        </w:tc>
        <w:tc>
          <w:tcPr>
            <w:tcW w:w="850" w:type="dxa"/>
            <w:shd w:val="clear" w:color="auto" w:fill="auto"/>
            <w:noWrap/>
            <w:vAlign w:val="bottom"/>
          </w:tcPr>
          <w:p w14:paraId="084A2F44" w14:textId="2101DD6F"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2103FE86" w14:textId="008C080F"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314824B6" w14:textId="6D989C76" w:rsidR="004E57A7" w:rsidRPr="001F224B" w:rsidRDefault="004E57A7" w:rsidP="004E57A7">
            <w:pPr>
              <w:jc w:val="right"/>
              <w:rPr>
                <w:sz w:val="14"/>
                <w:szCs w:val="14"/>
              </w:rPr>
            </w:pPr>
            <w:r w:rsidRPr="001F224B">
              <w:rPr>
                <w:sz w:val="14"/>
                <w:szCs w:val="14"/>
              </w:rPr>
              <w:t>-</w:t>
            </w:r>
          </w:p>
        </w:tc>
        <w:tc>
          <w:tcPr>
            <w:tcW w:w="425" w:type="dxa"/>
            <w:vAlign w:val="bottom"/>
          </w:tcPr>
          <w:p w14:paraId="37B51F47" w14:textId="1C29C60D" w:rsidR="004E57A7" w:rsidRPr="001F224B" w:rsidRDefault="004E57A7" w:rsidP="004E57A7">
            <w:pPr>
              <w:jc w:val="right"/>
              <w:rPr>
                <w:sz w:val="14"/>
                <w:szCs w:val="14"/>
              </w:rPr>
            </w:pPr>
            <w:r w:rsidRPr="001F224B">
              <w:rPr>
                <w:sz w:val="14"/>
                <w:szCs w:val="14"/>
              </w:rPr>
              <w:t>-</w:t>
            </w:r>
          </w:p>
        </w:tc>
        <w:tc>
          <w:tcPr>
            <w:tcW w:w="709" w:type="dxa"/>
            <w:vAlign w:val="bottom"/>
          </w:tcPr>
          <w:p w14:paraId="3A7DB35F" w14:textId="4A9D9358"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03570F6B" w14:textId="6AE89357" w:rsidR="004E57A7" w:rsidRPr="001F224B" w:rsidRDefault="004E57A7" w:rsidP="004E57A7">
            <w:pPr>
              <w:jc w:val="right"/>
              <w:rPr>
                <w:sz w:val="14"/>
                <w:szCs w:val="14"/>
              </w:rPr>
            </w:pPr>
            <w:r w:rsidRPr="001F224B">
              <w:rPr>
                <w:color w:val="000000"/>
                <w:sz w:val="14"/>
                <w:szCs w:val="14"/>
              </w:rPr>
              <w:t>5.915.099</w:t>
            </w:r>
          </w:p>
        </w:tc>
        <w:tc>
          <w:tcPr>
            <w:tcW w:w="425" w:type="dxa"/>
            <w:shd w:val="clear" w:color="auto" w:fill="auto"/>
            <w:noWrap/>
            <w:vAlign w:val="bottom"/>
          </w:tcPr>
          <w:p w14:paraId="3DF72F6C" w14:textId="21C37643"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4EE31AE0" w14:textId="3184BF63" w:rsidR="004E57A7" w:rsidRPr="001F224B" w:rsidRDefault="004E57A7" w:rsidP="004E57A7">
            <w:pPr>
              <w:jc w:val="right"/>
              <w:rPr>
                <w:sz w:val="14"/>
                <w:szCs w:val="14"/>
              </w:rPr>
            </w:pPr>
            <w:r w:rsidRPr="001F224B">
              <w:rPr>
                <w:color w:val="000000"/>
                <w:sz w:val="14"/>
                <w:szCs w:val="14"/>
              </w:rPr>
              <w:t>324.424</w:t>
            </w:r>
          </w:p>
        </w:tc>
        <w:tc>
          <w:tcPr>
            <w:tcW w:w="426" w:type="dxa"/>
            <w:shd w:val="clear" w:color="auto" w:fill="auto"/>
            <w:noWrap/>
            <w:vAlign w:val="bottom"/>
          </w:tcPr>
          <w:p w14:paraId="798AD8A4" w14:textId="70469EF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5EA6008A" w14:textId="22033085"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216F9CCE" w14:textId="30E45BFE"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1DF492D" w14:textId="6779853A" w:rsidR="004E57A7" w:rsidRPr="001F224B" w:rsidRDefault="004E57A7" w:rsidP="004E57A7">
            <w:pPr>
              <w:jc w:val="right"/>
              <w:rPr>
                <w:sz w:val="14"/>
                <w:szCs w:val="14"/>
              </w:rPr>
            </w:pPr>
            <w:r w:rsidRPr="001F224B">
              <w:rPr>
                <w:color w:val="000000"/>
                <w:sz w:val="14"/>
                <w:szCs w:val="14"/>
              </w:rPr>
              <w:t>6.239.523</w:t>
            </w:r>
          </w:p>
        </w:tc>
      </w:tr>
      <w:tr w:rsidR="004E57A7" w:rsidRPr="001F224B" w14:paraId="343E1438" w14:textId="77777777" w:rsidTr="004E57A7">
        <w:trPr>
          <w:trHeight w:val="295"/>
        </w:trPr>
        <w:tc>
          <w:tcPr>
            <w:tcW w:w="425" w:type="dxa"/>
            <w:shd w:val="clear" w:color="auto" w:fill="auto"/>
            <w:noWrap/>
            <w:vAlign w:val="bottom"/>
            <w:hideMark/>
          </w:tcPr>
          <w:p w14:paraId="72AF83D4" w14:textId="77777777" w:rsidR="004E57A7" w:rsidRPr="001F224B" w:rsidRDefault="004E57A7" w:rsidP="004E57A7">
            <w:pPr>
              <w:rPr>
                <w:color w:val="000000"/>
                <w:sz w:val="16"/>
                <w:szCs w:val="16"/>
              </w:rPr>
            </w:pPr>
            <w:r w:rsidRPr="001F224B">
              <w:rPr>
                <w:color w:val="000000"/>
                <w:sz w:val="16"/>
                <w:szCs w:val="16"/>
              </w:rPr>
              <w:t>11</w:t>
            </w:r>
          </w:p>
        </w:tc>
        <w:tc>
          <w:tcPr>
            <w:tcW w:w="1985" w:type="dxa"/>
            <w:shd w:val="clear" w:color="auto" w:fill="auto"/>
            <w:noWrap/>
            <w:vAlign w:val="bottom"/>
            <w:hideMark/>
          </w:tcPr>
          <w:p w14:paraId="526160B6" w14:textId="77777777" w:rsidR="004E57A7" w:rsidRPr="001F224B" w:rsidRDefault="004E57A7" w:rsidP="004E57A7">
            <w:pPr>
              <w:rPr>
                <w:color w:val="000000"/>
                <w:sz w:val="16"/>
                <w:szCs w:val="16"/>
              </w:rPr>
            </w:pPr>
            <w:r w:rsidRPr="001F224B">
              <w:rPr>
                <w:color w:val="000000"/>
                <w:sz w:val="16"/>
                <w:szCs w:val="16"/>
              </w:rPr>
              <w:t>Tahsili gecikmiş alacaklar</w:t>
            </w:r>
          </w:p>
        </w:tc>
        <w:tc>
          <w:tcPr>
            <w:tcW w:w="850" w:type="dxa"/>
            <w:shd w:val="clear" w:color="auto" w:fill="auto"/>
            <w:noWrap/>
            <w:vAlign w:val="bottom"/>
          </w:tcPr>
          <w:p w14:paraId="7CC81A54" w14:textId="5860A58D"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23A6FE28" w14:textId="5DEE0A5B"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870FEE6" w14:textId="5A40F864" w:rsidR="004E57A7" w:rsidRPr="001F224B" w:rsidRDefault="004E57A7" w:rsidP="004E57A7">
            <w:pPr>
              <w:jc w:val="right"/>
              <w:rPr>
                <w:sz w:val="14"/>
                <w:szCs w:val="14"/>
              </w:rPr>
            </w:pPr>
            <w:r w:rsidRPr="001F224B">
              <w:rPr>
                <w:sz w:val="14"/>
                <w:szCs w:val="14"/>
              </w:rPr>
              <w:t>-</w:t>
            </w:r>
          </w:p>
        </w:tc>
        <w:tc>
          <w:tcPr>
            <w:tcW w:w="425" w:type="dxa"/>
            <w:vAlign w:val="bottom"/>
          </w:tcPr>
          <w:p w14:paraId="01EFAA81" w14:textId="74985C10" w:rsidR="004E57A7" w:rsidRPr="001F224B" w:rsidRDefault="004E57A7" w:rsidP="004E57A7">
            <w:pPr>
              <w:jc w:val="right"/>
              <w:rPr>
                <w:sz w:val="14"/>
                <w:szCs w:val="14"/>
              </w:rPr>
            </w:pPr>
            <w:r w:rsidRPr="001F224B">
              <w:rPr>
                <w:sz w:val="14"/>
                <w:szCs w:val="14"/>
              </w:rPr>
              <w:t>-</w:t>
            </w:r>
          </w:p>
        </w:tc>
        <w:tc>
          <w:tcPr>
            <w:tcW w:w="709" w:type="dxa"/>
            <w:vAlign w:val="bottom"/>
          </w:tcPr>
          <w:p w14:paraId="626CCE62" w14:textId="62AC4857"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0336764D" w14:textId="2E088190" w:rsidR="004E57A7" w:rsidRPr="001F224B" w:rsidRDefault="004E57A7" w:rsidP="004E57A7">
            <w:pPr>
              <w:jc w:val="right"/>
              <w:rPr>
                <w:sz w:val="14"/>
                <w:szCs w:val="14"/>
              </w:rPr>
            </w:pPr>
            <w:r w:rsidRPr="001F224B">
              <w:rPr>
                <w:color w:val="000000"/>
                <w:sz w:val="14"/>
                <w:szCs w:val="14"/>
              </w:rPr>
              <w:t>115.438</w:t>
            </w:r>
          </w:p>
        </w:tc>
        <w:tc>
          <w:tcPr>
            <w:tcW w:w="425" w:type="dxa"/>
            <w:shd w:val="clear" w:color="auto" w:fill="auto"/>
            <w:noWrap/>
            <w:vAlign w:val="bottom"/>
          </w:tcPr>
          <w:p w14:paraId="5B651348" w14:textId="39637BED"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4FA18A8C" w14:textId="6C256B44" w:rsidR="004E57A7" w:rsidRPr="001F224B" w:rsidRDefault="004E57A7" w:rsidP="004E57A7">
            <w:pPr>
              <w:jc w:val="right"/>
              <w:rPr>
                <w:sz w:val="14"/>
                <w:szCs w:val="14"/>
              </w:rPr>
            </w:pPr>
            <w:r w:rsidRPr="001F224B">
              <w:rPr>
                <w:sz w:val="14"/>
                <w:szCs w:val="14"/>
              </w:rPr>
              <w:t>11.993</w:t>
            </w:r>
          </w:p>
        </w:tc>
        <w:tc>
          <w:tcPr>
            <w:tcW w:w="426" w:type="dxa"/>
            <w:shd w:val="clear" w:color="auto" w:fill="auto"/>
            <w:noWrap/>
            <w:vAlign w:val="bottom"/>
          </w:tcPr>
          <w:p w14:paraId="034D0217" w14:textId="417DF011"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3C55EF0B" w14:textId="2E456FDA"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47C045CD" w14:textId="2259FF23"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36429AEC" w14:textId="47C72F93" w:rsidR="004E57A7" w:rsidRPr="001F224B" w:rsidRDefault="004E57A7" w:rsidP="004E57A7">
            <w:pPr>
              <w:jc w:val="right"/>
              <w:rPr>
                <w:sz w:val="14"/>
                <w:szCs w:val="14"/>
              </w:rPr>
            </w:pPr>
            <w:r w:rsidRPr="001F224B">
              <w:rPr>
                <w:color w:val="000000"/>
                <w:sz w:val="14"/>
                <w:szCs w:val="14"/>
              </w:rPr>
              <w:t>127.431</w:t>
            </w:r>
          </w:p>
        </w:tc>
      </w:tr>
      <w:tr w:rsidR="004E57A7" w:rsidRPr="001F224B" w14:paraId="58457B48" w14:textId="77777777" w:rsidTr="004E57A7">
        <w:trPr>
          <w:trHeight w:val="295"/>
        </w:trPr>
        <w:tc>
          <w:tcPr>
            <w:tcW w:w="425" w:type="dxa"/>
            <w:shd w:val="clear" w:color="auto" w:fill="auto"/>
            <w:noWrap/>
            <w:vAlign w:val="bottom"/>
            <w:hideMark/>
          </w:tcPr>
          <w:p w14:paraId="4C9A82EE" w14:textId="77777777" w:rsidR="004E57A7" w:rsidRPr="001F224B" w:rsidRDefault="004E57A7" w:rsidP="004E57A7">
            <w:pPr>
              <w:rPr>
                <w:color w:val="000000"/>
                <w:sz w:val="16"/>
                <w:szCs w:val="16"/>
              </w:rPr>
            </w:pPr>
            <w:r w:rsidRPr="001F224B">
              <w:rPr>
                <w:color w:val="000000"/>
                <w:sz w:val="16"/>
                <w:szCs w:val="16"/>
              </w:rPr>
              <w:t>12</w:t>
            </w:r>
          </w:p>
        </w:tc>
        <w:tc>
          <w:tcPr>
            <w:tcW w:w="1985" w:type="dxa"/>
            <w:shd w:val="clear" w:color="auto" w:fill="auto"/>
            <w:noWrap/>
            <w:vAlign w:val="bottom"/>
            <w:hideMark/>
          </w:tcPr>
          <w:p w14:paraId="5E9DD574" w14:textId="77777777" w:rsidR="004E57A7" w:rsidRPr="001F224B" w:rsidRDefault="004E57A7" w:rsidP="004E57A7">
            <w:pPr>
              <w:rPr>
                <w:color w:val="000000"/>
                <w:sz w:val="16"/>
                <w:szCs w:val="16"/>
              </w:rPr>
            </w:pPr>
            <w:r w:rsidRPr="001F224B">
              <w:rPr>
                <w:color w:val="000000"/>
                <w:sz w:val="16"/>
                <w:szCs w:val="16"/>
              </w:rPr>
              <w:t>Kurulca riski yüksek belirlenmiş alacaklar</w:t>
            </w:r>
          </w:p>
        </w:tc>
        <w:tc>
          <w:tcPr>
            <w:tcW w:w="850" w:type="dxa"/>
            <w:shd w:val="clear" w:color="auto" w:fill="auto"/>
            <w:noWrap/>
            <w:vAlign w:val="bottom"/>
          </w:tcPr>
          <w:p w14:paraId="681299AE" w14:textId="1C39577A"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2C9EA08C" w14:textId="77CC0C4F"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C81E9C2" w14:textId="4BF08F51" w:rsidR="004E57A7" w:rsidRPr="001F224B" w:rsidRDefault="004E57A7" w:rsidP="004E57A7">
            <w:pPr>
              <w:jc w:val="right"/>
              <w:rPr>
                <w:sz w:val="14"/>
                <w:szCs w:val="14"/>
              </w:rPr>
            </w:pPr>
            <w:r w:rsidRPr="001F224B">
              <w:rPr>
                <w:sz w:val="14"/>
                <w:szCs w:val="14"/>
              </w:rPr>
              <w:t>-</w:t>
            </w:r>
          </w:p>
        </w:tc>
        <w:tc>
          <w:tcPr>
            <w:tcW w:w="425" w:type="dxa"/>
            <w:vAlign w:val="bottom"/>
          </w:tcPr>
          <w:p w14:paraId="7EF19B94" w14:textId="167C2C3A" w:rsidR="004E57A7" w:rsidRPr="001F224B" w:rsidRDefault="004E57A7" w:rsidP="004E57A7">
            <w:pPr>
              <w:jc w:val="right"/>
              <w:rPr>
                <w:sz w:val="14"/>
                <w:szCs w:val="14"/>
              </w:rPr>
            </w:pPr>
            <w:r w:rsidRPr="001F224B">
              <w:rPr>
                <w:sz w:val="14"/>
                <w:szCs w:val="14"/>
              </w:rPr>
              <w:t>-</w:t>
            </w:r>
          </w:p>
        </w:tc>
        <w:tc>
          <w:tcPr>
            <w:tcW w:w="709" w:type="dxa"/>
            <w:vAlign w:val="bottom"/>
          </w:tcPr>
          <w:p w14:paraId="15EA7062" w14:textId="487178BF"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DE61D91" w14:textId="4D396D5B"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600925D5" w14:textId="4027234D"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9FD3445" w14:textId="704EA61F"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61CB1760" w14:textId="2756CDC6"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474CB5AF" w14:textId="342B4521"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64E2E56C" w14:textId="750C0113"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6F883AD2" w14:textId="4D8B6C09" w:rsidR="004E57A7" w:rsidRPr="001F224B" w:rsidRDefault="004E57A7" w:rsidP="004E57A7">
            <w:pPr>
              <w:jc w:val="right"/>
              <w:rPr>
                <w:sz w:val="14"/>
                <w:szCs w:val="14"/>
              </w:rPr>
            </w:pPr>
            <w:r w:rsidRPr="001F224B">
              <w:rPr>
                <w:sz w:val="14"/>
                <w:szCs w:val="14"/>
              </w:rPr>
              <w:t>-</w:t>
            </w:r>
          </w:p>
        </w:tc>
      </w:tr>
      <w:tr w:rsidR="004E57A7" w:rsidRPr="001F224B" w14:paraId="4499B5D9" w14:textId="77777777" w:rsidTr="004E57A7">
        <w:trPr>
          <w:trHeight w:val="295"/>
        </w:trPr>
        <w:tc>
          <w:tcPr>
            <w:tcW w:w="425" w:type="dxa"/>
            <w:shd w:val="clear" w:color="auto" w:fill="auto"/>
            <w:noWrap/>
            <w:vAlign w:val="bottom"/>
            <w:hideMark/>
          </w:tcPr>
          <w:p w14:paraId="7C974FB2" w14:textId="77777777" w:rsidR="004E57A7" w:rsidRPr="001F224B" w:rsidRDefault="004E57A7" w:rsidP="004E57A7">
            <w:pPr>
              <w:rPr>
                <w:color w:val="000000"/>
                <w:sz w:val="16"/>
                <w:szCs w:val="16"/>
              </w:rPr>
            </w:pPr>
            <w:r w:rsidRPr="001F224B">
              <w:rPr>
                <w:color w:val="000000"/>
                <w:sz w:val="16"/>
                <w:szCs w:val="16"/>
              </w:rPr>
              <w:t>13</w:t>
            </w:r>
          </w:p>
        </w:tc>
        <w:tc>
          <w:tcPr>
            <w:tcW w:w="1985" w:type="dxa"/>
            <w:shd w:val="clear" w:color="auto" w:fill="auto"/>
            <w:noWrap/>
            <w:vAlign w:val="bottom"/>
            <w:hideMark/>
          </w:tcPr>
          <w:p w14:paraId="53D957FF" w14:textId="77777777" w:rsidR="004E57A7" w:rsidRPr="001F224B" w:rsidRDefault="004E57A7" w:rsidP="004E57A7">
            <w:pPr>
              <w:rPr>
                <w:color w:val="000000"/>
                <w:sz w:val="16"/>
                <w:szCs w:val="16"/>
              </w:rPr>
            </w:pPr>
            <w:r w:rsidRPr="001F224B">
              <w:rPr>
                <w:color w:val="000000"/>
                <w:sz w:val="16"/>
                <w:szCs w:val="16"/>
              </w:rPr>
              <w:t>Teminatlı menkul kıymetler</w:t>
            </w:r>
          </w:p>
        </w:tc>
        <w:tc>
          <w:tcPr>
            <w:tcW w:w="850" w:type="dxa"/>
            <w:shd w:val="clear" w:color="auto" w:fill="auto"/>
            <w:noWrap/>
            <w:vAlign w:val="bottom"/>
          </w:tcPr>
          <w:p w14:paraId="5411C70C" w14:textId="719A6459"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490E0966" w14:textId="2460F417"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3A8B796D" w14:textId="09217BA5" w:rsidR="004E57A7" w:rsidRPr="001F224B" w:rsidRDefault="004E57A7" w:rsidP="004E57A7">
            <w:pPr>
              <w:jc w:val="right"/>
              <w:rPr>
                <w:sz w:val="14"/>
                <w:szCs w:val="14"/>
              </w:rPr>
            </w:pPr>
            <w:r w:rsidRPr="001F224B">
              <w:rPr>
                <w:sz w:val="14"/>
                <w:szCs w:val="14"/>
              </w:rPr>
              <w:t>-</w:t>
            </w:r>
          </w:p>
        </w:tc>
        <w:tc>
          <w:tcPr>
            <w:tcW w:w="425" w:type="dxa"/>
            <w:vAlign w:val="bottom"/>
          </w:tcPr>
          <w:p w14:paraId="13BE2F9B" w14:textId="2E77A0FC" w:rsidR="004E57A7" w:rsidRPr="001F224B" w:rsidRDefault="004E57A7" w:rsidP="004E57A7">
            <w:pPr>
              <w:jc w:val="right"/>
              <w:rPr>
                <w:sz w:val="14"/>
                <w:szCs w:val="14"/>
              </w:rPr>
            </w:pPr>
            <w:r w:rsidRPr="001F224B">
              <w:rPr>
                <w:sz w:val="14"/>
                <w:szCs w:val="14"/>
              </w:rPr>
              <w:t>-</w:t>
            </w:r>
          </w:p>
        </w:tc>
        <w:tc>
          <w:tcPr>
            <w:tcW w:w="709" w:type="dxa"/>
            <w:vAlign w:val="bottom"/>
          </w:tcPr>
          <w:p w14:paraId="0234FB18" w14:textId="2938DA69"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45917A85" w14:textId="2D79150B"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79162000" w14:textId="55BE92E0"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60D68F1E" w14:textId="539D155D"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223D5A20" w14:textId="39669875"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26B74A81" w14:textId="30F9022F"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60B1F846" w14:textId="2A4A4AB2"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268E8539" w14:textId="14F7C0D9" w:rsidR="004E57A7" w:rsidRPr="001F224B" w:rsidRDefault="004E57A7" w:rsidP="004E57A7">
            <w:pPr>
              <w:jc w:val="right"/>
              <w:rPr>
                <w:sz w:val="14"/>
                <w:szCs w:val="14"/>
              </w:rPr>
            </w:pPr>
            <w:r w:rsidRPr="001F224B">
              <w:rPr>
                <w:sz w:val="14"/>
                <w:szCs w:val="14"/>
              </w:rPr>
              <w:t>-</w:t>
            </w:r>
          </w:p>
        </w:tc>
      </w:tr>
      <w:tr w:rsidR="004E57A7" w:rsidRPr="001F224B" w14:paraId="4452C9EF" w14:textId="77777777" w:rsidTr="004E57A7">
        <w:trPr>
          <w:trHeight w:val="591"/>
        </w:trPr>
        <w:tc>
          <w:tcPr>
            <w:tcW w:w="425" w:type="dxa"/>
            <w:shd w:val="clear" w:color="auto" w:fill="auto"/>
            <w:noWrap/>
            <w:vAlign w:val="bottom"/>
            <w:hideMark/>
          </w:tcPr>
          <w:p w14:paraId="57E20D03" w14:textId="77777777" w:rsidR="004E57A7" w:rsidRPr="001F224B" w:rsidRDefault="004E57A7" w:rsidP="004E57A7">
            <w:pPr>
              <w:rPr>
                <w:color w:val="000000"/>
                <w:sz w:val="16"/>
                <w:szCs w:val="16"/>
              </w:rPr>
            </w:pPr>
            <w:r w:rsidRPr="001F224B">
              <w:rPr>
                <w:color w:val="000000"/>
                <w:sz w:val="16"/>
                <w:szCs w:val="16"/>
              </w:rPr>
              <w:t>14</w:t>
            </w:r>
          </w:p>
        </w:tc>
        <w:tc>
          <w:tcPr>
            <w:tcW w:w="1985" w:type="dxa"/>
            <w:shd w:val="clear" w:color="auto" w:fill="auto"/>
            <w:vAlign w:val="bottom"/>
            <w:hideMark/>
          </w:tcPr>
          <w:p w14:paraId="161A1B5C" w14:textId="77777777" w:rsidR="004E57A7" w:rsidRPr="001F224B" w:rsidRDefault="004E57A7" w:rsidP="004E57A7">
            <w:pPr>
              <w:rPr>
                <w:color w:val="000000"/>
                <w:sz w:val="16"/>
                <w:szCs w:val="16"/>
              </w:rPr>
            </w:pPr>
            <w:r w:rsidRPr="001F224B">
              <w:rPr>
                <w:color w:val="000000"/>
                <w:sz w:val="16"/>
                <w:szCs w:val="16"/>
              </w:rPr>
              <w:t>Bankalardan ve aracı kurumlardan olan kısa vadeli alacaklar</w:t>
            </w:r>
            <w:r w:rsidRPr="001F224B">
              <w:rPr>
                <w:color w:val="000000"/>
                <w:sz w:val="16"/>
                <w:szCs w:val="16"/>
              </w:rPr>
              <w:br/>
              <w:t>ile kısa vadeli kurumsal alacaklar</w:t>
            </w:r>
          </w:p>
        </w:tc>
        <w:tc>
          <w:tcPr>
            <w:tcW w:w="850" w:type="dxa"/>
            <w:shd w:val="clear" w:color="auto" w:fill="auto"/>
            <w:noWrap/>
            <w:vAlign w:val="bottom"/>
          </w:tcPr>
          <w:p w14:paraId="02986826" w14:textId="4ED40F1D"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2BE03779" w14:textId="23B21608"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3BCE33E" w14:textId="6AED0ECE" w:rsidR="004E57A7" w:rsidRPr="001F224B" w:rsidRDefault="004E57A7" w:rsidP="004E57A7">
            <w:pPr>
              <w:jc w:val="right"/>
              <w:rPr>
                <w:sz w:val="14"/>
                <w:szCs w:val="14"/>
              </w:rPr>
            </w:pPr>
            <w:r w:rsidRPr="001F224B">
              <w:rPr>
                <w:sz w:val="14"/>
                <w:szCs w:val="14"/>
              </w:rPr>
              <w:t>-</w:t>
            </w:r>
          </w:p>
        </w:tc>
        <w:tc>
          <w:tcPr>
            <w:tcW w:w="425" w:type="dxa"/>
            <w:vAlign w:val="bottom"/>
          </w:tcPr>
          <w:p w14:paraId="10669A8B" w14:textId="645B02A7" w:rsidR="004E57A7" w:rsidRPr="001F224B" w:rsidRDefault="004E57A7" w:rsidP="004E57A7">
            <w:pPr>
              <w:jc w:val="right"/>
              <w:rPr>
                <w:sz w:val="14"/>
                <w:szCs w:val="14"/>
              </w:rPr>
            </w:pPr>
            <w:r w:rsidRPr="001F224B">
              <w:rPr>
                <w:sz w:val="14"/>
                <w:szCs w:val="14"/>
              </w:rPr>
              <w:t>-</w:t>
            </w:r>
          </w:p>
        </w:tc>
        <w:tc>
          <w:tcPr>
            <w:tcW w:w="709" w:type="dxa"/>
            <w:vAlign w:val="bottom"/>
          </w:tcPr>
          <w:p w14:paraId="4B4371E1" w14:textId="15B4697D"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7574A518" w14:textId="36AE33E2"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16EE7A30" w14:textId="002567B8"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5D24FA3" w14:textId="0889F151"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00461602" w14:textId="7DFABDA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1BC6EC86" w14:textId="36194541"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396C8116" w14:textId="6793F22F"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12A0F7E5" w14:textId="035F09CB" w:rsidR="004E57A7" w:rsidRPr="001F224B" w:rsidRDefault="004E57A7" w:rsidP="004E57A7">
            <w:pPr>
              <w:jc w:val="right"/>
              <w:rPr>
                <w:sz w:val="14"/>
                <w:szCs w:val="14"/>
              </w:rPr>
            </w:pPr>
            <w:r w:rsidRPr="001F224B">
              <w:rPr>
                <w:sz w:val="14"/>
                <w:szCs w:val="14"/>
              </w:rPr>
              <w:t>-</w:t>
            </w:r>
          </w:p>
        </w:tc>
      </w:tr>
      <w:tr w:rsidR="004E57A7" w:rsidRPr="001F224B" w14:paraId="29776A92" w14:textId="77777777" w:rsidTr="004E57A7">
        <w:trPr>
          <w:trHeight w:val="295"/>
        </w:trPr>
        <w:tc>
          <w:tcPr>
            <w:tcW w:w="425" w:type="dxa"/>
            <w:shd w:val="clear" w:color="auto" w:fill="auto"/>
            <w:noWrap/>
            <w:vAlign w:val="bottom"/>
            <w:hideMark/>
          </w:tcPr>
          <w:p w14:paraId="3719A313" w14:textId="77777777" w:rsidR="004E57A7" w:rsidRPr="001F224B" w:rsidRDefault="004E57A7" w:rsidP="004E57A7">
            <w:pPr>
              <w:rPr>
                <w:color w:val="000000"/>
                <w:sz w:val="16"/>
                <w:szCs w:val="16"/>
              </w:rPr>
            </w:pPr>
            <w:r w:rsidRPr="001F224B">
              <w:rPr>
                <w:color w:val="000000"/>
                <w:sz w:val="16"/>
                <w:szCs w:val="16"/>
              </w:rPr>
              <w:t>15</w:t>
            </w:r>
          </w:p>
        </w:tc>
        <w:tc>
          <w:tcPr>
            <w:tcW w:w="1985" w:type="dxa"/>
            <w:shd w:val="clear" w:color="auto" w:fill="auto"/>
            <w:noWrap/>
            <w:vAlign w:val="bottom"/>
            <w:hideMark/>
          </w:tcPr>
          <w:p w14:paraId="6D91F427" w14:textId="77777777" w:rsidR="004E57A7" w:rsidRPr="001F224B" w:rsidRDefault="004E57A7" w:rsidP="004E57A7">
            <w:pPr>
              <w:rPr>
                <w:color w:val="000000"/>
                <w:sz w:val="16"/>
                <w:szCs w:val="16"/>
              </w:rPr>
            </w:pPr>
            <w:r w:rsidRPr="001F224B">
              <w:rPr>
                <w:color w:val="000000"/>
                <w:sz w:val="16"/>
                <w:szCs w:val="16"/>
              </w:rPr>
              <w:t>Kolektif yatırım kuruluşu niteliğindeki yatırımlar</w:t>
            </w:r>
          </w:p>
        </w:tc>
        <w:tc>
          <w:tcPr>
            <w:tcW w:w="850" w:type="dxa"/>
            <w:shd w:val="clear" w:color="auto" w:fill="auto"/>
            <w:noWrap/>
            <w:vAlign w:val="bottom"/>
          </w:tcPr>
          <w:p w14:paraId="13507DB9" w14:textId="6834DE03"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11F3D7EF" w14:textId="67EE3581"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2AFA85E" w14:textId="4244B67D" w:rsidR="004E57A7" w:rsidRPr="001F224B" w:rsidRDefault="004E57A7" w:rsidP="004E57A7">
            <w:pPr>
              <w:jc w:val="right"/>
              <w:rPr>
                <w:sz w:val="14"/>
                <w:szCs w:val="14"/>
              </w:rPr>
            </w:pPr>
            <w:r w:rsidRPr="001F224B">
              <w:rPr>
                <w:sz w:val="14"/>
                <w:szCs w:val="14"/>
              </w:rPr>
              <w:t>-</w:t>
            </w:r>
          </w:p>
        </w:tc>
        <w:tc>
          <w:tcPr>
            <w:tcW w:w="425" w:type="dxa"/>
            <w:vAlign w:val="bottom"/>
          </w:tcPr>
          <w:p w14:paraId="37DAEEFF" w14:textId="32AAE82A" w:rsidR="004E57A7" w:rsidRPr="001F224B" w:rsidRDefault="004E57A7" w:rsidP="004E57A7">
            <w:pPr>
              <w:jc w:val="right"/>
              <w:rPr>
                <w:sz w:val="14"/>
                <w:szCs w:val="14"/>
              </w:rPr>
            </w:pPr>
            <w:r w:rsidRPr="001F224B">
              <w:rPr>
                <w:sz w:val="14"/>
                <w:szCs w:val="14"/>
              </w:rPr>
              <w:t>-</w:t>
            </w:r>
          </w:p>
        </w:tc>
        <w:tc>
          <w:tcPr>
            <w:tcW w:w="709" w:type="dxa"/>
            <w:vAlign w:val="bottom"/>
          </w:tcPr>
          <w:p w14:paraId="650F8619" w14:textId="535A8804"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1F9868A4" w14:textId="2F4195A4"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34F32336" w14:textId="3709290B"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6E9A9AF7" w14:textId="255CDE75" w:rsidR="004E57A7" w:rsidRPr="001F224B" w:rsidRDefault="004E57A7" w:rsidP="004E57A7">
            <w:pPr>
              <w:jc w:val="right"/>
              <w:rPr>
                <w:sz w:val="14"/>
                <w:szCs w:val="14"/>
              </w:rPr>
            </w:pPr>
            <w:r w:rsidRPr="001F224B">
              <w:rPr>
                <w:color w:val="000000"/>
                <w:sz w:val="14"/>
                <w:szCs w:val="14"/>
              </w:rPr>
              <w:t>260.065</w:t>
            </w:r>
          </w:p>
        </w:tc>
        <w:tc>
          <w:tcPr>
            <w:tcW w:w="426" w:type="dxa"/>
            <w:shd w:val="clear" w:color="auto" w:fill="auto"/>
            <w:noWrap/>
            <w:vAlign w:val="bottom"/>
          </w:tcPr>
          <w:p w14:paraId="3C37F974" w14:textId="77777777" w:rsidR="004E57A7" w:rsidRPr="001F224B" w:rsidRDefault="004E57A7" w:rsidP="004E57A7">
            <w:pPr>
              <w:jc w:val="right"/>
              <w:rPr>
                <w:sz w:val="14"/>
                <w:szCs w:val="14"/>
              </w:rPr>
            </w:pPr>
          </w:p>
        </w:tc>
        <w:tc>
          <w:tcPr>
            <w:tcW w:w="425" w:type="dxa"/>
            <w:shd w:val="clear" w:color="auto" w:fill="auto"/>
            <w:noWrap/>
            <w:vAlign w:val="bottom"/>
          </w:tcPr>
          <w:p w14:paraId="4A69BD91" w14:textId="7A2D66F0"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559A4921" w14:textId="4BF8A548"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1AF44E95" w14:textId="49E5D6B6" w:rsidR="004E57A7" w:rsidRPr="001F224B" w:rsidRDefault="004E57A7" w:rsidP="004E57A7">
            <w:pPr>
              <w:jc w:val="right"/>
              <w:rPr>
                <w:sz w:val="14"/>
                <w:szCs w:val="14"/>
              </w:rPr>
            </w:pPr>
            <w:r w:rsidRPr="001F224B">
              <w:rPr>
                <w:color w:val="000000"/>
                <w:sz w:val="14"/>
                <w:szCs w:val="14"/>
              </w:rPr>
              <w:t>260.065</w:t>
            </w:r>
          </w:p>
        </w:tc>
      </w:tr>
      <w:tr w:rsidR="004E57A7" w:rsidRPr="001F224B" w14:paraId="4551FDD3" w14:textId="77777777" w:rsidTr="004E57A7">
        <w:trPr>
          <w:trHeight w:val="295"/>
        </w:trPr>
        <w:tc>
          <w:tcPr>
            <w:tcW w:w="425" w:type="dxa"/>
            <w:shd w:val="clear" w:color="auto" w:fill="auto"/>
            <w:noWrap/>
            <w:vAlign w:val="bottom"/>
            <w:hideMark/>
          </w:tcPr>
          <w:p w14:paraId="65401E9B" w14:textId="77777777" w:rsidR="004E57A7" w:rsidRPr="001F224B" w:rsidRDefault="004E57A7" w:rsidP="004E57A7">
            <w:pPr>
              <w:rPr>
                <w:color w:val="000000"/>
                <w:sz w:val="16"/>
                <w:szCs w:val="16"/>
              </w:rPr>
            </w:pPr>
            <w:r w:rsidRPr="001F224B">
              <w:rPr>
                <w:color w:val="000000"/>
                <w:sz w:val="16"/>
                <w:szCs w:val="16"/>
              </w:rPr>
              <w:t>16</w:t>
            </w:r>
          </w:p>
        </w:tc>
        <w:tc>
          <w:tcPr>
            <w:tcW w:w="1985" w:type="dxa"/>
            <w:shd w:val="clear" w:color="auto" w:fill="auto"/>
            <w:noWrap/>
            <w:vAlign w:val="bottom"/>
            <w:hideMark/>
          </w:tcPr>
          <w:p w14:paraId="67E309A8" w14:textId="77777777" w:rsidR="004E57A7" w:rsidRPr="001F224B" w:rsidRDefault="004E57A7" w:rsidP="004E57A7">
            <w:pPr>
              <w:rPr>
                <w:color w:val="000000"/>
                <w:sz w:val="16"/>
                <w:szCs w:val="16"/>
              </w:rPr>
            </w:pPr>
            <w:r w:rsidRPr="001F224B">
              <w:rPr>
                <w:color w:val="000000"/>
                <w:sz w:val="16"/>
                <w:szCs w:val="16"/>
              </w:rPr>
              <w:t>Hisse senedi yatırımları</w:t>
            </w:r>
          </w:p>
        </w:tc>
        <w:tc>
          <w:tcPr>
            <w:tcW w:w="850" w:type="dxa"/>
            <w:shd w:val="clear" w:color="auto" w:fill="auto"/>
            <w:noWrap/>
            <w:vAlign w:val="bottom"/>
          </w:tcPr>
          <w:p w14:paraId="0BF65AB6" w14:textId="4C19AE71" w:rsidR="004E57A7" w:rsidRPr="001F224B" w:rsidRDefault="004E57A7" w:rsidP="004E57A7">
            <w:pPr>
              <w:jc w:val="right"/>
              <w:rPr>
                <w:sz w:val="14"/>
                <w:szCs w:val="14"/>
              </w:rPr>
            </w:pPr>
            <w:r w:rsidRPr="001F224B">
              <w:rPr>
                <w:sz w:val="14"/>
                <w:szCs w:val="14"/>
              </w:rPr>
              <w:t>-</w:t>
            </w:r>
          </w:p>
        </w:tc>
        <w:tc>
          <w:tcPr>
            <w:tcW w:w="567" w:type="dxa"/>
            <w:shd w:val="clear" w:color="auto" w:fill="auto"/>
            <w:noWrap/>
            <w:vAlign w:val="bottom"/>
          </w:tcPr>
          <w:p w14:paraId="0502A215" w14:textId="6A0DCE74"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5110A850" w14:textId="1BCDE57C" w:rsidR="004E57A7" w:rsidRPr="001F224B" w:rsidRDefault="004E57A7" w:rsidP="004E57A7">
            <w:pPr>
              <w:jc w:val="right"/>
              <w:rPr>
                <w:sz w:val="14"/>
                <w:szCs w:val="14"/>
              </w:rPr>
            </w:pPr>
            <w:r w:rsidRPr="001F224B">
              <w:rPr>
                <w:sz w:val="14"/>
                <w:szCs w:val="14"/>
              </w:rPr>
              <w:t>-</w:t>
            </w:r>
          </w:p>
        </w:tc>
        <w:tc>
          <w:tcPr>
            <w:tcW w:w="425" w:type="dxa"/>
            <w:vAlign w:val="bottom"/>
          </w:tcPr>
          <w:p w14:paraId="0715F71B" w14:textId="4E3AE095" w:rsidR="004E57A7" w:rsidRPr="001F224B" w:rsidRDefault="004E57A7" w:rsidP="004E57A7">
            <w:pPr>
              <w:jc w:val="right"/>
              <w:rPr>
                <w:sz w:val="14"/>
                <w:szCs w:val="14"/>
              </w:rPr>
            </w:pPr>
            <w:r w:rsidRPr="001F224B">
              <w:rPr>
                <w:sz w:val="14"/>
                <w:szCs w:val="14"/>
              </w:rPr>
              <w:t>-</w:t>
            </w:r>
          </w:p>
        </w:tc>
        <w:tc>
          <w:tcPr>
            <w:tcW w:w="709" w:type="dxa"/>
            <w:vAlign w:val="bottom"/>
          </w:tcPr>
          <w:p w14:paraId="70B58BD1" w14:textId="31D42531"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7FC1B5ED" w14:textId="4883F7B1"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456D3F9B" w14:textId="7844527A"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0B2DF68D" w14:textId="264291AB" w:rsidR="004E57A7" w:rsidRPr="001F224B" w:rsidRDefault="004E57A7" w:rsidP="004E57A7">
            <w:pPr>
              <w:jc w:val="right"/>
              <w:rPr>
                <w:sz w:val="14"/>
                <w:szCs w:val="14"/>
              </w:rPr>
            </w:pPr>
            <w:r w:rsidRPr="001F224B">
              <w:rPr>
                <w:sz w:val="14"/>
                <w:szCs w:val="14"/>
              </w:rPr>
              <w:t>-</w:t>
            </w:r>
          </w:p>
        </w:tc>
        <w:tc>
          <w:tcPr>
            <w:tcW w:w="426" w:type="dxa"/>
            <w:shd w:val="clear" w:color="auto" w:fill="auto"/>
            <w:noWrap/>
            <w:vAlign w:val="bottom"/>
          </w:tcPr>
          <w:p w14:paraId="7D583F82" w14:textId="088A2A0C"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3D895896" w14:textId="23EA27D8"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59183DCB" w14:textId="590CBB4E"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120783A5" w14:textId="6EA13858" w:rsidR="004E57A7" w:rsidRPr="001F224B" w:rsidRDefault="004E57A7" w:rsidP="004E57A7">
            <w:pPr>
              <w:jc w:val="right"/>
              <w:rPr>
                <w:sz w:val="14"/>
                <w:szCs w:val="14"/>
              </w:rPr>
            </w:pPr>
            <w:r w:rsidRPr="001F224B">
              <w:rPr>
                <w:sz w:val="14"/>
                <w:szCs w:val="14"/>
              </w:rPr>
              <w:t>-</w:t>
            </w:r>
          </w:p>
        </w:tc>
      </w:tr>
      <w:tr w:rsidR="004E57A7" w:rsidRPr="001F224B" w14:paraId="4BFD0F0D" w14:textId="77777777" w:rsidTr="004E57A7">
        <w:trPr>
          <w:trHeight w:val="295"/>
        </w:trPr>
        <w:tc>
          <w:tcPr>
            <w:tcW w:w="425" w:type="dxa"/>
            <w:shd w:val="clear" w:color="auto" w:fill="auto"/>
            <w:noWrap/>
            <w:vAlign w:val="bottom"/>
            <w:hideMark/>
          </w:tcPr>
          <w:p w14:paraId="758359EC" w14:textId="77777777" w:rsidR="004E57A7" w:rsidRPr="001F224B" w:rsidRDefault="004E57A7" w:rsidP="004E57A7">
            <w:pPr>
              <w:rPr>
                <w:color w:val="000000"/>
                <w:sz w:val="16"/>
                <w:szCs w:val="16"/>
              </w:rPr>
            </w:pPr>
            <w:r w:rsidRPr="001F224B">
              <w:rPr>
                <w:color w:val="000000"/>
                <w:sz w:val="16"/>
                <w:szCs w:val="16"/>
              </w:rPr>
              <w:t>17</w:t>
            </w:r>
          </w:p>
        </w:tc>
        <w:tc>
          <w:tcPr>
            <w:tcW w:w="1985" w:type="dxa"/>
            <w:shd w:val="clear" w:color="auto" w:fill="auto"/>
            <w:noWrap/>
            <w:vAlign w:val="bottom"/>
            <w:hideMark/>
          </w:tcPr>
          <w:p w14:paraId="4B1D9D82" w14:textId="77777777" w:rsidR="004E57A7" w:rsidRPr="001F224B" w:rsidRDefault="004E57A7" w:rsidP="004E57A7">
            <w:pPr>
              <w:rPr>
                <w:color w:val="000000"/>
                <w:sz w:val="16"/>
                <w:szCs w:val="16"/>
              </w:rPr>
            </w:pPr>
            <w:r w:rsidRPr="001F224B">
              <w:rPr>
                <w:color w:val="000000"/>
                <w:sz w:val="16"/>
                <w:szCs w:val="16"/>
              </w:rPr>
              <w:t>Diğer alacaklar</w:t>
            </w:r>
          </w:p>
        </w:tc>
        <w:tc>
          <w:tcPr>
            <w:tcW w:w="850" w:type="dxa"/>
            <w:shd w:val="clear" w:color="auto" w:fill="auto"/>
            <w:noWrap/>
            <w:vAlign w:val="bottom"/>
          </w:tcPr>
          <w:p w14:paraId="4A3057EC" w14:textId="7E8A756C" w:rsidR="004E57A7" w:rsidRPr="001F224B" w:rsidRDefault="004E57A7" w:rsidP="004E57A7">
            <w:pPr>
              <w:jc w:val="right"/>
              <w:rPr>
                <w:sz w:val="14"/>
                <w:szCs w:val="14"/>
              </w:rPr>
            </w:pPr>
            <w:r w:rsidRPr="001F224B">
              <w:rPr>
                <w:color w:val="000000"/>
                <w:sz w:val="14"/>
                <w:szCs w:val="14"/>
              </w:rPr>
              <w:t>129</w:t>
            </w:r>
          </w:p>
        </w:tc>
        <w:tc>
          <w:tcPr>
            <w:tcW w:w="567" w:type="dxa"/>
            <w:shd w:val="clear" w:color="auto" w:fill="auto"/>
            <w:noWrap/>
            <w:vAlign w:val="bottom"/>
          </w:tcPr>
          <w:p w14:paraId="3BA9CE74" w14:textId="26BD368A"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7C620A2F" w14:textId="520EDEB6" w:rsidR="004E57A7" w:rsidRPr="001F224B" w:rsidRDefault="004E57A7" w:rsidP="004E57A7">
            <w:pPr>
              <w:jc w:val="right"/>
              <w:rPr>
                <w:sz w:val="14"/>
                <w:szCs w:val="14"/>
              </w:rPr>
            </w:pPr>
            <w:r w:rsidRPr="001F224B">
              <w:rPr>
                <w:sz w:val="14"/>
                <w:szCs w:val="14"/>
              </w:rPr>
              <w:t>-</w:t>
            </w:r>
          </w:p>
        </w:tc>
        <w:tc>
          <w:tcPr>
            <w:tcW w:w="425" w:type="dxa"/>
            <w:vAlign w:val="bottom"/>
          </w:tcPr>
          <w:p w14:paraId="582DA94E" w14:textId="7807ED21" w:rsidR="004E57A7" w:rsidRPr="001F224B" w:rsidRDefault="004E57A7" w:rsidP="004E57A7">
            <w:pPr>
              <w:jc w:val="right"/>
              <w:rPr>
                <w:sz w:val="14"/>
                <w:szCs w:val="14"/>
              </w:rPr>
            </w:pPr>
            <w:r w:rsidRPr="001F224B">
              <w:rPr>
                <w:sz w:val="14"/>
                <w:szCs w:val="14"/>
              </w:rPr>
              <w:t>-</w:t>
            </w:r>
          </w:p>
        </w:tc>
        <w:tc>
          <w:tcPr>
            <w:tcW w:w="709" w:type="dxa"/>
            <w:vAlign w:val="bottom"/>
          </w:tcPr>
          <w:p w14:paraId="6AC4F577" w14:textId="033BE535" w:rsidR="004E57A7" w:rsidRPr="001F224B" w:rsidRDefault="004E57A7" w:rsidP="004E57A7">
            <w:pPr>
              <w:jc w:val="right"/>
              <w:rPr>
                <w:sz w:val="14"/>
                <w:szCs w:val="14"/>
              </w:rPr>
            </w:pPr>
            <w:r w:rsidRPr="001F224B">
              <w:rPr>
                <w:sz w:val="14"/>
                <w:szCs w:val="14"/>
              </w:rPr>
              <w:t>-</w:t>
            </w:r>
          </w:p>
        </w:tc>
        <w:tc>
          <w:tcPr>
            <w:tcW w:w="851" w:type="dxa"/>
            <w:shd w:val="clear" w:color="auto" w:fill="auto"/>
            <w:noWrap/>
            <w:vAlign w:val="bottom"/>
          </w:tcPr>
          <w:p w14:paraId="2109D829" w14:textId="1F9F5288"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11B64F2D" w14:textId="03E5B215"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1A082041" w14:textId="3DBF9DFA" w:rsidR="004E57A7" w:rsidRPr="001F224B" w:rsidRDefault="004E57A7" w:rsidP="004E57A7">
            <w:pPr>
              <w:jc w:val="right"/>
              <w:rPr>
                <w:sz w:val="14"/>
                <w:szCs w:val="14"/>
              </w:rPr>
            </w:pPr>
            <w:r w:rsidRPr="001F224B">
              <w:rPr>
                <w:sz w:val="14"/>
                <w:szCs w:val="14"/>
              </w:rPr>
              <w:t>1.346.804</w:t>
            </w:r>
          </w:p>
        </w:tc>
        <w:tc>
          <w:tcPr>
            <w:tcW w:w="426" w:type="dxa"/>
            <w:shd w:val="clear" w:color="auto" w:fill="auto"/>
            <w:noWrap/>
            <w:vAlign w:val="bottom"/>
          </w:tcPr>
          <w:p w14:paraId="44CA2C37" w14:textId="0B5D666A" w:rsidR="004E57A7" w:rsidRPr="001F224B" w:rsidRDefault="004E57A7" w:rsidP="004E57A7">
            <w:pPr>
              <w:jc w:val="right"/>
              <w:rPr>
                <w:sz w:val="14"/>
                <w:szCs w:val="14"/>
              </w:rPr>
            </w:pPr>
            <w:r w:rsidRPr="001F224B">
              <w:rPr>
                <w:sz w:val="14"/>
                <w:szCs w:val="14"/>
              </w:rPr>
              <w:t>-</w:t>
            </w:r>
          </w:p>
        </w:tc>
        <w:tc>
          <w:tcPr>
            <w:tcW w:w="425" w:type="dxa"/>
            <w:shd w:val="clear" w:color="auto" w:fill="auto"/>
            <w:noWrap/>
            <w:vAlign w:val="bottom"/>
          </w:tcPr>
          <w:p w14:paraId="1B0F0237" w14:textId="2B676277" w:rsidR="004E57A7" w:rsidRPr="001F224B" w:rsidRDefault="004E57A7" w:rsidP="004E57A7">
            <w:pPr>
              <w:jc w:val="right"/>
              <w:rPr>
                <w:sz w:val="14"/>
                <w:szCs w:val="14"/>
              </w:rPr>
            </w:pPr>
            <w:r w:rsidRPr="001F224B">
              <w:rPr>
                <w:sz w:val="14"/>
                <w:szCs w:val="14"/>
              </w:rPr>
              <w:t>-</w:t>
            </w:r>
          </w:p>
        </w:tc>
        <w:tc>
          <w:tcPr>
            <w:tcW w:w="709" w:type="dxa"/>
            <w:shd w:val="clear" w:color="auto" w:fill="auto"/>
            <w:noWrap/>
            <w:vAlign w:val="bottom"/>
          </w:tcPr>
          <w:p w14:paraId="29D4AF5B" w14:textId="05A16CA6" w:rsidR="004E57A7" w:rsidRPr="001F224B" w:rsidRDefault="004E57A7" w:rsidP="004E57A7">
            <w:pPr>
              <w:jc w:val="right"/>
              <w:rPr>
                <w:sz w:val="14"/>
                <w:szCs w:val="14"/>
              </w:rPr>
            </w:pPr>
            <w:r w:rsidRPr="001F224B">
              <w:rPr>
                <w:sz w:val="14"/>
                <w:szCs w:val="14"/>
              </w:rPr>
              <w:t>-</w:t>
            </w:r>
          </w:p>
        </w:tc>
        <w:tc>
          <w:tcPr>
            <w:tcW w:w="850" w:type="dxa"/>
            <w:shd w:val="clear" w:color="auto" w:fill="auto"/>
            <w:noWrap/>
            <w:vAlign w:val="bottom"/>
          </w:tcPr>
          <w:p w14:paraId="5F57F273" w14:textId="3A89E165" w:rsidR="004E57A7" w:rsidRPr="001F224B" w:rsidRDefault="004E57A7" w:rsidP="004E57A7">
            <w:pPr>
              <w:jc w:val="right"/>
              <w:rPr>
                <w:sz w:val="14"/>
                <w:szCs w:val="14"/>
              </w:rPr>
            </w:pPr>
            <w:r w:rsidRPr="001F224B">
              <w:rPr>
                <w:sz w:val="14"/>
                <w:szCs w:val="14"/>
              </w:rPr>
              <w:t>1.346.933</w:t>
            </w:r>
          </w:p>
        </w:tc>
      </w:tr>
      <w:tr w:rsidR="004E57A7" w:rsidRPr="001F224B" w14:paraId="747E5A29" w14:textId="77777777" w:rsidTr="004E57A7">
        <w:trPr>
          <w:trHeight w:val="307"/>
        </w:trPr>
        <w:tc>
          <w:tcPr>
            <w:tcW w:w="425" w:type="dxa"/>
            <w:shd w:val="clear" w:color="auto" w:fill="auto"/>
            <w:noWrap/>
            <w:vAlign w:val="bottom"/>
            <w:hideMark/>
          </w:tcPr>
          <w:p w14:paraId="4637476E" w14:textId="77777777" w:rsidR="004E57A7" w:rsidRPr="001F224B" w:rsidRDefault="004E57A7" w:rsidP="004E57A7">
            <w:pPr>
              <w:rPr>
                <w:color w:val="000000"/>
                <w:sz w:val="16"/>
                <w:szCs w:val="16"/>
              </w:rPr>
            </w:pPr>
            <w:r w:rsidRPr="001F224B">
              <w:rPr>
                <w:color w:val="000000"/>
                <w:sz w:val="16"/>
                <w:szCs w:val="16"/>
              </w:rPr>
              <w:t>18</w:t>
            </w:r>
          </w:p>
        </w:tc>
        <w:tc>
          <w:tcPr>
            <w:tcW w:w="1985" w:type="dxa"/>
            <w:shd w:val="clear" w:color="auto" w:fill="auto"/>
            <w:noWrap/>
            <w:vAlign w:val="bottom"/>
            <w:hideMark/>
          </w:tcPr>
          <w:p w14:paraId="51BC1B68" w14:textId="77777777" w:rsidR="004E57A7" w:rsidRPr="001F224B" w:rsidRDefault="004E57A7" w:rsidP="004E57A7">
            <w:pPr>
              <w:rPr>
                <w:b/>
                <w:color w:val="000000"/>
                <w:sz w:val="16"/>
                <w:szCs w:val="16"/>
              </w:rPr>
            </w:pPr>
            <w:r w:rsidRPr="001F224B">
              <w:rPr>
                <w:b/>
                <w:color w:val="000000"/>
                <w:sz w:val="16"/>
                <w:szCs w:val="16"/>
              </w:rPr>
              <w:t>Toplam</w:t>
            </w:r>
          </w:p>
        </w:tc>
        <w:tc>
          <w:tcPr>
            <w:tcW w:w="850" w:type="dxa"/>
            <w:shd w:val="clear" w:color="auto" w:fill="auto"/>
            <w:noWrap/>
            <w:vAlign w:val="bottom"/>
          </w:tcPr>
          <w:p w14:paraId="38743375" w14:textId="3AD6364E" w:rsidR="004E57A7" w:rsidRPr="001F224B" w:rsidRDefault="004E57A7" w:rsidP="004E57A7">
            <w:pPr>
              <w:ind w:left="-349"/>
              <w:jc w:val="right"/>
              <w:rPr>
                <w:b/>
                <w:sz w:val="14"/>
                <w:szCs w:val="14"/>
              </w:rPr>
            </w:pPr>
            <w:r w:rsidRPr="001F224B">
              <w:rPr>
                <w:b/>
                <w:bCs/>
                <w:color w:val="000000"/>
                <w:sz w:val="14"/>
                <w:szCs w:val="14"/>
              </w:rPr>
              <w:t>14.598.233</w:t>
            </w:r>
          </w:p>
        </w:tc>
        <w:tc>
          <w:tcPr>
            <w:tcW w:w="567" w:type="dxa"/>
            <w:shd w:val="clear" w:color="auto" w:fill="auto"/>
            <w:noWrap/>
            <w:vAlign w:val="bottom"/>
          </w:tcPr>
          <w:p w14:paraId="5CE6DEB4" w14:textId="3868A4F4" w:rsidR="004E57A7" w:rsidRPr="001F224B" w:rsidRDefault="004E57A7" w:rsidP="004E57A7">
            <w:pPr>
              <w:jc w:val="right"/>
              <w:rPr>
                <w:b/>
                <w:sz w:val="14"/>
                <w:szCs w:val="14"/>
              </w:rPr>
            </w:pPr>
            <w:r w:rsidRPr="001F224B">
              <w:rPr>
                <w:sz w:val="14"/>
                <w:szCs w:val="14"/>
              </w:rPr>
              <w:t>-</w:t>
            </w:r>
          </w:p>
        </w:tc>
        <w:tc>
          <w:tcPr>
            <w:tcW w:w="851" w:type="dxa"/>
            <w:shd w:val="clear" w:color="auto" w:fill="auto"/>
            <w:noWrap/>
            <w:vAlign w:val="bottom"/>
          </w:tcPr>
          <w:p w14:paraId="1FFA7902" w14:textId="377ED834" w:rsidR="004E57A7" w:rsidRPr="001F224B" w:rsidRDefault="004E57A7" w:rsidP="004E57A7">
            <w:pPr>
              <w:jc w:val="right"/>
              <w:rPr>
                <w:b/>
                <w:sz w:val="14"/>
                <w:szCs w:val="14"/>
              </w:rPr>
            </w:pPr>
            <w:r w:rsidRPr="001F224B">
              <w:rPr>
                <w:b/>
                <w:bCs/>
                <w:sz w:val="14"/>
                <w:szCs w:val="14"/>
              </w:rPr>
              <w:t>14.397.827</w:t>
            </w:r>
          </w:p>
        </w:tc>
        <w:tc>
          <w:tcPr>
            <w:tcW w:w="425" w:type="dxa"/>
            <w:vAlign w:val="bottom"/>
          </w:tcPr>
          <w:p w14:paraId="6700FE7E" w14:textId="60FC1005" w:rsidR="004E57A7" w:rsidRPr="001F224B" w:rsidRDefault="004E57A7" w:rsidP="004E57A7">
            <w:pPr>
              <w:jc w:val="right"/>
              <w:rPr>
                <w:b/>
                <w:sz w:val="14"/>
                <w:szCs w:val="14"/>
              </w:rPr>
            </w:pPr>
            <w:r w:rsidRPr="001F224B">
              <w:rPr>
                <w:b/>
                <w:sz w:val="14"/>
                <w:szCs w:val="14"/>
              </w:rPr>
              <w:t>-</w:t>
            </w:r>
          </w:p>
        </w:tc>
        <w:tc>
          <w:tcPr>
            <w:tcW w:w="709" w:type="dxa"/>
            <w:vAlign w:val="bottom"/>
          </w:tcPr>
          <w:p w14:paraId="2C300D87" w14:textId="233FCFCA" w:rsidR="004E57A7" w:rsidRPr="001F224B" w:rsidRDefault="004E57A7" w:rsidP="004E57A7">
            <w:pPr>
              <w:jc w:val="right"/>
              <w:rPr>
                <w:b/>
                <w:sz w:val="14"/>
                <w:szCs w:val="14"/>
              </w:rPr>
            </w:pPr>
            <w:r w:rsidRPr="001F224B">
              <w:rPr>
                <w:b/>
                <w:sz w:val="14"/>
                <w:szCs w:val="14"/>
              </w:rPr>
              <w:t>181.018</w:t>
            </w:r>
          </w:p>
        </w:tc>
        <w:tc>
          <w:tcPr>
            <w:tcW w:w="851" w:type="dxa"/>
            <w:shd w:val="clear" w:color="auto" w:fill="auto"/>
            <w:noWrap/>
            <w:vAlign w:val="bottom"/>
          </w:tcPr>
          <w:p w14:paraId="4A83C125" w14:textId="1715CB1C" w:rsidR="004E57A7" w:rsidRPr="001F224B" w:rsidRDefault="004E57A7" w:rsidP="004E57A7">
            <w:pPr>
              <w:jc w:val="right"/>
              <w:rPr>
                <w:b/>
                <w:sz w:val="14"/>
                <w:szCs w:val="14"/>
              </w:rPr>
            </w:pPr>
            <w:r w:rsidRPr="001F224B">
              <w:rPr>
                <w:b/>
                <w:bCs/>
                <w:color w:val="000000"/>
                <w:sz w:val="14"/>
                <w:szCs w:val="14"/>
              </w:rPr>
              <w:t>22.395.215</w:t>
            </w:r>
          </w:p>
        </w:tc>
        <w:tc>
          <w:tcPr>
            <w:tcW w:w="425" w:type="dxa"/>
            <w:shd w:val="clear" w:color="auto" w:fill="auto"/>
            <w:noWrap/>
            <w:vAlign w:val="bottom"/>
          </w:tcPr>
          <w:p w14:paraId="3B957EC2" w14:textId="211C6521" w:rsidR="004E57A7" w:rsidRPr="001F224B" w:rsidRDefault="004E57A7" w:rsidP="004E57A7">
            <w:pPr>
              <w:jc w:val="right"/>
              <w:rPr>
                <w:b/>
                <w:sz w:val="14"/>
                <w:szCs w:val="14"/>
              </w:rPr>
            </w:pPr>
            <w:r w:rsidRPr="001F224B">
              <w:rPr>
                <w:b/>
                <w:sz w:val="14"/>
                <w:szCs w:val="14"/>
              </w:rPr>
              <w:t>-</w:t>
            </w:r>
          </w:p>
        </w:tc>
        <w:tc>
          <w:tcPr>
            <w:tcW w:w="850" w:type="dxa"/>
            <w:shd w:val="clear" w:color="auto" w:fill="auto"/>
            <w:noWrap/>
            <w:vAlign w:val="bottom"/>
          </w:tcPr>
          <w:p w14:paraId="712CBBE7" w14:textId="63ECB658" w:rsidR="004E57A7" w:rsidRPr="001F224B" w:rsidRDefault="004E57A7" w:rsidP="004E57A7">
            <w:pPr>
              <w:jc w:val="right"/>
              <w:rPr>
                <w:b/>
                <w:sz w:val="14"/>
                <w:szCs w:val="14"/>
              </w:rPr>
            </w:pPr>
            <w:r w:rsidRPr="001F224B">
              <w:rPr>
                <w:b/>
                <w:bCs/>
                <w:color w:val="000000"/>
                <w:sz w:val="14"/>
                <w:szCs w:val="14"/>
              </w:rPr>
              <w:t>119.768.340</w:t>
            </w:r>
          </w:p>
        </w:tc>
        <w:tc>
          <w:tcPr>
            <w:tcW w:w="426" w:type="dxa"/>
            <w:shd w:val="clear" w:color="auto" w:fill="auto"/>
            <w:noWrap/>
            <w:vAlign w:val="bottom"/>
          </w:tcPr>
          <w:p w14:paraId="5C318E8B" w14:textId="77777777" w:rsidR="004E57A7" w:rsidRPr="001F224B" w:rsidRDefault="004E57A7" w:rsidP="004E57A7">
            <w:pPr>
              <w:jc w:val="right"/>
              <w:rPr>
                <w:b/>
                <w:sz w:val="14"/>
                <w:szCs w:val="14"/>
              </w:rPr>
            </w:pPr>
          </w:p>
        </w:tc>
        <w:tc>
          <w:tcPr>
            <w:tcW w:w="425" w:type="dxa"/>
            <w:shd w:val="clear" w:color="auto" w:fill="auto"/>
            <w:noWrap/>
            <w:vAlign w:val="bottom"/>
          </w:tcPr>
          <w:p w14:paraId="74364DA0" w14:textId="5401ACEB" w:rsidR="004E57A7" w:rsidRPr="001F224B" w:rsidRDefault="004E57A7" w:rsidP="004E57A7">
            <w:pPr>
              <w:jc w:val="right"/>
              <w:rPr>
                <w:b/>
                <w:sz w:val="14"/>
                <w:szCs w:val="14"/>
              </w:rPr>
            </w:pPr>
            <w:r w:rsidRPr="001F224B">
              <w:rPr>
                <w:b/>
                <w:sz w:val="14"/>
                <w:szCs w:val="14"/>
              </w:rPr>
              <w:t>-</w:t>
            </w:r>
          </w:p>
        </w:tc>
        <w:tc>
          <w:tcPr>
            <w:tcW w:w="709" w:type="dxa"/>
            <w:shd w:val="clear" w:color="auto" w:fill="auto"/>
            <w:noWrap/>
            <w:vAlign w:val="bottom"/>
          </w:tcPr>
          <w:p w14:paraId="624CD8E0" w14:textId="26BB7B7E" w:rsidR="004E57A7" w:rsidRPr="001F224B" w:rsidRDefault="004E57A7" w:rsidP="004E57A7">
            <w:pPr>
              <w:jc w:val="right"/>
              <w:rPr>
                <w:b/>
                <w:sz w:val="14"/>
                <w:szCs w:val="14"/>
              </w:rPr>
            </w:pPr>
            <w:r w:rsidRPr="001F224B">
              <w:rPr>
                <w:b/>
                <w:bCs/>
                <w:sz w:val="14"/>
                <w:szCs w:val="14"/>
              </w:rPr>
              <w:t>256.062</w:t>
            </w:r>
          </w:p>
        </w:tc>
        <w:tc>
          <w:tcPr>
            <w:tcW w:w="850" w:type="dxa"/>
            <w:shd w:val="clear" w:color="auto" w:fill="auto"/>
            <w:noWrap/>
            <w:vAlign w:val="bottom"/>
          </w:tcPr>
          <w:p w14:paraId="3928FCFD" w14:textId="42112A7C" w:rsidR="004E57A7" w:rsidRPr="001F224B" w:rsidRDefault="004E57A7" w:rsidP="004E57A7">
            <w:pPr>
              <w:jc w:val="right"/>
              <w:rPr>
                <w:b/>
                <w:sz w:val="14"/>
                <w:szCs w:val="14"/>
              </w:rPr>
            </w:pPr>
            <w:r w:rsidRPr="001F224B">
              <w:rPr>
                <w:b/>
                <w:bCs/>
                <w:color w:val="000000"/>
                <w:sz w:val="14"/>
                <w:szCs w:val="14"/>
              </w:rPr>
              <w:t>171.596.695</w:t>
            </w:r>
          </w:p>
        </w:tc>
      </w:tr>
    </w:tbl>
    <w:p w14:paraId="4065F659" w14:textId="2C49004F" w:rsidR="002278DB" w:rsidRPr="001F224B" w:rsidRDefault="002278DB" w:rsidP="00F64EC3">
      <w:pPr>
        <w:spacing w:line="360" w:lineRule="auto"/>
        <w:rPr>
          <w:b/>
          <w:bCs/>
          <w:sz w:val="22"/>
          <w:szCs w:val="22"/>
        </w:rPr>
      </w:pPr>
    </w:p>
    <w:p w14:paraId="079DAEE5" w14:textId="474B32A6" w:rsidR="000F7354" w:rsidRPr="001F224B" w:rsidRDefault="000F7354" w:rsidP="00F64EC3">
      <w:pPr>
        <w:spacing w:line="360" w:lineRule="auto"/>
        <w:rPr>
          <w:b/>
          <w:bCs/>
          <w:sz w:val="22"/>
          <w:szCs w:val="22"/>
        </w:rPr>
      </w:pPr>
    </w:p>
    <w:p w14:paraId="2AE2F1A2" w14:textId="5F5C99D5" w:rsidR="000F7354" w:rsidRPr="001F224B" w:rsidRDefault="000F7354" w:rsidP="00F64EC3">
      <w:pPr>
        <w:spacing w:line="360" w:lineRule="auto"/>
        <w:rPr>
          <w:b/>
          <w:bCs/>
          <w:sz w:val="22"/>
          <w:szCs w:val="22"/>
        </w:rPr>
      </w:pPr>
    </w:p>
    <w:p w14:paraId="7E86733E" w14:textId="06FFFCD3" w:rsidR="000F7354" w:rsidRPr="001F224B" w:rsidRDefault="000F7354" w:rsidP="00F64EC3">
      <w:pPr>
        <w:spacing w:line="360" w:lineRule="auto"/>
        <w:rPr>
          <w:b/>
          <w:bCs/>
          <w:sz w:val="22"/>
          <w:szCs w:val="22"/>
        </w:rPr>
      </w:pPr>
    </w:p>
    <w:p w14:paraId="2592E253" w14:textId="0F01626C" w:rsidR="000F7354" w:rsidRPr="001F224B" w:rsidRDefault="000F7354" w:rsidP="00F64EC3">
      <w:pPr>
        <w:spacing w:line="360" w:lineRule="auto"/>
        <w:rPr>
          <w:b/>
          <w:bCs/>
          <w:sz w:val="22"/>
          <w:szCs w:val="22"/>
        </w:rPr>
      </w:pPr>
    </w:p>
    <w:p w14:paraId="43297BA9" w14:textId="2979E59A" w:rsidR="000F7354" w:rsidRPr="001F224B" w:rsidRDefault="000F7354" w:rsidP="00F64EC3">
      <w:pPr>
        <w:spacing w:line="360" w:lineRule="auto"/>
        <w:rPr>
          <w:b/>
          <w:bCs/>
          <w:sz w:val="22"/>
          <w:szCs w:val="22"/>
        </w:rPr>
      </w:pPr>
    </w:p>
    <w:p w14:paraId="446A0B4E" w14:textId="33407851" w:rsidR="000F7354" w:rsidRPr="001F224B" w:rsidRDefault="000F7354" w:rsidP="00F64EC3">
      <w:pPr>
        <w:spacing w:line="360" w:lineRule="auto"/>
        <w:rPr>
          <w:b/>
          <w:bCs/>
          <w:sz w:val="22"/>
          <w:szCs w:val="22"/>
        </w:rPr>
      </w:pPr>
    </w:p>
    <w:p w14:paraId="4B54921E" w14:textId="067668CF" w:rsidR="000F7354" w:rsidRPr="001F224B" w:rsidRDefault="000F7354" w:rsidP="00F64EC3">
      <w:pPr>
        <w:spacing w:line="360" w:lineRule="auto"/>
        <w:rPr>
          <w:b/>
          <w:bCs/>
          <w:sz w:val="22"/>
          <w:szCs w:val="22"/>
        </w:rPr>
      </w:pPr>
    </w:p>
    <w:p w14:paraId="1A86CDBA" w14:textId="77777777" w:rsidR="000F7354" w:rsidRPr="001F224B" w:rsidRDefault="000F7354" w:rsidP="000F7354">
      <w:pPr>
        <w:pStyle w:val="ListParagraph"/>
        <w:tabs>
          <w:tab w:val="left" w:pos="0"/>
        </w:tabs>
        <w:spacing w:before="120"/>
        <w:ind w:left="0"/>
        <w:rPr>
          <w:b/>
          <w:bCs/>
          <w:sz w:val="22"/>
          <w:szCs w:val="22"/>
        </w:rPr>
      </w:pPr>
      <w:r w:rsidRPr="001F224B">
        <w:rPr>
          <w:b/>
          <w:bCs/>
          <w:sz w:val="22"/>
          <w:szCs w:val="22"/>
        </w:rPr>
        <w:t>DÖRDÜNCÜ BÖLÜM (Devamı)</w:t>
      </w:r>
    </w:p>
    <w:p w14:paraId="408F2A3E" w14:textId="77777777" w:rsidR="000F7354" w:rsidRPr="001F224B" w:rsidRDefault="000F7354" w:rsidP="000F7354">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4F5465EA" w14:textId="77777777" w:rsidR="000F7354" w:rsidRPr="001F224B" w:rsidRDefault="000F7354" w:rsidP="000F7354">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73D6903B" w14:textId="77777777" w:rsidR="000F7354" w:rsidRPr="001F224B" w:rsidRDefault="000F7354" w:rsidP="000F7354">
      <w:pPr>
        <w:spacing w:after="120"/>
        <w:jc w:val="both"/>
        <w:rPr>
          <w:b/>
          <w:sz w:val="22"/>
          <w:szCs w:val="22"/>
          <w:lang w:eastAsia="x-none"/>
        </w:rPr>
      </w:pPr>
      <w:r w:rsidRPr="001F224B">
        <w:rPr>
          <w:b/>
          <w:sz w:val="22"/>
          <w:szCs w:val="22"/>
          <w:lang w:eastAsia="x-none"/>
        </w:rPr>
        <w:t>6. Standart Yaklaşım - Risk sınıflarına ve risk ağırlıklarına göre alacaklar (Devamı):</w:t>
      </w:r>
    </w:p>
    <w:p w14:paraId="0968198E" w14:textId="77777777" w:rsidR="000F7354" w:rsidRPr="001F224B" w:rsidRDefault="000F7354" w:rsidP="000F7354">
      <w:pPr>
        <w:jc w:val="both"/>
        <w:rPr>
          <w:sz w:val="2"/>
          <w:szCs w:val="2"/>
          <w:lang w:eastAsia="x-none"/>
        </w:rPr>
      </w:pPr>
      <w:r w:rsidRPr="001F224B">
        <w:rPr>
          <w:lang w:eastAsia="x-none"/>
        </w:rPr>
        <w:t xml:space="preserve"> </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850"/>
        <w:gridCol w:w="567"/>
        <w:gridCol w:w="851"/>
        <w:gridCol w:w="425"/>
        <w:gridCol w:w="567"/>
        <w:gridCol w:w="851"/>
        <w:gridCol w:w="425"/>
        <w:gridCol w:w="850"/>
        <w:gridCol w:w="426"/>
        <w:gridCol w:w="425"/>
        <w:gridCol w:w="709"/>
        <w:gridCol w:w="850"/>
      </w:tblGrid>
      <w:tr w:rsidR="000F7354" w:rsidRPr="001F224B" w14:paraId="23D92166" w14:textId="77777777" w:rsidTr="000F7354">
        <w:trPr>
          <w:trHeight w:val="295"/>
        </w:trPr>
        <w:tc>
          <w:tcPr>
            <w:tcW w:w="2410" w:type="dxa"/>
            <w:gridSpan w:val="2"/>
            <w:shd w:val="clear" w:color="auto" w:fill="auto"/>
            <w:noWrap/>
            <w:vAlign w:val="center"/>
            <w:hideMark/>
          </w:tcPr>
          <w:p w14:paraId="79A90246" w14:textId="77777777" w:rsidR="000F7354" w:rsidRPr="001F224B" w:rsidRDefault="000F7354" w:rsidP="00001A93">
            <w:pPr>
              <w:rPr>
                <w:color w:val="000000"/>
                <w:sz w:val="16"/>
                <w:szCs w:val="16"/>
              </w:rPr>
            </w:pPr>
            <w:r w:rsidRPr="001F224B">
              <w:rPr>
                <w:color w:val="000000"/>
                <w:sz w:val="16"/>
                <w:szCs w:val="16"/>
              </w:rPr>
              <w:t> </w:t>
            </w:r>
          </w:p>
          <w:p w14:paraId="63C91F47" w14:textId="77777777" w:rsidR="000F7354" w:rsidRPr="001F224B" w:rsidRDefault="000F7354" w:rsidP="00001A93">
            <w:pPr>
              <w:jc w:val="center"/>
              <w:rPr>
                <w:b/>
                <w:sz w:val="16"/>
                <w:szCs w:val="16"/>
                <w:lang w:eastAsia="x-none"/>
              </w:rPr>
            </w:pPr>
            <w:r w:rsidRPr="001F224B">
              <w:rPr>
                <w:b/>
                <w:sz w:val="16"/>
                <w:szCs w:val="16"/>
                <w:lang w:eastAsia="x-none"/>
              </w:rPr>
              <w:t>Önceki Dönem</w:t>
            </w:r>
          </w:p>
          <w:p w14:paraId="35C1DDB5" w14:textId="52B002D1" w:rsidR="000F7354" w:rsidRPr="001F224B" w:rsidRDefault="000F7354" w:rsidP="00001A93">
            <w:pPr>
              <w:jc w:val="center"/>
              <w:rPr>
                <w:color w:val="000000"/>
                <w:sz w:val="16"/>
                <w:szCs w:val="16"/>
              </w:rPr>
            </w:pPr>
            <w:r w:rsidRPr="001F224B">
              <w:rPr>
                <w:b/>
                <w:sz w:val="16"/>
                <w:szCs w:val="16"/>
                <w:lang w:eastAsia="x-none"/>
              </w:rPr>
              <w:t>(31.12.2024)</w:t>
            </w:r>
          </w:p>
        </w:tc>
        <w:tc>
          <w:tcPr>
            <w:tcW w:w="850" w:type="dxa"/>
            <w:tcBorders>
              <w:right w:val="nil"/>
            </w:tcBorders>
            <w:shd w:val="clear" w:color="auto" w:fill="auto"/>
            <w:noWrap/>
            <w:vAlign w:val="bottom"/>
          </w:tcPr>
          <w:p w14:paraId="69632658" w14:textId="77777777" w:rsidR="000F7354" w:rsidRPr="001F224B" w:rsidRDefault="000F7354" w:rsidP="00001A93">
            <w:pPr>
              <w:jc w:val="center"/>
              <w:rPr>
                <w:color w:val="000000"/>
                <w:sz w:val="16"/>
                <w:szCs w:val="16"/>
              </w:rPr>
            </w:pPr>
          </w:p>
        </w:tc>
        <w:tc>
          <w:tcPr>
            <w:tcW w:w="567" w:type="dxa"/>
            <w:tcBorders>
              <w:left w:val="nil"/>
              <w:right w:val="nil"/>
            </w:tcBorders>
            <w:shd w:val="clear" w:color="auto" w:fill="auto"/>
            <w:noWrap/>
            <w:vAlign w:val="bottom"/>
          </w:tcPr>
          <w:p w14:paraId="1BC2E3A6" w14:textId="77777777" w:rsidR="000F7354" w:rsidRPr="001F224B" w:rsidRDefault="000F7354" w:rsidP="00001A93">
            <w:pPr>
              <w:jc w:val="center"/>
              <w:rPr>
                <w:color w:val="000000"/>
                <w:sz w:val="16"/>
                <w:szCs w:val="16"/>
              </w:rPr>
            </w:pPr>
          </w:p>
        </w:tc>
        <w:tc>
          <w:tcPr>
            <w:tcW w:w="851" w:type="dxa"/>
            <w:tcBorders>
              <w:left w:val="nil"/>
              <w:right w:val="nil"/>
            </w:tcBorders>
            <w:shd w:val="clear" w:color="auto" w:fill="auto"/>
            <w:noWrap/>
            <w:vAlign w:val="bottom"/>
          </w:tcPr>
          <w:p w14:paraId="1EA41D71" w14:textId="77777777" w:rsidR="000F7354" w:rsidRPr="001F224B" w:rsidRDefault="000F7354" w:rsidP="00001A93">
            <w:pPr>
              <w:jc w:val="center"/>
              <w:rPr>
                <w:color w:val="000000"/>
                <w:sz w:val="16"/>
                <w:szCs w:val="16"/>
              </w:rPr>
            </w:pPr>
          </w:p>
        </w:tc>
        <w:tc>
          <w:tcPr>
            <w:tcW w:w="425" w:type="dxa"/>
            <w:tcBorders>
              <w:left w:val="nil"/>
              <w:right w:val="nil"/>
            </w:tcBorders>
          </w:tcPr>
          <w:p w14:paraId="190A2C21" w14:textId="77777777" w:rsidR="000F7354" w:rsidRPr="001F224B" w:rsidRDefault="000F7354" w:rsidP="00001A93">
            <w:pPr>
              <w:jc w:val="center"/>
              <w:rPr>
                <w:color w:val="000000"/>
                <w:sz w:val="16"/>
                <w:szCs w:val="16"/>
              </w:rPr>
            </w:pPr>
          </w:p>
        </w:tc>
        <w:tc>
          <w:tcPr>
            <w:tcW w:w="567" w:type="dxa"/>
            <w:tcBorders>
              <w:left w:val="nil"/>
              <w:right w:val="nil"/>
            </w:tcBorders>
          </w:tcPr>
          <w:p w14:paraId="364BAAAE" w14:textId="77777777" w:rsidR="000F7354" w:rsidRPr="001F224B" w:rsidRDefault="000F7354" w:rsidP="00001A93">
            <w:pPr>
              <w:jc w:val="center"/>
              <w:rPr>
                <w:color w:val="000000"/>
                <w:sz w:val="16"/>
                <w:szCs w:val="16"/>
              </w:rPr>
            </w:pPr>
          </w:p>
        </w:tc>
        <w:tc>
          <w:tcPr>
            <w:tcW w:w="851" w:type="dxa"/>
            <w:tcBorders>
              <w:left w:val="nil"/>
              <w:right w:val="nil"/>
            </w:tcBorders>
            <w:shd w:val="clear" w:color="auto" w:fill="auto"/>
            <w:noWrap/>
            <w:vAlign w:val="bottom"/>
          </w:tcPr>
          <w:p w14:paraId="0FDFB400" w14:textId="77777777" w:rsidR="000F7354" w:rsidRPr="001F224B" w:rsidRDefault="000F7354" w:rsidP="00001A93">
            <w:pPr>
              <w:jc w:val="center"/>
              <w:rPr>
                <w:color w:val="000000"/>
                <w:sz w:val="16"/>
                <w:szCs w:val="16"/>
              </w:rPr>
            </w:pPr>
          </w:p>
        </w:tc>
        <w:tc>
          <w:tcPr>
            <w:tcW w:w="425" w:type="dxa"/>
            <w:tcBorders>
              <w:left w:val="nil"/>
              <w:right w:val="nil"/>
            </w:tcBorders>
            <w:shd w:val="clear" w:color="auto" w:fill="auto"/>
            <w:noWrap/>
            <w:vAlign w:val="bottom"/>
          </w:tcPr>
          <w:p w14:paraId="14090EDD" w14:textId="77777777" w:rsidR="000F7354" w:rsidRPr="001F224B" w:rsidRDefault="000F7354" w:rsidP="00001A93">
            <w:pPr>
              <w:jc w:val="center"/>
              <w:rPr>
                <w:color w:val="000000"/>
                <w:sz w:val="16"/>
                <w:szCs w:val="16"/>
              </w:rPr>
            </w:pPr>
          </w:p>
        </w:tc>
        <w:tc>
          <w:tcPr>
            <w:tcW w:w="850" w:type="dxa"/>
            <w:tcBorders>
              <w:left w:val="nil"/>
              <w:right w:val="nil"/>
            </w:tcBorders>
            <w:shd w:val="clear" w:color="auto" w:fill="auto"/>
            <w:noWrap/>
            <w:vAlign w:val="bottom"/>
          </w:tcPr>
          <w:p w14:paraId="3A8BE3DE" w14:textId="77777777" w:rsidR="000F7354" w:rsidRPr="001F224B" w:rsidRDefault="000F7354" w:rsidP="00001A93">
            <w:pPr>
              <w:jc w:val="center"/>
              <w:rPr>
                <w:color w:val="000000"/>
                <w:sz w:val="16"/>
                <w:szCs w:val="16"/>
              </w:rPr>
            </w:pPr>
          </w:p>
        </w:tc>
        <w:tc>
          <w:tcPr>
            <w:tcW w:w="426" w:type="dxa"/>
            <w:tcBorders>
              <w:left w:val="nil"/>
              <w:right w:val="nil"/>
            </w:tcBorders>
            <w:shd w:val="clear" w:color="auto" w:fill="auto"/>
            <w:noWrap/>
            <w:vAlign w:val="bottom"/>
          </w:tcPr>
          <w:p w14:paraId="23B17C3D" w14:textId="77777777" w:rsidR="000F7354" w:rsidRPr="001F224B" w:rsidRDefault="000F7354" w:rsidP="00001A93">
            <w:pPr>
              <w:jc w:val="center"/>
              <w:rPr>
                <w:color w:val="000000"/>
                <w:sz w:val="16"/>
                <w:szCs w:val="16"/>
              </w:rPr>
            </w:pPr>
          </w:p>
        </w:tc>
        <w:tc>
          <w:tcPr>
            <w:tcW w:w="425" w:type="dxa"/>
            <w:tcBorders>
              <w:left w:val="nil"/>
              <w:right w:val="nil"/>
            </w:tcBorders>
            <w:shd w:val="clear" w:color="auto" w:fill="auto"/>
            <w:noWrap/>
            <w:vAlign w:val="bottom"/>
          </w:tcPr>
          <w:p w14:paraId="6AF7F9AA" w14:textId="77777777" w:rsidR="000F7354" w:rsidRPr="001F224B" w:rsidRDefault="000F7354" w:rsidP="00001A93">
            <w:pPr>
              <w:jc w:val="center"/>
              <w:rPr>
                <w:color w:val="000000"/>
                <w:sz w:val="16"/>
                <w:szCs w:val="16"/>
              </w:rPr>
            </w:pPr>
          </w:p>
        </w:tc>
        <w:tc>
          <w:tcPr>
            <w:tcW w:w="709" w:type="dxa"/>
            <w:tcBorders>
              <w:left w:val="nil"/>
              <w:right w:val="nil"/>
            </w:tcBorders>
            <w:shd w:val="clear" w:color="auto" w:fill="auto"/>
            <w:noWrap/>
            <w:vAlign w:val="bottom"/>
          </w:tcPr>
          <w:p w14:paraId="4631CFDD" w14:textId="77777777" w:rsidR="000F7354" w:rsidRPr="001F224B" w:rsidRDefault="000F7354" w:rsidP="00001A93">
            <w:pPr>
              <w:jc w:val="center"/>
              <w:rPr>
                <w:color w:val="000000"/>
                <w:sz w:val="16"/>
                <w:szCs w:val="16"/>
              </w:rPr>
            </w:pPr>
          </w:p>
        </w:tc>
        <w:tc>
          <w:tcPr>
            <w:tcW w:w="850" w:type="dxa"/>
            <w:tcBorders>
              <w:left w:val="nil"/>
            </w:tcBorders>
            <w:shd w:val="clear" w:color="auto" w:fill="auto"/>
            <w:noWrap/>
            <w:vAlign w:val="bottom"/>
          </w:tcPr>
          <w:p w14:paraId="00003AB7" w14:textId="77777777" w:rsidR="000F7354" w:rsidRPr="001F224B" w:rsidRDefault="000F7354" w:rsidP="00001A93">
            <w:pPr>
              <w:jc w:val="center"/>
              <w:rPr>
                <w:color w:val="000000"/>
                <w:sz w:val="16"/>
                <w:szCs w:val="16"/>
              </w:rPr>
            </w:pPr>
          </w:p>
        </w:tc>
      </w:tr>
      <w:tr w:rsidR="000F7354" w:rsidRPr="001F224B" w14:paraId="31C64E44" w14:textId="77777777" w:rsidTr="000F7354">
        <w:trPr>
          <w:cantSplit/>
          <w:trHeight w:val="883"/>
        </w:trPr>
        <w:tc>
          <w:tcPr>
            <w:tcW w:w="425" w:type="dxa"/>
            <w:shd w:val="clear" w:color="auto" w:fill="auto"/>
            <w:noWrap/>
            <w:vAlign w:val="bottom"/>
            <w:hideMark/>
          </w:tcPr>
          <w:p w14:paraId="5BE31242" w14:textId="77777777" w:rsidR="000F7354" w:rsidRPr="001F224B" w:rsidRDefault="000F7354" w:rsidP="00001A93">
            <w:pPr>
              <w:rPr>
                <w:color w:val="000000"/>
                <w:sz w:val="16"/>
                <w:szCs w:val="16"/>
              </w:rPr>
            </w:pPr>
            <w:r w:rsidRPr="001F224B">
              <w:rPr>
                <w:color w:val="000000"/>
                <w:sz w:val="16"/>
                <w:szCs w:val="16"/>
              </w:rPr>
              <w:t> </w:t>
            </w:r>
          </w:p>
        </w:tc>
        <w:tc>
          <w:tcPr>
            <w:tcW w:w="1985" w:type="dxa"/>
            <w:shd w:val="clear" w:color="auto" w:fill="auto"/>
            <w:noWrap/>
            <w:vAlign w:val="bottom"/>
            <w:hideMark/>
          </w:tcPr>
          <w:p w14:paraId="31404B30" w14:textId="77777777" w:rsidR="000F7354" w:rsidRPr="001F224B" w:rsidRDefault="000F7354" w:rsidP="00001A93">
            <w:pPr>
              <w:rPr>
                <w:color w:val="000000"/>
                <w:sz w:val="16"/>
                <w:szCs w:val="16"/>
              </w:rPr>
            </w:pPr>
            <w:r w:rsidRPr="001F224B">
              <w:rPr>
                <w:color w:val="000000"/>
                <w:sz w:val="16"/>
                <w:szCs w:val="16"/>
              </w:rPr>
              <w:t>Risk sınıfları/Risk ağırlığı</w:t>
            </w:r>
          </w:p>
        </w:tc>
        <w:tc>
          <w:tcPr>
            <w:tcW w:w="850" w:type="dxa"/>
            <w:shd w:val="clear" w:color="auto" w:fill="auto"/>
            <w:noWrap/>
            <w:textDirection w:val="btLr"/>
            <w:vAlign w:val="center"/>
            <w:hideMark/>
          </w:tcPr>
          <w:p w14:paraId="0A9148C8" w14:textId="77777777" w:rsidR="000F7354" w:rsidRPr="001F224B" w:rsidRDefault="000F7354" w:rsidP="00001A93">
            <w:pPr>
              <w:ind w:left="113" w:right="113"/>
              <w:jc w:val="center"/>
              <w:rPr>
                <w:color w:val="000000"/>
                <w:sz w:val="14"/>
                <w:szCs w:val="16"/>
              </w:rPr>
            </w:pPr>
            <w:r w:rsidRPr="001F224B">
              <w:rPr>
                <w:color w:val="000000"/>
                <w:sz w:val="14"/>
                <w:szCs w:val="16"/>
              </w:rPr>
              <w:t>%0</w:t>
            </w:r>
          </w:p>
        </w:tc>
        <w:tc>
          <w:tcPr>
            <w:tcW w:w="567" w:type="dxa"/>
            <w:shd w:val="clear" w:color="auto" w:fill="auto"/>
            <w:noWrap/>
            <w:textDirection w:val="btLr"/>
            <w:vAlign w:val="center"/>
            <w:hideMark/>
          </w:tcPr>
          <w:p w14:paraId="02A1DA0E" w14:textId="77777777" w:rsidR="000F7354" w:rsidRPr="001F224B" w:rsidRDefault="000F7354" w:rsidP="00001A93">
            <w:pPr>
              <w:ind w:left="113" w:right="113"/>
              <w:jc w:val="center"/>
              <w:rPr>
                <w:color w:val="000000"/>
                <w:sz w:val="14"/>
                <w:szCs w:val="16"/>
              </w:rPr>
            </w:pPr>
            <w:r w:rsidRPr="001F224B">
              <w:rPr>
                <w:color w:val="000000"/>
                <w:sz w:val="14"/>
                <w:szCs w:val="16"/>
              </w:rPr>
              <w:t>%10</w:t>
            </w:r>
          </w:p>
        </w:tc>
        <w:tc>
          <w:tcPr>
            <w:tcW w:w="851" w:type="dxa"/>
            <w:shd w:val="clear" w:color="auto" w:fill="auto"/>
            <w:noWrap/>
            <w:textDirection w:val="btLr"/>
            <w:vAlign w:val="center"/>
            <w:hideMark/>
          </w:tcPr>
          <w:p w14:paraId="163703CF" w14:textId="77777777" w:rsidR="000F7354" w:rsidRPr="001F224B" w:rsidRDefault="000F7354" w:rsidP="00001A93">
            <w:pPr>
              <w:ind w:left="113" w:right="113"/>
              <w:jc w:val="center"/>
              <w:rPr>
                <w:color w:val="000000"/>
                <w:sz w:val="14"/>
                <w:szCs w:val="16"/>
              </w:rPr>
            </w:pPr>
            <w:r w:rsidRPr="001F224B">
              <w:rPr>
                <w:color w:val="000000"/>
                <w:sz w:val="14"/>
                <w:szCs w:val="16"/>
              </w:rPr>
              <w:t>%20</w:t>
            </w:r>
          </w:p>
        </w:tc>
        <w:tc>
          <w:tcPr>
            <w:tcW w:w="425" w:type="dxa"/>
            <w:textDirection w:val="btLr"/>
            <w:vAlign w:val="center"/>
          </w:tcPr>
          <w:p w14:paraId="5799E2EF" w14:textId="77777777" w:rsidR="000F7354" w:rsidRPr="001F224B" w:rsidRDefault="000F7354" w:rsidP="00001A93">
            <w:pPr>
              <w:ind w:left="113" w:right="113"/>
              <w:jc w:val="center"/>
              <w:rPr>
                <w:color w:val="000000"/>
                <w:sz w:val="14"/>
                <w:szCs w:val="16"/>
              </w:rPr>
            </w:pPr>
            <w:r w:rsidRPr="001F224B">
              <w:rPr>
                <w:color w:val="000000"/>
                <w:sz w:val="14"/>
                <w:szCs w:val="16"/>
              </w:rPr>
              <w:t>%25</w:t>
            </w:r>
          </w:p>
        </w:tc>
        <w:tc>
          <w:tcPr>
            <w:tcW w:w="567" w:type="dxa"/>
            <w:textDirection w:val="btLr"/>
            <w:vAlign w:val="center"/>
          </w:tcPr>
          <w:p w14:paraId="45A3C749" w14:textId="77777777" w:rsidR="000F7354" w:rsidRPr="001F224B" w:rsidRDefault="000F7354" w:rsidP="00001A93">
            <w:pPr>
              <w:ind w:left="113" w:right="113"/>
              <w:jc w:val="center"/>
              <w:rPr>
                <w:color w:val="000000"/>
                <w:sz w:val="14"/>
                <w:szCs w:val="16"/>
              </w:rPr>
            </w:pPr>
            <w:r w:rsidRPr="001F224B">
              <w:rPr>
                <w:color w:val="000000"/>
                <w:sz w:val="14"/>
                <w:szCs w:val="16"/>
              </w:rPr>
              <w:t>%35</w:t>
            </w:r>
          </w:p>
        </w:tc>
        <w:tc>
          <w:tcPr>
            <w:tcW w:w="851" w:type="dxa"/>
            <w:shd w:val="clear" w:color="auto" w:fill="auto"/>
            <w:noWrap/>
            <w:textDirection w:val="btLr"/>
            <w:vAlign w:val="center"/>
            <w:hideMark/>
          </w:tcPr>
          <w:p w14:paraId="37211AE7" w14:textId="77777777" w:rsidR="000F7354" w:rsidRPr="001F224B" w:rsidRDefault="000F7354" w:rsidP="00001A93">
            <w:pPr>
              <w:ind w:left="113" w:right="113"/>
              <w:jc w:val="center"/>
              <w:rPr>
                <w:color w:val="000000"/>
                <w:sz w:val="14"/>
                <w:szCs w:val="16"/>
              </w:rPr>
            </w:pPr>
            <w:r w:rsidRPr="001F224B">
              <w:rPr>
                <w:color w:val="000000"/>
                <w:sz w:val="14"/>
                <w:szCs w:val="16"/>
              </w:rPr>
              <w:t>%50</w:t>
            </w:r>
          </w:p>
        </w:tc>
        <w:tc>
          <w:tcPr>
            <w:tcW w:w="425" w:type="dxa"/>
            <w:shd w:val="clear" w:color="auto" w:fill="auto"/>
            <w:noWrap/>
            <w:textDirection w:val="btLr"/>
            <w:vAlign w:val="center"/>
            <w:hideMark/>
          </w:tcPr>
          <w:p w14:paraId="0C11F287" w14:textId="77777777" w:rsidR="000F7354" w:rsidRPr="001F224B" w:rsidRDefault="000F7354" w:rsidP="00001A93">
            <w:pPr>
              <w:ind w:left="113" w:right="113"/>
              <w:jc w:val="center"/>
              <w:rPr>
                <w:color w:val="000000"/>
                <w:sz w:val="14"/>
                <w:szCs w:val="16"/>
              </w:rPr>
            </w:pPr>
            <w:r w:rsidRPr="001F224B">
              <w:rPr>
                <w:color w:val="000000"/>
                <w:sz w:val="14"/>
                <w:szCs w:val="16"/>
              </w:rPr>
              <w:t>%75</w:t>
            </w:r>
          </w:p>
        </w:tc>
        <w:tc>
          <w:tcPr>
            <w:tcW w:w="850" w:type="dxa"/>
            <w:shd w:val="clear" w:color="auto" w:fill="auto"/>
            <w:noWrap/>
            <w:textDirection w:val="btLr"/>
            <w:vAlign w:val="center"/>
            <w:hideMark/>
          </w:tcPr>
          <w:p w14:paraId="2791DA05" w14:textId="77777777" w:rsidR="000F7354" w:rsidRPr="001F224B" w:rsidRDefault="000F7354" w:rsidP="00001A93">
            <w:pPr>
              <w:ind w:left="113" w:right="113"/>
              <w:jc w:val="center"/>
              <w:rPr>
                <w:color w:val="000000"/>
                <w:sz w:val="14"/>
                <w:szCs w:val="16"/>
              </w:rPr>
            </w:pPr>
            <w:r w:rsidRPr="001F224B">
              <w:rPr>
                <w:color w:val="000000"/>
                <w:sz w:val="14"/>
                <w:szCs w:val="16"/>
              </w:rPr>
              <w:t>%100</w:t>
            </w:r>
          </w:p>
        </w:tc>
        <w:tc>
          <w:tcPr>
            <w:tcW w:w="426" w:type="dxa"/>
            <w:shd w:val="clear" w:color="auto" w:fill="auto"/>
            <w:noWrap/>
            <w:textDirection w:val="btLr"/>
            <w:vAlign w:val="center"/>
            <w:hideMark/>
          </w:tcPr>
          <w:p w14:paraId="2165B567" w14:textId="77777777" w:rsidR="000F7354" w:rsidRPr="001F224B" w:rsidRDefault="000F7354" w:rsidP="00001A93">
            <w:pPr>
              <w:ind w:left="113" w:right="113"/>
              <w:jc w:val="center"/>
              <w:rPr>
                <w:color w:val="000000"/>
                <w:sz w:val="14"/>
                <w:szCs w:val="16"/>
              </w:rPr>
            </w:pPr>
            <w:r w:rsidRPr="001F224B">
              <w:rPr>
                <w:color w:val="000000"/>
                <w:sz w:val="14"/>
                <w:szCs w:val="16"/>
              </w:rPr>
              <w:t>%150</w:t>
            </w:r>
          </w:p>
        </w:tc>
        <w:tc>
          <w:tcPr>
            <w:tcW w:w="425" w:type="dxa"/>
            <w:shd w:val="clear" w:color="auto" w:fill="auto"/>
            <w:noWrap/>
            <w:textDirection w:val="btLr"/>
            <w:vAlign w:val="center"/>
            <w:hideMark/>
          </w:tcPr>
          <w:p w14:paraId="55ED041D" w14:textId="77777777" w:rsidR="000F7354" w:rsidRPr="001F224B" w:rsidRDefault="000F7354" w:rsidP="00001A93">
            <w:pPr>
              <w:ind w:left="113" w:right="113"/>
              <w:jc w:val="center"/>
              <w:rPr>
                <w:color w:val="000000"/>
                <w:sz w:val="14"/>
                <w:szCs w:val="16"/>
              </w:rPr>
            </w:pPr>
            <w:r w:rsidRPr="001F224B">
              <w:rPr>
                <w:color w:val="000000"/>
                <w:sz w:val="14"/>
                <w:szCs w:val="16"/>
              </w:rPr>
              <w:t>%250</w:t>
            </w:r>
          </w:p>
        </w:tc>
        <w:tc>
          <w:tcPr>
            <w:tcW w:w="709" w:type="dxa"/>
            <w:shd w:val="clear" w:color="auto" w:fill="auto"/>
            <w:noWrap/>
            <w:vAlign w:val="center"/>
            <w:hideMark/>
          </w:tcPr>
          <w:p w14:paraId="00C3A242" w14:textId="77777777" w:rsidR="000F7354" w:rsidRPr="001F224B" w:rsidRDefault="000F7354" w:rsidP="00001A93">
            <w:pPr>
              <w:jc w:val="center"/>
              <w:rPr>
                <w:color w:val="000000"/>
                <w:sz w:val="14"/>
                <w:szCs w:val="16"/>
              </w:rPr>
            </w:pPr>
            <w:r w:rsidRPr="001F224B">
              <w:rPr>
                <w:color w:val="000000"/>
                <w:sz w:val="14"/>
                <w:szCs w:val="16"/>
              </w:rPr>
              <w:t>Diğer</w:t>
            </w:r>
          </w:p>
        </w:tc>
        <w:tc>
          <w:tcPr>
            <w:tcW w:w="850" w:type="dxa"/>
            <w:shd w:val="clear" w:color="auto" w:fill="auto"/>
            <w:vAlign w:val="center"/>
            <w:hideMark/>
          </w:tcPr>
          <w:p w14:paraId="6C3469A8" w14:textId="77777777" w:rsidR="000F7354" w:rsidRPr="001F224B" w:rsidRDefault="000F7354" w:rsidP="00001A93">
            <w:pPr>
              <w:jc w:val="center"/>
              <w:rPr>
                <w:color w:val="000000"/>
                <w:sz w:val="14"/>
                <w:szCs w:val="16"/>
              </w:rPr>
            </w:pPr>
            <w:r w:rsidRPr="001F224B">
              <w:rPr>
                <w:color w:val="000000"/>
                <w:sz w:val="14"/>
                <w:szCs w:val="16"/>
              </w:rPr>
              <w:t>Toplam risk tutarı (KDO ve KRA sonrası)</w:t>
            </w:r>
          </w:p>
        </w:tc>
      </w:tr>
      <w:tr w:rsidR="000F7354" w:rsidRPr="001F224B" w14:paraId="418539EE" w14:textId="77777777" w:rsidTr="000F7354">
        <w:trPr>
          <w:trHeight w:val="295"/>
        </w:trPr>
        <w:tc>
          <w:tcPr>
            <w:tcW w:w="425" w:type="dxa"/>
            <w:shd w:val="clear" w:color="auto" w:fill="auto"/>
            <w:noWrap/>
            <w:vAlign w:val="bottom"/>
            <w:hideMark/>
          </w:tcPr>
          <w:p w14:paraId="1FB54BDD" w14:textId="77777777" w:rsidR="000F7354" w:rsidRPr="001F224B" w:rsidRDefault="000F7354" w:rsidP="000F7354">
            <w:pPr>
              <w:rPr>
                <w:color w:val="000000"/>
                <w:sz w:val="16"/>
                <w:szCs w:val="16"/>
              </w:rPr>
            </w:pPr>
            <w:r w:rsidRPr="001F224B">
              <w:rPr>
                <w:color w:val="000000"/>
                <w:sz w:val="16"/>
                <w:szCs w:val="16"/>
              </w:rPr>
              <w:t>1</w:t>
            </w:r>
          </w:p>
        </w:tc>
        <w:tc>
          <w:tcPr>
            <w:tcW w:w="1985" w:type="dxa"/>
            <w:shd w:val="clear" w:color="auto" w:fill="auto"/>
            <w:noWrap/>
            <w:vAlign w:val="bottom"/>
            <w:hideMark/>
          </w:tcPr>
          <w:p w14:paraId="092C29DE" w14:textId="77777777" w:rsidR="000F7354" w:rsidRPr="001F224B" w:rsidRDefault="000F7354" w:rsidP="000F7354">
            <w:pPr>
              <w:rPr>
                <w:color w:val="000000"/>
                <w:sz w:val="16"/>
                <w:szCs w:val="16"/>
              </w:rPr>
            </w:pPr>
            <w:r w:rsidRPr="001F224B">
              <w:rPr>
                <w:color w:val="000000"/>
                <w:sz w:val="16"/>
                <w:szCs w:val="16"/>
              </w:rPr>
              <w:t>Merkezi yönetimlerden veya merkez bankalarından alacaklar</w:t>
            </w:r>
          </w:p>
        </w:tc>
        <w:tc>
          <w:tcPr>
            <w:tcW w:w="850" w:type="dxa"/>
            <w:shd w:val="clear" w:color="auto" w:fill="auto"/>
            <w:noWrap/>
            <w:vAlign w:val="bottom"/>
          </w:tcPr>
          <w:p w14:paraId="7E4ECF2F" w14:textId="622FEB2D" w:rsidR="000F7354" w:rsidRPr="001F224B" w:rsidRDefault="000F7354" w:rsidP="000F7354">
            <w:pPr>
              <w:jc w:val="right"/>
              <w:rPr>
                <w:sz w:val="14"/>
                <w:szCs w:val="14"/>
              </w:rPr>
            </w:pPr>
            <w:r w:rsidRPr="001F224B">
              <w:rPr>
                <w:color w:val="000000"/>
                <w:sz w:val="14"/>
                <w:szCs w:val="14"/>
              </w:rPr>
              <w:t>11.959.371</w:t>
            </w:r>
          </w:p>
        </w:tc>
        <w:tc>
          <w:tcPr>
            <w:tcW w:w="567" w:type="dxa"/>
            <w:shd w:val="clear" w:color="auto" w:fill="auto"/>
            <w:noWrap/>
            <w:vAlign w:val="bottom"/>
          </w:tcPr>
          <w:p w14:paraId="306F3E5A" w14:textId="277BF721"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36B7DB56" w14:textId="5EC97A7C" w:rsidR="000F7354" w:rsidRPr="001F224B" w:rsidRDefault="000F7354" w:rsidP="000F7354">
            <w:pPr>
              <w:jc w:val="right"/>
              <w:rPr>
                <w:sz w:val="14"/>
                <w:szCs w:val="14"/>
              </w:rPr>
            </w:pPr>
            <w:r w:rsidRPr="001F224B">
              <w:rPr>
                <w:sz w:val="14"/>
                <w:szCs w:val="14"/>
              </w:rPr>
              <w:t>-</w:t>
            </w:r>
          </w:p>
        </w:tc>
        <w:tc>
          <w:tcPr>
            <w:tcW w:w="425" w:type="dxa"/>
            <w:vAlign w:val="bottom"/>
          </w:tcPr>
          <w:p w14:paraId="46664783" w14:textId="55132964" w:rsidR="000F7354" w:rsidRPr="001F224B" w:rsidRDefault="000F7354" w:rsidP="000F7354">
            <w:pPr>
              <w:jc w:val="right"/>
              <w:rPr>
                <w:sz w:val="14"/>
                <w:szCs w:val="14"/>
              </w:rPr>
            </w:pPr>
            <w:r w:rsidRPr="001F224B">
              <w:rPr>
                <w:sz w:val="14"/>
                <w:szCs w:val="14"/>
              </w:rPr>
              <w:t>-</w:t>
            </w:r>
          </w:p>
        </w:tc>
        <w:tc>
          <w:tcPr>
            <w:tcW w:w="567" w:type="dxa"/>
            <w:vAlign w:val="bottom"/>
          </w:tcPr>
          <w:p w14:paraId="5CD23B30" w14:textId="1D3BBE32"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8358F09" w14:textId="4131A8C9"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09BD03A5" w14:textId="0C11C46D"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33418D56" w14:textId="15D2A803" w:rsidR="000F7354" w:rsidRPr="001F224B" w:rsidRDefault="000F7354" w:rsidP="000F7354">
            <w:pPr>
              <w:jc w:val="right"/>
              <w:rPr>
                <w:sz w:val="14"/>
                <w:szCs w:val="14"/>
              </w:rPr>
            </w:pPr>
            <w:r w:rsidRPr="001F224B">
              <w:rPr>
                <w:color w:val="000000"/>
                <w:sz w:val="14"/>
                <w:szCs w:val="14"/>
              </w:rPr>
              <w:t>3.674.463</w:t>
            </w:r>
          </w:p>
        </w:tc>
        <w:tc>
          <w:tcPr>
            <w:tcW w:w="426" w:type="dxa"/>
            <w:shd w:val="clear" w:color="auto" w:fill="auto"/>
            <w:noWrap/>
            <w:vAlign w:val="bottom"/>
          </w:tcPr>
          <w:p w14:paraId="74D7DF26" w14:textId="62C1C4EF"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1898BCE1" w14:textId="09B02861"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3692B1D2" w14:textId="027E531E"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34BC93F7" w14:textId="246D3BD8" w:rsidR="000F7354" w:rsidRPr="001F224B" w:rsidRDefault="000F7354" w:rsidP="000F7354">
            <w:pPr>
              <w:jc w:val="right"/>
              <w:rPr>
                <w:sz w:val="14"/>
                <w:szCs w:val="14"/>
              </w:rPr>
            </w:pPr>
            <w:r w:rsidRPr="001F224B">
              <w:rPr>
                <w:color w:val="000000"/>
                <w:sz w:val="14"/>
                <w:szCs w:val="14"/>
              </w:rPr>
              <w:t>15.633.834</w:t>
            </w:r>
          </w:p>
        </w:tc>
      </w:tr>
      <w:tr w:rsidR="000F7354" w:rsidRPr="001F224B" w14:paraId="6455A2F8" w14:textId="77777777" w:rsidTr="000F7354">
        <w:trPr>
          <w:trHeight w:val="295"/>
        </w:trPr>
        <w:tc>
          <w:tcPr>
            <w:tcW w:w="425" w:type="dxa"/>
            <w:shd w:val="clear" w:color="auto" w:fill="auto"/>
            <w:noWrap/>
            <w:vAlign w:val="bottom"/>
            <w:hideMark/>
          </w:tcPr>
          <w:p w14:paraId="2F0C3914" w14:textId="77777777" w:rsidR="000F7354" w:rsidRPr="001F224B" w:rsidRDefault="000F7354" w:rsidP="000F7354">
            <w:pPr>
              <w:rPr>
                <w:color w:val="000000"/>
                <w:sz w:val="16"/>
                <w:szCs w:val="16"/>
              </w:rPr>
            </w:pPr>
            <w:r w:rsidRPr="001F224B">
              <w:rPr>
                <w:color w:val="000000"/>
                <w:sz w:val="16"/>
                <w:szCs w:val="16"/>
              </w:rPr>
              <w:t>2</w:t>
            </w:r>
          </w:p>
        </w:tc>
        <w:tc>
          <w:tcPr>
            <w:tcW w:w="1985" w:type="dxa"/>
            <w:shd w:val="clear" w:color="auto" w:fill="auto"/>
            <w:noWrap/>
            <w:vAlign w:val="bottom"/>
            <w:hideMark/>
          </w:tcPr>
          <w:p w14:paraId="02F67109" w14:textId="77777777" w:rsidR="000F7354" w:rsidRPr="001F224B" w:rsidRDefault="000F7354" w:rsidP="000F7354">
            <w:pPr>
              <w:rPr>
                <w:color w:val="000000"/>
                <w:sz w:val="16"/>
                <w:szCs w:val="16"/>
              </w:rPr>
            </w:pPr>
            <w:r w:rsidRPr="001F224B">
              <w:rPr>
                <w:color w:val="000000"/>
                <w:sz w:val="16"/>
                <w:szCs w:val="16"/>
              </w:rPr>
              <w:t>Bölgesel yönetimlerden veya yerel yönetimlerden alacaklar</w:t>
            </w:r>
          </w:p>
        </w:tc>
        <w:tc>
          <w:tcPr>
            <w:tcW w:w="850" w:type="dxa"/>
            <w:shd w:val="clear" w:color="auto" w:fill="auto"/>
            <w:noWrap/>
            <w:vAlign w:val="bottom"/>
          </w:tcPr>
          <w:p w14:paraId="435B25A9" w14:textId="6F90A843"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1AC09180" w14:textId="1A281537"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689AA274" w14:textId="5A7EF868" w:rsidR="000F7354" w:rsidRPr="001F224B" w:rsidRDefault="000F7354" w:rsidP="000F7354">
            <w:pPr>
              <w:jc w:val="right"/>
              <w:rPr>
                <w:sz w:val="14"/>
                <w:szCs w:val="14"/>
              </w:rPr>
            </w:pPr>
            <w:r w:rsidRPr="001F224B">
              <w:rPr>
                <w:sz w:val="14"/>
                <w:szCs w:val="14"/>
              </w:rPr>
              <w:t>-</w:t>
            </w:r>
          </w:p>
        </w:tc>
        <w:tc>
          <w:tcPr>
            <w:tcW w:w="425" w:type="dxa"/>
            <w:vAlign w:val="bottom"/>
          </w:tcPr>
          <w:p w14:paraId="0F573CDF" w14:textId="00F50257" w:rsidR="000F7354" w:rsidRPr="001F224B" w:rsidRDefault="000F7354" w:rsidP="000F7354">
            <w:pPr>
              <w:jc w:val="right"/>
              <w:rPr>
                <w:sz w:val="14"/>
                <w:szCs w:val="14"/>
              </w:rPr>
            </w:pPr>
            <w:r w:rsidRPr="001F224B">
              <w:rPr>
                <w:sz w:val="14"/>
                <w:szCs w:val="14"/>
              </w:rPr>
              <w:t>-</w:t>
            </w:r>
          </w:p>
        </w:tc>
        <w:tc>
          <w:tcPr>
            <w:tcW w:w="567" w:type="dxa"/>
            <w:vAlign w:val="bottom"/>
          </w:tcPr>
          <w:p w14:paraId="20C6ECBD" w14:textId="67EB3FCE"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A74CB35" w14:textId="42E29038"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DA45ABD" w14:textId="5199EE17"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6539DE1F" w14:textId="248C01D2"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780B46D1" w14:textId="58248326"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63A8ADEB" w14:textId="178FA97F"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59250316" w14:textId="53346ABD"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BF44059" w14:textId="34451C4F" w:rsidR="000F7354" w:rsidRPr="001F224B" w:rsidRDefault="000F7354" w:rsidP="000F7354">
            <w:pPr>
              <w:jc w:val="right"/>
              <w:rPr>
                <w:sz w:val="14"/>
                <w:szCs w:val="14"/>
              </w:rPr>
            </w:pPr>
            <w:r w:rsidRPr="001F224B">
              <w:rPr>
                <w:sz w:val="14"/>
                <w:szCs w:val="14"/>
              </w:rPr>
              <w:t>-</w:t>
            </w:r>
          </w:p>
        </w:tc>
      </w:tr>
      <w:tr w:rsidR="000F7354" w:rsidRPr="001F224B" w14:paraId="5D9B1428" w14:textId="77777777" w:rsidTr="000F7354">
        <w:trPr>
          <w:trHeight w:val="295"/>
        </w:trPr>
        <w:tc>
          <w:tcPr>
            <w:tcW w:w="425" w:type="dxa"/>
            <w:shd w:val="clear" w:color="auto" w:fill="auto"/>
            <w:noWrap/>
            <w:vAlign w:val="bottom"/>
            <w:hideMark/>
          </w:tcPr>
          <w:p w14:paraId="445A020C" w14:textId="77777777" w:rsidR="000F7354" w:rsidRPr="001F224B" w:rsidRDefault="000F7354" w:rsidP="000F7354">
            <w:pPr>
              <w:rPr>
                <w:color w:val="000000"/>
                <w:sz w:val="16"/>
                <w:szCs w:val="16"/>
              </w:rPr>
            </w:pPr>
            <w:r w:rsidRPr="001F224B">
              <w:rPr>
                <w:color w:val="000000"/>
                <w:sz w:val="16"/>
                <w:szCs w:val="16"/>
              </w:rPr>
              <w:t>3</w:t>
            </w:r>
          </w:p>
        </w:tc>
        <w:tc>
          <w:tcPr>
            <w:tcW w:w="1985" w:type="dxa"/>
            <w:shd w:val="clear" w:color="auto" w:fill="auto"/>
            <w:noWrap/>
            <w:vAlign w:val="bottom"/>
            <w:hideMark/>
          </w:tcPr>
          <w:p w14:paraId="4C0D6D29" w14:textId="77777777" w:rsidR="000F7354" w:rsidRPr="001F224B" w:rsidRDefault="000F7354" w:rsidP="000F7354">
            <w:pPr>
              <w:rPr>
                <w:color w:val="000000"/>
                <w:sz w:val="16"/>
                <w:szCs w:val="16"/>
              </w:rPr>
            </w:pPr>
            <w:r w:rsidRPr="001F224B">
              <w:rPr>
                <w:color w:val="000000"/>
                <w:sz w:val="16"/>
                <w:szCs w:val="16"/>
              </w:rPr>
              <w:t>İdari birimlerden ve ticari olmayan girişimlerden alacaklar</w:t>
            </w:r>
          </w:p>
        </w:tc>
        <w:tc>
          <w:tcPr>
            <w:tcW w:w="850" w:type="dxa"/>
            <w:shd w:val="clear" w:color="auto" w:fill="auto"/>
            <w:noWrap/>
            <w:vAlign w:val="bottom"/>
          </w:tcPr>
          <w:p w14:paraId="3A219FD4" w14:textId="0E4E4CA8"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36FD4B01" w14:textId="564AC6CB"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2E3327AD" w14:textId="14B7D645" w:rsidR="000F7354" w:rsidRPr="001F224B" w:rsidRDefault="000F7354" w:rsidP="000F7354">
            <w:pPr>
              <w:jc w:val="right"/>
              <w:rPr>
                <w:sz w:val="14"/>
                <w:szCs w:val="14"/>
              </w:rPr>
            </w:pPr>
            <w:r w:rsidRPr="001F224B">
              <w:rPr>
                <w:sz w:val="14"/>
                <w:szCs w:val="14"/>
              </w:rPr>
              <w:t>-</w:t>
            </w:r>
          </w:p>
        </w:tc>
        <w:tc>
          <w:tcPr>
            <w:tcW w:w="425" w:type="dxa"/>
            <w:vAlign w:val="bottom"/>
          </w:tcPr>
          <w:p w14:paraId="7B85E82B" w14:textId="0892E8AB" w:rsidR="000F7354" w:rsidRPr="001F224B" w:rsidRDefault="000F7354" w:rsidP="000F7354">
            <w:pPr>
              <w:jc w:val="right"/>
              <w:rPr>
                <w:sz w:val="14"/>
                <w:szCs w:val="14"/>
              </w:rPr>
            </w:pPr>
            <w:r w:rsidRPr="001F224B">
              <w:rPr>
                <w:sz w:val="14"/>
                <w:szCs w:val="14"/>
              </w:rPr>
              <w:t>-</w:t>
            </w:r>
          </w:p>
        </w:tc>
        <w:tc>
          <w:tcPr>
            <w:tcW w:w="567" w:type="dxa"/>
            <w:vAlign w:val="bottom"/>
          </w:tcPr>
          <w:p w14:paraId="5B28AF08" w14:textId="7010991D"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42CFB806" w14:textId="68947CA1"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5D38A28" w14:textId="37CAD366"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0F68016B" w14:textId="1B0141CA"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240B1407" w14:textId="7A3CAE78"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580C262F" w14:textId="27FFA2E4"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6521CA84" w14:textId="73A7D45F"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5C6303F1" w14:textId="5FAEF021" w:rsidR="000F7354" w:rsidRPr="001F224B" w:rsidRDefault="000F7354" w:rsidP="000F7354">
            <w:pPr>
              <w:jc w:val="right"/>
              <w:rPr>
                <w:sz w:val="14"/>
                <w:szCs w:val="14"/>
              </w:rPr>
            </w:pPr>
            <w:r w:rsidRPr="001F224B">
              <w:rPr>
                <w:sz w:val="14"/>
                <w:szCs w:val="14"/>
              </w:rPr>
              <w:t>-</w:t>
            </w:r>
          </w:p>
        </w:tc>
      </w:tr>
      <w:tr w:rsidR="000F7354" w:rsidRPr="001F224B" w14:paraId="0EAF4795" w14:textId="77777777" w:rsidTr="000F7354">
        <w:trPr>
          <w:trHeight w:val="295"/>
        </w:trPr>
        <w:tc>
          <w:tcPr>
            <w:tcW w:w="425" w:type="dxa"/>
            <w:shd w:val="clear" w:color="auto" w:fill="auto"/>
            <w:noWrap/>
            <w:vAlign w:val="bottom"/>
            <w:hideMark/>
          </w:tcPr>
          <w:p w14:paraId="21613A0B" w14:textId="77777777" w:rsidR="000F7354" w:rsidRPr="001F224B" w:rsidRDefault="000F7354" w:rsidP="000F7354">
            <w:pPr>
              <w:rPr>
                <w:color w:val="000000"/>
                <w:sz w:val="16"/>
                <w:szCs w:val="16"/>
              </w:rPr>
            </w:pPr>
            <w:r w:rsidRPr="001F224B">
              <w:rPr>
                <w:color w:val="000000"/>
                <w:sz w:val="16"/>
                <w:szCs w:val="16"/>
              </w:rPr>
              <w:t>4</w:t>
            </w:r>
          </w:p>
        </w:tc>
        <w:tc>
          <w:tcPr>
            <w:tcW w:w="1985" w:type="dxa"/>
            <w:shd w:val="clear" w:color="auto" w:fill="auto"/>
            <w:noWrap/>
            <w:vAlign w:val="bottom"/>
            <w:hideMark/>
          </w:tcPr>
          <w:p w14:paraId="29FC86F9" w14:textId="77777777" w:rsidR="000F7354" w:rsidRPr="001F224B" w:rsidRDefault="000F7354" w:rsidP="000F7354">
            <w:pPr>
              <w:rPr>
                <w:color w:val="000000"/>
                <w:sz w:val="16"/>
                <w:szCs w:val="16"/>
              </w:rPr>
            </w:pPr>
            <w:r w:rsidRPr="001F224B">
              <w:rPr>
                <w:color w:val="000000"/>
                <w:sz w:val="16"/>
                <w:szCs w:val="16"/>
              </w:rPr>
              <w:t>Çok taraflı kalkınma bankalarından alacaklar</w:t>
            </w:r>
          </w:p>
        </w:tc>
        <w:tc>
          <w:tcPr>
            <w:tcW w:w="850" w:type="dxa"/>
            <w:shd w:val="clear" w:color="auto" w:fill="auto"/>
            <w:noWrap/>
            <w:vAlign w:val="bottom"/>
          </w:tcPr>
          <w:p w14:paraId="57D2C32A" w14:textId="6BD9EAFD"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4B9611C0" w14:textId="2DA8EE6E"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5733D761" w14:textId="6F52111B" w:rsidR="000F7354" w:rsidRPr="001F224B" w:rsidRDefault="000F7354" w:rsidP="000F7354">
            <w:pPr>
              <w:jc w:val="right"/>
              <w:rPr>
                <w:sz w:val="14"/>
                <w:szCs w:val="14"/>
              </w:rPr>
            </w:pPr>
            <w:r w:rsidRPr="001F224B">
              <w:rPr>
                <w:sz w:val="14"/>
                <w:szCs w:val="14"/>
              </w:rPr>
              <w:t>-</w:t>
            </w:r>
          </w:p>
        </w:tc>
        <w:tc>
          <w:tcPr>
            <w:tcW w:w="425" w:type="dxa"/>
            <w:vAlign w:val="bottom"/>
          </w:tcPr>
          <w:p w14:paraId="7ADA7BE7" w14:textId="204E8FF4" w:rsidR="000F7354" w:rsidRPr="001F224B" w:rsidRDefault="000F7354" w:rsidP="000F7354">
            <w:pPr>
              <w:jc w:val="right"/>
              <w:rPr>
                <w:sz w:val="14"/>
                <w:szCs w:val="14"/>
              </w:rPr>
            </w:pPr>
            <w:r w:rsidRPr="001F224B">
              <w:rPr>
                <w:sz w:val="14"/>
                <w:szCs w:val="14"/>
              </w:rPr>
              <w:t>-</w:t>
            </w:r>
          </w:p>
        </w:tc>
        <w:tc>
          <w:tcPr>
            <w:tcW w:w="567" w:type="dxa"/>
            <w:vAlign w:val="bottom"/>
          </w:tcPr>
          <w:p w14:paraId="2AD03AB1" w14:textId="5A4D6BB3"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11684FD3" w14:textId="40747A73"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69CB1BFB" w14:textId="08ED0A26"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2FFD4D38" w14:textId="2220FF67"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23881970" w14:textId="0CE9197C"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744AB17" w14:textId="7C14EA6F"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60645D2E" w14:textId="4D94A6FF"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0557A706" w14:textId="15304A66" w:rsidR="000F7354" w:rsidRPr="001F224B" w:rsidRDefault="000F7354" w:rsidP="000F7354">
            <w:pPr>
              <w:jc w:val="right"/>
              <w:rPr>
                <w:sz w:val="14"/>
                <w:szCs w:val="14"/>
              </w:rPr>
            </w:pPr>
            <w:r w:rsidRPr="001F224B">
              <w:rPr>
                <w:sz w:val="14"/>
                <w:szCs w:val="14"/>
              </w:rPr>
              <w:t>-</w:t>
            </w:r>
          </w:p>
        </w:tc>
      </w:tr>
      <w:tr w:rsidR="000F7354" w:rsidRPr="001F224B" w14:paraId="699E6BF3" w14:textId="77777777" w:rsidTr="000F7354">
        <w:trPr>
          <w:trHeight w:val="295"/>
        </w:trPr>
        <w:tc>
          <w:tcPr>
            <w:tcW w:w="425" w:type="dxa"/>
            <w:shd w:val="clear" w:color="auto" w:fill="auto"/>
            <w:noWrap/>
            <w:vAlign w:val="bottom"/>
            <w:hideMark/>
          </w:tcPr>
          <w:p w14:paraId="7559CDA8" w14:textId="77777777" w:rsidR="000F7354" w:rsidRPr="001F224B" w:rsidRDefault="000F7354" w:rsidP="000F7354">
            <w:pPr>
              <w:rPr>
                <w:color w:val="000000"/>
                <w:sz w:val="16"/>
                <w:szCs w:val="16"/>
              </w:rPr>
            </w:pPr>
            <w:r w:rsidRPr="001F224B">
              <w:rPr>
                <w:color w:val="000000"/>
                <w:sz w:val="16"/>
                <w:szCs w:val="16"/>
              </w:rPr>
              <w:t>5</w:t>
            </w:r>
          </w:p>
        </w:tc>
        <w:tc>
          <w:tcPr>
            <w:tcW w:w="1985" w:type="dxa"/>
            <w:shd w:val="clear" w:color="auto" w:fill="auto"/>
            <w:noWrap/>
            <w:vAlign w:val="bottom"/>
            <w:hideMark/>
          </w:tcPr>
          <w:p w14:paraId="11339E85" w14:textId="77777777" w:rsidR="000F7354" w:rsidRPr="001F224B" w:rsidRDefault="000F7354" w:rsidP="000F7354">
            <w:pPr>
              <w:rPr>
                <w:color w:val="000000"/>
                <w:sz w:val="16"/>
                <w:szCs w:val="16"/>
              </w:rPr>
            </w:pPr>
            <w:r w:rsidRPr="001F224B">
              <w:rPr>
                <w:color w:val="000000"/>
                <w:sz w:val="16"/>
                <w:szCs w:val="16"/>
              </w:rPr>
              <w:t>Uluslararası teşkilatlardan alacaklar</w:t>
            </w:r>
          </w:p>
        </w:tc>
        <w:tc>
          <w:tcPr>
            <w:tcW w:w="850" w:type="dxa"/>
            <w:shd w:val="clear" w:color="auto" w:fill="auto"/>
            <w:noWrap/>
            <w:vAlign w:val="bottom"/>
          </w:tcPr>
          <w:p w14:paraId="04550ACB" w14:textId="1B87B5D9"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4D8BC33F" w14:textId="0BC48933"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5CE15E4" w14:textId="0548B1C7" w:rsidR="000F7354" w:rsidRPr="001F224B" w:rsidRDefault="000F7354" w:rsidP="000F7354">
            <w:pPr>
              <w:jc w:val="right"/>
              <w:rPr>
                <w:sz w:val="14"/>
                <w:szCs w:val="14"/>
              </w:rPr>
            </w:pPr>
            <w:r w:rsidRPr="001F224B">
              <w:rPr>
                <w:sz w:val="14"/>
                <w:szCs w:val="14"/>
              </w:rPr>
              <w:t>-</w:t>
            </w:r>
          </w:p>
        </w:tc>
        <w:tc>
          <w:tcPr>
            <w:tcW w:w="425" w:type="dxa"/>
            <w:vAlign w:val="bottom"/>
          </w:tcPr>
          <w:p w14:paraId="4E2A82AD" w14:textId="2AE68C8C" w:rsidR="000F7354" w:rsidRPr="001F224B" w:rsidRDefault="000F7354" w:rsidP="000F7354">
            <w:pPr>
              <w:jc w:val="right"/>
              <w:rPr>
                <w:sz w:val="14"/>
                <w:szCs w:val="14"/>
              </w:rPr>
            </w:pPr>
            <w:r w:rsidRPr="001F224B">
              <w:rPr>
                <w:sz w:val="14"/>
                <w:szCs w:val="14"/>
              </w:rPr>
              <w:t>-</w:t>
            </w:r>
          </w:p>
        </w:tc>
        <w:tc>
          <w:tcPr>
            <w:tcW w:w="567" w:type="dxa"/>
            <w:vAlign w:val="bottom"/>
          </w:tcPr>
          <w:p w14:paraId="4FE3FF30" w14:textId="532461E4"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78C1B431" w14:textId="77AF9269"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A2AC140" w14:textId="3E105657"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15447B0F" w14:textId="3BFF6CD3"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7F31BADF" w14:textId="555F42F4"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1DB07B5" w14:textId="6E7B5003"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3AC3669F" w14:textId="65CC5321"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544C09E" w14:textId="49A1935E" w:rsidR="000F7354" w:rsidRPr="001F224B" w:rsidRDefault="000F7354" w:rsidP="000F7354">
            <w:pPr>
              <w:jc w:val="right"/>
              <w:rPr>
                <w:sz w:val="14"/>
                <w:szCs w:val="14"/>
              </w:rPr>
            </w:pPr>
            <w:r w:rsidRPr="001F224B">
              <w:rPr>
                <w:sz w:val="14"/>
                <w:szCs w:val="14"/>
              </w:rPr>
              <w:t>-</w:t>
            </w:r>
          </w:p>
        </w:tc>
      </w:tr>
      <w:tr w:rsidR="000F7354" w:rsidRPr="001F224B" w14:paraId="2FD92A6E" w14:textId="77777777" w:rsidTr="000F7354">
        <w:trPr>
          <w:trHeight w:val="295"/>
        </w:trPr>
        <w:tc>
          <w:tcPr>
            <w:tcW w:w="425" w:type="dxa"/>
            <w:shd w:val="clear" w:color="auto" w:fill="auto"/>
            <w:noWrap/>
            <w:vAlign w:val="bottom"/>
            <w:hideMark/>
          </w:tcPr>
          <w:p w14:paraId="7DA04189" w14:textId="77777777" w:rsidR="000F7354" w:rsidRPr="001F224B" w:rsidRDefault="000F7354" w:rsidP="000F7354">
            <w:pPr>
              <w:rPr>
                <w:color w:val="000000"/>
                <w:sz w:val="16"/>
                <w:szCs w:val="16"/>
              </w:rPr>
            </w:pPr>
            <w:r w:rsidRPr="001F224B">
              <w:rPr>
                <w:color w:val="000000"/>
                <w:sz w:val="16"/>
                <w:szCs w:val="16"/>
              </w:rPr>
              <w:t>6</w:t>
            </w:r>
          </w:p>
        </w:tc>
        <w:tc>
          <w:tcPr>
            <w:tcW w:w="1985" w:type="dxa"/>
            <w:shd w:val="clear" w:color="auto" w:fill="auto"/>
            <w:noWrap/>
            <w:vAlign w:val="bottom"/>
            <w:hideMark/>
          </w:tcPr>
          <w:p w14:paraId="07FF1311" w14:textId="77777777" w:rsidR="000F7354" w:rsidRPr="001F224B" w:rsidRDefault="000F7354" w:rsidP="000F7354">
            <w:pPr>
              <w:rPr>
                <w:color w:val="000000"/>
                <w:sz w:val="16"/>
                <w:szCs w:val="16"/>
              </w:rPr>
            </w:pPr>
            <w:r w:rsidRPr="001F224B">
              <w:rPr>
                <w:color w:val="000000"/>
                <w:sz w:val="16"/>
                <w:szCs w:val="16"/>
              </w:rPr>
              <w:t>Bankalardan ve aracı kurumlardan alacaklar</w:t>
            </w:r>
          </w:p>
        </w:tc>
        <w:tc>
          <w:tcPr>
            <w:tcW w:w="850" w:type="dxa"/>
            <w:shd w:val="clear" w:color="auto" w:fill="auto"/>
            <w:noWrap/>
            <w:vAlign w:val="bottom"/>
          </w:tcPr>
          <w:p w14:paraId="5F8B3509" w14:textId="3968DEA0"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7A7E8D82" w14:textId="11265EA3"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64079C00" w14:textId="682317E0" w:rsidR="000F7354" w:rsidRPr="001F224B" w:rsidRDefault="000F7354" w:rsidP="000F7354">
            <w:pPr>
              <w:jc w:val="right"/>
              <w:rPr>
                <w:sz w:val="14"/>
                <w:szCs w:val="14"/>
              </w:rPr>
            </w:pPr>
            <w:r w:rsidRPr="001F224B">
              <w:rPr>
                <w:sz w:val="14"/>
                <w:szCs w:val="14"/>
              </w:rPr>
              <w:t>14.423.829</w:t>
            </w:r>
          </w:p>
        </w:tc>
        <w:tc>
          <w:tcPr>
            <w:tcW w:w="425" w:type="dxa"/>
            <w:vAlign w:val="bottom"/>
          </w:tcPr>
          <w:p w14:paraId="12F89BDF" w14:textId="34F70B29" w:rsidR="000F7354" w:rsidRPr="001F224B" w:rsidRDefault="000F7354" w:rsidP="000F7354">
            <w:pPr>
              <w:jc w:val="right"/>
              <w:rPr>
                <w:sz w:val="14"/>
                <w:szCs w:val="14"/>
              </w:rPr>
            </w:pPr>
            <w:r w:rsidRPr="001F224B">
              <w:rPr>
                <w:sz w:val="14"/>
                <w:szCs w:val="14"/>
              </w:rPr>
              <w:t>-</w:t>
            </w:r>
          </w:p>
        </w:tc>
        <w:tc>
          <w:tcPr>
            <w:tcW w:w="567" w:type="dxa"/>
            <w:vAlign w:val="bottom"/>
          </w:tcPr>
          <w:p w14:paraId="668074C1" w14:textId="6EB4DFAB" w:rsidR="000F7354" w:rsidRPr="001F224B" w:rsidRDefault="000F7354" w:rsidP="000F7354">
            <w:pPr>
              <w:jc w:val="right"/>
              <w:rPr>
                <w:sz w:val="14"/>
                <w:szCs w:val="14"/>
              </w:rPr>
            </w:pPr>
            <w:r w:rsidRPr="001F224B">
              <w:rPr>
                <w:color w:val="000000"/>
                <w:sz w:val="14"/>
                <w:szCs w:val="14"/>
              </w:rPr>
              <w:t>-</w:t>
            </w:r>
          </w:p>
        </w:tc>
        <w:tc>
          <w:tcPr>
            <w:tcW w:w="851" w:type="dxa"/>
            <w:shd w:val="clear" w:color="auto" w:fill="auto"/>
            <w:noWrap/>
            <w:vAlign w:val="bottom"/>
          </w:tcPr>
          <w:p w14:paraId="690BF989" w14:textId="06B039B3" w:rsidR="000F7354" w:rsidRPr="001F224B" w:rsidRDefault="000F7354" w:rsidP="000F7354">
            <w:pPr>
              <w:jc w:val="right"/>
              <w:rPr>
                <w:sz w:val="14"/>
                <w:szCs w:val="14"/>
              </w:rPr>
            </w:pPr>
            <w:r w:rsidRPr="001F224B">
              <w:rPr>
                <w:color w:val="000000"/>
                <w:sz w:val="14"/>
                <w:szCs w:val="14"/>
              </w:rPr>
              <w:t>11.706.160</w:t>
            </w:r>
          </w:p>
        </w:tc>
        <w:tc>
          <w:tcPr>
            <w:tcW w:w="425" w:type="dxa"/>
            <w:shd w:val="clear" w:color="auto" w:fill="auto"/>
            <w:noWrap/>
            <w:vAlign w:val="bottom"/>
          </w:tcPr>
          <w:p w14:paraId="0B70EC6B" w14:textId="351CD4B4"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062A6AB7" w14:textId="0950AC42" w:rsidR="000F7354" w:rsidRPr="001F224B" w:rsidRDefault="000F7354" w:rsidP="000F7354">
            <w:pPr>
              <w:jc w:val="right"/>
              <w:rPr>
                <w:sz w:val="14"/>
                <w:szCs w:val="14"/>
              </w:rPr>
            </w:pPr>
            <w:r w:rsidRPr="001F224B">
              <w:rPr>
                <w:sz w:val="14"/>
                <w:szCs w:val="14"/>
              </w:rPr>
              <w:t>4.710.773</w:t>
            </w:r>
          </w:p>
        </w:tc>
        <w:tc>
          <w:tcPr>
            <w:tcW w:w="426" w:type="dxa"/>
            <w:shd w:val="clear" w:color="auto" w:fill="auto"/>
            <w:noWrap/>
            <w:vAlign w:val="bottom"/>
          </w:tcPr>
          <w:p w14:paraId="244C978B" w14:textId="7EA8CAFA"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295E77A7" w14:textId="3C5CF377"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28211870" w14:textId="559C362F" w:rsidR="000F7354" w:rsidRPr="001F224B" w:rsidRDefault="000F7354" w:rsidP="000F7354">
            <w:pPr>
              <w:jc w:val="right"/>
              <w:rPr>
                <w:sz w:val="14"/>
                <w:szCs w:val="14"/>
              </w:rPr>
            </w:pPr>
            <w:r w:rsidRPr="001F224B">
              <w:rPr>
                <w:sz w:val="14"/>
                <w:szCs w:val="14"/>
              </w:rPr>
              <w:t>303.590</w:t>
            </w:r>
          </w:p>
        </w:tc>
        <w:tc>
          <w:tcPr>
            <w:tcW w:w="850" w:type="dxa"/>
            <w:shd w:val="clear" w:color="auto" w:fill="auto"/>
            <w:noWrap/>
            <w:vAlign w:val="bottom"/>
          </w:tcPr>
          <w:p w14:paraId="18B34134" w14:textId="3AC33CCF" w:rsidR="000F7354" w:rsidRPr="001F224B" w:rsidRDefault="000F7354" w:rsidP="000F7354">
            <w:pPr>
              <w:jc w:val="right"/>
              <w:rPr>
                <w:sz w:val="14"/>
                <w:szCs w:val="14"/>
              </w:rPr>
            </w:pPr>
            <w:r w:rsidRPr="001F224B">
              <w:rPr>
                <w:color w:val="000000"/>
                <w:sz w:val="14"/>
                <w:szCs w:val="14"/>
              </w:rPr>
              <w:t>31.144.352</w:t>
            </w:r>
          </w:p>
        </w:tc>
      </w:tr>
      <w:tr w:rsidR="000F7354" w:rsidRPr="001F224B" w14:paraId="672B2B58" w14:textId="77777777" w:rsidTr="000F7354">
        <w:trPr>
          <w:trHeight w:val="295"/>
        </w:trPr>
        <w:tc>
          <w:tcPr>
            <w:tcW w:w="425" w:type="dxa"/>
            <w:shd w:val="clear" w:color="auto" w:fill="auto"/>
            <w:noWrap/>
            <w:vAlign w:val="bottom"/>
            <w:hideMark/>
          </w:tcPr>
          <w:p w14:paraId="393D7CD4" w14:textId="77777777" w:rsidR="000F7354" w:rsidRPr="001F224B" w:rsidRDefault="000F7354" w:rsidP="000F7354">
            <w:pPr>
              <w:rPr>
                <w:color w:val="000000"/>
                <w:sz w:val="16"/>
                <w:szCs w:val="16"/>
              </w:rPr>
            </w:pPr>
            <w:r w:rsidRPr="001F224B">
              <w:rPr>
                <w:color w:val="000000"/>
                <w:sz w:val="16"/>
                <w:szCs w:val="16"/>
              </w:rPr>
              <w:t>7</w:t>
            </w:r>
          </w:p>
        </w:tc>
        <w:tc>
          <w:tcPr>
            <w:tcW w:w="1985" w:type="dxa"/>
            <w:shd w:val="clear" w:color="auto" w:fill="auto"/>
            <w:noWrap/>
            <w:vAlign w:val="bottom"/>
            <w:hideMark/>
          </w:tcPr>
          <w:p w14:paraId="06EA93B5" w14:textId="77777777" w:rsidR="000F7354" w:rsidRPr="001F224B" w:rsidRDefault="000F7354" w:rsidP="000F7354">
            <w:pPr>
              <w:rPr>
                <w:color w:val="000000"/>
                <w:sz w:val="16"/>
                <w:szCs w:val="16"/>
              </w:rPr>
            </w:pPr>
            <w:r w:rsidRPr="001F224B">
              <w:rPr>
                <w:color w:val="000000"/>
                <w:sz w:val="16"/>
                <w:szCs w:val="16"/>
              </w:rPr>
              <w:t>Kurumsal alacaklar</w:t>
            </w:r>
          </w:p>
        </w:tc>
        <w:tc>
          <w:tcPr>
            <w:tcW w:w="850" w:type="dxa"/>
            <w:shd w:val="clear" w:color="auto" w:fill="auto"/>
            <w:noWrap/>
            <w:vAlign w:val="bottom"/>
          </w:tcPr>
          <w:p w14:paraId="70312D31" w14:textId="083B49F9"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299F919C" w14:textId="19AC9C9B"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69A1DB38" w14:textId="4840C3E1" w:rsidR="000F7354" w:rsidRPr="001F224B" w:rsidRDefault="000F7354" w:rsidP="000F7354">
            <w:pPr>
              <w:jc w:val="right"/>
              <w:rPr>
                <w:sz w:val="14"/>
                <w:szCs w:val="14"/>
              </w:rPr>
            </w:pPr>
            <w:r w:rsidRPr="001F224B">
              <w:rPr>
                <w:sz w:val="14"/>
                <w:szCs w:val="14"/>
              </w:rPr>
              <w:t>-</w:t>
            </w:r>
          </w:p>
        </w:tc>
        <w:tc>
          <w:tcPr>
            <w:tcW w:w="425" w:type="dxa"/>
            <w:vAlign w:val="bottom"/>
          </w:tcPr>
          <w:p w14:paraId="0163F37A" w14:textId="6F2CA75D" w:rsidR="000F7354" w:rsidRPr="001F224B" w:rsidRDefault="000F7354" w:rsidP="000F7354">
            <w:pPr>
              <w:jc w:val="right"/>
              <w:rPr>
                <w:sz w:val="14"/>
                <w:szCs w:val="14"/>
              </w:rPr>
            </w:pPr>
            <w:r w:rsidRPr="001F224B">
              <w:rPr>
                <w:sz w:val="14"/>
                <w:szCs w:val="14"/>
              </w:rPr>
              <w:t>-</w:t>
            </w:r>
          </w:p>
        </w:tc>
        <w:tc>
          <w:tcPr>
            <w:tcW w:w="567" w:type="dxa"/>
            <w:vAlign w:val="bottom"/>
          </w:tcPr>
          <w:p w14:paraId="728033A8" w14:textId="4A155898"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3B4AB7E8" w14:textId="54AC511D"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C7E18AC" w14:textId="208E4FA9"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4C854CB6" w14:textId="307554B7" w:rsidR="000F7354" w:rsidRPr="001F224B" w:rsidRDefault="000F7354" w:rsidP="000F7354">
            <w:pPr>
              <w:jc w:val="right"/>
              <w:rPr>
                <w:sz w:val="14"/>
                <w:szCs w:val="14"/>
              </w:rPr>
            </w:pPr>
            <w:r w:rsidRPr="001F224B">
              <w:rPr>
                <w:color w:val="000000"/>
                <w:sz w:val="14"/>
                <w:szCs w:val="14"/>
              </w:rPr>
              <w:t>85.492.818</w:t>
            </w:r>
          </w:p>
        </w:tc>
        <w:tc>
          <w:tcPr>
            <w:tcW w:w="426" w:type="dxa"/>
            <w:shd w:val="clear" w:color="auto" w:fill="auto"/>
            <w:noWrap/>
            <w:vAlign w:val="bottom"/>
          </w:tcPr>
          <w:p w14:paraId="30DCADDF" w14:textId="49D44260"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1D070FFE" w14:textId="69BE577F"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32FD3DCB" w14:textId="27924C38"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38386944" w14:textId="5BE00975" w:rsidR="000F7354" w:rsidRPr="001F224B" w:rsidRDefault="000F7354" w:rsidP="000F7354">
            <w:pPr>
              <w:jc w:val="right"/>
              <w:rPr>
                <w:sz w:val="14"/>
                <w:szCs w:val="14"/>
              </w:rPr>
            </w:pPr>
            <w:r w:rsidRPr="001F224B">
              <w:rPr>
                <w:color w:val="000000"/>
                <w:sz w:val="14"/>
                <w:szCs w:val="14"/>
              </w:rPr>
              <w:t>85.492.818</w:t>
            </w:r>
          </w:p>
        </w:tc>
      </w:tr>
      <w:tr w:rsidR="000F7354" w:rsidRPr="001F224B" w14:paraId="738210DB" w14:textId="77777777" w:rsidTr="000F7354">
        <w:trPr>
          <w:trHeight w:val="295"/>
        </w:trPr>
        <w:tc>
          <w:tcPr>
            <w:tcW w:w="425" w:type="dxa"/>
            <w:shd w:val="clear" w:color="auto" w:fill="auto"/>
            <w:noWrap/>
            <w:vAlign w:val="bottom"/>
            <w:hideMark/>
          </w:tcPr>
          <w:p w14:paraId="7E2AC068" w14:textId="77777777" w:rsidR="000F7354" w:rsidRPr="001F224B" w:rsidRDefault="000F7354" w:rsidP="000F7354">
            <w:pPr>
              <w:rPr>
                <w:color w:val="000000"/>
                <w:sz w:val="16"/>
                <w:szCs w:val="16"/>
              </w:rPr>
            </w:pPr>
            <w:r w:rsidRPr="001F224B">
              <w:rPr>
                <w:color w:val="000000"/>
                <w:sz w:val="16"/>
                <w:szCs w:val="16"/>
              </w:rPr>
              <w:t>8</w:t>
            </w:r>
          </w:p>
        </w:tc>
        <w:tc>
          <w:tcPr>
            <w:tcW w:w="1985" w:type="dxa"/>
            <w:shd w:val="clear" w:color="auto" w:fill="auto"/>
            <w:noWrap/>
            <w:vAlign w:val="bottom"/>
            <w:hideMark/>
          </w:tcPr>
          <w:p w14:paraId="49245622" w14:textId="77777777" w:rsidR="000F7354" w:rsidRPr="001F224B" w:rsidRDefault="000F7354" w:rsidP="000F7354">
            <w:pPr>
              <w:rPr>
                <w:color w:val="000000"/>
                <w:sz w:val="16"/>
                <w:szCs w:val="16"/>
              </w:rPr>
            </w:pPr>
            <w:r w:rsidRPr="001F224B">
              <w:rPr>
                <w:color w:val="000000"/>
                <w:sz w:val="16"/>
                <w:szCs w:val="16"/>
              </w:rPr>
              <w:t>Perakende alacaklar</w:t>
            </w:r>
          </w:p>
        </w:tc>
        <w:tc>
          <w:tcPr>
            <w:tcW w:w="850" w:type="dxa"/>
            <w:shd w:val="clear" w:color="auto" w:fill="auto"/>
            <w:noWrap/>
            <w:vAlign w:val="bottom"/>
          </w:tcPr>
          <w:p w14:paraId="1209360A" w14:textId="3C96FA76"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066ACF64" w14:textId="0E51CEFF"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4AA2D3D1" w14:textId="60B3E92C" w:rsidR="000F7354" w:rsidRPr="001F224B" w:rsidRDefault="000F7354" w:rsidP="000F7354">
            <w:pPr>
              <w:jc w:val="right"/>
              <w:rPr>
                <w:sz w:val="14"/>
                <w:szCs w:val="14"/>
              </w:rPr>
            </w:pPr>
            <w:r w:rsidRPr="001F224B">
              <w:rPr>
                <w:sz w:val="14"/>
                <w:szCs w:val="14"/>
              </w:rPr>
              <w:t>-</w:t>
            </w:r>
          </w:p>
        </w:tc>
        <w:tc>
          <w:tcPr>
            <w:tcW w:w="425" w:type="dxa"/>
            <w:vAlign w:val="bottom"/>
          </w:tcPr>
          <w:p w14:paraId="63A4E45F" w14:textId="6C0CE587" w:rsidR="000F7354" w:rsidRPr="001F224B" w:rsidRDefault="000F7354" w:rsidP="000F7354">
            <w:pPr>
              <w:jc w:val="right"/>
              <w:rPr>
                <w:sz w:val="14"/>
                <w:szCs w:val="14"/>
              </w:rPr>
            </w:pPr>
            <w:r w:rsidRPr="001F224B">
              <w:rPr>
                <w:sz w:val="14"/>
                <w:szCs w:val="14"/>
              </w:rPr>
              <w:t>-</w:t>
            </w:r>
          </w:p>
        </w:tc>
        <w:tc>
          <w:tcPr>
            <w:tcW w:w="567" w:type="dxa"/>
            <w:vAlign w:val="bottom"/>
          </w:tcPr>
          <w:p w14:paraId="47D9FC7C" w14:textId="194F9354"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10B7F113" w14:textId="0247DA48"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7BA81913" w14:textId="6D7D75AB"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AD6F06D" w14:textId="1281A468"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22D26FA0" w14:textId="42EB54D0"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7E11017F" w14:textId="74974D86"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6D736410" w14:textId="0D5450F1"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ED2AE9F" w14:textId="23CA3BEC" w:rsidR="000F7354" w:rsidRPr="001F224B" w:rsidRDefault="000F7354" w:rsidP="000F7354">
            <w:pPr>
              <w:jc w:val="right"/>
              <w:rPr>
                <w:sz w:val="14"/>
                <w:szCs w:val="14"/>
              </w:rPr>
            </w:pPr>
            <w:r w:rsidRPr="001F224B">
              <w:rPr>
                <w:sz w:val="14"/>
                <w:szCs w:val="14"/>
              </w:rPr>
              <w:t>-</w:t>
            </w:r>
          </w:p>
        </w:tc>
      </w:tr>
      <w:tr w:rsidR="000F7354" w:rsidRPr="001F224B" w14:paraId="7CC9AAE9" w14:textId="77777777" w:rsidTr="000F7354">
        <w:trPr>
          <w:trHeight w:val="295"/>
        </w:trPr>
        <w:tc>
          <w:tcPr>
            <w:tcW w:w="425" w:type="dxa"/>
            <w:shd w:val="clear" w:color="auto" w:fill="auto"/>
            <w:noWrap/>
            <w:vAlign w:val="bottom"/>
            <w:hideMark/>
          </w:tcPr>
          <w:p w14:paraId="5FCD8E94" w14:textId="77777777" w:rsidR="000F7354" w:rsidRPr="001F224B" w:rsidRDefault="000F7354" w:rsidP="000F7354">
            <w:pPr>
              <w:rPr>
                <w:color w:val="000000"/>
                <w:sz w:val="16"/>
                <w:szCs w:val="16"/>
              </w:rPr>
            </w:pPr>
            <w:r w:rsidRPr="001F224B">
              <w:rPr>
                <w:color w:val="000000"/>
                <w:sz w:val="16"/>
                <w:szCs w:val="16"/>
              </w:rPr>
              <w:t>9</w:t>
            </w:r>
          </w:p>
        </w:tc>
        <w:tc>
          <w:tcPr>
            <w:tcW w:w="1985" w:type="dxa"/>
            <w:shd w:val="clear" w:color="auto" w:fill="auto"/>
            <w:noWrap/>
            <w:vAlign w:val="bottom"/>
            <w:hideMark/>
          </w:tcPr>
          <w:p w14:paraId="6BE3A8B1" w14:textId="77777777" w:rsidR="000F7354" w:rsidRPr="001F224B" w:rsidRDefault="000F7354" w:rsidP="000F7354">
            <w:pPr>
              <w:rPr>
                <w:color w:val="000000"/>
                <w:sz w:val="16"/>
                <w:szCs w:val="16"/>
              </w:rPr>
            </w:pPr>
            <w:r w:rsidRPr="001F224B">
              <w:rPr>
                <w:color w:val="000000"/>
                <w:sz w:val="16"/>
                <w:szCs w:val="16"/>
              </w:rPr>
              <w:t>İkamet amaçlı gayrimenkul ipoteği ile teminatlandırılan alacaklar</w:t>
            </w:r>
          </w:p>
        </w:tc>
        <w:tc>
          <w:tcPr>
            <w:tcW w:w="850" w:type="dxa"/>
            <w:shd w:val="clear" w:color="auto" w:fill="auto"/>
            <w:noWrap/>
            <w:vAlign w:val="bottom"/>
          </w:tcPr>
          <w:p w14:paraId="17CB81D8" w14:textId="0A5CE9CF"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7540F28A" w14:textId="0BB7ABD9"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57A58561" w14:textId="124A4360" w:rsidR="000F7354" w:rsidRPr="001F224B" w:rsidRDefault="000F7354" w:rsidP="000F7354">
            <w:pPr>
              <w:jc w:val="right"/>
              <w:rPr>
                <w:sz w:val="14"/>
                <w:szCs w:val="14"/>
              </w:rPr>
            </w:pPr>
            <w:r w:rsidRPr="001F224B">
              <w:rPr>
                <w:sz w:val="14"/>
                <w:szCs w:val="14"/>
              </w:rPr>
              <w:t>-</w:t>
            </w:r>
          </w:p>
        </w:tc>
        <w:tc>
          <w:tcPr>
            <w:tcW w:w="425" w:type="dxa"/>
            <w:vAlign w:val="bottom"/>
          </w:tcPr>
          <w:p w14:paraId="03FAADCA" w14:textId="25E9A825" w:rsidR="000F7354" w:rsidRPr="001F224B" w:rsidRDefault="000F7354" w:rsidP="000F7354">
            <w:pPr>
              <w:jc w:val="right"/>
              <w:rPr>
                <w:sz w:val="14"/>
                <w:szCs w:val="14"/>
              </w:rPr>
            </w:pPr>
            <w:r w:rsidRPr="001F224B">
              <w:rPr>
                <w:sz w:val="14"/>
                <w:szCs w:val="14"/>
              </w:rPr>
              <w:t>-</w:t>
            </w:r>
          </w:p>
        </w:tc>
        <w:tc>
          <w:tcPr>
            <w:tcW w:w="567" w:type="dxa"/>
            <w:vAlign w:val="bottom"/>
          </w:tcPr>
          <w:p w14:paraId="42E9BFCD" w14:textId="4724CD24" w:rsidR="000F7354" w:rsidRPr="001F224B" w:rsidRDefault="000F7354" w:rsidP="000F7354">
            <w:pPr>
              <w:jc w:val="right"/>
              <w:rPr>
                <w:sz w:val="14"/>
                <w:szCs w:val="14"/>
              </w:rPr>
            </w:pPr>
            <w:r w:rsidRPr="001F224B">
              <w:rPr>
                <w:sz w:val="14"/>
                <w:szCs w:val="14"/>
              </w:rPr>
              <w:t xml:space="preserve">    45.350</w:t>
            </w:r>
          </w:p>
        </w:tc>
        <w:tc>
          <w:tcPr>
            <w:tcW w:w="851" w:type="dxa"/>
            <w:shd w:val="clear" w:color="auto" w:fill="auto"/>
            <w:noWrap/>
            <w:vAlign w:val="bottom"/>
          </w:tcPr>
          <w:p w14:paraId="1C6FF5C4" w14:textId="2150B7E3"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0E340EF6" w14:textId="37ECDE40"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E2EB407" w14:textId="31E35EC5"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60BD6761" w14:textId="6C384774"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5D33D15F" w14:textId="72257EED"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27F42140" w14:textId="7A738F95"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5BAC51C4" w14:textId="5A090CF8" w:rsidR="000F7354" w:rsidRPr="001F224B" w:rsidRDefault="000F7354" w:rsidP="000F7354">
            <w:pPr>
              <w:jc w:val="right"/>
              <w:rPr>
                <w:sz w:val="14"/>
                <w:szCs w:val="14"/>
              </w:rPr>
            </w:pPr>
            <w:r w:rsidRPr="001F224B">
              <w:rPr>
                <w:color w:val="000000"/>
                <w:sz w:val="14"/>
                <w:szCs w:val="14"/>
              </w:rPr>
              <w:t>45.350</w:t>
            </w:r>
          </w:p>
        </w:tc>
      </w:tr>
      <w:tr w:rsidR="000F7354" w:rsidRPr="001F224B" w14:paraId="3CD57EDC" w14:textId="77777777" w:rsidTr="000F7354">
        <w:trPr>
          <w:trHeight w:val="295"/>
        </w:trPr>
        <w:tc>
          <w:tcPr>
            <w:tcW w:w="425" w:type="dxa"/>
            <w:shd w:val="clear" w:color="auto" w:fill="auto"/>
            <w:noWrap/>
            <w:vAlign w:val="bottom"/>
            <w:hideMark/>
          </w:tcPr>
          <w:p w14:paraId="5FAE9D43" w14:textId="77777777" w:rsidR="000F7354" w:rsidRPr="001F224B" w:rsidRDefault="000F7354" w:rsidP="000F7354">
            <w:pPr>
              <w:rPr>
                <w:color w:val="000000"/>
                <w:sz w:val="16"/>
                <w:szCs w:val="16"/>
              </w:rPr>
            </w:pPr>
            <w:r w:rsidRPr="001F224B">
              <w:rPr>
                <w:color w:val="000000"/>
                <w:sz w:val="16"/>
                <w:szCs w:val="16"/>
              </w:rPr>
              <w:t>10</w:t>
            </w:r>
          </w:p>
        </w:tc>
        <w:tc>
          <w:tcPr>
            <w:tcW w:w="1985" w:type="dxa"/>
            <w:shd w:val="clear" w:color="auto" w:fill="auto"/>
            <w:noWrap/>
            <w:vAlign w:val="bottom"/>
            <w:hideMark/>
          </w:tcPr>
          <w:p w14:paraId="48D3ED7A" w14:textId="77777777" w:rsidR="000F7354" w:rsidRPr="001F224B" w:rsidRDefault="000F7354" w:rsidP="000F7354">
            <w:pPr>
              <w:rPr>
                <w:color w:val="000000"/>
                <w:sz w:val="16"/>
                <w:szCs w:val="16"/>
              </w:rPr>
            </w:pPr>
            <w:r w:rsidRPr="001F224B">
              <w:rPr>
                <w:color w:val="000000"/>
                <w:sz w:val="16"/>
                <w:szCs w:val="16"/>
              </w:rPr>
              <w:t>Ticari amaçlı gayrimenkul ipoteği ile teminatlandırılan alacaklar</w:t>
            </w:r>
          </w:p>
        </w:tc>
        <w:tc>
          <w:tcPr>
            <w:tcW w:w="850" w:type="dxa"/>
            <w:shd w:val="clear" w:color="auto" w:fill="auto"/>
            <w:noWrap/>
            <w:vAlign w:val="bottom"/>
          </w:tcPr>
          <w:p w14:paraId="054A4EDF" w14:textId="3DD22DD4"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0EC0638F" w14:textId="63FB285F"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5B80E50" w14:textId="42BB1D25" w:rsidR="000F7354" w:rsidRPr="001F224B" w:rsidRDefault="000F7354" w:rsidP="000F7354">
            <w:pPr>
              <w:jc w:val="right"/>
              <w:rPr>
                <w:sz w:val="14"/>
                <w:szCs w:val="14"/>
              </w:rPr>
            </w:pPr>
            <w:r w:rsidRPr="001F224B">
              <w:rPr>
                <w:sz w:val="14"/>
                <w:szCs w:val="14"/>
              </w:rPr>
              <w:t>-</w:t>
            </w:r>
          </w:p>
        </w:tc>
        <w:tc>
          <w:tcPr>
            <w:tcW w:w="425" w:type="dxa"/>
            <w:vAlign w:val="bottom"/>
          </w:tcPr>
          <w:p w14:paraId="0109D0BC" w14:textId="58C669F0" w:rsidR="000F7354" w:rsidRPr="001F224B" w:rsidRDefault="000F7354" w:rsidP="000F7354">
            <w:pPr>
              <w:jc w:val="right"/>
              <w:rPr>
                <w:sz w:val="14"/>
                <w:szCs w:val="14"/>
              </w:rPr>
            </w:pPr>
            <w:r w:rsidRPr="001F224B">
              <w:rPr>
                <w:sz w:val="14"/>
                <w:szCs w:val="14"/>
              </w:rPr>
              <w:t>-</w:t>
            </w:r>
          </w:p>
        </w:tc>
        <w:tc>
          <w:tcPr>
            <w:tcW w:w="567" w:type="dxa"/>
            <w:vAlign w:val="bottom"/>
          </w:tcPr>
          <w:p w14:paraId="70995C37" w14:textId="439E3F60"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4673925B" w14:textId="6BE85EF4" w:rsidR="000F7354" w:rsidRPr="001F224B" w:rsidRDefault="000F7354" w:rsidP="000F7354">
            <w:pPr>
              <w:jc w:val="right"/>
              <w:rPr>
                <w:sz w:val="14"/>
                <w:szCs w:val="14"/>
              </w:rPr>
            </w:pPr>
            <w:r w:rsidRPr="001F224B">
              <w:rPr>
                <w:color w:val="000000"/>
                <w:sz w:val="14"/>
                <w:szCs w:val="14"/>
              </w:rPr>
              <w:t>4.907.851</w:t>
            </w:r>
          </w:p>
        </w:tc>
        <w:tc>
          <w:tcPr>
            <w:tcW w:w="425" w:type="dxa"/>
            <w:shd w:val="clear" w:color="auto" w:fill="auto"/>
            <w:noWrap/>
            <w:vAlign w:val="bottom"/>
          </w:tcPr>
          <w:p w14:paraId="5AC2937C" w14:textId="3B9525C6"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5A0E17F" w14:textId="4586FA9D" w:rsidR="000F7354" w:rsidRPr="001F224B" w:rsidRDefault="000F7354" w:rsidP="000F7354">
            <w:pPr>
              <w:jc w:val="right"/>
              <w:rPr>
                <w:sz w:val="14"/>
                <w:szCs w:val="14"/>
              </w:rPr>
            </w:pPr>
            <w:r w:rsidRPr="001F224B">
              <w:rPr>
                <w:color w:val="000000"/>
                <w:sz w:val="14"/>
                <w:szCs w:val="14"/>
              </w:rPr>
              <w:t>499.930</w:t>
            </w:r>
          </w:p>
        </w:tc>
        <w:tc>
          <w:tcPr>
            <w:tcW w:w="426" w:type="dxa"/>
            <w:shd w:val="clear" w:color="auto" w:fill="auto"/>
            <w:noWrap/>
            <w:vAlign w:val="bottom"/>
          </w:tcPr>
          <w:p w14:paraId="37F7C318" w14:textId="21626ADA"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704303C" w14:textId="2C0B8D6C"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36BB3056" w14:textId="1386FFCB"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463A121B" w14:textId="20AEF57A" w:rsidR="000F7354" w:rsidRPr="001F224B" w:rsidRDefault="000F7354" w:rsidP="000F7354">
            <w:pPr>
              <w:jc w:val="right"/>
              <w:rPr>
                <w:sz w:val="14"/>
                <w:szCs w:val="14"/>
              </w:rPr>
            </w:pPr>
            <w:r w:rsidRPr="001F224B">
              <w:rPr>
                <w:color w:val="000000"/>
                <w:sz w:val="14"/>
                <w:szCs w:val="14"/>
              </w:rPr>
              <w:t>5.407.781</w:t>
            </w:r>
          </w:p>
        </w:tc>
      </w:tr>
      <w:tr w:rsidR="000F7354" w:rsidRPr="001F224B" w14:paraId="319D163E" w14:textId="77777777" w:rsidTr="000F7354">
        <w:trPr>
          <w:trHeight w:val="295"/>
        </w:trPr>
        <w:tc>
          <w:tcPr>
            <w:tcW w:w="425" w:type="dxa"/>
            <w:shd w:val="clear" w:color="auto" w:fill="auto"/>
            <w:noWrap/>
            <w:vAlign w:val="bottom"/>
            <w:hideMark/>
          </w:tcPr>
          <w:p w14:paraId="65708AB9" w14:textId="77777777" w:rsidR="000F7354" w:rsidRPr="001F224B" w:rsidRDefault="000F7354" w:rsidP="000F7354">
            <w:pPr>
              <w:rPr>
                <w:color w:val="000000"/>
                <w:sz w:val="16"/>
                <w:szCs w:val="16"/>
              </w:rPr>
            </w:pPr>
            <w:r w:rsidRPr="001F224B">
              <w:rPr>
                <w:color w:val="000000"/>
                <w:sz w:val="16"/>
                <w:szCs w:val="16"/>
              </w:rPr>
              <w:t>11</w:t>
            </w:r>
          </w:p>
        </w:tc>
        <w:tc>
          <w:tcPr>
            <w:tcW w:w="1985" w:type="dxa"/>
            <w:shd w:val="clear" w:color="auto" w:fill="auto"/>
            <w:noWrap/>
            <w:vAlign w:val="bottom"/>
            <w:hideMark/>
          </w:tcPr>
          <w:p w14:paraId="2986BC04" w14:textId="77777777" w:rsidR="000F7354" w:rsidRPr="001F224B" w:rsidRDefault="000F7354" w:rsidP="000F7354">
            <w:pPr>
              <w:rPr>
                <w:color w:val="000000"/>
                <w:sz w:val="16"/>
                <w:szCs w:val="16"/>
              </w:rPr>
            </w:pPr>
            <w:r w:rsidRPr="001F224B">
              <w:rPr>
                <w:color w:val="000000"/>
                <w:sz w:val="16"/>
                <w:szCs w:val="16"/>
              </w:rPr>
              <w:t>Tahsili gecikmiş alacaklar</w:t>
            </w:r>
          </w:p>
        </w:tc>
        <w:tc>
          <w:tcPr>
            <w:tcW w:w="850" w:type="dxa"/>
            <w:shd w:val="clear" w:color="auto" w:fill="auto"/>
            <w:noWrap/>
            <w:vAlign w:val="bottom"/>
          </w:tcPr>
          <w:p w14:paraId="30E7B301" w14:textId="2F49C022"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43CB0721" w14:textId="6E2153FD"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5EDD47B1" w14:textId="0764BDD3" w:rsidR="000F7354" w:rsidRPr="001F224B" w:rsidRDefault="000F7354" w:rsidP="000F7354">
            <w:pPr>
              <w:jc w:val="right"/>
              <w:rPr>
                <w:sz w:val="14"/>
                <w:szCs w:val="14"/>
              </w:rPr>
            </w:pPr>
            <w:r w:rsidRPr="001F224B">
              <w:rPr>
                <w:sz w:val="14"/>
                <w:szCs w:val="14"/>
              </w:rPr>
              <w:t>-</w:t>
            </w:r>
          </w:p>
        </w:tc>
        <w:tc>
          <w:tcPr>
            <w:tcW w:w="425" w:type="dxa"/>
            <w:vAlign w:val="bottom"/>
          </w:tcPr>
          <w:p w14:paraId="6A142ECF" w14:textId="400446A2" w:rsidR="000F7354" w:rsidRPr="001F224B" w:rsidRDefault="000F7354" w:rsidP="000F7354">
            <w:pPr>
              <w:jc w:val="right"/>
              <w:rPr>
                <w:sz w:val="14"/>
                <w:szCs w:val="14"/>
              </w:rPr>
            </w:pPr>
            <w:r w:rsidRPr="001F224B">
              <w:rPr>
                <w:sz w:val="14"/>
                <w:szCs w:val="14"/>
              </w:rPr>
              <w:t>-</w:t>
            </w:r>
          </w:p>
        </w:tc>
        <w:tc>
          <w:tcPr>
            <w:tcW w:w="567" w:type="dxa"/>
            <w:vAlign w:val="bottom"/>
          </w:tcPr>
          <w:p w14:paraId="2354AF6A" w14:textId="1F6A0E1B"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2DA44C9" w14:textId="55B1DCB9" w:rsidR="000F7354" w:rsidRPr="001F224B" w:rsidRDefault="000F7354" w:rsidP="000F7354">
            <w:pPr>
              <w:jc w:val="right"/>
              <w:rPr>
                <w:sz w:val="14"/>
                <w:szCs w:val="14"/>
              </w:rPr>
            </w:pPr>
            <w:r w:rsidRPr="001F224B">
              <w:rPr>
                <w:color w:val="000000"/>
                <w:sz w:val="14"/>
                <w:szCs w:val="14"/>
              </w:rPr>
              <w:t>135.782</w:t>
            </w:r>
          </w:p>
        </w:tc>
        <w:tc>
          <w:tcPr>
            <w:tcW w:w="425" w:type="dxa"/>
            <w:shd w:val="clear" w:color="auto" w:fill="auto"/>
            <w:noWrap/>
            <w:vAlign w:val="bottom"/>
          </w:tcPr>
          <w:p w14:paraId="0A8D8D3E" w14:textId="3E3C182A"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3703C2B" w14:textId="6BA916E8" w:rsidR="000F7354" w:rsidRPr="001F224B" w:rsidRDefault="000F7354" w:rsidP="000F7354">
            <w:pPr>
              <w:jc w:val="right"/>
              <w:rPr>
                <w:sz w:val="14"/>
                <w:szCs w:val="14"/>
              </w:rPr>
            </w:pPr>
            <w:r w:rsidRPr="001F224B">
              <w:rPr>
                <w:sz w:val="14"/>
                <w:szCs w:val="14"/>
              </w:rPr>
              <w:t>20.617</w:t>
            </w:r>
          </w:p>
        </w:tc>
        <w:tc>
          <w:tcPr>
            <w:tcW w:w="426" w:type="dxa"/>
            <w:shd w:val="clear" w:color="auto" w:fill="auto"/>
            <w:noWrap/>
            <w:vAlign w:val="bottom"/>
          </w:tcPr>
          <w:p w14:paraId="33C13ABE" w14:textId="5769F9A0"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16F762C4" w14:textId="13C02AFC"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2B94C794" w14:textId="3279BB23"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05B95275" w14:textId="21B77480" w:rsidR="000F7354" w:rsidRPr="001F224B" w:rsidRDefault="000F7354" w:rsidP="000F7354">
            <w:pPr>
              <w:jc w:val="right"/>
              <w:rPr>
                <w:sz w:val="14"/>
                <w:szCs w:val="14"/>
              </w:rPr>
            </w:pPr>
            <w:r w:rsidRPr="001F224B">
              <w:rPr>
                <w:color w:val="000000"/>
                <w:sz w:val="14"/>
                <w:szCs w:val="14"/>
              </w:rPr>
              <w:t>156.399</w:t>
            </w:r>
          </w:p>
        </w:tc>
      </w:tr>
      <w:tr w:rsidR="000F7354" w:rsidRPr="001F224B" w14:paraId="7B96BE86" w14:textId="77777777" w:rsidTr="000F7354">
        <w:trPr>
          <w:trHeight w:val="295"/>
        </w:trPr>
        <w:tc>
          <w:tcPr>
            <w:tcW w:w="425" w:type="dxa"/>
            <w:shd w:val="clear" w:color="auto" w:fill="auto"/>
            <w:noWrap/>
            <w:vAlign w:val="bottom"/>
            <w:hideMark/>
          </w:tcPr>
          <w:p w14:paraId="726B03CA" w14:textId="77777777" w:rsidR="000F7354" w:rsidRPr="001F224B" w:rsidRDefault="000F7354" w:rsidP="000F7354">
            <w:pPr>
              <w:rPr>
                <w:color w:val="000000"/>
                <w:sz w:val="16"/>
                <w:szCs w:val="16"/>
              </w:rPr>
            </w:pPr>
            <w:r w:rsidRPr="001F224B">
              <w:rPr>
                <w:color w:val="000000"/>
                <w:sz w:val="16"/>
                <w:szCs w:val="16"/>
              </w:rPr>
              <w:t>12</w:t>
            </w:r>
          </w:p>
        </w:tc>
        <w:tc>
          <w:tcPr>
            <w:tcW w:w="1985" w:type="dxa"/>
            <w:shd w:val="clear" w:color="auto" w:fill="auto"/>
            <w:noWrap/>
            <w:vAlign w:val="bottom"/>
            <w:hideMark/>
          </w:tcPr>
          <w:p w14:paraId="0E7D503A" w14:textId="77777777" w:rsidR="000F7354" w:rsidRPr="001F224B" w:rsidRDefault="000F7354" w:rsidP="000F7354">
            <w:pPr>
              <w:rPr>
                <w:color w:val="000000"/>
                <w:sz w:val="16"/>
                <w:szCs w:val="16"/>
              </w:rPr>
            </w:pPr>
            <w:r w:rsidRPr="001F224B">
              <w:rPr>
                <w:color w:val="000000"/>
                <w:sz w:val="16"/>
                <w:szCs w:val="16"/>
              </w:rPr>
              <w:t>Kurulca riski yüksek belirlenmiş alacaklar</w:t>
            </w:r>
          </w:p>
        </w:tc>
        <w:tc>
          <w:tcPr>
            <w:tcW w:w="850" w:type="dxa"/>
            <w:shd w:val="clear" w:color="auto" w:fill="auto"/>
            <w:noWrap/>
            <w:vAlign w:val="bottom"/>
          </w:tcPr>
          <w:p w14:paraId="787B6DA6" w14:textId="272E8CBF"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322A7C6E" w14:textId="33EDBBCC"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22F45D02" w14:textId="3961F005" w:rsidR="000F7354" w:rsidRPr="001F224B" w:rsidRDefault="000F7354" w:rsidP="000F7354">
            <w:pPr>
              <w:jc w:val="right"/>
              <w:rPr>
                <w:sz w:val="14"/>
                <w:szCs w:val="14"/>
              </w:rPr>
            </w:pPr>
            <w:r w:rsidRPr="001F224B">
              <w:rPr>
                <w:sz w:val="14"/>
                <w:szCs w:val="14"/>
              </w:rPr>
              <w:t>-</w:t>
            </w:r>
          </w:p>
        </w:tc>
        <w:tc>
          <w:tcPr>
            <w:tcW w:w="425" w:type="dxa"/>
            <w:vAlign w:val="bottom"/>
          </w:tcPr>
          <w:p w14:paraId="13A0CF6D" w14:textId="5E32D71A" w:rsidR="000F7354" w:rsidRPr="001F224B" w:rsidRDefault="000F7354" w:rsidP="000F7354">
            <w:pPr>
              <w:jc w:val="right"/>
              <w:rPr>
                <w:sz w:val="14"/>
                <w:szCs w:val="14"/>
              </w:rPr>
            </w:pPr>
            <w:r w:rsidRPr="001F224B">
              <w:rPr>
                <w:sz w:val="14"/>
                <w:szCs w:val="14"/>
              </w:rPr>
              <w:t>-</w:t>
            </w:r>
          </w:p>
        </w:tc>
        <w:tc>
          <w:tcPr>
            <w:tcW w:w="567" w:type="dxa"/>
            <w:vAlign w:val="bottom"/>
          </w:tcPr>
          <w:p w14:paraId="1B4236D5" w14:textId="54C26D77"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563E3FA0" w14:textId="6F9FD191"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2D1BCA72" w14:textId="2E613DCC"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1E3251C8" w14:textId="22AE264A"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0B781B62" w14:textId="22F7A26A"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19BF3B25" w14:textId="587B7F8D"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584CCB4A" w14:textId="6CEF491B"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151FAF5A" w14:textId="1CD2342F" w:rsidR="000F7354" w:rsidRPr="001F224B" w:rsidRDefault="000F7354" w:rsidP="000F7354">
            <w:pPr>
              <w:jc w:val="right"/>
              <w:rPr>
                <w:sz w:val="14"/>
                <w:szCs w:val="14"/>
              </w:rPr>
            </w:pPr>
            <w:r w:rsidRPr="001F224B">
              <w:rPr>
                <w:sz w:val="14"/>
                <w:szCs w:val="14"/>
              </w:rPr>
              <w:t>-</w:t>
            </w:r>
          </w:p>
        </w:tc>
      </w:tr>
      <w:tr w:rsidR="000F7354" w:rsidRPr="001F224B" w14:paraId="201F1906" w14:textId="77777777" w:rsidTr="000F7354">
        <w:trPr>
          <w:trHeight w:val="295"/>
        </w:trPr>
        <w:tc>
          <w:tcPr>
            <w:tcW w:w="425" w:type="dxa"/>
            <w:shd w:val="clear" w:color="auto" w:fill="auto"/>
            <w:noWrap/>
            <w:vAlign w:val="bottom"/>
            <w:hideMark/>
          </w:tcPr>
          <w:p w14:paraId="611808AC" w14:textId="77777777" w:rsidR="000F7354" w:rsidRPr="001F224B" w:rsidRDefault="000F7354" w:rsidP="000F7354">
            <w:pPr>
              <w:rPr>
                <w:color w:val="000000"/>
                <w:sz w:val="16"/>
                <w:szCs w:val="16"/>
              </w:rPr>
            </w:pPr>
            <w:r w:rsidRPr="001F224B">
              <w:rPr>
                <w:color w:val="000000"/>
                <w:sz w:val="16"/>
                <w:szCs w:val="16"/>
              </w:rPr>
              <w:t>13</w:t>
            </w:r>
          </w:p>
        </w:tc>
        <w:tc>
          <w:tcPr>
            <w:tcW w:w="1985" w:type="dxa"/>
            <w:shd w:val="clear" w:color="auto" w:fill="auto"/>
            <w:noWrap/>
            <w:vAlign w:val="bottom"/>
            <w:hideMark/>
          </w:tcPr>
          <w:p w14:paraId="7211A132" w14:textId="77777777" w:rsidR="000F7354" w:rsidRPr="001F224B" w:rsidRDefault="000F7354" w:rsidP="000F7354">
            <w:pPr>
              <w:rPr>
                <w:color w:val="000000"/>
                <w:sz w:val="16"/>
                <w:szCs w:val="16"/>
              </w:rPr>
            </w:pPr>
            <w:r w:rsidRPr="001F224B">
              <w:rPr>
                <w:color w:val="000000"/>
                <w:sz w:val="16"/>
                <w:szCs w:val="16"/>
              </w:rPr>
              <w:t>Teminatlı menkul kıymetler</w:t>
            </w:r>
          </w:p>
        </w:tc>
        <w:tc>
          <w:tcPr>
            <w:tcW w:w="850" w:type="dxa"/>
            <w:shd w:val="clear" w:color="auto" w:fill="auto"/>
            <w:noWrap/>
            <w:vAlign w:val="bottom"/>
          </w:tcPr>
          <w:p w14:paraId="2961FEE4" w14:textId="01A536B6"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2F7C30E5" w14:textId="7514D550"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4A6C8048" w14:textId="5F474BA0" w:rsidR="000F7354" w:rsidRPr="001F224B" w:rsidRDefault="000F7354" w:rsidP="000F7354">
            <w:pPr>
              <w:jc w:val="right"/>
              <w:rPr>
                <w:sz w:val="14"/>
                <w:szCs w:val="14"/>
              </w:rPr>
            </w:pPr>
            <w:r w:rsidRPr="001F224B">
              <w:rPr>
                <w:sz w:val="14"/>
                <w:szCs w:val="14"/>
              </w:rPr>
              <w:t>-</w:t>
            </w:r>
          </w:p>
        </w:tc>
        <w:tc>
          <w:tcPr>
            <w:tcW w:w="425" w:type="dxa"/>
            <w:vAlign w:val="bottom"/>
          </w:tcPr>
          <w:p w14:paraId="3F8221BF" w14:textId="577965AA" w:rsidR="000F7354" w:rsidRPr="001F224B" w:rsidRDefault="000F7354" w:rsidP="000F7354">
            <w:pPr>
              <w:jc w:val="right"/>
              <w:rPr>
                <w:sz w:val="14"/>
                <w:szCs w:val="14"/>
              </w:rPr>
            </w:pPr>
            <w:r w:rsidRPr="001F224B">
              <w:rPr>
                <w:sz w:val="14"/>
                <w:szCs w:val="14"/>
              </w:rPr>
              <w:t>-</w:t>
            </w:r>
          </w:p>
        </w:tc>
        <w:tc>
          <w:tcPr>
            <w:tcW w:w="567" w:type="dxa"/>
            <w:vAlign w:val="bottom"/>
          </w:tcPr>
          <w:p w14:paraId="7E55832F" w14:textId="54C6EAC6"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3196AA5F" w14:textId="4C63EA0E"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7C12C192" w14:textId="7B2F403C"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698EDAE" w14:textId="0C68822B"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63E31EED" w14:textId="2EDE18FC"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1B264789" w14:textId="2A787910"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269319A7" w14:textId="41D674C8"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44BEF0F" w14:textId="678E6468" w:rsidR="000F7354" w:rsidRPr="001F224B" w:rsidRDefault="000F7354" w:rsidP="000F7354">
            <w:pPr>
              <w:jc w:val="right"/>
              <w:rPr>
                <w:sz w:val="14"/>
                <w:szCs w:val="14"/>
              </w:rPr>
            </w:pPr>
            <w:r w:rsidRPr="001F224B">
              <w:rPr>
                <w:sz w:val="14"/>
                <w:szCs w:val="14"/>
              </w:rPr>
              <w:t>-</w:t>
            </w:r>
          </w:p>
        </w:tc>
      </w:tr>
      <w:tr w:rsidR="000F7354" w:rsidRPr="001F224B" w14:paraId="3C2F4BDE" w14:textId="77777777" w:rsidTr="000F7354">
        <w:trPr>
          <w:trHeight w:val="591"/>
        </w:trPr>
        <w:tc>
          <w:tcPr>
            <w:tcW w:w="425" w:type="dxa"/>
            <w:shd w:val="clear" w:color="auto" w:fill="auto"/>
            <w:noWrap/>
            <w:vAlign w:val="bottom"/>
            <w:hideMark/>
          </w:tcPr>
          <w:p w14:paraId="640FB758" w14:textId="77777777" w:rsidR="000F7354" w:rsidRPr="001F224B" w:rsidRDefault="000F7354" w:rsidP="000F7354">
            <w:pPr>
              <w:rPr>
                <w:color w:val="000000"/>
                <w:sz w:val="16"/>
                <w:szCs w:val="16"/>
              </w:rPr>
            </w:pPr>
            <w:r w:rsidRPr="001F224B">
              <w:rPr>
                <w:color w:val="000000"/>
                <w:sz w:val="16"/>
                <w:szCs w:val="16"/>
              </w:rPr>
              <w:t>14</w:t>
            </w:r>
          </w:p>
        </w:tc>
        <w:tc>
          <w:tcPr>
            <w:tcW w:w="1985" w:type="dxa"/>
            <w:shd w:val="clear" w:color="auto" w:fill="auto"/>
            <w:vAlign w:val="bottom"/>
            <w:hideMark/>
          </w:tcPr>
          <w:p w14:paraId="49F9A5B3" w14:textId="77777777" w:rsidR="000F7354" w:rsidRPr="001F224B" w:rsidRDefault="000F7354" w:rsidP="000F7354">
            <w:pPr>
              <w:rPr>
                <w:color w:val="000000"/>
                <w:sz w:val="16"/>
                <w:szCs w:val="16"/>
              </w:rPr>
            </w:pPr>
            <w:r w:rsidRPr="001F224B">
              <w:rPr>
                <w:color w:val="000000"/>
                <w:sz w:val="16"/>
                <w:szCs w:val="16"/>
              </w:rPr>
              <w:t>Bankalardan ve aracı kurumlardan olan kısa vadeli alacaklar</w:t>
            </w:r>
            <w:r w:rsidRPr="001F224B">
              <w:rPr>
                <w:color w:val="000000"/>
                <w:sz w:val="16"/>
                <w:szCs w:val="16"/>
              </w:rPr>
              <w:br/>
              <w:t>ile kısa vadeli kurumsal alacaklar</w:t>
            </w:r>
          </w:p>
        </w:tc>
        <w:tc>
          <w:tcPr>
            <w:tcW w:w="850" w:type="dxa"/>
            <w:shd w:val="clear" w:color="auto" w:fill="auto"/>
            <w:noWrap/>
            <w:vAlign w:val="bottom"/>
          </w:tcPr>
          <w:p w14:paraId="0956B21A" w14:textId="3C9B427F"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5DFB3C67" w14:textId="2404A08C"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A4914A9" w14:textId="0AD6E94B" w:rsidR="000F7354" w:rsidRPr="001F224B" w:rsidRDefault="000F7354" w:rsidP="000F7354">
            <w:pPr>
              <w:jc w:val="right"/>
              <w:rPr>
                <w:sz w:val="14"/>
                <w:szCs w:val="14"/>
              </w:rPr>
            </w:pPr>
            <w:r w:rsidRPr="001F224B">
              <w:rPr>
                <w:sz w:val="14"/>
                <w:szCs w:val="14"/>
              </w:rPr>
              <w:t>-</w:t>
            </w:r>
          </w:p>
        </w:tc>
        <w:tc>
          <w:tcPr>
            <w:tcW w:w="425" w:type="dxa"/>
            <w:vAlign w:val="bottom"/>
          </w:tcPr>
          <w:p w14:paraId="30AA57AF" w14:textId="0492E801" w:rsidR="000F7354" w:rsidRPr="001F224B" w:rsidRDefault="000F7354" w:rsidP="000F7354">
            <w:pPr>
              <w:jc w:val="right"/>
              <w:rPr>
                <w:sz w:val="14"/>
                <w:szCs w:val="14"/>
              </w:rPr>
            </w:pPr>
            <w:r w:rsidRPr="001F224B">
              <w:rPr>
                <w:sz w:val="14"/>
                <w:szCs w:val="14"/>
              </w:rPr>
              <w:t>-</w:t>
            </w:r>
          </w:p>
        </w:tc>
        <w:tc>
          <w:tcPr>
            <w:tcW w:w="567" w:type="dxa"/>
            <w:vAlign w:val="bottom"/>
          </w:tcPr>
          <w:p w14:paraId="11F2A892" w14:textId="7A55164B"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2539B445" w14:textId="5354448B"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31C57CA1" w14:textId="548D3A2A"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004B03DC" w14:textId="372315A4"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58DFBA74" w14:textId="5FBF69C3"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1A00E270" w14:textId="0C8B0427"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2EFBB2F0" w14:textId="2BAEEB4F"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090C6946" w14:textId="601DA92D" w:rsidR="000F7354" w:rsidRPr="001F224B" w:rsidRDefault="000F7354" w:rsidP="000F7354">
            <w:pPr>
              <w:jc w:val="right"/>
              <w:rPr>
                <w:sz w:val="14"/>
                <w:szCs w:val="14"/>
              </w:rPr>
            </w:pPr>
            <w:r w:rsidRPr="001F224B">
              <w:rPr>
                <w:sz w:val="14"/>
                <w:szCs w:val="14"/>
              </w:rPr>
              <w:t>-</w:t>
            </w:r>
          </w:p>
        </w:tc>
      </w:tr>
      <w:tr w:rsidR="000F7354" w:rsidRPr="001F224B" w14:paraId="1959EF2E" w14:textId="77777777" w:rsidTr="000F7354">
        <w:trPr>
          <w:trHeight w:val="295"/>
        </w:trPr>
        <w:tc>
          <w:tcPr>
            <w:tcW w:w="425" w:type="dxa"/>
            <w:shd w:val="clear" w:color="auto" w:fill="auto"/>
            <w:noWrap/>
            <w:vAlign w:val="bottom"/>
            <w:hideMark/>
          </w:tcPr>
          <w:p w14:paraId="7D7E4848" w14:textId="77777777" w:rsidR="000F7354" w:rsidRPr="001F224B" w:rsidRDefault="000F7354" w:rsidP="000F7354">
            <w:pPr>
              <w:rPr>
                <w:color w:val="000000"/>
                <w:sz w:val="16"/>
                <w:szCs w:val="16"/>
              </w:rPr>
            </w:pPr>
            <w:r w:rsidRPr="001F224B">
              <w:rPr>
                <w:color w:val="000000"/>
                <w:sz w:val="16"/>
                <w:szCs w:val="16"/>
              </w:rPr>
              <w:t>15</w:t>
            </w:r>
          </w:p>
        </w:tc>
        <w:tc>
          <w:tcPr>
            <w:tcW w:w="1985" w:type="dxa"/>
            <w:shd w:val="clear" w:color="auto" w:fill="auto"/>
            <w:noWrap/>
            <w:vAlign w:val="bottom"/>
            <w:hideMark/>
          </w:tcPr>
          <w:p w14:paraId="70A7DAAE" w14:textId="77777777" w:rsidR="000F7354" w:rsidRPr="001F224B" w:rsidRDefault="000F7354" w:rsidP="000F7354">
            <w:pPr>
              <w:rPr>
                <w:color w:val="000000"/>
                <w:sz w:val="16"/>
                <w:szCs w:val="16"/>
              </w:rPr>
            </w:pPr>
            <w:r w:rsidRPr="001F224B">
              <w:rPr>
                <w:color w:val="000000"/>
                <w:sz w:val="16"/>
                <w:szCs w:val="16"/>
              </w:rPr>
              <w:t>Kolektif yatırım kuruluşu niteliğindeki yatırımlar</w:t>
            </w:r>
          </w:p>
        </w:tc>
        <w:tc>
          <w:tcPr>
            <w:tcW w:w="850" w:type="dxa"/>
            <w:shd w:val="clear" w:color="auto" w:fill="auto"/>
            <w:noWrap/>
            <w:vAlign w:val="bottom"/>
          </w:tcPr>
          <w:p w14:paraId="727D2E08" w14:textId="511E0616"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475BED9B" w14:textId="2CDEC927"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2CB72129" w14:textId="618970EF" w:rsidR="000F7354" w:rsidRPr="001F224B" w:rsidRDefault="000F7354" w:rsidP="000F7354">
            <w:pPr>
              <w:jc w:val="right"/>
              <w:rPr>
                <w:sz w:val="14"/>
                <w:szCs w:val="14"/>
              </w:rPr>
            </w:pPr>
            <w:r w:rsidRPr="001F224B">
              <w:rPr>
                <w:sz w:val="14"/>
                <w:szCs w:val="14"/>
              </w:rPr>
              <w:t>-</w:t>
            </w:r>
          </w:p>
        </w:tc>
        <w:tc>
          <w:tcPr>
            <w:tcW w:w="425" w:type="dxa"/>
            <w:vAlign w:val="bottom"/>
          </w:tcPr>
          <w:p w14:paraId="087FF12C" w14:textId="54C259BC" w:rsidR="000F7354" w:rsidRPr="001F224B" w:rsidRDefault="000F7354" w:rsidP="000F7354">
            <w:pPr>
              <w:jc w:val="right"/>
              <w:rPr>
                <w:sz w:val="14"/>
                <w:szCs w:val="14"/>
              </w:rPr>
            </w:pPr>
            <w:r w:rsidRPr="001F224B">
              <w:rPr>
                <w:sz w:val="14"/>
                <w:szCs w:val="14"/>
              </w:rPr>
              <w:t>-</w:t>
            </w:r>
          </w:p>
        </w:tc>
        <w:tc>
          <w:tcPr>
            <w:tcW w:w="567" w:type="dxa"/>
            <w:vAlign w:val="bottom"/>
          </w:tcPr>
          <w:p w14:paraId="2F53DF34" w14:textId="012408A1"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3FA6ACE6" w14:textId="668F7EF8"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7843D9AE" w14:textId="65F2D427"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5E02D827" w14:textId="376745C4" w:rsidR="000F7354" w:rsidRPr="001F224B" w:rsidRDefault="000F7354" w:rsidP="000F7354">
            <w:pPr>
              <w:jc w:val="right"/>
              <w:rPr>
                <w:sz w:val="14"/>
                <w:szCs w:val="14"/>
              </w:rPr>
            </w:pPr>
            <w:r w:rsidRPr="001F224B">
              <w:rPr>
                <w:color w:val="000000"/>
                <w:sz w:val="14"/>
                <w:szCs w:val="14"/>
              </w:rPr>
              <w:t>224.359</w:t>
            </w:r>
          </w:p>
        </w:tc>
        <w:tc>
          <w:tcPr>
            <w:tcW w:w="426" w:type="dxa"/>
            <w:shd w:val="clear" w:color="auto" w:fill="auto"/>
            <w:noWrap/>
            <w:vAlign w:val="bottom"/>
          </w:tcPr>
          <w:p w14:paraId="2E2B3865" w14:textId="77777777" w:rsidR="000F7354" w:rsidRPr="001F224B" w:rsidRDefault="000F7354" w:rsidP="000F7354">
            <w:pPr>
              <w:jc w:val="right"/>
              <w:rPr>
                <w:sz w:val="14"/>
                <w:szCs w:val="14"/>
              </w:rPr>
            </w:pPr>
          </w:p>
        </w:tc>
        <w:tc>
          <w:tcPr>
            <w:tcW w:w="425" w:type="dxa"/>
            <w:shd w:val="clear" w:color="auto" w:fill="auto"/>
            <w:noWrap/>
            <w:vAlign w:val="bottom"/>
          </w:tcPr>
          <w:p w14:paraId="4B1F4791" w14:textId="77F82D1F"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0A096D75" w14:textId="0A9EA9A3"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26B8C492" w14:textId="0B42C2E6" w:rsidR="000F7354" w:rsidRPr="001F224B" w:rsidRDefault="000F7354" w:rsidP="000F7354">
            <w:pPr>
              <w:jc w:val="right"/>
              <w:rPr>
                <w:sz w:val="14"/>
                <w:szCs w:val="14"/>
              </w:rPr>
            </w:pPr>
            <w:r w:rsidRPr="001F224B">
              <w:rPr>
                <w:color w:val="000000"/>
                <w:sz w:val="14"/>
                <w:szCs w:val="14"/>
              </w:rPr>
              <w:t>224.359</w:t>
            </w:r>
          </w:p>
        </w:tc>
      </w:tr>
      <w:tr w:rsidR="000F7354" w:rsidRPr="001F224B" w14:paraId="258C3515" w14:textId="77777777" w:rsidTr="000F7354">
        <w:trPr>
          <w:trHeight w:val="295"/>
        </w:trPr>
        <w:tc>
          <w:tcPr>
            <w:tcW w:w="425" w:type="dxa"/>
            <w:shd w:val="clear" w:color="auto" w:fill="auto"/>
            <w:noWrap/>
            <w:vAlign w:val="bottom"/>
            <w:hideMark/>
          </w:tcPr>
          <w:p w14:paraId="2A397EE5" w14:textId="77777777" w:rsidR="000F7354" w:rsidRPr="001F224B" w:rsidRDefault="000F7354" w:rsidP="000F7354">
            <w:pPr>
              <w:rPr>
                <w:color w:val="000000"/>
                <w:sz w:val="16"/>
                <w:szCs w:val="16"/>
              </w:rPr>
            </w:pPr>
            <w:r w:rsidRPr="001F224B">
              <w:rPr>
                <w:color w:val="000000"/>
                <w:sz w:val="16"/>
                <w:szCs w:val="16"/>
              </w:rPr>
              <w:t>16</w:t>
            </w:r>
          </w:p>
        </w:tc>
        <w:tc>
          <w:tcPr>
            <w:tcW w:w="1985" w:type="dxa"/>
            <w:shd w:val="clear" w:color="auto" w:fill="auto"/>
            <w:noWrap/>
            <w:vAlign w:val="bottom"/>
            <w:hideMark/>
          </w:tcPr>
          <w:p w14:paraId="7AC5E018" w14:textId="77777777" w:rsidR="000F7354" w:rsidRPr="001F224B" w:rsidRDefault="000F7354" w:rsidP="000F7354">
            <w:pPr>
              <w:rPr>
                <w:color w:val="000000"/>
                <w:sz w:val="16"/>
                <w:szCs w:val="16"/>
              </w:rPr>
            </w:pPr>
            <w:r w:rsidRPr="001F224B">
              <w:rPr>
                <w:color w:val="000000"/>
                <w:sz w:val="16"/>
                <w:szCs w:val="16"/>
              </w:rPr>
              <w:t>Hisse senedi yatırımları</w:t>
            </w:r>
          </w:p>
        </w:tc>
        <w:tc>
          <w:tcPr>
            <w:tcW w:w="850" w:type="dxa"/>
            <w:shd w:val="clear" w:color="auto" w:fill="auto"/>
            <w:noWrap/>
            <w:vAlign w:val="bottom"/>
          </w:tcPr>
          <w:p w14:paraId="1432EECF" w14:textId="59DDD996" w:rsidR="000F7354" w:rsidRPr="001F224B" w:rsidRDefault="000F7354" w:rsidP="000F7354">
            <w:pPr>
              <w:jc w:val="right"/>
              <w:rPr>
                <w:sz w:val="14"/>
                <w:szCs w:val="14"/>
              </w:rPr>
            </w:pPr>
            <w:r w:rsidRPr="001F224B">
              <w:rPr>
                <w:sz w:val="14"/>
                <w:szCs w:val="14"/>
              </w:rPr>
              <w:t>-</w:t>
            </w:r>
          </w:p>
        </w:tc>
        <w:tc>
          <w:tcPr>
            <w:tcW w:w="567" w:type="dxa"/>
            <w:shd w:val="clear" w:color="auto" w:fill="auto"/>
            <w:noWrap/>
            <w:vAlign w:val="bottom"/>
          </w:tcPr>
          <w:p w14:paraId="010038DF" w14:textId="769FFE78"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009262EF" w14:textId="4FD38350" w:rsidR="000F7354" w:rsidRPr="001F224B" w:rsidRDefault="000F7354" w:rsidP="000F7354">
            <w:pPr>
              <w:jc w:val="right"/>
              <w:rPr>
                <w:sz w:val="14"/>
                <w:szCs w:val="14"/>
              </w:rPr>
            </w:pPr>
            <w:r w:rsidRPr="001F224B">
              <w:rPr>
                <w:sz w:val="14"/>
                <w:szCs w:val="14"/>
              </w:rPr>
              <w:t>-</w:t>
            </w:r>
          </w:p>
        </w:tc>
        <w:tc>
          <w:tcPr>
            <w:tcW w:w="425" w:type="dxa"/>
            <w:vAlign w:val="bottom"/>
          </w:tcPr>
          <w:p w14:paraId="0AEA2CD7" w14:textId="32DF1E51" w:rsidR="000F7354" w:rsidRPr="001F224B" w:rsidRDefault="000F7354" w:rsidP="000F7354">
            <w:pPr>
              <w:jc w:val="right"/>
              <w:rPr>
                <w:sz w:val="14"/>
                <w:szCs w:val="14"/>
              </w:rPr>
            </w:pPr>
            <w:r w:rsidRPr="001F224B">
              <w:rPr>
                <w:sz w:val="14"/>
                <w:szCs w:val="14"/>
              </w:rPr>
              <w:t>-</w:t>
            </w:r>
          </w:p>
        </w:tc>
        <w:tc>
          <w:tcPr>
            <w:tcW w:w="567" w:type="dxa"/>
            <w:vAlign w:val="bottom"/>
          </w:tcPr>
          <w:p w14:paraId="54C6F40E" w14:textId="3541456F"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6F8D9446" w14:textId="4FF9DA96"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257E2456" w14:textId="1BB08620"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344C816" w14:textId="13711442" w:rsidR="000F7354" w:rsidRPr="001F224B" w:rsidRDefault="000F7354" w:rsidP="000F7354">
            <w:pPr>
              <w:jc w:val="right"/>
              <w:rPr>
                <w:sz w:val="14"/>
                <w:szCs w:val="14"/>
              </w:rPr>
            </w:pPr>
            <w:r w:rsidRPr="001F224B">
              <w:rPr>
                <w:sz w:val="14"/>
                <w:szCs w:val="14"/>
              </w:rPr>
              <w:t>-</w:t>
            </w:r>
          </w:p>
        </w:tc>
        <w:tc>
          <w:tcPr>
            <w:tcW w:w="426" w:type="dxa"/>
            <w:shd w:val="clear" w:color="auto" w:fill="auto"/>
            <w:noWrap/>
            <w:vAlign w:val="bottom"/>
          </w:tcPr>
          <w:p w14:paraId="30BCF3D2" w14:textId="7ABC669E"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5BE294A2" w14:textId="75E67124"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1E6CE06C" w14:textId="2CFDB30B"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51EA5358" w14:textId="3F0BE64F" w:rsidR="000F7354" w:rsidRPr="001F224B" w:rsidRDefault="000F7354" w:rsidP="000F7354">
            <w:pPr>
              <w:jc w:val="right"/>
              <w:rPr>
                <w:sz w:val="14"/>
                <w:szCs w:val="14"/>
              </w:rPr>
            </w:pPr>
            <w:r w:rsidRPr="001F224B">
              <w:rPr>
                <w:sz w:val="14"/>
                <w:szCs w:val="14"/>
              </w:rPr>
              <w:t>-</w:t>
            </w:r>
          </w:p>
        </w:tc>
      </w:tr>
      <w:tr w:rsidR="000F7354" w:rsidRPr="001F224B" w14:paraId="28E22ADB" w14:textId="77777777" w:rsidTr="000F7354">
        <w:trPr>
          <w:trHeight w:val="295"/>
        </w:trPr>
        <w:tc>
          <w:tcPr>
            <w:tcW w:w="425" w:type="dxa"/>
            <w:shd w:val="clear" w:color="auto" w:fill="auto"/>
            <w:noWrap/>
            <w:vAlign w:val="bottom"/>
            <w:hideMark/>
          </w:tcPr>
          <w:p w14:paraId="0EDD1F81" w14:textId="77777777" w:rsidR="000F7354" w:rsidRPr="001F224B" w:rsidRDefault="000F7354" w:rsidP="000F7354">
            <w:pPr>
              <w:rPr>
                <w:color w:val="000000"/>
                <w:sz w:val="16"/>
                <w:szCs w:val="16"/>
              </w:rPr>
            </w:pPr>
            <w:r w:rsidRPr="001F224B">
              <w:rPr>
                <w:color w:val="000000"/>
                <w:sz w:val="16"/>
                <w:szCs w:val="16"/>
              </w:rPr>
              <w:t>17</w:t>
            </w:r>
          </w:p>
        </w:tc>
        <w:tc>
          <w:tcPr>
            <w:tcW w:w="1985" w:type="dxa"/>
            <w:shd w:val="clear" w:color="auto" w:fill="auto"/>
            <w:noWrap/>
            <w:vAlign w:val="bottom"/>
            <w:hideMark/>
          </w:tcPr>
          <w:p w14:paraId="540E462B" w14:textId="77777777" w:rsidR="000F7354" w:rsidRPr="001F224B" w:rsidRDefault="000F7354" w:rsidP="000F7354">
            <w:pPr>
              <w:rPr>
                <w:color w:val="000000"/>
                <w:sz w:val="16"/>
                <w:szCs w:val="16"/>
              </w:rPr>
            </w:pPr>
            <w:r w:rsidRPr="001F224B">
              <w:rPr>
                <w:color w:val="000000"/>
                <w:sz w:val="16"/>
                <w:szCs w:val="16"/>
              </w:rPr>
              <w:t>Diğer alacaklar</w:t>
            </w:r>
          </w:p>
        </w:tc>
        <w:tc>
          <w:tcPr>
            <w:tcW w:w="850" w:type="dxa"/>
            <w:shd w:val="clear" w:color="auto" w:fill="auto"/>
            <w:noWrap/>
            <w:vAlign w:val="bottom"/>
          </w:tcPr>
          <w:p w14:paraId="42A6C333" w14:textId="7FEEEAD8" w:rsidR="000F7354" w:rsidRPr="001F224B" w:rsidRDefault="000F7354" w:rsidP="000F7354">
            <w:pPr>
              <w:jc w:val="right"/>
              <w:rPr>
                <w:sz w:val="14"/>
                <w:szCs w:val="14"/>
              </w:rPr>
            </w:pPr>
            <w:r w:rsidRPr="001F224B">
              <w:rPr>
                <w:color w:val="000000"/>
                <w:sz w:val="14"/>
                <w:szCs w:val="14"/>
              </w:rPr>
              <w:t>226</w:t>
            </w:r>
          </w:p>
        </w:tc>
        <w:tc>
          <w:tcPr>
            <w:tcW w:w="567" w:type="dxa"/>
            <w:shd w:val="clear" w:color="auto" w:fill="auto"/>
            <w:noWrap/>
            <w:vAlign w:val="bottom"/>
          </w:tcPr>
          <w:p w14:paraId="129B64BB" w14:textId="22F30C8A"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6E740E4E" w14:textId="42AAD531" w:rsidR="000F7354" w:rsidRPr="001F224B" w:rsidRDefault="000F7354" w:rsidP="000F7354">
            <w:pPr>
              <w:jc w:val="right"/>
              <w:rPr>
                <w:sz w:val="14"/>
                <w:szCs w:val="14"/>
              </w:rPr>
            </w:pPr>
            <w:r w:rsidRPr="001F224B">
              <w:rPr>
                <w:sz w:val="14"/>
                <w:szCs w:val="14"/>
              </w:rPr>
              <w:t>-</w:t>
            </w:r>
          </w:p>
        </w:tc>
        <w:tc>
          <w:tcPr>
            <w:tcW w:w="425" w:type="dxa"/>
            <w:vAlign w:val="bottom"/>
          </w:tcPr>
          <w:p w14:paraId="7555C543" w14:textId="54DB3B76" w:rsidR="000F7354" w:rsidRPr="001F224B" w:rsidRDefault="000F7354" w:rsidP="000F7354">
            <w:pPr>
              <w:jc w:val="right"/>
              <w:rPr>
                <w:sz w:val="14"/>
                <w:szCs w:val="14"/>
              </w:rPr>
            </w:pPr>
            <w:r w:rsidRPr="001F224B">
              <w:rPr>
                <w:sz w:val="14"/>
                <w:szCs w:val="14"/>
              </w:rPr>
              <w:t>-</w:t>
            </w:r>
          </w:p>
        </w:tc>
        <w:tc>
          <w:tcPr>
            <w:tcW w:w="567" w:type="dxa"/>
            <w:vAlign w:val="bottom"/>
          </w:tcPr>
          <w:p w14:paraId="767D9026" w14:textId="004D27D5" w:rsidR="000F7354" w:rsidRPr="001F224B" w:rsidRDefault="000F7354" w:rsidP="000F7354">
            <w:pPr>
              <w:jc w:val="right"/>
              <w:rPr>
                <w:sz w:val="14"/>
                <w:szCs w:val="14"/>
              </w:rPr>
            </w:pPr>
            <w:r w:rsidRPr="001F224B">
              <w:rPr>
                <w:sz w:val="14"/>
                <w:szCs w:val="14"/>
              </w:rPr>
              <w:t>-</w:t>
            </w:r>
          </w:p>
        </w:tc>
        <w:tc>
          <w:tcPr>
            <w:tcW w:w="851" w:type="dxa"/>
            <w:shd w:val="clear" w:color="auto" w:fill="auto"/>
            <w:noWrap/>
            <w:vAlign w:val="bottom"/>
          </w:tcPr>
          <w:p w14:paraId="4A1008E6" w14:textId="62DA0363"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64324C93" w14:textId="63E46177"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8B08841" w14:textId="6DBFED54" w:rsidR="000F7354" w:rsidRPr="001F224B" w:rsidRDefault="000F7354" w:rsidP="000F7354">
            <w:pPr>
              <w:jc w:val="right"/>
              <w:rPr>
                <w:sz w:val="14"/>
                <w:szCs w:val="14"/>
              </w:rPr>
            </w:pPr>
            <w:r w:rsidRPr="001F224B">
              <w:rPr>
                <w:sz w:val="14"/>
                <w:szCs w:val="14"/>
              </w:rPr>
              <w:t>1.060.703</w:t>
            </w:r>
          </w:p>
        </w:tc>
        <w:tc>
          <w:tcPr>
            <w:tcW w:w="426" w:type="dxa"/>
            <w:shd w:val="clear" w:color="auto" w:fill="auto"/>
            <w:noWrap/>
            <w:vAlign w:val="bottom"/>
          </w:tcPr>
          <w:p w14:paraId="27681230" w14:textId="6C62A5A1" w:rsidR="000F7354" w:rsidRPr="001F224B" w:rsidRDefault="000F7354" w:rsidP="000F7354">
            <w:pPr>
              <w:jc w:val="right"/>
              <w:rPr>
                <w:sz w:val="14"/>
                <w:szCs w:val="14"/>
              </w:rPr>
            </w:pPr>
            <w:r w:rsidRPr="001F224B">
              <w:rPr>
                <w:sz w:val="14"/>
                <w:szCs w:val="14"/>
              </w:rPr>
              <w:t>-</w:t>
            </w:r>
          </w:p>
        </w:tc>
        <w:tc>
          <w:tcPr>
            <w:tcW w:w="425" w:type="dxa"/>
            <w:shd w:val="clear" w:color="auto" w:fill="auto"/>
            <w:noWrap/>
            <w:vAlign w:val="bottom"/>
          </w:tcPr>
          <w:p w14:paraId="5E8E768E" w14:textId="7F4A2BD7" w:rsidR="000F7354" w:rsidRPr="001F224B" w:rsidRDefault="000F7354" w:rsidP="000F7354">
            <w:pPr>
              <w:jc w:val="right"/>
              <w:rPr>
                <w:sz w:val="14"/>
                <w:szCs w:val="14"/>
              </w:rPr>
            </w:pPr>
            <w:r w:rsidRPr="001F224B">
              <w:rPr>
                <w:sz w:val="14"/>
                <w:szCs w:val="14"/>
              </w:rPr>
              <w:t>-</w:t>
            </w:r>
          </w:p>
        </w:tc>
        <w:tc>
          <w:tcPr>
            <w:tcW w:w="709" w:type="dxa"/>
            <w:shd w:val="clear" w:color="auto" w:fill="auto"/>
            <w:noWrap/>
            <w:vAlign w:val="bottom"/>
          </w:tcPr>
          <w:p w14:paraId="1A670B7E" w14:textId="7B184944" w:rsidR="000F7354" w:rsidRPr="001F224B" w:rsidRDefault="000F7354" w:rsidP="000F7354">
            <w:pPr>
              <w:jc w:val="right"/>
              <w:rPr>
                <w:sz w:val="14"/>
                <w:szCs w:val="14"/>
              </w:rPr>
            </w:pPr>
            <w:r w:rsidRPr="001F224B">
              <w:rPr>
                <w:sz w:val="14"/>
                <w:szCs w:val="14"/>
              </w:rPr>
              <w:t>-</w:t>
            </w:r>
          </w:p>
        </w:tc>
        <w:tc>
          <w:tcPr>
            <w:tcW w:w="850" w:type="dxa"/>
            <w:shd w:val="clear" w:color="auto" w:fill="auto"/>
            <w:noWrap/>
            <w:vAlign w:val="bottom"/>
          </w:tcPr>
          <w:p w14:paraId="7E309572" w14:textId="6C14953C" w:rsidR="000F7354" w:rsidRPr="001F224B" w:rsidRDefault="000F7354" w:rsidP="000F7354">
            <w:pPr>
              <w:jc w:val="right"/>
              <w:rPr>
                <w:sz w:val="14"/>
                <w:szCs w:val="14"/>
              </w:rPr>
            </w:pPr>
            <w:r w:rsidRPr="001F224B">
              <w:rPr>
                <w:sz w:val="14"/>
                <w:szCs w:val="14"/>
              </w:rPr>
              <w:t>1.060.929</w:t>
            </w:r>
          </w:p>
        </w:tc>
      </w:tr>
      <w:tr w:rsidR="000F7354" w:rsidRPr="001F224B" w14:paraId="11282849" w14:textId="77777777" w:rsidTr="000F7354">
        <w:trPr>
          <w:trHeight w:val="307"/>
        </w:trPr>
        <w:tc>
          <w:tcPr>
            <w:tcW w:w="425" w:type="dxa"/>
            <w:shd w:val="clear" w:color="auto" w:fill="auto"/>
            <w:noWrap/>
            <w:vAlign w:val="bottom"/>
            <w:hideMark/>
          </w:tcPr>
          <w:p w14:paraId="0792D187" w14:textId="77777777" w:rsidR="000F7354" w:rsidRPr="001F224B" w:rsidRDefault="000F7354" w:rsidP="000F7354">
            <w:pPr>
              <w:rPr>
                <w:color w:val="000000"/>
                <w:sz w:val="16"/>
                <w:szCs w:val="16"/>
              </w:rPr>
            </w:pPr>
            <w:r w:rsidRPr="001F224B">
              <w:rPr>
                <w:color w:val="000000"/>
                <w:sz w:val="16"/>
                <w:szCs w:val="16"/>
              </w:rPr>
              <w:t>18</w:t>
            </w:r>
          </w:p>
        </w:tc>
        <w:tc>
          <w:tcPr>
            <w:tcW w:w="1985" w:type="dxa"/>
            <w:shd w:val="clear" w:color="auto" w:fill="auto"/>
            <w:noWrap/>
            <w:vAlign w:val="bottom"/>
            <w:hideMark/>
          </w:tcPr>
          <w:p w14:paraId="267CE3D6" w14:textId="77777777" w:rsidR="000F7354" w:rsidRPr="001F224B" w:rsidRDefault="000F7354" w:rsidP="000F7354">
            <w:pPr>
              <w:rPr>
                <w:b/>
                <w:color w:val="000000"/>
                <w:sz w:val="16"/>
                <w:szCs w:val="16"/>
              </w:rPr>
            </w:pPr>
            <w:r w:rsidRPr="001F224B">
              <w:rPr>
                <w:b/>
                <w:color w:val="000000"/>
                <w:sz w:val="16"/>
                <w:szCs w:val="16"/>
              </w:rPr>
              <w:t>Toplam</w:t>
            </w:r>
          </w:p>
        </w:tc>
        <w:tc>
          <w:tcPr>
            <w:tcW w:w="850" w:type="dxa"/>
            <w:shd w:val="clear" w:color="auto" w:fill="auto"/>
            <w:noWrap/>
            <w:vAlign w:val="bottom"/>
          </w:tcPr>
          <w:p w14:paraId="203D60A3" w14:textId="6B5BBD9D" w:rsidR="000F7354" w:rsidRPr="001F224B" w:rsidRDefault="000F7354" w:rsidP="000F7354">
            <w:pPr>
              <w:jc w:val="right"/>
              <w:rPr>
                <w:b/>
                <w:sz w:val="14"/>
                <w:szCs w:val="14"/>
              </w:rPr>
            </w:pPr>
            <w:r w:rsidRPr="001F224B">
              <w:rPr>
                <w:b/>
                <w:bCs/>
                <w:color w:val="000000"/>
                <w:sz w:val="14"/>
                <w:szCs w:val="14"/>
              </w:rPr>
              <w:t>11.959.597</w:t>
            </w:r>
          </w:p>
        </w:tc>
        <w:tc>
          <w:tcPr>
            <w:tcW w:w="567" w:type="dxa"/>
            <w:shd w:val="clear" w:color="auto" w:fill="auto"/>
            <w:noWrap/>
            <w:vAlign w:val="bottom"/>
          </w:tcPr>
          <w:p w14:paraId="6DB10329" w14:textId="66E2205C" w:rsidR="000F7354" w:rsidRPr="001F224B" w:rsidRDefault="000F7354" w:rsidP="000F7354">
            <w:pPr>
              <w:jc w:val="right"/>
              <w:rPr>
                <w:b/>
                <w:sz w:val="14"/>
                <w:szCs w:val="14"/>
              </w:rPr>
            </w:pPr>
            <w:r w:rsidRPr="001F224B">
              <w:rPr>
                <w:sz w:val="14"/>
                <w:szCs w:val="14"/>
              </w:rPr>
              <w:t>-</w:t>
            </w:r>
          </w:p>
        </w:tc>
        <w:tc>
          <w:tcPr>
            <w:tcW w:w="851" w:type="dxa"/>
            <w:shd w:val="clear" w:color="auto" w:fill="auto"/>
            <w:noWrap/>
            <w:vAlign w:val="bottom"/>
          </w:tcPr>
          <w:p w14:paraId="3AD333B5" w14:textId="054BA309" w:rsidR="000F7354" w:rsidRPr="001F224B" w:rsidRDefault="000F7354" w:rsidP="000F7354">
            <w:pPr>
              <w:jc w:val="right"/>
              <w:rPr>
                <w:b/>
                <w:sz w:val="14"/>
                <w:szCs w:val="14"/>
              </w:rPr>
            </w:pPr>
            <w:r w:rsidRPr="001F224B">
              <w:rPr>
                <w:b/>
                <w:bCs/>
                <w:sz w:val="14"/>
                <w:szCs w:val="14"/>
              </w:rPr>
              <w:t>14.423.829</w:t>
            </w:r>
          </w:p>
        </w:tc>
        <w:tc>
          <w:tcPr>
            <w:tcW w:w="425" w:type="dxa"/>
            <w:vAlign w:val="bottom"/>
          </w:tcPr>
          <w:p w14:paraId="53736B50" w14:textId="228C1F23" w:rsidR="000F7354" w:rsidRPr="001F224B" w:rsidRDefault="000F7354" w:rsidP="000F7354">
            <w:pPr>
              <w:jc w:val="right"/>
              <w:rPr>
                <w:b/>
                <w:sz w:val="14"/>
                <w:szCs w:val="14"/>
              </w:rPr>
            </w:pPr>
            <w:r w:rsidRPr="001F224B">
              <w:rPr>
                <w:b/>
                <w:sz w:val="14"/>
                <w:szCs w:val="14"/>
              </w:rPr>
              <w:t>-</w:t>
            </w:r>
          </w:p>
        </w:tc>
        <w:tc>
          <w:tcPr>
            <w:tcW w:w="567" w:type="dxa"/>
            <w:vAlign w:val="bottom"/>
          </w:tcPr>
          <w:p w14:paraId="0DE8BD9F" w14:textId="51BC6452" w:rsidR="000F7354" w:rsidRPr="001F224B" w:rsidRDefault="000F7354" w:rsidP="000F7354">
            <w:pPr>
              <w:jc w:val="right"/>
              <w:rPr>
                <w:b/>
                <w:sz w:val="14"/>
                <w:szCs w:val="14"/>
              </w:rPr>
            </w:pPr>
            <w:r w:rsidRPr="001F224B">
              <w:rPr>
                <w:b/>
                <w:sz w:val="14"/>
                <w:szCs w:val="14"/>
              </w:rPr>
              <w:t>45.350</w:t>
            </w:r>
          </w:p>
        </w:tc>
        <w:tc>
          <w:tcPr>
            <w:tcW w:w="851" w:type="dxa"/>
            <w:shd w:val="clear" w:color="auto" w:fill="auto"/>
            <w:noWrap/>
            <w:vAlign w:val="bottom"/>
          </w:tcPr>
          <w:p w14:paraId="34BF4345" w14:textId="0EF1D93F" w:rsidR="000F7354" w:rsidRPr="001F224B" w:rsidRDefault="000F7354" w:rsidP="000F7354">
            <w:pPr>
              <w:jc w:val="right"/>
              <w:rPr>
                <w:b/>
                <w:sz w:val="14"/>
                <w:szCs w:val="14"/>
              </w:rPr>
            </w:pPr>
            <w:r w:rsidRPr="001F224B">
              <w:rPr>
                <w:b/>
                <w:bCs/>
                <w:color w:val="000000"/>
                <w:sz w:val="14"/>
                <w:szCs w:val="14"/>
              </w:rPr>
              <w:t>16.749.793</w:t>
            </w:r>
          </w:p>
        </w:tc>
        <w:tc>
          <w:tcPr>
            <w:tcW w:w="425" w:type="dxa"/>
            <w:shd w:val="clear" w:color="auto" w:fill="auto"/>
            <w:noWrap/>
            <w:vAlign w:val="bottom"/>
          </w:tcPr>
          <w:p w14:paraId="288484FC" w14:textId="6E2598F8" w:rsidR="000F7354" w:rsidRPr="001F224B" w:rsidRDefault="000F7354" w:rsidP="000F7354">
            <w:pPr>
              <w:jc w:val="right"/>
              <w:rPr>
                <w:b/>
                <w:sz w:val="14"/>
                <w:szCs w:val="14"/>
              </w:rPr>
            </w:pPr>
            <w:r w:rsidRPr="001F224B">
              <w:rPr>
                <w:b/>
                <w:sz w:val="14"/>
                <w:szCs w:val="14"/>
              </w:rPr>
              <w:t>-</w:t>
            </w:r>
          </w:p>
        </w:tc>
        <w:tc>
          <w:tcPr>
            <w:tcW w:w="850" w:type="dxa"/>
            <w:shd w:val="clear" w:color="auto" w:fill="auto"/>
            <w:noWrap/>
            <w:vAlign w:val="bottom"/>
          </w:tcPr>
          <w:p w14:paraId="7EEE85FE" w14:textId="1069F077" w:rsidR="000F7354" w:rsidRPr="001F224B" w:rsidRDefault="000F7354" w:rsidP="000F7354">
            <w:pPr>
              <w:jc w:val="right"/>
              <w:rPr>
                <w:b/>
                <w:sz w:val="14"/>
                <w:szCs w:val="14"/>
              </w:rPr>
            </w:pPr>
            <w:r w:rsidRPr="001F224B">
              <w:rPr>
                <w:b/>
                <w:bCs/>
                <w:color w:val="000000"/>
                <w:sz w:val="14"/>
                <w:szCs w:val="14"/>
              </w:rPr>
              <w:t>95.683.663</w:t>
            </w:r>
          </w:p>
        </w:tc>
        <w:tc>
          <w:tcPr>
            <w:tcW w:w="426" w:type="dxa"/>
            <w:shd w:val="clear" w:color="auto" w:fill="auto"/>
            <w:noWrap/>
            <w:vAlign w:val="bottom"/>
          </w:tcPr>
          <w:p w14:paraId="1F97684C" w14:textId="77777777" w:rsidR="000F7354" w:rsidRPr="001F224B" w:rsidRDefault="000F7354" w:rsidP="000F7354">
            <w:pPr>
              <w:jc w:val="right"/>
              <w:rPr>
                <w:b/>
                <w:sz w:val="14"/>
                <w:szCs w:val="14"/>
              </w:rPr>
            </w:pPr>
          </w:p>
        </w:tc>
        <w:tc>
          <w:tcPr>
            <w:tcW w:w="425" w:type="dxa"/>
            <w:shd w:val="clear" w:color="auto" w:fill="auto"/>
            <w:noWrap/>
            <w:vAlign w:val="bottom"/>
          </w:tcPr>
          <w:p w14:paraId="0E88EB60" w14:textId="2AA6BD12" w:rsidR="000F7354" w:rsidRPr="001F224B" w:rsidRDefault="000F7354" w:rsidP="000F7354">
            <w:pPr>
              <w:jc w:val="right"/>
              <w:rPr>
                <w:b/>
                <w:sz w:val="14"/>
                <w:szCs w:val="14"/>
              </w:rPr>
            </w:pPr>
            <w:r w:rsidRPr="001F224B">
              <w:rPr>
                <w:b/>
                <w:sz w:val="14"/>
                <w:szCs w:val="14"/>
              </w:rPr>
              <w:t>-</w:t>
            </w:r>
          </w:p>
        </w:tc>
        <w:tc>
          <w:tcPr>
            <w:tcW w:w="709" w:type="dxa"/>
            <w:shd w:val="clear" w:color="auto" w:fill="auto"/>
            <w:noWrap/>
            <w:vAlign w:val="bottom"/>
          </w:tcPr>
          <w:p w14:paraId="35BA8B75" w14:textId="530EB4AF" w:rsidR="000F7354" w:rsidRPr="001F224B" w:rsidRDefault="000F7354" w:rsidP="000F7354">
            <w:pPr>
              <w:jc w:val="right"/>
              <w:rPr>
                <w:b/>
                <w:sz w:val="14"/>
                <w:szCs w:val="14"/>
              </w:rPr>
            </w:pPr>
            <w:r w:rsidRPr="001F224B">
              <w:rPr>
                <w:b/>
                <w:bCs/>
                <w:sz w:val="14"/>
                <w:szCs w:val="14"/>
              </w:rPr>
              <w:t>303.590</w:t>
            </w:r>
          </w:p>
        </w:tc>
        <w:tc>
          <w:tcPr>
            <w:tcW w:w="850" w:type="dxa"/>
            <w:shd w:val="clear" w:color="auto" w:fill="auto"/>
            <w:noWrap/>
            <w:vAlign w:val="bottom"/>
          </w:tcPr>
          <w:p w14:paraId="5084C937" w14:textId="2367857B" w:rsidR="000F7354" w:rsidRPr="001F224B" w:rsidRDefault="000F7354" w:rsidP="000F7354">
            <w:pPr>
              <w:jc w:val="right"/>
              <w:rPr>
                <w:b/>
                <w:sz w:val="14"/>
                <w:szCs w:val="14"/>
              </w:rPr>
            </w:pPr>
            <w:r w:rsidRPr="001F224B">
              <w:rPr>
                <w:b/>
                <w:bCs/>
                <w:color w:val="000000"/>
                <w:sz w:val="14"/>
                <w:szCs w:val="14"/>
              </w:rPr>
              <w:t>139.165.822</w:t>
            </w:r>
          </w:p>
        </w:tc>
      </w:tr>
    </w:tbl>
    <w:p w14:paraId="4C9E422C" w14:textId="77777777" w:rsidR="000F7354" w:rsidRPr="001F224B" w:rsidRDefault="000F7354" w:rsidP="000F7354">
      <w:pPr>
        <w:rPr>
          <w:b/>
          <w:bCs/>
          <w:sz w:val="22"/>
          <w:szCs w:val="22"/>
        </w:rPr>
      </w:pPr>
    </w:p>
    <w:p w14:paraId="6E5D8107" w14:textId="77777777" w:rsidR="000F7354" w:rsidRPr="001F224B" w:rsidRDefault="000F7354" w:rsidP="000F7354">
      <w:pPr>
        <w:pStyle w:val="ListParagraph"/>
        <w:tabs>
          <w:tab w:val="left" w:pos="0"/>
        </w:tabs>
        <w:spacing w:before="120"/>
        <w:ind w:left="0"/>
        <w:rPr>
          <w:b/>
          <w:bCs/>
          <w:sz w:val="22"/>
          <w:szCs w:val="22"/>
        </w:rPr>
      </w:pPr>
    </w:p>
    <w:p w14:paraId="142BCABA" w14:textId="77777777" w:rsidR="000F7354" w:rsidRPr="001F224B" w:rsidRDefault="000F7354" w:rsidP="000F7354">
      <w:pPr>
        <w:pStyle w:val="ListParagraph"/>
        <w:tabs>
          <w:tab w:val="left" w:pos="0"/>
        </w:tabs>
        <w:spacing w:before="120"/>
        <w:ind w:left="0"/>
        <w:rPr>
          <w:b/>
          <w:bCs/>
          <w:sz w:val="22"/>
          <w:szCs w:val="22"/>
        </w:rPr>
      </w:pPr>
    </w:p>
    <w:p w14:paraId="6F0D0BAC" w14:textId="77777777" w:rsidR="000F7354" w:rsidRPr="001F224B" w:rsidRDefault="000F7354" w:rsidP="000F7354">
      <w:pPr>
        <w:pStyle w:val="ListParagraph"/>
        <w:tabs>
          <w:tab w:val="left" w:pos="0"/>
        </w:tabs>
        <w:spacing w:before="120"/>
        <w:ind w:left="0"/>
        <w:rPr>
          <w:b/>
          <w:bCs/>
          <w:sz w:val="22"/>
          <w:szCs w:val="22"/>
        </w:rPr>
      </w:pPr>
    </w:p>
    <w:p w14:paraId="6285B7F9" w14:textId="77777777" w:rsidR="000F7354" w:rsidRPr="001F224B" w:rsidRDefault="000F7354" w:rsidP="000F7354">
      <w:pPr>
        <w:pStyle w:val="ListParagraph"/>
        <w:tabs>
          <w:tab w:val="left" w:pos="0"/>
        </w:tabs>
        <w:spacing w:before="120"/>
        <w:ind w:left="0"/>
        <w:rPr>
          <w:b/>
          <w:bCs/>
          <w:sz w:val="22"/>
          <w:szCs w:val="22"/>
        </w:rPr>
      </w:pPr>
    </w:p>
    <w:p w14:paraId="3EEFBA47" w14:textId="77777777" w:rsidR="000F7354" w:rsidRPr="001F224B" w:rsidRDefault="000F7354" w:rsidP="000F7354">
      <w:pPr>
        <w:pStyle w:val="ListParagraph"/>
        <w:tabs>
          <w:tab w:val="left" w:pos="0"/>
        </w:tabs>
        <w:spacing w:before="120"/>
        <w:ind w:left="0"/>
        <w:rPr>
          <w:b/>
          <w:bCs/>
          <w:sz w:val="22"/>
          <w:szCs w:val="22"/>
        </w:rPr>
      </w:pPr>
    </w:p>
    <w:p w14:paraId="0DCA0213" w14:textId="77777777" w:rsidR="000F7354" w:rsidRPr="001F224B" w:rsidRDefault="000F7354" w:rsidP="000F7354">
      <w:pPr>
        <w:pStyle w:val="ListParagraph"/>
        <w:tabs>
          <w:tab w:val="left" w:pos="0"/>
        </w:tabs>
        <w:spacing w:before="120"/>
        <w:ind w:left="0"/>
        <w:rPr>
          <w:b/>
          <w:bCs/>
          <w:sz w:val="22"/>
          <w:szCs w:val="22"/>
        </w:rPr>
      </w:pPr>
    </w:p>
    <w:p w14:paraId="079F93DC" w14:textId="1F078131" w:rsidR="000F7354" w:rsidRPr="001F224B" w:rsidRDefault="000F7354" w:rsidP="00F64EC3">
      <w:pPr>
        <w:spacing w:line="360" w:lineRule="auto"/>
        <w:rPr>
          <w:b/>
          <w:bCs/>
          <w:sz w:val="22"/>
          <w:szCs w:val="22"/>
        </w:rPr>
      </w:pPr>
    </w:p>
    <w:p w14:paraId="7DF3EA85" w14:textId="1178F997" w:rsidR="000F7354" w:rsidRPr="001F224B" w:rsidRDefault="000F7354" w:rsidP="00F64EC3">
      <w:pPr>
        <w:spacing w:line="360" w:lineRule="auto"/>
        <w:rPr>
          <w:b/>
          <w:bCs/>
          <w:sz w:val="22"/>
          <w:szCs w:val="22"/>
        </w:rPr>
      </w:pPr>
    </w:p>
    <w:p w14:paraId="099E081D" w14:textId="77777777" w:rsidR="00BB2793" w:rsidRPr="001F224B" w:rsidRDefault="00BB2793" w:rsidP="00BB2793">
      <w:pPr>
        <w:pStyle w:val="ListParagraph"/>
        <w:tabs>
          <w:tab w:val="left" w:pos="0"/>
        </w:tabs>
        <w:spacing w:before="120"/>
        <w:ind w:left="0"/>
        <w:rPr>
          <w:b/>
          <w:bCs/>
          <w:sz w:val="22"/>
          <w:szCs w:val="22"/>
        </w:rPr>
      </w:pPr>
      <w:r w:rsidRPr="001F224B">
        <w:rPr>
          <w:b/>
          <w:bCs/>
          <w:sz w:val="22"/>
          <w:szCs w:val="22"/>
        </w:rPr>
        <w:t>DÖRDÜNCÜ BÖLÜM (Devamı)</w:t>
      </w:r>
    </w:p>
    <w:p w14:paraId="0EA9EDB8" w14:textId="77777777" w:rsidR="00BB2793" w:rsidRPr="001F224B" w:rsidRDefault="00BB2793" w:rsidP="00BB2793">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281173A0" w14:textId="77777777" w:rsidR="00BB2793" w:rsidRPr="001F224B" w:rsidRDefault="00BB2793" w:rsidP="00BB2793">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408D9B6A" w14:textId="77777777" w:rsidR="00BB2793" w:rsidRPr="001F224B" w:rsidRDefault="00BB2793" w:rsidP="00BB2793">
      <w:pPr>
        <w:jc w:val="both"/>
        <w:rPr>
          <w:b/>
          <w:sz w:val="22"/>
          <w:szCs w:val="22"/>
          <w:lang w:eastAsia="x-none"/>
        </w:rPr>
      </w:pPr>
      <w:r w:rsidRPr="001F224B">
        <w:rPr>
          <w:b/>
          <w:sz w:val="22"/>
          <w:szCs w:val="22"/>
          <w:lang w:eastAsia="x-none"/>
        </w:rPr>
        <w:t>7. Karşı taraf kredi riskinin ölçüm yöntemlerine göre değerlendirilmesi:</w:t>
      </w:r>
    </w:p>
    <w:p w14:paraId="139006A1" w14:textId="77777777" w:rsidR="00BB2793" w:rsidRPr="001F224B" w:rsidRDefault="00BB2793" w:rsidP="00BB2793">
      <w:pPr>
        <w:jc w:val="both"/>
        <w:rPr>
          <w:sz w:val="16"/>
          <w:szCs w:val="16"/>
          <w:lang w:eastAsia="x-none"/>
        </w:rPr>
      </w:pPr>
    </w:p>
    <w:tbl>
      <w:tblPr>
        <w:tblpPr w:leftFromText="180" w:rightFromText="180" w:vertAnchor="text" w:horzAnchor="margin" w:tblpX="87"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92"/>
        <w:gridCol w:w="993"/>
        <w:gridCol w:w="855"/>
        <w:gridCol w:w="1001"/>
        <w:gridCol w:w="993"/>
        <w:gridCol w:w="983"/>
      </w:tblGrid>
      <w:tr w:rsidR="00BB2793" w:rsidRPr="001F224B" w14:paraId="02CC9F1A" w14:textId="77777777" w:rsidTr="00001A93">
        <w:trPr>
          <w:trHeight w:val="1266"/>
        </w:trPr>
        <w:tc>
          <w:tcPr>
            <w:tcW w:w="3534" w:type="dxa"/>
            <w:gridSpan w:val="2"/>
            <w:shd w:val="clear" w:color="auto" w:fill="auto"/>
            <w:noWrap/>
            <w:hideMark/>
          </w:tcPr>
          <w:p w14:paraId="175B0F27" w14:textId="77777777" w:rsidR="00BB2793" w:rsidRPr="001F224B" w:rsidRDefault="00BB2793" w:rsidP="00001A93">
            <w:pPr>
              <w:jc w:val="center"/>
              <w:rPr>
                <w:b/>
                <w:color w:val="000000"/>
                <w:sz w:val="18"/>
                <w:szCs w:val="18"/>
              </w:rPr>
            </w:pPr>
          </w:p>
          <w:p w14:paraId="1B611BA5" w14:textId="77777777" w:rsidR="00BB2793" w:rsidRPr="001F224B" w:rsidRDefault="00BB2793" w:rsidP="00001A93">
            <w:pPr>
              <w:jc w:val="center"/>
              <w:rPr>
                <w:b/>
                <w:color w:val="000000"/>
                <w:sz w:val="18"/>
                <w:szCs w:val="18"/>
              </w:rPr>
            </w:pPr>
          </w:p>
          <w:p w14:paraId="776E3F90" w14:textId="77777777" w:rsidR="00BB2793" w:rsidRPr="001F224B" w:rsidRDefault="00BB2793" w:rsidP="00001A93">
            <w:pPr>
              <w:ind w:left="-214" w:firstLine="214"/>
              <w:jc w:val="center"/>
              <w:rPr>
                <w:b/>
                <w:color w:val="000000"/>
                <w:sz w:val="18"/>
                <w:szCs w:val="18"/>
              </w:rPr>
            </w:pPr>
          </w:p>
          <w:p w14:paraId="5B89611C" w14:textId="234AC33E" w:rsidR="00BB2793" w:rsidRPr="001F224B" w:rsidRDefault="00BB2793" w:rsidP="00001A93">
            <w:pPr>
              <w:jc w:val="center"/>
              <w:rPr>
                <w:b/>
                <w:color w:val="000000"/>
                <w:sz w:val="18"/>
                <w:szCs w:val="18"/>
              </w:rPr>
            </w:pPr>
            <w:r w:rsidRPr="001F224B">
              <w:rPr>
                <w:b/>
                <w:color w:val="000000"/>
                <w:sz w:val="20"/>
                <w:szCs w:val="20"/>
              </w:rPr>
              <w:t>Cari Dönem (30.06.2025)</w:t>
            </w:r>
          </w:p>
        </w:tc>
        <w:tc>
          <w:tcPr>
            <w:tcW w:w="992" w:type="dxa"/>
            <w:shd w:val="clear" w:color="auto" w:fill="auto"/>
            <w:noWrap/>
            <w:vAlign w:val="center"/>
          </w:tcPr>
          <w:p w14:paraId="405F5B4B" w14:textId="77777777" w:rsidR="00BB2793" w:rsidRPr="001F224B" w:rsidRDefault="00BB2793" w:rsidP="00001A93">
            <w:pPr>
              <w:jc w:val="center"/>
              <w:rPr>
                <w:b/>
                <w:bCs/>
                <w:color w:val="000000"/>
                <w:sz w:val="18"/>
                <w:szCs w:val="18"/>
              </w:rPr>
            </w:pPr>
            <w:r w:rsidRPr="001F224B">
              <w:rPr>
                <w:b/>
                <w:color w:val="000000"/>
                <w:sz w:val="18"/>
                <w:szCs w:val="18"/>
              </w:rPr>
              <w:t>Yenileme maliyeti</w:t>
            </w:r>
          </w:p>
        </w:tc>
        <w:tc>
          <w:tcPr>
            <w:tcW w:w="993" w:type="dxa"/>
            <w:shd w:val="clear" w:color="auto" w:fill="auto"/>
            <w:noWrap/>
            <w:vAlign w:val="center"/>
          </w:tcPr>
          <w:p w14:paraId="253E2A35" w14:textId="77777777" w:rsidR="00BB2793" w:rsidRPr="001F224B" w:rsidRDefault="00BB2793" w:rsidP="00001A93">
            <w:pPr>
              <w:jc w:val="center"/>
              <w:rPr>
                <w:b/>
                <w:bCs/>
                <w:color w:val="000000"/>
                <w:sz w:val="18"/>
                <w:szCs w:val="18"/>
              </w:rPr>
            </w:pPr>
            <w:r w:rsidRPr="001F224B">
              <w:rPr>
                <w:b/>
                <w:color w:val="000000"/>
                <w:sz w:val="18"/>
                <w:szCs w:val="18"/>
              </w:rPr>
              <w:t>Potansiyel kredi riski tutarı</w:t>
            </w:r>
          </w:p>
        </w:tc>
        <w:tc>
          <w:tcPr>
            <w:tcW w:w="855" w:type="dxa"/>
            <w:shd w:val="clear" w:color="auto" w:fill="auto"/>
            <w:noWrap/>
            <w:vAlign w:val="center"/>
          </w:tcPr>
          <w:p w14:paraId="5CE6048D" w14:textId="77777777" w:rsidR="00BB2793" w:rsidRPr="001F224B" w:rsidRDefault="00BB2793" w:rsidP="00001A93">
            <w:pPr>
              <w:jc w:val="center"/>
              <w:rPr>
                <w:b/>
                <w:bCs/>
                <w:color w:val="000000"/>
                <w:sz w:val="18"/>
                <w:szCs w:val="18"/>
              </w:rPr>
            </w:pPr>
            <w:r w:rsidRPr="001F224B">
              <w:rPr>
                <w:b/>
                <w:color w:val="000000"/>
                <w:sz w:val="18"/>
                <w:szCs w:val="18"/>
              </w:rPr>
              <w:t>EBPRT</w:t>
            </w:r>
          </w:p>
        </w:tc>
        <w:tc>
          <w:tcPr>
            <w:tcW w:w="1001" w:type="dxa"/>
            <w:shd w:val="clear" w:color="auto" w:fill="auto"/>
            <w:noWrap/>
            <w:vAlign w:val="center"/>
          </w:tcPr>
          <w:p w14:paraId="7F497221" w14:textId="77777777" w:rsidR="00BB2793" w:rsidRPr="001F224B" w:rsidRDefault="00BB2793" w:rsidP="00001A93">
            <w:pPr>
              <w:jc w:val="center"/>
              <w:rPr>
                <w:b/>
                <w:bCs/>
                <w:color w:val="000000"/>
                <w:sz w:val="18"/>
                <w:szCs w:val="18"/>
              </w:rPr>
            </w:pPr>
            <w:r w:rsidRPr="001F224B">
              <w:rPr>
                <w:b/>
                <w:color w:val="000000"/>
                <w:sz w:val="18"/>
                <w:szCs w:val="18"/>
              </w:rPr>
              <w:t>Yasal risk tutarının hesaplan-ması için kullanılan alfa</w:t>
            </w:r>
          </w:p>
        </w:tc>
        <w:tc>
          <w:tcPr>
            <w:tcW w:w="993" w:type="dxa"/>
            <w:shd w:val="clear" w:color="auto" w:fill="auto"/>
            <w:noWrap/>
            <w:vAlign w:val="center"/>
          </w:tcPr>
          <w:p w14:paraId="3FAC652F" w14:textId="77777777" w:rsidR="00BB2793" w:rsidRPr="001F224B" w:rsidRDefault="00BB2793" w:rsidP="00001A93">
            <w:pPr>
              <w:jc w:val="center"/>
              <w:rPr>
                <w:b/>
                <w:bCs/>
                <w:color w:val="000000"/>
                <w:sz w:val="18"/>
                <w:szCs w:val="18"/>
              </w:rPr>
            </w:pPr>
            <w:r w:rsidRPr="001F224B">
              <w:rPr>
                <w:b/>
                <w:color w:val="000000"/>
                <w:sz w:val="18"/>
                <w:szCs w:val="18"/>
              </w:rPr>
              <w:t>Kredi riski azaltımı sonrası risk tutarı</w:t>
            </w:r>
          </w:p>
        </w:tc>
        <w:tc>
          <w:tcPr>
            <w:tcW w:w="983" w:type="dxa"/>
            <w:shd w:val="clear" w:color="auto" w:fill="auto"/>
            <w:noWrap/>
            <w:vAlign w:val="center"/>
          </w:tcPr>
          <w:p w14:paraId="53B28607" w14:textId="77777777" w:rsidR="00BB2793" w:rsidRPr="001F224B" w:rsidRDefault="00BB2793" w:rsidP="00001A93">
            <w:pPr>
              <w:jc w:val="center"/>
              <w:rPr>
                <w:b/>
                <w:bCs/>
                <w:color w:val="000000"/>
                <w:sz w:val="18"/>
                <w:szCs w:val="18"/>
              </w:rPr>
            </w:pPr>
            <w:r w:rsidRPr="001F224B">
              <w:rPr>
                <w:b/>
                <w:color w:val="000000"/>
                <w:sz w:val="18"/>
                <w:szCs w:val="18"/>
              </w:rPr>
              <w:t>Risk ağırlıklı tutarlar</w:t>
            </w:r>
          </w:p>
        </w:tc>
      </w:tr>
      <w:tr w:rsidR="00747969" w:rsidRPr="001F224B" w14:paraId="20EC771E" w14:textId="77777777" w:rsidTr="00001A93">
        <w:trPr>
          <w:trHeight w:val="284"/>
        </w:trPr>
        <w:tc>
          <w:tcPr>
            <w:tcW w:w="283" w:type="dxa"/>
            <w:shd w:val="clear" w:color="auto" w:fill="auto"/>
            <w:noWrap/>
            <w:vAlign w:val="bottom"/>
            <w:hideMark/>
          </w:tcPr>
          <w:p w14:paraId="7F0052C7" w14:textId="77777777" w:rsidR="00747969" w:rsidRPr="001F224B" w:rsidRDefault="00747969" w:rsidP="00747969">
            <w:pPr>
              <w:jc w:val="center"/>
              <w:rPr>
                <w:b/>
                <w:bCs/>
                <w:color w:val="000000"/>
                <w:sz w:val="18"/>
                <w:szCs w:val="18"/>
              </w:rPr>
            </w:pPr>
            <w:r w:rsidRPr="001F224B">
              <w:rPr>
                <w:b/>
                <w:bCs/>
                <w:color w:val="000000"/>
                <w:sz w:val="18"/>
                <w:szCs w:val="18"/>
              </w:rPr>
              <w:t>1</w:t>
            </w:r>
          </w:p>
        </w:tc>
        <w:tc>
          <w:tcPr>
            <w:tcW w:w="3251" w:type="dxa"/>
            <w:shd w:val="clear" w:color="auto" w:fill="auto"/>
            <w:vAlign w:val="bottom"/>
            <w:hideMark/>
          </w:tcPr>
          <w:p w14:paraId="4A748E30" w14:textId="77777777" w:rsidR="00747969" w:rsidRPr="001F224B" w:rsidRDefault="00747969" w:rsidP="00747969">
            <w:pPr>
              <w:rPr>
                <w:color w:val="000000"/>
                <w:sz w:val="18"/>
                <w:szCs w:val="18"/>
              </w:rPr>
            </w:pPr>
          </w:p>
          <w:p w14:paraId="747F9596" w14:textId="77777777" w:rsidR="00747969" w:rsidRPr="001F224B" w:rsidRDefault="00747969" w:rsidP="00747969">
            <w:pPr>
              <w:rPr>
                <w:color w:val="000000"/>
                <w:sz w:val="18"/>
                <w:szCs w:val="18"/>
              </w:rPr>
            </w:pPr>
            <w:r w:rsidRPr="001F224B">
              <w:rPr>
                <w:color w:val="000000"/>
                <w:sz w:val="18"/>
                <w:szCs w:val="18"/>
              </w:rPr>
              <w:t>Karşı Taraf Kredi Riski Ölçümüne İlişkin Standart yaklaşım (türev işlemler için)</w:t>
            </w:r>
          </w:p>
        </w:tc>
        <w:tc>
          <w:tcPr>
            <w:tcW w:w="992" w:type="dxa"/>
            <w:shd w:val="clear" w:color="auto" w:fill="auto"/>
            <w:noWrap/>
            <w:vAlign w:val="bottom"/>
            <w:hideMark/>
          </w:tcPr>
          <w:p w14:paraId="5D9A86A3" w14:textId="57A1417B" w:rsidR="00747969" w:rsidRPr="001F224B" w:rsidRDefault="00747969" w:rsidP="00747969">
            <w:pPr>
              <w:jc w:val="right"/>
              <w:rPr>
                <w:color w:val="000000"/>
                <w:sz w:val="18"/>
                <w:szCs w:val="18"/>
              </w:rPr>
            </w:pPr>
            <w:r w:rsidRPr="001F224B">
              <w:rPr>
                <w:sz w:val="18"/>
                <w:szCs w:val="18"/>
              </w:rPr>
              <w:t xml:space="preserve">9.528 </w:t>
            </w:r>
          </w:p>
        </w:tc>
        <w:tc>
          <w:tcPr>
            <w:tcW w:w="993" w:type="dxa"/>
            <w:shd w:val="clear" w:color="auto" w:fill="auto"/>
            <w:noWrap/>
            <w:vAlign w:val="bottom"/>
            <w:hideMark/>
          </w:tcPr>
          <w:p w14:paraId="0C2C11D4" w14:textId="76003DBE" w:rsidR="00747969" w:rsidRPr="001F224B" w:rsidRDefault="00747969" w:rsidP="00747969">
            <w:pPr>
              <w:jc w:val="right"/>
              <w:rPr>
                <w:color w:val="000000"/>
                <w:sz w:val="18"/>
                <w:szCs w:val="18"/>
              </w:rPr>
            </w:pPr>
            <w:r w:rsidRPr="001F224B">
              <w:rPr>
                <w:sz w:val="18"/>
                <w:szCs w:val="18"/>
              </w:rPr>
              <w:t>484.957</w:t>
            </w:r>
          </w:p>
        </w:tc>
        <w:tc>
          <w:tcPr>
            <w:tcW w:w="855" w:type="dxa"/>
            <w:shd w:val="clear" w:color="auto" w:fill="auto"/>
            <w:noWrap/>
            <w:vAlign w:val="bottom"/>
            <w:hideMark/>
          </w:tcPr>
          <w:p w14:paraId="11B4BA1A" w14:textId="77777777" w:rsidR="00747969" w:rsidRPr="001F224B" w:rsidRDefault="00747969" w:rsidP="00747969">
            <w:pPr>
              <w:jc w:val="right"/>
              <w:rPr>
                <w:color w:val="000000"/>
                <w:sz w:val="18"/>
                <w:szCs w:val="18"/>
              </w:rPr>
            </w:pPr>
          </w:p>
        </w:tc>
        <w:tc>
          <w:tcPr>
            <w:tcW w:w="1001" w:type="dxa"/>
            <w:shd w:val="clear" w:color="auto" w:fill="auto"/>
            <w:noWrap/>
            <w:vAlign w:val="bottom"/>
            <w:hideMark/>
          </w:tcPr>
          <w:p w14:paraId="5D5420E1" w14:textId="75B76F70" w:rsidR="00747969" w:rsidRPr="001F224B" w:rsidRDefault="00747969" w:rsidP="00747969">
            <w:pPr>
              <w:jc w:val="right"/>
              <w:rPr>
                <w:color w:val="000000"/>
                <w:sz w:val="18"/>
                <w:szCs w:val="18"/>
              </w:rPr>
            </w:pPr>
            <w:r w:rsidRPr="001F224B">
              <w:rPr>
                <w:color w:val="000000"/>
                <w:sz w:val="18"/>
                <w:szCs w:val="18"/>
              </w:rPr>
              <w:t>1,4</w:t>
            </w:r>
          </w:p>
        </w:tc>
        <w:tc>
          <w:tcPr>
            <w:tcW w:w="993" w:type="dxa"/>
            <w:shd w:val="clear" w:color="auto" w:fill="auto"/>
            <w:noWrap/>
            <w:vAlign w:val="bottom"/>
            <w:hideMark/>
          </w:tcPr>
          <w:p w14:paraId="7F7E42BB" w14:textId="09961A82" w:rsidR="00747969" w:rsidRPr="001F224B" w:rsidRDefault="00747969" w:rsidP="00747969">
            <w:pPr>
              <w:jc w:val="right"/>
              <w:rPr>
                <w:color w:val="000000"/>
                <w:sz w:val="18"/>
                <w:szCs w:val="18"/>
              </w:rPr>
            </w:pPr>
            <w:r w:rsidRPr="001F224B">
              <w:rPr>
                <w:sz w:val="18"/>
                <w:szCs w:val="18"/>
              </w:rPr>
              <w:t xml:space="preserve"> 692.280</w:t>
            </w:r>
          </w:p>
        </w:tc>
        <w:tc>
          <w:tcPr>
            <w:tcW w:w="983" w:type="dxa"/>
            <w:shd w:val="clear" w:color="auto" w:fill="auto"/>
            <w:noWrap/>
            <w:vAlign w:val="bottom"/>
            <w:hideMark/>
          </w:tcPr>
          <w:p w14:paraId="29D30ED3" w14:textId="799C57DD" w:rsidR="00747969" w:rsidRPr="001F224B" w:rsidRDefault="00747969" w:rsidP="00747969">
            <w:pPr>
              <w:jc w:val="right"/>
              <w:rPr>
                <w:color w:val="000000"/>
                <w:sz w:val="18"/>
                <w:szCs w:val="18"/>
              </w:rPr>
            </w:pPr>
            <w:r w:rsidRPr="001F224B">
              <w:rPr>
                <w:sz w:val="18"/>
                <w:szCs w:val="18"/>
              </w:rPr>
              <w:t xml:space="preserve">  455.478</w:t>
            </w:r>
          </w:p>
        </w:tc>
      </w:tr>
      <w:tr w:rsidR="00747969" w:rsidRPr="001F224B" w14:paraId="14DC245B" w14:textId="77777777" w:rsidTr="00001A93">
        <w:trPr>
          <w:trHeight w:val="560"/>
        </w:trPr>
        <w:tc>
          <w:tcPr>
            <w:tcW w:w="283" w:type="dxa"/>
            <w:shd w:val="clear" w:color="auto" w:fill="auto"/>
            <w:noWrap/>
            <w:vAlign w:val="bottom"/>
            <w:hideMark/>
          </w:tcPr>
          <w:p w14:paraId="2AA271CC" w14:textId="77777777" w:rsidR="00747969" w:rsidRPr="001F224B" w:rsidRDefault="00747969" w:rsidP="00747969">
            <w:pPr>
              <w:jc w:val="center"/>
              <w:rPr>
                <w:b/>
                <w:bCs/>
                <w:color w:val="000000"/>
                <w:sz w:val="18"/>
                <w:szCs w:val="18"/>
              </w:rPr>
            </w:pPr>
            <w:r w:rsidRPr="001F224B">
              <w:rPr>
                <w:b/>
                <w:bCs/>
                <w:color w:val="000000"/>
                <w:sz w:val="18"/>
                <w:szCs w:val="18"/>
              </w:rPr>
              <w:t>2</w:t>
            </w:r>
          </w:p>
        </w:tc>
        <w:tc>
          <w:tcPr>
            <w:tcW w:w="3251" w:type="dxa"/>
            <w:shd w:val="clear" w:color="auto" w:fill="auto"/>
            <w:vAlign w:val="bottom"/>
            <w:hideMark/>
          </w:tcPr>
          <w:p w14:paraId="34F465EB" w14:textId="77777777" w:rsidR="00747969" w:rsidRPr="001F224B" w:rsidRDefault="00747969" w:rsidP="00747969">
            <w:pPr>
              <w:rPr>
                <w:color w:val="000000"/>
                <w:sz w:val="18"/>
                <w:szCs w:val="18"/>
              </w:rPr>
            </w:pPr>
            <w:r w:rsidRPr="001F224B">
              <w:rPr>
                <w:color w:val="000000"/>
                <w:sz w:val="18"/>
                <w:szCs w:val="18"/>
              </w:rPr>
              <w:t>İçsel Model Yöntemi (türev işlemler ve menkul kıymet finansman işlemleri için)</w:t>
            </w:r>
          </w:p>
        </w:tc>
        <w:tc>
          <w:tcPr>
            <w:tcW w:w="992" w:type="dxa"/>
            <w:shd w:val="clear" w:color="auto" w:fill="auto"/>
            <w:noWrap/>
            <w:vAlign w:val="bottom"/>
          </w:tcPr>
          <w:p w14:paraId="1EF6B4CD" w14:textId="77777777" w:rsidR="00747969" w:rsidRPr="001F224B" w:rsidRDefault="00747969" w:rsidP="00747969">
            <w:pPr>
              <w:jc w:val="right"/>
              <w:rPr>
                <w:color w:val="000000"/>
                <w:sz w:val="18"/>
                <w:szCs w:val="18"/>
              </w:rPr>
            </w:pPr>
          </w:p>
        </w:tc>
        <w:tc>
          <w:tcPr>
            <w:tcW w:w="993" w:type="dxa"/>
            <w:shd w:val="clear" w:color="auto" w:fill="auto"/>
            <w:noWrap/>
            <w:vAlign w:val="bottom"/>
          </w:tcPr>
          <w:p w14:paraId="7982DA6F" w14:textId="77777777" w:rsidR="00747969" w:rsidRPr="001F224B" w:rsidRDefault="00747969" w:rsidP="00747969">
            <w:pPr>
              <w:jc w:val="right"/>
              <w:rPr>
                <w:color w:val="000000"/>
                <w:sz w:val="18"/>
                <w:szCs w:val="18"/>
              </w:rPr>
            </w:pPr>
          </w:p>
        </w:tc>
        <w:tc>
          <w:tcPr>
            <w:tcW w:w="855" w:type="dxa"/>
            <w:shd w:val="clear" w:color="auto" w:fill="auto"/>
            <w:noWrap/>
            <w:vAlign w:val="bottom"/>
            <w:hideMark/>
          </w:tcPr>
          <w:p w14:paraId="2C02DCD8" w14:textId="2224FB32" w:rsidR="00747969" w:rsidRPr="001F224B" w:rsidRDefault="00747969" w:rsidP="00747969">
            <w:pPr>
              <w:jc w:val="right"/>
              <w:rPr>
                <w:color w:val="000000"/>
                <w:sz w:val="18"/>
                <w:szCs w:val="18"/>
              </w:rPr>
            </w:pPr>
            <w:r w:rsidRPr="001F224B">
              <w:rPr>
                <w:color w:val="000000"/>
                <w:sz w:val="18"/>
                <w:szCs w:val="18"/>
              </w:rPr>
              <w:t>-</w:t>
            </w:r>
          </w:p>
        </w:tc>
        <w:tc>
          <w:tcPr>
            <w:tcW w:w="1001" w:type="dxa"/>
            <w:shd w:val="clear" w:color="auto" w:fill="auto"/>
            <w:noWrap/>
            <w:vAlign w:val="bottom"/>
            <w:hideMark/>
          </w:tcPr>
          <w:p w14:paraId="04DF2283" w14:textId="5297BF8F" w:rsidR="00747969" w:rsidRPr="001F224B" w:rsidRDefault="00747969" w:rsidP="00747969">
            <w:pPr>
              <w:jc w:val="right"/>
              <w:rPr>
                <w:color w:val="000000"/>
                <w:sz w:val="18"/>
                <w:szCs w:val="18"/>
              </w:rPr>
            </w:pPr>
            <w:r w:rsidRPr="001F224B">
              <w:rPr>
                <w:color w:val="000000"/>
                <w:sz w:val="18"/>
                <w:szCs w:val="18"/>
              </w:rPr>
              <w:t>-</w:t>
            </w:r>
          </w:p>
        </w:tc>
        <w:tc>
          <w:tcPr>
            <w:tcW w:w="993" w:type="dxa"/>
            <w:shd w:val="clear" w:color="auto" w:fill="auto"/>
            <w:noWrap/>
            <w:vAlign w:val="bottom"/>
            <w:hideMark/>
          </w:tcPr>
          <w:p w14:paraId="7F3BBF79" w14:textId="70D7C777" w:rsidR="00747969" w:rsidRPr="001F224B" w:rsidRDefault="00747969" w:rsidP="00747969">
            <w:pPr>
              <w:jc w:val="right"/>
              <w:rPr>
                <w:color w:val="000000"/>
                <w:sz w:val="18"/>
                <w:szCs w:val="18"/>
              </w:rPr>
            </w:pPr>
            <w:r w:rsidRPr="001F224B">
              <w:rPr>
                <w:color w:val="000000"/>
                <w:sz w:val="18"/>
                <w:szCs w:val="18"/>
              </w:rPr>
              <w:t>-</w:t>
            </w:r>
          </w:p>
        </w:tc>
        <w:tc>
          <w:tcPr>
            <w:tcW w:w="983" w:type="dxa"/>
            <w:shd w:val="clear" w:color="auto" w:fill="auto"/>
            <w:noWrap/>
            <w:vAlign w:val="bottom"/>
            <w:hideMark/>
          </w:tcPr>
          <w:p w14:paraId="322D7487" w14:textId="65B2FD32"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19A7DAA9" w14:textId="77777777" w:rsidTr="00001A93">
        <w:trPr>
          <w:trHeight w:val="837"/>
        </w:trPr>
        <w:tc>
          <w:tcPr>
            <w:tcW w:w="283" w:type="dxa"/>
            <w:shd w:val="clear" w:color="auto" w:fill="auto"/>
            <w:noWrap/>
            <w:vAlign w:val="bottom"/>
            <w:hideMark/>
          </w:tcPr>
          <w:p w14:paraId="5C6B6B35" w14:textId="77777777" w:rsidR="00747969" w:rsidRPr="001F224B" w:rsidRDefault="00747969" w:rsidP="00747969">
            <w:pPr>
              <w:jc w:val="center"/>
              <w:rPr>
                <w:b/>
                <w:bCs/>
                <w:color w:val="000000"/>
                <w:sz w:val="18"/>
                <w:szCs w:val="18"/>
              </w:rPr>
            </w:pPr>
            <w:r w:rsidRPr="001F224B">
              <w:rPr>
                <w:b/>
                <w:bCs/>
                <w:color w:val="000000"/>
                <w:sz w:val="18"/>
                <w:szCs w:val="18"/>
              </w:rPr>
              <w:t>3</w:t>
            </w:r>
          </w:p>
        </w:tc>
        <w:tc>
          <w:tcPr>
            <w:tcW w:w="3251" w:type="dxa"/>
            <w:shd w:val="clear" w:color="auto" w:fill="auto"/>
            <w:vAlign w:val="bottom"/>
            <w:hideMark/>
          </w:tcPr>
          <w:p w14:paraId="1FFCBA48" w14:textId="77777777" w:rsidR="00747969" w:rsidRPr="001F224B" w:rsidRDefault="00747969" w:rsidP="00747969">
            <w:pPr>
              <w:rPr>
                <w:color w:val="000000"/>
                <w:sz w:val="18"/>
                <w:szCs w:val="18"/>
              </w:rPr>
            </w:pPr>
            <w:r w:rsidRPr="001F224B">
              <w:rPr>
                <w:color w:val="000000"/>
                <w:sz w:val="18"/>
                <w:szCs w:val="18"/>
              </w:rPr>
              <w:t>KRA için kullanılan basit finansal teminat yöntemi (menkul kıymet finansman işlemleri için)</w:t>
            </w:r>
          </w:p>
        </w:tc>
        <w:tc>
          <w:tcPr>
            <w:tcW w:w="992" w:type="dxa"/>
            <w:shd w:val="clear" w:color="auto" w:fill="auto"/>
            <w:noWrap/>
            <w:vAlign w:val="bottom"/>
          </w:tcPr>
          <w:p w14:paraId="3D831075" w14:textId="77777777" w:rsidR="00747969" w:rsidRPr="001F224B" w:rsidRDefault="00747969" w:rsidP="00747969">
            <w:pPr>
              <w:jc w:val="right"/>
              <w:rPr>
                <w:color w:val="000000"/>
                <w:sz w:val="18"/>
                <w:szCs w:val="18"/>
              </w:rPr>
            </w:pPr>
          </w:p>
        </w:tc>
        <w:tc>
          <w:tcPr>
            <w:tcW w:w="993" w:type="dxa"/>
            <w:shd w:val="clear" w:color="auto" w:fill="auto"/>
            <w:noWrap/>
            <w:vAlign w:val="bottom"/>
          </w:tcPr>
          <w:p w14:paraId="681B2A19" w14:textId="77777777" w:rsidR="00747969" w:rsidRPr="001F224B" w:rsidRDefault="00747969" w:rsidP="00747969">
            <w:pPr>
              <w:jc w:val="right"/>
              <w:rPr>
                <w:color w:val="000000"/>
                <w:sz w:val="18"/>
                <w:szCs w:val="18"/>
              </w:rPr>
            </w:pPr>
          </w:p>
        </w:tc>
        <w:tc>
          <w:tcPr>
            <w:tcW w:w="855" w:type="dxa"/>
            <w:shd w:val="clear" w:color="auto" w:fill="auto"/>
            <w:noWrap/>
            <w:vAlign w:val="bottom"/>
          </w:tcPr>
          <w:p w14:paraId="752AF9DD" w14:textId="77777777" w:rsidR="00747969" w:rsidRPr="001F224B" w:rsidRDefault="00747969" w:rsidP="00747969">
            <w:pPr>
              <w:jc w:val="right"/>
              <w:rPr>
                <w:color w:val="000000"/>
                <w:sz w:val="18"/>
                <w:szCs w:val="18"/>
              </w:rPr>
            </w:pPr>
          </w:p>
        </w:tc>
        <w:tc>
          <w:tcPr>
            <w:tcW w:w="1001" w:type="dxa"/>
            <w:shd w:val="clear" w:color="auto" w:fill="auto"/>
            <w:noWrap/>
            <w:vAlign w:val="bottom"/>
          </w:tcPr>
          <w:p w14:paraId="0CC08C00" w14:textId="77777777" w:rsidR="00747969" w:rsidRPr="001F224B" w:rsidRDefault="00747969" w:rsidP="00747969">
            <w:pPr>
              <w:jc w:val="right"/>
              <w:rPr>
                <w:color w:val="000000"/>
                <w:sz w:val="18"/>
                <w:szCs w:val="18"/>
              </w:rPr>
            </w:pPr>
          </w:p>
        </w:tc>
        <w:tc>
          <w:tcPr>
            <w:tcW w:w="993" w:type="dxa"/>
            <w:shd w:val="clear" w:color="auto" w:fill="auto"/>
            <w:noWrap/>
            <w:vAlign w:val="bottom"/>
            <w:hideMark/>
          </w:tcPr>
          <w:p w14:paraId="51C78117" w14:textId="39B85F2E" w:rsidR="00747969" w:rsidRPr="001F224B" w:rsidRDefault="00747969" w:rsidP="00747969">
            <w:pPr>
              <w:jc w:val="right"/>
              <w:rPr>
                <w:color w:val="000000"/>
                <w:sz w:val="18"/>
                <w:szCs w:val="18"/>
              </w:rPr>
            </w:pPr>
            <w:r w:rsidRPr="001F224B">
              <w:rPr>
                <w:color w:val="000000"/>
                <w:sz w:val="18"/>
                <w:szCs w:val="18"/>
              </w:rPr>
              <w:t>-</w:t>
            </w:r>
          </w:p>
        </w:tc>
        <w:tc>
          <w:tcPr>
            <w:tcW w:w="983" w:type="dxa"/>
            <w:shd w:val="clear" w:color="auto" w:fill="auto"/>
            <w:noWrap/>
            <w:vAlign w:val="bottom"/>
            <w:hideMark/>
          </w:tcPr>
          <w:p w14:paraId="6DB025D2" w14:textId="2F733AE3"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7904E6DD" w14:textId="77777777" w:rsidTr="00001A93">
        <w:trPr>
          <w:trHeight w:val="835"/>
        </w:trPr>
        <w:tc>
          <w:tcPr>
            <w:tcW w:w="283" w:type="dxa"/>
            <w:shd w:val="clear" w:color="auto" w:fill="auto"/>
            <w:noWrap/>
            <w:vAlign w:val="bottom"/>
            <w:hideMark/>
          </w:tcPr>
          <w:p w14:paraId="577C3220" w14:textId="77777777" w:rsidR="00747969" w:rsidRPr="001F224B" w:rsidRDefault="00747969" w:rsidP="00747969">
            <w:pPr>
              <w:jc w:val="center"/>
              <w:rPr>
                <w:b/>
                <w:bCs/>
                <w:color w:val="000000"/>
                <w:sz w:val="18"/>
                <w:szCs w:val="18"/>
              </w:rPr>
            </w:pPr>
            <w:r w:rsidRPr="001F224B">
              <w:rPr>
                <w:b/>
                <w:bCs/>
                <w:color w:val="000000"/>
                <w:sz w:val="18"/>
                <w:szCs w:val="18"/>
              </w:rPr>
              <w:t>4</w:t>
            </w:r>
          </w:p>
        </w:tc>
        <w:tc>
          <w:tcPr>
            <w:tcW w:w="3251" w:type="dxa"/>
            <w:shd w:val="clear" w:color="auto" w:fill="auto"/>
            <w:vAlign w:val="bottom"/>
            <w:hideMark/>
          </w:tcPr>
          <w:p w14:paraId="529BE052" w14:textId="77777777" w:rsidR="00747969" w:rsidRPr="001F224B" w:rsidRDefault="00747969" w:rsidP="00747969">
            <w:pPr>
              <w:rPr>
                <w:color w:val="000000"/>
                <w:sz w:val="18"/>
                <w:szCs w:val="18"/>
              </w:rPr>
            </w:pPr>
            <w:r w:rsidRPr="001F224B">
              <w:rPr>
                <w:color w:val="000000"/>
                <w:sz w:val="18"/>
                <w:szCs w:val="18"/>
              </w:rPr>
              <w:t>KRA için kullanılan kapsamlı finansal teminat yöntemi (menkul kıymet finansman işlemleri için))</w:t>
            </w:r>
          </w:p>
        </w:tc>
        <w:tc>
          <w:tcPr>
            <w:tcW w:w="992" w:type="dxa"/>
            <w:shd w:val="clear" w:color="auto" w:fill="auto"/>
            <w:noWrap/>
            <w:vAlign w:val="bottom"/>
          </w:tcPr>
          <w:p w14:paraId="40F99CCE" w14:textId="77777777" w:rsidR="00747969" w:rsidRPr="001F224B" w:rsidRDefault="00747969" w:rsidP="00747969">
            <w:pPr>
              <w:jc w:val="right"/>
              <w:rPr>
                <w:color w:val="000000"/>
                <w:sz w:val="18"/>
                <w:szCs w:val="18"/>
              </w:rPr>
            </w:pPr>
          </w:p>
        </w:tc>
        <w:tc>
          <w:tcPr>
            <w:tcW w:w="993" w:type="dxa"/>
            <w:shd w:val="clear" w:color="auto" w:fill="auto"/>
            <w:noWrap/>
            <w:vAlign w:val="bottom"/>
          </w:tcPr>
          <w:p w14:paraId="43015DB5" w14:textId="77777777" w:rsidR="00747969" w:rsidRPr="001F224B" w:rsidRDefault="00747969" w:rsidP="00747969">
            <w:pPr>
              <w:jc w:val="right"/>
              <w:rPr>
                <w:color w:val="000000"/>
                <w:sz w:val="18"/>
                <w:szCs w:val="18"/>
              </w:rPr>
            </w:pPr>
          </w:p>
        </w:tc>
        <w:tc>
          <w:tcPr>
            <w:tcW w:w="855" w:type="dxa"/>
            <w:shd w:val="clear" w:color="auto" w:fill="auto"/>
            <w:noWrap/>
            <w:vAlign w:val="bottom"/>
          </w:tcPr>
          <w:p w14:paraId="2674BE8C" w14:textId="77777777" w:rsidR="00747969" w:rsidRPr="001F224B" w:rsidRDefault="00747969" w:rsidP="00747969">
            <w:pPr>
              <w:jc w:val="right"/>
              <w:rPr>
                <w:color w:val="000000"/>
                <w:sz w:val="18"/>
                <w:szCs w:val="18"/>
              </w:rPr>
            </w:pPr>
          </w:p>
        </w:tc>
        <w:tc>
          <w:tcPr>
            <w:tcW w:w="1001" w:type="dxa"/>
            <w:shd w:val="clear" w:color="auto" w:fill="auto"/>
            <w:noWrap/>
            <w:vAlign w:val="bottom"/>
          </w:tcPr>
          <w:p w14:paraId="67BED9DF" w14:textId="77777777" w:rsidR="00747969" w:rsidRPr="001F224B" w:rsidRDefault="00747969" w:rsidP="00747969">
            <w:pPr>
              <w:jc w:val="right"/>
              <w:rPr>
                <w:color w:val="000000"/>
                <w:sz w:val="18"/>
                <w:szCs w:val="18"/>
              </w:rPr>
            </w:pPr>
          </w:p>
        </w:tc>
        <w:tc>
          <w:tcPr>
            <w:tcW w:w="993" w:type="dxa"/>
            <w:shd w:val="clear" w:color="auto" w:fill="auto"/>
            <w:noWrap/>
            <w:vAlign w:val="bottom"/>
            <w:hideMark/>
          </w:tcPr>
          <w:p w14:paraId="1FB93820" w14:textId="0A0FE9FE" w:rsidR="00747969" w:rsidRPr="001F224B" w:rsidRDefault="00747969" w:rsidP="00747969">
            <w:pPr>
              <w:jc w:val="right"/>
              <w:rPr>
                <w:color w:val="000000"/>
                <w:sz w:val="18"/>
                <w:szCs w:val="18"/>
              </w:rPr>
            </w:pPr>
            <w:r w:rsidRPr="001F224B">
              <w:rPr>
                <w:color w:val="000000"/>
                <w:sz w:val="18"/>
                <w:szCs w:val="18"/>
              </w:rPr>
              <w:t>-</w:t>
            </w:r>
          </w:p>
        </w:tc>
        <w:tc>
          <w:tcPr>
            <w:tcW w:w="983" w:type="dxa"/>
            <w:shd w:val="clear" w:color="auto" w:fill="auto"/>
            <w:noWrap/>
            <w:vAlign w:val="bottom"/>
            <w:hideMark/>
          </w:tcPr>
          <w:p w14:paraId="1FAADD9F" w14:textId="03F249B3"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0F119AB7" w14:textId="77777777" w:rsidTr="00001A93">
        <w:trPr>
          <w:trHeight w:val="563"/>
        </w:trPr>
        <w:tc>
          <w:tcPr>
            <w:tcW w:w="283" w:type="dxa"/>
            <w:shd w:val="clear" w:color="auto" w:fill="auto"/>
            <w:noWrap/>
            <w:vAlign w:val="bottom"/>
            <w:hideMark/>
          </w:tcPr>
          <w:p w14:paraId="4C199EC6" w14:textId="77777777" w:rsidR="00747969" w:rsidRPr="001F224B" w:rsidRDefault="00747969" w:rsidP="00747969">
            <w:pPr>
              <w:jc w:val="center"/>
              <w:rPr>
                <w:b/>
                <w:bCs/>
                <w:color w:val="000000"/>
                <w:sz w:val="18"/>
                <w:szCs w:val="18"/>
              </w:rPr>
            </w:pPr>
            <w:r w:rsidRPr="001F224B">
              <w:rPr>
                <w:b/>
                <w:bCs/>
                <w:color w:val="000000"/>
                <w:sz w:val="18"/>
                <w:szCs w:val="18"/>
              </w:rPr>
              <w:t>5</w:t>
            </w:r>
          </w:p>
        </w:tc>
        <w:tc>
          <w:tcPr>
            <w:tcW w:w="3251" w:type="dxa"/>
            <w:shd w:val="clear" w:color="auto" w:fill="auto"/>
            <w:vAlign w:val="bottom"/>
            <w:hideMark/>
          </w:tcPr>
          <w:p w14:paraId="0DED00C1" w14:textId="77777777" w:rsidR="00747969" w:rsidRPr="001F224B" w:rsidRDefault="00747969" w:rsidP="00747969">
            <w:pPr>
              <w:rPr>
                <w:color w:val="000000"/>
                <w:sz w:val="18"/>
                <w:szCs w:val="18"/>
              </w:rPr>
            </w:pPr>
          </w:p>
          <w:p w14:paraId="58429207" w14:textId="77777777" w:rsidR="00747969" w:rsidRPr="001F224B" w:rsidRDefault="00747969" w:rsidP="00747969">
            <w:pPr>
              <w:rPr>
                <w:color w:val="000000"/>
                <w:sz w:val="18"/>
                <w:szCs w:val="18"/>
              </w:rPr>
            </w:pPr>
            <w:r w:rsidRPr="001F224B">
              <w:rPr>
                <w:color w:val="000000"/>
                <w:sz w:val="18"/>
                <w:szCs w:val="18"/>
              </w:rPr>
              <w:t>Repo işlemleri, menkul kıymetler veya emtia ödünç verme veya ödünç alma işlemleri, takas süresi uzun işlemler ile kredili menkul kıymet işlemleri için riske maruz değer</w:t>
            </w:r>
          </w:p>
        </w:tc>
        <w:tc>
          <w:tcPr>
            <w:tcW w:w="992" w:type="dxa"/>
            <w:shd w:val="clear" w:color="auto" w:fill="auto"/>
            <w:noWrap/>
            <w:vAlign w:val="bottom"/>
          </w:tcPr>
          <w:p w14:paraId="0CE8ECF0" w14:textId="77777777" w:rsidR="00747969" w:rsidRPr="001F224B" w:rsidRDefault="00747969" w:rsidP="00747969">
            <w:pPr>
              <w:jc w:val="right"/>
              <w:rPr>
                <w:color w:val="000000"/>
                <w:sz w:val="18"/>
                <w:szCs w:val="18"/>
              </w:rPr>
            </w:pPr>
          </w:p>
        </w:tc>
        <w:tc>
          <w:tcPr>
            <w:tcW w:w="993" w:type="dxa"/>
            <w:shd w:val="clear" w:color="auto" w:fill="auto"/>
            <w:noWrap/>
            <w:vAlign w:val="bottom"/>
          </w:tcPr>
          <w:p w14:paraId="5ED67739" w14:textId="77777777" w:rsidR="00747969" w:rsidRPr="001F224B" w:rsidRDefault="00747969" w:rsidP="00747969">
            <w:pPr>
              <w:jc w:val="right"/>
              <w:rPr>
                <w:color w:val="000000"/>
                <w:sz w:val="18"/>
                <w:szCs w:val="18"/>
              </w:rPr>
            </w:pPr>
          </w:p>
        </w:tc>
        <w:tc>
          <w:tcPr>
            <w:tcW w:w="855" w:type="dxa"/>
            <w:shd w:val="clear" w:color="auto" w:fill="auto"/>
            <w:noWrap/>
            <w:vAlign w:val="bottom"/>
          </w:tcPr>
          <w:p w14:paraId="64A89CD9" w14:textId="77777777" w:rsidR="00747969" w:rsidRPr="001F224B" w:rsidRDefault="00747969" w:rsidP="00747969">
            <w:pPr>
              <w:jc w:val="right"/>
              <w:rPr>
                <w:color w:val="000000"/>
                <w:sz w:val="18"/>
                <w:szCs w:val="18"/>
              </w:rPr>
            </w:pPr>
          </w:p>
        </w:tc>
        <w:tc>
          <w:tcPr>
            <w:tcW w:w="1001" w:type="dxa"/>
            <w:shd w:val="clear" w:color="auto" w:fill="auto"/>
            <w:noWrap/>
            <w:vAlign w:val="bottom"/>
          </w:tcPr>
          <w:p w14:paraId="33961430" w14:textId="77777777" w:rsidR="00747969" w:rsidRPr="001F224B" w:rsidRDefault="00747969" w:rsidP="00747969">
            <w:pPr>
              <w:jc w:val="right"/>
              <w:rPr>
                <w:color w:val="000000"/>
                <w:sz w:val="18"/>
                <w:szCs w:val="18"/>
              </w:rPr>
            </w:pPr>
          </w:p>
        </w:tc>
        <w:tc>
          <w:tcPr>
            <w:tcW w:w="993" w:type="dxa"/>
            <w:shd w:val="clear" w:color="auto" w:fill="auto"/>
            <w:noWrap/>
            <w:vAlign w:val="bottom"/>
          </w:tcPr>
          <w:p w14:paraId="1F9149BC" w14:textId="4629E96A" w:rsidR="00747969" w:rsidRPr="001F224B" w:rsidRDefault="00747969" w:rsidP="00747969">
            <w:pPr>
              <w:jc w:val="right"/>
              <w:rPr>
                <w:sz w:val="18"/>
                <w:szCs w:val="18"/>
              </w:rPr>
            </w:pPr>
            <w:r w:rsidRPr="001F224B">
              <w:rPr>
                <w:sz w:val="18"/>
                <w:szCs w:val="18"/>
              </w:rPr>
              <w:t>129.605</w:t>
            </w:r>
          </w:p>
        </w:tc>
        <w:tc>
          <w:tcPr>
            <w:tcW w:w="983" w:type="dxa"/>
            <w:shd w:val="clear" w:color="auto" w:fill="auto"/>
            <w:noWrap/>
            <w:vAlign w:val="bottom"/>
          </w:tcPr>
          <w:p w14:paraId="23C67209" w14:textId="1895E281" w:rsidR="00747969" w:rsidRPr="001F224B" w:rsidRDefault="00747969" w:rsidP="00747969">
            <w:pPr>
              <w:jc w:val="right"/>
              <w:rPr>
                <w:sz w:val="18"/>
                <w:szCs w:val="18"/>
              </w:rPr>
            </w:pPr>
            <w:r w:rsidRPr="001F224B">
              <w:rPr>
                <w:sz w:val="18"/>
                <w:szCs w:val="18"/>
              </w:rPr>
              <w:t>289</w:t>
            </w:r>
          </w:p>
        </w:tc>
      </w:tr>
      <w:tr w:rsidR="00747969" w:rsidRPr="001F224B" w14:paraId="73F3A5DA" w14:textId="77777777" w:rsidTr="00001A93">
        <w:trPr>
          <w:trHeight w:val="323"/>
        </w:trPr>
        <w:tc>
          <w:tcPr>
            <w:tcW w:w="283" w:type="dxa"/>
            <w:shd w:val="clear" w:color="auto" w:fill="auto"/>
            <w:noWrap/>
            <w:vAlign w:val="bottom"/>
            <w:hideMark/>
          </w:tcPr>
          <w:p w14:paraId="316910FC" w14:textId="77777777" w:rsidR="00747969" w:rsidRPr="001F224B" w:rsidRDefault="00747969" w:rsidP="00747969">
            <w:pPr>
              <w:jc w:val="center"/>
              <w:rPr>
                <w:b/>
                <w:bCs/>
                <w:color w:val="000000"/>
                <w:sz w:val="18"/>
                <w:szCs w:val="18"/>
              </w:rPr>
            </w:pPr>
            <w:r w:rsidRPr="001F224B">
              <w:rPr>
                <w:b/>
                <w:bCs/>
                <w:color w:val="000000"/>
                <w:sz w:val="18"/>
                <w:szCs w:val="18"/>
              </w:rPr>
              <w:t>6</w:t>
            </w:r>
          </w:p>
        </w:tc>
        <w:tc>
          <w:tcPr>
            <w:tcW w:w="3251" w:type="dxa"/>
            <w:shd w:val="clear" w:color="auto" w:fill="auto"/>
            <w:vAlign w:val="bottom"/>
            <w:hideMark/>
          </w:tcPr>
          <w:p w14:paraId="26BD575C" w14:textId="77777777" w:rsidR="00747969" w:rsidRPr="001F224B" w:rsidRDefault="00747969" w:rsidP="00747969">
            <w:pPr>
              <w:rPr>
                <w:b/>
                <w:color w:val="000000"/>
                <w:sz w:val="18"/>
                <w:szCs w:val="18"/>
              </w:rPr>
            </w:pPr>
            <w:r w:rsidRPr="001F224B">
              <w:rPr>
                <w:b/>
                <w:color w:val="000000"/>
                <w:sz w:val="18"/>
                <w:szCs w:val="18"/>
              </w:rPr>
              <w:t>Toplam</w:t>
            </w:r>
          </w:p>
        </w:tc>
        <w:tc>
          <w:tcPr>
            <w:tcW w:w="992" w:type="dxa"/>
            <w:shd w:val="clear" w:color="auto" w:fill="auto"/>
            <w:noWrap/>
            <w:vAlign w:val="bottom"/>
          </w:tcPr>
          <w:p w14:paraId="48CD26A9" w14:textId="77777777" w:rsidR="00747969" w:rsidRPr="001F224B" w:rsidRDefault="00747969" w:rsidP="00747969">
            <w:pPr>
              <w:jc w:val="right"/>
              <w:rPr>
                <w:b/>
                <w:color w:val="000000"/>
                <w:sz w:val="18"/>
                <w:szCs w:val="18"/>
              </w:rPr>
            </w:pPr>
          </w:p>
        </w:tc>
        <w:tc>
          <w:tcPr>
            <w:tcW w:w="993" w:type="dxa"/>
            <w:shd w:val="clear" w:color="auto" w:fill="auto"/>
            <w:noWrap/>
            <w:vAlign w:val="bottom"/>
          </w:tcPr>
          <w:p w14:paraId="0150EAC1" w14:textId="77777777" w:rsidR="00747969" w:rsidRPr="001F224B" w:rsidRDefault="00747969" w:rsidP="00747969">
            <w:pPr>
              <w:jc w:val="right"/>
              <w:rPr>
                <w:b/>
                <w:color w:val="000000"/>
                <w:sz w:val="18"/>
                <w:szCs w:val="18"/>
              </w:rPr>
            </w:pPr>
          </w:p>
        </w:tc>
        <w:tc>
          <w:tcPr>
            <w:tcW w:w="855" w:type="dxa"/>
            <w:shd w:val="clear" w:color="auto" w:fill="auto"/>
            <w:noWrap/>
            <w:vAlign w:val="bottom"/>
          </w:tcPr>
          <w:p w14:paraId="184A9AEC" w14:textId="77777777" w:rsidR="00747969" w:rsidRPr="001F224B" w:rsidRDefault="00747969" w:rsidP="00747969">
            <w:pPr>
              <w:jc w:val="right"/>
              <w:rPr>
                <w:b/>
                <w:color w:val="000000"/>
                <w:sz w:val="18"/>
                <w:szCs w:val="18"/>
              </w:rPr>
            </w:pPr>
          </w:p>
        </w:tc>
        <w:tc>
          <w:tcPr>
            <w:tcW w:w="1001" w:type="dxa"/>
            <w:shd w:val="clear" w:color="auto" w:fill="auto"/>
            <w:noWrap/>
            <w:vAlign w:val="bottom"/>
          </w:tcPr>
          <w:p w14:paraId="01261B0B" w14:textId="77777777" w:rsidR="00747969" w:rsidRPr="001F224B" w:rsidRDefault="00747969" w:rsidP="00747969">
            <w:pPr>
              <w:jc w:val="right"/>
              <w:rPr>
                <w:b/>
                <w:color w:val="000000"/>
                <w:sz w:val="18"/>
                <w:szCs w:val="18"/>
              </w:rPr>
            </w:pPr>
          </w:p>
        </w:tc>
        <w:tc>
          <w:tcPr>
            <w:tcW w:w="993" w:type="dxa"/>
            <w:shd w:val="clear" w:color="auto" w:fill="auto"/>
            <w:noWrap/>
            <w:vAlign w:val="bottom"/>
          </w:tcPr>
          <w:p w14:paraId="2DE822AB" w14:textId="77777777" w:rsidR="00747969" w:rsidRPr="001F224B" w:rsidRDefault="00747969" w:rsidP="00747969">
            <w:pPr>
              <w:jc w:val="right"/>
              <w:rPr>
                <w:sz w:val="18"/>
                <w:szCs w:val="18"/>
              </w:rPr>
            </w:pPr>
          </w:p>
        </w:tc>
        <w:tc>
          <w:tcPr>
            <w:tcW w:w="983" w:type="dxa"/>
            <w:shd w:val="clear" w:color="auto" w:fill="auto"/>
            <w:noWrap/>
            <w:vAlign w:val="bottom"/>
          </w:tcPr>
          <w:p w14:paraId="3D86B5A7" w14:textId="4B7AC982" w:rsidR="00747969" w:rsidRPr="001F224B" w:rsidRDefault="00747969" w:rsidP="00747969">
            <w:pPr>
              <w:jc w:val="right"/>
              <w:rPr>
                <w:b/>
                <w:bCs/>
                <w:sz w:val="18"/>
                <w:szCs w:val="18"/>
              </w:rPr>
            </w:pPr>
            <w:r w:rsidRPr="001F224B">
              <w:rPr>
                <w:b/>
                <w:bCs/>
                <w:sz w:val="18"/>
                <w:szCs w:val="18"/>
              </w:rPr>
              <w:t>455.767</w:t>
            </w:r>
          </w:p>
        </w:tc>
      </w:tr>
    </w:tbl>
    <w:p w14:paraId="652E8265" w14:textId="77777777" w:rsidR="00BB2793" w:rsidRPr="001F224B" w:rsidRDefault="00BB2793" w:rsidP="00BB2793">
      <w:pPr>
        <w:rPr>
          <w:b/>
          <w:bCs/>
          <w:sz w:val="22"/>
          <w:szCs w:val="22"/>
        </w:rPr>
      </w:pPr>
    </w:p>
    <w:p w14:paraId="444D539A" w14:textId="77777777" w:rsidR="00BB2793" w:rsidRPr="001F224B" w:rsidRDefault="00BB2793" w:rsidP="00BB2793">
      <w:pPr>
        <w:rPr>
          <w:b/>
          <w:bCs/>
          <w:sz w:val="22"/>
          <w:szCs w:val="22"/>
        </w:rPr>
      </w:pPr>
    </w:p>
    <w:p w14:paraId="658D1EE6" w14:textId="77777777" w:rsidR="00BB2793" w:rsidRPr="001F224B" w:rsidRDefault="00BB2793" w:rsidP="00BB2793">
      <w:pPr>
        <w:rPr>
          <w:b/>
          <w:bCs/>
          <w:sz w:val="22"/>
          <w:szCs w:val="22"/>
        </w:rPr>
      </w:pPr>
    </w:p>
    <w:tbl>
      <w:tblPr>
        <w:tblpPr w:leftFromText="180" w:rightFromText="180" w:vertAnchor="text" w:horzAnchor="margin" w:tblpX="139" w:tblpY="25"/>
        <w:tblW w:w="9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81"/>
        <w:gridCol w:w="3260"/>
        <w:gridCol w:w="992"/>
        <w:gridCol w:w="993"/>
        <w:gridCol w:w="850"/>
        <w:gridCol w:w="992"/>
        <w:gridCol w:w="993"/>
        <w:gridCol w:w="992"/>
      </w:tblGrid>
      <w:tr w:rsidR="00BB2793" w:rsidRPr="001F224B" w14:paraId="56B6D13B" w14:textId="77777777" w:rsidTr="00001A93">
        <w:trPr>
          <w:trHeight w:val="1266"/>
        </w:trPr>
        <w:tc>
          <w:tcPr>
            <w:tcW w:w="3541" w:type="dxa"/>
            <w:gridSpan w:val="2"/>
            <w:shd w:val="clear" w:color="auto" w:fill="auto"/>
            <w:noWrap/>
            <w:hideMark/>
          </w:tcPr>
          <w:p w14:paraId="71E7433B" w14:textId="77777777" w:rsidR="00BB2793" w:rsidRPr="001F224B" w:rsidRDefault="00BB2793" w:rsidP="00001A93">
            <w:pPr>
              <w:jc w:val="center"/>
              <w:rPr>
                <w:b/>
                <w:color w:val="000000"/>
                <w:sz w:val="18"/>
                <w:szCs w:val="18"/>
              </w:rPr>
            </w:pPr>
          </w:p>
          <w:p w14:paraId="500B1AEE" w14:textId="77777777" w:rsidR="00BB2793" w:rsidRPr="001F224B" w:rsidRDefault="00BB2793" w:rsidP="00001A93">
            <w:pPr>
              <w:jc w:val="center"/>
              <w:rPr>
                <w:b/>
                <w:color w:val="000000"/>
                <w:sz w:val="18"/>
                <w:szCs w:val="18"/>
              </w:rPr>
            </w:pPr>
          </w:p>
          <w:p w14:paraId="5514F6E6" w14:textId="77777777" w:rsidR="00BB2793" w:rsidRPr="001F224B" w:rsidRDefault="00BB2793" w:rsidP="00001A93">
            <w:pPr>
              <w:jc w:val="center"/>
              <w:rPr>
                <w:b/>
                <w:color w:val="000000"/>
                <w:sz w:val="18"/>
                <w:szCs w:val="18"/>
              </w:rPr>
            </w:pPr>
          </w:p>
          <w:p w14:paraId="2050B89D" w14:textId="57D131C8" w:rsidR="00BB2793" w:rsidRPr="001F224B" w:rsidRDefault="00BB2793" w:rsidP="00001A93">
            <w:pPr>
              <w:jc w:val="center"/>
              <w:rPr>
                <w:b/>
                <w:color w:val="000000"/>
                <w:sz w:val="18"/>
                <w:szCs w:val="18"/>
              </w:rPr>
            </w:pPr>
            <w:r w:rsidRPr="001F224B">
              <w:rPr>
                <w:b/>
                <w:color w:val="000000"/>
                <w:sz w:val="18"/>
                <w:szCs w:val="18"/>
              </w:rPr>
              <w:t>Önceki Dönem (31.12.2024)</w:t>
            </w:r>
          </w:p>
        </w:tc>
        <w:tc>
          <w:tcPr>
            <w:tcW w:w="992" w:type="dxa"/>
            <w:shd w:val="clear" w:color="auto" w:fill="auto"/>
            <w:noWrap/>
            <w:vAlign w:val="center"/>
          </w:tcPr>
          <w:p w14:paraId="53C71775" w14:textId="77777777" w:rsidR="00BB2793" w:rsidRPr="001F224B" w:rsidRDefault="00BB2793" w:rsidP="00001A93">
            <w:pPr>
              <w:ind w:right="-8"/>
              <w:jc w:val="center"/>
              <w:rPr>
                <w:b/>
                <w:bCs/>
                <w:color w:val="000000"/>
                <w:sz w:val="18"/>
                <w:szCs w:val="18"/>
              </w:rPr>
            </w:pPr>
            <w:r w:rsidRPr="001F224B">
              <w:rPr>
                <w:b/>
                <w:color w:val="000000"/>
                <w:sz w:val="18"/>
                <w:szCs w:val="18"/>
              </w:rPr>
              <w:t>Yenileme maliyeti</w:t>
            </w:r>
          </w:p>
        </w:tc>
        <w:tc>
          <w:tcPr>
            <w:tcW w:w="993" w:type="dxa"/>
            <w:shd w:val="clear" w:color="auto" w:fill="auto"/>
            <w:noWrap/>
            <w:vAlign w:val="center"/>
          </w:tcPr>
          <w:p w14:paraId="17DBB4BB" w14:textId="77777777" w:rsidR="00BB2793" w:rsidRPr="001F224B" w:rsidRDefault="00BB2793" w:rsidP="00001A93">
            <w:pPr>
              <w:jc w:val="center"/>
              <w:rPr>
                <w:b/>
                <w:bCs/>
                <w:color w:val="000000"/>
                <w:sz w:val="18"/>
                <w:szCs w:val="18"/>
              </w:rPr>
            </w:pPr>
            <w:r w:rsidRPr="001F224B">
              <w:rPr>
                <w:b/>
                <w:color w:val="000000"/>
                <w:sz w:val="18"/>
                <w:szCs w:val="18"/>
              </w:rPr>
              <w:t>Potansiyel kredi riski tutarı</w:t>
            </w:r>
          </w:p>
        </w:tc>
        <w:tc>
          <w:tcPr>
            <w:tcW w:w="850" w:type="dxa"/>
            <w:shd w:val="clear" w:color="auto" w:fill="auto"/>
            <w:noWrap/>
            <w:vAlign w:val="center"/>
          </w:tcPr>
          <w:p w14:paraId="62B11983" w14:textId="77777777" w:rsidR="00BB2793" w:rsidRPr="001F224B" w:rsidRDefault="00BB2793" w:rsidP="00001A93">
            <w:pPr>
              <w:jc w:val="center"/>
              <w:rPr>
                <w:b/>
                <w:bCs/>
                <w:color w:val="000000"/>
                <w:sz w:val="18"/>
                <w:szCs w:val="18"/>
              </w:rPr>
            </w:pPr>
            <w:r w:rsidRPr="001F224B">
              <w:rPr>
                <w:b/>
                <w:color w:val="000000"/>
                <w:sz w:val="18"/>
                <w:szCs w:val="18"/>
              </w:rPr>
              <w:t>EBPRT</w:t>
            </w:r>
          </w:p>
        </w:tc>
        <w:tc>
          <w:tcPr>
            <w:tcW w:w="992" w:type="dxa"/>
            <w:shd w:val="clear" w:color="auto" w:fill="auto"/>
            <w:noWrap/>
            <w:vAlign w:val="center"/>
          </w:tcPr>
          <w:p w14:paraId="3F2C9D8B" w14:textId="77777777" w:rsidR="00BB2793" w:rsidRPr="001F224B" w:rsidRDefault="00BB2793" w:rsidP="00001A93">
            <w:pPr>
              <w:jc w:val="center"/>
              <w:rPr>
                <w:b/>
                <w:bCs/>
                <w:color w:val="000000"/>
                <w:sz w:val="18"/>
                <w:szCs w:val="18"/>
              </w:rPr>
            </w:pPr>
            <w:r w:rsidRPr="001F224B">
              <w:rPr>
                <w:b/>
                <w:color w:val="000000"/>
                <w:sz w:val="18"/>
                <w:szCs w:val="18"/>
              </w:rPr>
              <w:t>Yasal risk tutarının hesaplanması için kullanılan alfa</w:t>
            </w:r>
          </w:p>
        </w:tc>
        <w:tc>
          <w:tcPr>
            <w:tcW w:w="993" w:type="dxa"/>
            <w:shd w:val="clear" w:color="auto" w:fill="auto"/>
            <w:noWrap/>
            <w:vAlign w:val="center"/>
          </w:tcPr>
          <w:p w14:paraId="2DA4A701" w14:textId="77777777" w:rsidR="00BB2793" w:rsidRPr="001F224B" w:rsidRDefault="00BB2793" w:rsidP="00001A93">
            <w:pPr>
              <w:jc w:val="center"/>
              <w:rPr>
                <w:b/>
                <w:bCs/>
                <w:color w:val="000000"/>
                <w:sz w:val="18"/>
                <w:szCs w:val="18"/>
              </w:rPr>
            </w:pPr>
            <w:r w:rsidRPr="001F224B">
              <w:rPr>
                <w:b/>
                <w:color w:val="000000"/>
                <w:sz w:val="18"/>
                <w:szCs w:val="18"/>
              </w:rPr>
              <w:t>Kredi riski azaltımı sonrası risk tutarı</w:t>
            </w:r>
          </w:p>
        </w:tc>
        <w:tc>
          <w:tcPr>
            <w:tcW w:w="992" w:type="dxa"/>
            <w:shd w:val="clear" w:color="auto" w:fill="auto"/>
            <w:noWrap/>
            <w:vAlign w:val="center"/>
          </w:tcPr>
          <w:p w14:paraId="20A78C1C" w14:textId="77777777" w:rsidR="00BB2793" w:rsidRPr="001F224B" w:rsidRDefault="00BB2793" w:rsidP="00001A93">
            <w:pPr>
              <w:jc w:val="center"/>
              <w:rPr>
                <w:b/>
                <w:bCs/>
                <w:color w:val="000000"/>
                <w:sz w:val="18"/>
                <w:szCs w:val="18"/>
              </w:rPr>
            </w:pPr>
            <w:r w:rsidRPr="001F224B">
              <w:rPr>
                <w:b/>
                <w:color w:val="000000"/>
                <w:sz w:val="18"/>
                <w:szCs w:val="18"/>
              </w:rPr>
              <w:t>Risk ağırlıklı tutarlar</w:t>
            </w:r>
          </w:p>
        </w:tc>
      </w:tr>
      <w:tr w:rsidR="00BB2793" w:rsidRPr="001F224B" w14:paraId="246C9FEA" w14:textId="77777777" w:rsidTr="00001A93">
        <w:trPr>
          <w:trHeight w:val="454"/>
        </w:trPr>
        <w:tc>
          <w:tcPr>
            <w:tcW w:w="281" w:type="dxa"/>
            <w:shd w:val="clear" w:color="auto" w:fill="auto"/>
            <w:noWrap/>
            <w:vAlign w:val="bottom"/>
            <w:hideMark/>
          </w:tcPr>
          <w:p w14:paraId="3E85B414" w14:textId="77777777" w:rsidR="00BB2793" w:rsidRPr="001F224B" w:rsidRDefault="00BB2793" w:rsidP="00BB2793">
            <w:pPr>
              <w:jc w:val="center"/>
              <w:rPr>
                <w:b/>
                <w:bCs/>
                <w:color w:val="000000"/>
                <w:sz w:val="18"/>
                <w:szCs w:val="18"/>
              </w:rPr>
            </w:pPr>
            <w:r w:rsidRPr="001F224B">
              <w:rPr>
                <w:b/>
                <w:bCs/>
                <w:color w:val="000000"/>
                <w:sz w:val="18"/>
                <w:szCs w:val="18"/>
              </w:rPr>
              <w:t>1</w:t>
            </w:r>
          </w:p>
        </w:tc>
        <w:tc>
          <w:tcPr>
            <w:tcW w:w="3260" w:type="dxa"/>
            <w:shd w:val="clear" w:color="auto" w:fill="auto"/>
            <w:vAlign w:val="bottom"/>
            <w:hideMark/>
          </w:tcPr>
          <w:p w14:paraId="2A5A2F78" w14:textId="77777777" w:rsidR="00BB2793" w:rsidRPr="001F224B" w:rsidRDefault="00BB2793" w:rsidP="00BB2793">
            <w:pPr>
              <w:rPr>
                <w:color w:val="000000"/>
                <w:sz w:val="18"/>
                <w:szCs w:val="18"/>
              </w:rPr>
            </w:pPr>
            <w:r w:rsidRPr="001F224B">
              <w:rPr>
                <w:color w:val="000000"/>
                <w:sz w:val="18"/>
                <w:szCs w:val="18"/>
              </w:rPr>
              <w:t>Karşı Taraf Kredi Riski Ölçümüne İlişkin Standart yaklaşım ( türev işlemler için)</w:t>
            </w:r>
          </w:p>
        </w:tc>
        <w:tc>
          <w:tcPr>
            <w:tcW w:w="992" w:type="dxa"/>
            <w:shd w:val="clear" w:color="auto" w:fill="auto"/>
            <w:noWrap/>
            <w:vAlign w:val="bottom"/>
            <w:hideMark/>
          </w:tcPr>
          <w:p w14:paraId="60DBDE04" w14:textId="7A3D84D4" w:rsidR="00BB2793" w:rsidRPr="001F224B" w:rsidRDefault="00BB2793" w:rsidP="00BB2793">
            <w:pPr>
              <w:jc w:val="right"/>
              <w:rPr>
                <w:color w:val="000000"/>
                <w:sz w:val="18"/>
                <w:szCs w:val="18"/>
              </w:rPr>
            </w:pPr>
            <w:r w:rsidRPr="001F224B">
              <w:rPr>
                <w:sz w:val="18"/>
                <w:szCs w:val="18"/>
              </w:rPr>
              <w:t xml:space="preserve">- </w:t>
            </w:r>
          </w:p>
        </w:tc>
        <w:tc>
          <w:tcPr>
            <w:tcW w:w="993" w:type="dxa"/>
            <w:shd w:val="clear" w:color="auto" w:fill="auto"/>
            <w:noWrap/>
            <w:vAlign w:val="bottom"/>
            <w:hideMark/>
          </w:tcPr>
          <w:p w14:paraId="6DE12DF8" w14:textId="7F1B3950" w:rsidR="00BB2793" w:rsidRPr="001F224B" w:rsidRDefault="00BB2793" w:rsidP="00BB2793">
            <w:pPr>
              <w:jc w:val="right"/>
              <w:rPr>
                <w:color w:val="000000"/>
                <w:sz w:val="18"/>
                <w:szCs w:val="18"/>
              </w:rPr>
            </w:pPr>
            <w:r w:rsidRPr="001F224B">
              <w:rPr>
                <w:sz w:val="18"/>
                <w:szCs w:val="18"/>
              </w:rPr>
              <w:t xml:space="preserve"> 380.349</w:t>
            </w:r>
          </w:p>
        </w:tc>
        <w:tc>
          <w:tcPr>
            <w:tcW w:w="850" w:type="dxa"/>
            <w:shd w:val="clear" w:color="auto" w:fill="auto"/>
            <w:noWrap/>
            <w:vAlign w:val="bottom"/>
            <w:hideMark/>
          </w:tcPr>
          <w:p w14:paraId="72AD8039" w14:textId="77777777" w:rsidR="00BB2793" w:rsidRPr="001F224B" w:rsidRDefault="00BB2793" w:rsidP="00BB2793">
            <w:pPr>
              <w:jc w:val="right"/>
              <w:rPr>
                <w:color w:val="000000"/>
                <w:sz w:val="18"/>
                <w:szCs w:val="18"/>
              </w:rPr>
            </w:pPr>
          </w:p>
        </w:tc>
        <w:tc>
          <w:tcPr>
            <w:tcW w:w="992" w:type="dxa"/>
            <w:shd w:val="clear" w:color="auto" w:fill="auto"/>
            <w:noWrap/>
            <w:vAlign w:val="bottom"/>
            <w:hideMark/>
          </w:tcPr>
          <w:p w14:paraId="051CF1BD" w14:textId="15198D48" w:rsidR="00BB2793" w:rsidRPr="001F224B" w:rsidRDefault="00BB2793" w:rsidP="00BB2793">
            <w:pPr>
              <w:jc w:val="right"/>
              <w:rPr>
                <w:color w:val="000000"/>
                <w:sz w:val="18"/>
                <w:szCs w:val="18"/>
              </w:rPr>
            </w:pPr>
            <w:r w:rsidRPr="001F224B">
              <w:rPr>
                <w:color w:val="000000"/>
                <w:sz w:val="18"/>
                <w:szCs w:val="18"/>
              </w:rPr>
              <w:t>1,4</w:t>
            </w:r>
          </w:p>
        </w:tc>
        <w:tc>
          <w:tcPr>
            <w:tcW w:w="993" w:type="dxa"/>
            <w:shd w:val="clear" w:color="auto" w:fill="auto"/>
            <w:noWrap/>
            <w:vAlign w:val="bottom"/>
            <w:hideMark/>
          </w:tcPr>
          <w:p w14:paraId="427289D8" w14:textId="14A5A583" w:rsidR="00BB2793" w:rsidRPr="001F224B" w:rsidRDefault="00BB2793" w:rsidP="00BB2793">
            <w:pPr>
              <w:jc w:val="right"/>
              <w:rPr>
                <w:color w:val="000000"/>
                <w:sz w:val="18"/>
                <w:szCs w:val="18"/>
              </w:rPr>
            </w:pPr>
            <w:r w:rsidRPr="001F224B">
              <w:rPr>
                <w:color w:val="000000"/>
                <w:sz w:val="18"/>
                <w:szCs w:val="18"/>
              </w:rPr>
              <w:t xml:space="preserve">       532.489 </w:t>
            </w:r>
          </w:p>
        </w:tc>
        <w:tc>
          <w:tcPr>
            <w:tcW w:w="992" w:type="dxa"/>
            <w:shd w:val="clear" w:color="auto" w:fill="auto"/>
            <w:noWrap/>
            <w:vAlign w:val="bottom"/>
            <w:hideMark/>
          </w:tcPr>
          <w:p w14:paraId="3F1F076C" w14:textId="5FE1199C" w:rsidR="00BB2793" w:rsidRPr="001F224B" w:rsidRDefault="00BB2793" w:rsidP="00BB2793">
            <w:pPr>
              <w:ind w:left="-75" w:right="-32"/>
              <w:jc w:val="right"/>
              <w:rPr>
                <w:color w:val="000000"/>
                <w:sz w:val="18"/>
                <w:szCs w:val="18"/>
              </w:rPr>
            </w:pPr>
            <w:r w:rsidRPr="001F224B">
              <w:rPr>
                <w:color w:val="000000"/>
                <w:sz w:val="18"/>
                <w:szCs w:val="18"/>
              </w:rPr>
              <w:t xml:space="preserve">       361.081 </w:t>
            </w:r>
          </w:p>
        </w:tc>
      </w:tr>
      <w:tr w:rsidR="00BB2793" w:rsidRPr="001F224B" w14:paraId="2E954096" w14:textId="77777777" w:rsidTr="00001A93">
        <w:trPr>
          <w:trHeight w:val="675"/>
        </w:trPr>
        <w:tc>
          <w:tcPr>
            <w:tcW w:w="281" w:type="dxa"/>
            <w:shd w:val="clear" w:color="auto" w:fill="auto"/>
            <w:noWrap/>
            <w:vAlign w:val="bottom"/>
            <w:hideMark/>
          </w:tcPr>
          <w:p w14:paraId="763F9A23" w14:textId="77777777" w:rsidR="00BB2793" w:rsidRPr="001F224B" w:rsidRDefault="00BB2793" w:rsidP="00BB2793">
            <w:pPr>
              <w:jc w:val="center"/>
              <w:rPr>
                <w:b/>
                <w:bCs/>
                <w:color w:val="000000"/>
                <w:sz w:val="18"/>
                <w:szCs w:val="18"/>
              </w:rPr>
            </w:pPr>
            <w:r w:rsidRPr="001F224B">
              <w:rPr>
                <w:b/>
                <w:bCs/>
                <w:color w:val="000000"/>
                <w:sz w:val="18"/>
                <w:szCs w:val="18"/>
              </w:rPr>
              <w:t>2</w:t>
            </w:r>
          </w:p>
        </w:tc>
        <w:tc>
          <w:tcPr>
            <w:tcW w:w="3260" w:type="dxa"/>
            <w:shd w:val="clear" w:color="auto" w:fill="auto"/>
            <w:vAlign w:val="bottom"/>
            <w:hideMark/>
          </w:tcPr>
          <w:p w14:paraId="01093185" w14:textId="77777777" w:rsidR="00BB2793" w:rsidRPr="001F224B" w:rsidRDefault="00BB2793" w:rsidP="00BB2793">
            <w:pPr>
              <w:rPr>
                <w:color w:val="000000"/>
                <w:sz w:val="18"/>
                <w:szCs w:val="18"/>
              </w:rPr>
            </w:pPr>
            <w:r w:rsidRPr="001F224B">
              <w:rPr>
                <w:color w:val="000000"/>
                <w:sz w:val="18"/>
                <w:szCs w:val="18"/>
              </w:rPr>
              <w:t>İçsel Model Yöntemi (türev işlemler ve menkul kıymet finansman işlemleri için)</w:t>
            </w:r>
          </w:p>
        </w:tc>
        <w:tc>
          <w:tcPr>
            <w:tcW w:w="992" w:type="dxa"/>
            <w:shd w:val="clear" w:color="auto" w:fill="auto"/>
            <w:noWrap/>
            <w:vAlign w:val="bottom"/>
          </w:tcPr>
          <w:p w14:paraId="58BD7815" w14:textId="77777777" w:rsidR="00BB2793" w:rsidRPr="001F224B" w:rsidRDefault="00BB2793" w:rsidP="00BB2793">
            <w:pPr>
              <w:jc w:val="right"/>
              <w:rPr>
                <w:color w:val="000000"/>
                <w:sz w:val="18"/>
                <w:szCs w:val="18"/>
              </w:rPr>
            </w:pPr>
          </w:p>
        </w:tc>
        <w:tc>
          <w:tcPr>
            <w:tcW w:w="993" w:type="dxa"/>
            <w:shd w:val="clear" w:color="auto" w:fill="auto"/>
            <w:noWrap/>
            <w:vAlign w:val="bottom"/>
          </w:tcPr>
          <w:p w14:paraId="77B4A361" w14:textId="77777777" w:rsidR="00BB2793" w:rsidRPr="001F224B" w:rsidRDefault="00BB2793" w:rsidP="00BB2793">
            <w:pPr>
              <w:jc w:val="right"/>
              <w:rPr>
                <w:color w:val="000000"/>
                <w:sz w:val="18"/>
                <w:szCs w:val="18"/>
              </w:rPr>
            </w:pPr>
          </w:p>
        </w:tc>
        <w:tc>
          <w:tcPr>
            <w:tcW w:w="850" w:type="dxa"/>
            <w:shd w:val="clear" w:color="auto" w:fill="auto"/>
            <w:noWrap/>
            <w:vAlign w:val="bottom"/>
            <w:hideMark/>
          </w:tcPr>
          <w:p w14:paraId="67ECBF2A" w14:textId="7AEE0E85" w:rsidR="00BB2793" w:rsidRPr="001F224B" w:rsidRDefault="00BB2793" w:rsidP="00BB2793">
            <w:pPr>
              <w:jc w:val="right"/>
              <w:rPr>
                <w:color w:val="000000"/>
                <w:sz w:val="18"/>
                <w:szCs w:val="18"/>
              </w:rPr>
            </w:pPr>
            <w:r w:rsidRPr="001F224B">
              <w:rPr>
                <w:color w:val="000000"/>
                <w:sz w:val="18"/>
                <w:szCs w:val="18"/>
              </w:rPr>
              <w:t>-</w:t>
            </w:r>
          </w:p>
        </w:tc>
        <w:tc>
          <w:tcPr>
            <w:tcW w:w="992" w:type="dxa"/>
            <w:shd w:val="clear" w:color="auto" w:fill="auto"/>
            <w:noWrap/>
            <w:vAlign w:val="bottom"/>
            <w:hideMark/>
          </w:tcPr>
          <w:p w14:paraId="006EA313" w14:textId="0EE1288E" w:rsidR="00BB2793" w:rsidRPr="001F224B" w:rsidRDefault="00BB2793" w:rsidP="00BB2793">
            <w:pPr>
              <w:jc w:val="right"/>
              <w:rPr>
                <w:color w:val="000000"/>
                <w:sz w:val="18"/>
                <w:szCs w:val="18"/>
              </w:rPr>
            </w:pPr>
            <w:r w:rsidRPr="001F224B">
              <w:rPr>
                <w:color w:val="000000"/>
                <w:sz w:val="18"/>
                <w:szCs w:val="18"/>
              </w:rPr>
              <w:t>-</w:t>
            </w:r>
          </w:p>
        </w:tc>
        <w:tc>
          <w:tcPr>
            <w:tcW w:w="993" w:type="dxa"/>
            <w:shd w:val="clear" w:color="auto" w:fill="auto"/>
            <w:noWrap/>
            <w:vAlign w:val="bottom"/>
            <w:hideMark/>
          </w:tcPr>
          <w:p w14:paraId="2F72CA33" w14:textId="435E69F5" w:rsidR="00BB2793" w:rsidRPr="001F224B" w:rsidRDefault="00BB2793" w:rsidP="00BB2793">
            <w:pPr>
              <w:jc w:val="right"/>
              <w:rPr>
                <w:color w:val="000000"/>
                <w:sz w:val="18"/>
                <w:szCs w:val="18"/>
              </w:rPr>
            </w:pPr>
            <w:r w:rsidRPr="001F224B">
              <w:rPr>
                <w:color w:val="000000"/>
                <w:sz w:val="18"/>
                <w:szCs w:val="18"/>
              </w:rPr>
              <w:t>-</w:t>
            </w:r>
          </w:p>
        </w:tc>
        <w:tc>
          <w:tcPr>
            <w:tcW w:w="992" w:type="dxa"/>
            <w:shd w:val="clear" w:color="auto" w:fill="auto"/>
            <w:noWrap/>
            <w:vAlign w:val="bottom"/>
            <w:hideMark/>
          </w:tcPr>
          <w:p w14:paraId="61C3C624" w14:textId="488721E1" w:rsidR="00BB2793" w:rsidRPr="001F224B" w:rsidRDefault="00BB2793" w:rsidP="00BB2793">
            <w:pPr>
              <w:jc w:val="right"/>
              <w:rPr>
                <w:color w:val="000000"/>
                <w:sz w:val="18"/>
                <w:szCs w:val="18"/>
              </w:rPr>
            </w:pPr>
            <w:r w:rsidRPr="001F224B">
              <w:rPr>
                <w:color w:val="000000"/>
                <w:sz w:val="18"/>
                <w:szCs w:val="18"/>
              </w:rPr>
              <w:t>-</w:t>
            </w:r>
          </w:p>
        </w:tc>
      </w:tr>
      <w:tr w:rsidR="00BB2793" w:rsidRPr="001F224B" w14:paraId="57F2ED35" w14:textId="77777777" w:rsidTr="00001A93">
        <w:trPr>
          <w:trHeight w:val="510"/>
        </w:trPr>
        <w:tc>
          <w:tcPr>
            <w:tcW w:w="281" w:type="dxa"/>
            <w:shd w:val="clear" w:color="auto" w:fill="auto"/>
            <w:noWrap/>
            <w:vAlign w:val="bottom"/>
            <w:hideMark/>
          </w:tcPr>
          <w:p w14:paraId="2EDB930F" w14:textId="77777777" w:rsidR="00BB2793" w:rsidRPr="001F224B" w:rsidRDefault="00BB2793" w:rsidP="00BB2793">
            <w:pPr>
              <w:jc w:val="center"/>
              <w:rPr>
                <w:b/>
                <w:bCs/>
                <w:color w:val="000000"/>
                <w:sz w:val="18"/>
                <w:szCs w:val="18"/>
              </w:rPr>
            </w:pPr>
            <w:r w:rsidRPr="001F224B">
              <w:rPr>
                <w:b/>
                <w:bCs/>
                <w:color w:val="000000"/>
                <w:sz w:val="18"/>
                <w:szCs w:val="18"/>
              </w:rPr>
              <w:t>3</w:t>
            </w:r>
          </w:p>
        </w:tc>
        <w:tc>
          <w:tcPr>
            <w:tcW w:w="3260" w:type="dxa"/>
            <w:shd w:val="clear" w:color="auto" w:fill="auto"/>
            <w:vAlign w:val="bottom"/>
            <w:hideMark/>
          </w:tcPr>
          <w:p w14:paraId="38A574C0" w14:textId="77777777" w:rsidR="00BB2793" w:rsidRPr="001F224B" w:rsidRDefault="00BB2793" w:rsidP="00BB2793">
            <w:pPr>
              <w:rPr>
                <w:color w:val="000000"/>
                <w:sz w:val="18"/>
                <w:szCs w:val="18"/>
              </w:rPr>
            </w:pPr>
            <w:r w:rsidRPr="001F224B">
              <w:rPr>
                <w:color w:val="000000"/>
                <w:sz w:val="18"/>
                <w:szCs w:val="18"/>
              </w:rPr>
              <w:t>KRA için kullanılan basit finansal teminat yöntemi(menkul kıymet finansman işlemleri için)</w:t>
            </w:r>
          </w:p>
        </w:tc>
        <w:tc>
          <w:tcPr>
            <w:tcW w:w="992" w:type="dxa"/>
            <w:shd w:val="clear" w:color="auto" w:fill="auto"/>
            <w:noWrap/>
            <w:vAlign w:val="bottom"/>
          </w:tcPr>
          <w:p w14:paraId="3E7CBC79" w14:textId="77777777" w:rsidR="00BB2793" w:rsidRPr="001F224B" w:rsidRDefault="00BB2793" w:rsidP="00BB2793">
            <w:pPr>
              <w:jc w:val="right"/>
              <w:rPr>
                <w:color w:val="000000"/>
                <w:sz w:val="18"/>
                <w:szCs w:val="18"/>
              </w:rPr>
            </w:pPr>
          </w:p>
        </w:tc>
        <w:tc>
          <w:tcPr>
            <w:tcW w:w="993" w:type="dxa"/>
            <w:shd w:val="clear" w:color="auto" w:fill="auto"/>
            <w:noWrap/>
            <w:vAlign w:val="bottom"/>
          </w:tcPr>
          <w:p w14:paraId="525735D0" w14:textId="77777777" w:rsidR="00BB2793" w:rsidRPr="001F224B" w:rsidRDefault="00BB2793" w:rsidP="00BB2793">
            <w:pPr>
              <w:jc w:val="right"/>
              <w:rPr>
                <w:color w:val="000000"/>
                <w:sz w:val="18"/>
                <w:szCs w:val="18"/>
              </w:rPr>
            </w:pPr>
          </w:p>
        </w:tc>
        <w:tc>
          <w:tcPr>
            <w:tcW w:w="850" w:type="dxa"/>
            <w:shd w:val="clear" w:color="auto" w:fill="auto"/>
            <w:noWrap/>
            <w:vAlign w:val="bottom"/>
          </w:tcPr>
          <w:p w14:paraId="76B84DD1" w14:textId="77777777" w:rsidR="00BB2793" w:rsidRPr="001F224B" w:rsidRDefault="00BB2793" w:rsidP="00BB2793">
            <w:pPr>
              <w:jc w:val="right"/>
              <w:rPr>
                <w:color w:val="000000"/>
                <w:sz w:val="18"/>
                <w:szCs w:val="18"/>
              </w:rPr>
            </w:pPr>
          </w:p>
        </w:tc>
        <w:tc>
          <w:tcPr>
            <w:tcW w:w="992" w:type="dxa"/>
            <w:shd w:val="clear" w:color="auto" w:fill="auto"/>
            <w:noWrap/>
            <w:vAlign w:val="bottom"/>
          </w:tcPr>
          <w:p w14:paraId="178E424A" w14:textId="77777777" w:rsidR="00BB2793" w:rsidRPr="001F224B" w:rsidRDefault="00BB2793" w:rsidP="00BB2793">
            <w:pPr>
              <w:jc w:val="right"/>
              <w:rPr>
                <w:color w:val="000000"/>
                <w:sz w:val="18"/>
                <w:szCs w:val="18"/>
              </w:rPr>
            </w:pPr>
          </w:p>
        </w:tc>
        <w:tc>
          <w:tcPr>
            <w:tcW w:w="993" w:type="dxa"/>
            <w:shd w:val="clear" w:color="auto" w:fill="auto"/>
            <w:noWrap/>
            <w:vAlign w:val="bottom"/>
            <w:hideMark/>
          </w:tcPr>
          <w:p w14:paraId="4791D1FF" w14:textId="3AD580BF" w:rsidR="00BB2793" w:rsidRPr="001F224B" w:rsidRDefault="00BB2793" w:rsidP="00BB2793">
            <w:pPr>
              <w:jc w:val="right"/>
              <w:rPr>
                <w:color w:val="000000"/>
                <w:sz w:val="18"/>
                <w:szCs w:val="18"/>
              </w:rPr>
            </w:pPr>
            <w:r w:rsidRPr="001F224B">
              <w:rPr>
                <w:color w:val="000000"/>
                <w:sz w:val="18"/>
                <w:szCs w:val="18"/>
              </w:rPr>
              <w:t>-</w:t>
            </w:r>
          </w:p>
        </w:tc>
        <w:tc>
          <w:tcPr>
            <w:tcW w:w="992" w:type="dxa"/>
            <w:shd w:val="clear" w:color="auto" w:fill="auto"/>
            <w:noWrap/>
            <w:vAlign w:val="bottom"/>
            <w:hideMark/>
          </w:tcPr>
          <w:p w14:paraId="4031F78F" w14:textId="7118DBEF" w:rsidR="00BB2793" w:rsidRPr="001F224B" w:rsidRDefault="00BB2793" w:rsidP="00BB2793">
            <w:pPr>
              <w:jc w:val="right"/>
              <w:rPr>
                <w:color w:val="000000"/>
                <w:sz w:val="18"/>
                <w:szCs w:val="18"/>
              </w:rPr>
            </w:pPr>
            <w:r w:rsidRPr="001F224B">
              <w:rPr>
                <w:color w:val="000000"/>
                <w:sz w:val="18"/>
                <w:szCs w:val="18"/>
              </w:rPr>
              <w:t>-</w:t>
            </w:r>
          </w:p>
        </w:tc>
      </w:tr>
      <w:tr w:rsidR="00BB2793" w:rsidRPr="001F224B" w14:paraId="3A8A29DA" w14:textId="77777777" w:rsidTr="00001A93">
        <w:trPr>
          <w:trHeight w:val="652"/>
        </w:trPr>
        <w:tc>
          <w:tcPr>
            <w:tcW w:w="281" w:type="dxa"/>
            <w:shd w:val="clear" w:color="auto" w:fill="auto"/>
            <w:noWrap/>
            <w:vAlign w:val="bottom"/>
            <w:hideMark/>
          </w:tcPr>
          <w:p w14:paraId="1D82F64E" w14:textId="77777777" w:rsidR="00BB2793" w:rsidRPr="001F224B" w:rsidRDefault="00BB2793" w:rsidP="00BB2793">
            <w:pPr>
              <w:jc w:val="center"/>
              <w:rPr>
                <w:b/>
                <w:bCs/>
                <w:color w:val="000000"/>
                <w:sz w:val="18"/>
                <w:szCs w:val="18"/>
              </w:rPr>
            </w:pPr>
            <w:r w:rsidRPr="001F224B">
              <w:rPr>
                <w:b/>
                <w:bCs/>
                <w:color w:val="000000"/>
                <w:sz w:val="18"/>
                <w:szCs w:val="18"/>
              </w:rPr>
              <w:t>4</w:t>
            </w:r>
          </w:p>
        </w:tc>
        <w:tc>
          <w:tcPr>
            <w:tcW w:w="3260" w:type="dxa"/>
            <w:shd w:val="clear" w:color="auto" w:fill="auto"/>
            <w:vAlign w:val="bottom"/>
            <w:hideMark/>
          </w:tcPr>
          <w:p w14:paraId="442FBEF7" w14:textId="77777777" w:rsidR="00BB2793" w:rsidRPr="001F224B" w:rsidRDefault="00BB2793" w:rsidP="00BB2793">
            <w:pPr>
              <w:rPr>
                <w:color w:val="000000"/>
                <w:sz w:val="18"/>
                <w:szCs w:val="18"/>
              </w:rPr>
            </w:pPr>
            <w:r w:rsidRPr="001F224B">
              <w:rPr>
                <w:color w:val="000000"/>
                <w:sz w:val="18"/>
                <w:szCs w:val="18"/>
              </w:rPr>
              <w:t>KRA için kullanılan kapsamlı finansal teminat yöntemi  (menkul kıymet finansman işlemleri için)</w:t>
            </w:r>
          </w:p>
        </w:tc>
        <w:tc>
          <w:tcPr>
            <w:tcW w:w="992" w:type="dxa"/>
            <w:shd w:val="clear" w:color="auto" w:fill="auto"/>
            <w:noWrap/>
            <w:vAlign w:val="bottom"/>
          </w:tcPr>
          <w:p w14:paraId="76BDDF25" w14:textId="77777777" w:rsidR="00BB2793" w:rsidRPr="001F224B" w:rsidRDefault="00BB2793" w:rsidP="00BB2793">
            <w:pPr>
              <w:jc w:val="right"/>
              <w:rPr>
                <w:color w:val="000000"/>
                <w:sz w:val="18"/>
                <w:szCs w:val="18"/>
              </w:rPr>
            </w:pPr>
          </w:p>
        </w:tc>
        <w:tc>
          <w:tcPr>
            <w:tcW w:w="993" w:type="dxa"/>
            <w:shd w:val="clear" w:color="auto" w:fill="auto"/>
            <w:noWrap/>
            <w:vAlign w:val="bottom"/>
          </w:tcPr>
          <w:p w14:paraId="6D269157" w14:textId="77777777" w:rsidR="00BB2793" w:rsidRPr="001F224B" w:rsidRDefault="00BB2793" w:rsidP="00BB2793">
            <w:pPr>
              <w:jc w:val="right"/>
              <w:rPr>
                <w:color w:val="000000"/>
                <w:sz w:val="18"/>
                <w:szCs w:val="18"/>
              </w:rPr>
            </w:pPr>
          </w:p>
        </w:tc>
        <w:tc>
          <w:tcPr>
            <w:tcW w:w="850" w:type="dxa"/>
            <w:shd w:val="clear" w:color="auto" w:fill="auto"/>
            <w:noWrap/>
            <w:vAlign w:val="bottom"/>
          </w:tcPr>
          <w:p w14:paraId="7BA29D07" w14:textId="77777777" w:rsidR="00BB2793" w:rsidRPr="001F224B" w:rsidRDefault="00BB2793" w:rsidP="00BB2793">
            <w:pPr>
              <w:jc w:val="right"/>
              <w:rPr>
                <w:color w:val="000000"/>
                <w:sz w:val="18"/>
                <w:szCs w:val="18"/>
              </w:rPr>
            </w:pPr>
          </w:p>
        </w:tc>
        <w:tc>
          <w:tcPr>
            <w:tcW w:w="992" w:type="dxa"/>
            <w:shd w:val="clear" w:color="auto" w:fill="auto"/>
            <w:noWrap/>
            <w:vAlign w:val="bottom"/>
          </w:tcPr>
          <w:p w14:paraId="286F2170" w14:textId="77777777" w:rsidR="00BB2793" w:rsidRPr="001F224B" w:rsidRDefault="00BB2793" w:rsidP="00BB2793">
            <w:pPr>
              <w:jc w:val="right"/>
              <w:rPr>
                <w:color w:val="000000"/>
                <w:sz w:val="18"/>
                <w:szCs w:val="18"/>
              </w:rPr>
            </w:pPr>
          </w:p>
        </w:tc>
        <w:tc>
          <w:tcPr>
            <w:tcW w:w="993" w:type="dxa"/>
            <w:shd w:val="clear" w:color="auto" w:fill="auto"/>
            <w:noWrap/>
            <w:vAlign w:val="bottom"/>
            <w:hideMark/>
          </w:tcPr>
          <w:p w14:paraId="4A627DF5" w14:textId="445671A2" w:rsidR="00BB2793" w:rsidRPr="001F224B" w:rsidRDefault="00BB2793" w:rsidP="00BB2793">
            <w:pPr>
              <w:jc w:val="right"/>
              <w:rPr>
                <w:color w:val="000000"/>
                <w:sz w:val="18"/>
                <w:szCs w:val="18"/>
              </w:rPr>
            </w:pPr>
            <w:r w:rsidRPr="001F224B">
              <w:rPr>
                <w:color w:val="000000"/>
                <w:sz w:val="18"/>
                <w:szCs w:val="18"/>
              </w:rPr>
              <w:t>-</w:t>
            </w:r>
          </w:p>
        </w:tc>
        <w:tc>
          <w:tcPr>
            <w:tcW w:w="992" w:type="dxa"/>
            <w:shd w:val="clear" w:color="auto" w:fill="auto"/>
            <w:noWrap/>
            <w:vAlign w:val="bottom"/>
            <w:hideMark/>
          </w:tcPr>
          <w:p w14:paraId="3F8709A7" w14:textId="44BDB94E" w:rsidR="00BB2793" w:rsidRPr="001F224B" w:rsidRDefault="00BB2793" w:rsidP="00BB2793">
            <w:pPr>
              <w:jc w:val="right"/>
              <w:rPr>
                <w:color w:val="000000"/>
                <w:sz w:val="18"/>
                <w:szCs w:val="18"/>
              </w:rPr>
            </w:pPr>
            <w:r w:rsidRPr="001F224B">
              <w:rPr>
                <w:color w:val="000000"/>
                <w:sz w:val="18"/>
                <w:szCs w:val="18"/>
              </w:rPr>
              <w:t>-</w:t>
            </w:r>
          </w:p>
        </w:tc>
      </w:tr>
      <w:tr w:rsidR="00BB2793" w:rsidRPr="001F224B" w14:paraId="15B93D84" w14:textId="77777777" w:rsidTr="00001A93">
        <w:trPr>
          <w:trHeight w:val="576"/>
        </w:trPr>
        <w:tc>
          <w:tcPr>
            <w:tcW w:w="281" w:type="dxa"/>
            <w:shd w:val="clear" w:color="auto" w:fill="auto"/>
            <w:noWrap/>
            <w:vAlign w:val="bottom"/>
            <w:hideMark/>
          </w:tcPr>
          <w:p w14:paraId="61747665" w14:textId="77777777" w:rsidR="00BB2793" w:rsidRPr="001F224B" w:rsidRDefault="00BB2793" w:rsidP="00BB2793">
            <w:pPr>
              <w:jc w:val="center"/>
              <w:rPr>
                <w:b/>
                <w:bCs/>
                <w:color w:val="000000"/>
                <w:sz w:val="18"/>
                <w:szCs w:val="18"/>
              </w:rPr>
            </w:pPr>
            <w:r w:rsidRPr="001F224B">
              <w:rPr>
                <w:b/>
                <w:bCs/>
                <w:color w:val="000000"/>
                <w:sz w:val="18"/>
                <w:szCs w:val="18"/>
              </w:rPr>
              <w:t>5</w:t>
            </w:r>
          </w:p>
        </w:tc>
        <w:tc>
          <w:tcPr>
            <w:tcW w:w="3260" w:type="dxa"/>
            <w:shd w:val="clear" w:color="auto" w:fill="auto"/>
            <w:vAlign w:val="bottom"/>
            <w:hideMark/>
          </w:tcPr>
          <w:p w14:paraId="4BEEF79A" w14:textId="77777777" w:rsidR="00BB2793" w:rsidRPr="001F224B" w:rsidRDefault="00BB2793" w:rsidP="00BB2793">
            <w:pPr>
              <w:rPr>
                <w:color w:val="000000"/>
                <w:sz w:val="18"/>
                <w:szCs w:val="18"/>
              </w:rPr>
            </w:pPr>
          </w:p>
          <w:p w14:paraId="299DB2E7" w14:textId="77777777" w:rsidR="00BB2793" w:rsidRPr="001F224B" w:rsidRDefault="00BB2793" w:rsidP="00BB2793">
            <w:pPr>
              <w:rPr>
                <w:color w:val="000000"/>
                <w:sz w:val="18"/>
                <w:szCs w:val="18"/>
              </w:rPr>
            </w:pPr>
            <w:r w:rsidRPr="001F224B">
              <w:rPr>
                <w:color w:val="000000"/>
                <w:sz w:val="18"/>
                <w:szCs w:val="18"/>
              </w:rPr>
              <w:t>Repo işlemleri, menkul kıymetler veya emtia ödünç verme veya ödünç alma işlemleri, takas süresi uzun işlemler ile kredili menkul kıymet işlemleri için riske maruz değer</w:t>
            </w:r>
          </w:p>
        </w:tc>
        <w:tc>
          <w:tcPr>
            <w:tcW w:w="992" w:type="dxa"/>
            <w:shd w:val="clear" w:color="auto" w:fill="auto"/>
            <w:noWrap/>
            <w:vAlign w:val="bottom"/>
          </w:tcPr>
          <w:p w14:paraId="21E5073C" w14:textId="77777777" w:rsidR="00BB2793" w:rsidRPr="001F224B" w:rsidRDefault="00BB2793" w:rsidP="00BB2793">
            <w:pPr>
              <w:jc w:val="right"/>
              <w:rPr>
                <w:color w:val="000000"/>
                <w:sz w:val="18"/>
                <w:szCs w:val="18"/>
              </w:rPr>
            </w:pPr>
          </w:p>
        </w:tc>
        <w:tc>
          <w:tcPr>
            <w:tcW w:w="993" w:type="dxa"/>
            <w:shd w:val="clear" w:color="auto" w:fill="auto"/>
            <w:noWrap/>
            <w:vAlign w:val="bottom"/>
          </w:tcPr>
          <w:p w14:paraId="6A534EED" w14:textId="77777777" w:rsidR="00BB2793" w:rsidRPr="001F224B" w:rsidRDefault="00BB2793" w:rsidP="00BB2793">
            <w:pPr>
              <w:jc w:val="right"/>
              <w:rPr>
                <w:color w:val="000000"/>
                <w:sz w:val="18"/>
                <w:szCs w:val="18"/>
              </w:rPr>
            </w:pPr>
          </w:p>
        </w:tc>
        <w:tc>
          <w:tcPr>
            <w:tcW w:w="850" w:type="dxa"/>
            <w:shd w:val="clear" w:color="auto" w:fill="auto"/>
            <w:noWrap/>
            <w:vAlign w:val="bottom"/>
          </w:tcPr>
          <w:p w14:paraId="1907DAE7" w14:textId="77777777" w:rsidR="00BB2793" w:rsidRPr="001F224B" w:rsidRDefault="00BB2793" w:rsidP="00BB2793">
            <w:pPr>
              <w:jc w:val="right"/>
              <w:rPr>
                <w:color w:val="000000"/>
                <w:sz w:val="18"/>
                <w:szCs w:val="18"/>
              </w:rPr>
            </w:pPr>
          </w:p>
        </w:tc>
        <w:tc>
          <w:tcPr>
            <w:tcW w:w="992" w:type="dxa"/>
            <w:shd w:val="clear" w:color="auto" w:fill="auto"/>
            <w:noWrap/>
            <w:vAlign w:val="bottom"/>
          </w:tcPr>
          <w:p w14:paraId="5D658C9C" w14:textId="77777777" w:rsidR="00BB2793" w:rsidRPr="001F224B" w:rsidRDefault="00BB2793" w:rsidP="00BB2793">
            <w:pPr>
              <w:jc w:val="right"/>
              <w:rPr>
                <w:color w:val="000000"/>
                <w:sz w:val="18"/>
                <w:szCs w:val="18"/>
              </w:rPr>
            </w:pPr>
          </w:p>
        </w:tc>
        <w:tc>
          <w:tcPr>
            <w:tcW w:w="993" w:type="dxa"/>
            <w:shd w:val="clear" w:color="auto" w:fill="auto"/>
            <w:noWrap/>
            <w:vAlign w:val="bottom"/>
          </w:tcPr>
          <w:p w14:paraId="1BD01B75" w14:textId="2AEABD2A" w:rsidR="00BB2793" w:rsidRPr="001F224B" w:rsidRDefault="00BB2793" w:rsidP="00BB2793">
            <w:pPr>
              <w:jc w:val="right"/>
              <w:rPr>
                <w:color w:val="000000"/>
                <w:sz w:val="18"/>
                <w:szCs w:val="18"/>
              </w:rPr>
            </w:pPr>
            <w:r w:rsidRPr="001F224B">
              <w:rPr>
                <w:sz w:val="18"/>
                <w:szCs w:val="18"/>
              </w:rPr>
              <w:t>151.097</w:t>
            </w:r>
          </w:p>
        </w:tc>
        <w:tc>
          <w:tcPr>
            <w:tcW w:w="992" w:type="dxa"/>
            <w:shd w:val="clear" w:color="auto" w:fill="auto"/>
            <w:noWrap/>
            <w:vAlign w:val="bottom"/>
          </w:tcPr>
          <w:p w14:paraId="19BA28BB" w14:textId="4A6611BF" w:rsidR="00BB2793" w:rsidRPr="001F224B" w:rsidRDefault="00BB2793" w:rsidP="00BB2793">
            <w:pPr>
              <w:jc w:val="right"/>
              <w:rPr>
                <w:color w:val="000000"/>
                <w:sz w:val="18"/>
                <w:szCs w:val="18"/>
              </w:rPr>
            </w:pPr>
            <w:r w:rsidRPr="001F224B">
              <w:rPr>
                <w:sz w:val="18"/>
                <w:szCs w:val="18"/>
              </w:rPr>
              <w:t>2.574</w:t>
            </w:r>
          </w:p>
        </w:tc>
      </w:tr>
      <w:tr w:rsidR="00BB2793" w:rsidRPr="001F224B" w14:paraId="3A1EB440" w14:textId="77777777" w:rsidTr="00001A93">
        <w:trPr>
          <w:trHeight w:val="437"/>
        </w:trPr>
        <w:tc>
          <w:tcPr>
            <w:tcW w:w="281" w:type="dxa"/>
            <w:shd w:val="clear" w:color="auto" w:fill="auto"/>
            <w:noWrap/>
            <w:vAlign w:val="bottom"/>
            <w:hideMark/>
          </w:tcPr>
          <w:p w14:paraId="7E79B18A" w14:textId="77777777" w:rsidR="00BB2793" w:rsidRPr="001F224B" w:rsidRDefault="00BB2793" w:rsidP="00BB2793">
            <w:pPr>
              <w:jc w:val="center"/>
              <w:rPr>
                <w:b/>
                <w:bCs/>
                <w:color w:val="000000"/>
                <w:sz w:val="18"/>
                <w:szCs w:val="18"/>
              </w:rPr>
            </w:pPr>
            <w:r w:rsidRPr="001F224B">
              <w:rPr>
                <w:b/>
                <w:bCs/>
                <w:color w:val="000000"/>
                <w:sz w:val="18"/>
                <w:szCs w:val="18"/>
              </w:rPr>
              <w:t>6</w:t>
            </w:r>
          </w:p>
        </w:tc>
        <w:tc>
          <w:tcPr>
            <w:tcW w:w="3260" w:type="dxa"/>
            <w:shd w:val="clear" w:color="auto" w:fill="auto"/>
            <w:vAlign w:val="bottom"/>
            <w:hideMark/>
          </w:tcPr>
          <w:p w14:paraId="1D9CEB01" w14:textId="77777777" w:rsidR="00BB2793" w:rsidRPr="001F224B" w:rsidRDefault="00BB2793" w:rsidP="00BB2793">
            <w:pPr>
              <w:rPr>
                <w:b/>
                <w:color w:val="000000"/>
                <w:sz w:val="18"/>
                <w:szCs w:val="18"/>
              </w:rPr>
            </w:pPr>
            <w:r w:rsidRPr="001F224B">
              <w:rPr>
                <w:b/>
                <w:color w:val="000000"/>
                <w:sz w:val="18"/>
                <w:szCs w:val="18"/>
              </w:rPr>
              <w:t>Toplam</w:t>
            </w:r>
          </w:p>
        </w:tc>
        <w:tc>
          <w:tcPr>
            <w:tcW w:w="992" w:type="dxa"/>
            <w:shd w:val="clear" w:color="auto" w:fill="auto"/>
            <w:noWrap/>
            <w:vAlign w:val="bottom"/>
          </w:tcPr>
          <w:p w14:paraId="27F0402F" w14:textId="77777777" w:rsidR="00BB2793" w:rsidRPr="001F224B" w:rsidRDefault="00BB2793" w:rsidP="00BB2793">
            <w:pPr>
              <w:jc w:val="right"/>
              <w:rPr>
                <w:b/>
                <w:color w:val="000000"/>
                <w:sz w:val="18"/>
                <w:szCs w:val="18"/>
              </w:rPr>
            </w:pPr>
          </w:p>
        </w:tc>
        <w:tc>
          <w:tcPr>
            <w:tcW w:w="993" w:type="dxa"/>
            <w:shd w:val="clear" w:color="auto" w:fill="auto"/>
            <w:noWrap/>
            <w:vAlign w:val="bottom"/>
          </w:tcPr>
          <w:p w14:paraId="46DB151A" w14:textId="77777777" w:rsidR="00BB2793" w:rsidRPr="001F224B" w:rsidRDefault="00BB2793" w:rsidP="00BB2793">
            <w:pPr>
              <w:jc w:val="right"/>
              <w:rPr>
                <w:b/>
                <w:color w:val="000000"/>
                <w:sz w:val="18"/>
                <w:szCs w:val="18"/>
              </w:rPr>
            </w:pPr>
          </w:p>
        </w:tc>
        <w:tc>
          <w:tcPr>
            <w:tcW w:w="850" w:type="dxa"/>
            <w:shd w:val="clear" w:color="auto" w:fill="auto"/>
            <w:noWrap/>
            <w:vAlign w:val="bottom"/>
          </w:tcPr>
          <w:p w14:paraId="5DC571F7" w14:textId="77777777" w:rsidR="00BB2793" w:rsidRPr="001F224B" w:rsidRDefault="00BB2793" w:rsidP="00BB2793">
            <w:pPr>
              <w:jc w:val="right"/>
              <w:rPr>
                <w:b/>
                <w:color w:val="000000"/>
                <w:sz w:val="18"/>
                <w:szCs w:val="18"/>
              </w:rPr>
            </w:pPr>
          </w:p>
        </w:tc>
        <w:tc>
          <w:tcPr>
            <w:tcW w:w="992" w:type="dxa"/>
            <w:shd w:val="clear" w:color="auto" w:fill="auto"/>
            <w:noWrap/>
            <w:vAlign w:val="bottom"/>
          </w:tcPr>
          <w:p w14:paraId="7AB203AB" w14:textId="77777777" w:rsidR="00BB2793" w:rsidRPr="001F224B" w:rsidRDefault="00BB2793" w:rsidP="00BB2793">
            <w:pPr>
              <w:jc w:val="right"/>
              <w:rPr>
                <w:b/>
                <w:color w:val="000000"/>
                <w:sz w:val="18"/>
                <w:szCs w:val="18"/>
              </w:rPr>
            </w:pPr>
          </w:p>
        </w:tc>
        <w:tc>
          <w:tcPr>
            <w:tcW w:w="993" w:type="dxa"/>
            <w:shd w:val="clear" w:color="auto" w:fill="auto"/>
            <w:noWrap/>
            <w:vAlign w:val="bottom"/>
          </w:tcPr>
          <w:p w14:paraId="1A43A964" w14:textId="77777777" w:rsidR="00BB2793" w:rsidRPr="001F224B" w:rsidRDefault="00BB2793" w:rsidP="00BB2793">
            <w:pPr>
              <w:jc w:val="right"/>
              <w:rPr>
                <w:color w:val="000000"/>
                <w:sz w:val="18"/>
                <w:szCs w:val="18"/>
              </w:rPr>
            </w:pPr>
          </w:p>
        </w:tc>
        <w:tc>
          <w:tcPr>
            <w:tcW w:w="992" w:type="dxa"/>
            <w:shd w:val="clear" w:color="auto" w:fill="auto"/>
            <w:noWrap/>
            <w:vAlign w:val="bottom"/>
          </w:tcPr>
          <w:p w14:paraId="30C614F4" w14:textId="157C28DB" w:rsidR="00BB2793" w:rsidRPr="001F224B" w:rsidRDefault="00BB2793" w:rsidP="00BB2793">
            <w:pPr>
              <w:jc w:val="right"/>
              <w:rPr>
                <w:b/>
                <w:bCs/>
                <w:color w:val="000000"/>
                <w:sz w:val="18"/>
                <w:szCs w:val="18"/>
              </w:rPr>
            </w:pPr>
            <w:r w:rsidRPr="001F224B">
              <w:rPr>
                <w:b/>
                <w:bCs/>
                <w:sz w:val="18"/>
                <w:szCs w:val="18"/>
              </w:rPr>
              <w:t>363.655</w:t>
            </w:r>
          </w:p>
        </w:tc>
      </w:tr>
    </w:tbl>
    <w:p w14:paraId="690BC056" w14:textId="77777777" w:rsidR="000F7354" w:rsidRPr="001F224B" w:rsidRDefault="000F7354" w:rsidP="00F64EC3">
      <w:pPr>
        <w:spacing w:line="360" w:lineRule="auto"/>
        <w:rPr>
          <w:b/>
          <w:bCs/>
          <w:sz w:val="22"/>
          <w:szCs w:val="22"/>
        </w:rPr>
      </w:pPr>
    </w:p>
    <w:p w14:paraId="08F859B4" w14:textId="77777777" w:rsidR="00BB2793" w:rsidRPr="001F224B" w:rsidRDefault="00BB2793" w:rsidP="00BB2793">
      <w:pPr>
        <w:pStyle w:val="ListParagraph"/>
        <w:tabs>
          <w:tab w:val="left" w:pos="0"/>
        </w:tabs>
        <w:spacing w:before="120"/>
        <w:ind w:left="0"/>
        <w:rPr>
          <w:b/>
          <w:bCs/>
          <w:sz w:val="22"/>
          <w:szCs w:val="22"/>
        </w:rPr>
      </w:pPr>
      <w:r w:rsidRPr="001F224B">
        <w:rPr>
          <w:b/>
          <w:bCs/>
          <w:sz w:val="22"/>
          <w:szCs w:val="22"/>
        </w:rPr>
        <w:t>DÖRDÜNCÜ BÖLÜM (Devamı)</w:t>
      </w:r>
    </w:p>
    <w:p w14:paraId="3A96101A" w14:textId="77777777" w:rsidR="00BB2793" w:rsidRPr="001F224B" w:rsidRDefault="00BB2793" w:rsidP="00BB2793">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29F49AC0" w14:textId="77777777" w:rsidR="00BB2793" w:rsidRPr="001F224B" w:rsidRDefault="00BB2793" w:rsidP="00BB2793">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27E18168" w14:textId="77777777" w:rsidR="00BB2793" w:rsidRPr="001F224B" w:rsidRDefault="00BB2793" w:rsidP="00BB2793">
      <w:r w:rsidRPr="001F224B">
        <w:rPr>
          <w:b/>
          <w:sz w:val="22"/>
          <w:szCs w:val="22"/>
          <w:lang w:eastAsia="x-none"/>
        </w:rPr>
        <w:t>7. Karşı taraf kredi riskinin ölçüm yöntemlerine göre değerlendirilmesi (devamı):</w:t>
      </w:r>
    </w:p>
    <w:p w14:paraId="112E3B77" w14:textId="77777777" w:rsidR="00BB2793" w:rsidRPr="001F224B" w:rsidRDefault="00BB2793" w:rsidP="00BB2793">
      <w:pPr>
        <w:jc w:val="both"/>
        <w:rPr>
          <w:b/>
          <w:sz w:val="22"/>
          <w:szCs w:val="22"/>
          <w:lang w:eastAsia="x-none"/>
        </w:rPr>
      </w:pPr>
    </w:p>
    <w:p w14:paraId="35ABFF0D" w14:textId="77777777" w:rsidR="00BB2793" w:rsidRPr="001F224B" w:rsidRDefault="00BB2793" w:rsidP="00BB2793">
      <w:pPr>
        <w:rPr>
          <w:b/>
          <w:sz w:val="22"/>
          <w:szCs w:val="22"/>
        </w:rPr>
      </w:pPr>
      <w:r w:rsidRPr="001F224B">
        <w:rPr>
          <w:b/>
          <w:sz w:val="22"/>
          <w:szCs w:val="22"/>
        </w:rPr>
        <w:t xml:space="preserve">  Kredi Değerleme Ayarlamaları (KDA) için sermaye yükümlülüğü</w:t>
      </w:r>
    </w:p>
    <w:p w14:paraId="22645FC1" w14:textId="77777777" w:rsidR="00BB2793" w:rsidRPr="001F224B" w:rsidRDefault="00BB2793" w:rsidP="00BB2793">
      <w:pPr>
        <w:rPr>
          <w:b/>
          <w:sz w:val="22"/>
          <w:szCs w:val="22"/>
        </w:rPr>
      </w:pPr>
    </w:p>
    <w:tbl>
      <w:tblPr>
        <w:tblW w:w="9967" w:type="dxa"/>
        <w:tblInd w:w="123" w:type="dxa"/>
        <w:tblCellMar>
          <w:left w:w="70" w:type="dxa"/>
          <w:right w:w="70" w:type="dxa"/>
        </w:tblCellMar>
        <w:tblLook w:val="04A0" w:firstRow="1" w:lastRow="0" w:firstColumn="1" w:lastColumn="0" w:noHBand="0" w:noVBand="1"/>
      </w:tblPr>
      <w:tblGrid>
        <w:gridCol w:w="298"/>
        <w:gridCol w:w="4894"/>
        <w:gridCol w:w="2477"/>
        <w:gridCol w:w="2298"/>
      </w:tblGrid>
      <w:tr w:rsidR="00BB2793" w:rsidRPr="001F224B" w14:paraId="0A68ABFE" w14:textId="77777777" w:rsidTr="00001A93">
        <w:trPr>
          <w:trHeight w:val="580"/>
        </w:trPr>
        <w:tc>
          <w:tcPr>
            <w:tcW w:w="298" w:type="dxa"/>
            <w:tcBorders>
              <w:top w:val="single" w:sz="4" w:space="0" w:color="auto"/>
              <w:left w:val="single" w:sz="4" w:space="0" w:color="auto"/>
              <w:bottom w:val="single" w:sz="4" w:space="0" w:color="auto"/>
              <w:right w:val="nil"/>
            </w:tcBorders>
            <w:noWrap/>
            <w:vAlign w:val="bottom"/>
            <w:hideMark/>
          </w:tcPr>
          <w:p w14:paraId="7FBA3445" w14:textId="77777777" w:rsidR="00BB2793" w:rsidRPr="001F224B" w:rsidRDefault="00BB2793" w:rsidP="00001A93">
            <w:pPr>
              <w:rPr>
                <w:b/>
                <w:sz w:val="22"/>
                <w:szCs w:val="22"/>
              </w:rPr>
            </w:pPr>
          </w:p>
        </w:tc>
        <w:tc>
          <w:tcPr>
            <w:tcW w:w="4894" w:type="dxa"/>
            <w:tcBorders>
              <w:top w:val="single" w:sz="4" w:space="0" w:color="auto"/>
              <w:left w:val="nil"/>
              <w:bottom w:val="single" w:sz="4" w:space="0" w:color="auto"/>
              <w:right w:val="nil"/>
            </w:tcBorders>
            <w:vAlign w:val="bottom"/>
            <w:hideMark/>
          </w:tcPr>
          <w:p w14:paraId="25742E02" w14:textId="1F2DD3D9" w:rsidR="00BB2793" w:rsidRPr="001F224B" w:rsidRDefault="00BB2793" w:rsidP="00001A93">
            <w:pPr>
              <w:rPr>
                <w:b/>
                <w:sz w:val="18"/>
                <w:szCs w:val="18"/>
              </w:rPr>
            </w:pPr>
            <w:r w:rsidRPr="001F224B">
              <w:rPr>
                <w:b/>
                <w:sz w:val="20"/>
                <w:szCs w:val="20"/>
              </w:rPr>
              <w:t>Cari Dönem (30.06.2025)</w:t>
            </w:r>
          </w:p>
        </w:tc>
        <w:tc>
          <w:tcPr>
            <w:tcW w:w="2477" w:type="dxa"/>
            <w:tcBorders>
              <w:top w:val="single" w:sz="4" w:space="0" w:color="auto"/>
              <w:left w:val="single" w:sz="4" w:space="0" w:color="auto"/>
              <w:bottom w:val="single" w:sz="4" w:space="0" w:color="auto"/>
              <w:right w:val="single" w:sz="4" w:space="0" w:color="auto"/>
            </w:tcBorders>
            <w:vAlign w:val="bottom"/>
            <w:hideMark/>
          </w:tcPr>
          <w:p w14:paraId="7515CEC7" w14:textId="77777777" w:rsidR="00BB2793" w:rsidRPr="001F224B" w:rsidRDefault="00BB2793" w:rsidP="00001A93">
            <w:pPr>
              <w:jc w:val="center"/>
              <w:rPr>
                <w:b/>
                <w:bCs/>
                <w:color w:val="000000"/>
                <w:sz w:val="18"/>
                <w:szCs w:val="18"/>
              </w:rPr>
            </w:pPr>
            <w:r w:rsidRPr="001F224B">
              <w:rPr>
                <w:b/>
                <w:bCs/>
                <w:color w:val="000000"/>
                <w:sz w:val="18"/>
                <w:szCs w:val="18"/>
              </w:rPr>
              <w:t>Risk Tutarı (Kredi riski azaltımı teknikleri kullanımı sonrası)</w:t>
            </w:r>
          </w:p>
        </w:tc>
        <w:tc>
          <w:tcPr>
            <w:tcW w:w="2298" w:type="dxa"/>
            <w:tcBorders>
              <w:top w:val="single" w:sz="4" w:space="0" w:color="auto"/>
              <w:left w:val="nil"/>
              <w:bottom w:val="single" w:sz="4" w:space="0" w:color="auto"/>
              <w:right w:val="single" w:sz="4" w:space="0" w:color="auto"/>
            </w:tcBorders>
            <w:vAlign w:val="bottom"/>
            <w:hideMark/>
          </w:tcPr>
          <w:p w14:paraId="60AA9024" w14:textId="77777777" w:rsidR="00BB2793" w:rsidRPr="001F224B" w:rsidRDefault="00BB2793" w:rsidP="00001A93">
            <w:pPr>
              <w:jc w:val="center"/>
              <w:rPr>
                <w:b/>
                <w:bCs/>
                <w:color w:val="000000"/>
                <w:sz w:val="18"/>
                <w:szCs w:val="18"/>
              </w:rPr>
            </w:pPr>
            <w:r w:rsidRPr="001F224B">
              <w:rPr>
                <w:b/>
                <w:bCs/>
                <w:color w:val="000000"/>
                <w:sz w:val="18"/>
                <w:szCs w:val="18"/>
              </w:rPr>
              <w:t>Risk ağırlıklı tutarlar</w:t>
            </w:r>
          </w:p>
        </w:tc>
      </w:tr>
      <w:tr w:rsidR="00BB2793" w:rsidRPr="001F224B" w14:paraId="411AAA27" w14:textId="77777777" w:rsidTr="00001A93">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6C9AECDD" w14:textId="77777777" w:rsidR="00BB2793" w:rsidRPr="001F224B" w:rsidRDefault="00BB2793" w:rsidP="00001A93">
            <w:pPr>
              <w:rPr>
                <w:rFonts w:ascii="Calibri" w:hAnsi="Calibri" w:cs="Calibri"/>
                <w:color w:val="000000"/>
                <w:sz w:val="22"/>
                <w:szCs w:val="22"/>
              </w:rPr>
            </w:pPr>
            <w:r w:rsidRPr="001F224B">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0E7DBFF7" w14:textId="77777777" w:rsidR="00BB2793" w:rsidRPr="001F224B" w:rsidRDefault="00BB2793" w:rsidP="00001A93">
            <w:pPr>
              <w:rPr>
                <w:color w:val="000000"/>
                <w:sz w:val="18"/>
                <w:szCs w:val="18"/>
              </w:rPr>
            </w:pPr>
            <w:r w:rsidRPr="001F224B">
              <w:rPr>
                <w:color w:val="000000"/>
                <w:sz w:val="18"/>
                <w:szCs w:val="18"/>
              </w:rPr>
              <w:t>Gelişmiş yönteme göre KDA sermaye yükümlülüğüne tabi portföylerin toplam tutarı</w:t>
            </w:r>
          </w:p>
        </w:tc>
        <w:tc>
          <w:tcPr>
            <w:tcW w:w="2477" w:type="dxa"/>
            <w:tcBorders>
              <w:top w:val="single" w:sz="4" w:space="0" w:color="auto"/>
              <w:left w:val="nil"/>
              <w:bottom w:val="single" w:sz="4" w:space="0" w:color="auto"/>
              <w:right w:val="single" w:sz="4" w:space="0" w:color="auto"/>
            </w:tcBorders>
            <w:vAlign w:val="bottom"/>
            <w:hideMark/>
          </w:tcPr>
          <w:p w14:paraId="093A2CF1" w14:textId="77777777" w:rsidR="00BB2793" w:rsidRPr="001F224B" w:rsidRDefault="00BB2793" w:rsidP="00001A93">
            <w:pPr>
              <w:jc w:val="right"/>
              <w:rPr>
                <w:color w:val="000000"/>
                <w:sz w:val="22"/>
                <w:szCs w:val="22"/>
              </w:rPr>
            </w:pPr>
            <w:r w:rsidRPr="001F224B">
              <w:rPr>
                <w:color w:val="000000"/>
                <w:sz w:val="22"/>
                <w:szCs w:val="22"/>
              </w:rPr>
              <w:t> -</w:t>
            </w:r>
          </w:p>
        </w:tc>
        <w:tc>
          <w:tcPr>
            <w:tcW w:w="2298" w:type="dxa"/>
            <w:tcBorders>
              <w:top w:val="single" w:sz="4" w:space="0" w:color="auto"/>
              <w:left w:val="nil"/>
              <w:bottom w:val="single" w:sz="4" w:space="0" w:color="auto"/>
              <w:right w:val="single" w:sz="4" w:space="0" w:color="auto"/>
            </w:tcBorders>
            <w:vAlign w:val="bottom"/>
            <w:hideMark/>
          </w:tcPr>
          <w:p w14:paraId="17DAD499" w14:textId="77777777" w:rsidR="00BB2793" w:rsidRPr="001F224B" w:rsidRDefault="00BB2793" w:rsidP="00001A93">
            <w:pPr>
              <w:jc w:val="right"/>
              <w:rPr>
                <w:color w:val="000000"/>
                <w:sz w:val="22"/>
                <w:szCs w:val="22"/>
              </w:rPr>
            </w:pPr>
            <w:r w:rsidRPr="001F224B">
              <w:rPr>
                <w:color w:val="000000"/>
                <w:sz w:val="22"/>
                <w:szCs w:val="22"/>
              </w:rPr>
              <w:t> -</w:t>
            </w:r>
          </w:p>
        </w:tc>
      </w:tr>
      <w:tr w:rsidR="00BB2793" w:rsidRPr="001F224B" w14:paraId="6E998D87" w14:textId="77777777" w:rsidTr="00001A93">
        <w:trPr>
          <w:trHeight w:val="290"/>
        </w:trPr>
        <w:tc>
          <w:tcPr>
            <w:tcW w:w="298" w:type="dxa"/>
            <w:tcBorders>
              <w:top w:val="nil"/>
              <w:left w:val="single" w:sz="4" w:space="0" w:color="auto"/>
              <w:bottom w:val="single" w:sz="4" w:space="0" w:color="auto"/>
              <w:right w:val="single" w:sz="4" w:space="0" w:color="auto"/>
            </w:tcBorders>
            <w:noWrap/>
            <w:vAlign w:val="bottom"/>
            <w:hideMark/>
          </w:tcPr>
          <w:p w14:paraId="36FE7954" w14:textId="77777777" w:rsidR="00BB2793" w:rsidRPr="001F224B" w:rsidRDefault="00BB2793" w:rsidP="00001A93">
            <w:pPr>
              <w:jc w:val="center"/>
              <w:rPr>
                <w:b/>
                <w:bCs/>
                <w:color w:val="000000"/>
                <w:sz w:val="18"/>
                <w:szCs w:val="18"/>
              </w:rPr>
            </w:pPr>
            <w:r w:rsidRPr="001F224B">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5B815937" w14:textId="77777777" w:rsidR="00BB2793" w:rsidRPr="001F224B" w:rsidRDefault="00BB2793" w:rsidP="00001A93">
            <w:pPr>
              <w:rPr>
                <w:color w:val="000000"/>
                <w:sz w:val="18"/>
                <w:szCs w:val="18"/>
              </w:rPr>
            </w:pPr>
            <w:r w:rsidRPr="001F224B">
              <w:rPr>
                <w:color w:val="000000"/>
                <w:sz w:val="18"/>
                <w:szCs w:val="18"/>
              </w:rPr>
              <w:t>(i) Riske maruz değer bileşeni (3*çarpan dahil)</w:t>
            </w:r>
          </w:p>
        </w:tc>
        <w:tc>
          <w:tcPr>
            <w:tcW w:w="2477" w:type="dxa"/>
            <w:tcBorders>
              <w:top w:val="nil"/>
              <w:left w:val="nil"/>
              <w:bottom w:val="single" w:sz="4" w:space="0" w:color="auto"/>
              <w:right w:val="single" w:sz="4" w:space="0" w:color="auto"/>
            </w:tcBorders>
            <w:vAlign w:val="bottom"/>
            <w:hideMark/>
          </w:tcPr>
          <w:p w14:paraId="0C487AAF" w14:textId="77777777" w:rsidR="00BB2793" w:rsidRPr="001F224B" w:rsidRDefault="00BB2793" w:rsidP="00001A93">
            <w:pPr>
              <w:jc w:val="right"/>
              <w:rPr>
                <w:color w:val="000000"/>
                <w:sz w:val="22"/>
                <w:szCs w:val="22"/>
              </w:rPr>
            </w:pPr>
            <w:r w:rsidRPr="001F224B">
              <w:rPr>
                <w:color w:val="000000"/>
                <w:sz w:val="22"/>
                <w:szCs w:val="22"/>
              </w:rPr>
              <w:t> -</w:t>
            </w:r>
          </w:p>
        </w:tc>
        <w:tc>
          <w:tcPr>
            <w:tcW w:w="2298" w:type="dxa"/>
            <w:tcBorders>
              <w:top w:val="nil"/>
              <w:left w:val="nil"/>
              <w:bottom w:val="single" w:sz="4" w:space="0" w:color="auto"/>
              <w:right w:val="single" w:sz="4" w:space="0" w:color="auto"/>
            </w:tcBorders>
            <w:vAlign w:val="bottom"/>
            <w:hideMark/>
          </w:tcPr>
          <w:p w14:paraId="53974E09" w14:textId="77777777" w:rsidR="00BB2793" w:rsidRPr="001F224B" w:rsidRDefault="00BB2793" w:rsidP="00001A93">
            <w:pPr>
              <w:jc w:val="right"/>
              <w:rPr>
                <w:color w:val="000000"/>
                <w:sz w:val="22"/>
                <w:szCs w:val="22"/>
              </w:rPr>
            </w:pPr>
            <w:r w:rsidRPr="001F224B">
              <w:rPr>
                <w:color w:val="000000"/>
                <w:sz w:val="22"/>
                <w:szCs w:val="22"/>
              </w:rPr>
              <w:t> -</w:t>
            </w:r>
          </w:p>
        </w:tc>
      </w:tr>
      <w:tr w:rsidR="00BB2793" w:rsidRPr="001F224B" w14:paraId="02162F9D" w14:textId="77777777" w:rsidTr="00001A93">
        <w:trPr>
          <w:trHeight w:val="290"/>
        </w:trPr>
        <w:tc>
          <w:tcPr>
            <w:tcW w:w="298" w:type="dxa"/>
            <w:tcBorders>
              <w:top w:val="nil"/>
              <w:left w:val="single" w:sz="4" w:space="0" w:color="auto"/>
              <w:bottom w:val="single" w:sz="4" w:space="0" w:color="auto"/>
              <w:right w:val="single" w:sz="4" w:space="0" w:color="auto"/>
            </w:tcBorders>
            <w:noWrap/>
            <w:vAlign w:val="bottom"/>
            <w:hideMark/>
          </w:tcPr>
          <w:p w14:paraId="13D76137" w14:textId="77777777" w:rsidR="00BB2793" w:rsidRPr="001F224B" w:rsidRDefault="00BB2793" w:rsidP="00001A93">
            <w:pPr>
              <w:jc w:val="center"/>
              <w:rPr>
                <w:b/>
                <w:bCs/>
                <w:color w:val="000000"/>
                <w:sz w:val="18"/>
                <w:szCs w:val="18"/>
              </w:rPr>
            </w:pPr>
            <w:r w:rsidRPr="001F224B">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48B9477B" w14:textId="77777777" w:rsidR="00BB2793" w:rsidRPr="001F224B" w:rsidRDefault="00BB2793" w:rsidP="00001A93">
            <w:pPr>
              <w:rPr>
                <w:color w:val="000000"/>
                <w:sz w:val="18"/>
                <w:szCs w:val="18"/>
              </w:rPr>
            </w:pPr>
            <w:r w:rsidRPr="001F224B">
              <w:rPr>
                <w:color w:val="000000"/>
                <w:sz w:val="18"/>
                <w:szCs w:val="18"/>
              </w:rPr>
              <w:t>(ii) Stres riske maruz değer (3*çarpan dahil)</w:t>
            </w:r>
          </w:p>
        </w:tc>
        <w:tc>
          <w:tcPr>
            <w:tcW w:w="2477" w:type="dxa"/>
            <w:tcBorders>
              <w:top w:val="nil"/>
              <w:left w:val="nil"/>
              <w:bottom w:val="single" w:sz="4" w:space="0" w:color="auto"/>
              <w:right w:val="single" w:sz="4" w:space="0" w:color="auto"/>
            </w:tcBorders>
            <w:vAlign w:val="bottom"/>
            <w:hideMark/>
          </w:tcPr>
          <w:p w14:paraId="06F824FC" w14:textId="77777777" w:rsidR="00BB2793" w:rsidRPr="001F224B" w:rsidRDefault="00BB2793" w:rsidP="00001A93">
            <w:pPr>
              <w:jc w:val="right"/>
              <w:rPr>
                <w:color w:val="000000"/>
                <w:sz w:val="22"/>
                <w:szCs w:val="22"/>
              </w:rPr>
            </w:pPr>
            <w:r w:rsidRPr="001F224B">
              <w:rPr>
                <w:color w:val="000000"/>
                <w:sz w:val="22"/>
                <w:szCs w:val="22"/>
              </w:rPr>
              <w:t> -</w:t>
            </w:r>
          </w:p>
        </w:tc>
        <w:tc>
          <w:tcPr>
            <w:tcW w:w="2298" w:type="dxa"/>
            <w:tcBorders>
              <w:top w:val="nil"/>
              <w:left w:val="nil"/>
              <w:bottom w:val="single" w:sz="4" w:space="0" w:color="auto"/>
              <w:right w:val="single" w:sz="4" w:space="0" w:color="auto"/>
            </w:tcBorders>
            <w:vAlign w:val="bottom"/>
            <w:hideMark/>
          </w:tcPr>
          <w:p w14:paraId="78AF8F37" w14:textId="77777777" w:rsidR="00BB2793" w:rsidRPr="001F224B" w:rsidRDefault="00BB2793" w:rsidP="00001A93">
            <w:pPr>
              <w:jc w:val="right"/>
              <w:rPr>
                <w:color w:val="000000"/>
                <w:sz w:val="22"/>
                <w:szCs w:val="22"/>
              </w:rPr>
            </w:pPr>
            <w:r w:rsidRPr="001F224B">
              <w:rPr>
                <w:color w:val="000000"/>
                <w:sz w:val="22"/>
                <w:szCs w:val="22"/>
              </w:rPr>
              <w:t> -</w:t>
            </w:r>
          </w:p>
        </w:tc>
      </w:tr>
      <w:tr w:rsidR="00747969" w:rsidRPr="001F224B" w14:paraId="50472FA7" w14:textId="77777777" w:rsidTr="00001A93">
        <w:trPr>
          <w:trHeight w:val="580"/>
        </w:trPr>
        <w:tc>
          <w:tcPr>
            <w:tcW w:w="298" w:type="dxa"/>
            <w:tcBorders>
              <w:top w:val="nil"/>
              <w:left w:val="single" w:sz="4" w:space="0" w:color="auto"/>
              <w:bottom w:val="single" w:sz="4" w:space="0" w:color="auto"/>
              <w:right w:val="single" w:sz="4" w:space="0" w:color="auto"/>
            </w:tcBorders>
            <w:noWrap/>
            <w:vAlign w:val="bottom"/>
            <w:hideMark/>
          </w:tcPr>
          <w:p w14:paraId="282D4C9D" w14:textId="77777777" w:rsidR="00747969" w:rsidRPr="001F224B" w:rsidRDefault="00747969" w:rsidP="00747969">
            <w:pPr>
              <w:jc w:val="center"/>
              <w:rPr>
                <w:b/>
                <w:bCs/>
                <w:color w:val="000000"/>
                <w:sz w:val="18"/>
                <w:szCs w:val="18"/>
              </w:rPr>
            </w:pPr>
            <w:r w:rsidRPr="001F224B">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6CE0EDD0" w14:textId="77777777" w:rsidR="00747969" w:rsidRPr="001F224B" w:rsidRDefault="00747969" w:rsidP="00747969">
            <w:pPr>
              <w:rPr>
                <w:color w:val="000000"/>
                <w:sz w:val="18"/>
                <w:szCs w:val="18"/>
              </w:rPr>
            </w:pPr>
            <w:r w:rsidRPr="001F224B">
              <w:rPr>
                <w:color w:val="000000"/>
                <w:sz w:val="18"/>
                <w:szCs w:val="18"/>
              </w:rPr>
              <w:t>Standart yönteme göre KDA sermaye yükümlülüğüne tabi portföylerin toplam tutarı</w:t>
            </w:r>
          </w:p>
        </w:tc>
        <w:tc>
          <w:tcPr>
            <w:tcW w:w="2477" w:type="dxa"/>
            <w:tcBorders>
              <w:top w:val="nil"/>
              <w:left w:val="nil"/>
              <w:bottom w:val="single" w:sz="4" w:space="0" w:color="auto"/>
              <w:right w:val="single" w:sz="4" w:space="0" w:color="auto"/>
            </w:tcBorders>
            <w:vAlign w:val="bottom"/>
            <w:hideMark/>
          </w:tcPr>
          <w:p w14:paraId="0C10400C" w14:textId="25FA07C5" w:rsidR="00747969" w:rsidRPr="001F224B" w:rsidRDefault="00747969" w:rsidP="00747969">
            <w:pPr>
              <w:jc w:val="right"/>
              <w:rPr>
                <w:color w:val="000000"/>
                <w:sz w:val="22"/>
                <w:szCs w:val="22"/>
              </w:rPr>
            </w:pPr>
            <w:r w:rsidRPr="001F224B">
              <w:rPr>
                <w:sz w:val="18"/>
                <w:szCs w:val="18"/>
              </w:rPr>
              <w:t>565.823</w:t>
            </w:r>
          </w:p>
        </w:tc>
        <w:tc>
          <w:tcPr>
            <w:tcW w:w="2298" w:type="dxa"/>
            <w:tcBorders>
              <w:top w:val="nil"/>
              <w:left w:val="nil"/>
              <w:bottom w:val="single" w:sz="4" w:space="0" w:color="auto"/>
              <w:right w:val="single" w:sz="4" w:space="0" w:color="auto"/>
            </w:tcBorders>
            <w:vAlign w:val="bottom"/>
            <w:hideMark/>
          </w:tcPr>
          <w:p w14:paraId="6675CD05" w14:textId="63749C34" w:rsidR="00747969" w:rsidRPr="001F224B" w:rsidRDefault="00747969" w:rsidP="00747969">
            <w:pPr>
              <w:jc w:val="right"/>
              <w:rPr>
                <w:color w:val="000000"/>
                <w:sz w:val="22"/>
                <w:szCs w:val="22"/>
              </w:rPr>
            </w:pPr>
            <w:r w:rsidRPr="001F224B">
              <w:rPr>
                <w:sz w:val="18"/>
                <w:szCs w:val="18"/>
              </w:rPr>
              <w:t>119.272</w:t>
            </w:r>
          </w:p>
        </w:tc>
      </w:tr>
      <w:tr w:rsidR="00747969" w:rsidRPr="001F224B" w14:paraId="29A2BF55" w14:textId="77777777" w:rsidTr="00001A93">
        <w:trPr>
          <w:trHeight w:val="580"/>
        </w:trPr>
        <w:tc>
          <w:tcPr>
            <w:tcW w:w="298" w:type="dxa"/>
            <w:tcBorders>
              <w:top w:val="nil"/>
              <w:left w:val="single" w:sz="4" w:space="0" w:color="auto"/>
              <w:bottom w:val="single" w:sz="4" w:space="0" w:color="auto"/>
              <w:right w:val="single" w:sz="4" w:space="0" w:color="auto"/>
            </w:tcBorders>
            <w:noWrap/>
            <w:vAlign w:val="bottom"/>
          </w:tcPr>
          <w:p w14:paraId="55FBF6A7" w14:textId="77777777" w:rsidR="00747969" w:rsidRPr="001F224B" w:rsidRDefault="00747969" w:rsidP="00747969">
            <w:pPr>
              <w:jc w:val="center"/>
              <w:rPr>
                <w:b/>
                <w:bCs/>
                <w:color w:val="000000"/>
                <w:sz w:val="18"/>
                <w:szCs w:val="18"/>
              </w:rPr>
            </w:pPr>
            <w:r w:rsidRPr="001F224B">
              <w:rPr>
                <w:b/>
                <w:bCs/>
                <w:color w:val="000000"/>
                <w:sz w:val="18"/>
                <w:szCs w:val="18"/>
              </w:rPr>
              <w:t>4</w:t>
            </w:r>
          </w:p>
        </w:tc>
        <w:tc>
          <w:tcPr>
            <w:tcW w:w="4894" w:type="dxa"/>
            <w:tcBorders>
              <w:top w:val="nil"/>
              <w:left w:val="nil"/>
              <w:bottom w:val="single" w:sz="4" w:space="0" w:color="auto"/>
              <w:right w:val="single" w:sz="4" w:space="0" w:color="auto"/>
            </w:tcBorders>
            <w:vAlign w:val="bottom"/>
          </w:tcPr>
          <w:p w14:paraId="3E324E78" w14:textId="77777777" w:rsidR="00747969" w:rsidRPr="001F224B" w:rsidRDefault="00747969" w:rsidP="00747969">
            <w:pPr>
              <w:rPr>
                <w:color w:val="000000"/>
                <w:sz w:val="18"/>
                <w:szCs w:val="18"/>
              </w:rPr>
            </w:pPr>
            <w:r w:rsidRPr="001F224B">
              <w:rPr>
                <w:color w:val="000000"/>
                <w:sz w:val="18"/>
                <w:szCs w:val="18"/>
              </w:rPr>
              <w:t>KDA sermaye yükümlülüğüne tabi toplam tutar</w:t>
            </w:r>
          </w:p>
        </w:tc>
        <w:tc>
          <w:tcPr>
            <w:tcW w:w="2477" w:type="dxa"/>
            <w:tcBorders>
              <w:top w:val="nil"/>
              <w:left w:val="nil"/>
              <w:bottom w:val="single" w:sz="4" w:space="0" w:color="auto"/>
              <w:right w:val="single" w:sz="4" w:space="0" w:color="auto"/>
            </w:tcBorders>
            <w:vAlign w:val="bottom"/>
          </w:tcPr>
          <w:p w14:paraId="2AF9175B" w14:textId="16F9A23C" w:rsidR="00747969" w:rsidRPr="001F224B" w:rsidRDefault="00747969" w:rsidP="00747969">
            <w:pPr>
              <w:jc w:val="right"/>
              <w:rPr>
                <w:sz w:val="18"/>
                <w:szCs w:val="18"/>
              </w:rPr>
            </w:pPr>
            <w:r w:rsidRPr="001F224B">
              <w:rPr>
                <w:sz w:val="18"/>
                <w:szCs w:val="18"/>
              </w:rPr>
              <w:t>565.823</w:t>
            </w:r>
          </w:p>
        </w:tc>
        <w:tc>
          <w:tcPr>
            <w:tcW w:w="2298" w:type="dxa"/>
            <w:tcBorders>
              <w:top w:val="nil"/>
              <w:left w:val="nil"/>
              <w:bottom w:val="single" w:sz="4" w:space="0" w:color="auto"/>
              <w:right w:val="single" w:sz="4" w:space="0" w:color="auto"/>
            </w:tcBorders>
            <w:vAlign w:val="bottom"/>
          </w:tcPr>
          <w:p w14:paraId="3101B5A8" w14:textId="5E8571DA" w:rsidR="00747969" w:rsidRPr="001F224B" w:rsidRDefault="00747969" w:rsidP="00747969">
            <w:pPr>
              <w:jc w:val="right"/>
              <w:rPr>
                <w:sz w:val="18"/>
                <w:szCs w:val="18"/>
              </w:rPr>
            </w:pPr>
            <w:r w:rsidRPr="001F224B">
              <w:rPr>
                <w:sz w:val="18"/>
                <w:szCs w:val="18"/>
              </w:rPr>
              <w:t>119.272</w:t>
            </w:r>
          </w:p>
        </w:tc>
      </w:tr>
    </w:tbl>
    <w:p w14:paraId="6392D66D" w14:textId="77777777" w:rsidR="00BB2793" w:rsidRPr="001F224B" w:rsidRDefault="00BB2793" w:rsidP="00BB2793">
      <w:pPr>
        <w:rPr>
          <w:b/>
          <w:bCs/>
          <w:sz w:val="22"/>
          <w:szCs w:val="22"/>
        </w:rPr>
      </w:pPr>
    </w:p>
    <w:tbl>
      <w:tblPr>
        <w:tblW w:w="9967" w:type="dxa"/>
        <w:tblInd w:w="123" w:type="dxa"/>
        <w:tblCellMar>
          <w:left w:w="70" w:type="dxa"/>
          <w:right w:w="70" w:type="dxa"/>
        </w:tblCellMar>
        <w:tblLook w:val="04A0" w:firstRow="1" w:lastRow="0" w:firstColumn="1" w:lastColumn="0" w:noHBand="0" w:noVBand="1"/>
      </w:tblPr>
      <w:tblGrid>
        <w:gridCol w:w="298"/>
        <w:gridCol w:w="4894"/>
        <w:gridCol w:w="2477"/>
        <w:gridCol w:w="2298"/>
      </w:tblGrid>
      <w:tr w:rsidR="00BB2793" w:rsidRPr="001F224B" w14:paraId="3ABB2B6A" w14:textId="77777777" w:rsidTr="00001A93">
        <w:trPr>
          <w:trHeight w:val="580"/>
        </w:trPr>
        <w:tc>
          <w:tcPr>
            <w:tcW w:w="298" w:type="dxa"/>
            <w:tcBorders>
              <w:top w:val="single" w:sz="4" w:space="0" w:color="auto"/>
              <w:left w:val="single" w:sz="4" w:space="0" w:color="auto"/>
              <w:bottom w:val="single" w:sz="4" w:space="0" w:color="auto"/>
              <w:right w:val="nil"/>
            </w:tcBorders>
            <w:noWrap/>
            <w:vAlign w:val="bottom"/>
            <w:hideMark/>
          </w:tcPr>
          <w:p w14:paraId="1338F66E" w14:textId="77777777" w:rsidR="00BB2793" w:rsidRPr="001F224B" w:rsidRDefault="00BB2793" w:rsidP="00001A93">
            <w:pPr>
              <w:rPr>
                <w:b/>
                <w:sz w:val="22"/>
                <w:szCs w:val="22"/>
              </w:rPr>
            </w:pPr>
          </w:p>
        </w:tc>
        <w:tc>
          <w:tcPr>
            <w:tcW w:w="4894" w:type="dxa"/>
            <w:tcBorders>
              <w:top w:val="single" w:sz="4" w:space="0" w:color="auto"/>
              <w:left w:val="nil"/>
              <w:bottom w:val="single" w:sz="4" w:space="0" w:color="auto"/>
              <w:right w:val="nil"/>
            </w:tcBorders>
            <w:vAlign w:val="bottom"/>
            <w:hideMark/>
          </w:tcPr>
          <w:p w14:paraId="0B52A3D8" w14:textId="73FAD723" w:rsidR="00BB2793" w:rsidRPr="001F224B" w:rsidRDefault="00BB2793" w:rsidP="00001A93">
            <w:pPr>
              <w:rPr>
                <w:b/>
                <w:sz w:val="20"/>
                <w:szCs w:val="20"/>
              </w:rPr>
            </w:pPr>
            <w:r w:rsidRPr="001F224B">
              <w:rPr>
                <w:b/>
                <w:sz w:val="20"/>
                <w:szCs w:val="20"/>
              </w:rPr>
              <w:t>Önceki Dönem (31.12.2024)</w:t>
            </w:r>
          </w:p>
        </w:tc>
        <w:tc>
          <w:tcPr>
            <w:tcW w:w="2477" w:type="dxa"/>
            <w:tcBorders>
              <w:top w:val="single" w:sz="4" w:space="0" w:color="auto"/>
              <w:left w:val="single" w:sz="4" w:space="0" w:color="auto"/>
              <w:bottom w:val="single" w:sz="4" w:space="0" w:color="auto"/>
              <w:right w:val="single" w:sz="4" w:space="0" w:color="auto"/>
            </w:tcBorders>
            <w:vAlign w:val="bottom"/>
            <w:hideMark/>
          </w:tcPr>
          <w:p w14:paraId="7C644CB0" w14:textId="77777777" w:rsidR="00BB2793" w:rsidRPr="001F224B" w:rsidRDefault="00BB2793" w:rsidP="00001A93">
            <w:pPr>
              <w:jc w:val="center"/>
              <w:rPr>
                <w:b/>
                <w:bCs/>
                <w:color w:val="000000"/>
                <w:sz w:val="18"/>
                <w:szCs w:val="18"/>
              </w:rPr>
            </w:pPr>
            <w:r w:rsidRPr="001F224B">
              <w:rPr>
                <w:b/>
                <w:bCs/>
                <w:color w:val="000000"/>
                <w:sz w:val="18"/>
                <w:szCs w:val="18"/>
              </w:rPr>
              <w:t>Risk Tutarı (Kredi riski azaltımı teknikleri kullanımı sonrası)</w:t>
            </w:r>
          </w:p>
        </w:tc>
        <w:tc>
          <w:tcPr>
            <w:tcW w:w="2298" w:type="dxa"/>
            <w:tcBorders>
              <w:top w:val="single" w:sz="4" w:space="0" w:color="auto"/>
              <w:left w:val="nil"/>
              <w:bottom w:val="single" w:sz="4" w:space="0" w:color="auto"/>
              <w:right w:val="single" w:sz="4" w:space="0" w:color="auto"/>
            </w:tcBorders>
            <w:vAlign w:val="bottom"/>
            <w:hideMark/>
          </w:tcPr>
          <w:p w14:paraId="2EDEF71F" w14:textId="77777777" w:rsidR="00BB2793" w:rsidRPr="001F224B" w:rsidRDefault="00BB2793" w:rsidP="00001A93">
            <w:pPr>
              <w:jc w:val="center"/>
              <w:rPr>
                <w:b/>
                <w:bCs/>
                <w:color w:val="000000"/>
                <w:sz w:val="18"/>
                <w:szCs w:val="18"/>
              </w:rPr>
            </w:pPr>
            <w:r w:rsidRPr="001F224B">
              <w:rPr>
                <w:b/>
                <w:bCs/>
                <w:color w:val="000000"/>
                <w:sz w:val="18"/>
                <w:szCs w:val="18"/>
              </w:rPr>
              <w:t>Risk ağırlıklı tutarlar</w:t>
            </w:r>
          </w:p>
        </w:tc>
      </w:tr>
      <w:tr w:rsidR="00BB2793" w:rsidRPr="001F224B" w14:paraId="64BC9D69" w14:textId="77777777" w:rsidTr="00001A93">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397D6277" w14:textId="77777777" w:rsidR="00BB2793" w:rsidRPr="001F224B" w:rsidRDefault="00BB2793" w:rsidP="00BB2793">
            <w:pPr>
              <w:rPr>
                <w:rFonts w:ascii="Calibri" w:hAnsi="Calibri" w:cs="Calibri"/>
                <w:color w:val="000000"/>
                <w:sz w:val="22"/>
                <w:szCs w:val="22"/>
              </w:rPr>
            </w:pPr>
            <w:r w:rsidRPr="001F224B">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1A374AB8" w14:textId="77777777" w:rsidR="00BB2793" w:rsidRPr="001F224B" w:rsidRDefault="00BB2793" w:rsidP="00BB2793">
            <w:pPr>
              <w:rPr>
                <w:color w:val="000000"/>
                <w:sz w:val="18"/>
                <w:szCs w:val="18"/>
              </w:rPr>
            </w:pPr>
            <w:r w:rsidRPr="001F224B">
              <w:rPr>
                <w:color w:val="000000"/>
                <w:sz w:val="18"/>
                <w:szCs w:val="18"/>
              </w:rPr>
              <w:t>Gelişmiş yönteme göre KDA sermaye yükümlülüğüne tabi portföylerin toplam tutarı</w:t>
            </w:r>
          </w:p>
        </w:tc>
        <w:tc>
          <w:tcPr>
            <w:tcW w:w="2477" w:type="dxa"/>
            <w:tcBorders>
              <w:top w:val="single" w:sz="4" w:space="0" w:color="auto"/>
              <w:left w:val="nil"/>
              <w:bottom w:val="single" w:sz="4" w:space="0" w:color="auto"/>
              <w:right w:val="single" w:sz="4" w:space="0" w:color="auto"/>
            </w:tcBorders>
            <w:vAlign w:val="bottom"/>
            <w:hideMark/>
          </w:tcPr>
          <w:p w14:paraId="563A465D" w14:textId="7DF0BC96" w:rsidR="00BB2793" w:rsidRPr="001F224B" w:rsidRDefault="00BB2793" w:rsidP="00BB2793">
            <w:pPr>
              <w:jc w:val="right"/>
              <w:rPr>
                <w:color w:val="000000"/>
                <w:sz w:val="22"/>
                <w:szCs w:val="22"/>
              </w:rPr>
            </w:pPr>
            <w:r w:rsidRPr="001F224B">
              <w:rPr>
                <w:b/>
                <w:bCs/>
                <w:color w:val="000000"/>
                <w:sz w:val="22"/>
                <w:szCs w:val="22"/>
              </w:rPr>
              <w:t> -</w:t>
            </w:r>
          </w:p>
        </w:tc>
        <w:tc>
          <w:tcPr>
            <w:tcW w:w="2298" w:type="dxa"/>
            <w:tcBorders>
              <w:top w:val="single" w:sz="4" w:space="0" w:color="auto"/>
              <w:left w:val="nil"/>
              <w:bottom w:val="single" w:sz="4" w:space="0" w:color="auto"/>
              <w:right w:val="single" w:sz="4" w:space="0" w:color="auto"/>
            </w:tcBorders>
            <w:vAlign w:val="bottom"/>
            <w:hideMark/>
          </w:tcPr>
          <w:p w14:paraId="14AA4F9B" w14:textId="1BA8CFD5" w:rsidR="00BB2793" w:rsidRPr="001F224B" w:rsidRDefault="00BB2793" w:rsidP="00BB2793">
            <w:pPr>
              <w:jc w:val="right"/>
              <w:rPr>
                <w:color w:val="000000"/>
                <w:sz w:val="22"/>
                <w:szCs w:val="22"/>
              </w:rPr>
            </w:pPr>
            <w:r w:rsidRPr="001F224B">
              <w:rPr>
                <w:b/>
                <w:bCs/>
                <w:color w:val="000000"/>
                <w:sz w:val="22"/>
                <w:szCs w:val="22"/>
              </w:rPr>
              <w:t> -</w:t>
            </w:r>
          </w:p>
        </w:tc>
      </w:tr>
      <w:tr w:rsidR="00BB2793" w:rsidRPr="001F224B" w14:paraId="3DB4A84C" w14:textId="77777777" w:rsidTr="00001A93">
        <w:trPr>
          <w:trHeight w:val="290"/>
        </w:trPr>
        <w:tc>
          <w:tcPr>
            <w:tcW w:w="298" w:type="dxa"/>
            <w:tcBorders>
              <w:top w:val="nil"/>
              <w:left w:val="single" w:sz="4" w:space="0" w:color="auto"/>
              <w:bottom w:val="single" w:sz="4" w:space="0" w:color="auto"/>
              <w:right w:val="single" w:sz="4" w:space="0" w:color="auto"/>
            </w:tcBorders>
            <w:noWrap/>
            <w:vAlign w:val="bottom"/>
            <w:hideMark/>
          </w:tcPr>
          <w:p w14:paraId="32EFB683" w14:textId="77777777" w:rsidR="00BB2793" w:rsidRPr="001F224B" w:rsidRDefault="00BB2793" w:rsidP="00BB2793">
            <w:pPr>
              <w:jc w:val="center"/>
              <w:rPr>
                <w:b/>
                <w:bCs/>
                <w:color w:val="000000"/>
                <w:sz w:val="18"/>
                <w:szCs w:val="18"/>
              </w:rPr>
            </w:pPr>
            <w:r w:rsidRPr="001F224B">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3139929D" w14:textId="77777777" w:rsidR="00BB2793" w:rsidRPr="001F224B" w:rsidRDefault="00BB2793" w:rsidP="00BB2793">
            <w:pPr>
              <w:rPr>
                <w:color w:val="000000"/>
                <w:sz w:val="18"/>
                <w:szCs w:val="18"/>
              </w:rPr>
            </w:pPr>
            <w:r w:rsidRPr="001F224B">
              <w:rPr>
                <w:color w:val="000000"/>
                <w:sz w:val="18"/>
                <w:szCs w:val="18"/>
              </w:rPr>
              <w:t>(i) Riske maruz değer bileşeni (3*çarpan dahil)</w:t>
            </w:r>
          </w:p>
        </w:tc>
        <w:tc>
          <w:tcPr>
            <w:tcW w:w="2477" w:type="dxa"/>
            <w:tcBorders>
              <w:top w:val="nil"/>
              <w:left w:val="nil"/>
              <w:bottom w:val="single" w:sz="4" w:space="0" w:color="auto"/>
              <w:right w:val="single" w:sz="4" w:space="0" w:color="auto"/>
            </w:tcBorders>
            <w:vAlign w:val="bottom"/>
            <w:hideMark/>
          </w:tcPr>
          <w:p w14:paraId="08BA4E68" w14:textId="6290B79A" w:rsidR="00BB2793" w:rsidRPr="001F224B" w:rsidRDefault="00BB2793" w:rsidP="00BB2793">
            <w:pPr>
              <w:jc w:val="right"/>
              <w:rPr>
                <w:color w:val="000000"/>
                <w:sz w:val="22"/>
                <w:szCs w:val="22"/>
              </w:rPr>
            </w:pPr>
            <w:r w:rsidRPr="001F224B">
              <w:rPr>
                <w:b/>
                <w:bCs/>
                <w:color w:val="000000"/>
                <w:sz w:val="22"/>
                <w:szCs w:val="22"/>
              </w:rPr>
              <w:t> -</w:t>
            </w:r>
          </w:p>
        </w:tc>
        <w:tc>
          <w:tcPr>
            <w:tcW w:w="2298" w:type="dxa"/>
            <w:tcBorders>
              <w:top w:val="nil"/>
              <w:left w:val="nil"/>
              <w:bottom w:val="single" w:sz="4" w:space="0" w:color="auto"/>
              <w:right w:val="single" w:sz="4" w:space="0" w:color="auto"/>
            </w:tcBorders>
            <w:vAlign w:val="bottom"/>
            <w:hideMark/>
          </w:tcPr>
          <w:p w14:paraId="6E5E9630" w14:textId="10C49153" w:rsidR="00BB2793" w:rsidRPr="001F224B" w:rsidRDefault="00BB2793" w:rsidP="00BB2793">
            <w:pPr>
              <w:jc w:val="right"/>
              <w:rPr>
                <w:color w:val="000000"/>
                <w:sz w:val="22"/>
                <w:szCs w:val="22"/>
              </w:rPr>
            </w:pPr>
            <w:r w:rsidRPr="001F224B">
              <w:rPr>
                <w:b/>
                <w:bCs/>
                <w:color w:val="000000"/>
                <w:sz w:val="22"/>
                <w:szCs w:val="22"/>
              </w:rPr>
              <w:t> -</w:t>
            </w:r>
          </w:p>
        </w:tc>
      </w:tr>
      <w:tr w:rsidR="00BB2793" w:rsidRPr="001F224B" w14:paraId="03923A60" w14:textId="77777777" w:rsidTr="00001A93">
        <w:trPr>
          <w:trHeight w:val="290"/>
        </w:trPr>
        <w:tc>
          <w:tcPr>
            <w:tcW w:w="298" w:type="dxa"/>
            <w:tcBorders>
              <w:top w:val="nil"/>
              <w:left w:val="single" w:sz="4" w:space="0" w:color="auto"/>
              <w:bottom w:val="single" w:sz="4" w:space="0" w:color="auto"/>
              <w:right w:val="single" w:sz="4" w:space="0" w:color="auto"/>
            </w:tcBorders>
            <w:noWrap/>
            <w:vAlign w:val="bottom"/>
            <w:hideMark/>
          </w:tcPr>
          <w:p w14:paraId="56A944FF" w14:textId="77777777" w:rsidR="00BB2793" w:rsidRPr="001F224B" w:rsidRDefault="00BB2793" w:rsidP="00BB2793">
            <w:pPr>
              <w:jc w:val="center"/>
              <w:rPr>
                <w:b/>
                <w:bCs/>
                <w:color w:val="000000"/>
                <w:sz w:val="18"/>
                <w:szCs w:val="18"/>
              </w:rPr>
            </w:pPr>
            <w:r w:rsidRPr="001F224B">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36C8DF3A" w14:textId="77777777" w:rsidR="00BB2793" w:rsidRPr="001F224B" w:rsidRDefault="00BB2793" w:rsidP="00BB2793">
            <w:pPr>
              <w:rPr>
                <w:color w:val="000000"/>
                <w:sz w:val="18"/>
                <w:szCs w:val="18"/>
              </w:rPr>
            </w:pPr>
            <w:r w:rsidRPr="001F224B">
              <w:rPr>
                <w:color w:val="000000"/>
                <w:sz w:val="18"/>
                <w:szCs w:val="18"/>
              </w:rPr>
              <w:t>(ii) Stres riske maruz değer (3*çarpan dahil)</w:t>
            </w:r>
          </w:p>
        </w:tc>
        <w:tc>
          <w:tcPr>
            <w:tcW w:w="2477" w:type="dxa"/>
            <w:tcBorders>
              <w:top w:val="nil"/>
              <w:left w:val="nil"/>
              <w:bottom w:val="single" w:sz="4" w:space="0" w:color="auto"/>
              <w:right w:val="single" w:sz="4" w:space="0" w:color="auto"/>
            </w:tcBorders>
            <w:vAlign w:val="bottom"/>
            <w:hideMark/>
          </w:tcPr>
          <w:p w14:paraId="53287FD2" w14:textId="26152B16" w:rsidR="00BB2793" w:rsidRPr="001F224B" w:rsidRDefault="00BB2793" w:rsidP="00BB2793">
            <w:pPr>
              <w:jc w:val="right"/>
              <w:rPr>
                <w:color w:val="000000"/>
                <w:sz w:val="22"/>
                <w:szCs w:val="22"/>
              </w:rPr>
            </w:pPr>
            <w:r w:rsidRPr="001F224B">
              <w:rPr>
                <w:b/>
                <w:bCs/>
                <w:color w:val="000000"/>
                <w:sz w:val="22"/>
                <w:szCs w:val="22"/>
              </w:rPr>
              <w:t> -</w:t>
            </w:r>
          </w:p>
        </w:tc>
        <w:tc>
          <w:tcPr>
            <w:tcW w:w="2298" w:type="dxa"/>
            <w:tcBorders>
              <w:top w:val="nil"/>
              <w:left w:val="nil"/>
              <w:bottom w:val="single" w:sz="4" w:space="0" w:color="auto"/>
              <w:right w:val="single" w:sz="4" w:space="0" w:color="auto"/>
            </w:tcBorders>
            <w:vAlign w:val="bottom"/>
            <w:hideMark/>
          </w:tcPr>
          <w:p w14:paraId="53BC8DA1" w14:textId="6E7378C0" w:rsidR="00BB2793" w:rsidRPr="001F224B" w:rsidRDefault="00BB2793" w:rsidP="00BB2793">
            <w:pPr>
              <w:jc w:val="right"/>
              <w:rPr>
                <w:color w:val="000000"/>
                <w:sz w:val="22"/>
                <w:szCs w:val="22"/>
              </w:rPr>
            </w:pPr>
            <w:r w:rsidRPr="001F224B">
              <w:rPr>
                <w:b/>
                <w:bCs/>
                <w:color w:val="000000"/>
                <w:sz w:val="22"/>
                <w:szCs w:val="22"/>
              </w:rPr>
              <w:t> -</w:t>
            </w:r>
          </w:p>
        </w:tc>
      </w:tr>
      <w:tr w:rsidR="00BB2793" w:rsidRPr="001F224B" w14:paraId="560BC67A" w14:textId="77777777" w:rsidTr="00001A93">
        <w:trPr>
          <w:trHeight w:val="580"/>
        </w:trPr>
        <w:tc>
          <w:tcPr>
            <w:tcW w:w="298" w:type="dxa"/>
            <w:tcBorders>
              <w:top w:val="nil"/>
              <w:left w:val="single" w:sz="4" w:space="0" w:color="auto"/>
              <w:bottom w:val="single" w:sz="4" w:space="0" w:color="auto"/>
              <w:right w:val="single" w:sz="4" w:space="0" w:color="auto"/>
            </w:tcBorders>
            <w:noWrap/>
            <w:vAlign w:val="bottom"/>
            <w:hideMark/>
          </w:tcPr>
          <w:p w14:paraId="1BD62309" w14:textId="77777777" w:rsidR="00BB2793" w:rsidRPr="001F224B" w:rsidRDefault="00BB2793" w:rsidP="00BB2793">
            <w:pPr>
              <w:jc w:val="center"/>
              <w:rPr>
                <w:b/>
                <w:bCs/>
                <w:color w:val="000000"/>
                <w:sz w:val="18"/>
                <w:szCs w:val="18"/>
              </w:rPr>
            </w:pPr>
            <w:r w:rsidRPr="001F224B">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010ABF8E" w14:textId="77777777" w:rsidR="00BB2793" w:rsidRPr="001F224B" w:rsidRDefault="00BB2793" w:rsidP="00BB2793">
            <w:pPr>
              <w:rPr>
                <w:color w:val="000000"/>
                <w:sz w:val="18"/>
                <w:szCs w:val="18"/>
              </w:rPr>
            </w:pPr>
            <w:r w:rsidRPr="001F224B">
              <w:rPr>
                <w:color w:val="000000"/>
                <w:sz w:val="18"/>
                <w:szCs w:val="18"/>
              </w:rPr>
              <w:t>Standart yönteme göre KDA sermaye yükümlülüğüne tabi portföylerin toplam tutarı</w:t>
            </w:r>
          </w:p>
        </w:tc>
        <w:tc>
          <w:tcPr>
            <w:tcW w:w="2477" w:type="dxa"/>
            <w:tcBorders>
              <w:top w:val="nil"/>
              <w:left w:val="nil"/>
              <w:bottom w:val="single" w:sz="4" w:space="0" w:color="auto"/>
              <w:right w:val="single" w:sz="4" w:space="0" w:color="auto"/>
            </w:tcBorders>
            <w:vAlign w:val="bottom"/>
            <w:hideMark/>
          </w:tcPr>
          <w:p w14:paraId="14634F4E" w14:textId="2CAC4DAA" w:rsidR="00BB2793" w:rsidRPr="001F224B" w:rsidRDefault="00BB2793" w:rsidP="00BB2793">
            <w:pPr>
              <w:jc w:val="right"/>
              <w:rPr>
                <w:color w:val="000000"/>
                <w:sz w:val="18"/>
                <w:szCs w:val="18"/>
              </w:rPr>
            </w:pPr>
            <w:r w:rsidRPr="001F224B">
              <w:rPr>
                <w:sz w:val="18"/>
                <w:szCs w:val="18"/>
              </w:rPr>
              <w:t>379.996</w:t>
            </w:r>
          </w:p>
        </w:tc>
        <w:tc>
          <w:tcPr>
            <w:tcW w:w="2298" w:type="dxa"/>
            <w:tcBorders>
              <w:top w:val="nil"/>
              <w:left w:val="nil"/>
              <w:bottom w:val="single" w:sz="4" w:space="0" w:color="auto"/>
              <w:right w:val="single" w:sz="4" w:space="0" w:color="auto"/>
            </w:tcBorders>
            <w:vAlign w:val="bottom"/>
            <w:hideMark/>
          </w:tcPr>
          <w:p w14:paraId="40E616F7" w14:textId="5EC931B3" w:rsidR="00BB2793" w:rsidRPr="001F224B" w:rsidRDefault="00BB2793" w:rsidP="00BB2793">
            <w:pPr>
              <w:jc w:val="right"/>
              <w:rPr>
                <w:color w:val="000000"/>
                <w:sz w:val="18"/>
                <w:szCs w:val="18"/>
              </w:rPr>
            </w:pPr>
            <w:r w:rsidRPr="001F224B">
              <w:rPr>
                <w:sz w:val="18"/>
                <w:szCs w:val="18"/>
              </w:rPr>
              <w:t>79.335</w:t>
            </w:r>
          </w:p>
        </w:tc>
      </w:tr>
      <w:tr w:rsidR="00BB2793" w:rsidRPr="001F224B" w14:paraId="6B0E7552" w14:textId="77777777" w:rsidTr="00001A93">
        <w:trPr>
          <w:trHeight w:val="471"/>
        </w:trPr>
        <w:tc>
          <w:tcPr>
            <w:tcW w:w="298" w:type="dxa"/>
            <w:tcBorders>
              <w:top w:val="nil"/>
              <w:left w:val="single" w:sz="4" w:space="0" w:color="auto"/>
              <w:bottom w:val="single" w:sz="4" w:space="0" w:color="auto"/>
              <w:right w:val="single" w:sz="4" w:space="0" w:color="auto"/>
            </w:tcBorders>
            <w:noWrap/>
            <w:vAlign w:val="bottom"/>
            <w:hideMark/>
          </w:tcPr>
          <w:p w14:paraId="1CCA1615" w14:textId="77777777" w:rsidR="00BB2793" w:rsidRPr="001F224B" w:rsidRDefault="00BB2793" w:rsidP="00BB2793">
            <w:pPr>
              <w:jc w:val="center"/>
              <w:rPr>
                <w:b/>
                <w:bCs/>
                <w:color w:val="000000"/>
                <w:sz w:val="18"/>
                <w:szCs w:val="18"/>
              </w:rPr>
            </w:pPr>
            <w:r w:rsidRPr="001F224B">
              <w:rPr>
                <w:b/>
                <w:bCs/>
                <w:color w:val="000000"/>
                <w:sz w:val="18"/>
                <w:szCs w:val="18"/>
              </w:rPr>
              <w:t>4</w:t>
            </w:r>
          </w:p>
        </w:tc>
        <w:tc>
          <w:tcPr>
            <w:tcW w:w="4894" w:type="dxa"/>
            <w:tcBorders>
              <w:top w:val="nil"/>
              <w:left w:val="nil"/>
              <w:bottom w:val="single" w:sz="4" w:space="0" w:color="auto"/>
              <w:right w:val="single" w:sz="4" w:space="0" w:color="auto"/>
            </w:tcBorders>
            <w:vAlign w:val="bottom"/>
            <w:hideMark/>
          </w:tcPr>
          <w:p w14:paraId="0FBDDC5A" w14:textId="77777777" w:rsidR="00BB2793" w:rsidRPr="001F224B" w:rsidRDefault="00BB2793" w:rsidP="00BB2793">
            <w:pPr>
              <w:rPr>
                <w:color w:val="000000"/>
                <w:sz w:val="18"/>
                <w:szCs w:val="18"/>
              </w:rPr>
            </w:pPr>
            <w:r w:rsidRPr="001F224B">
              <w:rPr>
                <w:color w:val="000000"/>
                <w:sz w:val="18"/>
                <w:szCs w:val="18"/>
              </w:rPr>
              <w:t>KDA sermaye yükümlülüğüne tabi toplam tutar</w:t>
            </w:r>
          </w:p>
        </w:tc>
        <w:tc>
          <w:tcPr>
            <w:tcW w:w="2477" w:type="dxa"/>
            <w:tcBorders>
              <w:top w:val="nil"/>
              <w:left w:val="nil"/>
              <w:bottom w:val="single" w:sz="4" w:space="0" w:color="auto"/>
              <w:right w:val="single" w:sz="4" w:space="0" w:color="auto"/>
            </w:tcBorders>
            <w:vAlign w:val="bottom"/>
            <w:hideMark/>
          </w:tcPr>
          <w:p w14:paraId="01BB2F6F" w14:textId="617D5D39" w:rsidR="00BB2793" w:rsidRPr="001F224B" w:rsidRDefault="00BB2793" w:rsidP="00BB2793">
            <w:pPr>
              <w:jc w:val="right"/>
              <w:rPr>
                <w:color w:val="000000"/>
                <w:sz w:val="18"/>
                <w:szCs w:val="18"/>
              </w:rPr>
            </w:pPr>
            <w:r w:rsidRPr="001F224B">
              <w:rPr>
                <w:sz w:val="18"/>
                <w:szCs w:val="18"/>
              </w:rPr>
              <w:t>379.996</w:t>
            </w:r>
          </w:p>
        </w:tc>
        <w:tc>
          <w:tcPr>
            <w:tcW w:w="2298" w:type="dxa"/>
            <w:tcBorders>
              <w:top w:val="nil"/>
              <w:left w:val="nil"/>
              <w:bottom w:val="single" w:sz="4" w:space="0" w:color="auto"/>
              <w:right w:val="single" w:sz="4" w:space="0" w:color="auto"/>
            </w:tcBorders>
            <w:vAlign w:val="bottom"/>
            <w:hideMark/>
          </w:tcPr>
          <w:p w14:paraId="0517546C" w14:textId="1C71330A" w:rsidR="00BB2793" w:rsidRPr="001F224B" w:rsidRDefault="00BB2793" w:rsidP="00BB2793">
            <w:pPr>
              <w:jc w:val="right"/>
              <w:rPr>
                <w:color w:val="000000"/>
                <w:sz w:val="18"/>
                <w:szCs w:val="18"/>
              </w:rPr>
            </w:pPr>
            <w:r w:rsidRPr="001F224B">
              <w:rPr>
                <w:sz w:val="18"/>
                <w:szCs w:val="18"/>
              </w:rPr>
              <w:t>79.335</w:t>
            </w:r>
          </w:p>
        </w:tc>
      </w:tr>
    </w:tbl>
    <w:p w14:paraId="24B7C391" w14:textId="77777777" w:rsidR="00BB2793" w:rsidRPr="001F224B" w:rsidRDefault="00BB2793" w:rsidP="00BB2793">
      <w:pPr>
        <w:rPr>
          <w:b/>
          <w:bCs/>
          <w:sz w:val="22"/>
          <w:szCs w:val="22"/>
        </w:rPr>
      </w:pPr>
    </w:p>
    <w:p w14:paraId="461AB0AB" w14:textId="471FC29C" w:rsidR="00BB2793" w:rsidRPr="001F224B" w:rsidRDefault="00BB2793" w:rsidP="00F64EC3">
      <w:pPr>
        <w:spacing w:line="360" w:lineRule="auto"/>
        <w:rPr>
          <w:b/>
          <w:bCs/>
          <w:sz w:val="22"/>
          <w:szCs w:val="22"/>
        </w:rPr>
      </w:pPr>
    </w:p>
    <w:p w14:paraId="2879C2AD" w14:textId="622E1ED1" w:rsidR="00991E50" w:rsidRPr="001F224B" w:rsidRDefault="00991E50" w:rsidP="00F64EC3">
      <w:pPr>
        <w:spacing w:line="360" w:lineRule="auto"/>
        <w:rPr>
          <w:b/>
          <w:bCs/>
          <w:sz w:val="22"/>
          <w:szCs w:val="22"/>
        </w:rPr>
      </w:pPr>
    </w:p>
    <w:p w14:paraId="1E612C11" w14:textId="10E4507C" w:rsidR="00991E50" w:rsidRPr="001F224B" w:rsidRDefault="00991E50" w:rsidP="00F64EC3">
      <w:pPr>
        <w:spacing w:line="360" w:lineRule="auto"/>
        <w:rPr>
          <w:b/>
          <w:bCs/>
          <w:sz w:val="22"/>
          <w:szCs w:val="22"/>
        </w:rPr>
      </w:pPr>
    </w:p>
    <w:p w14:paraId="21F06364" w14:textId="1E21AB9A" w:rsidR="00991E50" w:rsidRPr="001F224B" w:rsidRDefault="00991E50" w:rsidP="00F64EC3">
      <w:pPr>
        <w:spacing w:line="360" w:lineRule="auto"/>
        <w:rPr>
          <w:b/>
          <w:bCs/>
          <w:sz w:val="22"/>
          <w:szCs w:val="22"/>
        </w:rPr>
      </w:pPr>
    </w:p>
    <w:p w14:paraId="0CC0F63C" w14:textId="61B3139E" w:rsidR="00991E50" w:rsidRPr="001F224B" w:rsidRDefault="00991E50" w:rsidP="00F64EC3">
      <w:pPr>
        <w:spacing w:line="360" w:lineRule="auto"/>
        <w:rPr>
          <w:b/>
          <w:bCs/>
          <w:sz w:val="22"/>
          <w:szCs w:val="22"/>
        </w:rPr>
      </w:pPr>
    </w:p>
    <w:p w14:paraId="2E047A9A" w14:textId="7CE0367D" w:rsidR="00991E50" w:rsidRPr="001F224B" w:rsidRDefault="00991E50" w:rsidP="00F64EC3">
      <w:pPr>
        <w:spacing w:line="360" w:lineRule="auto"/>
        <w:rPr>
          <w:b/>
          <w:bCs/>
          <w:sz w:val="22"/>
          <w:szCs w:val="22"/>
        </w:rPr>
      </w:pPr>
    </w:p>
    <w:p w14:paraId="409763BA" w14:textId="0AD9BC67" w:rsidR="00991E50" w:rsidRPr="001F224B" w:rsidRDefault="00991E50" w:rsidP="00F64EC3">
      <w:pPr>
        <w:spacing w:line="360" w:lineRule="auto"/>
        <w:rPr>
          <w:b/>
          <w:bCs/>
          <w:sz w:val="22"/>
          <w:szCs w:val="22"/>
        </w:rPr>
      </w:pPr>
    </w:p>
    <w:p w14:paraId="5E1D691F" w14:textId="2956C2D3" w:rsidR="00991E50" w:rsidRPr="001F224B" w:rsidRDefault="00991E50" w:rsidP="00F64EC3">
      <w:pPr>
        <w:spacing w:line="360" w:lineRule="auto"/>
        <w:rPr>
          <w:b/>
          <w:bCs/>
          <w:sz w:val="22"/>
          <w:szCs w:val="22"/>
        </w:rPr>
      </w:pPr>
    </w:p>
    <w:p w14:paraId="007CD619" w14:textId="502E2E76" w:rsidR="00991E50" w:rsidRPr="001F224B" w:rsidRDefault="00991E50" w:rsidP="00F64EC3">
      <w:pPr>
        <w:spacing w:line="360" w:lineRule="auto"/>
        <w:rPr>
          <w:b/>
          <w:bCs/>
          <w:sz w:val="22"/>
          <w:szCs w:val="22"/>
        </w:rPr>
      </w:pPr>
    </w:p>
    <w:p w14:paraId="16B9333F" w14:textId="59EFB6AD" w:rsidR="00991E50" w:rsidRPr="001F224B" w:rsidRDefault="00991E50" w:rsidP="00F64EC3">
      <w:pPr>
        <w:spacing w:line="360" w:lineRule="auto"/>
        <w:rPr>
          <w:b/>
          <w:bCs/>
          <w:sz w:val="22"/>
          <w:szCs w:val="22"/>
        </w:rPr>
      </w:pPr>
    </w:p>
    <w:p w14:paraId="5C3FECED" w14:textId="1B713763" w:rsidR="00991E50" w:rsidRPr="001F224B" w:rsidRDefault="00991E50" w:rsidP="00F64EC3">
      <w:pPr>
        <w:spacing w:line="360" w:lineRule="auto"/>
        <w:rPr>
          <w:b/>
          <w:bCs/>
          <w:sz w:val="22"/>
          <w:szCs w:val="22"/>
        </w:rPr>
      </w:pPr>
    </w:p>
    <w:p w14:paraId="61668B08" w14:textId="35F0A958" w:rsidR="00991E50" w:rsidRPr="001F224B" w:rsidRDefault="00991E50" w:rsidP="00F64EC3">
      <w:pPr>
        <w:spacing w:line="360" w:lineRule="auto"/>
        <w:rPr>
          <w:b/>
          <w:bCs/>
          <w:sz w:val="22"/>
          <w:szCs w:val="22"/>
        </w:rPr>
      </w:pPr>
    </w:p>
    <w:p w14:paraId="6C9D5CF9" w14:textId="6C04ABA6" w:rsidR="00991E50" w:rsidRPr="001F224B" w:rsidRDefault="00991E50" w:rsidP="00F64EC3">
      <w:pPr>
        <w:spacing w:line="360" w:lineRule="auto"/>
        <w:rPr>
          <w:b/>
          <w:bCs/>
          <w:sz w:val="22"/>
          <w:szCs w:val="22"/>
        </w:rPr>
      </w:pPr>
    </w:p>
    <w:p w14:paraId="0A39EE6D" w14:textId="6B7C8D75" w:rsidR="00991E50" w:rsidRPr="001F224B" w:rsidRDefault="00991E50" w:rsidP="00F64EC3">
      <w:pPr>
        <w:spacing w:line="360" w:lineRule="auto"/>
        <w:rPr>
          <w:b/>
          <w:bCs/>
          <w:sz w:val="22"/>
          <w:szCs w:val="22"/>
        </w:rPr>
      </w:pPr>
    </w:p>
    <w:p w14:paraId="244BB4BF" w14:textId="0761C4F4" w:rsidR="00991E50" w:rsidRPr="001F224B" w:rsidRDefault="00991E50" w:rsidP="00F64EC3">
      <w:pPr>
        <w:spacing w:line="360" w:lineRule="auto"/>
        <w:rPr>
          <w:b/>
          <w:bCs/>
          <w:sz w:val="22"/>
          <w:szCs w:val="22"/>
        </w:rPr>
      </w:pPr>
    </w:p>
    <w:p w14:paraId="01270CD8" w14:textId="77777777" w:rsidR="00991E50" w:rsidRPr="001F224B" w:rsidRDefault="00991E50" w:rsidP="00991E50">
      <w:pPr>
        <w:pStyle w:val="ListParagraph"/>
        <w:tabs>
          <w:tab w:val="left" w:pos="0"/>
        </w:tabs>
        <w:spacing w:before="120"/>
        <w:ind w:left="0"/>
        <w:rPr>
          <w:b/>
          <w:bCs/>
          <w:sz w:val="22"/>
          <w:szCs w:val="22"/>
        </w:rPr>
      </w:pPr>
      <w:r w:rsidRPr="001F224B">
        <w:rPr>
          <w:b/>
          <w:bCs/>
          <w:sz w:val="22"/>
          <w:szCs w:val="22"/>
        </w:rPr>
        <w:t>DÖRDÜNCÜ BÖLÜM (Devamı)</w:t>
      </w:r>
    </w:p>
    <w:p w14:paraId="52245C09" w14:textId="77777777" w:rsidR="00991E50" w:rsidRPr="001F224B" w:rsidRDefault="00991E50" w:rsidP="00991E50">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57EBAD7F" w14:textId="77777777" w:rsidR="00991E50" w:rsidRPr="001F224B" w:rsidRDefault="00991E50" w:rsidP="00991E50">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076BB97B" w14:textId="77777777" w:rsidR="00991E50" w:rsidRPr="001F224B" w:rsidRDefault="00991E50" w:rsidP="00991E50">
      <w:pPr>
        <w:spacing w:after="240"/>
        <w:jc w:val="both"/>
        <w:rPr>
          <w:b/>
          <w:sz w:val="22"/>
          <w:szCs w:val="22"/>
          <w:lang w:eastAsia="x-none"/>
        </w:rPr>
      </w:pPr>
      <w:r w:rsidRPr="001F224B">
        <w:rPr>
          <w:b/>
          <w:sz w:val="22"/>
          <w:szCs w:val="22"/>
          <w:lang w:eastAsia="x-none"/>
        </w:rPr>
        <w:t>8. Standart yaklaşım - Risk sınıfları ve risk ağırlıklarına göre karşı taraf kredi riski:</w:t>
      </w:r>
    </w:p>
    <w:tbl>
      <w:tblPr>
        <w:tblW w:w="96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991E50" w:rsidRPr="001F224B" w14:paraId="0AE1BF58" w14:textId="77777777" w:rsidTr="00001A93">
        <w:trPr>
          <w:trHeight w:val="311"/>
        </w:trPr>
        <w:tc>
          <w:tcPr>
            <w:tcW w:w="2405" w:type="dxa"/>
            <w:shd w:val="clear" w:color="auto" w:fill="auto"/>
            <w:noWrap/>
            <w:vAlign w:val="bottom"/>
            <w:hideMark/>
          </w:tcPr>
          <w:p w14:paraId="4AB75D14" w14:textId="77777777" w:rsidR="00991E50" w:rsidRPr="001F224B" w:rsidRDefault="00991E50" w:rsidP="00001A93">
            <w:pPr>
              <w:ind w:left="71" w:hanging="71"/>
              <w:jc w:val="center"/>
              <w:rPr>
                <w:b/>
                <w:color w:val="000000"/>
                <w:sz w:val="20"/>
                <w:szCs w:val="20"/>
              </w:rPr>
            </w:pPr>
            <w:r w:rsidRPr="001F224B">
              <w:rPr>
                <w:b/>
                <w:color w:val="000000"/>
                <w:sz w:val="20"/>
                <w:szCs w:val="20"/>
              </w:rPr>
              <w:t>Cari Dönem</w:t>
            </w:r>
          </w:p>
          <w:p w14:paraId="777AA759" w14:textId="7A91B80A" w:rsidR="00991E50" w:rsidRPr="001F224B" w:rsidRDefault="00991E50" w:rsidP="00001A93">
            <w:pPr>
              <w:jc w:val="center"/>
              <w:rPr>
                <w:b/>
                <w:color w:val="000000"/>
                <w:sz w:val="20"/>
                <w:szCs w:val="20"/>
              </w:rPr>
            </w:pPr>
            <w:r w:rsidRPr="001F224B">
              <w:rPr>
                <w:b/>
                <w:color w:val="000000"/>
                <w:sz w:val="20"/>
                <w:szCs w:val="20"/>
              </w:rPr>
              <w:t>(30.06.2025)</w:t>
            </w:r>
          </w:p>
        </w:tc>
        <w:tc>
          <w:tcPr>
            <w:tcW w:w="803" w:type="dxa"/>
            <w:shd w:val="clear" w:color="auto" w:fill="auto"/>
            <w:noWrap/>
            <w:vAlign w:val="bottom"/>
          </w:tcPr>
          <w:p w14:paraId="3772EE6E"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4F31B76B" w14:textId="77777777" w:rsidR="00991E50" w:rsidRPr="001F224B" w:rsidRDefault="00991E50" w:rsidP="00001A93">
            <w:pPr>
              <w:jc w:val="center"/>
              <w:rPr>
                <w:color w:val="000000"/>
                <w:sz w:val="18"/>
                <w:szCs w:val="18"/>
              </w:rPr>
            </w:pPr>
          </w:p>
        </w:tc>
        <w:tc>
          <w:tcPr>
            <w:tcW w:w="804" w:type="dxa"/>
          </w:tcPr>
          <w:p w14:paraId="41566C52"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2B866792"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5E402773" w14:textId="77777777" w:rsidR="00991E50" w:rsidRPr="001F224B" w:rsidRDefault="00991E50" w:rsidP="00001A93">
            <w:pPr>
              <w:jc w:val="center"/>
              <w:rPr>
                <w:color w:val="000000"/>
                <w:sz w:val="18"/>
                <w:szCs w:val="18"/>
              </w:rPr>
            </w:pPr>
          </w:p>
        </w:tc>
        <w:tc>
          <w:tcPr>
            <w:tcW w:w="804" w:type="dxa"/>
            <w:shd w:val="clear" w:color="auto" w:fill="auto"/>
            <w:noWrap/>
            <w:vAlign w:val="bottom"/>
          </w:tcPr>
          <w:p w14:paraId="5E3657B1"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65CF173C"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54BB5540" w14:textId="77777777" w:rsidR="00991E50" w:rsidRPr="001F224B" w:rsidRDefault="00991E50" w:rsidP="00001A93">
            <w:pPr>
              <w:jc w:val="center"/>
              <w:rPr>
                <w:color w:val="000000"/>
                <w:sz w:val="18"/>
                <w:szCs w:val="18"/>
              </w:rPr>
            </w:pPr>
          </w:p>
        </w:tc>
        <w:tc>
          <w:tcPr>
            <w:tcW w:w="804" w:type="dxa"/>
            <w:shd w:val="clear" w:color="auto" w:fill="auto"/>
            <w:noWrap/>
            <w:vAlign w:val="bottom"/>
          </w:tcPr>
          <w:p w14:paraId="31C26D24" w14:textId="77777777" w:rsidR="00991E50" w:rsidRPr="001F224B" w:rsidRDefault="00991E50" w:rsidP="00001A93">
            <w:pPr>
              <w:jc w:val="center"/>
              <w:rPr>
                <w:color w:val="000000"/>
                <w:sz w:val="18"/>
                <w:szCs w:val="18"/>
              </w:rPr>
            </w:pPr>
          </w:p>
        </w:tc>
      </w:tr>
      <w:tr w:rsidR="00991E50" w:rsidRPr="001F224B" w14:paraId="1C5958E0" w14:textId="77777777" w:rsidTr="00001A93">
        <w:trPr>
          <w:trHeight w:val="623"/>
        </w:trPr>
        <w:tc>
          <w:tcPr>
            <w:tcW w:w="2405" w:type="dxa"/>
            <w:shd w:val="clear" w:color="auto" w:fill="auto"/>
            <w:vAlign w:val="bottom"/>
            <w:hideMark/>
          </w:tcPr>
          <w:p w14:paraId="11764E77" w14:textId="77777777" w:rsidR="00991E50" w:rsidRPr="001F224B" w:rsidRDefault="00991E50" w:rsidP="00001A93">
            <w:pPr>
              <w:rPr>
                <w:color w:val="000000"/>
                <w:sz w:val="18"/>
                <w:szCs w:val="18"/>
              </w:rPr>
            </w:pPr>
            <w:r w:rsidRPr="001F224B">
              <w:rPr>
                <w:color w:val="000000"/>
                <w:sz w:val="18"/>
                <w:szCs w:val="18"/>
              </w:rPr>
              <w:t xml:space="preserve">Risk ağırlıkları/ </w:t>
            </w:r>
            <w:r w:rsidRPr="001F224B">
              <w:rPr>
                <w:color w:val="000000"/>
                <w:sz w:val="18"/>
                <w:szCs w:val="18"/>
              </w:rPr>
              <w:br/>
              <w:t>Risk sınıfları</w:t>
            </w:r>
          </w:p>
        </w:tc>
        <w:tc>
          <w:tcPr>
            <w:tcW w:w="803" w:type="dxa"/>
            <w:shd w:val="clear" w:color="auto" w:fill="auto"/>
            <w:noWrap/>
            <w:vAlign w:val="bottom"/>
            <w:hideMark/>
          </w:tcPr>
          <w:p w14:paraId="02ACE741" w14:textId="77777777" w:rsidR="00991E50" w:rsidRPr="001F224B" w:rsidRDefault="00991E50" w:rsidP="00001A93">
            <w:pPr>
              <w:jc w:val="center"/>
              <w:rPr>
                <w:color w:val="000000"/>
                <w:sz w:val="18"/>
                <w:szCs w:val="18"/>
              </w:rPr>
            </w:pPr>
            <w:r w:rsidRPr="001F224B">
              <w:rPr>
                <w:color w:val="000000"/>
                <w:sz w:val="18"/>
                <w:szCs w:val="18"/>
              </w:rPr>
              <w:t>%0</w:t>
            </w:r>
          </w:p>
        </w:tc>
        <w:tc>
          <w:tcPr>
            <w:tcW w:w="803" w:type="dxa"/>
            <w:shd w:val="clear" w:color="auto" w:fill="auto"/>
            <w:noWrap/>
            <w:vAlign w:val="bottom"/>
            <w:hideMark/>
          </w:tcPr>
          <w:p w14:paraId="3E3048AF" w14:textId="77777777" w:rsidR="00991E50" w:rsidRPr="001F224B" w:rsidRDefault="00991E50" w:rsidP="00001A93">
            <w:pPr>
              <w:jc w:val="center"/>
              <w:rPr>
                <w:color w:val="000000"/>
                <w:sz w:val="18"/>
                <w:szCs w:val="18"/>
              </w:rPr>
            </w:pPr>
            <w:r w:rsidRPr="001F224B">
              <w:rPr>
                <w:color w:val="000000"/>
                <w:sz w:val="18"/>
                <w:szCs w:val="18"/>
              </w:rPr>
              <w:t>%10</w:t>
            </w:r>
          </w:p>
        </w:tc>
        <w:tc>
          <w:tcPr>
            <w:tcW w:w="804" w:type="dxa"/>
            <w:vAlign w:val="bottom"/>
          </w:tcPr>
          <w:p w14:paraId="5D613186" w14:textId="77777777" w:rsidR="00991E50" w:rsidRPr="001F224B" w:rsidRDefault="00991E50" w:rsidP="00001A93">
            <w:pPr>
              <w:jc w:val="center"/>
              <w:rPr>
                <w:color w:val="000000"/>
                <w:sz w:val="18"/>
                <w:szCs w:val="18"/>
              </w:rPr>
            </w:pPr>
            <w:r w:rsidRPr="001F224B">
              <w:rPr>
                <w:color w:val="000000"/>
                <w:sz w:val="18"/>
                <w:szCs w:val="18"/>
              </w:rPr>
              <w:t>%20</w:t>
            </w:r>
          </w:p>
        </w:tc>
        <w:tc>
          <w:tcPr>
            <w:tcW w:w="803" w:type="dxa"/>
            <w:shd w:val="clear" w:color="auto" w:fill="auto"/>
            <w:noWrap/>
            <w:vAlign w:val="bottom"/>
            <w:hideMark/>
          </w:tcPr>
          <w:p w14:paraId="74B5CB40" w14:textId="77777777" w:rsidR="00991E50" w:rsidRPr="001F224B" w:rsidRDefault="00991E50" w:rsidP="00001A93">
            <w:pPr>
              <w:jc w:val="center"/>
              <w:rPr>
                <w:color w:val="000000"/>
                <w:sz w:val="18"/>
                <w:szCs w:val="18"/>
              </w:rPr>
            </w:pPr>
            <w:r w:rsidRPr="001F224B">
              <w:rPr>
                <w:color w:val="000000"/>
                <w:sz w:val="18"/>
                <w:szCs w:val="18"/>
              </w:rPr>
              <w:t>%50</w:t>
            </w:r>
          </w:p>
        </w:tc>
        <w:tc>
          <w:tcPr>
            <w:tcW w:w="803" w:type="dxa"/>
            <w:shd w:val="clear" w:color="auto" w:fill="auto"/>
            <w:noWrap/>
            <w:vAlign w:val="bottom"/>
            <w:hideMark/>
          </w:tcPr>
          <w:p w14:paraId="7D4353D4" w14:textId="77777777" w:rsidR="00991E50" w:rsidRPr="001F224B" w:rsidRDefault="00991E50" w:rsidP="00001A93">
            <w:pPr>
              <w:jc w:val="center"/>
              <w:rPr>
                <w:color w:val="000000"/>
                <w:sz w:val="18"/>
                <w:szCs w:val="18"/>
              </w:rPr>
            </w:pPr>
            <w:r w:rsidRPr="001F224B">
              <w:rPr>
                <w:color w:val="000000"/>
                <w:sz w:val="18"/>
                <w:szCs w:val="18"/>
              </w:rPr>
              <w:t>%75</w:t>
            </w:r>
          </w:p>
        </w:tc>
        <w:tc>
          <w:tcPr>
            <w:tcW w:w="804" w:type="dxa"/>
            <w:shd w:val="clear" w:color="auto" w:fill="auto"/>
            <w:noWrap/>
            <w:vAlign w:val="bottom"/>
            <w:hideMark/>
          </w:tcPr>
          <w:p w14:paraId="1AF3D657" w14:textId="77777777" w:rsidR="00991E50" w:rsidRPr="001F224B" w:rsidRDefault="00991E50" w:rsidP="00001A93">
            <w:pPr>
              <w:jc w:val="center"/>
              <w:rPr>
                <w:color w:val="000000"/>
                <w:sz w:val="18"/>
                <w:szCs w:val="18"/>
              </w:rPr>
            </w:pPr>
            <w:r w:rsidRPr="001F224B">
              <w:rPr>
                <w:color w:val="000000"/>
                <w:sz w:val="18"/>
                <w:szCs w:val="18"/>
              </w:rPr>
              <w:t>%100</w:t>
            </w:r>
          </w:p>
        </w:tc>
        <w:tc>
          <w:tcPr>
            <w:tcW w:w="803" w:type="dxa"/>
            <w:shd w:val="clear" w:color="auto" w:fill="auto"/>
            <w:noWrap/>
            <w:vAlign w:val="bottom"/>
            <w:hideMark/>
          </w:tcPr>
          <w:p w14:paraId="177297DB" w14:textId="77777777" w:rsidR="00991E50" w:rsidRPr="001F224B" w:rsidRDefault="00991E50" w:rsidP="00001A93">
            <w:pPr>
              <w:jc w:val="center"/>
              <w:rPr>
                <w:color w:val="000000"/>
                <w:sz w:val="18"/>
                <w:szCs w:val="18"/>
              </w:rPr>
            </w:pPr>
            <w:r w:rsidRPr="001F224B">
              <w:rPr>
                <w:color w:val="000000"/>
                <w:sz w:val="18"/>
                <w:szCs w:val="18"/>
              </w:rPr>
              <w:t>%150</w:t>
            </w:r>
          </w:p>
        </w:tc>
        <w:tc>
          <w:tcPr>
            <w:tcW w:w="803" w:type="dxa"/>
            <w:shd w:val="clear" w:color="auto" w:fill="auto"/>
            <w:noWrap/>
            <w:vAlign w:val="bottom"/>
            <w:hideMark/>
          </w:tcPr>
          <w:p w14:paraId="223874A4" w14:textId="77777777" w:rsidR="00991E50" w:rsidRPr="001F224B" w:rsidRDefault="00991E50" w:rsidP="00001A93">
            <w:pPr>
              <w:jc w:val="center"/>
              <w:rPr>
                <w:color w:val="000000"/>
                <w:sz w:val="18"/>
                <w:szCs w:val="18"/>
              </w:rPr>
            </w:pPr>
            <w:r w:rsidRPr="001F224B">
              <w:rPr>
                <w:color w:val="000000"/>
                <w:sz w:val="18"/>
                <w:szCs w:val="18"/>
              </w:rPr>
              <w:t>Diğer</w:t>
            </w:r>
          </w:p>
        </w:tc>
        <w:tc>
          <w:tcPr>
            <w:tcW w:w="804" w:type="dxa"/>
            <w:shd w:val="clear" w:color="auto" w:fill="auto"/>
            <w:vAlign w:val="bottom"/>
            <w:hideMark/>
          </w:tcPr>
          <w:p w14:paraId="6ADF8760" w14:textId="77777777" w:rsidR="00991E50" w:rsidRPr="001F224B" w:rsidRDefault="00991E50" w:rsidP="00001A93">
            <w:pPr>
              <w:jc w:val="center"/>
              <w:rPr>
                <w:color w:val="000000"/>
                <w:sz w:val="18"/>
                <w:szCs w:val="18"/>
              </w:rPr>
            </w:pPr>
            <w:r w:rsidRPr="001F224B">
              <w:rPr>
                <w:color w:val="000000"/>
                <w:sz w:val="18"/>
                <w:szCs w:val="18"/>
              </w:rPr>
              <w:t>Toplam kredi riski</w:t>
            </w:r>
            <w:r w:rsidRPr="001F224B">
              <w:rPr>
                <w:color w:val="000000"/>
                <w:sz w:val="18"/>
                <w:szCs w:val="18"/>
                <w:vertAlign w:val="superscript"/>
              </w:rPr>
              <w:t>(*)</w:t>
            </w:r>
          </w:p>
        </w:tc>
      </w:tr>
      <w:tr w:rsidR="00747969" w:rsidRPr="001F224B" w14:paraId="7896D8EE" w14:textId="77777777" w:rsidTr="00001A93">
        <w:trPr>
          <w:trHeight w:val="675"/>
        </w:trPr>
        <w:tc>
          <w:tcPr>
            <w:tcW w:w="2405" w:type="dxa"/>
            <w:shd w:val="clear" w:color="auto" w:fill="auto"/>
            <w:vAlign w:val="bottom"/>
            <w:hideMark/>
          </w:tcPr>
          <w:p w14:paraId="2AB34B8A" w14:textId="77777777" w:rsidR="00747969" w:rsidRPr="001F224B" w:rsidRDefault="00747969" w:rsidP="00747969">
            <w:pPr>
              <w:rPr>
                <w:color w:val="000000"/>
                <w:sz w:val="18"/>
                <w:szCs w:val="18"/>
              </w:rPr>
            </w:pPr>
            <w:r w:rsidRPr="001F224B">
              <w:rPr>
                <w:color w:val="000000"/>
                <w:sz w:val="18"/>
                <w:szCs w:val="18"/>
              </w:rPr>
              <w:t>Merkezi yönetimlerden ve merkez bankalarından alacaklar</w:t>
            </w:r>
          </w:p>
        </w:tc>
        <w:tc>
          <w:tcPr>
            <w:tcW w:w="803" w:type="dxa"/>
            <w:shd w:val="clear" w:color="auto" w:fill="auto"/>
            <w:noWrap/>
            <w:vAlign w:val="bottom"/>
            <w:hideMark/>
          </w:tcPr>
          <w:p w14:paraId="4B389E7A" w14:textId="77777777" w:rsidR="00747969" w:rsidRPr="001F224B" w:rsidRDefault="00747969" w:rsidP="00747969">
            <w:pPr>
              <w:ind w:left="-155" w:right="-78"/>
              <w:jc w:val="right"/>
              <w:rPr>
                <w:vanish/>
                <w:color w:val="000000"/>
                <w:sz w:val="18"/>
                <w:szCs w:val="18"/>
                <w:specVanish/>
              </w:rPr>
            </w:pPr>
            <w:r w:rsidRPr="001F224B">
              <w:rPr>
                <w:color w:val="000000"/>
                <w:sz w:val="18"/>
                <w:szCs w:val="18"/>
              </w:rPr>
              <w:t>115.178</w:t>
            </w:r>
          </w:p>
          <w:p w14:paraId="3B65AF85" w14:textId="5DBA32B8" w:rsidR="00747969" w:rsidRPr="001F224B" w:rsidRDefault="00747969" w:rsidP="00747969">
            <w:pPr>
              <w:jc w:val="right"/>
              <w:rPr>
                <w:color w:val="000000"/>
                <w:sz w:val="18"/>
                <w:szCs w:val="18"/>
              </w:rPr>
            </w:pPr>
          </w:p>
        </w:tc>
        <w:tc>
          <w:tcPr>
            <w:tcW w:w="803" w:type="dxa"/>
            <w:shd w:val="clear" w:color="auto" w:fill="auto"/>
            <w:noWrap/>
            <w:vAlign w:val="bottom"/>
          </w:tcPr>
          <w:p w14:paraId="470B589C" w14:textId="50AE13E8"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1953239A" w14:textId="14DF3AF3" w:rsidR="00747969" w:rsidRPr="001F224B" w:rsidRDefault="00747969" w:rsidP="00747969">
            <w:pPr>
              <w:jc w:val="right"/>
              <w:rPr>
                <w:sz w:val="18"/>
                <w:szCs w:val="18"/>
              </w:rPr>
            </w:pPr>
            <w:r w:rsidRPr="001F224B">
              <w:rPr>
                <w:sz w:val="18"/>
                <w:szCs w:val="18"/>
              </w:rPr>
              <w:t>-</w:t>
            </w:r>
          </w:p>
        </w:tc>
        <w:tc>
          <w:tcPr>
            <w:tcW w:w="803" w:type="dxa"/>
            <w:shd w:val="clear" w:color="auto" w:fill="auto"/>
            <w:noWrap/>
            <w:vAlign w:val="bottom"/>
            <w:hideMark/>
          </w:tcPr>
          <w:p w14:paraId="25899700" w14:textId="3C20FF66"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2A729C7D" w14:textId="75598B74"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9EA37D0" w14:textId="6BA55E66" w:rsidR="00747969" w:rsidRPr="001F224B" w:rsidRDefault="00747969" w:rsidP="00747969">
            <w:pPr>
              <w:ind w:left="172" w:right="-357"/>
              <w:rPr>
                <w:color w:val="000000"/>
                <w:sz w:val="18"/>
                <w:szCs w:val="18"/>
              </w:rPr>
            </w:pPr>
            <w:r w:rsidRPr="001F224B">
              <w:rPr>
                <w:color w:val="000000"/>
                <w:sz w:val="18"/>
                <w:szCs w:val="18"/>
              </w:rPr>
              <w:t>-</w:t>
            </w:r>
          </w:p>
        </w:tc>
        <w:tc>
          <w:tcPr>
            <w:tcW w:w="803" w:type="dxa"/>
            <w:shd w:val="clear" w:color="auto" w:fill="auto"/>
            <w:noWrap/>
            <w:vAlign w:val="bottom"/>
            <w:hideMark/>
          </w:tcPr>
          <w:p w14:paraId="796BD637" w14:textId="649B26DB"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905E9E7" w14:textId="29357EB7"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44AF086" w14:textId="77777777" w:rsidR="00747969" w:rsidRPr="001F224B" w:rsidRDefault="00747969" w:rsidP="00747969">
            <w:pPr>
              <w:ind w:left="-155" w:right="-78"/>
              <w:jc w:val="right"/>
              <w:rPr>
                <w:color w:val="000000"/>
                <w:sz w:val="18"/>
                <w:szCs w:val="18"/>
              </w:rPr>
            </w:pPr>
            <w:r w:rsidRPr="001F224B">
              <w:rPr>
                <w:color w:val="000000"/>
                <w:sz w:val="18"/>
                <w:szCs w:val="18"/>
              </w:rPr>
              <w:t>-</w:t>
            </w:r>
          </w:p>
          <w:p w14:paraId="7DAD3352" w14:textId="77777777" w:rsidR="00747969" w:rsidRPr="001F224B" w:rsidRDefault="00747969" w:rsidP="00747969">
            <w:pPr>
              <w:ind w:left="-155" w:right="-78"/>
              <w:jc w:val="center"/>
              <w:rPr>
                <w:color w:val="000000"/>
                <w:sz w:val="18"/>
                <w:szCs w:val="18"/>
              </w:rPr>
            </w:pPr>
          </w:p>
        </w:tc>
      </w:tr>
      <w:tr w:rsidR="00747969" w:rsidRPr="001F224B" w14:paraId="70381353" w14:textId="77777777" w:rsidTr="00001A93">
        <w:trPr>
          <w:trHeight w:val="516"/>
        </w:trPr>
        <w:tc>
          <w:tcPr>
            <w:tcW w:w="2405" w:type="dxa"/>
            <w:shd w:val="clear" w:color="auto" w:fill="auto"/>
            <w:vAlign w:val="bottom"/>
            <w:hideMark/>
          </w:tcPr>
          <w:p w14:paraId="4E0D2450" w14:textId="77777777" w:rsidR="00747969" w:rsidRPr="001F224B" w:rsidRDefault="00747969" w:rsidP="00747969">
            <w:pPr>
              <w:rPr>
                <w:color w:val="000000"/>
                <w:sz w:val="18"/>
                <w:szCs w:val="18"/>
              </w:rPr>
            </w:pPr>
            <w:r w:rsidRPr="001F224B">
              <w:rPr>
                <w:color w:val="000000"/>
                <w:sz w:val="18"/>
                <w:szCs w:val="18"/>
              </w:rPr>
              <w:t>Bölgesel veya yerel yönetimlerden alacaklar</w:t>
            </w:r>
          </w:p>
        </w:tc>
        <w:tc>
          <w:tcPr>
            <w:tcW w:w="803" w:type="dxa"/>
            <w:shd w:val="clear" w:color="auto" w:fill="auto"/>
            <w:noWrap/>
            <w:vAlign w:val="bottom"/>
            <w:hideMark/>
          </w:tcPr>
          <w:p w14:paraId="6936E2A8" w14:textId="17FC4DD3"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79A23FD0" w14:textId="1BB63DC0"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60770745" w14:textId="70B162F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515ED3E2" w14:textId="5B83AD13"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DF35B92" w14:textId="69A99B14"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3C0CBB0B" w14:textId="2184CD3A"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4F706804" w14:textId="6FDB6454"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2653452F" w14:textId="26187A40"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6391ECD8" w14:textId="45645C44"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66AD111E" w14:textId="77777777" w:rsidTr="00001A93">
        <w:trPr>
          <w:trHeight w:val="311"/>
        </w:trPr>
        <w:tc>
          <w:tcPr>
            <w:tcW w:w="2405" w:type="dxa"/>
            <w:shd w:val="clear" w:color="auto" w:fill="auto"/>
            <w:vAlign w:val="bottom"/>
            <w:hideMark/>
          </w:tcPr>
          <w:p w14:paraId="324A56D5" w14:textId="77777777" w:rsidR="00747969" w:rsidRPr="001F224B" w:rsidRDefault="00747969" w:rsidP="00747969">
            <w:pPr>
              <w:rPr>
                <w:color w:val="000000"/>
                <w:sz w:val="18"/>
                <w:szCs w:val="18"/>
              </w:rPr>
            </w:pPr>
            <w:r w:rsidRPr="001F224B">
              <w:rPr>
                <w:color w:val="000000"/>
                <w:sz w:val="18"/>
                <w:szCs w:val="18"/>
              </w:rPr>
              <w:t>İdari birimlerden ve ticari olmayan girişimlerden alacaklar</w:t>
            </w:r>
          </w:p>
        </w:tc>
        <w:tc>
          <w:tcPr>
            <w:tcW w:w="803" w:type="dxa"/>
            <w:shd w:val="clear" w:color="auto" w:fill="auto"/>
            <w:noWrap/>
            <w:vAlign w:val="bottom"/>
            <w:hideMark/>
          </w:tcPr>
          <w:p w14:paraId="68F1F0A2" w14:textId="13617EF1"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24A96D17" w14:textId="6FAC4A57"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12CAD6F6" w14:textId="65C5AE0E"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AA55969" w14:textId="53A5F8BA"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463D3E9" w14:textId="40A04802"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4C53F0E" w14:textId="2D3D65F8"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1E10B269" w14:textId="1C8D46C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1993413" w14:textId="1F60DBDD"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6D6F6CC7" w14:textId="56473432"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25793C3D" w14:textId="77777777" w:rsidTr="00001A93">
        <w:trPr>
          <w:trHeight w:val="311"/>
        </w:trPr>
        <w:tc>
          <w:tcPr>
            <w:tcW w:w="2405" w:type="dxa"/>
            <w:shd w:val="clear" w:color="auto" w:fill="auto"/>
            <w:vAlign w:val="bottom"/>
            <w:hideMark/>
          </w:tcPr>
          <w:p w14:paraId="187696D3" w14:textId="77777777" w:rsidR="00747969" w:rsidRPr="001F224B" w:rsidRDefault="00747969" w:rsidP="00747969">
            <w:pPr>
              <w:rPr>
                <w:color w:val="000000"/>
                <w:sz w:val="18"/>
                <w:szCs w:val="18"/>
              </w:rPr>
            </w:pPr>
            <w:r w:rsidRPr="001F224B">
              <w:rPr>
                <w:color w:val="000000"/>
                <w:sz w:val="18"/>
                <w:szCs w:val="18"/>
              </w:rPr>
              <w:t>Çok taraflı kalkınma bankalarından alacaklar</w:t>
            </w:r>
          </w:p>
        </w:tc>
        <w:tc>
          <w:tcPr>
            <w:tcW w:w="803" w:type="dxa"/>
            <w:shd w:val="clear" w:color="auto" w:fill="auto"/>
            <w:noWrap/>
            <w:vAlign w:val="bottom"/>
            <w:hideMark/>
          </w:tcPr>
          <w:p w14:paraId="1884D7D9" w14:textId="110F0C93"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3B596657" w14:textId="1387823D"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6FB7EE85" w14:textId="1256FE1C"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E465920" w14:textId="13E0D391"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BD627B8" w14:textId="17FE81CA"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11BEAADE" w14:textId="585C0B8E"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5AADC536" w14:textId="11FD7990"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57739C28" w14:textId="19F73B3A"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93A87D2" w14:textId="0CDBBA00"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48F614EA" w14:textId="77777777" w:rsidTr="00001A93">
        <w:trPr>
          <w:trHeight w:val="311"/>
        </w:trPr>
        <w:tc>
          <w:tcPr>
            <w:tcW w:w="2405" w:type="dxa"/>
            <w:shd w:val="clear" w:color="auto" w:fill="auto"/>
            <w:vAlign w:val="bottom"/>
            <w:hideMark/>
          </w:tcPr>
          <w:p w14:paraId="3708A56F" w14:textId="77777777" w:rsidR="00747969" w:rsidRPr="001F224B" w:rsidRDefault="00747969" w:rsidP="00747969">
            <w:pPr>
              <w:rPr>
                <w:color w:val="000000"/>
                <w:sz w:val="18"/>
                <w:szCs w:val="18"/>
              </w:rPr>
            </w:pPr>
            <w:r w:rsidRPr="001F224B">
              <w:rPr>
                <w:color w:val="000000"/>
                <w:sz w:val="18"/>
                <w:szCs w:val="18"/>
              </w:rPr>
              <w:t>Uluslararası teşkilatlardan alacaklar</w:t>
            </w:r>
          </w:p>
        </w:tc>
        <w:tc>
          <w:tcPr>
            <w:tcW w:w="803" w:type="dxa"/>
            <w:shd w:val="clear" w:color="auto" w:fill="auto"/>
            <w:noWrap/>
            <w:vAlign w:val="bottom"/>
            <w:hideMark/>
          </w:tcPr>
          <w:p w14:paraId="61BF72C8" w14:textId="6A36133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08A34C3C" w14:textId="75448C4A"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7BB04AA6" w14:textId="26ECF5D0"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52CACA1" w14:textId="4B083A28"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DE76CBD" w14:textId="7DEC5FF5"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24356BF" w14:textId="1F91CECC"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C6386D2" w14:textId="06C11A2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4138114A" w14:textId="59527727"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1EFC1D20" w14:textId="0348BE21"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3E460B49" w14:textId="77777777" w:rsidTr="00001A93">
        <w:trPr>
          <w:trHeight w:val="311"/>
        </w:trPr>
        <w:tc>
          <w:tcPr>
            <w:tcW w:w="2405" w:type="dxa"/>
            <w:shd w:val="clear" w:color="auto" w:fill="auto"/>
            <w:vAlign w:val="bottom"/>
            <w:hideMark/>
          </w:tcPr>
          <w:p w14:paraId="238D2901" w14:textId="77777777" w:rsidR="00747969" w:rsidRPr="001F224B" w:rsidRDefault="00747969" w:rsidP="00747969">
            <w:pPr>
              <w:rPr>
                <w:color w:val="000000"/>
                <w:sz w:val="18"/>
                <w:szCs w:val="18"/>
              </w:rPr>
            </w:pPr>
            <w:r w:rsidRPr="001F224B">
              <w:rPr>
                <w:color w:val="000000"/>
                <w:sz w:val="18"/>
                <w:szCs w:val="18"/>
              </w:rPr>
              <w:t>Bankalar ve aracı kurumlardan alacaklar</w:t>
            </w:r>
          </w:p>
        </w:tc>
        <w:tc>
          <w:tcPr>
            <w:tcW w:w="803" w:type="dxa"/>
            <w:shd w:val="clear" w:color="auto" w:fill="auto"/>
            <w:noWrap/>
            <w:vAlign w:val="bottom"/>
            <w:hideMark/>
          </w:tcPr>
          <w:p w14:paraId="796AD697" w14:textId="16F6221A"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12B746C9" w14:textId="032AB906"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1C233E1A" w14:textId="00042AB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0F121DF3" w14:textId="3C09BAB6"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4513B716" w14:textId="03262EC5"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tcPr>
          <w:p w14:paraId="37CE560D" w14:textId="77777777" w:rsidR="00747969" w:rsidRPr="001F224B" w:rsidRDefault="00747969" w:rsidP="00747969">
            <w:pPr>
              <w:jc w:val="right"/>
              <w:rPr>
                <w:vanish/>
                <w:color w:val="000000"/>
                <w:sz w:val="18"/>
                <w:szCs w:val="18"/>
                <w:specVanish/>
              </w:rPr>
            </w:pPr>
            <w:r w:rsidRPr="001F224B">
              <w:rPr>
                <w:color w:val="000000"/>
                <w:sz w:val="18"/>
                <w:szCs w:val="18"/>
              </w:rPr>
              <w:t>450.645</w:t>
            </w:r>
          </w:p>
          <w:p w14:paraId="2063AF98" w14:textId="6ADCE872" w:rsidR="00747969" w:rsidRPr="001F224B" w:rsidRDefault="00747969" w:rsidP="00747969">
            <w:pPr>
              <w:jc w:val="right"/>
              <w:rPr>
                <w:color w:val="000000"/>
                <w:sz w:val="18"/>
                <w:szCs w:val="18"/>
              </w:rPr>
            </w:pPr>
          </w:p>
        </w:tc>
        <w:tc>
          <w:tcPr>
            <w:tcW w:w="803" w:type="dxa"/>
            <w:shd w:val="clear" w:color="auto" w:fill="auto"/>
            <w:noWrap/>
            <w:vAlign w:val="bottom"/>
          </w:tcPr>
          <w:p w14:paraId="2B542393" w14:textId="72894523"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6494EBE0" w14:textId="77777777" w:rsidR="00747969" w:rsidRPr="001F224B" w:rsidRDefault="00747969" w:rsidP="00747969">
            <w:pPr>
              <w:jc w:val="right"/>
              <w:rPr>
                <w:vanish/>
                <w:color w:val="000000"/>
                <w:sz w:val="18"/>
                <w:szCs w:val="18"/>
                <w:specVanish/>
              </w:rPr>
            </w:pPr>
            <w:r w:rsidRPr="001F224B">
              <w:rPr>
                <w:color w:val="000000"/>
                <w:sz w:val="18"/>
                <w:szCs w:val="18"/>
              </w:rPr>
              <w:t>256.062</w:t>
            </w:r>
          </w:p>
          <w:p w14:paraId="55E59192" w14:textId="172E4189" w:rsidR="00747969" w:rsidRPr="001F224B" w:rsidRDefault="00747969" w:rsidP="00747969">
            <w:pPr>
              <w:jc w:val="right"/>
              <w:rPr>
                <w:color w:val="000000"/>
                <w:sz w:val="18"/>
                <w:szCs w:val="18"/>
              </w:rPr>
            </w:pPr>
          </w:p>
        </w:tc>
        <w:tc>
          <w:tcPr>
            <w:tcW w:w="804" w:type="dxa"/>
            <w:shd w:val="clear" w:color="auto" w:fill="auto"/>
            <w:noWrap/>
            <w:vAlign w:val="bottom"/>
          </w:tcPr>
          <w:p w14:paraId="206A38B2" w14:textId="77777777" w:rsidR="00747969" w:rsidRPr="001F224B" w:rsidRDefault="00747969" w:rsidP="00747969">
            <w:pPr>
              <w:jc w:val="right"/>
              <w:rPr>
                <w:vanish/>
                <w:color w:val="000000"/>
                <w:sz w:val="18"/>
                <w:szCs w:val="18"/>
                <w:specVanish/>
              </w:rPr>
            </w:pPr>
            <w:r w:rsidRPr="001F224B">
              <w:rPr>
                <w:color w:val="000000"/>
                <w:sz w:val="18"/>
                <w:szCs w:val="18"/>
              </w:rPr>
              <w:t>455.766</w:t>
            </w:r>
          </w:p>
          <w:p w14:paraId="630E7FB4" w14:textId="4029D8AD" w:rsidR="00747969" w:rsidRPr="001F224B" w:rsidRDefault="00747969" w:rsidP="00747969">
            <w:pPr>
              <w:jc w:val="right"/>
              <w:rPr>
                <w:color w:val="000000"/>
                <w:sz w:val="18"/>
                <w:szCs w:val="18"/>
              </w:rPr>
            </w:pPr>
          </w:p>
        </w:tc>
      </w:tr>
      <w:tr w:rsidR="00747969" w:rsidRPr="001F224B" w14:paraId="796DD923" w14:textId="77777777" w:rsidTr="00001A93">
        <w:trPr>
          <w:trHeight w:val="311"/>
        </w:trPr>
        <w:tc>
          <w:tcPr>
            <w:tcW w:w="2405" w:type="dxa"/>
            <w:shd w:val="clear" w:color="auto" w:fill="auto"/>
            <w:vAlign w:val="bottom"/>
            <w:hideMark/>
          </w:tcPr>
          <w:p w14:paraId="202BC2C4" w14:textId="77777777" w:rsidR="00747969" w:rsidRPr="001F224B" w:rsidRDefault="00747969" w:rsidP="00747969">
            <w:pPr>
              <w:rPr>
                <w:color w:val="000000"/>
                <w:sz w:val="18"/>
                <w:szCs w:val="18"/>
              </w:rPr>
            </w:pPr>
            <w:r w:rsidRPr="001F224B">
              <w:rPr>
                <w:color w:val="000000"/>
                <w:sz w:val="18"/>
                <w:szCs w:val="18"/>
              </w:rPr>
              <w:t>Kurumsal alacaklar</w:t>
            </w:r>
          </w:p>
        </w:tc>
        <w:tc>
          <w:tcPr>
            <w:tcW w:w="803" w:type="dxa"/>
            <w:shd w:val="clear" w:color="auto" w:fill="auto"/>
            <w:noWrap/>
            <w:vAlign w:val="bottom"/>
            <w:hideMark/>
          </w:tcPr>
          <w:p w14:paraId="49DBAB79" w14:textId="78D69DCE"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0B4E2BBC" w14:textId="7206FEDD"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50F0788E" w14:textId="77777777" w:rsidR="00747969" w:rsidRPr="001F224B" w:rsidRDefault="00747969" w:rsidP="00747969">
            <w:pPr>
              <w:jc w:val="right"/>
              <w:rPr>
                <w:color w:val="000000"/>
                <w:sz w:val="18"/>
                <w:szCs w:val="18"/>
              </w:rPr>
            </w:pPr>
          </w:p>
        </w:tc>
        <w:tc>
          <w:tcPr>
            <w:tcW w:w="803" w:type="dxa"/>
            <w:shd w:val="clear" w:color="auto" w:fill="auto"/>
            <w:noWrap/>
            <w:vAlign w:val="bottom"/>
          </w:tcPr>
          <w:p w14:paraId="344DAE56" w14:textId="04161B3B"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2325EF69" w14:textId="5075B511"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tcPr>
          <w:p w14:paraId="015E64A4" w14:textId="576DEF45"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1D47A4B9" w14:textId="0531B96E"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60870913" w14:textId="18FADDC0"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tcPr>
          <w:p w14:paraId="37740844" w14:textId="5AAC69A8"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1D75F9F4" w14:textId="77777777" w:rsidTr="00001A93">
        <w:trPr>
          <w:trHeight w:val="311"/>
        </w:trPr>
        <w:tc>
          <w:tcPr>
            <w:tcW w:w="2405" w:type="dxa"/>
            <w:shd w:val="clear" w:color="auto" w:fill="auto"/>
            <w:vAlign w:val="bottom"/>
            <w:hideMark/>
          </w:tcPr>
          <w:p w14:paraId="06301C03" w14:textId="77777777" w:rsidR="00747969" w:rsidRPr="001F224B" w:rsidRDefault="00747969" w:rsidP="00747969">
            <w:pPr>
              <w:rPr>
                <w:color w:val="000000"/>
                <w:sz w:val="18"/>
                <w:szCs w:val="18"/>
              </w:rPr>
            </w:pPr>
            <w:r w:rsidRPr="001F224B">
              <w:rPr>
                <w:color w:val="000000"/>
                <w:sz w:val="18"/>
                <w:szCs w:val="18"/>
              </w:rPr>
              <w:t>Perakende alacaklar</w:t>
            </w:r>
          </w:p>
        </w:tc>
        <w:tc>
          <w:tcPr>
            <w:tcW w:w="803" w:type="dxa"/>
            <w:shd w:val="clear" w:color="auto" w:fill="auto"/>
            <w:noWrap/>
            <w:vAlign w:val="bottom"/>
            <w:hideMark/>
          </w:tcPr>
          <w:p w14:paraId="7EAF6226" w14:textId="71FBF6B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29553B73" w14:textId="6558E905"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45D67721" w14:textId="04D97F97"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4FA50A59" w14:textId="58D79F13"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98ADE9D" w14:textId="589E58AF"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2F8ADE30" w14:textId="698E061E"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D7AB744" w14:textId="3942E927"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7D5B81E" w14:textId="6625C3B0"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D054007" w14:textId="5D270C55"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4639F852" w14:textId="77777777" w:rsidTr="00001A93">
        <w:trPr>
          <w:trHeight w:val="311"/>
        </w:trPr>
        <w:tc>
          <w:tcPr>
            <w:tcW w:w="2405" w:type="dxa"/>
            <w:shd w:val="clear" w:color="auto" w:fill="auto"/>
            <w:vAlign w:val="bottom"/>
            <w:hideMark/>
          </w:tcPr>
          <w:p w14:paraId="5202BBF6" w14:textId="77777777" w:rsidR="00747969" w:rsidRPr="001F224B" w:rsidRDefault="00747969" w:rsidP="00747969">
            <w:pPr>
              <w:rPr>
                <w:color w:val="000000"/>
                <w:sz w:val="18"/>
                <w:szCs w:val="18"/>
              </w:rPr>
            </w:pPr>
            <w:r w:rsidRPr="001F224B">
              <w:rPr>
                <w:color w:val="000000"/>
                <w:sz w:val="18"/>
                <w:szCs w:val="18"/>
              </w:rPr>
              <w:t>Diğer alacaklar</w:t>
            </w:r>
            <w:r w:rsidRPr="001F224B">
              <w:rPr>
                <w:color w:val="000000"/>
                <w:sz w:val="18"/>
                <w:szCs w:val="18"/>
                <w:vertAlign w:val="superscript"/>
              </w:rPr>
              <w:t xml:space="preserve"> </w:t>
            </w:r>
          </w:p>
        </w:tc>
        <w:tc>
          <w:tcPr>
            <w:tcW w:w="803" w:type="dxa"/>
            <w:shd w:val="clear" w:color="auto" w:fill="auto"/>
            <w:noWrap/>
            <w:vAlign w:val="bottom"/>
            <w:hideMark/>
          </w:tcPr>
          <w:p w14:paraId="4DF1C0A8" w14:textId="2EF98374"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tcPr>
          <w:p w14:paraId="4E78C346" w14:textId="420E0CB7" w:rsidR="00747969" w:rsidRPr="001F224B" w:rsidRDefault="00747969" w:rsidP="00747969">
            <w:pPr>
              <w:jc w:val="right"/>
              <w:rPr>
                <w:color w:val="000000"/>
                <w:sz w:val="18"/>
                <w:szCs w:val="18"/>
              </w:rPr>
            </w:pPr>
            <w:r w:rsidRPr="001F224B">
              <w:rPr>
                <w:color w:val="000000"/>
                <w:sz w:val="18"/>
                <w:szCs w:val="18"/>
              </w:rPr>
              <w:t>-</w:t>
            </w:r>
          </w:p>
        </w:tc>
        <w:tc>
          <w:tcPr>
            <w:tcW w:w="804" w:type="dxa"/>
            <w:vAlign w:val="bottom"/>
          </w:tcPr>
          <w:p w14:paraId="09E830E5" w14:textId="2360D132"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2BA87A37" w14:textId="239ECDE5"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9654C38" w14:textId="215312D5"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3E2A020C" w14:textId="0AEC1699"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C9D4A04" w14:textId="0C0BA268" w:rsidR="00747969" w:rsidRPr="001F224B" w:rsidRDefault="00747969" w:rsidP="00747969">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92D7C7A" w14:textId="127EFAAD" w:rsidR="00747969" w:rsidRPr="001F224B" w:rsidRDefault="00747969" w:rsidP="00747969">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110D4C6F" w14:textId="7E790812" w:rsidR="00747969" w:rsidRPr="001F224B" w:rsidRDefault="00747969" w:rsidP="00747969">
            <w:pPr>
              <w:jc w:val="right"/>
              <w:rPr>
                <w:color w:val="000000"/>
                <w:sz w:val="18"/>
                <w:szCs w:val="18"/>
              </w:rPr>
            </w:pPr>
            <w:r w:rsidRPr="001F224B">
              <w:rPr>
                <w:color w:val="000000"/>
                <w:sz w:val="18"/>
                <w:szCs w:val="18"/>
              </w:rPr>
              <w:t>-</w:t>
            </w:r>
          </w:p>
        </w:tc>
      </w:tr>
      <w:tr w:rsidR="00747969" w:rsidRPr="001F224B" w14:paraId="0091B3D8" w14:textId="77777777" w:rsidTr="00001A93">
        <w:trPr>
          <w:trHeight w:val="324"/>
        </w:trPr>
        <w:tc>
          <w:tcPr>
            <w:tcW w:w="2405" w:type="dxa"/>
            <w:shd w:val="clear" w:color="auto" w:fill="auto"/>
            <w:vAlign w:val="bottom"/>
            <w:hideMark/>
          </w:tcPr>
          <w:p w14:paraId="38F82BE5" w14:textId="77777777" w:rsidR="00747969" w:rsidRPr="001F224B" w:rsidRDefault="00747969" w:rsidP="00747969">
            <w:pPr>
              <w:rPr>
                <w:b/>
                <w:color w:val="000000"/>
                <w:sz w:val="18"/>
                <w:szCs w:val="18"/>
              </w:rPr>
            </w:pPr>
            <w:r w:rsidRPr="001F224B">
              <w:rPr>
                <w:b/>
                <w:color w:val="000000"/>
                <w:sz w:val="18"/>
                <w:szCs w:val="18"/>
              </w:rPr>
              <w:t>Toplam</w:t>
            </w:r>
          </w:p>
        </w:tc>
        <w:tc>
          <w:tcPr>
            <w:tcW w:w="803" w:type="dxa"/>
            <w:shd w:val="clear" w:color="auto" w:fill="auto"/>
            <w:noWrap/>
            <w:vAlign w:val="bottom"/>
          </w:tcPr>
          <w:p w14:paraId="637D6540" w14:textId="77777777" w:rsidR="00747969" w:rsidRPr="001F224B" w:rsidRDefault="00747969" w:rsidP="00747969">
            <w:pPr>
              <w:jc w:val="right"/>
              <w:rPr>
                <w:b/>
                <w:bCs/>
                <w:vanish/>
                <w:color w:val="000000"/>
                <w:sz w:val="18"/>
                <w:szCs w:val="18"/>
                <w:specVanish/>
              </w:rPr>
            </w:pPr>
            <w:r w:rsidRPr="001F224B">
              <w:rPr>
                <w:b/>
                <w:bCs/>
                <w:color w:val="000000"/>
                <w:sz w:val="18"/>
                <w:szCs w:val="18"/>
              </w:rPr>
              <w:t>115.178</w:t>
            </w:r>
          </w:p>
          <w:p w14:paraId="23B8BC52" w14:textId="043795E0" w:rsidR="00747969" w:rsidRPr="001F224B" w:rsidRDefault="00747969" w:rsidP="00747969">
            <w:pPr>
              <w:jc w:val="right"/>
              <w:rPr>
                <w:b/>
                <w:color w:val="000000"/>
                <w:sz w:val="18"/>
                <w:szCs w:val="18"/>
              </w:rPr>
            </w:pPr>
          </w:p>
        </w:tc>
        <w:tc>
          <w:tcPr>
            <w:tcW w:w="803" w:type="dxa"/>
            <w:shd w:val="clear" w:color="auto" w:fill="auto"/>
            <w:noWrap/>
            <w:vAlign w:val="bottom"/>
          </w:tcPr>
          <w:p w14:paraId="011D5E40" w14:textId="54EE27E9" w:rsidR="00747969" w:rsidRPr="001F224B" w:rsidRDefault="00747969" w:rsidP="00747969">
            <w:pPr>
              <w:jc w:val="right"/>
              <w:rPr>
                <w:b/>
                <w:color w:val="000000"/>
                <w:sz w:val="18"/>
                <w:szCs w:val="18"/>
              </w:rPr>
            </w:pPr>
            <w:r w:rsidRPr="001F224B">
              <w:rPr>
                <w:b/>
                <w:bCs/>
                <w:color w:val="000000"/>
                <w:sz w:val="18"/>
                <w:szCs w:val="18"/>
              </w:rPr>
              <w:t>-</w:t>
            </w:r>
          </w:p>
        </w:tc>
        <w:tc>
          <w:tcPr>
            <w:tcW w:w="804" w:type="dxa"/>
            <w:vAlign w:val="bottom"/>
          </w:tcPr>
          <w:p w14:paraId="5EB5632A" w14:textId="30E870B9" w:rsidR="00747969" w:rsidRPr="001F224B" w:rsidRDefault="00747969" w:rsidP="00747969">
            <w:pPr>
              <w:jc w:val="right"/>
              <w:rPr>
                <w:b/>
                <w:color w:val="000000"/>
                <w:sz w:val="18"/>
                <w:szCs w:val="18"/>
              </w:rPr>
            </w:pPr>
            <w:r w:rsidRPr="001F224B">
              <w:rPr>
                <w:b/>
                <w:bCs/>
                <w:color w:val="000000"/>
                <w:sz w:val="18"/>
                <w:szCs w:val="18"/>
              </w:rPr>
              <w:t>-</w:t>
            </w:r>
          </w:p>
        </w:tc>
        <w:tc>
          <w:tcPr>
            <w:tcW w:w="803" w:type="dxa"/>
            <w:shd w:val="clear" w:color="auto" w:fill="auto"/>
            <w:noWrap/>
            <w:vAlign w:val="bottom"/>
          </w:tcPr>
          <w:p w14:paraId="6FAA18A6" w14:textId="0F6F194D" w:rsidR="00747969" w:rsidRPr="001F224B" w:rsidRDefault="00747969" w:rsidP="00747969">
            <w:pPr>
              <w:jc w:val="right"/>
              <w:rPr>
                <w:b/>
                <w:color w:val="000000"/>
                <w:sz w:val="18"/>
                <w:szCs w:val="18"/>
              </w:rPr>
            </w:pPr>
            <w:r w:rsidRPr="001F224B">
              <w:rPr>
                <w:b/>
                <w:bCs/>
                <w:color w:val="000000"/>
                <w:sz w:val="18"/>
                <w:szCs w:val="18"/>
              </w:rPr>
              <w:t>-</w:t>
            </w:r>
          </w:p>
        </w:tc>
        <w:tc>
          <w:tcPr>
            <w:tcW w:w="803" w:type="dxa"/>
            <w:shd w:val="clear" w:color="auto" w:fill="auto"/>
            <w:noWrap/>
            <w:vAlign w:val="bottom"/>
          </w:tcPr>
          <w:p w14:paraId="6B808E2A" w14:textId="59BA9424" w:rsidR="00747969" w:rsidRPr="001F224B" w:rsidRDefault="00747969" w:rsidP="00747969">
            <w:pPr>
              <w:jc w:val="right"/>
              <w:rPr>
                <w:b/>
                <w:color w:val="000000"/>
                <w:sz w:val="18"/>
                <w:szCs w:val="18"/>
              </w:rPr>
            </w:pPr>
            <w:r w:rsidRPr="001F224B">
              <w:rPr>
                <w:b/>
                <w:bCs/>
                <w:color w:val="000000"/>
                <w:sz w:val="18"/>
                <w:szCs w:val="18"/>
              </w:rPr>
              <w:t>-</w:t>
            </w:r>
          </w:p>
        </w:tc>
        <w:tc>
          <w:tcPr>
            <w:tcW w:w="804" w:type="dxa"/>
            <w:shd w:val="clear" w:color="auto" w:fill="auto"/>
            <w:noWrap/>
            <w:vAlign w:val="bottom"/>
          </w:tcPr>
          <w:p w14:paraId="48953734" w14:textId="77777777" w:rsidR="00747969" w:rsidRPr="001F224B" w:rsidRDefault="00747969" w:rsidP="00747969">
            <w:pPr>
              <w:jc w:val="right"/>
              <w:rPr>
                <w:b/>
                <w:bCs/>
                <w:vanish/>
                <w:color w:val="000000"/>
                <w:sz w:val="18"/>
                <w:szCs w:val="18"/>
                <w:specVanish/>
              </w:rPr>
            </w:pPr>
            <w:r w:rsidRPr="001F224B">
              <w:rPr>
                <w:b/>
                <w:bCs/>
                <w:color w:val="000000"/>
                <w:sz w:val="18"/>
                <w:szCs w:val="18"/>
              </w:rPr>
              <w:t>450.645</w:t>
            </w:r>
          </w:p>
          <w:p w14:paraId="3DDAD6D2" w14:textId="65D21C51" w:rsidR="00747969" w:rsidRPr="001F224B" w:rsidRDefault="00747969" w:rsidP="00747969">
            <w:pPr>
              <w:ind w:left="-399" w:right="-77"/>
              <w:jc w:val="right"/>
              <w:rPr>
                <w:b/>
                <w:color w:val="000000"/>
                <w:sz w:val="18"/>
                <w:szCs w:val="18"/>
              </w:rPr>
            </w:pPr>
          </w:p>
        </w:tc>
        <w:tc>
          <w:tcPr>
            <w:tcW w:w="803" w:type="dxa"/>
            <w:shd w:val="clear" w:color="auto" w:fill="auto"/>
            <w:noWrap/>
            <w:vAlign w:val="bottom"/>
          </w:tcPr>
          <w:p w14:paraId="0F700FFB" w14:textId="2F4E16EE" w:rsidR="00747969" w:rsidRPr="001F224B" w:rsidRDefault="00747969" w:rsidP="00747969">
            <w:pPr>
              <w:jc w:val="right"/>
              <w:rPr>
                <w:b/>
                <w:color w:val="000000"/>
                <w:sz w:val="18"/>
                <w:szCs w:val="18"/>
              </w:rPr>
            </w:pPr>
            <w:r w:rsidRPr="001F224B">
              <w:rPr>
                <w:b/>
                <w:bCs/>
                <w:color w:val="000000"/>
                <w:sz w:val="18"/>
                <w:szCs w:val="18"/>
              </w:rPr>
              <w:t>-</w:t>
            </w:r>
          </w:p>
        </w:tc>
        <w:tc>
          <w:tcPr>
            <w:tcW w:w="803" w:type="dxa"/>
            <w:shd w:val="clear" w:color="auto" w:fill="auto"/>
            <w:noWrap/>
            <w:vAlign w:val="bottom"/>
          </w:tcPr>
          <w:p w14:paraId="6111D5D8" w14:textId="77777777" w:rsidR="00747969" w:rsidRPr="001F224B" w:rsidRDefault="00747969" w:rsidP="00747969">
            <w:pPr>
              <w:jc w:val="right"/>
              <w:rPr>
                <w:b/>
                <w:bCs/>
                <w:vanish/>
                <w:color w:val="000000"/>
                <w:sz w:val="18"/>
                <w:szCs w:val="18"/>
                <w:specVanish/>
              </w:rPr>
            </w:pPr>
            <w:r w:rsidRPr="001F224B">
              <w:rPr>
                <w:b/>
                <w:bCs/>
                <w:color w:val="000000"/>
                <w:sz w:val="18"/>
                <w:szCs w:val="18"/>
              </w:rPr>
              <w:t>256.062</w:t>
            </w:r>
          </w:p>
          <w:p w14:paraId="5921D3EB" w14:textId="61D26FA4" w:rsidR="00747969" w:rsidRPr="001F224B" w:rsidRDefault="00747969" w:rsidP="00747969">
            <w:pPr>
              <w:jc w:val="right"/>
              <w:rPr>
                <w:b/>
                <w:color w:val="000000"/>
                <w:sz w:val="18"/>
                <w:szCs w:val="18"/>
              </w:rPr>
            </w:pPr>
          </w:p>
        </w:tc>
        <w:tc>
          <w:tcPr>
            <w:tcW w:w="804" w:type="dxa"/>
            <w:shd w:val="clear" w:color="auto" w:fill="auto"/>
            <w:noWrap/>
            <w:vAlign w:val="bottom"/>
          </w:tcPr>
          <w:p w14:paraId="0152EC9F" w14:textId="77777777" w:rsidR="00747969" w:rsidRPr="001F224B" w:rsidRDefault="00747969" w:rsidP="00747969">
            <w:pPr>
              <w:jc w:val="right"/>
              <w:rPr>
                <w:b/>
                <w:bCs/>
                <w:vanish/>
                <w:color w:val="000000"/>
                <w:sz w:val="18"/>
                <w:szCs w:val="18"/>
                <w:specVanish/>
              </w:rPr>
            </w:pPr>
            <w:r w:rsidRPr="001F224B">
              <w:rPr>
                <w:b/>
                <w:bCs/>
                <w:color w:val="000000"/>
                <w:sz w:val="18"/>
                <w:szCs w:val="18"/>
              </w:rPr>
              <w:t>455.766</w:t>
            </w:r>
          </w:p>
          <w:p w14:paraId="01CBC002" w14:textId="0445B58F" w:rsidR="00747969" w:rsidRPr="001F224B" w:rsidRDefault="00747969" w:rsidP="00747969">
            <w:pPr>
              <w:ind w:left="-107" w:right="-78"/>
              <w:jc w:val="center"/>
              <w:rPr>
                <w:b/>
                <w:color w:val="000000"/>
                <w:sz w:val="18"/>
                <w:szCs w:val="18"/>
              </w:rPr>
            </w:pPr>
          </w:p>
        </w:tc>
      </w:tr>
    </w:tbl>
    <w:p w14:paraId="70AD11E7" w14:textId="77777777" w:rsidR="00991E50" w:rsidRPr="001F224B" w:rsidRDefault="00991E50" w:rsidP="00991E50">
      <w:pPr>
        <w:spacing w:before="60"/>
        <w:ind w:firstLine="142"/>
        <w:rPr>
          <w:color w:val="000000"/>
          <w:sz w:val="16"/>
          <w:szCs w:val="16"/>
        </w:rPr>
      </w:pPr>
      <w:r w:rsidRPr="001F224B">
        <w:rPr>
          <w:sz w:val="18"/>
          <w:szCs w:val="16"/>
          <w:vertAlign w:val="superscript"/>
          <w:lang w:eastAsia="x-none"/>
        </w:rPr>
        <w:t xml:space="preserve"> (*)</w:t>
      </w:r>
      <w:r w:rsidRPr="001F224B">
        <w:rPr>
          <w:sz w:val="16"/>
          <w:szCs w:val="16"/>
          <w:lang w:eastAsia="x-none"/>
        </w:rPr>
        <w:t xml:space="preserve"> Toplam kredi riski: </w:t>
      </w:r>
      <w:r w:rsidRPr="001F224B">
        <w:rPr>
          <w:color w:val="000000"/>
          <w:sz w:val="16"/>
          <w:szCs w:val="16"/>
        </w:rPr>
        <w:t>Kredi riski azaltım uygulandıktan sonra sermaye yeterliliği hesaplamasında dikkate alınacak tutar.</w:t>
      </w:r>
    </w:p>
    <w:p w14:paraId="3A94B0BE" w14:textId="77777777" w:rsidR="00991E50" w:rsidRPr="001F224B" w:rsidRDefault="00991E50" w:rsidP="00991E50">
      <w:pPr>
        <w:spacing w:after="120"/>
        <w:ind w:firstLine="567"/>
        <w:rPr>
          <w:sz w:val="16"/>
          <w:szCs w:val="16"/>
          <w:lang w:eastAsia="x-none"/>
        </w:rPr>
      </w:pPr>
    </w:p>
    <w:tbl>
      <w:tblPr>
        <w:tblW w:w="96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991E50" w:rsidRPr="001F224B" w14:paraId="3F7737E9" w14:textId="77777777" w:rsidTr="00001A93">
        <w:trPr>
          <w:trHeight w:val="311"/>
        </w:trPr>
        <w:tc>
          <w:tcPr>
            <w:tcW w:w="2405" w:type="dxa"/>
            <w:shd w:val="clear" w:color="auto" w:fill="auto"/>
            <w:noWrap/>
            <w:vAlign w:val="bottom"/>
            <w:hideMark/>
          </w:tcPr>
          <w:p w14:paraId="754D29FC" w14:textId="77777777" w:rsidR="00991E50" w:rsidRPr="001F224B" w:rsidRDefault="00991E50" w:rsidP="00001A93">
            <w:pPr>
              <w:ind w:left="71" w:hanging="71"/>
              <w:jc w:val="center"/>
              <w:rPr>
                <w:b/>
                <w:color w:val="000000"/>
                <w:sz w:val="20"/>
                <w:szCs w:val="20"/>
              </w:rPr>
            </w:pPr>
            <w:r w:rsidRPr="001F224B">
              <w:rPr>
                <w:b/>
                <w:color w:val="000000"/>
                <w:sz w:val="20"/>
                <w:szCs w:val="20"/>
              </w:rPr>
              <w:t>Önceki Dönem</w:t>
            </w:r>
          </w:p>
          <w:p w14:paraId="2C5094E5" w14:textId="2CAF7F65" w:rsidR="00991E50" w:rsidRPr="001F224B" w:rsidRDefault="00991E50" w:rsidP="00001A93">
            <w:pPr>
              <w:jc w:val="center"/>
              <w:rPr>
                <w:b/>
                <w:color w:val="000000"/>
                <w:sz w:val="20"/>
                <w:szCs w:val="20"/>
              </w:rPr>
            </w:pPr>
            <w:r w:rsidRPr="001F224B">
              <w:rPr>
                <w:b/>
                <w:color w:val="000000"/>
                <w:sz w:val="20"/>
                <w:szCs w:val="20"/>
              </w:rPr>
              <w:t>(31.12.2024)</w:t>
            </w:r>
          </w:p>
        </w:tc>
        <w:tc>
          <w:tcPr>
            <w:tcW w:w="803" w:type="dxa"/>
            <w:shd w:val="clear" w:color="auto" w:fill="auto"/>
            <w:noWrap/>
            <w:vAlign w:val="bottom"/>
          </w:tcPr>
          <w:p w14:paraId="2A6CE1D8"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2E20EE57" w14:textId="77777777" w:rsidR="00991E50" w:rsidRPr="001F224B" w:rsidRDefault="00991E50" w:rsidP="00001A93">
            <w:pPr>
              <w:jc w:val="center"/>
              <w:rPr>
                <w:color w:val="000000"/>
                <w:sz w:val="18"/>
                <w:szCs w:val="18"/>
              </w:rPr>
            </w:pPr>
          </w:p>
        </w:tc>
        <w:tc>
          <w:tcPr>
            <w:tcW w:w="804" w:type="dxa"/>
          </w:tcPr>
          <w:p w14:paraId="40645566"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642D0311"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2DDB9B4A" w14:textId="77777777" w:rsidR="00991E50" w:rsidRPr="001F224B" w:rsidRDefault="00991E50" w:rsidP="00001A93">
            <w:pPr>
              <w:jc w:val="center"/>
              <w:rPr>
                <w:color w:val="000000"/>
                <w:sz w:val="18"/>
                <w:szCs w:val="18"/>
              </w:rPr>
            </w:pPr>
          </w:p>
        </w:tc>
        <w:tc>
          <w:tcPr>
            <w:tcW w:w="804" w:type="dxa"/>
            <w:shd w:val="clear" w:color="auto" w:fill="auto"/>
            <w:noWrap/>
            <w:vAlign w:val="bottom"/>
          </w:tcPr>
          <w:p w14:paraId="5CE11FE0"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4390C4D8" w14:textId="77777777" w:rsidR="00991E50" w:rsidRPr="001F224B" w:rsidRDefault="00991E50" w:rsidP="00001A93">
            <w:pPr>
              <w:jc w:val="center"/>
              <w:rPr>
                <w:color w:val="000000"/>
                <w:sz w:val="18"/>
                <w:szCs w:val="18"/>
              </w:rPr>
            </w:pPr>
          </w:p>
        </w:tc>
        <w:tc>
          <w:tcPr>
            <w:tcW w:w="803" w:type="dxa"/>
            <w:shd w:val="clear" w:color="auto" w:fill="auto"/>
            <w:noWrap/>
            <w:vAlign w:val="bottom"/>
          </w:tcPr>
          <w:p w14:paraId="23DC5E99" w14:textId="77777777" w:rsidR="00991E50" w:rsidRPr="001F224B" w:rsidRDefault="00991E50" w:rsidP="00001A93">
            <w:pPr>
              <w:jc w:val="center"/>
              <w:rPr>
                <w:color w:val="000000"/>
                <w:sz w:val="18"/>
                <w:szCs w:val="18"/>
              </w:rPr>
            </w:pPr>
          </w:p>
        </w:tc>
        <w:tc>
          <w:tcPr>
            <w:tcW w:w="804" w:type="dxa"/>
            <w:shd w:val="clear" w:color="auto" w:fill="auto"/>
            <w:noWrap/>
            <w:vAlign w:val="bottom"/>
          </w:tcPr>
          <w:p w14:paraId="5825DC09" w14:textId="77777777" w:rsidR="00991E50" w:rsidRPr="001F224B" w:rsidRDefault="00991E50" w:rsidP="00001A93">
            <w:pPr>
              <w:jc w:val="center"/>
              <w:rPr>
                <w:color w:val="000000"/>
                <w:sz w:val="18"/>
                <w:szCs w:val="18"/>
              </w:rPr>
            </w:pPr>
          </w:p>
        </w:tc>
      </w:tr>
      <w:tr w:rsidR="00991E50" w:rsidRPr="001F224B" w14:paraId="18017151" w14:textId="77777777" w:rsidTr="00001A93">
        <w:trPr>
          <w:trHeight w:val="623"/>
        </w:trPr>
        <w:tc>
          <w:tcPr>
            <w:tcW w:w="2405" w:type="dxa"/>
            <w:shd w:val="clear" w:color="auto" w:fill="auto"/>
            <w:vAlign w:val="bottom"/>
            <w:hideMark/>
          </w:tcPr>
          <w:p w14:paraId="5BA8BC09" w14:textId="77777777" w:rsidR="00991E50" w:rsidRPr="001F224B" w:rsidRDefault="00991E50" w:rsidP="00991E50">
            <w:pPr>
              <w:rPr>
                <w:color w:val="000000"/>
                <w:sz w:val="18"/>
                <w:szCs w:val="18"/>
              </w:rPr>
            </w:pPr>
            <w:r w:rsidRPr="001F224B">
              <w:rPr>
                <w:color w:val="000000"/>
                <w:sz w:val="18"/>
                <w:szCs w:val="18"/>
              </w:rPr>
              <w:t xml:space="preserve">Risk ağırlıkları/ </w:t>
            </w:r>
            <w:r w:rsidRPr="001F224B">
              <w:rPr>
                <w:color w:val="000000"/>
                <w:sz w:val="18"/>
                <w:szCs w:val="18"/>
              </w:rPr>
              <w:br/>
              <w:t>Risk sınıfları</w:t>
            </w:r>
          </w:p>
        </w:tc>
        <w:tc>
          <w:tcPr>
            <w:tcW w:w="803" w:type="dxa"/>
            <w:shd w:val="clear" w:color="auto" w:fill="auto"/>
            <w:noWrap/>
            <w:vAlign w:val="bottom"/>
            <w:hideMark/>
          </w:tcPr>
          <w:p w14:paraId="73428FAA" w14:textId="79F555D5" w:rsidR="00991E50" w:rsidRPr="001F224B" w:rsidRDefault="00991E50" w:rsidP="00991E50">
            <w:pPr>
              <w:jc w:val="center"/>
              <w:rPr>
                <w:color w:val="000000"/>
                <w:sz w:val="18"/>
                <w:szCs w:val="18"/>
              </w:rPr>
            </w:pPr>
            <w:r w:rsidRPr="001F224B">
              <w:rPr>
                <w:color w:val="000000"/>
                <w:sz w:val="18"/>
                <w:szCs w:val="18"/>
              </w:rPr>
              <w:t>%0</w:t>
            </w:r>
          </w:p>
        </w:tc>
        <w:tc>
          <w:tcPr>
            <w:tcW w:w="803" w:type="dxa"/>
            <w:shd w:val="clear" w:color="auto" w:fill="auto"/>
            <w:noWrap/>
            <w:vAlign w:val="bottom"/>
            <w:hideMark/>
          </w:tcPr>
          <w:p w14:paraId="5B8E6A43" w14:textId="6F501D8D" w:rsidR="00991E50" w:rsidRPr="001F224B" w:rsidRDefault="00991E50" w:rsidP="00991E50">
            <w:pPr>
              <w:jc w:val="center"/>
              <w:rPr>
                <w:color w:val="000000"/>
                <w:sz w:val="18"/>
                <w:szCs w:val="18"/>
              </w:rPr>
            </w:pPr>
            <w:r w:rsidRPr="001F224B">
              <w:rPr>
                <w:color w:val="000000"/>
                <w:sz w:val="18"/>
                <w:szCs w:val="18"/>
              </w:rPr>
              <w:t>%10</w:t>
            </w:r>
          </w:p>
        </w:tc>
        <w:tc>
          <w:tcPr>
            <w:tcW w:w="804" w:type="dxa"/>
            <w:vAlign w:val="bottom"/>
          </w:tcPr>
          <w:p w14:paraId="018F6FC6" w14:textId="30E20103" w:rsidR="00991E50" w:rsidRPr="001F224B" w:rsidRDefault="00991E50" w:rsidP="00991E50">
            <w:pPr>
              <w:jc w:val="center"/>
              <w:rPr>
                <w:color w:val="000000"/>
                <w:sz w:val="18"/>
                <w:szCs w:val="18"/>
              </w:rPr>
            </w:pPr>
            <w:r w:rsidRPr="001F224B">
              <w:rPr>
                <w:color w:val="000000"/>
                <w:sz w:val="18"/>
                <w:szCs w:val="18"/>
              </w:rPr>
              <w:t>%20</w:t>
            </w:r>
          </w:p>
        </w:tc>
        <w:tc>
          <w:tcPr>
            <w:tcW w:w="803" w:type="dxa"/>
            <w:shd w:val="clear" w:color="auto" w:fill="auto"/>
            <w:noWrap/>
            <w:vAlign w:val="bottom"/>
            <w:hideMark/>
          </w:tcPr>
          <w:p w14:paraId="76BFB3D3" w14:textId="5F669035" w:rsidR="00991E50" w:rsidRPr="001F224B" w:rsidRDefault="00991E50" w:rsidP="00991E50">
            <w:pPr>
              <w:jc w:val="center"/>
              <w:rPr>
                <w:color w:val="000000"/>
                <w:sz w:val="18"/>
                <w:szCs w:val="18"/>
              </w:rPr>
            </w:pPr>
            <w:r w:rsidRPr="001F224B">
              <w:rPr>
                <w:color w:val="000000"/>
                <w:sz w:val="18"/>
                <w:szCs w:val="18"/>
              </w:rPr>
              <w:t>%50</w:t>
            </w:r>
          </w:p>
        </w:tc>
        <w:tc>
          <w:tcPr>
            <w:tcW w:w="803" w:type="dxa"/>
            <w:shd w:val="clear" w:color="auto" w:fill="auto"/>
            <w:noWrap/>
            <w:vAlign w:val="bottom"/>
            <w:hideMark/>
          </w:tcPr>
          <w:p w14:paraId="3362AF00" w14:textId="181B7372" w:rsidR="00991E50" w:rsidRPr="001F224B" w:rsidRDefault="00991E50" w:rsidP="00991E50">
            <w:pPr>
              <w:jc w:val="center"/>
              <w:rPr>
                <w:color w:val="000000"/>
                <w:sz w:val="18"/>
                <w:szCs w:val="18"/>
              </w:rPr>
            </w:pPr>
            <w:r w:rsidRPr="001F224B">
              <w:rPr>
                <w:color w:val="000000"/>
                <w:sz w:val="18"/>
                <w:szCs w:val="18"/>
              </w:rPr>
              <w:t>%75</w:t>
            </w:r>
          </w:p>
        </w:tc>
        <w:tc>
          <w:tcPr>
            <w:tcW w:w="804" w:type="dxa"/>
            <w:shd w:val="clear" w:color="auto" w:fill="auto"/>
            <w:noWrap/>
            <w:vAlign w:val="bottom"/>
            <w:hideMark/>
          </w:tcPr>
          <w:p w14:paraId="6BE05010" w14:textId="5F69EC65" w:rsidR="00991E50" w:rsidRPr="001F224B" w:rsidRDefault="00991E50" w:rsidP="00991E50">
            <w:pPr>
              <w:jc w:val="center"/>
              <w:rPr>
                <w:color w:val="000000"/>
                <w:sz w:val="18"/>
                <w:szCs w:val="18"/>
              </w:rPr>
            </w:pPr>
            <w:r w:rsidRPr="001F224B">
              <w:rPr>
                <w:color w:val="000000"/>
                <w:sz w:val="18"/>
                <w:szCs w:val="18"/>
              </w:rPr>
              <w:t>%100</w:t>
            </w:r>
          </w:p>
        </w:tc>
        <w:tc>
          <w:tcPr>
            <w:tcW w:w="803" w:type="dxa"/>
            <w:shd w:val="clear" w:color="auto" w:fill="auto"/>
            <w:noWrap/>
            <w:vAlign w:val="bottom"/>
            <w:hideMark/>
          </w:tcPr>
          <w:p w14:paraId="176C7771" w14:textId="4F7B6FA9" w:rsidR="00991E50" w:rsidRPr="001F224B" w:rsidRDefault="00991E50" w:rsidP="00991E50">
            <w:pPr>
              <w:jc w:val="center"/>
              <w:rPr>
                <w:color w:val="000000"/>
                <w:sz w:val="18"/>
                <w:szCs w:val="18"/>
              </w:rPr>
            </w:pPr>
            <w:r w:rsidRPr="001F224B">
              <w:rPr>
                <w:color w:val="000000"/>
                <w:sz w:val="18"/>
                <w:szCs w:val="18"/>
              </w:rPr>
              <w:t>%150</w:t>
            </w:r>
          </w:p>
        </w:tc>
        <w:tc>
          <w:tcPr>
            <w:tcW w:w="803" w:type="dxa"/>
            <w:shd w:val="clear" w:color="auto" w:fill="auto"/>
            <w:noWrap/>
            <w:vAlign w:val="bottom"/>
            <w:hideMark/>
          </w:tcPr>
          <w:p w14:paraId="372EE6D2" w14:textId="7DC140FB" w:rsidR="00991E50" w:rsidRPr="001F224B" w:rsidRDefault="00991E50" w:rsidP="00991E50">
            <w:pPr>
              <w:jc w:val="center"/>
              <w:rPr>
                <w:color w:val="000000"/>
                <w:sz w:val="18"/>
                <w:szCs w:val="18"/>
              </w:rPr>
            </w:pPr>
            <w:r w:rsidRPr="001F224B">
              <w:rPr>
                <w:color w:val="000000"/>
                <w:sz w:val="18"/>
                <w:szCs w:val="18"/>
              </w:rPr>
              <w:t>Diğer</w:t>
            </w:r>
          </w:p>
        </w:tc>
        <w:tc>
          <w:tcPr>
            <w:tcW w:w="804" w:type="dxa"/>
            <w:shd w:val="clear" w:color="auto" w:fill="auto"/>
            <w:vAlign w:val="bottom"/>
            <w:hideMark/>
          </w:tcPr>
          <w:p w14:paraId="1D59C5AE" w14:textId="2888B38F" w:rsidR="00991E50" w:rsidRPr="001F224B" w:rsidRDefault="00991E50" w:rsidP="00991E50">
            <w:pPr>
              <w:jc w:val="center"/>
              <w:rPr>
                <w:color w:val="000000"/>
                <w:sz w:val="18"/>
                <w:szCs w:val="18"/>
              </w:rPr>
            </w:pPr>
            <w:r w:rsidRPr="001F224B">
              <w:rPr>
                <w:color w:val="000000"/>
                <w:sz w:val="18"/>
                <w:szCs w:val="18"/>
              </w:rPr>
              <w:t>Toplam kredi riski</w:t>
            </w:r>
            <w:r w:rsidRPr="001F224B">
              <w:rPr>
                <w:color w:val="000000"/>
                <w:sz w:val="18"/>
                <w:szCs w:val="18"/>
                <w:vertAlign w:val="superscript"/>
              </w:rPr>
              <w:t>(*)</w:t>
            </w:r>
          </w:p>
        </w:tc>
      </w:tr>
      <w:tr w:rsidR="00991E50" w:rsidRPr="001F224B" w14:paraId="2463970A" w14:textId="77777777" w:rsidTr="00001A93">
        <w:trPr>
          <w:trHeight w:val="675"/>
        </w:trPr>
        <w:tc>
          <w:tcPr>
            <w:tcW w:w="2405" w:type="dxa"/>
            <w:shd w:val="clear" w:color="auto" w:fill="auto"/>
            <w:vAlign w:val="bottom"/>
            <w:hideMark/>
          </w:tcPr>
          <w:p w14:paraId="0A64E062" w14:textId="77777777" w:rsidR="00991E50" w:rsidRPr="001F224B" w:rsidRDefault="00991E50" w:rsidP="00991E50">
            <w:pPr>
              <w:rPr>
                <w:color w:val="000000"/>
                <w:sz w:val="18"/>
                <w:szCs w:val="18"/>
              </w:rPr>
            </w:pPr>
            <w:r w:rsidRPr="001F224B">
              <w:rPr>
                <w:color w:val="000000"/>
                <w:sz w:val="18"/>
                <w:szCs w:val="18"/>
              </w:rPr>
              <w:t>Merkezi yönetimlerden ve merkez bankalarından alacaklar</w:t>
            </w:r>
          </w:p>
        </w:tc>
        <w:tc>
          <w:tcPr>
            <w:tcW w:w="803" w:type="dxa"/>
            <w:shd w:val="clear" w:color="auto" w:fill="auto"/>
            <w:noWrap/>
            <w:vAlign w:val="bottom"/>
            <w:hideMark/>
          </w:tcPr>
          <w:p w14:paraId="56F84BD5" w14:textId="77777777" w:rsidR="00991E50" w:rsidRPr="001F224B" w:rsidRDefault="00991E50" w:rsidP="00991E50">
            <w:pPr>
              <w:ind w:left="-155" w:right="-78"/>
              <w:jc w:val="center"/>
              <w:rPr>
                <w:vanish/>
                <w:color w:val="000000"/>
                <w:sz w:val="18"/>
                <w:szCs w:val="18"/>
                <w:specVanish/>
              </w:rPr>
            </w:pPr>
            <w:r w:rsidRPr="001F224B">
              <w:rPr>
                <w:color w:val="000000"/>
                <w:sz w:val="18"/>
                <w:szCs w:val="18"/>
              </w:rPr>
              <w:t xml:space="preserve">    22.413</w:t>
            </w:r>
          </w:p>
          <w:p w14:paraId="5B00CCAB" w14:textId="1F5D3CF5" w:rsidR="00991E50" w:rsidRPr="001F224B" w:rsidRDefault="00991E50" w:rsidP="00991E50">
            <w:pPr>
              <w:jc w:val="right"/>
              <w:rPr>
                <w:color w:val="000000"/>
                <w:sz w:val="18"/>
                <w:szCs w:val="18"/>
              </w:rPr>
            </w:pPr>
          </w:p>
        </w:tc>
        <w:tc>
          <w:tcPr>
            <w:tcW w:w="803" w:type="dxa"/>
            <w:shd w:val="clear" w:color="auto" w:fill="auto"/>
            <w:noWrap/>
            <w:vAlign w:val="bottom"/>
          </w:tcPr>
          <w:p w14:paraId="48B89762" w14:textId="3019054A"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6C946D94" w14:textId="74D40A47" w:rsidR="00991E50" w:rsidRPr="001F224B" w:rsidRDefault="00991E50" w:rsidP="00991E50">
            <w:pPr>
              <w:jc w:val="right"/>
              <w:rPr>
                <w:sz w:val="18"/>
                <w:szCs w:val="18"/>
              </w:rPr>
            </w:pPr>
            <w:r w:rsidRPr="001F224B">
              <w:rPr>
                <w:sz w:val="18"/>
                <w:szCs w:val="18"/>
              </w:rPr>
              <w:t>-</w:t>
            </w:r>
          </w:p>
        </w:tc>
        <w:tc>
          <w:tcPr>
            <w:tcW w:w="803" w:type="dxa"/>
            <w:shd w:val="clear" w:color="auto" w:fill="auto"/>
            <w:noWrap/>
            <w:vAlign w:val="bottom"/>
            <w:hideMark/>
          </w:tcPr>
          <w:p w14:paraId="153CC4F3" w14:textId="2E55365B"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575C4D42" w14:textId="71920E0D"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B0CB28C" w14:textId="14FB5268" w:rsidR="00991E50" w:rsidRPr="001F224B" w:rsidRDefault="00991E50" w:rsidP="00991E50">
            <w:pPr>
              <w:ind w:left="-107" w:right="-77"/>
              <w:rPr>
                <w:color w:val="000000"/>
                <w:sz w:val="18"/>
                <w:szCs w:val="18"/>
              </w:rPr>
            </w:pPr>
            <w:r w:rsidRPr="001F224B">
              <w:rPr>
                <w:color w:val="000000"/>
                <w:sz w:val="18"/>
                <w:szCs w:val="18"/>
              </w:rPr>
              <w:t>-</w:t>
            </w:r>
          </w:p>
        </w:tc>
        <w:tc>
          <w:tcPr>
            <w:tcW w:w="803" w:type="dxa"/>
            <w:shd w:val="clear" w:color="auto" w:fill="auto"/>
            <w:noWrap/>
            <w:vAlign w:val="bottom"/>
            <w:hideMark/>
          </w:tcPr>
          <w:p w14:paraId="012A68F9" w14:textId="5E240DB4"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5309D034" w14:textId="1CBDE57F"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3C19F887" w14:textId="77777777" w:rsidR="00991E50" w:rsidRPr="001F224B" w:rsidRDefault="00991E50" w:rsidP="00991E50">
            <w:pPr>
              <w:ind w:left="-155" w:right="-78"/>
              <w:jc w:val="right"/>
              <w:rPr>
                <w:color w:val="000000"/>
                <w:sz w:val="18"/>
                <w:szCs w:val="18"/>
              </w:rPr>
            </w:pPr>
            <w:r w:rsidRPr="001F224B">
              <w:rPr>
                <w:color w:val="000000"/>
                <w:sz w:val="18"/>
                <w:szCs w:val="18"/>
              </w:rPr>
              <w:t>-</w:t>
            </w:r>
          </w:p>
          <w:p w14:paraId="2413BDC3" w14:textId="77777777" w:rsidR="00991E50" w:rsidRPr="001F224B" w:rsidRDefault="00991E50" w:rsidP="00991E50">
            <w:pPr>
              <w:ind w:left="-155" w:right="-78"/>
              <w:jc w:val="center"/>
              <w:rPr>
                <w:color w:val="000000"/>
                <w:sz w:val="18"/>
                <w:szCs w:val="18"/>
              </w:rPr>
            </w:pPr>
          </w:p>
        </w:tc>
      </w:tr>
      <w:tr w:rsidR="00991E50" w:rsidRPr="001F224B" w14:paraId="1DC4EF65" w14:textId="77777777" w:rsidTr="00001A93">
        <w:trPr>
          <w:trHeight w:val="516"/>
        </w:trPr>
        <w:tc>
          <w:tcPr>
            <w:tcW w:w="2405" w:type="dxa"/>
            <w:shd w:val="clear" w:color="auto" w:fill="auto"/>
            <w:vAlign w:val="bottom"/>
            <w:hideMark/>
          </w:tcPr>
          <w:p w14:paraId="1BA63320" w14:textId="77777777" w:rsidR="00991E50" w:rsidRPr="001F224B" w:rsidRDefault="00991E50" w:rsidP="00991E50">
            <w:pPr>
              <w:rPr>
                <w:color w:val="000000"/>
                <w:sz w:val="18"/>
                <w:szCs w:val="18"/>
              </w:rPr>
            </w:pPr>
            <w:r w:rsidRPr="001F224B">
              <w:rPr>
                <w:color w:val="000000"/>
                <w:sz w:val="18"/>
                <w:szCs w:val="18"/>
              </w:rPr>
              <w:t>Bölgesel veya yerel yönetimlerden alacaklar</w:t>
            </w:r>
          </w:p>
        </w:tc>
        <w:tc>
          <w:tcPr>
            <w:tcW w:w="803" w:type="dxa"/>
            <w:shd w:val="clear" w:color="auto" w:fill="auto"/>
            <w:noWrap/>
            <w:vAlign w:val="bottom"/>
            <w:hideMark/>
          </w:tcPr>
          <w:p w14:paraId="520419F5" w14:textId="41BE01C2"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0264A2DA" w14:textId="57B7698B"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69C82650" w14:textId="160F0C24"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E72AFD8" w14:textId="0144C505"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50D0C7B6" w14:textId="2FFAA636"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748A6D93" w14:textId="1CA1424B"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D9AA625" w14:textId="4B85F6B1"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0E4E27D" w14:textId="0D4F7E0C"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57D1916D" w14:textId="3C16F047"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17613FDD" w14:textId="77777777" w:rsidTr="00001A93">
        <w:trPr>
          <w:trHeight w:val="311"/>
        </w:trPr>
        <w:tc>
          <w:tcPr>
            <w:tcW w:w="2405" w:type="dxa"/>
            <w:shd w:val="clear" w:color="auto" w:fill="auto"/>
            <w:vAlign w:val="bottom"/>
            <w:hideMark/>
          </w:tcPr>
          <w:p w14:paraId="2720C5A4" w14:textId="77777777" w:rsidR="00991E50" w:rsidRPr="001F224B" w:rsidRDefault="00991E50" w:rsidP="00991E50">
            <w:pPr>
              <w:rPr>
                <w:color w:val="000000"/>
                <w:sz w:val="18"/>
                <w:szCs w:val="18"/>
              </w:rPr>
            </w:pPr>
            <w:r w:rsidRPr="001F224B">
              <w:rPr>
                <w:color w:val="000000"/>
                <w:sz w:val="18"/>
                <w:szCs w:val="18"/>
              </w:rPr>
              <w:t>İdari birimlerden ve ticari olmayan girişimlerden alacaklar</w:t>
            </w:r>
          </w:p>
        </w:tc>
        <w:tc>
          <w:tcPr>
            <w:tcW w:w="803" w:type="dxa"/>
            <w:shd w:val="clear" w:color="auto" w:fill="auto"/>
            <w:noWrap/>
            <w:vAlign w:val="bottom"/>
            <w:hideMark/>
          </w:tcPr>
          <w:p w14:paraId="2F4AF727" w14:textId="19D8CF45"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69F84D16" w14:textId="2F092121"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75B22E7D" w14:textId="5DD78F80"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4FAE6805" w14:textId="3A7A0D62"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0D97655" w14:textId="4063976F"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619D9802" w14:textId="11EC42CC"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5DD6BC0" w14:textId="23646E64"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4A7B9B96" w14:textId="133E8AC0"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30CA6A2" w14:textId="5F918C4F"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69A0D602" w14:textId="77777777" w:rsidTr="00001A93">
        <w:trPr>
          <w:trHeight w:val="311"/>
        </w:trPr>
        <w:tc>
          <w:tcPr>
            <w:tcW w:w="2405" w:type="dxa"/>
            <w:shd w:val="clear" w:color="auto" w:fill="auto"/>
            <w:vAlign w:val="bottom"/>
            <w:hideMark/>
          </w:tcPr>
          <w:p w14:paraId="08DBBECF" w14:textId="77777777" w:rsidR="00991E50" w:rsidRPr="001F224B" w:rsidRDefault="00991E50" w:rsidP="00991E50">
            <w:pPr>
              <w:rPr>
                <w:color w:val="000000"/>
                <w:sz w:val="18"/>
                <w:szCs w:val="18"/>
              </w:rPr>
            </w:pPr>
            <w:r w:rsidRPr="001F224B">
              <w:rPr>
                <w:color w:val="000000"/>
                <w:sz w:val="18"/>
                <w:szCs w:val="18"/>
              </w:rPr>
              <w:t>Çok taraflı kalkınma bankalarından alacaklar</w:t>
            </w:r>
          </w:p>
        </w:tc>
        <w:tc>
          <w:tcPr>
            <w:tcW w:w="803" w:type="dxa"/>
            <w:shd w:val="clear" w:color="auto" w:fill="auto"/>
            <w:noWrap/>
            <w:vAlign w:val="bottom"/>
            <w:hideMark/>
          </w:tcPr>
          <w:p w14:paraId="7133B42F" w14:textId="1199BC41"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6794569F" w14:textId="5B3BFB83"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40CC132A" w14:textId="77AFCE56"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0080055" w14:textId="40D7A1DA"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E01A10E" w14:textId="75E78BCB"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1F8C90BF" w14:textId="236FB308"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E99B032" w14:textId="5903994B"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190972F1" w14:textId="3C6F5238"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1A8B35EF" w14:textId="6B3E35BE"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451FA803" w14:textId="77777777" w:rsidTr="00001A93">
        <w:trPr>
          <w:trHeight w:val="311"/>
        </w:trPr>
        <w:tc>
          <w:tcPr>
            <w:tcW w:w="2405" w:type="dxa"/>
            <w:shd w:val="clear" w:color="auto" w:fill="auto"/>
            <w:vAlign w:val="bottom"/>
            <w:hideMark/>
          </w:tcPr>
          <w:p w14:paraId="5A3EEFCE" w14:textId="77777777" w:rsidR="00991E50" w:rsidRPr="001F224B" w:rsidRDefault="00991E50" w:rsidP="00991E50">
            <w:pPr>
              <w:rPr>
                <w:color w:val="000000"/>
                <w:sz w:val="18"/>
                <w:szCs w:val="18"/>
              </w:rPr>
            </w:pPr>
            <w:r w:rsidRPr="001F224B">
              <w:rPr>
                <w:color w:val="000000"/>
                <w:sz w:val="18"/>
                <w:szCs w:val="18"/>
              </w:rPr>
              <w:t>Uluslararası teşkilatlardan alacaklar</w:t>
            </w:r>
          </w:p>
        </w:tc>
        <w:tc>
          <w:tcPr>
            <w:tcW w:w="803" w:type="dxa"/>
            <w:shd w:val="clear" w:color="auto" w:fill="auto"/>
            <w:noWrap/>
            <w:vAlign w:val="bottom"/>
            <w:hideMark/>
          </w:tcPr>
          <w:p w14:paraId="3B828CF3" w14:textId="4A5D741D"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1A661B53" w14:textId="6CBEC78D"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5A32F8D9" w14:textId="3A4F6CA8"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081716C" w14:textId="1B703CE5"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0E93F36" w14:textId="2212B83A"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7F2AC192" w14:textId="798315F1"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2650FEC5" w14:textId="1ED00E78"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C4A8171" w14:textId="40C076A2"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21549688" w14:textId="7398B2B8"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54F9C78F" w14:textId="77777777" w:rsidTr="00001A93">
        <w:trPr>
          <w:trHeight w:val="311"/>
        </w:trPr>
        <w:tc>
          <w:tcPr>
            <w:tcW w:w="2405" w:type="dxa"/>
            <w:shd w:val="clear" w:color="auto" w:fill="auto"/>
            <w:vAlign w:val="bottom"/>
            <w:hideMark/>
          </w:tcPr>
          <w:p w14:paraId="6A7D554D" w14:textId="77777777" w:rsidR="00991E50" w:rsidRPr="001F224B" w:rsidRDefault="00991E50" w:rsidP="00991E50">
            <w:pPr>
              <w:rPr>
                <w:color w:val="000000"/>
                <w:sz w:val="18"/>
                <w:szCs w:val="18"/>
              </w:rPr>
            </w:pPr>
            <w:r w:rsidRPr="001F224B">
              <w:rPr>
                <w:color w:val="000000"/>
                <w:sz w:val="18"/>
                <w:szCs w:val="18"/>
              </w:rPr>
              <w:t>Bankalar ve aracı kurumlardan alacaklar</w:t>
            </w:r>
          </w:p>
        </w:tc>
        <w:tc>
          <w:tcPr>
            <w:tcW w:w="803" w:type="dxa"/>
            <w:shd w:val="clear" w:color="auto" w:fill="auto"/>
            <w:noWrap/>
            <w:vAlign w:val="bottom"/>
            <w:hideMark/>
          </w:tcPr>
          <w:p w14:paraId="653E5F7C" w14:textId="48DDBEB3"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24E20332" w14:textId="077777BB"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0DA16544" w14:textId="5F83551B"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03B69BDA" w14:textId="51F496AA"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0F85ABE0" w14:textId="7F9F5B70"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tcPr>
          <w:p w14:paraId="20209606" w14:textId="77777777" w:rsidR="00991E50" w:rsidRPr="001F224B" w:rsidRDefault="00991E50" w:rsidP="00991E50">
            <w:pPr>
              <w:jc w:val="right"/>
              <w:rPr>
                <w:vanish/>
                <w:color w:val="000000"/>
                <w:sz w:val="18"/>
                <w:szCs w:val="18"/>
                <w:specVanish/>
              </w:rPr>
            </w:pPr>
            <w:r w:rsidRPr="001F224B">
              <w:rPr>
                <w:color w:val="000000"/>
                <w:sz w:val="18"/>
                <w:szCs w:val="18"/>
              </w:rPr>
              <w:t>357.583</w:t>
            </w:r>
          </w:p>
          <w:p w14:paraId="161F7443" w14:textId="1F83D8CB" w:rsidR="00991E50" w:rsidRPr="001F224B" w:rsidRDefault="00991E50" w:rsidP="00991E50">
            <w:pPr>
              <w:jc w:val="right"/>
              <w:rPr>
                <w:color w:val="000000"/>
                <w:sz w:val="18"/>
                <w:szCs w:val="18"/>
              </w:rPr>
            </w:pPr>
          </w:p>
        </w:tc>
        <w:tc>
          <w:tcPr>
            <w:tcW w:w="803" w:type="dxa"/>
            <w:shd w:val="clear" w:color="auto" w:fill="auto"/>
            <w:noWrap/>
            <w:vAlign w:val="bottom"/>
          </w:tcPr>
          <w:p w14:paraId="4FBBF78B" w14:textId="2B30BF61"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695A3D54" w14:textId="77777777" w:rsidR="00991E50" w:rsidRPr="001F224B" w:rsidRDefault="00991E50" w:rsidP="00991E50">
            <w:pPr>
              <w:jc w:val="right"/>
              <w:rPr>
                <w:vanish/>
                <w:color w:val="000000"/>
                <w:sz w:val="18"/>
                <w:szCs w:val="18"/>
                <w:specVanish/>
              </w:rPr>
            </w:pPr>
            <w:r w:rsidRPr="001F224B">
              <w:rPr>
                <w:color w:val="000000"/>
                <w:sz w:val="18"/>
                <w:szCs w:val="18"/>
              </w:rPr>
              <w:t>303.590</w:t>
            </w:r>
          </w:p>
          <w:p w14:paraId="79147B17" w14:textId="082AB479" w:rsidR="00991E50" w:rsidRPr="001F224B" w:rsidRDefault="00991E50" w:rsidP="00991E50">
            <w:pPr>
              <w:jc w:val="right"/>
              <w:rPr>
                <w:color w:val="000000"/>
                <w:sz w:val="18"/>
                <w:szCs w:val="18"/>
              </w:rPr>
            </w:pPr>
          </w:p>
        </w:tc>
        <w:tc>
          <w:tcPr>
            <w:tcW w:w="804" w:type="dxa"/>
            <w:shd w:val="clear" w:color="auto" w:fill="auto"/>
            <w:noWrap/>
            <w:vAlign w:val="bottom"/>
          </w:tcPr>
          <w:p w14:paraId="15311A58" w14:textId="77777777" w:rsidR="00991E50" w:rsidRPr="001F224B" w:rsidRDefault="00991E50" w:rsidP="00991E50">
            <w:pPr>
              <w:jc w:val="right"/>
              <w:rPr>
                <w:vanish/>
                <w:color w:val="000000"/>
                <w:sz w:val="18"/>
                <w:szCs w:val="18"/>
                <w:specVanish/>
              </w:rPr>
            </w:pPr>
            <w:r w:rsidRPr="001F224B">
              <w:rPr>
                <w:color w:val="000000"/>
                <w:sz w:val="18"/>
                <w:szCs w:val="18"/>
              </w:rPr>
              <w:t>363.655</w:t>
            </w:r>
          </w:p>
          <w:p w14:paraId="21C31B44" w14:textId="45EFA245" w:rsidR="00991E50" w:rsidRPr="001F224B" w:rsidRDefault="00991E50" w:rsidP="00991E50">
            <w:pPr>
              <w:jc w:val="right"/>
              <w:rPr>
                <w:color w:val="000000"/>
                <w:sz w:val="18"/>
                <w:szCs w:val="18"/>
              </w:rPr>
            </w:pPr>
          </w:p>
        </w:tc>
      </w:tr>
      <w:tr w:rsidR="00991E50" w:rsidRPr="001F224B" w14:paraId="45266973" w14:textId="77777777" w:rsidTr="00001A93">
        <w:trPr>
          <w:trHeight w:val="311"/>
        </w:trPr>
        <w:tc>
          <w:tcPr>
            <w:tcW w:w="2405" w:type="dxa"/>
            <w:shd w:val="clear" w:color="auto" w:fill="auto"/>
            <w:vAlign w:val="bottom"/>
            <w:hideMark/>
          </w:tcPr>
          <w:p w14:paraId="0D699A36" w14:textId="77777777" w:rsidR="00991E50" w:rsidRPr="001F224B" w:rsidRDefault="00991E50" w:rsidP="00991E50">
            <w:pPr>
              <w:rPr>
                <w:color w:val="000000"/>
                <w:sz w:val="18"/>
                <w:szCs w:val="18"/>
              </w:rPr>
            </w:pPr>
            <w:r w:rsidRPr="001F224B">
              <w:rPr>
                <w:color w:val="000000"/>
                <w:sz w:val="18"/>
                <w:szCs w:val="18"/>
              </w:rPr>
              <w:t>Kurumsal alacaklar</w:t>
            </w:r>
          </w:p>
        </w:tc>
        <w:tc>
          <w:tcPr>
            <w:tcW w:w="803" w:type="dxa"/>
            <w:shd w:val="clear" w:color="auto" w:fill="auto"/>
            <w:noWrap/>
            <w:vAlign w:val="bottom"/>
            <w:hideMark/>
          </w:tcPr>
          <w:p w14:paraId="274DB441" w14:textId="16249A82"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6B08E2A6" w14:textId="0F2EDC1F"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4EEBED9E" w14:textId="77777777" w:rsidR="00991E50" w:rsidRPr="001F224B" w:rsidRDefault="00991E50" w:rsidP="00991E50">
            <w:pPr>
              <w:jc w:val="right"/>
              <w:rPr>
                <w:color w:val="000000"/>
                <w:sz w:val="18"/>
                <w:szCs w:val="18"/>
              </w:rPr>
            </w:pPr>
          </w:p>
        </w:tc>
        <w:tc>
          <w:tcPr>
            <w:tcW w:w="803" w:type="dxa"/>
            <w:shd w:val="clear" w:color="auto" w:fill="auto"/>
            <w:noWrap/>
            <w:vAlign w:val="bottom"/>
          </w:tcPr>
          <w:p w14:paraId="4C07B538" w14:textId="2BB438B9"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5EBFF19F" w14:textId="207F4AAF"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tcPr>
          <w:p w14:paraId="04A53728" w14:textId="782C9B41"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5141BD91" w14:textId="41281D4A"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62123AD1" w14:textId="6B2B8B50"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tcPr>
          <w:p w14:paraId="70674747" w14:textId="2800F474"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63A76578" w14:textId="77777777" w:rsidTr="00001A93">
        <w:trPr>
          <w:trHeight w:val="311"/>
        </w:trPr>
        <w:tc>
          <w:tcPr>
            <w:tcW w:w="2405" w:type="dxa"/>
            <w:shd w:val="clear" w:color="auto" w:fill="auto"/>
            <w:vAlign w:val="bottom"/>
            <w:hideMark/>
          </w:tcPr>
          <w:p w14:paraId="6DA847F3" w14:textId="77777777" w:rsidR="00991E50" w:rsidRPr="001F224B" w:rsidRDefault="00991E50" w:rsidP="00991E50">
            <w:pPr>
              <w:rPr>
                <w:color w:val="000000"/>
                <w:sz w:val="18"/>
                <w:szCs w:val="18"/>
              </w:rPr>
            </w:pPr>
            <w:r w:rsidRPr="001F224B">
              <w:rPr>
                <w:color w:val="000000"/>
                <w:sz w:val="18"/>
                <w:szCs w:val="18"/>
              </w:rPr>
              <w:t>Perakende alacaklar</w:t>
            </w:r>
          </w:p>
        </w:tc>
        <w:tc>
          <w:tcPr>
            <w:tcW w:w="803" w:type="dxa"/>
            <w:shd w:val="clear" w:color="auto" w:fill="auto"/>
            <w:noWrap/>
            <w:vAlign w:val="bottom"/>
            <w:hideMark/>
          </w:tcPr>
          <w:p w14:paraId="6BDD3A0C" w14:textId="1B0A1AE7"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2108D978" w14:textId="19589583"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6B8B94DA" w14:textId="3908C6B6"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64DA5B3D" w14:textId="698740A4"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27EB30AB" w14:textId="7C126B01"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04B6CD1E" w14:textId="3A6CE426"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3E7A5D4" w14:textId="0FEFBEC8"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18D19D1F" w14:textId="1603B85A"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3C855F57" w14:textId="267A51A8"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4CE396B4" w14:textId="77777777" w:rsidTr="00001A93">
        <w:trPr>
          <w:trHeight w:val="311"/>
        </w:trPr>
        <w:tc>
          <w:tcPr>
            <w:tcW w:w="2405" w:type="dxa"/>
            <w:shd w:val="clear" w:color="auto" w:fill="auto"/>
            <w:vAlign w:val="bottom"/>
            <w:hideMark/>
          </w:tcPr>
          <w:p w14:paraId="27EC96C5" w14:textId="77777777" w:rsidR="00991E50" w:rsidRPr="001F224B" w:rsidRDefault="00991E50" w:rsidP="00991E50">
            <w:pPr>
              <w:rPr>
                <w:color w:val="000000"/>
                <w:sz w:val="18"/>
                <w:szCs w:val="18"/>
              </w:rPr>
            </w:pPr>
            <w:r w:rsidRPr="001F224B">
              <w:rPr>
                <w:color w:val="000000"/>
                <w:sz w:val="18"/>
                <w:szCs w:val="18"/>
              </w:rPr>
              <w:t>Diğer alacaklar</w:t>
            </w:r>
            <w:r w:rsidRPr="001F224B">
              <w:rPr>
                <w:color w:val="000000"/>
                <w:sz w:val="18"/>
                <w:szCs w:val="18"/>
                <w:vertAlign w:val="superscript"/>
              </w:rPr>
              <w:t xml:space="preserve"> </w:t>
            </w:r>
          </w:p>
        </w:tc>
        <w:tc>
          <w:tcPr>
            <w:tcW w:w="803" w:type="dxa"/>
            <w:shd w:val="clear" w:color="auto" w:fill="auto"/>
            <w:noWrap/>
            <w:vAlign w:val="bottom"/>
            <w:hideMark/>
          </w:tcPr>
          <w:p w14:paraId="3A60C5CE" w14:textId="0FA7C476"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tcPr>
          <w:p w14:paraId="2D913931" w14:textId="5DBFD5BD" w:rsidR="00991E50" w:rsidRPr="001F224B" w:rsidRDefault="00991E50" w:rsidP="00991E50">
            <w:pPr>
              <w:jc w:val="right"/>
              <w:rPr>
                <w:color w:val="000000"/>
                <w:sz w:val="18"/>
                <w:szCs w:val="18"/>
              </w:rPr>
            </w:pPr>
            <w:r w:rsidRPr="001F224B">
              <w:rPr>
                <w:color w:val="000000"/>
                <w:sz w:val="18"/>
                <w:szCs w:val="18"/>
              </w:rPr>
              <w:t>-</w:t>
            </w:r>
          </w:p>
        </w:tc>
        <w:tc>
          <w:tcPr>
            <w:tcW w:w="804" w:type="dxa"/>
            <w:vAlign w:val="bottom"/>
          </w:tcPr>
          <w:p w14:paraId="374BDFF9" w14:textId="3D8A6D04"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74DC1EC2" w14:textId="44947229"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3B94E75F" w14:textId="41809CB7"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5A7CFAC1" w14:textId="359BC41D"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7ACB6C0" w14:textId="4D9CA704" w:rsidR="00991E50" w:rsidRPr="001F224B" w:rsidRDefault="00991E50" w:rsidP="00991E50">
            <w:pPr>
              <w:jc w:val="right"/>
              <w:rPr>
                <w:color w:val="000000"/>
                <w:sz w:val="18"/>
                <w:szCs w:val="18"/>
              </w:rPr>
            </w:pPr>
            <w:r w:rsidRPr="001F224B">
              <w:rPr>
                <w:color w:val="000000"/>
                <w:sz w:val="18"/>
                <w:szCs w:val="18"/>
              </w:rPr>
              <w:t>-</w:t>
            </w:r>
          </w:p>
        </w:tc>
        <w:tc>
          <w:tcPr>
            <w:tcW w:w="803" w:type="dxa"/>
            <w:shd w:val="clear" w:color="auto" w:fill="auto"/>
            <w:noWrap/>
            <w:vAlign w:val="bottom"/>
            <w:hideMark/>
          </w:tcPr>
          <w:p w14:paraId="07EBA82A" w14:textId="1FF4E24C" w:rsidR="00991E50" w:rsidRPr="001F224B" w:rsidRDefault="00991E50" w:rsidP="00991E50">
            <w:pPr>
              <w:jc w:val="right"/>
              <w:rPr>
                <w:color w:val="000000"/>
                <w:sz w:val="18"/>
                <w:szCs w:val="18"/>
              </w:rPr>
            </w:pPr>
            <w:r w:rsidRPr="001F224B">
              <w:rPr>
                <w:color w:val="000000"/>
                <w:sz w:val="18"/>
                <w:szCs w:val="18"/>
              </w:rPr>
              <w:t>-</w:t>
            </w:r>
          </w:p>
        </w:tc>
        <w:tc>
          <w:tcPr>
            <w:tcW w:w="804" w:type="dxa"/>
            <w:shd w:val="clear" w:color="auto" w:fill="auto"/>
            <w:noWrap/>
            <w:vAlign w:val="bottom"/>
            <w:hideMark/>
          </w:tcPr>
          <w:p w14:paraId="769F0083" w14:textId="09568844" w:rsidR="00991E50" w:rsidRPr="001F224B" w:rsidRDefault="00991E50" w:rsidP="00991E50">
            <w:pPr>
              <w:jc w:val="right"/>
              <w:rPr>
                <w:color w:val="000000"/>
                <w:sz w:val="18"/>
                <w:szCs w:val="18"/>
              </w:rPr>
            </w:pPr>
            <w:r w:rsidRPr="001F224B">
              <w:rPr>
                <w:color w:val="000000"/>
                <w:sz w:val="18"/>
                <w:szCs w:val="18"/>
              </w:rPr>
              <w:t>-</w:t>
            </w:r>
          </w:p>
        </w:tc>
      </w:tr>
      <w:tr w:rsidR="00991E50" w:rsidRPr="001F224B" w14:paraId="1F87ECBE" w14:textId="77777777" w:rsidTr="00001A93">
        <w:trPr>
          <w:trHeight w:val="324"/>
        </w:trPr>
        <w:tc>
          <w:tcPr>
            <w:tcW w:w="2405" w:type="dxa"/>
            <w:shd w:val="clear" w:color="auto" w:fill="auto"/>
            <w:vAlign w:val="bottom"/>
            <w:hideMark/>
          </w:tcPr>
          <w:p w14:paraId="52194DA2" w14:textId="77777777" w:rsidR="00991E50" w:rsidRPr="001F224B" w:rsidRDefault="00991E50" w:rsidP="00991E50">
            <w:pPr>
              <w:rPr>
                <w:b/>
                <w:color w:val="000000"/>
                <w:sz w:val="18"/>
                <w:szCs w:val="18"/>
              </w:rPr>
            </w:pPr>
            <w:r w:rsidRPr="001F224B">
              <w:rPr>
                <w:b/>
                <w:color w:val="000000"/>
                <w:sz w:val="18"/>
                <w:szCs w:val="18"/>
              </w:rPr>
              <w:t>Toplam</w:t>
            </w:r>
          </w:p>
        </w:tc>
        <w:tc>
          <w:tcPr>
            <w:tcW w:w="803" w:type="dxa"/>
            <w:shd w:val="clear" w:color="auto" w:fill="auto"/>
            <w:noWrap/>
            <w:vAlign w:val="bottom"/>
          </w:tcPr>
          <w:p w14:paraId="09F6B6F8" w14:textId="77777777" w:rsidR="00991E50" w:rsidRPr="001F224B" w:rsidRDefault="00991E50" w:rsidP="00991E50">
            <w:pPr>
              <w:jc w:val="right"/>
              <w:rPr>
                <w:b/>
                <w:bCs/>
                <w:vanish/>
                <w:color w:val="000000"/>
                <w:sz w:val="18"/>
                <w:szCs w:val="18"/>
                <w:specVanish/>
              </w:rPr>
            </w:pPr>
            <w:r w:rsidRPr="001F224B">
              <w:rPr>
                <w:b/>
                <w:bCs/>
                <w:color w:val="000000"/>
                <w:sz w:val="18"/>
                <w:szCs w:val="18"/>
              </w:rPr>
              <w:t>22.413</w:t>
            </w:r>
          </w:p>
          <w:p w14:paraId="2FC41C50" w14:textId="57B65C10" w:rsidR="00991E50" w:rsidRPr="001F224B" w:rsidRDefault="00991E50" w:rsidP="00991E50">
            <w:pPr>
              <w:jc w:val="right"/>
              <w:rPr>
                <w:b/>
                <w:color w:val="000000"/>
                <w:sz w:val="18"/>
                <w:szCs w:val="18"/>
              </w:rPr>
            </w:pPr>
          </w:p>
        </w:tc>
        <w:tc>
          <w:tcPr>
            <w:tcW w:w="803" w:type="dxa"/>
            <w:shd w:val="clear" w:color="auto" w:fill="auto"/>
            <w:noWrap/>
            <w:vAlign w:val="bottom"/>
          </w:tcPr>
          <w:p w14:paraId="117F0873" w14:textId="255D137D" w:rsidR="00991E50" w:rsidRPr="001F224B" w:rsidRDefault="00991E50" w:rsidP="00991E50">
            <w:pPr>
              <w:jc w:val="right"/>
              <w:rPr>
                <w:b/>
                <w:color w:val="000000"/>
                <w:sz w:val="18"/>
                <w:szCs w:val="18"/>
              </w:rPr>
            </w:pPr>
            <w:r w:rsidRPr="001F224B">
              <w:rPr>
                <w:b/>
                <w:bCs/>
                <w:color w:val="000000"/>
                <w:sz w:val="18"/>
                <w:szCs w:val="18"/>
              </w:rPr>
              <w:t>-</w:t>
            </w:r>
          </w:p>
        </w:tc>
        <w:tc>
          <w:tcPr>
            <w:tcW w:w="804" w:type="dxa"/>
            <w:vAlign w:val="bottom"/>
          </w:tcPr>
          <w:p w14:paraId="5173E005" w14:textId="5B05ABC1" w:rsidR="00991E50" w:rsidRPr="001F224B" w:rsidRDefault="00991E50" w:rsidP="00991E50">
            <w:pPr>
              <w:jc w:val="right"/>
              <w:rPr>
                <w:b/>
                <w:color w:val="000000"/>
                <w:sz w:val="18"/>
                <w:szCs w:val="18"/>
              </w:rPr>
            </w:pPr>
            <w:r w:rsidRPr="001F224B">
              <w:rPr>
                <w:b/>
                <w:bCs/>
                <w:color w:val="000000"/>
                <w:sz w:val="18"/>
                <w:szCs w:val="18"/>
              </w:rPr>
              <w:t>-</w:t>
            </w:r>
          </w:p>
        </w:tc>
        <w:tc>
          <w:tcPr>
            <w:tcW w:w="803" w:type="dxa"/>
            <w:shd w:val="clear" w:color="auto" w:fill="auto"/>
            <w:noWrap/>
            <w:vAlign w:val="bottom"/>
          </w:tcPr>
          <w:p w14:paraId="6565FB27" w14:textId="6B67929E" w:rsidR="00991E50" w:rsidRPr="001F224B" w:rsidRDefault="00991E50" w:rsidP="00991E50">
            <w:pPr>
              <w:jc w:val="right"/>
              <w:rPr>
                <w:b/>
                <w:color w:val="000000"/>
                <w:sz w:val="18"/>
                <w:szCs w:val="18"/>
              </w:rPr>
            </w:pPr>
            <w:r w:rsidRPr="001F224B">
              <w:rPr>
                <w:b/>
                <w:bCs/>
                <w:color w:val="000000"/>
                <w:sz w:val="18"/>
                <w:szCs w:val="18"/>
              </w:rPr>
              <w:t>-</w:t>
            </w:r>
          </w:p>
        </w:tc>
        <w:tc>
          <w:tcPr>
            <w:tcW w:w="803" w:type="dxa"/>
            <w:shd w:val="clear" w:color="auto" w:fill="auto"/>
            <w:noWrap/>
            <w:vAlign w:val="bottom"/>
          </w:tcPr>
          <w:p w14:paraId="1460F11F" w14:textId="1E74CC68" w:rsidR="00991E50" w:rsidRPr="001F224B" w:rsidRDefault="00991E50" w:rsidP="00991E50">
            <w:pPr>
              <w:jc w:val="right"/>
              <w:rPr>
                <w:b/>
                <w:color w:val="000000"/>
                <w:sz w:val="18"/>
                <w:szCs w:val="18"/>
              </w:rPr>
            </w:pPr>
            <w:r w:rsidRPr="001F224B">
              <w:rPr>
                <w:b/>
                <w:bCs/>
                <w:color w:val="000000"/>
                <w:sz w:val="18"/>
                <w:szCs w:val="18"/>
              </w:rPr>
              <w:t>-</w:t>
            </w:r>
          </w:p>
        </w:tc>
        <w:tc>
          <w:tcPr>
            <w:tcW w:w="804" w:type="dxa"/>
            <w:shd w:val="clear" w:color="auto" w:fill="auto"/>
            <w:noWrap/>
            <w:vAlign w:val="bottom"/>
          </w:tcPr>
          <w:p w14:paraId="024686D7" w14:textId="77777777" w:rsidR="00991E50" w:rsidRPr="001F224B" w:rsidRDefault="00991E50" w:rsidP="00991E50">
            <w:pPr>
              <w:jc w:val="right"/>
              <w:rPr>
                <w:b/>
                <w:bCs/>
                <w:vanish/>
                <w:color w:val="000000"/>
                <w:sz w:val="18"/>
                <w:szCs w:val="18"/>
                <w:specVanish/>
              </w:rPr>
            </w:pPr>
            <w:r w:rsidRPr="001F224B">
              <w:rPr>
                <w:b/>
                <w:bCs/>
                <w:color w:val="000000"/>
                <w:sz w:val="18"/>
                <w:szCs w:val="18"/>
              </w:rPr>
              <w:t>357.583</w:t>
            </w:r>
          </w:p>
          <w:p w14:paraId="660EDF97" w14:textId="01D277B2" w:rsidR="00991E50" w:rsidRPr="001F224B" w:rsidRDefault="00991E50" w:rsidP="00991E50">
            <w:pPr>
              <w:ind w:left="-399" w:right="-77"/>
              <w:jc w:val="right"/>
              <w:rPr>
                <w:b/>
                <w:color w:val="000000"/>
                <w:sz w:val="18"/>
                <w:szCs w:val="18"/>
              </w:rPr>
            </w:pPr>
          </w:p>
        </w:tc>
        <w:tc>
          <w:tcPr>
            <w:tcW w:w="803" w:type="dxa"/>
            <w:shd w:val="clear" w:color="auto" w:fill="auto"/>
            <w:noWrap/>
            <w:vAlign w:val="bottom"/>
          </w:tcPr>
          <w:p w14:paraId="63A49FEF" w14:textId="771FEEC4" w:rsidR="00991E50" w:rsidRPr="001F224B" w:rsidRDefault="00991E50" w:rsidP="00991E50">
            <w:pPr>
              <w:jc w:val="right"/>
              <w:rPr>
                <w:b/>
                <w:color w:val="000000"/>
                <w:sz w:val="18"/>
                <w:szCs w:val="18"/>
              </w:rPr>
            </w:pPr>
            <w:r w:rsidRPr="001F224B">
              <w:rPr>
                <w:b/>
                <w:bCs/>
                <w:color w:val="000000"/>
                <w:sz w:val="18"/>
                <w:szCs w:val="18"/>
              </w:rPr>
              <w:t>-</w:t>
            </w:r>
          </w:p>
        </w:tc>
        <w:tc>
          <w:tcPr>
            <w:tcW w:w="803" w:type="dxa"/>
            <w:shd w:val="clear" w:color="auto" w:fill="auto"/>
            <w:noWrap/>
            <w:vAlign w:val="bottom"/>
          </w:tcPr>
          <w:p w14:paraId="6E2C8214" w14:textId="77777777" w:rsidR="00991E50" w:rsidRPr="001F224B" w:rsidRDefault="00991E50" w:rsidP="00991E50">
            <w:pPr>
              <w:jc w:val="right"/>
              <w:rPr>
                <w:b/>
                <w:bCs/>
                <w:vanish/>
                <w:color w:val="000000"/>
                <w:sz w:val="18"/>
                <w:szCs w:val="18"/>
                <w:specVanish/>
              </w:rPr>
            </w:pPr>
            <w:r w:rsidRPr="001F224B">
              <w:rPr>
                <w:b/>
                <w:bCs/>
                <w:color w:val="000000"/>
                <w:sz w:val="18"/>
                <w:szCs w:val="18"/>
              </w:rPr>
              <w:t>303.590</w:t>
            </w:r>
          </w:p>
          <w:p w14:paraId="3D988C3C" w14:textId="1F17C6A6" w:rsidR="00991E50" w:rsidRPr="001F224B" w:rsidRDefault="00991E50" w:rsidP="00991E50">
            <w:pPr>
              <w:jc w:val="right"/>
              <w:rPr>
                <w:b/>
                <w:color w:val="000000"/>
                <w:sz w:val="18"/>
                <w:szCs w:val="18"/>
              </w:rPr>
            </w:pPr>
          </w:p>
        </w:tc>
        <w:tc>
          <w:tcPr>
            <w:tcW w:w="804" w:type="dxa"/>
            <w:shd w:val="clear" w:color="auto" w:fill="auto"/>
            <w:noWrap/>
            <w:vAlign w:val="bottom"/>
          </w:tcPr>
          <w:p w14:paraId="27E8C29F" w14:textId="77777777" w:rsidR="00991E50" w:rsidRPr="001F224B" w:rsidRDefault="00991E50" w:rsidP="00991E50">
            <w:pPr>
              <w:jc w:val="right"/>
              <w:rPr>
                <w:b/>
                <w:bCs/>
                <w:vanish/>
                <w:color w:val="000000"/>
                <w:sz w:val="18"/>
                <w:szCs w:val="18"/>
                <w:specVanish/>
              </w:rPr>
            </w:pPr>
            <w:r w:rsidRPr="001F224B">
              <w:rPr>
                <w:b/>
                <w:bCs/>
                <w:color w:val="000000"/>
                <w:sz w:val="18"/>
                <w:szCs w:val="18"/>
              </w:rPr>
              <w:t>363.655</w:t>
            </w:r>
          </w:p>
          <w:p w14:paraId="2048AFAB" w14:textId="3C8726D0" w:rsidR="00991E50" w:rsidRPr="001F224B" w:rsidRDefault="00991E50" w:rsidP="00991E50">
            <w:pPr>
              <w:ind w:left="-107" w:right="-78"/>
              <w:jc w:val="center"/>
              <w:rPr>
                <w:b/>
                <w:color w:val="000000"/>
                <w:sz w:val="18"/>
                <w:szCs w:val="18"/>
              </w:rPr>
            </w:pPr>
          </w:p>
        </w:tc>
      </w:tr>
    </w:tbl>
    <w:p w14:paraId="3C9202A6" w14:textId="77777777" w:rsidR="00991E50" w:rsidRPr="001F224B" w:rsidRDefault="00991E50" w:rsidP="00991E50">
      <w:pPr>
        <w:spacing w:before="60"/>
        <w:ind w:firstLine="142"/>
        <w:rPr>
          <w:color w:val="000000"/>
          <w:sz w:val="16"/>
          <w:szCs w:val="16"/>
        </w:rPr>
      </w:pPr>
      <w:r w:rsidRPr="001F224B">
        <w:rPr>
          <w:sz w:val="18"/>
          <w:szCs w:val="16"/>
          <w:vertAlign w:val="superscript"/>
          <w:lang w:eastAsia="x-none"/>
        </w:rPr>
        <w:t xml:space="preserve"> (*)</w:t>
      </w:r>
      <w:r w:rsidRPr="001F224B">
        <w:rPr>
          <w:sz w:val="16"/>
          <w:szCs w:val="16"/>
          <w:lang w:eastAsia="x-none"/>
        </w:rPr>
        <w:t xml:space="preserve"> Toplam kredi riski: </w:t>
      </w:r>
      <w:r w:rsidRPr="001F224B">
        <w:rPr>
          <w:color w:val="000000"/>
          <w:sz w:val="16"/>
          <w:szCs w:val="16"/>
        </w:rPr>
        <w:t>Kredi riski azaltım uygulandıktan sonra sermaye yeterliliği hesaplamasında dikkate alınacak tutar.</w:t>
      </w:r>
    </w:p>
    <w:p w14:paraId="487C7B09" w14:textId="77777777" w:rsidR="00991E50" w:rsidRPr="001F224B" w:rsidRDefault="00991E50" w:rsidP="00991E50">
      <w:pPr>
        <w:pStyle w:val="ListParagraph"/>
        <w:tabs>
          <w:tab w:val="left" w:pos="0"/>
        </w:tabs>
        <w:spacing w:before="120"/>
        <w:ind w:left="0"/>
        <w:rPr>
          <w:b/>
          <w:bCs/>
          <w:sz w:val="22"/>
          <w:szCs w:val="22"/>
        </w:rPr>
      </w:pPr>
    </w:p>
    <w:p w14:paraId="4CCD75A5" w14:textId="77777777" w:rsidR="00991E50" w:rsidRPr="001F224B" w:rsidRDefault="00991E50" w:rsidP="00F64EC3">
      <w:pPr>
        <w:spacing w:line="360" w:lineRule="auto"/>
        <w:rPr>
          <w:b/>
          <w:bCs/>
          <w:sz w:val="22"/>
          <w:szCs w:val="22"/>
        </w:rPr>
      </w:pPr>
    </w:p>
    <w:p w14:paraId="22B61F6A" w14:textId="77777777" w:rsidR="00991E50" w:rsidRPr="001F224B" w:rsidRDefault="00991E50" w:rsidP="00991E50">
      <w:pPr>
        <w:pStyle w:val="ListParagraph"/>
        <w:tabs>
          <w:tab w:val="left" w:pos="0"/>
        </w:tabs>
        <w:spacing w:before="120"/>
        <w:ind w:left="0"/>
        <w:rPr>
          <w:b/>
          <w:bCs/>
          <w:sz w:val="22"/>
          <w:szCs w:val="22"/>
        </w:rPr>
      </w:pPr>
      <w:r w:rsidRPr="001F224B">
        <w:rPr>
          <w:b/>
          <w:bCs/>
          <w:sz w:val="22"/>
          <w:szCs w:val="22"/>
        </w:rPr>
        <w:t>DÖRDÜNCÜ BÖLÜM (Devamı)</w:t>
      </w:r>
    </w:p>
    <w:p w14:paraId="3FDFF276" w14:textId="77777777" w:rsidR="00991E50" w:rsidRPr="001F224B" w:rsidRDefault="00991E50" w:rsidP="00991E50">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0D656140" w14:textId="77777777" w:rsidR="00991E50" w:rsidRPr="001F224B" w:rsidRDefault="00991E50" w:rsidP="00991E50">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05509990" w14:textId="77777777" w:rsidR="00991E50" w:rsidRPr="001F224B" w:rsidRDefault="00991E50" w:rsidP="00991E50">
      <w:pPr>
        <w:spacing w:before="120" w:after="120"/>
        <w:jc w:val="both"/>
        <w:rPr>
          <w:b/>
          <w:sz w:val="22"/>
          <w:szCs w:val="22"/>
          <w:lang w:eastAsia="x-none"/>
        </w:rPr>
      </w:pPr>
      <w:r w:rsidRPr="001F224B">
        <w:rPr>
          <w:b/>
          <w:sz w:val="22"/>
          <w:szCs w:val="22"/>
        </w:rPr>
        <w:t xml:space="preserve">9. </w:t>
      </w:r>
      <w:r w:rsidRPr="001F224B">
        <w:rPr>
          <w:b/>
          <w:sz w:val="22"/>
          <w:szCs w:val="22"/>
          <w:lang w:eastAsia="x-none"/>
        </w:rPr>
        <w:t>Karşı taraf kredi riski için kullanılan teminatlar:</w:t>
      </w:r>
    </w:p>
    <w:p w14:paraId="001FDD78" w14:textId="77777777" w:rsidR="00991E50" w:rsidRPr="001F224B" w:rsidRDefault="00991E50" w:rsidP="00991E50">
      <w:pPr>
        <w:jc w:val="both"/>
        <w:rPr>
          <w:sz w:val="16"/>
          <w:szCs w:val="16"/>
          <w:lang w:eastAsia="x-none"/>
        </w:rPr>
      </w:pPr>
    </w:p>
    <w:tbl>
      <w:tblPr>
        <w:tblW w:w="9928" w:type="dxa"/>
        <w:tblInd w:w="137" w:type="dxa"/>
        <w:tblCellMar>
          <w:left w:w="70" w:type="dxa"/>
          <w:right w:w="70" w:type="dxa"/>
        </w:tblCellMar>
        <w:tblLook w:val="04A0" w:firstRow="1" w:lastRow="0" w:firstColumn="1" w:lastColumn="0" w:noHBand="0" w:noVBand="1"/>
      </w:tblPr>
      <w:tblGrid>
        <w:gridCol w:w="2263"/>
        <w:gridCol w:w="997"/>
        <w:gridCol w:w="1011"/>
        <w:gridCol w:w="1399"/>
        <w:gridCol w:w="1418"/>
        <w:gridCol w:w="1417"/>
        <w:gridCol w:w="1423"/>
      </w:tblGrid>
      <w:tr w:rsidR="00991E50" w:rsidRPr="001F224B" w14:paraId="7CB3902D" w14:textId="77777777" w:rsidTr="00001A93">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617FE1E4" w14:textId="77777777" w:rsidR="00991E50" w:rsidRPr="001F224B" w:rsidRDefault="00991E50" w:rsidP="00001A93">
            <w:pPr>
              <w:ind w:right="-79"/>
              <w:rPr>
                <w:b/>
                <w:sz w:val="20"/>
                <w:szCs w:val="20"/>
                <w:lang w:eastAsia="x-none"/>
              </w:rPr>
            </w:pPr>
            <w:r w:rsidRPr="001F224B">
              <w:rPr>
                <w:b/>
                <w:sz w:val="20"/>
                <w:szCs w:val="20"/>
                <w:lang w:eastAsia="x-none"/>
              </w:rPr>
              <w:t xml:space="preserve">Cari Dönem </w:t>
            </w:r>
          </w:p>
          <w:p w14:paraId="0209C27F" w14:textId="6B59A99A" w:rsidR="00991E50" w:rsidRPr="001F224B" w:rsidRDefault="00991E50" w:rsidP="00001A93">
            <w:pPr>
              <w:ind w:right="-79"/>
              <w:rPr>
                <w:color w:val="000000"/>
                <w:sz w:val="20"/>
                <w:szCs w:val="20"/>
              </w:rPr>
            </w:pPr>
            <w:r w:rsidRPr="001F224B">
              <w:rPr>
                <w:b/>
                <w:sz w:val="20"/>
                <w:szCs w:val="20"/>
                <w:lang w:eastAsia="x-none"/>
              </w:rPr>
              <w:t>(30.06.2025)</w:t>
            </w:r>
          </w:p>
        </w:tc>
        <w:tc>
          <w:tcPr>
            <w:tcW w:w="4825" w:type="dxa"/>
            <w:gridSpan w:val="4"/>
            <w:tcBorders>
              <w:top w:val="single" w:sz="4" w:space="0" w:color="auto"/>
              <w:left w:val="nil"/>
              <w:bottom w:val="single" w:sz="4" w:space="0" w:color="auto"/>
              <w:right w:val="single" w:sz="4" w:space="0" w:color="auto"/>
            </w:tcBorders>
            <w:shd w:val="clear" w:color="auto" w:fill="auto"/>
            <w:vAlign w:val="bottom"/>
            <w:hideMark/>
          </w:tcPr>
          <w:p w14:paraId="4B773BC2" w14:textId="77777777" w:rsidR="00991E50" w:rsidRPr="001F224B" w:rsidRDefault="00991E50" w:rsidP="00001A93">
            <w:pPr>
              <w:jc w:val="center"/>
              <w:rPr>
                <w:color w:val="000000"/>
                <w:sz w:val="20"/>
                <w:szCs w:val="20"/>
              </w:rPr>
            </w:pPr>
            <w:r w:rsidRPr="001F224B">
              <w:rPr>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383C4F1B" w14:textId="77777777" w:rsidR="00991E50" w:rsidRPr="001F224B" w:rsidRDefault="00991E50" w:rsidP="00001A93">
            <w:pPr>
              <w:jc w:val="center"/>
              <w:rPr>
                <w:color w:val="000000"/>
                <w:sz w:val="20"/>
                <w:szCs w:val="20"/>
              </w:rPr>
            </w:pPr>
            <w:r w:rsidRPr="001F224B">
              <w:rPr>
                <w:color w:val="000000"/>
                <w:sz w:val="20"/>
                <w:szCs w:val="20"/>
              </w:rPr>
              <w:t>Diğer işlem teminatları</w:t>
            </w:r>
          </w:p>
        </w:tc>
      </w:tr>
      <w:tr w:rsidR="00991E50" w:rsidRPr="001F224B" w14:paraId="0E19D660" w14:textId="77777777" w:rsidTr="00001A93">
        <w:trPr>
          <w:trHeight w:val="286"/>
        </w:trPr>
        <w:tc>
          <w:tcPr>
            <w:tcW w:w="2263" w:type="dxa"/>
            <w:vMerge/>
            <w:tcBorders>
              <w:left w:val="single" w:sz="4" w:space="0" w:color="auto"/>
              <w:right w:val="single" w:sz="4" w:space="0" w:color="auto"/>
            </w:tcBorders>
            <w:shd w:val="clear" w:color="auto" w:fill="auto"/>
            <w:noWrap/>
            <w:vAlign w:val="bottom"/>
            <w:hideMark/>
          </w:tcPr>
          <w:p w14:paraId="0FAF1898" w14:textId="77777777" w:rsidR="00991E50" w:rsidRPr="001F224B" w:rsidRDefault="00991E50" w:rsidP="00001A93">
            <w:pPr>
              <w:rPr>
                <w:color w:val="000000"/>
                <w:sz w:val="20"/>
                <w:szCs w:val="20"/>
              </w:rPr>
            </w:pPr>
          </w:p>
        </w:tc>
        <w:tc>
          <w:tcPr>
            <w:tcW w:w="2008" w:type="dxa"/>
            <w:gridSpan w:val="2"/>
            <w:tcBorders>
              <w:top w:val="single" w:sz="4" w:space="0" w:color="auto"/>
              <w:left w:val="nil"/>
              <w:bottom w:val="single" w:sz="4" w:space="0" w:color="auto"/>
              <w:right w:val="single" w:sz="4" w:space="0" w:color="auto"/>
            </w:tcBorders>
            <w:shd w:val="clear" w:color="auto" w:fill="auto"/>
            <w:vAlign w:val="bottom"/>
            <w:hideMark/>
          </w:tcPr>
          <w:p w14:paraId="4B4F37A4" w14:textId="77777777" w:rsidR="00991E50" w:rsidRPr="001F224B" w:rsidRDefault="00991E50" w:rsidP="00001A93">
            <w:pPr>
              <w:jc w:val="center"/>
              <w:rPr>
                <w:color w:val="000000"/>
                <w:sz w:val="20"/>
                <w:szCs w:val="20"/>
              </w:rPr>
            </w:pPr>
            <w:r w:rsidRPr="001F224B">
              <w:rPr>
                <w:color w:val="000000"/>
                <w:sz w:val="20"/>
                <w:szCs w:val="20"/>
              </w:rPr>
              <w:t>Alınan teminatlar</w:t>
            </w:r>
          </w:p>
        </w:tc>
        <w:tc>
          <w:tcPr>
            <w:tcW w:w="2817" w:type="dxa"/>
            <w:gridSpan w:val="2"/>
            <w:tcBorders>
              <w:top w:val="single" w:sz="4" w:space="0" w:color="auto"/>
              <w:left w:val="nil"/>
              <w:bottom w:val="single" w:sz="4" w:space="0" w:color="auto"/>
              <w:right w:val="single" w:sz="4" w:space="0" w:color="auto"/>
            </w:tcBorders>
            <w:shd w:val="clear" w:color="auto" w:fill="auto"/>
            <w:vAlign w:val="bottom"/>
            <w:hideMark/>
          </w:tcPr>
          <w:p w14:paraId="39165FCD" w14:textId="77777777" w:rsidR="00991E50" w:rsidRPr="001F224B" w:rsidRDefault="00991E50" w:rsidP="00001A93">
            <w:pPr>
              <w:jc w:val="center"/>
              <w:rPr>
                <w:color w:val="000000"/>
                <w:sz w:val="20"/>
                <w:szCs w:val="20"/>
              </w:rPr>
            </w:pPr>
            <w:r w:rsidRPr="001F224B">
              <w:rPr>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2A66116B" w14:textId="77777777" w:rsidR="00991E50" w:rsidRPr="001F224B" w:rsidRDefault="00991E50" w:rsidP="00001A93">
            <w:pPr>
              <w:jc w:val="center"/>
              <w:rPr>
                <w:color w:val="000000"/>
                <w:sz w:val="20"/>
                <w:szCs w:val="20"/>
              </w:rPr>
            </w:pPr>
            <w:r w:rsidRPr="001F224B">
              <w:rPr>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bottom"/>
            <w:hideMark/>
          </w:tcPr>
          <w:p w14:paraId="28B6F676" w14:textId="77777777" w:rsidR="00991E50" w:rsidRPr="001F224B" w:rsidRDefault="00991E50" w:rsidP="00001A93">
            <w:pPr>
              <w:jc w:val="center"/>
              <w:rPr>
                <w:color w:val="000000"/>
                <w:sz w:val="20"/>
                <w:szCs w:val="20"/>
              </w:rPr>
            </w:pPr>
            <w:r w:rsidRPr="001F224B">
              <w:rPr>
                <w:color w:val="000000"/>
                <w:sz w:val="20"/>
                <w:szCs w:val="20"/>
              </w:rPr>
              <w:t>Verilen teminatlar</w:t>
            </w:r>
          </w:p>
        </w:tc>
      </w:tr>
      <w:tr w:rsidR="00991E50" w:rsidRPr="001F224B" w14:paraId="07CEE455" w14:textId="77777777" w:rsidTr="00001A93">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1041DB9F" w14:textId="77777777" w:rsidR="00991E50" w:rsidRPr="001F224B" w:rsidRDefault="00991E50" w:rsidP="00001A93">
            <w:pPr>
              <w:rPr>
                <w:color w:val="000000"/>
                <w:sz w:val="20"/>
                <w:szCs w:val="20"/>
              </w:rPr>
            </w:pPr>
          </w:p>
        </w:tc>
        <w:tc>
          <w:tcPr>
            <w:tcW w:w="997" w:type="dxa"/>
            <w:tcBorders>
              <w:top w:val="nil"/>
              <w:left w:val="nil"/>
              <w:bottom w:val="single" w:sz="4" w:space="0" w:color="auto"/>
              <w:right w:val="single" w:sz="4" w:space="0" w:color="auto"/>
            </w:tcBorders>
            <w:shd w:val="clear" w:color="auto" w:fill="auto"/>
            <w:noWrap/>
            <w:vAlign w:val="bottom"/>
            <w:hideMark/>
          </w:tcPr>
          <w:p w14:paraId="499325D3" w14:textId="77777777" w:rsidR="00991E50" w:rsidRPr="001F224B" w:rsidRDefault="00991E50" w:rsidP="00001A93">
            <w:pPr>
              <w:jc w:val="center"/>
              <w:rPr>
                <w:color w:val="000000"/>
                <w:sz w:val="20"/>
                <w:szCs w:val="20"/>
              </w:rPr>
            </w:pPr>
            <w:r w:rsidRPr="001F224B">
              <w:rPr>
                <w:color w:val="000000"/>
                <w:sz w:val="20"/>
                <w:szCs w:val="20"/>
              </w:rPr>
              <w:t xml:space="preserve">Serbest Olmayan </w:t>
            </w:r>
          </w:p>
        </w:tc>
        <w:tc>
          <w:tcPr>
            <w:tcW w:w="1011" w:type="dxa"/>
            <w:tcBorders>
              <w:top w:val="nil"/>
              <w:left w:val="nil"/>
              <w:bottom w:val="single" w:sz="4" w:space="0" w:color="auto"/>
              <w:right w:val="single" w:sz="4" w:space="0" w:color="auto"/>
            </w:tcBorders>
            <w:shd w:val="clear" w:color="auto" w:fill="auto"/>
            <w:noWrap/>
            <w:vAlign w:val="bottom"/>
            <w:hideMark/>
          </w:tcPr>
          <w:p w14:paraId="2D1ED8EF" w14:textId="77777777" w:rsidR="00991E50" w:rsidRPr="001F224B" w:rsidRDefault="00991E50" w:rsidP="00001A93">
            <w:pPr>
              <w:jc w:val="center"/>
              <w:rPr>
                <w:color w:val="000000"/>
                <w:sz w:val="20"/>
                <w:szCs w:val="20"/>
              </w:rPr>
            </w:pPr>
            <w:r w:rsidRPr="001F224B">
              <w:rPr>
                <w:color w:val="000000"/>
                <w:sz w:val="20"/>
                <w:szCs w:val="20"/>
              </w:rPr>
              <w:t xml:space="preserve">Serbest </w:t>
            </w:r>
          </w:p>
        </w:tc>
        <w:tc>
          <w:tcPr>
            <w:tcW w:w="1399" w:type="dxa"/>
            <w:tcBorders>
              <w:top w:val="nil"/>
              <w:left w:val="nil"/>
              <w:bottom w:val="single" w:sz="4" w:space="0" w:color="auto"/>
              <w:right w:val="single" w:sz="4" w:space="0" w:color="auto"/>
            </w:tcBorders>
            <w:shd w:val="clear" w:color="auto" w:fill="auto"/>
            <w:noWrap/>
            <w:vAlign w:val="bottom"/>
            <w:hideMark/>
          </w:tcPr>
          <w:p w14:paraId="13751508" w14:textId="77777777" w:rsidR="00991E50" w:rsidRPr="001F224B" w:rsidRDefault="00991E50" w:rsidP="00001A93">
            <w:pPr>
              <w:jc w:val="center"/>
              <w:rPr>
                <w:color w:val="000000"/>
                <w:sz w:val="20"/>
                <w:szCs w:val="20"/>
              </w:rPr>
            </w:pPr>
            <w:r w:rsidRPr="001F224B">
              <w:rPr>
                <w:color w:val="000000"/>
                <w:sz w:val="20"/>
                <w:szCs w:val="20"/>
              </w:rPr>
              <w:t xml:space="preserve">Serbest Olmayan </w:t>
            </w:r>
          </w:p>
        </w:tc>
        <w:tc>
          <w:tcPr>
            <w:tcW w:w="1418" w:type="dxa"/>
            <w:tcBorders>
              <w:top w:val="nil"/>
              <w:left w:val="nil"/>
              <w:bottom w:val="single" w:sz="4" w:space="0" w:color="auto"/>
              <w:right w:val="single" w:sz="4" w:space="0" w:color="auto"/>
            </w:tcBorders>
            <w:shd w:val="clear" w:color="auto" w:fill="auto"/>
            <w:noWrap/>
            <w:vAlign w:val="bottom"/>
            <w:hideMark/>
          </w:tcPr>
          <w:p w14:paraId="0DB47CF8" w14:textId="77777777" w:rsidR="00991E50" w:rsidRPr="001F224B" w:rsidRDefault="00991E50" w:rsidP="00001A93">
            <w:pPr>
              <w:jc w:val="center"/>
              <w:rPr>
                <w:color w:val="000000"/>
                <w:sz w:val="20"/>
                <w:szCs w:val="20"/>
              </w:rPr>
            </w:pPr>
            <w:r w:rsidRPr="001F224B">
              <w:rPr>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602AFE40" w14:textId="77777777" w:rsidR="00991E50" w:rsidRPr="001F224B" w:rsidRDefault="00991E50" w:rsidP="00001A93">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6C68B404" w14:textId="77777777" w:rsidR="00991E50" w:rsidRPr="001F224B" w:rsidRDefault="00991E50" w:rsidP="00001A93">
            <w:pPr>
              <w:rPr>
                <w:color w:val="000000"/>
                <w:sz w:val="20"/>
                <w:szCs w:val="20"/>
              </w:rPr>
            </w:pPr>
          </w:p>
        </w:tc>
      </w:tr>
      <w:tr w:rsidR="00747969" w:rsidRPr="001F224B" w14:paraId="250E5057"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71A537E" w14:textId="77777777" w:rsidR="00747969" w:rsidRPr="001F224B" w:rsidRDefault="00747969" w:rsidP="00747969">
            <w:pPr>
              <w:rPr>
                <w:color w:val="000000"/>
                <w:sz w:val="20"/>
                <w:szCs w:val="20"/>
              </w:rPr>
            </w:pPr>
            <w:r w:rsidRPr="001F224B">
              <w:rPr>
                <w:color w:val="000000"/>
                <w:sz w:val="20"/>
                <w:szCs w:val="20"/>
              </w:rPr>
              <w:t xml:space="preserve">Nakit – Türk Lirası </w:t>
            </w:r>
          </w:p>
        </w:tc>
        <w:tc>
          <w:tcPr>
            <w:tcW w:w="997" w:type="dxa"/>
            <w:tcBorders>
              <w:top w:val="nil"/>
              <w:left w:val="nil"/>
              <w:bottom w:val="single" w:sz="4" w:space="0" w:color="auto"/>
              <w:right w:val="single" w:sz="4" w:space="0" w:color="auto"/>
            </w:tcBorders>
            <w:shd w:val="clear" w:color="auto" w:fill="auto"/>
            <w:noWrap/>
            <w:vAlign w:val="bottom"/>
            <w:hideMark/>
          </w:tcPr>
          <w:p w14:paraId="3801CE9B" w14:textId="066F8AB0" w:rsidR="00747969" w:rsidRPr="001F224B" w:rsidRDefault="00747969" w:rsidP="00747969">
            <w:pPr>
              <w:jc w:val="right"/>
              <w:rPr>
                <w:color w:val="000000"/>
                <w:sz w:val="20"/>
                <w:szCs w:val="20"/>
              </w:rPr>
            </w:pPr>
            <w:r w:rsidRPr="001F224B">
              <w:rPr>
                <w:color w:val="000000"/>
                <w:sz w:val="20"/>
                <w:szCs w:val="20"/>
              </w:rPr>
              <w:t> -</w:t>
            </w:r>
          </w:p>
        </w:tc>
        <w:tc>
          <w:tcPr>
            <w:tcW w:w="1011" w:type="dxa"/>
            <w:tcBorders>
              <w:top w:val="nil"/>
              <w:left w:val="nil"/>
              <w:bottom w:val="single" w:sz="4" w:space="0" w:color="auto"/>
              <w:right w:val="single" w:sz="4" w:space="0" w:color="auto"/>
            </w:tcBorders>
            <w:shd w:val="clear" w:color="auto" w:fill="auto"/>
            <w:noWrap/>
            <w:vAlign w:val="bottom"/>
            <w:hideMark/>
          </w:tcPr>
          <w:p w14:paraId="385FF53D" w14:textId="20FD9C09"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544FF256" w14:textId="10428A50"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1A10AA88" w14:textId="797ED11A"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C6ADC5B" w14:textId="631AFF06"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A944454" w14:textId="799421E4"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46676EA5"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12CDCF8" w14:textId="77777777" w:rsidR="00747969" w:rsidRPr="001F224B" w:rsidRDefault="00747969" w:rsidP="00747969">
            <w:pPr>
              <w:rPr>
                <w:color w:val="000000"/>
                <w:sz w:val="20"/>
                <w:szCs w:val="20"/>
              </w:rPr>
            </w:pPr>
            <w:r w:rsidRPr="001F224B">
              <w:rPr>
                <w:color w:val="000000"/>
                <w:sz w:val="20"/>
                <w:szCs w:val="20"/>
              </w:rPr>
              <w:t>Nakit – yabancı para</w:t>
            </w:r>
          </w:p>
        </w:tc>
        <w:tc>
          <w:tcPr>
            <w:tcW w:w="997" w:type="dxa"/>
            <w:tcBorders>
              <w:top w:val="nil"/>
              <w:left w:val="nil"/>
              <w:bottom w:val="single" w:sz="4" w:space="0" w:color="auto"/>
              <w:right w:val="single" w:sz="4" w:space="0" w:color="auto"/>
            </w:tcBorders>
            <w:shd w:val="clear" w:color="auto" w:fill="auto"/>
            <w:noWrap/>
            <w:vAlign w:val="bottom"/>
            <w:hideMark/>
          </w:tcPr>
          <w:p w14:paraId="2125D4E3" w14:textId="696C0D09"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4364C42F" w14:textId="4EB2A0DD"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0BC71000" w14:textId="56172AC4"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6EBD8A11" w14:textId="4504B291"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866A59C" w14:textId="0E04682A"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14EC4032" w14:textId="1D73E6CC"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0C7BB4A8"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90C776D" w14:textId="77777777" w:rsidR="00747969" w:rsidRPr="001F224B" w:rsidRDefault="00747969" w:rsidP="00747969">
            <w:pPr>
              <w:rPr>
                <w:color w:val="000000"/>
                <w:sz w:val="20"/>
                <w:szCs w:val="20"/>
              </w:rPr>
            </w:pPr>
            <w:r w:rsidRPr="001F224B">
              <w:rPr>
                <w:color w:val="000000"/>
                <w:sz w:val="20"/>
                <w:szCs w:val="20"/>
              </w:rPr>
              <w:t xml:space="preserve">Devlet tahvil/bono – Hazine/TCMB </w:t>
            </w:r>
          </w:p>
        </w:tc>
        <w:tc>
          <w:tcPr>
            <w:tcW w:w="997" w:type="dxa"/>
            <w:tcBorders>
              <w:top w:val="nil"/>
              <w:left w:val="nil"/>
              <w:bottom w:val="single" w:sz="4" w:space="0" w:color="auto"/>
              <w:right w:val="single" w:sz="4" w:space="0" w:color="auto"/>
            </w:tcBorders>
            <w:shd w:val="clear" w:color="auto" w:fill="auto"/>
            <w:noWrap/>
            <w:vAlign w:val="bottom"/>
            <w:hideMark/>
          </w:tcPr>
          <w:p w14:paraId="3E4E4F03" w14:textId="34E08562"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5D3A0BB1" w14:textId="0BB48C51"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16DF6AD5" w14:textId="12848030" w:rsidR="00747969" w:rsidRPr="001F224B" w:rsidRDefault="00747969" w:rsidP="00747969">
            <w:pPr>
              <w:jc w:val="right"/>
              <w:rPr>
                <w:color w:val="000000"/>
                <w:sz w:val="20"/>
                <w:szCs w:val="20"/>
              </w:rPr>
            </w:pPr>
            <w:r w:rsidRPr="001F224B">
              <w:rPr>
                <w:color w:val="000000"/>
                <w:sz w:val="20"/>
                <w:szCs w:val="20"/>
              </w:rPr>
              <w:t>537.942</w:t>
            </w:r>
          </w:p>
        </w:tc>
        <w:tc>
          <w:tcPr>
            <w:tcW w:w="1418" w:type="dxa"/>
            <w:tcBorders>
              <w:top w:val="nil"/>
              <w:left w:val="nil"/>
              <w:bottom w:val="single" w:sz="4" w:space="0" w:color="auto"/>
              <w:right w:val="single" w:sz="4" w:space="0" w:color="auto"/>
            </w:tcBorders>
            <w:shd w:val="clear" w:color="auto" w:fill="auto"/>
            <w:noWrap/>
            <w:vAlign w:val="bottom"/>
            <w:hideMark/>
          </w:tcPr>
          <w:p w14:paraId="14122594" w14:textId="447937C5"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85B16" w14:textId="0F30F305"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680B16EF" w14:textId="4F29FB27" w:rsidR="00747969" w:rsidRPr="001F224B" w:rsidRDefault="00747969" w:rsidP="00747969">
            <w:pPr>
              <w:jc w:val="right"/>
              <w:rPr>
                <w:color w:val="000000"/>
                <w:sz w:val="20"/>
                <w:szCs w:val="20"/>
              </w:rPr>
            </w:pPr>
            <w:r w:rsidRPr="001F224B">
              <w:rPr>
                <w:color w:val="000000"/>
                <w:sz w:val="20"/>
                <w:szCs w:val="20"/>
              </w:rPr>
              <w:t>4.182.956</w:t>
            </w:r>
          </w:p>
        </w:tc>
      </w:tr>
      <w:tr w:rsidR="00747969" w:rsidRPr="001F224B" w14:paraId="57DC040F"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0CE3EBE" w14:textId="77777777" w:rsidR="00747969" w:rsidRPr="001F224B" w:rsidRDefault="00747969" w:rsidP="00747969">
            <w:pPr>
              <w:rPr>
                <w:color w:val="000000"/>
                <w:sz w:val="20"/>
                <w:szCs w:val="20"/>
              </w:rPr>
            </w:pPr>
            <w:r w:rsidRPr="001F224B">
              <w:rPr>
                <w:color w:val="000000"/>
                <w:sz w:val="20"/>
                <w:szCs w:val="20"/>
              </w:rPr>
              <w:t>Devlet tahvil/bono - diğer</w:t>
            </w:r>
          </w:p>
        </w:tc>
        <w:tc>
          <w:tcPr>
            <w:tcW w:w="997" w:type="dxa"/>
            <w:tcBorders>
              <w:top w:val="nil"/>
              <w:left w:val="nil"/>
              <w:bottom w:val="single" w:sz="4" w:space="0" w:color="auto"/>
              <w:right w:val="single" w:sz="4" w:space="0" w:color="auto"/>
            </w:tcBorders>
            <w:shd w:val="clear" w:color="auto" w:fill="auto"/>
            <w:noWrap/>
            <w:vAlign w:val="bottom"/>
            <w:hideMark/>
          </w:tcPr>
          <w:p w14:paraId="0349AADC" w14:textId="261AF246"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3C2C775D" w14:textId="4650D11E"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10EC0E07" w14:textId="54D697D8"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4AE2E89A" w14:textId="66A7AE85"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7E022F69" w14:textId="0ED3E7A6"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4E1DCAF" w14:textId="7C603B60"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57417DB4"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E948F2A" w14:textId="77777777" w:rsidR="00747969" w:rsidRPr="001F224B" w:rsidRDefault="00747969" w:rsidP="00747969">
            <w:pPr>
              <w:rPr>
                <w:color w:val="000000"/>
                <w:sz w:val="20"/>
                <w:szCs w:val="20"/>
              </w:rPr>
            </w:pPr>
            <w:r w:rsidRPr="001F224B">
              <w:rPr>
                <w:color w:val="000000"/>
                <w:sz w:val="20"/>
                <w:szCs w:val="20"/>
              </w:rPr>
              <w:t>Kamu kurum tahvil/bono</w:t>
            </w:r>
          </w:p>
        </w:tc>
        <w:tc>
          <w:tcPr>
            <w:tcW w:w="997" w:type="dxa"/>
            <w:tcBorders>
              <w:top w:val="nil"/>
              <w:left w:val="nil"/>
              <w:bottom w:val="single" w:sz="4" w:space="0" w:color="auto"/>
              <w:right w:val="single" w:sz="4" w:space="0" w:color="auto"/>
            </w:tcBorders>
            <w:shd w:val="clear" w:color="auto" w:fill="auto"/>
            <w:noWrap/>
            <w:vAlign w:val="bottom"/>
            <w:hideMark/>
          </w:tcPr>
          <w:p w14:paraId="1444FE53" w14:textId="3A70B66E"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35DD753E" w14:textId="31FAF4E5"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0BE7A31E" w14:textId="0C5890BA"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50697656" w14:textId="04292182"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8EDA32C" w14:textId="7BFE5973"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F99B855" w14:textId="7A086E22"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55470FE3"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68040A7" w14:textId="77777777" w:rsidR="00747969" w:rsidRPr="001F224B" w:rsidRDefault="00747969" w:rsidP="00747969">
            <w:pPr>
              <w:rPr>
                <w:color w:val="000000"/>
                <w:sz w:val="20"/>
                <w:szCs w:val="20"/>
              </w:rPr>
            </w:pPr>
            <w:r w:rsidRPr="001F224B">
              <w:rPr>
                <w:color w:val="000000"/>
                <w:sz w:val="20"/>
                <w:szCs w:val="20"/>
              </w:rPr>
              <w:t>Kurumsal tahvil/bono</w:t>
            </w:r>
          </w:p>
        </w:tc>
        <w:tc>
          <w:tcPr>
            <w:tcW w:w="997" w:type="dxa"/>
            <w:tcBorders>
              <w:top w:val="nil"/>
              <w:left w:val="nil"/>
              <w:bottom w:val="single" w:sz="4" w:space="0" w:color="auto"/>
              <w:right w:val="single" w:sz="4" w:space="0" w:color="auto"/>
            </w:tcBorders>
            <w:shd w:val="clear" w:color="auto" w:fill="auto"/>
            <w:noWrap/>
            <w:vAlign w:val="bottom"/>
            <w:hideMark/>
          </w:tcPr>
          <w:p w14:paraId="013D0D7B" w14:textId="3BA354B6"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1E3ACDC0" w14:textId="00386FD8"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50F3FCB7" w14:textId="54BCAE0A"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3B32E623" w14:textId="39EB2EBD"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2AB3B338" w14:textId="7F827977"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AEF3167" w14:textId="409DD71B"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2EA1271E"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2395EA5" w14:textId="77777777" w:rsidR="00747969" w:rsidRPr="001F224B" w:rsidRDefault="00747969" w:rsidP="00747969">
            <w:pPr>
              <w:rPr>
                <w:color w:val="000000"/>
                <w:sz w:val="20"/>
                <w:szCs w:val="20"/>
              </w:rPr>
            </w:pPr>
            <w:r w:rsidRPr="001F224B">
              <w:rPr>
                <w:color w:val="000000"/>
                <w:sz w:val="20"/>
                <w:szCs w:val="20"/>
              </w:rPr>
              <w:t>Hisse senedi</w:t>
            </w:r>
          </w:p>
        </w:tc>
        <w:tc>
          <w:tcPr>
            <w:tcW w:w="997" w:type="dxa"/>
            <w:tcBorders>
              <w:top w:val="nil"/>
              <w:left w:val="nil"/>
              <w:bottom w:val="single" w:sz="4" w:space="0" w:color="auto"/>
              <w:right w:val="single" w:sz="4" w:space="0" w:color="auto"/>
            </w:tcBorders>
            <w:shd w:val="clear" w:color="auto" w:fill="auto"/>
            <w:noWrap/>
            <w:vAlign w:val="bottom"/>
            <w:hideMark/>
          </w:tcPr>
          <w:p w14:paraId="0DF097FE" w14:textId="1F1AD00A"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620399A7" w14:textId="7493B8E2"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3F2A8637" w14:textId="4F035ECA"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5D6BD10F" w14:textId="08F1470C"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C400791" w14:textId="349177A6"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0F6EF45C" w14:textId="063AB532"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6537065E"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7667E7D" w14:textId="77777777" w:rsidR="00747969" w:rsidRPr="001F224B" w:rsidRDefault="00747969" w:rsidP="00747969">
            <w:pPr>
              <w:rPr>
                <w:color w:val="000000"/>
                <w:sz w:val="20"/>
                <w:szCs w:val="20"/>
              </w:rPr>
            </w:pPr>
            <w:r w:rsidRPr="001F224B">
              <w:rPr>
                <w:color w:val="000000"/>
                <w:sz w:val="20"/>
                <w:szCs w:val="20"/>
              </w:rPr>
              <w:t>Diğer teminat</w:t>
            </w:r>
          </w:p>
        </w:tc>
        <w:tc>
          <w:tcPr>
            <w:tcW w:w="997" w:type="dxa"/>
            <w:tcBorders>
              <w:top w:val="nil"/>
              <w:left w:val="nil"/>
              <w:bottom w:val="single" w:sz="4" w:space="0" w:color="auto"/>
              <w:right w:val="single" w:sz="4" w:space="0" w:color="auto"/>
            </w:tcBorders>
            <w:shd w:val="clear" w:color="auto" w:fill="auto"/>
            <w:noWrap/>
            <w:vAlign w:val="bottom"/>
            <w:hideMark/>
          </w:tcPr>
          <w:p w14:paraId="320F8463" w14:textId="350A8B51" w:rsidR="00747969" w:rsidRPr="001F224B" w:rsidRDefault="00747969" w:rsidP="00747969">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185690ED" w14:textId="47971CCE" w:rsidR="00747969" w:rsidRPr="001F224B" w:rsidRDefault="00747969" w:rsidP="00747969">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4C028819" w14:textId="1E1A3002" w:rsidR="00747969" w:rsidRPr="001F224B" w:rsidRDefault="00747969" w:rsidP="00747969">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182C032C" w14:textId="27906CC0" w:rsidR="00747969" w:rsidRPr="001F224B" w:rsidRDefault="00747969" w:rsidP="00747969">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B826B86" w14:textId="68791E7F" w:rsidR="00747969" w:rsidRPr="001F224B" w:rsidRDefault="00747969" w:rsidP="00747969">
            <w:pPr>
              <w:jc w:val="right"/>
              <w:rPr>
                <w:color w:val="000000"/>
                <w:sz w:val="20"/>
                <w:szCs w:val="20"/>
              </w:rPr>
            </w:pPr>
            <w:r w:rsidRPr="001F224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0563EAE5" w14:textId="05B65022" w:rsidR="00747969" w:rsidRPr="001F224B" w:rsidRDefault="00747969" w:rsidP="00747969">
            <w:pPr>
              <w:jc w:val="right"/>
              <w:rPr>
                <w:color w:val="000000"/>
                <w:sz w:val="20"/>
                <w:szCs w:val="20"/>
              </w:rPr>
            </w:pPr>
            <w:r w:rsidRPr="001F224B">
              <w:rPr>
                <w:color w:val="000000"/>
                <w:sz w:val="20"/>
                <w:szCs w:val="20"/>
              </w:rPr>
              <w:t>-</w:t>
            </w:r>
          </w:p>
        </w:tc>
      </w:tr>
      <w:tr w:rsidR="00747969" w:rsidRPr="001F224B" w14:paraId="04D27A90"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AFC2050" w14:textId="77777777" w:rsidR="00747969" w:rsidRPr="001F224B" w:rsidRDefault="00747969" w:rsidP="00747969">
            <w:pPr>
              <w:rPr>
                <w:b/>
                <w:color w:val="000000"/>
                <w:sz w:val="20"/>
                <w:szCs w:val="20"/>
              </w:rPr>
            </w:pPr>
            <w:r w:rsidRPr="001F224B">
              <w:rPr>
                <w:b/>
                <w:color w:val="000000"/>
                <w:sz w:val="20"/>
                <w:szCs w:val="20"/>
              </w:rPr>
              <w:t>Toplam</w:t>
            </w:r>
          </w:p>
        </w:tc>
        <w:tc>
          <w:tcPr>
            <w:tcW w:w="997" w:type="dxa"/>
            <w:tcBorders>
              <w:top w:val="nil"/>
              <w:left w:val="nil"/>
              <w:bottom w:val="single" w:sz="4" w:space="0" w:color="auto"/>
              <w:right w:val="single" w:sz="4" w:space="0" w:color="auto"/>
            </w:tcBorders>
            <w:shd w:val="clear" w:color="auto" w:fill="auto"/>
            <w:noWrap/>
            <w:vAlign w:val="bottom"/>
            <w:hideMark/>
          </w:tcPr>
          <w:p w14:paraId="05706094" w14:textId="5B1998C1" w:rsidR="00747969" w:rsidRPr="001F224B" w:rsidRDefault="00747969" w:rsidP="00747969">
            <w:pPr>
              <w:jc w:val="right"/>
              <w:rPr>
                <w:b/>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4335B421" w14:textId="02567B06" w:rsidR="00747969" w:rsidRPr="001F224B" w:rsidRDefault="00747969" w:rsidP="00747969">
            <w:pPr>
              <w:jc w:val="right"/>
              <w:rPr>
                <w:b/>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7E4C2FD3" w14:textId="645D5891" w:rsidR="00747969" w:rsidRPr="001F224B" w:rsidRDefault="00747969" w:rsidP="00747969">
            <w:pPr>
              <w:jc w:val="right"/>
              <w:rPr>
                <w:b/>
                <w:color w:val="000000"/>
                <w:sz w:val="20"/>
                <w:szCs w:val="20"/>
              </w:rPr>
            </w:pPr>
            <w:r w:rsidRPr="001F224B">
              <w:rPr>
                <w:b/>
                <w:bCs/>
                <w:color w:val="000000"/>
                <w:sz w:val="20"/>
                <w:szCs w:val="20"/>
              </w:rPr>
              <w:t>537.942</w:t>
            </w:r>
          </w:p>
        </w:tc>
        <w:tc>
          <w:tcPr>
            <w:tcW w:w="1418" w:type="dxa"/>
            <w:tcBorders>
              <w:top w:val="nil"/>
              <w:left w:val="nil"/>
              <w:bottom w:val="single" w:sz="4" w:space="0" w:color="auto"/>
              <w:right w:val="single" w:sz="4" w:space="0" w:color="auto"/>
            </w:tcBorders>
            <w:shd w:val="clear" w:color="auto" w:fill="auto"/>
            <w:noWrap/>
            <w:vAlign w:val="bottom"/>
            <w:hideMark/>
          </w:tcPr>
          <w:p w14:paraId="4BD3A9B0" w14:textId="7D3458B6" w:rsidR="00747969" w:rsidRPr="001F224B" w:rsidRDefault="00747969" w:rsidP="00747969">
            <w:pPr>
              <w:jc w:val="right"/>
              <w:rPr>
                <w:b/>
                <w:color w:val="000000"/>
                <w:sz w:val="20"/>
                <w:szCs w:val="20"/>
              </w:rPr>
            </w:pPr>
            <w:r w:rsidRPr="001F224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19E7B" w14:textId="0AB489A1" w:rsidR="00747969" w:rsidRPr="001F224B" w:rsidRDefault="00747969" w:rsidP="00747969">
            <w:pPr>
              <w:jc w:val="right"/>
              <w:rPr>
                <w:b/>
                <w:color w:val="000000"/>
                <w:sz w:val="20"/>
                <w:szCs w:val="20"/>
              </w:rPr>
            </w:pPr>
            <w:r w:rsidRPr="001F224B">
              <w:rPr>
                <w:b/>
                <w:bCs/>
                <w:color w:val="000000"/>
                <w:sz w:val="20"/>
                <w:szCs w:val="20"/>
              </w:rPr>
              <w:t>-</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2EC98A7C" w14:textId="597DCE3C" w:rsidR="00747969" w:rsidRPr="001F224B" w:rsidRDefault="00747969" w:rsidP="00747969">
            <w:pPr>
              <w:jc w:val="right"/>
              <w:rPr>
                <w:b/>
                <w:color w:val="000000"/>
                <w:sz w:val="20"/>
                <w:szCs w:val="20"/>
              </w:rPr>
            </w:pPr>
            <w:r w:rsidRPr="001F224B">
              <w:rPr>
                <w:b/>
                <w:bCs/>
                <w:color w:val="000000"/>
                <w:sz w:val="20"/>
                <w:szCs w:val="20"/>
              </w:rPr>
              <w:t>4.182.956</w:t>
            </w:r>
          </w:p>
        </w:tc>
      </w:tr>
    </w:tbl>
    <w:p w14:paraId="19B48CAE" w14:textId="77777777" w:rsidR="00991E50" w:rsidRPr="001F224B" w:rsidRDefault="00991E50" w:rsidP="00991E50">
      <w:pPr>
        <w:jc w:val="both"/>
        <w:rPr>
          <w:sz w:val="16"/>
          <w:szCs w:val="16"/>
          <w:lang w:eastAsia="x-none"/>
        </w:rPr>
      </w:pPr>
    </w:p>
    <w:p w14:paraId="3E85A2B0" w14:textId="77777777" w:rsidR="00991E50" w:rsidRPr="001F224B" w:rsidRDefault="00991E50" w:rsidP="00991E50">
      <w:pPr>
        <w:rPr>
          <w:b/>
          <w:bCs/>
          <w:sz w:val="22"/>
          <w:szCs w:val="22"/>
        </w:rPr>
      </w:pPr>
    </w:p>
    <w:tbl>
      <w:tblPr>
        <w:tblW w:w="9923" w:type="dxa"/>
        <w:tblInd w:w="137" w:type="dxa"/>
        <w:tblCellMar>
          <w:left w:w="70" w:type="dxa"/>
          <w:right w:w="70" w:type="dxa"/>
        </w:tblCellMar>
        <w:tblLook w:val="04A0" w:firstRow="1" w:lastRow="0" w:firstColumn="1" w:lastColumn="0" w:noHBand="0" w:noVBand="1"/>
      </w:tblPr>
      <w:tblGrid>
        <w:gridCol w:w="2263"/>
        <w:gridCol w:w="997"/>
        <w:gridCol w:w="1011"/>
        <w:gridCol w:w="1399"/>
        <w:gridCol w:w="1418"/>
        <w:gridCol w:w="1417"/>
        <w:gridCol w:w="1418"/>
      </w:tblGrid>
      <w:tr w:rsidR="00991E50" w:rsidRPr="001F224B" w14:paraId="1DE2F063" w14:textId="77777777" w:rsidTr="00001A93">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27BF0B9C" w14:textId="626AAE7B" w:rsidR="00991E50" w:rsidRPr="001F224B" w:rsidRDefault="00991E50" w:rsidP="00001A93">
            <w:pPr>
              <w:rPr>
                <w:color w:val="000000"/>
                <w:sz w:val="20"/>
                <w:szCs w:val="20"/>
              </w:rPr>
            </w:pPr>
            <w:r w:rsidRPr="001F224B">
              <w:rPr>
                <w:b/>
                <w:sz w:val="20"/>
                <w:szCs w:val="20"/>
                <w:lang w:eastAsia="x-none"/>
              </w:rPr>
              <w:t>Önceki Dönem (31.12.2024)</w:t>
            </w:r>
          </w:p>
        </w:tc>
        <w:tc>
          <w:tcPr>
            <w:tcW w:w="4825" w:type="dxa"/>
            <w:gridSpan w:val="4"/>
            <w:tcBorders>
              <w:top w:val="single" w:sz="4" w:space="0" w:color="auto"/>
              <w:left w:val="nil"/>
              <w:bottom w:val="single" w:sz="4" w:space="0" w:color="auto"/>
              <w:right w:val="single" w:sz="4" w:space="0" w:color="auto"/>
            </w:tcBorders>
            <w:shd w:val="clear" w:color="auto" w:fill="auto"/>
            <w:vAlign w:val="bottom"/>
            <w:hideMark/>
          </w:tcPr>
          <w:p w14:paraId="672D390F" w14:textId="77777777" w:rsidR="00991E50" w:rsidRPr="001F224B" w:rsidRDefault="00991E50" w:rsidP="00001A93">
            <w:pPr>
              <w:jc w:val="center"/>
              <w:rPr>
                <w:color w:val="000000"/>
                <w:sz w:val="20"/>
                <w:szCs w:val="20"/>
              </w:rPr>
            </w:pPr>
            <w:r w:rsidRPr="001F224B">
              <w:rPr>
                <w:color w:val="000000"/>
                <w:sz w:val="20"/>
                <w:szCs w:val="20"/>
              </w:rPr>
              <w:t>Türev finansal araç teminatları</w:t>
            </w:r>
          </w:p>
        </w:tc>
        <w:tc>
          <w:tcPr>
            <w:tcW w:w="2835" w:type="dxa"/>
            <w:gridSpan w:val="2"/>
            <w:tcBorders>
              <w:top w:val="single" w:sz="4" w:space="0" w:color="auto"/>
              <w:left w:val="nil"/>
              <w:bottom w:val="single" w:sz="4" w:space="0" w:color="auto"/>
              <w:right w:val="single" w:sz="4" w:space="0" w:color="auto"/>
            </w:tcBorders>
            <w:shd w:val="clear" w:color="auto" w:fill="auto"/>
            <w:vAlign w:val="bottom"/>
            <w:hideMark/>
          </w:tcPr>
          <w:p w14:paraId="4CF2E90A" w14:textId="77777777" w:rsidR="00991E50" w:rsidRPr="001F224B" w:rsidRDefault="00991E50" w:rsidP="00001A93">
            <w:pPr>
              <w:jc w:val="center"/>
              <w:rPr>
                <w:color w:val="000000"/>
                <w:sz w:val="20"/>
                <w:szCs w:val="20"/>
              </w:rPr>
            </w:pPr>
            <w:r w:rsidRPr="001F224B">
              <w:rPr>
                <w:color w:val="000000"/>
                <w:sz w:val="20"/>
                <w:szCs w:val="20"/>
              </w:rPr>
              <w:t>Diğer işlem teminatları</w:t>
            </w:r>
          </w:p>
        </w:tc>
      </w:tr>
      <w:tr w:rsidR="00991E50" w:rsidRPr="001F224B" w14:paraId="43601506" w14:textId="77777777" w:rsidTr="00001A93">
        <w:trPr>
          <w:trHeight w:val="286"/>
        </w:trPr>
        <w:tc>
          <w:tcPr>
            <w:tcW w:w="2263" w:type="dxa"/>
            <w:vMerge/>
            <w:tcBorders>
              <w:left w:val="single" w:sz="4" w:space="0" w:color="auto"/>
              <w:right w:val="single" w:sz="4" w:space="0" w:color="auto"/>
            </w:tcBorders>
            <w:shd w:val="clear" w:color="auto" w:fill="auto"/>
            <w:noWrap/>
            <w:vAlign w:val="bottom"/>
            <w:hideMark/>
          </w:tcPr>
          <w:p w14:paraId="262CD1F2" w14:textId="77777777" w:rsidR="00991E50" w:rsidRPr="001F224B" w:rsidRDefault="00991E50" w:rsidP="00001A93">
            <w:pPr>
              <w:rPr>
                <w:color w:val="000000"/>
                <w:sz w:val="20"/>
                <w:szCs w:val="20"/>
              </w:rPr>
            </w:pPr>
          </w:p>
        </w:tc>
        <w:tc>
          <w:tcPr>
            <w:tcW w:w="2008" w:type="dxa"/>
            <w:gridSpan w:val="2"/>
            <w:tcBorders>
              <w:top w:val="single" w:sz="4" w:space="0" w:color="auto"/>
              <w:left w:val="nil"/>
              <w:bottom w:val="single" w:sz="4" w:space="0" w:color="auto"/>
              <w:right w:val="single" w:sz="4" w:space="0" w:color="auto"/>
            </w:tcBorders>
            <w:shd w:val="clear" w:color="auto" w:fill="auto"/>
            <w:vAlign w:val="bottom"/>
            <w:hideMark/>
          </w:tcPr>
          <w:p w14:paraId="207EEB6F" w14:textId="77777777" w:rsidR="00991E50" w:rsidRPr="001F224B" w:rsidRDefault="00991E50" w:rsidP="00001A93">
            <w:pPr>
              <w:jc w:val="center"/>
              <w:rPr>
                <w:color w:val="000000"/>
                <w:sz w:val="20"/>
                <w:szCs w:val="20"/>
              </w:rPr>
            </w:pPr>
            <w:r w:rsidRPr="001F224B">
              <w:rPr>
                <w:color w:val="000000"/>
                <w:sz w:val="20"/>
                <w:szCs w:val="20"/>
              </w:rPr>
              <w:t>Alınan teminatlar</w:t>
            </w:r>
          </w:p>
        </w:tc>
        <w:tc>
          <w:tcPr>
            <w:tcW w:w="2817" w:type="dxa"/>
            <w:gridSpan w:val="2"/>
            <w:tcBorders>
              <w:top w:val="single" w:sz="4" w:space="0" w:color="auto"/>
              <w:left w:val="nil"/>
              <w:bottom w:val="single" w:sz="4" w:space="0" w:color="auto"/>
              <w:right w:val="single" w:sz="4" w:space="0" w:color="auto"/>
            </w:tcBorders>
            <w:shd w:val="clear" w:color="auto" w:fill="auto"/>
            <w:vAlign w:val="bottom"/>
            <w:hideMark/>
          </w:tcPr>
          <w:p w14:paraId="401AD5D8" w14:textId="77777777" w:rsidR="00991E50" w:rsidRPr="001F224B" w:rsidRDefault="00991E50" w:rsidP="00001A93">
            <w:pPr>
              <w:jc w:val="center"/>
              <w:rPr>
                <w:color w:val="000000"/>
                <w:sz w:val="20"/>
                <w:szCs w:val="20"/>
              </w:rPr>
            </w:pPr>
            <w:r w:rsidRPr="001F224B">
              <w:rPr>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608A951C" w14:textId="77777777" w:rsidR="00991E50" w:rsidRPr="001F224B" w:rsidRDefault="00991E50" w:rsidP="00001A93">
            <w:pPr>
              <w:jc w:val="center"/>
              <w:rPr>
                <w:color w:val="000000"/>
                <w:sz w:val="20"/>
                <w:szCs w:val="20"/>
              </w:rPr>
            </w:pPr>
            <w:r w:rsidRPr="001F224B">
              <w:rPr>
                <w:color w:val="000000"/>
                <w:sz w:val="20"/>
                <w:szCs w:val="20"/>
              </w:rPr>
              <w:t>Alınan teminatlar</w:t>
            </w:r>
          </w:p>
        </w:tc>
        <w:tc>
          <w:tcPr>
            <w:tcW w:w="1418" w:type="dxa"/>
            <w:vMerge w:val="restart"/>
            <w:tcBorders>
              <w:top w:val="nil"/>
              <w:left w:val="single" w:sz="4" w:space="0" w:color="auto"/>
              <w:bottom w:val="single" w:sz="4" w:space="0" w:color="auto"/>
              <w:right w:val="single" w:sz="4" w:space="0" w:color="auto"/>
            </w:tcBorders>
            <w:shd w:val="clear" w:color="auto" w:fill="auto"/>
            <w:vAlign w:val="bottom"/>
            <w:hideMark/>
          </w:tcPr>
          <w:p w14:paraId="3F87449D" w14:textId="77777777" w:rsidR="00991E50" w:rsidRPr="001F224B" w:rsidRDefault="00991E50" w:rsidP="00001A93">
            <w:pPr>
              <w:jc w:val="center"/>
              <w:rPr>
                <w:color w:val="000000"/>
                <w:sz w:val="20"/>
                <w:szCs w:val="20"/>
              </w:rPr>
            </w:pPr>
            <w:r w:rsidRPr="001F224B">
              <w:rPr>
                <w:color w:val="000000"/>
                <w:sz w:val="20"/>
                <w:szCs w:val="20"/>
              </w:rPr>
              <w:t>Verilen teminatlar</w:t>
            </w:r>
          </w:p>
        </w:tc>
      </w:tr>
      <w:tr w:rsidR="00991E50" w:rsidRPr="001F224B" w14:paraId="02426FA8" w14:textId="77777777" w:rsidTr="00001A93">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581366C9" w14:textId="77777777" w:rsidR="00991E50" w:rsidRPr="001F224B" w:rsidRDefault="00991E50" w:rsidP="00001A93">
            <w:pPr>
              <w:rPr>
                <w:color w:val="000000"/>
                <w:sz w:val="20"/>
                <w:szCs w:val="20"/>
              </w:rPr>
            </w:pPr>
          </w:p>
        </w:tc>
        <w:tc>
          <w:tcPr>
            <w:tcW w:w="997" w:type="dxa"/>
            <w:tcBorders>
              <w:top w:val="nil"/>
              <w:left w:val="nil"/>
              <w:bottom w:val="single" w:sz="4" w:space="0" w:color="auto"/>
              <w:right w:val="single" w:sz="4" w:space="0" w:color="auto"/>
            </w:tcBorders>
            <w:shd w:val="clear" w:color="auto" w:fill="auto"/>
            <w:noWrap/>
            <w:vAlign w:val="bottom"/>
            <w:hideMark/>
          </w:tcPr>
          <w:p w14:paraId="7B5B2487" w14:textId="77777777" w:rsidR="00991E50" w:rsidRPr="001F224B" w:rsidRDefault="00991E50" w:rsidP="00001A93">
            <w:pPr>
              <w:jc w:val="center"/>
              <w:rPr>
                <w:color w:val="000000"/>
                <w:sz w:val="20"/>
                <w:szCs w:val="20"/>
              </w:rPr>
            </w:pPr>
            <w:r w:rsidRPr="001F224B">
              <w:rPr>
                <w:color w:val="000000"/>
                <w:sz w:val="20"/>
                <w:szCs w:val="20"/>
              </w:rPr>
              <w:t xml:space="preserve">Serbest Olmayan </w:t>
            </w:r>
          </w:p>
        </w:tc>
        <w:tc>
          <w:tcPr>
            <w:tcW w:w="1011" w:type="dxa"/>
            <w:tcBorders>
              <w:top w:val="nil"/>
              <w:left w:val="nil"/>
              <w:bottom w:val="single" w:sz="4" w:space="0" w:color="auto"/>
              <w:right w:val="single" w:sz="4" w:space="0" w:color="auto"/>
            </w:tcBorders>
            <w:shd w:val="clear" w:color="auto" w:fill="auto"/>
            <w:noWrap/>
            <w:vAlign w:val="bottom"/>
            <w:hideMark/>
          </w:tcPr>
          <w:p w14:paraId="72954461" w14:textId="77777777" w:rsidR="00991E50" w:rsidRPr="001F224B" w:rsidRDefault="00991E50" w:rsidP="00001A93">
            <w:pPr>
              <w:jc w:val="center"/>
              <w:rPr>
                <w:color w:val="000000"/>
                <w:sz w:val="20"/>
                <w:szCs w:val="20"/>
              </w:rPr>
            </w:pPr>
            <w:r w:rsidRPr="001F224B">
              <w:rPr>
                <w:color w:val="000000"/>
                <w:sz w:val="20"/>
                <w:szCs w:val="20"/>
              </w:rPr>
              <w:t xml:space="preserve">Serbest </w:t>
            </w:r>
          </w:p>
        </w:tc>
        <w:tc>
          <w:tcPr>
            <w:tcW w:w="1399" w:type="dxa"/>
            <w:tcBorders>
              <w:top w:val="nil"/>
              <w:left w:val="nil"/>
              <w:bottom w:val="single" w:sz="4" w:space="0" w:color="auto"/>
              <w:right w:val="single" w:sz="4" w:space="0" w:color="auto"/>
            </w:tcBorders>
            <w:shd w:val="clear" w:color="auto" w:fill="auto"/>
            <w:noWrap/>
            <w:vAlign w:val="bottom"/>
            <w:hideMark/>
          </w:tcPr>
          <w:p w14:paraId="636D2875" w14:textId="77777777" w:rsidR="00991E50" w:rsidRPr="001F224B" w:rsidRDefault="00991E50" w:rsidP="00001A93">
            <w:pPr>
              <w:jc w:val="center"/>
              <w:rPr>
                <w:color w:val="000000"/>
                <w:sz w:val="20"/>
                <w:szCs w:val="20"/>
              </w:rPr>
            </w:pPr>
            <w:r w:rsidRPr="001F224B">
              <w:rPr>
                <w:color w:val="000000"/>
                <w:sz w:val="20"/>
                <w:szCs w:val="20"/>
              </w:rPr>
              <w:t xml:space="preserve">Serbest Olmayan </w:t>
            </w:r>
          </w:p>
        </w:tc>
        <w:tc>
          <w:tcPr>
            <w:tcW w:w="1418" w:type="dxa"/>
            <w:tcBorders>
              <w:top w:val="nil"/>
              <w:left w:val="nil"/>
              <w:bottom w:val="single" w:sz="4" w:space="0" w:color="auto"/>
              <w:right w:val="single" w:sz="4" w:space="0" w:color="auto"/>
            </w:tcBorders>
            <w:shd w:val="clear" w:color="auto" w:fill="auto"/>
            <w:noWrap/>
            <w:vAlign w:val="bottom"/>
            <w:hideMark/>
          </w:tcPr>
          <w:p w14:paraId="6DB60E02" w14:textId="77777777" w:rsidR="00991E50" w:rsidRPr="001F224B" w:rsidRDefault="00991E50" w:rsidP="00001A93">
            <w:pPr>
              <w:jc w:val="center"/>
              <w:rPr>
                <w:color w:val="000000"/>
                <w:sz w:val="20"/>
                <w:szCs w:val="20"/>
              </w:rPr>
            </w:pPr>
            <w:r w:rsidRPr="001F224B">
              <w:rPr>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7C444614" w14:textId="77777777" w:rsidR="00991E50" w:rsidRPr="001F224B" w:rsidRDefault="00991E50" w:rsidP="00001A93">
            <w:pPr>
              <w:rPr>
                <w:color w:val="00000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2416812" w14:textId="77777777" w:rsidR="00991E50" w:rsidRPr="001F224B" w:rsidRDefault="00991E50" w:rsidP="00001A93">
            <w:pPr>
              <w:rPr>
                <w:color w:val="000000"/>
                <w:sz w:val="20"/>
                <w:szCs w:val="20"/>
              </w:rPr>
            </w:pPr>
          </w:p>
        </w:tc>
      </w:tr>
      <w:tr w:rsidR="00991E50" w:rsidRPr="001F224B" w14:paraId="5144B269"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9C22FD6" w14:textId="77777777" w:rsidR="00991E50" w:rsidRPr="001F224B" w:rsidRDefault="00991E50" w:rsidP="00991E50">
            <w:pPr>
              <w:rPr>
                <w:color w:val="000000"/>
                <w:sz w:val="20"/>
                <w:szCs w:val="20"/>
              </w:rPr>
            </w:pPr>
            <w:r w:rsidRPr="001F224B">
              <w:rPr>
                <w:color w:val="000000"/>
                <w:sz w:val="20"/>
                <w:szCs w:val="20"/>
              </w:rPr>
              <w:t xml:space="preserve">Nakit – Türk Lirası </w:t>
            </w:r>
          </w:p>
        </w:tc>
        <w:tc>
          <w:tcPr>
            <w:tcW w:w="997" w:type="dxa"/>
            <w:tcBorders>
              <w:top w:val="nil"/>
              <w:left w:val="nil"/>
              <w:bottom w:val="single" w:sz="4" w:space="0" w:color="auto"/>
              <w:right w:val="single" w:sz="4" w:space="0" w:color="auto"/>
            </w:tcBorders>
            <w:shd w:val="clear" w:color="auto" w:fill="auto"/>
            <w:noWrap/>
            <w:vAlign w:val="bottom"/>
            <w:hideMark/>
          </w:tcPr>
          <w:p w14:paraId="39B1FA3D" w14:textId="21A1E93A" w:rsidR="00991E50" w:rsidRPr="001F224B" w:rsidRDefault="00991E50" w:rsidP="00991E50">
            <w:pPr>
              <w:jc w:val="right"/>
              <w:rPr>
                <w:color w:val="000000"/>
                <w:sz w:val="20"/>
                <w:szCs w:val="20"/>
              </w:rPr>
            </w:pPr>
            <w:r w:rsidRPr="001F224B">
              <w:rPr>
                <w:color w:val="000000"/>
                <w:sz w:val="20"/>
                <w:szCs w:val="20"/>
              </w:rPr>
              <w:t> -</w:t>
            </w:r>
          </w:p>
        </w:tc>
        <w:tc>
          <w:tcPr>
            <w:tcW w:w="1011" w:type="dxa"/>
            <w:tcBorders>
              <w:top w:val="nil"/>
              <w:left w:val="nil"/>
              <w:bottom w:val="single" w:sz="4" w:space="0" w:color="auto"/>
              <w:right w:val="single" w:sz="4" w:space="0" w:color="auto"/>
            </w:tcBorders>
            <w:shd w:val="clear" w:color="auto" w:fill="auto"/>
            <w:noWrap/>
            <w:vAlign w:val="bottom"/>
            <w:hideMark/>
          </w:tcPr>
          <w:p w14:paraId="7BD9CA4D" w14:textId="6A146CCD"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6D32EB80" w14:textId="6620C4EB"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55816D55" w14:textId="3DBAD50B"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14C3C01" w14:textId="6888000D"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44A6E24E" w14:textId="1DB1F50E"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139FDA85"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37D4B72" w14:textId="77777777" w:rsidR="00991E50" w:rsidRPr="001F224B" w:rsidRDefault="00991E50" w:rsidP="00991E50">
            <w:pPr>
              <w:rPr>
                <w:color w:val="000000"/>
                <w:sz w:val="20"/>
                <w:szCs w:val="20"/>
              </w:rPr>
            </w:pPr>
            <w:r w:rsidRPr="001F224B">
              <w:rPr>
                <w:color w:val="000000"/>
                <w:sz w:val="20"/>
                <w:szCs w:val="20"/>
              </w:rPr>
              <w:t>Nakit – yabancı para</w:t>
            </w:r>
          </w:p>
        </w:tc>
        <w:tc>
          <w:tcPr>
            <w:tcW w:w="997" w:type="dxa"/>
            <w:tcBorders>
              <w:top w:val="nil"/>
              <w:left w:val="nil"/>
              <w:bottom w:val="single" w:sz="4" w:space="0" w:color="auto"/>
              <w:right w:val="single" w:sz="4" w:space="0" w:color="auto"/>
            </w:tcBorders>
            <w:shd w:val="clear" w:color="auto" w:fill="auto"/>
            <w:noWrap/>
            <w:vAlign w:val="bottom"/>
            <w:hideMark/>
          </w:tcPr>
          <w:p w14:paraId="08C44470" w14:textId="20CF0EB1"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6C821F01" w14:textId="5F6338F6"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56EC4A8B" w14:textId="4AEEF187"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41F4A6F7" w14:textId="6DA19687"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1B61DDB" w14:textId="2BB8D7F7"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22A44961" w14:textId="171208E7"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12B21FAC"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68ED058" w14:textId="77777777" w:rsidR="00991E50" w:rsidRPr="001F224B" w:rsidRDefault="00991E50" w:rsidP="00991E50">
            <w:pPr>
              <w:rPr>
                <w:color w:val="000000"/>
                <w:sz w:val="20"/>
                <w:szCs w:val="20"/>
              </w:rPr>
            </w:pPr>
            <w:r w:rsidRPr="001F224B">
              <w:rPr>
                <w:color w:val="000000"/>
                <w:sz w:val="20"/>
                <w:szCs w:val="20"/>
              </w:rPr>
              <w:t xml:space="preserve">Devlet tahvil/bono – Hazine/TCMB </w:t>
            </w:r>
          </w:p>
        </w:tc>
        <w:tc>
          <w:tcPr>
            <w:tcW w:w="997" w:type="dxa"/>
            <w:tcBorders>
              <w:top w:val="nil"/>
              <w:left w:val="nil"/>
              <w:bottom w:val="single" w:sz="4" w:space="0" w:color="auto"/>
              <w:right w:val="single" w:sz="4" w:space="0" w:color="auto"/>
            </w:tcBorders>
            <w:shd w:val="clear" w:color="auto" w:fill="auto"/>
            <w:noWrap/>
            <w:vAlign w:val="bottom"/>
            <w:hideMark/>
          </w:tcPr>
          <w:p w14:paraId="5FDBAA5E" w14:textId="692B894A"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0923AF4B" w14:textId="70CDF4DB"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39088D3D" w14:textId="71EA1461" w:rsidR="00991E50" w:rsidRPr="001F224B" w:rsidRDefault="00991E50" w:rsidP="00991E50">
            <w:pPr>
              <w:jc w:val="right"/>
              <w:rPr>
                <w:color w:val="000000"/>
                <w:sz w:val="20"/>
                <w:szCs w:val="20"/>
              </w:rPr>
            </w:pPr>
            <w:r w:rsidRPr="001F224B">
              <w:rPr>
                <w:color w:val="000000"/>
                <w:sz w:val="20"/>
                <w:szCs w:val="20"/>
              </w:rPr>
              <w:t>656.486</w:t>
            </w:r>
          </w:p>
        </w:tc>
        <w:tc>
          <w:tcPr>
            <w:tcW w:w="1418" w:type="dxa"/>
            <w:tcBorders>
              <w:top w:val="nil"/>
              <w:left w:val="nil"/>
              <w:bottom w:val="single" w:sz="4" w:space="0" w:color="auto"/>
              <w:right w:val="single" w:sz="4" w:space="0" w:color="auto"/>
            </w:tcBorders>
            <w:shd w:val="clear" w:color="auto" w:fill="auto"/>
            <w:noWrap/>
            <w:vAlign w:val="bottom"/>
            <w:hideMark/>
          </w:tcPr>
          <w:p w14:paraId="181F3175" w14:textId="34FCFCAA"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9163D" w14:textId="08BD140C" w:rsidR="00991E50" w:rsidRPr="001F224B" w:rsidRDefault="00991E50" w:rsidP="00991E50">
            <w:pPr>
              <w:jc w:val="right"/>
              <w:rPr>
                <w:color w:val="000000"/>
                <w:sz w:val="20"/>
                <w:szCs w:val="20"/>
              </w:rPr>
            </w:pPr>
            <w:r w:rsidRPr="001F224B">
              <w:rPr>
                <w:color w:val="000000"/>
                <w:sz w:val="20"/>
                <w:szCs w:val="20"/>
              </w:rPr>
              <w:t>41.331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A971FF6" w14:textId="78808385" w:rsidR="00991E50" w:rsidRPr="001F224B" w:rsidRDefault="00991E50" w:rsidP="00991E50">
            <w:pPr>
              <w:jc w:val="right"/>
              <w:rPr>
                <w:color w:val="000000"/>
                <w:sz w:val="20"/>
                <w:szCs w:val="20"/>
              </w:rPr>
            </w:pPr>
            <w:r w:rsidRPr="001F224B">
              <w:rPr>
                <w:color w:val="000000"/>
                <w:sz w:val="20"/>
                <w:szCs w:val="20"/>
              </w:rPr>
              <w:t>3.413.630</w:t>
            </w:r>
          </w:p>
        </w:tc>
      </w:tr>
      <w:tr w:rsidR="00991E50" w:rsidRPr="001F224B" w14:paraId="1B9F469F"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675D456" w14:textId="77777777" w:rsidR="00991E50" w:rsidRPr="001F224B" w:rsidRDefault="00991E50" w:rsidP="00991E50">
            <w:pPr>
              <w:rPr>
                <w:color w:val="000000"/>
                <w:sz w:val="20"/>
                <w:szCs w:val="20"/>
              </w:rPr>
            </w:pPr>
            <w:r w:rsidRPr="001F224B">
              <w:rPr>
                <w:color w:val="000000"/>
                <w:sz w:val="20"/>
                <w:szCs w:val="20"/>
              </w:rPr>
              <w:t>Devlet tahvil/bono - diğer</w:t>
            </w:r>
          </w:p>
        </w:tc>
        <w:tc>
          <w:tcPr>
            <w:tcW w:w="997" w:type="dxa"/>
            <w:tcBorders>
              <w:top w:val="nil"/>
              <w:left w:val="nil"/>
              <w:bottom w:val="single" w:sz="4" w:space="0" w:color="auto"/>
              <w:right w:val="single" w:sz="4" w:space="0" w:color="auto"/>
            </w:tcBorders>
            <w:shd w:val="clear" w:color="auto" w:fill="auto"/>
            <w:noWrap/>
            <w:vAlign w:val="bottom"/>
            <w:hideMark/>
          </w:tcPr>
          <w:p w14:paraId="015FD2B2" w14:textId="13E3B2D3"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542295E9" w14:textId="13186038"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4DDDDBAB" w14:textId="2EC1D64B"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53411420" w14:textId="7DDD2787"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02ADE3C6" w14:textId="15F79509"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6407D5BB" w14:textId="376B35D4"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1AC9F493"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8650A84" w14:textId="77777777" w:rsidR="00991E50" w:rsidRPr="001F224B" w:rsidRDefault="00991E50" w:rsidP="00991E50">
            <w:pPr>
              <w:rPr>
                <w:color w:val="000000"/>
                <w:sz w:val="20"/>
                <w:szCs w:val="20"/>
              </w:rPr>
            </w:pPr>
            <w:r w:rsidRPr="001F224B">
              <w:rPr>
                <w:color w:val="000000"/>
                <w:sz w:val="20"/>
                <w:szCs w:val="20"/>
              </w:rPr>
              <w:t>Kamu kurum tahvil/bono</w:t>
            </w:r>
          </w:p>
        </w:tc>
        <w:tc>
          <w:tcPr>
            <w:tcW w:w="997" w:type="dxa"/>
            <w:tcBorders>
              <w:top w:val="nil"/>
              <w:left w:val="nil"/>
              <w:bottom w:val="single" w:sz="4" w:space="0" w:color="auto"/>
              <w:right w:val="single" w:sz="4" w:space="0" w:color="auto"/>
            </w:tcBorders>
            <w:shd w:val="clear" w:color="auto" w:fill="auto"/>
            <w:noWrap/>
            <w:vAlign w:val="bottom"/>
            <w:hideMark/>
          </w:tcPr>
          <w:p w14:paraId="6751521A" w14:textId="4CC8D5E1"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35C79BB8" w14:textId="5E6FCA57"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45ADA761" w14:textId="33606713"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31FAFD4B" w14:textId="1BDA7AAE"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4D403E9" w14:textId="6DB80184"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54A6B711" w14:textId="0F1555F9"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183D5B11"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0B8665F" w14:textId="77777777" w:rsidR="00991E50" w:rsidRPr="001F224B" w:rsidRDefault="00991E50" w:rsidP="00991E50">
            <w:pPr>
              <w:rPr>
                <w:color w:val="000000"/>
                <w:sz w:val="20"/>
                <w:szCs w:val="20"/>
              </w:rPr>
            </w:pPr>
            <w:r w:rsidRPr="001F224B">
              <w:rPr>
                <w:color w:val="000000"/>
                <w:sz w:val="20"/>
                <w:szCs w:val="20"/>
              </w:rPr>
              <w:t>Kurumsal tahvil/bono</w:t>
            </w:r>
          </w:p>
        </w:tc>
        <w:tc>
          <w:tcPr>
            <w:tcW w:w="997" w:type="dxa"/>
            <w:tcBorders>
              <w:top w:val="nil"/>
              <w:left w:val="nil"/>
              <w:bottom w:val="single" w:sz="4" w:space="0" w:color="auto"/>
              <w:right w:val="single" w:sz="4" w:space="0" w:color="auto"/>
            </w:tcBorders>
            <w:shd w:val="clear" w:color="auto" w:fill="auto"/>
            <w:noWrap/>
            <w:vAlign w:val="bottom"/>
            <w:hideMark/>
          </w:tcPr>
          <w:p w14:paraId="4D3C227A" w14:textId="6D5C7ED4"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1703859A" w14:textId="4461C160"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7D293245" w14:textId="593E3E25"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307A6C4A" w14:textId="741B32CF"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3992A06" w14:textId="0A3F80A8"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05EE0B8A" w14:textId="053344C1"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72CB683B"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4DB5BEB" w14:textId="77777777" w:rsidR="00991E50" w:rsidRPr="001F224B" w:rsidRDefault="00991E50" w:rsidP="00991E50">
            <w:pPr>
              <w:rPr>
                <w:color w:val="000000"/>
                <w:sz w:val="20"/>
                <w:szCs w:val="20"/>
              </w:rPr>
            </w:pPr>
            <w:r w:rsidRPr="001F224B">
              <w:rPr>
                <w:color w:val="000000"/>
                <w:sz w:val="20"/>
                <w:szCs w:val="20"/>
              </w:rPr>
              <w:t>Hisse senedi</w:t>
            </w:r>
          </w:p>
        </w:tc>
        <w:tc>
          <w:tcPr>
            <w:tcW w:w="997" w:type="dxa"/>
            <w:tcBorders>
              <w:top w:val="nil"/>
              <w:left w:val="nil"/>
              <w:bottom w:val="single" w:sz="4" w:space="0" w:color="auto"/>
              <w:right w:val="single" w:sz="4" w:space="0" w:color="auto"/>
            </w:tcBorders>
            <w:shd w:val="clear" w:color="auto" w:fill="auto"/>
            <w:noWrap/>
            <w:vAlign w:val="bottom"/>
            <w:hideMark/>
          </w:tcPr>
          <w:p w14:paraId="6E61F772" w14:textId="52956AEA"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3F5ECFA5" w14:textId="54063C76"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3350B0E7" w14:textId="561EC439"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399F5E18" w14:textId="33A2F61B"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31E97FD5" w14:textId="538AEEFF"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65D9E24C" w14:textId="501E223A"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083D89E3"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06A8B7C" w14:textId="77777777" w:rsidR="00991E50" w:rsidRPr="001F224B" w:rsidRDefault="00991E50" w:rsidP="00991E50">
            <w:pPr>
              <w:rPr>
                <w:color w:val="000000"/>
                <w:sz w:val="20"/>
                <w:szCs w:val="20"/>
              </w:rPr>
            </w:pPr>
            <w:r w:rsidRPr="001F224B">
              <w:rPr>
                <w:color w:val="000000"/>
                <w:sz w:val="20"/>
                <w:szCs w:val="20"/>
              </w:rPr>
              <w:t>Diğer teminat</w:t>
            </w:r>
          </w:p>
        </w:tc>
        <w:tc>
          <w:tcPr>
            <w:tcW w:w="997" w:type="dxa"/>
            <w:tcBorders>
              <w:top w:val="nil"/>
              <w:left w:val="nil"/>
              <w:bottom w:val="single" w:sz="4" w:space="0" w:color="auto"/>
              <w:right w:val="single" w:sz="4" w:space="0" w:color="auto"/>
            </w:tcBorders>
            <w:shd w:val="clear" w:color="auto" w:fill="auto"/>
            <w:noWrap/>
            <w:vAlign w:val="bottom"/>
            <w:hideMark/>
          </w:tcPr>
          <w:p w14:paraId="1275C4D4" w14:textId="2CD3A731"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4B0CB602" w14:textId="7D3D5CA1"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41AF4A86" w14:textId="3D471909"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7CCAC61A" w14:textId="4B7512F5"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A1EC1F8" w14:textId="722E28DD" w:rsidR="00991E50" w:rsidRPr="001F224B" w:rsidRDefault="00991E50" w:rsidP="00991E50">
            <w:pPr>
              <w:jc w:val="right"/>
              <w:rPr>
                <w:color w:val="000000"/>
                <w:sz w:val="20"/>
                <w:szCs w:val="20"/>
              </w:rPr>
            </w:pPr>
            <w:r w:rsidRPr="001F224B">
              <w:rPr>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14:paraId="5903F792" w14:textId="62A73759" w:rsidR="00991E50" w:rsidRPr="001F224B" w:rsidRDefault="00991E50" w:rsidP="00991E50">
            <w:pPr>
              <w:jc w:val="right"/>
              <w:rPr>
                <w:color w:val="000000"/>
                <w:sz w:val="20"/>
                <w:szCs w:val="20"/>
              </w:rPr>
            </w:pPr>
            <w:r w:rsidRPr="001F224B">
              <w:rPr>
                <w:color w:val="000000"/>
                <w:sz w:val="20"/>
                <w:szCs w:val="20"/>
              </w:rPr>
              <w:t>-</w:t>
            </w:r>
          </w:p>
        </w:tc>
      </w:tr>
      <w:tr w:rsidR="00991E50" w:rsidRPr="001F224B" w14:paraId="1B446AF3" w14:textId="77777777" w:rsidTr="00001A93">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BDF87E1" w14:textId="77777777" w:rsidR="00991E50" w:rsidRPr="001F224B" w:rsidRDefault="00991E50" w:rsidP="00991E50">
            <w:pPr>
              <w:rPr>
                <w:b/>
                <w:color w:val="000000"/>
                <w:sz w:val="20"/>
                <w:szCs w:val="20"/>
              </w:rPr>
            </w:pPr>
            <w:r w:rsidRPr="001F224B">
              <w:rPr>
                <w:b/>
                <w:color w:val="000000"/>
                <w:sz w:val="20"/>
                <w:szCs w:val="20"/>
              </w:rPr>
              <w:t>Toplam</w:t>
            </w:r>
          </w:p>
        </w:tc>
        <w:tc>
          <w:tcPr>
            <w:tcW w:w="997" w:type="dxa"/>
            <w:tcBorders>
              <w:top w:val="nil"/>
              <w:left w:val="nil"/>
              <w:bottom w:val="single" w:sz="4" w:space="0" w:color="auto"/>
              <w:right w:val="single" w:sz="4" w:space="0" w:color="auto"/>
            </w:tcBorders>
            <w:shd w:val="clear" w:color="auto" w:fill="auto"/>
            <w:noWrap/>
            <w:vAlign w:val="bottom"/>
            <w:hideMark/>
          </w:tcPr>
          <w:p w14:paraId="096CA858" w14:textId="4C002199" w:rsidR="00991E50" w:rsidRPr="001F224B" w:rsidRDefault="00991E50" w:rsidP="00991E50">
            <w:pPr>
              <w:jc w:val="right"/>
              <w:rPr>
                <w:color w:val="000000"/>
                <w:sz w:val="20"/>
                <w:szCs w:val="20"/>
              </w:rPr>
            </w:pPr>
            <w:r w:rsidRPr="001F224B">
              <w:rPr>
                <w:color w:val="000000"/>
                <w:sz w:val="20"/>
                <w:szCs w:val="20"/>
              </w:rPr>
              <w:t>-</w:t>
            </w:r>
          </w:p>
        </w:tc>
        <w:tc>
          <w:tcPr>
            <w:tcW w:w="1011" w:type="dxa"/>
            <w:tcBorders>
              <w:top w:val="nil"/>
              <w:left w:val="nil"/>
              <w:bottom w:val="single" w:sz="4" w:space="0" w:color="auto"/>
              <w:right w:val="single" w:sz="4" w:space="0" w:color="auto"/>
            </w:tcBorders>
            <w:shd w:val="clear" w:color="auto" w:fill="auto"/>
            <w:noWrap/>
            <w:vAlign w:val="bottom"/>
            <w:hideMark/>
          </w:tcPr>
          <w:p w14:paraId="2882F723" w14:textId="2D4210B2" w:rsidR="00991E50" w:rsidRPr="001F224B" w:rsidRDefault="00991E50" w:rsidP="00991E50">
            <w:pPr>
              <w:jc w:val="right"/>
              <w:rPr>
                <w:color w:val="000000"/>
                <w:sz w:val="20"/>
                <w:szCs w:val="20"/>
              </w:rPr>
            </w:pPr>
            <w:r w:rsidRPr="001F224B">
              <w:rPr>
                <w:color w:val="000000"/>
                <w:sz w:val="20"/>
                <w:szCs w:val="20"/>
              </w:rPr>
              <w:t>-</w:t>
            </w:r>
          </w:p>
        </w:tc>
        <w:tc>
          <w:tcPr>
            <w:tcW w:w="1399" w:type="dxa"/>
            <w:tcBorders>
              <w:top w:val="nil"/>
              <w:left w:val="nil"/>
              <w:bottom w:val="single" w:sz="4" w:space="0" w:color="auto"/>
              <w:right w:val="single" w:sz="4" w:space="0" w:color="auto"/>
            </w:tcBorders>
            <w:shd w:val="clear" w:color="auto" w:fill="auto"/>
            <w:noWrap/>
            <w:vAlign w:val="bottom"/>
            <w:hideMark/>
          </w:tcPr>
          <w:p w14:paraId="434FB1E9" w14:textId="148A2A7D" w:rsidR="00991E50" w:rsidRPr="001F224B" w:rsidRDefault="00991E50" w:rsidP="00991E50">
            <w:pPr>
              <w:jc w:val="right"/>
              <w:rPr>
                <w:b/>
                <w:bCs/>
                <w:color w:val="000000"/>
                <w:sz w:val="20"/>
                <w:szCs w:val="20"/>
              </w:rPr>
            </w:pPr>
            <w:r w:rsidRPr="001F224B">
              <w:rPr>
                <w:b/>
                <w:bCs/>
                <w:color w:val="000000"/>
                <w:sz w:val="20"/>
                <w:szCs w:val="20"/>
              </w:rPr>
              <w:t>656.486</w:t>
            </w:r>
          </w:p>
        </w:tc>
        <w:tc>
          <w:tcPr>
            <w:tcW w:w="1418" w:type="dxa"/>
            <w:tcBorders>
              <w:top w:val="nil"/>
              <w:left w:val="nil"/>
              <w:bottom w:val="single" w:sz="4" w:space="0" w:color="auto"/>
              <w:right w:val="single" w:sz="4" w:space="0" w:color="auto"/>
            </w:tcBorders>
            <w:shd w:val="clear" w:color="auto" w:fill="auto"/>
            <w:noWrap/>
            <w:vAlign w:val="bottom"/>
            <w:hideMark/>
          </w:tcPr>
          <w:p w14:paraId="63691A53" w14:textId="17034ACC" w:rsidR="00991E50" w:rsidRPr="001F224B" w:rsidRDefault="00991E50" w:rsidP="00991E50">
            <w:pPr>
              <w:jc w:val="right"/>
              <w:rPr>
                <w:color w:val="000000"/>
                <w:sz w:val="20"/>
                <w:szCs w:val="20"/>
              </w:rPr>
            </w:pPr>
            <w:r w:rsidRPr="001F224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3C475" w14:textId="1A7BC0BD" w:rsidR="00991E50" w:rsidRPr="001F224B" w:rsidRDefault="00991E50" w:rsidP="00991E50">
            <w:pPr>
              <w:jc w:val="right"/>
              <w:rPr>
                <w:b/>
                <w:bCs/>
                <w:color w:val="000000"/>
                <w:sz w:val="20"/>
                <w:szCs w:val="20"/>
              </w:rPr>
            </w:pPr>
            <w:r w:rsidRPr="001F224B">
              <w:rPr>
                <w:b/>
                <w:bCs/>
                <w:color w:val="000000"/>
                <w:sz w:val="20"/>
                <w:szCs w:val="20"/>
              </w:rPr>
              <w:t>41.331</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4134A255" w14:textId="776B0286" w:rsidR="00991E50" w:rsidRPr="001F224B" w:rsidRDefault="00991E50" w:rsidP="00991E50">
            <w:pPr>
              <w:jc w:val="right"/>
              <w:rPr>
                <w:b/>
                <w:bCs/>
                <w:color w:val="000000"/>
                <w:sz w:val="20"/>
                <w:szCs w:val="20"/>
              </w:rPr>
            </w:pPr>
            <w:r w:rsidRPr="001F224B">
              <w:rPr>
                <w:b/>
                <w:bCs/>
                <w:color w:val="000000"/>
                <w:sz w:val="20"/>
                <w:szCs w:val="20"/>
              </w:rPr>
              <w:t>3.413.630</w:t>
            </w:r>
          </w:p>
        </w:tc>
      </w:tr>
    </w:tbl>
    <w:p w14:paraId="6E667474" w14:textId="77777777" w:rsidR="00991E50" w:rsidRPr="001F224B" w:rsidRDefault="00991E50" w:rsidP="00991E50">
      <w:pPr>
        <w:rPr>
          <w:b/>
          <w:bCs/>
          <w:sz w:val="22"/>
          <w:szCs w:val="22"/>
        </w:rPr>
      </w:pPr>
    </w:p>
    <w:p w14:paraId="55B65070" w14:textId="77777777" w:rsidR="00991E50" w:rsidRPr="001F224B" w:rsidRDefault="00991E50" w:rsidP="00991E50">
      <w:pPr>
        <w:rPr>
          <w:b/>
          <w:bCs/>
          <w:sz w:val="22"/>
          <w:szCs w:val="22"/>
        </w:rPr>
      </w:pPr>
    </w:p>
    <w:p w14:paraId="6F84BDF4" w14:textId="77777777" w:rsidR="00991E50" w:rsidRPr="001F224B" w:rsidRDefault="00991E50" w:rsidP="00991E50">
      <w:pPr>
        <w:rPr>
          <w:b/>
          <w:bCs/>
          <w:sz w:val="22"/>
          <w:szCs w:val="22"/>
        </w:rPr>
      </w:pPr>
    </w:p>
    <w:p w14:paraId="6955A4F4" w14:textId="77777777" w:rsidR="00991E50" w:rsidRPr="001F224B" w:rsidRDefault="00991E50" w:rsidP="00991E50">
      <w:pPr>
        <w:rPr>
          <w:b/>
          <w:bCs/>
          <w:sz w:val="22"/>
          <w:szCs w:val="22"/>
        </w:rPr>
      </w:pPr>
    </w:p>
    <w:p w14:paraId="219E271E" w14:textId="77777777" w:rsidR="00991E50" w:rsidRPr="001F224B" w:rsidRDefault="00991E50" w:rsidP="00991E50">
      <w:pPr>
        <w:rPr>
          <w:b/>
          <w:bCs/>
          <w:sz w:val="22"/>
          <w:szCs w:val="22"/>
        </w:rPr>
      </w:pPr>
    </w:p>
    <w:p w14:paraId="41617F28" w14:textId="77777777" w:rsidR="00991E50" w:rsidRPr="001F224B" w:rsidRDefault="00991E50" w:rsidP="00991E50">
      <w:pPr>
        <w:rPr>
          <w:b/>
          <w:bCs/>
          <w:sz w:val="22"/>
          <w:szCs w:val="22"/>
        </w:rPr>
      </w:pPr>
    </w:p>
    <w:p w14:paraId="4CDAAE20" w14:textId="77777777" w:rsidR="00991E50" w:rsidRPr="001F224B" w:rsidRDefault="00991E50" w:rsidP="00991E50">
      <w:pPr>
        <w:rPr>
          <w:b/>
          <w:bCs/>
          <w:sz w:val="22"/>
          <w:szCs w:val="22"/>
        </w:rPr>
      </w:pPr>
    </w:p>
    <w:p w14:paraId="2B8751E5" w14:textId="77777777" w:rsidR="00991E50" w:rsidRPr="001F224B" w:rsidRDefault="00991E50" w:rsidP="00991E50">
      <w:pPr>
        <w:rPr>
          <w:b/>
          <w:bCs/>
          <w:sz w:val="22"/>
          <w:szCs w:val="22"/>
        </w:rPr>
      </w:pPr>
    </w:p>
    <w:p w14:paraId="7CAA1314" w14:textId="77777777" w:rsidR="00991E50" w:rsidRPr="001F224B" w:rsidRDefault="00991E50" w:rsidP="00991E50">
      <w:pPr>
        <w:rPr>
          <w:b/>
          <w:bCs/>
          <w:sz w:val="22"/>
          <w:szCs w:val="22"/>
        </w:rPr>
      </w:pPr>
    </w:p>
    <w:p w14:paraId="6C80FC16" w14:textId="77777777" w:rsidR="00991E50" w:rsidRPr="001F224B" w:rsidRDefault="00991E50" w:rsidP="00991E50">
      <w:pPr>
        <w:rPr>
          <w:b/>
          <w:bCs/>
          <w:sz w:val="22"/>
          <w:szCs w:val="22"/>
        </w:rPr>
      </w:pPr>
    </w:p>
    <w:p w14:paraId="493837BE" w14:textId="77777777" w:rsidR="00991E50" w:rsidRPr="001F224B" w:rsidRDefault="00991E50" w:rsidP="00991E50">
      <w:pPr>
        <w:rPr>
          <w:b/>
          <w:bCs/>
          <w:sz w:val="22"/>
          <w:szCs w:val="22"/>
        </w:rPr>
      </w:pPr>
    </w:p>
    <w:p w14:paraId="2342FBA3" w14:textId="77777777" w:rsidR="00991E50" w:rsidRPr="001F224B" w:rsidRDefault="00991E50" w:rsidP="00991E50">
      <w:pPr>
        <w:rPr>
          <w:b/>
          <w:bCs/>
          <w:sz w:val="22"/>
          <w:szCs w:val="22"/>
        </w:rPr>
      </w:pPr>
    </w:p>
    <w:p w14:paraId="6799ADCD" w14:textId="77777777" w:rsidR="00991E50" w:rsidRPr="001F224B" w:rsidRDefault="00991E50" w:rsidP="00991E50">
      <w:pPr>
        <w:rPr>
          <w:b/>
          <w:bCs/>
          <w:sz w:val="22"/>
          <w:szCs w:val="22"/>
        </w:rPr>
      </w:pPr>
    </w:p>
    <w:p w14:paraId="520041F7" w14:textId="77777777" w:rsidR="00991E50" w:rsidRPr="001F224B" w:rsidRDefault="00991E50" w:rsidP="00991E50">
      <w:pPr>
        <w:rPr>
          <w:b/>
          <w:bCs/>
          <w:sz w:val="22"/>
          <w:szCs w:val="22"/>
        </w:rPr>
      </w:pPr>
    </w:p>
    <w:p w14:paraId="7577569D" w14:textId="77777777" w:rsidR="00991E50" w:rsidRPr="001F224B" w:rsidRDefault="00991E50" w:rsidP="00991E50">
      <w:pPr>
        <w:rPr>
          <w:b/>
          <w:bCs/>
          <w:sz w:val="22"/>
          <w:szCs w:val="22"/>
        </w:rPr>
      </w:pPr>
    </w:p>
    <w:p w14:paraId="5E73B67F" w14:textId="77777777" w:rsidR="00991E50" w:rsidRPr="001F224B" w:rsidRDefault="00991E50" w:rsidP="00991E50">
      <w:pPr>
        <w:rPr>
          <w:b/>
          <w:bCs/>
          <w:sz w:val="22"/>
          <w:szCs w:val="22"/>
        </w:rPr>
      </w:pPr>
    </w:p>
    <w:p w14:paraId="182D1AF4" w14:textId="77777777" w:rsidR="00991E50" w:rsidRPr="001F224B" w:rsidRDefault="00991E50" w:rsidP="00991E50">
      <w:pPr>
        <w:pStyle w:val="ListParagraph"/>
        <w:tabs>
          <w:tab w:val="left" w:pos="0"/>
        </w:tabs>
        <w:spacing w:before="120"/>
        <w:ind w:left="0"/>
        <w:rPr>
          <w:b/>
          <w:bCs/>
          <w:sz w:val="22"/>
          <w:szCs w:val="22"/>
        </w:rPr>
      </w:pPr>
      <w:r w:rsidRPr="001F224B">
        <w:rPr>
          <w:b/>
          <w:bCs/>
          <w:sz w:val="22"/>
          <w:szCs w:val="22"/>
        </w:rPr>
        <w:t>DÖRDÜNCÜ BÖLÜM (Devamı)</w:t>
      </w:r>
    </w:p>
    <w:p w14:paraId="156FBCF0" w14:textId="77777777" w:rsidR="00991E50" w:rsidRPr="001F224B" w:rsidRDefault="00991E50" w:rsidP="00991E50">
      <w:pPr>
        <w:pStyle w:val="ListParagraph"/>
        <w:tabs>
          <w:tab w:val="left" w:pos="0"/>
        </w:tabs>
        <w:spacing w:before="120" w:after="120"/>
        <w:ind w:left="0"/>
        <w:rPr>
          <w:b/>
          <w:bCs/>
          <w:sz w:val="22"/>
          <w:szCs w:val="22"/>
        </w:rPr>
      </w:pPr>
      <w:r w:rsidRPr="001F224B">
        <w:rPr>
          <w:b/>
          <w:bCs/>
          <w:sz w:val="22"/>
          <w:szCs w:val="22"/>
        </w:rPr>
        <w:t>MALİ BÜNYE VE RİSK YÖNETİMİNE İLİŞKİN BİLGİLER (Devamı)</w:t>
      </w:r>
    </w:p>
    <w:p w14:paraId="7AB002CC" w14:textId="77777777" w:rsidR="00991E50" w:rsidRPr="001F224B" w:rsidRDefault="00991E50" w:rsidP="00991E50">
      <w:pPr>
        <w:tabs>
          <w:tab w:val="left" w:pos="602"/>
        </w:tabs>
        <w:spacing w:before="120" w:after="120"/>
        <w:rPr>
          <w:b/>
          <w:sz w:val="22"/>
          <w:szCs w:val="22"/>
        </w:rPr>
      </w:pPr>
      <w:r w:rsidRPr="001F224B">
        <w:rPr>
          <w:b/>
          <w:sz w:val="22"/>
          <w:szCs w:val="22"/>
        </w:rPr>
        <w:t>VII.</w:t>
      </w:r>
      <w:r w:rsidRPr="001F224B">
        <w:rPr>
          <w:i/>
          <w:sz w:val="22"/>
          <w:szCs w:val="22"/>
        </w:rPr>
        <w:tab/>
      </w:r>
      <w:r w:rsidRPr="001F224B">
        <w:rPr>
          <w:b/>
          <w:sz w:val="22"/>
          <w:szCs w:val="22"/>
        </w:rPr>
        <w:t>Konsolide risk yönetimine ilişkin açıklamalar (Devamı):</w:t>
      </w:r>
    </w:p>
    <w:p w14:paraId="4D68547A" w14:textId="77777777" w:rsidR="00991E50" w:rsidRPr="001F224B" w:rsidRDefault="00991E50" w:rsidP="00991E50">
      <w:pPr>
        <w:spacing w:after="120"/>
        <w:jc w:val="both"/>
        <w:rPr>
          <w:b/>
          <w:sz w:val="22"/>
          <w:szCs w:val="22"/>
          <w:lang w:eastAsia="x-none"/>
        </w:rPr>
      </w:pPr>
      <w:r w:rsidRPr="001F224B">
        <w:rPr>
          <w:b/>
          <w:sz w:val="22"/>
          <w:szCs w:val="22"/>
          <w:lang w:eastAsia="x-none"/>
        </w:rPr>
        <w:t>10. Standart yaklaşım – Piyasa riski:</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5270"/>
        <w:gridCol w:w="1918"/>
        <w:gridCol w:w="1880"/>
      </w:tblGrid>
      <w:tr w:rsidR="00991E50" w:rsidRPr="001F224B" w14:paraId="50B7C096" w14:textId="77777777" w:rsidTr="00001A93">
        <w:trPr>
          <w:trHeight w:val="460"/>
        </w:trPr>
        <w:tc>
          <w:tcPr>
            <w:tcW w:w="5979" w:type="dxa"/>
            <w:gridSpan w:val="2"/>
            <w:vMerge w:val="restart"/>
            <w:tcBorders>
              <w:top w:val="single" w:sz="4" w:space="0" w:color="auto"/>
              <w:left w:val="single" w:sz="4" w:space="0" w:color="auto"/>
              <w:bottom w:val="single" w:sz="4" w:space="0" w:color="auto"/>
              <w:right w:val="single" w:sz="4" w:space="0" w:color="auto"/>
            </w:tcBorders>
            <w:noWrap/>
          </w:tcPr>
          <w:p w14:paraId="367DBCA4" w14:textId="77777777" w:rsidR="00991E50" w:rsidRPr="001F224B" w:rsidRDefault="00991E50" w:rsidP="00001A93">
            <w:pPr>
              <w:jc w:val="center"/>
              <w:rPr>
                <w:color w:val="000000"/>
                <w:sz w:val="20"/>
                <w:szCs w:val="20"/>
              </w:rPr>
            </w:pPr>
          </w:p>
          <w:p w14:paraId="10BA9DC6" w14:textId="77777777" w:rsidR="00991E50" w:rsidRPr="001F224B" w:rsidRDefault="00991E50" w:rsidP="00001A93">
            <w:pPr>
              <w:jc w:val="center"/>
              <w:rPr>
                <w:color w:val="000000"/>
                <w:sz w:val="20"/>
                <w:szCs w:val="20"/>
              </w:rPr>
            </w:pP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62435F43" w14:textId="77777777" w:rsidR="00991E50" w:rsidRPr="001F224B" w:rsidRDefault="00991E50" w:rsidP="00001A93">
            <w:pPr>
              <w:jc w:val="center"/>
              <w:rPr>
                <w:b/>
                <w:bCs/>
                <w:color w:val="000000"/>
                <w:sz w:val="20"/>
                <w:szCs w:val="20"/>
              </w:rPr>
            </w:pPr>
            <w:r w:rsidRPr="001F224B">
              <w:rPr>
                <w:b/>
                <w:bCs/>
                <w:color w:val="000000"/>
                <w:sz w:val="20"/>
                <w:szCs w:val="20"/>
              </w:rPr>
              <w:t>Cari Dönem</w:t>
            </w:r>
          </w:p>
          <w:p w14:paraId="4DAA7F3B" w14:textId="12759218" w:rsidR="00991E50" w:rsidRPr="001F224B" w:rsidRDefault="00991E50" w:rsidP="00001A93">
            <w:pPr>
              <w:jc w:val="center"/>
              <w:rPr>
                <w:b/>
                <w:bCs/>
                <w:color w:val="000000"/>
                <w:sz w:val="20"/>
                <w:szCs w:val="20"/>
              </w:rPr>
            </w:pPr>
            <w:r w:rsidRPr="001F224B">
              <w:rPr>
                <w:b/>
                <w:bCs/>
                <w:color w:val="000000"/>
                <w:sz w:val="20"/>
                <w:szCs w:val="20"/>
              </w:rPr>
              <w:t>30.06.2025</w:t>
            </w:r>
          </w:p>
        </w:tc>
        <w:tc>
          <w:tcPr>
            <w:tcW w:w="1880" w:type="dxa"/>
            <w:tcBorders>
              <w:top w:val="single" w:sz="4" w:space="0" w:color="auto"/>
              <w:left w:val="single" w:sz="4" w:space="0" w:color="auto"/>
              <w:bottom w:val="single" w:sz="4" w:space="0" w:color="auto"/>
              <w:right w:val="single" w:sz="4" w:space="0" w:color="auto"/>
            </w:tcBorders>
            <w:hideMark/>
          </w:tcPr>
          <w:p w14:paraId="20DFD7DF" w14:textId="77777777" w:rsidR="00991E50" w:rsidRPr="001F224B" w:rsidRDefault="00991E50" w:rsidP="00001A93">
            <w:pPr>
              <w:jc w:val="center"/>
              <w:rPr>
                <w:b/>
                <w:bCs/>
                <w:color w:val="000000"/>
                <w:sz w:val="20"/>
                <w:szCs w:val="20"/>
              </w:rPr>
            </w:pPr>
            <w:r w:rsidRPr="001F224B">
              <w:rPr>
                <w:b/>
                <w:bCs/>
                <w:color w:val="000000"/>
                <w:sz w:val="20"/>
                <w:szCs w:val="20"/>
              </w:rPr>
              <w:t>Önceki Dönem</w:t>
            </w:r>
          </w:p>
          <w:p w14:paraId="46694CE5" w14:textId="1621F9AA" w:rsidR="00991E50" w:rsidRPr="001F224B" w:rsidRDefault="00991E50" w:rsidP="00001A93">
            <w:pPr>
              <w:jc w:val="center"/>
              <w:rPr>
                <w:b/>
                <w:bCs/>
                <w:color w:val="000000"/>
                <w:sz w:val="20"/>
                <w:szCs w:val="20"/>
              </w:rPr>
            </w:pPr>
            <w:r w:rsidRPr="001F224B">
              <w:rPr>
                <w:b/>
                <w:bCs/>
                <w:color w:val="000000"/>
                <w:sz w:val="20"/>
                <w:szCs w:val="20"/>
              </w:rPr>
              <w:t>31.12.2024</w:t>
            </w:r>
          </w:p>
        </w:tc>
      </w:tr>
      <w:tr w:rsidR="00991E50" w:rsidRPr="001F224B" w14:paraId="6269AAA5" w14:textId="77777777" w:rsidTr="00001A93">
        <w:trPr>
          <w:trHeight w:val="7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641AB3" w14:textId="77777777" w:rsidR="00991E50" w:rsidRPr="001F224B" w:rsidRDefault="00991E50" w:rsidP="00001A93">
            <w:pPr>
              <w:rPr>
                <w:color w:val="000000"/>
                <w:sz w:val="20"/>
                <w:szCs w:val="20"/>
              </w:rPr>
            </w:pP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7F61278E" w14:textId="77777777" w:rsidR="00991E50" w:rsidRPr="001F224B" w:rsidRDefault="00991E50" w:rsidP="00001A93">
            <w:pPr>
              <w:jc w:val="center"/>
              <w:rPr>
                <w:b/>
                <w:bCs/>
                <w:color w:val="000000"/>
                <w:sz w:val="20"/>
                <w:szCs w:val="20"/>
              </w:rPr>
            </w:pPr>
            <w:r w:rsidRPr="001F224B">
              <w:rPr>
                <w:b/>
                <w:bCs/>
                <w:color w:val="000000"/>
                <w:sz w:val="20"/>
                <w:szCs w:val="20"/>
              </w:rPr>
              <w:t>RAT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4D376D51" w14:textId="77777777" w:rsidR="00991E50" w:rsidRPr="001F224B" w:rsidRDefault="00991E50" w:rsidP="00001A93">
            <w:pPr>
              <w:jc w:val="center"/>
              <w:rPr>
                <w:b/>
                <w:bCs/>
                <w:color w:val="000000"/>
                <w:sz w:val="20"/>
                <w:szCs w:val="20"/>
              </w:rPr>
            </w:pPr>
            <w:r w:rsidRPr="001F224B">
              <w:rPr>
                <w:b/>
                <w:bCs/>
                <w:color w:val="000000"/>
                <w:sz w:val="20"/>
                <w:szCs w:val="20"/>
              </w:rPr>
              <w:t>RAT</w:t>
            </w:r>
          </w:p>
        </w:tc>
      </w:tr>
      <w:tr w:rsidR="00991E50" w:rsidRPr="001F224B" w14:paraId="56551882"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0AC45D34" w14:textId="77777777" w:rsidR="00991E50" w:rsidRPr="001F224B" w:rsidRDefault="00991E50" w:rsidP="00001A93">
            <w:pPr>
              <w:jc w:val="center"/>
              <w:rPr>
                <w:color w:val="000000"/>
                <w:sz w:val="20"/>
                <w:szCs w:val="20"/>
              </w:rPr>
            </w:pPr>
            <w:r w:rsidRPr="001F224B">
              <w:rPr>
                <w:color w:val="000000"/>
                <w:sz w:val="20"/>
                <w:szCs w:val="20"/>
              </w:rPr>
              <w:t> </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2A383E87" w14:textId="77777777" w:rsidR="00991E50" w:rsidRPr="001F224B" w:rsidRDefault="00991E50" w:rsidP="00001A93">
            <w:pPr>
              <w:rPr>
                <w:b/>
                <w:bCs/>
                <w:color w:val="000000"/>
                <w:sz w:val="20"/>
                <w:szCs w:val="20"/>
              </w:rPr>
            </w:pPr>
            <w:r w:rsidRPr="001F224B">
              <w:rPr>
                <w:b/>
                <w:bCs/>
                <w:color w:val="000000"/>
                <w:sz w:val="20"/>
                <w:szCs w:val="20"/>
              </w:rPr>
              <w:t>Dolaysız (peşin) ürünler</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4AC38215" w14:textId="77777777" w:rsidR="00991E50" w:rsidRPr="001F224B" w:rsidRDefault="00991E50" w:rsidP="00001A93">
            <w:pPr>
              <w:rPr>
                <w:color w:val="000000"/>
                <w:sz w:val="20"/>
                <w:szCs w:val="20"/>
              </w:rPr>
            </w:pPr>
            <w:r w:rsidRPr="001F224B">
              <w:rPr>
                <w:color w:val="000000"/>
                <w:sz w:val="20"/>
                <w:szCs w:val="20"/>
              </w:rPr>
              <w:t> </w:t>
            </w:r>
          </w:p>
        </w:tc>
        <w:tc>
          <w:tcPr>
            <w:tcW w:w="1880" w:type="dxa"/>
            <w:tcBorders>
              <w:top w:val="single" w:sz="4" w:space="0" w:color="auto"/>
              <w:left w:val="single" w:sz="4" w:space="0" w:color="auto"/>
              <w:bottom w:val="single" w:sz="4" w:space="0" w:color="auto"/>
              <w:right w:val="single" w:sz="4" w:space="0" w:color="auto"/>
            </w:tcBorders>
          </w:tcPr>
          <w:p w14:paraId="49622C94" w14:textId="77777777" w:rsidR="00991E50" w:rsidRPr="001F224B" w:rsidRDefault="00991E50" w:rsidP="00001A93">
            <w:pPr>
              <w:rPr>
                <w:color w:val="000000"/>
                <w:sz w:val="20"/>
                <w:szCs w:val="20"/>
              </w:rPr>
            </w:pPr>
          </w:p>
        </w:tc>
      </w:tr>
      <w:tr w:rsidR="00991E50" w:rsidRPr="001F224B" w14:paraId="6E830A65"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199A1EE7" w14:textId="77777777" w:rsidR="00991E50" w:rsidRPr="001F224B" w:rsidRDefault="00991E50" w:rsidP="00991E50">
            <w:pPr>
              <w:jc w:val="center"/>
              <w:rPr>
                <w:color w:val="000000"/>
                <w:sz w:val="20"/>
                <w:szCs w:val="20"/>
              </w:rPr>
            </w:pPr>
            <w:r w:rsidRPr="001F224B">
              <w:rPr>
                <w:color w:val="000000"/>
                <w:sz w:val="20"/>
                <w:szCs w:val="20"/>
              </w:rPr>
              <w:t>1</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48A03811" w14:textId="77777777" w:rsidR="00991E50" w:rsidRPr="001F224B" w:rsidRDefault="00991E50" w:rsidP="00991E50">
            <w:pPr>
              <w:rPr>
                <w:color w:val="000000"/>
                <w:sz w:val="20"/>
                <w:szCs w:val="20"/>
              </w:rPr>
            </w:pPr>
            <w:r w:rsidRPr="001F224B">
              <w:rPr>
                <w:color w:val="000000"/>
                <w:sz w:val="20"/>
                <w:szCs w:val="20"/>
              </w:rPr>
              <w:t xml:space="preserve">  Faiz oranı riski (genel ve spesifik)</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4593CE33" w14:textId="324FFE1A" w:rsidR="00991E50" w:rsidRPr="001F224B" w:rsidRDefault="00351506" w:rsidP="00991E50">
            <w:pPr>
              <w:jc w:val="right"/>
              <w:rPr>
                <w:color w:val="000000"/>
                <w:sz w:val="20"/>
                <w:szCs w:val="20"/>
              </w:rPr>
            </w:pPr>
            <w:r w:rsidRPr="001F224B">
              <w:rPr>
                <w:sz w:val="20"/>
                <w:szCs w:val="20"/>
              </w:rPr>
              <w:t>19.104.504</w:t>
            </w:r>
          </w:p>
        </w:tc>
        <w:tc>
          <w:tcPr>
            <w:tcW w:w="1880" w:type="dxa"/>
            <w:tcBorders>
              <w:top w:val="single" w:sz="4" w:space="0" w:color="auto"/>
              <w:left w:val="single" w:sz="4" w:space="0" w:color="auto"/>
              <w:bottom w:val="single" w:sz="4" w:space="0" w:color="auto"/>
              <w:right w:val="single" w:sz="4" w:space="0" w:color="auto"/>
            </w:tcBorders>
            <w:vAlign w:val="bottom"/>
            <w:hideMark/>
          </w:tcPr>
          <w:p w14:paraId="525A5531" w14:textId="396CAD10" w:rsidR="00991E50" w:rsidRPr="001F224B" w:rsidRDefault="00991E50" w:rsidP="00991E50">
            <w:pPr>
              <w:jc w:val="right"/>
              <w:rPr>
                <w:sz w:val="20"/>
                <w:szCs w:val="20"/>
              </w:rPr>
            </w:pPr>
            <w:r w:rsidRPr="001F224B">
              <w:rPr>
                <w:sz w:val="20"/>
                <w:szCs w:val="20"/>
              </w:rPr>
              <w:t>20.372.690</w:t>
            </w:r>
          </w:p>
        </w:tc>
      </w:tr>
      <w:tr w:rsidR="00991E50" w:rsidRPr="001F224B" w14:paraId="21EBE720"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3432BD7A" w14:textId="77777777" w:rsidR="00991E50" w:rsidRPr="001F224B" w:rsidRDefault="00991E50" w:rsidP="00991E50">
            <w:pPr>
              <w:jc w:val="center"/>
              <w:rPr>
                <w:color w:val="000000"/>
                <w:sz w:val="20"/>
                <w:szCs w:val="20"/>
              </w:rPr>
            </w:pPr>
            <w:r w:rsidRPr="001F224B">
              <w:rPr>
                <w:color w:val="000000"/>
                <w:sz w:val="20"/>
                <w:szCs w:val="20"/>
              </w:rPr>
              <w:t>2</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199BC3AB" w14:textId="77777777" w:rsidR="00991E50" w:rsidRPr="001F224B" w:rsidRDefault="00991E50" w:rsidP="00991E50">
            <w:pPr>
              <w:rPr>
                <w:color w:val="000000"/>
                <w:sz w:val="20"/>
                <w:szCs w:val="20"/>
              </w:rPr>
            </w:pPr>
            <w:r w:rsidRPr="001F224B">
              <w:rPr>
                <w:color w:val="000000"/>
                <w:sz w:val="20"/>
                <w:szCs w:val="20"/>
              </w:rPr>
              <w:t xml:space="preserve">  Hisse senedi riski (genel ve spesifik)</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07AE4281" w14:textId="77777777" w:rsidR="00991E50" w:rsidRPr="001F224B" w:rsidRDefault="00991E50" w:rsidP="00991E50">
            <w:pPr>
              <w:jc w:val="right"/>
              <w:rPr>
                <w:color w:val="000000"/>
                <w:sz w:val="20"/>
                <w:szCs w:val="20"/>
              </w:rPr>
            </w:pPr>
            <w:r w:rsidRPr="001F224B">
              <w:rPr>
                <w:sz w:val="20"/>
                <w:szCs w:val="20"/>
              </w:rPr>
              <w: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4339F800" w14:textId="17393A4D" w:rsidR="00991E50" w:rsidRPr="001F224B" w:rsidRDefault="00991E50" w:rsidP="00991E50">
            <w:pPr>
              <w:jc w:val="right"/>
              <w:rPr>
                <w:sz w:val="20"/>
                <w:szCs w:val="20"/>
              </w:rPr>
            </w:pPr>
            <w:r w:rsidRPr="001F224B">
              <w:rPr>
                <w:sz w:val="20"/>
                <w:szCs w:val="20"/>
              </w:rPr>
              <w:t>-</w:t>
            </w:r>
          </w:p>
        </w:tc>
      </w:tr>
      <w:tr w:rsidR="00991E50" w:rsidRPr="001F224B" w14:paraId="6CF43135"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720E8945" w14:textId="77777777" w:rsidR="00991E50" w:rsidRPr="001F224B" w:rsidRDefault="00991E50" w:rsidP="00991E50">
            <w:pPr>
              <w:jc w:val="center"/>
              <w:rPr>
                <w:color w:val="000000"/>
                <w:sz w:val="20"/>
                <w:szCs w:val="20"/>
              </w:rPr>
            </w:pPr>
            <w:r w:rsidRPr="001F224B">
              <w:rPr>
                <w:color w:val="000000"/>
                <w:sz w:val="20"/>
                <w:szCs w:val="20"/>
              </w:rPr>
              <w:t>3</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32B50352" w14:textId="77777777" w:rsidR="00991E50" w:rsidRPr="001F224B" w:rsidRDefault="00991E50" w:rsidP="00991E50">
            <w:pPr>
              <w:rPr>
                <w:color w:val="000000"/>
                <w:sz w:val="20"/>
                <w:szCs w:val="20"/>
              </w:rPr>
            </w:pPr>
            <w:r w:rsidRPr="001F224B">
              <w:rPr>
                <w:color w:val="000000"/>
                <w:sz w:val="20"/>
                <w:szCs w:val="20"/>
              </w:rPr>
              <w:t xml:space="preserve">  Kur riski</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654D1FF4" w14:textId="376C9A1E" w:rsidR="00991E50" w:rsidRPr="001F224B" w:rsidRDefault="00351506" w:rsidP="00991E50">
            <w:pPr>
              <w:jc w:val="right"/>
              <w:rPr>
                <w:color w:val="000000"/>
                <w:sz w:val="20"/>
                <w:szCs w:val="20"/>
              </w:rPr>
            </w:pPr>
            <w:r w:rsidRPr="001F224B">
              <w:rPr>
                <w:sz w:val="20"/>
                <w:szCs w:val="20"/>
              </w:rPr>
              <w:t>98.036</w:t>
            </w:r>
          </w:p>
        </w:tc>
        <w:tc>
          <w:tcPr>
            <w:tcW w:w="1880" w:type="dxa"/>
            <w:tcBorders>
              <w:top w:val="single" w:sz="4" w:space="0" w:color="auto"/>
              <w:left w:val="single" w:sz="4" w:space="0" w:color="auto"/>
              <w:bottom w:val="single" w:sz="4" w:space="0" w:color="auto"/>
              <w:right w:val="single" w:sz="4" w:space="0" w:color="auto"/>
            </w:tcBorders>
            <w:vAlign w:val="bottom"/>
            <w:hideMark/>
          </w:tcPr>
          <w:p w14:paraId="5ACFB233" w14:textId="4F390F40" w:rsidR="00991E50" w:rsidRPr="001F224B" w:rsidRDefault="00991E50" w:rsidP="00991E50">
            <w:pPr>
              <w:jc w:val="right"/>
              <w:rPr>
                <w:sz w:val="20"/>
                <w:szCs w:val="20"/>
              </w:rPr>
            </w:pPr>
            <w:r w:rsidRPr="001F224B">
              <w:rPr>
                <w:sz w:val="20"/>
                <w:szCs w:val="20"/>
              </w:rPr>
              <w:t>111.631</w:t>
            </w:r>
          </w:p>
        </w:tc>
      </w:tr>
      <w:tr w:rsidR="00991E50" w:rsidRPr="001F224B" w14:paraId="245A7CC0"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6F10A08F" w14:textId="77777777" w:rsidR="00991E50" w:rsidRPr="001F224B" w:rsidRDefault="00991E50" w:rsidP="00991E50">
            <w:pPr>
              <w:jc w:val="center"/>
              <w:rPr>
                <w:color w:val="000000"/>
                <w:sz w:val="20"/>
                <w:szCs w:val="20"/>
              </w:rPr>
            </w:pPr>
            <w:r w:rsidRPr="001F224B">
              <w:rPr>
                <w:color w:val="000000"/>
                <w:sz w:val="20"/>
                <w:szCs w:val="20"/>
              </w:rPr>
              <w:t>4</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6BEC73C6" w14:textId="77777777" w:rsidR="00991E50" w:rsidRPr="001F224B" w:rsidRDefault="00991E50" w:rsidP="00991E50">
            <w:pPr>
              <w:rPr>
                <w:color w:val="000000"/>
                <w:sz w:val="20"/>
                <w:szCs w:val="20"/>
              </w:rPr>
            </w:pPr>
            <w:r w:rsidRPr="001F224B">
              <w:rPr>
                <w:color w:val="000000"/>
                <w:sz w:val="20"/>
                <w:szCs w:val="20"/>
              </w:rPr>
              <w:t xml:space="preserve">  Emtia riski</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69226D6F" w14:textId="77777777" w:rsidR="00991E50" w:rsidRPr="001F224B" w:rsidRDefault="00991E50" w:rsidP="00991E50">
            <w:pPr>
              <w:jc w:val="right"/>
              <w:rPr>
                <w:color w:val="000000"/>
                <w:sz w:val="20"/>
                <w:szCs w:val="20"/>
              </w:rPr>
            </w:pPr>
            <w:r w:rsidRPr="001F224B">
              <w:rPr>
                <w:sz w:val="20"/>
                <w:szCs w:val="20"/>
              </w:rPr>
              <w: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68CD3AED" w14:textId="4A254BD0" w:rsidR="00991E50" w:rsidRPr="001F224B" w:rsidRDefault="00991E50" w:rsidP="00991E50">
            <w:pPr>
              <w:jc w:val="right"/>
              <w:rPr>
                <w:sz w:val="20"/>
                <w:szCs w:val="20"/>
              </w:rPr>
            </w:pPr>
            <w:r w:rsidRPr="001F224B">
              <w:rPr>
                <w:sz w:val="20"/>
                <w:szCs w:val="20"/>
              </w:rPr>
              <w:t>-</w:t>
            </w:r>
          </w:p>
        </w:tc>
      </w:tr>
      <w:tr w:rsidR="00991E50" w:rsidRPr="001F224B" w14:paraId="50B89E32"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3E70A5BF" w14:textId="77777777" w:rsidR="00991E50" w:rsidRPr="001F224B" w:rsidRDefault="00991E50" w:rsidP="00991E50">
            <w:pPr>
              <w:jc w:val="center"/>
              <w:rPr>
                <w:color w:val="000000"/>
                <w:sz w:val="20"/>
                <w:szCs w:val="20"/>
              </w:rPr>
            </w:pPr>
            <w:r w:rsidRPr="001F224B">
              <w:rPr>
                <w:color w:val="000000"/>
                <w:sz w:val="20"/>
                <w:szCs w:val="20"/>
              </w:rPr>
              <w:t> </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02935B9E" w14:textId="77777777" w:rsidR="00991E50" w:rsidRPr="001F224B" w:rsidRDefault="00991E50" w:rsidP="00991E50">
            <w:pPr>
              <w:rPr>
                <w:b/>
                <w:bCs/>
                <w:color w:val="000000"/>
                <w:sz w:val="20"/>
                <w:szCs w:val="20"/>
              </w:rPr>
            </w:pPr>
            <w:r w:rsidRPr="001F224B">
              <w:rPr>
                <w:b/>
                <w:bCs/>
                <w:color w:val="000000"/>
                <w:sz w:val="20"/>
                <w:szCs w:val="20"/>
              </w:rPr>
              <w:t>Opsiyonlar</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6A2E7DF5" w14:textId="77777777" w:rsidR="00991E50" w:rsidRPr="001F224B" w:rsidRDefault="00991E50" w:rsidP="00991E50">
            <w:pPr>
              <w:jc w:val="right"/>
              <w:rPr>
                <w:color w:val="000000"/>
                <w:sz w:val="20"/>
                <w:szCs w:val="20"/>
              </w:rPr>
            </w:pPr>
            <w:r w:rsidRPr="001F224B">
              <w:rPr>
                <w:sz w:val="20"/>
                <w:szCs w:val="20"/>
              </w:rPr>
              <w:t xml:space="preserve"> </w:t>
            </w:r>
          </w:p>
        </w:tc>
        <w:tc>
          <w:tcPr>
            <w:tcW w:w="1880" w:type="dxa"/>
            <w:tcBorders>
              <w:top w:val="single" w:sz="4" w:space="0" w:color="auto"/>
              <w:left w:val="single" w:sz="4" w:space="0" w:color="auto"/>
              <w:bottom w:val="single" w:sz="4" w:space="0" w:color="auto"/>
              <w:right w:val="single" w:sz="4" w:space="0" w:color="auto"/>
            </w:tcBorders>
            <w:vAlign w:val="bottom"/>
            <w:hideMark/>
          </w:tcPr>
          <w:p w14:paraId="14A31DBD" w14:textId="39EEB907" w:rsidR="00991E50" w:rsidRPr="001F224B" w:rsidRDefault="00991E50" w:rsidP="00991E50">
            <w:pPr>
              <w:jc w:val="right"/>
              <w:rPr>
                <w:sz w:val="20"/>
                <w:szCs w:val="20"/>
              </w:rPr>
            </w:pPr>
            <w:r w:rsidRPr="001F224B">
              <w:rPr>
                <w:sz w:val="20"/>
                <w:szCs w:val="20"/>
              </w:rPr>
              <w:t xml:space="preserve"> </w:t>
            </w:r>
          </w:p>
        </w:tc>
      </w:tr>
      <w:tr w:rsidR="00991E50" w:rsidRPr="001F224B" w14:paraId="266AB49A"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5599C964" w14:textId="77777777" w:rsidR="00991E50" w:rsidRPr="001F224B" w:rsidRDefault="00991E50" w:rsidP="00991E50">
            <w:pPr>
              <w:jc w:val="center"/>
              <w:rPr>
                <w:color w:val="000000"/>
                <w:sz w:val="20"/>
                <w:szCs w:val="20"/>
              </w:rPr>
            </w:pPr>
            <w:r w:rsidRPr="001F224B">
              <w:rPr>
                <w:color w:val="000000"/>
                <w:sz w:val="20"/>
                <w:szCs w:val="20"/>
              </w:rPr>
              <w:t>5</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07CFEA62" w14:textId="77777777" w:rsidR="00991E50" w:rsidRPr="001F224B" w:rsidRDefault="00991E50" w:rsidP="00991E50">
            <w:pPr>
              <w:rPr>
                <w:color w:val="000000"/>
                <w:sz w:val="20"/>
                <w:szCs w:val="20"/>
              </w:rPr>
            </w:pPr>
            <w:r w:rsidRPr="001F224B">
              <w:rPr>
                <w:color w:val="000000"/>
                <w:sz w:val="20"/>
                <w:szCs w:val="20"/>
              </w:rPr>
              <w:t xml:space="preserve">  Basitleştirilmiş yaklaşım</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4E5F580A" w14:textId="77777777" w:rsidR="00991E50" w:rsidRPr="001F224B" w:rsidRDefault="00991E50" w:rsidP="00991E50">
            <w:pPr>
              <w:jc w:val="right"/>
              <w:rPr>
                <w:color w:val="000000"/>
                <w:sz w:val="20"/>
                <w:szCs w:val="20"/>
              </w:rPr>
            </w:pPr>
            <w:r w:rsidRPr="001F224B">
              <w:rPr>
                <w:sz w:val="20"/>
                <w:szCs w:val="20"/>
              </w:rPr>
              <w: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3AC15871" w14:textId="3F76059D" w:rsidR="00991E50" w:rsidRPr="001F224B" w:rsidRDefault="00991E50" w:rsidP="00991E50">
            <w:pPr>
              <w:jc w:val="right"/>
              <w:rPr>
                <w:sz w:val="20"/>
                <w:szCs w:val="20"/>
              </w:rPr>
            </w:pPr>
            <w:r w:rsidRPr="001F224B">
              <w:rPr>
                <w:sz w:val="20"/>
                <w:szCs w:val="20"/>
              </w:rPr>
              <w:t>-</w:t>
            </w:r>
          </w:p>
        </w:tc>
      </w:tr>
      <w:tr w:rsidR="00991E50" w:rsidRPr="001F224B" w14:paraId="714D1B6C"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669F51B5" w14:textId="77777777" w:rsidR="00991E50" w:rsidRPr="001F224B" w:rsidRDefault="00991E50" w:rsidP="00991E50">
            <w:pPr>
              <w:jc w:val="center"/>
              <w:rPr>
                <w:color w:val="000000"/>
                <w:sz w:val="20"/>
                <w:szCs w:val="20"/>
              </w:rPr>
            </w:pPr>
            <w:r w:rsidRPr="001F224B">
              <w:rPr>
                <w:color w:val="000000"/>
                <w:sz w:val="20"/>
                <w:szCs w:val="20"/>
              </w:rPr>
              <w:t>6</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090E7DD3" w14:textId="77777777" w:rsidR="00991E50" w:rsidRPr="001F224B" w:rsidRDefault="00991E50" w:rsidP="00991E50">
            <w:pPr>
              <w:rPr>
                <w:color w:val="000000"/>
                <w:sz w:val="20"/>
                <w:szCs w:val="20"/>
              </w:rPr>
            </w:pPr>
            <w:r w:rsidRPr="001F224B">
              <w:rPr>
                <w:color w:val="000000"/>
                <w:sz w:val="20"/>
                <w:szCs w:val="20"/>
              </w:rPr>
              <w:t xml:space="preserve">  Delta-plus metodu</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0BFDBECE" w14:textId="77777777" w:rsidR="00991E50" w:rsidRPr="001F224B" w:rsidRDefault="00991E50" w:rsidP="00991E50">
            <w:pPr>
              <w:jc w:val="right"/>
              <w:rPr>
                <w:color w:val="000000"/>
                <w:sz w:val="20"/>
                <w:szCs w:val="20"/>
              </w:rPr>
            </w:pPr>
            <w:r w:rsidRPr="001F224B">
              <w:rPr>
                <w:sz w:val="20"/>
                <w:szCs w:val="20"/>
              </w:rPr>
              <w: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208D8C53" w14:textId="0C59A310" w:rsidR="00991E50" w:rsidRPr="001F224B" w:rsidRDefault="00991E50" w:rsidP="00991E50">
            <w:pPr>
              <w:jc w:val="right"/>
              <w:rPr>
                <w:sz w:val="20"/>
                <w:szCs w:val="20"/>
              </w:rPr>
            </w:pPr>
            <w:r w:rsidRPr="001F224B">
              <w:rPr>
                <w:sz w:val="20"/>
                <w:szCs w:val="20"/>
              </w:rPr>
              <w:t>-</w:t>
            </w:r>
          </w:p>
        </w:tc>
      </w:tr>
      <w:tr w:rsidR="00991E50" w:rsidRPr="001F224B" w14:paraId="5D4C1F8C"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3622052E" w14:textId="77777777" w:rsidR="00991E50" w:rsidRPr="001F224B" w:rsidRDefault="00991E50" w:rsidP="00991E50">
            <w:pPr>
              <w:jc w:val="center"/>
              <w:rPr>
                <w:color w:val="000000"/>
                <w:sz w:val="20"/>
                <w:szCs w:val="20"/>
              </w:rPr>
            </w:pPr>
            <w:r w:rsidRPr="001F224B">
              <w:rPr>
                <w:color w:val="000000"/>
                <w:sz w:val="20"/>
                <w:szCs w:val="20"/>
              </w:rPr>
              <w:t>7</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522D94CB" w14:textId="77777777" w:rsidR="00991E50" w:rsidRPr="001F224B" w:rsidRDefault="00991E50" w:rsidP="00991E50">
            <w:pPr>
              <w:rPr>
                <w:color w:val="000000"/>
                <w:sz w:val="20"/>
                <w:szCs w:val="20"/>
              </w:rPr>
            </w:pPr>
            <w:r w:rsidRPr="001F224B">
              <w:rPr>
                <w:color w:val="000000"/>
                <w:sz w:val="20"/>
                <w:szCs w:val="20"/>
              </w:rPr>
              <w:t xml:space="preserve">  Senaryo yaklaşımı</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39B21CD8" w14:textId="77777777" w:rsidR="00991E50" w:rsidRPr="001F224B" w:rsidRDefault="00991E50" w:rsidP="00991E50">
            <w:pPr>
              <w:jc w:val="right"/>
              <w:rPr>
                <w:color w:val="000000"/>
                <w:sz w:val="20"/>
                <w:szCs w:val="20"/>
              </w:rPr>
            </w:pPr>
            <w:r w:rsidRPr="001F224B">
              <w:rPr>
                <w:sz w:val="20"/>
                <w:szCs w:val="20"/>
              </w:rPr>
              <w: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01094FEE" w14:textId="28BD272C" w:rsidR="00991E50" w:rsidRPr="001F224B" w:rsidRDefault="00991E50" w:rsidP="00991E50">
            <w:pPr>
              <w:jc w:val="right"/>
              <w:rPr>
                <w:sz w:val="20"/>
                <w:szCs w:val="20"/>
              </w:rPr>
            </w:pPr>
            <w:r w:rsidRPr="001F224B">
              <w:rPr>
                <w:sz w:val="20"/>
                <w:szCs w:val="20"/>
              </w:rPr>
              <w:t>-</w:t>
            </w:r>
          </w:p>
        </w:tc>
      </w:tr>
      <w:tr w:rsidR="00991E50" w:rsidRPr="001F224B" w14:paraId="2AD8C8F9" w14:textId="77777777" w:rsidTr="00001A93">
        <w:trPr>
          <w:trHeight w:val="30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4C631FA4" w14:textId="77777777" w:rsidR="00991E50" w:rsidRPr="001F224B" w:rsidRDefault="00991E50" w:rsidP="00991E50">
            <w:pPr>
              <w:jc w:val="center"/>
              <w:rPr>
                <w:bCs/>
                <w:color w:val="000000"/>
                <w:sz w:val="20"/>
                <w:szCs w:val="20"/>
              </w:rPr>
            </w:pPr>
            <w:r w:rsidRPr="001F224B">
              <w:rPr>
                <w:bCs/>
                <w:color w:val="000000"/>
                <w:sz w:val="20"/>
                <w:szCs w:val="20"/>
              </w:rPr>
              <w:t>8</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11C1BD75" w14:textId="77777777" w:rsidR="00991E50" w:rsidRPr="001F224B" w:rsidRDefault="00991E50" w:rsidP="00991E50">
            <w:pPr>
              <w:rPr>
                <w:bCs/>
                <w:color w:val="000000"/>
                <w:sz w:val="20"/>
                <w:szCs w:val="20"/>
              </w:rPr>
            </w:pPr>
            <w:r w:rsidRPr="001F224B">
              <w:rPr>
                <w:bCs/>
                <w:color w:val="000000"/>
                <w:sz w:val="20"/>
                <w:szCs w:val="20"/>
              </w:rPr>
              <w:t xml:space="preserve">  Menkul kıymetleştirme</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508DF40A" w14:textId="77777777" w:rsidR="00991E50" w:rsidRPr="001F224B" w:rsidRDefault="00991E50" w:rsidP="00991E50">
            <w:pPr>
              <w:jc w:val="right"/>
              <w:rPr>
                <w:color w:val="000000"/>
                <w:sz w:val="20"/>
                <w:szCs w:val="20"/>
              </w:rPr>
            </w:pPr>
            <w:r w:rsidRPr="001F224B">
              <w:rPr>
                <w:sz w:val="20"/>
                <w:szCs w:val="20"/>
              </w:rPr>
              <w:t>-</w:t>
            </w:r>
          </w:p>
        </w:tc>
        <w:tc>
          <w:tcPr>
            <w:tcW w:w="1880" w:type="dxa"/>
            <w:tcBorders>
              <w:top w:val="single" w:sz="4" w:space="0" w:color="auto"/>
              <w:left w:val="single" w:sz="4" w:space="0" w:color="auto"/>
              <w:bottom w:val="single" w:sz="4" w:space="0" w:color="auto"/>
              <w:right w:val="single" w:sz="4" w:space="0" w:color="auto"/>
            </w:tcBorders>
            <w:vAlign w:val="bottom"/>
            <w:hideMark/>
          </w:tcPr>
          <w:p w14:paraId="70D808DC" w14:textId="0A4C3623" w:rsidR="00991E50" w:rsidRPr="001F224B" w:rsidRDefault="00991E50" w:rsidP="00991E50">
            <w:pPr>
              <w:jc w:val="right"/>
              <w:rPr>
                <w:sz w:val="20"/>
                <w:szCs w:val="20"/>
              </w:rPr>
            </w:pPr>
            <w:r w:rsidRPr="001F224B">
              <w:rPr>
                <w:sz w:val="20"/>
                <w:szCs w:val="20"/>
              </w:rPr>
              <w:t>-</w:t>
            </w:r>
          </w:p>
        </w:tc>
      </w:tr>
      <w:tr w:rsidR="00991E50" w:rsidRPr="001F224B" w14:paraId="6C4DDF46" w14:textId="77777777" w:rsidTr="00001A93">
        <w:trPr>
          <w:trHeight w:val="312"/>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59A2C568" w14:textId="77777777" w:rsidR="00991E50" w:rsidRPr="001F224B" w:rsidRDefault="00991E50" w:rsidP="00991E50">
            <w:pPr>
              <w:jc w:val="center"/>
              <w:rPr>
                <w:b/>
                <w:bCs/>
                <w:color w:val="000000"/>
                <w:sz w:val="20"/>
                <w:szCs w:val="20"/>
              </w:rPr>
            </w:pPr>
            <w:r w:rsidRPr="001F224B">
              <w:rPr>
                <w:b/>
                <w:bCs/>
                <w:color w:val="000000"/>
                <w:sz w:val="20"/>
                <w:szCs w:val="20"/>
              </w:rPr>
              <w:t>9</w:t>
            </w:r>
          </w:p>
        </w:tc>
        <w:tc>
          <w:tcPr>
            <w:tcW w:w="5270" w:type="dxa"/>
            <w:tcBorders>
              <w:top w:val="single" w:sz="4" w:space="0" w:color="auto"/>
              <w:left w:val="single" w:sz="4" w:space="0" w:color="auto"/>
              <w:bottom w:val="single" w:sz="4" w:space="0" w:color="auto"/>
              <w:right w:val="single" w:sz="4" w:space="0" w:color="auto"/>
            </w:tcBorders>
            <w:noWrap/>
            <w:vAlign w:val="bottom"/>
            <w:hideMark/>
          </w:tcPr>
          <w:p w14:paraId="547C1586" w14:textId="77777777" w:rsidR="00991E50" w:rsidRPr="001F224B" w:rsidRDefault="00991E50" w:rsidP="00991E50">
            <w:pPr>
              <w:rPr>
                <w:b/>
                <w:bCs/>
                <w:color w:val="000000"/>
                <w:sz w:val="20"/>
                <w:szCs w:val="20"/>
              </w:rPr>
            </w:pPr>
            <w:r w:rsidRPr="001F224B">
              <w:rPr>
                <w:b/>
                <w:bCs/>
                <w:color w:val="000000"/>
                <w:sz w:val="20"/>
                <w:szCs w:val="20"/>
              </w:rPr>
              <w:t>Toplam</w:t>
            </w:r>
          </w:p>
        </w:tc>
        <w:tc>
          <w:tcPr>
            <w:tcW w:w="1918" w:type="dxa"/>
            <w:tcBorders>
              <w:top w:val="single" w:sz="4" w:space="0" w:color="auto"/>
              <w:left w:val="single" w:sz="4" w:space="0" w:color="auto"/>
              <w:bottom w:val="single" w:sz="4" w:space="0" w:color="auto"/>
              <w:right w:val="single" w:sz="4" w:space="0" w:color="auto"/>
            </w:tcBorders>
            <w:noWrap/>
            <w:vAlign w:val="bottom"/>
            <w:hideMark/>
          </w:tcPr>
          <w:p w14:paraId="3752A15A" w14:textId="3D2140DF" w:rsidR="00991E50" w:rsidRPr="001F224B" w:rsidRDefault="00351506" w:rsidP="00991E50">
            <w:pPr>
              <w:jc w:val="right"/>
              <w:rPr>
                <w:b/>
                <w:color w:val="000000"/>
                <w:sz w:val="20"/>
                <w:szCs w:val="20"/>
              </w:rPr>
            </w:pPr>
            <w:r w:rsidRPr="001F224B">
              <w:rPr>
                <w:b/>
                <w:sz w:val="20"/>
                <w:szCs w:val="20"/>
              </w:rPr>
              <w:t>19.202.540</w:t>
            </w:r>
          </w:p>
        </w:tc>
        <w:tc>
          <w:tcPr>
            <w:tcW w:w="1880" w:type="dxa"/>
            <w:tcBorders>
              <w:top w:val="single" w:sz="4" w:space="0" w:color="auto"/>
              <w:left w:val="single" w:sz="4" w:space="0" w:color="auto"/>
              <w:bottom w:val="single" w:sz="4" w:space="0" w:color="auto"/>
              <w:right w:val="single" w:sz="4" w:space="0" w:color="auto"/>
            </w:tcBorders>
            <w:vAlign w:val="bottom"/>
            <w:hideMark/>
          </w:tcPr>
          <w:p w14:paraId="7804D435" w14:textId="3E44F8F5" w:rsidR="00991E50" w:rsidRPr="001F224B" w:rsidRDefault="00991E50" w:rsidP="00991E50">
            <w:pPr>
              <w:jc w:val="right"/>
              <w:rPr>
                <w:b/>
                <w:sz w:val="20"/>
                <w:szCs w:val="20"/>
              </w:rPr>
            </w:pPr>
            <w:r w:rsidRPr="001F224B">
              <w:rPr>
                <w:b/>
                <w:sz w:val="20"/>
                <w:szCs w:val="20"/>
              </w:rPr>
              <w:t>20.484.321</w:t>
            </w:r>
          </w:p>
        </w:tc>
      </w:tr>
    </w:tbl>
    <w:p w14:paraId="2AC7BE7A" w14:textId="7E42A9A9" w:rsidR="00991E50" w:rsidRPr="001F224B" w:rsidRDefault="00991E50" w:rsidP="00991E50">
      <w:pPr>
        <w:rPr>
          <w:b/>
          <w:bCs/>
          <w:sz w:val="22"/>
          <w:szCs w:val="22"/>
        </w:rPr>
      </w:pPr>
      <w:r w:rsidRPr="001F224B">
        <w:rPr>
          <w:b/>
          <w:bCs/>
          <w:sz w:val="22"/>
          <w:szCs w:val="22"/>
        </w:rPr>
        <w:br w:type="page"/>
      </w:r>
    </w:p>
    <w:p w14:paraId="541D2796" w14:textId="3AB988EA" w:rsidR="00F877DA" w:rsidRPr="001F224B" w:rsidRDefault="00F877DA" w:rsidP="00F64EC3">
      <w:pPr>
        <w:spacing w:line="360" w:lineRule="auto"/>
        <w:rPr>
          <w:b/>
          <w:bCs/>
          <w:sz w:val="22"/>
          <w:szCs w:val="22"/>
        </w:rPr>
      </w:pPr>
      <w:r w:rsidRPr="001F224B">
        <w:rPr>
          <w:b/>
          <w:bCs/>
          <w:sz w:val="22"/>
          <w:szCs w:val="22"/>
        </w:rPr>
        <w:t>BEŞİNCİ BÖLÜM</w:t>
      </w:r>
    </w:p>
    <w:p w14:paraId="7D848758" w14:textId="77777777" w:rsidR="00F877DA" w:rsidRPr="001F224B" w:rsidRDefault="0056078E" w:rsidP="00A63DE3">
      <w:pPr>
        <w:pStyle w:val="ListParagraph"/>
        <w:tabs>
          <w:tab w:val="left" w:pos="0"/>
        </w:tabs>
        <w:spacing w:line="360" w:lineRule="auto"/>
        <w:ind w:left="0"/>
        <w:rPr>
          <w:b/>
          <w:bCs/>
          <w:sz w:val="22"/>
          <w:szCs w:val="22"/>
        </w:rPr>
      </w:pPr>
      <w:r w:rsidRPr="001F224B">
        <w:rPr>
          <w:b/>
          <w:bCs/>
          <w:sz w:val="22"/>
          <w:szCs w:val="22"/>
        </w:rPr>
        <w:t xml:space="preserve">KONSOLİDE </w:t>
      </w:r>
      <w:r w:rsidR="00F877DA" w:rsidRPr="001F224B">
        <w:rPr>
          <w:b/>
          <w:bCs/>
          <w:sz w:val="22"/>
          <w:szCs w:val="22"/>
        </w:rPr>
        <w:t>FİNANSAL TABLOLARA İLİŞKİN</w:t>
      </w:r>
      <w:r w:rsidR="003B6EEE" w:rsidRPr="001F224B">
        <w:rPr>
          <w:b/>
          <w:bCs/>
          <w:sz w:val="22"/>
          <w:szCs w:val="22"/>
        </w:rPr>
        <w:t xml:space="preserve"> </w:t>
      </w:r>
      <w:r w:rsidR="00F877DA" w:rsidRPr="001F224B">
        <w:rPr>
          <w:b/>
          <w:bCs/>
          <w:sz w:val="22"/>
          <w:szCs w:val="22"/>
        </w:rPr>
        <w:t>AÇIKLAMA VE DİPNOTLAR</w:t>
      </w:r>
    </w:p>
    <w:p w14:paraId="604943B6" w14:textId="5D6A7CA4" w:rsidR="00D82235" w:rsidRPr="001F224B" w:rsidRDefault="00F034E4" w:rsidP="00A63DE3">
      <w:pPr>
        <w:tabs>
          <w:tab w:val="left" w:pos="567"/>
        </w:tabs>
        <w:spacing w:after="120"/>
        <w:jc w:val="both"/>
        <w:rPr>
          <w:b/>
          <w:bCs/>
          <w:iCs/>
          <w:sz w:val="22"/>
          <w:szCs w:val="22"/>
        </w:rPr>
      </w:pPr>
      <w:r w:rsidRPr="001F224B">
        <w:rPr>
          <w:b/>
          <w:bCs/>
          <w:iCs/>
          <w:sz w:val="22"/>
          <w:szCs w:val="22"/>
        </w:rPr>
        <w:t>I.</w:t>
      </w:r>
      <w:r w:rsidR="003A16AD" w:rsidRPr="001F224B">
        <w:rPr>
          <w:b/>
          <w:bCs/>
          <w:iCs/>
          <w:sz w:val="22"/>
          <w:szCs w:val="22"/>
        </w:rPr>
        <w:tab/>
      </w:r>
      <w:r w:rsidR="0056078E" w:rsidRPr="001F224B">
        <w:rPr>
          <w:b/>
          <w:bCs/>
          <w:iCs/>
          <w:sz w:val="22"/>
          <w:szCs w:val="22"/>
        </w:rPr>
        <w:t>Konsolide b</w:t>
      </w:r>
      <w:r w:rsidR="00D82235" w:rsidRPr="001F224B">
        <w:rPr>
          <w:b/>
          <w:bCs/>
          <w:iCs/>
          <w:sz w:val="22"/>
          <w:szCs w:val="22"/>
        </w:rPr>
        <w:t>ilançonun aktif hesaplarına ilişkin açıklama ve dipnotlar</w:t>
      </w:r>
    </w:p>
    <w:p w14:paraId="75B789FC" w14:textId="77777777" w:rsidR="00193B8A" w:rsidRPr="001F224B" w:rsidRDefault="00FF38AC" w:rsidP="003A16AD">
      <w:pPr>
        <w:tabs>
          <w:tab w:val="left" w:pos="567"/>
        </w:tabs>
        <w:spacing w:before="120" w:after="120"/>
        <w:jc w:val="both"/>
        <w:rPr>
          <w:b/>
          <w:bCs/>
          <w:iCs/>
          <w:sz w:val="22"/>
          <w:szCs w:val="22"/>
        </w:rPr>
      </w:pPr>
      <w:r w:rsidRPr="001F224B">
        <w:rPr>
          <w:b/>
          <w:bCs/>
          <w:iCs/>
          <w:sz w:val="22"/>
          <w:szCs w:val="22"/>
        </w:rPr>
        <w:t>1</w:t>
      </w:r>
      <w:r w:rsidR="003A16AD" w:rsidRPr="001F224B">
        <w:rPr>
          <w:b/>
          <w:bCs/>
          <w:iCs/>
          <w:sz w:val="22"/>
          <w:szCs w:val="22"/>
        </w:rPr>
        <w:t>.</w:t>
      </w:r>
      <w:r w:rsidR="003A16AD" w:rsidRPr="001F224B">
        <w:rPr>
          <w:b/>
          <w:bCs/>
          <w:iCs/>
          <w:sz w:val="22"/>
          <w:szCs w:val="22"/>
        </w:rPr>
        <w:tab/>
      </w:r>
      <w:r w:rsidR="00FC7683" w:rsidRPr="001F224B">
        <w:rPr>
          <w:b/>
          <w:bCs/>
          <w:iCs/>
          <w:sz w:val="22"/>
          <w:szCs w:val="22"/>
        </w:rPr>
        <w:t>Finansal varlıklara i</w:t>
      </w:r>
      <w:r w:rsidRPr="001F224B">
        <w:rPr>
          <w:b/>
          <w:bCs/>
          <w:iCs/>
          <w:sz w:val="22"/>
          <w:szCs w:val="22"/>
        </w:rPr>
        <w:t>lişkin bilgiler:</w:t>
      </w:r>
    </w:p>
    <w:p w14:paraId="1D3585D4" w14:textId="77777777" w:rsidR="00D740A0" w:rsidRPr="001F224B" w:rsidRDefault="004B234D" w:rsidP="00604594">
      <w:pPr>
        <w:tabs>
          <w:tab w:val="left" w:pos="567"/>
        </w:tabs>
        <w:spacing w:before="120" w:after="120"/>
        <w:rPr>
          <w:b/>
          <w:bCs/>
          <w:sz w:val="22"/>
          <w:szCs w:val="22"/>
        </w:rPr>
      </w:pPr>
      <w:bookmarkStart w:id="29" w:name="_Hlt40762914"/>
      <w:r w:rsidRPr="001F224B">
        <w:rPr>
          <w:b/>
          <w:bCs/>
          <w:sz w:val="22"/>
          <w:szCs w:val="22"/>
        </w:rPr>
        <w:t>1.</w:t>
      </w:r>
      <w:r w:rsidR="00AE605F" w:rsidRPr="001F224B">
        <w:rPr>
          <w:b/>
          <w:bCs/>
          <w:sz w:val="22"/>
          <w:szCs w:val="22"/>
        </w:rPr>
        <w:t>1</w:t>
      </w:r>
      <w:r w:rsidR="00D34B46" w:rsidRPr="001F224B">
        <w:rPr>
          <w:b/>
          <w:bCs/>
          <w:sz w:val="22"/>
          <w:szCs w:val="22"/>
        </w:rPr>
        <w:t>.</w:t>
      </w:r>
      <w:r w:rsidRPr="001F224B">
        <w:rPr>
          <w:b/>
          <w:bCs/>
          <w:sz w:val="22"/>
          <w:szCs w:val="22"/>
        </w:rPr>
        <w:tab/>
      </w:r>
      <w:r w:rsidR="00D740A0" w:rsidRPr="001F224B">
        <w:rPr>
          <w:b/>
          <w:bCs/>
          <w:sz w:val="22"/>
          <w:szCs w:val="22"/>
        </w:rPr>
        <w:t xml:space="preserve">Nakit </w:t>
      </w:r>
      <w:r w:rsidRPr="001F224B">
        <w:rPr>
          <w:b/>
          <w:bCs/>
          <w:sz w:val="22"/>
          <w:szCs w:val="22"/>
        </w:rPr>
        <w:t xml:space="preserve">ve </w:t>
      </w:r>
      <w:r w:rsidR="00D740A0" w:rsidRPr="001F224B">
        <w:rPr>
          <w:b/>
          <w:bCs/>
          <w:sz w:val="22"/>
          <w:szCs w:val="22"/>
        </w:rPr>
        <w:t>nakit benzerlerine</w:t>
      </w:r>
      <w:r w:rsidRPr="001F224B">
        <w:rPr>
          <w:b/>
          <w:bCs/>
          <w:sz w:val="22"/>
          <w:szCs w:val="22"/>
        </w:rPr>
        <w:t xml:space="preserve"> ilişkin bilgiler</w:t>
      </w:r>
      <w:bookmarkEnd w:id="29"/>
      <w:r w:rsidRPr="001F224B">
        <w:rPr>
          <w:b/>
          <w:bCs/>
          <w:sz w:val="22"/>
          <w:szCs w:val="22"/>
        </w:rPr>
        <w:t>:</w:t>
      </w:r>
    </w:p>
    <w:p w14:paraId="295BE478" w14:textId="47B7E572" w:rsidR="004B234D" w:rsidRPr="001F224B" w:rsidRDefault="00D740A0">
      <w:pPr>
        <w:pStyle w:val="BodyTextIndent"/>
        <w:numPr>
          <w:ilvl w:val="2"/>
          <w:numId w:val="7"/>
        </w:numPr>
        <w:tabs>
          <w:tab w:val="left" w:pos="567"/>
        </w:tabs>
        <w:spacing w:before="120" w:after="120" w:line="216" w:lineRule="auto"/>
        <w:rPr>
          <w:b/>
          <w:sz w:val="22"/>
          <w:szCs w:val="22"/>
        </w:rPr>
      </w:pPr>
      <w:r w:rsidRPr="001F224B">
        <w:rPr>
          <w:b/>
          <w:sz w:val="22"/>
          <w:szCs w:val="22"/>
        </w:rPr>
        <w:t xml:space="preserve">Nakit değerler ve TCMB’ye ilişkin bilgiler: </w:t>
      </w:r>
      <w:r w:rsidR="004B234D" w:rsidRPr="001F224B">
        <w:rPr>
          <w:b/>
          <w:bCs/>
          <w:sz w:val="22"/>
          <w:szCs w:val="22"/>
        </w:rPr>
        <w:t xml:space="preserve"> </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1F224B" w14:paraId="7AF72CF2" w14:textId="77777777" w:rsidTr="00B91897">
        <w:trPr>
          <w:cantSplit/>
          <w:trHeight w:val="255"/>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455889E3" w14:textId="77777777" w:rsidR="004B234D" w:rsidRPr="001F224B" w:rsidRDefault="004B234D" w:rsidP="006A0190">
            <w:pPr>
              <w:rPr>
                <w:sz w:val="20"/>
                <w:szCs w:val="20"/>
              </w:rPr>
            </w:pPr>
            <w:r w:rsidRPr="001F224B">
              <w:rPr>
                <w:sz w:val="20"/>
                <w:szCs w:val="20"/>
              </w:rPr>
              <w:t> </w:t>
            </w:r>
          </w:p>
          <w:p w14:paraId="70AEAF71" w14:textId="77777777" w:rsidR="004B234D" w:rsidRPr="001F224B" w:rsidRDefault="004B234D" w:rsidP="006A0190">
            <w:pPr>
              <w:rPr>
                <w:sz w:val="20"/>
                <w:szCs w:val="20"/>
              </w:rPr>
            </w:pPr>
            <w:r w:rsidRPr="001F224B">
              <w:rPr>
                <w:sz w:val="20"/>
                <w:szCs w:val="20"/>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14:paraId="1CA4C7C9" w14:textId="77777777" w:rsidR="005658CA" w:rsidRPr="001F224B" w:rsidRDefault="005658CA" w:rsidP="005658CA">
            <w:pPr>
              <w:jc w:val="center"/>
              <w:rPr>
                <w:b/>
                <w:bCs/>
                <w:sz w:val="20"/>
                <w:szCs w:val="20"/>
              </w:rPr>
            </w:pPr>
            <w:r w:rsidRPr="001F224B">
              <w:rPr>
                <w:b/>
                <w:bCs/>
                <w:sz w:val="20"/>
                <w:szCs w:val="20"/>
              </w:rPr>
              <w:t xml:space="preserve">Cari Dönem </w:t>
            </w:r>
          </w:p>
          <w:p w14:paraId="63445D67" w14:textId="435DFA31" w:rsidR="004B234D" w:rsidRPr="001F224B" w:rsidRDefault="005658CA" w:rsidP="005658CA">
            <w:pPr>
              <w:jc w:val="center"/>
              <w:rPr>
                <w:b/>
                <w:bCs/>
                <w:sz w:val="20"/>
                <w:szCs w:val="20"/>
              </w:rPr>
            </w:pPr>
            <w:r w:rsidRPr="001F224B">
              <w:rPr>
                <w:b/>
                <w:bCs/>
                <w:sz w:val="20"/>
                <w:szCs w:val="20"/>
              </w:rPr>
              <w:t>(3</w:t>
            </w:r>
            <w:r w:rsidR="00605FD2" w:rsidRPr="001F224B">
              <w:rPr>
                <w:b/>
                <w:bCs/>
                <w:sz w:val="20"/>
                <w:szCs w:val="20"/>
              </w:rPr>
              <w:t>0</w:t>
            </w:r>
            <w:r w:rsidRPr="001F224B">
              <w:rPr>
                <w:b/>
                <w:bCs/>
                <w:sz w:val="20"/>
                <w:szCs w:val="20"/>
              </w:rPr>
              <w:t>.</w:t>
            </w:r>
            <w:r w:rsidR="00E862F6" w:rsidRPr="001F224B">
              <w:rPr>
                <w:b/>
                <w:bCs/>
                <w:sz w:val="20"/>
                <w:szCs w:val="20"/>
              </w:rPr>
              <w:t>0</w:t>
            </w:r>
            <w:r w:rsidR="00605FD2" w:rsidRPr="001F224B">
              <w:rPr>
                <w:b/>
                <w:bCs/>
                <w:sz w:val="20"/>
                <w:szCs w:val="20"/>
              </w:rPr>
              <w:t>6</w:t>
            </w:r>
            <w:r w:rsidRPr="001F224B">
              <w:rPr>
                <w:b/>
                <w:bCs/>
                <w:sz w:val="20"/>
                <w:szCs w:val="20"/>
              </w:rPr>
              <w:t>.202</w:t>
            </w:r>
            <w:r w:rsidR="00E862F6" w:rsidRPr="001F224B">
              <w:rPr>
                <w:b/>
                <w:bCs/>
                <w:sz w:val="20"/>
                <w:szCs w:val="20"/>
              </w:rPr>
              <w:t>5</w:t>
            </w:r>
            <w:r w:rsidRPr="001F224B">
              <w:rPr>
                <w:b/>
                <w:bCs/>
                <w:sz w:val="20"/>
                <w:szCs w:val="20"/>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50C01D0C" w14:textId="77777777" w:rsidR="004B234D" w:rsidRPr="001F224B" w:rsidRDefault="004B234D" w:rsidP="006A0190">
            <w:pPr>
              <w:jc w:val="center"/>
              <w:rPr>
                <w:b/>
                <w:bCs/>
                <w:sz w:val="20"/>
                <w:szCs w:val="20"/>
              </w:rPr>
            </w:pPr>
            <w:r w:rsidRPr="001F224B">
              <w:rPr>
                <w:b/>
                <w:bCs/>
                <w:sz w:val="20"/>
                <w:szCs w:val="20"/>
              </w:rPr>
              <w:t xml:space="preserve">Önceki Dönem </w:t>
            </w:r>
          </w:p>
          <w:p w14:paraId="75272D06" w14:textId="6EA76598" w:rsidR="004B234D" w:rsidRPr="001F224B" w:rsidRDefault="004B234D" w:rsidP="00A0775D">
            <w:pPr>
              <w:jc w:val="center"/>
              <w:rPr>
                <w:b/>
                <w:bCs/>
                <w:sz w:val="20"/>
                <w:szCs w:val="20"/>
              </w:rPr>
            </w:pPr>
            <w:r w:rsidRPr="001F224B">
              <w:rPr>
                <w:b/>
                <w:bCs/>
                <w:sz w:val="20"/>
                <w:szCs w:val="20"/>
              </w:rPr>
              <w:t xml:space="preserve"> (31.12.20</w:t>
            </w:r>
            <w:r w:rsidR="00C62516" w:rsidRPr="001F224B">
              <w:rPr>
                <w:b/>
                <w:bCs/>
                <w:sz w:val="20"/>
                <w:szCs w:val="20"/>
              </w:rPr>
              <w:t>2</w:t>
            </w:r>
            <w:r w:rsidR="00E862F6" w:rsidRPr="001F224B">
              <w:rPr>
                <w:b/>
                <w:bCs/>
                <w:sz w:val="20"/>
                <w:szCs w:val="20"/>
              </w:rPr>
              <w:t>4</w:t>
            </w:r>
            <w:r w:rsidRPr="001F224B">
              <w:rPr>
                <w:b/>
                <w:bCs/>
                <w:sz w:val="20"/>
                <w:szCs w:val="20"/>
              </w:rPr>
              <w:t>)</w:t>
            </w:r>
          </w:p>
        </w:tc>
      </w:tr>
      <w:tr w:rsidR="004B234D" w:rsidRPr="001F224B" w14:paraId="23C49D4D" w14:textId="77777777" w:rsidTr="00B4364F">
        <w:trPr>
          <w:cantSplit/>
          <w:trHeight w:val="255"/>
        </w:trPr>
        <w:tc>
          <w:tcPr>
            <w:tcW w:w="4102" w:type="dxa"/>
            <w:vMerge/>
            <w:tcBorders>
              <w:left w:val="single" w:sz="4" w:space="0" w:color="auto"/>
              <w:bottom w:val="single" w:sz="4" w:space="0" w:color="auto"/>
              <w:right w:val="single" w:sz="4" w:space="0" w:color="auto"/>
            </w:tcBorders>
            <w:vAlign w:val="bottom"/>
          </w:tcPr>
          <w:p w14:paraId="77844429" w14:textId="77777777" w:rsidR="004B234D" w:rsidRPr="001F224B" w:rsidRDefault="004B234D" w:rsidP="006A0190">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2837C9AA" w14:textId="77777777" w:rsidR="004B234D" w:rsidRPr="001F224B" w:rsidRDefault="004B234D" w:rsidP="006A0190">
            <w:pPr>
              <w:jc w:val="center"/>
              <w:rPr>
                <w:b/>
                <w:bCs/>
                <w:sz w:val="20"/>
                <w:szCs w:val="20"/>
              </w:rPr>
            </w:pPr>
            <w:r w:rsidRPr="001F224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7F404077" w14:textId="77777777" w:rsidR="004B234D" w:rsidRPr="001F224B" w:rsidRDefault="004B234D" w:rsidP="006A0190">
            <w:pPr>
              <w:jc w:val="center"/>
              <w:rPr>
                <w:b/>
                <w:bCs/>
                <w:sz w:val="20"/>
                <w:szCs w:val="20"/>
              </w:rPr>
            </w:pPr>
            <w:r w:rsidRPr="001F224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5EF620E5" w14:textId="77777777" w:rsidR="004B234D" w:rsidRPr="001F224B" w:rsidRDefault="004B234D" w:rsidP="006A0190">
            <w:pPr>
              <w:jc w:val="center"/>
              <w:rPr>
                <w:b/>
                <w:bCs/>
                <w:sz w:val="20"/>
                <w:szCs w:val="20"/>
              </w:rPr>
            </w:pPr>
            <w:r w:rsidRPr="001F224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2358E136" w14:textId="77777777" w:rsidR="004B234D" w:rsidRPr="001F224B" w:rsidRDefault="004B234D" w:rsidP="006A0190">
            <w:pPr>
              <w:jc w:val="center"/>
              <w:rPr>
                <w:b/>
                <w:bCs/>
                <w:sz w:val="20"/>
                <w:szCs w:val="20"/>
              </w:rPr>
            </w:pPr>
            <w:r w:rsidRPr="001F224B">
              <w:rPr>
                <w:b/>
                <w:bCs/>
                <w:sz w:val="20"/>
                <w:szCs w:val="20"/>
              </w:rPr>
              <w:t>YP</w:t>
            </w:r>
          </w:p>
        </w:tc>
      </w:tr>
      <w:tr w:rsidR="001B1685" w:rsidRPr="001F224B" w14:paraId="2B46A831" w14:textId="77777777" w:rsidTr="00B4364F">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48D34DCB" w14:textId="77777777" w:rsidR="001B1685" w:rsidRPr="001F224B" w:rsidRDefault="001B1685" w:rsidP="001B1685">
            <w:pPr>
              <w:ind w:firstLine="214"/>
              <w:rPr>
                <w:sz w:val="20"/>
                <w:szCs w:val="20"/>
              </w:rPr>
            </w:pPr>
            <w:r w:rsidRPr="001F224B">
              <w:rPr>
                <w:sz w:val="20"/>
                <w:szCs w:val="20"/>
              </w:rPr>
              <w:t>Kasa/Efektif</w:t>
            </w:r>
          </w:p>
        </w:tc>
        <w:tc>
          <w:tcPr>
            <w:tcW w:w="1417" w:type="dxa"/>
            <w:tcBorders>
              <w:top w:val="single" w:sz="4" w:space="0" w:color="auto"/>
              <w:bottom w:val="single" w:sz="4" w:space="0" w:color="auto"/>
              <w:right w:val="single" w:sz="4" w:space="0" w:color="auto"/>
            </w:tcBorders>
            <w:shd w:val="clear" w:color="000000" w:fill="FFFFFF"/>
            <w:vAlign w:val="bottom"/>
          </w:tcPr>
          <w:p w14:paraId="6D5C2EC6" w14:textId="538D1B4F" w:rsidR="001B1685" w:rsidRPr="001F224B" w:rsidRDefault="001B1685" w:rsidP="001B1685">
            <w:pPr>
              <w:jc w:val="right"/>
              <w:rPr>
                <w:sz w:val="20"/>
                <w:szCs w:val="20"/>
              </w:rPr>
            </w:pPr>
            <w:r w:rsidRPr="001F224B">
              <w:rPr>
                <w:sz w:val="20"/>
                <w:szCs w:val="20"/>
              </w:rPr>
              <w:t>46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047B4D75" w14:textId="3FFCC3CB" w:rsidR="001B1685" w:rsidRPr="001F224B" w:rsidRDefault="001B1685" w:rsidP="001B1685">
            <w:pPr>
              <w:jc w:val="right"/>
              <w:rPr>
                <w:sz w:val="20"/>
                <w:szCs w:val="20"/>
              </w:rPr>
            </w:pPr>
            <w:r w:rsidRPr="001F224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95727CC" w14:textId="22900AAC" w:rsidR="001B1685" w:rsidRPr="001F224B" w:rsidRDefault="001B1685" w:rsidP="001B1685">
            <w:pPr>
              <w:jc w:val="right"/>
              <w:rPr>
                <w:sz w:val="20"/>
                <w:szCs w:val="20"/>
              </w:rPr>
            </w:pPr>
            <w:r w:rsidRPr="001F224B">
              <w:rPr>
                <w:sz w:val="20"/>
                <w:szCs w:val="20"/>
              </w:rPr>
              <w:t>33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F9E699D" w14:textId="20ADC0C8" w:rsidR="001B1685" w:rsidRPr="001F224B" w:rsidRDefault="001B1685" w:rsidP="001B1685">
            <w:pPr>
              <w:jc w:val="right"/>
              <w:rPr>
                <w:sz w:val="20"/>
                <w:szCs w:val="20"/>
              </w:rPr>
            </w:pPr>
            <w:r w:rsidRPr="001F224B">
              <w:rPr>
                <w:sz w:val="20"/>
                <w:szCs w:val="20"/>
              </w:rPr>
              <w:t>- </w:t>
            </w:r>
          </w:p>
        </w:tc>
      </w:tr>
      <w:tr w:rsidR="001B1685" w:rsidRPr="001F224B" w14:paraId="29AB6E88" w14:textId="77777777" w:rsidTr="00B4364F">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50AF38E4" w14:textId="77777777" w:rsidR="001B1685" w:rsidRPr="001F224B" w:rsidRDefault="001B1685" w:rsidP="001B1685">
            <w:pPr>
              <w:ind w:firstLine="214"/>
              <w:rPr>
                <w:sz w:val="20"/>
                <w:szCs w:val="20"/>
              </w:rPr>
            </w:pPr>
            <w:r w:rsidRPr="001F224B">
              <w:rPr>
                <w:sz w:val="20"/>
                <w:szCs w:val="20"/>
              </w:rPr>
              <w:t>TCMB</w:t>
            </w:r>
          </w:p>
        </w:tc>
        <w:tc>
          <w:tcPr>
            <w:tcW w:w="1417" w:type="dxa"/>
            <w:tcBorders>
              <w:top w:val="single" w:sz="4" w:space="0" w:color="auto"/>
              <w:bottom w:val="single" w:sz="4" w:space="0" w:color="auto"/>
              <w:right w:val="single" w:sz="4" w:space="0" w:color="auto"/>
            </w:tcBorders>
            <w:shd w:val="clear" w:color="000000" w:fill="FFFFFF"/>
            <w:vAlign w:val="bottom"/>
          </w:tcPr>
          <w:p w14:paraId="6D265B8A" w14:textId="080F8D06" w:rsidR="001B1685" w:rsidRPr="001F224B" w:rsidRDefault="001B1685" w:rsidP="001B1685">
            <w:pPr>
              <w:jc w:val="right"/>
              <w:rPr>
                <w:sz w:val="20"/>
                <w:szCs w:val="20"/>
              </w:rPr>
            </w:pPr>
            <w:r w:rsidRPr="001F224B">
              <w:rPr>
                <w:sz w:val="20"/>
                <w:szCs w:val="20"/>
              </w:rPr>
              <w:t>1.629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7392BFBB" w14:textId="05F3BDB9" w:rsidR="001B1685" w:rsidRPr="001F224B" w:rsidRDefault="001B1685" w:rsidP="001B1685">
            <w:pPr>
              <w:jc w:val="right"/>
              <w:rPr>
                <w:sz w:val="20"/>
                <w:szCs w:val="20"/>
              </w:rPr>
            </w:pPr>
            <w:r w:rsidRPr="001F224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D259D9" w14:textId="210B41FA" w:rsidR="001B1685" w:rsidRPr="001F224B" w:rsidRDefault="001B1685" w:rsidP="001B1685">
            <w:pPr>
              <w:jc w:val="right"/>
              <w:rPr>
                <w:sz w:val="20"/>
                <w:szCs w:val="20"/>
              </w:rPr>
            </w:pPr>
            <w:r w:rsidRPr="001F224B">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3CDCFD9" w14:textId="5AF389A6" w:rsidR="001B1685" w:rsidRPr="001F224B" w:rsidRDefault="001B1685" w:rsidP="001B1685">
            <w:pPr>
              <w:jc w:val="right"/>
              <w:rPr>
                <w:sz w:val="20"/>
                <w:szCs w:val="20"/>
              </w:rPr>
            </w:pPr>
            <w:r w:rsidRPr="001F224B">
              <w:rPr>
                <w:sz w:val="20"/>
                <w:szCs w:val="20"/>
              </w:rPr>
              <w:t>- </w:t>
            </w:r>
          </w:p>
        </w:tc>
      </w:tr>
      <w:tr w:rsidR="001B1685" w:rsidRPr="001F224B" w14:paraId="6547F99A" w14:textId="77777777" w:rsidTr="004E57A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30BC21D0" w14:textId="77777777" w:rsidR="001B1685" w:rsidRPr="001F224B" w:rsidRDefault="001B1685" w:rsidP="001B1685">
            <w:pPr>
              <w:ind w:firstLine="214"/>
              <w:rPr>
                <w:sz w:val="20"/>
                <w:szCs w:val="20"/>
              </w:rPr>
            </w:pPr>
            <w:r w:rsidRPr="001F224B">
              <w:rPr>
                <w:sz w:val="20"/>
                <w:szCs w:val="20"/>
              </w:rPr>
              <w:t>Diğer</w:t>
            </w:r>
          </w:p>
        </w:tc>
        <w:tc>
          <w:tcPr>
            <w:tcW w:w="1417" w:type="dxa"/>
            <w:tcBorders>
              <w:top w:val="single" w:sz="4" w:space="0" w:color="auto"/>
              <w:bottom w:val="single" w:sz="4" w:space="0" w:color="auto"/>
              <w:right w:val="single" w:sz="4" w:space="0" w:color="auto"/>
            </w:tcBorders>
            <w:shd w:val="clear" w:color="000000" w:fill="FFFFFF"/>
            <w:vAlign w:val="bottom"/>
          </w:tcPr>
          <w:p w14:paraId="3C69EA33" w14:textId="78D5C946" w:rsidR="001B1685" w:rsidRPr="001F224B" w:rsidRDefault="001B1685" w:rsidP="001B1685">
            <w:pPr>
              <w:jc w:val="right"/>
              <w:rPr>
                <w:sz w:val="20"/>
                <w:szCs w:val="20"/>
              </w:rPr>
            </w:pPr>
            <w:r w:rsidRPr="001F224B">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464A84DD" w14:textId="40EF6793" w:rsidR="001B1685" w:rsidRPr="001F224B" w:rsidRDefault="001B1685" w:rsidP="001B1685">
            <w:pPr>
              <w:jc w:val="right"/>
              <w:rPr>
                <w:sz w:val="20"/>
                <w:szCs w:val="20"/>
              </w:rPr>
            </w:pPr>
            <w:r w:rsidRPr="001F224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D7E010" w14:textId="3245F368" w:rsidR="001B1685" w:rsidRPr="001F224B" w:rsidRDefault="001B1685" w:rsidP="001B1685">
            <w:pPr>
              <w:jc w:val="right"/>
              <w:rPr>
                <w:sz w:val="20"/>
                <w:szCs w:val="20"/>
              </w:rPr>
            </w:pPr>
            <w:r w:rsidRPr="001F224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BBB8E1D" w14:textId="0B5FECBF" w:rsidR="001B1685" w:rsidRPr="001F224B" w:rsidRDefault="001B1685" w:rsidP="001B1685">
            <w:pPr>
              <w:jc w:val="right"/>
              <w:rPr>
                <w:sz w:val="20"/>
                <w:szCs w:val="20"/>
              </w:rPr>
            </w:pPr>
            <w:r w:rsidRPr="001F224B">
              <w:rPr>
                <w:sz w:val="20"/>
                <w:szCs w:val="20"/>
              </w:rPr>
              <w:t>- </w:t>
            </w:r>
          </w:p>
        </w:tc>
      </w:tr>
      <w:tr w:rsidR="001B1685" w:rsidRPr="001F224B" w14:paraId="5CC4D61A" w14:textId="77777777" w:rsidTr="004E57A7">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153F6795" w14:textId="77777777" w:rsidR="001B1685" w:rsidRPr="001F224B" w:rsidRDefault="001B1685" w:rsidP="001B1685">
            <w:pPr>
              <w:rPr>
                <w:b/>
                <w:sz w:val="20"/>
                <w:szCs w:val="20"/>
              </w:rPr>
            </w:pPr>
            <w:r w:rsidRPr="001F224B">
              <w:rPr>
                <w:b/>
                <w:sz w:val="20"/>
                <w:szCs w:val="20"/>
              </w:rPr>
              <w:t>Toplam</w:t>
            </w:r>
          </w:p>
        </w:tc>
        <w:tc>
          <w:tcPr>
            <w:tcW w:w="1417" w:type="dxa"/>
            <w:tcBorders>
              <w:top w:val="single" w:sz="4" w:space="0" w:color="auto"/>
              <w:bottom w:val="single" w:sz="4" w:space="0" w:color="auto"/>
              <w:right w:val="single" w:sz="4" w:space="0" w:color="auto"/>
            </w:tcBorders>
            <w:shd w:val="clear" w:color="000000" w:fill="FFFFFF"/>
            <w:vAlign w:val="bottom"/>
          </w:tcPr>
          <w:p w14:paraId="3C75826A" w14:textId="1AD1BA28" w:rsidR="001B1685" w:rsidRPr="001F224B" w:rsidRDefault="001B1685" w:rsidP="001B1685">
            <w:pPr>
              <w:jc w:val="right"/>
              <w:rPr>
                <w:b/>
                <w:sz w:val="20"/>
                <w:szCs w:val="20"/>
              </w:rPr>
            </w:pPr>
            <w:r w:rsidRPr="001F224B">
              <w:rPr>
                <w:b/>
                <w:bCs/>
                <w:sz w:val="20"/>
                <w:szCs w:val="20"/>
              </w:rPr>
              <w:t>1.675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0318FAB2" w14:textId="49F086D2" w:rsidR="001B1685" w:rsidRPr="001F224B" w:rsidRDefault="001B1685" w:rsidP="001B1685">
            <w:pPr>
              <w:jc w:val="right"/>
              <w:rPr>
                <w:b/>
                <w:sz w:val="20"/>
                <w:szCs w:val="20"/>
              </w:rPr>
            </w:pPr>
            <w:r w:rsidRPr="001F224B">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0563E80" w14:textId="159F3673" w:rsidR="001B1685" w:rsidRPr="001F224B" w:rsidRDefault="001B1685" w:rsidP="001B1685">
            <w:pPr>
              <w:jc w:val="right"/>
              <w:rPr>
                <w:b/>
                <w:sz w:val="20"/>
                <w:szCs w:val="20"/>
              </w:rPr>
            </w:pPr>
            <w:r w:rsidRPr="001F224B">
              <w:rPr>
                <w:b/>
                <w:bCs/>
                <w:sz w:val="20"/>
                <w:szCs w:val="20"/>
              </w:rPr>
              <w:t>1.842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7A8AB6A" w14:textId="24D574C7" w:rsidR="001B1685" w:rsidRPr="001F224B" w:rsidRDefault="001B1685" w:rsidP="001B1685">
            <w:pPr>
              <w:jc w:val="right"/>
              <w:rPr>
                <w:b/>
                <w:sz w:val="20"/>
                <w:szCs w:val="20"/>
              </w:rPr>
            </w:pPr>
            <w:r w:rsidRPr="001F224B">
              <w:rPr>
                <w:b/>
                <w:sz w:val="20"/>
                <w:szCs w:val="20"/>
              </w:rPr>
              <w:t>- </w:t>
            </w:r>
          </w:p>
        </w:tc>
      </w:tr>
    </w:tbl>
    <w:p w14:paraId="0656800F" w14:textId="2544D7D9" w:rsidR="004B234D" w:rsidRPr="001F224B" w:rsidRDefault="00D740A0" w:rsidP="00D740A0">
      <w:pPr>
        <w:pStyle w:val="BodyTextIndent"/>
        <w:tabs>
          <w:tab w:val="left" w:pos="567"/>
        </w:tabs>
        <w:spacing w:before="120" w:after="120" w:line="216" w:lineRule="auto"/>
        <w:ind w:firstLine="0"/>
        <w:rPr>
          <w:b/>
          <w:sz w:val="22"/>
          <w:szCs w:val="22"/>
        </w:rPr>
      </w:pPr>
      <w:r w:rsidRPr="001F224B">
        <w:rPr>
          <w:b/>
          <w:sz w:val="22"/>
          <w:szCs w:val="22"/>
        </w:rPr>
        <w:t>1.1.1.a</w:t>
      </w:r>
      <w:r w:rsidR="00AA02D1" w:rsidRPr="001F224B">
        <w:rPr>
          <w:b/>
          <w:sz w:val="22"/>
          <w:szCs w:val="22"/>
        </w:rPr>
        <w:t>)</w:t>
      </w:r>
      <w:r w:rsidRPr="001F224B">
        <w:rPr>
          <w:b/>
          <w:sz w:val="22"/>
          <w:szCs w:val="22"/>
        </w:rPr>
        <w:t xml:space="preserve"> </w:t>
      </w:r>
      <w:r w:rsidR="004B234D" w:rsidRPr="001F224B">
        <w:rPr>
          <w:b/>
          <w:sz w:val="22"/>
          <w:szCs w:val="22"/>
        </w:rPr>
        <w:t xml:space="preserve">Zorunlu Karşılıklara ilişkin açıklamalar: </w:t>
      </w:r>
    </w:p>
    <w:p w14:paraId="3F7B8668" w14:textId="02EA6C87" w:rsidR="004B234D" w:rsidRPr="001F224B" w:rsidRDefault="00CA6E0D" w:rsidP="00604594">
      <w:pPr>
        <w:spacing w:before="120"/>
        <w:ind w:left="567"/>
        <w:jc w:val="both"/>
        <w:rPr>
          <w:rFonts w:eastAsia="Arial Unicode MS"/>
          <w:bCs/>
          <w:sz w:val="22"/>
          <w:szCs w:val="22"/>
        </w:rPr>
      </w:pPr>
      <w:r w:rsidRPr="001F224B">
        <w:rPr>
          <w:rFonts w:eastAsia="Arial Unicode MS"/>
          <w:bCs/>
          <w:sz w:val="22"/>
          <w:szCs w:val="22"/>
        </w:rPr>
        <w:t xml:space="preserve">Ana Ortaklık </w:t>
      </w:r>
      <w:r w:rsidR="004B234D" w:rsidRPr="001F224B">
        <w:rPr>
          <w:rFonts w:eastAsia="Arial Unicode MS"/>
          <w:bCs/>
          <w:sz w:val="22"/>
          <w:szCs w:val="22"/>
        </w:rPr>
        <w:t xml:space="preserve">Bankaca mevduat kabulü ve fon toplama işlemi yapılmadığı için T.C. Merkez Bankası’nın 2005/1 sayılı Zorunlu Karşılıklar </w:t>
      </w:r>
      <w:r w:rsidR="00AD0592" w:rsidRPr="001F224B">
        <w:rPr>
          <w:rFonts w:eastAsia="Arial Unicode MS"/>
          <w:bCs/>
          <w:sz w:val="22"/>
          <w:szCs w:val="22"/>
        </w:rPr>
        <w:t>H</w:t>
      </w:r>
      <w:r w:rsidR="004B234D" w:rsidRPr="001F224B">
        <w:rPr>
          <w:rFonts w:eastAsia="Arial Unicode MS"/>
          <w:bCs/>
          <w:sz w:val="22"/>
          <w:szCs w:val="22"/>
        </w:rPr>
        <w:t>akkında Tebliği’ne tabi değildir</w:t>
      </w:r>
      <w:r w:rsidR="00084D13" w:rsidRPr="001F224B">
        <w:rPr>
          <w:rFonts w:eastAsia="Arial Unicode MS"/>
          <w:bCs/>
          <w:sz w:val="22"/>
          <w:szCs w:val="22"/>
        </w:rPr>
        <w:t>.</w:t>
      </w:r>
    </w:p>
    <w:p w14:paraId="00E01E26" w14:textId="31AEB794" w:rsidR="004B234D" w:rsidRPr="001F224B" w:rsidRDefault="00D740A0">
      <w:pPr>
        <w:tabs>
          <w:tab w:val="left" w:pos="567"/>
        </w:tabs>
        <w:spacing w:before="120" w:after="120"/>
        <w:rPr>
          <w:b/>
          <w:bCs/>
          <w:sz w:val="16"/>
          <w:szCs w:val="16"/>
        </w:rPr>
      </w:pPr>
      <w:r w:rsidRPr="001F224B">
        <w:rPr>
          <w:b/>
          <w:sz w:val="22"/>
          <w:szCs w:val="22"/>
        </w:rPr>
        <w:t>1.1.1.b</w:t>
      </w:r>
      <w:r w:rsidR="00AA02D1" w:rsidRPr="001F224B">
        <w:rPr>
          <w:b/>
          <w:sz w:val="22"/>
          <w:szCs w:val="22"/>
        </w:rPr>
        <w:t>)</w:t>
      </w:r>
      <w:r w:rsidRPr="001F224B">
        <w:rPr>
          <w:b/>
          <w:sz w:val="22"/>
          <w:szCs w:val="22"/>
        </w:rPr>
        <w:t xml:space="preserve"> </w:t>
      </w:r>
      <w:r w:rsidR="004B234D" w:rsidRPr="001F224B">
        <w:rPr>
          <w:b/>
          <w:bCs/>
          <w:sz w:val="22"/>
          <w:szCs w:val="22"/>
        </w:rPr>
        <w:t>T.C. Merkez Bankası hesabına ilişkin bilgiler:</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054FE7" w:rsidRPr="001F224B" w14:paraId="16CD813F" w14:textId="77777777" w:rsidTr="007E66AD">
        <w:trPr>
          <w:cantSplit/>
          <w:trHeight w:val="255"/>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4CB76164" w14:textId="77777777" w:rsidR="00054FE7" w:rsidRPr="001F224B" w:rsidRDefault="00054FE7" w:rsidP="007E66AD">
            <w:pPr>
              <w:rPr>
                <w:sz w:val="20"/>
                <w:szCs w:val="20"/>
              </w:rPr>
            </w:pPr>
            <w:r w:rsidRPr="001F224B">
              <w:rPr>
                <w:sz w:val="20"/>
                <w:szCs w:val="20"/>
              </w:rPr>
              <w:t> </w:t>
            </w:r>
          </w:p>
          <w:p w14:paraId="32202873" w14:textId="77777777" w:rsidR="00054FE7" w:rsidRPr="001F224B" w:rsidRDefault="00054FE7" w:rsidP="007E66AD">
            <w:pPr>
              <w:rPr>
                <w:sz w:val="20"/>
                <w:szCs w:val="20"/>
              </w:rPr>
            </w:pPr>
            <w:r w:rsidRPr="001F224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auto" w:fill="auto"/>
            <w:vAlign w:val="bottom"/>
          </w:tcPr>
          <w:p w14:paraId="32CBDE7E" w14:textId="77777777" w:rsidR="001B1379" w:rsidRPr="001F224B" w:rsidRDefault="001B1379" w:rsidP="001B1379">
            <w:pPr>
              <w:jc w:val="center"/>
              <w:rPr>
                <w:b/>
                <w:bCs/>
                <w:sz w:val="20"/>
                <w:szCs w:val="20"/>
              </w:rPr>
            </w:pPr>
            <w:r w:rsidRPr="001F224B">
              <w:rPr>
                <w:b/>
                <w:bCs/>
                <w:sz w:val="20"/>
                <w:szCs w:val="20"/>
              </w:rPr>
              <w:t xml:space="preserve">Cari Dönem </w:t>
            </w:r>
          </w:p>
          <w:p w14:paraId="595CD195" w14:textId="5121BE01" w:rsidR="00054FE7" w:rsidRPr="001F224B" w:rsidRDefault="001B1379" w:rsidP="001B1379">
            <w:pPr>
              <w:jc w:val="center"/>
              <w:rPr>
                <w:b/>
                <w:bCs/>
                <w:sz w:val="20"/>
                <w:szCs w:val="20"/>
              </w:rPr>
            </w:pPr>
            <w:r w:rsidRPr="001F224B">
              <w:rPr>
                <w:b/>
                <w:bCs/>
                <w:sz w:val="20"/>
                <w:szCs w:val="20"/>
              </w:rPr>
              <w:t>(3</w:t>
            </w:r>
            <w:r w:rsidR="00605FD2" w:rsidRPr="001F224B">
              <w:rPr>
                <w:b/>
                <w:bCs/>
                <w:sz w:val="20"/>
                <w:szCs w:val="20"/>
              </w:rPr>
              <w:t>0</w:t>
            </w:r>
            <w:r w:rsidRPr="001F224B">
              <w:rPr>
                <w:b/>
                <w:bCs/>
                <w:sz w:val="20"/>
                <w:szCs w:val="20"/>
              </w:rPr>
              <w:t>.</w:t>
            </w:r>
            <w:r w:rsidR="00E862F6" w:rsidRPr="001F224B">
              <w:rPr>
                <w:b/>
                <w:bCs/>
                <w:sz w:val="20"/>
                <w:szCs w:val="20"/>
              </w:rPr>
              <w:t>0</w:t>
            </w:r>
            <w:r w:rsidR="00605FD2" w:rsidRPr="001F224B">
              <w:rPr>
                <w:b/>
                <w:bCs/>
                <w:sz w:val="20"/>
                <w:szCs w:val="20"/>
              </w:rPr>
              <w:t>6</w:t>
            </w:r>
            <w:r w:rsidRPr="001F224B">
              <w:rPr>
                <w:b/>
                <w:bCs/>
                <w:sz w:val="20"/>
                <w:szCs w:val="20"/>
              </w:rPr>
              <w:t>.202</w:t>
            </w:r>
            <w:r w:rsidR="00E862F6" w:rsidRPr="001F224B">
              <w:rPr>
                <w:b/>
                <w:bCs/>
                <w:sz w:val="20"/>
                <w:szCs w:val="20"/>
              </w:rPr>
              <w:t>5</w:t>
            </w:r>
            <w:r w:rsidRPr="001F224B">
              <w:rPr>
                <w:b/>
                <w:bCs/>
                <w:sz w:val="20"/>
                <w:szCs w:val="20"/>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58E12D06" w14:textId="77777777" w:rsidR="00054FE7" w:rsidRPr="001F224B" w:rsidRDefault="00054FE7" w:rsidP="007E66AD">
            <w:pPr>
              <w:jc w:val="center"/>
              <w:rPr>
                <w:b/>
                <w:bCs/>
                <w:sz w:val="20"/>
                <w:szCs w:val="20"/>
              </w:rPr>
            </w:pPr>
            <w:r w:rsidRPr="001F224B">
              <w:rPr>
                <w:b/>
                <w:bCs/>
                <w:sz w:val="20"/>
                <w:szCs w:val="20"/>
              </w:rPr>
              <w:t xml:space="preserve">Önceki Dönem </w:t>
            </w:r>
          </w:p>
          <w:p w14:paraId="51892E99" w14:textId="2AFD91B3" w:rsidR="00054FE7" w:rsidRPr="001F224B" w:rsidRDefault="00054FE7" w:rsidP="007E66AD">
            <w:pPr>
              <w:jc w:val="center"/>
              <w:rPr>
                <w:b/>
                <w:bCs/>
                <w:sz w:val="20"/>
                <w:szCs w:val="20"/>
              </w:rPr>
            </w:pPr>
            <w:r w:rsidRPr="001F224B">
              <w:rPr>
                <w:b/>
                <w:bCs/>
                <w:sz w:val="20"/>
                <w:szCs w:val="20"/>
              </w:rPr>
              <w:t xml:space="preserve"> (31.12.202</w:t>
            </w:r>
            <w:r w:rsidR="00E862F6" w:rsidRPr="001F224B">
              <w:rPr>
                <w:b/>
                <w:bCs/>
                <w:sz w:val="20"/>
                <w:szCs w:val="20"/>
              </w:rPr>
              <w:t>4</w:t>
            </w:r>
            <w:r w:rsidRPr="001F224B">
              <w:rPr>
                <w:b/>
                <w:bCs/>
                <w:sz w:val="20"/>
                <w:szCs w:val="20"/>
              </w:rPr>
              <w:t>)</w:t>
            </w:r>
          </w:p>
        </w:tc>
      </w:tr>
      <w:tr w:rsidR="00054FE7" w:rsidRPr="001F224B" w14:paraId="1A0A4FAC" w14:textId="77777777" w:rsidTr="007E66AD">
        <w:trPr>
          <w:cantSplit/>
          <w:trHeight w:val="255"/>
        </w:trPr>
        <w:tc>
          <w:tcPr>
            <w:tcW w:w="4102" w:type="dxa"/>
            <w:vMerge/>
            <w:tcBorders>
              <w:left w:val="single" w:sz="4" w:space="0" w:color="auto"/>
              <w:bottom w:val="single" w:sz="4" w:space="0" w:color="auto"/>
              <w:right w:val="single" w:sz="4" w:space="0" w:color="auto"/>
            </w:tcBorders>
            <w:vAlign w:val="bottom"/>
          </w:tcPr>
          <w:p w14:paraId="64E4034F" w14:textId="77777777" w:rsidR="00054FE7" w:rsidRPr="001F224B" w:rsidRDefault="00054FE7" w:rsidP="007E66AD">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1A5FDB19" w14:textId="77777777" w:rsidR="00054FE7" w:rsidRPr="001F224B" w:rsidRDefault="00054FE7" w:rsidP="007E66AD">
            <w:pPr>
              <w:jc w:val="center"/>
              <w:rPr>
                <w:b/>
                <w:bCs/>
                <w:sz w:val="20"/>
                <w:szCs w:val="20"/>
              </w:rPr>
            </w:pPr>
            <w:r w:rsidRPr="001F224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6A65090C" w14:textId="77777777" w:rsidR="00054FE7" w:rsidRPr="001F224B" w:rsidRDefault="00054FE7" w:rsidP="007E66AD">
            <w:pPr>
              <w:jc w:val="center"/>
              <w:rPr>
                <w:b/>
                <w:bCs/>
                <w:sz w:val="20"/>
                <w:szCs w:val="20"/>
              </w:rPr>
            </w:pPr>
            <w:r w:rsidRPr="001F224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41190FB0" w14:textId="77777777" w:rsidR="00054FE7" w:rsidRPr="001F224B" w:rsidRDefault="00054FE7" w:rsidP="007E66AD">
            <w:pPr>
              <w:jc w:val="center"/>
              <w:rPr>
                <w:b/>
                <w:bCs/>
                <w:sz w:val="20"/>
                <w:szCs w:val="20"/>
              </w:rPr>
            </w:pPr>
            <w:r w:rsidRPr="001F224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797BB637" w14:textId="77777777" w:rsidR="00054FE7" w:rsidRPr="001F224B" w:rsidRDefault="00054FE7" w:rsidP="007E66AD">
            <w:pPr>
              <w:jc w:val="center"/>
              <w:rPr>
                <w:b/>
                <w:bCs/>
                <w:sz w:val="20"/>
                <w:szCs w:val="20"/>
              </w:rPr>
            </w:pPr>
            <w:r w:rsidRPr="001F224B">
              <w:rPr>
                <w:b/>
                <w:bCs/>
                <w:sz w:val="20"/>
                <w:szCs w:val="20"/>
              </w:rPr>
              <w:t>YP</w:t>
            </w:r>
          </w:p>
        </w:tc>
      </w:tr>
      <w:tr w:rsidR="001B1685" w:rsidRPr="001F224B" w14:paraId="2F9DDF0B" w14:textId="77777777" w:rsidTr="007E66AD">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189F3E59" w14:textId="77777777" w:rsidR="001B1685" w:rsidRPr="001F224B" w:rsidRDefault="001B1685" w:rsidP="001B1685">
            <w:pPr>
              <w:ind w:firstLine="214"/>
              <w:rPr>
                <w:sz w:val="20"/>
                <w:szCs w:val="20"/>
              </w:rPr>
            </w:pPr>
            <w:r w:rsidRPr="001F224B">
              <w:rPr>
                <w:sz w:val="20"/>
                <w:szCs w:val="20"/>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0278D09" w14:textId="19CDBD33" w:rsidR="001B1685" w:rsidRPr="001F224B" w:rsidRDefault="001B1685" w:rsidP="001B1685">
            <w:pPr>
              <w:jc w:val="right"/>
              <w:rPr>
                <w:sz w:val="20"/>
                <w:szCs w:val="20"/>
              </w:rPr>
            </w:pPr>
            <w:r w:rsidRPr="001F224B">
              <w:rPr>
                <w:sz w:val="20"/>
                <w:szCs w:val="20"/>
              </w:rPr>
              <w:t>1.629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85A6EA7" w14:textId="77777777" w:rsidR="001B1685" w:rsidRPr="001F224B" w:rsidRDefault="001B1685" w:rsidP="001B1685">
            <w:pPr>
              <w:jc w:val="right"/>
              <w:rPr>
                <w:sz w:val="20"/>
                <w:szCs w:val="20"/>
              </w:rPr>
            </w:pPr>
            <w:r w:rsidRPr="001F224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053FB72" w14:textId="675A4E42" w:rsidR="001B1685" w:rsidRPr="001F224B" w:rsidRDefault="001B1685" w:rsidP="001B1685">
            <w:pPr>
              <w:jc w:val="right"/>
              <w:rPr>
                <w:sz w:val="20"/>
                <w:szCs w:val="20"/>
              </w:rPr>
            </w:pPr>
            <w:r w:rsidRPr="001F224B">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0E22B23" w14:textId="77777777" w:rsidR="001B1685" w:rsidRPr="001F224B" w:rsidRDefault="001B1685" w:rsidP="001B1685">
            <w:pPr>
              <w:jc w:val="right"/>
              <w:rPr>
                <w:sz w:val="20"/>
                <w:szCs w:val="20"/>
              </w:rPr>
            </w:pPr>
            <w:r w:rsidRPr="001F224B">
              <w:rPr>
                <w:sz w:val="20"/>
                <w:szCs w:val="20"/>
              </w:rPr>
              <w:t>- </w:t>
            </w:r>
          </w:p>
        </w:tc>
      </w:tr>
      <w:tr w:rsidR="001B1685" w:rsidRPr="001F224B" w14:paraId="6CA76C52" w14:textId="77777777" w:rsidTr="007E66AD">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56827040" w14:textId="77777777" w:rsidR="001B1685" w:rsidRPr="001F224B" w:rsidRDefault="001B1685" w:rsidP="001B1685">
            <w:pPr>
              <w:ind w:firstLine="214"/>
              <w:rPr>
                <w:sz w:val="20"/>
                <w:szCs w:val="20"/>
              </w:rPr>
            </w:pPr>
            <w:r w:rsidRPr="001F224B">
              <w:rPr>
                <w:sz w:val="20"/>
                <w:szCs w:val="20"/>
              </w:rPr>
              <w:t>Vadeli Serbest Hesap</w:t>
            </w:r>
          </w:p>
        </w:tc>
        <w:tc>
          <w:tcPr>
            <w:tcW w:w="1417" w:type="dxa"/>
            <w:tcBorders>
              <w:top w:val="single" w:sz="4" w:space="0" w:color="auto"/>
              <w:left w:val="nil"/>
              <w:bottom w:val="single" w:sz="4" w:space="0" w:color="auto"/>
              <w:right w:val="single" w:sz="4" w:space="0" w:color="auto"/>
            </w:tcBorders>
            <w:shd w:val="clear" w:color="000000" w:fill="FFFFFF"/>
          </w:tcPr>
          <w:p w14:paraId="65193D7C" w14:textId="21794AB1" w:rsidR="001B1685" w:rsidRPr="001F224B" w:rsidRDefault="001B1685" w:rsidP="001B1685">
            <w:pPr>
              <w:jc w:val="right"/>
              <w:rPr>
                <w:sz w:val="20"/>
                <w:szCs w:val="20"/>
              </w:rPr>
            </w:pPr>
            <w:r w:rsidRPr="001F224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458B004" w14:textId="77777777" w:rsidR="001B1685" w:rsidRPr="001F224B" w:rsidRDefault="001B1685" w:rsidP="001B1685">
            <w:pPr>
              <w:jc w:val="right"/>
              <w:rPr>
                <w:sz w:val="20"/>
                <w:szCs w:val="20"/>
              </w:rPr>
            </w:pPr>
            <w:r w:rsidRPr="001F224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2965477F" w14:textId="5AE511F4" w:rsidR="001B1685" w:rsidRPr="001F224B" w:rsidRDefault="001B1685" w:rsidP="001B1685">
            <w:pPr>
              <w:jc w:val="right"/>
              <w:rPr>
                <w:sz w:val="20"/>
                <w:szCs w:val="20"/>
              </w:rPr>
            </w:pPr>
            <w:r w:rsidRPr="001F224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D7495E6" w14:textId="77777777" w:rsidR="001B1685" w:rsidRPr="001F224B" w:rsidRDefault="001B1685" w:rsidP="001B1685">
            <w:pPr>
              <w:jc w:val="right"/>
              <w:rPr>
                <w:sz w:val="20"/>
                <w:szCs w:val="20"/>
              </w:rPr>
            </w:pPr>
            <w:r w:rsidRPr="001F224B">
              <w:rPr>
                <w:sz w:val="20"/>
                <w:szCs w:val="20"/>
              </w:rPr>
              <w:t>- </w:t>
            </w:r>
          </w:p>
        </w:tc>
      </w:tr>
      <w:tr w:rsidR="001B1685" w:rsidRPr="001F224B" w14:paraId="57F49F2B" w14:textId="77777777" w:rsidTr="000E21D6">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6DF388D6" w14:textId="77777777" w:rsidR="001B1685" w:rsidRPr="001F224B" w:rsidRDefault="001B1685" w:rsidP="001B1685">
            <w:pPr>
              <w:ind w:firstLine="214"/>
              <w:rPr>
                <w:sz w:val="20"/>
                <w:szCs w:val="20"/>
              </w:rPr>
            </w:pPr>
            <w:r w:rsidRPr="001F224B">
              <w:rPr>
                <w:sz w:val="20"/>
                <w:szCs w:val="20"/>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tcPr>
          <w:p w14:paraId="32D56E1B" w14:textId="570218D7" w:rsidR="001B1685" w:rsidRPr="001F224B" w:rsidRDefault="001B1685" w:rsidP="001B1685">
            <w:pPr>
              <w:jc w:val="right"/>
              <w:rPr>
                <w:sz w:val="20"/>
                <w:szCs w:val="20"/>
              </w:rPr>
            </w:pPr>
            <w:r w:rsidRPr="001F224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0EDDF18" w14:textId="77777777" w:rsidR="001B1685" w:rsidRPr="001F224B" w:rsidRDefault="001B1685" w:rsidP="001B1685">
            <w:pPr>
              <w:jc w:val="right"/>
              <w:rPr>
                <w:sz w:val="20"/>
                <w:szCs w:val="20"/>
              </w:rPr>
            </w:pPr>
            <w:r w:rsidRPr="001F224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00947B08" w14:textId="7BDA1F7E" w:rsidR="001B1685" w:rsidRPr="001F224B" w:rsidRDefault="001B1685" w:rsidP="001B1685">
            <w:pPr>
              <w:jc w:val="right"/>
              <w:rPr>
                <w:sz w:val="20"/>
                <w:szCs w:val="20"/>
              </w:rPr>
            </w:pPr>
            <w:r w:rsidRPr="001F224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B40972E" w14:textId="77777777" w:rsidR="001B1685" w:rsidRPr="001F224B" w:rsidRDefault="001B1685" w:rsidP="001B1685">
            <w:pPr>
              <w:jc w:val="right"/>
              <w:rPr>
                <w:sz w:val="20"/>
                <w:szCs w:val="20"/>
              </w:rPr>
            </w:pPr>
            <w:r w:rsidRPr="001F224B">
              <w:rPr>
                <w:sz w:val="20"/>
                <w:szCs w:val="20"/>
              </w:rPr>
              <w:t>- </w:t>
            </w:r>
          </w:p>
        </w:tc>
      </w:tr>
      <w:tr w:rsidR="001B1685" w:rsidRPr="001F224B" w14:paraId="75EBDF6F" w14:textId="77777777" w:rsidTr="000E21D6">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5E8B29A8" w14:textId="77777777" w:rsidR="001B1685" w:rsidRPr="001F224B" w:rsidRDefault="001B1685" w:rsidP="001B1685">
            <w:pPr>
              <w:rPr>
                <w:b/>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BCA0799" w14:textId="711C8771" w:rsidR="001B1685" w:rsidRPr="001F224B" w:rsidRDefault="001B1685" w:rsidP="001B1685">
            <w:pPr>
              <w:jc w:val="right"/>
              <w:rPr>
                <w:b/>
                <w:sz w:val="20"/>
                <w:szCs w:val="20"/>
              </w:rPr>
            </w:pPr>
            <w:r w:rsidRPr="001F224B">
              <w:rPr>
                <w:b/>
                <w:bCs/>
                <w:sz w:val="20"/>
                <w:szCs w:val="20"/>
              </w:rPr>
              <w:t>1.629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0922BD6" w14:textId="77777777" w:rsidR="001B1685" w:rsidRPr="001F224B" w:rsidRDefault="001B1685" w:rsidP="001B1685">
            <w:pPr>
              <w:jc w:val="right"/>
              <w:rPr>
                <w:b/>
                <w:sz w:val="20"/>
                <w:szCs w:val="20"/>
              </w:rPr>
            </w:pPr>
            <w:r w:rsidRPr="001F224B">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2A86D82" w14:textId="16054297" w:rsidR="001B1685" w:rsidRPr="001F224B" w:rsidRDefault="001B1685" w:rsidP="001B1685">
            <w:pPr>
              <w:jc w:val="right"/>
              <w:rPr>
                <w:b/>
                <w:sz w:val="20"/>
                <w:szCs w:val="20"/>
              </w:rPr>
            </w:pPr>
            <w:r w:rsidRPr="001F224B">
              <w:rPr>
                <w:b/>
                <w:bCs/>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27DF9FB" w14:textId="77777777" w:rsidR="001B1685" w:rsidRPr="001F224B" w:rsidRDefault="001B1685" w:rsidP="001B1685">
            <w:pPr>
              <w:jc w:val="right"/>
              <w:rPr>
                <w:b/>
                <w:sz w:val="20"/>
                <w:szCs w:val="20"/>
              </w:rPr>
            </w:pPr>
            <w:r w:rsidRPr="001F224B">
              <w:rPr>
                <w:b/>
                <w:sz w:val="20"/>
                <w:szCs w:val="20"/>
              </w:rPr>
              <w:t>- </w:t>
            </w:r>
          </w:p>
        </w:tc>
      </w:tr>
    </w:tbl>
    <w:p w14:paraId="0F70534B" w14:textId="3B5A8E08" w:rsidR="00267DF1" w:rsidRPr="001F224B" w:rsidRDefault="00193B8A">
      <w:pPr>
        <w:tabs>
          <w:tab w:val="left" w:pos="567"/>
        </w:tabs>
        <w:spacing w:before="120" w:after="120"/>
        <w:jc w:val="both"/>
        <w:rPr>
          <w:b/>
          <w:bCs/>
          <w:sz w:val="22"/>
          <w:szCs w:val="22"/>
        </w:rPr>
      </w:pPr>
      <w:r w:rsidRPr="001F224B">
        <w:rPr>
          <w:b/>
          <w:bCs/>
          <w:sz w:val="22"/>
          <w:szCs w:val="22"/>
        </w:rPr>
        <w:t>1.1.</w:t>
      </w:r>
      <w:r w:rsidR="00D740A0" w:rsidRPr="001F224B">
        <w:rPr>
          <w:b/>
          <w:bCs/>
          <w:sz w:val="22"/>
          <w:szCs w:val="22"/>
        </w:rPr>
        <w:t>2</w:t>
      </w:r>
      <w:r w:rsidR="00C32A1B" w:rsidRPr="001F224B">
        <w:rPr>
          <w:b/>
          <w:bCs/>
          <w:sz w:val="22"/>
          <w:szCs w:val="22"/>
        </w:rPr>
        <w:t>.</w:t>
      </w:r>
      <w:r w:rsidR="008009B8" w:rsidRPr="001F224B">
        <w:rPr>
          <w:b/>
          <w:bCs/>
          <w:sz w:val="22"/>
          <w:szCs w:val="22"/>
        </w:rPr>
        <w:tab/>
      </w:r>
      <w:r w:rsidR="00267DF1" w:rsidRPr="001F224B">
        <w:rPr>
          <w:b/>
          <w:bCs/>
          <w:sz w:val="22"/>
          <w:szCs w:val="22"/>
        </w:rPr>
        <w:t>Bankalara ilişkin bilgiler:</w:t>
      </w:r>
    </w:p>
    <w:tbl>
      <w:tblPr>
        <w:tblW w:w="9785" w:type="dxa"/>
        <w:tblInd w:w="23" w:type="dxa"/>
        <w:tblLayout w:type="fixed"/>
        <w:tblCellMar>
          <w:left w:w="70" w:type="dxa"/>
          <w:right w:w="70" w:type="dxa"/>
        </w:tblCellMar>
        <w:tblLook w:val="0000" w:firstRow="0" w:lastRow="0" w:firstColumn="0" w:lastColumn="0" w:noHBand="0" w:noVBand="0"/>
      </w:tblPr>
      <w:tblGrid>
        <w:gridCol w:w="4074"/>
        <w:gridCol w:w="1442"/>
        <w:gridCol w:w="1402"/>
        <w:gridCol w:w="1411"/>
        <w:gridCol w:w="1456"/>
      </w:tblGrid>
      <w:tr w:rsidR="003835B8" w:rsidRPr="001F224B" w14:paraId="10B1F98E" w14:textId="77777777" w:rsidTr="007A56C0">
        <w:trPr>
          <w:trHeight w:val="255"/>
        </w:trPr>
        <w:tc>
          <w:tcPr>
            <w:tcW w:w="407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3381DB7" w14:textId="77777777" w:rsidR="003835B8" w:rsidRPr="001F224B" w:rsidRDefault="003835B8" w:rsidP="001B56B8">
            <w:pPr>
              <w:rPr>
                <w:sz w:val="20"/>
                <w:szCs w:val="20"/>
              </w:rPr>
            </w:pPr>
            <w:r w:rsidRPr="001F224B">
              <w:rPr>
                <w:sz w:val="20"/>
                <w:szCs w:val="20"/>
              </w:rPr>
              <w:t> </w:t>
            </w:r>
          </w:p>
        </w:tc>
        <w:tc>
          <w:tcPr>
            <w:tcW w:w="2844" w:type="dxa"/>
            <w:gridSpan w:val="2"/>
            <w:tcBorders>
              <w:top w:val="single" w:sz="4" w:space="0" w:color="auto"/>
              <w:left w:val="nil"/>
              <w:bottom w:val="single" w:sz="4" w:space="0" w:color="auto"/>
              <w:right w:val="single" w:sz="4" w:space="0" w:color="auto"/>
            </w:tcBorders>
            <w:shd w:val="clear" w:color="auto" w:fill="auto"/>
            <w:vAlign w:val="bottom"/>
          </w:tcPr>
          <w:p w14:paraId="75EBF17D" w14:textId="77777777" w:rsidR="001B1379" w:rsidRPr="001F224B" w:rsidRDefault="001B1379" w:rsidP="001B1379">
            <w:pPr>
              <w:jc w:val="center"/>
              <w:rPr>
                <w:b/>
                <w:bCs/>
                <w:sz w:val="20"/>
                <w:szCs w:val="20"/>
              </w:rPr>
            </w:pPr>
            <w:r w:rsidRPr="001F224B">
              <w:rPr>
                <w:b/>
                <w:bCs/>
                <w:sz w:val="20"/>
                <w:szCs w:val="20"/>
              </w:rPr>
              <w:t xml:space="preserve">Cari Dönem </w:t>
            </w:r>
          </w:p>
          <w:p w14:paraId="6C6AD961" w14:textId="455012FC" w:rsidR="003835B8" w:rsidRPr="001F224B" w:rsidRDefault="001B1379" w:rsidP="001B1379">
            <w:pPr>
              <w:jc w:val="center"/>
              <w:rPr>
                <w:b/>
                <w:bCs/>
                <w:sz w:val="20"/>
                <w:szCs w:val="20"/>
              </w:rPr>
            </w:pPr>
            <w:r w:rsidRPr="001F224B">
              <w:rPr>
                <w:b/>
                <w:bCs/>
                <w:sz w:val="20"/>
                <w:szCs w:val="20"/>
              </w:rPr>
              <w:t>(3</w:t>
            </w:r>
            <w:r w:rsidR="00605FD2" w:rsidRPr="001F224B">
              <w:rPr>
                <w:b/>
                <w:bCs/>
                <w:sz w:val="20"/>
                <w:szCs w:val="20"/>
              </w:rPr>
              <w:t>0</w:t>
            </w:r>
            <w:r w:rsidRPr="001F224B">
              <w:rPr>
                <w:b/>
                <w:bCs/>
                <w:sz w:val="20"/>
                <w:szCs w:val="20"/>
              </w:rPr>
              <w:t>.</w:t>
            </w:r>
            <w:r w:rsidR="00E862F6" w:rsidRPr="001F224B">
              <w:rPr>
                <w:b/>
                <w:bCs/>
                <w:sz w:val="20"/>
                <w:szCs w:val="20"/>
              </w:rPr>
              <w:t>0</w:t>
            </w:r>
            <w:r w:rsidR="00605FD2" w:rsidRPr="001F224B">
              <w:rPr>
                <w:b/>
                <w:bCs/>
                <w:sz w:val="20"/>
                <w:szCs w:val="20"/>
              </w:rPr>
              <w:t>6</w:t>
            </w:r>
            <w:r w:rsidRPr="001F224B">
              <w:rPr>
                <w:b/>
                <w:bCs/>
                <w:sz w:val="20"/>
                <w:szCs w:val="20"/>
              </w:rPr>
              <w:t>.202</w:t>
            </w:r>
            <w:r w:rsidR="00E862F6" w:rsidRPr="001F224B">
              <w:rPr>
                <w:b/>
                <w:bCs/>
                <w:sz w:val="20"/>
                <w:szCs w:val="20"/>
              </w:rPr>
              <w:t>5</w:t>
            </w:r>
            <w:r w:rsidRPr="001F224B">
              <w:rPr>
                <w:b/>
                <w:bCs/>
                <w:sz w:val="20"/>
                <w:szCs w:val="20"/>
              </w:rPr>
              <w:t>)</w:t>
            </w:r>
          </w:p>
        </w:tc>
        <w:tc>
          <w:tcPr>
            <w:tcW w:w="2867" w:type="dxa"/>
            <w:gridSpan w:val="2"/>
            <w:tcBorders>
              <w:top w:val="single" w:sz="4" w:space="0" w:color="auto"/>
              <w:left w:val="nil"/>
              <w:bottom w:val="single" w:sz="4" w:space="0" w:color="auto"/>
              <w:right w:val="single" w:sz="4" w:space="0" w:color="000000"/>
            </w:tcBorders>
            <w:shd w:val="clear" w:color="auto" w:fill="FFFFFF"/>
            <w:vAlign w:val="bottom"/>
          </w:tcPr>
          <w:p w14:paraId="5A224A82" w14:textId="77777777" w:rsidR="003835B8" w:rsidRPr="001F224B" w:rsidRDefault="003835B8" w:rsidP="001B56B8">
            <w:pPr>
              <w:jc w:val="center"/>
              <w:rPr>
                <w:b/>
                <w:bCs/>
                <w:sz w:val="20"/>
                <w:szCs w:val="20"/>
              </w:rPr>
            </w:pPr>
            <w:r w:rsidRPr="001F224B">
              <w:rPr>
                <w:b/>
                <w:bCs/>
                <w:sz w:val="20"/>
                <w:szCs w:val="20"/>
              </w:rPr>
              <w:t xml:space="preserve">Önceki Dönem </w:t>
            </w:r>
          </w:p>
          <w:p w14:paraId="70914932" w14:textId="46ADDDDF" w:rsidR="003835B8" w:rsidRPr="001F224B" w:rsidRDefault="003835B8" w:rsidP="00C62516">
            <w:pPr>
              <w:jc w:val="center"/>
              <w:rPr>
                <w:b/>
                <w:bCs/>
                <w:sz w:val="20"/>
                <w:szCs w:val="20"/>
              </w:rPr>
            </w:pPr>
            <w:r w:rsidRPr="001F224B">
              <w:rPr>
                <w:b/>
                <w:bCs/>
                <w:sz w:val="20"/>
                <w:szCs w:val="20"/>
              </w:rPr>
              <w:t xml:space="preserve"> </w:t>
            </w:r>
            <w:r w:rsidR="008727D8" w:rsidRPr="001F224B">
              <w:rPr>
                <w:b/>
                <w:bCs/>
                <w:sz w:val="20"/>
                <w:szCs w:val="20"/>
              </w:rPr>
              <w:t>(31.12.202</w:t>
            </w:r>
            <w:r w:rsidR="00E862F6" w:rsidRPr="001F224B">
              <w:rPr>
                <w:b/>
                <w:bCs/>
                <w:sz w:val="20"/>
                <w:szCs w:val="20"/>
              </w:rPr>
              <w:t>4</w:t>
            </w:r>
            <w:r w:rsidRPr="001F224B">
              <w:rPr>
                <w:b/>
                <w:bCs/>
                <w:sz w:val="20"/>
                <w:szCs w:val="20"/>
              </w:rPr>
              <w:t>)</w:t>
            </w:r>
          </w:p>
        </w:tc>
      </w:tr>
      <w:tr w:rsidR="00267DF1" w:rsidRPr="001F224B" w14:paraId="1C296832" w14:textId="77777777" w:rsidTr="00E862F6">
        <w:trPr>
          <w:trHeight w:val="255"/>
        </w:trPr>
        <w:tc>
          <w:tcPr>
            <w:tcW w:w="4074" w:type="dxa"/>
            <w:vMerge/>
            <w:tcBorders>
              <w:top w:val="single" w:sz="4" w:space="0" w:color="auto"/>
              <w:left w:val="single" w:sz="4" w:space="0" w:color="auto"/>
              <w:bottom w:val="single" w:sz="4" w:space="0" w:color="auto"/>
              <w:right w:val="single" w:sz="4" w:space="0" w:color="auto"/>
            </w:tcBorders>
            <w:vAlign w:val="center"/>
          </w:tcPr>
          <w:p w14:paraId="16BF6FC4" w14:textId="77777777" w:rsidR="00267DF1" w:rsidRPr="001F224B" w:rsidRDefault="00267DF1" w:rsidP="001B56B8">
            <w:pPr>
              <w:rPr>
                <w:sz w:val="20"/>
                <w:szCs w:val="20"/>
              </w:rPr>
            </w:pPr>
          </w:p>
        </w:tc>
        <w:tc>
          <w:tcPr>
            <w:tcW w:w="1442" w:type="dxa"/>
            <w:tcBorders>
              <w:top w:val="nil"/>
              <w:left w:val="nil"/>
              <w:bottom w:val="single" w:sz="4" w:space="0" w:color="auto"/>
              <w:right w:val="single" w:sz="4" w:space="0" w:color="auto"/>
            </w:tcBorders>
            <w:shd w:val="clear" w:color="auto" w:fill="FFFFFF"/>
            <w:vAlign w:val="bottom"/>
          </w:tcPr>
          <w:p w14:paraId="492F6800" w14:textId="77777777" w:rsidR="00267DF1" w:rsidRPr="001F224B" w:rsidRDefault="00267DF1" w:rsidP="00A14B05">
            <w:pPr>
              <w:jc w:val="center"/>
              <w:rPr>
                <w:b/>
                <w:bCs/>
                <w:sz w:val="20"/>
                <w:szCs w:val="20"/>
              </w:rPr>
            </w:pPr>
            <w:r w:rsidRPr="001F224B">
              <w:rPr>
                <w:b/>
                <w:bCs/>
                <w:sz w:val="20"/>
                <w:szCs w:val="20"/>
              </w:rPr>
              <w:t>TP</w:t>
            </w:r>
          </w:p>
        </w:tc>
        <w:tc>
          <w:tcPr>
            <w:tcW w:w="1402" w:type="dxa"/>
            <w:tcBorders>
              <w:top w:val="nil"/>
              <w:left w:val="nil"/>
              <w:bottom w:val="single" w:sz="4" w:space="0" w:color="auto"/>
              <w:right w:val="single" w:sz="4" w:space="0" w:color="auto"/>
            </w:tcBorders>
            <w:shd w:val="clear" w:color="auto" w:fill="FFFFFF"/>
            <w:vAlign w:val="bottom"/>
          </w:tcPr>
          <w:p w14:paraId="3AB5B1E0" w14:textId="77777777" w:rsidR="00267DF1" w:rsidRPr="001F224B" w:rsidRDefault="00267DF1" w:rsidP="00A14B05">
            <w:pPr>
              <w:jc w:val="center"/>
              <w:rPr>
                <w:b/>
                <w:bCs/>
                <w:sz w:val="20"/>
                <w:szCs w:val="20"/>
              </w:rPr>
            </w:pPr>
            <w:r w:rsidRPr="001F224B">
              <w:rPr>
                <w:b/>
                <w:bCs/>
                <w:sz w:val="20"/>
                <w:szCs w:val="20"/>
              </w:rPr>
              <w:t>YP</w:t>
            </w:r>
          </w:p>
        </w:tc>
        <w:tc>
          <w:tcPr>
            <w:tcW w:w="1411" w:type="dxa"/>
            <w:tcBorders>
              <w:top w:val="nil"/>
              <w:left w:val="nil"/>
              <w:bottom w:val="single" w:sz="4" w:space="0" w:color="auto"/>
              <w:right w:val="single" w:sz="4" w:space="0" w:color="auto"/>
            </w:tcBorders>
            <w:shd w:val="clear" w:color="auto" w:fill="FFFFFF"/>
            <w:vAlign w:val="bottom"/>
          </w:tcPr>
          <w:p w14:paraId="6775AB19" w14:textId="77777777" w:rsidR="00267DF1" w:rsidRPr="001F224B" w:rsidRDefault="00267DF1" w:rsidP="00A14B05">
            <w:pPr>
              <w:jc w:val="center"/>
              <w:rPr>
                <w:b/>
                <w:bCs/>
                <w:sz w:val="20"/>
                <w:szCs w:val="20"/>
              </w:rPr>
            </w:pPr>
            <w:r w:rsidRPr="001F224B">
              <w:rPr>
                <w:b/>
                <w:bCs/>
                <w:sz w:val="20"/>
                <w:szCs w:val="20"/>
              </w:rPr>
              <w:t>TP</w:t>
            </w:r>
          </w:p>
        </w:tc>
        <w:tc>
          <w:tcPr>
            <w:tcW w:w="1456" w:type="dxa"/>
            <w:tcBorders>
              <w:top w:val="nil"/>
              <w:left w:val="nil"/>
              <w:bottom w:val="single" w:sz="4" w:space="0" w:color="auto"/>
              <w:right w:val="single" w:sz="4" w:space="0" w:color="auto"/>
            </w:tcBorders>
            <w:shd w:val="clear" w:color="auto" w:fill="FFFFFF"/>
            <w:vAlign w:val="bottom"/>
          </w:tcPr>
          <w:p w14:paraId="2831DE49" w14:textId="77777777" w:rsidR="00267DF1" w:rsidRPr="001F224B" w:rsidRDefault="00267DF1" w:rsidP="00A14B05">
            <w:pPr>
              <w:jc w:val="center"/>
              <w:rPr>
                <w:b/>
                <w:bCs/>
                <w:sz w:val="20"/>
                <w:szCs w:val="20"/>
              </w:rPr>
            </w:pPr>
            <w:r w:rsidRPr="001F224B">
              <w:rPr>
                <w:b/>
                <w:bCs/>
                <w:sz w:val="20"/>
                <w:szCs w:val="20"/>
              </w:rPr>
              <w:t>YP</w:t>
            </w:r>
          </w:p>
        </w:tc>
      </w:tr>
      <w:tr w:rsidR="00E862F6" w:rsidRPr="001F224B" w14:paraId="5F1FF064" w14:textId="77777777" w:rsidTr="00E862F6">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7B8EF930" w14:textId="77777777" w:rsidR="00E862F6" w:rsidRPr="001F224B" w:rsidRDefault="00E862F6" w:rsidP="00E862F6">
            <w:pPr>
              <w:rPr>
                <w:sz w:val="20"/>
                <w:szCs w:val="20"/>
              </w:rPr>
            </w:pPr>
            <w:r w:rsidRPr="001F224B">
              <w:rPr>
                <w:sz w:val="20"/>
                <w:szCs w:val="20"/>
              </w:rPr>
              <w:t>Bankalar</w:t>
            </w:r>
          </w:p>
        </w:tc>
        <w:tc>
          <w:tcPr>
            <w:tcW w:w="1442" w:type="dxa"/>
            <w:tcBorders>
              <w:top w:val="single" w:sz="4" w:space="0" w:color="auto"/>
              <w:left w:val="nil"/>
              <w:bottom w:val="single" w:sz="4" w:space="0" w:color="auto"/>
              <w:right w:val="single" w:sz="4" w:space="0" w:color="auto"/>
            </w:tcBorders>
            <w:shd w:val="clear" w:color="auto" w:fill="FFFFFF"/>
            <w:noWrap/>
          </w:tcPr>
          <w:p w14:paraId="36FA9B07" w14:textId="77777777" w:rsidR="00E862F6" w:rsidRPr="001F224B" w:rsidRDefault="00E862F6" w:rsidP="00E862F6">
            <w:pPr>
              <w:jc w:val="right"/>
              <w:rPr>
                <w:sz w:val="20"/>
                <w:szCs w:val="20"/>
              </w:rPr>
            </w:pPr>
          </w:p>
        </w:tc>
        <w:tc>
          <w:tcPr>
            <w:tcW w:w="1402" w:type="dxa"/>
            <w:tcBorders>
              <w:top w:val="single" w:sz="4" w:space="0" w:color="auto"/>
              <w:left w:val="nil"/>
              <w:bottom w:val="single" w:sz="4" w:space="0" w:color="auto"/>
              <w:right w:val="single" w:sz="4" w:space="0" w:color="auto"/>
            </w:tcBorders>
            <w:shd w:val="clear" w:color="auto" w:fill="FFFFFF"/>
            <w:noWrap/>
          </w:tcPr>
          <w:p w14:paraId="471A274C" w14:textId="77777777" w:rsidR="00E862F6" w:rsidRPr="001F224B" w:rsidRDefault="00E862F6" w:rsidP="00E862F6">
            <w:pPr>
              <w:jc w:val="right"/>
              <w:rPr>
                <w:sz w:val="20"/>
                <w:szCs w:val="20"/>
              </w:rPr>
            </w:pPr>
          </w:p>
        </w:tc>
        <w:tc>
          <w:tcPr>
            <w:tcW w:w="1411" w:type="dxa"/>
            <w:tcBorders>
              <w:top w:val="nil"/>
              <w:left w:val="nil"/>
              <w:bottom w:val="single" w:sz="4" w:space="0" w:color="auto"/>
              <w:right w:val="single" w:sz="4" w:space="0" w:color="auto"/>
            </w:tcBorders>
            <w:shd w:val="clear" w:color="auto" w:fill="FFFFFF"/>
            <w:noWrap/>
          </w:tcPr>
          <w:p w14:paraId="51625A96" w14:textId="77777777" w:rsidR="00E862F6" w:rsidRPr="001F224B" w:rsidRDefault="00E862F6" w:rsidP="00E862F6">
            <w:pPr>
              <w:jc w:val="right"/>
              <w:rPr>
                <w:sz w:val="20"/>
                <w:szCs w:val="20"/>
              </w:rPr>
            </w:pPr>
          </w:p>
        </w:tc>
        <w:tc>
          <w:tcPr>
            <w:tcW w:w="1456" w:type="dxa"/>
            <w:tcBorders>
              <w:top w:val="nil"/>
              <w:left w:val="nil"/>
              <w:bottom w:val="single" w:sz="4" w:space="0" w:color="auto"/>
              <w:right w:val="single" w:sz="4" w:space="0" w:color="auto"/>
            </w:tcBorders>
            <w:shd w:val="clear" w:color="auto" w:fill="FFFFFF"/>
            <w:noWrap/>
          </w:tcPr>
          <w:p w14:paraId="453A0D60" w14:textId="77777777" w:rsidR="00E862F6" w:rsidRPr="001F224B" w:rsidRDefault="00E862F6" w:rsidP="00E862F6">
            <w:pPr>
              <w:jc w:val="right"/>
              <w:rPr>
                <w:sz w:val="20"/>
                <w:szCs w:val="20"/>
              </w:rPr>
            </w:pPr>
          </w:p>
        </w:tc>
      </w:tr>
      <w:tr w:rsidR="001B1685" w:rsidRPr="001F224B" w14:paraId="352ED60B" w14:textId="77777777" w:rsidTr="001B1685">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67562855" w14:textId="77777777" w:rsidR="001B1685" w:rsidRPr="001F224B" w:rsidRDefault="001B1685" w:rsidP="001B1685">
            <w:pPr>
              <w:ind w:firstLineChars="118" w:firstLine="236"/>
              <w:rPr>
                <w:sz w:val="20"/>
                <w:szCs w:val="20"/>
              </w:rPr>
            </w:pPr>
            <w:r w:rsidRPr="001F224B">
              <w:rPr>
                <w:sz w:val="20"/>
                <w:szCs w:val="20"/>
              </w:rPr>
              <w:t>Yurtiçi</w:t>
            </w:r>
          </w:p>
        </w:tc>
        <w:tc>
          <w:tcPr>
            <w:tcW w:w="1442" w:type="dxa"/>
            <w:tcBorders>
              <w:top w:val="single" w:sz="4" w:space="0" w:color="auto"/>
              <w:left w:val="nil"/>
              <w:bottom w:val="single" w:sz="4" w:space="0" w:color="auto"/>
              <w:right w:val="single" w:sz="4" w:space="0" w:color="auto"/>
            </w:tcBorders>
            <w:shd w:val="clear" w:color="auto" w:fill="auto"/>
            <w:noWrap/>
            <w:vAlign w:val="bottom"/>
          </w:tcPr>
          <w:p w14:paraId="6F563651" w14:textId="5A0AE97F" w:rsidR="001B1685" w:rsidRPr="001F224B" w:rsidRDefault="001B1685" w:rsidP="001B1685">
            <w:pPr>
              <w:jc w:val="right"/>
              <w:rPr>
                <w:sz w:val="20"/>
                <w:szCs w:val="20"/>
              </w:rPr>
            </w:pPr>
            <w:r w:rsidRPr="001F224B">
              <w:rPr>
                <w:sz w:val="20"/>
                <w:szCs w:val="20"/>
              </w:rPr>
              <w:t>7.957.028</w:t>
            </w:r>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EC1C7" w14:textId="4B217B34" w:rsidR="001B1685" w:rsidRPr="001F224B" w:rsidRDefault="001B1685" w:rsidP="001B1685">
            <w:pPr>
              <w:jc w:val="right"/>
              <w:rPr>
                <w:sz w:val="20"/>
                <w:szCs w:val="20"/>
              </w:rPr>
            </w:pPr>
            <w:r w:rsidRPr="001F224B">
              <w:rPr>
                <w:sz w:val="20"/>
                <w:szCs w:val="20"/>
              </w:rPr>
              <w:t>8.426.591</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90CCEFB" w14:textId="2F2CFAE9" w:rsidR="001B1685" w:rsidRPr="001F224B" w:rsidRDefault="001B1685" w:rsidP="001B1685">
            <w:pPr>
              <w:jc w:val="right"/>
              <w:rPr>
                <w:sz w:val="20"/>
                <w:szCs w:val="20"/>
              </w:rPr>
            </w:pPr>
            <w:r w:rsidRPr="001F224B">
              <w:rPr>
                <w:sz w:val="20"/>
                <w:szCs w:val="20"/>
              </w:rPr>
              <w:t>11.058.573</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4B6D24F0" w14:textId="55D8D736" w:rsidR="001B1685" w:rsidRPr="001F224B" w:rsidRDefault="001B1685" w:rsidP="001B1685">
            <w:pPr>
              <w:jc w:val="right"/>
              <w:rPr>
                <w:sz w:val="20"/>
                <w:szCs w:val="20"/>
              </w:rPr>
            </w:pPr>
            <w:r w:rsidRPr="001F224B">
              <w:rPr>
                <w:sz w:val="20"/>
                <w:szCs w:val="20"/>
              </w:rPr>
              <w:t>1.591.167</w:t>
            </w:r>
          </w:p>
        </w:tc>
      </w:tr>
      <w:tr w:rsidR="001B1685" w:rsidRPr="001F224B" w14:paraId="5FE9F709" w14:textId="77777777" w:rsidTr="001B1685">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60D62914" w14:textId="77777777" w:rsidR="001B1685" w:rsidRPr="001F224B" w:rsidRDefault="001B1685" w:rsidP="001B1685">
            <w:pPr>
              <w:ind w:firstLineChars="118" w:firstLine="236"/>
              <w:rPr>
                <w:sz w:val="20"/>
                <w:szCs w:val="20"/>
              </w:rPr>
            </w:pPr>
            <w:r w:rsidRPr="001F224B">
              <w:rPr>
                <w:sz w:val="20"/>
                <w:szCs w:val="20"/>
              </w:rPr>
              <w:t>Yurtdışı</w:t>
            </w:r>
          </w:p>
        </w:tc>
        <w:tc>
          <w:tcPr>
            <w:tcW w:w="1442" w:type="dxa"/>
            <w:tcBorders>
              <w:top w:val="single" w:sz="4" w:space="0" w:color="auto"/>
              <w:left w:val="nil"/>
              <w:bottom w:val="single" w:sz="4" w:space="0" w:color="auto"/>
              <w:right w:val="single" w:sz="4" w:space="0" w:color="auto"/>
            </w:tcBorders>
            <w:shd w:val="clear" w:color="auto" w:fill="auto"/>
            <w:noWrap/>
            <w:vAlign w:val="bottom"/>
          </w:tcPr>
          <w:p w14:paraId="12F2D03E" w14:textId="46A43776" w:rsidR="001B1685" w:rsidRPr="001F224B" w:rsidRDefault="001B1685" w:rsidP="001B1685">
            <w:pPr>
              <w:jc w:val="right"/>
              <w:rPr>
                <w:sz w:val="20"/>
                <w:szCs w:val="20"/>
              </w:rPr>
            </w:pPr>
            <w:r w:rsidRPr="001F224B">
              <w:rPr>
                <w:sz w:val="20"/>
                <w:szCs w:val="20"/>
              </w:rPr>
              <w:t>-</w:t>
            </w:r>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B8430" w14:textId="5AB5F7FC" w:rsidR="001B1685" w:rsidRPr="001F224B" w:rsidRDefault="001B1685" w:rsidP="001B1685">
            <w:pPr>
              <w:jc w:val="right"/>
              <w:rPr>
                <w:sz w:val="20"/>
                <w:szCs w:val="20"/>
              </w:rPr>
            </w:pPr>
            <w:r w:rsidRPr="001F224B">
              <w:rPr>
                <w:sz w:val="20"/>
                <w:szCs w:val="20"/>
              </w:rPr>
              <w:t>357.313</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7AD89E" w14:textId="76811EE5" w:rsidR="001B1685" w:rsidRPr="001F224B" w:rsidRDefault="001B1685" w:rsidP="001B1685">
            <w:pPr>
              <w:jc w:val="right"/>
              <w:rPr>
                <w:sz w:val="20"/>
                <w:szCs w:val="20"/>
              </w:rPr>
            </w:pPr>
            <w:r w:rsidRPr="001F224B">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6BD4DB32" w14:textId="3FDF0633" w:rsidR="001B1685" w:rsidRPr="001F224B" w:rsidRDefault="001B1685" w:rsidP="001B1685">
            <w:pPr>
              <w:jc w:val="right"/>
              <w:rPr>
                <w:sz w:val="20"/>
                <w:szCs w:val="20"/>
              </w:rPr>
            </w:pPr>
            <w:r w:rsidRPr="001F224B">
              <w:rPr>
                <w:sz w:val="20"/>
                <w:szCs w:val="20"/>
              </w:rPr>
              <w:t>68.376</w:t>
            </w:r>
          </w:p>
        </w:tc>
      </w:tr>
      <w:tr w:rsidR="001B1685" w:rsidRPr="001F224B" w14:paraId="109F4B4F" w14:textId="77777777" w:rsidTr="001B1685">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2DB70770" w14:textId="77777777" w:rsidR="001B1685" w:rsidRPr="001F224B" w:rsidRDefault="001B1685" w:rsidP="001B1685">
            <w:pPr>
              <w:ind w:firstLineChars="118" w:firstLine="236"/>
              <w:rPr>
                <w:sz w:val="20"/>
                <w:szCs w:val="20"/>
              </w:rPr>
            </w:pPr>
            <w:r w:rsidRPr="001F224B">
              <w:rPr>
                <w:sz w:val="20"/>
                <w:szCs w:val="20"/>
              </w:rPr>
              <w:t>Yurtdışı Merkez ve Şubeler</w:t>
            </w:r>
          </w:p>
        </w:tc>
        <w:tc>
          <w:tcPr>
            <w:tcW w:w="1442" w:type="dxa"/>
            <w:tcBorders>
              <w:top w:val="single" w:sz="4" w:space="0" w:color="auto"/>
              <w:left w:val="nil"/>
              <w:bottom w:val="single" w:sz="4" w:space="0" w:color="auto"/>
              <w:right w:val="single" w:sz="4" w:space="0" w:color="auto"/>
            </w:tcBorders>
            <w:shd w:val="clear" w:color="000000" w:fill="FFFFFF"/>
            <w:noWrap/>
            <w:vAlign w:val="bottom"/>
          </w:tcPr>
          <w:p w14:paraId="61A50E21" w14:textId="630ED54E" w:rsidR="001B1685" w:rsidRPr="001F224B" w:rsidRDefault="001B1685" w:rsidP="001B1685">
            <w:pPr>
              <w:jc w:val="right"/>
              <w:rPr>
                <w:sz w:val="20"/>
                <w:szCs w:val="20"/>
              </w:rPr>
            </w:pPr>
            <w:r w:rsidRPr="001F224B">
              <w:rPr>
                <w:sz w:val="20"/>
                <w:szCs w:val="20"/>
              </w:rPr>
              <w:t>-</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1BFBE8" w14:textId="3DEC9D2C" w:rsidR="001B1685" w:rsidRPr="001F224B" w:rsidRDefault="001B1685" w:rsidP="001B1685">
            <w:pPr>
              <w:jc w:val="right"/>
              <w:rPr>
                <w:sz w:val="20"/>
                <w:szCs w:val="20"/>
              </w:rPr>
            </w:pPr>
            <w:r w:rsidRPr="001F224B">
              <w:rPr>
                <w:sz w:val="20"/>
                <w:szCs w:val="20"/>
              </w:rPr>
              <w:t>-</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09BA6AF" w14:textId="443A7EC7" w:rsidR="001B1685" w:rsidRPr="001F224B" w:rsidRDefault="001B1685" w:rsidP="001B1685">
            <w:pPr>
              <w:jc w:val="right"/>
              <w:rPr>
                <w:sz w:val="20"/>
                <w:szCs w:val="20"/>
              </w:rPr>
            </w:pPr>
            <w:r w:rsidRPr="001F224B">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3E565247" w14:textId="10E54159" w:rsidR="001B1685" w:rsidRPr="001F224B" w:rsidRDefault="001B1685" w:rsidP="001B1685">
            <w:pPr>
              <w:jc w:val="right"/>
              <w:rPr>
                <w:sz w:val="20"/>
                <w:szCs w:val="20"/>
              </w:rPr>
            </w:pPr>
            <w:r w:rsidRPr="001F224B">
              <w:rPr>
                <w:sz w:val="20"/>
                <w:szCs w:val="20"/>
              </w:rPr>
              <w:t>-</w:t>
            </w:r>
          </w:p>
        </w:tc>
      </w:tr>
      <w:tr w:rsidR="001B1685" w:rsidRPr="001F224B" w14:paraId="13B76EA4" w14:textId="77777777" w:rsidTr="001B1685">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4A18BD30" w14:textId="77777777" w:rsidR="001B1685" w:rsidRPr="001F224B" w:rsidRDefault="001B1685" w:rsidP="001B1685">
            <w:pPr>
              <w:rPr>
                <w:b/>
                <w:sz w:val="20"/>
                <w:szCs w:val="20"/>
              </w:rPr>
            </w:pPr>
            <w:r w:rsidRPr="001F224B">
              <w:rPr>
                <w:b/>
                <w:sz w:val="20"/>
                <w:szCs w:val="20"/>
              </w:rPr>
              <w:t>Toplam</w:t>
            </w:r>
          </w:p>
        </w:tc>
        <w:tc>
          <w:tcPr>
            <w:tcW w:w="1442" w:type="dxa"/>
            <w:tcBorders>
              <w:top w:val="single" w:sz="4" w:space="0" w:color="auto"/>
              <w:left w:val="nil"/>
              <w:bottom w:val="single" w:sz="4" w:space="0" w:color="auto"/>
              <w:right w:val="single" w:sz="4" w:space="0" w:color="auto"/>
            </w:tcBorders>
            <w:shd w:val="clear" w:color="000000" w:fill="FFFFFF"/>
            <w:noWrap/>
            <w:vAlign w:val="bottom"/>
          </w:tcPr>
          <w:p w14:paraId="321EA9B6" w14:textId="4862A185" w:rsidR="001B1685" w:rsidRPr="001F224B" w:rsidRDefault="001B1685" w:rsidP="001B1685">
            <w:pPr>
              <w:jc w:val="right"/>
              <w:rPr>
                <w:b/>
                <w:bCs/>
                <w:sz w:val="20"/>
                <w:szCs w:val="20"/>
              </w:rPr>
            </w:pPr>
            <w:r w:rsidRPr="001F224B">
              <w:rPr>
                <w:b/>
                <w:bCs/>
                <w:sz w:val="20"/>
                <w:szCs w:val="20"/>
              </w:rPr>
              <w:t>7.957.028</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618BB3" w14:textId="1B2C47DC" w:rsidR="001B1685" w:rsidRPr="001F224B" w:rsidRDefault="001B1685" w:rsidP="001B1685">
            <w:pPr>
              <w:jc w:val="right"/>
              <w:rPr>
                <w:b/>
                <w:bCs/>
                <w:sz w:val="20"/>
                <w:szCs w:val="20"/>
              </w:rPr>
            </w:pPr>
            <w:r w:rsidRPr="001F224B">
              <w:rPr>
                <w:b/>
                <w:bCs/>
                <w:sz w:val="20"/>
                <w:szCs w:val="20"/>
              </w:rPr>
              <w:t>8.783.904</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239310A" w14:textId="5541C161" w:rsidR="001B1685" w:rsidRPr="001F224B" w:rsidRDefault="001B1685" w:rsidP="001B1685">
            <w:pPr>
              <w:jc w:val="right"/>
              <w:rPr>
                <w:b/>
                <w:sz w:val="20"/>
                <w:szCs w:val="20"/>
              </w:rPr>
            </w:pPr>
            <w:r w:rsidRPr="001F224B">
              <w:rPr>
                <w:b/>
                <w:bCs/>
                <w:sz w:val="20"/>
                <w:szCs w:val="20"/>
              </w:rPr>
              <w:t>11.058.573</w:t>
            </w:r>
          </w:p>
        </w:tc>
        <w:tc>
          <w:tcPr>
            <w:tcW w:w="1456" w:type="dxa"/>
            <w:tcBorders>
              <w:top w:val="nil"/>
              <w:left w:val="nil"/>
              <w:bottom w:val="single" w:sz="4" w:space="0" w:color="auto"/>
              <w:right w:val="single" w:sz="4" w:space="0" w:color="auto"/>
            </w:tcBorders>
            <w:shd w:val="clear" w:color="auto" w:fill="FFFFFF"/>
            <w:noWrap/>
            <w:vAlign w:val="bottom"/>
          </w:tcPr>
          <w:p w14:paraId="671B0C65" w14:textId="0053AB1F" w:rsidR="001B1685" w:rsidRPr="001F224B" w:rsidRDefault="001B1685" w:rsidP="001B1685">
            <w:pPr>
              <w:jc w:val="right"/>
              <w:rPr>
                <w:b/>
                <w:sz w:val="20"/>
                <w:szCs w:val="20"/>
              </w:rPr>
            </w:pPr>
            <w:r w:rsidRPr="001F224B">
              <w:rPr>
                <w:b/>
                <w:bCs/>
                <w:sz w:val="20"/>
                <w:szCs w:val="20"/>
              </w:rPr>
              <w:t>1.659.543</w:t>
            </w:r>
          </w:p>
        </w:tc>
      </w:tr>
    </w:tbl>
    <w:p w14:paraId="16D1F26E" w14:textId="056AADC9" w:rsidR="003B69EF" w:rsidRPr="001F224B" w:rsidRDefault="003B69EF" w:rsidP="003B69EF">
      <w:pPr>
        <w:rPr>
          <w:b/>
          <w:bCs/>
          <w:sz w:val="8"/>
          <w:szCs w:val="8"/>
        </w:rPr>
      </w:pPr>
    </w:p>
    <w:p w14:paraId="0DFEA6B2" w14:textId="57D725C9" w:rsidR="004C04E3" w:rsidRPr="001F224B" w:rsidRDefault="004C04E3" w:rsidP="004C04E3">
      <w:pPr>
        <w:tabs>
          <w:tab w:val="left" w:pos="567"/>
        </w:tabs>
        <w:spacing w:before="120" w:after="120"/>
        <w:jc w:val="both"/>
        <w:rPr>
          <w:b/>
          <w:bCs/>
          <w:sz w:val="22"/>
          <w:szCs w:val="22"/>
        </w:rPr>
      </w:pPr>
      <w:r w:rsidRPr="001F224B">
        <w:rPr>
          <w:b/>
          <w:bCs/>
          <w:sz w:val="22"/>
          <w:szCs w:val="22"/>
        </w:rPr>
        <w:t>1.1.3. Para piyasalarından alacaklara ilişkin bilgiler:</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4C04E3" w:rsidRPr="001F224B" w14:paraId="51BAABAB" w14:textId="77777777" w:rsidTr="00030CE5">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2634245" w14:textId="77777777" w:rsidR="004C04E3" w:rsidRPr="001F224B" w:rsidRDefault="004C04E3" w:rsidP="00030CE5">
            <w:pPr>
              <w:rPr>
                <w:sz w:val="20"/>
                <w:szCs w:val="20"/>
              </w:rPr>
            </w:pPr>
            <w:r w:rsidRPr="001F224B">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64F248A6" w14:textId="77777777" w:rsidR="004C04E3" w:rsidRPr="001F224B" w:rsidRDefault="004C04E3" w:rsidP="00030CE5">
            <w:pPr>
              <w:jc w:val="center"/>
              <w:rPr>
                <w:b/>
                <w:bCs/>
                <w:sz w:val="20"/>
                <w:szCs w:val="20"/>
              </w:rPr>
            </w:pPr>
            <w:r w:rsidRPr="001F224B">
              <w:rPr>
                <w:b/>
                <w:bCs/>
                <w:sz w:val="20"/>
                <w:szCs w:val="20"/>
              </w:rPr>
              <w:t xml:space="preserve">Cari Dönem </w:t>
            </w:r>
          </w:p>
          <w:p w14:paraId="3DDA049C" w14:textId="129F845F" w:rsidR="004C04E3" w:rsidRPr="001F224B" w:rsidRDefault="004C04E3" w:rsidP="00030CE5">
            <w:pPr>
              <w:jc w:val="center"/>
              <w:rPr>
                <w:b/>
                <w:bCs/>
                <w:sz w:val="20"/>
                <w:szCs w:val="20"/>
              </w:rPr>
            </w:pPr>
            <w:r w:rsidRPr="001F224B">
              <w:rPr>
                <w:b/>
                <w:bCs/>
                <w:sz w:val="20"/>
                <w:szCs w:val="20"/>
              </w:rPr>
              <w:t>(3</w:t>
            </w:r>
            <w:r w:rsidR="00605FD2" w:rsidRPr="001F224B">
              <w:rPr>
                <w:b/>
                <w:bCs/>
                <w:sz w:val="20"/>
                <w:szCs w:val="20"/>
              </w:rPr>
              <w:t>0</w:t>
            </w:r>
            <w:r w:rsidRPr="001F224B">
              <w:rPr>
                <w:b/>
                <w:bCs/>
                <w:sz w:val="20"/>
                <w:szCs w:val="20"/>
              </w:rPr>
              <w:t>.0</w:t>
            </w:r>
            <w:r w:rsidR="00605FD2" w:rsidRPr="001F224B">
              <w:rPr>
                <w:b/>
                <w:bCs/>
                <w:sz w:val="20"/>
                <w:szCs w:val="20"/>
              </w:rPr>
              <w:t>6</w:t>
            </w:r>
            <w:r w:rsidRPr="001F224B">
              <w:rPr>
                <w:b/>
                <w:bCs/>
                <w:sz w:val="20"/>
                <w:szCs w:val="20"/>
              </w:rPr>
              <w:t>.2025)</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6FEFBB9F" w14:textId="77777777" w:rsidR="004C04E3" w:rsidRPr="001F224B" w:rsidRDefault="004C04E3" w:rsidP="00030CE5">
            <w:pPr>
              <w:jc w:val="center"/>
              <w:rPr>
                <w:b/>
                <w:bCs/>
                <w:sz w:val="20"/>
                <w:szCs w:val="20"/>
              </w:rPr>
            </w:pPr>
            <w:r w:rsidRPr="001F224B">
              <w:rPr>
                <w:b/>
                <w:bCs/>
                <w:sz w:val="20"/>
                <w:szCs w:val="20"/>
              </w:rPr>
              <w:t xml:space="preserve">Önceki Dönem </w:t>
            </w:r>
          </w:p>
          <w:p w14:paraId="5AFDB2A1" w14:textId="77777777" w:rsidR="004C04E3" w:rsidRPr="001F224B" w:rsidRDefault="004C04E3" w:rsidP="00030CE5">
            <w:pPr>
              <w:jc w:val="center"/>
              <w:rPr>
                <w:b/>
                <w:bCs/>
                <w:sz w:val="20"/>
                <w:szCs w:val="20"/>
              </w:rPr>
            </w:pPr>
            <w:r w:rsidRPr="001F224B">
              <w:rPr>
                <w:b/>
                <w:bCs/>
                <w:sz w:val="20"/>
                <w:szCs w:val="20"/>
              </w:rPr>
              <w:t xml:space="preserve"> (31.12.2024)</w:t>
            </w:r>
          </w:p>
        </w:tc>
      </w:tr>
      <w:tr w:rsidR="004C04E3" w:rsidRPr="001F224B" w14:paraId="223C2CDC" w14:textId="77777777" w:rsidTr="00030CE5">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0158AF85" w14:textId="77777777" w:rsidR="004C04E3" w:rsidRPr="001F224B" w:rsidRDefault="004C04E3" w:rsidP="00030CE5">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4252201D" w14:textId="77777777" w:rsidR="004C04E3" w:rsidRPr="001F224B" w:rsidRDefault="004C04E3" w:rsidP="00030CE5">
            <w:pPr>
              <w:jc w:val="center"/>
              <w:rPr>
                <w:b/>
                <w:bCs/>
                <w:sz w:val="20"/>
                <w:szCs w:val="20"/>
              </w:rPr>
            </w:pPr>
            <w:r w:rsidRPr="001F224B">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63A6C51C" w14:textId="77777777" w:rsidR="004C04E3" w:rsidRPr="001F224B" w:rsidRDefault="004C04E3" w:rsidP="00030CE5">
            <w:pPr>
              <w:jc w:val="center"/>
              <w:rPr>
                <w:b/>
                <w:bCs/>
                <w:sz w:val="20"/>
                <w:szCs w:val="20"/>
              </w:rPr>
            </w:pPr>
            <w:r w:rsidRPr="001F224B">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0FE4C0E8" w14:textId="77777777" w:rsidR="004C04E3" w:rsidRPr="001F224B" w:rsidRDefault="004C04E3" w:rsidP="00030CE5">
            <w:pPr>
              <w:jc w:val="center"/>
              <w:rPr>
                <w:b/>
                <w:bCs/>
                <w:sz w:val="20"/>
                <w:szCs w:val="20"/>
              </w:rPr>
            </w:pPr>
            <w:r w:rsidRPr="001F224B">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55C92FD0" w14:textId="77777777" w:rsidR="004C04E3" w:rsidRPr="001F224B" w:rsidRDefault="004C04E3" w:rsidP="00030CE5">
            <w:pPr>
              <w:jc w:val="center"/>
              <w:rPr>
                <w:b/>
                <w:bCs/>
                <w:sz w:val="20"/>
                <w:szCs w:val="20"/>
              </w:rPr>
            </w:pPr>
            <w:r w:rsidRPr="001F224B">
              <w:rPr>
                <w:b/>
                <w:bCs/>
                <w:sz w:val="20"/>
                <w:szCs w:val="20"/>
              </w:rPr>
              <w:t>YP</w:t>
            </w:r>
          </w:p>
        </w:tc>
      </w:tr>
      <w:tr w:rsidR="001B1685" w:rsidRPr="001F224B" w14:paraId="60C1A4E0" w14:textId="77777777" w:rsidTr="00030CE5">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7991B5C8" w14:textId="77777777" w:rsidR="001B1685" w:rsidRPr="001F224B" w:rsidRDefault="001B1685" w:rsidP="001B1685">
            <w:pPr>
              <w:rPr>
                <w:sz w:val="20"/>
                <w:szCs w:val="20"/>
              </w:rPr>
            </w:pPr>
            <w:r w:rsidRPr="001F224B">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65F7ACE5" w14:textId="49B9CDDA" w:rsidR="001B1685" w:rsidRPr="001F224B" w:rsidRDefault="001B1685" w:rsidP="001B1685">
            <w:pPr>
              <w:jc w:val="right"/>
              <w:rPr>
                <w:sz w:val="20"/>
                <w:szCs w:val="20"/>
              </w:rPr>
            </w:pPr>
            <w:r w:rsidRPr="001F224B">
              <w:rPr>
                <w:sz w:val="20"/>
                <w:szCs w:val="20"/>
              </w:rPr>
              <w:t>19.895.386</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9B0B51D" w14:textId="77777777" w:rsidR="001B1685" w:rsidRPr="001F224B" w:rsidRDefault="001B1685" w:rsidP="001B1685">
            <w:pPr>
              <w:jc w:val="right"/>
              <w:rPr>
                <w:sz w:val="20"/>
                <w:szCs w:val="20"/>
              </w:rPr>
            </w:pPr>
            <w:r w:rsidRPr="001F224B">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3B211744" w14:textId="77777777" w:rsidR="001B1685" w:rsidRPr="001F224B" w:rsidRDefault="001B1685" w:rsidP="001B1685">
            <w:pPr>
              <w:jc w:val="right"/>
              <w:rPr>
                <w:sz w:val="20"/>
                <w:szCs w:val="20"/>
              </w:rPr>
            </w:pPr>
            <w:r w:rsidRPr="001F224B">
              <w:rPr>
                <w:sz w:val="20"/>
                <w:szCs w:val="20"/>
              </w:rPr>
              <w:t>9.881.807</w:t>
            </w:r>
          </w:p>
        </w:tc>
        <w:tc>
          <w:tcPr>
            <w:tcW w:w="1484" w:type="dxa"/>
            <w:tcBorders>
              <w:top w:val="nil"/>
              <w:left w:val="nil"/>
              <w:bottom w:val="single" w:sz="4" w:space="0" w:color="auto"/>
              <w:right w:val="single" w:sz="4" w:space="0" w:color="auto"/>
            </w:tcBorders>
            <w:shd w:val="clear" w:color="auto" w:fill="FFFFFF"/>
            <w:noWrap/>
            <w:vAlign w:val="bottom"/>
          </w:tcPr>
          <w:p w14:paraId="7F865D99" w14:textId="77777777" w:rsidR="001B1685" w:rsidRPr="001F224B" w:rsidRDefault="001B1685" w:rsidP="001B1685">
            <w:pPr>
              <w:jc w:val="right"/>
              <w:rPr>
                <w:sz w:val="20"/>
                <w:szCs w:val="20"/>
              </w:rPr>
            </w:pPr>
            <w:r w:rsidRPr="001F224B">
              <w:rPr>
                <w:sz w:val="20"/>
                <w:szCs w:val="20"/>
              </w:rPr>
              <w:t>-</w:t>
            </w:r>
          </w:p>
        </w:tc>
      </w:tr>
      <w:tr w:rsidR="001B1685" w:rsidRPr="001F224B" w14:paraId="43E76D71" w14:textId="77777777" w:rsidTr="00030CE5">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7FDF0D99" w14:textId="77777777" w:rsidR="001B1685" w:rsidRPr="001F224B" w:rsidRDefault="001B1685" w:rsidP="001B1685">
            <w:pPr>
              <w:rPr>
                <w:sz w:val="20"/>
                <w:szCs w:val="20"/>
              </w:rPr>
            </w:pPr>
            <w:r w:rsidRPr="001F224B">
              <w:rPr>
                <w:sz w:val="20"/>
                <w:szCs w:val="20"/>
              </w:rPr>
              <w:t>Ters Repo İşlemlerinden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2B1999D3" w14:textId="3DAD5B29" w:rsidR="001B1685" w:rsidRPr="001F224B" w:rsidRDefault="001B1685" w:rsidP="001B1685">
            <w:pPr>
              <w:jc w:val="right"/>
              <w:rPr>
                <w:sz w:val="20"/>
                <w:szCs w:val="20"/>
              </w:rPr>
            </w:pPr>
            <w:r w:rsidRPr="001F224B">
              <w:rPr>
                <w:sz w:val="20"/>
                <w:szCs w:val="20"/>
              </w:rPr>
              <w:t>-</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02EF538" w14:textId="77777777" w:rsidR="001B1685" w:rsidRPr="001F224B" w:rsidRDefault="001B1685" w:rsidP="001B1685">
            <w:pPr>
              <w:jc w:val="right"/>
              <w:rPr>
                <w:sz w:val="20"/>
                <w:szCs w:val="20"/>
              </w:rPr>
            </w:pPr>
            <w:r w:rsidRPr="001F224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74821658" w14:textId="77777777" w:rsidR="001B1685" w:rsidRPr="001F224B" w:rsidRDefault="001B1685" w:rsidP="001B1685">
            <w:pPr>
              <w:jc w:val="right"/>
              <w:rPr>
                <w:sz w:val="20"/>
                <w:szCs w:val="20"/>
              </w:rPr>
            </w:pPr>
            <w:r w:rsidRPr="001F224B">
              <w:rPr>
                <w:sz w:val="20"/>
                <w:szCs w:val="20"/>
              </w:rPr>
              <w:t>40.054</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3DA0263B" w14:textId="77777777" w:rsidR="001B1685" w:rsidRPr="001F224B" w:rsidRDefault="001B1685" w:rsidP="001B1685">
            <w:pPr>
              <w:jc w:val="right"/>
              <w:rPr>
                <w:sz w:val="20"/>
                <w:szCs w:val="20"/>
              </w:rPr>
            </w:pPr>
            <w:r w:rsidRPr="001F224B">
              <w:rPr>
                <w:sz w:val="20"/>
                <w:szCs w:val="20"/>
              </w:rPr>
              <w:t>-</w:t>
            </w:r>
          </w:p>
        </w:tc>
      </w:tr>
      <w:tr w:rsidR="001B1685" w:rsidRPr="001F224B" w14:paraId="5EEAB152" w14:textId="77777777" w:rsidTr="00030CE5">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205E50E2" w14:textId="77777777" w:rsidR="001B1685" w:rsidRPr="001F224B" w:rsidRDefault="001B1685" w:rsidP="001B1685">
            <w:pPr>
              <w:rPr>
                <w:b/>
                <w:sz w:val="20"/>
                <w:szCs w:val="20"/>
              </w:rPr>
            </w:pPr>
            <w:r w:rsidRPr="001F224B">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5D51B6DB" w14:textId="0E0C59A2" w:rsidR="001B1685" w:rsidRPr="001F224B" w:rsidRDefault="001B1685" w:rsidP="001B1685">
            <w:pPr>
              <w:jc w:val="right"/>
              <w:rPr>
                <w:b/>
                <w:bCs/>
                <w:sz w:val="20"/>
                <w:szCs w:val="20"/>
              </w:rPr>
            </w:pPr>
            <w:r w:rsidRPr="001F224B">
              <w:rPr>
                <w:b/>
                <w:bCs/>
                <w:sz w:val="20"/>
                <w:szCs w:val="20"/>
              </w:rPr>
              <w:t>19.895.386</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2E0D7B6" w14:textId="77777777" w:rsidR="001B1685" w:rsidRPr="001F224B" w:rsidRDefault="001B1685" w:rsidP="001B1685">
            <w:pPr>
              <w:jc w:val="right"/>
              <w:rPr>
                <w:b/>
                <w:sz w:val="20"/>
                <w:szCs w:val="20"/>
              </w:rPr>
            </w:pPr>
            <w:r w:rsidRPr="001F224B">
              <w:rPr>
                <w:b/>
                <w:bCs/>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26C02707" w14:textId="77777777" w:rsidR="001B1685" w:rsidRPr="001F224B" w:rsidRDefault="001B1685" w:rsidP="001B1685">
            <w:pPr>
              <w:jc w:val="right"/>
              <w:rPr>
                <w:b/>
                <w:sz w:val="20"/>
                <w:szCs w:val="20"/>
              </w:rPr>
            </w:pPr>
            <w:r w:rsidRPr="001F224B">
              <w:rPr>
                <w:b/>
                <w:bCs/>
                <w:sz w:val="20"/>
                <w:szCs w:val="20"/>
              </w:rPr>
              <w:t>9.921.861</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34A5FD14" w14:textId="77777777" w:rsidR="001B1685" w:rsidRPr="001F224B" w:rsidRDefault="001B1685" w:rsidP="001B1685">
            <w:pPr>
              <w:jc w:val="right"/>
              <w:rPr>
                <w:b/>
                <w:sz w:val="20"/>
                <w:szCs w:val="20"/>
              </w:rPr>
            </w:pPr>
            <w:r w:rsidRPr="001F224B">
              <w:rPr>
                <w:b/>
                <w:sz w:val="20"/>
                <w:szCs w:val="20"/>
              </w:rPr>
              <w:t>-</w:t>
            </w:r>
          </w:p>
        </w:tc>
      </w:tr>
    </w:tbl>
    <w:p w14:paraId="6CA17472" w14:textId="77777777" w:rsidR="004C04E3" w:rsidRPr="001F224B" w:rsidRDefault="004C04E3" w:rsidP="004C04E3">
      <w:pPr>
        <w:rPr>
          <w:b/>
          <w:bCs/>
          <w:sz w:val="22"/>
          <w:szCs w:val="22"/>
        </w:rPr>
      </w:pPr>
    </w:p>
    <w:p w14:paraId="463F5F5C" w14:textId="1559DC0B" w:rsidR="001B1379" w:rsidRPr="001F224B" w:rsidRDefault="001B1379" w:rsidP="001B1379">
      <w:pPr>
        <w:tabs>
          <w:tab w:val="left" w:pos="567"/>
        </w:tabs>
        <w:spacing w:before="120" w:after="120"/>
        <w:jc w:val="both"/>
        <w:rPr>
          <w:b/>
          <w:bCs/>
          <w:sz w:val="22"/>
          <w:szCs w:val="22"/>
        </w:rPr>
      </w:pPr>
    </w:p>
    <w:p w14:paraId="63FEC1EA" w14:textId="77777777" w:rsidR="004C04E3" w:rsidRPr="001F224B" w:rsidRDefault="004C04E3" w:rsidP="004C04E3">
      <w:pPr>
        <w:rPr>
          <w:b/>
          <w:bCs/>
          <w:sz w:val="22"/>
          <w:szCs w:val="22"/>
        </w:rPr>
      </w:pPr>
    </w:p>
    <w:p w14:paraId="33F86646" w14:textId="77777777" w:rsidR="004C04E3" w:rsidRPr="001F224B" w:rsidRDefault="004C04E3" w:rsidP="004C04E3">
      <w:pPr>
        <w:rPr>
          <w:b/>
          <w:bCs/>
          <w:sz w:val="22"/>
          <w:szCs w:val="22"/>
        </w:rPr>
      </w:pPr>
    </w:p>
    <w:p w14:paraId="339B67B5" w14:textId="77777777" w:rsidR="004C04E3" w:rsidRPr="001F224B" w:rsidRDefault="004C04E3" w:rsidP="004C04E3">
      <w:pPr>
        <w:rPr>
          <w:b/>
          <w:bCs/>
          <w:sz w:val="22"/>
          <w:szCs w:val="22"/>
        </w:rPr>
      </w:pPr>
    </w:p>
    <w:p w14:paraId="7E52480C" w14:textId="77777777" w:rsidR="004C04E3" w:rsidRPr="001F224B" w:rsidRDefault="004C04E3" w:rsidP="004C04E3">
      <w:pPr>
        <w:rPr>
          <w:b/>
          <w:bCs/>
          <w:sz w:val="22"/>
          <w:szCs w:val="22"/>
        </w:rPr>
      </w:pPr>
    </w:p>
    <w:p w14:paraId="75E2F0C8" w14:textId="77777777" w:rsidR="004C04E3" w:rsidRPr="001F224B" w:rsidRDefault="004C04E3" w:rsidP="004C04E3">
      <w:pPr>
        <w:rPr>
          <w:b/>
          <w:bCs/>
          <w:sz w:val="22"/>
          <w:szCs w:val="22"/>
        </w:rPr>
      </w:pPr>
    </w:p>
    <w:p w14:paraId="50F30028" w14:textId="08FD3B91" w:rsidR="004C04E3" w:rsidRPr="001F224B" w:rsidRDefault="004C04E3" w:rsidP="004C04E3">
      <w:pPr>
        <w:rPr>
          <w:b/>
          <w:bCs/>
          <w:sz w:val="22"/>
          <w:szCs w:val="22"/>
        </w:rPr>
      </w:pPr>
      <w:r w:rsidRPr="001F224B">
        <w:rPr>
          <w:b/>
          <w:bCs/>
          <w:sz w:val="22"/>
          <w:szCs w:val="22"/>
        </w:rPr>
        <w:t>BEŞİNCİ BÖLÜM (Devamı)</w:t>
      </w:r>
    </w:p>
    <w:p w14:paraId="2411B12B" w14:textId="77777777" w:rsidR="004C04E3" w:rsidRPr="001F224B" w:rsidRDefault="004C04E3" w:rsidP="004C04E3">
      <w:pPr>
        <w:rPr>
          <w:b/>
          <w:bCs/>
          <w:sz w:val="12"/>
          <w:szCs w:val="12"/>
        </w:rPr>
      </w:pPr>
    </w:p>
    <w:p w14:paraId="55C6814E" w14:textId="77777777" w:rsidR="004C04E3" w:rsidRPr="001F224B" w:rsidRDefault="004C04E3" w:rsidP="004C04E3">
      <w:pPr>
        <w:pStyle w:val="ListParagraph"/>
        <w:tabs>
          <w:tab w:val="left" w:pos="0"/>
        </w:tabs>
        <w:spacing w:line="360" w:lineRule="auto"/>
        <w:ind w:left="0"/>
        <w:rPr>
          <w:b/>
          <w:bCs/>
          <w:sz w:val="22"/>
          <w:szCs w:val="22"/>
        </w:rPr>
      </w:pPr>
      <w:r w:rsidRPr="001F224B">
        <w:rPr>
          <w:b/>
          <w:bCs/>
          <w:sz w:val="22"/>
          <w:szCs w:val="22"/>
        </w:rPr>
        <w:t>KONSOLİDE FİNANSAL TABLOLARA İLİŞKİN AÇIKLAMA VE DİPNOTLAR (Devamı)</w:t>
      </w:r>
    </w:p>
    <w:p w14:paraId="3B5B8080" w14:textId="77777777" w:rsidR="004C04E3" w:rsidRPr="001F224B" w:rsidRDefault="004C04E3" w:rsidP="004C04E3">
      <w:pPr>
        <w:pStyle w:val="ListParagraph"/>
        <w:tabs>
          <w:tab w:val="left" w:pos="0"/>
        </w:tabs>
        <w:spacing w:after="120"/>
        <w:ind w:left="0"/>
        <w:rPr>
          <w:b/>
          <w:bCs/>
          <w:sz w:val="22"/>
          <w:szCs w:val="22"/>
        </w:rPr>
      </w:pPr>
      <w:r w:rsidRPr="001F224B">
        <w:rPr>
          <w:b/>
          <w:bCs/>
          <w:sz w:val="22"/>
          <w:szCs w:val="22"/>
        </w:rPr>
        <w:t>I.       Konsolide bilançonun aktif hesaplarına ilişkin açıklama ve dipnotlar (Devamı)</w:t>
      </w:r>
    </w:p>
    <w:p w14:paraId="604F9740" w14:textId="77777777" w:rsidR="004C04E3" w:rsidRPr="001F224B" w:rsidRDefault="004C04E3" w:rsidP="004C04E3">
      <w:pPr>
        <w:tabs>
          <w:tab w:val="left" w:pos="567"/>
        </w:tabs>
        <w:spacing w:before="120" w:after="120"/>
        <w:jc w:val="both"/>
        <w:rPr>
          <w:b/>
          <w:bCs/>
          <w:sz w:val="22"/>
          <w:szCs w:val="22"/>
        </w:rPr>
      </w:pPr>
      <w:r w:rsidRPr="001F224B">
        <w:rPr>
          <w:b/>
          <w:bCs/>
          <w:sz w:val="22"/>
          <w:szCs w:val="22"/>
        </w:rPr>
        <w:t>1.1.</w:t>
      </w:r>
      <w:r w:rsidRPr="001F224B">
        <w:rPr>
          <w:b/>
          <w:bCs/>
          <w:sz w:val="22"/>
          <w:szCs w:val="22"/>
        </w:rPr>
        <w:tab/>
        <w:t>Nakit ve nakit benzerlerine ilişkin bilgiler (Devamı):</w:t>
      </w:r>
    </w:p>
    <w:p w14:paraId="34689661" w14:textId="6ED44CD8" w:rsidR="00207C61" w:rsidRPr="001F224B" w:rsidRDefault="003B69EF" w:rsidP="00D106A5">
      <w:pPr>
        <w:tabs>
          <w:tab w:val="left" w:pos="567"/>
        </w:tabs>
        <w:spacing w:before="120" w:after="120"/>
        <w:jc w:val="both"/>
        <w:rPr>
          <w:b/>
          <w:bCs/>
          <w:color w:val="000000"/>
          <w:sz w:val="22"/>
          <w:szCs w:val="22"/>
        </w:rPr>
      </w:pPr>
      <w:r w:rsidRPr="001F224B">
        <w:rPr>
          <w:b/>
          <w:bCs/>
          <w:sz w:val="22"/>
          <w:szCs w:val="22"/>
        </w:rPr>
        <w:t>1</w:t>
      </w:r>
      <w:r w:rsidR="00207C61" w:rsidRPr="001F224B">
        <w:rPr>
          <w:b/>
          <w:bCs/>
          <w:color w:val="000000"/>
          <w:sz w:val="22"/>
          <w:szCs w:val="22"/>
        </w:rPr>
        <w:t>.1.</w:t>
      </w:r>
      <w:r w:rsidR="007E1109" w:rsidRPr="001F224B">
        <w:rPr>
          <w:b/>
          <w:bCs/>
          <w:color w:val="000000"/>
          <w:sz w:val="22"/>
          <w:szCs w:val="22"/>
        </w:rPr>
        <w:t>4</w:t>
      </w:r>
      <w:r w:rsidR="00207C61" w:rsidRPr="001F224B">
        <w:rPr>
          <w:b/>
          <w:bCs/>
          <w:color w:val="000000"/>
          <w:sz w:val="22"/>
          <w:szCs w:val="22"/>
        </w:rPr>
        <w:t>.</w:t>
      </w:r>
      <w:r w:rsidR="00567F8C" w:rsidRPr="001F224B">
        <w:rPr>
          <w:b/>
          <w:bCs/>
          <w:color w:val="000000"/>
          <w:sz w:val="22"/>
          <w:szCs w:val="22"/>
        </w:rPr>
        <w:t xml:space="preserve"> </w:t>
      </w:r>
      <w:r w:rsidR="00207C61" w:rsidRPr="001F224B">
        <w:rPr>
          <w:b/>
          <w:bCs/>
          <w:color w:val="000000"/>
          <w:sz w:val="22"/>
          <w:szCs w:val="22"/>
        </w:rPr>
        <w:t>Finansal varlıklar için beklenen zarar karşılıklarına ilişkin bilgiler :</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5B01AC" w:rsidRPr="001F224B" w14:paraId="52AAB39B" w14:textId="77777777" w:rsidTr="000E1D4D">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2B5DD1CB" w14:textId="77777777" w:rsidR="005B01AC" w:rsidRPr="001F224B" w:rsidRDefault="005B01AC" w:rsidP="000E1D4D">
            <w:pPr>
              <w:rPr>
                <w:sz w:val="20"/>
                <w:szCs w:val="20"/>
              </w:rPr>
            </w:pPr>
            <w:r w:rsidRPr="001F224B">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05DB3E18" w14:textId="77777777" w:rsidR="001B1379" w:rsidRPr="001F224B" w:rsidRDefault="001B1379" w:rsidP="001B1379">
            <w:pPr>
              <w:jc w:val="center"/>
              <w:rPr>
                <w:b/>
                <w:bCs/>
                <w:sz w:val="20"/>
                <w:szCs w:val="20"/>
              </w:rPr>
            </w:pPr>
            <w:r w:rsidRPr="001F224B">
              <w:rPr>
                <w:b/>
                <w:bCs/>
                <w:sz w:val="20"/>
                <w:szCs w:val="20"/>
              </w:rPr>
              <w:t xml:space="preserve">Cari Dönem </w:t>
            </w:r>
          </w:p>
          <w:p w14:paraId="2385A7E2" w14:textId="54818E0B" w:rsidR="005B01AC" w:rsidRPr="001F224B" w:rsidRDefault="001B1379" w:rsidP="001B1379">
            <w:pPr>
              <w:jc w:val="center"/>
              <w:rPr>
                <w:b/>
                <w:bCs/>
                <w:sz w:val="20"/>
                <w:szCs w:val="20"/>
              </w:rPr>
            </w:pPr>
            <w:r w:rsidRPr="001F224B">
              <w:rPr>
                <w:b/>
                <w:bCs/>
                <w:sz w:val="20"/>
                <w:szCs w:val="20"/>
              </w:rPr>
              <w:t>(3</w:t>
            </w:r>
            <w:r w:rsidR="004E7314" w:rsidRPr="001F224B">
              <w:rPr>
                <w:b/>
                <w:bCs/>
                <w:sz w:val="20"/>
                <w:szCs w:val="20"/>
              </w:rPr>
              <w:t>0</w:t>
            </w:r>
            <w:r w:rsidRPr="001F224B">
              <w:rPr>
                <w:b/>
                <w:bCs/>
                <w:sz w:val="20"/>
                <w:szCs w:val="20"/>
              </w:rPr>
              <w:t>.</w:t>
            </w:r>
            <w:r w:rsidR="004C04E3" w:rsidRPr="001F224B">
              <w:rPr>
                <w:b/>
                <w:bCs/>
                <w:sz w:val="20"/>
                <w:szCs w:val="20"/>
              </w:rPr>
              <w:t>0</w:t>
            </w:r>
            <w:r w:rsidR="004E7314" w:rsidRPr="001F224B">
              <w:rPr>
                <w:b/>
                <w:bCs/>
                <w:sz w:val="20"/>
                <w:szCs w:val="20"/>
              </w:rPr>
              <w:t>6</w:t>
            </w:r>
            <w:r w:rsidRPr="001F224B">
              <w:rPr>
                <w:b/>
                <w:bCs/>
                <w:sz w:val="20"/>
                <w:szCs w:val="20"/>
              </w:rPr>
              <w:t>.202</w:t>
            </w:r>
            <w:r w:rsidR="004C04E3" w:rsidRPr="001F224B">
              <w:rPr>
                <w:b/>
                <w:bCs/>
                <w:sz w:val="20"/>
                <w:szCs w:val="20"/>
              </w:rPr>
              <w:t>5</w:t>
            </w:r>
            <w:r w:rsidRPr="001F224B">
              <w:rPr>
                <w:b/>
                <w:bCs/>
                <w:sz w:val="20"/>
                <w:szCs w:val="20"/>
              </w:rPr>
              <w:t>)</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598657A0" w14:textId="77777777" w:rsidR="005B01AC" w:rsidRPr="001F224B" w:rsidRDefault="005B01AC" w:rsidP="000E1D4D">
            <w:pPr>
              <w:jc w:val="center"/>
              <w:rPr>
                <w:b/>
                <w:bCs/>
                <w:sz w:val="20"/>
                <w:szCs w:val="20"/>
              </w:rPr>
            </w:pPr>
            <w:r w:rsidRPr="001F224B">
              <w:rPr>
                <w:b/>
                <w:bCs/>
                <w:sz w:val="20"/>
                <w:szCs w:val="20"/>
              </w:rPr>
              <w:t xml:space="preserve">Önceki Dönem </w:t>
            </w:r>
          </w:p>
          <w:p w14:paraId="11DC7CC1" w14:textId="411316CD" w:rsidR="005B01AC" w:rsidRPr="001F224B" w:rsidRDefault="005B01AC" w:rsidP="000E1D4D">
            <w:pPr>
              <w:jc w:val="center"/>
              <w:rPr>
                <w:b/>
                <w:bCs/>
                <w:sz w:val="20"/>
                <w:szCs w:val="20"/>
              </w:rPr>
            </w:pPr>
            <w:r w:rsidRPr="001F224B">
              <w:rPr>
                <w:b/>
                <w:bCs/>
                <w:sz w:val="20"/>
                <w:szCs w:val="20"/>
              </w:rPr>
              <w:t xml:space="preserve"> </w:t>
            </w:r>
            <w:r w:rsidR="00BE7013" w:rsidRPr="001F224B">
              <w:rPr>
                <w:b/>
                <w:bCs/>
                <w:sz w:val="20"/>
                <w:szCs w:val="20"/>
              </w:rPr>
              <w:t>(31.12.202</w:t>
            </w:r>
            <w:r w:rsidR="004C04E3" w:rsidRPr="001F224B">
              <w:rPr>
                <w:b/>
                <w:bCs/>
                <w:sz w:val="20"/>
                <w:szCs w:val="20"/>
              </w:rPr>
              <w:t>4</w:t>
            </w:r>
            <w:r w:rsidR="00BE7013" w:rsidRPr="001F224B">
              <w:rPr>
                <w:b/>
                <w:bCs/>
                <w:sz w:val="20"/>
                <w:szCs w:val="20"/>
              </w:rPr>
              <w:t>)</w:t>
            </w:r>
          </w:p>
        </w:tc>
      </w:tr>
      <w:tr w:rsidR="005B01AC" w:rsidRPr="001F224B" w14:paraId="5507CA98" w14:textId="77777777" w:rsidTr="004C04E3">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79B923B0" w14:textId="77777777" w:rsidR="005B01AC" w:rsidRPr="001F224B" w:rsidRDefault="005B01AC" w:rsidP="000E1D4D">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4E9B03BC" w14:textId="77777777" w:rsidR="005B01AC" w:rsidRPr="001F224B" w:rsidRDefault="005B01AC" w:rsidP="000E1D4D">
            <w:pPr>
              <w:jc w:val="right"/>
              <w:rPr>
                <w:b/>
                <w:bCs/>
                <w:sz w:val="20"/>
                <w:szCs w:val="20"/>
              </w:rPr>
            </w:pPr>
            <w:r w:rsidRPr="001F224B">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2BEB133F" w14:textId="77777777" w:rsidR="005B01AC" w:rsidRPr="001F224B" w:rsidRDefault="005B01AC" w:rsidP="000E1D4D">
            <w:pPr>
              <w:jc w:val="right"/>
              <w:rPr>
                <w:b/>
                <w:bCs/>
                <w:sz w:val="20"/>
                <w:szCs w:val="20"/>
              </w:rPr>
            </w:pPr>
            <w:r w:rsidRPr="001F224B">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744E2A74" w14:textId="77777777" w:rsidR="005B01AC" w:rsidRPr="001F224B" w:rsidRDefault="005B01AC" w:rsidP="000E1D4D">
            <w:pPr>
              <w:jc w:val="right"/>
              <w:rPr>
                <w:b/>
                <w:bCs/>
                <w:sz w:val="20"/>
                <w:szCs w:val="20"/>
              </w:rPr>
            </w:pPr>
            <w:r w:rsidRPr="001F224B">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75BFAAC9" w14:textId="77777777" w:rsidR="005B01AC" w:rsidRPr="001F224B" w:rsidRDefault="005B01AC" w:rsidP="000E1D4D">
            <w:pPr>
              <w:jc w:val="right"/>
              <w:rPr>
                <w:b/>
                <w:bCs/>
                <w:sz w:val="20"/>
                <w:szCs w:val="20"/>
              </w:rPr>
            </w:pPr>
            <w:r w:rsidRPr="001F224B">
              <w:rPr>
                <w:b/>
                <w:bCs/>
                <w:sz w:val="20"/>
                <w:szCs w:val="20"/>
              </w:rPr>
              <w:t>YP</w:t>
            </w:r>
          </w:p>
        </w:tc>
      </w:tr>
      <w:tr w:rsidR="001B1685" w:rsidRPr="001F224B" w14:paraId="536834D5" w14:textId="77777777" w:rsidTr="001B1685">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26F40083" w14:textId="77777777" w:rsidR="001B1685" w:rsidRPr="001F224B" w:rsidRDefault="001B1685" w:rsidP="001B1685">
            <w:pPr>
              <w:rPr>
                <w:sz w:val="20"/>
                <w:szCs w:val="20"/>
              </w:rPr>
            </w:pPr>
            <w:r w:rsidRPr="001F224B">
              <w:rPr>
                <w:sz w:val="20"/>
                <w:szCs w:val="20"/>
              </w:rPr>
              <w:t>Nakit Değerler ve Merkez Bankası</w:t>
            </w:r>
          </w:p>
        </w:tc>
        <w:tc>
          <w:tcPr>
            <w:tcW w:w="1498" w:type="dxa"/>
            <w:tcBorders>
              <w:top w:val="single" w:sz="4" w:space="0" w:color="auto"/>
              <w:left w:val="nil"/>
              <w:bottom w:val="single" w:sz="4" w:space="0" w:color="auto"/>
              <w:right w:val="single" w:sz="4" w:space="0" w:color="auto"/>
            </w:tcBorders>
            <w:shd w:val="clear" w:color="auto" w:fill="FFFFFF"/>
            <w:noWrap/>
            <w:vAlign w:val="bottom"/>
          </w:tcPr>
          <w:p w14:paraId="79C46C84" w14:textId="0363A316" w:rsidR="001B1685" w:rsidRPr="001F224B" w:rsidRDefault="001B1685" w:rsidP="001B1685">
            <w:pPr>
              <w:jc w:val="right"/>
              <w:rPr>
                <w:sz w:val="20"/>
                <w:szCs w:val="20"/>
              </w:rPr>
            </w:pPr>
            <w:r w:rsidRPr="001F224B">
              <w:rPr>
                <w:sz w:val="20"/>
                <w:szCs w:val="20"/>
              </w:rPr>
              <w:t>5</w:t>
            </w:r>
          </w:p>
        </w:tc>
        <w:tc>
          <w:tcPr>
            <w:tcW w:w="1413" w:type="dxa"/>
            <w:tcBorders>
              <w:top w:val="nil"/>
              <w:left w:val="nil"/>
              <w:bottom w:val="single" w:sz="4" w:space="0" w:color="auto"/>
              <w:right w:val="single" w:sz="4" w:space="0" w:color="auto"/>
            </w:tcBorders>
            <w:shd w:val="clear" w:color="auto" w:fill="FFFFFF"/>
            <w:noWrap/>
            <w:vAlign w:val="bottom"/>
          </w:tcPr>
          <w:p w14:paraId="7F83F65D" w14:textId="2BA346F9" w:rsidR="001B1685" w:rsidRPr="001F224B" w:rsidRDefault="001B1685" w:rsidP="001B1685">
            <w:pPr>
              <w:jc w:val="right"/>
              <w:rPr>
                <w:sz w:val="20"/>
                <w:szCs w:val="20"/>
              </w:rPr>
            </w:pPr>
            <w:r w:rsidRPr="001F224B">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048F5C14" w14:textId="023A2CEF" w:rsidR="001B1685" w:rsidRPr="001F224B" w:rsidRDefault="001B1685" w:rsidP="001B1685">
            <w:pPr>
              <w:jc w:val="right"/>
              <w:rPr>
                <w:sz w:val="20"/>
                <w:szCs w:val="20"/>
              </w:rPr>
            </w:pPr>
            <w:r w:rsidRPr="001F224B">
              <w:rPr>
                <w:sz w:val="20"/>
                <w:szCs w:val="20"/>
              </w:rPr>
              <w:t>6</w:t>
            </w:r>
          </w:p>
        </w:tc>
        <w:tc>
          <w:tcPr>
            <w:tcW w:w="1484" w:type="dxa"/>
            <w:tcBorders>
              <w:top w:val="nil"/>
              <w:left w:val="nil"/>
              <w:bottom w:val="single" w:sz="4" w:space="0" w:color="auto"/>
              <w:right w:val="single" w:sz="4" w:space="0" w:color="auto"/>
            </w:tcBorders>
            <w:shd w:val="clear" w:color="auto" w:fill="FFFFFF"/>
            <w:noWrap/>
          </w:tcPr>
          <w:p w14:paraId="0ACC1C59" w14:textId="217868C6" w:rsidR="001B1685" w:rsidRPr="001F224B" w:rsidRDefault="001B1685" w:rsidP="001B1685">
            <w:pPr>
              <w:jc w:val="right"/>
              <w:rPr>
                <w:sz w:val="20"/>
                <w:szCs w:val="20"/>
              </w:rPr>
            </w:pPr>
            <w:r w:rsidRPr="001F224B">
              <w:rPr>
                <w:sz w:val="20"/>
                <w:szCs w:val="20"/>
              </w:rPr>
              <w:t>-</w:t>
            </w:r>
          </w:p>
        </w:tc>
      </w:tr>
      <w:tr w:rsidR="001B1685" w:rsidRPr="001F224B" w14:paraId="2535B774" w14:textId="77777777" w:rsidTr="001B1685">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5FBFB98D" w14:textId="77777777" w:rsidR="001B1685" w:rsidRPr="001F224B" w:rsidRDefault="001B1685" w:rsidP="001B1685">
            <w:pPr>
              <w:rPr>
                <w:sz w:val="20"/>
                <w:szCs w:val="20"/>
              </w:rPr>
            </w:pPr>
            <w:r w:rsidRPr="001F224B">
              <w:rPr>
                <w:sz w:val="20"/>
                <w:szCs w:val="20"/>
              </w:rPr>
              <w:t>Bankalar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593E3ED2" w14:textId="24CAB1BC" w:rsidR="001B1685" w:rsidRPr="001F224B" w:rsidRDefault="001B1685" w:rsidP="001B1685">
            <w:pPr>
              <w:jc w:val="right"/>
              <w:rPr>
                <w:sz w:val="20"/>
                <w:szCs w:val="20"/>
              </w:rPr>
            </w:pPr>
            <w:r w:rsidRPr="001F224B">
              <w:rPr>
                <w:sz w:val="20"/>
                <w:szCs w:val="20"/>
              </w:rPr>
              <w:t>2.164</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3FCEE02" w14:textId="6B416897" w:rsidR="001B1685" w:rsidRPr="001F224B" w:rsidRDefault="001B1685" w:rsidP="001B1685">
            <w:pPr>
              <w:jc w:val="right"/>
              <w:rPr>
                <w:sz w:val="20"/>
                <w:szCs w:val="20"/>
              </w:rPr>
            </w:pPr>
            <w:r w:rsidRPr="001F224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594395E5" w14:textId="36F16AB5" w:rsidR="001B1685" w:rsidRPr="001F224B" w:rsidRDefault="001B1685" w:rsidP="001B1685">
            <w:pPr>
              <w:jc w:val="right"/>
              <w:rPr>
                <w:sz w:val="20"/>
                <w:szCs w:val="20"/>
              </w:rPr>
            </w:pPr>
            <w:r w:rsidRPr="001F224B">
              <w:rPr>
                <w:sz w:val="20"/>
                <w:szCs w:val="20"/>
              </w:rPr>
              <w:t>1.477</w:t>
            </w:r>
          </w:p>
        </w:tc>
        <w:tc>
          <w:tcPr>
            <w:tcW w:w="1484" w:type="dxa"/>
            <w:tcBorders>
              <w:top w:val="single" w:sz="4" w:space="0" w:color="auto"/>
              <w:left w:val="nil"/>
              <w:bottom w:val="single" w:sz="4" w:space="0" w:color="auto"/>
              <w:right w:val="single" w:sz="4" w:space="0" w:color="auto"/>
            </w:tcBorders>
            <w:shd w:val="clear" w:color="auto" w:fill="FFFFFF"/>
            <w:noWrap/>
          </w:tcPr>
          <w:p w14:paraId="10DA63DC" w14:textId="61D761E7" w:rsidR="001B1685" w:rsidRPr="001F224B" w:rsidRDefault="001B1685" w:rsidP="001B1685">
            <w:pPr>
              <w:jc w:val="right"/>
              <w:rPr>
                <w:sz w:val="20"/>
                <w:szCs w:val="20"/>
              </w:rPr>
            </w:pPr>
            <w:r w:rsidRPr="001F224B">
              <w:rPr>
                <w:sz w:val="20"/>
                <w:szCs w:val="20"/>
              </w:rPr>
              <w:t>-</w:t>
            </w:r>
          </w:p>
        </w:tc>
      </w:tr>
      <w:tr w:rsidR="001B1685" w:rsidRPr="001F224B" w14:paraId="22C7AFB0" w14:textId="77777777" w:rsidTr="001B1685">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18CBB064" w14:textId="77777777" w:rsidR="001B1685" w:rsidRPr="001F224B" w:rsidRDefault="001B1685" w:rsidP="001B1685">
            <w:pPr>
              <w:rPr>
                <w:b/>
                <w:sz w:val="20"/>
                <w:szCs w:val="20"/>
              </w:rPr>
            </w:pPr>
            <w:r w:rsidRPr="001F224B">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593A983C" w14:textId="230061CF" w:rsidR="001B1685" w:rsidRPr="001F224B" w:rsidRDefault="001B1685" w:rsidP="001B1685">
            <w:pPr>
              <w:jc w:val="right"/>
              <w:rPr>
                <w:sz w:val="20"/>
                <w:szCs w:val="20"/>
              </w:rPr>
            </w:pPr>
            <w:r w:rsidRPr="001F224B">
              <w:rPr>
                <w:sz w:val="20"/>
                <w:szCs w:val="20"/>
              </w:rPr>
              <w:t>4.939</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7EF2092" w14:textId="2AFCC5C5" w:rsidR="001B1685" w:rsidRPr="001F224B" w:rsidRDefault="001B1685" w:rsidP="001B1685">
            <w:pPr>
              <w:jc w:val="right"/>
              <w:rPr>
                <w:b/>
                <w:sz w:val="20"/>
                <w:szCs w:val="20"/>
              </w:rPr>
            </w:pPr>
            <w:r w:rsidRPr="001F224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6BC154A8" w14:textId="59A40BF3" w:rsidR="001B1685" w:rsidRPr="001F224B" w:rsidRDefault="001B1685" w:rsidP="001B1685">
            <w:pPr>
              <w:jc w:val="right"/>
              <w:rPr>
                <w:sz w:val="20"/>
                <w:szCs w:val="20"/>
              </w:rPr>
            </w:pPr>
            <w:r w:rsidRPr="001F224B">
              <w:rPr>
                <w:sz w:val="20"/>
                <w:szCs w:val="20"/>
              </w:rPr>
              <w:t>3.592</w:t>
            </w:r>
          </w:p>
        </w:tc>
        <w:tc>
          <w:tcPr>
            <w:tcW w:w="1484" w:type="dxa"/>
            <w:tcBorders>
              <w:top w:val="single" w:sz="4" w:space="0" w:color="auto"/>
              <w:left w:val="nil"/>
              <w:bottom w:val="single" w:sz="4" w:space="0" w:color="auto"/>
              <w:right w:val="single" w:sz="4" w:space="0" w:color="auto"/>
            </w:tcBorders>
            <w:shd w:val="clear" w:color="auto" w:fill="FFFFFF"/>
            <w:noWrap/>
          </w:tcPr>
          <w:p w14:paraId="72D9A624" w14:textId="6D2DC6EF" w:rsidR="001B1685" w:rsidRPr="001F224B" w:rsidRDefault="001B1685" w:rsidP="001B1685">
            <w:pPr>
              <w:jc w:val="right"/>
              <w:rPr>
                <w:b/>
                <w:sz w:val="20"/>
                <w:szCs w:val="20"/>
              </w:rPr>
            </w:pPr>
            <w:r w:rsidRPr="001F224B">
              <w:rPr>
                <w:sz w:val="20"/>
                <w:szCs w:val="20"/>
              </w:rPr>
              <w:t>-</w:t>
            </w:r>
          </w:p>
        </w:tc>
      </w:tr>
      <w:tr w:rsidR="001B1685" w:rsidRPr="001F224B" w14:paraId="0BE845D9" w14:textId="77777777" w:rsidTr="001B1685">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61ABA91C" w14:textId="77777777" w:rsidR="001B1685" w:rsidRPr="001F224B" w:rsidRDefault="001B1685" w:rsidP="001B1685">
            <w:pPr>
              <w:rPr>
                <w:b/>
                <w:sz w:val="20"/>
                <w:szCs w:val="20"/>
              </w:rPr>
            </w:pPr>
            <w:r w:rsidRPr="001F224B">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1837D87" w14:textId="1A8970C7" w:rsidR="001B1685" w:rsidRPr="001F224B" w:rsidRDefault="001B1685" w:rsidP="001B1685">
            <w:pPr>
              <w:jc w:val="right"/>
              <w:rPr>
                <w:b/>
                <w:bCs/>
                <w:sz w:val="20"/>
                <w:szCs w:val="20"/>
              </w:rPr>
            </w:pPr>
            <w:r w:rsidRPr="001F224B">
              <w:rPr>
                <w:b/>
                <w:bCs/>
                <w:sz w:val="20"/>
                <w:szCs w:val="20"/>
              </w:rPr>
              <w:t>7.108</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735C29" w14:textId="1499913B" w:rsidR="001B1685" w:rsidRPr="001F224B" w:rsidRDefault="001B1685" w:rsidP="001B1685">
            <w:pPr>
              <w:jc w:val="right"/>
              <w:rPr>
                <w:b/>
                <w:sz w:val="20"/>
                <w:szCs w:val="20"/>
              </w:rPr>
            </w:pPr>
            <w:r w:rsidRPr="001F224B">
              <w:rPr>
                <w:b/>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70A392F8" w14:textId="0247C18D" w:rsidR="001B1685" w:rsidRPr="001F224B" w:rsidRDefault="001B1685" w:rsidP="001B1685">
            <w:pPr>
              <w:jc w:val="right"/>
              <w:rPr>
                <w:b/>
                <w:sz w:val="20"/>
                <w:szCs w:val="20"/>
              </w:rPr>
            </w:pPr>
            <w:r w:rsidRPr="001F224B">
              <w:rPr>
                <w:b/>
                <w:sz w:val="20"/>
                <w:szCs w:val="20"/>
              </w:rPr>
              <w:t>5.075</w:t>
            </w:r>
          </w:p>
        </w:tc>
        <w:tc>
          <w:tcPr>
            <w:tcW w:w="1484" w:type="dxa"/>
            <w:tcBorders>
              <w:top w:val="single" w:sz="4" w:space="0" w:color="auto"/>
              <w:left w:val="nil"/>
              <w:bottom w:val="single" w:sz="4" w:space="0" w:color="auto"/>
              <w:right w:val="single" w:sz="4" w:space="0" w:color="auto"/>
            </w:tcBorders>
            <w:shd w:val="clear" w:color="auto" w:fill="FFFFFF"/>
            <w:noWrap/>
          </w:tcPr>
          <w:p w14:paraId="4E4A1A85" w14:textId="6AF71306" w:rsidR="001B1685" w:rsidRPr="001F224B" w:rsidRDefault="001B1685" w:rsidP="001B1685">
            <w:pPr>
              <w:jc w:val="right"/>
              <w:rPr>
                <w:b/>
                <w:sz w:val="20"/>
                <w:szCs w:val="20"/>
              </w:rPr>
            </w:pPr>
            <w:r w:rsidRPr="001F224B">
              <w:rPr>
                <w:b/>
                <w:sz w:val="20"/>
                <w:szCs w:val="20"/>
              </w:rPr>
              <w:t>-</w:t>
            </w:r>
          </w:p>
        </w:tc>
      </w:tr>
    </w:tbl>
    <w:p w14:paraId="00DA453A" w14:textId="77777777" w:rsidR="00193B8A" w:rsidRPr="001F224B" w:rsidRDefault="00193B8A" w:rsidP="009F2585">
      <w:pPr>
        <w:pStyle w:val="ListParagraph"/>
        <w:numPr>
          <w:ilvl w:val="1"/>
          <w:numId w:val="7"/>
        </w:numPr>
        <w:tabs>
          <w:tab w:val="left" w:pos="567"/>
        </w:tabs>
        <w:spacing w:before="120" w:after="120"/>
        <w:ind w:left="539" w:hanging="539"/>
        <w:jc w:val="both"/>
        <w:rPr>
          <w:b/>
          <w:bCs/>
          <w:sz w:val="22"/>
          <w:szCs w:val="22"/>
        </w:rPr>
      </w:pPr>
      <w:r w:rsidRPr="001F224B">
        <w:rPr>
          <w:b/>
          <w:bCs/>
          <w:sz w:val="22"/>
          <w:szCs w:val="22"/>
        </w:rPr>
        <w:t>Gerçeğe uygun değer farkı kar/zarara yansıtılan finansal varlıklardan repo işlemlerine konu olan finansal varlıklara ilişkin bilgiler (Net):</w:t>
      </w:r>
    </w:p>
    <w:p w14:paraId="509E7E03" w14:textId="77777777" w:rsidR="00193B8A" w:rsidRPr="001F224B" w:rsidRDefault="00193B8A" w:rsidP="00193B8A">
      <w:pPr>
        <w:pStyle w:val="BodyText2"/>
        <w:spacing w:before="120" w:after="120"/>
        <w:ind w:left="567"/>
        <w:rPr>
          <w:sz w:val="22"/>
          <w:szCs w:val="22"/>
        </w:rPr>
      </w:pPr>
      <w:r w:rsidRPr="001F224B">
        <w:rPr>
          <w:sz w:val="22"/>
          <w:szCs w:val="22"/>
        </w:rPr>
        <w:t>Bulunmamaktadır.</w:t>
      </w:r>
    </w:p>
    <w:p w14:paraId="6B551EEB" w14:textId="77777777" w:rsidR="00193B8A" w:rsidRPr="001F224B" w:rsidRDefault="00193B8A" w:rsidP="00193B8A">
      <w:pPr>
        <w:tabs>
          <w:tab w:val="left" w:pos="567"/>
        </w:tabs>
        <w:spacing w:before="120" w:after="120"/>
        <w:ind w:left="567" w:hanging="567"/>
        <w:jc w:val="both"/>
        <w:rPr>
          <w:b/>
          <w:bCs/>
          <w:sz w:val="22"/>
          <w:szCs w:val="22"/>
        </w:rPr>
      </w:pPr>
      <w:r w:rsidRPr="001F224B">
        <w:rPr>
          <w:b/>
          <w:bCs/>
          <w:sz w:val="22"/>
          <w:szCs w:val="22"/>
        </w:rPr>
        <w:t>1.2.a)</w:t>
      </w:r>
      <w:r w:rsidRPr="001F224B">
        <w:rPr>
          <w:b/>
          <w:bCs/>
          <w:sz w:val="22"/>
          <w:szCs w:val="22"/>
        </w:rPr>
        <w:tab/>
        <w:t>Gerçeğe uygun değer farkı kar/zarara yansıtılan finansal varlıklardan teminata verilen/bloke edilenler (Net):</w:t>
      </w:r>
    </w:p>
    <w:p w14:paraId="1DE61A8A" w14:textId="6D10B06F" w:rsidR="0056078E" w:rsidRPr="001F224B" w:rsidRDefault="00193B8A" w:rsidP="00F71A28">
      <w:pPr>
        <w:pStyle w:val="Heading2"/>
        <w:numPr>
          <w:ilvl w:val="0"/>
          <w:numId w:val="0"/>
        </w:numPr>
        <w:tabs>
          <w:tab w:val="left" w:pos="567"/>
        </w:tabs>
        <w:spacing w:before="0"/>
        <w:ind w:left="567"/>
        <w:jc w:val="both"/>
        <w:rPr>
          <w:rFonts w:ascii="Times New Roman" w:hAnsi="Times New Roman"/>
          <w:b w:val="0"/>
          <w:i w:val="0"/>
          <w:sz w:val="22"/>
          <w:szCs w:val="22"/>
        </w:rPr>
      </w:pPr>
      <w:r w:rsidRPr="001F224B">
        <w:rPr>
          <w:rFonts w:ascii="Times New Roman" w:hAnsi="Times New Roman"/>
          <w:b w:val="0"/>
          <w:i w:val="0"/>
          <w:sz w:val="22"/>
          <w:szCs w:val="22"/>
        </w:rPr>
        <w:t>Bulunmamaktadır.</w:t>
      </w:r>
    </w:p>
    <w:p w14:paraId="335B1BDE" w14:textId="77777777" w:rsidR="00217077" w:rsidRPr="001F224B" w:rsidRDefault="00217077" w:rsidP="00217077">
      <w:pPr>
        <w:tabs>
          <w:tab w:val="left" w:pos="567"/>
        </w:tabs>
        <w:spacing w:before="120"/>
        <w:jc w:val="both"/>
        <w:rPr>
          <w:b/>
          <w:bCs/>
          <w:sz w:val="22"/>
          <w:szCs w:val="22"/>
        </w:rPr>
      </w:pPr>
      <w:r w:rsidRPr="001F224B">
        <w:rPr>
          <w:b/>
          <w:bCs/>
          <w:sz w:val="22"/>
          <w:szCs w:val="22"/>
        </w:rPr>
        <w:t>1.3.</w:t>
      </w:r>
      <w:r w:rsidRPr="001F224B">
        <w:rPr>
          <w:b/>
          <w:bCs/>
          <w:sz w:val="22"/>
          <w:szCs w:val="22"/>
        </w:rPr>
        <w:tab/>
        <w:t>Gerçeğe uygun değer farkı diğer kapsamlı gelire yansıtılan finansal varlıklara ilişkin bilgiler:</w:t>
      </w:r>
    </w:p>
    <w:p w14:paraId="0A19F0A2" w14:textId="3F83848C" w:rsidR="00217077" w:rsidRPr="001F224B" w:rsidRDefault="00A94BA9" w:rsidP="006E1066">
      <w:pPr>
        <w:tabs>
          <w:tab w:val="left" w:pos="567"/>
        </w:tabs>
        <w:spacing w:before="120"/>
        <w:jc w:val="both"/>
        <w:rPr>
          <w:b/>
          <w:bCs/>
          <w:sz w:val="22"/>
          <w:szCs w:val="22"/>
        </w:rPr>
      </w:pPr>
      <w:bookmarkStart w:id="30" w:name="_Hlt40763918"/>
      <w:r w:rsidRPr="001F224B">
        <w:rPr>
          <w:b/>
          <w:bCs/>
          <w:sz w:val="22"/>
          <w:szCs w:val="22"/>
        </w:rPr>
        <w:t>1.3.a.1)</w:t>
      </w:r>
      <w:r w:rsidR="00FA3CEB" w:rsidRPr="001F224B">
        <w:rPr>
          <w:b/>
          <w:bCs/>
          <w:sz w:val="22"/>
          <w:szCs w:val="22"/>
        </w:rPr>
        <w:t xml:space="preserve"> </w:t>
      </w:r>
      <w:r w:rsidR="00217077" w:rsidRPr="001F224B">
        <w:rPr>
          <w:b/>
          <w:bCs/>
          <w:sz w:val="22"/>
          <w:szCs w:val="22"/>
        </w:rPr>
        <w:t xml:space="preserve">Repo işlemlerine konu edilen gerçeğe uygun değer farkı diğer kapsamlı gelire yansıtılan finansal </w:t>
      </w:r>
      <w:bookmarkEnd w:id="30"/>
      <w:r w:rsidR="00217077" w:rsidRPr="001F224B">
        <w:rPr>
          <w:b/>
          <w:bCs/>
          <w:sz w:val="22"/>
          <w:szCs w:val="22"/>
        </w:rPr>
        <w:t>varlıklara ilişkin bilgiler:</w:t>
      </w:r>
    </w:p>
    <w:p w14:paraId="3380B8F7" w14:textId="77777777" w:rsidR="006E1066" w:rsidRPr="001F224B" w:rsidRDefault="006E1066" w:rsidP="006E1066">
      <w:pPr>
        <w:tabs>
          <w:tab w:val="left" w:pos="567"/>
        </w:tabs>
        <w:spacing w:before="120"/>
        <w:jc w:val="both"/>
        <w:rPr>
          <w:b/>
          <w:bCs/>
          <w:sz w:val="2"/>
          <w:szCs w:val="2"/>
        </w:rPr>
      </w:pPr>
    </w:p>
    <w:tbl>
      <w:tblPr>
        <w:tblW w:w="9781" w:type="dxa"/>
        <w:tblInd w:w="-5" w:type="dxa"/>
        <w:tblLayout w:type="fixed"/>
        <w:tblCellMar>
          <w:left w:w="70" w:type="dxa"/>
          <w:right w:w="70" w:type="dxa"/>
        </w:tblCellMar>
        <w:tblLook w:val="00A0" w:firstRow="1" w:lastRow="0" w:firstColumn="1" w:lastColumn="0" w:noHBand="0" w:noVBand="0"/>
      </w:tblPr>
      <w:tblGrid>
        <w:gridCol w:w="4074"/>
        <w:gridCol w:w="1417"/>
        <w:gridCol w:w="1418"/>
        <w:gridCol w:w="1570"/>
        <w:gridCol w:w="1302"/>
      </w:tblGrid>
      <w:tr w:rsidR="00217077" w:rsidRPr="001F224B" w14:paraId="5FA1AE71" w14:textId="77777777" w:rsidTr="00AE60E1">
        <w:trPr>
          <w:cantSplit/>
          <w:trHeight w:val="255"/>
        </w:trPr>
        <w:tc>
          <w:tcPr>
            <w:tcW w:w="4074" w:type="dxa"/>
            <w:vMerge w:val="restart"/>
            <w:tcBorders>
              <w:top w:val="single" w:sz="4" w:space="0" w:color="auto"/>
              <w:left w:val="single" w:sz="4" w:space="0" w:color="auto"/>
              <w:right w:val="single" w:sz="4" w:space="0" w:color="auto"/>
            </w:tcBorders>
            <w:shd w:val="clear" w:color="000000" w:fill="FFFFFF"/>
            <w:vAlign w:val="bottom"/>
          </w:tcPr>
          <w:p w14:paraId="203136FE" w14:textId="2F7891F1" w:rsidR="00217077" w:rsidRPr="001F224B" w:rsidRDefault="00217077" w:rsidP="00B915FD">
            <w:pPr>
              <w:rPr>
                <w:sz w:val="20"/>
                <w:szCs w:val="20"/>
              </w:rPr>
            </w:pPr>
          </w:p>
          <w:p w14:paraId="1B177455" w14:textId="77777777" w:rsidR="00217077" w:rsidRPr="001F224B" w:rsidRDefault="00217077" w:rsidP="00B915FD">
            <w:pPr>
              <w:rPr>
                <w:sz w:val="20"/>
                <w:szCs w:val="20"/>
              </w:rPr>
            </w:pPr>
            <w:r w:rsidRPr="001F224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560C61D9" w14:textId="77777777" w:rsidR="001B1379" w:rsidRPr="001F224B" w:rsidRDefault="001B1379" w:rsidP="001B1379">
            <w:pPr>
              <w:jc w:val="center"/>
              <w:rPr>
                <w:b/>
                <w:bCs/>
                <w:sz w:val="20"/>
                <w:szCs w:val="20"/>
              </w:rPr>
            </w:pPr>
            <w:r w:rsidRPr="001F224B">
              <w:rPr>
                <w:b/>
                <w:bCs/>
                <w:sz w:val="20"/>
                <w:szCs w:val="20"/>
              </w:rPr>
              <w:t xml:space="preserve">Cari Dönem </w:t>
            </w:r>
          </w:p>
          <w:p w14:paraId="60D1A182" w14:textId="6BF957FC" w:rsidR="00217077" w:rsidRPr="001F224B" w:rsidRDefault="001B1379" w:rsidP="001B1379">
            <w:pPr>
              <w:jc w:val="center"/>
              <w:rPr>
                <w:b/>
                <w:bCs/>
                <w:sz w:val="20"/>
                <w:szCs w:val="20"/>
              </w:rPr>
            </w:pPr>
            <w:r w:rsidRPr="001F224B">
              <w:rPr>
                <w:b/>
                <w:bCs/>
                <w:sz w:val="20"/>
                <w:szCs w:val="20"/>
              </w:rPr>
              <w:t>(3</w:t>
            </w:r>
            <w:r w:rsidR="004E7314" w:rsidRPr="001F224B">
              <w:rPr>
                <w:b/>
                <w:bCs/>
                <w:sz w:val="20"/>
                <w:szCs w:val="20"/>
              </w:rPr>
              <w:t>0</w:t>
            </w:r>
            <w:r w:rsidRPr="001F224B">
              <w:rPr>
                <w:b/>
                <w:bCs/>
                <w:sz w:val="20"/>
                <w:szCs w:val="20"/>
              </w:rPr>
              <w:t>.</w:t>
            </w:r>
            <w:r w:rsidR="004C04E3" w:rsidRPr="001F224B">
              <w:rPr>
                <w:b/>
                <w:bCs/>
                <w:sz w:val="20"/>
                <w:szCs w:val="20"/>
              </w:rPr>
              <w:t>0</w:t>
            </w:r>
            <w:r w:rsidR="004E7314" w:rsidRPr="001F224B">
              <w:rPr>
                <w:b/>
                <w:bCs/>
                <w:sz w:val="20"/>
                <w:szCs w:val="20"/>
              </w:rPr>
              <w:t>6</w:t>
            </w:r>
            <w:r w:rsidRPr="001F224B">
              <w:rPr>
                <w:b/>
                <w:bCs/>
                <w:sz w:val="20"/>
                <w:szCs w:val="20"/>
              </w:rPr>
              <w:t>.202</w:t>
            </w:r>
            <w:r w:rsidR="004C04E3" w:rsidRPr="001F224B">
              <w:rPr>
                <w:b/>
                <w:bCs/>
                <w:sz w:val="20"/>
                <w:szCs w:val="20"/>
              </w:rPr>
              <w:t>5</w:t>
            </w:r>
            <w:r w:rsidRPr="001F224B">
              <w:rPr>
                <w:b/>
                <w:bCs/>
                <w:sz w:val="20"/>
                <w:szCs w:val="20"/>
              </w:rPr>
              <w:t>)</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652DD6B6" w14:textId="77777777" w:rsidR="00217077" w:rsidRPr="001F224B" w:rsidRDefault="00217077" w:rsidP="00B915FD">
            <w:pPr>
              <w:jc w:val="center"/>
              <w:rPr>
                <w:b/>
                <w:bCs/>
                <w:sz w:val="20"/>
                <w:szCs w:val="20"/>
              </w:rPr>
            </w:pPr>
            <w:r w:rsidRPr="001F224B">
              <w:rPr>
                <w:b/>
                <w:bCs/>
                <w:sz w:val="20"/>
                <w:szCs w:val="20"/>
              </w:rPr>
              <w:t>Önceki Dönem</w:t>
            </w:r>
          </w:p>
          <w:p w14:paraId="2A92DFD5" w14:textId="3E31D4DE" w:rsidR="00217077" w:rsidRPr="001F224B" w:rsidRDefault="00217077" w:rsidP="00B915FD">
            <w:pPr>
              <w:jc w:val="center"/>
              <w:rPr>
                <w:b/>
                <w:bCs/>
                <w:sz w:val="20"/>
                <w:szCs w:val="20"/>
              </w:rPr>
            </w:pPr>
            <w:r w:rsidRPr="001F224B">
              <w:rPr>
                <w:b/>
                <w:bCs/>
                <w:sz w:val="20"/>
                <w:szCs w:val="20"/>
              </w:rPr>
              <w:t>(31.12.202</w:t>
            </w:r>
            <w:r w:rsidR="004C04E3" w:rsidRPr="001F224B">
              <w:rPr>
                <w:b/>
                <w:bCs/>
                <w:sz w:val="20"/>
                <w:szCs w:val="20"/>
              </w:rPr>
              <w:t>4</w:t>
            </w:r>
            <w:r w:rsidRPr="001F224B">
              <w:rPr>
                <w:b/>
                <w:bCs/>
                <w:sz w:val="20"/>
                <w:szCs w:val="20"/>
              </w:rPr>
              <w:t>)</w:t>
            </w:r>
          </w:p>
        </w:tc>
      </w:tr>
      <w:tr w:rsidR="00217077" w:rsidRPr="001F224B" w14:paraId="3682E095" w14:textId="77777777" w:rsidTr="00AE60E1">
        <w:trPr>
          <w:cantSplit/>
          <w:trHeight w:val="255"/>
        </w:trPr>
        <w:tc>
          <w:tcPr>
            <w:tcW w:w="4074" w:type="dxa"/>
            <w:vMerge/>
            <w:tcBorders>
              <w:left w:val="single" w:sz="4" w:space="0" w:color="auto"/>
              <w:bottom w:val="single" w:sz="4" w:space="0" w:color="auto"/>
              <w:right w:val="single" w:sz="4" w:space="0" w:color="auto"/>
            </w:tcBorders>
            <w:vAlign w:val="bottom"/>
          </w:tcPr>
          <w:p w14:paraId="58AE0A81" w14:textId="77777777" w:rsidR="00217077" w:rsidRPr="001F224B" w:rsidRDefault="00217077" w:rsidP="00B915FD">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27D5CE75" w14:textId="77777777" w:rsidR="00217077" w:rsidRPr="001F224B" w:rsidRDefault="00217077" w:rsidP="00B915FD">
            <w:pPr>
              <w:jc w:val="right"/>
              <w:rPr>
                <w:b/>
                <w:bCs/>
                <w:sz w:val="20"/>
                <w:szCs w:val="20"/>
              </w:rPr>
            </w:pPr>
            <w:r w:rsidRPr="001F224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505E1EF1" w14:textId="77777777" w:rsidR="00217077" w:rsidRPr="001F224B" w:rsidRDefault="00217077" w:rsidP="00B915FD">
            <w:pPr>
              <w:jc w:val="right"/>
              <w:rPr>
                <w:b/>
                <w:bCs/>
                <w:sz w:val="20"/>
                <w:szCs w:val="20"/>
              </w:rPr>
            </w:pPr>
            <w:r w:rsidRPr="001F224B">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45D5E57B" w14:textId="77777777" w:rsidR="00217077" w:rsidRPr="001F224B" w:rsidRDefault="00217077" w:rsidP="00B915FD">
            <w:pPr>
              <w:jc w:val="right"/>
              <w:rPr>
                <w:b/>
                <w:bCs/>
                <w:sz w:val="20"/>
                <w:szCs w:val="20"/>
              </w:rPr>
            </w:pPr>
            <w:r w:rsidRPr="001F224B">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39D18909" w14:textId="77777777" w:rsidR="00217077" w:rsidRPr="001F224B" w:rsidRDefault="00217077" w:rsidP="00B915FD">
            <w:pPr>
              <w:jc w:val="right"/>
              <w:rPr>
                <w:b/>
                <w:bCs/>
                <w:sz w:val="20"/>
                <w:szCs w:val="20"/>
              </w:rPr>
            </w:pPr>
            <w:r w:rsidRPr="001F224B">
              <w:rPr>
                <w:b/>
                <w:bCs/>
                <w:sz w:val="20"/>
                <w:szCs w:val="20"/>
              </w:rPr>
              <w:t>YP</w:t>
            </w:r>
          </w:p>
        </w:tc>
      </w:tr>
      <w:tr w:rsidR="004C04E3" w:rsidRPr="001F224B" w14:paraId="274F325A" w14:textId="77777777" w:rsidTr="00812DE1">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55EE8473" w14:textId="77777777" w:rsidR="004C04E3" w:rsidRPr="001F224B" w:rsidRDefault="004C04E3" w:rsidP="004C04E3">
            <w:pPr>
              <w:ind w:firstLine="214"/>
              <w:rPr>
                <w:sz w:val="20"/>
                <w:szCs w:val="20"/>
              </w:rPr>
            </w:pPr>
            <w:r w:rsidRPr="001F224B">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A5C2531" w14:textId="3F158E76" w:rsidR="004C04E3" w:rsidRPr="001F224B" w:rsidRDefault="004C04E3" w:rsidP="004C04E3">
            <w:pPr>
              <w:jc w:val="right"/>
              <w:rPr>
                <w:sz w:val="20"/>
                <w:szCs w:val="20"/>
              </w:rPr>
            </w:pPr>
            <w:r w:rsidRPr="001F224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C0B947A" w14:textId="39A7A903" w:rsidR="004C04E3" w:rsidRPr="001F224B" w:rsidRDefault="004C04E3" w:rsidP="004C04E3">
            <w:pPr>
              <w:jc w:val="right"/>
              <w:rPr>
                <w:sz w:val="20"/>
                <w:szCs w:val="20"/>
              </w:rPr>
            </w:pPr>
            <w:r w:rsidRPr="001F224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634BF7B1" w14:textId="04E85F99" w:rsidR="004C04E3" w:rsidRPr="001F224B" w:rsidRDefault="004C04E3" w:rsidP="004C04E3">
            <w:pPr>
              <w:jc w:val="right"/>
              <w:rPr>
                <w:sz w:val="20"/>
                <w:szCs w:val="20"/>
              </w:rPr>
            </w:pPr>
            <w:r w:rsidRPr="001F224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46A2660" w14:textId="77777777" w:rsidR="004C04E3" w:rsidRPr="001F224B" w:rsidRDefault="004C04E3" w:rsidP="004C04E3">
            <w:pPr>
              <w:jc w:val="right"/>
              <w:rPr>
                <w:sz w:val="20"/>
                <w:szCs w:val="20"/>
              </w:rPr>
            </w:pPr>
            <w:r w:rsidRPr="001F224B">
              <w:rPr>
                <w:sz w:val="20"/>
                <w:szCs w:val="20"/>
              </w:rPr>
              <w:t>-</w:t>
            </w:r>
          </w:p>
        </w:tc>
      </w:tr>
      <w:tr w:rsidR="006B35F9" w:rsidRPr="001F224B" w14:paraId="647A3FB7" w14:textId="77777777" w:rsidTr="00812DE1">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244B7BBE" w14:textId="77777777" w:rsidR="006B35F9" w:rsidRPr="001F224B" w:rsidRDefault="006B35F9" w:rsidP="006B35F9">
            <w:pPr>
              <w:ind w:left="214"/>
              <w:rPr>
                <w:sz w:val="20"/>
                <w:szCs w:val="20"/>
              </w:rPr>
            </w:pPr>
            <w:r w:rsidRPr="001F224B">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ED6E1B7" w14:textId="19149F73" w:rsidR="006B35F9" w:rsidRPr="001F224B" w:rsidRDefault="001B1685" w:rsidP="006B35F9">
            <w:pPr>
              <w:jc w:val="right"/>
              <w:rPr>
                <w:sz w:val="20"/>
                <w:szCs w:val="20"/>
              </w:rPr>
            </w:pPr>
            <w:r w:rsidRPr="001F224B">
              <w:rPr>
                <w:sz w:val="20"/>
                <w:szCs w:val="20"/>
              </w:rPr>
              <w:t>868.302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49E2471" w14:textId="084B8570" w:rsidR="006B35F9" w:rsidRPr="001F224B" w:rsidRDefault="006B35F9" w:rsidP="006B35F9">
            <w:pPr>
              <w:jc w:val="right"/>
              <w:rPr>
                <w:sz w:val="20"/>
                <w:szCs w:val="20"/>
              </w:rPr>
            </w:pPr>
            <w:r w:rsidRPr="001F224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11E8B960" w14:textId="09B8ADEB" w:rsidR="006B35F9" w:rsidRPr="001F224B" w:rsidRDefault="006B35F9" w:rsidP="006B35F9">
            <w:pPr>
              <w:jc w:val="right"/>
              <w:rPr>
                <w:sz w:val="20"/>
                <w:szCs w:val="20"/>
              </w:rPr>
            </w:pPr>
            <w:r w:rsidRPr="001F224B">
              <w:rPr>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81C65CD" w14:textId="77777777" w:rsidR="006B35F9" w:rsidRPr="001F224B" w:rsidRDefault="006B35F9" w:rsidP="006B35F9">
            <w:pPr>
              <w:jc w:val="right"/>
              <w:rPr>
                <w:sz w:val="20"/>
                <w:szCs w:val="20"/>
              </w:rPr>
            </w:pPr>
            <w:r w:rsidRPr="001F224B">
              <w:rPr>
                <w:sz w:val="20"/>
                <w:szCs w:val="20"/>
              </w:rPr>
              <w:t>-</w:t>
            </w:r>
          </w:p>
        </w:tc>
      </w:tr>
      <w:tr w:rsidR="006B35F9" w:rsidRPr="001F224B" w14:paraId="77237383" w14:textId="77777777" w:rsidTr="00812DE1">
        <w:trPr>
          <w:trHeight w:val="255"/>
        </w:trPr>
        <w:tc>
          <w:tcPr>
            <w:tcW w:w="4074" w:type="dxa"/>
            <w:tcBorders>
              <w:top w:val="nil"/>
              <w:left w:val="single" w:sz="4" w:space="0" w:color="auto"/>
              <w:bottom w:val="nil"/>
              <w:right w:val="single" w:sz="4" w:space="0" w:color="auto"/>
            </w:tcBorders>
            <w:shd w:val="clear" w:color="000000" w:fill="FFFFFF"/>
            <w:vAlign w:val="bottom"/>
          </w:tcPr>
          <w:p w14:paraId="40EB2BF1" w14:textId="77777777" w:rsidR="006B35F9" w:rsidRPr="001F224B" w:rsidRDefault="006B35F9" w:rsidP="006B35F9">
            <w:pPr>
              <w:ind w:firstLine="214"/>
              <w:rPr>
                <w:sz w:val="20"/>
                <w:szCs w:val="20"/>
              </w:rPr>
            </w:pPr>
            <w:r w:rsidRPr="001F224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9019BF0" w14:textId="1F9EC3D0" w:rsidR="006B35F9" w:rsidRPr="001F224B" w:rsidRDefault="006B35F9" w:rsidP="006B35F9">
            <w:pPr>
              <w:jc w:val="right"/>
              <w:rPr>
                <w:sz w:val="20"/>
                <w:szCs w:val="20"/>
              </w:rPr>
            </w:pPr>
            <w:r w:rsidRPr="001F224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DC8026D" w14:textId="3666D171" w:rsidR="006B35F9" w:rsidRPr="001F224B" w:rsidRDefault="006B35F9" w:rsidP="006B35F9">
            <w:pPr>
              <w:jc w:val="right"/>
              <w:rPr>
                <w:sz w:val="20"/>
                <w:szCs w:val="20"/>
              </w:rPr>
            </w:pPr>
            <w:r w:rsidRPr="001F224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D12114D" w14:textId="26B95A1B" w:rsidR="006B35F9" w:rsidRPr="001F224B" w:rsidRDefault="006B35F9" w:rsidP="006B35F9">
            <w:pPr>
              <w:jc w:val="right"/>
              <w:rPr>
                <w:sz w:val="20"/>
                <w:szCs w:val="20"/>
              </w:rPr>
            </w:pPr>
            <w:r w:rsidRPr="001F224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92E7AA2" w14:textId="77777777" w:rsidR="006B35F9" w:rsidRPr="001F224B" w:rsidRDefault="006B35F9" w:rsidP="006B35F9">
            <w:pPr>
              <w:jc w:val="right"/>
              <w:rPr>
                <w:sz w:val="20"/>
                <w:szCs w:val="20"/>
              </w:rPr>
            </w:pPr>
            <w:r w:rsidRPr="001F224B">
              <w:rPr>
                <w:sz w:val="20"/>
                <w:szCs w:val="20"/>
              </w:rPr>
              <w:t>-</w:t>
            </w:r>
          </w:p>
        </w:tc>
      </w:tr>
      <w:tr w:rsidR="006B35F9" w:rsidRPr="001F224B" w14:paraId="0DF3249A" w14:textId="77777777" w:rsidTr="00812D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613608D" w14:textId="77777777" w:rsidR="006B35F9" w:rsidRPr="001F224B" w:rsidRDefault="006B35F9" w:rsidP="006B35F9">
            <w:pPr>
              <w:rPr>
                <w:b/>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06BD3B8" w14:textId="7520DFD2" w:rsidR="006B35F9" w:rsidRPr="001F224B" w:rsidRDefault="001B1685" w:rsidP="006B35F9">
            <w:pPr>
              <w:jc w:val="right"/>
              <w:rPr>
                <w:b/>
                <w:bCs/>
                <w:sz w:val="20"/>
                <w:szCs w:val="20"/>
              </w:rPr>
            </w:pPr>
            <w:r w:rsidRPr="001F224B">
              <w:rPr>
                <w:b/>
                <w:bCs/>
                <w:sz w:val="20"/>
                <w:szCs w:val="20"/>
              </w:rPr>
              <w:t>868.302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3A61328" w14:textId="31EFC077" w:rsidR="006B35F9" w:rsidRPr="001F224B" w:rsidRDefault="006B35F9" w:rsidP="006B35F9">
            <w:pPr>
              <w:jc w:val="right"/>
              <w:rPr>
                <w:b/>
                <w:sz w:val="20"/>
                <w:szCs w:val="20"/>
              </w:rPr>
            </w:pPr>
            <w:r w:rsidRPr="001F224B">
              <w:rPr>
                <w:b/>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539D327" w14:textId="56889541" w:rsidR="006B35F9" w:rsidRPr="001F224B" w:rsidRDefault="006B35F9" w:rsidP="006B35F9">
            <w:pPr>
              <w:jc w:val="right"/>
              <w:rPr>
                <w:b/>
                <w:sz w:val="20"/>
                <w:szCs w:val="20"/>
              </w:rPr>
            </w:pPr>
            <w:r w:rsidRPr="001F224B">
              <w:rPr>
                <w:b/>
                <w:bCs/>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6664F0B" w14:textId="77777777" w:rsidR="006B35F9" w:rsidRPr="001F224B" w:rsidRDefault="006B35F9" w:rsidP="006B35F9">
            <w:pPr>
              <w:jc w:val="right"/>
              <w:rPr>
                <w:b/>
                <w:sz w:val="20"/>
                <w:szCs w:val="20"/>
              </w:rPr>
            </w:pPr>
            <w:r w:rsidRPr="001F224B">
              <w:rPr>
                <w:b/>
                <w:sz w:val="20"/>
                <w:szCs w:val="20"/>
              </w:rPr>
              <w:t>-</w:t>
            </w:r>
          </w:p>
        </w:tc>
      </w:tr>
    </w:tbl>
    <w:p w14:paraId="43CFE5FC" w14:textId="77777777" w:rsidR="00217077" w:rsidRPr="001F224B" w:rsidRDefault="00217077" w:rsidP="00217077">
      <w:pPr>
        <w:tabs>
          <w:tab w:val="left" w:pos="567"/>
        </w:tabs>
        <w:spacing w:before="120" w:after="120"/>
        <w:ind w:left="720" w:hanging="720"/>
        <w:jc w:val="both"/>
        <w:rPr>
          <w:b/>
          <w:bCs/>
          <w:sz w:val="22"/>
          <w:szCs w:val="22"/>
        </w:rPr>
      </w:pPr>
      <w:r w:rsidRPr="001F224B">
        <w:rPr>
          <w:b/>
          <w:bCs/>
          <w:sz w:val="22"/>
          <w:szCs w:val="22"/>
        </w:rPr>
        <w:t>1.3.a.2)</w:t>
      </w:r>
      <w:r w:rsidRPr="001F224B">
        <w:rPr>
          <w:sz w:val="22"/>
          <w:szCs w:val="22"/>
        </w:rPr>
        <w:tab/>
      </w:r>
      <w:r w:rsidRPr="001F224B">
        <w:rPr>
          <w:b/>
          <w:sz w:val="22"/>
          <w:szCs w:val="22"/>
        </w:rPr>
        <w:t>T</w:t>
      </w:r>
      <w:r w:rsidRPr="001F224B">
        <w:rPr>
          <w:b/>
          <w:bCs/>
          <w:sz w:val="22"/>
          <w:szCs w:val="22"/>
        </w:rPr>
        <w:t>eminata verilen/ bloke edilen gerçeğe uygun değer farkı diğer kapsamlı gelire yansıtılan finansal varlıklara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046"/>
        <w:gridCol w:w="1417"/>
        <w:gridCol w:w="1418"/>
        <w:gridCol w:w="1570"/>
        <w:gridCol w:w="1302"/>
      </w:tblGrid>
      <w:tr w:rsidR="00217077" w:rsidRPr="001F224B" w14:paraId="6855BF6C" w14:textId="77777777" w:rsidTr="00AE60E1">
        <w:trPr>
          <w:cantSplit/>
          <w:trHeight w:val="255"/>
        </w:trPr>
        <w:tc>
          <w:tcPr>
            <w:tcW w:w="4046" w:type="dxa"/>
            <w:vMerge w:val="restart"/>
            <w:tcBorders>
              <w:top w:val="single" w:sz="4" w:space="0" w:color="auto"/>
              <w:left w:val="single" w:sz="4" w:space="0" w:color="auto"/>
              <w:right w:val="single" w:sz="4" w:space="0" w:color="auto"/>
            </w:tcBorders>
            <w:shd w:val="clear" w:color="000000" w:fill="FFFFFF"/>
            <w:vAlign w:val="bottom"/>
          </w:tcPr>
          <w:p w14:paraId="19B6DDAD" w14:textId="77777777" w:rsidR="00217077" w:rsidRPr="001F224B" w:rsidRDefault="00217077" w:rsidP="00B915FD">
            <w:pPr>
              <w:rPr>
                <w:sz w:val="20"/>
                <w:szCs w:val="20"/>
              </w:rPr>
            </w:pPr>
            <w:r w:rsidRPr="001F224B">
              <w:rPr>
                <w:sz w:val="20"/>
                <w:szCs w:val="20"/>
              </w:rPr>
              <w:t> </w:t>
            </w:r>
          </w:p>
          <w:p w14:paraId="1762E342" w14:textId="77777777" w:rsidR="00217077" w:rsidRPr="001F224B" w:rsidRDefault="00217077" w:rsidP="00B915FD">
            <w:pPr>
              <w:rPr>
                <w:sz w:val="20"/>
                <w:szCs w:val="20"/>
              </w:rPr>
            </w:pPr>
            <w:r w:rsidRPr="001F224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5896EB92" w14:textId="77777777" w:rsidR="001B1379" w:rsidRPr="001F224B" w:rsidRDefault="001B1379" w:rsidP="001B1379">
            <w:pPr>
              <w:jc w:val="center"/>
              <w:rPr>
                <w:b/>
                <w:bCs/>
                <w:sz w:val="20"/>
                <w:szCs w:val="20"/>
              </w:rPr>
            </w:pPr>
            <w:r w:rsidRPr="001F224B">
              <w:rPr>
                <w:b/>
                <w:bCs/>
                <w:sz w:val="20"/>
                <w:szCs w:val="20"/>
              </w:rPr>
              <w:t xml:space="preserve">Cari Dönem </w:t>
            </w:r>
          </w:p>
          <w:p w14:paraId="086584E7" w14:textId="6A027EF9" w:rsidR="00217077" w:rsidRPr="001F224B" w:rsidRDefault="001B1379" w:rsidP="001B1379">
            <w:pPr>
              <w:jc w:val="center"/>
              <w:rPr>
                <w:b/>
                <w:bCs/>
                <w:sz w:val="20"/>
                <w:szCs w:val="20"/>
              </w:rPr>
            </w:pPr>
            <w:r w:rsidRPr="001F224B">
              <w:rPr>
                <w:b/>
                <w:bCs/>
                <w:sz w:val="20"/>
                <w:szCs w:val="20"/>
              </w:rPr>
              <w:t>(3</w:t>
            </w:r>
            <w:r w:rsidR="004E7314" w:rsidRPr="001F224B">
              <w:rPr>
                <w:b/>
                <w:bCs/>
                <w:sz w:val="20"/>
                <w:szCs w:val="20"/>
              </w:rPr>
              <w:t>0</w:t>
            </w:r>
            <w:r w:rsidRPr="001F224B">
              <w:rPr>
                <w:b/>
                <w:bCs/>
                <w:sz w:val="20"/>
                <w:szCs w:val="20"/>
              </w:rPr>
              <w:t>.</w:t>
            </w:r>
            <w:r w:rsidR="004C04E3" w:rsidRPr="001F224B">
              <w:rPr>
                <w:b/>
                <w:bCs/>
                <w:sz w:val="20"/>
                <w:szCs w:val="20"/>
              </w:rPr>
              <w:t>0</w:t>
            </w:r>
            <w:r w:rsidR="004E7314" w:rsidRPr="001F224B">
              <w:rPr>
                <w:b/>
                <w:bCs/>
                <w:sz w:val="20"/>
                <w:szCs w:val="20"/>
              </w:rPr>
              <w:t>6</w:t>
            </w:r>
            <w:r w:rsidRPr="001F224B">
              <w:rPr>
                <w:b/>
                <w:bCs/>
                <w:sz w:val="20"/>
                <w:szCs w:val="20"/>
              </w:rPr>
              <w:t>.202</w:t>
            </w:r>
            <w:r w:rsidR="004C04E3" w:rsidRPr="001F224B">
              <w:rPr>
                <w:b/>
                <w:bCs/>
                <w:sz w:val="20"/>
                <w:szCs w:val="20"/>
              </w:rPr>
              <w:t>5</w:t>
            </w:r>
            <w:r w:rsidRPr="001F224B">
              <w:rPr>
                <w:b/>
                <w:bCs/>
                <w:sz w:val="20"/>
                <w:szCs w:val="20"/>
              </w:rPr>
              <w:t>)</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39A841CC" w14:textId="77777777" w:rsidR="00217077" w:rsidRPr="001F224B" w:rsidRDefault="00217077" w:rsidP="00B915FD">
            <w:pPr>
              <w:jc w:val="center"/>
              <w:rPr>
                <w:b/>
                <w:bCs/>
                <w:sz w:val="20"/>
                <w:szCs w:val="20"/>
              </w:rPr>
            </w:pPr>
            <w:r w:rsidRPr="001F224B">
              <w:rPr>
                <w:b/>
                <w:bCs/>
                <w:sz w:val="20"/>
                <w:szCs w:val="20"/>
              </w:rPr>
              <w:t>Önceki Dönem</w:t>
            </w:r>
          </w:p>
          <w:p w14:paraId="06F10B93" w14:textId="6A473BDF" w:rsidR="00217077" w:rsidRPr="001F224B" w:rsidRDefault="00217077" w:rsidP="00B915FD">
            <w:pPr>
              <w:jc w:val="center"/>
              <w:rPr>
                <w:b/>
                <w:bCs/>
                <w:sz w:val="20"/>
                <w:szCs w:val="20"/>
              </w:rPr>
            </w:pPr>
            <w:r w:rsidRPr="001F224B">
              <w:rPr>
                <w:b/>
                <w:bCs/>
                <w:sz w:val="20"/>
                <w:szCs w:val="20"/>
              </w:rPr>
              <w:t>(31.12.202</w:t>
            </w:r>
            <w:r w:rsidR="004C04E3" w:rsidRPr="001F224B">
              <w:rPr>
                <w:b/>
                <w:bCs/>
                <w:sz w:val="20"/>
                <w:szCs w:val="20"/>
              </w:rPr>
              <w:t>4</w:t>
            </w:r>
            <w:r w:rsidRPr="001F224B">
              <w:rPr>
                <w:b/>
                <w:bCs/>
                <w:sz w:val="20"/>
                <w:szCs w:val="20"/>
              </w:rPr>
              <w:t>)</w:t>
            </w:r>
          </w:p>
        </w:tc>
      </w:tr>
      <w:tr w:rsidR="00217077" w:rsidRPr="001F224B" w14:paraId="51AA5E94" w14:textId="77777777" w:rsidTr="00AE60E1">
        <w:trPr>
          <w:cantSplit/>
          <w:trHeight w:val="255"/>
        </w:trPr>
        <w:tc>
          <w:tcPr>
            <w:tcW w:w="4046" w:type="dxa"/>
            <w:vMerge/>
            <w:tcBorders>
              <w:left w:val="single" w:sz="4" w:space="0" w:color="auto"/>
              <w:bottom w:val="single" w:sz="4" w:space="0" w:color="auto"/>
              <w:right w:val="single" w:sz="4" w:space="0" w:color="auto"/>
            </w:tcBorders>
            <w:vAlign w:val="bottom"/>
          </w:tcPr>
          <w:p w14:paraId="3C9D74D7" w14:textId="77777777" w:rsidR="00217077" w:rsidRPr="001F224B" w:rsidRDefault="00217077" w:rsidP="00B915FD">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7F983771" w14:textId="77777777" w:rsidR="00217077" w:rsidRPr="001F224B" w:rsidRDefault="00217077" w:rsidP="00B915FD">
            <w:pPr>
              <w:jc w:val="right"/>
              <w:rPr>
                <w:b/>
                <w:bCs/>
                <w:sz w:val="20"/>
                <w:szCs w:val="20"/>
              </w:rPr>
            </w:pPr>
            <w:r w:rsidRPr="001F224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0D93D401" w14:textId="77777777" w:rsidR="00217077" w:rsidRPr="001F224B" w:rsidRDefault="00217077" w:rsidP="00B915FD">
            <w:pPr>
              <w:jc w:val="right"/>
              <w:rPr>
                <w:b/>
                <w:bCs/>
                <w:sz w:val="20"/>
                <w:szCs w:val="20"/>
              </w:rPr>
            </w:pPr>
            <w:r w:rsidRPr="001F224B">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7B38D7D7" w14:textId="77777777" w:rsidR="00217077" w:rsidRPr="001F224B" w:rsidRDefault="00217077" w:rsidP="00B915FD">
            <w:pPr>
              <w:jc w:val="right"/>
              <w:rPr>
                <w:b/>
                <w:bCs/>
                <w:sz w:val="20"/>
                <w:szCs w:val="20"/>
              </w:rPr>
            </w:pPr>
            <w:r w:rsidRPr="001F224B">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4EBD5D1F" w14:textId="77777777" w:rsidR="00217077" w:rsidRPr="001F224B" w:rsidRDefault="00217077" w:rsidP="00B915FD">
            <w:pPr>
              <w:jc w:val="right"/>
              <w:rPr>
                <w:b/>
                <w:bCs/>
                <w:sz w:val="20"/>
                <w:szCs w:val="20"/>
              </w:rPr>
            </w:pPr>
            <w:r w:rsidRPr="001F224B">
              <w:rPr>
                <w:b/>
                <w:bCs/>
                <w:sz w:val="20"/>
                <w:szCs w:val="20"/>
              </w:rPr>
              <w:t>YP</w:t>
            </w:r>
          </w:p>
        </w:tc>
      </w:tr>
      <w:tr w:rsidR="004C04E3" w:rsidRPr="001F224B" w14:paraId="69DF40FD" w14:textId="77777777" w:rsidTr="00AE60E1">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0FFB3853" w14:textId="77777777" w:rsidR="004C04E3" w:rsidRPr="001F224B" w:rsidRDefault="004C04E3" w:rsidP="004C04E3">
            <w:pPr>
              <w:ind w:firstLine="214"/>
              <w:rPr>
                <w:sz w:val="20"/>
                <w:szCs w:val="20"/>
              </w:rPr>
            </w:pPr>
            <w:r w:rsidRPr="001F224B">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AC727D" w14:textId="4ACA923C" w:rsidR="004C04E3" w:rsidRPr="001F224B" w:rsidRDefault="004C04E3" w:rsidP="004C04E3">
            <w:pPr>
              <w:jc w:val="right"/>
              <w:rPr>
                <w:sz w:val="20"/>
                <w:szCs w:val="20"/>
              </w:rPr>
            </w:pPr>
            <w:r w:rsidRPr="001F224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9B0F0EF" w14:textId="6328AF28" w:rsidR="004C04E3" w:rsidRPr="001F224B" w:rsidRDefault="004C04E3" w:rsidP="004C04E3">
            <w:pPr>
              <w:jc w:val="right"/>
              <w:rPr>
                <w:sz w:val="20"/>
                <w:szCs w:val="20"/>
              </w:rPr>
            </w:pPr>
            <w:r w:rsidRPr="001F224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141804A0" w14:textId="71A154E0" w:rsidR="004C04E3" w:rsidRPr="001F224B" w:rsidRDefault="004C04E3" w:rsidP="004C04E3">
            <w:pPr>
              <w:jc w:val="right"/>
              <w:rPr>
                <w:sz w:val="20"/>
                <w:szCs w:val="20"/>
              </w:rPr>
            </w:pPr>
            <w:r w:rsidRPr="001F224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8763514" w14:textId="643F9521" w:rsidR="004C04E3" w:rsidRPr="001F224B" w:rsidRDefault="004C04E3" w:rsidP="004C04E3">
            <w:pPr>
              <w:jc w:val="right"/>
              <w:rPr>
                <w:sz w:val="20"/>
                <w:szCs w:val="20"/>
              </w:rPr>
            </w:pPr>
            <w:r w:rsidRPr="001F224B">
              <w:rPr>
                <w:sz w:val="20"/>
                <w:szCs w:val="20"/>
              </w:rPr>
              <w:t>-</w:t>
            </w:r>
          </w:p>
        </w:tc>
      </w:tr>
      <w:tr w:rsidR="001B1685" w:rsidRPr="001F224B" w14:paraId="73B79ADB" w14:textId="77777777" w:rsidTr="00AE60E1">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34CD2C83" w14:textId="77777777" w:rsidR="001B1685" w:rsidRPr="001F224B" w:rsidRDefault="001B1685" w:rsidP="001B1685">
            <w:pPr>
              <w:ind w:left="214"/>
              <w:rPr>
                <w:sz w:val="20"/>
                <w:szCs w:val="20"/>
              </w:rPr>
            </w:pPr>
            <w:r w:rsidRPr="001F224B">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E316812" w14:textId="60C07888" w:rsidR="001B1685" w:rsidRPr="001F224B" w:rsidRDefault="001B1685" w:rsidP="001B1685">
            <w:pPr>
              <w:jc w:val="right"/>
              <w:rPr>
                <w:sz w:val="20"/>
                <w:szCs w:val="20"/>
              </w:rPr>
            </w:pPr>
            <w:r w:rsidRPr="001F224B">
              <w:rPr>
                <w:sz w:val="20"/>
                <w:szCs w:val="20"/>
              </w:rPr>
              <w:t>553.270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08724326" w14:textId="7C534D0C" w:rsidR="001B1685" w:rsidRPr="001F224B" w:rsidRDefault="001B1685" w:rsidP="001B1685">
            <w:pPr>
              <w:jc w:val="right"/>
              <w:rPr>
                <w:sz w:val="20"/>
                <w:szCs w:val="20"/>
              </w:rPr>
            </w:pPr>
            <w:r w:rsidRPr="001F224B">
              <w:rPr>
                <w:sz w:val="20"/>
                <w:szCs w:val="20"/>
              </w:rPr>
              <w:t>244.154</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286BCA8" w14:textId="6AD14339" w:rsidR="001B1685" w:rsidRPr="001F224B" w:rsidRDefault="001B1685" w:rsidP="001B1685">
            <w:pPr>
              <w:jc w:val="right"/>
              <w:rPr>
                <w:sz w:val="20"/>
                <w:szCs w:val="20"/>
              </w:rPr>
            </w:pPr>
            <w:r w:rsidRPr="001F224B">
              <w:rPr>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600472F" w14:textId="7BC55619" w:rsidR="001B1685" w:rsidRPr="001F224B" w:rsidRDefault="001B1685" w:rsidP="001B1685">
            <w:pPr>
              <w:jc w:val="right"/>
              <w:rPr>
                <w:sz w:val="20"/>
                <w:szCs w:val="20"/>
              </w:rPr>
            </w:pPr>
            <w:r w:rsidRPr="001F224B">
              <w:rPr>
                <w:sz w:val="20"/>
                <w:szCs w:val="20"/>
              </w:rPr>
              <w:t>189.842</w:t>
            </w:r>
          </w:p>
        </w:tc>
      </w:tr>
      <w:tr w:rsidR="001B1685" w:rsidRPr="001F224B" w14:paraId="012021F0" w14:textId="77777777" w:rsidTr="00AE60E1">
        <w:trPr>
          <w:trHeight w:val="255"/>
        </w:trPr>
        <w:tc>
          <w:tcPr>
            <w:tcW w:w="4046" w:type="dxa"/>
            <w:tcBorders>
              <w:top w:val="nil"/>
              <w:left w:val="single" w:sz="4" w:space="0" w:color="auto"/>
              <w:bottom w:val="nil"/>
              <w:right w:val="single" w:sz="4" w:space="0" w:color="auto"/>
            </w:tcBorders>
            <w:shd w:val="clear" w:color="000000" w:fill="FFFFFF"/>
            <w:vAlign w:val="bottom"/>
          </w:tcPr>
          <w:p w14:paraId="65BCBA05" w14:textId="77777777" w:rsidR="001B1685" w:rsidRPr="001F224B" w:rsidRDefault="001B1685" w:rsidP="001B1685">
            <w:pPr>
              <w:ind w:firstLine="214"/>
              <w:rPr>
                <w:sz w:val="20"/>
                <w:szCs w:val="20"/>
              </w:rPr>
            </w:pPr>
            <w:r w:rsidRPr="001F224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4393267" w14:textId="31671E82" w:rsidR="001B1685" w:rsidRPr="001F224B" w:rsidRDefault="001B1685" w:rsidP="001B1685">
            <w:pPr>
              <w:jc w:val="right"/>
              <w:rPr>
                <w:sz w:val="20"/>
                <w:szCs w:val="20"/>
              </w:rPr>
            </w:pPr>
            <w:r w:rsidRPr="001F224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14F5210" w14:textId="0C838FA4" w:rsidR="001B1685" w:rsidRPr="001F224B" w:rsidRDefault="001B1685" w:rsidP="001B1685">
            <w:pPr>
              <w:jc w:val="right"/>
              <w:rPr>
                <w:sz w:val="20"/>
                <w:szCs w:val="20"/>
              </w:rPr>
            </w:pPr>
            <w:r w:rsidRPr="001F224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0B0C15F1" w14:textId="751269F8" w:rsidR="001B1685" w:rsidRPr="001F224B" w:rsidRDefault="001B1685" w:rsidP="001B1685">
            <w:pPr>
              <w:jc w:val="right"/>
              <w:rPr>
                <w:sz w:val="20"/>
                <w:szCs w:val="20"/>
              </w:rPr>
            </w:pPr>
            <w:r w:rsidRPr="001F224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69B28834" w14:textId="4913C1F2" w:rsidR="001B1685" w:rsidRPr="001F224B" w:rsidRDefault="001B1685" w:rsidP="001B1685">
            <w:pPr>
              <w:jc w:val="right"/>
              <w:rPr>
                <w:sz w:val="20"/>
                <w:szCs w:val="20"/>
              </w:rPr>
            </w:pPr>
            <w:r w:rsidRPr="001F224B">
              <w:rPr>
                <w:sz w:val="20"/>
                <w:szCs w:val="20"/>
              </w:rPr>
              <w:t>-</w:t>
            </w:r>
          </w:p>
        </w:tc>
      </w:tr>
      <w:tr w:rsidR="001B1685" w:rsidRPr="001F224B" w14:paraId="7BFF913D" w14:textId="77777777" w:rsidTr="00AE60E1">
        <w:trPr>
          <w:trHeight w:val="255"/>
        </w:trPr>
        <w:tc>
          <w:tcPr>
            <w:tcW w:w="4046" w:type="dxa"/>
            <w:tcBorders>
              <w:top w:val="single" w:sz="4" w:space="0" w:color="auto"/>
              <w:left w:val="single" w:sz="4" w:space="0" w:color="auto"/>
              <w:bottom w:val="single" w:sz="4" w:space="0" w:color="auto"/>
              <w:right w:val="single" w:sz="4" w:space="0" w:color="auto"/>
            </w:tcBorders>
            <w:shd w:val="clear" w:color="000000" w:fill="FFFFFF"/>
            <w:vAlign w:val="bottom"/>
          </w:tcPr>
          <w:p w14:paraId="48C2AF02" w14:textId="77777777" w:rsidR="001B1685" w:rsidRPr="001F224B" w:rsidRDefault="001B1685" w:rsidP="001B1685">
            <w:pPr>
              <w:rPr>
                <w:b/>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FC0A9C1" w14:textId="24586464" w:rsidR="001B1685" w:rsidRPr="001F224B" w:rsidRDefault="001B1685" w:rsidP="001B1685">
            <w:pPr>
              <w:jc w:val="right"/>
              <w:rPr>
                <w:b/>
                <w:sz w:val="20"/>
                <w:szCs w:val="20"/>
              </w:rPr>
            </w:pPr>
            <w:r w:rsidRPr="001F224B">
              <w:rPr>
                <w:b/>
                <w:bCs/>
                <w:sz w:val="20"/>
                <w:szCs w:val="20"/>
              </w:rPr>
              <w:t>553.270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D3D4819" w14:textId="794ED1E8" w:rsidR="001B1685" w:rsidRPr="001F224B" w:rsidRDefault="001B1685" w:rsidP="001B1685">
            <w:pPr>
              <w:jc w:val="right"/>
              <w:rPr>
                <w:b/>
                <w:sz w:val="20"/>
                <w:szCs w:val="20"/>
              </w:rPr>
            </w:pPr>
            <w:r w:rsidRPr="001F224B">
              <w:rPr>
                <w:b/>
                <w:bCs/>
                <w:sz w:val="20"/>
                <w:szCs w:val="20"/>
              </w:rPr>
              <w:t>244.154</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303D201" w14:textId="39B98205" w:rsidR="001B1685" w:rsidRPr="001F224B" w:rsidRDefault="001B1685" w:rsidP="001B1685">
            <w:pPr>
              <w:jc w:val="right"/>
              <w:rPr>
                <w:b/>
                <w:sz w:val="20"/>
                <w:szCs w:val="20"/>
              </w:rPr>
            </w:pPr>
            <w:r w:rsidRPr="001F224B">
              <w:rPr>
                <w:b/>
                <w:bCs/>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049C51ED" w14:textId="3A33FCC8" w:rsidR="001B1685" w:rsidRPr="001F224B" w:rsidRDefault="001B1685" w:rsidP="001B1685">
            <w:pPr>
              <w:jc w:val="right"/>
              <w:rPr>
                <w:b/>
                <w:sz w:val="20"/>
                <w:szCs w:val="20"/>
              </w:rPr>
            </w:pPr>
            <w:r w:rsidRPr="001F224B">
              <w:rPr>
                <w:b/>
                <w:bCs/>
                <w:sz w:val="20"/>
                <w:szCs w:val="20"/>
              </w:rPr>
              <w:t>189.842</w:t>
            </w:r>
          </w:p>
        </w:tc>
      </w:tr>
    </w:tbl>
    <w:p w14:paraId="3131C9A5" w14:textId="7CF0908E" w:rsidR="00436046" w:rsidRPr="001F224B" w:rsidRDefault="00436046" w:rsidP="006C0F89"/>
    <w:p w14:paraId="4DFD3A72" w14:textId="77777777" w:rsidR="004C04E3" w:rsidRPr="001F224B" w:rsidRDefault="004C04E3" w:rsidP="0056078E">
      <w:pPr>
        <w:pStyle w:val="ListParagraph"/>
        <w:tabs>
          <w:tab w:val="left" w:pos="0"/>
        </w:tabs>
        <w:spacing w:before="120" w:after="120"/>
        <w:ind w:left="0"/>
        <w:rPr>
          <w:b/>
          <w:bCs/>
          <w:sz w:val="22"/>
          <w:szCs w:val="22"/>
        </w:rPr>
      </w:pPr>
    </w:p>
    <w:p w14:paraId="5DE69755" w14:textId="77777777" w:rsidR="004C04E3" w:rsidRPr="001F224B" w:rsidRDefault="004C04E3" w:rsidP="0056078E">
      <w:pPr>
        <w:pStyle w:val="ListParagraph"/>
        <w:tabs>
          <w:tab w:val="left" w:pos="0"/>
        </w:tabs>
        <w:spacing w:before="120" w:after="120"/>
        <w:ind w:left="0"/>
        <w:rPr>
          <w:b/>
          <w:bCs/>
          <w:sz w:val="22"/>
          <w:szCs w:val="22"/>
        </w:rPr>
      </w:pPr>
    </w:p>
    <w:p w14:paraId="639DCAB7" w14:textId="77777777" w:rsidR="004C04E3" w:rsidRPr="001F224B" w:rsidRDefault="004C04E3" w:rsidP="0056078E">
      <w:pPr>
        <w:pStyle w:val="ListParagraph"/>
        <w:tabs>
          <w:tab w:val="left" w:pos="0"/>
        </w:tabs>
        <w:spacing w:before="120" w:after="120"/>
        <w:ind w:left="0"/>
        <w:rPr>
          <w:b/>
          <w:bCs/>
          <w:sz w:val="22"/>
          <w:szCs w:val="22"/>
        </w:rPr>
      </w:pPr>
    </w:p>
    <w:p w14:paraId="628AF0C3" w14:textId="77777777" w:rsidR="004C04E3" w:rsidRPr="001F224B" w:rsidRDefault="004C04E3" w:rsidP="0056078E">
      <w:pPr>
        <w:pStyle w:val="ListParagraph"/>
        <w:tabs>
          <w:tab w:val="left" w:pos="0"/>
        </w:tabs>
        <w:spacing w:before="120" w:after="120"/>
        <w:ind w:left="0"/>
        <w:rPr>
          <w:b/>
          <w:bCs/>
          <w:sz w:val="22"/>
          <w:szCs w:val="22"/>
        </w:rPr>
      </w:pPr>
    </w:p>
    <w:p w14:paraId="3F6F64B0" w14:textId="77777777" w:rsidR="004C04E3" w:rsidRPr="001F224B" w:rsidRDefault="004C04E3" w:rsidP="0056078E">
      <w:pPr>
        <w:pStyle w:val="ListParagraph"/>
        <w:tabs>
          <w:tab w:val="left" w:pos="0"/>
        </w:tabs>
        <w:spacing w:before="120" w:after="120"/>
        <w:ind w:left="0"/>
        <w:rPr>
          <w:b/>
          <w:bCs/>
          <w:sz w:val="22"/>
          <w:szCs w:val="22"/>
        </w:rPr>
      </w:pPr>
    </w:p>
    <w:p w14:paraId="7024743E" w14:textId="77777777" w:rsidR="004C04E3" w:rsidRPr="001F224B" w:rsidRDefault="004C04E3" w:rsidP="0056078E">
      <w:pPr>
        <w:pStyle w:val="ListParagraph"/>
        <w:tabs>
          <w:tab w:val="left" w:pos="0"/>
        </w:tabs>
        <w:spacing w:before="120" w:after="120"/>
        <w:ind w:left="0"/>
        <w:rPr>
          <w:b/>
          <w:bCs/>
          <w:sz w:val="22"/>
          <w:szCs w:val="22"/>
        </w:rPr>
      </w:pPr>
    </w:p>
    <w:p w14:paraId="3F9E1410" w14:textId="77777777" w:rsidR="004C04E3" w:rsidRPr="001F224B" w:rsidRDefault="004C04E3" w:rsidP="0056078E">
      <w:pPr>
        <w:pStyle w:val="ListParagraph"/>
        <w:tabs>
          <w:tab w:val="left" w:pos="0"/>
        </w:tabs>
        <w:spacing w:before="120" w:after="120"/>
        <w:ind w:left="0"/>
        <w:rPr>
          <w:b/>
          <w:bCs/>
          <w:sz w:val="22"/>
          <w:szCs w:val="22"/>
        </w:rPr>
      </w:pPr>
    </w:p>
    <w:p w14:paraId="221ACB56" w14:textId="418C54CD" w:rsidR="0056078E" w:rsidRPr="001F224B" w:rsidRDefault="0056078E" w:rsidP="0056078E">
      <w:pPr>
        <w:pStyle w:val="ListParagraph"/>
        <w:tabs>
          <w:tab w:val="left" w:pos="0"/>
        </w:tabs>
        <w:spacing w:before="120" w:after="120"/>
        <w:ind w:left="0"/>
        <w:rPr>
          <w:b/>
          <w:bCs/>
          <w:sz w:val="22"/>
          <w:szCs w:val="22"/>
        </w:rPr>
      </w:pPr>
      <w:r w:rsidRPr="001F224B">
        <w:rPr>
          <w:b/>
          <w:bCs/>
          <w:sz w:val="22"/>
          <w:szCs w:val="22"/>
        </w:rPr>
        <w:t>BEŞİNCİ BÖLÜM (Devamı)</w:t>
      </w:r>
    </w:p>
    <w:p w14:paraId="78F75C02" w14:textId="77777777" w:rsidR="0056078E" w:rsidRPr="001F224B" w:rsidRDefault="0056078E" w:rsidP="0056078E">
      <w:pPr>
        <w:pStyle w:val="ListParagraph"/>
        <w:tabs>
          <w:tab w:val="left" w:pos="0"/>
        </w:tabs>
        <w:spacing w:line="360" w:lineRule="auto"/>
        <w:ind w:left="0"/>
        <w:rPr>
          <w:b/>
          <w:bCs/>
          <w:sz w:val="22"/>
          <w:szCs w:val="22"/>
        </w:rPr>
      </w:pPr>
      <w:r w:rsidRPr="001F224B">
        <w:rPr>
          <w:b/>
          <w:bCs/>
          <w:sz w:val="22"/>
          <w:szCs w:val="22"/>
        </w:rPr>
        <w:t>KONSOLİDE FİNANSAL TABLOLARA İLİŞKİN AÇIKLAMA VE DİPNOTLAR</w:t>
      </w:r>
      <w:r w:rsidR="006316CE" w:rsidRPr="001F224B">
        <w:rPr>
          <w:b/>
          <w:bCs/>
          <w:sz w:val="22"/>
          <w:szCs w:val="22"/>
        </w:rPr>
        <w:t xml:space="preserve"> (Devamı)</w:t>
      </w:r>
    </w:p>
    <w:p w14:paraId="72393D36" w14:textId="3C8BFB32" w:rsidR="003313CD" w:rsidRPr="001F224B" w:rsidRDefault="0056078E" w:rsidP="006D3C19">
      <w:pPr>
        <w:pStyle w:val="ListParagraph"/>
        <w:tabs>
          <w:tab w:val="left" w:pos="0"/>
        </w:tabs>
        <w:spacing w:after="120"/>
        <w:ind w:left="0"/>
        <w:rPr>
          <w:b/>
          <w:bCs/>
          <w:sz w:val="22"/>
          <w:szCs w:val="22"/>
        </w:rPr>
      </w:pPr>
      <w:r w:rsidRPr="001F224B">
        <w:rPr>
          <w:b/>
          <w:bCs/>
          <w:sz w:val="22"/>
          <w:szCs w:val="22"/>
        </w:rPr>
        <w:t>I.</w:t>
      </w:r>
      <w:r w:rsidR="00195791" w:rsidRPr="001F224B">
        <w:rPr>
          <w:b/>
          <w:bCs/>
          <w:sz w:val="22"/>
          <w:szCs w:val="22"/>
        </w:rPr>
        <w:t xml:space="preserve">     </w:t>
      </w:r>
      <w:r w:rsidR="003313CD" w:rsidRPr="001F224B">
        <w:rPr>
          <w:b/>
          <w:bCs/>
          <w:sz w:val="22"/>
          <w:szCs w:val="22"/>
        </w:rPr>
        <w:t>Konsolide bilançonun aktif hesaplarına ilişkin açıklama ve dipnotlar (Devamı)</w:t>
      </w:r>
    </w:p>
    <w:p w14:paraId="2EFB0B3F" w14:textId="77777777" w:rsidR="00267DF1" w:rsidRPr="001F224B" w:rsidRDefault="0067589E" w:rsidP="005514FC">
      <w:pPr>
        <w:tabs>
          <w:tab w:val="left" w:pos="567"/>
        </w:tabs>
        <w:spacing w:before="120" w:after="120"/>
        <w:jc w:val="both"/>
        <w:rPr>
          <w:b/>
          <w:bCs/>
          <w:sz w:val="22"/>
          <w:szCs w:val="22"/>
        </w:rPr>
      </w:pPr>
      <w:r w:rsidRPr="001F224B">
        <w:rPr>
          <w:b/>
          <w:bCs/>
          <w:sz w:val="22"/>
          <w:szCs w:val="22"/>
        </w:rPr>
        <w:t>1.3</w:t>
      </w:r>
      <w:r w:rsidR="00D34B46" w:rsidRPr="001F224B">
        <w:rPr>
          <w:b/>
          <w:bCs/>
          <w:sz w:val="22"/>
          <w:szCs w:val="22"/>
        </w:rPr>
        <w:t>.a.3)</w:t>
      </w:r>
      <w:r w:rsidR="008009B8" w:rsidRPr="001F224B">
        <w:rPr>
          <w:b/>
          <w:bCs/>
          <w:sz w:val="22"/>
          <w:szCs w:val="22"/>
        </w:rPr>
        <w:tab/>
      </w:r>
      <w:r w:rsidR="008C0646" w:rsidRPr="001F224B">
        <w:rPr>
          <w:b/>
          <w:bCs/>
          <w:sz w:val="22"/>
          <w:szCs w:val="22"/>
        </w:rPr>
        <w:t xml:space="preserve"> </w:t>
      </w:r>
      <w:r w:rsidR="00051E91" w:rsidRPr="001F224B">
        <w:rPr>
          <w:b/>
          <w:bCs/>
          <w:sz w:val="22"/>
          <w:szCs w:val="22"/>
        </w:rPr>
        <w:t>Gerçeğe uygun değer farkı diğer kapsamlı gelire yansıtılan finansal varlıklara ilişkin bilgiler</w:t>
      </w:r>
      <w:r w:rsidR="00267DF1" w:rsidRPr="001F224B">
        <w:rPr>
          <w:b/>
          <w:bCs/>
          <w:sz w:val="22"/>
          <w:szCs w:val="22"/>
        </w:rPr>
        <w:t>:</w:t>
      </w:r>
    </w:p>
    <w:tbl>
      <w:tblPr>
        <w:tblW w:w="9771" w:type="dxa"/>
        <w:tblInd w:w="23" w:type="dxa"/>
        <w:tblLayout w:type="fixed"/>
        <w:tblCellMar>
          <w:left w:w="70" w:type="dxa"/>
          <w:right w:w="70" w:type="dxa"/>
        </w:tblCellMar>
        <w:tblLook w:val="00A0" w:firstRow="1" w:lastRow="0" w:firstColumn="1" w:lastColumn="0" w:noHBand="0" w:noVBand="0"/>
      </w:tblPr>
      <w:tblGrid>
        <w:gridCol w:w="4074"/>
        <w:gridCol w:w="2813"/>
        <w:gridCol w:w="2884"/>
      </w:tblGrid>
      <w:tr w:rsidR="003835B8" w:rsidRPr="001F224B" w14:paraId="6D02EDD3" w14:textId="77777777" w:rsidTr="00AE60E1">
        <w:trPr>
          <w:trHeight w:val="573"/>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6FEB3305" w14:textId="77777777" w:rsidR="003835B8" w:rsidRPr="001F224B" w:rsidRDefault="003835B8" w:rsidP="001B56B8">
            <w:pPr>
              <w:rPr>
                <w:sz w:val="20"/>
                <w:szCs w:val="20"/>
              </w:rPr>
            </w:pPr>
            <w:r w:rsidRPr="001F224B">
              <w:rPr>
                <w:sz w:val="20"/>
                <w:szCs w:val="20"/>
              </w:rPr>
              <w:t> </w:t>
            </w:r>
          </w:p>
        </w:tc>
        <w:tc>
          <w:tcPr>
            <w:tcW w:w="2813" w:type="dxa"/>
            <w:tcBorders>
              <w:top w:val="single" w:sz="4" w:space="0" w:color="auto"/>
              <w:left w:val="nil"/>
              <w:bottom w:val="single" w:sz="4" w:space="0" w:color="auto"/>
              <w:right w:val="single" w:sz="4" w:space="0" w:color="auto"/>
            </w:tcBorders>
            <w:shd w:val="clear" w:color="000000" w:fill="FFFFFF"/>
            <w:vAlign w:val="center"/>
          </w:tcPr>
          <w:p w14:paraId="7434EB39" w14:textId="77777777" w:rsidR="001B1379" w:rsidRPr="001F224B" w:rsidRDefault="001B1379" w:rsidP="001B1379">
            <w:pPr>
              <w:jc w:val="center"/>
              <w:rPr>
                <w:b/>
                <w:bCs/>
                <w:sz w:val="20"/>
                <w:szCs w:val="20"/>
              </w:rPr>
            </w:pPr>
            <w:r w:rsidRPr="001F224B">
              <w:rPr>
                <w:b/>
                <w:bCs/>
                <w:sz w:val="20"/>
                <w:szCs w:val="20"/>
              </w:rPr>
              <w:t xml:space="preserve">Cari Dönem </w:t>
            </w:r>
          </w:p>
          <w:p w14:paraId="096E6D1F" w14:textId="49744C8F" w:rsidR="003835B8" w:rsidRPr="001F224B" w:rsidRDefault="001B1379" w:rsidP="001B1379">
            <w:pPr>
              <w:jc w:val="center"/>
              <w:rPr>
                <w:b/>
                <w:bCs/>
                <w:sz w:val="20"/>
                <w:szCs w:val="20"/>
              </w:rPr>
            </w:pPr>
            <w:r w:rsidRPr="001F224B">
              <w:rPr>
                <w:b/>
                <w:bCs/>
                <w:sz w:val="20"/>
                <w:szCs w:val="20"/>
              </w:rPr>
              <w:t>(3</w:t>
            </w:r>
            <w:r w:rsidR="004E7314" w:rsidRPr="001F224B">
              <w:rPr>
                <w:b/>
                <w:bCs/>
                <w:sz w:val="20"/>
                <w:szCs w:val="20"/>
              </w:rPr>
              <w:t>0</w:t>
            </w:r>
            <w:r w:rsidRPr="001F224B">
              <w:rPr>
                <w:b/>
                <w:bCs/>
                <w:sz w:val="20"/>
                <w:szCs w:val="20"/>
              </w:rPr>
              <w:t>.</w:t>
            </w:r>
            <w:r w:rsidR="004C04E3" w:rsidRPr="001F224B">
              <w:rPr>
                <w:b/>
                <w:bCs/>
                <w:sz w:val="20"/>
                <w:szCs w:val="20"/>
              </w:rPr>
              <w:t>0</w:t>
            </w:r>
            <w:r w:rsidR="004E7314" w:rsidRPr="001F224B">
              <w:rPr>
                <w:b/>
                <w:bCs/>
                <w:sz w:val="20"/>
                <w:szCs w:val="20"/>
              </w:rPr>
              <w:t>6</w:t>
            </w:r>
            <w:r w:rsidRPr="001F224B">
              <w:rPr>
                <w:b/>
                <w:bCs/>
                <w:sz w:val="20"/>
                <w:szCs w:val="20"/>
              </w:rPr>
              <w:t>.202</w:t>
            </w:r>
            <w:r w:rsidR="004C04E3" w:rsidRPr="001F224B">
              <w:rPr>
                <w:b/>
                <w:bCs/>
                <w:sz w:val="20"/>
                <w:szCs w:val="20"/>
              </w:rPr>
              <w:t>5</w:t>
            </w:r>
            <w:r w:rsidRPr="001F224B">
              <w:rPr>
                <w:b/>
                <w:bCs/>
                <w:sz w:val="20"/>
                <w:szCs w:val="20"/>
              </w:rPr>
              <w:t>)</w:t>
            </w:r>
          </w:p>
        </w:tc>
        <w:tc>
          <w:tcPr>
            <w:tcW w:w="2884" w:type="dxa"/>
            <w:tcBorders>
              <w:top w:val="single" w:sz="4" w:space="0" w:color="auto"/>
              <w:left w:val="nil"/>
              <w:bottom w:val="single" w:sz="4" w:space="0" w:color="auto"/>
              <w:right w:val="single" w:sz="4" w:space="0" w:color="auto"/>
            </w:tcBorders>
            <w:shd w:val="clear" w:color="000000" w:fill="FFFFFF"/>
            <w:vAlign w:val="center"/>
          </w:tcPr>
          <w:p w14:paraId="6C5CEEAA" w14:textId="77777777" w:rsidR="003835B8" w:rsidRPr="001F224B" w:rsidRDefault="003835B8" w:rsidP="004442CC">
            <w:pPr>
              <w:jc w:val="center"/>
              <w:rPr>
                <w:b/>
                <w:bCs/>
                <w:sz w:val="20"/>
                <w:szCs w:val="20"/>
              </w:rPr>
            </w:pPr>
            <w:r w:rsidRPr="001F224B">
              <w:rPr>
                <w:b/>
                <w:bCs/>
                <w:sz w:val="20"/>
                <w:szCs w:val="20"/>
              </w:rPr>
              <w:t>Önceki Dönem</w:t>
            </w:r>
          </w:p>
          <w:p w14:paraId="443CD6A2" w14:textId="3AE671F9" w:rsidR="003835B8" w:rsidRPr="001F224B" w:rsidRDefault="003835B8" w:rsidP="004442CC">
            <w:pPr>
              <w:jc w:val="center"/>
              <w:rPr>
                <w:b/>
                <w:bCs/>
                <w:sz w:val="20"/>
                <w:szCs w:val="20"/>
              </w:rPr>
            </w:pPr>
            <w:r w:rsidRPr="001F224B">
              <w:rPr>
                <w:b/>
                <w:bCs/>
                <w:sz w:val="20"/>
                <w:szCs w:val="20"/>
              </w:rPr>
              <w:t>(</w:t>
            </w:r>
            <w:r w:rsidR="00BE7013" w:rsidRPr="001F224B">
              <w:rPr>
                <w:b/>
                <w:bCs/>
                <w:sz w:val="20"/>
                <w:szCs w:val="20"/>
              </w:rPr>
              <w:t>31.12.202</w:t>
            </w:r>
            <w:r w:rsidR="004C04E3" w:rsidRPr="001F224B">
              <w:rPr>
                <w:b/>
                <w:bCs/>
                <w:sz w:val="20"/>
                <w:szCs w:val="20"/>
              </w:rPr>
              <w:t>4</w:t>
            </w:r>
            <w:r w:rsidRPr="001F224B">
              <w:rPr>
                <w:b/>
                <w:bCs/>
                <w:sz w:val="20"/>
                <w:szCs w:val="20"/>
              </w:rPr>
              <w:t>)</w:t>
            </w:r>
          </w:p>
        </w:tc>
      </w:tr>
      <w:tr w:rsidR="001B1685" w:rsidRPr="001F224B" w14:paraId="48CF44BD"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46AA3DA" w14:textId="77777777" w:rsidR="001B1685" w:rsidRPr="001F224B" w:rsidRDefault="001B1685" w:rsidP="001B1685">
            <w:pPr>
              <w:rPr>
                <w:b/>
                <w:bCs/>
                <w:sz w:val="20"/>
                <w:szCs w:val="20"/>
              </w:rPr>
            </w:pPr>
            <w:r w:rsidRPr="001F224B">
              <w:rPr>
                <w:b/>
                <w:bCs/>
                <w:sz w:val="20"/>
                <w:szCs w:val="20"/>
              </w:rPr>
              <w:t>Borçlanma Senetleri</w:t>
            </w:r>
          </w:p>
        </w:tc>
        <w:tc>
          <w:tcPr>
            <w:tcW w:w="2813" w:type="dxa"/>
            <w:tcBorders>
              <w:top w:val="nil"/>
              <w:left w:val="nil"/>
              <w:bottom w:val="single" w:sz="4" w:space="0" w:color="auto"/>
              <w:right w:val="single" w:sz="4" w:space="0" w:color="auto"/>
            </w:tcBorders>
            <w:shd w:val="clear" w:color="000000" w:fill="FFFFFF"/>
            <w:vAlign w:val="bottom"/>
          </w:tcPr>
          <w:p w14:paraId="2A1CA0C3" w14:textId="0BD1AD8E" w:rsidR="001B1685" w:rsidRPr="001F224B" w:rsidRDefault="001B1685" w:rsidP="001B1685">
            <w:pPr>
              <w:jc w:val="right"/>
              <w:rPr>
                <w:sz w:val="20"/>
                <w:szCs w:val="20"/>
              </w:rPr>
            </w:pPr>
            <w:r w:rsidRPr="001F224B">
              <w:rPr>
                <w:b/>
                <w:bCs/>
                <w:sz w:val="20"/>
                <w:szCs w:val="20"/>
              </w:rPr>
              <w:t>27.879.631</w:t>
            </w:r>
          </w:p>
        </w:tc>
        <w:tc>
          <w:tcPr>
            <w:tcW w:w="2884" w:type="dxa"/>
            <w:tcBorders>
              <w:top w:val="nil"/>
              <w:left w:val="nil"/>
              <w:bottom w:val="single" w:sz="4" w:space="0" w:color="auto"/>
              <w:right w:val="single" w:sz="4" w:space="0" w:color="auto"/>
            </w:tcBorders>
            <w:shd w:val="clear" w:color="000000" w:fill="FFFFFF"/>
            <w:vAlign w:val="center"/>
          </w:tcPr>
          <w:p w14:paraId="27502605" w14:textId="0A3BA0C6" w:rsidR="001B1685" w:rsidRPr="001F224B" w:rsidRDefault="001B1685" w:rsidP="001B1685">
            <w:pPr>
              <w:jc w:val="right"/>
              <w:rPr>
                <w:sz w:val="20"/>
                <w:szCs w:val="20"/>
              </w:rPr>
            </w:pPr>
            <w:r w:rsidRPr="001F224B">
              <w:rPr>
                <w:b/>
                <w:bCs/>
                <w:sz w:val="20"/>
                <w:szCs w:val="20"/>
              </w:rPr>
              <w:t>25.518.203</w:t>
            </w:r>
          </w:p>
        </w:tc>
      </w:tr>
      <w:tr w:rsidR="003B5A55" w:rsidRPr="001F224B" w14:paraId="7C947CE7"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528CE5F8" w14:textId="09D7F18D" w:rsidR="003B5A55" w:rsidRPr="001F224B" w:rsidRDefault="003B5A55" w:rsidP="003B5A55">
            <w:pPr>
              <w:ind w:firstLine="160"/>
              <w:rPr>
                <w:sz w:val="20"/>
                <w:szCs w:val="20"/>
              </w:rPr>
            </w:pPr>
            <w:r w:rsidRPr="001F224B">
              <w:rPr>
                <w:sz w:val="20"/>
                <w:szCs w:val="20"/>
              </w:rPr>
              <w:t>Borsada İşlem Gören</w:t>
            </w:r>
            <w:r w:rsidRPr="001F224B">
              <w:rPr>
                <w:sz w:val="20"/>
                <w:szCs w:val="20"/>
                <w:vertAlign w:val="superscript"/>
              </w:rPr>
              <w:t>(*)</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025F36BC" w14:textId="7DF83338" w:rsidR="003B5A55" w:rsidRPr="001F224B" w:rsidRDefault="003B5A55" w:rsidP="003B5A55">
            <w:pPr>
              <w:jc w:val="right"/>
              <w:rPr>
                <w:sz w:val="20"/>
                <w:szCs w:val="20"/>
              </w:rPr>
            </w:pPr>
            <w:r w:rsidRPr="001F224B">
              <w:rPr>
                <w:sz w:val="20"/>
                <w:szCs w:val="20"/>
              </w:rPr>
              <w:t>26.413.845</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19C38365" w14:textId="3390F32D" w:rsidR="003B5A55" w:rsidRPr="001F224B" w:rsidRDefault="003B5A55" w:rsidP="003B5A55">
            <w:pPr>
              <w:jc w:val="right"/>
              <w:rPr>
                <w:sz w:val="20"/>
                <w:szCs w:val="20"/>
              </w:rPr>
            </w:pPr>
            <w:r w:rsidRPr="001F224B">
              <w:rPr>
                <w:sz w:val="20"/>
                <w:szCs w:val="20"/>
              </w:rPr>
              <w:t>24.757.868</w:t>
            </w:r>
          </w:p>
        </w:tc>
      </w:tr>
      <w:tr w:rsidR="003B5A55" w:rsidRPr="001F224B" w14:paraId="2308FF96"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67889823" w14:textId="77777777" w:rsidR="003B5A55" w:rsidRPr="001F224B" w:rsidRDefault="003B5A55" w:rsidP="003B5A55">
            <w:pPr>
              <w:ind w:firstLine="160"/>
              <w:rPr>
                <w:sz w:val="20"/>
                <w:szCs w:val="20"/>
              </w:rPr>
            </w:pPr>
            <w:r w:rsidRPr="001F224B">
              <w:rPr>
                <w:sz w:val="20"/>
                <w:szCs w:val="20"/>
              </w:rPr>
              <w:t>Borsada İşlem Görmeyen</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7E41580B" w14:textId="5220A1C7" w:rsidR="003B5A55" w:rsidRPr="001F224B" w:rsidRDefault="003B5A55" w:rsidP="003B5A55">
            <w:pPr>
              <w:jc w:val="right"/>
              <w:rPr>
                <w:sz w:val="20"/>
                <w:szCs w:val="20"/>
              </w:rPr>
            </w:pPr>
            <w:r w:rsidRPr="001F224B">
              <w:rPr>
                <w:sz w:val="20"/>
                <w:szCs w:val="20"/>
              </w:rPr>
              <w:t>1.465.786</w:t>
            </w:r>
          </w:p>
        </w:tc>
        <w:tc>
          <w:tcPr>
            <w:tcW w:w="2884" w:type="dxa"/>
            <w:tcBorders>
              <w:top w:val="single" w:sz="4" w:space="0" w:color="auto"/>
              <w:left w:val="nil"/>
              <w:bottom w:val="single" w:sz="4" w:space="0" w:color="auto"/>
              <w:right w:val="single" w:sz="4" w:space="0" w:color="auto"/>
            </w:tcBorders>
            <w:shd w:val="clear" w:color="auto" w:fill="FFFFFF"/>
            <w:vAlign w:val="center"/>
          </w:tcPr>
          <w:p w14:paraId="2BDB9C54" w14:textId="24F85D22" w:rsidR="003B5A55" w:rsidRPr="001F224B" w:rsidRDefault="003B5A55" w:rsidP="003B5A55">
            <w:pPr>
              <w:jc w:val="right"/>
              <w:rPr>
                <w:sz w:val="20"/>
                <w:szCs w:val="20"/>
              </w:rPr>
            </w:pPr>
            <w:r w:rsidRPr="001F224B">
              <w:rPr>
                <w:sz w:val="20"/>
                <w:szCs w:val="20"/>
              </w:rPr>
              <w:t>760.335</w:t>
            </w:r>
          </w:p>
        </w:tc>
      </w:tr>
      <w:tr w:rsidR="001B1685" w:rsidRPr="001F224B" w14:paraId="34CA044C"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B41D265" w14:textId="77777777" w:rsidR="001B1685" w:rsidRPr="001F224B" w:rsidRDefault="001B1685" w:rsidP="001B1685">
            <w:pPr>
              <w:rPr>
                <w:b/>
                <w:bCs/>
                <w:sz w:val="20"/>
                <w:szCs w:val="20"/>
              </w:rPr>
            </w:pPr>
            <w:r w:rsidRPr="001F224B">
              <w:rPr>
                <w:b/>
                <w:bCs/>
                <w:sz w:val="20"/>
                <w:szCs w:val="20"/>
              </w:rPr>
              <w:t>Hisse Senetleri</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17312950" w14:textId="6D420795" w:rsidR="001B1685" w:rsidRPr="001F224B" w:rsidRDefault="001B1685" w:rsidP="001B1685">
            <w:pPr>
              <w:jc w:val="right"/>
              <w:rPr>
                <w:sz w:val="20"/>
                <w:szCs w:val="20"/>
              </w:rPr>
            </w:pPr>
            <w:r w:rsidRPr="001F224B">
              <w:rPr>
                <w:b/>
                <w:bCs/>
                <w:sz w:val="20"/>
                <w:szCs w:val="20"/>
              </w:rPr>
              <w:t>12.938</w:t>
            </w:r>
          </w:p>
        </w:tc>
        <w:tc>
          <w:tcPr>
            <w:tcW w:w="2884" w:type="dxa"/>
            <w:tcBorders>
              <w:top w:val="single" w:sz="4" w:space="0" w:color="auto"/>
              <w:left w:val="nil"/>
              <w:bottom w:val="single" w:sz="4" w:space="0" w:color="auto"/>
              <w:right w:val="single" w:sz="4" w:space="0" w:color="auto"/>
            </w:tcBorders>
            <w:shd w:val="clear" w:color="auto" w:fill="FFFFFF"/>
            <w:vAlign w:val="center"/>
          </w:tcPr>
          <w:p w14:paraId="540A9384" w14:textId="5C105372" w:rsidR="001B1685" w:rsidRPr="001F224B" w:rsidRDefault="001B1685" w:rsidP="001B1685">
            <w:pPr>
              <w:jc w:val="right"/>
              <w:rPr>
                <w:sz w:val="20"/>
                <w:szCs w:val="20"/>
              </w:rPr>
            </w:pPr>
            <w:r w:rsidRPr="001F224B">
              <w:rPr>
                <w:b/>
                <w:bCs/>
                <w:sz w:val="20"/>
                <w:szCs w:val="20"/>
              </w:rPr>
              <w:t>12.938</w:t>
            </w:r>
          </w:p>
        </w:tc>
      </w:tr>
      <w:tr w:rsidR="001B1685" w:rsidRPr="001F224B" w14:paraId="7BFCAF49"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513AD2D" w14:textId="77777777" w:rsidR="001B1685" w:rsidRPr="001F224B" w:rsidRDefault="001B1685" w:rsidP="001B1685">
            <w:pPr>
              <w:ind w:firstLine="160"/>
              <w:rPr>
                <w:sz w:val="20"/>
                <w:szCs w:val="20"/>
              </w:rPr>
            </w:pPr>
            <w:r w:rsidRPr="001F224B">
              <w:rPr>
                <w:sz w:val="20"/>
                <w:szCs w:val="20"/>
              </w:rPr>
              <w:t>Borsada İşlem Gören</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1EE781D3" w14:textId="736CF406" w:rsidR="001B1685" w:rsidRPr="001F224B" w:rsidRDefault="001B1685" w:rsidP="001B1685">
            <w:pPr>
              <w:jc w:val="right"/>
              <w:rPr>
                <w:sz w:val="20"/>
                <w:szCs w:val="20"/>
              </w:rPr>
            </w:pPr>
            <w:r w:rsidRPr="001F224B">
              <w:rPr>
                <w:sz w:val="20"/>
                <w:szCs w:val="20"/>
              </w:rPr>
              <w:t>-</w:t>
            </w:r>
          </w:p>
        </w:tc>
        <w:tc>
          <w:tcPr>
            <w:tcW w:w="2884" w:type="dxa"/>
            <w:tcBorders>
              <w:top w:val="single" w:sz="4" w:space="0" w:color="auto"/>
              <w:left w:val="nil"/>
              <w:bottom w:val="single" w:sz="4" w:space="0" w:color="auto"/>
              <w:right w:val="single" w:sz="4" w:space="0" w:color="auto"/>
            </w:tcBorders>
            <w:shd w:val="clear" w:color="auto" w:fill="FFFFFF"/>
            <w:vAlign w:val="center"/>
          </w:tcPr>
          <w:p w14:paraId="326C3366" w14:textId="29604F19" w:rsidR="001B1685" w:rsidRPr="001F224B" w:rsidRDefault="001B1685" w:rsidP="001B1685">
            <w:pPr>
              <w:jc w:val="right"/>
              <w:rPr>
                <w:sz w:val="20"/>
                <w:szCs w:val="20"/>
              </w:rPr>
            </w:pPr>
            <w:r w:rsidRPr="001F224B">
              <w:rPr>
                <w:sz w:val="20"/>
                <w:szCs w:val="20"/>
              </w:rPr>
              <w:t>-</w:t>
            </w:r>
          </w:p>
        </w:tc>
      </w:tr>
      <w:tr w:rsidR="001B1685" w:rsidRPr="001F224B" w14:paraId="62DF8C27"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7DD7E8E" w14:textId="77777777" w:rsidR="001B1685" w:rsidRPr="001F224B" w:rsidRDefault="001B1685" w:rsidP="001B1685">
            <w:pPr>
              <w:ind w:firstLine="160"/>
              <w:rPr>
                <w:sz w:val="20"/>
                <w:szCs w:val="20"/>
              </w:rPr>
            </w:pPr>
            <w:r w:rsidRPr="001F224B">
              <w:rPr>
                <w:sz w:val="20"/>
                <w:szCs w:val="20"/>
              </w:rPr>
              <w:t xml:space="preserve">Borsada İşlem Görmeyen </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774CCAF3" w14:textId="1A831438" w:rsidR="001B1685" w:rsidRPr="001F224B" w:rsidRDefault="001B1685" w:rsidP="001B1685">
            <w:pPr>
              <w:jc w:val="right"/>
              <w:rPr>
                <w:sz w:val="20"/>
                <w:szCs w:val="20"/>
              </w:rPr>
            </w:pPr>
            <w:r w:rsidRPr="001F224B">
              <w:rPr>
                <w:sz w:val="20"/>
                <w:szCs w:val="20"/>
              </w:rPr>
              <w:t>12.938</w:t>
            </w:r>
          </w:p>
        </w:tc>
        <w:tc>
          <w:tcPr>
            <w:tcW w:w="2884" w:type="dxa"/>
            <w:tcBorders>
              <w:top w:val="single" w:sz="4" w:space="0" w:color="auto"/>
              <w:left w:val="nil"/>
              <w:bottom w:val="single" w:sz="4" w:space="0" w:color="auto"/>
              <w:right w:val="single" w:sz="4" w:space="0" w:color="auto"/>
            </w:tcBorders>
            <w:shd w:val="clear" w:color="auto" w:fill="FFFFFF"/>
            <w:vAlign w:val="center"/>
          </w:tcPr>
          <w:p w14:paraId="5812C36A" w14:textId="6BCD1007" w:rsidR="001B1685" w:rsidRPr="001F224B" w:rsidRDefault="001B1685" w:rsidP="001B1685">
            <w:pPr>
              <w:jc w:val="right"/>
              <w:rPr>
                <w:sz w:val="20"/>
                <w:szCs w:val="20"/>
              </w:rPr>
            </w:pPr>
            <w:r w:rsidRPr="001F224B">
              <w:rPr>
                <w:sz w:val="20"/>
                <w:szCs w:val="20"/>
              </w:rPr>
              <w:t>12.938</w:t>
            </w:r>
          </w:p>
        </w:tc>
      </w:tr>
      <w:tr w:rsidR="001B1685" w:rsidRPr="001F224B" w14:paraId="4073A5EF" w14:textId="77777777" w:rsidTr="003B5A55">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35109B6C" w14:textId="77777777" w:rsidR="001B1685" w:rsidRPr="001F224B" w:rsidRDefault="001B1685" w:rsidP="001B1685">
            <w:pPr>
              <w:rPr>
                <w:sz w:val="20"/>
                <w:szCs w:val="20"/>
              </w:rPr>
            </w:pPr>
            <w:r w:rsidRPr="001F224B">
              <w:rPr>
                <w:sz w:val="20"/>
                <w:szCs w:val="20"/>
              </w:rPr>
              <w:t xml:space="preserve">Değer Azalma Karşılığı (-) </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59273D3F" w14:textId="164774F4" w:rsidR="001B1685" w:rsidRPr="001F224B" w:rsidRDefault="001B1685" w:rsidP="001B1685">
            <w:pPr>
              <w:jc w:val="right"/>
              <w:rPr>
                <w:sz w:val="20"/>
                <w:szCs w:val="20"/>
              </w:rPr>
            </w:pPr>
            <w:r w:rsidRPr="001F224B">
              <w:rPr>
                <w:sz w:val="20"/>
                <w:szCs w:val="20"/>
              </w:rPr>
              <w:t>(10.674)</w:t>
            </w:r>
          </w:p>
        </w:tc>
        <w:tc>
          <w:tcPr>
            <w:tcW w:w="2884" w:type="dxa"/>
            <w:tcBorders>
              <w:top w:val="single" w:sz="4" w:space="0" w:color="auto"/>
              <w:left w:val="nil"/>
              <w:bottom w:val="single" w:sz="4" w:space="0" w:color="auto"/>
              <w:right w:val="single" w:sz="4" w:space="0" w:color="auto"/>
            </w:tcBorders>
            <w:shd w:val="clear" w:color="auto" w:fill="FFFFFF"/>
            <w:vAlign w:val="center"/>
          </w:tcPr>
          <w:p w14:paraId="516590DF" w14:textId="7D6A624E" w:rsidR="001B1685" w:rsidRPr="001F224B" w:rsidRDefault="001B1685" w:rsidP="001B1685">
            <w:pPr>
              <w:jc w:val="right"/>
              <w:rPr>
                <w:sz w:val="20"/>
                <w:szCs w:val="20"/>
              </w:rPr>
            </w:pPr>
            <w:r w:rsidRPr="001F224B">
              <w:rPr>
                <w:sz w:val="20"/>
                <w:szCs w:val="20"/>
              </w:rPr>
              <w:t>(13.638)</w:t>
            </w:r>
          </w:p>
        </w:tc>
      </w:tr>
      <w:tr w:rsidR="001B1685" w:rsidRPr="001F224B" w14:paraId="1F145ACF" w14:textId="77777777" w:rsidTr="003B5A55">
        <w:trPr>
          <w:trHeight w:val="222"/>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FB1A362" w14:textId="77777777" w:rsidR="001B1685" w:rsidRPr="001F224B" w:rsidRDefault="001B1685" w:rsidP="001B1685">
            <w:pPr>
              <w:rPr>
                <w:b/>
                <w:sz w:val="20"/>
                <w:szCs w:val="20"/>
              </w:rPr>
            </w:pPr>
            <w:r w:rsidRPr="001F224B">
              <w:rPr>
                <w:b/>
                <w:sz w:val="20"/>
                <w:szCs w:val="20"/>
              </w:rPr>
              <w:t xml:space="preserve">Toplam </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4CD5AD1C" w14:textId="1A95CCFD" w:rsidR="001B1685" w:rsidRPr="001F224B" w:rsidRDefault="001B1685" w:rsidP="001B1685">
            <w:pPr>
              <w:jc w:val="right"/>
              <w:rPr>
                <w:b/>
                <w:sz w:val="20"/>
                <w:szCs w:val="20"/>
              </w:rPr>
            </w:pPr>
            <w:r w:rsidRPr="001F224B">
              <w:rPr>
                <w:b/>
                <w:bCs/>
                <w:sz w:val="20"/>
                <w:szCs w:val="20"/>
              </w:rPr>
              <w:t>27.881.895</w:t>
            </w:r>
          </w:p>
        </w:tc>
        <w:tc>
          <w:tcPr>
            <w:tcW w:w="2884" w:type="dxa"/>
            <w:tcBorders>
              <w:top w:val="single" w:sz="4" w:space="0" w:color="auto"/>
              <w:left w:val="nil"/>
              <w:bottom w:val="single" w:sz="4" w:space="0" w:color="auto"/>
              <w:right w:val="single" w:sz="4" w:space="0" w:color="auto"/>
            </w:tcBorders>
            <w:shd w:val="clear" w:color="auto" w:fill="FFFFFF"/>
            <w:vAlign w:val="center"/>
          </w:tcPr>
          <w:p w14:paraId="3C5EE217" w14:textId="3B09A543" w:rsidR="001B1685" w:rsidRPr="001F224B" w:rsidRDefault="001B1685" w:rsidP="001B1685">
            <w:pPr>
              <w:jc w:val="right"/>
              <w:rPr>
                <w:b/>
                <w:sz w:val="20"/>
                <w:szCs w:val="20"/>
              </w:rPr>
            </w:pPr>
            <w:r w:rsidRPr="001F224B">
              <w:rPr>
                <w:b/>
                <w:bCs/>
                <w:sz w:val="20"/>
                <w:szCs w:val="20"/>
              </w:rPr>
              <w:t>25.517.503</w:t>
            </w:r>
          </w:p>
        </w:tc>
      </w:tr>
    </w:tbl>
    <w:p w14:paraId="37E62942" w14:textId="77777777" w:rsidR="00907A71" w:rsidRPr="001F224B" w:rsidRDefault="00907A71" w:rsidP="00907A71">
      <w:pPr>
        <w:pStyle w:val="NormalWeb"/>
        <w:tabs>
          <w:tab w:val="left" w:pos="567"/>
        </w:tabs>
        <w:spacing w:before="0" w:beforeAutospacing="0" w:after="120" w:afterAutospacing="0"/>
        <w:jc w:val="both"/>
        <w:rPr>
          <w:rFonts w:ascii="Times New Roman" w:cs="Times New Roman"/>
          <w:b/>
          <w:bCs/>
          <w:sz w:val="22"/>
          <w:szCs w:val="22"/>
          <w:lang w:val="tr-TR"/>
        </w:rPr>
      </w:pPr>
      <w:r w:rsidRPr="001F224B">
        <w:rPr>
          <w:rFonts w:ascii="Times New Roman" w:cs="Times New Roman"/>
          <w:bCs/>
          <w:sz w:val="18"/>
          <w:szCs w:val="16"/>
          <w:vertAlign w:val="superscript"/>
          <w:lang w:val="tr-TR"/>
        </w:rPr>
        <w:t>(*)</w:t>
      </w:r>
      <w:r w:rsidRPr="001F224B">
        <w:rPr>
          <w:rFonts w:ascii="Times New Roman" w:cs="Times New Roman"/>
          <w:bCs/>
          <w:sz w:val="16"/>
          <w:szCs w:val="16"/>
          <w:lang w:val="tr-TR"/>
        </w:rPr>
        <w:t xml:space="preserve">  </w:t>
      </w:r>
      <w:proofErr w:type="spellStart"/>
      <w:r w:rsidRPr="001F224B">
        <w:rPr>
          <w:rFonts w:ascii="Times New Roman" w:cs="Times New Roman"/>
          <w:sz w:val="16"/>
          <w:szCs w:val="16"/>
        </w:rPr>
        <w:t>Borsaya</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kote</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olmakla</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beraber</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ilgili</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dönem</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sonunda</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borsada</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işlem</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görmeyen</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borçlanma</w:t>
      </w:r>
      <w:proofErr w:type="spellEnd"/>
      <w:r w:rsidRPr="001F224B">
        <w:rPr>
          <w:rFonts w:ascii="Times New Roman" w:cs="Times New Roman"/>
          <w:sz w:val="16"/>
          <w:szCs w:val="16"/>
        </w:rPr>
        <w:t xml:space="preserve"> </w:t>
      </w:r>
      <w:proofErr w:type="spellStart"/>
      <w:r w:rsidRPr="001F224B">
        <w:rPr>
          <w:rFonts w:ascii="Times New Roman" w:cs="Times New Roman"/>
          <w:sz w:val="16"/>
          <w:szCs w:val="16"/>
        </w:rPr>
        <w:t>senetlerini</w:t>
      </w:r>
      <w:proofErr w:type="spellEnd"/>
      <w:r w:rsidRPr="001F224B">
        <w:rPr>
          <w:rFonts w:ascii="Times New Roman" w:cs="Times New Roman"/>
          <w:sz w:val="16"/>
          <w:szCs w:val="16"/>
        </w:rPr>
        <w:t xml:space="preserve"> de </w:t>
      </w:r>
      <w:proofErr w:type="spellStart"/>
      <w:r w:rsidRPr="001F224B">
        <w:rPr>
          <w:rFonts w:ascii="Times New Roman" w:cs="Times New Roman"/>
          <w:sz w:val="16"/>
          <w:szCs w:val="16"/>
        </w:rPr>
        <w:t>içermektedir</w:t>
      </w:r>
      <w:proofErr w:type="spellEnd"/>
      <w:r w:rsidRPr="001F224B">
        <w:rPr>
          <w:rFonts w:ascii="Times New Roman" w:cs="Times New Roman"/>
          <w:sz w:val="16"/>
          <w:szCs w:val="16"/>
        </w:rPr>
        <w:t>.</w:t>
      </w:r>
      <w:r w:rsidRPr="001F224B">
        <w:rPr>
          <w:rFonts w:ascii="Times New Roman" w:cs="Times New Roman"/>
          <w:bCs/>
          <w:sz w:val="16"/>
          <w:szCs w:val="16"/>
          <w:lang w:val="tr-TR"/>
        </w:rPr>
        <w:t xml:space="preserve">  </w:t>
      </w:r>
    </w:p>
    <w:p w14:paraId="0BCAD4C1" w14:textId="6EFA80CF" w:rsidR="00BF3A1B" w:rsidRPr="001F224B" w:rsidRDefault="00AE605F" w:rsidP="00BF3A1B">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1.</w:t>
      </w:r>
      <w:r w:rsidR="00E40701" w:rsidRPr="001F224B">
        <w:rPr>
          <w:rFonts w:ascii="Times New Roman" w:cs="Times New Roman"/>
          <w:b/>
          <w:bCs/>
          <w:sz w:val="22"/>
          <w:szCs w:val="22"/>
          <w:lang w:val="tr-TR"/>
        </w:rPr>
        <w:t>4</w:t>
      </w:r>
      <w:r w:rsidRPr="001F224B">
        <w:rPr>
          <w:rFonts w:ascii="Times New Roman" w:cs="Times New Roman"/>
          <w:b/>
          <w:bCs/>
          <w:sz w:val="22"/>
          <w:szCs w:val="22"/>
          <w:lang w:val="tr-TR"/>
        </w:rPr>
        <w:t>.</w:t>
      </w:r>
      <w:r w:rsidR="00BC5B7E" w:rsidRPr="001F224B">
        <w:rPr>
          <w:rFonts w:ascii="Times New Roman" w:cs="Times New Roman"/>
          <w:b/>
          <w:bCs/>
          <w:sz w:val="22"/>
          <w:szCs w:val="22"/>
          <w:lang w:val="tr-TR"/>
        </w:rPr>
        <w:tab/>
      </w:r>
      <w:r w:rsidRPr="001F224B">
        <w:rPr>
          <w:rFonts w:ascii="Times New Roman" w:cs="Times New Roman"/>
          <w:b/>
          <w:bCs/>
          <w:sz w:val="22"/>
          <w:szCs w:val="22"/>
          <w:lang w:val="tr-TR"/>
        </w:rPr>
        <w:t>Türev finansal varlıklara ilişkin bilgiler:</w:t>
      </w:r>
    </w:p>
    <w:tbl>
      <w:tblPr>
        <w:tblW w:w="9771" w:type="dxa"/>
        <w:tblInd w:w="37" w:type="dxa"/>
        <w:tblLayout w:type="fixed"/>
        <w:tblCellMar>
          <w:left w:w="70" w:type="dxa"/>
          <w:right w:w="70" w:type="dxa"/>
        </w:tblCellMar>
        <w:tblLook w:val="00A0" w:firstRow="1" w:lastRow="0" w:firstColumn="1" w:lastColumn="0" w:noHBand="0" w:noVBand="0"/>
      </w:tblPr>
      <w:tblGrid>
        <w:gridCol w:w="4074"/>
        <w:gridCol w:w="1417"/>
        <w:gridCol w:w="1396"/>
        <w:gridCol w:w="1419"/>
        <w:gridCol w:w="1465"/>
      </w:tblGrid>
      <w:tr w:rsidR="00EC5F04" w:rsidRPr="001F224B" w14:paraId="16B90B82" w14:textId="77777777" w:rsidTr="00AE60E1">
        <w:trPr>
          <w:trHeight w:val="255"/>
        </w:trPr>
        <w:tc>
          <w:tcPr>
            <w:tcW w:w="4074" w:type="dxa"/>
            <w:tcBorders>
              <w:top w:val="single" w:sz="4" w:space="0" w:color="auto"/>
              <w:left w:val="single" w:sz="4" w:space="0" w:color="auto"/>
              <w:right w:val="single" w:sz="4" w:space="0" w:color="auto"/>
            </w:tcBorders>
            <w:shd w:val="clear" w:color="000000" w:fill="FFFFFF"/>
          </w:tcPr>
          <w:p w14:paraId="7F50ABD4" w14:textId="77777777" w:rsidR="00EC5F04" w:rsidRPr="001F224B" w:rsidRDefault="00EC5F04" w:rsidP="00997D05">
            <w:pPr>
              <w:rPr>
                <w:sz w:val="20"/>
                <w:szCs w:val="20"/>
              </w:rPr>
            </w:pPr>
            <w:r w:rsidRPr="001F224B">
              <w:rPr>
                <w:sz w:val="20"/>
                <w:szCs w:val="20"/>
              </w:rPr>
              <w:t> </w:t>
            </w:r>
          </w:p>
        </w:tc>
        <w:tc>
          <w:tcPr>
            <w:tcW w:w="2813" w:type="dxa"/>
            <w:gridSpan w:val="2"/>
            <w:tcBorders>
              <w:top w:val="single" w:sz="4" w:space="0" w:color="auto"/>
              <w:left w:val="nil"/>
              <w:bottom w:val="single" w:sz="4" w:space="0" w:color="auto"/>
              <w:right w:val="single" w:sz="4" w:space="0" w:color="auto"/>
            </w:tcBorders>
            <w:shd w:val="clear" w:color="000000" w:fill="FFFFFF"/>
            <w:vAlign w:val="bottom"/>
          </w:tcPr>
          <w:p w14:paraId="0F7AAEA1" w14:textId="77777777" w:rsidR="001B1379" w:rsidRPr="001F224B" w:rsidRDefault="001B1379" w:rsidP="001B1379">
            <w:pPr>
              <w:jc w:val="center"/>
              <w:rPr>
                <w:b/>
                <w:bCs/>
                <w:sz w:val="20"/>
                <w:szCs w:val="20"/>
              </w:rPr>
            </w:pPr>
            <w:r w:rsidRPr="001F224B">
              <w:rPr>
                <w:b/>
                <w:bCs/>
                <w:sz w:val="20"/>
                <w:szCs w:val="20"/>
              </w:rPr>
              <w:t xml:space="preserve">Cari Dönem </w:t>
            </w:r>
          </w:p>
          <w:p w14:paraId="37D5F968" w14:textId="4F29326A" w:rsidR="00EC5F04" w:rsidRPr="001F224B" w:rsidRDefault="001B1379" w:rsidP="001B1379">
            <w:pPr>
              <w:jc w:val="center"/>
              <w:rPr>
                <w:b/>
                <w:bCs/>
                <w:sz w:val="20"/>
                <w:szCs w:val="20"/>
              </w:rPr>
            </w:pPr>
            <w:r w:rsidRPr="001F224B">
              <w:rPr>
                <w:b/>
                <w:bCs/>
                <w:sz w:val="20"/>
                <w:szCs w:val="20"/>
              </w:rPr>
              <w:t>(3</w:t>
            </w:r>
            <w:r w:rsidR="004E7314" w:rsidRPr="001F224B">
              <w:rPr>
                <w:b/>
                <w:bCs/>
                <w:sz w:val="20"/>
                <w:szCs w:val="20"/>
              </w:rPr>
              <w:t>0</w:t>
            </w:r>
            <w:r w:rsidRPr="001F224B">
              <w:rPr>
                <w:b/>
                <w:bCs/>
                <w:sz w:val="20"/>
                <w:szCs w:val="20"/>
              </w:rPr>
              <w:t>.</w:t>
            </w:r>
            <w:r w:rsidR="00262041" w:rsidRPr="001F224B">
              <w:rPr>
                <w:b/>
                <w:bCs/>
                <w:sz w:val="20"/>
                <w:szCs w:val="20"/>
              </w:rPr>
              <w:t>0</w:t>
            </w:r>
            <w:r w:rsidR="004E7314" w:rsidRPr="001F224B">
              <w:rPr>
                <w:b/>
                <w:bCs/>
                <w:sz w:val="20"/>
                <w:szCs w:val="20"/>
              </w:rPr>
              <w:t>6</w:t>
            </w:r>
            <w:r w:rsidRPr="001F224B">
              <w:rPr>
                <w:b/>
                <w:bCs/>
                <w:sz w:val="20"/>
                <w:szCs w:val="20"/>
              </w:rPr>
              <w:t>.202</w:t>
            </w:r>
            <w:r w:rsidR="00262041" w:rsidRPr="001F224B">
              <w:rPr>
                <w:b/>
                <w:bCs/>
                <w:sz w:val="20"/>
                <w:szCs w:val="20"/>
              </w:rPr>
              <w:t>5</w:t>
            </w:r>
            <w:r w:rsidRPr="001F224B">
              <w:rPr>
                <w:b/>
                <w:bCs/>
                <w:sz w:val="20"/>
                <w:szCs w:val="20"/>
              </w:rPr>
              <w:t>)</w:t>
            </w:r>
          </w:p>
        </w:tc>
        <w:tc>
          <w:tcPr>
            <w:tcW w:w="2884" w:type="dxa"/>
            <w:gridSpan w:val="2"/>
            <w:tcBorders>
              <w:top w:val="single" w:sz="4" w:space="0" w:color="auto"/>
              <w:left w:val="nil"/>
              <w:bottom w:val="single" w:sz="4" w:space="0" w:color="auto"/>
              <w:right w:val="single" w:sz="4" w:space="0" w:color="auto"/>
            </w:tcBorders>
            <w:shd w:val="clear" w:color="000000" w:fill="FFFFFF"/>
            <w:vAlign w:val="bottom"/>
          </w:tcPr>
          <w:p w14:paraId="26CDDBDB" w14:textId="77777777" w:rsidR="00EC5F04" w:rsidRPr="001F224B" w:rsidRDefault="00EC5F04" w:rsidP="00997D05">
            <w:pPr>
              <w:jc w:val="center"/>
              <w:rPr>
                <w:b/>
                <w:bCs/>
                <w:sz w:val="20"/>
                <w:szCs w:val="20"/>
              </w:rPr>
            </w:pPr>
            <w:r w:rsidRPr="001F224B">
              <w:rPr>
                <w:b/>
                <w:bCs/>
                <w:sz w:val="20"/>
                <w:szCs w:val="20"/>
              </w:rPr>
              <w:t xml:space="preserve">Önceki Dönem </w:t>
            </w:r>
          </w:p>
          <w:p w14:paraId="42782891" w14:textId="33BE7EA1" w:rsidR="00EC5F04" w:rsidRPr="001F224B" w:rsidRDefault="00EC5F04" w:rsidP="00997D05">
            <w:pPr>
              <w:jc w:val="center"/>
              <w:rPr>
                <w:b/>
                <w:bCs/>
                <w:sz w:val="20"/>
                <w:szCs w:val="20"/>
              </w:rPr>
            </w:pPr>
            <w:r w:rsidRPr="001F224B">
              <w:rPr>
                <w:b/>
                <w:bCs/>
                <w:sz w:val="20"/>
                <w:szCs w:val="20"/>
              </w:rPr>
              <w:t xml:space="preserve"> (</w:t>
            </w:r>
            <w:r w:rsidR="002C31AA" w:rsidRPr="001F224B">
              <w:rPr>
                <w:b/>
                <w:bCs/>
                <w:sz w:val="20"/>
                <w:szCs w:val="20"/>
              </w:rPr>
              <w:t>31.</w:t>
            </w:r>
            <w:r w:rsidR="00470CE8" w:rsidRPr="001F224B">
              <w:rPr>
                <w:b/>
                <w:bCs/>
                <w:sz w:val="20"/>
                <w:szCs w:val="20"/>
              </w:rPr>
              <w:t>12</w:t>
            </w:r>
            <w:r w:rsidR="002C31AA" w:rsidRPr="001F224B">
              <w:rPr>
                <w:b/>
                <w:bCs/>
                <w:sz w:val="20"/>
                <w:szCs w:val="20"/>
              </w:rPr>
              <w:t>.202</w:t>
            </w:r>
            <w:r w:rsidR="00262041" w:rsidRPr="001F224B">
              <w:rPr>
                <w:b/>
                <w:bCs/>
                <w:sz w:val="20"/>
                <w:szCs w:val="20"/>
              </w:rPr>
              <w:t>4</w:t>
            </w:r>
            <w:r w:rsidRPr="001F224B">
              <w:rPr>
                <w:b/>
                <w:bCs/>
                <w:sz w:val="20"/>
                <w:szCs w:val="20"/>
              </w:rPr>
              <w:t>)</w:t>
            </w:r>
          </w:p>
        </w:tc>
      </w:tr>
      <w:tr w:rsidR="00EC5F04" w:rsidRPr="001F224B" w14:paraId="283FAE27" w14:textId="77777777" w:rsidTr="00AE60E1">
        <w:trPr>
          <w:trHeight w:val="370"/>
        </w:trPr>
        <w:tc>
          <w:tcPr>
            <w:tcW w:w="4074" w:type="dxa"/>
            <w:tcBorders>
              <w:top w:val="nil"/>
              <w:left w:val="single" w:sz="4" w:space="0" w:color="auto"/>
              <w:bottom w:val="single" w:sz="4" w:space="0" w:color="auto"/>
              <w:right w:val="single" w:sz="4" w:space="0" w:color="auto"/>
            </w:tcBorders>
            <w:shd w:val="clear" w:color="000000" w:fill="FFFFFF"/>
          </w:tcPr>
          <w:p w14:paraId="53FB42FB" w14:textId="77777777" w:rsidR="00EC5F04" w:rsidRPr="001F224B" w:rsidRDefault="00EC5F04" w:rsidP="00997D05">
            <w:pPr>
              <w:rPr>
                <w:sz w:val="20"/>
                <w:szCs w:val="20"/>
              </w:rPr>
            </w:pPr>
            <w:r w:rsidRPr="001F224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69457F55" w14:textId="77777777" w:rsidR="00EC5F04" w:rsidRPr="001F224B" w:rsidRDefault="00EC5F04" w:rsidP="00997D05">
            <w:pPr>
              <w:jc w:val="center"/>
              <w:rPr>
                <w:b/>
                <w:bCs/>
                <w:sz w:val="20"/>
                <w:szCs w:val="20"/>
              </w:rPr>
            </w:pPr>
            <w:r w:rsidRPr="001F224B">
              <w:rPr>
                <w:b/>
                <w:bCs/>
                <w:sz w:val="20"/>
                <w:szCs w:val="20"/>
              </w:rPr>
              <w:t>TP</w:t>
            </w:r>
          </w:p>
        </w:tc>
        <w:tc>
          <w:tcPr>
            <w:tcW w:w="1396" w:type="dxa"/>
            <w:tcBorders>
              <w:top w:val="nil"/>
              <w:left w:val="nil"/>
              <w:bottom w:val="single" w:sz="4" w:space="0" w:color="auto"/>
              <w:right w:val="single" w:sz="4" w:space="0" w:color="auto"/>
            </w:tcBorders>
            <w:shd w:val="clear" w:color="000000" w:fill="FFFFFF"/>
            <w:vAlign w:val="bottom"/>
          </w:tcPr>
          <w:p w14:paraId="2A32CC27" w14:textId="77777777" w:rsidR="00EC5F04" w:rsidRPr="001F224B" w:rsidRDefault="00EC5F04" w:rsidP="00997D05">
            <w:pPr>
              <w:jc w:val="center"/>
              <w:rPr>
                <w:b/>
                <w:bCs/>
                <w:sz w:val="20"/>
                <w:szCs w:val="20"/>
              </w:rPr>
            </w:pPr>
            <w:r w:rsidRPr="001F224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79CEB9B3" w14:textId="77777777" w:rsidR="00EC5F04" w:rsidRPr="001F224B" w:rsidRDefault="00EC5F04" w:rsidP="00997D05">
            <w:pPr>
              <w:jc w:val="center"/>
              <w:rPr>
                <w:b/>
                <w:bCs/>
                <w:sz w:val="20"/>
                <w:szCs w:val="20"/>
              </w:rPr>
            </w:pPr>
            <w:r w:rsidRPr="001F224B">
              <w:rPr>
                <w:b/>
                <w:bCs/>
                <w:sz w:val="20"/>
                <w:szCs w:val="20"/>
              </w:rPr>
              <w:t>TP</w:t>
            </w:r>
          </w:p>
        </w:tc>
        <w:tc>
          <w:tcPr>
            <w:tcW w:w="1465" w:type="dxa"/>
            <w:tcBorders>
              <w:top w:val="nil"/>
              <w:left w:val="nil"/>
              <w:bottom w:val="single" w:sz="4" w:space="0" w:color="auto"/>
              <w:right w:val="single" w:sz="4" w:space="0" w:color="auto"/>
            </w:tcBorders>
            <w:shd w:val="clear" w:color="000000" w:fill="FFFFFF"/>
            <w:vAlign w:val="bottom"/>
          </w:tcPr>
          <w:p w14:paraId="0AB6F773" w14:textId="77777777" w:rsidR="00EC5F04" w:rsidRPr="001F224B" w:rsidRDefault="00EC5F04" w:rsidP="00997D05">
            <w:pPr>
              <w:jc w:val="center"/>
              <w:rPr>
                <w:b/>
                <w:bCs/>
                <w:sz w:val="20"/>
                <w:szCs w:val="20"/>
              </w:rPr>
            </w:pPr>
            <w:r w:rsidRPr="001F224B">
              <w:rPr>
                <w:b/>
                <w:bCs/>
                <w:sz w:val="20"/>
                <w:szCs w:val="20"/>
              </w:rPr>
              <w:t>YP</w:t>
            </w:r>
          </w:p>
        </w:tc>
      </w:tr>
      <w:tr w:rsidR="00262041" w:rsidRPr="001F224B" w14:paraId="145B80C7" w14:textId="77777777" w:rsidTr="00AE60E1">
        <w:trPr>
          <w:trHeight w:val="255"/>
        </w:trPr>
        <w:tc>
          <w:tcPr>
            <w:tcW w:w="4074" w:type="dxa"/>
            <w:tcBorders>
              <w:top w:val="nil"/>
              <w:left w:val="single" w:sz="4" w:space="0" w:color="auto"/>
              <w:bottom w:val="nil"/>
              <w:right w:val="single" w:sz="4" w:space="0" w:color="auto"/>
            </w:tcBorders>
            <w:shd w:val="clear" w:color="000000" w:fill="FFFFFF"/>
            <w:vAlign w:val="bottom"/>
          </w:tcPr>
          <w:p w14:paraId="2E08CA90" w14:textId="77777777" w:rsidR="00262041" w:rsidRPr="001F224B" w:rsidRDefault="00262041" w:rsidP="00262041">
            <w:pPr>
              <w:ind w:firstLineChars="200" w:firstLine="400"/>
              <w:rPr>
                <w:sz w:val="20"/>
                <w:szCs w:val="20"/>
              </w:rPr>
            </w:pPr>
            <w:r w:rsidRPr="001F224B">
              <w:rPr>
                <w:sz w:val="20"/>
                <w:szCs w:val="20"/>
              </w:rPr>
              <w:t xml:space="preserve">Vadeli İşlemler </w:t>
            </w:r>
          </w:p>
        </w:tc>
        <w:tc>
          <w:tcPr>
            <w:tcW w:w="1417" w:type="dxa"/>
            <w:tcBorders>
              <w:top w:val="single" w:sz="4" w:space="0" w:color="auto"/>
              <w:bottom w:val="single" w:sz="4" w:space="0" w:color="auto"/>
              <w:right w:val="single" w:sz="4" w:space="0" w:color="auto"/>
            </w:tcBorders>
            <w:vAlign w:val="bottom"/>
          </w:tcPr>
          <w:p w14:paraId="224FB93A" w14:textId="48753D7E" w:rsidR="00262041" w:rsidRPr="001F224B" w:rsidRDefault="00262041" w:rsidP="00262041">
            <w:pPr>
              <w:jc w:val="right"/>
              <w:rPr>
                <w:sz w:val="20"/>
                <w:szCs w:val="20"/>
              </w:rPr>
            </w:pPr>
            <w:r w:rsidRPr="001F224B">
              <w:rPr>
                <w:sz w:val="20"/>
              </w:rPr>
              <w:t>-</w:t>
            </w:r>
          </w:p>
        </w:tc>
        <w:tc>
          <w:tcPr>
            <w:tcW w:w="1396" w:type="dxa"/>
            <w:tcBorders>
              <w:top w:val="single" w:sz="4" w:space="0" w:color="auto"/>
              <w:left w:val="single" w:sz="4" w:space="0" w:color="auto"/>
              <w:bottom w:val="single" w:sz="4" w:space="0" w:color="auto"/>
              <w:right w:val="single" w:sz="4" w:space="0" w:color="auto"/>
            </w:tcBorders>
            <w:vAlign w:val="bottom"/>
          </w:tcPr>
          <w:p w14:paraId="6781A169" w14:textId="1EE25F76" w:rsidR="00262041" w:rsidRPr="001F224B" w:rsidRDefault="00262041" w:rsidP="00262041">
            <w:pPr>
              <w:jc w:val="right"/>
              <w:rPr>
                <w:sz w:val="20"/>
                <w:szCs w:val="20"/>
              </w:rPr>
            </w:pPr>
            <w:r w:rsidRPr="001F224B">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731A33F3" w14:textId="6FEE7CE6" w:rsidR="00262041" w:rsidRPr="001F224B" w:rsidRDefault="00262041" w:rsidP="00262041">
            <w:pPr>
              <w:jc w:val="right"/>
              <w:rPr>
                <w:sz w:val="20"/>
                <w:szCs w:val="20"/>
              </w:rPr>
            </w:pPr>
            <w:r w:rsidRPr="001F224B">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4F47E651" w14:textId="02D87662" w:rsidR="00262041" w:rsidRPr="001F224B" w:rsidRDefault="00262041" w:rsidP="00262041">
            <w:pPr>
              <w:jc w:val="right"/>
              <w:rPr>
                <w:sz w:val="20"/>
                <w:szCs w:val="20"/>
              </w:rPr>
            </w:pPr>
            <w:r w:rsidRPr="001F224B">
              <w:rPr>
                <w:sz w:val="20"/>
              </w:rPr>
              <w:t>-</w:t>
            </w:r>
          </w:p>
        </w:tc>
      </w:tr>
      <w:tr w:rsidR="001B1685" w:rsidRPr="001F224B" w14:paraId="44E8AC22"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1568137C" w14:textId="77777777" w:rsidR="001B1685" w:rsidRPr="001F224B" w:rsidRDefault="001B1685" w:rsidP="001B1685">
            <w:pPr>
              <w:ind w:firstLineChars="200" w:firstLine="400"/>
              <w:rPr>
                <w:sz w:val="20"/>
                <w:szCs w:val="20"/>
              </w:rPr>
            </w:pPr>
            <w:r w:rsidRPr="001F224B">
              <w:rPr>
                <w:sz w:val="20"/>
                <w:szCs w:val="20"/>
              </w:rPr>
              <w:t>Swap İşlemleri</w:t>
            </w:r>
          </w:p>
        </w:tc>
        <w:tc>
          <w:tcPr>
            <w:tcW w:w="1417" w:type="dxa"/>
            <w:tcBorders>
              <w:top w:val="single" w:sz="4" w:space="0" w:color="auto"/>
              <w:bottom w:val="single" w:sz="4" w:space="0" w:color="auto"/>
              <w:right w:val="single" w:sz="4" w:space="0" w:color="auto"/>
            </w:tcBorders>
            <w:vAlign w:val="bottom"/>
          </w:tcPr>
          <w:p w14:paraId="54C03092" w14:textId="0714A2FA" w:rsidR="001B1685" w:rsidRPr="001F224B" w:rsidRDefault="001B1685" w:rsidP="001B1685">
            <w:pPr>
              <w:jc w:val="right"/>
              <w:rPr>
                <w:sz w:val="20"/>
              </w:rPr>
            </w:pPr>
            <w:r w:rsidRPr="001F224B">
              <w:rPr>
                <w:sz w:val="20"/>
                <w:szCs w:val="20"/>
              </w:rPr>
              <w:t>64.069</w:t>
            </w:r>
          </w:p>
        </w:tc>
        <w:tc>
          <w:tcPr>
            <w:tcW w:w="1396" w:type="dxa"/>
            <w:tcBorders>
              <w:top w:val="single" w:sz="4" w:space="0" w:color="auto"/>
              <w:left w:val="single" w:sz="4" w:space="0" w:color="auto"/>
              <w:bottom w:val="single" w:sz="4" w:space="0" w:color="auto"/>
            </w:tcBorders>
            <w:vAlign w:val="bottom"/>
          </w:tcPr>
          <w:p w14:paraId="6C14378A" w14:textId="1618B7C5" w:rsidR="001B1685" w:rsidRPr="001F224B" w:rsidRDefault="001B1685" w:rsidP="001B1685">
            <w:pPr>
              <w:jc w:val="right"/>
              <w:rPr>
                <w:sz w:val="20"/>
              </w:rPr>
            </w:pPr>
            <w:r w:rsidRPr="001F224B">
              <w:rPr>
                <w:sz w:val="20"/>
                <w:szCs w:val="20"/>
              </w:rPr>
              <w:t>9.140</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5EA3958D" w14:textId="7D288EE1" w:rsidR="001B1685" w:rsidRPr="001F224B" w:rsidRDefault="001B1685" w:rsidP="001B1685">
            <w:pPr>
              <w:jc w:val="right"/>
              <w:rPr>
                <w:b/>
                <w:sz w:val="20"/>
                <w:szCs w:val="20"/>
              </w:rPr>
            </w:pPr>
            <w:r w:rsidRPr="001F224B">
              <w:rPr>
                <w:sz w:val="20"/>
                <w:szCs w:val="20"/>
              </w:rPr>
              <w:t>144.142</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44AD3C22" w14:textId="1ABEA2D2" w:rsidR="001B1685" w:rsidRPr="001F224B" w:rsidRDefault="001B1685" w:rsidP="001B1685">
            <w:pPr>
              <w:jc w:val="right"/>
              <w:rPr>
                <w:b/>
                <w:sz w:val="20"/>
                <w:szCs w:val="20"/>
              </w:rPr>
            </w:pPr>
            <w:r w:rsidRPr="001F224B">
              <w:rPr>
                <w:sz w:val="20"/>
              </w:rPr>
              <w:t>-</w:t>
            </w:r>
          </w:p>
        </w:tc>
      </w:tr>
      <w:tr w:rsidR="001B1685" w:rsidRPr="001F224B" w14:paraId="7E07458B"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D206EA4" w14:textId="77777777" w:rsidR="001B1685" w:rsidRPr="001F224B" w:rsidRDefault="001B1685" w:rsidP="001B1685">
            <w:pPr>
              <w:ind w:firstLineChars="200" w:firstLine="400"/>
              <w:rPr>
                <w:sz w:val="20"/>
                <w:szCs w:val="20"/>
              </w:rPr>
            </w:pPr>
            <w:r w:rsidRPr="001F224B">
              <w:rPr>
                <w:sz w:val="20"/>
                <w:szCs w:val="20"/>
              </w:rPr>
              <w:t>Futures İşlemleri</w:t>
            </w:r>
          </w:p>
        </w:tc>
        <w:tc>
          <w:tcPr>
            <w:tcW w:w="1417" w:type="dxa"/>
            <w:tcBorders>
              <w:top w:val="single" w:sz="4" w:space="0" w:color="auto"/>
              <w:bottom w:val="single" w:sz="4" w:space="0" w:color="auto"/>
              <w:right w:val="single" w:sz="4" w:space="0" w:color="auto"/>
            </w:tcBorders>
            <w:vAlign w:val="bottom"/>
          </w:tcPr>
          <w:p w14:paraId="50415EB2" w14:textId="5F7A9A60" w:rsidR="001B1685" w:rsidRPr="001F224B" w:rsidRDefault="001B1685" w:rsidP="001B1685">
            <w:pPr>
              <w:jc w:val="right"/>
              <w:rPr>
                <w:sz w:val="20"/>
              </w:rPr>
            </w:pPr>
            <w:r w:rsidRPr="001F224B">
              <w:rPr>
                <w:sz w:val="20"/>
              </w:rPr>
              <w:t>-</w:t>
            </w:r>
          </w:p>
        </w:tc>
        <w:tc>
          <w:tcPr>
            <w:tcW w:w="1396" w:type="dxa"/>
            <w:tcBorders>
              <w:top w:val="single" w:sz="4" w:space="0" w:color="auto"/>
              <w:left w:val="single" w:sz="4" w:space="0" w:color="auto"/>
              <w:bottom w:val="single" w:sz="4" w:space="0" w:color="auto"/>
            </w:tcBorders>
            <w:vAlign w:val="bottom"/>
          </w:tcPr>
          <w:p w14:paraId="76DAB9B0" w14:textId="5F6B79D7" w:rsidR="001B1685" w:rsidRPr="001F224B" w:rsidRDefault="001B1685" w:rsidP="001B1685">
            <w:pPr>
              <w:jc w:val="right"/>
              <w:rPr>
                <w:sz w:val="20"/>
              </w:rPr>
            </w:pPr>
            <w:r w:rsidRPr="001F224B">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0128BC6" w14:textId="0F1E299D" w:rsidR="001B1685" w:rsidRPr="001F224B" w:rsidRDefault="001B1685" w:rsidP="001B1685">
            <w:pPr>
              <w:jc w:val="right"/>
              <w:rPr>
                <w:b/>
                <w:sz w:val="20"/>
                <w:szCs w:val="20"/>
              </w:rPr>
            </w:pPr>
            <w:r w:rsidRPr="001F224B">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22890811" w14:textId="25E18ABA" w:rsidR="001B1685" w:rsidRPr="001F224B" w:rsidRDefault="001B1685" w:rsidP="001B1685">
            <w:pPr>
              <w:jc w:val="right"/>
              <w:rPr>
                <w:b/>
                <w:sz w:val="20"/>
                <w:szCs w:val="20"/>
              </w:rPr>
            </w:pPr>
            <w:r w:rsidRPr="001F224B">
              <w:rPr>
                <w:sz w:val="20"/>
              </w:rPr>
              <w:t>-</w:t>
            </w:r>
          </w:p>
        </w:tc>
      </w:tr>
      <w:tr w:rsidR="001B1685" w:rsidRPr="001F224B" w14:paraId="57C53CC1"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7803EFBC" w14:textId="77777777" w:rsidR="001B1685" w:rsidRPr="001F224B" w:rsidRDefault="001B1685" w:rsidP="001B1685">
            <w:pPr>
              <w:ind w:firstLineChars="200" w:firstLine="400"/>
              <w:rPr>
                <w:sz w:val="20"/>
                <w:szCs w:val="20"/>
              </w:rPr>
            </w:pPr>
            <w:r w:rsidRPr="001F224B">
              <w:rPr>
                <w:sz w:val="20"/>
                <w:szCs w:val="20"/>
              </w:rPr>
              <w:t>Opsiyonlar</w:t>
            </w:r>
          </w:p>
        </w:tc>
        <w:tc>
          <w:tcPr>
            <w:tcW w:w="1417" w:type="dxa"/>
            <w:tcBorders>
              <w:top w:val="single" w:sz="4" w:space="0" w:color="auto"/>
              <w:bottom w:val="single" w:sz="4" w:space="0" w:color="auto"/>
              <w:right w:val="single" w:sz="4" w:space="0" w:color="auto"/>
            </w:tcBorders>
            <w:vAlign w:val="bottom"/>
          </w:tcPr>
          <w:p w14:paraId="4A110472" w14:textId="39EF13FF" w:rsidR="001B1685" w:rsidRPr="001F224B" w:rsidRDefault="001B1685" w:rsidP="001B1685">
            <w:pPr>
              <w:jc w:val="right"/>
              <w:rPr>
                <w:sz w:val="20"/>
              </w:rPr>
            </w:pPr>
            <w:r w:rsidRPr="001F224B">
              <w:rPr>
                <w:sz w:val="20"/>
              </w:rPr>
              <w:t>-</w:t>
            </w:r>
          </w:p>
        </w:tc>
        <w:tc>
          <w:tcPr>
            <w:tcW w:w="1396" w:type="dxa"/>
            <w:tcBorders>
              <w:top w:val="single" w:sz="4" w:space="0" w:color="auto"/>
              <w:left w:val="single" w:sz="4" w:space="0" w:color="auto"/>
              <w:bottom w:val="single" w:sz="4" w:space="0" w:color="auto"/>
            </w:tcBorders>
            <w:vAlign w:val="bottom"/>
          </w:tcPr>
          <w:p w14:paraId="09E45AB7" w14:textId="38A9B8F2" w:rsidR="001B1685" w:rsidRPr="001F224B" w:rsidRDefault="001B1685" w:rsidP="001B1685">
            <w:pPr>
              <w:jc w:val="right"/>
              <w:rPr>
                <w:sz w:val="20"/>
              </w:rPr>
            </w:pPr>
            <w:r w:rsidRPr="001F224B">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878D508" w14:textId="119C58FB" w:rsidR="001B1685" w:rsidRPr="001F224B" w:rsidRDefault="001B1685" w:rsidP="001B1685">
            <w:pPr>
              <w:jc w:val="right"/>
              <w:rPr>
                <w:b/>
                <w:sz w:val="20"/>
                <w:szCs w:val="20"/>
              </w:rPr>
            </w:pPr>
            <w:r w:rsidRPr="001F224B">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6E91505F" w14:textId="39F38CB9" w:rsidR="001B1685" w:rsidRPr="001F224B" w:rsidRDefault="001B1685" w:rsidP="001B1685">
            <w:pPr>
              <w:jc w:val="right"/>
              <w:rPr>
                <w:b/>
                <w:sz w:val="20"/>
                <w:szCs w:val="20"/>
              </w:rPr>
            </w:pPr>
            <w:r w:rsidRPr="001F224B">
              <w:rPr>
                <w:sz w:val="20"/>
              </w:rPr>
              <w:t>-</w:t>
            </w:r>
          </w:p>
        </w:tc>
      </w:tr>
      <w:tr w:rsidR="001B1685" w:rsidRPr="001F224B" w14:paraId="524E44EC"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44B895D9" w14:textId="77777777" w:rsidR="001B1685" w:rsidRPr="001F224B" w:rsidRDefault="001B1685" w:rsidP="001B1685">
            <w:pPr>
              <w:ind w:firstLineChars="200" w:firstLine="400"/>
              <w:rPr>
                <w:sz w:val="20"/>
                <w:szCs w:val="20"/>
              </w:rPr>
            </w:pPr>
            <w:r w:rsidRPr="001F224B">
              <w:rPr>
                <w:sz w:val="20"/>
                <w:szCs w:val="20"/>
              </w:rPr>
              <w:t>Diğer</w:t>
            </w:r>
          </w:p>
        </w:tc>
        <w:tc>
          <w:tcPr>
            <w:tcW w:w="1417" w:type="dxa"/>
            <w:tcBorders>
              <w:top w:val="single" w:sz="4" w:space="0" w:color="auto"/>
              <w:bottom w:val="single" w:sz="4" w:space="0" w:color="auto"/>
              <w:right w:val="single" w:sz="4" w:space="0" w:color="auto"/>
            </w:tcBorders>
            <w:vAlign w:val="bottom"/>
          </w:tcPr>
          <w:p w14:paraId="78598896" w14:textId="578E489D" w:rsidR="001B1685" w:rsidRPr="001F224B" w:rsidRDefault="001B1685" w:rsidP="001B1685">
            <w:pPr>
              <w:jc w:val="right"/>
              <w:rPr>
                <w:sz w:val="20"/>
              </w:rPr>
            </w:pPr>
            <w:r w:rsidRPr="001F224B">
              <w:rPr>
                <w:sz w:val="20"/>
              </w:rPr>
              <w:t>-</w:t>
            </w:r>
          </w:p>
        </w:tc>
        <w:tc>
          <w:tcPr>
            <w:tcW w:w="1396" w:type="dxa"/>
            <w:tcBorders>
              <w:top w:val="single" w:sz="4" w:space="0" w:color="auto"/>
              <w:left w:val="single" w:sz="4" w:space="0" w:color="auto"/>
              <w:bottom w:val="single" w:sz="4" w:space="0" w:color="auto"/>
            </w:tcBorders>
            <w:vAlign w:val="bottom"/>
          </w:tcPr>
          <w:p w14:paraId="1DD9CBC5" w14:textId="606400F5" w:rsidR="001B1685" w:rsidRPr="001F224B" w:rsidRDefault="001B1685" w:rsidP="001B1685">
            <w:pPr>
              <w:jc w:val="right"/>
              <w:rPr>
                <w:sz w:val="20"/>
              </w:rPr>
            </w:pPr>
            <w:r w:rsidRPr="001F224B">
              <w:rPr>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76AFFFC" w14:textId="5E6D9CE6" w:rsidR="001B1685" w:rsidRPr="001F224B" w:rsidRDefault="001B1685" w:rsidP="001B1685">
            <w:pPr>
              <w:jc w:val="right"/>
              <w:rPr>
                <w:b/>
                <w:sz w:val="20"/>
                <w:szCs w:val="20"/>
              </w:rPr>
            </w:pPr>
            <w:r w:rsidRPr="001F224B">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6EEB41F5" w14:textId="425B03B6" w:rsidR="001B1685" w:rsidRPr="001F224B" w:rsidRDefault="001B1685" w:rsidP="001B1685">
            <w:pPr>
              <w:jc w:val="right"/>
              <w:rPr>
                <w:b/>
                <w:sz w:val="20"/>
                <w:szCs w:val="20"/>
              </w:rPr>
            </w:pPr>
            <w:r w:rsidRPr="001F224B">
              <w:rPr>
                <w:sz w:val="20"/>
                <w:szCs w:val="20"/>
              </w:rPr>
              <w:t>-</w:t>
            </w:r>
          </w:p>
        </w:tc>
      </w:tr>
      <w:tr w:rsidR="001B1685" w:rsidRPr="001F224B" w14:paraId="094A74D2"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1FB6E163" w14:textId="77777777" w:rsidR="001B1685" w:rsidRPr="001F224B" w:rsidRDefault="001B1685" w:rsidP="001B1685">
            <w:pPr>
              <w:rPr>
                <w:b/>
                <w:sz w:val="20"/>
                <w:szCs w:val="20"/>
              </w:rPr>
            </w:pPr>
            <w:r w:rsidRPr="001F224B">
              <w:rPr>
                <w:b/>
                <w:sz w:val="20"/>
                <w:szCs w:val="20"/>
              </w:rPr>
              <w:t>Toplam</w:t>
            </w:r>
          </w:p>
        </w:tc>
        <w:tc>
          <w:tcPr>
            <w:tcW w:w="1417" w:type="dxa"/>
            <w:tcBorders>
              <w:top w:val="single" w:sz="4" w:space="0" w:color="auto"/>
              <w:bottom w:val="single" w:sz="4" w:space="0" w:color="auto"/>
              <w:right w:val="single" w:sz="4" w:space="0" w:color="auto"/>
            </w:tcBorders>
            <w:vAlign w:val="bottom"/>
          </w:tcPr>
          <w:p w14:paraId="45F149AA" w14:textId="5D9357CA" w:rsidR="001B1685" w:rsidRPr="001F224B" w:rsidRDefault="001B1685" w:rsidP="001B1685">
            <w:pPr>
              <w:jc w:val="right"/>
              <w:rPr>
                <w:b/>
                <w:bCs/>
                <w:sz w:val="20"/>
              </w:rPr>
            </w:pPr>
            <w:r w:rsidRPr="001F224B">
              <w:rPr>
                <w:b/>
                <w:bCs/>
                <w:sz w:val="20"/>
                <w:szCs w:val="20"/>
              </w:rPr>
              <w:t>64.069</w:t>
            </w:r>
          </w:p>
        </w:tc>
        <w:tc>
          <w:tcPr>
            <w:tcW w:w="1396" w:type="dxa"/>
            <w:tcBorders>
              <w:top w:val="single" w:sz="4" w:space="0" w:color="auto"/>
              <w:left w:val="single" w:sz="4" w:space="0" w:color="auto"/>
              <w:bottom w:val="single" w:sz="4" w:space="0" w:color="auto"/>
            </w:tcBorders>
            <w:vAlign w:val="bottom"/>
          </w:tcPr>
          <w:p w14:paraId="54A3C929" w14:textId="0C014ED4" w:rsidR="001B1685" w:rsidRPr="001F224B" w:rsidRDefault="001B1685" w:rsidP="001B1685">
            <w:pPr>
              <w:jc w:val="right"/>
              <w:rPr>
                <w:b/>
                <w:bCs/>
                <w:sz w:val="20"/>
              </w:rPr>
            </w:pPr>
            <w:r w:rsidRPr="001F224B">
              <w:rPr>
                <w:b/>
                <w:bCs/>
                <w:sz w:val="20"/>
                <w:szCs w:val="20"/>
              </w:rPr>
              <w:t>9.140</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A6911E6" w14:textId="78C6D83E" w:rsidR="001B1685" w:rsidRPr="001F224B" w:rsidRDefault="001B1685" w:rsidP="001B1685">
            <w:pPr>
              <w:jc w:val="right"/>
              <w:rPr>
                <w:b/>
                <w:sz w:val="20"/>
                <w:szCs w:val="20"/>
              </w:rPr>
            </w:pPr>
            <w:r w:rsidRPr="001F224B">
              <w:rPr>
                <w:b/>
                <w:bCs/>
                <w:sz w:val="20"/>
                <w:szCs w:val="20"/>
              </w:rPr>
              <w:t>144.142</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1BE05C87" w14:textId="749B0BB7" w:rsidR="001B1685" w:rsidRPr="001F224B" w:rsidRDefault="001B1685" w:rsidP="001B1685">
            <w:pPr>
              <w:jc w:val="right"/>
              <w:rPr>
                <w:b/>
                <w:sz w:val="20"/>
                <w:szCs w:val="20"/>
              </w:rPr>
            </w:pPr>
            <w:r w:rsidRPr="001F224B">
              <w:rPr>
                <w:b/>
                <w:bCs/>
                <w:sz w:val="20"/>
                <w:szCs w:val="20"/>
              </w:rPr>
              <w:t>-</w:t>
            </w:r>
          </w:p>
        </w:tc>
      </w:tr>
    </w:tbl>
    <w:p w14:paraId="6583911B" w14:textId="77777777" w:rsidR="00E43CFC" w:rsidRPr="001F224B" w:rsidRDefault="00FF38AC" w:rsidP="00D679AE">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2</w:t>
      </w:r>
      <w:r w:rsidR="008009B8" w:rsidRPr="001F224B">
        <w:rPr>
          <w:rFonts w:ascii="Times New Roman" w:cs="Times New Roman"/>
          <w:b/>
          <w:bCs/>
          <w:sz w:val="22"/>
          <w:szCs w:val="22"/>
          <w:lang w:val="tr-TR"/>
        </w:rPr>
        <w:t>.</w:t>
      </w:r>
      <w:r w:rsidR="00BD16C6" w:rsidRPr="001F224B">
        <w:rPr>
          <w:rFonts w:ascii="Times New Roman" w:cs="Times New Roman"/>
          <w:b/>
          <w:bCs/>
          <w:sz w:val="22"/>
          <w:szCs w:val="22"/>
          <w:lang w:val="tr-TR"/>
        </w:rPr>
        <w:tab/>
      </w:r>
      <w:r w:rsidR="007E1109" w:rsidRPr="001F224B">
        <w:rPr>
          <w:rFonts w:ascii="Times New Roman" w:cs="Times New Roman"/>
          <w:b/>
          <w:bCs/>
          <w:sz w:val="22"/>
          <w:szCs w:val="22"/>
          <w:lang w:val="tr-TR"/>
        </w:rPr>
        <w:t>İtfa edilmiş maliyeti ile ölçülen finansal varlıklara</w:t>
      </w:r>
      <w:r w:rsidR="006836D3" w:rsidRPr="001F224B">
        <w:rPr>
          <w:rFonts w:ascii="Times New Roman" w:cs="Times New Roman"/>
          <w:b/>
          <w:bCs/>
          <w:sz w:val="22"/>
          <w:szCs w:val="22"/>
          <w:lang w:val="tr-TR"/>
        </w:rPr>
        <w:t xml:space="preserve"> ilişkin açıklamalar</w:t>
      </w:r>
      <w:r w:rsidR="005C0CBC" w:rsidRPr="001F224B">
        <w:rPr>
          <w:rFonts w:ascii="Times New Roman" w:cs="Times New Roman"/>
          <w:b/>
          <w:bCs/>
          <w:sz w:val="22"/>
          <w:szCs w:val="22"/>
          <w:lang w:val="tr-TR"/>
        </w:rPr>
        <w:t xml:space="preserve"> (Net)</w:t>
      </w:r>
      <w:r w:rsidR="00267DF1" w:rsidRPr="001F224B">
        <w:rPr>
          <w:rFonts w:ascii="Times New Roman" w:cs="Times New Roman"/>
          <w:b/>
          <w:bCs/>
          <w:sz w:val="22"/>
          <w:szCs w:val="22"/>
          <w:lang w:val="tr-TR"/>
        </w:rPr>
        <w:t>:</w:t>
      </w:r>
    </w:p>
    <w:p w14:paraId="03629D84" w14:textId="77777777" w:rsidR="00BA2D9F" w:rsidRPr="001F224B" w:rsidRDefault="00AE605F" w:rsidP="00C31BBF">
      <w:pPr>
        <w:pStyle w:val="NormalWeb"/>
        <w:tabs>
          <w:tab w:val="left" w:pos="567"/>
        </w:tabs>
        <w:spacing w:before="0" w:beforeAutospacing="0" w:after="0" w:afterAutospacing="0"/>
        <w:jc w:val="both"/>
        <w:rPr>
          <w:rFonts w:ascii="Times New Roman" w:cs="Times New Roman"/>
          <w:b/>
          <w:bCs/>
          <w:sz w:val="22"/>
          <w:szCs w:val="22"/>
          <w:lang w:val="tr-TR"/>
        </w:rPr>
      </w:pPr>
      <w:r w:rsidRPr="001F224B">
        <w:rPr>
          <w:rFonts w:ascii="Times New Roman" w:cs="Times New Roman"/>
          <w:b/>
          <w:bCs/>
          <w:sz w:val="22"/>
          <w:szCs w:val="22"/>
          <w:lang w:val="tr-TR"/>
        </w:rPr>
        <w:t>2.1.</w:t>
      </w:r>
      <w:r w:rsidR="00C31BBF" w:rsidRPr="001F224B">
        <w:rPr>
          <w:rFonts w:ascii="Times New Roman" w:cs="Times New Roman"/>
          <w:b/>
          <w:bCs/>
          <w:sz w:val="22"/>
          <w:szCs w:val="22"/>
          <w:lang w:val="tr-TR"/>
        </w:rPr>
        <w:tab/>
      </w:r>
      <w:r w:rsidR="005C0CBC" w:rsidRPr="001F224B">
        <w:rPr>
          <w:rFonts w:ascii="Times New Roman" w:cs="Times New Roman"/>
          <w:b/>
          <w:bCs/>
          <w:sz w:val="22"/>
          <w:szCs w:val="22"/>
          <w:lang w:val="tr-TR"/>
        </w:rPr>
        <w:t>Krediler</w:t>
      </w:r>
      <w:r w:rsidRPr="001F224B">
        <w:rPr>
          <w:rFonts w:ascii="Times New Roman" w:cs="Times New Roman"/>
          <w:b/>
          <w:bCs/>
          <w:sz w:val="22"/>
          <w:szCs w:val="22"/>
          <w:lang w:val="tr-TR"/>
        </w:rPr>
        <w:t>e ilişkin bilgiler</w:t>
      </w:r>
      <w:r w:rsidR="005C0CBC" w:rsidRPr="001F224B">
        <w:rPr>
          <w:rFonts w:ascii="Times New Roman" w:cs="Times New Roman"/>
          <w:b/>
          <w:bCs/>
          <w:sz w:val="22"/>
          <w:szCs w:val="22"/>
          <w:lang w:val="tr-TR"/>
        </w:rPr>
        <w:t>:</w:t>
      </w:r>
    </w:p>
    <w:p w14:paraId="79418939" w14:textId="77777777" w:rsidR="00267DF1" w:rsidRPr="001F224B" w:rsidRDefault="0067589E" w:rsidP="005514FC">
      <w:pPr>
        <w:pStyle w:val="NormalWeb"/>
        <w:tabs>
          <w:tab w:val="left" w:pos="567"/>
        </w:tabs>
        <w:spacing w:before="120" w:beforeAutospacing="0" w:after="120" w:afterAutospacing="0"/>
        <w:ind w:left="567" w:hanging="567"/>
        <w:jc w:val="both"/>
        <w:rPr>
          <w:rFonts w:ascii="Times New Roman" w:cs="Times New Roman"/>
          <w:b/>
          <w:bCs/>
          <w:sz w:val="22"/>
          <w:szCs w:val="22"/>
          <w:lang w:val="tr-TR"/>
        </w:rPr>
      </w:pPr>
      <w:r w:rsidRPr="001F224B">
        <w:rPr>
          <w:rFonts w:ascii="Times New Roman" w:cs="Times New Roman"/>
          <w:b/>
          <w:bCs/>
          <w:sz w:val="22"/>
          <w:szCs w:val="22"/>
          <w:lang w:val="tr-TR"/>
        </w:rPr>
        <w:t>2</w:t>
      </w:r>
      <w:r w:rsidR="008009B8" w:rsidRPr="001F224B">
        <w:rPr>
          <w:rFonts w:ascii="Times New Roman" w:cs="Times New Roman"/>
          <w:b/>
          <w:bCs/>
          <w:sz w:val="22"/>
          <w:szCs w:val="22"/>
          <w:lang w:val="tr-TR"/>
        </w:rPr>
        <w:t>.</w:t>
      </w:r>
      <w:r w:rsidR="005C0CBC" w:rsidRPr="001F224B">
        <w:rPr>
          <w:rFonts w:ascii="Times New Roman" w:cs="Times New Roman"/>
          <w:b/>
          <w:bCs/>
          <w:sz w:val="22"/>
          <w:szCs w:val="22"/>
          <w:lang w:val="tr-TR"/>
        </w:rPr>
        <w:t>1.</w:t>
      </w:r>
      <w:r w:rsidR="008009B8" w:rsidRPr="001F224B">
        <w:rPr>
          <w:rFonts w:ascii="Times New Roman" w:cs="Times New Roman"/>
          <w:b/>
          <w:bCs/>
          <w:sz w:val="22"/>
          <w:szCs w:val="22"/>
          <w:lang w:val="tr-TR"/>
        </w:rPr>
        <w:t>a)</w:t>
      </w:r>
      <w:r w:rsidR="00BD16C6" w:rsidRPr="001F224B">
        <w:rPr>
          <w:rFonts w:ascii="Times New Roman" w:cs="Times New Roman"/>
          <w:b/>
          <w:bCs/>
          <w:sz w:val="22"/>
          <w:szCs w:val="22"/>
          <w:lang w:val="tr-TR"/>
        </w:rPr>
        <w:tab/>
      </w:r>
      <w:r w:rsidR="0056078E" w:rsidRPr="001F224B">
        <w:rPr>
          <w:rFonts w:ascii="Times New Roman" w:cs="Times New Roman"/>
          <w:b/>
          <w:bCs/>
          <w:sz w:val="22"/>
          <w:szCs w:val="22"/>
          <w:lang w:val="tr-TR"/>
        </w:rPr>
        <w:t xml:space="preserve">Ana Ortaklık </w:t>
      </w:r>
      <w:r w:rsidR="00BB11A7" w:rsidRPr="001F224B">
        <w:rPr>
          <w:rFonts w:ascii="Times New Roman" w:cs="Times New Roman"/>
          <w:b/>
          <w:bCs/>
          <w:sz w:val="22"/>
          <w:szCs w:val="22"/>
          <w:lang w:val="tr-TR"/>
        </w:rPr>
        <w:t>Banka’nın</w:t>
      </w:r>
      <w:r w:rsidR="00267DF1" w:rsidRPr="001F224B">
        <w:rPr>
          <w:rFonts w:ascii="Times New Roman" w:cs="Times New Roman"/>
          <w:b/>
          <w:bCs/>
          <w:sz w:val="22"/>
          <w:szCs w:val="22"/>
          <w:lang w:val="tr-TR"/>
        </w:rPr>
        <w:t xml:space="preserve"> ortaklarına ve mensuplarına verilen her çeşit kredi veya avansın bakiyesine ilişkin</w:t>
      </w:r>
      <w:r w:rsidR="00532AAD" w:rsidRPr="001F224B">
        <w:rPr>
          <w:rFonts w:ascii="Times New Roman" w:cs="Times New Roman"/>
          <w:b/>
          <w:bCs/>
          <w:sz w:val="22"/>
          <w:szCs w:val="22"/>
          <w:lang w:val="tr-TR"/>
        </w:rPr>
        <w:t xml:space="preserve"> </w:t>
      </w:r>
      <w:r w:rsidR="00267DF1" w:rsidRPr="001F224B">
        <w:rPr>
          <w:rFonts w:ascii="Times New Roman" w:cs="Times New Roman"/>
          <w:b/>
          <w:bCs/>
          <w:sz w:val="22"/>
          <w:szCs w:val="22"/>
          <w:lang w:val="tr-TR"/>
        </w:rPr>
        <w:t>bilgiler:</w:t>
      </w:r>
    </w:p>
    <w:p w14:paraId="6CA4FF16" w14:textId="671DC40B" w:rsidR="00112412" w:rsidRPr="001F224B" w:rsidRDefault="00897E33" w:rsidP="00897E33">
      <w:pPr>
        <w:ind w:left="567"/>
        <w:rPr>
          <w:sz w:val="22"/>
          <w:szCs w:val="22"/>
        </w:rPr>
      </w:pPr>
      <w:r w:rsidRPr="001F224B">
        <w:rPr>
          <w:sz w:val="22"/>
          <w:szCs w:val="22"/>
        </w:rPr>
        <w:t>Bulunmamaktadır.</w:t>
      </w:r>
    </w:p>
    <w:p w14:paraId="60D23C57" w14:textId="77777777" w:rsidR="00897E33" w:rsidRPr="001F224B" w:rsidRDefault="00897E33" w:rsidP="00897E33">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2.1.b)</w:t>
      </w:r>
      <w:r w:rsidRPr="001F224B">
        <w:rPr>
          <w:rFonts w:ascii="Times New Roman" w:cs="Times New Roman"/>
          <w:b/>
          <w:bCs/>
          <w:sz w:val="22"/>
          <w:szCs w:val="22"/>
          <w:lang w:val="tr-TR"/>
        </w:rPr>
        <w:tab/>
        <w:t xml:space="preserve"> Standart nitelikli ve yakın izlemedeki (birinci ve ikinci grup krediler) ile yeniden yapılandırılan yakın izlemedeki kredilere ilişkin bilgiler:</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FB440F" w:rsidRPr="001F224B" w14:paraId="28590FB3" w14:textId="77777777" w:rsidTr="00376779">
        <w:trPr>
          <w:trHeight w:val="227"/>
        </w:trPr>
        <w:tc>
          <w:tcPr>
            <w:tcW w:w="4032" w:type="dxa"/>
            <w:vMerge w:val="restart"/>
            <w:noWrap/>
            <w:vAlign w:val="bottom"/>
            <w:hideMark/>
          </w:tcPr>
          <w:p w14:paraId="412AF3A8" w14:textId="77777777" w:rsidR="00FB440F" w:rsidRPr="001F224B" w:rsidRDefault="00FB440F" w:rsidP="00376779">
            <w:pPr>
              <w:ind w:left="567"/>
              <w:jc w:val="both"/>
              <w:rPr>
                <w:b/>
                <w:sz w:val="20"/>
                <w:szCs w:val="20"/>
              </w:rPr>
            </w:pPr>
          </w:p>
          <w:p w14:paraId="27D23CCA" w14:textId="77777777" w:rsidR="00FB440F" w:rsidRPr="001F224B" w:rsidRDefault="00FB440F" w:rsidP="00376779">
            <w:pPr>
              <w:ind w:left="567"/>
              <w:jc w:val="both"/>
              <w:rPr>
                <w:b/>
                <w:sz w:val="20"/>
                <w:szCs w:val="20"/>
              </w:rPr>
            </w:pPr>
          </w:p>
          <w:p w14:paraId="4772D32B" w14:textId="77777777" w:rsidR="00FB440F" w:rsidRPr="001F224B" w:rsidRDefault="00FB440F" w:rsidP="00376779">
            <w:pPr>
              <w:ind w:left="567"/>
              <w:jc w:val="both"/>
              <w:rPr>
                <w:b/>
                <w:sz w:val="20"/>
                <w:szCs w:val="20"/>
              </w:rPr>
            </w:pPr>
          </w:p>
          <w:p w14:paraId="1B1C04E5" w14:textId="77777777" w:rsidR="00FB440F" w:rsidRPr="001F224B" w:rsidRDefault="00FB440F" w:rsidP="00376779">
            <w:pPr>
              <w:jc w:val="both"/>
              <w:rPr>
                <w:b/>
                <w:sz w:val="20"/>
                <w:szCs w:val="20"/>
              </w:rPr>
            </w:pPr>
            <w:r w:rsidRPr="001F224B">
              <w:rPr>
                <w:b/>
                <w:sz w:val="20"/>
                <w:szCs w:val="20"/>
              </w:rPr>
              <w:t>Nakdi Krediler</w:t>
            </w:r>
          </w:p>
          <w:p w14:paraId="1CF48ABA" w14:textId="77777777" w:rsidR="00FB440F" w:rsidRPr="001F224B" w:rsidRDefault="00FB440F" w:rsidP="00376779">
            <w:pPr>
              <w:jc w:val="both"/>
              <w:rPr>
                <w:b/>
                <w:sz w:val="20"/>
                <w:szCs w:val="20"/>
              </w:rPr>
            </w:pPr>
            <w:r w:rsidRPr="001F224B">
              <w:rPr>
                <w:b/>
                <w:sz w:val="20"/>
                <w:szCs w:val="20"/>
              </w:rPr>
              <w:t xml:space="preserve">Cari Dönem </w:t>
            </w:r>
            <w:r w:rsidRPr="001F224B">
              <w:rPr>
                <w:b/>
                <w:bCs/>
                <w:sz w:val="20"/>
                <w:szCs w:val="20"/>
              </w:rPr>
              <w:t>(30.06.2025)</w:t>
            </w:r>
          </w:p>
        </w:tc>
        <w:tc>
          <w:tcPr>
            <w:tcW w:w="1428" w:type="dxa"/>
            <w:vMerge w:val="restart"/>
            <w:vAlign w:val="bottom"/>
            <w:hideMark/>
          </w:tcPr>
          <w:p w14:paraId="6C7ACA9F" w14:textId="77777777" w:rsidR="00FB440F" w:rsidRPr="001F224B" w:rsidRDefault="00FB440F" w:rsidP="00376779">
            <w:pPr>
              <w:jc w:val="center"/>
              <w:rPr>
                <w:b/>
                <w:sz w:val="20"/>
                <w:szCs w:val="20"/>
              </w:rPr>
            </w:pPr>
          </w:p>
          <w:p w14:paraId="3DBC39C9" w14:textId="77777777" w:rsidR="00FB440F" w:rsidRPr="001F224B" w:rsidRDefault="00FB440F" w:rsidP="00376779">
            <w:pPr>
              <w:jc w:val="center"/>
              <w:rPr>
                <w:b/>
                <w:sz w:val="20"/>
                <w:szCs w:val="20"/>
              </w:rPr>
            </w:pPr>
          </w:p>
          <w:p w14:paraId="7901AFF4" w14:textId="77777777" w:rsidR="00FB440F" w:rsidRPr="001F224B" w:rsidRDefault="00FB440F" w:rsidP="00376779">
            <w:pPr>
              <w:jc w:val="center"/>
              <w:rPr>
                <w:b/>
                <w:sz w:val="20"/>
                <w:szCs w:val="20"/>
              </w:rPr>
            </w:pPr>
            <w:r w:rsidRPr="001F224B">
              <w:rPr>
                <w:b/>
                <w:sz w:val="20"/>
                <w:szCs w:val="20"/>
              </w:rPr>
              <w:t>Standart Nitelikli Krediler</w:t>
            </w:r>
          </w:p>
        </w:tc>
        <w:tc>
          <w:tcPr>
            <w:tcW w:w="4381" w:type="dxa"/>
            <w:gridSpan w:val="3"/>
            <w:vAlign w:val="bottom"/>
            <w:hideMark/>
          </w:tcPr>
          <w:p w14:paraId="50C81EF9" w14:textId="77777777" w:rsidR="00FB440F" w:rsidRPr="001F224B" w:rsidRDefault="00FB440F" w:rsidP="00376779">
            <w:pPr>
              <w:jc w:val="center"/>
              <w:rPr>
                <w:b/>
                <w:sz w:val="20"/>
                <w:szCs w:val="20"/>
              </w:rPr>
            </w:pPr>
            <w:r w:rsidRPr="001F224B">
              <w:rPr>
                <w:b/>
                <w:sz w:val="20"/>
                <w:szCs w:val="20"/>
              </w:rPr>
              <w:t>Yakın İzlemedeki Krediler</w:t>
            </w:r>
          </w:p>
        </w:tc>
      </w:tr>
      <w:tr w:rsidR="00FB440F" w:rsidRPr="001F224B" w14:paraId="2A870DE0" w14:textId="77777777" w:rsidTr="00376779">
        <w:trPr>
          <w:trHeight w:val="227"/>
        </w:trPr>
        <w:tc>
          <w:tcPr>
            <w:tcW w:w="4032" w:type="dxa"/>
            <w:vMerge/>
            <w:vAlign w:val="bottom"/>
            <w:hideMark/>
          </w:tcPr>
          <w:p w14:paraId="7BBC0650" w14:textId="77777777" w:rsidR="00FB440F" w:rsidRPr="001F224B" w:rsidRDefault="00FB440F" w:rsidP="00376779">
            <w:pPr>
              <w:ind w:left="567"/>
              <w:jc w:val="both"/>
              <w:rPr>
                <w:b/>
                <w:sz w:val="20"/>
                <w:szCs w:val="20"/>
              </w:rPr>
            </w:pPr>
          </w:p>
        </w:tc>
        <w:tc>
          <w:tcPr>
            <w:tcW w:w="1428" w:type="dxa"/>
            <w:vMerge/>
            <w:vAlign w:val="bottom"/>
            <w:hideMark/>
          </w:tcPr>
          <w:p w14:paraId="774B256B" w14:textId="77777777" w:rsidR="00FB440F" w:rsidRPr="001F224B" w:rsidRDefault="00FB440F" w:rsidP="00376779">
            <w:pPr>
              <w:ind w:left="567"/>
              <w:jc w:val="both"/>
              <w:rPr>
                <w:b/>
                <w:sz w:val="20"/>
                <w:szCs w:val="20"/>
              </w:rPr>
            </w:pPr>
          </w:p>
        </w:tc>
        <w:tc>
          <w:tcPr>
            <w:tcW w:w="1453" w:type="dxa"/>
            <w:vMerge w:val="restart"/>
            <w:vAlign w:val="bottom"/>
            <w:hideMark/>
          </w:tcPr>
          <w:p w14:paraId="18E76B8A" w14:textId="77777777" w:rsidR="00FB440F" w:rsidRPr="001F224B" w:rsidRDefault="00FB440F" w:rsidP="00376779">
            <w:pPr>
              <w:jc w:val="center"/>
              <w:rPr>
                <w:b/>
                <w:sz w:val="20"/>
                <w:szCs w:val="20"/>
              </w:rPr>
            </w:pPr>
            <w:r w:rsidRPr="001F224B">
              <w:rPr>
                <w:b/>
                <w:sz w:val="20"/>
                <w:szCs w:val="20"/>
              </w:rPr>
              <w:t>Yeniden Yapılandırma Kapsamında Yer Almayanlar</w:t>
            </w:r>
          </w:p>
        </w:tc>
        <w:tc>
          <w:tcPr>
            <w:tcW w:w="2928" w:type="dxa"/>
            <w:gridSpan w:val="2"/>
            <w:vAlign w:val="center"/>
            <w:hideMark/>
          </w:tcPr>
          <w:p w14:paraId="011555BE" w14:textId="77777777" w:rsidR="00FB440F" w:rsidRPr="001F224B" w:rsidRDefault="00FB440F" w:rsidP="00376779">
            <w:pPr>
              <w:ind w:left="567"/>
              <w:rPr>
                <w:b/>
                <w:sz w:val="20"/>
                <w:szCs w:val="20"/>
              </w:rPr>
            </w:pPr>
            <w:r w:rsidRPr="001F224B">
              <w:rPr>
                <w:b/>
                <w:sz w:val="20"/>
                <w:szCs w:val="20"/>
              </w:rPr>
              <w:t xml:space="preserve">       Yeniden       Yapılandırılanlar</w:t>
            </w:r>
          </w:p>
        </w:tc>
      </w:tr>
      <w:tr w:rsidR="00FB440F" w:rsidRPr="001F224B" w14:paraId="7252CDB8" w14:textId="77777777" w:rsidTr="00376779">
        <w:trPr>
          <w:trHeight w:val="51"/>
        </w:trPr>
        <w:tc>
          <w:tcPr>
            <w:tcW w:w="4032" w:type="dxa"/>
            <w:vMerge/>
            <w:vAlign w:val="bottom"/>
            <w:hideMark/>
          </w:tcPr>
          <w:p w14:paraId="1A2C1887" w14:textId="77777777" w:rsidR="00FB440F" w:rsidRPr="001F224B" w:rsidRDefault="00FB440F" w:rsidP="00376779">
            <w:pPr>
              <w:ind w:left="567"/>
              <w:jc w:val="both"/>
              <w:rPr>
                <w:b/>
                <w:sz w:val="20"/>
                <w:szCs w:val="20"/>
              </w:rPr>
            </w:pPr>
          </w:p>
        </w:tc>
        <w:tc>
          <w:tcPr>
            <w:tcW w:w="1428" w:type="dxa"/>
            <w:vMerge/>
            <w:tcBorders>
              <w:bottom w:val="single" w:sz="4" w:space="0" w:color="000000"/>
            </w:tcBorders>
            <w:vAlign w:val="bottom"/>
            <w:hideMark/>
          </w:tcPr>
          <w:p w14:paraId="28B5C355" w14:textId="77777777" w:rsidR="00FB440F" w:rsidRPr="001F224B" w:rsidRDefault="00FB440F" w:rsidP="00376779">
            <w:pPr>
              <w:ind w:left="567"/>
              <w:jc w:val="both"/>
              <w:rPr>
                <w:b/>
                <w:sz w:val="20"/>
                <w:szCs w:val="20"/>
              </w:rPr>
            </w:pPr>
          </w:p>
        </w:tc>
        <w:tc>
          <w:tcPr>
            <w:tcW w:w="1453" w:type="dxa"/>
            <w:vMerge/>
            <w:tcBorders>
              <w:bottom w:val="single" w:sz="4" w:space="0" w:color="000000"/>
            </w:tcBorders>
            <w:vAlign w:val="bottom"/>
            <w:hideMark/>
          </w:tcPr>
          <w:p w14:paraId="60134C43" w14:textId="77777777" w:rsidR="00FB440F" w:rsidRPr="001F224B" w:rsidRDefault="00FB440F" w:rsidP="00376779">
            <w:pPr>
              <w:ind w:left="567"/>
              <w:jc w:val="both"/>
              <w:rPr>
                <w:b/>
                <w:sz w:val="20"/>
                <w:szCs w:val="20"/>
              </w:rPr>
            </w:pPr>
          </w:p>
        </w:tc>
        <w:tc>
          <w:tcPr>
            <w:tcW w:w="1444" w:type="dxa"/>
            <w:tcBorders>
              <w:bottom w:val="single" w:sz="4" w:space="0" w:color="000000"/>
              <w:right w:val="single" w:sz="2" w:space="0" w:color="000000"/>
            </w:tcBorders>
            <w:vAlign w:val="bottom"/>
            <w:hideMark/>
          </w:tcPr>
          <w:p w14:paraId="5F618742" w14:textId="77777777" w:rsidR="00FB440F" w:rsidRPr="001F224B" w:rsidRDefault="00FB440F" w:rsidP="00376779">
            <w:pPr>
              <w:jc w:val="center"/>
              <w:rPr>
                <w:b/>
                <w:sz w:val="20"/>
                <w:szCs w:val="20"/>
              </w:rPr>
            </w:pPr>
            <w:r w:rsidRPr="001F224B">
              <w:rPr>
                <w:b/>
                <w:sz w:val="20"/>
                <w:szCs w:val="20"/>
              </w:rPr>
              <w:t>Sözleşme Koşullarında Değişiklik</w:t>
            </w:r>
          </w:p>
        </w:tc>
        <w:tc>
          <w:tcPr>
            <w:tcW w:w="1484" w:type="dxa"/>
            <w:tcBorders>
              <w:left w:val="single" w:sz="2" w:space="0" w:color="000000"/>
            </w:tcBorders>
            <w:vAlign w:val="bottom"/>
            <w:hideMark/>
          </w:tcPr>
          <w:p w14:paraId="3B8EDA20" w14:textId="77777777" w:rsidR="00FB440F" w:rsidRPr="001F224B" w:rsidRDefault="00FB440F" w:rsidP="00376779">
            <w:pPr>
              <w:jc w:val="center"/>
              <w:rPr>
                <w:b/>
                <w:sz w:val="20"/>
                <w:szCs w:val="20"/>
              </w:rPr>
            </w:pPr>
            <w:r w:rsidRPr="001F224B">
              <w:rPr>
                <w:b/>
                <w:sz w:val="20"/>
                <w:szCs w:val="20"/>
              </w:rPr>
              <w:t>Yeniden Finansman</w:t>
            </w:r>
          </w:p>
        </w:tc>
      </w:tr>
      <w:tr w:rsidR="00FB440F" w:rsidRPr="001F224B" w14:paraId="6C907EFD" w14:textId="77777777" w:rsidTr="00376779">
        <w:trPr>
          <w:trHeight w:val="227"/>
        </w:trPr>
        <w:tc>
          <w:tcPr>
            <w:tcW w:w="4032" w:type="dxa"/>
            <w:noWrap/>
            <w:vAlign w:val="bottom"/>
            <w:hideMark/>
          </w:tcPr>
          <w:p w14:paraId="6DAB12B6" w14:textId="77777777" w:rsidR="00FB440F" w:rsidRPr="001F224B" w:rsidRDefault="00FB440F" w:rsidP="00376779">
            <w:pPr>
              <w:jc w:val="both"/>
              <w:rPr>
                <w:b/>
                <w:sz w:val="20"/>
                <w:szCs w:val="20"/>
              </w:rPr>
            </w:pPr>
            <w:r w:rsidRPr="001F224B">
              <w:rPr>
                <w:b/>
                <w:sz w:val="20"/>
                <w:szCs w:val="20"/>
              </w:rPr>
              <w:t>İhtisas Dışı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9CE85" w14:textId="77777777" w:rsidR="00FB440F" w:rsidRPr="001F224B" w:rsidRDefault="00FB440F" w:rsidP="00376779">
            <w:pPr>
              <w:ind w:left="-71"/>
              <w:jc w:val="right"/>
              <w:rPr>
                <w:b/>
                <w:bCs/>
                <w:color w:val="000000"/>
                <w:sz w:val="20"/>
                <w:szCs w:val="20"/>
              </w:rPr>
            </w:pPr>
            <w:r w:rsidRPr="001F224B">
              <w:rPr>
                <w:b/>
                <w:bCs/>
                <w:color w:val="000000"/>
                <w:sz w:val="20"/>
                <w:szCs w:val="20"/>
              </w:rPr>
              <w:t>105.201.442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874AEA4" w14:textId="77777777" w:rsidR="00FB440F" w:rsidRPr="001F224B" w:rsidRDefault="00FB440F" w:rsidP="00376779">
            <w:pPr>
              <w:jc w:val="right"/>
              <w:rPr>
                <w:b/>
                <w:bCs/>
                <w:color w:val="000000"/>
                <w:sz w:val="20"/>
                <w:szCs w:val="20"/>
              </w:rPr>
            </w:pPr>
            <w:r w:rsidRPr="001F224B">
              <w:rPr>
                <w:b/>
                <w:bCs/>
                <w:color w:val="000000"/>
                <w:sz w:val="20"/>
                <w:szCs w:val="20"/>
              </w:rPr>
              <w:t>529.126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3F5C99C0" w14:textId="77777777" w:rsidR="00FB440F" w:rsidRPr="001F224B" w:rsidRDefault="00FB440F" w:rsidP="00376779">
            <w:pPr>
              <w:jc w:val="right"/>
              <w:rPr>
                <w:b/>
                <w:bCs/>
                <w:color w:val="000000"/>
                <w:sz w:val="20"/>
                <w:szCs w:val="20"/>
              </w:rPr>
            </w:pPr>
            <w:r w:rsidRPr="001F224B">
              <w:rPr>
                <w:b/>
                <w:bCs/>
                <w:color w:val="000000"/>
                <w:sz w:val="20"/>
                <w:szCs w:val="20"/>
              </w:rPr>
              <w:t>2.756.598</w:t>
            </w:r>
          </w:p>
        </w:tc>
        <w:tc>
          <w:tcPr>
            <w:tcW w:w="1484" w:type="dxa"/>
            <w:tcBorders>
              <w:left w:val="single" w:sz="2" w:space="0" w:color="000000"/>
            </w:tcBorders>
            <w:noWrap/>
            <w:vAlign w:val="bottom"/>
            <w:hideMark/>
          </w:tcPr>
          <w:p w14:paraId="5E834239" w14:textId="77777777" w:rsidR="00FB440F" w:rsidRPr="001F224B" w:rsidRDefault="00FB440F" w:rsidP="00376779">
            <w:pPr>
              <w:ind w:left="567"/>
              <w:jc w:val="right"/>
              <w:rPr>
                <w:b/>
                <w:sz w:val="20"/>
                <w:szCs w:val="20"/>
              </w:rPr>
            </w:pPr>
            <w:r w:rsidRPr="001F224B">
              <w:rPr>
                <w:b/>
                <w:sz w:val="20"/>
                <w:szCs w:val="20"/>
              </w:rPr>
              <w:t>-</w:t>
            </w:r>
          </w:p>
        </w:tc>
      </w:tr>
      <w:tr w:rsidR="00FB440F" w:rsidRPr="001F224B" w14:paraId="67C69842" w14:textId="77777777" w:rsidTr="00376779">
        <w:trPr>
          <w:trHeight w:val="227"/>
        </w:trPr>
        <w:tc>
          <w:tcPr>
            <w:tcW w:w="4032" w:type="dxa"/>
            <w:noWrap/>
            <w:vAlign w:val="bottom"/>
            <w:hideMark/>
          </w:tcPr>
          <w:p w14:paraId="7E649A88" w14:textId="77777777" w:rsidR="00FB440F" w:rsidRPr="001F224B" w:rsidRDefault="00FB440F" w:rsidP="00376779">
            <w:pPr>
              <w:ind w:firstLine="417"/>
              <w:jc w:val="both"/>
              <w:rPr>
                <w:sz w:val="20"/>
                <w:szCs w:val="20"/>
              </w:rPr>
            </w:pPr>
            <w:r w:rsidRPr="001F224B">
              <w:rPr>
                <w:sz w:val="20"/>
                <w:szCs w:val="20"/>
              </w:rPr>
              <w:t>İşletme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93F86" w14:textId="77777777" w:rsidR="00FB440F" w:rsidRPr="001F224B" w:rsidRDefault="00FB440F" w:rsidP="00376779">
            <w:pPr>
              <w:jc w:val="right"/>
              <w:rPr>
                <w:color w:val="000000"/>
                <w:sz w:val="20"/>
                <w:szCs w:val="20"/>
              </w:rPr>
            </w:pPr>
            <w:r w:rsidRPr="001F224B">
              <w:rPr>
                <w:color w:val="000000"/>
                <w:sz w:val="20"/>
                <w:szCs w:val="20"/>
              </w:rPr>
              <w:t>6.257.910</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056FC14" w14:textId="77777777" w:rsidR="00FB440F" w:rsidRPr="001F224B" w:rsidRDefault="00FB440F" w:rsidP="00376779">
            <w:pPr>
              <w:jc w:val="right"/>
              <w:rPr>
                <w:color w:val="000000"/>
                <w:sz w:val="20"/>
                <w:szCs w:val="20"/>
              </w:rPr>
            </w:pPr>
            <w:r w:rsidRPr="001F224B">
              <w:rPr>
                <w:color w:val="000000"/>
                <w:sz w:val="20"/>
                <w:szCs w:val="20"/>
              </w:rPr>
              <w:t>-</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3411639B"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1A271112" w14:textId="77777777" w:rsidR="00FB440F" w:rsidRPr="001F224B" w:rsidRDefault="00FB440F" w:rsidP="00376779">
            <w:pPr>
              <w:ind w:left="567"/>
              <w:jc w:val="right"/>
              <w:rPr>
                <w:b/>
                <w:sz w:val="20"/>
                <w:szCs w:val="20"/>
              </w:rPr>
            </w:pPr>
            <w:r w:rsidRPr="001F224B">
              <w:rPr>
                <w:sz w:val="20"/>
                <w:szCs w:val="20"/>
              </w:rPr>
              <w:t>-</w:t>
            </w:r>
          </w:p>
        </w:tc>
      </w:tr>
      <w:tr w:rsidR="00FB440F" w:rsidRPr="001F224B" w14:paraId="5E6B2E72" w14:textId="77777777" w:rsidTr="00376779">
        <w:trPr>
          <w:trHeight w:val="227"/>
        </w:trPr>
        <w:tc>
          <w:tcPr>
            <w:tcW w:w="4032" w:type="dxa"/>
            <w:noWrap/>
            <w:vAlign w:val="bottom"/>
            <w:hideMark/>
          </w:tcPr>
          <w:p w14:paraId="48CC0912" w14:textId="77777777" w:rsidR="00FB440F" w:rsidRPr="001F224B" w:rsidRDefault="00FB440F" w:rsidP="00376779">
            <w:pPr>
              <w:ind w:firstLine="417"/>
              <w:jc w:val="both"/>
              <w:rPr>
                <w:sz w:val="20"/>
                <w:szCs w:val="20"/>
              </w:rPr>
            </w:pPr>
            <w:r w:rsidRPr="001F224B">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684E35C" w14:textId="77777777" w:rsidR="00FB440F" w:rsidRPr="001F224B" w:rsidRDefault="00FB440F" w:rsidP="00376779">
            <w:pPr>
              <w:jc w:val="right"/>
              <w:rPr>
                <w:color w:val="000000"/>
                <w:sz w:val="20"/>
                <w:szCs w:val="20"/>
              </w:rPr>
            </w:pPr>
            <w:r w:rsidRPr="001F224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1328DF" w14:textId="77777777" w:rsidR="00FB440F" w:rsidRPr="001F224B" w:rsidRDefault="00FB440F" w:rsidP="00376779">
            <w:pPr>
              <w:jc w:val="right"/>
              <w:rPr>
                <w:color w:val="000000"/>
                <w:sz w:val="20"/>
                <w:szCs w:val="20"/>
              </w:rPr>
            </w:pPr>
            <w:r w:rsidRPr="001F224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5113D4CB"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00D74B2A" w14:textId="77777777" w:rsidR="00FB440F" w:rsidRPr="001F224B" w:rsidRDefault="00FB440F" w:rsidP="00376779">
            <w:pPr>
              <w:jc w:val="right"/>
            </w:pPr>
            <w:r w:rsidRPr="001F224B">
              <w:rPr>
                <w:sz w:val="20"/>
                <w:szCs w:val="20"/>
              </w:rPr>
              <w:t>-</w:t>
            </w:r>
          </w:p>
        </w:tc>
      </w:tr>
      <w:tr w:rsidR="00FB440F" w:rsidRPr="001F224B" w14:paraId="38FED172" w14:textId="77777777" w:rsidTr="00376779">
        <w:trPr>
          <w:trHeight w:val="227"/>
        </w:trPr>
        <w:tc>
          <w:tcPr>
            <w:tcW w:w="4032" w:type="dxa"/>
            <w:noWrap/>
            <w:vAlign w:val="bottom"/>
            <w:hideMark/>
          </w:tcPr>
          <w:p w14:paraId="50E1C15A" w14:textId="77777777" w:rsidR="00FB440F" w:rsidRPr="001F224B" w:rsidRDefault="00FB440F" w:rsidP="00376779">
            <w:pPr>
              <w:ind w:firstLine="417"/>
              <w:jc w:val="both"/>
              <w:rPr>
                <w:sz w:val="20"/>
                <w:szCs w:val="20"/>
              </w:rPr>
            </w:pPr>
            <w:r w:rsidRPr="001F224B">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FC37B40" w14:textId="77777777" w:rsidR="00FB440F" w:rsidRPr="001F224B" w:rsidRDefault="00FB440F" w:rsidP="00376779">
            <w:pPr>
              <w:jc w:val="right"/>
              <w:rPr>
                <w:color w:val="000000"/>
                <w:sz w:val="20"/>
                <w:szCs w:val="20"/>
              </w:rPr>
            </w:pPr>
            <w:r w:rsidRPr="001F224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5C3320" w14:textId="77777777" w:rsidR="00FB440F" w:rsidRPr="001F224B" w:rsidRDefault="00FB440F" w:rsidP="00376779">
            <w:pPr>
              <w:jc w:val="right"/>
              <w:rPr>
                <w:color w:val="000000"/>
                <w:sz w:val="20"/>
                <w:szCs w:val="20"/>
              </w:rPr>
            </w:pPr>
            <w:r w:rsidRPr="001F224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31220341"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00E3AA09" w14:textId="77777777" w:rsidR="00FB440F" w:rsidRPr="001F224B" w:rsidRDefault="00FB440F" w:rsidP="00376779">
            <w:pPr>
              <w:jc w:val="right"/>
            </w:pPr>
            <w:r w:rsidRPr="001F224B">
              <w:rPr>
                <w:sz w:val="20"/>
                <w:szCs w:val="20"/>
              </w:rPr>
              <w:t>-</w:t>
            </w:r>
          </w:p>
        </w:tc>
      </w:tr>
      <w:tr w:rsidR="00FB440F" w:rsidRPr="001F224B" w14:paraId="26F725EB" w14:textId="77777777" w:rsidTr="00376779">
        <w:trPr>
          <w:trHeight w:val="227"/>
        </w:trPr>
        <w:tc>
          <w:tcPr>
            <w:tcW w:w="4032" w:type="dxa"/>
            <w:noWrap/>
            <w:vAlign w:val="bottom"/>
            <w:hideMark/>
          </w:tcPr>
          <w:p w14:paraId="22B5C268" w14:textId="77777777" w:rsidR="00FB440F" w:rsidRPr="001F224B" w:rsidRDefault="00FB440F" w:rsidP="00376779">
            <w:pPr>
              <w:ind w:firstLine="417"/>
              <w:jc w:val="both"/>
              <w:rPr>
                <w:sz w:val="20"/>
                <w:szCs w:val="20"/>
              </w:rPr>
            </w:pPr>
            <w:r w:rsidRPr="001F224B">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1EFD35E" w14:textId="77777777" w:rsidR="00FB440F" w:rsidRPr="001F224B" w:rsidRDefault="00FB440F" w:rsidP="00376779">
            <w:pPr>
              <w:jc w:val="right"/>
              <w:rPr>
                <w:color w:val="000000"/>
                <w:sz w:val="20"/>
                <w:szCs w:val="20"/>
              </w:rPr>
            </w:pPr>
            <w:r w:rsidRPr="001F224B">
              <w:rPr>
                <w:color w:val="000000"/>
                <w:sz w:val="20"/>
                <w:szCs w:val="20"/>
              </w:rPr>
              <w:t>17.516.729</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8C90D8" w14:textId="77777777" w:rsidR="00FB440F" w:rsidRPr="001F224B" w:rsidRDefault="00FB440F" w:rsidP="00376779">
            <w:pPr>
              <w:jc w:val="right"/>
              <w:rPr>
                <w:color w:val="000000"/>
                <w:sz w:val="20"/>
                <w:szCs w:val="20"/>
              </w:rPr>
            </w:pPr>
            <w:r w:rsidRPr="001F224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239D8430"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6CE4F77B" w14:textId="77777777" w:rsidR="00FB440F" w:rsidRPr="001F224B" w:rsidRDefault="00FB440F" w:rsidP="00376779">
            <w:pPr>
              <w:jc w:val="right"/>
            </w:pPr>
            <w:r w:rsidRPr="001F224B">
              <w:rPr>
                <w:sz w:val="20"/>
                <w:szCs w:val="20"/>
              </w:rPr>
              <w:t>-</w:t>
            </w:r>
          </w:p>
        </w:tc>
      </w:tr>
      <w:tr w:rsidR="00FB440F" w:rsidRPr="001F224B" w14:paraId="0F06ED86" w14:textId="77777777" w:rsidTr="00376779">
        <w:trPr>
          <w:trHeight w:val="227"/>
        </w:trPr>
        <w:tc>
          <w:tcPr>
            <w:tcW w:w="4032" w:type="dxa"/>
            <w:noWrap/>
            <w:vAlign w:val="bottom"/>
            <w:hideMark/>
          </w:tcPr>
          <w:p w14:paraId="72766223" w14:textId="77777777" w:rsidR="00FB440F" w:rsidRPr="001F224B" w:rsidRDefault="00FB440F" w:rsidP="00376779">
            <w:pPr>
              <w:ind w:firstLine="417"/>
              <w:jc w:val="both"/>
              <w:rPr>
                <w:sz w:val="20"/>
                <w:szCs w:val="20"/>
              </w:rPr>
            </w:pPr>
            <w:r w:rsidRPr="001F224B">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429FDAA4" w14:textId="77777777" w:rsidR="00FB440F" w:rsidRPr="001F224B" w:rsidRDefault="00FB440F" w:rsidP="00376779">
            <w:pPr>
              <w:jc w:val="right"/>
              <w:rPr>
                <w:color w:val="000000"/>
                <w:sz w:val="20"/>
                <w:szCs w:val="20"/>
              </w:rPr>
            </w:pPr>
            <w:r w:rsidRPr="001F224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939E39" w14:textId="77777777" w:rsidR="00FB440F" w:rsidRPr="001F224B" w:rsidRDefault="00FB440F" w:rsidP="00376779">
            <w:pPr>
              <w:jc w:val="right"/>
              <w:rPr>
                <w:color w:val="000000"/>
                <w:sz w:val="20"/>
                <w:szCs w:val="20"/>
              </w:rPr>
            </w:pPr>
            <w:r w:rsidRPr="001F224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F299F9C"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7ADD18A2" w14:textId="77777777" w:rsidR="00FB440F" w:rsidRPr="001F224B" w:rsidRDefault="00FB440F" w:rsidP="00376779">
            <w:pPr>
              <w:jc w:val="right"/>
            </w:pPr>
            <w:r w:rsidRPr="001F224B">
              <w:rPr>
                <w:sz w:val="20"/>
                <w:szCs w:val="20"/>
              </w:rPr>
              <w:t>-</w:t>
            </w:r>
          </w:p>
        </w:tc>
      </w:tr>
      <w:tr w:rsidR="00FB440F" w:rsidRPr="001F224B" w14:paraId="4471EF60" w14:textId="77777777" w:rsidTr="00376779">
        <w:trPr>
          <w:trHeight w:val="227"/>
        </w:trPr>
        <w:tc>
          <w:tcPr>
            <w:tcW w:w="4032" w:type="dxa"/>
            <w:noWrap/>
            <w:vAlign w:val="bottom"/>
            <w:hideMark/>
          </w:tcPr>
          <w:p w14:paraId="17D2EC19" w14:textId="77777777" w:rsidR="00FB440F" w:rsidRPr="001F224B" w:rsidRDefault="00FB440F" w:rsidP="00376779">
            <w:pPr>
              <w:ind w:firstLine="417"/>
              <w:jc w:val="both"/>
              <w:rPr>
                <w:sz w:val="20"/>
                <w:szCs w:val="20"/>
              </w:rPr>
            </w:pPr>
            <w:r w:rsidRPr="001F224B">
              <w:rPr>
                <w:sz w:val="20"/>
                <w:szCs w:val="20"/>
              </w:rPr>
              <w:t>Diğer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83A53" w14:textId="77777777" w:rsidR="00FB440F" w:rsidRPr="001F224B" w:rsidRDefault="00FB440F" w:rsidP="00376779">
            <w:pPr>
              <w:jc w:val="right"/>
              <w:rPr>
                <w:color w:val="000000"/>
                <w:sz w:val="20"/>
                <w:szCs w:val="20"/>
              </w:rPr>
            </w:pPr>
            <w:r w:rsidRPr="001F224B">
              <w:rPr>
                <w:color w:val="000000"/>
                <w:sz w:val="20"/>
                <w:szCs w:val="20"/>
              </w:rPr>
              <w:t>81.426.803</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63A24151" w14:textId="77777777" w:rsidR="00FB440F" w:rsidRPr="001F224B" w:rsidRDefault="00FB440F" w:rsidP="00376779">
            <w:pPr>
              <w:jc w:val="right"/>
              <w:rPr>
                <w:color w:val="000000"/>
                <w:sz w:val="20"/>
                <w:szCs w:val="20"/>
              </w:rPr>
            </w:pPr>
            <w:r w:rsidRPr="001F224B">
              <w:rPr>
                <w:color w:val="000000"/>
                <w:sz w:val="20"/>
                <w:szCs w:val="20"/>
              </w:rPr>
              <w:t>529.126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62B09EFC" w14:textId="77777777" w:rsidR="00FB440F" w:rsidRPr="001F224B" w:rsidRDefault="00FB440F" w:rsidP="00376779">
            <w:pPr>
              <w:jc w:val="right"/>
              <w:rPr>
                <w:color w:val="000000"/>
                <w:sz w:val="20"/>
                <w:szCs w:val="20"/>
              </w:rPr>
            </w:pPr>
            <w:r w:rsidRPr="001F224B">
              <w:rPr>
                <w:color w:val="000000"/>
                <w:sz w:val="20"/>
                <w:szCs w:val="20"/>
              </w:rPr>
              <w:t>2.756.598</w:t>
            </w:r>
          </w:p>
        </w:tc>
        <w:tc>
          <w:tcPr>
            <w:tcW w:w="1484" w:type="dxa"/>
            <w:tcBorders>
              <w:left w:val="single" w:sz="2" w:space="0" w:color="000000"/>
            </w:tcBorders>
            <w:noWrap/>
            <w:vAlign w:val="bottom"/>
            <w:hideMark/>
          </w:tcPr>
          <w:p w14:paraId="2CD00C3B" w14:textId="77777777" w:rsidR="00FB440F" w:rsidRPr="001F224B" w:rsidRDefault="00FB440F" w:rsidP="00376779">
            <w:pPr>
              <w:ind w:left="567"/>
              <w:jc w:val="right"/>
              <w:rPr>
                <w:b/>
                <w:sz w:val="20"/>
                <w:szCs w:val="20"/>
              </w:rPr>
            </w:pPr>
            <w:r w:rsidRPr="001F224B">
              <w:rPr>
                <w:sz w:val="20"/>
                <w:szCs w:val="20"/>
              </w:rPr>
              <w:t>-</w:t>
            </w:r>
          </w:p>
        </w:tc>
      </w:tr>
      <w:tr w:rsidR="00FB440F" w:rsidRPr="001F224B" w14:paraId="5DC5B687" w14:textId="77777777" w:rsidTr="00376779">
        <w:trPr>
          <w:trHeight w:val="227"/>
        </w:trPr>
        <w:tc>
          <w:tcPr>
            <w:tcW w:w="4032" w:type="dxa"/>
            <w:noWrap/>
            <w:vAlign w:val="bottom"/>
            <w:hideMark/>
          </w:tcPr>
          <w:p w14:paraId="61F91BB3" w14:textId="77777777" w:rsidR="00FB440F" w:rsidRPr="001F224B" w:rsidRDefault="00FB440F" w:rsidP="00376779">
            <w:pPr>
              <w:jc w:val="both"/>
              <w:rPr>
                <w:b/>
                <w:sz w:val="20"/>
                <w:szCs w:val="20"/>
              </w:rPr>
            </w:pPr>
            <w:r w:rsidRPr="001F224B">
              <w:rPr>
                <w:b/>
                <w:sz w:val="20"/>
                <w:szCs w:val="20"/>
              </w:rPr>
              <w:t>İhtisas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89C76" w14:textId="77777777" w:rsidR="00FB440F" w:rsidRPr="001F224B" w:rsidRDefault="00FB440F" w:rsidP="00376779">
            <w:pPr>
              <w:jc w:val="right"/>
              <w:rPr>
                <w:b/>
                <w:bCs/>
                <w:color w:val="000000"/>
                <w:sz w:val="20"/>
                <w:szCs w:val="20"/>
              </w:rPr>
            </w:pPr>
            <w:r w:rsidRPr="001F224B">
              <w:rPr>
                <w:b/>
                <w:bCs/>
                <w:color w:val="000000"/>
                <w:sz w:val="20"/>
                <w:szCs w:val="20"/>
              </w:rPr>
              <w:t>211.287</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B872D10" w14:textId="77777777" w:rsidR="00FB440F" w:rsidRPr="001F224B" w:rsidRDefault="00FB440F" w:rsidP="00376779">
            <w:pPr>
              <w:jc w:val="right"/>
              <w:rPr>
                <w:b/>
                <w:bCs/>
                <w:color w:val="000000"/>
                <w:sz w:val="20"/>
                <w:szCs w:val="20"/>
              </w:rPr>
            </w:pPr>
            <w:r w:rsidRPr="001F224B">
              <w:rPr>
                <w:b/>
                <w:bCs/>
                <w:color w:val="000000"/>
                <w:sz w:val="20"/>
                <w:szCs w:val="20"/>
              </w:rPr>
              <w:t>36.468</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6BD8A29D"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70E35F23" w14:textId="77777777" w:rsidR="00FB440F" w:rsidRPr="001F224B" w:rsidRDefault="00FB440F" w:rsidP="00376779">
            <w:pPr>
              <w:ind w:left="567"/>
              <w:jc w:val="right"/>
              <w:rPr>
                <w:b/>
                <w:bCs/>
                <w:sz w:val="20"/>
                <w:szCs w:val="20"/>
              </w:rPr>
            </w:pPr>
            <w:r w:rsidRPr="001F224B">
              <w:rPr>
                <w:b/>
                <w:bCs/>
                <w:sz w:val="20"/>
                <w:szCs w:val="20"/>
              </w:rPr>
              <w:t xml:space="preserve">   -</w:t>
            </w:r>
          </w:p>
        </w:tc>
      </w:tr>
      <w:tr w:rsidR="00FB440F" w:rsidRPr="001F224B" w14:paraId="38DD13A0" w14:textId="77777777" w:rsidTr="00376779">
        <w:trPr>
          <w:trHeight w:val="227"/>
        </w:trPr>
        <w:tc>
          <w:tcPr>
            <w:tcW w:w="4032" w:type="dxa"/>
            <w:noWrap/>
            <w:vAlign w:val="bottom"/>
            <w:hideMark/>
          </w:tcPr>
          <w:p w14:paraId="04F839C8" w14:textId="77777777" w:rsidR="00FB440F" w:rsidRPr="001F224B" w:rsidRDefault="00FB440F" w:rsidP="00376779">
            <w:pPr>
              <w:jc w:val="both"/>
              <w:rPr>
                <w:sz w:val="20"/>
                <w:szCs w:val="20"/>
              </w:rPr>
            </w:pPr>
            <w:r w:rsidRPr="001F224B">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tcPr>
          <w:p w14:paraId="41CD4DE0" w14:textId="77777777" w:rsidR="00FB440F" w:rsidRPr="001F224B" w:rsidRDefault="00FB440F" w:rsidP="00376779">
            <w:pPr>
              <w:jc w:val="right"/>
              <w:rPr>
                <w:color w:val="000000"/>
                <w:sz w:val="20"/>
                <w:szCs w:val="20"/>
              </w:rPr>
            </w:pPr>
            <w:r w:rsidRPr="001F224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316842" w14:textId="77777777" w:rsidR="00FB440F" w:rsidRPr="001F224B" w:rsidRDefault="00FB440F" w:rsidP="00376779">
            <w:pPr>
              <w:jc w:val="right"/>
              <w:rPr>
                <w:color w:val="000000"/>
                <w:sz w:val="20"/>
                <w:szCs w:val="20"/>
              </w:rPr>
            </w:pPr>
            <w:r w:rsidRPr="001F224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tcPr>
          <w:p w14:paraId="0E799CAC" w14:textId="77777777" w:rsidR="00FB440F" w:rsidRPr="001F224B" w:rsidRDefault="00FB440F" w:rsidP="00376779">
            <w:pPr>
              <w:jc w:val="right"/>
              <w:rPr>
                <w:color w:val="000000"/>
                <w:sz w:val="20"/>
                <w:szCs w:val="20"/>
              </w:rPr>
            </w:pPr>
            <w:r w:rsidRPr="001F224B">
              <w:rPr>
                <w:color w:val="000000"/>
                <w:sz w:val="20"/>
                <w:szCs w:val="20"/>
              </w:rPr>
              <w:t>-</w:t>
            </w:r>
          </w:p>
        </w:tc>
        <w:tc>
          <w:tcPr>
            <w:tcW w:w="1484" w:type="dxa"/>
            <w:tcBorders>
              <w:left w:val="single" w:sz="2" w:space="0" w:color="000000"/>
            </w:tcBorders>
            <w:noWrap/>
            <w:vAlign w:val="bottom"/>
            <w:hideMark/>
          </w:tcPr>
          <w:p w14:paraId="6A7C2D27" w14:textId="77777777" w:rsidR="00FB440F" w:rsidRPr="001F224B" w:rsidRDefault="00FB440F" w:rsidP="00376779">
            <w:pPr>
              <w:ind w:left="567"/>
              <w:jc w:val="right"/>
              <w:rPr>
                <w:sz w:val="20"/>
                <w:szCs w:val="20"/>
              </w:rPr>
            </w:pPr>
            <w:r w:rsidRPr="001F224B">
              <w:rPr>
                <w:sz w:val="20"/>
                <w:szCs w:val="20"/>
              </w:rPr>
              <w:t>-</w:t>
            </w:r>
          </w:p>
        </w:tc>
      </w:tr>
      <w:tr w:rsidR="00FB440F" w:rsidRPr="001F224B" w14:paraId="5AFD7718" w14:textId="77777777" w:rsidTr="00376779">
        <w:trPr>
          <w:trHeight w:val="57"/>
        </w:trPr>
        <w:tc>
          <w:tcPr>
            <w:tcW w:w="4032" w:type="dxa"/>
            <w:noWrap/>
            <w:vAlign w:val="bottom"/>
            <w:hideMark/>
          </w:tcPr>
          <w:p w14:paraId="1446AE87" w14:textId="77777777" w:rsidR="00FB440F" w:rsidRPr="001F224B" w:rsidRDefault="00FB440F" w:rsidP="00376779">
            <w:pPr>
              <w:jc w:val="both"/>
              <w:rPr>
                <w:b/>
                <w:sz w:val="20"/>
                <w:szCs w:val="20"/>
              </w:rPr>
            </w:pPr>
            <w:r w:rsidRPr="001F224B">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tcPr>
          <w:p w14:paraId="76A23CDE" w14:textId="77777777" w:rsidR="00FB440F" w:rsidRPr="001F224B" w:rsidRDefault="00FB440F" w:rsidP="00376779">
            <w:pPr>
              <w:jc w:val="right"/>
              <w:rPr>
                <w:b/>
                <w:bCs/>
                <w:color w:val="000000"/>
                <w:sz w:val="20"/>
                <w:szCs w:val="20"/>
              </w:rPr>
            </w:pPr>
            <w:r w:rsidRPr="001F224B">
              <w:rPr>
                <w:b/>
                <w:bCs/>
                <w:color w:val="000000"/>
                <w:sz w:val="20"/>
                <w:szCs w:val="20"/>
              </w:rPr>
              <w:t>105.412.729</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tcPr>
          <w:p w14:paraId="490609F5" w14:textId="77777777" w:rsidR="00FB440F" w:rsidRPr="001F224B" w:rsidRDefault="00FB440F" w:rsidP="00376779">
            <w:pPr>
              <w:jc w:val="right"/>
              <w:rPr>
                <w:b/>
                <w:bCs/>
                <w:color w:val="000000"/>
                <w:sz w:val="20"/>
                <w:szCs w:val="20"/>
              </w:rPr>
            </w:pPr>
            <w:r w:rsidRPr="001F224B">
              <w:rPr>
                <w:b/>
                <w:bCs/>
                <w:color w:val="000000"/>
                <w:sz w:val="20"/>
                <w:szCs w:val="20"/>
              </w:rPr>
              <w:t>565.594</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tcPr>
          <w:p w14:paraId="07B8D8D8" w14:textId="77777777" w:rsidR="00FB440F" w:rsidRPr="001F224B" w:rsidRDefault="00FB440F" w:rsidP="00376779">
            <w:pPr>
              <w:jc w:val="right"/>
              <w:rPr>
                <w:b/>
                <w:bCs/>
                <w:color w:val="000000"/>
                <w:sz w:val="20"/>
                <w:szCs w:val="20"/>
              </w:rPr>
            </w:pPr>
            <w:r w:rsidRPr="001F224B">
              <w:rPr>
                <w:b/>
                <w:bCs/>
                <w:color w:val="000000"/>
                <w:sz w:val="20"/>
                <w:szCs w:val="20"/>
              </w:rPr>
              <w:t>2.756.598</w:t>
            </w:r>
          </w:p>
        </w:tc>
        <w:tc>
          <w:tcPr>
            <w:tcW w:w="1484" w:type="dxa"/>
            <w:tcBorders>
              <w:left w:val="single" w:sz="2" w:space="0" w:color="000000"/>
            </w:tcBorders>
            <w:noWrap/>
            <w:vAlign w:val="bottom"/>
            <w:hideMark/>
          </w:tcPr>
          <w:p w14:paraId="59638BF7" w14:textId="77777777" w:rsidR="00FB440F" w:rsidRPr="001F224B" w:rsidRDefault="00FB440F" w:rsidP="00376779">
            <w:pPr>
              <w:ind w:left="567"/>
              <w:jc w:val="right"/>
              <w:rPr>
                <w:b/>
                <w:sz w:val="20"/>
                <w:szCs w:val="20"/>
              </w:rPr>
            </w:pPr>
            <w:r w:rsidRPr="001F224B">
              <w:rPr>
                <w:b/>
                <w:sz w:val="20"/>
                <w:szCs w:val="20"/>
              </w:rPr>
              <w:t>-</w:t>
            </w:r>
          </w:p>
        </w:tc>
      </w:tr>
    </w:tbl>
    <w:p w14:paraId="4C1E1889" w14:textId="77777777" w:rsidR="00E56B3E" w:rsidRPr="001F224B" w:rsidRDefault="00E56B3E" w:rsidP="00EC5140">
      <w:pPr>
        <w:rPr>
          <w:b/>
          <w:bCs/>
          <w:sz w:val="22"/>
          <w:szCs w:val="22"/>
        </w:rPr>
      </w:pPr>
    </w:p>
    <w:p w14:paraId="2453497A" w14:textId="77777777" w:rsidR="00433353" w:rsidRPr="001F224B" w:rsidRDefault="00433353" w:rsidP="00433353">
      <w:pPr>
        <w:pStyle w:val="NormalWeb"/>
        <w:tabs>
          <w:tab w:val="left" w:pos="567"/>
        </w:tabs>
        <w:spacing w:before="120" w:beforeAutospacing="0" w:after="120" w:afterAutospacing="0"/>
        <w:jc w:val="both"/>
        <w:rPr>
          <w:rFonts w:ascii="Times New Roman" w:cs="Times New Roman"/>
          <w:b/>
          <w:bCs/>
          <w:sz w:val="22"/>
          <w:szCs w:val="22"/>
          <w:lang w:val="tr-TR"/>
        </w:rPr>
      </w:pPr>
    </w:p>
    <w:p w14:paraId="68046E33" w14:textId="77777777" w:rsidR="00433353" w:rsidRPr="001F224B" w:rsidRDefault="00433353" w:rsidP="00433353">
      <w:pPr>
        <w:pStyle w:val="ListParagraph"/>
        <w:tabs>
          <w:tab w:val="left" w:pos="0"/>
        </w:tabs>
        <w:spacing w:before="120" w:after="120"/>
        <w:ind w:left="0"/>
        <w:rPr>
          <w:b/>
          <w:bCs/>
          <w:sz w:val="22"/>
          <w:szCs w:val="22"/>
        </w:rPr>
      </w:pPr>
      <w:r w:rsidRPr="001F224B">
        <w:rPr>
          <w:b/>
          <w:bCs/>
          <w:sz w:val="22"/>
          <w:szCs w:val="22"/>
        </w:rPr>
        <w:t>BEŞİNCİ BÖLÜM (Devamı)</w:t>
      </w:r>
    </w:p>
    <w:p w14:paraId="0D0491F7" w14:textId="77777777" w:rsidR="00433353" w:rsidRPr="001F224B" w:rsidRDefault="00433353" w:rsidP="00433353">
      <w:pPr>
        <w:pStyle w:val="ListParagraph"/>
        <w:tabs>
          <w:tab w:val="left" w:pos="0"/>
        </w:tabs>
        <w:spacing w:line="360" w:lineRule="auto"/>
        <w:ind w:left="0"/>
        <w:rPr>
          <w:b/>
          <w:bCs/>
          <w:sz w:val="22"/>
          <w:szCs w:val="22"/>
        </w:rPr>
      </w:pPr>
      <w:r w:rsidRPr="001F224B">
        <w:rPr>
          <w:b/>
          <w:bCs/>
          <w:sz w:val="22"/>
          <w:szCs w:val="22"/>
        </w:rPr>
        <w:t>KONSOLİDE FİNANSAL TABLOLARA İLİŞKİN AÇIKLAMA VE DİPNOTLAR (Devamı)</w:t>
      </w:r>
    </w:p>
    <w:p w14:paraId="776D809A" w14:textId="77777777" w:rsidR="002C73E9" w:rsidRPr="001F224B" w:rsidRDefault="002C73E9" w:rsidP="002C73E9">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I.</w:t>
      </w:r>
      <w:r w:rsidRPr="001F224B">
        <w:rPr>
          <w:rFonts w:ascii="Times New Roman" w:cs="Times New Roman"/>
          <w:b/>
          <w:bCs/>
          <w:sz w:val="22"/>
          <w:szCs w:val="22"/>
          <w:lang w:val="tr-TR"/>
        </w:rPr>
        <w:tab/>
        <w:t>Konsolide bilançonun aktif hesaplarına ilişkin açıklama ve dipnotlar (Devamı)</w:t>
      </w:r>
    </w:p>
    <w:p w14:paraId="5BE11B48" w14:textId="7D5666F2" w:rsidR="00433353" w:rsidRPr="001F224B" w:rsidRDefault="00433353" w:rsidP="00433353">
      <w:pPr>
        <w:pStyle w:val="NormalWeb"/>
        <w:tabs>
          <w:tab w:val="left" w:pos="567"/>
        </w:tabs>
        <w:spacing w:before="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2.</w:t>
      </w:r>
      <w:r w:rsidRPr="001F224B">
        <w:rPr>
          <w:rFonts w:ascii="Times New Roman" w:cs="Times New Roman"/>
          <w:b/>
          <w:bCs/>
          <w:sz w:val="22"/>
          <w:szCs w:val="22"/>
          <w:lang w:val="tr-TR"/>
        </w:rPr>
        <w:tab/>
        <w:t>İtfa edilmiş maliyeti ile ölçülen finansal varlıklara ilişkin açıklamalar (Net)</w:t>
      </w:r>
      <w:r w:rsidR="002C73E9" w:rsidRPr="001F224B">
        <w:rPr>
          <w:rFonts w:ascii="Times New Roman" w:cs="Times New Roman"/>
          <w:b/>
          <w:bCs/>
          <w:sz w:val="22"/>
          <w:szCs w:val="22"/>
          <w:lang w:val="tr-TR"/>
        </w:rPr>
        <w:t xml:space="preserve"> (Devamı)</w:t>
      </w:r>
      <w:r w:rsidRPr="001F224B">
        <w:rPr>
          <w:rFonts w:ascii="Times New Roman" w:cs="Times New Roman"/>
          <w:b/>
          <w:bCs/>
          <w:sz w:val="22"/>
          <w:szCs w:val="22"/>
          <w:lang w:val="tr-TR"/>
        </w:rPr>
        <w:t>:</w:t>
      </w:r>
    </w:p>
    <w:p w14:paraId="65E07218" w14:textId="004C34FF" w:rsidR="00433353" w:rsidRPr="001F224B" w:rsidRDefault="00433353" w:rsidP="00433353">
      <w:pPr>
        <w:pStyle w:val="NormalWeb"/>
        <w:tabs>
          <w:tab w:val="left" w:pos="567"/>
        </w:tabs>
        <w:spacing w:before="0" w:beforeAutospacing="0" w:after="0" w:afterAutospacing="0"/>
        <w:jc w:val="both"/>
        <w:rPr>
          <w:rFonts w:ascii="Times New Roman" w:cs="Times New Roman"/>
          <w:b/>
          <w:bCs/>
          <w:sz w:val="22"/>
          <w:szCs w:val="22"/>
          <w:lang w:val="tr-TR"/>
        </w:rPr>
      </w:pPr>
      <w:r w:rsidRPr="001F224B">
        <w:rPr>
          <w:rFonts w:ascii="Times New Roman" w:cs="Times New Roman"/>
          <w:b/>
          <w:bCs/>
          <w:sz w:val="22"/>
          <w:szCs w:val="22"/>
          <w:lang w:val="tr-TR"/>
        </w:rPr>
        <w:t>2.1.</w:t>
      </w:r>
      <w:r w:rsidRPr="001F224B">
        <w:rPr>
          <w:rFonts w:ascii="Times New Roman" w:cs="Times New Roman"/>
          <w:b/>
          <w:bCs/>
          <w:sz w:val="22"/>
          <w:szCs w:val="22"/>
          <w:lang w:val="tr-TR"/>
        </w:rPr>
        <w:tab/>
        <w:t>Kredilere ilişkin bilgiler</w:t>
      </w:r>
      <w:r w:rsidR="00CE0A03" w:rsidRPr="001F224B">
        <w:rPr>
          <w:rFonts w:ascii="Times New Roman" w:cs="Times New Roman"/>
          <w:b/>
          <w:bCs/>
          <w:sz w:val="22"/>
          <w:szCs w:val="22"/>
          <w:lang w:val="tr-TR"/>
        </w:rPr>
        <w:t xml:space="preserve"> (Devamı):</w:t>
      </w:r>
    </w:p>
    <w:p w14:paraId="45475598" w14:textId="57577A65" w:rsidR="00217077" w:rsidRPr="001F224B" w:rsidRDefault="0067589E" w:rsidP="00217077">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2.</w:t>
      </w:r>
      <w:r w:rsidR="005C0CBC" w:rsidRPr="001F224B">
        <w:rPr>
          <w:rFonts w:ascii="Times New Roman" w:cs="Times New Roman"/>
          <w:b/>
          <w:bCs/>
          <w:sz w:val="22"/>
          <w:szCs w:val="22"/>
          <w:lang w:val="tr-TR"/>
        </w:rPr>
        <w:t>1.</w:t>
      </w:r>
      <w:r w:rsidR="00BD16C6" w:rsidRPr="001F224B">
        <w:rPr>
          <w:rFonts w:ascii="Times New Roman" w:cs="Times New Roman"/>
          <w:b/>
          <w:bCs/>
          <w:sz w:val="22"/>
          <w:szCs w:val="22"/>
          <w:lang w:val="tr-TR"/>
        </w:rPr>
        <w:t>b)</w:t>
      </w:r>
      <w:r w:rsidR="00BD16C6" w:rsidRPr="001F224B">
        <w:rPr>
          <w:rFonts w:ascii="Times New Roman" w:cs="Times New Roman"/>
          <w:b/>
          <w:bCs/>
          <w:sz w:val="22"/>
          <w:szCs w:val="22"/>
          <w:lang w:val="tr-TR"/>
        </w:rPr>
        <w:tab/>
      </w:r>
      <w:r w:rsidR="008C0646" w:rsidRPr="001F224B">
        <w:rPr>
          <w:rFonts w:ascii="Times New Roman" w:cs="Times New Roman"/>
          <w:b/>
          <w:bCs/>
          <w:sz w:val="22"/>
          <w:szCs w:val="22"/>
          <w:lang w:val="tr-TR"/>
        </w:rPr>
        <w:t xml:space="preserve"> </w:t>
      </w:r>
      <w:r w:rsidR="00534157" w:rsidRPr="001F224B">
        <w:rPr>
          <w:rFonts w:ascii="Times New Roman" w:cs="Times New Roman"/>
          <w:b/>
          <w:bCs/>
          <w:sz w:val="22"/>
          <w:szCs w:val="22"/>
          <w:lang w:val="tr-TR"/>
        </w:rPr>
        <w:t>Standart nitelikli ve yakın izlemedeki (birinci ve ikinci grup krediler) ile yeniden yapılandırılan</w:t>
      </w:r>
      <w:r w:rsidR="000E65AA" w:rsidRPr="001F224B">
        <w:rPr>
          <w:rFonts w:ascii="Times New Roman" w:cs="Times New Roman"/>
          <w:b/>
          <w:bCs/>
          <w:sz w:val="22"/>
          <w:szCs w:val="22"/>
          <w:lang w:val="tr-TR"/>
        </w:rPr>
        <w:t xml:space="preserve"> </w:t>
      </w:r>
      <w:r w:rsidR="00534157" w:rsidRPr="001F224B">
        <w:rPr>
          <w:rFonts w:ascii="Times New Roman" w:cs="Times New Roman"/>
          <w:b/>
          <w:bCs/>
          <w:sz w:val="22"/>
          <w:szCs w:val="22"/>
          <w:lang w:val="tr-TR"/>
        </w:rPr>
        <w:t>yakın izlemedeki kredilere ilişkin bilgiler</w:t>
      </w:r>
      <w:r w:rsidR="00897E33" w:rsidRPr="001F224B">
        <w:rPr>
          <w:rFonts w:ascii="Times New Roman" w:cs="Times New Roman"/>
          <w:b/>
          <w:bCs/>
          <w:sz w:val="22"/>
          <w:szCs w:val="22"/>
          <w:lang w:val="tr-TR"/>
        </w:rPr>
        <w:t xml:space="preserve"> (Devamı)</w:t>
      </w:r>
      <w:r w:rsidR="00267DF1" w:rsidRPr="001F224B">
        <w:rPr>
          <w:rFonts w:ascii="Times New Roman" w:cs="Times New Roman"/>
          <w:b/>
          <w:bCs/>
          <w:sz w:val="22"/>
          <w:szCs w:val="22"/>
          <w:lang w:val="tr-TR"/>
        </w:rPr>
        <w:t>:</w:t>
      </w:r>
    </w:p>
    <w:tbl>
      <w:tblPr>
        <w:tblStyle w:val="TableGrid"/>
        <w:tblW w:w="9763" w:type="dxa"/>
        <w:tblInd w:w="37" w:type="dxa"/>
        <w:tblLayout w:type="fixed"/>
        <w:tblLook w:val="04A0" w:firstRow="1" w:lastRow="0" w:firstColumn="1" w:lastColumn="0" w:noHBand="0" w:noVBand="1"/>
      </w:tblPr>
      <w:tblGrid>
        <w:gridCol w:w="3927"/>
        <w:gridCol w:w="1560"/>
        <w:gridCol w:w="1529"/>
        <w:gridCol w:w="1470"/>
        <w:gridCol w:w="1277"/>
      </w:tblGrid>
      <w:tr w:rsidR="00793D82" w:rsidRPr="001F224B" w14:paraId="4FBBC2C3" w14:textId="77777777" w:rsidTr="00AE60E1">
        <w:trPr>
          <w:trHeight w:val="360"/>
        </w:trPr>
        <w:tc>
          <w:tcPr>
            <w:tcW w:w="3927" w:type="dxa"/>
            <w:vMerge w:val="restart"/>
            <w:noWrap/>
            <w:vAlign w:val="bottom"/>
            <w:hideMark/>
          </w:tcPr>
          <w:p w14:paraId="05533984" w14:textId="77777777" w:rsidR="00793D82" w:rsidRPr="001F224B" w:rsidRDefault="00793D82" w:rsidP="00685811">
            <w:pPr>
              <w:ind w:left="567"/>
              <w:jc w:val="both"/>
              <w:rPr>
                <w:b/>
                <w:sz w:val="20"/>
                <w:szCs w:val="20"/>
              </w:rPr>
            </w:pPr>
          </w:p>
          <w:p w14:paraId="64D235AC" w14:textId="77777777" w:rsidR="00793D82" w:rsidRPr="001F224B" w:rsidRDefault="00793D82" w:rsidP="00685811">
            <w:pPr>
              <w:ind w:left="567"/>
              <w:jc w:val="both"/>
              <w:rPr>
                <w:b/>
                <w:sz w:val="20"/>
                <w:szCs w:val="20"/>
              </w:rPr>
            </w:pPr>
          </w:p>
          <w:p w14:paraId="6F61F494" w14:textId="77777777" w:rsidR="00793D82" w:rsidRPr="001F224B" w:rsidRDefault="00793D82" w:rsidP="00685811">
            <w:pPr>
              <w:ind w:left="567"/>
              <w:jc w:val="both"/>
              <w:rPr>
                <w:b/>
                <w:sz w:val="20"/>
                <w:szCs w:val="20"/>
              </w:rPr>
            </w:pPr>
          </w:p>
          <w:p w14:paraId="1BF0BD97" w14:textId="77777777" w:rsidR="00793D82" w:rsidRPr="001F224B" w:rsidRDefault="00793D82" w:rsidP="00685811">
            <w:pPr>
              <w:ind w:left="-8"/>
              <w:jc w:val="both"/>
              <w:rPr>
                <w:b/>
                <w:sz w:val="20"/>
                <w:szCs w:val="20"/>
              </w:rPr>
            </w:pPr>
            <w:r w:rsidRPr="001F224B">
              <w:rPr>
                <w:b/>
                <w:sz w:val="20"/>
                <w:szCs w:val="20"/>
              </w:rPr>
              <w:t>Nakdi Krediler</w:t>
            </w:r>
          </w:p>
          <w:p w14:paraId="7DA60C04" w14:textId="50FE59C1" w:rsidR="00793D82" w:rsidRPr="001F224B" w:rsidRDefault="00C62516" w:rsidP="00685811">
            <w:pPr>
              <w:ind w:left="-8"/>
              <w:jc w:val="both"/>
              <w:rPr>
                <w:b/>
                <w:sz w:val="20"/>
                <w:szCs w:val="20"/>
              </w:rPr>
            </w:pPr>
            <w:r w:rsidRPr="001F224B">
              <w:rPr>
                <w:b/>
                <w:sz w:val="20"/>
                <w:szCs w:val="20"/>
              </w:rPr>
              <w:t>Önceki Dönem (31.12.202</w:t>
            </w:r>
            <w:r w:rsidR="00FA2508" w:rsidRPr="001F224B">
              <w:rPr>
                <w:b/>
                <w:sz w:val="20"/>
                <w:szCs w:val="20"/>
              </w:rPr>
              <w:t>4</w:t>
            </w:r>
            <w:r w:rsidR="00793D82" w:rsidRPr="001F224B">
              <w:rPr>
                <w:b/>
                <w:sz w:val="20"/>
                <w:szCs w:val="20"/>
              </w:rPr>
              <w:t>)</w:t>
            </w:r>
          </w:p>
        </w:tc>
        <w:tc>
          <w:tcPr>
            <w:tcW w:w="1560" w:type="dxa"/>
            <w:vMerge w:val="restart"/>
            <w:hideMark/>
          </w:tcPr>
          <w:p w14:paraId="6627DE33" w14:textId="77777777" w:rsidR="00793D82" w:rsidRPr="001F224B" w:rsidRDefault="00793D82" w:rsidP="00685811">
            <w:pPr>
              <w:jc w:val="center"/>
              <w:rPr>
                <w:b/>
                <w:sz w:val="20"/>
                <w:szCs w:val="20"/>
              </w:rPr>
            </w:pPr>
          </w:p>
          <w:p w14:paraId="22844856" w14:textId="77777777" w:rsidR="00793D82" w:rsidRPr="001F224B" w:rsidRDefault="00793D82" w:rsidP="00685811">
            <w:pPr>
              <w:jc w:val="center"/>
              <w:rPr>
                <w:b/>
                <w:sz w:val="20"/>
                <w:szCs w:val="20"/>
              </w:rPr>
            </w:pPr>
          </w:p>
          <w:p w14:paraId="47D7BDBE" w14:textId="77777777" w:rsidR="00793D82" w:rsidRPr="001F224B" w:rsidRDefault="00793D82" w:rsidP="00685811">
            <w:pPr>
              <w:jc w:val="center"/>
              <w:rPr>
                <w:b/>
                <w:sz w:val="20"/>
                <w:szCs w:val="20"/>
              </w:rPr>
            </w:pPr>
            <w:r w:rsidRPr="001F224B">
              <w:rPr>
                <w:b/>
                <w:sz w:val="20"/>
                <w:szCs w:val="20"/>
              </w:rPr>
              <w:t>Standart Nitelikli Krediler</w:t>
            </w:r>
          </w:p>
        </w:tc>
        <w:tc>
          <w:tcPr>
            <w:tcW w:w="4276" w:type="dxa"/>
            <w:gridSpan w:val="3"/>
            <w:hideMark/>
          </w:tcPr>
          <w:p w14:paraId="3A970C33" w14:textId="77777777" w:rsidR="00793D82" w:rsidRPr="001F224B" w:rsidRDefault="00793D82" w:rsidP="00685811">
            <w:pPr>
              <w:ind w:left="567"/>
              <w:jc w:val="both"/>
              <w:rPr>
                <w:b/>
                <w:sz w:val="20"/>
                <w:szCs w:val="20"/>
              </w:rPr>
            </w:pPr>
            <w:r w:rsidRPr="001F224B">
              <w:rPr>
                <w:b/>
                <w:sz w:val="20"/>
                <w:szCs w:val="20"/>
              </w:rPr>
              <w:t>Yakın İzlemedeki Krediler</w:t>
            </w:r>
          </w:p>
        </w:tc>
      </w:tr>
      <w:tr w:rsidR="00793D82" w:rsidRPr="001F224B" w14:paraId="333EA66E" w14:textId="77777777" w:rsidTr="00AE60E1">
        <w:trPr>
          <w:trHeight w:val="396"/>
        </w:trPr>
        <w:tc>
          <w:tcPr>
            <w:tcW w:w="3927" w:type="dxa"/>
            <w:vMerge/>
            <w:hideMark/>
          </w:tcPr>
          <w:p w14:paraId="712BA28E" w14:textId="77777777" w:rsidR="00793D82" w:rsidRPr="001F224B" w:rsidRDefault="00793D82" w:rsidP="00685811">
            <w:pPr>
              <w:ind w:left="567"/>
              <w:jc w:val="both"/>
              <w:rPr>
                <w:b/>
                <w:sz w:val="20"/>
                <w:szCs w:val="20"/>
              </w:rPr>
            </w:pPr>
          </w:p>
        </w:tc>
        <w:tc>
          <w:tcPr>
            <w:tcW w:w="1560" w:type="dxa"/>
            <w:vMerge/>
            <w:hideMark/>
          </w:tcPr>
          <w:p w14:paraId="32081B1F" w14:textId="77777777" w:rsidR="00793D82" w:rsidRPr="001F224B" w:rsidRDefault="00793D82" w:rsidP="00685811">
            <w:pPr>
              <w:ind w:left="567"/>
              <w:jc w:val="both"/>
              <w:rPr>
                <w:b/>
                <w:sz w:val="20"/>
                <w:szCs w:val="20"/>
              </w:rPr>
            </w:pPr>
          </w:p>
        </w:tc>
        <w:tc>
          <w:tcPr>
            <w:tcW w:w="1529" w:type="dxa"/>
            <w:vMerge w:val="restart"/>
            <w:hideMark/>
          </w:tcPr>
          <w:p w14:paraId="7C053FB6" w14:textId="77777777" w:rsidR="00793D82" w:rsidRPr="001F224B" w:rsidRDefault="00793D82" w:rsidP="00685811">
            <w:pPr>
              <w:jc w:val="center"/>
              <w:rPr>
                <w:b/>
                <w:sz w:val="20"/>
                <w:szCs w:val="20"/>
              </w:rPr>
            </w:pPr>
            <w:r w:rsidRPr="001F224B">
              <w:rPr>
                <w:b/>
                <w:sz w:val="20"/>
                <w:szCs w:val="20"/>
              </w:rPr>
              <w:t>Yeniden Yapılandırma Kapsamında Yer Almayanlar</w:t>
            </w:r>
          </w:p>
        </w:tc>
        <w:tc>
          <w:tcPr>
            <w:tcW w:w="2747" w:type="dxa"/>
            <w:gridSpan w:val="2"/>
            <w:hideMark/>
          </w:tcPr>
          <w:p w14:paraId="706A25F2" w14:textId="77777777" w:rsidR="00793D82" w:rsidRPr="001F224B" w:rsidRDefault="00793D82" w:rsidP="00685811">
            <w:pPr>
              <w:ind w:left="567"/>
              <w:jc w:val="center"/>
              <w:rPr>
                <w:b/>
                <w:sz w:val="20"/>
                <w:szCs w:val="20"/>
              </w:rPr>
            </w:pPr>
            <w:r w:rsidRPr="001F224B">
              <w:rPr>
                <w:b/>
                <w:sz w:val="20"/>
                <w:szCs w:val="20"/>
              </w:rPr>
              <w:t>Yeniden Yapılandırılanlar</w:t>
            </w:r>
          </w:p>
        </w:tc>
      </w:tr>
      <w:tr w:rsidR="00793D82" w:rsidRPr="001F224B" w14:paraId="2D343CCF" w14:textId="77777777" w:rsidTr="00AE60E1">
        <w:trPr>
          <w:trHeight w:val="577"/>
        </w:trPr>
        <w:tc>
          <w:tcPr>
            <w:tcW w:w="3927" w:type="dxa"/>
            <w:vMerge/>
            <w:hideMark/>
          </w:tcPr>
          <w:p w14:paraId="0583AAFF" w14:textId="77777777" w:rsidR="00793D82" w:rsidRPr="001F224B" w:rsidRDefault="00793D82" w:rsidP="00685811">
            <w:pPr>
              <w:ind w:left="567"/>
              <w:jc w:val="both"/>
              <w:rPr>
                <w:b/>
                <w:sz w:val="20"/>
                <w:szCs w:val="20"/>
              </w:rPr>
            </w:pPr>
          </w:p>
        </w:tc>
        <w:tc>
          <w:tcPr>
            <w:tcW w:w="1560" w:type="dxa"/>
            <w:vMerge/>
            <w:hideMark/>
          </w:tcPr>
          <w:p w14:paraId="2743B4BB" w14:textId="77777777" w:rsidR="00793D82" w:rsidRPr="001F224B" w:rsidRDefault="00793D82" w:rsidP="00685811">
            <w:pPr>
              <w:ind w:left="567"/>
              <w:jc w:val="both"/>
              <w:rPr>
                <w:b/>
                <w:sz w:val="20"/>
                <w:szCs w:val="20"/>
              </w:rPr>
            </w:pPr>
          </w:p>
        </w:tc>
        <w:tc>
          <w:tcPr>
            <w:tcW w:w="1529" w:type="dxa"/>
            <w:vMerge/>
            <w:hideMark/>
          </w:tcPr>
          <w:p w14:paraId="6B793755" w14:textId="77777777" w:rsidR="00793D82" w:rsidRPr="001F224B" w:rsidRDefault="00793D82" w:rsidP="00685811">
            <w:pPr>
              <w:ind w:left="567"/>
              <w:jc w:val="center"/>
              <w:rPr>
                <w:b/>
                <w:sz w:val="20"/>
                <w:szCs w:val="20"/>
              </w:rPr>
            </w:pPr>
          </w:p>
        </w:tc>
        <w:tc>
          <w:tcPr>
            <w:tcW w:w="1470" w:type="dxa"/>
            <w:hideMark/>
          </w:tcPr>
          <w:p w14:paraId="244CAA12" w14:textId="77777777" w:rsidR="00793D82" w:rsidRPr="001F224B" w:rsidRDefault="00793D82" w:rsidP="00685811">
            <w:pPr>
              <w:jc w:val="center"/>
              <w:rPr>
                <w:b/>
                <w:sz w:val="20"/>
                <w:szCs w:val="20"/>
              </w:rPr>
            </w:pPr>
            <w:r w:rsidRPr="001F224B">
              <w:rPr>
                <w:b/>
                <w:sz w:val="20"/>
                <w:szCs w:val="20"/>
              </w:rPr>
              <w:t>Sözleşme Koşullarında Değişiklik</w:t>
            </w:r>
          </w:p>
        </w:tc>
        <w:tc>
          <w:tcPr>
            <w:tcW w:w="1277" w:type="dxa"/>
            <w:hideMark/>
          </w:tcPr>
          <w:p w14:paraId="2C25477C" w14:textId="77777777" w:rsidR="00793D82" w:rsidRPr="001F224B" w:rsidRDefault="00793D82" w:rsidP="00685811">
            <w:pPr>
              <w:jc w:val="center"/>
              <w:rPr>
                <w:b/>
                <w:sz w:val="20"/>
                <w:szCs w:val="20"/>
              </w:rPr>
            </w:pPr>
            <w:r w:rsidRPr="001F224B">
              <w:rPr>
                <w:b/>
                <w:sz w:val="20"/>
                <w:szCs w:val="20"/>
              </w:rPr>
              <w:t>Yeniden Finansman</w:t>
            </w:r>
          </w:p>
        </w:tc>
      </w:tr>
      <w:tr w:rsidR="00FA2508" w:rsidRPr="001F224B" w14:paraId="3C0D6570" w14:textId="77777777" w:rsidTr="002070B9">
        <w:trPr>
          <w:trHeight w:val="204"/>
        </w:trPr>
        <w:tc>
          <w:tcPr>
            <w:tcW w:w="3927" w:type="dxa"/>
            <w:noWrap/>
            <w:hideMark/>
          </w:tcPr>
          <w:p w14:paraId="480DA618" w14:textId="77777777" w:rsidR="00FA2508" w:rsidRPr="001F224B" w:rsidRDefault="00FA2508" w:rsidP="00FA2508">
            <w:pPr>
              <w:jc w:val="both"/>
              <w:rPr>
                <w:b/>
                <w:sz w:val="20"/>
                <w:szCs w:val="20"/>
              </w:rPr>
            </w:pPr>
            <w:r w:rsidRPr="001F224B">
              <w:rPr>
                <w:b/>
                <w:sz w:val="20"/>
                <w:szCs w:val="20"/>
              </w:rPr>
              <w:t>İhtisas Dışı Krediler</w:t>
            </w:r>
          </w:p>
        </w:tc>
        <w:tc>
          <w:tcPr>
            <w:tcW w:w="1560" w:type="dxa"/>
            <w:noWrap/>
            <w:vAlign w:val="bottom"/>
            <w:hideMark/>
          </w:tcPr>
          <w:p w14:paraId="4EA9B8D7" w14:textId="13288489" w:rsidR="00FA2508" w:rsidRPr="001F224B" w:rsidRDefault="00FA2508" w:rsidP="00FA2508">
            <w:pPr>
              <w:jc w:val="right"/>
              <w:rPr>
                <w:b/>
                <w:sz w:val="20"/>
                <w:szCs w:val="20"/>
              </w:rPr>
            </w:pPr>
            <w:r w:rsidRPr="001F224B">
              <w:rPr>
                <w:b/>
                <w:bCs/>
                <w:color w:val="000000"/>
                <w:sz w:val="20"/>
                <w:szCs w:val="20"/>
              </w:rPr>
              <w:t>88.100.505</w:t>
            </w:r>
          </w:p>
        </w:tc>
        <w:tc>
          <w:tcPr>
            <w:tcW w:w="1529" w:type="dxa"/>
            <w:noWrap/>
            <w:vAlign w:val="bottom"/>
            <w:hideMark/>
          </w:tcPr>
          <w:p w14:paraId="6024ECF1" w14:textId="54737DF7" w:rsidR="00FA2508" w:rsidRPr="001F224B" w:rsidRDefault="00FA2508" w:rsidP="00FA2508">
            <w:pPr>
              <w:jc w:val="right"/>
              <w:rPr>
                <w:b/>
                <w:sz w:val="20"/>
                <w:szCs w:val="20"/>
              </w:rPr>
            </w:pPr>
            <w:r w:rsidRPr="001F224B">
              <w:rPr>
                <w:b/>
                <w:bCs/>
                <w:color w:val="000000"/>
                <w:sz w:val="20"/>
                <w:szCs w:val="20"/>
              </w:rPr>
              <w:t>496.496</w:t>
            </w:r>
          </w:p>
        </w:tc>
        <w:tc>
          <w:tcPr>
            <w:tcW w:w="1470" w:type="dxa"/>
            <w:noWrap/>
            <w:vAlign w:val="bottom"/>
            <w:hideMark/>
          </w:tcPr>
          <w:p w14:paraId="03A2B56B" w14:textId="37D902A7" w:rsidR="00FA2508" w:rsidRPr="001F224B" w:rsidRDefault="00FA2508" w:rsidP="00FA2508">
            <w:pPr>
              <w:jc w:val="right"/>
              <w:rPr>
                <w:b/>
                <w:sz w:val="20"/>
                <w:szCs w:val="20"/>
              </w:rPr>
            </w:pPr>
            <w:r w:rsidRPr="001F224B">
              <w:rPr>
                <w:b/>
                <w:bCs/>
                <w:color w:val="000000"/>
                <w:sz w:val="20"/>
                <w:szCs w:val="20"/>
              </w:rPr>
              <w:t>5.116.702</w:t>
            </w:r>
          </w:p>
        </w:tc>
        <w:tc>
          <w:tcPr>
            <w:tcW w:w="1277" w:type="dxa"/>
            <w:noWrap/>
            <w:vAlign w:val="bottom"/>
            <w:hideMark/>
          </w:tcPr>
          <w:p w14:paraId="14167183" w14:textId="6EFB3259" w:rsidR="00FA2508" w:rsidRPr="001F224B" w:rsidRDefault="00FA2508" w:rsidP="00FA2508">
            <w:pPr>
              <w:ind w:left="567"/>
              <w:jc w:val="right"/>
              <w:rPr>
                <w:b/>
                <w:sz w:val="20"/>
                <w:szCs w:val="20"/>
              </w:rPr>
            </w:pPr>
            <w:r w:rsidRPr="001F224B">
              <w:rPr>
                <w:b/>
                <w:sz w:val="20"/>
                <w:szCs w:val="20"/>
              </w:rPr>
              <w:t>-</w:t>
            </w:r>
          </w:p>
        </w:tc>
      </w:tr>
      <w:tr w:rsidR="00FA2508" w:rsidRPr="001F224B" w14:paraId="0A4A32DC" w14:textId="77777777" w:rsidTr="00AE60E1">
        <w:trPr>
          <w:trHeight w:val="204"/>
        </w:trPr>
        <w:tc>
          <w:tcPr>
            <w:tcW w:w="3927" w:type="dxa"/>
            <w:noWrap/>
            <w:hideMark/>
          </w:tcPr>
          <w:p w14:paraId="68F95207" w14:textId="77777777" w:rsidR="00FA2508" w:rsidRPr="001F224B" w:rsidRDefault="00FA2508" w:rsidP="00FA2508">
            <w:pPr>
              <w:ind w:firstLine="417"/>
              <w:jc w:val="both"/>
              <w:rPr>
                <w:sz w:val="20"/>
                <w:szCs w:val="20"/>
              </w:rPr>
            </w:pPr>
            <w:r w:rsidRPr="001F224B">
              <w:rPr>
                <w:sz w:val="20"/>
                <w:szCs w:val="20"/>
              </w:rPr>
              <w:t>İşletme Kredileri</w:t>
            </w:r>
          </w:p>
        </w:tc>
        <w:tc>
          <w:tcPr>
            <w:tcW w:w="1560" w:type="dxa"/>
            <w:noWrap/>
            <w:vAlign w:val="bottom"/>
            <w:hideMark/>
          </w:tcPr>
          <w:p w14:paraId="3FCCB64D" w14:textId="22B4D948" w:rsidR="00FA2508" w:rsidRPr="001F224B" w:rsidRDefault="00FA2508" w:rsidP="00FA2508">
            <w:pPr>
              <w:jc w:val="right"/>
              <w:rPr>
                <w:sz w:val="20"/>
                <w:szCs w:val="20"/>
              </w:rPr>
            </w:pPr>
            <w:r w:rsidRPr="001F224B">
              <w:rPr>
                <w:color w:val="000000"/>
                <w:sz w:val="20"/>
                <w:szCs w:val="20"/>
              </w:rPr>
              <w:t>5.183.382</w:t>
            </w:r>
          </w:p>
        </w:tc>
        <w:tc>
          <w:tcPr>
            <w:tcW w:w="1529" w:type="dxa"/>
            <w:noWrap/>
            <w:vAlign w:val="bottom"/>
            <w:hideMark/>
          </w:tcPr>
          <w:p w14:paraId="2B7A870F" w14:textId="1F9EE6C7" w:rsidR="00FA2508" w:rsidRPr="001F224B" w:rsidRDefault="00FA2508" w:rsidP="00FA2508">
            <w:pPr>
              <w:jc w:val="right"/>
              <w:rPr>
                <w:sz w:val="20"/>
                <w:szCs w:val="20"/>
              </w:rPr>
            </w:pPr>
            <w:r w:rsidRPr="001F224B">
              <w:rPr>
                <w:color w:val="000000"/>
                <w:sz w:val="20"/>
                <w:szCs w:val="20"/>
              </w:rPr>
              <w:t>-</w:t>
            </w:r>
          </w:p>
        </w:tc>
        <w:tc>
          <w:tcPr>
            <w:tcW w:w="1470" w:type="dxa"/>
            <w:noWrap/>
            <w:vAlign w:val="bottom"/>
            <w:hideMark/>
          </w:tcPr>
          <w:p w14:paraId="169C112F" w14:textId="08FC2672" w:rsidR="00FA2508" w:rsidRPr="001F224B" w:rsidRDefault="00FA2508" w:rsidP="00FA2508">
            <w:pPr>
              <w:jc w:val="right"/>
              <w:rPr>
                <w:sz w:val="20"/>
                <w:szCs w:val="20"/>
              </w:rPr>
            </w:pPr>
            <w:r w:rsidRPr="001F224B">
              <w:rPr>
                <w:color w:val="000000"/>
                <w:sz w:val="20"/>
                <w:szCs w:val="20"/>
              </w:rPr>
              <w:t>-</w:t>
            </w:r>
          </w:p>
        </w:tc>
        <w:tc>
          <w:tcPr>
            <w:tcW w:w="1277" w:type="dxa"/>
            <w:noWrap/>
            <w:vAlign w:val="bottom"/>
            <w:hideMark/>
          </w:tcPr>
          <w:p w14:paraId="7C4BFD88" w14:textId="0B997F35" w:rsidR="00FA2508" w:rsidRPr="001F224B" w:rsidRDefault="00FA2508" w:rsidP="00FA2508">
            <w:pPr>
              <w:ind w:left="567"/>
              <w:jc w:val="right"/>
              <w:rPr>
                <w:b/>
                <w:sz w:val="20"/>
                <w:szCs w:val="20"/>
              </w:rPr>
            </w:pPr>
            <w:r w:rsidRPr="001F224B">
              <w:rPr>
                <w:sz w:val="20"/>
                <w:szCs w:val="20"/>
              </w:rPr>
              <w:t>-</w:t>
            </w:r>
          </w:p>
        </w:tc>
      </w:tr>
      <w:tr w:rsidR="00FA2508" w:rsidRPr="001F224B" w14:paraId="33201039" w14:textId="77777777" w:rsidTr="002070B9">
        <w:trPr>
          <w:trHeight w:val="204"/>
        </w:trPr>
        <w:tc>
          <w:tcPr>
            <w:tcW w:w="3927" w:type="dxa"/>
            <w:noWrap/>
            <w:hideMark/>
          </w:tcPr>
          <w:p w14:paraId="5B8DDD7D" w14:textId="77777777" w:rsidR="00FA2508" w:rsidRPr="001F224B" w:rsidRDefault="00FA2508" w:rsidP="00FA2508">
            <w:pPr>
              <w:ind w:firstLine="417"/>
              <w:jc w:val="both"/>
              <w:rPr>
                <w:sz w:val="20"/>
                <w:szCs w:val="20"/>
              </w:rPr>
            </w:pPr>
            <w:r w:rsidRPr="001F224B">
              <w:rPr>
                <w:sz w:val="20"/>
                <w:szCs w:val="20"/>
              </w:rPr>
              <w:t>İhracat Kredileri</w:t>
            </w:r>
          </w:p>
        </w:tc>
        <w:tc>
          <w:tcPr>
            <w:tcW w:w="1560" w:type="dxa"/>
            <w:noWrap/>
            <w:vAlign w:val="bottom"/>
            <w:hideMark/>
          </w:tcPr>
          <w:p w14:paraId="6C76EDC2" w14:textId="72002BC1" w:rsidR="00FA2508" w:rsidRPr="001F224B" w:rsidRDefault="00FA2508" w:rsidP="00FA2508">
            <w:pPr>
              <w:jc w:val="right"/>
              <w:rPr>
                <w:sz w:val="20"/>
                <w:szCs w:val="20"/>
              </w:rPr>
            </w:pPr>
            <w:r w:rsidRPr="001F224B">
              <w:rPr>
                <w:color w:val="000000"/>
                <w:sz w:val="20"/>
                <w:szCs w:val="20"/>
              </w:rPr>
              <w:t>-</w:t>
            </w:r>
          </w:p>
        </w:tc>
        <w:tc>
          <w:tcPr>
            <w:tcW w:w="1529" w:type="dxa"/>
            <w:noWrap/>
            <w:vAlign w:val="bottom"/>
            <w:hideMark/>
          </w:tcPr>
          <w:p w14:paraId="298C1427" w14:textId="67C1053E" w:rsidR="00FA2508" w:rsidRPr="001F224B" w:rsidRDefault="00FA2508" w:rsidP="00FA2508">
            <w:pPr>
              <w:jc w:val="right"/>
              <w:rPr>
                <w:sz w:val="20"/>
                <w:szCs w:val="20"/>
              </w:rPr>
            </w:pPr>
            <w:r w:rsidRPr="001F224B">
              <w:rPr>
                <w:color w:val="000000"/>
                <w:sz w:val="20"/>
                <w:szCs w:val="20"/>
              </w:rPr>
              <w:t>-</w:t>
            </w:r>
          </w:p>
        </w:tc>
        <w:tc>
          <w:tcPr>
            <w:tcW w:w="1470" w:type="dxa"/>
            <w:noWrap/>
            <w:vAlign w:val="bottom"/>
            <w:hideMark/>
          </w:tcPr>
          <w:p w14:paraId="7DEDEC90" w14:textId="6FBE4B4E" w:rsidR="00FA2508" w:rsidRPr="001F224B" w:rsidRDefault="00FA2508" w:rsidP="00FA2508">
            <w:pPr>
              <w:jc w:val="right"/>
              <w:rPr>
                <w:sz w:val="20"/>
                <w:szCs w:val="20"/>
              </w:rPr>
            </w:pPr>
            <w:r w:rsidRPr="001F224B">
              <w:rPr>
                <w:color w:val="000000"/>
                <w:sz w:val="20"/>
                <w:szCs w:val="20"/>
              </w:rPr>
              <w:t>-</w:t>
            </w:r>
          </w:p>
        </w:tc>
        <w:tc>
          <w:tcPr>
            <w:tcW w:w="1277" w:type="dxa"/>
            <w:noWrap/>
            <w:vAlign w:val="bottom"/>
            <w:hideMark/>
          </w:tcPr>
          <w:p w14:paraId="2B994CB2" w14:textId="361B1748" w:rsidR="00FA2508" w:rsidRPr="001F224B" w:rsidRDefault="00FA2508" w:rsidP="00FA2508">
            <w:pPr>
              <w:jc w:val="right"/>
              <w:rPr>
                <w:sz w:val="20"/>
                <w:szCs w:val="20"/>
              </w:rPr>
            </w:pPr>
            <w:r w:rsidRPr="001F224B">
              <w:rPr>
                <w:sz w:val="20"/>
                <w:szCs w:val="20"/>
              </w:rPr>
              <w:t>-</w:t>
            </w:r>
          </w:p>
        </w:tc>
      </w:tr>
      <w:tr w:rsidR="00FA2508" w:rsidRPr="001F224B" w14:paraId="3289615C" w14:textId="77777777" w:rsidTr="002070B9">
        <w:trPr>
          <w:trHeight w:val="204"/>
        </w:trPr>
        <w:tc>
          <w:tcPr>
            <w:tcW w:w="3927" w:type="dxa"/>
            <w:noWrap/>
            <w:hideMark/>
          </w:tcPr>
          <w:p w14:paraId="701B2017" w14:textId="77777777" w:rsidR="00FA2508" w:rsidRPr="001F224B" w:rsidRDefault="00FA2508" w:rsidP="00FA2508">
            <w:pPr>
              <w:ind w:firstLine="417"/>
              <w:jc w:val="both"/>
              <w:rPr>
                <w:sz w:val="20"/>
                <w:szCs w:val="20"/>
              </w:rPr>
            </w:pPr>
            <w:r w:rsidRPr="001F224B">
              <w:rPr>
                <w:sz w:val="20"/>
                <w:szCs w:val="20"/>
              </w:rPr>
              <w:t>İthalat Kredileri</w:t>
            </w:r>
          </w:p>
        </w:tc>
        <w:tc>
          <w:tcPr>
            <w:tcW w:w="1560" w:type="dxa"/>
            <w:noWrap/>
            <w:vAlign w:val="bottom"/>
            <w:hideMark/>
          </w:tcPr>
          <w:p w14:paraId="5BAAF3D6" w14:textId="4AA2A2A8" w:rsidR="00FA2508" w:rsidRPr="001F224B" w:rsidRDefault="00FA2508" w:rsidP="00FA2508">
            <w:pPr>
              <w:jc w:val="right"/>
              <w:rPr>
                <w:sz w:val="20"/>
                <w:szCs w:val="20"/>
              </w:rPr>
            </w:pPr>
            <w:r w:rsidRPr="001F224B">
              <w:rPr>
                <w:color w:val="000000"/>
                <w:sz w:val="20"/>
                <w:szCs w:val="20"/>
              </w:rPr>
              <w:t>-</w:t>
            </w:r>
          </w:p>
        </w:tc>
        <w:tc>
          <w:tcPr>
            <w:tcW w:w="1529" w:type="dxa"/>
            <w:noWrap/>
            <w:vAlign w:val="bottom"/>
            <w:hideMark/>
          </w:tcPr>
          <w:p w14:paraId="48593EB8" w14:textId="27C5CA52" w:rsidR="00FA2508" w:rsidRPr="001F224B" w:rsidRDefault="00FA2508" w:rsidP="00FA2508">
            <w:pPr>
              <w:jc w:val="right"/>
              <w:rPr>
                <w:sz w:val="20"/>
                <w:szCs w:val="20"/>
              </w:rPr>
            </w:pPr>
            <w:r w:rsidRPr="001F224B">
              <w:rPr>
                <w:color w:val="000000"/>
                <w:sz w:val="20"/>
                <w:szCs w:val="20"/>
              </w:rPr>
              <w:t>-</w:t>
            </w:r>
          </w:p>
        </w:tc>
        <w:tc>
          <w:tcPr>
            <w:tcW w:w="1470" w:type="dxa"/>
            <w:noWrap/>
            <w:vAlign w:val="bottom"/>
            <w:hideMark/>
          </w:tcPr>
          <w:p w14:paraId="22C7FADA" w14:textId="235F54C0" w:rsidR="00FA2508" w:rsidRPr="001F224B" w:rsidRDefault="00FA2508" w:rsidP="00FA2508">
            <w:pPr>
              <w:jc w:val="right"/>
              <w:rPr>
                <w:sz w:val="20"/>
                <w:szCs w:val="20"/>
              </w:rPr>
            </w:pPr>
            <w:r w:rsidRPr="001F224B">
              <w:rPr>
                <w:color w:val="000000"/>
                <w:sz w:val="20"/>
                <w:szCs w:val="20"/>
              </w:rPr>
              <w:t>-</w:t>
            </w:r>
          </w:p>
        </w:tc>
        <w:tc>
          <w:tcPr>
            <w:tcW w:w="1277" w:type="dxa"/>
            <w:noWrap/>
            <w:vAlign w:val="bottom"/>
            <w:hideMark/>
          </w:tcPr>
          <w:p w14:paraId="6CEF4726" w14:textId="2D85AF10" w:rsidR="00FA2508" w:rsidRPr="001F224B" w:rsidRDefault="00FA2508" w:rsidP="00FA2508">
            <w:pPr>
              <w:jc w:val="right"/>
              <w:rPr>
                <w:sz w:val="20"/>
                <w:szCs w:val="20"/>
              </w:rPr>
            </w:pPr>
            <w:r w:rsidRPr="001F224B">
              <w:rPr>
                <w:sz w:val="20"/>
                <w:szCs w:val="20"/>
              </w:rPr>
              <w:t>-</w:t>
            </w:r>
          </w:p>
        </w:tc>
      </w:tr>
      <w:tr w:rsidR="00FA2508" w:rsidRPr="001F224B" w14:paraId="02BF6A57" w14:textId="77777777" w:rsidTr="002070B9">
        <w:trPr>
          <w:trHeight w:val="204"/>
        </w:trPr>
        <w:tc>
          <w:tcPr>
            <w:tcW w:w="3927" w:type="dxa"/>
            <w:noWrap/>
            <w:hideMark/>
          </w:tcPr>
          <w:p w14:paraId="5B68D745" w14:textId="2BE70594" w:rsidR="00FA2508" w:rsidRPr="001F224B" w:rsidRDefault="00FA2508" w:rsidP="00FA2508">
            <w:pPr>
              <w:ind w:firstLine="417"/>
              <w:jc w:val="both"/>
              <w:rPr>
                <w:sz w:val="20"/>
                <w:szCs w:val="20"/>
              </w:rPr>
            </w:pPr>
            <w:r w:rsidRPr="001F224B">
              <w:rPr>
                <w:sz w:val="20"/>
                <w:szCs w:val="20"/>
              </w:rPr>
              <w:t>Mali Kesime Verilen Krediler</w:t>
            </w:r>
          </w:p>
        </w:tc>
        <w:tc>
          <w:tcPr>
            <w:tcW w:w="1560" w:type="dxa"/>
            <w:noWrap/>
            <w:vAlign w:val="bottom"/>
            <w:hideMark/>
          </w:tcPr>
          <w:p w14:paraId="60174B87" w14:textId="7769042A" w:rsidR="00FA2508" w:rsidRPr="001F224B" w:rsidRDefault="00FA2508" w:rsidP="00FA2508">
            <w:pPr>
              <w:jc w:val="right"/>
              <w:rPr>
                <w:sz w:val="20"/>
                <w:szCs w:val="20"/>
              </w:rPr>
            </w:pPr>
            <w:r w:rsidRPr="001F224B">
              <w:rPr>
                <w:color w:val="000000"/>
                <w:sz w:val="20"/>
                <w:szCs w:val="20"/>
              </w:rPr>
              <w:t>12.139.877</w:t>
            </w:r>
          </w:p>
        </w:tc>
        <w:tc>
          <w:tcPr>
            <w:tcW w:w="1529" w:type="dxa"/>
            <w:noWrap/>
            <w:vAlign w:val="bottom"/>
            <w:hideMark/>
          </w:tcPr>
          <w:p w14:paraId="78B97599" w14:textId="14575BDB" w:rsidR="00FA2508" w:rsidRPr="001F224B" w:rsidRDefault="00FA2508" w:rsidP="00FA2508">
            <w:pPr>
              <w:jc w:val="right"/>
              <w:rPr>
                <w:sz w:val="20"/>
                <w:szCs w:val="20"/>
              </w:rPr>
            </w:pPr>
            <w:r w:rsidRPr="001F224B">
              <w:rPr>
                <w:color w:val="000000"/>
                <w:sz w:val="20"/>
                <w:szCs w:val="20"/>
              </w:rPr>
              <w:t>-</w:t>
            </w:r>
          </w:p>
        </w:tc>
        <w:tc>
          <w:tcPr>
            <w:tcW w:w="1470" w:type="dxa"/>
            <w:noWrap/>
            <w:vAlign w:val="bottom"/>
            <w:hideMark/>
          </w:tcPr>
          <w:p w14:paraId="7DE15C93" w14:textId="1C455EF7" w:rsidR="00FA2508" w:rsidRPr="001F224B" w:rsidRDefault="00FA2508" w:rsidP="00FA2508">
            <w:pPr>
              <w:jc w:val="right"/>
              <w:rPr>
                <w:sz w:val="20"/>
                <w:szCs w:val="20"/>
              </w:rPr>
            </w:pPr>
            <w:r w:rsidRPr="001F224B">
              <w:rPr>
                <w:color w:val="000000"/>
                <w:sz w:val="20"/>
                <w:szCs w:val="20"/>
              </w:rPr>
              <w:t>-</w:t>
            </w:r>
          </w:p>
        </w:tc>
        <w:tc>
          <w:tcPr>
            <w:tcW w:w="1277" w:type="dxa"/>
            <w:noWrap/>
            <w:vAlign w:val="bottom"/>
            <w:hideMark/>
          </w:tcPr>
          <w:p w14:paraId="49A9661E" w14:textId="3C10D53A" w:rsidR="00FA2508" w:rsidRPr="001F224B" w:rsidRDefault="00FA2508" w:rsidP="00FA2508">
            <w:pPr>
              <w:jc w:val="right"/>
              <w:rPr>
                <w:sz w:val="20"/>
                <w:szCs w:val="20"/>
              </w:rPr>
            </w:pPr>
            <w:r w:rsidRPr="001F224B">
              <w:rPr>
                <w:sz w:val="20"/>
                <w:szCs w:val="20"/>
              </w:rPr>
              <w:t>-</w:t>
            </w:r>
          </w:p>
        </w:tc>
      </w:tr>
      <w:tr w:rsidR="00FA2508" w:rsidRPr="001F224B" w14:paraId="7ED2E4A1" w14:textId="77777777" w:rsidTr="002070B9">
        <w:trPr>
          <w:trHeight w:val="204"/>
        </w:trPr>
        <w:tc>
          <w:tcPr>
            <w:tcW w:w="3927" w:type="dxa"/>
            <w:noWrap/>
            <w:hideMark/>
          </w:tcPr>
          <w:p w14:paraId="045F2C21" w14:textId="77777777" w:rsidR="00FA2508" w:rsidRPr="001F224B" w:rsidRDefault="00FA2508" w:rsidP="00FA2508">
            <w:pPr>
              <w:ind w:firstLine="417"/>
              <w:jc w:val="both"/>
              <w:rPr>
                <w:sz w:val="20"/>
                <w:szCs w:val="20"/>
              </w:rPr>
            </w:pPr>
            <w:r w:rsidRPr="001F224B">
              <w:rPr>
                <w:sz w:val="20"/>
                <w:szCs w:val="20"/>
              </w:rPr>
              <w:t>Tüketici Kredileri</w:t>
            </w:r>
          </w:p>
        </w:tc>
        <w:tc>
          <w:tcPr>
            <w:tcW w:w="1560" w:type="dxa"/>
            <w:noWrap/>
            <w:vAlign w:val="bottom"/>
            <w:hideMark/>
          </w:tcPr>
          <w:p w14:paraId="522C9B06" w14:textId="68F442DF" w:rsidR="00FA2508" w:rsidRPr="001F224B" w:rsidRDefault="00FA2508" w:rsidP="00FA2508">
            <w:pPr>
              <w:jc w:val="right"/>
              <w:rPr>
                <w:sz w:val="20"/>
                <w:szCs w:val="20"/>
              </w:rPr>
            </w:pPr>
            <w:r w:rsidRPr="001F224B">
              <w:rPr>
                <w:color w:val="000000"/>
                <w:sz w:val="20"/>
                <w:szCs w:val="20"/>
              </w:rPr>
              <w:t>-</w:t>
            </w:r>
          </w:p>
        </w:tc>
        <w:tc>
          <w:tcPr>
            <w:tcW w:w="1529" w:type="dxa"/>
            <w:noWrap/>
            <w:vAlign w:val="bottom"/>
            <w:hideMark/>
          </w:tcPr>
          <w:p w14:paraId="14440605" w14:textId="5647E3D4" w:rsidR="00FA2508" w:rsidRPr="001F224B" w:rsidRDefault="00FA2508" w:rsidP="00FA2508">
            <w:pPr>
              <w:jc w:val="right"/>
              <w:rPr>
                <w:sz w:val="20"/>
                <w:szCs w:val="20"/>
              </w:rPr>
            </w:pPr>
            <w:r w:rsidRPr="001F224B">
              <w:rPr>
                <w:color w:val="000000"/>
                <w:sz w:val="20"/>
                <w:szCs w:val="20"/>
              </w:rPr>
              <w:t>-</w:t>
            </w:r>
          </w:p>
        </w:tc>
        <w:tc>
          <w:tcPr>
            <w:tcW w:w="1470" w:type="dxa"/>
            <w:noWrap/>
            <w:vAlign w:val="bottom"/>
            <w:hideMark/>
          </w:tcPr>
          <w:p w14:paraId="10A7B800" w14:textId="4915B643" w:rsidR="00FA2508" w:rsidRPr="001F224B" w:rsidRDefault="00FA2508" w:rsidP="00FA2508">
            <w:pPr>
              <w:jc w:val="right"/>
              <w:rPr>
                <w:sz w:val="20"/>
                <w:szCs w:val="20"/>
              </w:rPr>
            </w:pPr>
            <w:r w:rsidRPr="001F224B">
              <w:rPr>
                <w:color w:val="000000"/>
                <w:sz w:val="20"/>
                <w:szCs w:val="20"/>
              </w:rPr>
              <w:t>-</w:t>
            </w:r>
          </w:p>
        </w:tc>
        <w:tc>
          <w:tcPr>
            <w:tcW w:w="1277" w:type="dxa"/>
            <w:noWrap/>
            <w:vAlign w:val="bottom"/>
            <w:hideMark/>
          </w:tcPr>
          <w:p w14:paraId="0D4A84BC" w14:textId="46D1243D" w:rsidR="00FA2508" w:rsidRPr="001F224B" w:rsidRDefault="00FA2508" w:rsidP="00FA2508">
            <w:pPr>
              <w:jc w:val="right"/>
              <w:rPr>
                <w:sz w:val="20"/>
                <w:szCs w:val="20"/>
              </w:rPr>
            </w:pPr>
            <w:r w:rsidRPr="001F224B">
              <w:rPr>
                <w:sz w:val="20"/>
                <w:szCs w:val="20"/>
              </w:rPr>
              <w:t>-</w:t>
            </w:r>
          </w:p>
        </w:tc>
      </w:tr>
      <w:tr w:rsidR="00FA2508" w:rsidRPr="001F224B" w14:paraId="46668193" w14:textId="77777777" w:rsidTr="00AE60E1">
        <w:trPr>
          <w:trHeight w:val="204"/>
        </w:trPr>
        <w:tc>
          <w:tcPr>
            <w:tcW w:w="3927" w:type="dxa"/>
            <w:noWrap/>
            <w:hideMark/>
          </w:tcPr>
          <w:p w14:paraId="3163BC9F" w14:textId="77777777" w:rsidR="00FA2508" w:rsidRPr="001F224B" w:rsidRDefault="00FA2508" w:rsidP="00FA2508">
            <w:pPr>
              <w:ind w:firstLine="417"/>
              <w:jc w:val="both"/>
              <w:rPr>
                <w:sz w:val="20"/>
                <w:szCs w:val="20"/>
              </w:rPr>
            </w:pPr>
            <w:r w:rsidRPr="001F224B">
              <w:rPr>
                <w:sz w:val="20"/>
                <w:szCs w:val="20"/>
              </w:rPr>
              <w:t>Diğer Krediler</w:t>
            </w:r>
          </w:p>
        </w:tc>
        <w:tc>
          <w:tcPr>
            <w:tcW w:w="1560" w:type="dxa"/>
            <w:noWrap/>
            <w:vAlign w:val="bottom"/>
            <w:hideMark/>
          </w:tcPr>
          <w:p w14:paraId="5A47FF85" w14:textId="0DDF96C8" w:rsidR="00FA2508" w:rsidRPr="001F224B" w:rsidRDefault="00FA2508" w:rsidP="00FA2508">
            <w:pPr>
              <w:jc w:val="right"/>
              <w:rPr>
                <w:sz w:val="20"/>
                <w:szCs w:val="20"/>
              </w:rPr>
            </w:pPr>
            <w:r w:rsidRPr="001F224B">
              <w:rPr>
                <w:color w:val="000000"/>
                <w:sz w:val="20"/>
                <w:szCs w:val="20"/>
              </w:rPr>
              <w:t>70.777.246</w:t>
            </w:r>
          </w:p>
        </w:tc>
        <w:tc>
          <w:tcPr>
            <w:tcW w:w="1529" w:type="dxa"/>
            <w:noWrap/>
            <w:vAlign w:val="bottom"/>
            <w:hideMark/>
          </w:tcPr>
          <w:p w14:paraId="17227067" w14:textId="2DC73EA6" w:rsidR="00FA2508" w:rsidRPr="001F224B" w:rsidRDefault="00FA2508" w:rsidP="00FA2508">
            <w:pPr>
              <w:jc w:val="right"/>
              <w:rPr>
                <w:sz w:val="20"/>
                <w:szCs w:val="20"/>
              </w:rPr>
            </w:pPr>
            <w:r w:rsidRPr="001F224B">
              <w:rPr>
                <w:color w:val="000000"/>
                <w:sz w:val="20"/>
                <w:szCs w:val="20"/>
              </w:rPr>
              <w:t>496.496</w:t>
            </w:r>
          </w:p>
        </w:tc>
        <w:tc>
          <w:tcPr>
            <w:tcW w:w="1470" w:type="dxa"/>
            <w:noWrap/>
            <w:vAlign w:val="bottom"/>
            <w:hideMark/>
          </w:tcPr>
          <w:p w14:paraId="1F3EE627" w14:textId="5A798111" w:rsidR="00FA2508" w:rsidRPr="001F224B" w:rsidRDefault="00FA2508" w:rsidP="00FA2508">
            <w:pPr>
              <w:jc w:val="right"/>
              <w:rPr>
                <w:sz w:val="20"/>
                <w:szCs w:val="20"/>
              </w:rPr>
            </w:pPr>
            <w:r w:rsidRPr="001F224B">
              <w:rPr>
                <w:color w:val="000000"/>
                <w:sz w:val="20"/>
                <w:szCs w:val="20"/>
              </w:rPr>
              <w:t>5.116.702</w:t>
            </w:r>
          </w:p>
        </w:tc>
        <w:tc>
          <w:tcPr>
            <w:tcW w:w="1277" w:type="dxa"/>
            <w:noWrap/>
            <w:vAlign w:val="bottom"/>
            <w:hideMark/>
          </w:tcPr>
          <w:p w14:paraId="4B102BA0" w14:textId="253D6609" w:rsidR="00FA2508" w:rsidRPr="001F224B" w:rsidRDefault="00FA2508" w:rsidP="00FA2508">
            <w:pPr>
              <w:ind w:left="567"/>
              <w:jc w:val="right"/>
              <w:rPr>
                <w:b/>
                <w:sz w:val="20"/>
                <w:szCs w:val="20"/>
              </w:rPr>
            </w:pPr>
            <w:r w:rsidRPr="001F224B">
              <w:rPr>
                <w:sz w:val="20"/>
                <w:szCs w:val="20"/>
              </w:rPr>
              <w:t>-</w:t>
            </w:r>
          </w:p>
        </w:tc>
      </w:tr>
      <w:tr w:rsidR="00FA2508" w:rsidRPr="001F224B" w14:paraId="185E507D" w14:textId="77777777" w:rsidTr="00AE60E1">
        <w:trPr>
          <w:trHeight w:val="204"/>
        </w:trPr>
        <w:tc>
          <w:tcPr>
            <w:tcW w:w="3927" w:type="dxa"/>
            <w:noWrap/>
            <w:hideMark/>
          </w:tcPr>
          <w:p w14:paraId="6585C62F" w14:textId="77777777" w:rsidR="00FA2508" w:rsidRPr="001F224B" w:rsidRDefault="00FA2508" w:rsidP="00FA2508">
            <w:pPr>
              <w:jc w:val="both"/>
              <w:rPr>
                <w:b/>
                <w:sz w:val="20"/>
                <w:szCs w:val="20"/>
              </w:rPr>
            </w:pPr>
            <w:r w:rsidRPr="001F224B">
              <w:rPr>
                <w:b/>
                <w:sz w:val="20"/>
                <w:szCs w:val="20"/>
              </w:rPr>
              <w:t>İhtisas Kredileri</w:t>
            </w:r>
          </w:p>
        </w:tc>
        <w:tc>
          <w:tcPr>
            <w:tcW w:w="1560" w:type="dxa"/>
            <w:noWrap/>
            <w:vAlign w:val="bottom"/>
            <w:hideMark/>
          </w:tcPr>
          <w:p w14:paraId="5810D47C" w14:textId="34924BF4" w:rsidR="00FA2508" w:rsidRPr="001F224B" w:rsidRDefault="00FA2508" w:rsidP="00FA2508">
            <w:pPr>
              <w:jc w:val="right"/>
              <w:rPr>
                <w:b/>
                <w:sz w:val="20"/>
                <w:szCs w:val="20"/>
              </w:rPr>
            </w:pPr>
            <w:r w:rsidRPr="001F224B">
              <w:rPr>
                <w:b/>
                <w:bCs/>
                <w:color w:val="000000"/>
                <w:sz w:val="20"/>
                <w:szCs w:val="20"/>
              </w:rPr>
              <w:t>321.162</w:t>
            </w:r>
          </w:p>
        </w:tc>
        <w:tc>
          <w:tcPr>
            <w:tcW w:w="1529" w:type="dxa"/>
            <w:noWrap/>
            <w:vAlign w:val="bottom"/>
            <w:hideMark/>
          </w:tcPr>
          <w:p w14:paraId="18B489F7" w14:textId="0FEAF246" w:rsidR="00FA2508" w:rsidRPr="001F224B" w:rsidRDefault="00FA2508" w:rsidP="00FA2508">
            <w:pPr>
              <w:jc w:val="right"/>
              <w:rPr>
                <w:b/>
                <w:sz w:val="20"/>
                <w:szCs w:val="20"/>
              </w:rPr>
            </w:pPr>
            <w:r w:rsidRPr="001F224B">
              <w:rPr>
                <w:b/>
                <w:bCs/>
                <w:color w:val="000000"/>
                <w:sz w:val="20"/>
                <w:szCs w:val="20"/>
              </w:rPr>
              <w:t>45.220</w:t>
            </w:r>
          </w:p>
        </w:tc>
        <w:tc>
          <w:tcPr>
            <w:tcW w:w="1470" w:type="dxa"/>
            <w:noWrap/>
            <w:vAlign w:val="bottom"/>
            <w:hideMark/>
          </w:tcPr>
          <w:p w14:paraId="611D984D" w14:textId="6805EF1F" w:rsidR="00FA2508" w:rsidRPr="001F224B" w:rsidRDefault="00FA2508" w:rsidP="00FA2508">
            <w:pPr>
              <w:jc w:val="right"/>
              <w:rPr>
                <w:b/>
                <w:sz w:val="20"/>
                <w:szCs w:val="20"/>
              </w:rPr>
            </w:pPr>
            <w:r w:rsidRPr="001F224B">
              <w:rPr>
                <w:b/>
                <w:bCs/>
                <w:color w:val="000000"/>
                <w:sz w:val="20"/>
                <w:szCs w:val="20"/>
              </w:rPr>
              <w:t>-</w:t>
            </w:r>
          </w:p>
        </w:tc>
        <w:tc>
          <w:tcPr>
            <w:tcW w:w="1277" w:type="dxa"/>
            <w:noWrap/>
            <w:vAlign w:val="bottom"/>
            <w:hideMark/>
          </w:tcPr>
          <w:p w14:paraId="4768BE6E" w14:textId="33EB1AC8" w:rsidR="00FA2508" w:rsidRPr="001F224B" w:rsidRDefault="00FA2508" w:rsidP="00FA2508">
            <w:pPr>
              <w:ind w:left="567"/>
              <w:jc w:val="right"/>
              <w:rPr>
                <w:b/>
                <w:bCs/>
                <w:sz w:val="20"/>
                <w:szCs w:val="20"/>
              </w:rPr>
            </w:pPr>
            <w:r w:rsidRPr="001F224B">
              <w:rPr>
                <w:b/>
                <w:bCs/>
                <w:sz w:val="20"/>
                <w:szCs w:val="20"/>
              </w:rPr>
              <w:t xml:space="preserve">   -</w:t>
            </w:r>
          </w:p>
        </w:tc>
      </w:tr>
      <w:tr w:rsidR="00FA2508" w:rsidRPr="001F224B" w14:paraId="327CD859" w14:textId="77777777" w:rsidTr="002070B9">
        <w:trPr>
          <w:trHeight w:val="204"/>
        </w:trPr>
        <w:tc>
          <w:tcPr>
            <w:tcW w:w="3927" w:type="dxa"/>
            <w:noWrap/>
            <w:hideMark/>
          </w:tcPr>
          <w:p w14:paraId="75428CAB" w14:textId="77777777" w:rsidR="00FA2508" w:rsidRPr="001F224B" w:rsidRDefault="00FA2508" w:rsidP="00FA2508">
            <w:pPr>
              <w:jc w:val="both"/>
              <w:rPr>
                <w:sz w:val="20"/>
                <w:szCs w:val="20"/>
              </w:rPr>
            </w:pPr>
            <w:r w:rsidRPr="001F224B">
              <w:rPr>
                <w:sz w:val="20"/>
                <w:szCs w:val="20"/>
              </w:rPr>
              <w:t>Diğer Alacaklar</w:t>
            </w:r>
          </w:p>
        </w:tc>
        <w:tc>
          <w:tcPr>
            <w:tcW w:w="1560" w:type="dxa"/>
            <w:noWrap/>
            <w:vAlign w:val="bottom"/>
            <w:hideMark/>
          </w:tcPr>
          <w:p w14:paraId="151B8458" w14:textId="6A78290F" w:rsidR="00FA2508" w:rsidRPr="001F224B" w:rsidRDefault="00FA2508" w:rsidP="00FA2508">
            <w:pPr>
              <w:jc w:val="right"/>
              <w:rPr>
                <w:sz w:val="20"/>
                <w:szCs w:val="20"/>
              </w:rPr>
            </w:pPr>
            <w:r w:rsidRPr="001F224B">
              <w:rPr>
                <w:color w:val="000000"/>
                <w:sz w:val="20"/>
                <w:szCs w:val="20"/>
              </w:rPr>
              <w:t>-</w:t>
            </w:r>
          </w:p>
        </w:tc>
        <w:tc>
          <w:tcPr>
            <w:tcW w:w="1529" w:type="dxa"/>
            <w:noWrap/>
            <w:vAlign w:val="bottom"/>
            <w:hideMark/>
          </w:tcPr>
          <w:p w14:paraId="5BB0E023" w14:textId="18B26BD3" w:rsidR="00FA2508" w:rsidRPr="001F224B" w:rsidRDefault="00FA2508" w:rsidP="00FA2508">
            <w:pPr>
              <w:jc w:val="right"/>
              <w:rPr>
                <w:sz w:val="20"/>
                <w:szCs w:val="20"/>
              </w:rPr>
            </w:pPr>
            <w:r w:rsidRPr="001F224B">
              <w:rPr>
                <w:color w:val="000000"/>
                <w:sz w:val="20"/>
                <w:szCs w:val="20"/>
              </w:rPr>
              <w:t>-</w:t>
            </w:r>
          </w:p>
        </w:tc>
        <w:tc>
          <w:tcPr>
            <w:tcW w:w="1470" w:type="dxa"/>
            <w:noWrap/>
            <w:vAlign w:val="bottom"/>
            <w:hideMark/>
          </w:tcPr>
          <w:p w14:paraId="2B937316" w14:textId="03A2ABAD" w:rsidR="00FA2508" w:rsidRPr="001F224B" w:rsidRDefault="00FA2508" w:rsidP="00FA2508">
            <w:pPr>
              <w:jc w:val="right"/>
              <w:rPr>
                <w:sz w:val="20"/>
                <w:szCs w:val="20"/>
              </w:rPr>
            </w:pPr>
            <w:r w:rsidRPr="001F224B">
              <w:rPr>
                <w:color w:val="000000"/>
                <w:sz w:val="20"/>
                <w:szCs w:val="20"/>
              </w:rPr>
              <w:t>-</w:t>
            </w:r>
          </w:p>
        </w:tc>
        <w:tc>
          <w:tcPr>
            <w:tcW w:w="1277" w:type="dxa"/>
            <w:noWrap/>
            <w:vAlign w:val="bottom"/>
            <w:hideMark/>
          </w:tcPr>
          <w:p w14:paraId="52B2DAB3" w14:textId="64216B96" w:rsidR="00FA2508" w:rsidRPr="001F224B" w:rsidRDefault="00FA2508" w:rsidP="00FA2508">
            <w:pPr>
              <w:ind w:left="567"/>
              <w:jc w:val="right"/>
              <w:rPr>
                <w:b/>
                <w:sz w:val="20"/>
                <w:szCs w:val="20"/>
              </w:rPr>
            </w:pPr>
            <w:r w:rsidRPr="001F224B">
              <w:rPr>
                <w:sz w:val="20"/>
                <w:szCs w:val="20"/>
              </w:rPr>
              <w:t>-</w:t>
            </w:r>
          </w:p>
        </w:tc>
      </w:tr>
      <w:tr w:rsidR="00FA2508" w:rsidRPr="001F224B" w14:paraId="72FA7EF7" w14:textId="77777777" w:rsidTr="00AE60E1">
        <w:trPr>
          <w:trHeight w:val="204"/>
        </w:trPr>
        <w:tc>
          <w:tcPr>
            <w:tcW w:w="3927" w:type="dxa"/>
            <w:noWrap/>
            <w:hideMark/>
          </w:tcPr>
          <w:p w14:paraId="7A84A792" w14:textId="77777777" w:rsidR="00FA2508" w:rsidRPr="001F224B" w:rsidRDefault="00FA2508" w:rsidP="00FA2508">
            <w:pPr>
              <w:jc w:val="both"/>
              <w:rPr>
                <w:b/>
                <w:sz w:val="20"/>
                <w:szCs w:val="20"/>
              </w:rPr>
            </w:pPr>
            <w:r w:rsidRPr="001F224B">
              <w:rPr>
                <w:b/>
                <w:sz w:val="20"/>
                <w:szCs w:val="20"/>
              </w:rPr>
              <w:t>Toplam</w:t>
            </w:r>
          </w:p>
        </w:tc>
        <w:tc>
          <w:tcPr>
            <w:tcW w:w="1560" w:type="dxa"/>
            <w:noWrap/>
            <w:vAlign w:val="bottom"/>
            <w:hideMark/>
          </w:tcPr>
          <w:p w14:paraId="4E1D72B1" w14:textId="3D5F933D" w:rsidR="00FA2508" w:rsidRPr="001F224B" w:rsidRDefault="00FA2508" w:rsidP="00FA2508">
            <w:pPr>
              <w:jc w:val="right"/>
              <w:rPr>
                <w:b/>
                <w:sz w:val="20"/>
                <w:szCs w:val="20"/>
              </w:rPr>
            </w:pPr>
            <w:r w:rsidRPr="001F224B">
              <w:rPr>
                <w:b/>
                <w:bCs/>
                <w:color w:val="000000"/>
                <w:sz w:val="20"/>
                <w:szCs w:val="20"/>
              </w:rPr>
              <w:t>88.421.667</w:t>
            </w:r>
          </w:p>
        </w:tc>
        <w:tc>
          <w:tcPr>
            <w:tcW w:w="1529" w:type="dxa"/>
            <w:noWrap/>
            <w:vAlign w:val="bottom"/>
            <w:hideMark/>
          </w:tcPr>
          <w:p w14:paraId="5AC5C472" w14:textId="1EBD6BCD" w:rsidR="00FA2508" w:rsidRPr="001F224B" w:rsidRDefault="00FA2508" w:rsidP="00FA2508">
            <w:pPr>
              <w:jc w:val="right"/>
              <w:rPr>
                <w:b/>
                <w:sz w:val="20"/>
                <w:szCs w:val="20"/>
              </w:rPr>
            </w:pPr>
            <w:r w:rsidRPr="001F224B">
              <w:rPr>
                <w:b/>
                <w:bCs/>
                <w:color w:val="000000"/>
                <w:sz w:val="20"/>
                <w:szCs w:val="20"/>
              </w:rPr>
              <w:t>541.716</w:t>
            </w:r>
          </w:p>
        </w:tc>
        <w:tc>
          <w:tcPr>
            <w:tcW w:w="1470" w:type="dxa"/>
            <w:noWrap/>
            <w:vAlign w:val="bottom"/>
            <w:hideMark/>
          </w:tcPr>
          <w:p w14:paraId="700E2293" w14:textId="3C6B941F" w:rsidR="00FA2508" w:rsidRPr="001F224B" w:rsidRDefault="00FA2508" w:rsidP="00FA2508">
            <w:pPr>
              <w:jc w:val="right"/>
              <w:rPr>
                <w:b/>
                <w:sz w:val="20"/>
                <w:szCs w:val="20"/>
              </w:rPr>
            </w:pPr>
            <w:r w:rsidRPr="001F224B">
              <w:rPr>
                <w:b/>
                <w:bCs/>
                <w:color w:val="000000"/>
                <w:sz w:val="20"/>
                <w:szCs w:val="20"/>
              </w:rPr>
              <w:t>5.116.702</w:t>
            </w:r>
          </w:p>
        </w:tc>
        <w:tc>
          <w:tcPr>
            <w:tcW w:w="1277" w:type="dxa"/>
            <w:noWrap/>
            <w:vAlign w:val="bottom"/>
            <w:hideMark/>
          </w:tcPr>
          <w:p w14:paraId="69516772" w14:textId="60A50E1F" w:rsidR="00FA2508" w:rsidRPr="001F224B" w:rsidRDefault="00FA2508" w:rsidP="00FA2508">
            <w:pPr>
              <w:ind w:left="567"/>
              <w:jc w:val="right"/>
              <w:rPr>
                <w:b/>
                <w:sz w:val="20"/>
                <w:szCs w:val="20"/>
              </w:rPr>
            </w:pPr>
            <w:r w:rsidRPr="001F224B">
              <w:rPr>
                <w:b/>
                <w:sz w:val="20"/>
                <w:szCs w:val="20"/>
              </w:rPr>
              <w:t>-</w:t>
            </w:r>
          </w:p>
        </w:tc>
      </w:tr>
    </w:tbl>
    <w:p w14:paraId="60410870" w14:textId="39ED9B16" w:rsidR="00217077" w:rsidRPr="001F224B" w:rsidRDefault="00217077" w:rsidP="00793D82">
      <w:pPr>
        <w:spacing w:line="360" w:lineRule="auto"/>
        <w:rPr>
          <w:b/>
          <w:sz w:val="14"/>
          <w:szCs w:val="14"/>
        </w:rPr>
      </w:pPr>
    </w:p>
    <w:tbl>
      <w:tblPr>
        <w:tblStyle w:val="TabloKlavuzu7"/>
        <w:tblW w:w="9753" w:type="dxa"/>
        <w:tblInd w:w="23" w:type="dxa"/>
        <w:tblLook w:val="04A0" w:firstRow="1" w:lastRow="0" w:firstColumn="1" w:lastColumn="0" w:noHBand="0" w:noVBand="1"/>
      </w:tblPr>
      <w:tblGrid>
        <w:gridCol w:w="3106"/>
        <w:gridCol w:w="1709"/>
        <w:gridCol w:w="1709"/>
        <w:gridCol w:w="1709"/>
        <w:gridCol w:w="1520"/>
      </w:tblGrid>
      <w:tr w:rsidR="00535360" w:rsidRPr="001F224B" w14:paraId="2552AE02" w14:textId="77777777" w:rsidTr="00AE60E1">
        <w:trPr>
          <w:trHeight w:val="164"/>
        </w:trPr>
        <w:tc>
          <w:tcPr>
            <w:tcW w:w="3106" w:type="dxa"/>
            <w:tcBorders>
              <w:top w:val="single" w:sz="4" w:space="0" w:color="000000"/>
              <w:left w:val="single" w:sz="4" w:space="0" w:color="000000"/>
              <w:bottom w:val="single" w:sz="4" w:space="0" w:color="000000"/>
              <w:right w:val="single" w:sz="4" w:space="0" w:color="000000"/>
            </w:tcBorders>
            <w:noWrap/>
            <w:hideMark/>
          </w:tcPr>
          <w:p w14:paraId="3B6E2CF2" w14:textId="77777777" w:rsidR="00535360" w:rsidRPr="001F224B" w:rsidRDefault="00535360" w:rsidP="00B915FD">
            <w:pPr>
              <w:rPr>
                <w:bCs/>
                <w:sz w:val="20"/>
                <w:szCs w:val="20"/>
              </w:rPr>
            </w:pPr>
          </w:p>
        </w:tc>
        <w:tc>
          <w:tcPr>
            <w:tcW w:w="3418" w:type="dxa"/>
            <w:gridSpan w:val="2"/>
            <w:tcBorders>
              <w:top w:val="single" w:sz="4" w:space="0" w:color="000000"/>
              <w:left w:val="single" w:sz="4" w:space="0" w:color="000000"/>
              <w:bottom w:val="single" w:sz="4" w:space="0" w:color="000000"/>
              <w:right w:val="single" w:sz="4" w:space="0" w:color="000000"/>
            </w:tcBorders>
            <w:noWrap/>
          </w:tcPr>
          <w:p w14:paraId="0CBF059A" w14:textId="77777777" w:rsidR="00535360" w:rsidRPr="001F224B" w:rsidRDefault="00535360" w:rsidP="00B915FD">
            <w:pPr>
              <w:jc w:val="center"/>
              <w:rPr>
                <w:b/>
                <w:sz w:val="20"/>
                <w:szCs w:val="20"/>
              </w:rPr>
            </w:pPr>
            <w:r w:rsidRPr="001F224B">
              <w:rPr>
                <w:b/>
                <w:sz w:val="20"/>
                <w:szCs w:val="20"/>
              </w:rPr>
              <w:t>Cari Dönem</w:t>
            </w:r>
          </w:p>
          <w:p w14:paraId="17469594" w14:textId="53067D6F" w:rsidR="00535360" w:rsidRPr="001F224B" w:rsidRDefault="00535360" w:rsidP="00B915FD">
            <w:pPr>
              <w:jc w:val="center"/>
              <w:rPr>
                <w:b/>
                <w:sz w:val="20"/>
                <w:szCs w:val="20"/>
              </w:rPr>
            </w:pPr>
            <w:r w:rsidRPr="001F224B">
              <w:rPr>
                <w:b/>
                <w:sz w:val="20"/>
                <w:szCs w:val="20"/>
              </w:rPr>
              <w:t>(3</w:t>
            </w:r>
            <w:r w:rsidR="002C73E9" w:rsidRPr="001F224B">
              <w:rPr>
                <w:b/>
                <w:sz w:val="20"/>
                <w:szCs w:val="20"/>
              </w:rPr>
              <w:t>0</w:t>
            </w:r>
            <w:r w:rsidRPr="001F224B">
              <w:rPr>
                <w:b/>
                <w:sz w:val="20"/>
                <w:szCs w:val="20"/>
              </w:rPr>
              <w:t>.</w:t>
            </w:r>
            <w:r w:rsidR="00FA2508" w:rsidRPr="001F224B">
              <w:rPr>
                <w:b/>
                <w:sz w:val="20"/>
                <w:szCs w:val="20"/>
              </w:rPr>
              <w:t>0</w:t>
            </w:r>
            <w:r w:rsidR="002C73E9" w:rsidRPr="001F224B">
              <w:rPr>
                <w:b/>
                <w:sz w:val="20"/>
                <w:szCs w:val="20"/>
              </w:rPr>
              <w:t>6</w:t>
            </w:r>
            <w:r w:rsidRPr="001F224B">
              <w:rPr>
                <w:b/>
                <w:sz w:val="20"/>
                <w:szCs w:val="20"/>
              </w:rPr>
              <w:t>.202</w:t>
            </w:r>
            <w:r w:rsidR="00FA2508" w:rsidRPr="001F224B">
              <w:rPr>
                <w:b/>
                <w:sz w:val="20"/>
                <w:szCs w:val="20"/>
              </w:rPr>
              <w:t>5</w:t>
            </w:r>
            <w:r w:rsidRPr="001F224B">
              <w:rPr>
                <w:b/>
                <w:sz w:val="20"/>
                <w:szCs w:val="20"/>
              </w:rPr>
              <w:t>)</w:t>
            </w:r>
          </w:p>
        </w:tc>
        <w:tc>
          <w:tcPr>
            <w:tcW w:w="3229" w:type="dxa"/>
            <w:gridSpan w:val="2"/>
            <w:tcBorders>
              <w:top w:val="single" w:sz="4" w:space="0" w:color="000000"/>
              <w:left w:val="single" w:sz="4" w:space="0" w:color="000000"/>
              <w:bottom w:val="single" w:sz="4" w:space="0" w:color="000000"/>
              <w:right w:val="single" w:sz="4" w:space="0" w:color="000000"/>
            </w:tcBorders>
          </w:tcPr>
          <w:p w14:paraId="09E4FDD3" w14:textId="77777777" w:rsidR="00535360" w:rsidRPr="001F224B" w:rsidRDefault="00535360" w:rsidP="00B915FD">
            <w:pPr>
              <w:jc w:val="center"/>
              <w:rPr>
                <w:b/>
                <w:sz w:val="20"/>
                <w:szCs w:val="20"/>
              </w:rPr>
            </w:pPr>
            <w:r w:rsidRPr="001F224B">
              <w:rPr>
                <w:b/>
                <w:sz w:val="20"/>
                <w:szCs w:val="20"/>
              </w:rPr>
              <w:t>Önceki Dönem</w:t>
            </w:r>
          </w:p>
          <w:p w14:paraId="30EA3DD4" w14:textId="1CB84D2F" w:rsidR="00535360" w:rsidRPr="001F224B" w:rsidRDefault="00535360" w:rsidP="00B915FD">
            <w:pPr>
              <w:jc w:val="center"/>
              <w:rPr>
                <w:b/>
                <w:sz w:val="20"/>
                <w:szCs w:val="20"/>
              </w:rPr>
            </w:pPr>
            <w:r w:rsidRPr="001F224B">
              <w:rPr>
                <w:b/>
                <w:sz w:val="20"/>
                <w:szCs w:val="20"/>
              </w:rPr>
              <w:t>(31.12.202</w:t>
            </w:r>
            <w:r w:rsidR="00FA2508" w:rsidRPr="001F224B">
              <w:rPr>
                <w:b/>
                <w:sz w:val="20"/>
                <w:szCs w:val="20"/>
              </w:rPr>
              <w:t>4</w:t>
            </w:r>
            <w:r w:rsidRPr="001F224B">
              <w:rPr>
                <w:b/>
                <w:sz w:val="20"/>
                <w:szCs w:val="20"/>
              </w:rPr>
              <w:t>)</w:t>
            </w:r>
          </w:p>
        </w:tc>
      </w:tr>
      <w:tr w:rsidR="00535360" w:rsidRPr="001F224B" w14:paraId="0D1A8759" w14:textId="77777777" w:rsidTr="00AE60E1">
        <w:trPr>
          <w:trHeight w:val="164"/>
        </w:trPr>
        <w:tc>
          <w:tcPr>
            <w:tcW w:w="3106" w:type="dxa"/>
            <w:tcBorders>
              <w:top w:val="single" w:sz="4" w:space="0" w:color="000000"/>
              <w:left w:val="single" w:sz="4" w:space="0" w:color="000000"/>
              <w:bottom w:val="single" w:sz="4" w:space="0" w:color="000000"/>
              <w:right w:val="single" w:sz="4" w:space="0" w:color="000000"/>
            </w:tcBorders>
            <w:noWrap/>
            <w:vAlign w:val="bottom"/>
            <w:hideMark/>
          </w:tcPr>
          <w:p w14:paraId="6FEA3AD8" w14:textId="77777777" w:rsidR="00535360" w:rsidRPr="001F224B" w:rsidRDefault="00535360" w:rsidP="00B915FD">
            <w:pPr>
              <w:rPr>
                <w:b/>
                <w:bCs/>
                <w:sz w:val="20"/>
                <w:szCs w:val="20"/>
              </w:rPr>
            </w:pPr>
            <w:r w:rsidRPr="001F224B">
              <w:rPr>
                <w:b/>
                <w:bCs/>
                <w:sz w:val="20"/>
                <w:szCs w:val="20"/>
              </w:rPr>
              <w:t>Birinci ve İkinci Aşama Beklenen Zarar Karşılıkları</w:t>
            </w:r>
          </w:p>
        </w:tc>
        <w:tc>
          <w:tcPr>
            <w:tcW w:w="1709" w:type="dxa"/>
            <w:tcBorders>
              <w:top w:val="single" w:sz="4" w:space="0" w:color="000000"/>
              <w:left w:val="single" w:sz="4" w:space="0" w:color="000000"/>
              <w:bottom w:val="single" w:sz="4" w:space="0" w:color="000000"/>
              <w:right w:val="single" w:sz="4" w:space="0" w:color="000000"/>
            </w:tcBorders>
            <w:noWrap/>
            <w:vAlign w:val="bottom"/>
          </w:tcPr>
          <w:p w14:paraId="07E0728C" w14:textId="77777777" w:rsidR="00535360" w:rsidRPr="001F224B" w:rsidRDefault="00535360" w:rsidP="00B915FD">
            <w:pPr>
              <w:jc w:val="center"/>
              <w:rPr>
                <w:b/>
                <w:bCs/>
                <w:sz w:val="20"/>
                <w:szCs w:val="20"/>
              </w:rPr>
            </w:pPr>
            <w:r w:rsidRPr="001F224B">
              <w:rPr>
                <w:b/>
                <w:bCs/>
                <w:sz w:val="20"/>
                <w:szCs w:val="20"/>
              </w:rPr>
              <w:t>Standart Nitelikli Krediler</w:t>
            </w:r>
          </w:p>
        </w:tc>
        <w:tc>
          <w:tcPr>
            <w:tcW w:w="1709" w:type="dxa"/>
            <w:tcBorders>
              <w:top w:val="single" w:sz="4" w:space="0" w:color="000000"/>
              <w:left w:val="single" w:sz="4" w:space="0" w:color="000000"/>
              <w:bottom w:val="single" w:sz="4" w:space="0" w:color="000000"/>
              <w:right w:val="single" w:sz="4" w:space="0" w:color="000000"/>
            </w:tcBorders>
            <w:vAlign w:val="bottom"/>
          </w:tcPr>
          <w:p w14:paraId="489724EC" w14:textId="77777777" w:rsidR="00535360" w:rsidRPr="001F224B" w:rsidRDefault="00535360" w:rsidP="00B915FD">
            <w:pPr>
              <w:jc w:val="center"/>
              <w:rPr>
                <w:b/>
                <w:bCs/>
                <w:sz w:val="20"/>
                <w:szCs w:val="20"/>
              </w:rPr>
            </w:pPr>
            <w:r w:rsidRPr="001F224B">
              <w:rPr>
                <w:b/>
                <w:bCs/>
                <w:sz w:val="20"/>
                <w:szCs w:val="20"/>
              </w:rPr>
              <w:t>Yakın İzlemedeki Krediler</w:t>
            </w:r>
          </w:p>
        </w:tc>
        <w:tc>
          <w:tcPr>
            <w:tcW w:w="1709" w:type="dxa"/>
            <w:tcBorders>
              <w:top w:val="single" w:sz="4" w:space="0" w:color="000000"/>
              <w:left w:val="single" w:sz="4" w:space="0" w:color="000000"/>
              <w:bottom w:val="single" w:sz="4" w:space="0" w:color="000000"/>
              <w:right w:val="single" w:sz="4" w:space="0" w:color="000000"/>
            </w:tcBorders>
            <w:vAlign w:val="bottom"/>
          </w:tcPr>
          <w:p w14:paraId="6970572F" w14:textId="77777777" w:rsidR="00535360" w:rsidRPr="001F224B" w:rsidRDefault="00535360" w:rsidP="00B915FD">
            <w:pPr>
              <w:jc w:val="center"/>
              <w:rPr>
                <w:b/>
                <w:bCs/>
                <w:sz w:val="20"/>
                <w:szCs w:val="20"/>
              </w:rPr>
            </w:pPr>
            <w:r w:rsidRPr="001F224B">
              <w:rPr>
                <w:b/>
                <w:bCs/>
                <w:sz w:val="20"/>
                <w:szCs w:val="20"/>
              </w:rPr>
              <w:t>Standart Nitelikli Krediler</w:t>
            </w:r>
          </w:p>
        </w:tc>
        <w:tc>
          <w:tcPr>
            <w:tcW w:w="1520" w:type="dxa"/>
            <w:tcBorders>
              <w:top w:val="single" w:sz="4" w:space="0" w:color="000000"/>
              <w:left w:val="single" w:sz="4" w:space="0" w:color="000000"/>
              <w:bottom w:val="single" w:sz="4" w:space="0" w:color="000000"/>
              <w:right w:val="single" w:sz="4" w:space="0" w:color="000000"/>
            </w:tcBorders>
            <w:noWrap/>
            <w:vAlign w:val="bottom"/>
          </w:tcPr>
          <w:p w14:paraId="15CDA408" w14:textId="77777777" w:rsidR="00535360" w:rsidRPr="001F224B" w:rsidRDefault="00535360" w:rsidP="00B915FD">
            <w:pPr>
              <w:jc w:val="center"/>
              <w:rPr>
                <w:b/>
                <w:bCs/>
                <w:sz w:val="20"/>
                <w:szCs w:val="20"/>
              </w:rPr>
            </w:pPr>
            <w:r w:rsidRPr="001F224B">
              <w:rPr>
                <w:b/>
                <w:bCs/>
                <w:sz w:val="20"/>
                <w:szCs w:val="20"/>
              </w:rPr>
              <w:t>Yakın İzlemedeki Krediler</w:t>
            </w:r>
          </w:p>
        </w:tc>
      </w:tr>
      <w:tr w:rsidR="00FB440F" w:rsidRPr="001F224B" w14:paraId="50C87689" w14:textId="77777777" w:rsidTr="00736D45">
        <w:trPr>
          <w:trHeight w:val="164"/>
        </w:trPr>
        <w:tc>
          <w:tcPr>
            <w:tcW w:w="3106" w:type="dxa"/>
            <w:tcBorders>
              <w:top w:val="single" w:sz="4" w:space="0" w:color="000000"/>
              <w:left w:val="single" w:sz="4" w:space="0" w:color="000000"/>
              <w:bottom w:val="single" w:sz="4" w:space="0" w:color="000000"/>
              <w:right w:val="single" w:sz="4" w:space="0" w:color="000000"/>
            </w:tcBorders>
            <w:noWrap/>
          </w:tcPr>
          <w:p w14:paraId="4DC71CE6" w14:textId="77777777" w:rsidR="00FB440F" w:rsidRPr="001F224B" w:rsidRDefault="00FB440F" w:rsidP="00FB440F">
            <w:pPr>
              <w:jc w:val="both"/>
              <w:rPr>
                <w:bCs/>
                <w:sz w:val="20"/>
                <w:szCs w:val="20"/>
              </w:rPr>
            </w:pPr>
            <w:r w:rsidRPr="001F224B">
              <w:rPr>
                <w:bCs/>
                <w:sz w:val="20"/>
                <w:szCs w:val="20"/>
              </w:rPr>
              <w:t>12 Aylık Beklenen Zarar Karşılığı</w:t>
            </w:r>
          </w:p>
        </w:tc>
        <w:tc>
          <w:tcPr>
            <w:tcW w:w="1709" w:type="dxa"/>
            <w:noWrap/>
            <w:vAlign w:val="bottom"/>
          </w:tcPr>
          <w:p w14:paraId="6AAC8CE7" w14:textId="43A0B281" w:rsidR="00FB440F" w:rsidRPr="001F224B" w:rsidRDefault="00FB440F" w:rsidP="00FB440F">
            <w:pPr>
              <w:ind w:left="567"/>
              <w:jc w:val="right"/>
              <w:rPr>
                <w:bCs/>
                <w:sz w:val="20"/>
                <w:szCs w:val="20"/>
              </w:rPr>
            </w:pPr>
            <w:r w:rsidRPr="001F224B">
              <w:rPr>
                <w:bCs/>
                <w:sz w:val="20"/>
                <w:szCs w:val="20"/>
              </w:rPr>
              <w:t>704.314</w:t>
            </w:r>
          </w:p>
        </w:tc>
        <w:tc>
          <w:tcPr>
            <w:tcW w:w="1709" w:type="dxa"/>
            <w:vAlign w:val="bottom"/>
          </w:tcPr>
          <w:p w14:paraId="78A66297" w14:textId="47E33BD2" w:rsidR="00FB440F" w:rsidRPr="001F224B" w:rsidRDefault="00FB440F" w:rsidP="00FB440F">
            <w:pPr>
              <w:ind w:left="567"/>
              <w:jc w:val="right"/>
              <w:rPr>
                <w:bCs/>
                <w:sz w:val="20"/>
                <w:szCs w:val="20"/>
              </w:rPr>
            </w:pPr>
            <w:r w:rsidRPr="001F224B">
              <w:rPr>
                <w:bCs/>
                <w:sz w:val="20"/>
                <w:szCs w:val="20"/>
              </w:rPr>
              <w:t>-</w:t>
            </w:r>
          </w:p>
        </w:tc>
        <w:tc>
          <w:tcPr>
            <w:tcW w:w="1709" w:type="dxa"/>
            <w:tcBorders>
              <w:top w:val="single" w:sz="4" w:space="0" w:color="000000"/>
              <w:left w:val="single" w:sz="4" w:space="0" w:color="000000"/>
              <w:bottom w:val="single" w:sz="4" w:space="0" w:color="000000"/>
              <w:right w:val="single" w:sz="4" w:space="0" w:color="000000"/>
            </w:tcBorders>
            <w:vAlign w:val="center"/>
          </w:tcPr>
          <w:p w14:paraId="2221318B" w14:textId="7D5A4F3C" w:rsidR="00FB440F" w:rsidRPr="001F224B" w:rsidRDefault="00FB440F" w:rsidP="00FB440F">
            <w:pPr>
              <w:ind w:left="567"/>
              <w:jc w:val="right"/>
              <w:rPr>
                <w:bCs/>
                <w:sz w:val="20"/>
                <w:szCs w:val="20"/>
              </w:rPr>
            </w:pPr>
            <w:r w:rsidRPr="001F224B">
              <w:rPr>
                <w:bCs/>
                <w:sz w:val="20"/>
                <w:szCs w:val="20"/>
              </w:rPr>
              <w:t>578.282</w:t>
            </w:r>
          </w:p>
        </w:tc>
        <w:tc>
          <w:tcPr>
            <w:tcW w:w="1520" w:type="dxa"/>
            <w:tcBorders>
              <w:top w:val="single" w:sz="4" w:space="0" w:color="000000"/>
              <w:left w:val="single" w:sz="4" w:space="0" w:color="000000"/>
              <w:bottom w:val="single" w:sz="4" w:space="0" w:color="000000"/>
              <w:right w:val="single" w:sz="4" w:space="0" w:color="000000"/>
            </w:tcBorders>
            <w:noWrap/>
            <w:vAlign w:val="center"/>
          </w:tcPr>
          <w:p w14:paraId="6E76708B" w14:textId="40CDA9BE" w:rsidR="00FB440F" w:rsidRPr="001F224B" w:rsidRDefault="00FB440F" w:rsidP="00FB440F">
            <w:pPr>
              <w:ind w:left="567"/>
              <w:jc w:val="right"/>
              <w:rPr>
                <w:bCs/>
                <w:sz w:val="20"/>
                <w:szCs w:val="20"/>
              </w:rPr>
            </w:pPr>
            <w:r w:rsidRPr="001F224B">
              <w:rPr>
                <w:bCs/>
                <w:sz w:val="20"/>
                <w:szCs w:val="20"/>
              </w:rPr>
              <w:t>-</w:t>
            </w:r>
          </w:p>
        </w:tc>
      </w:tr>
      <w:tr w:rsidR="00FB440F" w:rsidRPr="001F224B" w14:paraId="42B31659" w14:textId="77777777" w:rsidTr="00736D45">
        <w:trPr>
          <w:trHeight w:val="58"/>
        </w:trPr>
        <w:tc>
          <w:tcPr>
            <w:tcW w:w="3106" w:type="dxa"/>
            <w:tcBorders>
              <w:top w:val="single" w:sz="4" w:space="0" w:color="000000"/>
              <w:left w:val="single" w:sz="4" w:space="0" w:color="000000"/>
              <w:bottom w:val="single" w:sz="4" w:space="0" w:color="000000"/>
              <w:right w:val="single" w:sz="4" w:space="0" w:color="000000"/>
            </w:tcBorders>
            <w:noWrap/>
          </w:tcPr>
          <w:p w14:paraId="3578514B" w14:textId="77777777" w:rsidR="00FB440F" w:rsidRPr="001F224B" w:rsidRDefault="00FB440F" w:rsidP="00FB440F">
            <w:pPr>
              <w:jc w:val="both"/>
              <w:rPr>
                <w:bCs/>
                <w:sz w:val="20"/>
                <w:szCs w:val="20"/>
              </w:rPr>
            </w:pPr>
            <w:r w:rsidRPr="001F224B">
              <w:rPr>
                <w:bCs/>
                <w:sz w:val="20"/>
                <w:szCs w:val="20"/>
              </w:rPr>
              <w:t>Kredi Riskinde Önemli Artış</w:t>
            </w:r>
          </w:p>
        </w:tc>
        <w:tc>
          <w:tcPr>
            <w:tcW w:w="1709" w:type="dxa"/>
            <w:noWrap/>
            <w:vAlign w:val="bottom"/>
          </w:tcPr>
          <w:p w14:paraId="63D376D2" w14:textId="4727A278" w:rsidR="00FB440F" w:rsidRPr="001F224B" w:rsidRDefault="00FB440F" w:rsidP="00FB440F">
            <w:pPr>
              <w:ind w:left="567"/>
              <w:jc w:val="right"/>
              <w:rPr>
                <w:bCs/>
                <w:sz w:val="20"/>
                <w:szCs w:val="20"/>
              </w:rPr>
            </w:pPr>
            <w:r w:rsidRPr="001F224B">
              <w:rPr>
                <w:bCs/>
                <w:sz w:val="20"/>
                <w:szCs w:val="20"/>
              </w:rPr>
              <w:t>-</w:t>
            </w:r>
          </w:p>
        </w:tc>
        <w:tc>
          <w:tcPr>
            <w:tcW w:w="1709" w:type="dxa"/>
            <w:vAlign w:val="bottom"/>
          </w:tcPr>
          <w:p w14:paraId="4282488E" w14:textId="0A7B6669" w:rsidR="00FB440F" w:rsidRPr="001F224B" w:rsidRDefault="00FB440F" w:rsidP="00FB440F">
            <w:pPr>
              <w:ind w:left="567"/>
              <w:jc w:val="right"/>
              <w:rPr>
                <w:bCs/>
                <w:sz w:val="20"/>
                <w:szCs w:val="20"/>
              </w:rPr>
            </w:pPr>
            <w:r w:rsidRPr="001F224B">
              <w:rPr>
                <w:bCs/>
                <w:sz w:val="20"/>
                <w:szCs w:val="20"/>
              </w:rPr>
              <w:t>369.259</w:t>
            </w:r>
          </w:p>
        </w:tc>
        <w:tc>
          <w:tcPr>
            <w:tcW w:w="1709" w:type="dxa"/>
            <w:tcBorders>
              <w:top w:val="single" w:sz="4" w:space="0" w:color="000000"/>
              <w:left w:val="single" w:sz="4" w:space="0" w:color="000000"/>
              <w:bottom w:val="single" w:sz="4" w:space="0" w:color="000000"/>
              <w:right w:val="single" w:sz="4" w:space="0" w:color="000000"/>
            </w:tcBorders>
            <w:vAlign w:val="center"/>
          </w:tcPr>
          <w:p w14:paraId="1B264981" w14:textId="68B2956E" w:rsidR="00FB440F" w:rsidRPr="001F224B" w:rsidRDefault="00FB440F" w:rsidP="00FB440F">
            <w:pPr>
              <w:ind w:left="567"/>
              <w:jc w:val="right"/>
              <w:rPr>
                <w:bCs/>
                <w:sz w:val="20"/>
                <w:szCs w:val="20"/>
              </w:rPr>
            </w:pPr>
            <w:r w:rsidRPr="001F224B">
              <w:rPr>
                <w:bCs/>
                <w:sz w:val="20"/>
                <w:szCs w:val="20"/>
              </w:rPr>
              <w:t>-</w:t>
            </w:r>
          </w:p>
        </w:tc>
        <w:tc>
          <w:tcPr>
            <w:tcW w:w="1520" w:type="dxa"/>
            <w:tcBorders>
              <w:top w:val="single" w:sz="4" w:space="0" w:color="000000"/>
              <w:left w:val="single" w:sz="4" w:space="0" w:color="000000"/>
              <w:bottom w:val="single" w:sz="4" w:space="0" w:color="000000"/>
              <w:right w:val="single" w:sz="4" w:space="0" w:color="000000"/>
            </w:tcBorders>
            <w:noWrap/>
            <w:vAlign w:val="center"/>
          </w:tcPr>
          <w:p w14:paraId="26DE8C24" w14:textId="0AA01A7F" w:rsidR="00FB440F" w:rsidRPr="001F224B" w:rsidRDefault="00FB440F" w:rsidP="00FB440F">
            <w:pPr>
              <w:ind w:left="567"/>
              <w:jc w:val="right"/>
              <w:rPr>
                <w:bCs/>
                <w:sz w:val="20"/>
                <w:szCs w:val="20"/>
              </w:rPr>
            </w:pPr>
            <w:r w:rsidRPr="001F224B">
              <w:rPr>
                <w:bCs/>
                <w:sz w:val="20"/>
                <w:szCs w:val="20"/>
              </w:rPr>
              <w:t>548.423</w:t>
            </w:r>
          </w:p>
        </w:tc>
      </w:tr>
    </w:tbl>
    <w:p w14:paraId="25C88669" w14:textId="254BED3F" w:rsidR="00031C04" w:rsidRPr="001F224B" w:rsidRDefault="001B1379" w:rsidP="00FA2508">
      <w:pPr>
        <w:tabs>
          <w:tab w:val="left" w:pos="567"/>
        </w:tabs>
        <w:spacing w:before="120" w:after="120"/>
        <w:jc w:val="both"/>
        <w:rPr>
          <w:b/>
          <w:bCs/>
          <w:sz w:val="22"/>
          <w:szCs w:val="22"/>
        </w:rPr>
      </w:pPr>
      <w:r w:rsidRPr="001F224B">
        <w:rPr>
          <w:b/>
          <w:bCs/>
          <w:sz w:val="22"/>
          <w:szCs w:val="22"/>
        </w:rPr>
        <w:t>2.1.c)</w:t>
      </w:r>
      <w:r w:rsidR="00FA2508" w:rsidRPr="001F224B">
        <w:rPr>
          <w:b/>
          <w:bCs/>
          <w:sz w:val="22"/>
          <w:szCs w:val="22"/>
        </w:rPr>
        <w:t xml:space="preserve"> </w:t>
      </w:r>
      <w:r w:rsidR="00031C04" w:rsidRPr="001F224B">
        <w:rPr>
          <w:b/>
          <w:bCs/>
          <w:sz w:val="22"/>
          <w:szCs w:val="22"/>
        </w:rPr>
        <w:t>Tüketici kredileri, bireysel kredi kartları, personel kredileri ve personel kredi kartlarına ilişkin bilgiler</w:t>
      </w:r>
      <w:r w:rsidR="00031C04" w:rsidRPr="001F224B">
        <w:rPr>
          <w:sz w:val="22"/>
          <w:szCs w:val="22"/>
        </w:rPr>
        <w:t>:</w:t>
      </w:r>
    </w:p>
    <w:p w14:paraId="18D92A49" w14:textId="77777777" w:rsidR="00031C04" w:rsidRPr="001F224B" w:rsidRDefault="00031C04" w:rsidP="00031C04">
      <w:pPr>
        <w:spacing w:before="120" w:after="120"/>
        <w:ind w:left="567"/>
        <w:jc w:val="both"/>
        <w:rPr>
          <w:sz w:val="22"/>
          <w:szCs w:val="22"/>
        </w:rPr>
      </w:pPr>
      <w:r w:rsidRPr="001F224B">
        <w:rPr>
          <w:sz w:val="22"/>
          <w:szCs w:val="22"/>
        </w:rPr>
        <w:t>Bilanço tarihi itibarıyla tüketici kredileri, bireysel kredi kartları, personel kredileri ve personel kredi kartları bulunmamaktadır.</w:t>
      </w:r>
    </w:p>
    <w:p w14:paraId="1CB15065" w14:textId="6627DE0A" w:rsidR="00031C04" w:rsidRPr="001F224B" w:rsidRDefault="00031C04" w:rsidP="00B91474">
      <w:pPr>
        <w:pStyle w:val="Heading1"/>
        <w:numPr>
          <w:ilvl w:val="0"/>
          <w:numId w:val="0"/>
        </w:numPr>
        <w:tabs>
          <w:tab w:val="left" w:pos="567"/>
        </w:tabs>
        <w:spacing w:before="0" w:line="240" w:lineRule="atLeast"/>
        <w:jc w:val="both"/>
        <w:rPr>
          <w:rFonts w:ascii="Times New Roman" w:hAnsi="Times New Roman"/>
          <w:sz w:val="22"/>
          <w:szCs w:val="22"/>
        </w:rPr>
      </w:pPr>
      <w:r w:rsidRPr="001F224B">
        <w:rPr>
          <w:rFonts w:ascii="Times New Roman" w:hAnsi="Times New Roman"/>
          <w:sz w:val="22"/>
          <w:szCs w:val="22"/>
        </w:rPr>
        <w:t>2.1.</w:t>
      </w:r>
      <w:r w:rsidR="00FA2508" w:rsidRPr="001F224B">
        <w:rPr>
          <w:rFonts w:ascii="Times New Roman" w:hAnsi="Times New Roman"/>
          <w:sz w:val="22"/>
          <w:szCs w:val="22"/>
        </w:rPr>
        <w:t>ç</w:t>
      </w:r>
      <w:r w:rsidRPr="001F224B">
        <w:rPr>
          <w:rFonts w:ascii="Times New Roman" w:hAnsi="Times New Roman"/>
          <w:sz w:val="22"/>
          <w:szCs w:val="22"/>
        </w:rPr>
        <w:t>)</w:t>
      </w:r>
      <w:r w:rsidRPr="001F224B">
        <w:rPr>
          <w:rFonts w:ascii="Times New Roman" w:hAnsi="Times New Roman"/>
          <w:sz w:val="22"/>
          <w:szCs w:val="22"/>
        </w:rPr>
        <w:tab/>
        <w:t>Taksitli ticari krediler ve kurumsal kredi kartlarına ilişkin bilgiler:</w:t>
      </w:r>
    </w:p>
    <w:p w14:paraId="5965F6E0" w14:textId="63DCAAC8" w:rsidR="00031C04" w:rsidRPr="001F224B" w:rsidRDefault="00031C04" w:rsidP="00031C04">
      <w:pPr>
        <w:tabs>
          <w:tab w:val="left" w:pos="567"/>
        </w:tabs>
        <w:spacing w:before="120" w:after="120"/>
        <w:ind w:left="567"/>
        <w:jc w:val="both"/>
        <w:rPr>
          <w:sz w:val="22"/>
          <w:szCs w:val="22"/>
        </w:rPr>
      </w:pPr>
      <w:r w:rsidRPr="001F224B">
        <w:rPr>
          <w:sz w:val="22"/>
          <w:szCs w:val="22"/>
        </w:rPr>
        <w:t>Bilanço tarihi itibarıyla Ana Ortaklık Banka’nın kullandırmış olduğu taksitli ticari kredi ve kurumsal kredi kartı bulunmamaktadır.</w:t>
      </w:r>
    </w:p>
    <w:p w14:paraId="59C1F9BA" w14:textId="5AA6E99F" w:rsidR="00B4364F" w:rsidRPr="001F224B" w:rsidRDefault="00E6451B" w:rsidP="00B4364F">
      <w:pPr>
        <w:tabs>
          <w:tab w:val="left" w:pos="567"/>
        </w:tabs>
        <w:spacing w:before="120" w:after="120"/>
        <w:jc w:val="both"/>
        <w:rPr>
          <w:b/>
          <w:sz w:val="22"/>
          <w:szCs w:val="22"/>
        </w:rPr>
      </w:pPr>
      <w:r w:rsidRPr="001F224B">
        <w:rPr>
          <w:b/>
          <w:bCs/>
          <w:sz w:val="22"/>
          <w:szCs w:val="22"/>
        </w:rPr>
        <w:t>2</w:t>
      </w:r>
      <w:r w:rsidR="00B4364F" w:rsidRPr="001F224B">
        <w:rPr>
          <w:b/>
          <w:sz w:val="22"/>
          <w:szCs w:val="22"/>
        </w:rPr>
        <w:t>.1.</w:t>
      </w:r>
      <w:r w:rsidR="00FA2508" w:rsidRPr="001F224B">
        <w:rPr>
          <w:b/>
          <w:sz w:val="22"/>
          <w:szCs w:val="22"/>
        </w:rPr>
        <w:t>d</w:t>
      </w:r>
      <w:r w:rsidR="00B4364F" w:rsidRPr="001F224B">
        <w:rPr>
          <w:b/>
          <w:sz w:val="22"/>
          <w:szCs w:val="22"/>
        </w:rPr>
        <w:t>) Kredilerin kullanıcılara göre dağılımı:</w:t>
      </w:r>
    </w:p>
    <w:tbl>
      <w:tblPr>
        <w:tblW w:w="9781" w:type="dxa"/>
        <w:tblInd w:w="-5" w:type="dxa"/>
        <w:tblLayout w:type="fixed"/>
        <w:tblCellMar>
          <w:left w:w="70" w:type="dxa"/>
          <w:right w:w="70" w:type="dxa"/>
        </w:tblCellMar>
        <w:tblLook w:val="0000" w:firstRow="0" w:lastRow="0" w:firstColumn="0" w:lastColumn="0" w:noHBand="0" w:noVBand="0"/>
      </w:tblPr>
      <w:tblGrid>
        <w:gridCol w:w="5529"/>
        <w:gridCol w:w="2126"/>
        <w:gridCol w:w="2126"/>
      </w:tblGrid>
      <w:tr w:rsidR="00B4364F" w:rsidRPr="001F224B" w14:paraId="1CCAE02B" w14:textId="77777777" w:rsidTr="00AE60E1">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1964B69" w14:textId="77777777" w:rsidR="00B4364F" w:rsidRPr="001F224B" w:rsidRDefault="00B4364F" w:rsidP="00C32707">
            <w:pPr>
              <w:rPr>
                <w:sz w:val="20"/>
                <w:szCs w:val="20"/>
              </w:rPr>
            </w:pPr>
            <w:r w:rsidRPr="001F224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8F0CC8A" w14:textId="77777777" w:rsidR="001B1379" w:rsidRPr="001F224B" w:rsidRDefault="001B1379" w:rsidP="001B1379">
            <w:pPr>
              <w:jc w:val="center"/>
              <w:rPr>
                <w:b/>
                <w:bCs/>
                <w:color w:val="000000"/>
                <w:sz w:val="20"/>
                <w:szCs w:val="20"/>
              </w:rPr>
            </w:pPr>
            <w:r w:rsidRPr="001F224B">
              <w:rPr>
                <w:b/>
                <w:bCs/>
                <w:color w:val="000000"/>
                <w:sz w:val="20"/>
                <w:szCs w:val="20"/>
              </w:rPr>
              <w:t>Cari Dönem</w:t>
            </w:r>
          </w:p>
          <w:p w14:paraId="56CB9601" w14:textId="451BE5D8" w:rsidR="00B4364F" w:rsidRPr="001F224B" w:rsidRDefault="001B1379" w:rsidP="001B1379">
            <w:pPr>
              <w:jc w:val="center"/>
              <w:rPr>
                <w:b/>
                <w:bCs/>
                <w:sz w:val="20"/>
                <w:szCs w:val="20"/>
              </w:rPr>
            </w:pPr>
            <w:r w:rsidRPr="001F224B">
              <w:rPr>
                <w:b/>
                <w:bCs/>
                <w:color w:val="000000"/>
                <w:sz w:val="20"/>
                <w:szCs w:val="20"/>
              </w:rPr>
              <w:t>(3</w:t>
            </w:r>
            <w:r w:rsidR="002C73E9" w:rsidRPr="001F224B">
              <w:rPr>
                <w:b/>
                <w:bCs/>
                <w:color w:val="000000"/>
                <w:sz w:val="20"/>
                <w:szCs w:val="20"/>
              </w:rPr>
              <w:t>0</w:t>
            </w:r>
            <w:r w:rsidRPr="001F224B">
              <w:rPr>
                <w:b/>
                <w:bCs/>
                <w:color w:val="000000"/>
                <w:sz w:val="20"/>
                <w:szCs w:val="20"/>
              </w:rPr>
              <w:t>.</w:t>
            </w:r>
            <w:r w:rsidR="00FA2508" w:rsidRPr="001F224B">
              <w:rPr>
                <w:b/>
                <w:bCs/>
                <w:color w:val="000000"/>
                <w:sz w:val="20"/>
                <w:szCs w:val="20"/>
              </w:rPr>
              <w:t>0</w:t>
            </w:r>
            <w:r w:rsidR="002C73E9" w:rsidRPr="001F224B">
              <w:rPr>
                <w:b/>
                <w:bCs/>
                <w:color w:val="000000"/>
                <w:sz w:val="20"/>
                <w:szCs w:val="20"/>
              </w:rPr>
              <w:t>6</w:t>
            </w:r>
            <w:r w:rsidRPr="001F224B">
              <w:rPr>
                <w:b/>
                <w:bCs/>
                <w:color w:val="000000"/>
                <w:sz w:val="20"/>
                <w:szCs w:val="20"/>
              </w:rPr>
              <w:t>.202</w:t>
            </w:r>
            <w:r w:rsidR="00FA2508" w:rsidRPr="001F224B">
              <w:rPr>
                <w:b/>
                <w:bCs/>
                <w:color w:val="000000"/>
                <w:sz w:val="20"/>
                <w:szCs w:val="20"/>
              </w:rPr>
              <w:t>5</w:t>
            </w:r>
            <w:r w:rsidRPr="001F224B">
              <w:rPr>
                <w:b/>
                <w:bCs/>
                <w:color w:val="000000"/>
                <w:sz w:val="20"/>
                <w:szCs w:val="20"/>
              </w:rPr>
              <w:t>)</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B4675A9" w14:textId="77777777" w:rsidR="00B4364F" w:rsidRPr="001F224B" w:rsidRDefault="00B4364F" w:rsidP="00C32707">
            <w:pPr>
              <w:jc w:val="center"/>
              <w:rPr>
                <w:b/>
                <w:bCs/>
                <w:sz w:val="20"/>
                <w:szCs w:val="20"/>
              </w:rPr>
            </w:pPr>
            <w:r w:rsidRPr="001F224B">
              <w:rPr>
                <w:b/>
                <w:bCs/>
                <w:sz w:val="20"/>
                <w:szCs w:val="20"/>
              </w:rPr>
              <w:t xml:space="preserve">Önceki Dönem </w:t>
            </w:r>
          </w:p>
          <w:p w14:paraId="391CB14E" w14:textId="4CD02593" w:rsidR="00B4364F" w:rsidRPr="001F224B" w:rsidRDefault="00B4364F" w:rsidP="00C32707">
            <w:pPr>
              <w:jc w:val="center"/>
              <w:rPr>
                <w:b/>
                <w:bCs/>
                <w:sz w:val="20"/>
                <w:szCs w:val="20"/>
              </w:rPr>
            </w:pPr>
            <w:r w:rsidRPr="001F224B">
              <w:rPr>
                <w:b/>
                <w:bCs/>
                <w:sz w:val="20"/>
                <w:szCs w:val="20"/>
              </w:rPr>
              <w:t xml:space="preserve"> (31.12.202</w:t>
            </w:r>
            <w:r w:rsidR="00FA2508" w:rsidRPr="001F224B">
              <w:rPr>
                <w:b/>
                <w:bCs/>
                <w:sz w:val="20"/>
                <w:szCs w:val="20"/>
              </w:rPr>
              <w:t>4</w:t>
            </w:r>
            <w:r w:rsidRPr="001F224B">
              <w:rPr>
                <w:b/>
                <w:bCs/>
                <w:sz w:val="20"/>
                <w:szCs w:val="20"/>
              </w:rPr>
              <w:t>)</w:t>
            </w:r>
          </w:p>
        </w:tc>
      </w:tr>
      <w:tr w:rsidR="00A32080" w:rsidRPr="001F224B" w14:paraId="0E0609B8" w14:textId="77777777" w:rsidTr="00AE60E1">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2E069B80" w14:textId="77777777" w:rsidR="00A32080" w:rsidRPr="001F224B" w:rsidRDefault="00A32080" w:rsidP="00A32080">
            <w:pPr>
              <w:ind w:firstLine="355"/>
              <w:rPr>
                <w:sz w:val="20"/>
                <w:szCs w:val="20"/>
              </w:rPr>
            </w:pPr>
            <w:r w:rsidRPr="001F224B">
              <w:rPr>
                <w:sz w:val="20"/>
                <w:szCs w:val="20"/>
              </w:rPr>
              <w:t>Kamu</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E885B16" w14:textId="656AE6A0" w:rsidR="00A32080" w:rsidRPr="001F224B" w:rsidRDefault="00A32080" w:rsidP="00A32080">
            <w:pPr>
              <w:jc w:val="right"/>
              <w:rPr>
                <w:sz w:val="20"/>
                <w:szCs w:val="20"/>
              </w:rPr>
            </w:pPr>
            <w:r w:rsidRPr="001F224B">
              <w:rPr>
                <w:sz w:val="20"/>
                <w:szCs w:val="20"/>
              </w:rPr>
              <w:t>204.343</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01B2FCF" w14:textId="6C5B64EC" w:rsidR="00A32080" w:rsidRPr="001F224B" w:rsidRDefault="00A32080" w:rsidP="00A32080">
            <w:pPr>
              <w:jc w:val="right"/>
              <w:rPr>
                <w:sz w:val="20"/>
                <w:szCs w:val="20"/>
              </w:rPr>
            </w:pPr>
            <w:r w:rsidRPr="001F224B">
              <w:rPr>
                <w:sz w:val="20"/>
                <w:szCs w:val="20"/>
              </w:rPr>
              <w:t>241.375</w:t>
            </w:r>
          </w:p>
        </w:tc>
      </w:tr>
      <w:tr w:rsidR="00A32080" w:rsidRPr="001F224B" w14:paraId="5C5AC777" w14:textId="77777777" w:rsidTr="00AE60E1">
        <w:trPr>
          <w:trHeight w:val="273"/>
        </w:trPr>
        <w:tc>
          <w:tcPr>
            <w:tcW w:w="5529" w:type="dxa"/>
            <w:tcBorders>
              <w:top w:val="nil"/>
              <w:left w:val="single" w:sz="4" w:space="0" w:color="auto"/>
              <w:bottom w:val="nil"/>
              <w:right w:val="single" w:sz="4" w:space="0" w:color="auto"/>
            </w:tcBorders>
            <w:shd w:val="clear" w:color="auto" w:fill="FFFFFF"/>
            <w:noWrap/>
            <w:vAlign w:val="bottom"/>
          </w:tcPr>
          <w:p w14:paraId="18AF9271" w14:textId="77777777" w:rsidR="00A32080" w:rsidRPr="001F224B" w:rsidRDefault="00A32080" w:rsidP="00A32080">
            <w:pPr>
              <w:ind w:firstLine="355"/>
              <w:rPr>
                <w:sz w:val="20"/>
                <w:szCs w:val="20"/>
              </w:rPr>
            </w:pPr>
            <w:r w:rsidRPr="001F224B">
              <w:rPr>
                <w:sz w:val="20"/>
                <w:szCs w:val="20"/>
              </w:rPr>
              <w:t>Özel</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291AE2D" w14:textId="19B76355" w:rsidR="00A32080" w:rsidRPr="001F224B" w:rsidRDefault="00A32080" w:rsidP="00A32080">
            <w:pPr>
              <w:jc w:val="right"/>
              <w:rPr>
                <w:sz w:val="20"/>
                <w:szCs w:val="20"/>
              </w:rPr>
            </w:pPr>
            <w:r w:rsidRPr="001F224B">
              <w:rPr>
                <w:sz w:val="20"/>
                <w:szCs w:val="20"/>
              </w:rPr>
              <w:t>109.142.873</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9D3C5DF" w14:textId="4EF2DADE" w:rsidR="00A32080" w:rsidRPr="001F224B" w:rsidRDefault="00A32080" w:rsidP="00A32080">
            <w:pPr>
              <w:jc w:val="right"/>
              <w:rPr>
                <w:sz w:val="20"/>
                <w:szCs w:val="20"/>
              </w:rPr>
            </w:pPr>
            <w:r w:rsidRPr="001F224B">
              <w:rPr>
                <w:sz w:val="20"/>
                <w:szCs w:val="20"/>
              </w:rPr>
              <w:t>94.571.460</w:t>
            </w:r>
          </w:p>
        </w:tc>
      </w:tr>
      <w:tr w:rsidR="00A32080" w:rsidRPr="001F224B" w14:paraId="322614D4" w14:textId="77777777" w:rsidTr="00AE60E1">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1A2F6B3" w14:textId="77777777" w:rsidR="00A32080" w:rsidRPr="001F224B" w:rsidRDefault="00A32080" w:rsidP="00A32080">
            <w:pPr>
              <w:rPr>
                <w:b/>
                <w:sz w:val="20"/>
                <w:szCs w:val="20"/>
              </w:rPr>
            </w:pPr>
            <w:r w:rsidRPr="001F224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3DEFC09" w14:textId="2B65273C" w:rsidR="00A32080" w:rsidRPr="001F224B" w:rsidRDefault="00A32080" w:rsidP="00A32080">
            <w:pPr>
              <w:jc w:val="right"/>
              <w:rPr>
                <w:b/>
                <w:bCs/>
                <w:sz w:val="20"/>
                <w:szCs w:val="20"/>
              </w:rPr>
            </w:pPr>
            <w:r w:rsidRPr="001F224B">
              <w:rPr>
                <w:b/>
                <w:bCs/>
                <w:sz w:val="20"/>
                <w:szCs w:val="20"/>
              </w:rPr>
              <w:t>109.347.216</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C7791EE" w14:textId="40C2BF48" w:rsidR="00A32080" w:rsidRPr="001F224B" w:rsidRDefault="00A32080" w:rsidP="00A32080">
            <w:pPr>
              <w:jc w:val="right"/>
              <w:rPr>
                <w:b/>
                <w:sz w:val="20"/>
                <w:szCs w:val="20"/>
              </w:rPr>
            </w:pPr>
            <w:r w:rsidRPr="001F224B">
              <w:rPr>
                <w:b/>
                <w:bCs/>
                <w:sz w:val="20"/>
                <w:szCs w:val="20"/>
              </w:rPr>
              <w:t>94.812.835</w:t>
            </w:r>
          </w:p>
        </w:tc>
      </w:tr>
    </w:tbl>
    <w:p w14:paraId="0FE54F34" w14:textId="3A6D001E" w:rsidR="00E6451B" w:rsidRPr="001F224B" w:rsidRDefault="00E6451B" w:rsidP="00B4364F">
      <w:pPr>
        <w:tabs>
          <w:tab w:val="left" w:pos="567"/>
        </w:tabs>
        <w:spacing w:before="120" w:after="120"/>
        <w:jc w:val="both"/>
        <w:rPr>
          <w:b/>
          <w:bCs/>
          <w:sz w:val="22"/>
          <w:szCs w:val="22"/>
        </w:rPr>
      </w:pPr>
      <w:r w:rsidRPr="001F224B">
        <w:rPr>
          <w:b/>
          <w:bCs/>
          <w:sz w:val="22"/>
          <w:szCs w:val="22"/>
        </w:rPr>
        <w:t>2.1.</w:t>
      </w:r>
      <w:r w:rsidR="00FA2508" w:rsidRPr="001F224B">
        <w:rPr>
          <w:b/>
          <w:bCs/>
          <w:sz w:val="22"/>
          <w:szCs w:val="22"/>
        </w:rPr>
        <w:t>e</w:t>
      </w:r>
      <w:r w:rsidRPr="001F224B">
        <w:rPr>
          <w:b/>
          <w:bCs/>
          <w:sz w:val="22"/>
          <w:szCs w:val="22"/>
        </w:rPr>
        <w:t>)</w:t>
      </w:r>
      <w:r w:rsidRPr="001F224B">
        <w:rPr>
          <w:b/>
          <w:bCs/>
          <w:sz w:val="22"/>
          <w:szCs w:val="22"/>
        </w:rPr>
        <w:tab/>
        <w:t>Bağlı ortaklık ve iştiraklere verilen krediler:</w:t>
      </w:r>
    </w:p>
    <w:p w14:paraId="04B72C9F" w14:textId="4A1174E6" w:rsidR="00A32080" w:rsidRPr="001F224B" w:rsidRDefault="00A32080" w:rsidP="00A32080">
      <w:pPr>
        <w:ind w:left="567"/>
        <w:jc w:val="both"/>
        <w:rPr>
          <w:sz w:val="22"/>
          <w:szCs w:val="22"/>
        </w:rPr>
      </w:pPr>
      <w:r w:rsidRPr="001F224B">
        <w:rPr>
          <w:sz w:val="22"/>
          <w:szCs w:val="22"/>
        </w:rPr>
        <w:t xml:space="preserve">Ana Ortaklık Banka bağlı ortaklığı olan (İflas Nedeniyle Tasfiye Halinde) Arıcak A.Ş.’ye kullandırılan 3.857 TL (31 Aralık 2024: 3.856 TL) tutarındaki kredi V. Grup kredilerde izlenmektedir. Söz konusu kredi için 3.857 TL (31 Aralık 2024: 3.856 TL) temerrüt (üçüncü aşama beklenen zarar) karşılığı ayrılmıştır. </w:t>
      </w:r>
    </w:p>
    <w:p w14:paraId="26C90646" w14:textId="3F6D207C" w:rsidR="00112412" w:rsidRPr="001F224B" w:rsidRDefault="00112412" w:rsidP="00112412">
      <w:pPr>
        <w:rPr>
          <w:b/>
          <w:bCs/>
          <w:sz w:val="22"/>
          <w:szCs w:val="22"/>
        </w:rPr>
      </w:pPr>
      <w:r w:rsidRPr="001F224B">
        <w:rPr>
          <w:b/>
          <w:bCs/>
          <w:sz w:val="22"/>
          <w:szCs w:val="22"/>
        </w:rPr>
        <w:t>BEŞİNCİ BÖLÜM (Devamı)</w:t>
      </w:r>
    </w:p>
    <w:p w14:paraId="0902607C" w14:textId="77777777" w:rsidR="00112412" w:rsidRPr="001F224B"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KONSOLİDE FİNANSAL TABLOLARA İLİŞKİN AÇIKLAMA VE DİPNOTLAR (Devamı)</w:t>
      </w:r>
    </w:p>
    <w:p w14:paraId="3B3C193D" w14:textId="77777777" w:rsidR="00112412" w:rsidRPr="001F224B"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I.</w:t>
      </w:r>
      <w:r w:rsidRPr="001F224B">
        <w:rPr>
          <w:rFonts w:ascii="Times New Roman" w:cs="Times New Roman"/>
          <w:b/>
          <w:bCs/>
          <w:sz w:val="22"/>
          <w:szCs w:val="22"/>
          <w:lang w:val="tr-TR"/>
        </w:rPr>
        <w:tab/>
        <w:t>Konsolide bilançonun aktif hesaplarına ilişkin açıklama ve dipnotlar (Devamı)</w:t>
      </w:r>
    </w:p>
    <w:p w14:paraId="0BA108BD" w14:textId="77777777" w:rsidR="00112412" w:rsidRPr="001F224B"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2.</w:t>
      </w:r>
      <w:r w:rsidRPr="001F224B">
        <w:rPr>
          <w:rFonts w:ascii="Times New Roman" w:cs="Times New Roman"/>
          <w:b/>
          <w:bCs/>
          <w:sz w:val="22"/>
          <w:szCs w:val="22"/>
          <w:lang w:val="tr-TR"/>
        </w:rPr>
        <w:tab/>
        <w:t>İtfa edilmiş maliyeti ile ölçülen finansal varlıklara ilişkin açıklamalar (Net) (Devamı):</w:t>
      </w:r>
    </w:p>
    <w:p w14:paraId="3BD8EA64" w14:textId="5AB8091B" w:rsidR="00112412" w:rsidRPr="001F224B"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1F224B">
        <w:rPr>
          <w:rFonts w:ascii="Times New Roman" w:cs="Times New Roman"/>
          <w:b/>
          <w:bCs/>
          <w:sz w:val="22"/>
          <w:szCs w:val="22"/>
          <w:lang w:val="tr-TR"/>
        </w:rPr>
        <w:t>2.1.</w:t>
      </w:r>
      <w:r w:rsidRPr="001F224B">
        <w:rPr>
          <w:rFonts w:ascii="Times New Roman" w:cs="Times New Roman"/>
          <w:b/>
          <w:bCs/>
          <w:sz w:val="22"/>
          <w:szCs w:val="22"/>
          <w:lang w:val="tr-TR"/>
        </w:rPr>
        <w:tab/>
        <w:t>Kredilere ilişkin bilgiler (Devamı):</w:t>
      </w:r>
    </w:p>
    <w:p w14:paraId="42B5B09D" w14:textId="77777777" w:rsidR="00433353" w:rsidRPr="001F224B" w:rsidRDefault="00433353" w:rsidP="00433353">
      <w:pPr>
        <w:spacing w:after="120"/>
        <w:jc w:val="both"/>
        <w:rPr>
          <w:b/>
          <w:bCs/>
          <w:sz w:val="22"/>
          <w:szCs w:val="22"/>
        </w:rPr>
      </w:pPr>
      <w:r w:rsidRPr="001F224B">
        <w:rPr>
          <w:b/>
          <w:bCs/>
          <w:sz w:val="22"/>
          <w:szCs w:val="22"/>
        </w:rPr>
        <w:t>2.1.f)  Temerrüt (üçüncü aşama) karşılıkları:</w:t>
      </w:r>
    </w:p>
    <w:tbl>
      <w:tblPr>
        <w:tblW w:w="9753" w:type="dxa"/>
        <w:tblInd w:w="23" w:type="dxa"/>
        <w:tblLayout w:type="fixed"/>
        <w:tblCellMar>
          <w:left w:w="70" w:type="dxa"/>
          <w:right w:w="70" w:type="dxa"/>
        </w:tblCellMar>
        <w:tblLook w:val="0000" w:firstRow="0" w:lastRow="0" w:firstColumn="0" w:lastColumn="0" w:noHBand="0" w:noVBand="0"/>
      </w:tblPr>
      <w:tblGrid>
        <w:gridCol w:w="5544"/>
        <w:gridCol w:w="2126"/>
        <w:gridCol w:w="2083"/>
      </w:tblGrid>
      <w:tr w:rsidR="00433353" w:rsidRPr="001F224B" w14:paraId="481E7719" w14:textId="77777777" w:rsidTr="009732ED">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F45585E" w14:textId="77777777" w:rsidR="00433353" w:rsidRPr="001F224B" w:rsidRDefault="00433353" w:rsidP="009732ED">
            <w:pPr>
              <w:rPr>
                <w:sz w:val="20"/>
                <w:szCs w:val="20"/>
              </w:rPr>
            </w:pPr>
            <w:r w:rsidRPr="001F224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25BE61E" w14:textId="77777777" w:rsidR="00433353" w:rsidRPr="001F224B" w:rsidRDefault="00433353" w:rsidP="009732ED">
            <w:pPr>
              <w:jc w:val="center"/>
              <w:rPr>
                <w:b/>
                <w:bCs/>
                <w:color w:val="000000"/>
                <w:sz w:val="20"/>
                <w:szCs w:val="20"/>
              </w:rPr>
            </w:pPr>
            <w:r w:rsidRPr="001F224B">
              <w:rPr>
                <w:b/>
                <w:bCs/>
                <w:color w:val="000000"/>
                <w:sz w:val="20"/>
                <w:szCs w:val="20"/>
              </w:rPr>
              <w:t>Cari Dönem</w:t>
            </w:r>
          </w:p>
          <w:p w14:paraId="0A97C9D2" w14:textId="6320B872" w:rsidR="00433353" w:rsidRPr="001F224B" w:rsidRDefault="00433353" w:rsidP="009732ED">
            <w:pPr>
              <w:jc w:val="center"/>
              <w:rPr>
                <w:b/>
                <w:bCs/>
                <w:sz w:val="20"/>
                <w:szCs w:val="20"/>
              </w:rPr>
            </w:pPr>
            <w:r w:rsidRPr="001F224B">
              <w:rPr>
                <w:b/>
                <w:bCs/>
                <w:color w:val="000000"/>
                <w:sz w:val="20"/>
                <w:szCs w:val="20"/>
              </w:rPr>
              <w:t>(3</w:t>
            </w:r>
            <w:r w:rsidR="0059647A" w:rsidRPr="001F224B">
              <w:rPr>
                <w:b/>
                <w:bCs/>
                <w:color w:val="000000"/>
                <w:sz w:val="20"/>
                <w:szCs w:val="20"/>
              </w:rPr>
              <w:t>0</w:t>
            </w:r>
            <w:r w:rsidRPr="001F224B">
              <w:rPr>
                <w:b/>
                <w:bCs/>
                <w:color w:val="000000"/>
                <w:sz w:val="20"/>
                <w:szCs w:val="20"/>
              </w:rPr>
              <w:t>.0</w:t>
            </w:r>
            <w:r w:rsidR="0059647A" w:rsidRPr="001F224B">
              <w:rPr>
                <w:b/>
                <w:bCs/>
                <w:color w:val="000000"/>
                <w:sz w:val="20"/>
                <w:szCs w:val="20"/>
              </w:rPr>
              <w:t>6</w:t>
            </w:r>
            <w:r w:rsidRPr="001F224B">
              <w:rPr>
                <w:b/>
                <w:bCs/>
                <w:color w:val="000000"/>
                <w:sz w:val="20"/>
                <w:szCs w:val="20"/>
              </w:rPr>
              <w:t>.2025)</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7C262440" w14:textId="77777777" w:rsidR="00433353" w:rsidRPr="001F224B" w:rsidRDefault="00433353" w:rsidP="009732ED">
            <w:pPr>
              <w:jc w:val="center"/>
              <w:rPr>
                <w:b/>
                <w:bCs/>
                <w:sz w:val="20"/>
                <w:szCs w:val="20"/>
              </w:rPr>
            </w:pPr>
            <w:r w:rsidRPr="001F224B">
              <w:rPr>
                <w:b/>
                <w:bCs/>
                <w:sz w:val="20"/>
                <w:szCs w:val="20"/>
              </w:rPr>
              <w:t xml:space="preserve">Önceki Dönem </w:t>
            </w:r>
          </w:p>
          <w:p w14:paraId="5E499679" w14:textId="77777777" w:rsidR="00433353" w:rsidRPr="001F224B" w:rsidRDefault="00433353" w:rsidP="009732ED">
            <w:pPr>
              <w:jc w:val="center"/>
              <w:rPr>
                <w:b/>
                <w:bCs/>
                <w:sz w:val="20"/>
                <w:szCs w:val="20"/>
              </w:rPr>
            </w:pPr>
            <w:r w:rsidRPr="001F224B">
              <w:rPr>
                <w:b/>
                <w:bCs/>
                <w:sz w:val="20"/>
                <w:szCs w:val="20"/>
              </w:rPr>
              <w:t xml:space="preserve"> (31.12.2024)</w:t>
            </w:r>
          </w:p>
        </w:tc>
      </w:tr>
      <w:tr w:rsidR="00A32080" w:rsidRPr="001F224B" w14:paraId="151888F7" w14:textId="77777777" w:rsidTr="009732ED">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53CBDD70" w14:textId="77777777" w:rsidR="00A32080" w:rsidRPr="001F224B" w:rsidRDefault="00A32080" w:rsidP="00A32080">
            <w:pPr>
              <w:ind w:firstLine="355"/>
              <w:rPr>
                <w:sz w:val="20"/>
                <w:szCs w:val="20"/>
              </w:rPr>
            </w:pPr>
            <w:r w:rsidRPr="001F224B">
              <w:rPr>
                <w:sz w:val="20"/>
                <w:szCs w:val="20"/>
              </w:rPr>
              <w:t xml:space="preserve">Tahsil İmkanı Sınırlı Krediler İçin Ayrılanlar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EFAE5FB" w14:textId="1F8419B0" w:rsidR="00A32080" w:rsidRPr="001F224B" w:rsidRDefault="00A32080" w:rsidP="00A32080">
            <w:pPr>
              <w:jc w:val="right"/>
              <w:rPr>
                <w:sz w:val="20"/>
                <w:szCs w:val="20"/>
              </w:rPr>
            </w:pPr>
            <w:r w:rsidRPr="001F224B">
              <w:rPr>
                <w:sz w:val="20"/>
                <w:szCs w:val="20"/>
              </w:rPr>
              <w:t>432.204</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0A55B54A" w14:textId="77777777" w:rsidR="00A32080" w:rsidRPr="001F224B" w:rsidRDefault="00A32080" w:rsidP="00A32080">
            <w:pPr>
              <w:jc w:val="right"/>
              <w:rPr>
                <w:sz w:val="20"/>
                <w:szCs w:val="20"/>
              </w:rPr>
            </w:pPr>
            <w:r w:rsidRPr="001F224B">
              <w:rPr>
                <w:sz w:val="20"/>
                <w:szCs w:val="20"/>
              </w:rPr>
              <w:t>508.374</w:t>
            </w:r>
          </w:p>
        </w:tc>
      </w:tr>
      <w:tr w:rsidR="00A32080" w:rsidRPr="001F224B" w14:paraId="1ED52D01" w14:textId="77777777" w:rsidTr="009732ED">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94B1E3B" w14:textId="77777777" w:rsidR="00A32080" w:rsidRPr="001F224B" w:rsidRDefault="00A32080" w:rsidP="00A32080">
            <w:pPr>
              <w:ind w:firstLine="355"/>
              <w:rPr>
                <w:sz w:val="20"/>
                <w:szCs w:val="20"/>
              </w:rPr>
            </w:pPr>
            <w:r w:rsidRPr="001F224B">
              <w:rPr>
                <w:sz w:val="20"/>
                <w:szCs w:val="20"/>
              </w:rPr>
              <w:t>Tahsili Şüpheli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1D3A79C" w14:textId="32BD2BA1" w:rsidR="00A32080" w:rsidRPr="001F224B" w:rsidRDefault="00A32080" w:rsidP="00A32080">
            <w:pPr>
              <w:jc w:val="right"/>
              <w:rPr>
                <w:sz w:val="20"/>
                <w:szCs w:val="20"/>
              </w:rPr>
            </w:pPr>
            <w:r w:rsidRPr="001F224B">
              <w:rPr>
                <w:sz w:val="20"/>
                <w:szCs w:val="20"/>
              </w:rPr>
              <w:t>19.127</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2FD1CDE9" w14:textId="77777777" w:rsidR="00A32080" w:rsidRPr="001F224B" w:rsidRDefault="00A32080" w:rsidP="00A32080">
            <w:pPr>
              <w:jc w:val="right"/>
              <w:rPr>
                <w:sz w:val="20"/>
                <w:szCs w:val="20"/>
              </w:rPr>
            </w:pPr>
            <w:r w:rsidRPr="001F224B">
              <w:rPr>
                <w:sz w:val="20"/>
                <w:szCs w:val="20"/>
              </w:rPr>
              <w:t>34.473</w:t>
            </w:r>
          </w:p>
        </w:tc>
      </w:tr>
      <w:tr w:rsidR="00A32080" w:rsidRPr="001F224B" w14:paraId="67F37E00" w14:textId="77777777" w:rsidTr="009732ED">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732C432C" w14:textId="77777777" w:rsidR="00A32080" w:rsidRPr="001F224B" w:rsidRDefault="00A32080" w:rsidP="00A32080">
            <w:pPr>
              <w:ind w:firstLine="355"/>
              <w:rPr>
                <w:sz w:val="20"/>
                <w:szCs w:val="20"/>
              </w:rPr>
            </w:pPr>
            <w:r w:rsidRPr="001F224B">
              <w:rPr>
                <w:sz w:val="20"/>
                <w:szCs w:val="20"/>
              </w:rPr>
              <w:t>Zarar Niteliğindeki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419D797" w14:textId="0488EFA1" w:rsidR="00A32080" w:rsidRPr="001F224B" w:rsidRDefault="00A32080" w:rsidP="00A32080">
            <w:pPr>
              <w:jc w:val="right"/>
              <w:rPr>
                <w:sz w:val="20"/>
                <w:szCs w:val="20"/>
              </w:rPr>
            </w:pPr>
            <w:r w:rsidRPr="001F224B">
              <w:rPr>
                <w:sz w:val="20"/>
                <w:szCs w:val="20"/>
              </w:rPr>
              <w:t>33.533</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6E705ED8" w14:textId="77777777" w:rsidR="00A32080" w:rsidRPr="001F224B" w:rsidRDefault="00A32080" w:rsidP="00A32080">
            <w:pPr>
              <w:jc w:val="right"/>
              <w:rPr>
                <w:sz w:val="20"/>
                <w:szCs w:val="20"/>
              </w:rPr>
            </w:pPr>
            <w:r w:rsidRPr="001F224B">
              <w:rPr>
                <w:sz w:val="20"/>
                <w:szCs w:val="20"/>
              </w:rPr>
              <w:t>33.504</w:t>
            </w:r>
          </w:p>
        </w:tc>
      </w:tr>
      <w:tr w:rsidR="00A32080" w:rsidRPr="001F224B" w14:paraId="3CB2AAB0" w14:textId="77777777" w:rsidTr="009732ED">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335B7D2" w14:textId="77777777" w:rsidR="00A32080" w:rsidRPr="001F224B" w:rsidRDefault="00A32080" w:rsidP="00A32080">
            <w:pPr>
              <w:rPr>
                <w:b/>
                <w:sz w:val="20"/>
                <w:szCs w:val="20"/>
              </w:rPr>
            </w:pPr>
            <w:r w:rsidRPr="001F224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ED9A365" w14:textId="672EAB29" w:rsidR="00A32080" w:rsidRPr="001F224B" w:rsidRDefault="00A32080" w:rsidP="00A32080">
            <w:pPr>
              <w:jc w:val="right"/>
              <w:rPr>
                <w:b/>
                <w:sz w:val="20"/>
                <w:szCs w:val="20"/>
              </w:rPr>
            </w:pPr>
            <w:r w:rsidRPr="001F224B">
              <w:rPr>
                <w:b/>
                <w:bCs/>
                <w:sz w:val="20"/>
                <w:szCs w:val="20"/>
              </w:rPr>
              <w:t>484.864</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3E5E24B3" w14:textId="77777777" w:rsidR="00A32080" w:rsidRPr="001F224B" w:rsidRDefault="00A32080" w:rsidP="00A32080">
            <w:pPr>
              <w:jc w:val="right"/>
              <w:rPr>
                <w:b/>
                <w:sz w:val="20"/>
                <w:szCs w:val="20"/>
              </w:rPr>
            </w:pPr>
            <w:r w:rsidRPr="001F224B">
              <w:rPr>
                <w:b/>
                <w:sz w:val="20"/>
                <w:szCs w:val="20"/>
              </w:rPr>
              <w:t>576.351</w:t>
            </w:r>
          </w:p>
        </w:tc>
      </w:tr>
    </w:tbl>
    <w:p w14:paraId="4AA410B8" w14:textId="77777777" w:rsidR="00433353" w:rsidRPr="001F224B" w:rsidRDefault="00433353" w:rsidP="001B1379">
      <w:pPr>
        <w:tabs>
          <w:tab w:val="left" w:pos="567"/>
        </w:tabs>
        <w:jc w:val="both"/>
        <w:rPr>
          <w:b/>
          <w:bCs/>
          <w:sz w:val="22"/>
          <w:szCs w:val="22"/>
        </w:rPr>
      </w:pPr>
    </w:p>
    <w:p w14:paraId="560C531E" w14:textId="3B15B3EB" w:rsidR="001B1379" w:rsidRPr="001F224B" w:rsidRDefault="001B1379" w:rsidP="001B1379">
      <w:pPr>
        <w:tabs>
          <w:tab w:val="left" w:pos="567"/>
        </w:tabs>
        <w:jc w:val="both"/>
        <w:rPr>
          <w:b/>
          <w:bCs/>
          <w:sz w:val="22"/>
          <w:szCs w:val="22"/>
        </w:rPr>
      </w:pPr>
      <w:r w:rsidRPr="001F224B">
        <w:rPr>
          <w:b/>
          <w:bCs/>
          <w:sz w:val="22"/>
          <w:szCs w:val="22"/>
        </w:rPr>
        <w:t>2.1.</w:t>
      </w:r>
      <w:r w:rsidR="000735DA" w:rsidRPr="001F224B">
        <w:rPr>
          <w:b/>
          <w:bCs/>
          <w:sz w:val="22"/>
          <w:szCs w:val="22"/>
        </w:rPr>
        <w:t>g</w:t>
      </w:r>
      <w:r w:rsidRPr="001F224B">
        <w:rPr>
          <w:b/>
          <w:bCs/>
          <w:sz w:val="22"/>
          <w:szCs w:val="22"/>
        </w:rPr>
        <w:t>)</w:t>
      </w:r>
      <w:r w:rsidRPr="001F224B">
        <w:rPr>
          <w:b/>
          <w:bCs/>
          <w:sz w:val="22"/>
          <w:szCs w:val="22"/>
        </w:rPr>
        <w:tab/>
        <w:t>Donuk alacaklara ilişkin bilgiler (Net):</w:t>
      </w:r>
    </w:p>
    <w:p w14:paraId="31DD8881" w14:textId="5F4AE78A" w:rsidR="001B1379" w:rsidRPr="001F224B" w:rsidRDefault="001B1379" w:rsidP="001B1379">
      <w:pPr>
        <w:spacing w:before="120" w:after="120"/>
        <w:ind w:left="567" w:hanging="567"/>
        <w:jc w:val="both"/>
        <w:rPr>
          <w:b/>
          <w:bCs/>
          <w:sz w:val="22"/>
          <w:szCs w:val="22"/>
        </w:rPr>
      </w:pPr>
      <w:r w:rsidRPr="001F224B">
        <w:rPr>
          <w:b/>
          <w:bCs/>
          <w:sz w:val="22"/>
          <w:szCs w:val="22"/>
        </w:rPr>
        <w:t>2.1.</w:t>
      </w:r>
      <w:r w:rsidR="000735DA" w:rsidRPr="001F224B">
        <w:rPr>
          <w:b/>
          <w:bCs/>
          <w:sz w:val="22"/>
          <w:szCs w:val="22"/>
        </w:rPr>
        <w:t>g</w:t>
      </w:r>
      <w:r w:rsidRPr="001F224B">
        <w:rPr>
          <w:b/>
          <w:bCs/>
          <w:sz w:val="22"/>
          <w:szCs w:val="22"/>
        </w:rPr>
        <w:t>.1)</w:t>
      </w:r>
      <w:r w:rsidRPr="001F224B">
        <w:rPr>
          <w:b/>
          <w:bCs/>
          <w:sz w:val="22"/>
          <w:szCs w:val="22"/>
        </w:rPr>
        <w:tab/>
        <w:t>Donuk alacaklara ve yeniden yapılandırılan kredilere ilişkin bilgiler:</w:t>
      </w:r>
    </w:p>
    <w:tbl>
      <w:tblPr>
        <w:tblStyle w:val="TableGrid"/>
        <w:tblW w:w="9753" w:type="dxa"/>
        <w:tblInd w:w="23" w:type="dxa"/>
        <w:tblLook w:val="04A0" w:firstRow="1" w:lastRow="0" w:firstColumn="1" w:lastColumn="0" w:noHBand="0" w:noVBand="1"/>
      </w:tblPr>
      <w:tblGrid>
        <w:gridCol w:w="5217"/>
        <w:gridCol w:w="1559"/>
        <w:gridCol w:w="1560"/>
        <w:gridCol w:w="1417"/>
      </w:tblGrid>
      <w:tr w:rsidR="001B1379" w:rsidRPr="001F224B" w14:paraId="176C9709" w14:textId="77777777" w:rsidTr="006B47E4">
        <w:trPr>
          <w:trHeight w:val="227"/>
        </w:trPr>
        <w:tc>
          <w:tcPr>
            <w:tcW w:w="5217" w:type="dxa"/>
            <w:vMerge w:val="restart"/>
            <w:noWrap/>
            <w:vAlign w:val="bottom"/>
            <w:hideMark/>
          </w:tcPr>
          <w:p w14:paraId="1ACA9834" w14:textId="77777777" w:rsidR="001B1379" w:rsidRPr="001F224B" w:rsidRDefault="001B1379" w:rsidP="006B47E4">
            <w:pPr>
              <w:jc w:val="both"/>
              <w:rPr>
                <w:bCs/>
                <w:sz w:val="20"/>
                <w:szCs w:val="20"/>
              </w:rPr>
            </w:pPr>
            <w:r w:rsidRPr="001F224B">
              <w:rPr>
                <w:bCs/>
                <w:sz w:val="20"/>
                <w:szCs w:val="20"/>
              </w:rPr>
              <w:t> </w:t>
            </w:r>
          </w:p>
        </w:tc>
        <w:tc>
          <w:tcPr>
            <w:tcW w:w="1559" w:type="dxa"/>
            <w:noWrap/>
            <w:vAlign w:val="bottom"/>
            <w:hideMark/>
          </w:tcPr>
          <w:p w14:paraId="693DC679" w14:textId="77777777" w:rsidR="001B1379" w:rsidRPr="001F224B" w:rsidRDefault="001B1379" w:rsidP="006B47E4">
            <w:pPr>
              <w:jc w:val="center"/>
              <w:rPr>
                <w:bCs/>
                <w:sz w:val="20"/>
                <w:szCs w:val="20"/>
              </w:rPr>
            </w:pPr>
            <w:r w:rsidRPr="001F224B">
              <w:rPr>
                <w:bCs/>
                <w:sz w:val="20"/>
                <w:szCs w:val="20"/>
              </w:rPr>
              <w:t>III. Grup</w:t>
            </w:r>
          </w:p>
        </w:tc>
        <w:tc>
          <w:tcPr>
            <w:tcW w:w="1560" w:type="dxa"/>
            <w:noWrap/>
            <w:vAlign w:val="bottom"/>
            <w:hideMark/>
          </w:tcPr>
          <w:p w14:paraId="01F40A05" w14:textId="77777777" w:rsidR="001B1379" w:rsidRPr="001F224B" w:rsidRDefault="001B1379" w:rsidP="006B47E4">
            <w:pPr>
              <w:jc w:val="center"/>
              <w:rPr>
                <w:bCs/>
                <w:sz w:val="20"/>
                <w:szCs w:val="20"/>
              </w:rPr>
            </w:pPr>
            <w:r w:rsidRPr="001F224B">
              <w:rPr>
                <w:bCs/>
                <w:sz w:val="20"/>
                <w:szCs w:val="20"/>
              </w:rPr>
              <w:t>IV. Grup</w:t>
            </w:r>
          </w:p>
        </w:tc>
        <w:tc>
          <w:tcPr>
            <w:tcW w:w="1417" w:type="dxa"/>
            <w:noWrap/>
            <w:vAlign w:val="bottom"/>
            <w:hideMark/>
          </w:tcPr>
          <w:p w14:paraId="0A31112D" w14:textId="77777777" w:rsidR="001B1379" w:rsidRPr="001F224B" w:rsidRDefault="001B1379" w:rsidP="006B47E4">
            <w:pPr>
              <w:jc w:val="center"/>
              <w:rPr>
                <w:bCs/>
                <w:sz w:val="20"/>
                <w:szCs w:val="20"/>
              </w:rPr>
            </w:pPr>
            <w:r w:rsidRPr="001F224B">
              <w:rPr>
                <w:bCs/>
                <w:sz w:val="20"/>
                <w:szCs w:val="20"/>
              </w:rPr>
              <w:t>V. Grup</w:t>
            </w:r>
          </w:p>
        </w:tc>
      </w:tr>
      <w:tr w:rsidR="001B1379" w:rsidRPr="001F224B" w14:paraId="0807AE69" w14:textId="77777777" w:rsidTr="006B47E4">
        <w:trPr>
          <w:trHeight w:val="227"/>
        </w:trPr>
        <w:tc>
          <w:tcPr>
            <w:tcW w:w="5217" w:type="dxa"/>
            <w:vMerge/>
            <w:vAlign w:val="bottom"/>
            <w:hideMark/>
          </w:tcPr>
          <w:p w14:paraId="3BEAFAC5" w14:textId="77777777" w:rsidR="001B1379" w:rsidRPr="001F224B" w:rsidRDefault="001B1379" w:rsidP="006B47E4">
            <w:pPr>
              <w:jc w:val="both"/>
              <w:rPr>
                <w:bCs/>
                <w:sz w:val="20"/>
                <w:szCs w:val="20"/>
              </w:rPr>
            </w:pPr>
          </w:p>
        </w:tc>
        <w:tc>
          <w:tcPr>
            <w:tcW w:w="1559" w:type="dxa"/>
            <w:vAlign w:val="center"/>
            <w:hideMark/>
          </w:tcPr>
          <w:p w14:paraId="40A31F3C" w14:textId="77777777" w:rsidR="001B1379" w:rsidRPr="001F224B" w:rsidRDefault="001B1379" w:rsidP="006B47E4">
            <w:pPr>
              <w:jc w:val="center"/>
              <w:rPr>
                <w:bCs/>
                <w:sz w:val="20"/>
                <w:szCs w:val="20"/>
              </w:rPr>
            </w:pPr>
            <w:r w:rsidRPr="001F224B">
              <w:rPr>
                <w:bCs/>
                <w:sz w:val="20"/>
                <w:szCs w:val="20"/>
              </w:rPr>
              <w:t>Tahsil İmkanı Sınırlı Krediler</w:t>
            </w:r>
          </w:p>
        </w:tc>
        <w:tc>
          <w:tcPr>
            <w:tcW w:w="1560" w:type="dxa"/>
            <w:vAlign w:val="center"/>
            <w:hideMark/>
          </w:tcPr>
          <w:p w14:paraId="4CF223DA" w14:textId="77777777" w:rsidR="001B1379" w:rsidRPr="001F224B" w:rsidRDefault="001B1379" w:rsidP="006B47E4">
            <w:pPr>
              <w:jc w:val="center"/>
              <w:rPr>
                <w:bCs/>
                <w:sz w:val="20"/>
                <w:szCs w:val="20"/>
              </w:rPr>
            </w:pPr>
            <w:r w:rsidRPr="001F224B">
              <w:rPr>
                <w:bCs/>
                <w:sz w:val="20"/>
                <w:szCs w:val="20"/>
              </w:rPr>
              <w:t>Tahsili Şüpheli Krediler</w:t>
            </w:r>
          </w:p>
        </w:tc>
        <w:tc>
          <w:tcPr>
            <w:tcW w:w="1417" w:type="dxa"/>
            <w:vAlign w:val="center"/>
            <w:hideMark/>
          </w:tcPr>
          <w:p w14:paraId="005640FC" w14:textId="77777777" w:rsidR="001B1379" w:rsidRPr="001F224B" w:rsidRDefault="001B1379" w:rsidP="006B47E4">
            <w:pPr>
              <w:jc w:val="center"/>
              <w:rPr>
                <w:bCs/>
                <w:sz w:val="20"/>
                <w:szCs w:val="20"/>
              </w:rPr>
            </w:pPr>
            <w:r w:rsidRPr="001F224B">
              <w:rPr>
                <w:bCs/>
                <w:sz w:val="20"/>
                <w:szCs w:val="20"/>
              </w:rPr>
              <w:t>Zarar Niteliğindeki Krediler</w:t>
            </w:r>
          </w:p>
        </w:tc>
      </w:tr>
      <w:tr w:rsidR="001B1379" w:rsidRPr="001F224B" w14:paraId="13A99966" w14:textId="77777777" w:rsidTr="006B47E4">
        <w:trPr>
          <w:trHeight w:val="227"/>
        </w:trPr>
        <w:tc>
          <w:tcPr>
            <w:tcW w:w="5217" w:type="dxa"/>
            <w:noWrap/>
            <w:vAlign w:val="bottom"/>
            <w:hideMark/>
          </w:tcPr>
          <w:p w14:paraId="29BAA1BA" w14:textId="08C4953E" w:rsidR="001B1379" w:rsidRPr="001F224B" w:rsidRDefault="001B1379" w:rsidP="006B47E4">
            <w:pPr>
              <w:jc w:val="both"/>
              <w:rPr>
                <w:b/>
                <w:bCs/>
                <w:sz w:val="20"/>
                <w:szCs w:val="20"/>
              </w:rPr>
            </w:pPr>
            <w:r w:rsidRPr="001F224B">
              <w:rPr>
                <w:b/>
                <w:bCs/>
                <w:sz w:val="20"/>
                <w:szCs w:val="20"/>
              </w:rPr>
              <w:t>Cari Dönem (3</w:t>
            </w:r>
            <w:r w:rsidR="00DF3E41" w:rsidRPr="001F224B">
              <w:rPr>
                <w:b/>
                <w:bCs/>
                <w:sz w:val="20"/>
                <w:szCs w:val="20"/>
              </w:rPr>
              <w:t>0</w:t>
            </w:r>
            <w:r w:rsidRPr="001F224B">
              <w:rPr>
                <w:b/>
                <w:bCs/>
                <w:sz w:val="20"/>
                <w:szCs w:val="20"/>
              </w:rPr>
              <w:t>.</w:t>
            </w:r>
            <w:r w:rsidR="000735DA" w:rsidRPr="001F224B">
              <w:rPr>
                <w:b/>
                <w:bCs/>
                <w:sz w:val="20"/>
                <w:szCs w:val="20"/>
              </w:rPr>
              <w:t>0</w:t>
            </w:r>
            <w:r w:rsidR="00DF3E41" w:rsidRPr="001F224B">
              <w:rPr>
                <w:b/>
                <w:bCs/>
                <w:sz w:val="20"/>
                <w:szCs w:val="20"/>
              </w:rPr>
              <w:t>6</w:t>
            </w:r>
            <w:r w:rsidRPr="001F224B">
              <w:rPr>
                <w:b/>
                <w:bCs/>
                <w:sz w:val="20"/>
                <w:szCs w:val="20"/>
              </w:rPr>
              <w:t>.202</w:t>
            </w:r>
            <w:r w:rsidR="000735DA" w:rsidRPr="001F224B">
              <w:rPr>
                <w:b/>
                <w:bCs/>
                <w:sz w:val="20"/>
                <w:szCs w:val="20"/>
              </w:rPr>
              <w:t>5</w:t>
            </w:r>
            <w:r w:rsidRPr="001F224B">
              <w:rPr>
                <w:b/>
                <w:bCs/>
                <w:sz w:val="20"/>
                <w:szCs w:val="20"/>
              </w:rPr>
              <w:t>)</w:t>
            </w:r>
          </w:p>
        </w:tc>
        <w:tc>
          <w:tcPr>
            <w:tcW w:w="1559" w:type="dxa"/>
            <w:noWrap/>
            <w:vAlign w:val="bottom"/>
            <w:hideMark/>
          </w:tcPr>
          <w:p w14:paraId="77DB2B88" w14:textId="77777777" w:rsidR="001B1379" w:rsidRPr="001F224B" w:rsidRDefault="001B1379" w:rsidP="006B47E4">
            <w:pPr>
              <w:jc w:val="right"/>
              <w:rPr>
                <w:bCs/>
                <w:sz w:val="20"/>
                <w:szCs w:val="20"/>
              </w:rPr>
            </w:pPr>
          </w:p>
        </w:tc>
        <w:tc>
          <w:tcPr>
            <w:tcW w:w="1560" w:type="dxa"/>
            <w:noWrap/>
            <w:vAlign w:val="bottom"/>
            <w:hideMark/>
          </w:tcPr>
          <w:p w14:paraId="2E220298" w14:textId="77777777" w:rsidR="001B1379" w:rsidRPr="001F224B" w:rsidRDefault="001B1379" w:rsidP="006B47E4">
            <w:pPr>
              <w:jc w:val="right"/>
              <w:rPr>
                <w:bCs/>
                <w:sz w:val="20"/>
                <w:szCs w:val="20"/>
              </w:rPr>
            </w:pPr>
          </w:p>
        </w:tc>
        <w:tc>
          <w:tcPr>
            <w:tcW w:w="1417" w:type="dxa"/>
            <w:noWrap/>
            <w:vAlign w:val="bottom"/>
            <w:hideMark/>
          </w:tcPr>
          <w:p w14:paraId="69CA5EF4" w14:textId="77777777" w:rsidR="001B1379" w:rsidRPr="001F224B" w:rsidRDefault="001B1379" w:rsidP="006B47E4">
            <w:pPr>
              <w:jc w:val="right"/>
              <w:rPr>
                <w:bCs/>
                <w:sz w:val="20"/>
                <w:szCs w:val="20"/>
              </w:rPr>
            </w:pPr>
          </w:p>
        </w:tc>
      </w:tr>
      <w:tr w:rsidR="00A32080" w:rsidRPr="001F224B" w14:paraId="2D97049D" w14:textId="77777777" w:rsidTr="006B47E4">
        <w:trPr>
          <w:trHeight w:val="227"/>
        </w:trPr>
        <w:tc>
          <w:tcPr>
            <w:tcW w:w="5217" w:type="dxa"/>
            <w:noWrap/>
            <w:vAlign w:val="bottom"/>
            <w:hideMark/>
          </w:tcPr>
          <w:p w14:paraId="6C6EA0F7" w14:textId="77777777" w:rsidR="00A32080" w:rsidRPr="001F224B" w:rsidRDefault="00A32080" w:rsidP="00A32080">
            <w:pPr>
              <w:jc w:val="both"/>
              <w:rPr>
                <w:bCs/>
                <w:sz w:val="20"/>
                <w:szCs w:val="20"/>
              </w:rPr>
            </w:pPr>
            <w:r w:rsidRPr="001F224B">
              <w:rPr>
                <w:bCs/>
                <w:sz w:val="20"/>
                <w:szCs w:val="20"/>
              </w:rPr>
              <w:t xml:space="preserve"> Karşılıklardan Önceki Brüt Tutarlar</w:t>
            </w:r>
          </w:p>
        </w:tc>
        <w:tc>
          <w:tcPr>
            <w:tcW w:w="1559" w:type="dxa"/>
            <w:noWrap/>
            <w:vAlign w:val="bottom"/>
            <w:hideMark/>
          </w:tcPr>
          <w:p w14:paraId="6B22056F" w14:textId="02D506BB" w:rsidR="00A32080" w:rsidRPr="001F224B" w:rsidRDefault="00A32080" w:rsidP="00A32080">
            <w:pPr>
              <w:jc w:val="right"/>
              <w:rPr>
                <w:bCs/>
                <w:sz w:val="20"/>
                <w:szCs w:val="20"/>
              </w:rPr>
            </w:pPr>
            <w:r w:rsidRPr="001F224B">
              <w:rPr>
                <w:bCs/>
                <w:sz w:val="20"/>
                <w:szCs w:val="20"/>
              </w:rPr>
              <w:t>-</w:t>
            </w:r>
          </w:p>
        </w:tc>
        <w:tc>
          <w:tcPr>
            <w:tcW w:w="1560" w:type="dxa"/>
            <w:noWrap/>
            <w:vAlign w:val="bottom"/>
            <w:hideMark/>
          </w:tcPr>
          <w:p w14:paraId="13376E22" w14:textId="7DE7EEFD" w:rsidR="00A32080" w:rsidRPr="001F224B" w:rsidRDefault="00A32080" w:rsidP="00A32080">
            <w:pPr>
              <w:jc w:val="right"/>
              <w:rPr>
                <w:bCs/>
                <w:sz w:val="20"/>
                <w:szCs w:val="20"/>
              </w:rPr>
            </w:pPr>
            <w:r w:rsidRPr="001F224B">
              <w:rPr>
                <w:bCs/>
                <w:sz w:val="20"/>
                <w:szCs w:val="20"/>
              </w:rPr>
              <w:t>23.385</w:t>
            </w:r>
          </w:p>
        </w:tc>
        <w:tc>
          <w:tcPr>
            <w:tcW w:w="1417" w:type="dxa"/>
            <w:noWrap/>
            <w:vAlign w:val="bottom"/>
            <w:hideMark/>
          </w:tcPr>
          <w:p w14:paraId="5088DD1A" w14:textId="2FCC105C" w:rsidR="00A32080" w:rsidRPr="001F224B" w:rsidRDefault="00A32080" w:rsidP="00A32080">
            <w:pPr>
              <w:jc w:val="right"/>
              <w:rPr>
                <w:bCs/>
                <w:sz w:val="20"/>
                <w:szCs w:val="20"/>
              </w:rPr>
            </w:pPr>
            <w:r w:rsidRPr="001F224B">
              <w:rPr>
                <w:bCs/>
                <w:sz w:val="20"/>
                <w:szCs w:val="20"/>
              </w:rPr>
              <w:t>33.533</w:t>
            </w:r>
          </w:p>
        </w:tc>
      </w:tr>
      <w:tr w:rsidR="00A32080" w:rsidRPr="001F224B" w14:paraId="4B4F6E2C" w14:textId="77777777" w:rsidTr="006B47E4">
        <w:trPr>
          <w:trHeight w:val="227"/>
        </w:trPr>
        <w:tc>
          <w:tcPr>
            <w:tcW w:w="5217" w:type="dxa"/>
            <w:vAlign w:val="bottom"/>
            <w:hideMark/>
          </w:tcPr>
          <w:p w14:paraId="1598D088" w14:textId="77777777" w:rsidR="00A32080" w:rsidRPr="001F224B" w:rsidRDefault="00A32080" w:rsidP="00A32080">
            <w:pPr>
              <w:jc w:val="both"/>
              <w:rPr>
                <w:bCs/>
                <w:sz w:val="20"/>
                <w:szCs w:val="20"/>
              </w:rPr>
            </w:pPr>
            <w:r w:rsidRPr="001F224B">
              <w:rPr>
                <w:bCs/>
                <w:sz w:val="20"/>
                <w:szCs w:val="20"/>
              </w:rPr>
              <w:t xml:space="preserve"> Yeniden Yapılandırılan Krediler </w:t>
            </w:r>
          </w:p>
        </w:tc>
        <w:tc>
          <w:tcPr>
            <w:tcW w:w="1559" w:type="dxa"/>
            <w:noWrap/>
            <w:vAlign w:val="bottom"/>
            <w:hideMark/>
          </w:tcPr>
          <w:p w14:paraId="2284AE8D" w14:textId="0524585B" w:rsidR="00A32080" w:rsidRPr="001F224B" w:rsidRDefault="00A32080" w:rsidP="00A32080">
            <w:pPr>
              <w:jc w:val="right"/>
              <w:rPr>
                <w:bCs/>
                <w:sz w:val="20"/>
                <w:szCs w:val="20"/>
              </w:rPr>
            </w:pPr>
            <w:r w:rsidRPr="001F224B">
              <w:rPr>
                <w:bCs/>
                <w:sz w:val="20"/>
                <w:szCs w:val="20"/>
              </w:rPr>
              <w:t>547.642</w:t>
            </w:r>
          </w:p>
        </w:tc>
        <w:tc>
          <w:tcPr>
            <w:tcW w:w="1560" w:type="dxa"/>
            <w:noWrap/>
            <w:vAlign w:val="bottom"/>
            <w:hideMark/>
          </w:tcPr>
          <w:p w14:paraId="57291317" w14:textId="61512273" w:rsidR="00A32080" w:rsidRPr="001F224B" w:rsidRDefault="00A32080" w:rsidP="00A32080">
            <w:pPr>
              <w:jc w:val="right"/>
              <w:rPr>
                <w:bCs/>
                <w:sz w:val="20"/>
                <w:szCs w:val="20"/>
              </w:rPr>
            </w:pPr>
            <w:r w:rsidRPr="001F224B">
              <w:rPr>
                <w:bCs/>
                <w:sz w:val="20"/>
                <w:szCs w:val="20"/>
              </w:rPr>
              <w:t>7.735</w:t>
            </w:r>
          </w:p>
        </w:tc>
        <w:tc>
          <w:tcPr>
            <w:tcW w:w="1417" w:type="dxa"/>
            <w:noWrap/>
            <w:vAlign w:val="bottom"/>
            <w:hideMark/>
          </w:tcPr>
          <w:p w14:paraId="5DCE3837" w14:textId="1D78BE79" w:rsidR="00A32080" w:rsidRPr="001F224B" w:rsidRDefault="00A32080" w:rsidP="00A32080">
            <w:pPr>
              <w:jc w:val="right"/>
              <w:rPr>
                <w:bCs/>
                <w:sz w:val="20"/>
                <w:szCs w:val="20"/>
              </w:rPr>
            </w:pPr>
            <w:r w:rsidRPr="001F224B">
              <w:rPr>
                <w:bCs/>
                <w:sz w:val="20"/>
                <w:szCs w:val="20"/>
              </w:rPr>
              <w:t>-</w:t>
            </w:r>
          </w:p>
        </w:tc>
      </w:tr>
      <w:tr w:rsidR="001B7774" w:rsidRPr="001F224B" w14:paraId="05F6F27B" w14:textId="77777777" w:rsidTr="006B47E4">
        <w:trPr>
          <w:trHeight w:val="227"/>
        </w:trPr>
        <w:tc>
          <w:tcPr>
            <w:tcW w:w="5217" w:type="dxa"/>
            <w:noWrap/>
            <w:vAlign w:val="bottom"/>
            <w:hideMark/>
          </w:tcPr>
          <w:p w14:paraId="41425FCE" w14:textId="3AF21892" w:rsidR="001B7774" w:rsidRPr="001F224B" w:rsidRDefault="001B7774" w:rsidP="001B7774">
            <w:pPr>
              <w:jc w:val="both"/>
              <w:rPr>
                <w:b/>
                <w:bCs/>
                <w:sz w:val="20"/>
                <w:szCs w:val="20"/>
              </w:rPr>
            </w:pPr>
            <w:r w:rsidRPr="001F224B">
              <w:rPr>
                <w:b/>
                <w:bCs/>
                <w:sz w:val="20"/>
                <w:szCs w:val="20"/>
              </w:rPr>
              <w:t>Önceki Dönem (31.12.2024)</w:t>
            </w:r>
          </w:p>
        </w:tc>
        <w:tc>
          <w:tcPr>
            <w:tcW w:w="1559" w:type="dxa"/>
            <w:noWrap/>
            <w:vAlign w:val="bottom"/>
          </w:tcPr>
          <w:p w14:paraId="2A62492A" w14:textId="77777777" w:rsidR="001B7774" w:rsidRPr="001F224B" w:rsidRDefault="001B7774" w:rsidP="001B7774">
            <w:pPr>
              <w:jc w:val="right"/>
              <w:rPr>
                <w:bCs/>
                <w:sz w:val="20"/>
                <w:szCs w:val="20"/>
              </w:rPr>
            </w:pPr>
          </w:p>
        </w:tc>
        <w:tc>
          <w:tcPr>
            <w:tcW w:w="1560" w:type="dxa"/>
            <w:noWrap/>
            <w:vAlign w:val="bottom"/>
          </w:tcPr>
          <w:p w14:paraId="179D963E" w14:textId="77777777" w:rsidR="001B7774" w:rsidRPr="001F224B" w:rsidRDefault="001B7774" w:rsidP="001B7774">
            <w:pPr>
              <w:jc w:val="right"/>
              <w:rPr>
                <w:b/>
                <w:bCs/>
                <w:sz w:val="20"/>
                <w:szCs w:val="20"/>
              </w:rPr>
            </w:pPr>
          </w:p>
        </w:tc>
        <w:tc>
          <w:tcPr>
            <w:tcW w:w="1417" w:type="dxa"/>
            <w:noWrap/>
            <w:vAlign w:val="bottom"/>
          </w:tcPr>
          <w:p w14:paraId="13999507" w14:textId="77777777" w:rsidR="001B7774" w:rsidRPr="001F224B" w:rsidRDefault="001B7774" w:rsidP="001B7774">
            <w:pPr>
              <w:jc w:val="right"/>
              <w:rPr>
                <w:b/>
                <w:bCs/>
                <w:sz w:val="20"/>
                <w:szCs w:val="20"/>
              </w:rPr>
            </w:pPr>
          </w:p>
        </w:tc>
      </w:tr>
      <w:tr w:rsidR="000735DA" w:rsidRPr="001F224B" w14:paraId="282FAB9E" w14:textId="77777777" w:rsidTr="006B47E4">
        <w:trPr>
          <w:trHeight w:val="227"/>
        </w:trPr>
        <w:tc>
          <w:tcPr>
            <w:tcW w:w="5217" w:type="dxa"/>
            <w:tcBorders>
              <w:bottom w:val="single" w:sz="4" w:space="0" w:color="000000"/>
            </w:tcBorders>
            <w:noWrap/>
            <w:vAlign w:val="bottom"/>
            <w:hideMark/>
          </w:tcPr>
          <w:p w14:paraId="6DC1105A" w14:textId="77777777" w:rsidR="000735DA" w:rsidRPr="001F224B" w:rsidRDefault="000735DA" w:rsidP="000735DA">
            <w:pPr>
              <w:jc w:val="both"/>
              <w:rPr>
                <w:bCs/>
                <w:sz w:val="20"/>
                <w:szCs w:val="20"/>
              </w:rPr>
            </w:pPr>
            <w:r w:rsidRPr="001F224B">
              <w:rPr>
                <w:bCs/>
                <w:sz w:val="20"/>
                <w:szCs w:val="20"/>
              </w:rPr>
              <w:t xml:space="preserve"> Karşılıklardan Önceki Brüt Tutarlar</w:t>
            </w:r>
          </w:p>
        </w:tc>
        <w:tc>
          <w:tcPr>
            <w:tcW w:w="1559" w:type="dxa"/>
            <w:tcBorders>
              <w:bottom w:val="single" w:sz="4" w:space="0" w:color="000000"/>
            </w:tcBorders>
            <w:noWrap/>
            <w:vAlign w:val="bottom"/>
            <w:hideMark/>
          </w:tcPr>
          <w:p w14:paraId="229D4B54" w14:textId="01F28848" w:rsidR="000735DA" w:rsidRPr="001F224B" w:rsidRDefault="000735DA" w:rsidP="000735DA">
            <w:pPr>
              <w:jc w:val="right"/>
              <w:rPr>
                <w:bCs/>
                <w:sz w:val="20"/>
                <w:szCs w:val="20"/>
              </w:rPr>
            </w:pPr>
            <w:r w:rsidRPr="001F224B">
              <w:rPr>
                <w:bCs/>
                <w:sz w:val="20"/>
                <w:szCs w:val="20"/>
              </w:rPr>
              <w:t>-</w:t>
            </w:r>
          </w:p>
        </w:tc>
        <w:tc>
          <w:tcPr>
            <w:tcW w:w="1560" w:type="dxa"/>
            <w:tcBorders>
              <w:bottom w:val="single" w:sz="4" w:space="0" w:color="000000"/>
            </w:tcBorders>
            <w:noWrap/>
            <w:vAlign w:val="bottom"/>
            <w:hideMark/>
          </w:tcPr>
          <w:p w14:paraId="075F8819" w14:textId="7DBCC1C3" w:rsidR="000735DA" w:rsidRPr="001F224B" w:rsidRDefault="000735DA" w:rsidP="000735DA">
            <w:pPr>
              <w:jc w:val="right"/>
              <w:rPr>
                <w:bCs/>
                <w:sz w:val="20"/>
                <w:szCs w:val="20"/>
              </w:rPr>
            </w:pPr>
            <w:r w:rsidRPr="001F224B">
              <w:rPr>
                <w:bCs/>
                <w:sz w:val="20"/>
                <w:szCs w:val="20"/>
              </w:rPr>
              <w:t>40.201</w:t>
            </w:r>
          </w:p>
        </w:tc>
        <w:tc>
          <w:tcPr>
            <w:tcW w:w="1417" w:type="dxa"/>
            <w:tcBorders>
              <w:bottom w:val="single" w:sz="4" w:space="0" w:color="000000"/>
            </w:tcBorders>
            <w:noWrap/>
            <w:vAlign w:val="bottom"/>
            <w:hideMark/>
          </w:tcPr>
          <w:p w14:paraId="76F4CB7F" w14:textId="515D8C3A" w:rsidR="000735DA" w:rsidRPr="001F224B" w:rsidRDefault="000735DA" w:rsidP="000735DA">
            <w:pPr>
              <w:jc w:val="right"/>
              <w:rPr>
                <w:bCs/>
                <w:sz w:val="20"/>
                <w:szCs w:val="20"/>
              </w:rPr>
            </w:pPr>
            <w:r w:rsidRPr="001F224B">
              <w:rPr>
                <w:bCs/>
                <w:sz w:val="20"/>
                <w:szCs w:val="20"/>
              </w:rPr>
              <w:t>33.504</w:t>
            </w:r>
          </w:p>
        </w:tc>
      </w:tr>
      <w:tr w:rsidR="000735DA" w:rsidRPr="001F224B" w14:paraId="1EF188B0" w14:textId="77777777" w:rsidTr="006B47E4">
        <w:trPr>
          <w:trHeight w:val="227"/>
        </w:trPr>
        <w:tc>
          <w:tcPr>
            <w:tcW w:w="5217" w:type="dxa"/>
            <w:tcBorders>
              <w:bottom w:val="single" w:sz="4" w:space="0" w:color="auto"/>
            </w:tcBorders>
            <w:vAlign w:val="bottom"/>
            <w:hideMark/>
          </w:tcPr>
          <w:p w14:paraId="47D79634" w14:textId="77777777" w:rsidR="000735DA" w:rsidRPr="001F224B" w:rsidRDefault="000735DA" w:rsidP="000735DA">
            <w:pPr>
              <w:jc w:val="both"/>
              <w:rPr>
                <w:bCs/>
                <w:sz w:val="20"/>
                <w:szCs w:val="20"/>
              </w:rPr>
            </w:pPr>
            <w:r w:rsidRPr="001F224B">
              <w:rPr>
                <w:bCs/>
                <w:sz w:val="20"/>
                <w:szCs w:val="20"/>
              </w:rPr>
              <w:t xml:space="preserve"> Yeniden Yapılandırılan Krediler </w:t>
            </w:r>
          </w:p>
        </w:tc>
        <w:tc>
          <w:tcPr>
            <w:tcW w:w="1559" w:type="dxa"/>
            <w:tcBorders>
              <w:bottom w:val="single" w:sz="4" w:space="0" w:color="auto"/>
            </w:tcBorders>
            <w:noWrap/>
            <w:vAlign w:val="bottom"/>
            <w:hideMark/>
          </w:tcPr>
          <w:p w14:paraId="34AA1F82" w14:textId="0C25609F" w:rsidR="000735DA" w:rsidRPr="001F224B" w:rsidRDefault="000735DA" w:rsidP="000735DA">
            <w:pPr>
              <w:jc w:val="right"/>
              <w:rPr>
                <w:bCs/>
                <w:sz w:val="20"/>
                <w:szCs w:val="20"/>
              </w:rPr>
            </w:pPr>
            <w:r w:rsidRPr="001F224B">
              <w:rPr>
                <w:bCs/>
                <w:sz w:val="20"/>
                <w:szCs w:val="20"/>
              </w:rPr>
              <w:t>644.156</w:t>
            </w:r>
          </w:p>
        </w:tc>
        <w:tc>
          <w:tcPr>
            <w:tcW w:w="1560" w:type="dxa"/>
            <w:tcBorders>
              <w:bottom w:val="single" w:sz="4" w:space="0" w:color="auto"/>
            </w:tcBorders>
            <w:noWrap/>
            <w:vAlign w:val="bottom"/>
            <w:hideMark/>
          </w:tcPr>
          <w:p w14:paraId="7D87972A" w14:textId="2438C55C" w:rsidR="000735DA" w:rsidRPr="001F224B" w:rsidRDefault="000735DA" w:rsidP="000735DA">
            <w:pPr>
              <w:jc w:val="right"/>
              <w:rPr>
                <w:bCs/>
                <w:sz w:val="20"/>
                <w:szCs w:val="20"/>
              </w:rPr>
            </w:pPr>
            <w:r w:rsidRPr="001F224B">
              <w:rPr>
                <w:bCs/>
                <w:sz w:val="20"/>
                <w:szCs w:val="20"/>
              </w:rPr>
              <w:t>14.889</w:t>
            </w:r>
          </w:p>
        </w:tc>
        <w:tc>
          <w:tcPr>
            <w:tcW w:w="1417" w:type="dxa"/>
            <w:tcBorders>
              <w:bottom w:val="single" w:sz="4" w:space="0" w:color="auto"/>
            </w:tcBorders>
            <w:noWrap/>
            <w:vAlign w:val="bottom"/>
            <w:hideMark/>
          </w:tcPr>
          <w:p w14:paraId="55BF1766" w14:textId="3B86F0B2" w:rsidR="000735DA" w:rsidRPr="001F224B" w:rsidRDefault="000735DA" w:rsidP="000735DA">
            <w:pPr>
              <w:jc w:val="right"/>
              <w:rPr>
                <w:bCs/>
                <w:sz w:val="20"/>
                <w:szCs w:val="20"/>
              </w:rPr>
            </w:pPr>
            <w:r w:rsidRPr="001F224B">
              <w:rPr>
                <w:bCs/>
                <w:sz w:val="20"/>
                <w:szCs w:val="20"/>
              </w:rPr>
              <w:t>-</w:t>
            </w:r>
          </w:p>
        </w:tc>
      </w:tr>
    </w:tbl>
    <w:p w14:paraId="721D7BC0" w14:textId="29696A35" w:rsidR="00112412" w:rsidRPr="001F224B" w:rsidRDefault="00112412" w:rsidP="00112412">
      <w:pPr>
        <w:shd w:val="clear" w:color="auto" w:fill="FFFFFF" w:themeFill="background1"/>
        <w:tabs>
          <w:tab w:val="left" w:pos="567"/>
        </w:tabs>
        <w:spacing w:before="120" w:after="120" w:line="240" w:lineRule="atLeast"/>
        <w:jc w:val="both"/>
        <w:rPr>
          <w:b/>
          <w:bCs/>
          <w:sz w:val="22"/>
          <w:szCs w:val="22"/>
        </w:rPr>
      </w:pPr>
      <w:r w:rsidRPr="001F224B">
        <w:rPr>
          <w:b/>
          <w:bCs/>
          <w:sz w:val="22"/>
          <w:szCs w:val="22"/>
        </w:rPr>
        <w:t>2.1.</w:t>
      </w:r>
      <w:r w:rsidR="007B77C1" w:rsidRPr="001F224B">
        <w:rPr>
          <w:b/>
          <w:bCs/>
          <w:sz w:val="22"/>
          <w:szCs w:val="22"/>
        </w:rPr>
        <w:t>g</w:t>
      </w:r>
      <w:r w:rsidRPr="001F224B">
        <w:rPr>
          <w:b/>
          <w:bCs/>
          <w:sz w:val="22"/>
          <w:szCs w:val="22"/>
        </w:rPr>
        <w:t>.2)</w:t>
      </w:r>
      <w:r w:rsidRPr="001F224B">
        <w:rPr>
          <w:b/>
          <w:bCs/>
          <w:sz w:val="22"/>
          <w:szCs w:val="22"/>
        </w:rPr>
        <w:tab/>
        <w:t>Toplam donuk alacak hareketlerine ilişkin bilgiler:</w:t>
      </w:r>
    </w:p>
    <w:tbl>
      <w:tblPr>
        <w:tblW w:w="991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6"/>
        <w:gridCol w:w="1768"/>
        <w:gridCol w:w="1559"/>
        <w:gridCol w:w="1701"/>
      </w:tblGrid>
      <w:tr w:rsidR="00112412" w:rsidRPr="001F224B" w14:paraId="604DC089" w14:textId="77777777" w:rsidTr="00CF2772">
        <w:trPr>
          <w:trHeight w:val="20"/>
        </w:trPr>
        <w:tc>
          <w:tcPr>
            <w:tcW w:w="4886" w:type="dxa"/>
            <w:vMerge w:val="restart"/>
            <w:shd w:val="clear" w:color="auto" w:fill="FFFFFF"/>
            <w:noWrap/>
            <w:vAlign w:val="bottom"/>
          </w:tcPr>
          <w:p w14:paraId="0D2FE39B" w14:textId="77777777" w:rsidR="00112412" w:rsidRPr="001F224B" w:rsidRDefault="00112412" w:rsidP="00CF2772">
            <w:pPr>
              <w:rPr>
                <w:sz w:val="20"/>
                <w:szCs w:val="20"/>
              </w:rPr>
            </w:pPr>
            <w:r w:rsidRPr="001F224B">
              <w:rPr>
                <w:sz w:val="20"/>
                <w:szCs w:val="20"/>
              </w:rPr>
              <w:t> </w:t>
            </w:r>
          </w:p>
        </w:tc>
        <w:tc>
          <w:tcPr>
            <w:tcW w:w="1768" w:type="dxa"/>
            <w:shd w:val="clear" w:color="auto" w:fill="FFFFFF"/>
            <w:noWrap/>
            <w:vAlign w:val="bottom"/>
          </w:tcPr>
          <w:p w14:paraId="013B6E3B" w14:textId="77777777" w:rsidR="00112412" w:rsidRPr="001F224B" w:rsidRDefault="00112412" w:rsidP="00CF2772">
            <w:pPr>
              <w:jc w:val="center"/>
              <w:rPr>
                <w:b/>
                <w:bCs/>
                <w:sz w:val="20"/>
                <w:szCs w:val="20"/>
              </w:rPr>
            </w:pPr>
            <w:r w:rsidRPr="001F224B">
              <w:rPr>
                <w:b/>
                <w:bCs/>
                <w:sz w:val="20"/>
                <w:szCs w:val="20"/>
              </w:rPr>
              <w:t>III. Grup</w:t>
            </w:r>
          </w:p>
        </w:tc>
        <w:tc>
          <w:tcPr>
            <w:tcW w:w="1559" w:type="dxa"/>
            <w:shd w:val="clear" w:color="auto" w:fill="FFFFFF"/>
            <w:noWrap/>
            <w:vAlign w:val="bottom"/>
          </w:tcPr>
          <w:p w14:paraId="60007465" w14:textId="77777777" w:rsidR="00112412" w:rsidRPr="001F224B" w:rsidRDefault="00112412" w:rsidP="00CF2772">
            <w:pPr>
              <w:jc w:val="center"/>
              <w:rPr>
                <w:b/>
                <w:bCs/>
                <w:sz w:val="20"/>
                <w:szCs w:val="20"/>
              </w:rPr>
            </w:pPr>
            <w:r w:rsidRPr="001F224B">
              <w:rPr>
                <w:b/>
                <w:bCs/>
                <w:sz w:val="20"/>
                <w:szCs w:val="20"/>
              </w:rPr>
              <w:t>IV. Grup</w:t>
            </w:r>
          </w:p>
        </w:tc>
        <w:tc>
          <w:tcPr>
            <w:tcW w:w="1701" w:type="dxa"/>
            <w:shd w:val="clear" w:color="auto" w:fill="FFFFFF"/>
            <w:noWrap/>
            <w:vAlign w:val="bottom"/>
          </w:tcPr>
          <w:p w14:paraId="0C7E31EB" w14:textId="77777777" w:rsidR="00112412" w:rsidRPr="001F224B" w:rsidRDefault="00112412" w:rsidP="00CF2772">
            <w:pPr>
              <w:jc w:val="center"/>
              <w:rPr>
                <w:b/>
                <w:bCs/>
                <w:sz w:val="20"/>
                <w:szCs w:val="20"/>
              </w:rPr>
            </w:pPr>
            <w:r w:rsidRPr="001F224B">
              <w:rPr>
                <w:b/>
                <w:bCs/>
                <w:sz w:val="20"/>
                <w:szCs w:val="20"/>
              </w:rPr>
              <w:t>V. Grup</w:t>
            </w:r>
          </w:p>
        </w:tc>
      </w:tr>
      <w:tr w:rsidR="00112412" w:rsidRPr="001F224B" w14:paraId="7526D60B" w14:textId="77777777" w:rsidTr="00CF2772">
        <w:trPr>
          <w:trHeight w:val="20"/>
        </w:trPr>
        <w:tc>
          <w:tcPr>
            <w:tcW w:w="4886" w:type="dxa"/>
            <w:vMerge/>
            <w:vAlign w:val="center"/>
          </w:tcPr>
          <w:p w14:paraId="21E04281" w14:textId="77777777" w:rsidR="00112412" w:rsidRPr="001F224B" w:rsidRDefault="00112412" w:rsidP="00CF2772">
            <w:pPr>
              <w:rPr>
                <w:sz w:val="20"/>
                <w:szCs w:val="20"/>
              </w:rPr>
            </w:pPr>
          </w:p>
        </w:tc>
        <w:tc>
          <w:tcPr>
            <w:tcW w:w="1768" w:type="dxa"/>
            <w:shd w:val="clear" w:color="auto" w:fill="FFFFFF"/>
            <w:vAlign w:val="center"/>
          </w:tcPr>
          <w:p w14:paraId="33641692" w14:textId="77777777" w:rsidR="00112412" w:rsidRPr="001F224B" w:rsidRDefault="00112412" w:rsidP="00CF2772">
            <w:pPr>
              <w:jc w:val="center"/>
              <w:rPr>
                <w:b/>
                <w:bCs/>
                <w:sz w:val="20"/>
                <w:szCs w:val="20"/>
              </w:rPr>
            </w:pPr>
            <w:r w:rsidRPr="001F224B">
              <w:rPr>
                <w:b/>
                <w:bCs/>
                <w:sz w:val="20"/>
                <w:szCs w:val="20"/>
              </w:rPr>
              <w:t>Tahsil İmkanı Sınırlı Krediler</w:t>
            </w:r>
          </w:p>
        </w:tc>
        <w:tc>
          <w:tcPr>
            <w:tcW w:w="1559" w:type="dxa"/>
            <w:shd w:val="clear" w:color="auto" w:fill="FFFFFF"/>
            <w:vAlign w:val="center"/>
          </w:tcPr>
          <w:p w14:paraId="21C2B25D" w14:textId="77777777" w:rsidR="00112412" w:rsidRPr="001F224B" w:rsidRDefault="00112412" w:rsidP="00CF2772">
            <w:pPr>
              <w:jc w:val="center"/>
              <w:rPr>
                <w:b/>
                <w:bCs/>
                <w:sz w:val="20"/>
                <w:szCs w:val="20"/>
              </w:rPr>
            </w:pPr>
            <w:r w:rsidRPr="001F224B">
              <w:rPr>
                <w:b/>
                <w:bCs/>
                <w:sz w:val="20"/>
                <w:szCs w:val="20"/>
              </w:rPr>
              <w:t>Tahsili Şüpheli Krediler</w:t>
            </w:r>
          </w:p>
        </w:tc>
        <w:tc>
          <w:tcPr>
            <w:tcW w:w="1701" w:type="dxa"/>
            <w:shd w:val="clear" w:color="auto" w:fill="FFFFFF"/>
            <w:vAlign w:val="center"/>
          </w:tcPr>
          <w:p w14:paraId="45414CA9" w14:textId="77777777" w:rsidR="00112412" w:rsidRPr="001F224B" w:rsidRDefault="00112412" w:rsidP="00CF2772">
            <w:pPr>
              <w:jc w:val="center"/>
              <w:rPr>
                <w:b/>
                <w:bCs/>
                <w:sz w:val="20"/>
                <w:szCs w:val="20"/>
              </w:rPr>
            </w:pPr>
            <w:r w:rsidRPr="001F224B">
              <w:rPr>
                <w:b/>
                <w:bCs/>
                <w:sz w:val="20"/>
                <w:szCs w:val="20"/>
              </w:rPr>
              <w:t xml:space="preserve">Zarar Niteliğindeki Krediler </w:t>
            </w:r>
          </w:p>
        </w:tc>
      </w:tr>
      <w:tr w:rsidR="00B070A6" w:rsidRPr="001F224B" w14:paraId="1EB89C85" w14:textId="77777777" w:rsidTr="00CF2772">
        <w:trPr>
          <w:trHeight w:val="20"/>
        </w:trPr>
        <w:tc>
          <w:tcPr>
            <w:tcW w:w="4886" w:type="dxa"/>
            <w:shd w:val="clear" w:color="auto" w:fill="FFFFFF"/>
            <w:noWrap/>
            <w:vAlign w:val="bottom"/>
          </w:tcPr>
          <w:p w14:paraId="6DEE5E5A" w14:textId="5E7B9AB2" w:rsidR="00B070A6" w:rsidRPr="001F224B" w:rsidRDefault="00B070A6" w:rsidP="00B070A6">
            <w:pPr>
              <w:rPr>
                <w:b/>
                <w:sz w:val="20"/>
                <w:szCs w:val="20"/>
              </w:rPr>
            </w:pPr>
            <w:r w:rsidRPr="001F224B">
              <w:rPr>
                <w:b/>
                <w:sz w:val="20"/>
                <w:szCs w:val="20"/>
              </w:rPr>
              <w:t>Önceki Dönem Sonu Bakiyesi (31.12.2024)</w:t>
            </w:r>
          </w:p>
        </w:tc>
        <w:tc>
          <w:tcPr>
            <w:tcW w:w="176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A6945C" w14:textId="3FFF356E" w:rsidR="00B070A6" w:rsidRPr="001F224B" w:rsidRDefault="00B070A6" w:rsidP="00B070A6">
            <w:pPr>
              <w:jc w:val="right"/>
              <w:rPr>
                <w:b/>
                <w:sz w:val="20"/>
                <w:szCs w:val="20"/>
              </w:rPr>
            </w:pPr>
            <w:r w:rsidRPr="001F224B">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4D967C64" w14:textId="031891FA" w:rsidR="00B070A6" w:rsidRPr="001F224B" w:rsidRDefault="00B070A6" w:rsidP="00B070A6">
            <w:pPr>
              <w:jc w:val="right"/>
              <w:rPr>
                <w:b/>
                <w:sz w:val="20"/>
                <w:szCs w:val="20"/>
              </w:rPr>
            </w:pPr>
            <w:r w:rsidRPr="001F224B">
              <w:rPr>
                <w:b/>
                <w:bCs/>
                <w:sz w:val="20"/>
                <w:szCs w:val="20"/>
              </w:rPr>
              <w:t>55.090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212EE29E" w14:textId="2FC48633" w:rsidR="00B070A6" w:rsidRPr="001F224B" w:rsidRDefault="00B070A6" w:rsidP="00B070A6">
            <w:pPr>
              <w:jc w:val="right"/>
              <w:rPr>
                <w:b/>
                <w:bCs/>
                <w:sz w:val="20"/>
                <w:szCs w:val="20"/>
              </w:rPr>
            </w:pPr>
            <w:r w:rsidRPr="001F224B">
              <w:rPr>
                <w:b/>
                <w:bCs/>
                <w:sz w:val="20"/>
                <w:szCs w:val="20"/>
              </w:rPr>
              <w:t>33.504</w:t>
            </w:r>
          </w:p>
        </w:tc>
      </w:tr>
      <w:tr w:rsidR="00B070A6" w:rsidRPr="001F224B" w14:paraId="27FD8F60" w14:textId="77777777" w:rsidTr="00A76BDE">
        <w:trPr>
          <w:trHeight w:val="20"/>
        </w:trPr>
        <w:tc>
          <w:tcPr>
            <w:tcW w:w="4886" w:type="dxa"/>
            <w:shd w:val="clear" w:color="auto" w:fill="FFFFFF"/>
            <w:noWrap/>
            <w:vAlign w:val="bottom"/>
          </w:tcPr>
          <w:p w14:paraId="2B595AFB" w14:textId="77777777" w:rsidR="00B070A6" w:rsidRPr="001F224B" w:rsidRDefault="00B070A6" w:rsidP="00B070A6">
            <w:pPr>
              <w:ind w:left="355"/>
              <w:rPr>
                <w:sz w:val="20"/>
                <w:szCs w:val="20"/>
              </w:rPr>
            </w:pPr>
            <w:r w:rsidRPr="001F224B">
              <w:rPr>
                <w:sz w:val="20"/>
                <w:szCs w:val="20"/>
              </w:rPr>
              <w:t xml:space="preserve">Dönem İçinde İntikal (+) </w:t>
            </w:r>
          </w:p>
        </w:tc>
        <w:tc>
          <w:tcPr>
            <w:tcW w:w="1768" w:type="dxa"/>
            <w:tcBorders>
              <w:top w:val="nil"/>
              <w:left w:val="single" w:sz="4" w:space="0" w:color="auto"/>
              <w:bottom w:val="single" w:sz="4" w:space="0" w:color="auto"/>
              <w:right w:val="single" w:sz="4" w:space="0" w:color="auto"/>
            </w:tcBorders>
            <w:shd w:val="clear" w:color="auto" w:fill="auto"/>
            <w:noWrap/>
            <w:vAlign w:val="bottom"/>
          </w:tcPr>
          <w:p w14:paraId="1E041FA9" w14:textId="09EFB833" w:rsidR="00B070A6" w:rsidRPr="001F224B" w:rsidRDefault="00B070A6" w:rsidP="00B070A6">
            <w:pPr>
              <w:jc w:val="right"/>
              <w:rPr>
                <w:sz w:val="20"/>
                <w:szCs w:val="20"/>
              </w:rPr>
            </w:pPr>
            <w:r w:rsidRPr="001F224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1F3F4D05" w14:textId="0967A752" w:rsidR="00B070A6" w:rsidRPr="001F224B" w:rsidRDefault="00B070A6" w:rsidP="00B070A6">
            <w:pPr>
              <w:jc w:val="right"/>
              <w:rPr>
                <w:sz w:val="20"/>
                <w:szCs w:val="20"/>
              </w:rPr>
            </w:pPr>
            <w:r w:rsidRPr="001F224B">
              <w:rPr>
                <w:sz w:val="20"/>
                <w:szCs w:val="20"/>
              </w:rPr>
              <w:t>407</w:t>
            </w:r>
          </w:p>
        </w:tc>
        <w:tc>
          <w:tcPr>
            <w:tcW w:w="1701" w:type="dxa"/>
            <w:tcBorders>
              <w:top w:val="nil"/>
              <w:left w:val="nil"/>
              <w:bottom w:val="single" w:sz="4" w:space="0" w:color="auto"/>
              <w:right w:val="single" w:sz="4" w:space="0" w:color="auto"/>
            </w:tcBorders>
            <w:shd w:val="clear" w:color="auto" w:fill="auto"/>
            <w:noWrap/>
            <w:vAlign w:val="bottom"/>
          </w:tcPr>
          <w:p w14:paraId="5A7A7C40" w14:textId="294F36EC" w:rsidR="00B070A6" w:rsidRPr="001F224B" w:rsidRDefault="00B070A6" w:rsidP="00B070A6">
            <w:pPr>
              <w:jc w:val="right"/>
              <w:rPr>
                <w:sz w:val="20"/>
                <w:szCs w:val="20"/>
              </w:rPr>
            </w:pPr>
            <w:r w:rsidRPr="001F224B">
              <w:rPr>
                <w:sz w:val="20"/>
                <w:szCs w:val="20"/>
              </w:rPr>
              <w:t>739</w:t>
            </w:r>
          </w:p>
        </w:tc>
      </w:tr>
      <w:tr w:rsidR="00B070A6" w:rsidRPr="001F224B" w14:paraId="68FF6C8B" w14:textId="77777777" w:rsidTr="00A76BDE">
        <w:trPr>
          <w:trHeight w:val="20"/>
        </w:trPr>
        <w:tc>
          <w:tcPr>
            <w:tcW w:w="4886" w:type="dxa"/>
            <w:shd w:val="clear" w:color="auto" w:fill="FFFFFF"/>
            <w:noWrap/>
            <w:vAlign w:val="bottom"/>
          </w:tcPr>
          <w:p w14:paraId="45720D79" w14:textId="77777777" w:rsidR="00B070A6" w:rsidRPr="001F224B" w:rsidRDefault="00B070A6" w:rsidP="00B070A6">
            <w:pPr>
              <w:ind w:left="355"/>
              <w:rPr>
                <w:sz w:val="20"/>
                <w:szCs w:val="20"/>
              </w:rPr>
            </w:pPr>
            <w:r w:rsidRPr="001F224B">
              <w:rPr>
                <w:sz w:val="20"/>
                <w:szCs w:val="20"/>
              </w:rPr>
              <w:t>Diğer Donuk Alacak Hesaplarından Giriş (+)</w:t>
            </w:r>
          </w:p>
        </w:tc>
        <w:tc>
          <w:tcPr>
            <w:tcW w:w="1768" w:type="dxa"/>
            <w:tcBorders>
              <w:top w:val="nil"/>
              <w:left w:val="single" w:sz="4" w:space="0" w:color="auto"/>
              <w:bottom w:val="single" w:sz="4" w:space="0" w:color="auto"/>
              <w:right w:val="single" w:sz="4" w:space="0" w:color="auto"/>
            </w:tcBorders>
            <w:shd w:val="clear" w:color="auto" w:fill="auto"/>
            <w:noWrap/>
            <w:vAlign w:val="bottom"/>
          </w:tcPr>
          <w:p w14:paraId="437BAC41" w14:textId="54794142" w:rsidR="00B070A6" w:rsidRPr="001F224B" w:rsidRDefault="00B070A6" w:rsidP="00B070A6">
            <w:pPr>
              <w:jc w:val="right"/>
              <w:rPr>
                <w:sz w:val="20"/>
                <w:szCs w:val="20"/>
              </w:rPr>
            </w:pPr>
            <w:r w:rsidRPr="001F224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7A8C1685" w14:textId="2CC45209" w:rsidR="00B070A6" w:rsidRPr="001F224B" w:rsidRDefault="00B070A6" w:rsidP="00B070A6">
            <w:pPr>
              <w:jc w:val="right"/>
              <w:rPr>
                <w:sz w:val="20"/>
                <w:szCs w:val="20"/>
              </w:rPr>
            </w:pPr>
            <w:r w:rsidRPr="001F224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6B48F582" w14:textId="4C4C7171" w:rsidR="00B070A6" w:rsidRPr="001F224B" w:rsidRDefault="00B070A6" w:rsidP="00B070A6">
            <w:pPr>
              <w:jc w:val="right"/>
              <w:rPr>
                <w:sz w:val="20"/>
                <w:szCs w:val="20"/>
              </w:rPr>
            </w:pPr>
            <w:r w:rsidRPr="001F224B">
              <w:rPr>
                <w:sz w:val="20"/>
                <w:szCs w:val="20"/>
              </w:rPr>
              <w:t>-</w:t>
            </w:r>
          </w:p>
        </w:tc>
      </w:tr>
      <w:tr w:rsidR="00B070A6" w:rsidRPr="001F224B" w14:paraId="43F85E0B" w14:textId="77777777" w:rsidTr="00A76BDE">
        <w:trPr>
          <w:trHeight w:val="20"/>
        </w:trPr>
        <w:tc>
          <w:tcPr>
            <w:tcW w:w="4886" w:type="dxa"/>
            <w:shd w:val="clear" w:color="auto" w:fill="FFFFFF"/>
            <w:noWrap/>
            <w:vAlign w:val="bottom"/>
          </w:tcPr>
          <w:p w14:paraId="29F3F520" w14:textId="77777777" w:rsidR="00B070A6" w:rsidRPr="001F224B" w:rsidRDefault="00B070A6" w:rsidP="00B070A6">
            <w:pPr>
              <w:ind w:left="355"/>
              <w:rPr>
                <w:sz w:val="20"/>
                <w:szCs w:val="20"/>
              </w:rPr>
            </w:pPr>
            <w:r w:rsidRPr="001F224B">
              <w:rPr>
                <w:sz w:val="20"/>
                <w:szCs w:val="20"/>
              </w:rPr>
              <w:t>Diğer Donuk Alacak Hesaplarına Çıkış (-)</w:t>
            </w:r>
          </w:p>
        </w:tc>
        <w:tc>
          <w:tcPr>
            <w:tcW w:w="1768" w:type="dxa"/>
            <w:tcBorders>
              <w:top w:val="nil"/>
              <w:left w:val="single" w:sz="4" w:space="0" w:color="auto"/>
              <w:bottom w:val="single" w:sz="4" w:space="0" w:color="auto"/>
              <w:right w:val="single" w:sz="4" w:space="0" w:color="auto"/>
            </w:tcBorders>
            <w:shd w:val="clear" w:color="auto" w:fill="auto"/>
            <w:noWrap/>
            <w:vAlign w:val="bottom"/>
          </w:tcPr>
          <w:p w14:paraId="0F0FA44B" w14:textId="095E7AC5" w:rsidR="00B070A6" w:rsidRPr="001F224B" w:rsidRDefault="00B070A6" w:rsidP="00B070A6">
            <w:pPr>
              <w:jc w:val="right"/>
              <w:rPr>
                <w:sz w:val="20"/>
                <w:szCs w:val="20"/>
              </w:rPr>
            </w:pPr>
            <w:r w:rsidRPr="001F224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661E98A7" w14:textId="6142DDD6" w:rsidR="00B070A6" w:rsidRPr="001F224B" w:rsidRDefault="00B070A6" w:rsidP="00B070A6">
            <w:pPr>
              <w:jc w:val="right"/>
              <w:rPr>
                <w:sz w:val="20"/>
                <w:szCs w:val="20"/>
              </w:rPr>
            </w:pPr>
            <w:r w:rsidRPr="001F224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3ED31C7B" w14:textId="4515B1BF" w:rsidR="00B070A6" w:rsidRPr="001F224B" w:rsidRDefault="00B070A6" w:rsidP="00B070A6">
            <w:pPr>
              <w:jc w:val="right"/>
              <w:rPr>
                <w:sz w:val="20"/>
                <w:szCs w:val="20"/>
              </w:rPr>
            </w:pPr>
            <w:r w:rsidRPr="001F224B">
              <w:rPr>
                <w:sz w:val="20"/>
                <w:szCs w:val="20"/>
              </w:rPr>
              <w:t>-</w:t>
            </w:r>
          </w:p>
        </w:tc>
      </w:tr>
      <w:tr w:rsidR="00B070A6" w:rsidRPr="001F224B" w14:paraId="212FD521" w14:textId="77777777" w:rsidTr="0044625B">
        <w:trPr>
          <w:trHeight w:val="20"/>
        </w:trPr>
        <w:tc>
          <w:tcPr>
            <w:tcW w:w="4886" w:type="dxa"/>
            <w:shd w:val="clear" w:color="auto" w:fill="FFFFFF"/>
            <w:noWrap/>
            <w:vAlign w:val="bottom"/>
          </w:tcPr>
          <w:p w14:paraId="2A3CB127" w14:textId="77777777" w:rsidR="00B070A6" w:rsidRPr="001F224B" w:rsidRDefault="00B070A6" w:rsidP="00B070A6">
            <w:pPr>
              <w:ind w:left="355"/>
              <w:rPr>
                <w:sz w:val="20"/>
                <w:szCs w:val="20"/>
              </w:rPr>
            </w:pPr>
            <w:r w:rsidRPr="001F224B">
              <w:rPr>
                <w:sz w:val="20"/>
                <w:szCs w:val="20"/>
              </w:rPr>
              <w:t xml:space="preserve">Dönem İçinde Tahsilat (-) </w:t>
            </w:r>
          </w:p>
        </w:tc>
        <w:tc>
          <w:tcPr>
            <w:tcW w:w="1768" w:type="dxa"/>
            <w:tcBorders>
              <w:top w:val="nil"/>
              <w:left w:val="single" w:sz="4" w:space="0" w:color="auto"/>
              <w:bottom w:val="single" w:sz="4" w:space="0" w:color="auto"/>
              <w:right w:val="single" w:sz="4" w:space="0" w:color="auto"/>
            </w:tcBorders>
            <w:shd w:val="clear" w:color="auto" w:fill="auto"/>
            <w:noWrap/>
          </w:tcPr>
          <w:p w14:paraId="7564E0E2" w14:textId="71DCF039" w:rsidR="00B070A6" w:rsidRPr="001F224B" w:rsidRDefault="00B070A6" w:rsidP="00B070A6">
            <w:pPr>
              <w:jc w:val="right"/>
              <w:rPr>
                <w:sz w:val="20"/>
                <w:szCs w:val="20"/>
              </w:rPr>
            </w:pPr>
            <w:r w:rsidRPr="001F224B">
              <w:rPr>
                <w:sz w:val="20"/>
                <w:szCs w:val="20"/>
              </w:rPr>
              <w:t>(96.514)</w:t>
            </w:r>
          </w:p>
        </w:tc>
        <w:tc>
          <w:tcPr>
            <w:tcW w:w="1559" w:type="dxa"/>
            <w:tcBorders>
              <w:top w:val="nil"/>
              <w:left w:val="nil"/>
              <w:bottom w:val="single" w:sz="4" w:space="0" w:color="auto"/>
              <w:right w:val="single" w:sz="4" w:space="0" w:color="auto"/>
            </w:tcBorders>
            <w:shd w:val="clear" w:color="auto" w:fill="auto"/>
            <w:noWrap/>
          </w:tcPr>
          <w:p w14:paraId="3A143563" w14:textId="35A36B5C" w:rsidR="00B070A6" w:rsidRPr="001F224B" w:rsidRDefault="00B070A6" w:rsidP="00B070A6">
            <w:pPr>
              <w:jc w:val="right"/>
              <w:rPr>
                <w:sz w:val="20"/>
                <w:szCs w:val="20"/>
              </w:rPr>
            </w:pPr>
            <w:r w:rsidRPr="001F224B">
              <w:rPr>
                <w:sz w:val="20"/>
                <w:szCs w:val="20"/>
              </w:rPr>
              <w:t>(24.377)</w:t>
            </w:r>
          </w:p>
        </w:tc>
        <w:tc>
          <w:tcPr>
            <w:tcW w:w="1701" w:type="dxa"/>
            <w:tcBorders>
              <w:top w:val="nil"/>
              <w:left w:val="nil"/>
              <w:bottom w:val="single" w:sz="4" w:space="0" w:color="auto"/>
              <w:right w:val="single" w:sz="4" w:space="0" w:color="auto"/>
            </w:tcBorders>
            <w:shd w:val="clear" w:color="auto" w:fill="auto"/>
            <w:noWrap/>
          </w:tcPr>
          <w:p w14:paraId="3450F766" w14:textId="019A26A0" w:rsidR="00B070A6" w:rsidRPr="001F224B" w:rsidRDefault="00B070A6" w:rsidP="00B070A6">
            <w:pPr>
              <w:jc w:val="right"/>
              <w:rPr>
                <w:sz w:val="20"/>
                <w:szCs w:val="20"/>
              </w:rPr>
            </w:pPr>
            <w:r w:rsidRPr="001F224B">
              <w:rPr>
                <w:sz w:val="20"/>
                <w:szCs w:val="20"/>
              </w:rPr>
              <w:t>(710)</w:t>
            </w:r>
          </w:p>
        </w:tc>
      </w:tr>
      <w:tr w:rsidR="00B070A6" w:rsidRPr="001F224B" w14:paraId="1D89FA1B" w14:textId="77777777" w:rsidTr="00CF2772">
        <w:trPr>
          <w:trHeight w:val="20"/>
        </w:trPr>
        <w:tc>
          <w:tcPr>
            <w:tcW w:w="4886" w:type="dxa"/>
            <w:shd w:val="clear" w:color="auto" w:fill="FFFFFF"/>
            <w:noWrap/>
            <w:vAlign w:val="bottom"/>
          </w:tcPr>
          <w:p w14:paraId="43101AFF" w14:textId="77777777" w:rsidR="00B070A6" w:rsidRPr="001F224B" w:rsidRDefault="00B070A6" w:rsidP="00B070A6">
            <w:pPr>
              <w:ind w:left="355"/>
              <w:rPr>
                <w:sz w:val="20"/>
                <w:szCs w:val="20"/>
              </w:rPr>
            </w:pPr>
            <w:r w:rsidRPr="001F224B">
              <w:rPr>
                <w:sz w:val="20"/>
                <w:szCs w:val="20"/>
              </w:rPr>
              <w:t>Kayıttan Düşülen (-)</w:t>
            </w:r>
          </w:p>
        </w:tc>
        <w:tc>
          <w:tcPr>
            <w:tcW w:w="1768" w:type="dxa"/>
            <w:tcBorders>
              <w:top w:val="nil"/>
              <w:left w:val="single" w:sz="4" w:space="0" w:color="auto"/>
              <w:bottom w:val="single" w:sz="4" w:space="0" w:color="auto"/>
              <w:right w:val="single" w:sz="4" w:space="0" w:color="auto"/>
            </w:tcBorders>
            <w:shd w:val="clear" w:color="auto" w:fill="auto"/>
            <w:noWrap/>
            <w:vAlign w:val="bottom"/>
          </w:tcPr>
          <w:p w14:paraId="5BE87177" w14:textId="5468670A" w:rsidR="00B070A6" w:rsidRPr="001F224B" w:rsidRDefault="00B070A6" w:rsidP="00B070A6">
            <w:pPr>
              <w:jc w:val="right"/>
              <w:rPr>
                <w:sz w:val="20"/>
                <w:szCs w:val="20"/>
              </w:rPr>
            </w:pPr>
            <w:r w:rsidRPr="001F224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7F55D158" w14:textId="439C1702" w:rsidR="00B070A6" w:rsidRPr="001F224B" w:rsidRDefault="00B070A6" w:rsidP="00B070A6">
            <w:pPr>
              <w:jc w:val="right"/>
              <w:rPr>
                <w:sz w:val="20"/>
                <w:szCs w:val="20"/>
              </w:rPr>
            </w:pPr>
            <w:r w:rsidRPr="001F224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1A4D2B7C" w14:textId="6077CDEE" w:rsidR="00B070A6" w:rsidRPr="001F224B" w:rsidRDefault="00B070A6" w:rsidP="00B070A6">
            <w:pPr>
              <w:jc w:val="right"/>
              <w:rPr>
                <w:sz w:val="20"/>
                <w:szCs w:val="20"/>
              </w:rPr>
            </w:pPr>
            <w:r w:rsidRPr="001F224B">
              <w:rPr>
                <w:sz w:val="20"/>
                <w:szCs w:val="20"/>
              </w:rPr>
              <w:t>-</w:t>
            </w:r>
          </w:p>
        </w:tc>
      </w:tr>
      <w:tr w:rsidR="00B070A6" w:rsidRPr="001F224B" w14:paraId="023284F0" w14:textId="77777777" w:rsidTr="00CF2772">
        <w:trPr>
          <w:trHeight w:val="20"/>
        </w:trPr>
        <w:tc>
          <w:tcPr>
            <w:tcW w:w="4886" w:type="dxa"/>
            <w:shd w:val="clear" w:color="auto" w:fill="FFFFFF"/>
            <w:noWrap/>
            <w:vAlign w:val="bottom"/>
          </w:tcPr>
          <w:p w14:paraId="514CB147" w14:textId="77777777" w:rsidR="00B070A6" w:rsidRPr="001F224B" w:rsidRDefault="00B070A6" w:rsidP="00B070A6">
            <w:pPr>
              <w:ind w:firstLineChars="177" w:firstLine="354"/>
              <w:rPr>
                <w:sz w:val="20"/>
                <w:szCs w:val="20"/>
              </w:rPr>
            </w:pPr>
            <w:r w:rsidRPr="001F224B">
              <w:rPr>
                <w:sz w:val="20"/>
                <w:szCs w:val="20"/>
              </w:rPr>
              <w:t>Satılan (-)</w:t>
            </w:r>
          </w:p>
        </w:tc>
        <w:tc>
          <w:tcPr>
            <w:tcW w:w="1768" w:type="dxa"/>
            <w:shd w:val="clear" w:color="auto" w:fill="FFFFFF"/>
            <w:noWrap/>
            <w:vAlign w:val="bottom"/>
          </w:tcPr>
          <w:p w14:paraId="0639D7F9" w14:textId="53F5766B" w:rsidR="00B070A6" w:rsidRPr="001F224B" w:rsidRDefault="00B070A6" w:rsidP="00B070A6">
            <w:pPr>
              <w:jc w:val="right"/>
              <w:rPr>
                <w:sz w:val="20"/>
                <w:szCs w:val="20"/>
              </w:rPr>
            </w:pPr>
            <w:r w:rsidRPr="001F224B">
              <w:rPr>
                <w:sz w:val="20"/>
                <w:szCs w:val="20"/>
              </w:rPr>
              <w:t>-</w:t>
            </w:r>
          </w:p>
        </w:tc>
        <w:tc>
          <w:tcPr>
            <w:tcW w:w="1559" w:type="dxa"/>
            <w:shd w:val="clear" w:color="auto" w:fill="FFFFFF"/>
            <w:noWrap/>
            <w:vAlign w:val="bottom"/>
          </w:tcPr>
          <w:p w14:paraId="741F2380" w14:textId="6D06CC68" w:rsidR="00B070A6" w:rsidRPr="001F224B" w:rsidRDefault="00B070A6" w:rsidP="00B070A6">
            <w:pPr>
              <w:jc w:val="right"/>
              <w:rPr>
                <w:sz w:val="20"/>
                <w:szCs w:val="20"/>
              </w:rPr>
            </w:pPr>
            <w:r w:rsidRPr="001F224B">
              <w:rPr>
                <w:sz w:val="20"/>
                <w:szCs w:val="20"/>
              </w:rPr>
              <w:t>-</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9A1E09B" w14:textId="02F8C114" w:rsidR="00B070A6" w:rsidRPr="001F224B" w:rsidRDefault="00B070A6" w:rsidP="00B070A6">
            <w:pPr>
              <w:jc w:val="right"/>
              <w:rPr>
                <w:sz w:val="20"/>
                <w:szCs w:val="20"/>
              </w:rPr>
            </w:pPr>
            <w:r w:rsidRPr="001F224B">
              <w:rPr>
                <w:sz w:val="20"/>
                <w:szCs w:val="20"/>
              </w:rPr>
              <w:t>-</w:t>
            </w:r>
          </w:p>
        </w:tc>
      </w:tr>
      <w:tr w:rsidR="00B070A6" w:rsidRPr="001F224B" w14:paraId="231CEBAA" w14:textId="77777777" w:rsidTr="00CF2772">
        <w:trPr>
          <w:trHeight w:val="20"/>
        </w:trPr>
        <w:tc>
          <w:tcPr>
            <w:tcW w:w="4886" w:type="dxa"/>
            <w:shd w:val="clear" w:color="auto" w:fill="FFFFFF"/>
            <w:noWrap/>
            <w:vAlign w:val="bottom"/>
          </w:tcPr>
          <w:p w14:paraId="67228A81" w14:textId="77777777" w:rsidR="00B070A6" w:rsidRPr="001F224B" w:rsidRDefault="00B070A6" w:rsidP="00B070A6">
            <w:pPr>
              <w:ind w:firstLineChars="177" w:firstLine="354"/>
              <w:rPr>
                <w:sz w:val="20"/>
                <w:szCs w:val="20"/>
              </w:rPr>
            </w:pPr>
            <w:r w:rsidRPr="001F224B">
              <w:rPr>
                <w:sz w:val="20"/>
                <w:szCs w:val="20"/>
              </w:rPr>
              <w:t xml:space="preserve">   Kurumsal ve Ticari Krediler</w:t>
            </w:r>
          </w:p>
        </w:tc>
        <w:tc>
          <w:tcPr>
            <w:tcW w:w="1768" w:type="dxa"/>
            <w:shd w:val="clear" w:color="auto" w:fill="FFFFFF"/>
            <w:noWrap/>
            <w:vAlign w:val="bottom"/>
          </w:tcPr>
          <w:p w14:paraId="33287439" w14:textId="3D916F28" w:rsidR="00B070A6" w:rsidRPr="001F224B" w:rsidRDefault="00B070A6" w:rsidP="00B070A6">
            <w:pPr>
              <w:jc w:val="right"/>
              <w:rPr>
                <w:sz w:val="20"/>
                <w:szCs w:val="20"/>
              </w:rPr>
            </w:pPr>
            <w:r w:rsidRPr="001F224B">
              <w:rPr>
                <w:sz w:val="20"/>
                <w:szCs w:val="20"/>
              </w:rPr>
              <w:t>-</w:t>
            </w:r>
          </w:p>
        </w:tc>
        <w:tc>
          <w:tcPr>
            <w:tcW w:w="1559" w:type="dxa"/>
            <w:shd w:val="clear" w:color="auto" w:fill="FFFFFF"/>
            <w:noWrap/>
            <w:vAlign w:val="bottom"/>
          </w:tcPr>
          <w:p w14:paraId="31FF74C4" w14:textId="44AAE73C" w:rsidR="00B070A6" w:rsidRPr="001F224B" w:rsidRDefault="00B070A6" w:rsidP="00B070A6">
            <w:pPr>
              <w:jc w:val="right"/>
              <w:rPr>
                <w:sz w:val="20"/>
                <w:szCs w:val="20"/>
              </w:rPr>
            </w:pPr>
            <w:r w:rsidRPr="001F224B">
              <w:rPr>
                <w:sz w:val="20"/>
                <w:szCs w:val="20"/>
              </w:rPr>
              <w:t>-</w:t>
            </w:r>
          </w:p>
        </w:tc>
        <w:tc>
          <w:tcPr>
            <w:tcW w:w="1701" w:type="dxa"/>
            <w:shd w:val="clear" w:color="auto" w:fill="FFFFFF"/>
            <w:noWrap/>
            <w:vAlign w:val="bottom"/>
          </w:tcPr>
          <w:p w14:paraId="302F56AD" w14:textId="1FFDB5C9" w:rsidR="00B070A6" w:rsidRPr="001F224B" w:rsidRDefault="00B070A6" w:rsidP="00B070A6">
            <w:pPr>
              <w:jc w:val="right"/>
              <w:rPr>
                <w:sz w:val="20"/>
                <w:szCs w:val="20"/>
              </w:rPr>
            </w:pPr>
            <w:r w:rsidRPr="001F224B">
              <w:rPr>
                <w:sz w:val="20"/>
                <w:szCs w:val="20"/>
              </w:rPr>
              <w:t>-</w:t>
            </w:r>
          </w:p>
        </w:tc>
      </w:tr>
      <w:tr w:rsidR="00B070A6" w:rsidRPr="001F224B" w14:paraId="18DF4132" w14:textId="77777777" w:rsidTr="00CF2772">
        <w:trPr>
          <w:trHeight w:val="20"/>
        </w:trPr>
        <w:tc>
          <w:tcPr>
            <w:tcW w:w="4886" w:type="dxa"/>
            <w:shd w:val="clear" w:color="auto" w:fill="FFFFFF"/>
            <w:noWrap/>
            <w:vAlign w:val="bottom"/>
          </w:tcPr>
          <w:p w14:paraId="278990CE" w14:textId="77777777" w:rsidR="00B070A6" w:rsidRPr="001F224B" w:rsidRDefault="00B070A6" w:rsidP="00B070A6">
            <w:pPr>
              <w:ind w:firstLineChars="177" w:firstLine="354"/>
              <w:rPr>
                <w:sz w:val="20"/>
                <w:szCs w:val="20"/>
              </w:rPr>
            </w:pPr>
            <w:r w:rsidRPr="001F224B">
              <w:rPr>
                <w:sz w:val="20"/>
                <w:szCs w:val="20"/>
              </w:rPr>
              <w:t xml:space="preserve">   Bireysel Krediler</w:t>
            </w:r>
          </w:p>
        </w:tc>
        <w:tc>
          <w:tcPr>
            <w:tcW w:w="1768" w:type="dxa"/>
            <w:shd w:val="clear" w:color="auto" w:fill="FFFFFF"/>
            <w:noWrap/>
            <w:vAlign w:val="bottom"/>
          </w:tcPr>
          <w:p w14:paraId="63850394" w14:textId="4F0FA564" w:rsidR="00B070A6" w:rsidRPr="001F224B" w:rsidRDefault="00B070A6" w:rsidP="00B070A6">
            <w:pPr>
              <w:jc w:val="right"/>
              <w:rPr>
                <w:sz w:val="20"/>
                <w:szCs w:val="20"/>
              </w:rPr>
            </w:pPr>
            <w:r w:rsidRPr="001F224B">
              <w:rPr>
                <w:sz w:val="20"/>
                <w:szCs w:val="20"/>
              </w:rPr>
              <w:t>-</w:t>
            </w:r>
          </w:p>
        </w:tc>
        <w:tc>
          <w:tcPr>
            <w:tcW w:w="1559" w:type="dxa"/>
            <w:shd w:val="clear" w:color="auto" w:fill="FFFFFF"/>
            <w:noWrap/>
            <w:vAlign w:val="bottom"/>
          </w:tcPr>
          <w:p w14:paraId="00E72F51" w14:textId="5249C011" w:rsidR="00B070A6" w:rsidRPr="001F224B" w:rsidRDefault="00B070A6" w:rsidP="00B070A6">
            <w:pPr>
              <w:jc w:val="right"/>
              <w:rPr>
                <w:sz w:val="20"/>
                <w:szCs w:val="20"/>
              </w:rPr>
            </w:pPr>
            <w:r w:rsidRPr="001F224B">
              <w:rPr>
                <w:sz w:val="20"/>
                <w:szCs w:val="20"/>
              </w:rPr>
              <w:t>-</w:t>
            </w:r>
          </w:p>
        </w:tc>
        <w:tc>
          <w:tcPr>
            <w:tcW w:w="1701" w:type="dxa"/>
            <w:shd w:val="clear" w:color="auto" w:fill="FFFFFF"/>
            <w:noWrap/>
            <w:vAlign w:val="bottom"/>
          </w:tcPr>
          <w:p w14:paraId="400EF524" w14:textId="086E2DBF" w:rsidR="00B070A6" w:rsidRPr="001F224B" w:rsidRDefault="00B070A6" w:rsidP="00B070A6">
            <w:pPr>
              <w:jc w:val="right"/>
              <w:rPr>
                <w:sz w:val="20"/>
                <w:szCs w:val="20"/>
              </w:rPr>
            </w:pPr>
            <w:r w:rsidRPr="001F224B">
              <w:rPr>
                <w:sz w:val="20"/>
                <w:szCs w:val="20"/>
              </w:rPr>
              <w:t>-</w:t>
            </w:r>
          </w:p>
        </w:tc>
      </w:tr>
      <w:tr w:rsidR="00B070A6" w:rsidRPr="001F224B" w14:paraId="389FDE6E" w14:textId="77777777" w:rsidTr="00CF2772">
        <w:trPr>
          <w:trHeight w:val="20"/>
        </w:trPr>
        <w:tc>
          <w:tcPr>
            <w:tcW w:w="4886" w:type="dxa"/>
            <w:shd w:val="clear" w:color="auto" w:fill="FFFFFF"/>
            <w:noWrap/>
            <w:vAlign w:val="bottom"/>
          </w:tcPr>
          <w:p w14:paraId="47D4D54F" w14:textId="77777777" w:rsidR="00B070A6" w:rsidRPr="001F224B" w:rsidRDefault="00B070A6" w:rsidP="00B070A6">
            <w:pPr>
              <w:ind w:firstLineChars="177" w:firstLine="354"/>
              <w:rPr>
                <w:sz w:val="20"/>
                <w:szCs w:val="20"/>
              </w:rPr>
            </w:pPr>
            <w:r w:rsidRPr="001F224B">
              <w:rPr>
                <w:sz w:val="20"/>
                <w:szCs w:val="20"/>
              </w:rPr>
              <w:t xml:space="preserve">   Kredi Kartları</w:t>
            </w:r>
          </w:p>
        </w:tc>
        <w:tc>
          <w:tcPr>
            <w:tcW w:w="1768" w:type="dxa"/>
            <w:shd w:val="clear" w:color="auto" w:fill="FFFFFF"/>
            <w:noWrap/>
            <w:vAlign w:val="bottom"/>
          </w:tcPr>
          <w:p w14:paraId="4B080FBD" w14:textId="27306B44" w:rsidR="00B070A6" w:rsidRPr="001F224B" w:rsidRDefault="00B070A6" w:rsidP="00B070A6">
            <w:pPr>
              <w:jc w:val="right"/>
              <w:rPr>
                <w:sz w:val="20"/>
                <w:szCs w:val="20"/>
              </w:rPr>
            </w:pPr>
            <w:r w:rsidRPr="001F224B">
              <w:rPr>
                <w:sz w:val="20"/>
                <w:szCs w:val="20"/>
              </w:rPr>
              <w:t>-</w:t>
            </w:r>
          </w:p>
        </w:tc>
        <w:tc>
          <w:tcPr>
            <w:tcW w:w="1559" w:type="dxa"/>
            <w:shd w:val="clear" w:color="auto" w:fill="FFFFFF"/>
            <w:noWrap/>
            <w:vAlign w:val="bottom"/>
          </w:tcPr>
          <w:p w14:paraId="0F50AFE9" w14:textId="3333B6E2" w:rsidR="00B070A6" w:rsidRPr="001F224B" w:rsidRDefault="00B070A6" w:rsidP="00B070A6">
            <w:pPr>
              <w:jc w:val="right"/>
              <w:rPr>
                <w:sz w:val="20"/>
                <w:szCs w:val="20"/>
              </w:rPr>
            </w:pPr>
            <w:r w:rsidRPr="001F224B">
              <w:rPr>
                <w:sz w:val="20"/>
                <w:szCs w:val="20"/>
              </w:rPr>
              <w:t>-</w:t>
            </w:r>
          </w:p>
        </w:tc>
        <w:tc>
          <w:tcPr>
            <w:tcW w:w="1701" w:type="dxa"/>
            <w:shd w:val="clear" w:color="auto" w:fill="FFFFFF"/>
            <w:noWrap/>
            <w:vAlign w:val="bottom"/>
          </w:tcPr>
          <w:p w14:paraId="257946DA" w14:textId="11407EC8" w:rsidR="00B070A6" w:rsidRPr="001F224B" w:rsidRDefault="00B070A6" w:rsidP="00B070A6">
            <w:pPr>
              <w:jc w:val="right"/>
              <w:rPr>
                <w:sz w:val="20"/>
                <w:szCs w:val="20"/>
              </w:rPr>
            </w:pPr>
            <w:r w:rsidRPr="001F224B">
              <w:rPr>
                <w:sz w:val="20"/>
                <w:szCs w:val="20"/>
              </w:rPr>
              <w:t>-</w:t>
            </w:r>
          </w:p>
        </w:tc>
      </w:tr>
      <w:tr w:rsidR="00B070A6" w:rsidRPr="001F224B" w14:paraId="733190EF" w14:textId="77777777" w:rsidTr="00CF2772">
        <w:trPr>
          <w:trHeight w:val="20"/>
        </w:trPr>
        <w:tc>
          <w:tcPr>
            <w:tcW w:w="4886" w:type="dxa"/>
            <w:shd w:val="clear" w:color="auto" w:fill="FFFFFF"/>
            <w:noWrap/>
            <w:vAlign w:val="bottom"/>
          </w:tcPr>
          <w:p w14:paraId="6824F581" w14:textId="77777777" w:rsidR="00B070A6" w:rsidRPr="001F224B" w:rsidRDefault="00B070A6" w:rsidP="00B070A6">
            <w:pPr>
              <w:ind w:firstLineChars="177" w:firstLine="354"/>
              <w:rPr>
                <w:sz w:val="20"/>
                <w:szCs w:val="20"/>
              </w:rPr>
            </w:pPr>
            <w:r w:rsidRPr="001F224B">
              <w:rPr>
                <w:sz w:val="20"/>
                <w:szCs w:val="20"/>
              </w:rPr>
              <w:t xml:space="preserve">   Diğer</w:t>
            </w:r>
          </w:p>
        </w:tc>
        <w:tc>
          <w:tcPr>
            <w:tcW w:w="1768" w:type="dxa"/>
            <w:shd w:val="clear" w:color="auto" w:fill="FFFFFF"/>
            <w:noWrap/>
            <w:vAlign w:val="bottom"/>
          </w:tcPr>
          <w:p w14:paraId="6CEB4401" w14:textId="7D8EE84F" w:rsidR="00B070A6" w:rsidRPr="001F224B" w:rsidRDefault="00B070A6" w:rsidP="00B070A6">
            <w:pPr>
              <w:jc w:val="right"/>
              <w:rPr>
                <w:sz w:val="20"/>
                <w:szCs w:val="20"/>
              </w:rPr>
            </w:pPr>
            <w:r w:rsidRPr="001F224B">
              <w:rPr>
                <w:sz w:val="20"/>
                <w:szCs w:val="20"/>
              </w:rPr>
              <w:t>-</w:t>
            </w:r>
          </w:p>
        </w:tc>
        <w:tc>
          <w:tcPr>
            <w:tcW w:w="1559" w:type="dxa"/>
            <w:shd w:val="clear" w:color="auto" w:fill="FFFFFF"/>
            <w:noWrap/>
            <w:vAlign w:val="bottom"/>
          </w:tcPr>
          <w:p w14:paraId="189CDB05" w14:textId="4F9DEAE0" w:rsidR="00B070A6" w:rsidRPr="001F224B" w:rsidRDefault="00B070A6" w:rsidP="00B070A6">
            <w:pPr>
              <w:jc w:val="right"/>
              <w:rPr>
                <w:sz w:val="20"/>
                <w:szCs w:val="20"/>
              </w:rPr>
            </w:pPr>
            <w:r w:rsidRPr="001F224B">
              <w:rPr>
                <w:sz w:val="20"/>
                <w:szCs w:val="20"/>
              </w:rPr>
              <w:t>-</w:t>
            </w:r>
          </w:p>
        </w:tc>
        <w:tc>
          <w:tcPr>
            <w:tcW w:w="1701" w:type="dxa"/>
            <w:shd w:val="clear" w:color="auto" w:fill="FFFFFF"/>
            <w:noWrap/>
            <w:vAlign w:val="bottom"/>
          </w:tcPr>
          <w:p w14:paraId="548AFDA5" w14:textId="0C5C369F" w:rsidR="00B070A6" w:rsidRPr="001F224B" w:rsidRDefault="00B070A6" w:rsidP="00B070A6">
            <w:pPr>
              <w:jc w:val="right"/>
              <w:rPr>
                <w:sz w:val="20"/>
                <w:szCs w:val="20"/>
              </w:rPr>
            </w:pPr>
            <w:r w:rsidRPr="001F224B">
              <w:rPr>
                <w:sz w:val="20"/>
                <w:szCs w:val="20"/>
              </w:rPr>
              <w:t>-</w:t>
            </w:r>
          </w:p>
        </w:tc>
      </w:tr>
      <w:tr w:rsidR="00B070A6" w:rsidRPr="001F224B" w14:paraId="087FF846" w14:textId="77777777" w:rsidTr="0044625B">
        <w:trPr>
          <w:trHeight w:val="20"/>
        </w:trPr>
        <w:tc>
          <w:tcPr>
            <w:tcW w:w="4886" w:type="dxa"/>
            <w:shd w:val="clear" w:color="auto" w:fill="FFFFFF"/>
            <w:noWrap/>
            <w:vAlign w:val="bottom"/>
          </w:tcPr>
          <w:p w14:paraId="4F92138A" w14:textId="4EBB1BB2" w:rsidR="00B070A6" w:rsidRPr="001F224B" w:rsidRDefault="00B070A6" w:rsidP="00B070A6">
            <w:pPr>
              <w:rPr>
                <w:b/>
                <w:sz w:val="20"/>
                <w:szCs w:val="20"/>
              </w:rPr>
            </w:pPr>
            <w:r w:rsidRPr="001F224B">
              <w:rPr>
                <w:b/>
                <w:sz w:val="20"/>
                <w:szCs w:val="20"/>
              </w:rPr>
              <w:t>Dönem Sonu Bakiyesi (30.06.2025)</w:t>
            </w:r>
          </w:p>
        </w:tc>
        <w:tc>
          <w:tcPr>
            <w:tcW w:w="1768" w:type="dxa"/>
            <w:tcBorders>
              <w:top w:val="single" w:sz="4" w:space="0" w:color="auto"/>
              <w:left w:val="single" w:sz="4" w:space="0" w:color="auto"/>
              <w:bottom w:val="single" w:sz="4" w:space="0" w:color="auto"/>
              <w:right w:val="single" w:sz="4" w:space="0" w:color="auto"/>
            </w:tcBorders>
            <w:shd w:val="clear" w:color="000000" w:fill="FFFFFF"/>
            <w:noWrap/>
          </w:tcPr>
          <w:p w14:paraId="32047292" w14:textId="79133F84" w:rsidR="00B070A6" w:rsidRPr="001F224B" w:rsidRDefault="00B070A6" w:rsidP="00B070A6">
            <w:pPr>
              <w:jc w:val="right"/>
              <w:rPr>
                <w:b/>
                <w:bCs/>
                <w:sz w:val="20"/>
                <w:szCs w:val="20"/>
              </w:rPr>
            </w:pPr>
            <w:r w:rsidRPr="001F224B">
              <w:rPr>
                <w:b/>
                <w:bCs/>
                <w:sz w:val="20"/>
                <w:szCs w:val="20"/>
              </w:rPr>
              <w:t>547.642</w:t>
            </w:r>
          </w:p>
        </w:tc>
        <w:tc>
          <w:tcPr>
            <w:tcW w:w="1559" w:type="dxa"/>
            <w:tcBorders>
              <w:top w:val="single" w:sz="4" w:space="0" w:color="auto"/>
              <w:left w:val="nil"/>
              <w:bottom w:val="single" w:sz="4" w:space="0" w:color="auto"/>
              <w:right w:val="single" w:sz="4" w:space="0" w:color="auto"/>
            </w:tcBorders>
            <w:shd w:val="clear" w:color="000000" w:fill="FFFFFF"/>
            <w:noWrap/>
          </w:tcPr>
          <w:p w14:paraId="6FAC11EB" w14:textId="1673DB83" w:rsidR="00B070A6" w:rsidRPr="001F224B" w:rsidRDefault="00B070A6" w:rsidP="00B070A6">
            <w:pPr>
              <w:jc w:val="right"/>
              <w:rPr>
                <w:b/>
                <w:bCs/>
                <w:sz w:val="20"/>
                <w:szCs w:val="20"/>
              </w:rPr>
            </w:pPr>
            <w:r w:rsidRPr="001F224B">
              <w:rPr>
                <w:b/>
                <w:bCs/>
                <w:sz w:val="20"/>
                <w:szCs w:val="20"/>
              </w:rPr>
              <w:t>31.120</w:t>
            </w:r>
          </w:p>
        </w:tc>
        <w:tc>
          <w:tcPr>
            <w:tcW w:w="1701" w:type="dxa"/>
            <w:tcBorders>
              <w:top w:val="single" w:sz="4" w:space="0" w:color="auto"/>
              <w:left w:val="nil"/>
              <w:bottom w:val="single" w:sz="4" w:space="0" w:color="auto"/>
              <w:right w:val="single" w:sz="4" w:space="0" w:color="auto"/>
            </w:tcBorders>
            <w:shd w:val="clear" w:color="000000" w:fill="FFFFFF"/>
            <w:noWrap/>
          </w:tcPr>
          <w:p w14:paraId="37385E21" w14:textId="508DF7CC" w:rsidR="00B070A6" w:rsidRPr="001F224B" w:rsidRDefault="00B070A6" w:rsidP="00B070A6">
            <w:pPr>
              <w:jc w:val="right"/>
              <w:rPr>
                <w:b/>
                <w:bCs/>
                <w:sz w:val="20"/>
                <w:szCs w:val="20"/>
              </w:rPr>
            </w:pPr>
            <w:r w:rsidRPr="001F224B">
              <w:rPr>
                <w:b/>
                <w:bCs/>
                <w:sz w:val="20"/>
                <w:szCs w:val="20"/>
              </w:rPr>
              <w:t>33.533</w:t>
            </w:r>
          </w:p>
        </w:tc>
      </w:tr>
      <w:tr w:rsidR="00B070A6" w:rsidRPr="001F224B" w14:paraId="35D9003A" w14:textId="77777777" w:rsidTr="0044625B">
        <w:trPr>
          <w:trHeight w:val="20"/>
        </w:trPr>
        <w:tc>
          <w:tcPr>
            <w:tcW w:w="4886" w:type="dxa"/>
            <w:shd w:val="clear" w:color="auto" w:fill="FFFFFF"/>
            <w:noWrap/>
            <w:vAlign w:val="bottom"/>
          </w:tcPr>
          <w:p w14:paraId="30645891" w14:textId="77777777" w:rsidR="00B070A6" w:rsidRPr="001F224B" w:rsidRDefault="00B070A6" w:rsidP="00B070A6">
            <w:pPr>
              <w:ind w:firstLineChars="200" w:firstLine="400"/>
              <w:rPr>
                <w:sz w:val="20"/>
                <w:szCs w:val="20"/>
              </w:rPr>
            </w:pPr>
            <w:r w:rsidRPr="001F224B">
              <w:rPr>
                <w:sz w:val="20"/>
                <w:szCs w:val="20"/>
              </w:rPr>
              <w:t xml:space="preserve"> Karşılık (-)</w:t>
            </w:r>
          </w:p>
        </w:tc>
        <w:tc>
          <w:tcPr>
            <w:tcW w:w="1768" w:type="dxa"/>
            <w:tcBorders>
              <w:top w:val="nil"/>
              <w:left w:val="single" w:sz="4" w:space="0" w:color="auto"/>
              <w:bottom w:val="single" w:sz="4" w:space="0" w:color="auto"/>
              <w:right w:val="single" w:sz="4" w:space="0" w:color="auto"/>
            </w:tcBorders>
            <w:shd w:val="clear" w:color="auto" w:fill="auto"/>
            <w:noWrap/>
          </w:tcPr>
          <w:p w14:paraId="14A682ED" w14:textId="43438E9B" w:rsidR="00B070A6" w:rsidRPr="001F224B" w:rsidRDefault="00B070A6" w:rsidP="00B070A6">
            <w:pPr>
              <w:jc w:val="right"/>
              <w:rPr>
                <w:sz w:val="20"/>
                <w:szCs w:val="20"/>
              </w:rPr>
            </w:pPr>
            <w:r w:rsidRPr="001F224B">
              <w:rPr>
                <w:sz w:val="20"/>
                <w:szCs w:val="20"/>
              </w:rPr>
              <w:t>(432.204)</w:t>
            </w:r>
          </w:p>
        </w:tc>
        <w:tc>
          <w:tcPr>
            <w:tcW w:w="1559" w:type="dxa"/>
            <w:tcBorders>
              <w:top w:val="nil"/>
              <w:left w:val="nil"/>
              <w:bottom w:val="single" w:sz="4" w:space="0" w:color="auto"/>
              <w:right w:val="single" w:sz="4" w:space="0" w:color="auto"/>
            </w:tcBorders>
            <w:shd w:val="clear" w:color="auto" w:fill="auto"/>
            <w:noWrap/>
          </w:tcPr>
          <w:p w14:paraId="52F9862E" w14:textId="73374EC9" w:rsidR="00B070A6" w:rsidRPr="001F224B" w:rsidRDefault="00B070A6" w:rsidP="00B070A6">
            <w:pPr>
              <w:jc w:val="right"/>
              <w:rPr>
                <w:sz w:val="20"/>
                <w:szCs w:val="20"/>
              </w:rPr>
            </w:pPr>
            <w:r w:rsidRPr="001F224B">
              <w:rPr>
                <w:sz w:val="20"/>
                <w:szCs w:val="20"/>
              </w:rPr>
              <w:t>(19.127)</w:t>
            </w:r>
          </w:p>
        </w:tc>
        <w:tc>
          <w:tcPr>
            <w:tcW w:w="1701" w:type="dxa"/>
            <w:tcBorders>
              <w:top w:val="nil"/>
              <w:left w:val="nil"/>
              <w:bottom w:val="single" w:sz="4" w:space="0" w:color="auto"/>
              <w:right w:val="single" w:sz="4" w:space="0" w:color="auto"/>
            </w:tcBorders>
            <w:shd w:val="clear" w:color="auto" w:fill="auto"/>
            <w:noWrap/>
          </w:tcPr>
          <w:p w14:paraId="499D6282" w14:textId="5BC3AFD1" w:rsidR="00B070A6" w:rsidRPr="001F224B" w:rsidRDefault="00B070A6" w:rsidP="00B070A6">
            <w:pPr>
              <w:jc w:val="right"/>
              <w:rPr>
                <w:sz w:val="20"/>
                <w:szCs w:val="20"/>
              </w:rPr>
            </w:pPr>
            <w:r w:rsidRPr="001F224B">
              <w:rPr>
                <w:sz w:val="20"/>
                <w:szCs w:val="20"/>
              </w:rPr>
              <w:t>(33.533)</w:t>
            </w:r>
          </w:p>
        </w:tc>
      </w:tr>
      <w:tr w:rsidR="00B070A6" w:rsidRPr="001F224B" w14:paraId="18C99D52" w14:textId="77777777" w:rsidTr="0044625B">
        <w:trPr>
          <w:trHeight w:val="20"/>
        </w:trPr>
        <w:tc>
          <w:tcPr>
            <w:tcW w:w="4886" w:type="dxa"/>
            <w:shd w:val="clear" w:color="auto" w:fill="FFFFFF"/>
            <w:noWrap/>
            <w:vAlign w:val="bottom"/>
          </w:tcPr>
          <w:p w14:paraId="60EA733B" w14:textId="77777777" w:rsidR="00B070A6" w:rsidRPr="001F224B" w:rsidRDefault="00B070A6" w:rsidP="00B070A6">
            <w:pPr>
              <w:rPr>
                <w:b/>
                <w:sz w:val="20"/>
                <w:szCs w:val="20"/>
              </w:rPr>
            </w:pPr>
            <w:r w:rsidRPr="001F224B">
              <w:rPr>
                <w:b/>
                <w:sz w:val="20"/>
                <w:szCs w:val="20"/>
              </w:rPr>
              <w:t xml:space="preserve">Bilançodaki Net Bakiyesi </w:t>
            </w:r>
          </w:p>
        </w:tc>
        <w:tc>
          <w:tcPr>
            <w:tcW w:w="1768" w:type="dxa"/>
            <w:tcBorders>
              <w:top w:val="nil"/>
              <w:left w:val="single" w:sz="4" w:space="0" w:color="auto"/>
              <w:bottom w:val="single" w:sz="4" w:space="0" w:color="auto"/>
              <w:right w:val="single" w:sz="4" w:space="0" w:color="auto"/>
            </w:tcBorders>
            <w:shd w:val="clear" w:color="000000" w:fill="FFFFFF"/>
            <w:noWrap/>
          </w:tcPr>
          <w:p w14:paraId="1D538730" w14:textId="20DEFAD0" w:rsidR="00B070A6" w:rsidRPr="001F224B" w:rsidRDefault="00B070A6" w:rsidP="00B070A6">
            <w:pPr>
              <w:jc w:val="right"/>
              <w:rPr>
                <w:b/>
                <w:bCs/>
                <w:sz w:val="20"/>
                <w:szCs w:val="20"/>
              </w:rPr>
            </w:pPr>
            <w:r w:rsidRPr="001F224B">
              <w:rPr>
                <w:b/>
                <w:bCs/>
                <w:sz w:val="20"/>
                <w:szCs w:val="20"/>
              </w:rPr>
              <w:t>115.438</w:t>
            </w:r>
          </w:p>
        </w:tc>
        <w:tc>
          <w:tcPr>
            <w:tcW w:w="1559" w:type="dxa"/>
            <w:tcBorders>
              <w:top w:val="nil"/>
              <w:left w:val="nil"/>
              <w:bottom w:val="single" w:sz="4" w:space="0" w:color="auto"/>
              <w:right w:val="single" w:sz="4" w:space="0" w:color="auto"/>
            </w:tcBorders>
            <w:shd w:val="clear" w:color="000000" w:fill="FFFFFF"/>
            <w:noWrap/>
          </w:tcPr>
          <w:p w14:paraId="2875ED5E" w14:textId="74A4F14C" w:rsidR="00B070A6" w:rsidRPr="001F224B" w:rsidRDefault="00B070A6" w:rsidP="00B070A6">
            <w:pPr>
              <w:jc w:val="right"/>
              <w:rPr>
                <w:b/>
                <w:bCs/>
                <w:sz w:val="20"/>
                <w:szCs w:val="20"/>
              </w:rPr>
            </w:pPr>
            <w:r w:rsidRPr="001F224B">
              <w:rPr>
                <w:b/>
                <w:bCs/>
                <w:sz w:val="20"/>
                <w:szCs w:val="20"/>
              </w:rPr>
              <w:t>11.993</w:t>
            </w:r>
          </w:p>
        </w:tc>
        <w:tc>
          <w:tcPr>
            <w:tcW w:w="1701" w:type="dxa"/>
            <w:tcBorders>
              <w:top w:val="nil"/>
              <w:left w:val="nil"/>
              <w:bottom w:val="single" w:sz="4" w:space="0" w:color="auto"/>
              <w:right w:val="single" w:sz="4" w:space="0" w:color="auto"/>
            </w:tcBorders>
            <w:shd w:val="clear" w:color="000000" w:fill="FFFFFF"/>
            <w:noWrap/>
          </w:tcPr>
          <w:p w14:paraId="4F1FFA13" w14:textId="39E3876F" w:rsidR="00B070A6" w:rsidRPr="001F224B" w:rsidRDefault="00B070A6" w:rsidP="00B070A6">
            <w:pPr>
              <w:jc w:val="right"/>
              <w:rPr>
                <w:b/>
                <w:bCs/>
                <w:sz w:val="20"/>
                <w:szCs w:val="20"/>
              </w:rPr>
            </w:pPr>
            <w:r w:rsidRPr="001F224B">
              <w:rPr>
                <w:b/>
                <w:bCs/>
                <w:sz w:val="20"/>
                <w:szCs w:val="20"/>
              </w:rPr>
              <w:t>-</w:t>
            </w:r>
          </w:p>
        </w:tc>
      </w:tr>
    </w:tbl>
    <w:p w14:paraId="09A51448" w14:textId="77777777" w:rsidR="00112412" w:rsidRPr="001F224B" w:rsidRDefault="00112412" w:rsidP="00112412">
      <w:pPr>
        <w:tabs>
          <w:tab w:val="left" w:pos="567"/>
        </w:tabs>
        <w:spacing w:after="120"/>
        <w:rPr>
          <w:b/>
          <w:bCs/>
          <w:sz w:val="2"/>
          <w:szCs w:val="2"/>
        </w:rPr>
      </w:pPr>
    </w:p>
    <w:p w14:paraId="03FECD95" w14:textId="77777777" w:rsidR="00112412" w:rsidRPr="001F224B" w:rsidRDefault="00112412" w:rsidP="00112412">
      <w:pPr>
        <w:tabs>
          <w:tab w:val="left" w:pos="567"/>
        </w:tabs>
        <w:jc w:val="both"/>
        <w:rPr>
          <w:b/>
          <w:bCs/>
          <w:sz w:val="22"/>
          <w:szCs w:val="22"/>
        </w:rPr>
      </w:pPr>
    </w:p>
    <w:p w14:paraId="602E47D9" w14:textId="24E1098C" w:rsidR="00AE60E1" w:rsidRPr="001F224B" w:rsidRDefault="00AE60E1">
      <w:pPr>
        <w:rPr>
          <w:b/>
          <w:bCs/>
          <w:sz w:val="22"/>
          <w:szCs w:val="22"/>
        </w:rPr>
      </w:pPr>
      <w:r w:rsidRPr="001F224B">
        <w:rPr>
          <w:b/>
          <w:bCs/>
          <w:sz w:val="22"/>
          <w:szCs w:val="22"/>
        </w:rPr>
        <w:br w:type="page"/>
      </w:r>
    </w:p>
    <w:p w14:paraId="1D712BDD" w14:textId="16D40E1E" w:rsidR="00897E33" w:rsidRPr="001F224B" w:rsidRDefault="00897E33" w:rsidP="00897E33">
      <w:pPr>
        <w:pStyle w:val="ListParagraph"/>
        <w:tabs>
          <w:tab w:val="left" w:pos="0"/>
        </w:tabs>
        <w:spacing w:before="120" w:after="120"/>
        <w:ind w:left="0"/>
        <w:rPr>
          <w:b/>
          <w:bCs/>
          <w:sz w:val="22"/>
          <w:szCs w:val="22"/>
        </w:rPr>
      </w:pPr>
      <w:r w:rsidRPr="001F224B">
        <w:rPr>
          <w:b/>
          <w:bCs/>
          <w:sz w:val="22"/>
          <w:szCs w:val="22"/>
        </w:rPr>
        <w:t>BEŞİNCİ BÖLÜM (Devamı)</w:t>
      </w:r>
    </w:p>
    <w:p w14:paraId="19AC6DC4" w14:textId="77777777" w:rsidR="00897E33" w:rsidRPr="001F224B" w:rsidRDefault="00897E33" w:rsidP="00897E33">
      <w:pPr>
        <w:pStyle w:val="ListParagraph"/>
        <w:tabs>
          <w:tab w:val="left" w:pos="0"/>
        </w:tabs>
        <w:ind w:left="0"/>
        <w:rPr>
          <w:b/>
          <w:bCs/>
          <w:sz w:val="22"/>
          <w:szCs w:val="22"/>
        </w:rPr>
      </w:pPr>
      <w:r w:rsidRPr="001F224B">
        <w:rPr>
          <w:b/>
          <w:bCs/>
          <w:sz w:val="22"/>
          <w:szCs w:val="22"/>
        </w:rPr>
        <w:t>KONSOLİDE FİNANSAL TABLOLARA İLİŞKİN AÇIKLAMA VE DİPNOTLAR</w:t>
      </w:r>
      <w:r w:rsidRPr="001F224B" w:rsidDel="00FE322E">
        <w:rPr>
          <w:b/>
          <w:bCs/>
          <w:sz w:val="22"/>
          <w:szCs w:val="22"/>
        </w:rPr>
        <w:t xml:space="preserve"> </w:t>
      </w:r>
      <w:r w:rsidRPr="001F224B">
        <w:rPr>
          <w:b/>
          <w:bCs/>
          <w:sz w:val="22"/>
          <w:szCs w:val="22"/>
        </w:rPr>
        <w:t>(Devamı)</w:t>
      </w:r>
    </w:p>
    <w:p w14:paraId="06FBBFB0" w14:textId="77777777" w:rsidR="00897E33" w:rsidRPr="001F224B" w:rsidRDefault="00897E33" w:rsidP="00B91474">
      <w:pPr>
        <w:pStyle w:val="Heading2"/>
        <w:numPr>
          <w:ilvl w:val="0"/>
          <w:numId w:val="0"/>
        </w:numPr>
        <w:tabs>
          <w:tab w:val="left" w:pos="567"/>
        </w:tabs>
        <w:jc w:val="both"/>
        <w:rPr>
          <w:rFonts w:ascii="Times New Roman" w:hAnsi="Times New Roman"/>
          <w:b w:val="0"/>
          <w:bCs w:val="0"/>
          <w:i w:val="0"/>
          <w:sz w:val="22"/>
          <w:szCs w:val="22"/>
        </w:rPr>
      </w:pPr>
      <w:r w:rsidRPr="001F224B">
        <w:rPr>
          <w:rFonts w:ascii="Times New Roman" w:hAnsi="Times New Roman"/>
          <w:bCs w:val="0"/>
          <w:i w:val="0"/>
          <w:sz w:val="22"/>
          <w:szCs w:val="22"/>
        </w:rPr>
        <w:t>I.</w:t>
      </w:r>
      <w:r w:rsidRPr="001F224B">
        <w:rPr>
          <w:rFonts w:ascii="Times New Roman" w:hAnsi="Times New Roman"/>
          <w:bCs w:val="0"/>
          <w:i w:val="0"/>
          <w:sz w:val="22"/>
          <w:szCs w:val="22"/>
        </w:rPr>
        <w:tab/>
        <w:t>Konsolide bilançonun aktif hesaplarına ilişkin açıklama ve dipnotlar (Devamı</w:t>
      </w:r>
      <w:r w:rsidRPr="001F224B">
        <w:rPr>
          <w:rFonts w:ascii="Times New Roman" w:hAnsi="Times New Roman"/>
          <w:b w:val="0"/>
          <w:bCs w:val="0"/>
          <w:i w:val="0"/>
          <w:sz w:val="22"/>
          <w:szCs w:val="22"/>
        </w:rPr>
        <w:t>):</w:t>
      </w:r>
    </w:p>
    <w:p w14:paraId="02F5815B" w14:textId="77777777" w:rsidR="00897E33" w:rsidRPr="001F224B" w:rsidRDefault="00897E33" w:rsidP="004915CA">
      <w:pPr>
        <w:pStyle w:val="NormalWeb"/>
        <w:spacing w:before="120" w:beforeAutospacing="0" w:after="0" w:afterAutospacing="0"/>
        <w:jc w:val="both"/>
        <w:rPr>
          <w:rFonts w:ascii="Times New Roman" w:cs="Times New Roman"/>
          <w:b/>
          <w:bCs/>
          <w:sz w:val="22"/>
          <w:szCs w:val="22"/>
          <w:lang w:val="tr-TR"/>
        </w:rPr>
      </w:pPr>
      <w:r w:rsidRPr="001F224B">
        <w:rPr>
          <w:rFonts w:ascii="Times New Roman" w:cs="Times New Roman"/>
          <w:b/>
          <w:bCs/>
          <w:sz w:val="22"/>
          <w:szCs w:val="22"/>
          <w:lang w:val="tr-TR"/>
        </w:rPr>
        <w:t>2.       İtfa edilmiş maliyeti ile ölçülen finansal varlıklara ilişkin açıklamalar (Devamı):</w:t>
      </w:r>
    </w:p>
    <w:p w14:paraId="474A8485" w14:textId="56F8C3EE" w:rsidR="00897E33" w:rsidRPr="001F224B" w:rsidRDefault="00897E33" w:rsidP="004915CA">
      <w:pPr>
        <w:tabs>
          <w:tab w:val="left" w:pos="567"/>
        </w:tabs>
        <w:spacing w:before="120" w:after="120"/>
        <w:rPr>
          <w:b/>
          <w:bCs/>
          <w:sz w:val="22"/>
          <w:szCs w:val="22"/>
        </w:rPr>
      </w:pPr>
      <w:r w:rsidRPr="001F224B">
        <w:rPr>
          <w:b/>
          <w:bCs/>
          <w:sz w:val="22"/>
          <w:szCs w:val="22"/>
        </w:rPr>
        <w:t>2. 1.</w:t>
      </w:r>
      <w:r w:rsidRPr="001F224B">
        <w:rPr>
          <w:b/>
          <w:bCs/>
          <w:sz w:val="22"/>
          <w:szCs w:val="22"/>
        </w:rPr>
        <w:tab/>
        <w:t>Kredilere ilişkin bilgiler (Devamı):</w:t>
      </w:r>
    </w:p>
    <w:p w14:paraId="20F3E3FA" w14:textId="32B6DAE2" w:rsidR="00D166D2" w:rsidRPr="001F224B" w:rsidRDefault="00D166D2" w:rsidP="00D166D2">
      <w:pPr>
        <w:tabs>
          <w:tab w:val="left" w:pos="567"/>
        </w:tabs>
        <w:spacing w:before="120" w:after="120"/>
        <w:rPr>
          <w:b/>
          <w:bCs/>
          <w:sz w:val="22"/>
          <w:szCs w:val="22"/>
        </w:rPr>
      </w:pPr>
      <w:r w:rsidRPr="001F224B">
        <w:rPr>
          <w:b/>
          <w:bCs/>
          <w:sz w:val="22"/>
          <w:szCs w:val="22"/>
        </w:rPr>
        <w:t>2.1.g)</w:t>
      </w:r>
      <w:r w:rsidRPr="001F224B">
        <w:rPr>
          <w:b/>
          <w:bCs/>
          <w:sz w:val="22"/>
          <w:szCs w:val="22"/>
        </w:rPr>
        <w:tab/>
        <w:t>Donuk alacaklara ilişkin bilgiler (Net) (Devamı):</w:t>
      </w:r>
    </w:p>
    <w:p w14:paraId="4629B642" w14:textId="035E8A13" w:rsidR="00433353" w:rsidRPr="001F224B" w:rsidRDefault="00433353" w:rsidP="00D166D2">
      <w:pPr>
        <w:tabs>
          <w:tab w:val="left" w:pos="567"/>
        </w:tabs>
        <w:spacing w:before="120" w:after="120"/>
        <w:rPr>
          <w:b/>
          <w:bCs/>
          <w:sz w:val="22"/>
          <w:szCs w:val="22"/>
        </w:rPr>
      </w:pPr>
      <w:r w:rsidRPr="001F224B">
        <w:rPr>
          <w:b/>
          <w:bCs/>
          <w:sz w:val="22"/>
          <w:szCs w:val="22"/>
        </w:rPr>
        <w:t xml:space="preserve">2.1.g.3) TFRS 9’a göre beklenen kredi zararı ayıran bankalarca donuk alacaklar için hesaplanan faiz </w:t>
      </w:r>
      <w:r w:rsidRPr="001F224B">
        <w:rPr>
          <w:b/>
          <w:bCs/>
          <w:sz w:val="22"/>
          <w:szCs w:val="22"/>
        </w:rPr>
        <w:tab/>
      </w:r>
      <w:r w:rsidRPr="001F224B">
        <w:rPr>
          <w:b/>
          <w:bCs/>
          <w:sz w:val="22"/>
          <w:szCs w:val="22"/>
        </w:rPr>
        <w:tab/>
        <w:t>tahakkukları, reeskontları ve değerleme farkları ile bunların karşılıklarına ilişkin bilgiler:</w:t>
      </w:r>
    </w:p>
    <w:p w14:paraId="4941EBED" w14:textId="77777777" w:rsidR="00433353" w:rsidRPr="001F224B" w:rsidRDefault="00433353" w:rsidP="00433353">
      <w:pPr>
        <w:tabs>
          <w:tab w:val="left" w:pos="567"/>
        </w:tabs>
        <w:ind w:right="-1418"/>
        <w:jc w:val="both"/>
        <w:rPr>
          <w:b/>
          <w:bCs/>
          <w:sz w:val="8"/>
          <w:szCs w:val="8"/>
        </w:rPr>
      </w:pPr>
      <w:r w:rsidRPr="001F224B">
        <w:rPr>
          <w:b/>
          <w:bCs/>
          <w:sz w:val="22"/>
          <w:szCs w:val="22"/>
        </w:rPr>
        <w:tab/>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2"/>
        <w:gridCol w:w="1701"/>
        <w:gridCol w:w="1559"/>
        <w:gridCol w:w="1607"/>
      </w:tblGrid>
      <w:tr w:rsidR="00433353" w:rsidRPr="001F224B" w14:paraId="556B5E90" w14:textId="77777777" w:rsidTr="009732ED">
        <w:trPr>
          <w:trHeight w:val="20"/>
        </w:trPr>
        <w:tc>
          <w:tcPr>
            <w:tcW w:w="4872" w:type="dxa"/>
            <w:vMerge w:val="restart"/>
            <w:shd w:val="clear" w:color="auto" w:fill="FFFFFF"/>
            <w:noWrap/>
            <w:vAlign w:val="bottom"/>
          </w:tcPr>
          <w:p w14:paraId="0104B6CC" w14:textId="77777777" w:rsidR="00433353" w:rsidRPr="001F224B" w:rsidRDefault="00433353" w:rsidP="009732ED">
            <w:pPr>
              <w:jc w:val="both"/>
              <w:rPr>
                <w:sz w:val="20"/>
                <w:szCs w:val="20"/>
              </w:rPr>
            </w:pPr>
          </w:p>
        </w:tc>
        <w:tc>
          <w:tcPr>
            <w:tcW w:w="1701" w:type="dxa"/>
            <w:shd w:val="clear" w:color="auto" w:fill="FFFFFF"/>
            <w:noWrap/>
            <w:vAlign w:val="bottom"/>
          </w:tcPr>
          <w:p w14:paraId="2CE55F77" w14:textId="77777777" w:rsidR="00433353" w:rsidRPr="001F224B" w:rsidRDefault="00433353" w:rsidP="009732ED">
            <w:pPr>
              <w:jc w:val="center"/>
              <w:rPr>
                <w:b/>
                <w:bCs/>
                <w:sz w:val="20"/>
                <w:szCs w:val="20"/>
              </w:rPr>
            </w:pPr>
            <w:r w:rsidRPr="001F224B">
              <w:rPr>
                <w:b/>
                <w:bCs/>
                <w:sz w:val="20"/>
                <w:szCs w:val="20"/>
              </w:rPr>
              <w:t>III. Grup</w:t>
            </w:r>
          </w:p>
        </w:tc>
        <w:tc>
          <w:tcPr>
            <w:tcW w:w="1559" w:type="dxa"/>
            <w:shd w:val="clear" w:color="auto" w:fill="FFFFFF"/>
            <w:noWrap/>
            <w:vAlign w:val="bottom"/>
          </w:tcPr>
          <w:p w14:paraId="768C2A46" w14:textId="77777777" w:rsidR="00433353" w:rsidRPr="001F224B" w:rsidRDefault="00433353" w:rsidP="009732ED">
            <w:pPr>
              <w:jc w:val="center"/>
              <w:rPr>
                <w:b/>
                <w:bCs/>
                <w:sz w:val="20"/>
                <w:szCs w:val="20"/>
              </w:rPr>
            </w:pPr>
            <w:r w:rsidRPr="001F224B">
              <w:rPr>
                <w:b/>
                <w:bCs/>
                <w:sz w:val="20"/>
                <w:szCs w:val="20"/>
              </w:rPr>
              <w:t>IV. Grup</w:t>
            </w:r>
          </w:p>
        </w:tc>
        <w:tc>
          <w:tcPr>
            <w:tcW w:w="1607" w:type="dxa"/>
            <w:shd w:val="clear" w:color="auto" w:fill="FFFFFF"/>
            <w:noWrap/>
            <w:vAlign w:val="bottom"/>
          </w:tcPr>
          <w:p w14:paraId="7A3EC729" w14:textId="77777777" w:rsidR="00433353" w:rsidRPr="001F224B" w:rsidRDefault="00433353" w:rsidP="009732ED">
            <w:pPr>
              <w:jc w:val="center"/>
              <w:rPr>
                <w:b/>
                <w:bCs/>
                <w:sz w:val="20"/>
                <w:szCs w:val="20"/>
              </w:rPr>
            </w:pPr>
            <w:r w:rsidRPr="001F224B">
              <w:rPr>
                <w:b/>
                <w:bCs/>
                <w:sz w:val="20"/>
                <w:szCs w:val="20"/>
              </w:rPr>
              <w:t>V. Grup</w:t>
            </w:r>
          </w:p>
        </w:tc>
      </w:tr>
      <w:tr w:rsidR="00433353" w:rsidRPr="001F224B" w14:paraId="3B4AC790" w14:textId="77777777" w:rsidTr="009732ED">
        <w:trPr>
          <w:trHeight w:val="770"/>
        </w:trPr>
        <w:tc>
          <w:tcPr>
            <w:tcW w:w="4872" w:type="dxa"/>
            <w:vMerge/>
            <w:vAlign w:val="center"/>
          </w:tcPr>
          <w:p w14:paraId="13179F18" w14:textId="77777777" w:rsidR="00433353" w:rsidRPr="001F224B" w:rsidRDefault="00433353" w:rsidP="009732ED">
            <w:pPr>
              <w:rPr>
                <w:sz w:val="20"/>
                <w:szCs w:val="20"/>
              </w:rPr>
            </w:pPr>
          </w:p>
        </w:tc>
        <w:tc>
          <w:tcPr>
            <w:tcW w:w="1701" w:type="dxa"/>
            <w:shd w:val="clear" w:color="auto" w:fill="FFFFFF"/>
            <w:vAlign w:val="bottom"/>
          </w:tcPr>
          <w:p w14:paraId="0C3F1AF6" w14:textId="77777777" w:rsidR="00433353" w:rsidRPr="001F224B" w:rsidRDefault="00433353" w:rsidP="009732ED">
            <w:pPr>
              <w:jc w:val="center"/>
              <w:rPr>
                <w:b/>
                <w:bCs/>
                <w:sz w:val="20"/>
                <w:szCs w:val="20"/>
              </w:rPr>
            </w:pPr>
            <w:r w:rsidRPr="001F224B">
              <w:rPr>
                <w:b/>
                <w:bCs/>
                <w:sz w:val="20"/>
                <w:szCs w:val="20"/>
              </w:rPr>
              <w:t xml:space="preserve">Tahsil İmkanı Sınırlı Krediler </w:t>
            </w:r>
          </w:p>
        </w:tc>
        <w:tc>
          <w:tcPr>
            <w:tcW w:w="1559" w:type="dxa"/>
            <w:shd w:val="clear" w:color="auto" w:fill="FFFFFF"/>
            <w:vAlign w:val="bottom"/>
          </w:tcPr>
          <w:p w14:paraId="6BFA0E88" w14:textId="77777777" w:rsidR="00433353" w:rsidRPr="001F224B" w:rsidRDefault="00433353" w:rsidP="009732ED">
            <w:pPr>
              <w:jc w:val="center"/>
              <w:rPr>
                <w:b/>
                <w:bCs/>
                <w:sz w:val="20"/>
                <w:szCs w:val="20"/>
              </w:rPr>
            </w:pPr>
            <w:r w:rsidRPr="001F224B">
              <w:rPr>
                <w:b/>
                <w:bCs/>
                <w:sz w:val="20"/>
                <w:szCs w:val="20"/>
              </w:rPr>
              <w:t>Tahsili Şüpheli Krediler</w:t>
            </w:r>
          </w:p>
        </w:tc>
        <w:tc>
          <w:tcPr>
            <w:tcW w:w="1607" w:type="dxa"/>
            <w:shd w:val="clear" w:color="auto" w:fill="FFFFFF"/>
            <w:vAlign w:val="bottom"/>
          </w:tcPr>
          <w:p w14:paraId="730C55F7" w14:textId="77777777" w:rsidR="00433353" w:rsidRPr="001F224B" w:rsidRDefault="00433353" w:rsidP="009732ED">
            <w:pPr>
              <w:jc w:val="center"/>
              <w:rPr>
                <w:b/>
                <w:bCs/>
                <w:sz w:val="20"/>
                <w:szCs w:val="20"/>
              </w:rPr>
            </w:pPr>
            <w:r w:rsidRPr="001F224B">
              <w:rPr>
                <w:b/>
                <w:bCs/>
                <w:sz w:val="20"/>
                <w:szCs w:val="20"/>
              </w:rPr>
              <w:t>Zarar Niteliğindeki Krediler</w:t>
            </w:r>
          </w:p>
        </w:tc>
      </w:tr>
      <w:tr w:rsidR="00433353" w:rsidRPr="001F224B" w14:paraId="354DCE50" w14:textId="77777777" w:rsidTr="009732ED">
        <w:trPr>
          <w:trHeight w:val="20"/>
        </w:trPr>
        <w:tc>
          <w:tcPr>
            <w:tcW w:w="4872" w:type="dxa"/>
            <w:shd w:val="clear" w:color="auto" w:fill="FFFFFF"/>
            <w:noWrap/>
            <w:vAlign w:val="bottom"/>
          </w:tcPr>
          <w:p w14:paraId="3ED6A944" w14:textId="746E5E10" w:rsidR="00433353" w:rsidRPr="001F224B" w:rsidRDefault="00433353" w:rsidP="009732ED">
            <w:pPr>
              <w:rPr>
                <w:sz w:val="20"/>
                <w:szCs w:val="20"/>
              </w:rPr>
            </w:pPr>
            <w:r w:rsidRPr="001F224B">
              <w:rPr>
                <w:b/>
                <w:sz w:val="20"/>
                <w:szCs w:val="20"/>
              </w:rPr>
              <w:t>Cari Dönem (3</w:t>
            </w:r>
            <w:r w:rsidR="00666981" w:rsidRPr="001F224B">
              <w:rPr>
                <w:b/>
                <w:sz w:val="20"/>
                <w:szCs w:val="20"/>
              </w:rPr>
              <w:t>0</w:t>
            </w:r>
            <w:r w:rsidRPr="001F224B">
              <w:rPr>
                <w:b/>
                <w:sz w:val="20"/>
                <w:szCs w:val="20"/>
              </w:rPr>
              <w:t>.0</w:t>
            </w:r>
            <w:r w:rsidR="00666981" w:rsidRPr="001F224B">
              <w:rPr>
                <w:b/>
                <w:sz w:val="20"/>
                <w:szCs w:val="20"/>
              </w:rPr>
              <w:t>6</w:t>
            </w:r>
            <w:r w:rsidRPr="001F224B">
              <w:rPr>
                <w:b/>
                <w:sz w:val="20"/>
                <w:szCs w:val="20"/>
              </w:rPr>
              <w:t>.2025</w:t>
            </w:r>
            <w:r w:rsidRPr="001F224B">
              <w:rPr>
                <w:sz w:val="20"/>
                <w:szCs w:val="20"/>
              </w:rPr>
              <w:t>)</w:t>
            </w:r>
          </w:p>
        </w:tc>
        <w:tc>
          <w:tcPr>
            <w:tcW w:w="1701" w:type="dxa"/>
            <w:shd w:val="clear" w:color="auto" w:fill="FFFFFF"/>
            <w:noWrap/>
            <w:vAlign w:val="bottom"/>
          </w:tcPr>
          <w:p w14:paraId="4C287A42" w14:textId="77777777" w:rsidR="00433353" w:rsidRPr="001F224B" w:rsidRDefault="00433353" w:rsidP="009732ED">
            <w:pPr>
              <w:jc w:val="right"/>
              <w:rPr>
                <w:sz w:val="20"/>
                <w:szCs w:val="20"/>
              </w:rPr>
            </w:pPr>
          </w:p>
        </w:tc>
        <w:tc>
          <w:tcPr>
            <w:tcW w:w="1559" w:type="dxa"/>
            <w:shd w:val="clear" w:color="auto" w:fill="FFFFFF"/>
            <w:noWrap/>
            <w:vAlign w:val="bottom"/>
          </w:tcPr>
          <w:p w14:paraId="47E706AD" w14:textId="77777777" w:rsidR="00433353" w:rsidRPr="001F224B" w:rsidRDefault="00433353" w:rsidP="009732ED">
            <w:pPr>
              <w:jc w:val="right"/>
              <w:rPr>
                <w:sz w:val="20"/>
                <w:szCs w:val="20"/>
              </w:rPr>
            </w:pPr>
          </w:p>
        </w:tc>
        <w:tc>
          <w:tcPr>
            <w:tcW w:w="1607" w:type="dxa"/>
            <w:shd w:val="clear" w:color="auto" w:fill="auto"/>
            <w:noWrap/>
            <w:vAlign w:val="bottom"/>
          </w:tcPr>
          <w:p w14:paraId="04F7E661" w14:textId="77777777" w:rsidR="00433353" w:rsidRPr="001F224B" w:rsidRDefault="00433353" w:rsidP="009732ED">
            <w:pPr>
              <w:jc w:val="right"/>
              <w:rPr>
                <w:sz w:val="20"/>
                <w:szCs w:val="20"/>
              </w:rPr>
            </w:pPr>
          </w:p>
        </w:tc>
      </w:tr>
      <w:tr w:rsidR="00A32080" w:rsidRPr="001F224B" w14:paraId="29CD9002" w14:textId="77777777" w:rsidTr="001105B1">
        <w:trPr>
          <w:trHeight w:val="20"/>
        </w:trPr>
        <w:tc>
          <w:tcPr>
            <w:tcW w:w="4872" w:type="dxa"/>
            <w:shd w:val="clear" w:color="auto" w:fill="FFFFFF"/>
            <w:noWrap/>
            <w:vAlign w:val="bottom"/>
          </w:tcPr>
          <w:p w14:paraId="04F099F3" w14:textId="77777777" w:rsidR="00A32080" w:rsidRPr="001F224B" w:rsidRDefault="00A32080" w:rsidP="00A32080">
            <w:pPr>
              <w:ind w:left="355"/>
              <w:rPr>
                <w:sz w:val="20"/>
                <w:szCs w:val="20"/>
              </w:rPr>
            </w:pPr>
            <w:r w:rsidRPr="001F224B">
              <w:rPr>
                <w:sz w:val="20"/>
                <w:szCs w:val="20"/>
              </w:rPr>
              <w:t xml:space="preserve">Faiz Tahakkuk ve Reeskontları ile Değerleme Farkları </w:t>
            </w:r>
          </w:p>
        </w:tc>
        <w:tc>
          <w:tcPr>
            <w:tcW w:w="1701" w:type="dxa"/>
            <w:shd w:val="clear" w:color="auto" w:fill="FFFFFF"/>
            <w:noWrap/>
            <w:vAlign w:val="bottom"/>
          </w:tcPr>
          <w:p w14:paraId="1D4EAC50" w14:textId="00EC0DFE" w:rsidR="00A32080" w:rsidRPr="001F224B" w:rsidRDefault="00A32080" w:rsidP="00A32080">
            <w:pPr>
              <w:jc w:val="right"/>
              <w:rPr>
                <w:sz w:val="20"/>
                <w:szCs w:val="20"/>
              </w:rPr>
            </w:pPr>
            <w:r w:rsidRPr="001F224B">
              <w:rPr>
                <w:sz w:val="20"/>
                <w:szCs w:val="20"/>
              </w:rPr>
              <w:t>34.085</w:t>
            </w:r>
          </w:p>
        </w:tc>
        <w:tc>
          <w:tcPr>
            <w:tcW w:w="1559" w:type="dxa"/>
            <w:shd w:val="clear" w:color="auto" w:fill="FFFFFF"/>
            <w:noWrap/>
            <w:vAlign w:val="bottom"/>
          </w:tcPr>
          <w:p w14:paraId="6E3532E8" w14:textId="34B8833D" w:rsidR="00A32080" w:rsidRPr="001F224B" w:rsidRDefault="00A32080" w:rsidP="00A32080">
            <w:pPr>
              <w:jc w:val="right"/>
              <w:rPr>
                <w:b/>
                <w:bCs/>
                <w:sz w:val="20"/>
                <w:szCs w:val="20"/>
              </w:rPr>
            </w:pPr>
            <w:r w:rsidRPr="001F224B">
              <w:rPr>
                <w:sz w:val="20"/>
                <w:szCs w:val="20"/>
              </w:rPr>
              <w:t>3.727</w:t>
            </w:r>
          </w:p>
        </w:tc>
        <w:tc>
          <w:tcPr>
            <w:tcW w:w="1607" w:type="dxa"/>
            <w:shd w:val="clear" w:color="auto" w:fill="auto"/>
            <w:noWrap/>
            <w:vAlign w:val="bottom"/>
          </w:tcPr>
          <w:p w14:paraId="09EED0D1" w14:textId="0EB0458F" w:rsidR="00A32080" w:rsidRPr="001F224B" w:rsidRDefault="00A32080" w:rsidP="00A32080">
            <w:pPr>
              <w:jc w:val="right"/>
              <w:rPr>
                <w:sz w:val="20"/>
                <w:szCs w:val="20"/>
              </w:rPr>
            </w:pPr>
            <w:r w:rsidRPr="001F224B">
              <w:rPr>
                <w:sz w:val="20"/>
                <w:szCs w:val="20"/>
              </w:rPr>
              <w:t>-</w:t>
            </w:r>
          </w:p>
        </w:tc>
      </w:tr>
      <w:tr w:rsidR="00A32080" w:rsidRPr="001F224B" w14:paraId="60A61818" w14:textId="77777777" w:rsidTr="009732ED">
        <w:trPr>
          <w:trHeight w:val="20"/>
        </w:trPr>
        <w:tc>
          <w:tcPr>
            <w:tcW w:w="4872" w:type="dxa"/>
            <w:shd w:val="clear" w:color="auto" w:fill="FFFFFF"/>
            <w:noWrap/>
            <w:vAlign w:val="bottom"/>
          </w:tcPr>
          <w:p w14:paraId="4E1A6B67" w14:textId="77777777" w:rsidR="00A32080" w:rsidRPr="001F224B" w:rsidRDefault="00A32080" w:rsidP="00A32080">
            <w:pPr>
              <w:ind w:left="355"/>
              <w:rPr>
                <w:sz w:val="20"/>
                <w:szCs w:val="20"/>
              </w:rPr>
            </w:pPr>
            <w:r w:rsidRPr="001F224B">
              <w:rPr>
                <w:sz w:val="20"/>
                <w:szCs w:val="20"/>
              </w:rPr>
              <w:t>Karşılık Tutarı (-)</w:t>
            </w:r>
          </w:p>
        </w:tc>
        <w:tc>
          <w:tcPr>
            <w:tcW w:w="1701" w:type="dxa"/>
            <w:shd w:val="clear" w:color="auto" w:fill="FFFFFF"/>
            <w:noWrap/>
            <w:vAlign w:val="bottom"/>
          </w:tcPr>
          <w:p w14:paraId="66971D9D" w14:textId="2BDD66FF" w:rsidR="00A32080" w:rsidRPr="001F224B" w:rsidRDefault="00A32080" w:rsidP="00A32080">
            <w:pPr>
              <w:jc w:val="right"/>
              <w:rPr>
                <w:sz w:val="20"/>
                <w:szCs w:val="20"/>
              </w:rPr>
            </w:pPr>
            <w:r w:rsidRPr="001F224B">
              <w:rPr>
                <w:sz w:val="20"/>
                <w:szCs w:val="20"/>
              </w:rPr>
              <w:t>(34.085)</w:t>
            </w:r>
          </w:p>
        </w:tc>
        <w:tc>
          <w:tcPr>
            <w:tcW w:w="1559" w:type="dxa"/>
            <w:shd w:val="clear" w:color="auto" w:fill="FFFFFF"/>
            <w:noWrap/>
            <w:vAlign w:val="bottom"/>
          </w:tcPr>
          <w:p w14:paraId="4E581003" w14:textId="1062BDAB" w:rsidR="00A32080" w:rsidRPr="001F224B" w:rsidRDefault="00A32080" w:rsidP="00A32080">
            <w:pPr>
              <w:jc w:val="right"/>
              <w:rPr>
                <w:b/>
                <w:bCs/>
                <w:sz w:val="20"/>
                <w:szCs w:val="20"/>
              </w:rPr>
            </w:pPr>
            <w:r w:rsidRPr="001F224B">
              <w:rPr>
                <w:sz w:val="20"/>
                <w:szCs w:val="20"/>
              </w:rPr>
              <w:t>(3.727)</w:t>
            </w:r>
          </w:p>
        </w:tc>
        <w:tc>
          <w:tcPr>
            <w:tcW w:w="1607" w:type="dxa"/>
            <w:shd w:val="clear" w:color="auto" w:fill="auto"/>
            <w:noWrap/>
            <w:vAlign w:val="bottom"/>
          </w:tcPr>
          <w:p w14:paraId="236B2639" w14:textId="6EC1C7A1" w:rsidR="00A32080" w:rsidRPr="001F224B" w:rsidRDefault="00A32080" w:rsidP="00A32080">
            <w:pPr>
              <w:jc w:val="right"/>
              <w:rPr>
                <w:sz w:val="20"/>
                <w:szCs w:val="20"/>
              </w:rPr>
            </w:pPr>
            <w:r w:rsidRPr="001F224B">
              <w:rPr>
                <w:sz w:val="20"/>
                <w:szCs w:val="20"/>
              </w:rPr>
              <w:t>-</w:t>
            </w:r>
          </w:p>
        </w:tc>
      </w:tr>
      <w:tr w:rsidR="00433353" w:rsidRPr="001F224B" w14:paraId="767D4EA3" w14:textId="77777777" w:rsidTr="009732ED">
        <w:trPr>
          <w:trHeight w:val="20"/>
        </w:trPr>
        <w:tc>
          <w:tcPr>
            <w:tcW w:w="4872" w:type="dxa"/>
            <w:shd w:val="clear" w:color="auto" w:fill="FFFFFF"/>
            <w:noWrap/>
            <w:vAlign w:val="bottom"/>
          </w:tcPr>
          <w:p w14:paraId="5EF7442F" w14:textId="77777777" w:rsidR="00433353" w:rsidRPr="001F224B" w:rsidRDefault="00433353" w:rsidP="009732ED">
            <w:pPr>
              <w:rPr>
                <w:sz w:val="20"/>
                <w:szCs w:val="20"/>
              </w:rPr>
            </w:pPr>
            <w:r w:rsidRPr="001F224B">
              <w:rPr>
                <w:b/>
                <w:sz w:val="20"/>
                <w:szCs w:val="20"/>
              </w:rPr>
              <w:t xml:space="preserve">Net Bakiyesi </w:t>
            </w:r>
          </w:p>
        </w:tc>
        <w:tc>
          <w:tcPr>
            <w:tcW w:w="1701" w:type="dxa"/>
            <w:shd w:val="clear" w:color="auto" w:fill="FFFFFF"/>
            <w:noWrap/>
            <w:vAlign w:val="bottom"/>
          </w:tcPr>
          <w:p w14:paraId="4EFF9564" w14:textId="77777777" w:rsidR="00433353" w:rsidRPr="001F224B" w:rsidRDefault="00433353" w:rsidP="009732ED">
            <w:pPr>
              <w:jc w:val="right"/>
              <w:rPr>
                <w:b/>
                <w:bCs/>
                <w:sz w:val="20"/>
                <w:szCs w:val="20"/>
              </w:rPr>
            </w:pPr>
            <w:r w:rsidRPr="001F224B">
              <w:rPr>
                <w:b/>
                <w:bCs/>
                <w:sz w:val="20"/>
                <w:szCs w:val="20"/>
              </w:rPr>
              <w:t>-</w:t>
            </w:r>
          </w:p>
        </w:tc>
        <w:tc>
          <w:tcPr>
            <w:tcW w:w="1559" w:type="dxa"/>
            <w:shd w:val="clear" w:color="auto" w:fill="FFFFFF"/>
            <w:noWrap/>
            <w:vAlign w:val="bottom"/>
          </w:tcPr>
          <w:p w14:paraId="3E1300C2" w14:textId="77777777" w:rsidR="00433353" w:rsidRPr="001F224B" w:rsidRDefault="00433353" w:rsidP="009732ED">
            <w:pPr>
              <w:jc w:val="right"/>
              <w:rPr>
                <w:b/>
                <w:bCs/>
                <w:sz w:val="20"/>
                <w:szCs w:val="20"/>
              </w:rPr>
            </w:pPr>
            <w:r w:rsidRPr="001F224B">
              <w:rPr>
                <w:b/>
                <w:bCs/>
                <w:sz w:val="20"/>
                <w:szCs w:val="20"/>
              </w:rPr>
              <w:t>-</w:t>
            </w:r>
          </w:p>
        </w:tc>
        <w:tc>
          <w:tcPr>
            <w:tcW w:w="1607" w:type="dxa"/>
            <w:shd w:val="clear" w:color="auto" w:fill="auto"/>
            <w:noWrap/>
            <w:vAlign w:val="bottom"/>
          </w:tcPr>
          <w:p w14:paraId="7A10EDBC" w14:textId="77777777" w:rsidR="00433353" w:rsidRPr="001F224B" w:rsidRDefault="00433353" w:rsidP="009732ED">
            <w:pPr>
              <w:jc w:val="right"/>
              <w:rPr>
                <w:b/>
                <w:bCs/>
                <w:sz w:val="20"/>
                <w:szCs w:val="20"/>
              </w:rPr>
            </w:pPr>
            <w:r w:rsidRPr="001F224B">
              <w:rPr>
                <w:b/>
                <w:bCs/>
                <w:sz w:val="20"/>
                <w:szCs w:val="20"/>
              </w:rPr>
              <w:t>-</w:t>
            </w:r>
          </w:p>
        </w:tc>
      </w:tr>
      <w:tr w:rsidR="00433353" w:rsidRPr="001F224B" w14:paraId="560856A9" w14:textId="77777777" w:rsidTr="009732ED">
        <w:trPr>
          <w:trHeight w:val="20"/>
        </w:trPr>
        <w:tc>
          <w:tcPr>
            <w:tcW w:w="4872" w:type="dxa"/>
            <w:shd w:val="clear" w:color="auto" w:fill="FFFFFF"/>
            <w:noWrap/>
            <w:vAlign w:val="bottom"/>
          </w:tcPr>
          <w:p w14:paraId="403EC178" w14:textId="77777777" w:rsidR="00433353" w:rsidRPr="001F224B" w:rsidRDefault="00433353" w:rsidP="009732ED">
            <w:pPr>
              <w:rPr>
                <w:sz w:val="20"/>
                <w:szCs w:val="20"/>
              </w:rPr>
            </w:pPr>
            <w:r w:rsidRPr="001F224B">
              <w:rPr>
                <w:b/>
                <w:sz w:val="20"/>
                <w:szCs w:val="20"/>
              </w:rPr>
              <w:t>Önceki Dönem (31.12.2024</w:t>
            </w:r>
            <w:r w:rsidRPr="001F224B">
              <w:rPr>
                <w:sz w:val="20"/>
                <w:szCs w:val="20"/>
              </w:rPr>
              <w:t>)</w:t>
            </w:r>
          </w:p>
        </w:tc>
        <w:tc>
          <w:tcPr>
            <w:tcW w:w="1701" w:type="dxa"/>
            <w:shd w:val="clear" w:color="auto" w:fill="FFFFFF"/>
            <w:noWrap/>
            <w:vAlign w:val="bottom"/>
          </w:tcPr>
          <w:p w14:paraId="4290F4FB" w14:textId="77777777" w:rsidR="00433353" w:rsidRPr="001F224B" w:rsidRDefault="00433353" w:rsidP="009732ED">
            <w:pPr>
              <w:jc w:val="right"/>
              <w:rPr>
                <w:sz w:val="20"/>
                <w:szCs w:val="20"/>
              </w:rPr>
            </w:pPr>
          </w:p>
        </w:tc>
        <w:tc>
          <w:tcPr>
            <w:tcW w:w="1559" w:type="dxa"/>
            <w:shd w:val="clear" w:color="auto" w:fill="FFFFFF"/>
            <w:noWrap/>
            <w:vAlign w:val="bottom"/>
          </w:tcPr>
          <w:p w14:paraId="4E131999" w14:textId="77777777" w:rsidR="00433353" w:rsidRPr="001F224B" w:rsidRDefault="00433353" w:rsidP="009732ED">
            <w:pPr>
              <w:jc w:val="right"/>
              <w:rPr>
                <w:b/>
                <w:bCs/>
                <w:sz w:val="20"/>
                <w:szCs w:val="20"/>
              </w:rPr>
            </w:pPr>
          </w:p>
        </w:tc>
        <w:tc>
          <w:tcPr>
            <w:tcW w:w="1607" w:type="dxa"/>
            <w:shd w:val="clear" w:color="auto" w:fill="auto"/>
            <w:noWrap/>
            <w:vAlign w:val="bottom"/>
          </w:tcPr>
          <w:p w14:paraId="4DC9E94F" w14:textId="77777777" w:rsidR="00433353" w:rsidRPr="001F224B" w:rsidRDefault="00433353" w:rsidP="009732ED">
            <w:pPr>
              <w:jc w:val="right"/>
              <w:rPr>
                <w:sz w:val="20"/>
                <w:szCs w:val="20"/>
              </w:rPr>
            </w:pPr>
          </w:p>
        </w:tc>
      </w:tr>
      <w:tr w:rsidR="00433353" w:rsidRPr="001F224B" w14:paraId="0DAE695D" w14:textId="77777777" w:rsidTr="009732ED">
        <w:trPr>
          <w:trHeight w:val="20"/>
        </w:trPr>
        <w:tc>
          <w:tcPr>
            <w:tcW w:w="4872" w:type="dxa"/>
            <w:shd w:val="clear" w:color="auto" w:fill="FFFFFF"/>
            <w:noWrap/>
            <w:vAlign w:val="bottom"/>
          </w:tcPr>
          <w:p w14:paraId="18F17EDE" w14:textId="77777777" w:rsidR="00433353" w:rsidRPr="001F224B" w:rsidRDefault="00433353" w:rsidP="009732ED">
            <w:pPr>
              <w:ind w:left="355"/>
              <w:rPr>
                <w:sz w:val="20"/>
                <w:szCs w:val="20"/>
              </w:rPr>
            </w:pPr>
            <w:r w:rsidRPr="001F224B">
              <w:rPr>
                <w:sz w:val="20"/>
                <w:szCs w:val="20"/>
              </w:rPr>
              <w:t xml:space="preserve">Faiz Tahakkuk ve Reeskontları ile Değerleme Farkları </w:t>
            </w:r>
          </w:p>
        </w:tc>
        <w:tc>
          <w:tcPr>
            <w:tcW w:w="1701" w:type="dxa"/>
            <w:shd w:val="clear" w:color="auto" w:fill="FFFFFF"/>
            <w:noWrap/>
          </w:tcPr>
          <w:p w14:paraId="039CCC97" w14:textId="77777777" w:rsidR="00433353" w:rsidRPr="001F224B" w:rsidRDefault="00433353" w:rsidP="009732ED">
            <w:pPr>
              <w:jc w:val="right"/>
              <w:rPr>
                <w:sz w:val="20"/>
                <w:szCs w:val="20"/>
              </w:rPr>
            </w:pPr>
            <w:r w:rsidRPr="001F224B">
              <w:rPr>
                <w:sz w:val="20"/>
                <w:szCs w:val="20"/>
              </w:rPr>
              <w:t>124.673</w:t>
            </w:r>
          </w:p>
        </w:tc>
        <w:tc>
          <w:tcPr>
            <w:tcW w:w="1559" w:type="dxa"/>
            <w:shd w:val="clear" w:color="auto" w:fill="FFFFFF"/>
            <w:noWrap/>
            <w:vAlign w:val="bottom"/>
          </w:tcPr>
          <w:p w14:paraId="31616A57" w14:textId="77777777" w:rsidR="00433353" w:rsidRPr="001F224B" w:rsidRDefault="00433353" w:rsidP="009732ED">
            <w:pPr>
              <w:jc w:val="right"/>
              <w:rPr>
                <w:b/>
                <w:bCs/>
                <w:sz w:val="20"/>
                <w:szCs w:val="20"/>
              </w:rPr>
            </w:pPr>
            <w:r w:rsidRPr="001F224B">
              <w:rPr>
                <w:sz w:val="20"/>
                <w:szCs w:val="20"/>
              </w:rPr>
              <w:t>13.884</w:t>
            </w:r>
          </w:p>
        </w:tc>
        <w:tc>
          <w:tcPr>
            <w:tcW w:w="1607" w:type="dxa"/>
            <w:shd w:val="clear" w:color="auto" w:fill="auto"/>
            <w:noWrap/>
            <w:vAlign w:val="bottom"/>
          </w:tcPr>
          <w:p w14:paraId="013948E7" w14:textId="77777777" w:rsidR="00433353" w:rsidRPr="001F224B" w:rsidRDefault="00433353" w:rsidP="009732ED">
            <w:pPr>
              <w:jc w:val="right"/>
              <w:rPr>
                <w:sz w:val="20"/>
                <w:szCs w:val="20"/>
              </w:rPr>
            </w:pPr>
            <w:r w:rsidRPr="001F224B">
              <w:rPr>
                <w:sz w:val="20"/>
                <w:szCs w:val="20"/>
              </w:rPr>
              <w:t>23</w:t>
            </w:r>
          </w:p>
        </w:tc>
      </w:tr>
      <w:tr w:rsidR="00433353" w:rsidRPr="001F224B" w14:paraId="2ADE4BA4" w14:textId="77777777" w:rsidTr="009732ED">
        <w:trPr>
          <w:trHeight w:val="20"/>
        </w:trPr>
        <w:tc>
          <w:tcPr>
            <w:tcW w:w="4872" w:type="dxa"/>
            <w:shd w:val="clear" w:color="auto" w:fill="FFFFFF"/>
            <w:noWrap/>
            <w:vAlign w:val="bottom"/>
          </w:tcPr>
          <w:p w14:paraId="770CC50A" w14:textId="77777777" w:rsidR="00433353" w:rsidRPr="001F224B" w:rsidRDefault="00433353" w:rsidP="009732ED">
            <w:pPr>
              <w:ind w:left="355"/>
              <w:rPr>
                <w:sz w:val="20"/>
                <w:szCs w:val="20"/>
              </w:rPr>
            </w:pPr>
            <w:r w:rsidRPr="001F224B">
              <w:rPr>
                <w:sz w:val="20"/>
                <w:szCs w:val="20"/>
              </w:rPr>
              <w:t>Karşılık Tutarı (-)</w:t>
            </w:r>
          </w:p>
        </w:tc>
        <w:tc>
          <w:tcPr>
            <w:tcW w:w="1701" w:type="dxa"/>
            <w:shd w:val="clear" w:color="auto" w:fill="FFFFFF"/>
            <w:noWrap/>
            <w:vAlign w:val="bottom"/>
          </w:tcPr>
          <w:p w14:paraId="3FEFF513" w14:textId="77777777" w:rsidR="00433353" w:rsidRPr="001F224B" w:rsidRDefault="00433353" w:rsidP="009732ED">
            <w:pPr>
              <w:jc w:val="right"/>
              <w:rPr>
                <w:sz w:val="20"/>
                <w:szCs w:val="20"/>
              </w:rPr>
            </w:pPr>
            <w:r w:rsidRPr="001F224B">
              <w:rPr>
                <w:sz w:val="20"/>
                <w:szCs w:val="20"/>
              </w:rPr>
              <w:t>(124.673)</w:t>
            </w:r>
          </w:p>
        </w:tc>
        <w:tc>
          <w:tcPr>
            <w:tcW w:w="1559" w:type="dxa"/>
            <w:shd w:val="clear" w:color="auto" w:fill="FFFFFF"/>
            <w:noWrap/>
            <w:vAlign w:val="bottom"/>
          </w:tcPr>
          <w:p w14:paraId="7399B370" w14:textId="77777777" w:rsidR="00433353" w:rsidRPr="001F224B" w:rsidRDefault="00433353" w:rsidP="009732ED">
            <w:pPr>
              <w:jc w:val="right"/>
              <w:rPr>
                <w:b/>
                <w:bCs/>
                <w:sz w:val="20"/>
                <w:szCs w:val="20"/>
              </w:rPr>
            </w:pPr>
            <w:r w:rsidRPr="001F224B">
              <w:rPr>
                <w:sz w:val="20"/>
                <w:szCs w:val="20"/>
              </w:rPr>
              <w:t>(13.884)</w:t>
            </w:r>
          </w:p>
        </w:tc>
        <w:tc>
          <w:tcPr>
            <w:tcW w:w="1607" w:type="dxa"/>
            <w:shd w:val="clear" w:color="auto" w:fill="auto"/>
            <w:noWrap/>
            <w:vAlign w:val="bottom"/>
          </w:tcPr>
          <w:p w14:paraId="6A85D236" w14:textId="77777777" w:rsidR="00433353" w:rsidRPr="001F224B" w:rsidRDefault="00433353" w:rsidP="009732ED">
            <w:pPr>
              <w:jc w:val="right"/>
              <w:rPr>
                <w:sz w:val="20"/>
                <w:szCs w:val="20"/>
              </w:rPr>
            </w:pPr>
            <w:r w:rsidRPr="001F224B">
              <w:rPr>
                <w:sz w:val="20"/>
                <w:szCs w:val="20"/>
              </w:rPr>
              <w:t>(23)</w:t>
            </w:r>
          </w:p>
        </w:tc>
      </w:tr>
      <w:tr w:rsidR="00433353" w:rsidRPr="001F224B" w14:paraId="7591601C" w14:textId="77777777" w:rsidTr="009732ED">
        <w:trPr>
          <w:trHeight w:val="20"/>
        </w:trPr>
        <w:tc>
          <w:tcPr>
            <w:tcW w:w="4872" w:type="dxa"/>
            <w:shd w:val="clear" w:color="auto" w:fill="FFFFFF"/>
            <w:noWrap/>
            <w:vAlign w:val="bottom"/>
          </w:tcPr>
          <w:p w14:paraId="2D08AD3E" w14:textId="77777777" w:rsidR="00433353" w:rsidRPr="001F224B" w:rsidRDefault="00433353" w:rsidP="009732ED">
            <w:pPr>
              <w:rPr>
                <w:b/>
                <w:sz w:val="20"/>
                <w:szCs w:val="20"/>
              </w:rPr>
            </w:pPr>
            <w:r w:rsidRPr="001F224B">
              <w:rPr>
                <w:b/>
                <w:sz w:val="20"/>
                <w:szCs w:val="20"/>
              </w:rPr>
              <w:t xml:space="preserve"> Net Bakiyesi </w:t>
            </w:r>
          </w:p>
        </w:tc>
        <w:tc>
          <w:tcPr>
            <w:tcW w:w="1701" w:type="dxa"/>
            <w:shd w:val="clear" w:color="auto" w:fill="FFFFFF"/>
            <w:noWrap/>
            <w:vAlign w:val="bottom"/>
          </w:tcPr>
          <w:p w14:paraId="40EAF51F" w14:textId="77777777" w:rsidR="00433353" w:rsidRPr="001F224B" w:rsidRDefault="00433353" w:rsidP="009732ED">
            <w:pPr>
              <w:jc w:val="right"/>
              <w:rPr>
                <w:b/>
                <w:sz w:val="20"/>
                <w:szCs w:val="20"/>
              </w:rPr>
            </w:pPr>
            <w:r w:rsidRPr="001F224B">
              <w:rPr>
                <w:b/>
                <w:sz w:val="20"/>
                <w:szCs w:val="20"/>
              </w:rPr>
              <w:t>-</w:t>
            </w:r>
          </w:p>
        </w:tc>
        <w:tc>
          <w:tcPr>
            <w:tcW w:w="1559" w:type="dxa"/>
            <w:shd w:val="clear" w:color="auto" w:fill="FFFFFF"/>
            <w:noWrap/>
          </w:tcPr>
          <w:p w14:paraId="10CA78B0" w14:textId="77777777" w:rsidR="00433353" w:rsidRPr="001F224B" w:rsidRDefault="00433353" w:rsidP="009732ED">
            <w:pPr>
              <w:jc w:val="right"/>
              <w:rPr>
                <w:b/>
                <w:bCs/>
                <w:sz w:val="20"/>
                <w:szCs w:val="20"/>
              </w:rPr>
            </w:pPr>
            <w:r w:rsidRPr="001F224B">
              <w:rPr>
                <w:b/>
                <w:bCs/>
                <w:sz w:val="20"/>
                <w:szCs w:val="20"/>
              </w:rPr>
              <w:t>-</w:t>
            </w:r>
          </w:p>
        </w:tc>
        <w:tc>
          <w:tcPr>
            <w:tcW w:w="1607" w:type="dxa"/>
            <w:shd w:val="clear" w:color="auto" w:fill="FFFFFF"/>
            <w:noWrap/>
            <w:vAlign w:val="bottom"/>
          </w:tcPr>
          <w:p w14:paraId="4284A3EC" w14:textId="77777777" w:rsidR="00433353" w:rsidRPr="001F224B" w:rsidRDefault="00433353" w:rsidP="009732ED">
            <w:pPr>
              <w:jc w:val="right"/>
              <w:rPr>
                <w:b/>
                <w:sz w:val="20"/>
                <w:szCs w:val="20"/>
              </w:rPr>
            </w:pPr>
            <w:r w:rsidRPr="001F224B">
              <w:rPr>
                <w:b/>
                <w:sz w:val="20"/>
                <w:szCs w:val="20"/>
              </w:rPr>
              <w:t>-</w:t>
            </w:r>
          </w:p>
        </w:tc>
      </w:tr>
    </w:tbl>
    <w:p w14:paraId="198BA9F0" w14:textId="77777777" w:rsidR="00413FBE" w:rsidRPr="001F224B" w:rsidRDefault="00413FBE" w:rsidP="00112412">
      <w:pPr>
        <w:tabs>
          <w:tab w:val="left" w:pos="567"/>
        </w:tabs>
        <w:jc w:val="both"/>
        <w:rPr>
          <w:b/>
          <w:bCs/>
          <w:sz w:val="22"/>
          <w:szCs w:val="22"/>
        </w:rPr>
      </w:pPr>
    </w:p>
    <w:p w14:paraId="0E98F4A5" w14:textId="13ED8172" w:rsidR="00112412" w:rsidRPr="001F224B" w:rsidRDefault="00112412" w:rsidP="00112412">
      <w:pPr>
        <w:tabs>
          <w:tab w:val="left" w:pos="567"/>
        </w:tabs>
        <w:jc w:val="both"/>
        <w:rPr>
          <w:b/>
          <w:bCs/>
          <w:sz w:val="22"/>
          <w:szCs w:val="22"/>
        </w:rPr>
      </w:pPr>
      <w:r w:rsidRPr="001F224B">
        <w:rPr>
          <w:b/>
          <w:bCs/>
          <w:sz w:val="22"/>
          <w:szCs w:val="22"/>
        </w:rPr>
        <w:t>2.1.</w:t>
      </w:r>
      <w:r w:rsidR="00F679B0" w:rsidRPr="001F224B">
        <w:rPr>
          <w:b/>
          <w:bCs/>
          <w:sz w:val="22"/>
          <w:szCs w:val="22"/>
        </w:rPr>
        <w:t>g</w:t>
      </w:r>
      <w:r w:rsidRPr="001F224B">
        <w:rPr>
          <w:b/>
          <w:bCs/>
          <w:sz w:val="22"/>
          <w:szCs w:val="22"/>
        </w:rPr>
        <w:t>.4)</w:t>
      </w:r>
      <w:r w:rsidRPr="001F224B">
        <w:rPr>
          <w:b/>
          <w:bCs/>
          <w:sz w:val="22"/>
          <w:szCs w:val="22"/>
        </w:rPr>
        <w:tab/>
        <w:t>Yabancı para olarak kullandırılan kredilerden kaynaklanan donuk alacaklara ilişkin bilgiler:</w:t>
      </w:r>
    </w:p>
    <w:p w14:paraId="1CEE0894" w14:textId="77777777" w:rsidR="00112412" w:rsidRPr="001F224B" w:rsidRDefault="00112412" w:rsidP="00112412">
      <w:pPr>
        <w:pStyle w:val="ListParagraph"/>
        <w:spacing w:before="120" w:after="120"/>
        <w:ind w:left="0" w:firstLine="709"/>
        <w:rPr>
          <w:sz w:val="22"/>
          <w:szCs w:val="22"/>
        </w:rPr>
      </w:pPr>
      <w:r w:rsidRPr="001F224B">
        <w:rPr>
          <w:sz w:val="22"/>
          <w:szCs w:val="22"/>
        </w:rPr>
        <w:t>Bulunmamaktadır.</w:t>
      </w:r>
    </w:p>
    <w:p w14:paraId="3235592E" w14:textId="5B88013B" w:rsidR="00267DF1" w:rsidRPr="001F224B" w:rsidRDefault="005C0CBC" w:rsidP="00264928">
      <w:pPr>
        <w:tabs>
          <w:tab w:val="left" w:pos="567"/>
        </w:tabs>
        <w:spacing w:before="120" w:after="120"/>
        <w:jc w:val="both"/>
        <w:rPr>
          <w:b/>
          <w:bCs/>
          <w:sz w:val="22"/>
          <w:szCs w:val="22"/>
        </w:rPr>
      </w:pPr>
      <w:r w:rsidRPr="001F224B">
        <w:rPr>
          <w:b/>
          <w:bCs/>
          <w:sz w:val="22"/>
          <w:szCs w:val="22"/>
        </w:rPr>
        <w:t>2</w:t>
      </w:r>
      <w:r w:rsidR="001314E3" w:rsidRPr="001F224B">
        <w:rPr>
          <w:b/>
          <w:bCs/>
          <w:sz w:val="22"/>
          <w:szCs w:val="22"/>
        </w:rPr>
        <w:t>.</w:t>
      </w:r>
      <w:r w:rsidRPr="001F224B">
        <w:rPr>
          <w:b/>
          <w:bCs/>
          <w:sz w:val="22"/>
          <w:szCs w:val="22"/>
        </w:rPr>
        <w:t>1.</w:t>
      </w:r>
      <w:r w:rsidR="00F679B0" w:rsidRPr="001F224B">
        <w:rPr>
          <w:b/>
          <w:bCs/>
          <w:sz w:val="22"/>
          <w:szCs w:val="22"/>
        </w:rPr>
        <w:t>g</w:t>
      </w:r>
      <w:r w:rsidR="007B36F6" w:rsidRPr="001F224B">
        <w:rPr>
          <w:b/>
          <w:bCs/>
          <w:sz w:val="22"/>
          <w:szCs w:val="22"/>
        </w:rPr>
        <w:t>.</w:t>
      </w:r>
      <w:r w:rsidR="00207C61" w:rsidRPr="001F224B">
        <w:rPr>
          <w:b/>
          <w:bCs/>
          <w:sz w:val="22"/>
          <w:szCs w:val="22"/>
        </w:rPr>
        <w:t>5</w:t>
      </w:r>
      <w:r w:rsidR="008009B8" w:rsidRPr="001F224B">
        <w:rPr>
          <w:b/>
          <w:bCs/>
          <w:sz w:val="22"/>
          <w:szCs w:val="22"/>
        </w:rPr>
        <w:t>)</w:t>
      </w:r>
      <w:r w:rsidR="008009B8" w:rsidRPr="001F224B">
        <w:rPr>
          <w:b/>
          <w:bCs/>
          <w:sz w:val="22"/>
          <w:szCs w:val="22"/>
        </w:rPr>
        <w:tab/>
      </w:r>
      <w:r w:rsidR="00267DF1" w:rsidRPr="001F224B">
        <w:rPr>
          <w:b/>
          <w:bCs/>
          <w:sz w:val="22"/>
          <w:szCs w:val="22"/>
        </w:rPr>
        <w:t xml:space="preserve">Donuk alacakların kullanıcı gruplarına göre brüt ve net tutarlarının gösterimi: </w:t>
      </w:r>
    </w:p>
    <w:tbl>
      <w:tblPr>
        <w:tblW w:w="9739" w:type="dxa"/>
        <w:tblInd w:w="37" w:type="dxa"/>
        <w:tblCellMar>
          <w:left w:w="70" w:type="dxa"/>
          <w:right w:w="70" w:type="dxa"/>
        </w:tblCellMar>
        <w:tblLook w:val="0000" w:firstRow="0" w:lastRow="0" w:firstColumn="0" w:lastColumn="0" w:noHBand="0" w:noVBand="0"/>
      </w:tblPr>
      <w:tblGrid>
        <w:gridCol w:w="4494"/>
        <w:gridCol w:w="1701"/>
        <w:gridCol w:w="1843"/>
        <w:gridCol w:w="1701"/>
      </w:tblGrid>
      <w:tr w:rsidR="007A4309" w:rsidRPr="001F224B" w14:paraId="23FCFFD0" w14:textId="77777777" w:rsidTr="00AE60E1">
        <w:trPr>
          <w:trHeight w:val="20"/>
        </w:trPr>
        <w:tc>
          <w:tcPr>
            <w:tcW w:w="4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3AB138D" w14:textId="77777777" w:rsidR="00267DF1" w:rsidRPr="001F224B" w:rsidRDefault="00267DF1" w:rsidP="001B56B8">
            <w:pPr>
              <w:rPr>
                <w:sz w:val="19"/>
                <w:szCs w:val="19"/>
              </w:rPr>
            </w:pPr>
            <w:r w:rsidRPr="001F224B">
              <w:rPr>
                <w:sz w:val="19"/>
                <w:szCs w:val="19"/>
              </w:rPr>
              <w:t> </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1519D9E6" w14:textId="77777777" w:rsidR="00267DF1" w:rsidRPr="001F224B" w:rsidRDefault="00267DF1" w:rsidP="001B56B8">
            <w:pPr>
              <w:jc w:val="center"/>
              <w:rPr>
                <w:b/>
                <w:bCs/>
                <w:sz w:val="19"/>
                <w:szCs w:val="19"/>
              </w:rPr>
            </w:pPr>
            <w:r w:rsidRPr="001F224B">
              <w:rPr>
                <w:b/>
                <w:bCs/>
                <w:sz w:val="19"/>
                <w:szCs w:val="19"/>
              </w:rPr>
              <w:t>III. Grup</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BC8FF95" w14:textId="77777777" w:rsidR="00267DF1" w:rsidRPr="001F224B" w:rsidRDefault="00267DF1" w:rsidP="001B56B8">
            <w:pPr>
              <w:jc w:val="center"/>
              <w:rPr>
                <w:b/>
                <w:bCs/>
                <w:sz w:val="19"/>
                <w:szCs w:val="19"/>
              </w:rPr>
            </w:pPr>
            <w:r w:rsidRPr="001F224B">
              <w:rPr>
                <w:b/>
                <w:bCs/>
                <w:sz w:val="19"/>
                <w:szCs w:val="19"/>
              </w:rPr>
              <w:t>IV. Grup</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0901C55C" w14:textId="77777777" w:rsidR="00267DF1" w:rsidRPr="001F224B" w:rsidRDefault="00267DF1" w:rsidP="001B56B8">
            <w:pPr>
              <w:jc w:val="center"/>
              <w:rPr>
                <w:b/>
                <w:bCs/>
                <w:sz w:val="19"/>
                <w:szCs w:val="19"/>
              </w:rPr>
            </w:pPr>
            <w:r w:rsidRPr="001F224B">
              <w:rPr>
                <w:b/>
                <w:bCs/>
                <w:sz w:val="19"/>
                <w:szCs w:val="19"/>
              </w:rPr>
              <w:t>V. Grup</w:t>
            </w:r>
          </w:p>
        </w:tc>
      </w:tr>
      <w:tr w:rsidR="007A4309" w:rsidRPr="001F224B" w14:paraId="32119886"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bottom"/>
          </w:tcPr>
          <w:p w14:paraId="3BEE9A8A" w14:textId="77777777" w:rsidR="00267DF1" w:rsidRPr="001F224B" w:rsidRDefault="00267DF1" w:rsidP="001B56B8">
            <w:pPr>
              <w:rPr>
                <w:sz w:val="19"/>
                <w:szCs w:val="19"/>
              </w:rPr>
            </w:pPr>
            <w:r w:rsidRPr="001F224B">
              <w:rPr>
                <w:sz w:val="19"/>
                <w:szCs w:val="19"/>
              </w:rPr>
              <w:t> </w:t>
            </w:r>
          </w:p>
        </w:tc>
        <w:tc>
          <w:tcPr>
            <w:tcW w:w="1701" w:type="dxa"/>
            <w:tcBorders>
              <w:top w:val="nil"/>
              <w:left w:val="nil"/>
              <w:bottom w:val="single" w:sz="4" w:space="0" w:color="auto"/>
              <w:right w:val="single" w:sz="4" w:space="0" w:color="auto"/>
            </w:tcBorders>
            <w:shd w:val="clear" w:color="auto" w:fill="FFFFFF"/>
            <w:vAlign w:val="bottom"/>
          </w:tcPr>
          <w:p w14:paraId="4BAB8104" w14:textId="77777777" w:rsidR="00267DF1" w:rsidRPr="001F224B" w:rsidRDefault="00267DF1" w:rsidP="008A3165">
            <w:pPr>
              <w:jc w:val="center"/>
              <w:rPr>
                <w:b/>
                <w:bCs/>
                <w:sz w:val="19"/>
                <w:szCs w:val="19"/>
              </w:rPr>
            </w:pPr>
            <w:r w:rsidRPr="001F224B">
              <w:rPr>
                <w:b/>
                <w:bCs/>
                <w:sz w:val="19"/>
                <w:szCs w:val="19"/>
              </w:rPr>
              <w:t xml:space="preserve">Tahsil İmkanı Sınırlı Krediler </w:t>
            </w:r>
          </w:p>
        </w:tc>
        <w:tc>
          <w:tcPr>
            <w:tcW w:w="1843" w:type="dxa"/>
            <w:tcBorders>
              <w:top w:val="nil"/>
              <w:left w:val="nil"/>
              <w:bottom w:val="single" w:sz="4" w:space="0" w:color="auto"/>
              <w:right w:val="single" w:sz="4" w:space="0" w:color="auto"/>
            </w:tcBorders>
            <w:shd w:val="clear" w:color="auto" w:fill="FFFFFF"/>
            <w:vAlign w:val="bottom"/>
          </w:tcPr>
          <w:p w14:paraId="0D814AFA" w14:textId="77777777" w:rsidR="00267DF1" w:rsidRPr="001F224B" w:rsidRDefault="00267DF1" w:rsidP="008A3165">
            <w:pPr>
              <w:jc w:val="center"/>
              <w:rPr>
                <w:b/>
                <w:bCs/>
                <w:sz w:val="19"/>
                <w:szCs w:val="19"/>
              </w:rPr>
            </w:pPr>
            <w:r w:rsidRPr="001F224B">
              <w:rPr>
                <w:b/>
                <w:bCs/>
                <w:sz w:val="19"/>
                <w:szCs w:val="19"/>
              </w:rPr>
              <w:t xml:space="preserve">Tahsili Şüpheli Krediler </w:t>
            </w:r>
          </w:p>
        </w:tc>
        <w:tc>
          <w:tcPr>
            <w:tcW w:w="1701" w:type="dxa"/>
            <w:tcBorders>
              <w:top w:val="nil"/>
              <w:left w:val="nil"/>
              <w:bottom w:val="single" w:sz="4" w:space="0" w:color="auto"/>
              <w:right w:val="single" w:sz="4" w:space="0" w:color="auto"/>
            </w:tcBorders>
            <w:shd w:val="clear" w:color="auto" w:fill="FFFFFF"/>
            <w:vAlign w:val="bottom"/>
          </w:tcPr>
          <w:p w14:paraId="3426081A" w14:textId="77777777" w:rsidR="00267DF1" w:rsidRPr="001F224B" w:rsidRDefault="00267DF1" w:rsidP="008A3165">
            <w:pPr>
              <w:jc w:val="center"/>
              <w:rPr>
                <w:b/>
                <w:bCs/>
                <w:sz w:val="19"/>
                <w:szCs w:val="19"/>
              </w:rPr>
            </w:pPr>
            <w:r w:rsidRPr="001F224B">
              <w:rPr>
                <w:b/>
                <w:bCs/>
                <w:sz w:val="19"/>
                <w:szCs w:val="19"/>
              </w:rPr>
              <w:t xml:space="preserve">Zarar Niteliğindeki Krediler </w:t>
            </w:r>
          </w:p>
        </w:tc>
      </w:tr>
      <w:tr w:rsidR="00A32080" w:rsidRPr="001F224B" w14:paraId="3479F305"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1526AB" w14:textId="20507B59" w:rsidR="00A32080" w:rsidRPr="001F224B" w:rsidRDefault="00A32080" w:rsidP="00A32080">
            <w:pPr>
              <w:rPr>
                <w:b/>
                <w:bCs/>
                <w:sz w:val="19"/>
                <w:szCs w:val="19"/>
              </w:rPr>
            </w:pPr>
            <w:r w:rsidRPr="001F224B">
              <w:rPr>
                <w:b/>
                <w:bCs/>
                <w:sz w:val="19"/>
                <w:szCs w:val="19"/>
              </w:rPr>
              <w:t xml:space="preserve">Cari Dönem (Net) </w:t>
            </w:r>
            <w:r w:rsidRPr="001F224B">
              <w:rPr>
                <w:b/>
                <w:bCs/>
                <w:sz w:val="20"/>
                <w:szCs w:val="20"/>
              </w:rPr>
              <w:t>(30.06.2025)</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E794DBC" w14:textId="7FA5BBD7" w:rsidR="00A32080" w:rsidRPr="001F224B" w:rsidRDefault="00A32080" w:rsidP="00A32080">
            <w:pPr>
              <w:jc w:val="right"/>
              <w:rPr>
                <w:b/>
                <w:sz w:val="20"/>
                <w:szCs w:val="20"/>
              </w:rPr>
            </w:pPr>
            <w:r w:rsidRPr="001F224B">
              <w:rPr>
                <w:b/>
                <w:bCs/>
                <w:sz w:val="20"/>
                <w:szCs w:val="20"/>
              </w:rPr>
              <w:t>115.438</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EA7D014" w14:textId="4A3B7110" w:rsidR="00A32080" w:rsidRPr="001F224B" w:rsidRDefault="00A32080" w:rsidP="00A32080">
            <w:pPr>
              <w:jc w:val="right"/>
              <w:rPr>
                <w:b/>
                <w:sz w:val="20"/>
                <w:szCs w:val="20"/>
              </w:rPr>
            </w:pPr>
            <w:r w:rsidRPr="001F224B">
              <w:rPr>
                <w:b/>
                <w:bCs/>
                <w:sz w:val="20"/>
                <w:szCs w:val="20"/>
              </w:rPr>
              <w:t>11.993</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6E6849A" w14:textId="2EEB7FC7" w:rsidR="00A32080" w:rsidRPr="001F224B" w:rsidRDefault="00A32080" w:rsidP="00A32080">
            <w:pPr>
              <w:jc w:val="right"/>
              <w:rPr>
                <w:b/>
                <w:sz w:val="20"/>
                <w:szCs w:val="20"/>
              </w:rPr>
            </w:pPr>
            <w:r w:rsidRPr="001F224B">
              <w:rPr>
                <w:b/>
                <w:bCs/>
                <w:sz w:val="20"/>
                <w:szCs w:val="20"/>
              </w:rPr>
              <w:t>-</w:t>
            </w:r>
          </w:p>
        </w:tc>
      </w:tr>
      <w:tr w:rsidR="00A32080" w:rsidRPr="001F224B" w14:paraId="7F85744E"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56CCFF2" w14:textId="77777777" w:rsidR="00A32080" w:rsidRPr="001F224B" w:rsidRDefault="00A32080" w:rsidP="00A32080">
            <w:pPr>
              <w:rPr>
                <w:sz w:val="19"/>
                <w:szCs w:val="19"/>
              </w:rPr>
            </w:pPr>
            <w:r w:rsidRPr="001F224B">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A725B8A" w14:textId="433D031A" w:rsidR="00A32080" w:rsidRPr="001F224B" w:rsidRDefault="00A32080" w:rsidP="00A32080">
            <w:pPr>
              <w:jc w:val="right"/>
              <w:rPr>
                <w:sz w:val="20"/>
                <w:szCs w:val="20"/>
              </w:rPr>
            </w:pPr>
            <w:r w:rsidRPr="001F224B">
              <w:rPr>
                <w:sz w:val="20"/>
                <w:szCs w:val="20"/>
              </w:rPr>
              <w:t>547.642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02EBB2A" w14:textId="7FDC1DBB" w:rsidR="00A32080" w:rsidRPr="001F224B" w:rsidRDefault="00A32080" w:rsidP="00A32080">
            <w:pPr>
              <w:jc w:val="right"/>
              <w:rPr>
                <w:sz w:val="20"/>
                <w:szCs w:val="20"/>
              </w:rPr>
            </w:pPr>
            <w:r w:rsidRPr="001F224B">
              <w:rPr>
                <w:sz w:val="20"/>
                <w:szCs w:val="20"/>
              </w:rPr>
              <w:t>31.120</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BCF01D0" w14:textId="17CB66E2" w:rsidR="00A32080" w:rsidRPr="001F224B" w:rsidRDefault="00A32080" w:rsidP="00A32080">
            <w:pPr>
              <w:jc w:val="right"/>
              <w:rPr>
                <w:sz w:val="20"/>
                <w:szCs w:val="20"/>
              </w:rPr>
            </w:pPr>
            <w:r w:rsidRPr="001F224B">
              <w:rPr>
                <w:sz w:val="20"/>
                <w:szCs w:val="20"/>
              </w:rPr>
              <w:t>33.533</w:t>
            </w:r>
          </w:p>
        </w:tc>
      </w:tr>
      <w:tr w:rsidR="00A32080" w:rsidRPr="001F224B" w14:paraId="112427F2"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CBDC55" w14:textId="77777777" w:rsidR="00A32080" w:rsidRPr="001F224B" w:rsidRDefault="00A32080" w:rsidP="00A32080">
            <w:pPr>
              <w:ind w:firstLineChars="200" w:firstLine="380"/>
              <w:rPr>
                <w:sz w:val="19"/>
                <w:szCs w:val="19"/>
              </w:rPr>
            </w:pPr>
            <w:r w:rsidRPr="001F224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0D0766E" w14:textId="56F0E9CF" w:rsidR="00A32080" w:rsidRPr="001F224B" w:rsidRDefault="00A32080" w:rsidP="00A32080">
            <w:pPr>
              <w:jc w:val="right"/>
              <w:rPr>
                <w:sz w:val="20"/>
                <w:szCs w:val="20"/>
              </w:rPr>
            </w:pPr>
            <w:r w:rsidRPr="001F224B">
              <w:rPr>
                <w:sz w:val="20"/>
                <w:szCs w:val="20"/>
              </w:rPr>
              <w:t>(432.204)</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85C33B9" w14:textId="73EAFDCD" w:rsidR="00A32080" w:rsidRPr="001F224B" w:rsidRDefault="00A32080" w:rsidP="00A32080">
            <w:pPr>
              <w:jc w:val="right"/>
              <w:rPr>
                <w:sz w:val="20"/>
                <w:szCs w:val="20"/>
              </w:rPr>
            </w:pPr>
            <w:r w:rsidRPr="001F224B">
              <w:rPr>
                <w:sz w:val="20"/>
                <w:szCs w:val="20"/>
              </w:rPr>
              <w:t>(19.127)</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4393146" w14:textId="393DCBA2" w:rsidR="00A32080" w:rsidRPr="001F224B" w:rsidRDefault="00A32080" w:rsidP="00A32080">
            <w:pPr>
              <w:jc w:val="right"/>
              <w:rPr>
                <w:sz w:val="20"/>
                <w:szCs w:val="20"/>
              </w:rPr>
            </w:pPr>
            <w:r w:rsidRPr="001F224B">
              <w:rPr>
                <w:sz w:val="20"/>
                <w:szCs w:val="20"/>
              </w:rPr>
              <w:t>(33.533)</w:t>
            </w:r>
          </w:p>
        </w:tc>
      </w:tr>
      <w:tr w:rsidR="00A32080" w:rsidRPr="001F224B" w14:paraId="4DEFE32B"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31D1667" w14:textId="77777777" w:rsidR="00A32080" w:rsidRPr="001F224B" w:rsidRDefault="00A32080" w:rsidP="00A32080">
            <w:pPr>
              <w:rPr>
                <w:sz w:val="19"/>
                <w:szCs w:val="19"/>
              </w:rPr>
            </w:pPr>
            <w:r w:rsidRPr="001F224B">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DF13CB0" w14:textId="7CD91CB9" w:rsidR="00A32080" w:rsidRPr="001F224B" w:rsidRDefault="00A32080" w:rsidP="00A32080">
            <w:pPr>
              <w:jc w:val="right"/>
              <w:rPr>
                <w:b/>
                <w:sz w:val="20"/>
                <w:szCs w:val="20"/>
              </w:rPr>
            </w:pPr>
            <w:r w:rsidRPr="001F224B">
              <w:rPr>
                <w:sz w:val="20"/>
                <w:szCs w:val="20"/>
              </w:rPr>
              <w:t>115.438</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AB232E3" w14:textId="38A61D23" w:rsidR="00A32080" w:rsidRPr="001F224B" w:rsidRDefault="00A32080" w:rsidP="00A32080">
            <w:pPr>
              <w:jc w:val="right"/>
              <w:rPr>
                <w:sz w:val="20"/>
                <w:szCs w:val="20"/>
              </w:rPr>
            </w:pPr>
            <w:r w:rsidRPr="001F224B">
              <w:rPr>
                <w:sz w:val="20"/>
                <w:szCs w:val="20"/>
              </w:rPr>
              <w:t>11.993</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156E730" w14:textId="5EC1D149" w:rsidR="00A32080" w:rsidRPr="001F224B" w:rsidRDefault="00A32080" w:rsidP="00A32080">
            <w:pPr>
              <w:jc w:val="right"/>
              <w:rPr>
                <w:sz w:val="20"/>
                <w:szCs w:val="20"/>
              </w:rPr>
            </w:pPr>
            <w:r w:rsidRPr="001F224B">
              <w:rPr>
                <w:sz w:val="20"/>
                <w:szCs w:val="20"/>
              </w:rPr>
              <w:t>-</w:t>
            </w:r>
          </w:p>
        </w:tc>
      </w:tr>
      <w:tr w:rsidR="004B42F5" w:rsidRPr="001F224B" w14:paraId="0AC75378"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6EAD472" w14:textId="77777777" w:rsidR="004B42F5" w:rsidRPr="001F224B" w:rsidRDefault="004B42F5" w:rsidP="004B42F5">
            <w:pPr>
              <w:rPr>
                <w:sz w:val="19"/>
                <w:szCs w:val="19"/>
              </w:rPr>
            </w:pPr>
            <w:r w:rsidRPr="001F224B">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9E4DB7F" w14:textId="3DFFDF40" w:rsidR="004B42F5" w:rsidRPr="001F224B" w:rsidRDefault="004B42F5" w:rsidP="004B42F5">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BC59F48" w14:textId="3B899EEB" w:rsidR="004B42F5" w:rsidRPr="001F224B" w:rsidRDefault="004B42F5" w:rsidP="004B42F5">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77C68A5" w14:textId="58C70429" w:rsidR="004B42F5" w:rsidRPr="001F224B" w:rsidRDefault="004B42F5" w:rsidP="004B42F5">
            <w:pPr>
              <w:jc w:val="right"/>
              <w:rPr>
                <w:sz w:val="19"/>
                <w:szCs w:val="19"/>
              </w:rPr>
            </w:pPr>
            <w:r w:rsidRPr="001F224B">
              <w:rPr>
                <w:sz w:val="19"/>
                <w:szCs w:val="19"/>
              </w:rPr>
              <w:t>-</w:t>
            </w:r>
          </w:p>
        </w:tc>
      </w:tr>
      <w:tr w:rsidR="00EC0A10" w:rsidRPr="001F224B" w14:paraId="04EBCA8D"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1BD9C7B0" w14:textId="77777777" w:rsidR="00EC0A10" w:rsidRPr="001F224B" w:rsidRDefault="00EC0A10" w:rsidP="00EC0A10">
            <w:pPr>
              <w:ind w:firstLineChars="200" w:firstLine="380"/>
              <w:rPr>
                <w:sz w:val="19"/>
                <w:szCs w:val="19"/>
              </w:rPr>
            </w:pPr>
            <w:r w:rsidRPr="001F224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CCE5B0B" w14:textId="51FAE8E4" w:rsidR="00EC0A10" w:rsidRPr="001F224B" w:rsidRDefault="00EC0A10" w:rsidP="00EC0A1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3877FFF" w14:textId="288E3422" w:rsidR="00EC0A10" w:rsidRPr="001F224B" w:rsidRDefault="00EC0A10" w:rsidP="00EC0A1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0465305" w14:textId="3642F901" w:rsidR="00EC0A10" w:rsidRPr="001F224B" w:rsidRDefault="00EC0A10" w:rsidP="00EC0A10">
            <w:pPr>
              <w:jc w:val="right"/>
              <w:rPr>
                <w:sz w:val="19"/>
                <w:szCs w:val="19"/>
              </w:rPr>
            </w:pPr>
            <w:r w:rsidRPr="001F224B">
              <w:rPr>
                <w:sz w:val="19"/>
                <w:szCs w:val="19"/>
              </w:rPr>
              <w:t>-</w:t>
            </w:r>
          </w:p>
        </w:tc>
      </w:tr>
      <w:tr w:rsidR="00EC0A10" w:rsidRPr="001F224B" w14:paraId="7C033042"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4C62DA1" w14:textId="77777777" w:rsidR="00EC0A10" w:rsidRPr="001F224B" w:rsidRDefault="00EC0A10" w:rsidP="00EC0A10">
            <w:pPr>
              <w:rPr>
                <w:sz w:val="19"/>
                <w:szCs w:val="19"/>
              </w:rPr>
            </w:pPr>
            <w:r w:rsidRPr="001F224B">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1D1725A" w14:textId="30FB94C5" w:rsidR="00EC0A10" w:rsidRPr="001F224B" w:rsidRDefault="00EC0A10" w:rsidP="00EC0A1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B1C99A5" w14:textId="5F947367" w:rsidR="00EC0A10" w:rsidRPr="001F224B" w:rsidRDefault="00EC0A10" w:rsidP="00EC0A1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33F3C91" w14:textId="1AE76BC9" w:rsidR="00EC0A10" w:rsidRPr="001F224B" w:rsidRDefault="00EC0A10" w:rsidP="00EC0A10">
            <w:pPr>
              <w:jc w:val="right"/>
              <w:rPr>
                <w:sz w:val="19"/>
                <w:szCs w:val="19"/>
              </w:rPr>
            </w:pPr>
            <w:r w:rsidRPr="001F224B">
              <w:rPr>
                <w:sz w:val="19"/>
                <w:szCs w:val="19"/>
              </w:rPr>
              <w:t>-</w:t>
            </w:r>
          </w:p>
        </w:tc>
      </w:tr>
      <w:tr w:rsidR="00EC0A10" w:rsidRPr="001F224B" w14:paraId="2A6D8FDE"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215F4CEA" w14:textId="77777777" w:rsidR="00EC0A10" w:rsidRPr="001F224B" w:rsidRDefault="00EC0A10" w:rsidP="00EC0A10">
            <w:pPr>
              <w:rPr>
                <w:sz w:val="19"/>
                <w:szCs w:val="19"/>
              </w:rPr>
            </w:pPr>
            <w:r w:rsidRPr="001F224B">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0166713" w14:textId="2671C572" w:rsidR="00EC0A10" w:rsidRPr="001F224B" w:rsidRDefault="00EC0A10" w:rsidP="00EC0A1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67D3B56" w14:textId="0B07BF66" w:rsidR="00EC0A10" w:rsidRPr="001F224B" w:rsidRDefault="00EC0A10" w:rsidP="00EC0A1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D5A409D" w14:textId="7D86B92E" w:rsidR="00EC0A10" w:rsidRPr="001F224B" w:rsidRDefault="00EC0A10" w:rsidP="00EC0A10">
            <w:pPr>
              <w:jc w:val="right"/>
              <w:rPr>
                <w:sz w:val="19"/>
                <w:szCs w:val="19"/>
              </w:rPr>
            </w:pPr>
            <w:r w:rsidRPr="001F224B">
              <w:rPr>
                <w:sz w:val="19"/>
                <w:szCs w:val="19"/>
              </w:rPr>
              <w:t>-</w:t>
            </w:r>
          </w:p>
        </w:tc>
      </w:tr>
      <w:tr w:rsidR="00EC0A10" w:rsidRPr="001F224B" w14:paraId="2C91109E"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8350067" w14:textId="77777777" w:rsidR="00EC0A10" w:rsidRPr="001F224B" w:rsidRDefault="00EC0A10" w:rsidP="00EC0A10">
            <w:pPr>
              <w:ind w:firstLineChars="200" w:firstLine="380"/>
              <w:rPr>
                <w:sz w:val="19"/>
                <w:szCs w:val="19"/>
              </w:rPr>
            </w:pPr>
            <w:r w:rsidRPr="001F224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45D5792" w14:textId="6F1FD476" w:rsidR="00EC0A10" w:rsidRPr="001F224B" w:rsidRDefault="00EC0A10" w:rsidP="00EC0A1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BF541F2" w14:textId="6ECA6A0B" w:rsidR="00EC0A10" w:rsidRPr="001F224B" w:rsidRDefault="00EC0A10" w:rsidP="00EC0A1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AEFCCD0" w14:textId="1F599CEE" w:rsidR="00EC0A10" w:rsidRPr="001F224B" w:rsidRDefault="00EC0A10" w:rsidP="00EC0A10">
            <w:pPr>
              <w:jc w:val="right"/>
              <w:rPr>
                <w:sz w:val="19"/>
                <w:szCs w:val="19"/>
              </w:rPr>
            </w:pPr>
            <w:r w:rsidRPr="001F224B">
              <w:rPr>
                <w:sz w:val="19"/>
                <w:szCs w:val="19"/>
              </w:rPr>
              <w:t>-</w:t>
            </w:r>
          </w:p>
        </w:tc>
      </w:tr>
      <w:tr w:rsidR="00EC0A10" w:rsidRPr="001F224B" w14:paraId="35C6FA51"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4375B0F" w14:textId="77777777" w:rsidR="00EC0A10" w:rsidRPr="001F224B" w:rsidRDefault="00EC0A10" w:rsidP="00EC0A10">
            <w:pPr>
              <w:rPr>
                <w:sz w:val="19"/>
                <w:szCs w:val="19"/>
              </w:rPr>
            </w:pPr>
            <w:r w:rsidRPr="001F224B">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AAD2A3C" w14:textId="5412229B" w:rsidR="00EC0A10" w:rsidRPr="001F224B" w:rsidRDefault="00EC0A10" w:rsidP="00EC0A1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03A2D32" w14:textId="192E2EEE" w:rsidR="00EC0A10" w:rsidRPr="001F224B" w:rsidRDefault="00EC0A10" w:rsidP="00EC0A1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2E49222" w14:textId="5C80250D" w:rsidR="00EC0A10" w:rsidRPr="001F224B" w:rsidRDefault="00EC0A10" w:rsidP="00EC0A10">
            <w:pPr>
              <w:jc w:val="right"/>
              <w:rPr>
                <w:sz w:val="19"/>
                <w:szCs w:val="19"/>
              </w:rPr>
            </w:pPr>
            <w:r w:rsidRPr="001F224B">
              <w:rPr>
                <w:sz w:val="19"/>
                <w:szCs w:val="19"/>
              </w:rPr>
              <w:t>-</w:t>
            </w:r>
          </w:p>
        </w:tc>
      </w:tr>
      <w:tr w:rsidR="00F679B0" w:rsidRPr="001F224B" w14:paraId="1018E1B6" w14:textId="77777777" w:rsidTr="00DA1457">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2D7DD8B5" w14:textId="4470532F" w:rsidR="00F679B0" w:rsidRPr="001F224B" w:rsidRDefault="00F679B0" w:rsidP="00F679B0">
            <w:pPr>
              <w:rPr>
                <w:b/>
                <w:bCs/>
                <w:sz w:val="19"/>
                <w:szCs w:val="19"/>
              </w:rPr>
            </w:pPr>
            <w:r w:rsidRPr="001F224B">
              <w:rPr>
                <w:b/>
                <w:bCs/>
                <w:sz w:val="19"/>
                <w:szCs w:val="19"/>
              </w:rPr>
              <w:t>Önceki Dönem (Net) (31.12.2024)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FEF6514" w14:textId="3B1DAE7B" w:rsidR="00F679B0" w:rsidRPr="001F224B" w:rsidRDefault="00F679B0" w:rsidP="00F679B0">
            <w:pPr>
              <w:jc w:val="right"/>
              <w:rPr>
                <w:b/>
                <w:sz w:val="20"/>
                <w:szCs w:val="20"/>
              </w:rPr>
            </w:pPr>
            <w:r w:rsidRPr="001F224B">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E059B7D" w14:textId="4064A72E" w:rsidR="00F679B0" w:rsidRPr="001F224B" w:rsidRDefault="00F679B0" w:rsidP="00F679B0">
            <w:pPr>
              <w:jc w:val="right"/>
              <w:rPr>
                <w:b/>
                <w:sz w:val="20"/>
                <w:szCs w:val="20"/>
              </w:rPr>
            </w:pPr>
            <w:r w:rsidRPr="001F224B">
              <w:rPr>
                <w:b/>
                <w:bCs/>
                <w:sz w:val="20"/>
                <w:szCs w:val="20"/>
              </w:rPr>
              <w:t>20.617</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82AE17B" w14:textId="5513AC12" w:rsidR="00F679B0" w:rsidRPr="001F224B" w:rsidRDefault="00F679B0" w:rsidP="00F679B0">
            <w:pPr>
              <w:jc w:val="right"/>
              <w:rPr>
                <w:b/>
                <w:sz w:val="20"/>
                <w:szCs w:val="20"/>
              </w:rPr>
            </w:pPr>
            <w:r w:rsidRPr="001F224B">
              <w:rPr>
                <w:b/>
                <w:bCs/>
                <w:sz w:val="20"/>
                <w:szCs w:val="20"/>
              </w:rPr>
              <w:t>-</w:t>
            </w:r>
          </w:p>
        </w:tc>
      </w:tr>
      <w:tr w:rsidR="00F679B0" w:rsidRPr="001F224B" w14:paraId="3CB78CC8" w14:textId="77777777" w:rsidTr="00DA1457">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2597B52C" w14:textId="77777777" w:rsidR="00F679B0" w:rsidRPr="001F224B" w:rsidRDefault="00F679B0" w:rsidP="00F679B0">
            <w:pPr>
              <w:rPr>
                <w:sz w:val="19"/>
                <w:szCs w:val="19"/>
              </w:rPr>
            </w:pPr>
            <w:r w:rsidRPr="001F224B">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80E1959" w14:textId="63875376" w:rsidR="00F679B0" w:rsidRPr="001F224B" w:rsidRDefault="00F679B0" w:rsidP="00F679B0">
            <w:pPr>
              <w:jc w:val="right"/>
              <w:rPr>
                <w:sz w:val="20"/>
                <w:szCs w:val="20"/>
              </w:rPr>
            </w:pPr>
            <w:r w:rsidRPr="001F224B">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FEF464B" w14:textId="7C3AD347" w:rsidR="00F679B0" w:rsidRPr="001F224B" w:rsidRDefault="00F679B0" w:rsidP="00F679B0">
            <w:pPr>
              <w:jc w:val="right"/>
              <w:rPr>
                <w:sz w:val="20"/>
                <w:szCs w:val="20"/>
              </w:rPr>
            </w:pPr>
            <w:r w:rsidRPr="001F224B">
              <w:rPr>
                <w:sz w:val="20"/>
                <w:szCs w:val="20"/>
              </w:rPr>
              <w:t>55.090</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96898B7" w14:textId="5AE91F43" w:rsidR="00F679B0" w:rsidRPr="001F224B" w:rsidRDefault="00F679B0" w:rsidP="00F679B0">
            <w:pPr>
              <w:jc w:val="right"/>
              <w:rPr>
                <w:sz w:val="20"/>
                <w:szCs w:val="20"/>
              </w:rPr>
            </w:pPr>
            <w:r w:rsidRPr="001F224B">
              <w:rPr>
                <w:sz w:val="20"/>
                <w:szCs w:val="20"/>
              </w:rPr>
              <w:t>33.504</w:t>
            </w:r>
          </w:p>
        </w:tc>
      </w:tr>
      <w:tr w:rsidR="00F679B0" w:rsidRPr="001F224B" w14:paraId="16D76FBC" w14:textId="77777777" w:rsidTr="00DA1457">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A0A880" w14:textId="77777777" w:rsidR="00F679B0" w:rsidRPr="001F224B" w:rsidRDefault="00F679B0" w:rsidP="00F679B0">
            <w:pPr>
              <w:ind w:firstLineChars="200" w:firstLine="380"/>
              <w:rPr>
                <w:sz w:val="19"/>
                <w:szCs w:val="19"/>
              </w:rPr>
            </w:pPr>
            <w:r w:rsidRPr="001F224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66D1A27" w14:textId="75C725C7" w:rsidR="00F679B0" w:rsidRPr="001F224B" w:rsidRDefault="00F679B0" w:rsidP="00F679B0">
            <w:pPr>
              <w:jc w:val="right"/>
              <w:rPr>
                <w:sz w:val="20"/>
                <w:szCs w:val="20"/>
              </w:rPr>
            </w:pPr>
            <w:r w:rsidRPr="001F224B">
              <w:rPr>
                <w:sz w:val="20"/>
                <w:szCs w:val="20"/>
              </w:rPr>
              <w:t>(508.374)</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2913A56" w14:textId="6D7648AD" w:rsidR="00F679B0" w:rsidRPr="001F224B" w:rsidRDefault="00F679B0" w:rsidP="00F679B0">
            <w:pPr>
              <w:jc w:val="right"/>
              <w:rPr>
                <w:sz w:val="20"/>
                <w:szCs w:val="20"/>
              </w:rPr>
            </w:pPr>
            <w:r w:rsidRPr="001F224B">
              <w:rPr>
                <w:sz w:val="20"/>
                <w:szCs w:val="20"/>
              </w:rPr>
              <w:t>(34.473)</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877CBF0" w14:textId="3C0B699C" w:rsidR="00F679B0" w:rsidRPr="001F224B" w:rsidRDefault="00F679B0" w:rsidP="00F679B0">
            <w:pPr>
              <w:jc w:val="right"/>
              <w:rPr>
                <w:sz w:val="20"/>
                <w:szCs w:val="20"/>
              </w:rPr>
            </w:pPr>
            <w:r w:rsidRPr="001F224B">
              <w:rPr>
                <w:sz w:val="20"/>
                <w:szCs w:val="20"/>
              </w:rPr>
              <w:t>(33.504)</w:t>
            </w:r>
          </w:p>
        </w:tc>
      </w:tr>
      <w:tr w:rsidR="00F679B0" w:rsidRPr="001F224B" w14:paraId="1848CAD0" w14:textId="77777777" w:rsidTr="00DA1457">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1E645F4" w14:textId="77777777" w:rsidR="00F679B0" w:rsidRPr="001F224B" w:rsidRDefault="00F679B0" w:rsidP="00F679B0">
            <w:pPr>
              <w:rPr>
                <w:sz w:val="19"/>
                <w:szCs w:val="19"/>
              </w:rPr>
            </w:pPr>
            <w:r w:rsidRPr="001F224B">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A16867E" w14:textId="3E211021" w:rsidR="00F679B0" w:rsidRPr="001F224B" w:rsidRDefault="00F679B0" w:rsidP="00F679B0">
            <w:pPr>
              <w:jc w:val="right"/>
              <w:rPr>
                <w:sz w:val="20"/>
                <w:szCs w:val="20"/>
              </w:rPr>
            </w:pPr>
            <w:r w:rsidRPr="001F224B">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D327C59" w14:textId="3282C89B" w:rsidR="00F679B0" w:rsidRPr="001F224B" w:rsidRDefault="00F679B0" w:rsidP="00F679B0">
            <w:pPr>
              <w:jc w:val="right"/>
              <w:rPr>
                <w:sz w:val="20"/>
                <w:szCs w:val="20"/>
              </w:rPr>
            </w:pPr>
            <w:r w:rsidRPr="001F224B">
              <w:rPr>
                <w:sz w:val="20"/>
                <w:szCs w:val="20"/>
              </w:rPr>
              <w:t>20.617</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4D91D61" w14:textId="40714FFE" w:rsidR="00F679B0" w:rsidRPr="001F224B" w:rsidRDefault="00F679B0" w:rsidP="00F679B0">
            <w:pPr>
              <w:jc w:val="right"/>
              <w:rPr>
                <w:sz w:val="20"/>
                <w:szCs w:val="20"/>
              </w:rPr>
            </w:pPr>
            <w:r w:rsidRPr="001F224B">
              <w:rPr>
                <w:sz w:val="20"/>
                <w:szCs w:val="20"/>
              </w:rPr>
              <w:t>-</w:t>
            </w:r>
          </w:p>
        </w:tc>
      </w:tr>
      <w:tr w:rsidR="00F679B0" w:rsidRPr="001F224B" w14:paraId="5E794010"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B99465C" w14:textId="77777777" w:rsidR="00F679B0" w:rsidRPr="001F224B" w:rsidRDefault="00F679B0" w:rsidP="00F679B0">
            <w:pPr>
              <w:rPr>
                <w:sz w:val="19"/>
                <w:szCs w:val="19"/>
              </w:rPr>
            </w:pPr>
            <w:r w:rsidRPr="001F224B">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22D0520" w14:textId="3EFD5788" w:rsidR="00F679B0" w:rsidRPr="001F224B" w:rsidRDefault="00F679B0" w:rsidP="00F679B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42A5DF7" w14:textId="4C0F008F" w:rsidR="00F679B0" w:rsidRPr="001F224B" w:rsidRDefault="00F679B0" w:rsidP="00F679B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8638F32" w14:textId="57DEA2D4" w:rsidR="00F679B0" w:rsidRPr="001F224B" w:rsidRDefault="00F679B0" w:rsidP="00F679B0">
            <w:pPr>
              <w:jc w:val="right"/>
              <w:rPr>
                <w:sz w:val="19"/>
                <w:szCs w:val="19"/>
              </w:rPr>
            </w:pPr>
            <w:r w:rsidRPr="001F224B">
              <w:rPr>
                <w:sz w:val="19"/>
                <w:szCs w:val="19"/>
              </w:rPr>
              <w:t>-</w:t>
            </w:r>
          </w:p>
        </w:tc>
      </w:tr>
      <w:tr w:rsidR="00F679B0" w:rsidRPr="001F224B" w14:paraId="465D62A1"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C9B89EA" w14:textId="77777777" w:rsidR="00F679B0" w:rsidRPr="001F224B" w:rsidRDefault="00F679B0" w:rsidP="00F679B0">
            <w:pPr>
              <w:ind w:firstLineChars="200" w:firstLine="380"/>
              <w:rPr>
                <w:sz w:val="19"/>
                <w:szCs w:val="19"/>
              </w:rPr>
            </w:pPr>
            <w:r w:rsidRPr="001F224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606C9A0" w14:textId="56E19154" w:rsidR="00F679B0" w:rsidRPr="001F224B" w:rsidRDefault="00F679B0" w:rsidP="00F679B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D71BD17" w14:textId="292E3193" w:rsidR="00F679B0" w:rsidRPr="001F224B" w:rsidRDefault="00F679B0" w:rsidP="00F679B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F6FFD83" w14:textId="21F85971" w:rsidR="00F679B0" w:rsidRPr="001F224B" w:rsidRDefault="00F679B0" w:rsidP="00F679B0">
            <w:pPr>
              <w:jc w:val="right"/>
              <w:rPr>
                <w:sz w:val="19"/>
                <w:szCs w:val="19"/>
              </w:rPr>
            </w:pPr>
            <w:r w:rsidRPr="001F224B">
              <w:rPr>
                <w:sz w:val="19"/>
                <w:szCs w:val="19"/>
              </w:rPr>
              <w:t>-</w:t>
            </w:r>
          </w:p>
        </w:tc>
      </w:tr>
      <w:tr w:rsidR="00F679B0" w:rsidRPr="001F224B" w14:paraId="7EC07115"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79DA4BE" w14:textId="77777777" w:rsidR="00F679B0" w:rsidRPr="001F224B" w:rsidRDefault="00F679B0" w:rsidP="00F679B0">
            <w:pPr>
              <w:rPr>
                <w:sz w:val="19"/>
                <w:szCs w:val="19"/>
              </w:rPr>
            </w:pPr>
            <w:r w:rsidRPr="001F224B">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5C5AFDD" w14:textId="47AF4733" w:rsidR="00F679B0" w:rsidRPr="001F224B" w:rsidRDefault="00F679B0" w:rsidP="00F679B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BF89CE2" w14:textId="22C0CA0D" w:rsidR="00F679B0" w:rsidRPr="001F224B" w:rsidRDefault="00F679B0" w:rsidP="00F679B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BA75DA6" w14:textId="72124C9C" w:rsidR="00F679B0" w:rsidRPr="001F224B" w:rsidRDefault="00F679B0" w:rsidP="00F679B0">
            <w:pPr>
              <w:jc w:val="right"/>
              <w:rPr>
                <w:sz w:val="19"/>
                <w:szCs w:val="19"/>
              </w:rPr>
            </w:pPr>
            <w:r w:rsidRPr="001F224B">
              <w:rPr>
                <w:sz w:val="19"/>
                <w:szCs w:val="19"/>
              </w:rPr>
              <w:t>-</w:t>
            </w:r>
          </w:p>
        </w:tc>
      </w:tr>
      <w:tr w:rsidR="00F679B0" w:rsidRPr="001F224B" w14:paraId="7911DE15"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7BF3348" w14:textId="77777777" w:rsidR="00F679B0" w:rsidRPr="001F224B" w:rsidRDefault="00F679B0" w:rsidP="00F679B0">
            <w:pPr>
              <w:rPr>
                <w:sz w:val="19"/>
                <w:szCs w:val="19"/>
              </w:rPr>
            </w:pPr>
            <w:r w:rsidRPr="001F224B">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D1F265A" w14:textId="208CD840" w:rsidR="00F679B0" w:rsidRPr="001F224B" w:rsidRDefault="00F679B0" w:rsidP="00F679B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F0F1253" w14:textId="7530F562" w:rsidR="00F679B0" w:rsidRPr="001F224B" w:rsidRDefault="00F679B0" w:rsidP="00F679B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03EECDE" w14:textId="02914BA8" w:rsidR="00F679B0" w:rsidRPr="001F224B" w:rsidRDefault="00F679B0" w:rsidP="00F679B0">
            <w:pPr>
              <w:jc w:val="right"/>
              <w:rPr>
                <w:sz w:val="19"/>
                <w:szCs w:val="19"/>
              </w:rPr>
            </w:pPr>
            <w:r w:rsidRPr="001F224B">
              <w:rPr>
                <w:sz w:val="19"/>
                <w:szCs w:val="19"/>
              </w:rPr>
              <w:t>-</w:t>
            </w:r>
          </w:p>
        </w:tc>
      </w:tr>
      <w:tr w:rsidR="00F679B0" w:rsidRPr="001F224B" w14:paraId="671232A4"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81B8E0" w14:textId="77777777" w:rsidR="00F679B0" w:rsidRPr="001F224B" w:rsidRDefault="00F679B0" w:rsidP="00F679B0">
            <w:pPr>
              <w:ind w:firstLineChars="200" w:firstLine="380"/>
              <w:rPr>
                <w:sz w:val="19"/>
                <w:szCs w:val="19"/>
              </w:rPr>
            </w:pPr>
            <w:r w:rsidRPr="001F224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49E3CEC" w14:textId="519EB20B" w:rsidR="00F679B0" w:rsidRPr="001F224B" w:rsidRDefault="00F679B0" w:rsidP="00F679B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3593F184" w14:textId="23012BE8" w:rsidR="00F679B0" w:rsidRPr="001F224B" w:rsidRDefault="00F679B0" w:rsidP="00F679B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7A52F3F" w14:textId="79D7C74D" w:rsidR="00F679B0" w:rsidRPr="001F224B" w:rsidRDefault="00F679B0" w:rsidP="00F679B0">
            <w:pPr>
              <w:jc w:val="right"/>
              <w:rPr>
                <w:sz w:val="19"/>
                <w:szCs w:val="19"/>
              </w:rPr>
            </w:pPr>
            <w:r w:rsidRPr="001F224B">
              <w:rPr>
                <w:sz w:val="19"/>
                <w:szCs w:val="19"/>
              </w:rPr>
              <w:t>-</w:t>
            </w:r>
          </w:p>
        </w:tc>
      </w:tr>
      <w:tr w:rsidR="00F679B0" w:rsidRPr="001F224B" w14:paraId="16ED0B00"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02DA49B" w14:textId="77777777" w:rsidR="00F679B0" w:rsidRPr="001F224B" w:rsidRDefault="00F679B0" w:rsidP="00F679B0">
            <w:pPr>
              <w:rPr>
                <w:sz w:val="19"/>
                <w:szCs w:val="19"/>
              </w:rPr>
            </w:pPr>
            <w:r w:rsidRPr="001F224B">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2109EC8" w14:textId="0976A999" w:rsidR="00F679B0" w:rsidRPr="001F224B" w:rsidRDefault="00F679B0" w:rsidP="00F679B0">
            <w:pPr>
              <w:jc w:val="right"/>
              <w:rPr>
                <w:sz w:val="19"/>
                <w:szCs w:val="19"/>
              </w:rPr>
            </w:pPr>
            <w:r w:rsidRPr="001F224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2A83BA4" w14:textId="607D2321" w:rsidR="00F679B0" w:rsidRPr="001F224B" w:rsidRDefault="00F679B0" w:rsidP="00F679B0">
            <w:pPr>
              <w:jc w:val="right"/>
              <w:rPr>
                <w:sz w:val="19"/>
                <w:szCs w:val="19"/>
              </w:rPr>
            </w:pPr>
            <w:r w:rsidRPr="001F224B">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B04EC60" w14:textId="58B15B9B" w:rsidR="00F679B0" w:rsidRPr="001F224B" w:rsidRDefault="00F679B0" w:rsidP="00F679B0">
            <w:pPr>
              <w:jc w:val="right"/>
              <w:rPr>
                <w:sz w:val="19"/>
                <w:szCs w:val="19"/>
              </w:rPr>
            </w:pPr>
            <w:r w:rsidRPr="001F224B">
              <w:rPr>
                <w:sz w:val="19"/>
                <w:szCs w:val="19"/>
              </w:rPr>
              <w:t>-</w:t>
            </w:r>
          </w:p>
        </w:tc>
      </w:tr>
    </w:tbl>
    <w:p w14:paraId="271071FB" w14:textId="77777777" w:rsidR="00262636" w:rsidRPr="001F224B" w:rsidRDefault="00262636" w:rsidP="009055C1">
      <w:pPr>
        <w:jc w:val="both"/>
        <w:rPr>
          <w:b/>
          <w:bCs/>
          <w:sz w:val="22"/>
          <w:szCs w:val="22"/>
        </w:rPr>
      </w:pPr>
    </w:p>
    <w:p w14:paraId="1443BB51" w14:textId="77777777" w:rsidR="00262636" w:rsidRPr="001F224B" w:rsidRDefault="00262636" w:rsidP="009055C1">
      <w:pPr>
        <w:jc w:val="both"/>
        <w:rPr>
          <w:b/>
          <w:bCs/>
          <w:sz w:val="22"/>
          <w:szCs w:val="22"/>
        </w:rPr>
      </w:pPr>
    </w:p>
    <w:p w14:paraId="1494854E" w14:textId="6A873D73" w:rsidR="00262636" w:rsidRPr="001F224B" w:rsidRDefault="00262636" w:rsidP="009055C1">
      <w:pPr>
        <w:jc w:val="both"/>
        <w:rPr>
          <w:b/>
          <w:bCs/>
          <w:sz w:val="22"/>
          <w:szCs w:val="22"/>
        </w:rPr>
      </w:pPr>
    </w:p>
    <w:p w14:paraId="614D5B03" w14:textId="77777777" w:rsidR="00A71401" w:rsidRPr="001F224B" w:rsidRDefault="00A71401" w:rsidP="009055C1">
      <w:pPr>
        <w:jc w:val="both"/>
        <w:rPr>
          <w:b/>
          <w:bCs/>
          <w:sz w:val="22"/>
          <w:szCs w:val="22"/>
        </w:rPr>
      </w:pPr>
    </w:p>
    <w:p w14:paraId="1D61ABE6" w14:textId="61ECEDE3" w:rsidR="00AE60E1" w:rsidRPr="001F224B" w:rsidRDefault="00AE60E1">
      <w:pPr>
        <w:rPr>
          <w:b/>
          <w:bCs/>
          <w:sz w:val="22"/>
          <w:szCs w:val="22"/>
        </w:rPr>
      </w:pPr>
      <w:r w:rsidRPr="001F224B">
        <w:rPr>
          <w:b/>
          <w:bCs/>
          <w:sz w:val="22"/>
          <w:szCs w:val="22"/>
        </w:rPr>
        <w:br w:type="page"/>
      </w:r>
    </w:p>
    <w:p w14:paraId="364DC699" w14:textId="77777777" w:rsidR="00FA04F8" w:rsidRPr="001F224B" w:rsidRDefault="00FA04F8" w:rsidP="00FA04F8">
      <w:pPr>
        <w:pStyle w:val="ListParagraph"/>
        <w:tabs>
          <w:tab w:val="left" w:pos="0"/>
        </w:tabs>
        <w:spacing w:before="120" w:after="120"/>
        <w:ind w:left="0"/>
        <w:rPr>
          <w:b/>
          <w:bCs/>
          <w:sz w:val="22"/>
          <w:szCs w:val="22"/>
        </w:rPr>
      </w:pPr>
      <w:r w:rsidRPr="001F224B">
        <w:rPr>
          <w:b/>
          <w:bCs/>
          <w:sz w:val="22"/>
          <w:szCs w:val="22"/>
        </w:rPr>
        <w:t>BEŞİNCİ BÖLÜM (Devamı)</w:t>
      </w:r>
    </w:p>
    <w:p w14:paraId="60C8BF3C" w14:textId="77777777" w:rsidR="00FA04F8" w:rsidRPr="001F224B" w:rsidRDefault="00FA04F8" w:rsidP="00FA04F8">
      <w:pPr>
        <w:pStyle w:val="ListParagraph"/>
        <w:tabs>
          <w:tab w:val="left" w:pos="0"/>
        </w:tabs>
        <w:ind w:left="0"/>
        <w:rPr>
          <w:b/>
          <w:bCs/>
          <w:sz w:val="22"/>
          <w:szCs w:val="22"/>
        </w:rPr>
      </w:pPr>
      <w:r w:rsidRPr="001F224B">
        <w:rPr>
          <w:b/>
          <w:bCs/>
          <w:sz w:val="22"/>
          <w:szCs w:val="22"/>
        </w:rPr>
        <w:t>KONSOLİDE FİNANSAL TABLOLARA İLİŞKİN AÇIKLAMA VE DİPNOTLAR</w:t>
      </w:r>
      <w:r w:rsidRPr="001F224B" w:rsidDel="00FE322E">
        <w:rPr>
          <w:b/>
          <w:bCs/>
          <w:sz w:val="22"/>
          <w:szCs w:val="22"/>
        </w:rPr>
        <w:t xml:space="preserve"> </w:t>
      </w:r>
      <w:r w:rsidRPr="001F224B">
        <w:rPr>
          <w:b/>
          <w:bCs/>
          <w:sz w:val="22"/>
          <w:szCs w:val="22"/>
        </w:rPr>
        <w:t>(Devamı)</w:t>
      </w:r>
    </w:p>
    <w:p w14:paraId="105D50F8" w14:textId="77777777" w:rsidR="00FA04F8" w:rsidRPr="001F224B" w:rsidRDefault="00FA04F8" w:rsidP="00FA04F8">
      <w:pPr>
        <w:pStyle w:val="Heading2"/>
        <w:numPr>
          <w:ilvl w:val="0"/>
          <w:numId w:val="0"/>
        </w:numPr>
        <w:tabs>
          <w:tab w:val="left" w:pos="567"/>
        </w:tabs>
        <w:jc w:val="both"/>
        <w:rPr>
          <w:rFonts w:ascii="Times New Roman" w:hAnsi="Times New Roman"/>
          <w:b w:val="0"/>
          <w:bCs w:val="0"/>
          <w:i w:val="0"/>
          <w:sz w:val="22"/>
          <w:szCs w:val="22"/>
        </w:rPr>
      </w:pPr>
      <w:r w:rsidRPr="001F224B">
        <w:rPr>
          <w:rFonts w:ascii="Times New Roman" w:hAnsi="Times New Roman"/>
          <w:bCs w:val="0"/>
          <w:i w:val="0"/>
          <w:sz w:val="22"/>
          <w:szCs w:val="22"/>
        </w:rPr>
        <w:t>I.</w:t>
      </w:r>
      <w:r w:rsidRPr="001F224B">
        <w:rPr>
          <w:rFonts w:ascii="Times New Roman" w:hAnsi="Times New Roman"/>
          <w:bCs w:val="0"/>
          <w:i w:val="0"/>
          <w:sz w:val="22"/>
          <w:szCs w:val="22"/>
        </w:rPr>
        <w:tab/>
        <w:t>Konsolide bilançonun aktif hesaplarına ilişkin açıklama ve dipnotlar (Devamı</w:t>
      </w:r>
      <w:r w:rsidRPr="001F224B">
        <w:rPr>
          <w:rFonts w:ascii="Times New Roman" w:hAnsi="Times New Roman"/>
          <w:b w:val="0"/>
          <w:bCs w:val="0"/>
          <w:i w:val="0"/>
          <w:sz w:val="22"/>
          <w:szCs w:val="22"/>
        </w:rPr>
        <w:t>):</w:t>
      </w:r>
    </w:p>
    <w:p w14:paraId="66F7EA58" w14:textId="77777777" w:rsidR="00FA04F8" w:rsidRPr="001F224B" w:rsidRDefault="00FA04F8" w:rsidP="00FA04F8">
      <w:pPr>
        <w:pStyle w:val="NormalWeb"/>
        <w:spacing w:before="120" w:beforeAutospacing="0" w:after="0" w:afterAutospacing="0"/>
        <w:jc w:val="both"/>
        <w:rPr>
          <w:rFonts w:ascii="Times New Roman" w:cs="Times New Roman"/>
          <w:b/>
          <w:bCs/>
          <w:sz w:val="22"/>
          <w:szCs w:val="22"/>
          <w:lang w:val="tr-TR"/>
        </w:rPr>
      </w:pPr>
      <w:r w:rsidRPr="001F224B">
        <w:rPr>
          <w:rFonts w:ascii="Times New Roman" w:cs="Times New Roman"/>
          <w:b/>
          <w:bCs/>
          <w:sz w:val="22"/>
          <w:szCs w:val="22"/>
          <w:lang w:val="tr-TR"/>
        </w:rPr>
        <w:t>2.       İtfa edilmiş maliyeti ile ölçülen finansal varlıklara ilişkin açıklamalar (Devamı):</w:t>
      </w:r>
    </w:p>
    <w:p w14:paraId="4FE63145" w14:textId="353694A7" w:rsidR="00FA04F8" w:rsidRPr="001F224B" w:rsidRDefault="00FA04F8" w:rsidP="00FA04F8">
      <w:pPr>
        <w:tabs>
          <w:tab w:val="left" w:pos="567"/>
        </w:tabs>
        <w:spacing w:before="120" w:after="120"/>
        <w:rPr>
          <w:b/>
          <w:bCs/>
          <w:sz w:val="22"/>
          <w:szCs w:val="22"/>
        </w:rPr>
      </w:pPr>
      <w:r w:rsidRPr="001F224B">
        <w:rPr>
          <w:b/>
          <w:bCs/>
          <w:sz w:val="22"/>
          <w:szCs w:val="22"/>
        </w:rPr>
        <w:t>2.1.</w:t>
      </w:r>
      <w:r w:rsidRPr="001F224B">
        <w:rPr>
          <w:b/>
          <w:bCs/>
          <w:sz w:val="22"/>
          <w:szCs w:val="22"/>
        </w:rPr>
        <w:tab/>
        <w:t>Kredilere ilişkin bilgiler (Devamı):</w:t>
      </w:r>
    </w:p>
    <w:p w14:paraId="612BD98A" w14:textId="147D9535" w:rsidR="00A859A1" w:rsidRPr="001F224B" w:rsidRDefault="00A859A1" w:rsidP="00A859A1">
      <w:pPr>
        <w:tabs>
          <w:tab w:val="left" w:pos="567"/>
        </w:tabs>
        <w:ind w:right="-114"/>
        <w:rPr>
          <w:b/>
          <w:bCs/>
          <w:sz w:val="22"/>
          <w:szCs w:val="22"/>
        </w:rPr>
      </w:pPr>
      <w:r w:rsidRPr="001F224B">
        <w:rPr>
          <w:b/>
          <w:bCs/>
          <w:sz w:val="22"/>
          <w:szCs w:val="22"/>
        </w:rPr>
        <w:t>2.1.</w:t>
      </w:r>
      <w:r w:rsidR="00F679B0" w:rsidRPr="001F224B">
        <w:rPr>
          <w:b/>
          <w:bCs/>
          <w:sz w:val="22"/>
          <w:szCs w:val="22"/>
        </w:rPr>
        <w:t>ğ</w:t>
      </w:r>
      <w:r w:rsidRPr="001F224B">
        <w:rPr>
          <w:b/>
          <w:bCs/>
          <w:sz w:val="22"/>
          <w:szCs w:val="22"/>
        </w:rPr>
        <w:t>)</w:t>
      </w:r>
      <w:r w:rsidRPr="001F224B">
        <w:rPr>
          <w:b/>
          <w:bCs/>
          <w:sz w:val="22"/>
          <w:szCs w:val="22"/>
        </w:rPr>
        <w:tab/>
        <w:t>Zarar niteliğindeki krediler ve diğer alacaklar için belirlenen tasfiye politikasının ana hatları:</w:t>
      </w:r>
    </w:p>
    <w:p w14:paraId="42104F29" w14:textId="77777777" w:rsidR="007377EB" w:rsidRPr="001F224B" w:rsidRDefault="007377EB" w:rsidP="007D6437">
      <w:pPr>
        <w:spacing w:before="120" w:after="120"/>
        <w:ind w:left="567"/>
        <w:jc w:val="both"/>
        <w:rPr>
          <w:sz w:val="22"/>
          <w:szCs w:val="22"/>
        </w:rPr>
      </w:pPr>
      <w:r w:rsidRPr="001F224B">
        <w:rPr>
          <w:sz w:val="22"/>
          <w:szCs w:val="22"/>
        </w:rPr>
        <w:t>Kredilerin Sınıflandırılması ve Bunlar İçin Ayrılacak Karşılıklara İlişkin Usul ve Esaslar Hakkında Yönetmeliğin dördüncü bölümünde yer alan teminat unsurlarından bulunması halinde, bu unsurlar gerek idari gerek yasal girişimler sonucunda mümkün olan en kısa sürede paraya çevrilerek alacağın tasfiyesi sağlanmaktadır.</w:t>
      </w:r>
    </w:p>
    <w:p w14:paraId="06B9A9B8" w14:textId="77777777" w:rsidR="007377EB" w:rsidRPr="001F224B" w:rsidRDefault="007377EB" w:rsidP="007D6437">
      <w:pPr>
        <w:autoSpaceDE w:val="0"/>
        <w:autoSpaceDN w:val="0"/>
        <w:adjustRightInd w:val="0"/>
        <w:ind w:left="567"/>
        <w:jc w:val="both"/>
        <w:rPr>
          <w:sz w:val="22"/>
          <w:szCs w:val="22"/>
        </w:rPr>
      </w:pPr>
      <w:r w:rsidRPr="001F224B">
        <w:rPr>
          <w:sz w:val="22"/>
          <w:szCs w:val="22"/>
        </w:rPr>
        <w:t xml:space="preserve">Teminat unsuru bulunmaması halinde ise, borçlu hakkında aciz vesikası temin edilse de, muhtelif dönemlerde yoğun istihbarat yapılarak ve sonradan edinilmiş mal varlığı tespitine çalışılarak hukuki takibe müracaat edilmektedir. </w:t>
      </w:r>
    </w:p>
    <w:p w14:paraId="1BB0B8CF" w14:textId="0DB6CC87" w:rsidR="007377EB" w:rsidRPr="001F224B" w:rsidRDefault="007377EB" w:rsidP="007D6437">
      <w:pPr>
        <w:autoSpaceDE w:val="0"/>
        <w:autoSpaceDN w:val="0"/>
        <w:adjustRightInd w:val="0"/>
        <w:spacing w:before="120"/>
        <w:ind w:left="567"/>
        <w:jc w:val="both"/>
        <w:rPr>
          <w:sz w:val="22"/>
          <w:szCs w:val="22"/>
        </w:rPr>
      </w:pPr>
      <w:r w:rsidRPr="001F224B">
        <w:rPr>
          <w:sz w:val="22"/>
          <w:szCs w:val="22"/>
        </w:rPr>
        <w:t xml:space="preserve">Yasal takip işlemleri öncesinde ve sonrasında; alacaklısı olunan firmanın mali bilgileri konusunda </w:t>
      </w:r>
      <w:r w:rsidR="00A671FB" w:rsidRPr="001F224B">
        <w:rPr>
          <w:sz w:val="22"/>
          <w:szCs w:val="22"/>
        </w:rPr>
        <w:t xml:space="preserve">Ana Ortaklık </w:t>
      </w:r>
      <w:r w:rsidRPr="001F224B">
        <w:rPr>
          <w:sz w:val="22"/>
          <w:szCs w:val="22"/>
        </w:rPr>
        <w:t xml:space="preserve">Banka tarafından yapılacak incelemeler neticesinde yaşanılması mümkün görülen ve ekonomiye kazandırılması halinde üretime katkıda bulunacağı kanaati hakim olan firmalarla ilgili olarak, anlaşma yolu ile alacağın tasfiyesine çaba harcanmaktadır. </w:t>
      </w:r>
    </w:p>
    <w:p w14:paraId="1B5C33EF" w14:textId="79C3D24D" w:rsidR="00660B91" w:rsidRPr="001F224B" w:rsidRDefault="00660B91" w:rsidP="00660B91">
      <w:pPr>
        <w:pStyle w:val="BodyText3"/>
        <w:tabs>
          <w:tab w:val="clear" w:pos="539"/>
          <w:tab w:val="left" w:pos="567"/>
        </w:tabs>
        <w:spacing w:before="120" w:after="120"/>
        <w:jc w:val="both"/>
        <w:rPr>
          <w:b/>
          <w:bCs/>
          <w:iCs/>
          <w:sz w:val="22"/>
          <w:szCs w:val="22"/>
        </w:rPr>
      </w:pPr>
      <w:r w:rsidRPr="001F224B">
        <w:rPr>
          <w:b/>
          <w:bCs/>
          <w:iCs/>
          <w:sz w:val="22"/>
          <w:szCs w:val="22"/>
        </w:rPr>
        <w:t>2.1.</w:t>
      </w:r>
      <w:r w:rsidR="00F679B0" w:rsidRPr="001F224B">
        <w:rPr>
          <w:b/>
          <w:bCs/>
          <w:iCs/>
          <w:sz w:val="22"/>
          <w:szCs w:val="22"/>
        </w:rPr>
        <w:t>h</w:t>
      </w:r>
      <w:r w:rsidRPr="001F224B">
        <w:rPr>
          <w:b/>
          <w:bCs/>
          <w:iCs/>
          <w:sz w:val="22"/>
          <w:szCs w:val="22"/>
        </w:rPr>
        <w:t>)</w:t>
      </w:r>
      <w:r w:rsidRPr="001F224B">
        <w:rPr>
          <w:b/>
          <w:bCs/>
          <w:iCs/>
          <w:sz w:val="22"/>
          <w:szCs w:val="22"/>
        </w:rPr>
        <w:tab/>
        <w:t>Kayıttan düşme politikasına ilişkin açıklamalar:</w:t>
      </w:r>
    </w:p>
    <w:p w14:paraId="3CD59910" w14:textId="005B0E3D" w:rsidR="007377EB" w:rsidRPr="001F224B" w:rsidRDefault="007377EB" w:rsidP="007377EB">
      <w:pPr>
        <w:autoSpaceDE w:val="0"/>
        <w:autoSpaceDN w:val="0"/>
        <w:adjustRightInd w:val="0"/>
        <w:spacing w:before="120"/>
        <w:ind w:left="567"/>
        <w:jc w:val="both"/>
        <w:rPr>
          <w:sz w:val="22"/>
          <w:szCs w:val="22"/>
        </w:rPr>
      </w:pPr>
      <w:r w:rsidRPr="001F224B">
        <w:rPr>
          <w:sz w:val="22"/>
          <w:szCs w:val="22"/>
        </w:rPr>
        <w:t xml:space="preserve">6 Temmuz 2021 tarih ve 31533 sayılı Resmi Gazete’de yayımlanarak yürürlüğe giren “Kredilerin Sınıflandırılması ve Bunlar İçin Ayrılacak Karşılıklara İlişkin Usul ve Esaslar Hakkında Yönetmelikte Değişiklik Yapılmasına Dair Yönetmelik” kapsamında, “Beşinci Grup-Zarar Niteliğindeki Krediler” olarak sınıflandırılan ve ömür boyu beklenen kredi zararı karşılığı ayrılan kredilerin, geri kazanılmasına ilişkin makul beklentiler bulunmayan kısmı bu grupta sınıflandırılmalarını takip eden ilk raporlama döneminden itibaren TFRS 9 kapsamında Bankaca uygun görülen süre zarfında kayıtlardan düşülür. </w:t>
      </w:r>
      <w:r w:rsidR="004C0676" w:rsidRPr="001F224B">
        <w:rPr>
          <w:sz w:val="22"/>
          <w:szCs w:val="22"/>
        </w:rPr>
        <w:t>3</w:t>
      </w:r>
      <w:r w:rsidR="000C2351" w:rsidRPr="001F224B">
        <w:rPr>
          <w:sz w:val="22"/>
          <w:szCs w:val="22"/>
        </w:rPr>
        <w:t>0</w:t>
      </w:r>
      <w:r w:rsidR="004C0676" w:rsidRPr="001F224B">
        <w:rPr>
          <w:sz w:val="22"/>
          <w:szCs w:val="22"/>
        </w:rPr>
        <w:t xml:space="preserve"> </w:t>
      </w:r>
      <w:r w:rsidR="000C2351" w:rsidRPr="001F224B">
        <w:rPr>
          <w:sz w:val="22"/>
          <w:szCs w:val="22"/>
        </w:rPr>
        <w:t>Haziran</w:t>
      </w:r>
      <w:r w:rsidR="004C0676" w:rsidRPr="001F224B">
        <w:rPr>
          <w:sz w:val="22"/>
          <w:szCs w:val="22"/>
        </w:rPr>
        <w:t xml:space="preserve"> </w:t>
      </w:r>
      <w:r w:rsidRPr="001F224B">
        <w:rPr>
          <w:sz w:val="22"/>
          <w:szCs w:val="22"/>
        </w:rPr>
        <w:t>202</w:t>
      </w:r>
      <w:r w:rsidR="00F679B0" w:rsidRPr="001F224B">
        <w:rPr>
          <w:sz w:val="22"/>
          <w:szCs w:val="22"/>
        </w:rPr>
        <w:t>5</w:t>
      </w:r>
      <w:r w:rsidRPr="001F224B">
        <w:rPr>
          <w:sz w:val="22"/>
          <w:szCs w:val="22"/>
        </w:rPr>
        <w:t xml:space="preserve"> tarihi itibari ile </w:t>
      </w:r>
      <w:r w:rsidR="0099063E" w:rsidRPr="001F224B">
        <w:rPr>
          <w:sz w:val="22"/>
          <w:szCs w:val="22"/>
        </w:rPr>
        <w:t xml:space="preserve">Ana Ortaklık Banka’nın </w:t>
      </w:r>
      <w:r w:rsidRPr="001F224B">
        <w:rPr>
          <w:sz w:val="22"/>
          <w:szCs w:val="22"/>
        </w:rPr>
        <w:t>kayıtlardan düşülmüş kredisi bulunmamaktadır</w:t>
      </w:r>
      <w:r w:rsidR="004A55F8" w:rsidRPr="001F224B">
        <w:rPr>
          <w:sz w:val="22"/>
          <w:szCs w:val="22"/>
        </w:rPr>
        <w:t xml:space="preserve"> (31</w:t>
      </w:r>
      <w:r w:rsidR="006D4BEE" w:rsidRPr="001F224B">
        <w:rPr>
          <w:sz w:val="22"/>
          <w:szCs w:val="22"/>
        </w:rPr>
        <w:t xml:space="preserve"> Aralık </w:t>
      </w:r>
      <w:r w:rsidR="004A55F8" w:rsidRPr="001F224B">
        <w:rPr>
          <w:sz w:val="22"/>
          <w:szCs w:val="22"/>
        </w:rPr>
        <w:t>202</w:t>
      </w:r>
      <w:r w:rsidR="00F679B0" w:rsidRPr="001F224B">
        <w:rPr>
          <w:sz w:val="22"/>
          <w:szCs w:val="22"/>
        </w:rPr>
        <w:t>4</w:t>
      </w:r>
      <w:r w:rsidR="004A55F8" w:rsidRPr="001F224B">
        <w:rPr>
          <w:sz w:val="22"/>
          <w:szCs w:val="22"/>
        </w:rPr>
        <w:t>: Bulunmamaktadır)</w:t>
      </w:r>
      <w:r w:rsidRPr="001F224B">
        <w:rPr>
          <w:sz w:val="22"/>
          <w:szCs w:val="22"/>
        </w:rPr>
        <w:t>.</w:t>
      </w:r>
    </w:p>
    <w:p w14:paraId="455415F4" w14:textId="77777777" w:rsidR="00E575BC" w:rsidRPr="001F224B" w:rsidRDefault="00E575BC" w:rsidP="00E575BC">
      <w:pPr>
        <w:pStyle w:val="BodyTextIndent"/>
        <w:tabs>
          <w:tab w:val="left" w:pos="567"/>
        </w:tabs>
        <w:spacing w:before="120"/>
        <w:ind w:firstLine="0"/>
        <w:rPr>
          <w:b/>
          <w:bCs/>
          <w:sz w:val="22"/>
          <w:szCs w:val="22"/>
        </w:rPr>
      </w:pPr>
      <w:r w:rsidRPr="001F224B">
        <w:rPr>
          <w:b/>
          <w:bCs/>
          <w:sz w:val="22"/>
          <w:szCs w:val="22"/>
        </w:rPr>
        <w:t>2.2.</w:t>
      </w:r>
      <w:r w:rsidRPr="001F224B">
        <w:rPr>
          <w:b/>
          <w:bCs/>
          <w:sz w:val="22"/>
          <w:szCs w:val="22"/>
        </w:rPr>
        <w:tab/>
        <w:t>Kiralama işlemlerinden alacaklara ilişkin bilgiler (Net):</w:t>
      </w:r>
    </w:p>
    <w:p w14:paraId="6B143946" w14:textId="5C54FC77" w:rsidR="001417D3" w:rsidRPr="001F224B" w:rsidRDefault="00A94BA9" w:rsidP="001417D3">
      <w:pPr>
        <w:pStyle w:val="NormalWeb"/>
        <w:spacing w:before="120" w:beforeAutospacing="0" w:after="0" w:afterAutospacing="0"/>
        <w:ind w:left="567"/>
        <w:jc w:val="both"/>
        <w:rPr>
          <w:rFonts w:ascii="Times New Roman" w:cs="Times New Roman"/>
          <w:sz w:val="22"/>
          <w:szCs w:val="22"/>
          <w:lang w:val="tr-TR"/>
        </w:rPr>
      </w:pPr>
      <w:r w:rsidRPr="001F224B">
        <w:rPr>
          <w:rFonts w:ascii="Times New Roman" w:cs="Times New Roman"/>
          <w:sz w:val="22"/>
          <w:szCs w:val="22"/>
          <w:lang w:val="tr-TR"/>
        </w:rPr>
        <w:t>Grup’un</w:t>
      </w:r>
      <w:r w:rsidR="001417D3" w:rsidRPr="001F224B">
        <w:rPr>
          <w:rFonts w:ascii="Times New Roman" w:cs="Times New Roman"/>
          <w:sz w:val="22"/>
          <w:szCs w:val="22"/>
          <w:lang w:val="tr-TR"/>
        </w:rPr>
        <w:t xml:space="preserve"> kiralama işlemlerinden doğan alacak tutarı </w:t>
      </w:r>
      <w:r w:rsidR="00563933" w:rsidRPr="001F224B">
        <w:rPr>
          <w:rFonts w:ascii="Times New Roman" w:cs="Times New Roman"/>
          <w:sz w:val="22"/>
          <w:szCs w:val="22"/>
          <w:lang w:val="tr-TR"/>
        </w:rPr>
        <w:t>bulunmamaktadır</w:t>
      </w:r>
      <w:r w:rsidR="00E6451B" w:rsidRPr="001F224B">
        <w:rPr>
          <w:rFonts w:ascii="Times New Roman" w:cs="Times New Roman"/>
          <w:sz w:val="22"/>
          <w:szCs w:val="22"/>
          <w:lang w:val="tr-TR"/>
        </w:rPr>
        <w:t xml:space="preserve"> </w:t>
      </w:r>
      <w:r w:rsidR="001417D3" w:rsidRPr="001F224B">
        <w:rPr>
          <w:rFonts w:ascii="Times New Roman" w:cs="Times New Roman"/>
          <w:sz w:val="22"/>
          <w:szCs w:val="22"/>
          <w:lang w:val="tr-TR"/>
        </w:rPr>
        <w:t>(31 Aralık 202</w:t>
      </w:r>
      <w:r w:rsidR="00F679B0" w:rsidRPr="001F224B">
        <w:rPr>
          <w:rFonts w:ascii="Times New Roman" w:cs="Times New Roman"/>
          <w:sz w:val="22"/>
          <w:szCs w:val="22"/>
          <w:lang w:val="tr-TR"/>
        </w:rPr>
        <w:t>4</w:t>
      </w:r>
      <w:r w:rsidR="001417D3" w:rsidRPr="001F224B">
        <w:rPr>
          <w:rFonts w:ascii="Times New Roman" w:cs="Times New Roman"/>
          <w:sz w:val="22"/>
          <w:szCs w:val="22"/>
          <w:lang w:val="tr-TR"/>
        </w:rPr>
        <w:t>:</w:t>
      </w:r>
      <w:r w:rsidR="00E6451B" w:rsidRPr="001F224B">
        <w:rPr>
          <w:rFonts w:ascii="Times New Roman" w:cs="Times New Roman"/>
          <w:sz w:val="22"/>
          <w:szCs w:val="22"/>
          <w:lang w:val="tr-TR"/>
        </w:rPr>
        <w:t xml:space="preserve"> Bulunmamaktadır</w:t>
      </w:r>
      <w:r w:rsidR="001417D3" w:rsidRPr="001F224B">
        <w:rPr>
          <w:rFonts w:ascii="Times New Roman" w:cs="Times New Roman"/>
          <w:sz w:val="22"/>
          <w:szCs w:val="22"/>
          <w:lang w:val="tr-TR"/>
        </w:rPr>
        <w:t>).</w:t>
      </w:r>
    </w:p>
    <w:p w14:paraId="00319567" w14:textId="77777777" w:rsidR="00E575BC" w:rsidRPr="001F224B" w:rsidRDefault="00E575BC" w:rsidP="00E575BC">
      <w:pPr>
        <w:pStyle w:val="NormalWeb"/>
        <w:spacing w:before="120" w:beforeAutospacing="0" w:after="0" w:afterAutospacing="0"/>
        <w:ind w:left="546" w:hanging="546"/>
        <w:jc w:val="both"/>
        <w:rPr>
          <w:rFonts w:ascii="Times New Roman" w:cs="Times New Roman"/>
          <w:b/>
          <w:sz w:val="22"/>
          <w:szCs w:val="22"/>
          <w:lang w:val="tr-TR"/>
        </w:rPr>
      </w:pPr>
      <w:r w:rsidRPr="001F224B">
        <w:rPr>
          <w:rFonts w:ascii="Times New Roman" w:cs="Times New Roman"/>
          <w:b/>
          <w:sz w:val="22"/>
          <w:szCs w:val="22"/>
          <w:lang w:val="tr-TR"/>
        </w:rPr>
        <w:t>2.3.</w:t>
      </w:r>
      <w:r w:rsidRPr="001F224B">
        <w:rPr>
          <w:rFonts w:ascii="Times New Roman" w:cs="Times New Roman"/>
          <w:b/>
          <w:sz w:val="22"/>
          <w:szCs w:val="22"/>
          <w:lang w:val="tr-TR"/>
        </w:rPr>
        <w:tab/>
        <w:t>Faktoring alacaklara ilişkin bilgiler:</w:t>
      </w:r>
    </w:p>
    <w:p w14:paraId="6B9A3408" w14:textId="0B1403F6" w:rsidR="008C24A6" w:rsidRPr="001F224B" w:rsidRDefault="00E575BC" w:rsidP="00D439AF">
      <w:pPr>
        <w:pStyle w:val="NormalWeb"/>
        <w:spacing w:before="120" w:beforeAutospacing="0" w:after="0" w:afterAutospacing="0"/>
        <w:ind w:left="546"/>
        <w:jc w:val="both"/>
        <w:rPr>
          <w:rFonts w:ascii="Times New Roman" w:cs="Times New Roman"/>
          <w:sz w:val="22"/>
          <w:szCs w:val="22"/>
          <w:lang w:val="tr-TR"/>
        </w:rPr>
      </w:pPr>
      <w:r w:rsidRPr="001F224B">
        <w:rPr>
          <w:rFonts w:ascii="Times New Roman" w:cs="Times New Roman"/>
          <w:sz w:val="22"/>
          <w:szCs w:val="22"/>
          <w:lang w:val="tr-TR"/>
        </w:rPr>
        <w:t>Bulunmamaktadır.</w:t>
      </w:r>
    </w:p>
    <w:p w14:paraId="602A19D3" w14:textId="77777777" w:rsidR="00D439AF" w:rsidRPr="001F224B" w:rsidRDefault="00D439AF" w:rsidP="00B91474">
      <w:pPr>
        <w:pStyle w:val="Heading2"/>
        <w:numPr>
          <w:ilvl w:val="0"/>
          <w:numId w:val="0"/>
        </w:numPr>
        <w:tabs>
          <w:tab w:val="left" w:pos="567"/>
        </w:tabs>
        <w:spacing w:after="120"/>
        <w:jc w:val="both"/>
        <w:rPr>
          <w:rFonts w:ascii="Times New Roman" w:hAnsi="Times New Roman"/>
          <w:bCs w:val="0"/>
          <w:i w:val="0"/>
          <w:sz w:val="22"/>
          <w:szCs w:val="22"/>
        </w:rPr>
      </w:pPr>
    </w:p>
    <w:p w14:paraId="517D023A" w14:textId="77777777" w:rsidR="00D439AF" w:rsidRPr="001F224B" w:rsidRDefault="00D439AF" w:rsidP="00B91474">
      <w:pPr>
        <w:pStyle w:val="Heading2"/>
        <w:numPr>
          <w:ilvl w:val="0"/>
          <w:numId w:val="0"/>
        </w:numPr>
        <w:tabs>
          <w:tab w:val="left" w:pos="567"/>
        </w:tabs>
        <w:spacing w:after="120"/>
        <w:jc w:val="both"/>
        <w:rPr>
          <w:rFonts w:ascii="Times New Roman" w:hAnsi="Times New Roman"/>
          <w:bCs w:val="0"/>
          <w:i w:val="0"/>
          <w:sz w:val="22"/>
          <w:szCs w:val="22"/>
        </w:rPr>
      </w:pPr>
    </w:p>
    <w:p w14:paraId="6B022F14" w14:textId="0508EE5A" w:rsidR="00D439AF" w:rsidRPr="001F224B" w:rsidRDefault="00D439AF" w:rsidP="00B91474">
      <w:pPr>
        <w:pStyle w:val="Heading2"/>
        <w:numPr>
          <w:ilvl w:val="0"/>
          <w:numId w:val="0"/>
        </w:numPr>
        <w:tabs>
          <w:tab w:val="left" w:pos="567"/>
        </w:tabs>
        <w:spacing w:after="120"/>
        <w:jc w:val="both"/>
        <w:rPr>
          <w:rFonts w:ascii="Times New Roman" w:hAnsi="Times New Roman"/>
          <w:bCs w:val="0"/>
          <w:i w:val="0"/>
          <w:sz w:val="22"/>
          <w:szCs w:val="22"/>
        </w:rPr>
      </w:pPr>
    </w:p>
    <w:p w14:paraId="42ACB3BC" w14:textId="7678003F" w:rsidR="00E6451B" w:rsidRPr="001F224B" w:rsidRDefault="00E6451B" w:rsidP="00E6451B"/>
    <w:p w14:paraId="74AE5FA1" w14:textId="60978F4F" w:rsidR="00E6451B" w:rsidRPr="001F224B" w:rsidRDefault="00E6451B" w:rsidP="00E6451B"/>
    <w:p w14:paraId="3161B23A" w14:textId="0BFF1D76" w:rsidR="00E6451B" w:rsidRPr="001F224B" w:rsidRDefault="00E6451B" w:rsidP="00E6451B"/>
    <w:p w14:paraId="5519E8CB" w14:textId="5E04A509" w:rsidR="00E6451B" w:rsidRPr="001F224B" w:rsidRDefault="00E6451B" w:rsidP="00E6451B"/>
    <w:p w14:paraId="733C3CAF" w14:textId="68F0ED6C" w:rsidR="00E6451B" w:rsidRPr="001F224B" w:rsidRDefault="00E6451B" w:rsidP="00E6451B"/>
    <w:p w14:paraId="7DD13F24" w14:textId="5F705265" w:rsidR="00E6451B" w:rsidRPr="001F224B" w:rsidRDefault="00E6451B" w:rsidP="00E6451B"/>
    <w:p w14:paraId="7315D284" w14:textId="273A0C63" w:rsidR="00E6451B" w:rsidRPr="001F224B" w:rsidRDefault="00E6451B" w:rsidP="00E6451B"/>
    <w:p w14:paraId="78FA044F" w14:textId="2A843C71" w:rsidR="00E6451B" w:rsidRPr="001F224B" w:rsidRDefault="00E6451B" w:rsidP="00E6451B"/>
    <w:p w14:paraId="2E0F8AB3" w14:textId="77777777" w:rsidR="00E6451B" w:rsidRPr="001F224B" w:rsidRDefault="00E6451B" w:rsidP="00E6451B"/>
    <w:p w14:paraId="7947C4C4" w14:textId="77777777" w:rsidR="00C66806" w:rsidRPr="001F224B" w:rsidRDefault="00C66806" w:rsidP="00C66806"/>
    <w:p w14:paraId="23C03398" w14:textId="1370C1B9" w:rsidR="00AE60E1" w:rsidRPr="001F224B" w:rsidRDefault="00AE60E1">
      <w:pPr>
        <w:rPr>
          <w:b/>
          <w:iCs/>
          <w:sz w:val="22"/>
          <w:szCs w:val="22"/>
        </w:rPr>
      </w:pPr>
      <w:r w:rsidRPr="001F224B">
        <w:rPr>
          <w:bCs/>
          <w:i/>
          <w:sz w:val="22"/>
          <w:szCs w:val="22"/>
        </w:rPr>
        <w:br w:type="page"/>
      </w:r>
    </w:p>
    <w:p w14:paraId="46B8FF8F" w14:textId="77777777" w:rsidR="00FA04F8" w:rsidRPr="001F224B" w:rsidRDefault="00FA04F8" w:rsidP="00FA04F8">
      <w:pPr>
        <w:pStyle w:val="ListParagraph"/>
        <w:tabs>
          <w:tab w:val="left" w:pos="0"/>
        </w:tabs>
        <w:spacing w:before="120" w:after="120"/>
        <w:ind w:left="0"/>
        <w:rPr>
          <w:b/>
          <w:bCs/>
          <w:sz w:val="22"/>
          <w:szCs w:val="22"/>
        </w:rPr>
      </w:pPr>
      <w:r w:rsidRPr="001F224B">
        <w:rPr>
          <w:b/>
          <w:bCs/>
          <w:sz w:val="22"/>
          <w:szCs w:val="22"/>
        </w:rPr>
        <w:t>BEŞİNCİ BÖLÜM (Devamı)</w:t>
      </w:r>
    </w:p>
    <w:p w14:paraId="4230FBCC" w14:textId="77777777" w:rsidR="00FA04F8" w:rsidRPr="001F224B" w:rsidRDefault="00FA04F8" w:rsidP="00FA04F8">
      <w:pPr>
        <w:pStyle w:val="ListParagraph"/>
        <w:tabs>
          <w:tab w:val="left" w:pos="0"/>
        </w:tabs>
        <w:ind w:left="0"/>
        <w:rPr>
          <w:b/>
          <w:bCs/>
          <w:sz w:val="22"/>
          <w:szCs w:val="22"/>
        </w:rPr>
      </w:pPr>
      <w:r w:rsidRPr="001F224B">
        <w:rPr>
          <w:b/>
          <w:bCs/>
          <w:sz w:val="22"/>
          <w:szCs w:val="22"/>
        </w:rPr>
        <w:t>KONSOLİDE FİNANSAL TABLOLARA İLİŞKİN AÇIKLAMA VE DİPNOTLAR</w:t>
      </w:r>
      <w:r w:rsidRPr="001F224B" w:rsidDel="00FE322E">
        <w:rPr>
          <w:b/>
          <w:bCs/>
          <w:sz w:val="22"/>
          <w:szCs w:val="22"/>
        </w:rPr>
        <w:t xml:space="preserve"> </w:t>
      </w:r>
      <w:r w:rsidRPr="001F224B">
        <w:rPr>
          <w:b/>
          <w:bCs/>
          <w:sz w:val="22"/>
          <w:szCs w:val="22"/>
        </w:rPr>
        <w:t>(Devamı)</w:t>
      </w:r>
    </w:p>
    <w:p w14:paraId="6C389BB2" w14:textId="77777777" w:rsidR="00FA04F8" w:rsidRPr="001F224B" w:rsidRDefault="00FA04F8" w:rsidP="00FA04F8">
      <w:pPr>
        <w:pStyle w:val="Heading2"/>
        <w:numPr>
          <w:ilvl w:val="0"/>
          <w:numId w:val="0"/>
        </w:numPr>
        <w:tabs>
          <w:tab w:val="left" w:pos="567"/>
        </w:tabs>
        <w:jc w:val="both"/>
        <w:rPr>
          <w:rFonts w:ascii="Times New Roman" w:hAnsi="Times New Roman"/>
          <w:b w:val="0"/>
          <w:bCs w:val="0"/>
          <w:i w:val="0"/>
          <w:sz w:val="22"/>
          <w:szCs w:val="22"/>
        </w:rPr>
      </w:pPr>
      <w:r w:rsidRPr="001F224B">
        <w:rPr>
          <w:rFonts w:ascii="Times New Roman" w:hAnsi="Times New Roman"/>
          <w:bCs w:val="0"/>
          <w:i w:val="0"/>
          <w:sz w:val="22"/>
          <w:szCs w:val="22"/>
        </w:rPr>
        <w:t>I.</w:t>
      </w:r>
      <w:r w:rsidRPr="001F224B">
        <w:rPr>
          <w:rFonts w:ascii="Times New Roman" w:hAnsi="Times New Roman"/>
          <w:bCs w:val="0"/>
          <w:i w:val="0"/>
          <w:sz w:val="22"/>
          <w:szCs w:val="22"/>
        </w:rPr>
        <w:tab/>
        <w:t>Konsolide bilançonun aktif hesaplarına ilişkin açıklama ve dipnotlar (Devamı</w:t>
      </w:r>
      <w:r w:rsidRPr="001F224B">
        <w:rPr>
          <w:rFonts w:ascii="Times New Roman" w:hAnsi="Times New Roman"/>
          <w:b w:val="0"/>
          <w:bCs w:val="0"/>
          <w:i w:val="0"/>
          <w:sz w:val="22"/>
          <w:szCs w:val="22"/>
        </w:rPr>
        <w:t>):</w:t>
      </w:r>
    </w:p>
    <w:p w14:paraId="52B9ECA8" w14:textId="77777777" w:rsidR="00FA04F8" w:rsidRPr="001F224B" w:rsidRDefault="00FA04F8" w:rsidP="00FA04F8">
      <w:pPr>
        <w:pStyle w:val="NormalWeb"/>
        <w:spacing w:before="120" w:beforeAutospacing="0" w:after="0" w:afterAutospacing="0"/>
        <w:jc w:val="both"/>
        <w:rPr>
          <w:rFonts w:ascii="Times New Roman" w:cs="Times New Roman"/>
          <w:b/>
          <w:bCs/>
          <w:sz w:val="22"/>
          <w:szCs w:val="22"/>
          <w:lang w:val="tr-TR"/>
        </w:rPr>
      </w:pPr>
      <w:r w:rsidRPr="001F224B">
        <w:rPr>
          <w:rFonts w:ascii="Times New Roman" w:cs="Times New Roman"/>
          <w:b/>
          <w:bCs/>
          <w:sz w:val="22"/>
          <w:szCs w:val="22"/>
          <w:lang w:val="tr-TR"/>
        </w:rPr>
        <w:t>2.       İtfa edilmiş maliyeti ile ölçülen finansal varlıklara ilişkin açıklamalar (Devamı):</w:t>
      </w:r>
    </w:p>
    <w:p w14:paraId="2DD9DEC5" w14:textId="405B07BD" w:rsidR="00A859A1" w:rsidRPr="001F224B" w:rsidRDefault="00A859A1" w:rsidP="00A859A1">
      <w:pPr>
        <w:tabs>
          <w:tab w:val="left" w:pos="567"/>
        </w:tabs>
        <w:spacing w:before="120"/>
        <w:ind w:left="709" w:hanging="709"/>
        <w:jc w:val="both"/>
        <w:rPr>
          <w:b/>
          <w:iCs/>
          <w:sz w:val="22"/>
          <w:szCs w:val="22"/>
        </w:rPr>
      </w:pPr>
      <w:r w:rsidRPr="001F224B">
        <w:rPr>
          <w:b/>
          <w:iCs/>
          <w:sz w:val="22"/>
          <w:szCs w:val="22"/>
        </w:rPr>
        <w:t>2.</w:t>
      </w:r>
      <w:r w:rsidR="00E575BC" w:rsidRPr="001F224B">
        <w:rPr>
          <w:b/>
          <w:iCs/>
          <w:sz w:val="22"/>
          <w:szCs w:val="22"/>
        </w:rPr>
        <w:t>4</w:t>
      </w:r>
      <w:r w:rsidRPr="001F224B">
        <w:rPr>
          <w:b/>
          <w:iCs/>
          <w:sz w:val="22"/>
          <w:szCs w:val="22"/>
        </w:rPr>
        <w:t xml:space="preserve">.a) Repo işlemlerine konu olan </w:t>
      </w:r>
      <w:r w:rsidRPr="001F224B">
        <w:rPr>
          <w:b/>
          <w:bCs/>
          <w:iCs/>
          <w:sz w:val="22"/>
          <w:szCs w:val="22"/>
        </w:rPr>
        <w:t>itfa edilmiş maliyeti ile ölçülen</w:t>
      </w:r>
      <w:r w:rsidR="00935845" w:rsidRPr="001F224B">
        <w:rPr>
          <w:b/>
          <w:bCs/>
          <w:iCs/>
          <w:sz w:val="22"/>
          <w:szCs w:val="22"/>
        </w:rPr>
        <w:t xml:space="preserve"> diğer</w:t>
      </w:r>
      <w:r w:rsidRPr="001F224B">
        <w:rPr>
          <w:b/>
          <w:bCs/>
          <w:iCs/>
          <w:sz w:val="22"/>
          <w:szCs w:val="22"/>
        </w:rPr>
        <w:t xml:space="preserve"> finansal varlıklar devlet borçlanma </w:t>
      </w:r>
    </w:p>
    <w:p w14:paraId="1A440735" w14:textId="77777777" w:rsidR="00A859A1" w:rsidRPr="001F224B" w:rsidRDefault="00A859A1" w:rsidP="00A859A1">
      <w:pPr>
        <w:tabs>
          <w:tab w:val="left" w:pos="567"/>
        </w:tabs>
        <w:ind w:left="709" w:hanging="142"/>
        <w:jc w:val="both"/>
        <w:rPr>
          <w:b/>
          <w:iCs/>
          <w:sz w:val="22"/>
          <w:szCs w:val="22"/>
        </w:rPr>
      </w:pPr>
      <w:r w:rsidRPr="001F224B">
        <w:rPr>
          <w:b/>
          <w:bCs/>
          <w:iCs/>
          <w:sz w:val="22"/>
          <w:szCs w:val="22"/>
        </w:rPr>
        <w:t>senetlerine ilişkin bilgiler</w:t>
      </w:r>
      <w:r w:rsidRPr="001F224B">
        <w:rPr>
          <w:b/>
          <w:iCs/>
          <w:sz w:val="22"/>
          <w:szCs w:val="22"/>
        </w:rPr>
        <w:t>:</w:t>
      </w:r>
    </w:p>
    <w:p w14:paraId="3ED5355A" w14:textId="77777777" w:rsidR="00A859A1" w:rsidRPr="001F224B" w:rsidRDefault="00A859A1" w:rsidP="00A859A1">
      <w:pPr>
        <w:tabs>
          <w:tab w:val="left" w:pos="567"/>
        </w:tabs>
        <w:ind w:left="709" w:hanging="142"/>
        <w:jc w:val="both"/>
        <w:rPr>
          <w:b/>
          <w:iCs/>
          <w:sz w:val="8"/>
          <w:szCs w:val="8"/>
        </w:rPr>
      </w:pP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A859A1" w:rsidRPr="001F224B" w14:paraId="64A7ED17" w14:textId="77777777" w:rsidTr="0020447B">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46C80E9" w14:textId="77777777" w:rsidR="00A859A1" w:rsidRPr="001F224B" w:rsidRDefault="00A859A1" w:rsidP="0020447B">
            <w:pPr>
              <w:rPr>
                <w:sz w:val="20"/>
                <w:szCs w:val="20"/>
              </w:rPr>
            </w:pPr>
            <w:r w:rsidRPr="001F224B">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63385904" w14:textId="77777777" w:rsidR="004C0676" w:rsidRPr="001F224B" w:rsidRDefault="004C0676" w:rsidP="004C0676">
            <w:pPr>
              <w:jc w:val="center"/>
              <w:rPr>
                <w:b/>
                <w:bCs/>
                <w:color w:val="000000"/>
                <w:sz w:val="20"/>
                <w:szCs w:val="20"/>
              </w:rPr>
            </w:pPr>
            <w:r w:rsidRPr="001F224B">
              <w:rPr>
                <w:b/>
                <w:bCs/>
                <w:color w:val="000000"/>
                <w:sz w:val="20"/>
                <w:szCs w:val="20"/>
              </w:rPr>
              <w:t>Cari Dönem</w:t>
            </w:r>
          </w:p>
          <w:p w14:paraId="301DC176" w14:textId="689DEBBB" w:rsidR="00A859A1" w:rsidRPr="001F224B" w:rsidRDefault="004C0676" w:rsidP="004C0676">
            <w:pPr>
              <w:jc w:val="center"/>
              <w:rPr>
                <w:b/>
                <w:bCs/>
                <w:sz w:val="20"/>
                <w:szCs w:val="20"/>
              </w:rPr>
            </w:pPr>
            <w:r w:rsidRPr="001F224B">
              <w:rPr>
                <w:b/>
                <w:bCs/>
                <w:color w:val="000000"/>
                <w:sz w:val="20"/>
                <w:szCs w:val="20"/>
              </w:rPr>
              <w:t>(3</w:t>
            </w:r>
            <w:r w:rsidR="0096447A" w:rsidRPr="001F224B">
              <w:rPr>
                <w:b/>
                <w:bCs/>
                <w:color w:val="000000"/>
                <w:sz w:val="20"/>
                <w:szCs w:val="20"/>
              </w:rPr>
              <w:t>0</w:t>
            </w:r>
            <w:r w:rsidRPr="001F224B">
              <w:rPr>
                <w:b/>
                <w:bCs/>
                <w:color w:val="000000"/>
                <w:sz w:val="20"/>
                <w:szCs w:val="20"/>
              </w:rPr>
              <w:t>.</w:t>
            </w:r>
            <w:r w:rsidR="00E44A2A" w:rsidRPr="001F224B">
              <w:rPr>
                <w:b/>
                <w:bCs/>
                <w:color w:val="000000"/>
                <w:sz w:val="20"/>
                <w:szCs w:val="20"/>
              </w:rPr>
              <w:t>0</w:t>
            </w:r>
            <w:r w:rsidR="0096447A" w:rsidRPr="001F224B">
              <w:rPr>
                <w:b/>
                <w:bCs/>
                <w:color w:val="000000"/>
                <w:sz w:val="20"/>
                <w:szCs w:val="20"/>
              </w:rPr>
              <w:t>6</w:t>
            </w:r>
            <w:r w:rsidRPr="001F224B">
              <w:rPr>
                <w:b/>
                <w:bCs/>
                <w:color w:val="000000"/>
                <w:sz w:val="20"/>
                <w:szCs w:val="20"/>
              </w:rPr>
              <w:t>.202</w:t>
            </w:r>
            <w:r w:rsidR="00E44A2A" w:rsidRPr="001F224B">
              <w:rPr>
                <w:b/>
                <w:bCs/>
                <w:color w:val="000000"/>
                <w:sz w:val="20"/>
                <w:szCs w:val="20"/>
              </w:rPr>
              <w:t>5</w:t>
            </w:r>
            <w:r w:rsidRPr="001F224B">
              <w:rPr>
                <w:b/>
                <w:bCs/>
                <w:color w:val="000000"/>
                <w:sz w:val="20"/>
                <w:szCs w:val="20"/>
              </w:rPr>
              <w:t>)</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0939C0B" w14:textId="77777777" w:rsidR="00A859A1" w:rsidRPr="001F224B" w:rsidRDefault="00A859A1" w:rsidP="0020447B">
            <w:pPr>
              <w:jc w:val="center"/>
              <w:rPr>
                <w:b/>
                <w:bCs/>
                <w:sz w:val="20"/>
                <w:szCs w:val="20"/>
              </w:rPr>
            </w:pPr>
            <w:r w:rsidRPr="001F224B">
              <w:rPr>
                <w:b/>
                <w:bCs/>
                <w:sz w:val="20"/>
                <w:szCs w:val="20"/>
              </w:rPr>
              <w:t xml:space="preserve">Önceki Dönem </w:t>
            </w:r>
          </w:p>
          <w:p w14:paraId="39D6131C" w14:textId="5A518301" w:rsidR="00A859A1" w:rsidRPr="001F224B" w:rsidRDefault="00A859A1" w:rsidP="0020447B">
            <w:pPr>
              <w:jc w:val="center"/>
              <w:rPr>
                <w:b/>
                <w:bCs/>
                <w:sz w:val="20"/>
                <w:szCs w:val="20"/>
              </w:rPr>
            </w:pPr>
            <w:r w:rsidRPr="001F224B">
              <w:rPr>
                <w:b/>
                <w:bCs/>
                <w:sz w:val="20"/>
                <w:szCs w:val="20"/>
              </w:rPr>
              <w:t xml:space="preserve"> (31.12.202</w:t>
            </w:r>
            <w:r w:rsidR="00E44A2A" w:rsidRPr="001F224B">
              <w:rPr>
                <w:b/>
                <w:bCs/>
                <w:sz w:val="20"/>
                <w:szCs w:val="20"/>
              </w:rPr>
              <w:t>4</w:t>
            </w:r>
            <w:r w:rsidRPr="001F224B">
              <w:rPr>
                <w:b/>
                <w:bCs/>
                <w:sz w:val="20"/>
                <w:szCs w:val="20"/>
              </w:rPr>
              <w:t>)</w:t>
            </w:r>
          </w:p>
        </w:tc>
      </w:tr>
      <w:tr w:rsidR="00B4728A" w:rsidRPr="001F224B" w14:paraId="77116204" w14:textId="77777777" w:rsidTr="00012388">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193F8172" w14:textId="77777777" w:rsidR="00B4728A" w:rsidRPr="001F224B" w:rsidRDefault="00B4728A" w:rsidP="00B4728A">
            <w:pPr>
              <w:ind w:firstLineChars="200" w:firstLine="400"/>
              <w:rPr>
                <w:sz w:val="20"/>
                <w:szCs w:val="20"/>
              </w:rPr>
            </w:pPr>
            <w:r w:rsidRPr="001F224B">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455B015" w14:textId="1F7E4DF1" w:rsidR="00B4728A" w:rsidRPr="001F224B" w:rsidRDefault="00B4728A" w:rsidP="00B4728A">
            <w:pPr>
              <w:jc w:val="right"/>
              <w:rPr>
                <w:sz w:val="20"/>
                <w:szCs w:val="20"/>
              </w:rPr>
            </w:pPr>
            <w:r w:rsidRPr="001F224B">
              <w:rPr>
                <w:color w:val="000000"/>
                <w:sz w:val="20"/>
                <w:szCs w:val="20"/>
              </w:rPr>
              <w:t>3.326.561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650DBE9" w14:textId="110270D3" w:rsidR="00B4728A" w:rsidRPr="001F224B" w:rsidRDefault="00B4728A" w:rsidP="00B4728A">
            <w:pPr>
              <w:jc w:val="right"/>
              <w:rPr>
                <w:sz w:val="20"/>
                <w:szCs w:val="20"/>
              </w:rPr>
            </w:pPr>
            <w:r w:rsidRPr="001F224B">
              <w:rPr>
                <w:sz w:val="20"/>
                <w:szCs w:val="20"/>
              </w:rPr>
              <w:t>2.576.811</w:t>
            </w:r>
          </w:p>
        </w:tc>
      </w:tr>
      <w:tr w:rsidR="00B4728A" w:rsidRPr="001F224B" w14:paraId="21767064" w14:textId="77777777" w:rsidTr="00012388">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0EA34A0" w14:textId="77777777" w:rsidR="00B4728A" w:rsidRPr="001F224B" w:rsidRDefault="00B4728A" w:rsidP="00B4728A">
            <w:pPr>
              <w:ind w:firstLineChars="200" w:firstLine="400"/>
              <w:rPr>
                <w:sz w:val="20"/>
                <w:szCs w:val="20"/>
              </w:rPr>
            </w:pPr>
            <w:r w:rsidRPr="001F224B">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63F1E405" w14:textId="2893AC0B" w:rsidR="00B4728A" w:rsidRPr="001F224B" w:rsidRDefault="00B4728A" w:rsidP="00B4728A">
            <w:pPr>
              <w:jc w:val="right"/>
              <w:rPr>
                <w:sz w:val="20"/>
                <w:szCs w:val="20"/>
              </w:rPr>
            </w:pPr>
            <w:r w:rsidRPr="001F224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1C5846F" w14:textId="463C3A4C" w:rsidR="00B4728A" w:rsidRPr="001F224B" w:rsidRDefault="00B4728A" w:rsidP="00B4728A">
            <w:pPr>
              <w:jc w:val="right"/>
              <w:rPr>
                <w:sz w:val="20"/>
                <w:szCs w:val="20"/>
              </w:rPr>
            </w:pPr>
            <w:r w:rsidRPr="001F224B">
              <w:rPr>
                <w:sz w:val="20"/>
                <w:szCs w:val="20"/>
              </w:rPr>
              <w:t>- </w:t>
            </w:r>
          </w:p>
        </w:tc>
      </w:tr>
      <w:tr w:rsidR="00B4728A" w:rsidRPr="001F224B" w14:paraId="37494D18" w14:textId="77777777" w:rsidTr="008C65A8">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57C26C8A" w14:textId="77777777" w:rsidR="00B4728A" w:rsidRPr="001F224B" w:rsidRDefault="00B4728A" w:rsidP="00B4728A">
            <w:pPr>
              <w:ind w:firstLineChars="200" w:firstLine="400"/>
              <w:rPr>
                <w:sz w:val="20"/>
                <w:szCs w:val="20"/>
              </w:rPr>
            </w:pPr>
            <w:r w:rsidRPr="001F224B">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58CADD85" w14:textId="47CC855E" w:rsidR="00B4728A" w:rsidRPr="001F224B" w:rsidRDefault="00B4728A" w:rsidP="00B4728A">
            <w:pPr>
              <w:jc w:val="right"/>
              <w:rPr>
                <w:sz w:val="20"/>
                <w:szCs w:val="20"/>
              </w:rPr>
            </w:pPr>
            <w:r w:rsidRPr="001F224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9A12D07" w14:textId="6F353384" w:rsidR="00B4728A" w:rsidRPr="001F224B" w:rsidRDefault="00B4728A" w:rsidP="00B4728A">
            <w:pPr>
              <w:jc w:val="right"/>
              <w:rPr>
                <w:sz w:val="20"/>
                <w:szCs w:val="20"/>
              </w:rPr>
            </w:pPr>
            <w:r w:rsidRPr="001F224B">
              <w:rPr>
                <w:sz w:val="20"/>
                <w:szCs w:val="20"/>
              </w:rPr>
              <w:t>- </w:t>
            </w:r>
          </w:p>
        </w:tc>
      </w:tr>
      <w:tr w:rsidR="00B4728A" w:rsidRPr="001F224B" w14:paraId="4C7410A3" w14:textId="77777777" w:rsidTr="008C65A8">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21F6CC2" w14:textId="77777777" w:rsidR="00B4728A" w:rsidRPr="001F224B" w:rsidRDefault="00B4728A" w:rsidP="00B4728A">
            <w:pPr>
              <w:rPr>
                <w:b/>
                <w:sz w:val="20"/>
                <w:szCs w:val="20"/>
              </w:rPr>
            </w:pPr>
            <w:r w:rsidRPr="001F224B">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5A9C1C8D" w14:textId="0E06E6E5" w:rsidR="00B4728A" w:rsidRPr="001F224B" w:rsidRDefault="00B4728A" w:rsidP="00B4728A">
            <w:pPr>
              <w:jc w:val="right"/>
              <w:rPr>
                <w:b/>
                <w:sz w:val="20"/>
                <w:szCs w:val="20"/>
              </w:rPr>
            </w:pPr>
            <w:r w:rsidRPr="001F224B">
              <w:rPr>
                <w:b/>
                <w:bCs/>
                <w:color w:val="000000"/>
                <w:sz w:val="20"/>
                <w:szCs w:val="20"/>
              </w:rPr>
              <w:t>3.326.561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2003167" w14:textId="73C1F532" w:rsidR="00B4728A" w:rsidRPr="001F224B" w:rsidRDefault="00B4728A" w:rsidP="00B4728A">
            <w:pPr>
              <w:jc w:val="right"/>
              <w:rPr>
                <w:b/>
                <w:sz w:val="20"/>
                <w:szCs w:val="20"/>
              </w:rPr>
            </w:pPr>
            <w:r w:rsidRPr="001F224B">
              <w:rPr>
                <w:b/>
                <w:bCs/>
                <w:sz w:val="20"/>
                <w:szCs w:val="20"/>
              </w:rPr>
              <w:t>2.576.811</w:t>
            </w:r>
          </w:p>
        </w:tc>
      </w:tr>
    </w:tbl>
    <w:p w14:paraId="2805BAE5" w14:textId="48613BB0" w:rsidR="00A859A1" w:rsidRPr="001F224B" w:rsidRDefault="00A859A1" w:rsidP="00FD51E6">
      <w:pPr>
        <w:tabs>
          <w:tab w:val="left" w:pos="567"/>
        </w:tabs>
        <w:spacing w:before="120" w:line="276" w:lineRule="auto"/>
        <w:ind w:left="567" w:hanging="567"/>
        <w:jc w:val="both"/>
        <w:rPr>
          <w:b/>
          <w:iCs/>
          <w:sz w:val="22"/>
          <w:szCs w:val="22"/>
        </w:rPr>
      </w:pPr>
      <w:r w:rsidRPr="001F224B">
        <w:rPr>
          <w:b/>
          <w:iCs/>
          <w:sz w:val="22"/>
          <w:szCs w:val="22"/>
        </w:rPr>
        <w:t>2.</w:t>
      </w:r>
      <w:r w:rsidR="00E575BC" w:rsidRPr="001F224B">
        <w:rPr>
          <w:b/>
          <w:iCs/>
          <w:sz w:val="22"/>
          <w:szCs w:val="22"/>
        </w:rPr>
        <w:t>4</w:t>
      </w:r>
      <w:r w:rsidRPr="001F224B">
        <w:rPr>
          <w:b/>
          <w:iCs/>
          <w:sz w:val="22"/>
          <w:szCs w:val="22"/>
        </w:rPr>
        <w:t xml:space="preserve">.b) </w:t>
      </w:r>
      <w:r w:rsidR="00FD51E6" w:rsidRPr="001F224B">
        <w:rPr>
          <w:b/>
          <w:iCs/>
          <w:sz w:val="22"/>
          <w:szCs w:val="22"/>
        </w:rPr>
        <w:t xml:space="preserve">Teminata verilen/bloke edilen </w:t>
      </w:r>
      <w:r w:rsidR="00FD51E6" w:rsidRPr="001F224B">
        <w:rPr>
          <w:b/>
          <w:bCs/>
          <w:iCs/>
          <w:sz w:val="22"/>
          <w:szCs w:val="22"/>
        </w:rPr>
        <w:t>itfa edilmiş maliyeti ile ölçülen diğer finansal varlıklar devlet borçlanma senetlerine ilişkin bilgiler</w:t>
      </w:r>
      <w:r w:rsidR="00FD51E6" w:rsidRPr="001F224B">
        <w:rPr>
          <w:b/>
          <w:iCs/>
          <w:sz w:val="22"/>
          <w:szCs w:val="22"/>
        </w:rPr>
        <w:t>:</w:t>
      </w: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A859A1" w:rsidRPr="001F224B" w14:paraId="0D8F2119" w14:textId="77777777" w:rsidTr="0020447B">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EDFBBAE" w14:textId="77777777" w:rsidR="00A859A1" w:rsidRPr="001F224B" w:rsidRDefault="00A859A1" w:rsidP="0020447B">
            <w:pPr>
              <w:rPr>
                <w:sz w:val="20"/>
                <w:szCs w:val="20"/>
              </w:rPr>
            </w:pPr>
            <w:r w:rsidRPr="001F224B">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17CD0B4F" w14:textId="77777777" w:rsidR="004C0676" w:rsidRPr="001F224B" w:rsidRDefault="004C0676" w:rsidP="004C0676">
            <w:pPr>
              <w:jc w:val="center"/>
              <w:rPr>
                <w:b/>
                <w:bCs/>
                <w:color w:val="000000"/>
                <w:sz w:val="20"/>
                <w:szCs w:val="20"/>
              </w:rPr>
            </w:pPr>
            <w:r w:rsidRPr="001F224B">
              <w:rPr>
                <w:b/>
                <w:bCs/>
                <w:color w:val="000000"/>
                <w:sz w:val="20"/>
                <w:szCs w:val="20"/>
              </w:rPr>
              <w:t>Cari Dönem</w:t>
            </w:r>
          </w:p>
          <w:p w14:paraId="12136E20" w14:textId="5A993D01" w:rsidR="00A859A1" w:rsidRPr="001F224B" w:rsidRDefault="004C0676" w:rsidP="004C0676">
            <w:pPr>
              <w:jc w:val="center"/>
              <w:rPr>
                <w:b/>
                <w:bCs/>
                <w:sz w:val="20"/>
                <w:szCs w:val="20"/>
              </w:rPr>
            </w:pPr>
            <w:r w:rsidRPr="001F224B">
              <w:rPr>
                <w:b/>
                <w:bCs/>
                <w:color w:val="000000"/>
                <w:sz w:val="20"/>
                <w:szCs w:val="20"/>
              </w:rPr>
              <w:t>(3</w:t>
            </w:r>
            <w:r w:rsidR="0096447A" w:rsidRPr="001F224B">
              <w:rPr>
                <w:b/>
                <w:bCs/>
                <w:color w:val="000000"/>
                <w:sz w:val="20"/>
                <w:szCs w:val="20"/>
              </w:rPr>
              <w:t>0</w:t>
            </w:r>
            <w:r w:rsidRPr="001F224B">
              <w:rPr>
                <w:b/>
                <w:bCs/>
                <w:color w:val="000000"/>
                <w:sz w:val="20"/>
                <w:szCs w:val="20"/>
              </w:rPr>
              <w:t>.</w:t>
            </w:r>
            <w:r w:rsidR="00E44A2A" w:rsidRPr="001F224B">
              <w:rPr>
                <w:b/>
                <w:bCs/>
                <w:color w:val="000000"/>
                <w:sz w:val="20"/>
                <w:szCs w:val="20"/>
              </w:rPr>
              <w:t>0</w:t>
            </w:r>
            <w:r w:rsidR="0096447A" w:rsidRPr="001F224B">
              <w:rPr>
                <w:b/>
                <w:bCs/>
                <w:color w:val="000000"/>
                <w:sz w:val="20"/>
                <w:szCs w:val="20"/>
              </w:rPr>
              <w:t>6</w:t>
            </w:r>
            <w:r w:rsidRPr="001F224B">
              <w:rPr>
                <w:b/>
                <w:bCs/>
                <w:color w:val="000000"/>
                <w:sz w:val="20"/>
                <w:szCs w:val="20"/>
              </w:rPr>
              <w:t>.202</w:t>
            </w:r>
            <w:r w:rsidR="00E44A2A" w:rsidRPr="001F224B">
              <w:rPr>
                <w:b/>
                <w:bCs/>
                <w:color w:val="000000"/>
                <w:sz w:val="20"/>
                <w:szCs w:val="20"/>
              </w:rPr>
              <w:t>5</w:t>
            </w:r>
            <w:r w:rsidRPr="001F224B">
              <w:rPr>
                <w:b/>
                <w:bCs/>
                <w:color w:val="000000"/>
                <w:sz w:val="20"/>
                <w:szCs w:val="20"/>
              </w:rPr>
              <w:t>)</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E74891C" w14:textId="77777777" w:rsidR="00A859A1" w:rsidRPr="001F224B" w:rsidRDefault="00A859A1" w:rsidP="0020447B">
            <w:pPr>
              <w:jc w:val="center"/>
              <w:rPr>
                <w:b/>
                <w:bCs/>
                <w:sz w:val="20"/>
                <w:szCs w:val="20"/>
              </w:rPr>
            </w:pPr>
            <w:r w:rsidRPr="001F224B">
              <w:rPr>
                <w:b/>
                <w:bCs/>
                <w:sz w:val="20"/>
                <w:szCs w:val="20"/>
              </w:rPr>
              <w:t xml:space="preserve">Önceki Dönem </w:t>
            </w:r>
          </w:p>
          <w:p w14:paraId="27BCB597" w14:textId="4D586D31" w:rsidR="00A859A1" w:rsidRPr="001F224B" w:rsidRDefault="00A859A1" w:rsidP="0020447B">
            <w:pPr>
              <w:jc w:val="center"/>
              <w:rPr>
                <w:b/>
                <w:bCs/>
                <w:sz w:val="20"/>
                <w:szCs w:val="20"/>
              </w:rPr>
            </w:pPr>
            <w:r w:rsidRPr="001F224B">
              <w:rPr>
                <w:b/>
                <w:bCs/>
                <w:sz w:val="20"/>
                <w:szCs w:val="20"/>
              </w:rPr>
              <w:t xml:space="preserve"> (31.12.202</w:t>
            </w:r>
            <w:r w:rsidR="00E44A2A" w:rsidRPr="001F224B">
              <w:rPr>
                <w:b/>
                <w:bCs/>
                <w:sz w:val="20"/>
                <w:szCs w:val="20"/>
              </w:rPr>
              <w:t>4</w:t>
            </w:r>
            <w:r w:rsidRPr="001F224B">
              <w:rPr>
                <w:b/>
                <w:bCs/>
                <w:sz w:val="20"/>
                <w:szCs w:val="20"/>
              </w:rPr>
              <w:t>)</w:t>
            </w:r>
          </w:p>
        </w:tc>
      </w:tr>
      <w:tr w:rsidR="00B4728A" w:rsidRPr="001F224B" w14:paraId="217E0107" w14:textId="77777777" w:rsidTr="00F7380D">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46F57B3F" w14:textId="77777777" w:rsidR="00B4728A" w:rsidRPr="001F224B" w:rsidRDefault="00B4728A" w:rsidP="00B4728A">
            <w:pPr>
              <w:ind w:firstLineChars="200" w:firstLine="400"/>
              <w:rPr>
                <w:sz w:val="20"/>
                <w:szCs w:val="20"/>
              </w:rPr>
            </w:pPr>
            <w:r w:rsidRPr="001F224B">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5285FE72" w14:textId="1F0E4069" w:rsidR="00B4728A" w:rsidRPr="001F224B" w:rsidRDefault="00B4728A" w:rsidP="00B4728A">
            <w:pPr>
              <w:jc w:val="right"/>
              <w:rPr>
                <w:sz w:val="20"/>
                <w:szCs w:val="20"/>
              </w:rPr>
            </w:pPr>
            <w:r w:rsidRPr="001F224B">
              <w:rPr>
                <w:color w:val="000000"/>
                <w:sz w:val="20"/>
                <w:szCs w:val="20"/>
              </w:rPr>
              <w:t>2.984.216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97F3E17" w14:textId="71CB5F64" w:rsidR="00B4728A" w:rsidRPr="001F224B" w:rsidRDefault="00B4728A" w:rsidP="00B4728A">
            <w:pPr>
              <w:jc w:val="right"/>
              <w:rPr>
                <w:sz w:val="20"/>
                <w:szCs w:val="20"/>
              </w:rPr>
            </w:pPr>
            <w:r w:rsidRPr="001F224B">
              <w:rPr>
                <w:sz w:val="20"/>
                <w:szCs w:val="20"/>
              </w:rPr>
              <w:t>3.446.168</w:t>
            </w:r>
          </w:p>
        </w:tc>
      </w:tr>
      <w:tr w:rsidR="00B4728A" w:rsidRPr="001F224B" w14:paraId="559294E1" w14:textId="77777777" w:rsidTr="00F7380D">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9FA2901" w14:textId="77777777" w:rsidR="00B4728A" w:rsidRPr="001F224B" w:rsidRDefault="00B4728A" w:rsidP="00B4728A">
            <w:pPr>
              <w:ind w:firstLineChars="200" w:firstLine="400"/>
              <w:rPr>
                <w:sz w:val="20"/>
                <w:szCs w:val="20"/>
              </w:rPr>
            </w:pPr>
            <w:r w:rsidRPr="001F224B">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D0405CD" w14:textId="58234D3D" w:rsidR="00B4728A" w:rsidRPr="001F224B" w:rsidRDefault="00B4728A" w:rsidP="00B4728A">
            <w:pPr>
              <w:jc w:val="right"/>
              <w:rPr>
                <w:sz w:val="20"/>
                <w:szCs w:val="20"/>
              </w:rPr>
            </w:pPr>
            <w:r w:rsidRPr="001F224B">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6E5F3574" w14:textId="77093E3E" w:rsidR="00B4728A" w:rsidRPr="001F224B" w:rsidRDefault="00B4728A" w:rsidP="00B4728A">
            <w:pPr>
              <w:jc w:val="right"/>
              <w:rPr>
                <w:sz w:val="20"/>
                <w:szCs w:val="20"/>
              </w:rPr>
            </w:pPr>
            <w:r w:rsidRPr="001F224B">
              <w:rPr>
                <w:sz w:val="20"/>
                <w:szCs w:val="20"/>
              </w:rPr>
              <w:t>- </w:t>
            </w:r>
          </w:p>
        </w:tc>
      </w:tr>
      <w:tr w:rsidR="00B4728A" w:rsidRPr="001F224B" w14:paraId="5B201379" w14:textId="77777777" w:rsidTr="0098305E">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36671BF" w14:textId="77777777" w:rsidR="00B4728A" w:rsidRPr="001F224B" w:rsidRDefault="00B4728A" w:rsidP="00B4728A">
            <w:pPr>
              <w:ind w:firstLineChars="200" w:firstLine="400"/>
              <w:rPr>
                <w:sz w:val="20"/>
                <w:szCs w:val="20"/>
              </w:rPr>
            </w:pPr>
            <w:r w:rsidRPr="001F224B">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C26AFD0" w14:textId="6CEF90E4" w:rsidR="00B4728A" w:rsidRPr="001F224B" w:rsidRDefault="00B4728A" w:rsidP="00B4728A">
            <w:pPr>
              <w:jc w:val="right"/>
              <w:rPr>
                <w:sz w:val="20"/>
                <w:szCs w:val="20"/>
              </w:rPr>
            </w:pPr>
            <w:r w:rsidRPr="001F224B">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333891E" w14:textId="493A444A" w:rsidR="00B4728A" w:rsidRPr="001F224B" w:rsidRDefault="00B4728A" w:rsidP="00B4728A">
            <w:pPr>
              <w:jc w:val="right"/>
              <w:rPr>
                <w:sz w:val="20"/>
                <w:szCs w:val="20"/>
              </w:rPr>
            </w:pPr>
            <w:r w:rsidRPr="001F224B">
              <w:rPr>
                <w:sz w:val="20"/>
                <w:szCs w:val="20"/>
              </w:rPr>
              <w:t>- </w:t>
            </w:r>
          </w:p>
        </w:tc>
      </w:tr>
      <w:tr w:rsidR="00B4728A" w:rsidRPr="001F224B" w14:paraId="33905F86" w14:textId="77777777" w:rsidTr="003C5826">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897DF0C" w14:textId="77777777" w:rsidR="00B4728A" w:rsidRPr="001F224B" w:rsidRDefault="00B4728A" w:rsidP="00B4728A">
            <w:pPr>
              <w:rPr>
                <w:b/>
                <w:sz w:val="20"/>
                <w:szCs w:val="20"/>
              </w:rPr>
            </w:pPr>
            <w:r w:rsidRPr="001F224B">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7554C43F" w14:textId="4F9EE360" w:rsidR="00B4728A" w:rsidRPr="001F224B" w:rsidRDefault="00B4728A" w:rsidP="00B4728A">
            <w:pPr>
              <w:jc w:val="right"/>
              <w:rPr>
                <w:b/>
                <w:sz w:val="20"/>
                <w:szCs w:val="20"/>
              </w:rPr>
            </w:pPr>
            <w:r w:rsidRPr="001F224B">
              <w:rPr>
                <w:b/>
                <w:bCs/>
                <w:color w:val="000000"/>
                <w:sz w:val="20"/>
                <w:szCs w:val="20"/>
              </w:rPr>
              <w:t>2.984.216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FF98C83" w14:textId="4000B849" w:rsidR="00B4728A" w:rsidRPr="001F224B" w:rsidRDefault="00B4728A" w:rsidP="00B4728A">
            <w:pPr>
              <w:jc w:val="right"/>
              <w:rPr>
                <w:b/>
                <w:sz w:val="20"/>
                <w:szCs w:val="20"/>
              </w:rPr>
            </w:pPr>
            <w:r w:rsidRPr="001F224B">
              <w:rPr>
                <w:b/>
                <w:bCs/>
                <w:sz w:val="20"/>
                <w:szCs w:val="20"/>
              </w:rPr>
              <w:t>3.446.168</w:t>
            </w:r>
          </w:p>
        </w:tc>
      </w:tr>
    </w:tbl>
    <w:p w14:paraId="4C693EC4" w14:textId="77777777" w:rsidR="00ED1FCF" w:rsidRPr="001F224B" w:rsidRDefault="00ED1FCF" w:rsidP="00ED1FCF">
      <w:pPr>
        <w:tabs>
          <w:tab w:val="left" w:pos="540"/>
        </w:tabs>
        <w:spacing w:before="120" w:after="120"/>
        <w:jc w:val="both"/>
        <w:rPr>
          <w:b/>
          <w:bCs/>
          <w:sz w:val="22"/>
          <w:szCs w:val="22"/>
        </w:rPr>
      </w:pPr>
      <w:r w:rsidRPr="001F224B">
        <w:rPr>
          <w:b/>
          <w:iCs/>
          <w:sz w:val="22"/>
          <w:szCs w:val="22"/>
        </w:rPr>
        <w:t>2.4.c</w:t>
      </w:r>
      <w:r w:rsidRPr="001F224B">
        <w:rPr>
          <w:b/>
          <w:bCs/>
          <w:sz w:val="22"/>
          <w:szCs w:val="22"/>
        </w:rPr>
        <w:t>)</w:t>
      </w:r>
      <w:r w:rsidRPr="001F224B">
        <w:rPr>
          <w:b/>
          <w:bCs/>
          <w:sz w:val="22"/>
          <w:szCs w:val="22"/>
        </w:rPr>
        <w:tab/>
        <w:t xml:space="preserve"> İtfa edilmiş maliyeti ile ölçülen devlet borçlanma senetlerine ilişkin bilgiler:</w:t>
      </w:r>
    </w:p>
    <w:tbl>
      <w:tblPr>
        <w:tblW w:w="9829" w:type="dxa"/>
        <w:tblInd w:w="-5" w:type="dxa"/>
        <w:tblLayout w:type="fixed"/>
        <w:tblCellMar>
          <w:left w:w="70" w:type="dxa"/>
          <w:right w:w="70" w:type="dxa"/>
        </w:tblCellMar>
        <w:tblLook w:val="0000" w:firstRow="0" w:lastRow="0" w:firstColumn="0" w:lastColumn="0" w:noHBand="0" w:noVBand="0"/>
      </w:tblPr>
      <w:tblGrid>
        <w:gridCol w:w="4998"/>
        <w:gridCol w:w="2491"/>
        <w:gridCol w:w="2340"/>
      </w:tblGrid>
      <w:tr w:rsidR="00ED1FCF" w:rsidRPr="001F224B" w14:paraId="7CD18FD9" w14:textId="77777777" w:rsidTr="00DD77E8">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99D37F" w14:textId="77777777" w:rsidR="00ED1FCF" w:rsidRPr="001F224B" w:rsidRDefault="00ED1FCF" w:rsidP="00DD77E8">
            <w:pPr>
              <w:rPr>
                <w:sz w:val="20"/>
                <w:szCs w:val="20"/>
              </w:rPr>
            </w:pPr>
            <w:r w:rsidRPr="001F224B">
              <w:rPr>
                <w:sz w:val="20"/>
                <w:szCs w:val="20"/>
              </w:rPr>
              <w:t> </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3453975D" w14:textId="77777777" w:rsidR="00ED1FCF" w:rsidRPr="001F224B" w:rsidRDefault="00ED1FCF" w:rsidP="00DD77E8">
            <w:pPr>
              <w:jc w:val="center"/>
              <w:rPr>
                <w:b/>
                <w:bCs/>
                <w:sz w:val="20"/>
                <w:szCs w:val="20"/>
              </w:rPr>
            </w:pPr>
            <w:r w:rsidRPr="001F224B">
              <w:rPr>
                <w:b/>
                <w:bCs/>
                <w:sz w:val="20"/>
                <w:szCs w:val="20"/>
              </w:rPr>
              <w:t>Cari Dönem</w:t>
            </w:r>
          </w:p>
          <w:p w14:paraId="05E297BE" w14:textId="33E225A7" w:rsidR="00ED1FCF" w:rsidRPr="001F224B" w:rsidRDefault="00ED1FCF" w:rsidP="00DD77E8">
            <w:pPr>
              <w:jc w:val="center"/>
              <w:rPr>
                <w:b/>
                <w:bCs/>
                <w:sz w:val="20"/>
                <w:szCs w:val="20"/>
              </w:rPr>
            </w:pPr>
            <w:r w:rsidRPr="001F224B">
              <w:rPr>
                <w:b/>
                <w:bCs/>
                <w:sz w:val="20"/>
                <w:szCs w:val="20"/>
              </w:rPr>
              <w:t>(3</w:t>
            </w:r>
            <w:r w:rsidR="0096447A" w:rsidRPr="001F224B">
              <w:rPr>
                <w:b/>
                <w:bCs/>
                <w:sz w:val="20"/>
                <w:szCs w:val="20"/>
              </w:rPr>
              <w:t>0</w:t>
            </w:r>
            <w:r w:rsidRPr="001F224B">
              <w:rPr>
                <w:b/>
                <w:bCs/>
                <w:sz w:val="20"/>
                <w:szCs w:val="20"/>
              </w:rPr>
              <w:t>.0</w:t>
            </w:r>
            <w:r w:rsidR="0096447A" w:rsidRPr="001F224B">
              <w:rPr>
                <w:b/>
                <w:bCs/>
                <w:sz w:val="20"/>
                <w:szCs w:val="20"/>
              </w:rPr>
              <w:t>6</w:t>
            </w:r>
            <w:r w:rsidRPr="001F224B">
              <w:rPr>
                <w:b/>
                <w:bCs/>
                <w:sz w:val="20"/>
                <w:szCs w:val="20"/>
              </w:rPr>
              <w:t>.2025)</w:t>
            </w:r>
          </w:p>
        </w:tc>
        <w:tc>
          <w:tcPr>
            <w:tcW w:w="2340" w:type="dxa"/>
            <w:tcBorders>
              <w:top w:val="single" w:sz="4" w:space="0" w:color="auto"/>
              <w:left w:val="nil"/>
              <w:bottom w:val="single" w:sz="4" w:space="0" w:color="auto"/>
              <w:right w:val="single" w:sz="4" w:space="0" w:color="auto"/>
            </w:tcBorders>
            <w:shd w:val="clear" w:color="auto" w:fill="FFFFFF"/>
            <w:noWrap/>
          </w:tcPr>
          <w:p w14:paraId="60E3F60A" w14:textId="77777777" w:rsidR="00ED1FCF" w:rsidRPr="001F224B" w:rsidRDefault="00ED1FCF" w:rsidP="00DD77E8">
            <w:pPr>
              <w:jc w:val="center"/>
              <w:rPr>
                <w:b/>
                <w:bCs/>
                <w:sz w:val="20"/>
                <w:szCs w:val="20"/>
              </w:rPr>
            </w:pPr>
            <w:r w:rsidRPr="001F224B">
              <w:rPr>
                <w:b/>
                <w:bCs/>
                <w:sz w:val="20"/>
                <w:szCs w:val="20"/>
              </w:rPr>
              <w:t>Önceki Dönem</w:t>
            </w:r>
          </w:p>
          <w:p w14:paraId="2462C94F" w14:textId="77777777" w:rsidR="00ED1FCF" w:rsidRPr="001F224B" w:rsidRDefault="00ED1FCF" w:rsidP="00DD77E8">
            <w:pPr>
              <w:jc w:val="center"/>
              <w:rPr>
                <w:b/>
                <w:bCs/>
                <w:sz w:val="20"/>
                <w:szCs w:val="20"/>
              </w:rPr>
            </w:pPr>
            <w:r w:rsidRPr="001F224B">
              <w:rPr>
                <w:b/>
                <w:bCs/>
                <w:sz w:val="20"/>
                <w:szCs w:val="20"/>
              </w:rPr>
              <w:t>(31.12.2024)</w:t>
            </w:r>
          </w:p>
        </w:tc>
      </w:tr>
      <w:tr w:rsidR="00B4728A" w:rsidRPr="001F224B" w14:paraId="361349A6" w14:textId="77777777" w:rsidTr="0046226B">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0E8861DC" w14:textId="77777777" w:rsidR="00B4728A" w:rsidRPr="001F224B" w:rsidRDefault="00B4728A" w:rsidP="00B4728A">
            <w:pPr>
              <w:ind w:firstLineChars="200" w:firstLine="400"/>
              <w:rPr>
                <w:sz w:val="20"/>
                <w:szCs w:val="20"/>
              </w:rPr>
            </w:pPr>
            <w:r w:rsidRPr="001F224B">
              <w:rPr>
                <w:sz w:val="20"/>
                <w:szCs w:val="20"/>
              </w:rPr>
              <w:t>Devlet Tahvili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211EE94D" w14:textId="05DCD2B5" w:rsidR="00B4728A" w:rsidRPr="001F224B" w:rsidRDefault="00B4728A" w:rsidP="00B4728A">
            <w:pPr>
              <w:jc w:val="right"/>
              <w:rPr>
                <w:sz w:val="20"/>
                <w:szCs w:val="20"/>
              </w:rPr>
            </w:pPr>
            <w:r w:rsidRPr="001F224B">
              <w:rPr>
                <w:sz w:val="20"/>
                <w:szCs w:val="20"/>
              </w:rPr>
              <w:t>10.015.842</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9E8E12D" w14:textId="77777777" w:rsidR="00B4728A" w:rsidRPr="001F224B" w:rsidRDefault="00B4728A" w:rsidP="00B4728A">
            <w:pPr>
              <w:jc w:val="right"/>
              <w:rPr>
                <w:sz w:val="20"/>
                <w:szCs w:val="20"/>
              </w:rPr>
            </w:pPr>
            <w:r w:rsidRPr="001F224B">
              <w:rPr>
                <w:sz w:val="20"/>
                <w:szCs w:val="20"/>
              </w:rPr>
              <w:t>9.784.858</w:t>
            </w:r>
          </w:p>
        </w:tc>
      </w:tr>
      <w:tr w:rsidR="00B4728A" w:rsidRPr="001F224B" w14:paraId="4EA19C0F" w14:textId="77777777" w:rsidTr="0046226B">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CFD3807" w14:textId="77777777" w:rsidR="00B4728A" w:rsidRPr="001F224B" w:rsidRDefault="00B4728A" w:rsidP="00B4728A">
            <w:pPr>
              <w:ind w:firstLineChars="200" w:firstLine="400"/>
              <w:rPr>
                <w:sz w:val="20"/>
                <w:szCs w:val="20"/>
              </w:rPr>
            </w:pPr>
            <w:r w:rsidRPr="001F224B">
              <w:rPr>
                <w:sz w:val="20"/>
                <w:szCs w:val="20"/>
              </w:rPr>
              <w:t>Hazine Bonosu</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395B2C66" w14:textId="33C85565" w:rsidR="00B4728A" w:rsidRPr="001F224B" w:rsidRDefault="00B4728A" w:rsidP="00B4728A">
            <w:pPr>
              <w:jc w:val="right"/>
              <w:rPr>
                <w:sz w:val="20"/>
                <w:szCs w:val="20"/>
              </w:rPr>
            </w:pPr>
            <w:r w:rsidRPr="001F224B">
              <w:rPr>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9C3264F" w14:textId="77777777" w:rsidR="00B4728A" w:rsidRPr="001F224B" w:rsidRDefault="00B4728A" w:rsidP="00B4728A">
            <w:pPr>
              <w:jc w:val="right"/>
              <w:rPr>
                <w:sz w:val="20"/>
                <w:szCs w:val="20"/>
              </w:rPr>
            </w:pPr>
            <w:r w:rsidRPr="001F224B">
              <w:rPr>
                <w:sz w:val="20"/>
                <w:szCs w:val="20"/>
              </w:rPr>
              <w:t>- </w:t>
            </w:r>
          </w:p>
        </w:tc>
      </w:tr>
      <w:tr w:rsidR="00B4728A" w:rsidRPr="001F224B" w14:paraId="092DEAF4" w14:textId="77777777" w:rsidTr="0046226B">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28ECD2ED" w14:textId="77777777" w:rsidR="00B4728A" w:rsidRPr="001F224B" w:rsidRDefault="00B4728A" w:rsidP="00B4728A">
            <w:pPr>
              <w:ind w:firstLineChars="200" w:firstLine="400"/>
              <w:rPr>
                <w:sz w:val="20"/>
                <w:szCs w:val="20"/>
              </w:rPr>
            </w:pPr>
            <w:r w:rsidRPr="001F224B">
              <w:rPr>
                <w:sz w:val="20"/>
                <w:szCs w:val="20"/>
              </w:rPr>
              <w:t>Diğer Kamu Borçlanma Senetleri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2064A205" w14:textId="168E72C5" w:rsidR="00B4728A" w:rsidRPr="001F224B" w:rsidRDefault="00B4728A" w:rsidP="00B4728A">
            <w:pPr>
              <w:jc w:val="right"/>
              <w:rPr>
                <w:sz w:val="20"/>
                <w:szCs w:val="20"/>
              </w:rPr>
            </w:pPr>
            <w:r w:rsidRPr="001F224B">
              <w:rPr>
                <w:sz w:val="20"/>
                <w:szCs w:val="20"/>
              </w:rPr>
              <w:t>429.871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FA85E13" w14:textId="77777777" w:rsidR="00B4728A" w:rsidRPr="001F224B" w:rsidRDefault="00B4728A" w:rsidP="00B4728A">
            <w:pPr>
              <w:jc w:val="right"/>
              <w:rPr>
                <w:sz w:val="20"/>
                <w:szCs w:val="20"/>
              </w:rPr>
            </w:pPr>
            <w:r w:rsidRPr="001F224B">
              <w:rPr>
                <w:sz w:val="20"/>
                <w:szCs w:val="20"/>
              </w:rPr>
              <w:t>617.517 </w:t>
            </w:r>
          </w:p>
        </w:tc>
      </w:tr>
      <w:tr w:rsidR="00B4728A" w:rsidRPr="001F224B" w14:paraId="2263228F" w14:textId="77777777" w:rsidTr="0046226B">
        <w:trPr>
          <w:trHeight w:val="113"/>
        </w:trPr>
        <w:tc>
          <w:tcPr>
            <w:tcW w:w="4998" w:type="dxa"/>
            <w:tcBorders>
              <w:top w:val="nil"/>
              <w:left w:val="single" w:sz="4" w:space="0" w:color="auto"/>
              <w:bottom w:val="single" w:sz="4" w:space="0" w:color="auto"/>
              <w:right w:val="single" w:sz="4" w:space="0" w:color="auto"/>
            </w:tcBorders>
            <w:shd w:val="clear" w:color="auto" w:fill="FFFFFF"/>
            <w:noWrap/>
            <w:vAlign w:val="bottom"/>
          </w:tcPr>
          <w:p w14:paraId="419B4345" w14:textId="77777777" w:rsidR="00B4728A" w:rsidRPr="001F224B" w:rsidRDefault="00B4728A" w:rsidP="00B4728A">
            <w:pPr>
              <w:rPr>
                <w:b/>
                <w:sz w:val="20"/>
                <w:szCs w:val="20"/>
              </w:rPr>
            </w:pPr>
            <w:r w:rsidRPr="001F224B">
              <w:rPr>
                <w:b/>
                <w:sz w:val="20"/>
                <w:szCs w:val="20"/>
              </w:rPr>
              <w:t>Toplam</w:t>
            </w:r>
          </w:p>
        </w:tc>
        <w:tc>
          <w:tcPr>
            <w:tcW w:w="2491" w:type="dxa"/>
            <w:tcBorders>
              <w:top w:val="nil"/>
              <w:left w:val="nil"/>
              <w:bottom w:val="single" w:sz="4" w:space="0" w:color="auto"/>
              <w:right w:val="single" w:sz="4" w:space="0" w:color="auto"/>
            </w:tcBorders>
            <w:shd w:val="clear" w:color="auto" w:fill="FFFFFF"/>
            <w:noWrap/>
            <w:vAlign w:val="bottom"/>
          </w:tcPr>
          <w:p w14:paraId="7C70837B" w14:textId="2D525DDB" w:rsidR="00B4728A" w:rsidRPr="001F224B" w:rsidRDefault="00B4728A" w:rsidP="00B4728A">
            <w:pPr>
              <w:jc w:val="right"/>
              <w:rPr>
                <w:b/>
                <w:bCs/>
                <w:sz w:val="20"/>
                <w:szCs w:val="20"/>
              </w:rPr>
            </w:pPr>
            <w:r w:rsidRPr="001F224B">
              <w:rPr>
                <w:b/>
                <w:bCs/>
                <w:sz w:val="20"/>
                <w:szCs w:val="20"/>
              </w:rPr>
              <w:t>10.445.713</w:t>
            </w:r>
          </w:p>
        </w:tc>
        <w:tc>
          <w:tcPr>
            <w:tcW w:w="2340" w:type="dxa"/>
            <w:tcBorders>
              <w:top w:val="nil"/>
              <w:left w:val="nil"/>
              <w:bottom w:val="single" w:sz="4" w:space="0" w:color="auto"/>
              <w:right w:val="single" w:sz="4" w:space="0" w:color="auto"/>
            </w:tcBorders>
            <w:shd w:val="clear" w:color="auto" w:fill="FFFFFF"/>
            <w:noWrap/>
            <w:vAlign w:val="bottom"/>
          </w:tcPr>
          <w:p w14:paraId="03710896" w14:textId="77777777" w:rsidR="00B4728A" w:rsidRPr="001F224B" w:rsidRDefault="00B4728A" w:rsidP="00B4728A">
            <w:pPr>
              <w:jc w:val="right"/>
              <w:rPr>
                <w:b/>
                <w:sz w:val="20"/>
                <w:szCs w:val="20"/>
              </w:rPr>
            </w:pPr>
            <w:r w:rsidRPr="001F224B">
              <w:rPr>
                <w:b/>
                <w:bCs/>
                <w:sz w:val="20"/>
                <w:szCs w:val="20"/>
              </w:rPr>
              <w:t>10.402.375</w:t>
            </w:r>
          </w:p>
        </w:tc>
      </w:tr>
    </w:tbl>
    <w:p w14:paraId="5031870A" w14:textId="77777777" w:rsidR="00ED1FCF" w:rsidRPr="001F224B" w:rsidRDefault="00ED1FCF" w:rsidP="00ED1FCF">
      <w:pPr>
        <w:tabs>
          <w:tab w:val="left" w:pos="567"/>
        </w:tabs>
        <w:spacing w:before="120" w:after="120"/>
        <w:jc w:val="both"/>
        <w:rPr>
          <w:b/>
          <w:bCs/>
          <w:sz w:val="22"/>
          <w:szCs w:val="22"/>
        </w:rPr>
      </w:pPr>
      <w:r w:rsidRPr="001F224B">
        <w:rPr>
          <w:b/>
          <w:iCs/>
          <w:sz w:val="22"/>
          <w:szCs w:val="22"/>
        </w:rPr>
        <w:t>2.4.d</w:t>
      </w:r>
      <w:r w:rsidRPr="001F224B">
        <w:rPr>
          <w:b/>
          <w:bCs/>
          <w:sz w:val="22"/>
          <w:szCs w:val="22"/>
        </w:rPr>
        <w:t>)</w:t>
      </w:r>
      <w:r w:rsidRPr="001F224B">
        <w:rPr>
          <w:b/>
          <w:bCs/>
          <w:sz w:val="22"/>
          <w:szCs w:val="22"/>
        </w:rPr>
        <w:tab/>
        <w:t xml:space="preserve">İtfa edilmiş maliyeti ile ölçülen </w:t>
      </w:r>
      <w:r w:rsidRPr="001F224B">
        <w:rPr>
          <w:b/>
          <w:bCs/>
          <w:iCs/>
          <w:sz w:val="22"/>
          <w:szCs w:val="22"/>
        </w:rPr>
        <w:t xml:space="preserve">diğer </w:t>
      </w:r>
      <w:r w:rsidRPr="001F224B">
        <w:rPr>
          <w:b/>
          <w:bCs/>
          <w:sz w:val="22"/>
          <w:szCs w:val="22"/>
        </w:rPr>
        <w:t xml:space="preserve">finansal varlıklara ilişkin bilgiler: </w:t>
      </w:r>
    </w:p>
    <w:tbl>
      <w:tblPr>
        <w:tblW w:w="9813" w:type="dxa"/>
        <w:tblInd w:w="-5" w:type="dxa"/>
        <w:tblLayout w:type="fixed"/>
        <w:tblCellMar>
          <w:left w:w="70" w:type="dxa"/>
          <w:right w:w="70" w:type="dxa"/>
        </w:tblCellMar>
        <w:tblLook w:val="0000" w:firstRow="0" w:lastRow="0" w:firstColumn="0" w:lastColumn="0" w:noHBand="0" w:noVBand="0"/>
      </w:tblPr>
      <w:tblGrid>
        <w:gridCol w:w="4998"/>
        <w:gridCol w:w="2463"/>
        <w:gridCol w:w="2352"/>
      </w:tblGrid>
      <w:tr w:rsidR="00ED1FCF" w:rsidRPr="001F224B" w14:paraId="3621FDD5" w14:textId="77777777" w:rsidTr="00DD77E8">
        <w:trPr>
          <w:trHeight w:val="478"/>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716623A" w14:textId="77777777" w:rsidR="00ED1FCF" w:rsidRPr="001F224B" w:rsidRDefault="00ED1FCF" w:rsidP="00DD77E8">
            <w:pPr>
              <w:rPr>
                <w:sz w:val="20"/>
                <w:szCs w:val="20"/>
              </w:rPr>
            </w:pPr>
            <w:r w:rsidRPr="001F224B">
              <w:rPr>
                <w:sz w:val="20"/>
                <w:szCs w:val="20"/>
              </w:rPr>
              <w:t> </w:t>
            </w:r>
          </w:p>
        </w:tc>
        <w:tc>
          <w:tcPr>
            <w:tcW w:w="2463" w:type="dxa"/>
            <w:tcBorders>
              <w:top w:val="single" w:sz="4" w:space="0" w:color="auto"/>
              <w:left w:val="nil"/>
              <w:bottom w:val="single" w:sz="4" w:space="0" w:color="auto"/>
              <w:right w:val="single" w:sz="4" w:space="0" w:color="auto"/>
            </w:tcBorders>
            <w:shd w:val="clear" w:color="auto" w:fill="FFFFFF"/>
            <w:noWrap/>
            <w:vAlign w:val="center"/>
          </w:tcPr>
          <w:p w14:paraId="50C30B82" w14:textId="77777777" w:rsidR="00ED1FCF" w:rsidRPr="001F224B" w:rsidRDefault="00ED1FCF" w:rsidP="00DD77E8">
            <w:pPr>
              <w:jc w:val="center"/>
              <w:rPr>
                <w:b/>
                <w:bCs/>
                <w:sz w:val="20"/>
                <w:szCs w:val="20"/>
              </w:rPr>
            </w:pPr>
            <w:r w:rsidRPr="001F224B">
              <w:rPr>
                <w:b/>
                <w:bCs/>
                <w:sz w:val="20"/>
                <w:szCs w:val="20"/>
              </w:rPr>
              <w:t>Cari Dönem</w:t>
            </w:r>
          </w:p>
          <w:p w14:paraId="659D5C28" w14:textId="71DEE8D5" w:rsidR="00ED1FCF" w:rsidRPr="001F224B" w:rsidRDefault="00ED1FCF" w:rsidP="00DD77E8">
            <w:pPr>
              <w:jc w:val="center"/>
              <w:rPr>
                <w:b/>
                <w:bCs/>
                <w:sz w:val="20"/>
                <w:szCs w:val="20"/>
              </w:rPr>
            </w:pPr>
            <w:r w:rsidRPr="001F224B">
              <w:rPr>
                <w:b/>
                <w:bCs/>
                <w:sz w:val="20"/>
                <w:szCs w:val="20"/>
              </w:rPr>
              <w:t>(3</w:t>
            </w:r>
            <w:r w:rsidR="0096447A" w:rsidRPr="001F224B">
              <w:rPr>
                <w:b/>
                <w:bCs/>
                <w:sz w:val="20"/>
                <w:szCs w:val="20"/>
              </w:rPr>
              <w:t>0</w:t>
            </w:r>
            <w:r w:rsidRPr="001F224B">
              <w:rPr>
                <w:b/>
                <w:bCs/>
                <w:sz w:val="20"/>
                <w:szCs w:val="20"/>
              </w:rPr>
              <w:t>.0</w:t>
            </w:r>
            <w:r w:rsidR="0096447A" w:rsidRPr="001F224B">
              <w:rPr>
                <w:b/>
                <w:bCs/>
                <w:sz w:val="20"/>
                <w:szCs w:val="20"/>
              </w:rPr>
              <w:t>6</w:t>
            </w:r>
            <w:r w:rsidRPr="001F224B">
              <w:rPr>
                <w:b/>
                <w:bCs/>
                <w:sz w:val="20"/>
                <w:szCs w:val="20"/>
              </w:rPr>
              <w:t>.2025)</w:t>
            </w:r>
          </w:p>
        </w:tc>
        <w:tc>
          <w:tcPr>
            <w:tcW w:w="2352" w:type="dxa"/>
            <w:tcBorders>
              <w:top w:val="single" w:sz="4" w:space="0" w:color="auto"/>
              <w:left w:val="nil"/>
              <w:bottom w:val="single" w:sz="4" w:space="0" w:color="auto"/>
              <w:right w:val="single" w:sz="4" w:space="0" w:color="auto"/>
            </w:tcBorders>
            <w:shd w:val="clear" w:color="auto" w:fill="FFFFFF"/>
            <w:noWrap/>
          </w:tcPr>
          <w:p w14:paraId="60E553E1" w14:textId="77777777" w:rsidR="00ED1FCF" w:rsidRPr="001F224B" w:rsidRDefault="00ED1FCF" w:rsidP="00DD77E8">
            <w:pPr>
              <w:jc w:val="center"/>
              <w:rPr>
                <w:b/>
                <w:bCs/>
                <w:sz w:val="20"/>
                <w:szCs w:val="20"/>
              </w:rPr>
            </w:pPr>
            <w:r w:rsidRPr="001F224B">
              <w:rPr>
                <w:b/>
                <w:bCs/>
                <w:sz w:val="20"/>
                <w:szCs w:val="20"/>
              </w:rPr>
              <w:t>Önceki Dönem</w:t>
            </w:r>
          </w:p>
          <w:p w14:paraId="58CFC769" w14:textId="77777777" w:rsidR="00ED1FCF" w:rsidRPr="001F224B" w:rsidRDefault="00ED1FCF" w:rsidP="00DD77E8">
            <w:pPr>
              <w:jc w:val="center"/>
              <w:rPr>
                <w:b/>
                <w:bCs/>
                <w:sz w:val="20"/>
                <w:szCs w:val="20"/>
              </w:rPr>
            </w:pPr>
            <w:r w:rsidRPr="001F224B">
              <w:rPr>
                <w:b/>
                <w:bCs/>
                <w:sz w:val="20"/>
                <w:szCs w:val="20"/>
              </w:rPr>
              <w:t>(31.12.2024)</w:t>
            </w:r>
          </w:p>
        </w:tc>
      </w:tr>
      <w:tr w:rsidR="00ED1FCF" w:rsidRPr="001F224B" w14:paraId="28E64592" w14:textId="77777777" w:rsidTr="00DD77E8">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5113A36D" w14:textId="77777777" w:rsidR="00ED1FCF" w:rsidRPr="001F224B" w:rsidRDefault="00ED1FCF" w:rsidP="00ED1FCF">
            <w:pPr>
              <w:rPr>
                <w:sz w:val="20"/>
                <w:szCs w:val="20"/>
              </w:rPr>
            </w:pPr>
            <w:r w:rsidRPr="001F224B">
              <w:rPr>
                <w:sz w:val="20"/>
                <w:szCs w:val="20"/>
              </w:rPr>
              <w:t>Borçlanma Senetleri</w:t>
            </w:r>
          </w:p>
        </w:tc>
        <w:tc>
          <w:tcPr>
            <w:tcW w:w="2463" w:type="dxa"/>
            <w:tcBorders>
              <w:top w:val="nil"/>
              <w:left w:val="nil"/>
              <w:bottom w:val="single" w:sz="4" w:space="0" w:color="auto"/>
              <w:right w:val="single" w:sz="4" w:space="0" w:color="auto"/>
            </w:tcBorders>
            <w:shd w:val="clear" w:color="auto" w:fill="FFFFFF"/>
            <w:noWrap/>
            <w:vAlign w:val="bottom"/>
          </w:tcPr>
          <w:p w14:paraId="79717EA3" w14:textId="174EF90A" w:rsidR="00ED1FCF" w:rsidRPr="001F224B" w:rsidRDefault="00B4728A" w:rsidP="00ED1FCF">
            <w:pPr>
              <w:jc w:val="right"/>
              <w:rPr>
                <w:sz w:val="20"/>
                <w:szCs w:val="20"/>
              </w:rPr>
            </w:pPr>
            <w:r w:rsidRPr="001F224B">
              <w:rPr>
                <w:sz w:val="20"/>
                <w:szCs w:val="20"/>
              </w:rPr>
              <w:t>10.868.599</w:t>
            </w:r>
          </w:p>
        </w:tc>
        <w:tc>
          <w:tcPr>
            <w:tcW w:w="2352" w:type="dxa"/>
            <w:tcBorders>
              <w:top w:val="nil"/>
              <w:left w:val="nil"/>
              <w:bottom w:val="single" w:sz="4" w:space="0" w:color="auto"/>
              <w:right w:val="single" w:sz="4" w:space="0" w:color="auto"/>
            </w:tcBorders>
            <w:shd w:val="clear" w:color="auto" w:fill="FFFFFF"/>
            <w:noWrap/>
            <w:vAlign w:val="bottom"/>
          </w:tcPr>
          <w:p w14:paraId="12141E97" w14:textId="7BCC8EFD" w:rsidR="00ED1FCF" w:rsidRPr="001F224B" w:rsidRDefault="00ED1FCF" w:rsidP="00ED1FCF">
            <w:pPr>
              <w:jc w:val="right"/>
              <w:rPr>
                <w:sz w:val="20"/>
                <w:szCs w:val="20"/>
              </w:rPr>
            </w:pPr>
            <w:r w:rsidRPr="001F224B">
              <w:rPr>
                <w:sz w:val="20"/>
                <w:szCs w:val="20"/>
              </w:rPr>
              <w:t>10.402.375</w:t>
            </w:r>
          </w:p>
        </w:tc>
      </w:tr>
      <w:tr w:rsidR="00ED1FCF" w:rsidRPr="001F224B" w14:paraId="75205270" w14:textId="77777777" w:rsidTr="00DD77E8">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2507CD27" w14:textId="77777777" w:rsidR="00ED1FCF" w:rsidRPr="001F224B" w:rsidRDefault="00ED1FCF" w:rsidP="00ED1FCF">
            <w:pPr>
              <w:ind w:firstLineChars="200" w:firstLine="400"/>
              <w:rPr>
                <w:sz w:val="20"/>
                <w:szCs w:val="20"/>
              </w:rPr>
            </w:pPr>
            <w:r w:rsidRPr="001F224B">
              <w:rPr>
                <w:sz w:val="20"/>
                <w:szCs w:val="20"/>
              </w:rPr>
              <w:t>Borsada İşlem Görenler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7562636" w14:textId="65F7264B" w:rsidR="00ED1FCF" w:rsidRPr="001F224B" w:rsidRDefault="00B4728A" w:rsidP="00ED1FCF">
            <w:pPr>
              <w:jc w:val="right"/>
              <w:rPr>
                <w:sz w:val="20"/>
                <w:szCs w:val="20"/>
              </w:rPr>
            </w:pPr>
            <w:r w:rsidRPr="001F224B">
              <w:rPr>
                <w:sz w:val="20"/>
                <w:szCs w:val="20"/>
              </w:rPr>
              <w:t>10.868.599</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7F04C5AC" w14:textId="297BFB74" w:rsidR="00ED1FCF" w:rsidRPr="001F224B" w:rsidRDefault="00ED1FCF" w:rsidP="00ED1FCF">
            <w:pPr>
              <w:jc w:val="right"/>
              <w:rPr>
                <w:sz w:val="20"/>
                <w:szCs w:val="20"/>
              </w:rPr>
            </w:pPr>
            <w:r w:rsidRPr="001F224B">
              <w:rPr>
                <w:sz w:val="20"/>
                <w:szCs w:val="20"/>
              </w:rPr>
              <w:t>10.402.375</w:t>
            </w:r>
          </w:p>
        </w:tc>
      </w:tr>
      <w:tr w:rsidR="00ED1FCF" w:rsidRPr="001F224B" w14:paraId="329E6B85" w14:textId="77777777" w:rsidTr="00DD77E8">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740795BC" w14:textId="77777777" w:rsidR="00ED1FCF" w:rsidRPr="001F224B" w:rsidRDefault="00ED1FCF" w:rsidP="00ED1FCF">
            <w:pPr>
              <w:ind w:firstLineChars="200" w:firstLine="400"/>
              <w:rPr>
                <w:sz w:val="20"/>
                <w:szCs w:val="20"/>
              </w:rPr>
            </w:pPr>
            <w:r w:rsidRPr="001F224B">
              <w:rPr>
                <w:sz w:val="20"/>
                <w:szCs w:val="20"/>
              </w:rPr>
              <w:t>Borsada İşlem Görmeyenler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620841A9" w14:textId="4CABF500" w:rsidR="00ED1FCF" w:rsidRPr="001F224B" w:rsidRDefault="00ED1FCF" w:rsidP="00ED1FCF">
            <w:pPr>
              <w:jc w:val="right"/>
              <w:rPr>
                <w:sz w:val="20"/>
                <w:szCs w:val="20"/>
              </w:rPr>
            </w:pPr>
            <w:r w:rsidRPr="001F224B">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71CBCDAD" w14:textId="4B5DAFF2" w:rsidR="00ED1FCF" w:rsidRPr="001F224B" w:rsidRDefault="00ED1FCF" w:rsidP="00ED1FCF">
            <w:pPr>
              <w:jc w:val="right"/>
              <w:rPr>
                <w:sz w:val="20"/>
                <w:szCs w:val="20"/>
              </w:rPr>
            </w:pPr>
            <w:r w:rsidRPr="001F224B">
              <w:rPr>
                <w:sz w:val="20"/>
                <w:szCs w:val="20"/>
              </w:rPr>
              <w:t>-</w:t>
            </w:r>
          </w:p>
        </w:tc>
      </w:tr>
      <w:tr w:rsidR="00ED1FCF" w:rsidRPr="001F224B" w14:paraId="12B25B41" w14:textId="77777777" w:rsidTr="00DD77E8">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028FA8F5" w14:textId="77777777" w:rsidR="00ED1FCF" w:rsidRPr="001F224B" w:rsidRDefault="00ED1FCF" w:rsidP="00ED1FCF">
            <w:pPr>
              <w:rPr>
                <w:sz w:val="20"/>
                <w:szCs w:val="20"/>
              </w:rPr>
            </w:pPr>
            <w:r w:rsidRPr="001F224B">
              <w:rPr>
                <w:sz w:val="20"/>
                <w:szCs w:val="20"/>
              </w:rPr>
              <w:t>Değer Azalma Karşılığı (-)</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5C517819" w14:textId="2DA93271" w:rsidR="00ED1FCF" w:rsidRPr="001F224B" w:rsidRDefault="00ED1FCF" w:rsidP="00ED1FCF">
            <w:pPr>
              <w:jc w:val="right"/>
              <w:rPr>
                <w:sz w:val="20"/>
                <w:szCs w:val="20"/>
              </w:rPr>
            </w:pPr>
            <w:r w:rsidRPr="001F224B">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3C7940A9" w14:textId="719E3011" w:rsidR="00ED1FCF" w:rsidRPr="001F224B" w:rsidRDefault="00ED1FCF" w:rsidP="00ED1FCF">
            <w:pPr>
              <w:jc w:val="right"/>
              <w:rPr>
                <w:sz w:val="20"/>
                <w:szCs w:val="20"/>
              </w:rPr>
            </w:pPr>
            <w:r w:rsidRPr="001F224B">
              <w:rPr>
                <w:sz w:val="20"/>
                <w:szCs w:val="20"/>
              </w:rPr>
              <w:t>-</w:t>
            </w:r>
          </w:p>
        </w:tc>
      </w:tr>
      <w:tr w:rsidR="00ED1FCF" w:rsidRPr="001F224B" w14:paraId="5CA8B81F" w14:textId="77777777" w:rsidTr="00DD77E8">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5F638781" w14:textId="77777777" w:rsidR="00ED1FCF" w:rsidRPr="001F224B" w:rsidRDefault="00ED1FCF" w:rsidP="00ED1FCF">
            <w:pPr>
              <w:rPr>
                <w:b/>
                <w:sz w:val="20"/>
                <w:szCs w:val="20"/>
              </w:rPr>
            </w:pPr>
            <w:r w:rsidRPr="001F224B">
              <w:rPr>
                <w:b/>
                <w:sz w:val="20"/>
                <w:szCs w:val="20"/>
              </w:rPr>
              <w:t>Toplam</w:t>
            </w:r>
          </w:p>
        </w:tc>
        <w:tc>
          <w:tcPr>
            <w:tcW w:w="2463" w:type="dxa"/>
            <w:tcBorders>
              <w:top w:val="nil"/>
              <w:left w:val="nil"/>
              <w:bottom w:val="single" w:sz="4" w:space="0" w:color="auto"/>
              <w:right w:val="single" w:sz="4" w:space="0" w:color="auto"/>
            </w:tcBorders>
            <w:shd w:val="clear" w:color="auto" w:fill="FFFFFF"/>
            <w:noWrap/>
            <w:vAlign w:val="bottom"/>
          </w:tcPr>
          <w:p w14:paraId="0852573A" w14:textId="0502CA47" w:rsidR="00ED1FCF" w:rsidRPr="001F224B" w:rsidRDefault="00B4728A" w:rsidP="00ED1FCF">
            <w:pPr>
              <w:jc w:val="right"/>
              <w:rPr>
                <w:b/>
                <w:bCs/>
                <w:sz w:val="20"/>
                <w:szCs w:val="20"/>
              </w:rPr>
            </w:pPr>
            <w:r w:rsidRPr="001F224B">
              <w:rPr>
                <w:b/>
                <w:bCs/>
                <w:sz w:val="20"/>
                <w:szCs w:val="20"/>
              </w:rPr>
              <w:t>10.868.599</w:t>
            </w:r>
          </w:p>
        </w:tc>
        <w:tc>
          <w:tcPr>
            <w:tcW w:w="2352" w:type="dxa"/>
            <w:tcBorders>
              <w:top w:val="nil"/>
              <w:left w:val="nil"/>
              <w:bottom w:val="single" w:sz="4" w:space="0" w:color="auto"/>
              <w:right w:val="single" w:sz="4" w:space="0" w:color="auto"/>
            </w:tcBorders>
            <w:shd w:val="clear" w:color="auto" w:fill="FFFFFF"/>
            <w:noWrap/>
            <w:vAlign w:val="bottom"/>
          </w:tcPr>
          <w:p w14:paraId="59E90D1B" w14:textId="2F4B54E6" w:rsidR="00ED1FCF" w:rsidRPr="001F224B" w:rsidRDefault="00ED1FCF" w:rsidP="00ED1FCF">
            <w:pPr>
              <w:jc w:val="right"/>
              <w:rPr>
                <w:b/>
                <w:sz w:val="20"/>
                <w:szCs w:val="20"/>
              </w:rPr>
            </w:pPr>
            <w:r w:rsidRPr="001F224B">
              <w:rPr>
                <w:b/>
                <w:bCs/>
                <w:sz w:val="20"/>
                <w:szCs w:val="20"/>
              </w:rPr>
              <w:t>10.402.375</w:t>
            </w:r>
          </w:p>
        </w:tc>
      </w:tr>
    </w:tbl>
    <w:p w14:paraId="7985E4DE" w14:textId="6A11512B" w:rsidR="00660B91" w:rsidRPr="001F224B" w:rsidRDefault="00660B91" w:rsidP="00660B91">
      <w:pPr>
        <w:tabs>
          <w:tab w:val="left" w:pos="567"/>
        </w:tabs>
        <w:spacing w:before="120" w:after="120"/>
        <w:jc w:val="both"/>
        <w:rPr>
          <w:b/>
          <w:bCs/>
          <w:sz w:val="22"/>
          <w:szCs w:val="22"/>
        </w:rPr>
      </w:pPr>
      <w:r w:rsidRPr="001F224B">
        <w:rPr>
          <w:b/>
          <w:iCs/>
          <w:sz w:val="22"/>
          <w:szCs w:val="22"/>
        </w:rPr>
        <w:t>2.</w:t>
      </w:r>
      <w:r w:rsidR="00E575BC" w:rsidRPr="001F224B">
        <w:rPr>
          <w:b/>
          <w:iCs/>
          <w:sz w:val="22"/>
          <w:szCs w:val="22"/>
        </w:rPr>
        <w:t>4</w:t>
      </w:r>
      <w:r w:rsidRPr="001F224B">
        <w:rPr>
          <w:b/>
          <w:iCs/>
          <w:sz w:val="22"/>
          <w:szCs w:val="22"/>
        </w:rPr>
        <w:t>.</w:t>
      </w:r>
      <w:r w:rsidR="00ED1FCF" w:rsidRPr="001F224B">
        <w:rPr>
          <w:b/>
          <w:iCs/>
          <w:sz w:val="22"/>
          <w:szCs w:val="22"/>
        </w:rPr>
        <w:t>e</w:t>
      </w:r>
      <w:r w:rsidRPr="001F224B">
        <w:rPr>
          <w:b/>
          <w:iCs/>
          <w:sz w:val="22"/>
          <w:szCs w:val="22"/>
        </w:rPr>
        <w:t>)</w:t>
      </w:r>
      <w:r w:rsidRPr="001F224B">
        <w:rPr>
          <w:b/>
          <w:bCs/>
          <w:sz w:val="22"/>
          <w:szCs w:val="22"/>
        </w:rPr>
        <w:tab/>
        <w:t xml:space="preserve">İtfa edilmiş maliyeti ile ölçülen </w:t>
      </w:r>
      <w:r w:rsidR="00CB00D9" w:rsidRPr="001F224B">
        <w:rPr>
          <w:b/>
          <w:bCs/>
          <w:sz w:val="22"/>
          <w:szCs w:val="22"/>
        </w:rPr>
        <w:t xml:space="preserve">diğer </w:t>
      </w:r>
      <w:r w:rsidRPr="001F224B">
        <w:rPr>
          <w:b/>
          <w:bCs/>
          <w:sz w:val="22"/>
          <w:szCs w:val="22"/>
        </w:rPr>
        <w:t>finansal varlıkların yıl içindeki hareketleri: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12"/>
        <w:gridCol w:w="2359"/>
        <w:gridCol w:w="2410"/>
      </w:tblGrid>
      <w:tr w:rsidR="00DE6C2A" w:rsidRPr="001F224B" w14:paraId="30F853AD" w14:textId="77777777" w:rsidTr="00303A18">
        <w:trPr>
          <w:trHeight w:val="20"/>
        </w:trPr>
        <w:tc>
          <w:tcPr>
            <w:tcW w:w="5012" w:type="dxa"/>
            <w:shd w:val="clear" w:color="000000" w:fill="FFFFFF"/>
            <w:noWrap/>
            <w:vAlign w:val="bottom"/>
            <w:hideMark/>
          </w:tcPr>
          <w:p w14:paraId="7BF0CAD5" w14:textId="77777777" w:rsidR="00DE6C2A" w:rsidRPr="001F224B" w:rsidRDefault="00DE6C2A" w:rsidP="00D404EE">
            <w:pPr>
              <w:rPr>
                <w:sz w:val="20"/>
                <w:szCs w:val="20"/>
              </w:rPr>
            </w:pPr>
            <w:bookmarkStart w:id="31" w:name="OLE_LINK6"/>
            <w:bookmarkStart w:id="32" w:name="OLE_LINK7"/>
            <w:r w:rsidRPr="001F224B">
              <w:rPr>
                <w:sz w:val="20"/>
                <w:szCs w:val="20"/>
              </w:rPr>
              <w:t> </w:t>
            </w:r>
          </w:p>
        </w:tc>
        <w:tc>
          <w:tcPr>
            <w:tcW w:w="2359" w:type="dxa"/>
            <w:shd w:val="clear" w:color="000000" w:fill="FFFFFF"/>
            <w:noWrap/>
            <w:vAlign w:val="bottom"/>
            <w:hideMark/>
          </w:tcPr>
          <w:p w14:paraId="47867313" w14:textId="77777777" w:rsidR="00303A18" w:rsidRPr="001F224B" w:rsidRDefault="00303A18" w:rsidP="00303A18">
            <w:pPr>
              <w:jc w:val="center"/>
              <w:rPr>
                <w:b/>
                <w:bCs/>
                <w:color w:val="000000"/>
                <w:sz w:val="20"/>
                <w:szCs w:val="20"/>
              </w:rPr>
            </w:pPr>
            <w:r w:rsidRPr="001F224B">
              <w:rPr>
                <w:b/>
                <w:bCs/>
                <w:color w:val="000000"/>
                <w:sz w:val="20"/>
                <w:szCs w:val="20"/>
              </w:rPr>
              <w:t>Cari Dönem</w:t>
            </w:r>
          </w:p>
          <w:p w14:paraId="6F538CA3" w14:textId="75E4FBEF" w:rsidR="00DE6C2A" w:rsidRPr="001F224B" w:rsidRDefault="00303A18" w:rsidP="00303A18">
            <w:pPr>
              <w:jc w:val="center"/>
              <w:rPr>
                <w:sz w:val="20"/>
                <w:szCs w:val="20"/>
              </w:rPr>
            </w:pPr>
            <w:r w:rsidRPr="001F224B">
              <w:rPr>
                <w:b/>
                <w:bCs/>
                <w:color w:val="000000"/>
                <w:sz w:val="20"/>
                <w:szCs w:val="20"/>
              </w:rPr>
              <w:t>(3</w:t>
            </w:r>
            <w:r w:rsidR="0096447A" w:rsidRPr="001F224B">
              <w:rPr>
                <w:b/>
                <w:bCs/>
                <w:color w:val="000000"/>
                <w:sz w:val="20"/>
                <w:szCs w:val="20"/>
              </w:rPr>
              <w:t>0</w:t>
            </w:r>
            <w:r w:rsidRPr="001F224B">
              <w:rPr>
                <w:b/>
                <w:bCs/>
                <w:color w:val="000000"/>
                <w:sz w:val="20"/>
                <w:szCs w:val="20"/>
              </w:rPr>
              <w:t>.0</w:t>
            </w:r>
            <w:r w:rsidR="0096447A" w:rsidRPr="001F224B">
              <w:rPr>
                <w:b/>
                <w:bCs/>
                <w:color w:val="000000"/>
                <w:sz w:val="20"/>
                <w:szCs w:val="20"/>
              </w:rPr>
              <w:t>6</w:t>
            </w:r>
            <w:r w:rsidRPr="001F224B">
              <w:rPr>
                <w:b/>
                <w:bCs/>
                <w:color w:val="000000"/>
                <w:sz w:val="20"/>
                <w:szCs w:val="20"/>
              </w:rPr>
              <w:t>.2025)</w:t>
            </w:r>
          </w:p>
        </w:tc>
        <w:tc>
          <w:tcPr>
            <w:tcW w:w="2410" w:type="dxa"/>
            <w:shd w:val="clear" w:color="000000" w:fill="FFFFFF"/>
            <w:noWrap/>
            <w:vAlign w:val="bottom"/>
            <w:hideMark/>
          </w:tcPr>
          <w:p w14:paraId="7347358F" w14:textId="77777777" w:rsidR="00DE6C2A" w:rsidRPr="001F224B" w:rsidRDefault="00DE6C2A" w:rsidP="00D404EE">
            <w:pPr>
              <w:jc w:val="center"/>
              <w:rPr>
                <w:b/>
                <w:bCs/>
                <w:sz w:val="20"/>
                <w:szCs w:val="20"/>
              </w:rPr>
            </w:pPr>
            <w:r w:rsidRPr="001F224B">
              <w:rPr>
                <w:b/>
                <w:bCs/>
                <w:sz w:val="20"/>
                <w:szCs w:val="20"/>
              </w:rPr>
              <w:t xml:space="preserve">Önceki Dönem </w:t>
            </w:r>
          </w:p>
          <w:p w14:paraId="0DDEA1F8" w14:textId="5633F939" w:rsidR="00DE6C2A" w:rsidRPr="001F224B" w:rsidRDefault="00DE6C2A" w:rsidP="00D404EE">
            <w:pPr>
              <w:jc w:val="center"/>
              <w:rPr>
                <w:sz w:val="20"/>
                <w:szCs w:val="20"/>
              </w:rPr>
            </w:pPr>
            <w:r w:rsidRPr="001F224B">
              <w:rPr>
                <w:b/>
                <w:bCs/>
                <w:sz w:val="20"/>
                <w:szCs w:val="20"/>
              </w:rPr>
              <w:t xml:space="preserve"> (31.12.202</w:t>
            </w:r>
            <w:r w:rsidR="00E44A2A" w:rsidRPr="001F224B">
              <w:rPr>
                <w:b/>
                <w:bCs/>
                <w:sz w:val="20"/>
                <w:szCs w:val="20"/>
              </w:rPr>
              <w:t>4</w:t>
            </w:r>
            <w:r w:rsidRPr="001F224B">
              <w:rPr>
                <w:b/>
                <w:bCs/>
                <w:sz w:val="20"/>
                <w:szCs w:val="20"/>
              </w:rPr>
              <w:t>)</w:t>
            </w:r>
          </w:p>
        </w:tc>
      </w:tr>
      <w:tr w:rsidR="00B4728A" w:rsidRPr="001F224B" w14:paraId="70F997F1" w14:textId="77777777" w:rsidTr="00B4728A">
        <w:trPr>
          <w:trHeight w:val="20"/>
        </w:trPr>
        <w:tc>
          <w:tcPr>
            <w:tcW w:w="5012" w:type="dxa"/>
            <w:shd w:val="clear" w:color="000000" w:fill="FFFFFF"/>
            <w:noWrap/>
            <w:vAlign w:val="bottom"/>
            <w:hideMark/>
          </w:tcPr>
          <w:p w14:paraId="41AEF09C" w14:textId="77777777" w:rsidR="00B4728A" w:rsidRPr="001F224B" w:rsidRDefault="00B4728A" w:rsidP="00B4728A">
            <w:pPr>
              <w:rPr>
                <w:sz w:val="20"/>
                <w:szCs w:val="20"/>
              </w:rPr>
            </w:pPr>
            <w:r w:rsidRPr="001F224B">
              <w:rPr>
                <w:sz w:val="20"/>
                <w:szCs w:val="20"/>
              </w:rPr>
              <w:t xml:space="preserve">Dönem Başındaki Değer </w:t>
            </w:r>
          </w:p>
        </w:tc>
        <w:tc>
          <w:tcPr>
            <w:tcW w:w="2359" w:type="dxa"/>
            <w:shd w:val="clear" w:color="auto" w:fill="auto"/>
            <w:noWrap/>
            <w:vAlign w:val="bottom"/>
            <w:hideMark/>
          </w:tcPr>
          <w:p w14:paraId="6F516590" w14:textId="3083AC06" w:rsidR="00B4728A" w:rsidRPr="001F224B" w:rsidRDefault="00B4728A" w:rsidP="00B4728A">
            <w:pPr>
              <w:jc w:val="right"/>
              <w:rPr>
                <w:sz w:val="20"/>
                <w:szCs w:val="20"/>
              </w:rPr>
            </w:pPr>
            <w:r w:rsidRPr="001F224B">
              <w:rPr>
                <w:sz w:val="20"/>
                <w:szCs w:val="20"/>
              </w:rPr>
              <w:t>10.402.375</w:t>
            </w:r>
          </w:p>
        </w:tc>
        <w:tc>
          <w:tcPr>
            <w:tcW w:w="2410" w:type="dxa"/>
            <w:shd w:val="clear" w:color="auto" w:fill="auto"/>
            <w:noWrap/>
            <w:vAlign w:val="bottom"/>
            <w:hideMark/>
          </w:tcPr>
          <w:p w14:paraId="20B23DCD" w14:textId="534F590E" w:rsidR="00B4728A" w:rsidRPr="001F224B" w:rsidRDefault="00B4728A" w:rsidP="00B4728A">
            <w:pPr>
              <w:jc w:val="right"/>
              <w:rPr>
                <w:sz w:val="20"/>
                <w:szCs w:val="20"/>
              </w:rPr>
            </w:pPr>
            <w:r w:rsidRPr="001F224B">
              <w:rPr>
                <w:sz w:val="20"/>
                <w:szCs w:val="20"/>
              </w:rPr>
              <w:t>14.475.337</w:t>
            </w:r>
          </w:p>
        </w:tc>
      </w:tr>
      <w:tr w:rsidR="00B4728A" w:rsidRPr="001F224B" w14:paraId="0C9328A1" w14:textId="77777777" w:rsidTr="00B4728A">
        <w:trPr>
          <w:trHeight w:val="20"/>
        </w:trPr>
        <w:tc>
          <w:tcPr>
            <w:tcW w:w="5012" w:type="dxa"/>
            <w:shd w:val="clear" w:color="000000" w:fill="FFFFFF"/>
            <w:noWrap/>
            <w:vAlign w:val="bottom"/>
            <w:hideMark/>
          </w:tcPr>
          <w:p w14:paraId="3246FAC7" w14:textId="77777777" w:rsidR="00B4728A" w:rsidRPr="001F224B" w:rsidRDefault="00B4728A" w:rsidP="00B4728A">
            <w:pPr>
              <w:rPr>
                <w:sz w:val="20"/>
                <w:szCs w:val="20"/>
              </w:rPr>
            </w:pPr>
            <w:r w:rsidRPr="001F224B">
              <w:rPr>
                <w:sz w:val="20"/>
                <w:szCs w:val="20"/>
              </w:rPr>
              <w:t xml:space="preserve">Parasal Varlıklarda Meydana Gelen Kur Farkları </w:t>
            </w:r>
          </w:p>
        </w:tc>
        <w:tc>
          <w:tcPr>
            <w:tcW w:w="2359" w:type="dxa"/>
            <w:shd w:val="clear" w:color="auto" w:fill="auto"/>
            <w:noWrap/>
            <w:vAlign w:val="bottom"/>
            <w:hideMark/>
          </w:tcPr>
          <w:p w14:paraId="680F7271" w14:textId="19BF6AF1" w:rsidR="00B4728A" w:rsidRPr="001F224B" w:rsidRDefault="00B4728A" w:rsidP="00B4728A">
            <w:pPr>
              <w:jc w:val="right"/>
              <w:rPr>
                <w:sz w:val="20"/>
                <w:szCs w:val="20"/>
              </w:rPr>
            </w:pPr>
            <w:r w:rsidRPr="001F224B">
              <w:rPr>
                <w:sz w:val="20"/>
                <w:szCs w:val="20"/>
              </w:rPr>
              <w:t>90.812</w:t>
            </w:r>
          </w:p>
        </w:tc>
        <w:tc>
          <w:tcPr>
            <w:tcW w:w="2410" w:type="dxa"/>
            <w:shd w:val="clear" w:color="auto" w:fill="auto"/>
            <w:noWrap/>
            <w:vAlign w:val="bottom"/>
            <w:hideMark/>
          </w:tcPr>
          <w:p w14:paraId="33A64433" w14:textId="0F4F40F5" w:rsidR="00B4728A" w:rsidRPr="001F224B" w:rsidRDefault="00B4728A" w:rsidP="00B4728A">
            <w:pPr>
              <w:jc w:val="right"/>
              <w:rPr>
                <w:sz w:val="20"/>
                <w:szCs w:val="20"/>
              </w:rPr>
            </w:pPr>
            <w:r w:rsidRPr="001F224B">
              <w:rPr>
                <w:sz w:val="20"/>
                <w:szCs w:val="20"/>
              </w:rPr>
              <w:t>554.804</w:t>
            </w:r>
          </w:p>
        </w:tc>
      </w:tr>
      <w:tr w:rsidR="00B4728A" w:rsidRPr="001F224B" w14:paraId="0AD6E179" w14:textId="77777777" w:rsidTr="00B4728A">
        <w:trPr>
          <w:trHeight w:val="20"/>
        </w:trPr>
        <w:tc>
          <w:tcPr>
            <w:tcW w:w="5012" w:type="dxa"/>
            <w:shd w:val="clear" w:color="000000" w:fill="FFFFFF"/>
            <w:noWrap/>
            <w:vAlign w:val="bottom"/>
            <w:hideMark/>
          </w:tcPr>
          <w:p w14:paraId="048A62A3" w14:textId="2DC15F2F" w:rsidR="00B4728A" w:rsidRPr="001F224B" w:rsidRDefault="00B4728A" w:rsidP="00B4728A">
            <w:pPr>
              <w:rPr>
                <w:sz w:val="20"/>
                <w:szCs w:val="20"/>
              </w:rPr>
            </w:pPr>
            <w:r w:rsidRPr="001F224B">
              <w:rPr>
                <w:sz w:val="20"/>
                <w:szCs w:val="20"/>
              </w:rPr>
              <w:t>Yıl İçindeki Alımlar</w:t>
            </w:r>
            <w:r w:rsidRPr="001F224B">
              <w:rPr>
                <w:sz w:val="20"/>
                <w:szCs w:val="20"/>
                <w:vertAlign w:val="superscript"/>
              </w:rPr>
              <w:t>(*)</w:t>
            </w:r>
          </w:p>
        </w:tc>
        <w:tc>
          <w:tcPr>
            <w:tcW w:w="2359" w:type="dxa"/>
            <w:shd w:val="clear" w:color="auto" w:fill="auto"/>
            <w:noWrap/>
            <w:vAlign w:val="bottom"/>
            <w:hideMark/>
          </w:tcPr>
          <w:p w14:paraId="4BF6B8E4" w14:textId="5A47BA9C" w:rsidR="00B4728A" w:rsidRPr="001F224B" w:rsidRDefault="00B4728A" w:rsidP="00B4728A">
            <w:pPr>
              <w:jc w:val="right"/>
              <w:rPr>
                <w:sz w:val="20"/>
                <w:szCs w:val="20"/>
              </w:rPr>
            </w:pPr>
            <w:r w:rsidRPr="001F224B">
              <w:rPr>
                <w:sz w:val="20"/>
                <w:szCs w:val="20"/>
              </w:rPr>
              <w:t>3.153.239</w:t>
            </w:r>
          </w:p>
        </w:tc>
        <w:tc>
          <w:tcPr>
            <w:tcW w:w="2410" w:type="dxa"/>
            <w:shd w:val="clear" w:color="auto" w:fill="auto"/>
            <w:noWrap/>
            <w:vAlign w:val="bottom"/>
            <w:hideMark/>
          </w:tcPr>
          <w:p w14:paraId="531FED13" w14:textId="1C83DD1D" w:rsidR="00B4728A" w:rsidRPr="001F224B" w:rsidRDefault="00B4728A" w:rsidP="00B4728A">
            <w:pPr>
              <w:jc w:val="right"/>
              <w:rPr>
                <w:sz w:val="20"/>
                <w:szCs w:val="20"/>
              </w:rPr>
            </w:pPr>
            <w:r w:rsidRPr="001F224B">
              <w:rPr>
                <w:sz w:val="20"/>
                <w:szCs w:val="20"/>
              </w:rPr>
              <w:t>6.458.307</w:t>
            </w:r>
          </w:p>
        </w:tc>
      </w:tr>
      <w:tr w:rsidR="00B4728A" w:rsidRPr="001F224B" w14:paraId="0EA0EFB3" w14:textId="77777777" w:rsidTr="00B4728A">
        <w:trPr>
          <w:trHeight w:val="20"/>
        </w:trPr>
        <w:tc>
          <w:tcPr>
            <w:tcW w:w="5012" w:type="dxa"/>
            <w:shd w:val="clear" w:color="000000" w:fill="FFFFFF"/>
            <w:noWrap/>
            <w:vAlign w:val="bottom"/>
            <w:hideMark/>
          </w:tcPr>
          <w:p w14:paraId="7094A430" w14:textId="77777777" w:rsidR="00B4728A" w:rsidRPr="001F224B" w:rsidRDefault="00B4728A" w:rsidP="00B4728A">
            <w:pPr>
              <w:rPr>
                <w:sz w:val="20"/>
                <w:szCs w:val="20"/>
                <w:vertAlign w:val="superscript"/>
              </w:rPr>
            </w:pPr>
            <w:r w:rsidRPr="001F224B">
              <w:rPr>
                <w:sz w:val="20"/>
                <w:szCs w:val="20"/>
              </w:rPr>
              <w:t>Satış ve İtfa Yoluyla Elden Çıkarılanlar</w:t>
            </w:r>
            <w:r w:rsidRPr="001F224B">
              <w:rPr>
                <w:sz w:val="20"/>
                <w:szCs w:val="20"/>
                <w:vertAlign w:val="superscript"/>
              </w:rPr>
              <w:t>(**)</w:t>
            </w:r>
          </w:p>
        </w:tc>
        <w:tc>
          <w:tcPr>
            <w:tcW w:w="2359" w:type="dxa"/>
            <w:shd w:val="clear" w:color="auto" w:fill="auto"/>
            <w:noWrap/>
            <w:vAlign w:val="bottom"/>
            <w:hideMark/>
          </w:tcPr>
          <w:p w14:paraId="116BBF59" w14:textId="50DA65DD" w:rsidR="00B4728A" w:rsidRPr="001F224B" w:rsidRDefault="00B4728A" w:rsidP="00B4728A">
            <w:pPr>
              <w:jc w:val="right"/>
              <w:rPr>
                <w:sz w:val="20"/>
                <w:szCs w:val="20"/>
              </w:rPr>
            </w:pPr>
            <w:r w:rsidRPr="001F224B">
              <w:rPr>
                <w:sz w:val="20"/>
                <w:szCs w:val="20"/>
              </w:rPr>
              <w:t>(2.777.827)</w:t>
            </w:r>
          </w:p>
        </w:tc>
        <w:tc>
          <w:tcPr>
            <w:tcW w:w="2410" w:type="dxa"/>
            <w:shd w:val="clear" w:color="auto" w:fill="auto"/>
            <w:noWrap/>
            <w:vAlign w:val="bottom"/>
            <w:hideMark/>
          </w:tcPr>
          <w:p w14:paraId="6D988130" w14:textId="1908A225" w:rsidR="00B4728A" w:rsidRPr="001F224B" w:rsidRDefault="00B4728A" w:rsidP="00B4728A">
            <w:pPr>
              <w:jc w:val="right"/>
              <w:rPr>
                <w:sz w:val="20"/>
                <w:szCs w:val="20"/>
              </w:rPr>
            </w:pPr>
            <w:r w:rsidRPr="001F224B">
              <w:rPr>
                <w:sz w:val="20"/>
                <w:szCs w:val="20"/>
              </w:rPr>
              <w:t>(11.086.073)</w:t>
            </w:r>
          </w:p>
        </w:tc>
      </w:tr>
      <w:tr w:rsidR="00B4728A" w:rsidRPr="001F224B" w14:paraId="3A526BAD" w14:textId="77777777" w:rsidTr="00B4728A">
        <w:trPr>
          <w:trHeight w:val="20"/>
        </w:trPr>
        <w:tc>
          <w:tcPr>
            <w:tcW w:w="5012" w:type="dxa"/>
            <w:shd w:val="clear" w:color="000000" w:fill="FFFFFF"/>
            <w:noWrap/>
            <w:vAlign w:val="bottom"/>
            <w:hideMark/>
          </w:tcPr>
          <w:p w14:paraId="4F1850D0" w14:textId="77777777" w:rsidR="00B4728A" w:rsidRPr="001F224B" w:rsidRDefault="00B4728A" w:rsidP="00B4728A">
            <w:pPr>
              <w:rPr>
                <w:sz w:val="20"/>
                <w:szCs w:val="20"/>
              </w:rPr>
            </w:pPr>
            <w:r w:rsidRPr="001F224B">
              <w:rPr>
                <w:sz w:val="20"/>
                <w:szCs w:val="20"/>
              </w:rPr>
              <w:t>Değer Azalışı Karşılığı (-)</w:t>
            </w:r>
          </w:p>
        </w:tc>
        <w:tc>
          <w:tcPr>
            <w:tcW w:w="2359" w:type="dxa"/>
            <w:shd w:val="clear" w:color="auto" w:fill="auto"/>
            <w:noWrap/>
            <w:vAlign w:val="bottom"/>
            <w:hideMark/>
          </w:tcPr>
          <w:p w14:paraId="72E10A89" w14:textId="6D793488" w:rsidR="00B4728A" w:rsidRPr="001F224B" w:rsidRDefault="00B4728A" w:rsidP="00B4728A">
            <w:pPr>
              <w:jc w:val="right"/>
              <w:rPr>
                <w:sz w:val="20"/>
                <w:szCs w:val="20"/>
              </w:rPr>
            </w:pPr>
            <w:r w:rsidRPr="001F224B">
              <w:rPr>
                <w:sz w:val="20"/>
                <w:szCs w:val="20"/>
              </w:rPr>
              <w:t>-</w:t>
            </w:r>
          </w:p>
        </w:tc>
        <w:tc>
          <w:tcPr>
            <w:tcW w:w="2410" w:type="dxa"/>
            <w:shd w:val="clear" w:color="auto" w:fill="auto"/>
            <w:noWrap/>
            <w:vAlign w:val="bottom"/>
            <w:hideMark/>
          </w:tcPr>
          <w:p w14:paraId="3E5E14D8" w14:textId="30E7C78F" w:rsidR="00B4728A" w:rsidRPr="001F224B" w:rsidRDefault="00B4728A" w:rsidP="00B4728A">
            <w:pPr>
              <w:jc w:val="right"/>
              <w:rPr>
                <w:sz w:val="20"/>
                <w:szCs w:val="20"/>
              </w:rPr>
            </w:pPr>
            <w:r w:rsidRPr="001F224B">
              <w:rPr>
                <w:sz w:val="20"/>
                <w:szCs w:val="20"/>
              </w:rPr>
              <w:t>- </w:t>
            </w:r>
          </w:p>
        </w:tc>
      </w:tr>
      <w:tr w:rsidR="00B4728A" w:rsidRPr="001F224B" w14:paraId="4794D047" w14:textId="77777777" w:rsidTr="00B4728A">
        <w:trPr>
          <w:trHeight w:val="20"/>
        </w:trPr>
        <w:tc>
          <w:tcPr>
            <w:tcW w:w="5012" w:type="dxa"/>
            <w:shd w:val="clear" w:color="000000" w:fill="FFFFFF"/>
            <w:noWrap/>
            <w:vAlign w:val="bottom"/>
          </w:tcPr>
          <w:p w14:paraId="06F99116" w14:textId="77777777" w:rsidR="00B4728A" w:rsidRPr="001F224B" w:rsidRDefault="00B4728A" w:rsidP="00B4728A">
            <w:pPr>
              <w:rPr>
                <w:b/>
                <w:sz w:val="20"/>
                <w:szCs w:val="20"/>
              </w:rPr>
            </w:pPr>
            <w:r w:rsidRPr="001F224B">
              <w:rPr>
                <w:b/>
                <w:sz w:val="20"/>
                <w:szCs w:val="20"/>
              </w:rPr>
              <w:t>Dönem Sonu Toplamı</w:t>
            </w:r>
          </w:p>
        </w:tc>
        <w:tc>
          <w:tcPr>
            <w:tcW w:w="2359" w:type="dxa"/>
            <w:shd w:val="clear" w:color="auto" w:fill="auto"/>
            <w:noWrap/>
            <w:vAlign w:val="bottom"/>
          </w:tcPr>
          <w:p w14:paraId="2F3FA62D" w14:textId="4E0FF391" w:rsidR="00B4728A" w:rsidRPr="001F224B" w:rsidRDefault="00B4728A" w:rsidP="00B4728A">
            <w:pPr>
              <w:jc w:val="right"/>
              <w:rPr>
                <w:b/>
                <w:bCs/>
                <w:sz w:val="20"/>
                <w:szCs w:val="20"/>
              </w:rPr>
            </w:pPr>
            <w:r w:rsidRPr="001F224B">
              <w:rPr>
                <w:b/>
                <w:bCs/>
                <w:sz w:val="20"/>
                <w:szCs w:val="20"/>
              </w:rPr>
              <w:t>10.868.599</w:t>
            </w:r>
          </w:p>
        </w:tc>
        <w:tc>
          <w:tcPr>
            <w:tcW w:w="2410" w:type="dxa"/>
            <w:shd w:val="clear" w:color="auto" w:fill="auto"/>
            <w:noWrap/>
            <w:vAlign w:val="bottom"/>
          </w:tcPr>
          <w:p w14:paraId="37D6D421" w14:textId="06A02E2B" w:rsidR="00B4728A" w:rsidRPr="001F224B" w:rsidRDefault="00B4728A" w:rsidP="00B4728A">
            <w:pPr>
              <w:jc w:val="right"/>
              <w:rPr>
                <w:b/>
                <w:sz w:val="20"/>
                <w:szCs w:val="20"/>
              </w:rPr>
            </w:pPr>
            <w:r w:rsidRPr="001F224B">
              <w:rPr>
                <w:b/>
                <w:bCs/>
                <w:sz w:val="20"/>
                <w:szCs w:val="20"/>
              </w:rPr>
              <w:t>10.402.375</w:t>
            </w:r>
          </w:p>
        </w:tc>
      </w:tr>
    </w:tbl>
    <w:bookmarkEnd w:id="31"/>
    <w:bookmarkEnd w:id="32"/>
    <w:p w14:paraId="47EF3906" w14:textId="77777777" w:rsidR="00B4728A" w:rsidRPr="001F224B" w:rsidRDefault="00B4728A" w:rsidP="00B4728A">
      <w:pPr>
        <w:pStyle w:val="NormalWeb"/>
        <w:spacing w:before="0" w:beforeAutospacing="0" w:after="0" w:afterAutospacing="0"/>
        <w:ind w:left="-126"/>
        <w:rPr>
          <w:rFonts w:ascii="Times New Roman" w:cs="Times New Roman"/>
          <w:bCs/>
          <w:sz w:val="16"/>
          <w:szCs w:val="16"/>
          <w:lang w:val="tr-TR"/>
        </w:rPr>
      </w:pPr>
      <w:r w:rsidRPr="001F224B">
        <w:rPr>
          <w:rFonts w:ascii="Times New Roman" w:cs="Times New Roman"/>
          <w:b/>
          <w:bCs/>
          <w:sz w:val="22"/>
          <w:szCs w:val="22"/>
          <w:lang w:val="tr-TR"/>
        </w:rPr>
        <w:tab/>
      </w:r>
      <w:r w:rsidRPr="001F224B">
        <w:rPr>
          <w:rFonts w:ascii="Times New Roman" w:cs="Times New Roman"/>
          <w:bCs/>
          <w:sz w:val="18"/>
          <w:szCs w:val="16"/>
          <w:vertAlign w:val="superscript"/>
          <w:lang w:val="tr-TR"/>
        </w:rPr>
        <w:t>(*)</w:t>
      </w:r>
      <w:r w:rsidRPr="001F224B">
        <w:rPr>
          <w:rFonts w:ascii="Times New Roman" w:cs="Times New Roman"/>
          <w:bCs/>
          <w:sz w:val="16"/>
          <w:szCs w:val="16"/>
          <w:lang w:val="tr-TR"/>
        </w:rPr>
        <w:t xml:space="preserve">  Yıl içindeki alımlarda 1.345.367 TL (31 Aralık 2024: 2.605.245 TL) reeskont artışından kaynaklanmaktadır.  </w:t>
      </w:r>
    </w:p>
    <w:p w14:paraId="5692467E" w14:textId="3F6B6A74" w:rsidR="00680A34" w:rsidRPr="001F224B" w:rsidRDefault="00B4728A" w:rsidP="00B4728A">
      <w:pPr>
        <w:pStyle w:val="NormalWeb"/>
        <w:spacing w:before="0" w:beforeAutospacing="0" w:after="0" w:afterAutospacing="0"/>
        <w:ind w:left="-126" w:firstLine="126"/>
        <w:rPr>
          <w:rFonts w:ascii="Times New Roman" w:cs="Times New Roman"/>
          <w:sz w:val="16"/>
          <w:szCs w:val="16"/>
          <w:lang w:val="tr-TR"/>
        </w:rPr>
      </w:pPr>
      <w:r w:rsidRPr="001F224B">
        <w:rPr>
          <w:rFonts w:ascii="Times New Roman" w:cs="Times New Roman"/>
          <w:bCs/>
          <w:sz w:val="18"/>
          <w:szCs w:val="16"/>
          <w:vertAlign w:val="superscript"/>
          <w:lang w:val="tr-TR"/>
        </w:rPr>
        <w:t xml:space="preserve">(**) </w:t>
      </w:r>
      <w:r w:rsidRPr="001F224B">
        <w:rPr>
          <w:rFonts w:ascii="Times New Roman" w:cs="Times New Roman"/>
          <w:bCs/>
          <w:sz w:val="16"/>
          <w:szCs w:val="16"/>
          <w:lang w:val="tr-TR"/>
        </w:rPr>
        <w:t>İtfa yoluyla elden çıkarılanlar 365.012 TL (31 Aralık 2024: 2.231.295 TL) kupon itfası sonrası reeskont azalış tutarlarıdır.</w:t>
      </w:r>
      <w:r w:rsidR="00680A34" w:rsidRPr="001F224B">
        <w:rPr>
          <w:rFonts w:ascii="Times New Roman" w:cs="Times New Roman"/>
          <w:bCs/>
          <w:sz w:val="16"/>
          <w:szCs w:val="16"/>
          <w:lang w:val="tr-TR"/>
        </w:rPr>
        <w:tab/>
      </w:r>
    </w:p>
    <w:p w14:paraId="72559510" w14:textId="77777777" w:rsidR="00680A34" w:rsidRPr="001F224B" w:rsidRDefault="00680A34" w:rsidP="00815728">
      <w:pPr>
        <w:pStyle w:val="NormalWeb"/>
        <w:spacing w:before="0" w:beforeAutospacing="0" w:after="0" w:afterAutospacing="0"/>
        <w:ind w:left="-126"/>
        <w:rPr>
          <w:rFonts w:ascii="Times New Roman" w:cs="Times New Roman"/>
          <w:bCs/>
          <w:sz w:val="16"/>
          <w:szCs w:val="16"/>
          <w:lang w:val="tr-TR"/>
        </w:rPr>
      </w:pPr>
    </w:p>
    <w:p w14:paraId="0EAD22C0" w14:textId="231AD746" w:rsidR="00A61EB3" w:rsidRPr="001F224B" w:rsidRDefault="00A61EB3" w:rsidP="004A7A9E">
      <w:pPr>
        <w:pStyle w:val="NormalWeb"/>
        <w:spacing w:before="0" w:beforeAutospacing="0" w:after="0" w:afterAutospacing="0"/>
        <w:ind w:left="-126"/>
        <w:rPr>
          <w:rFonts w:ascii="Times New Roman" w:cs="Times New Roman"/>
          <w:bCs/>
          <w:sz w:val="16"/>
          <w:szCs w:val="16"/>
          <w:lang w:val="tr-TR"/>
        </w:rPr>
      </w:pPr>
    </w:p>
    <w:p w14:paraId="2F16FD6C" w14:textId="77777777" w:rsidR="008C24A6" w:rsidRPr="001F224B" w:rsidRDefault="008C24A6">
      <w:pPr>
        <w:rPr>
          <w:sz w:val="22"/>
          <w:szCs w:val="22"/>
        </w:rPr>
      </w:pPr>
      <w:r w:rsidRPr="001F224B">
        <w:rPr>
          <w:sz w:val="22"/>
          <w:szCs w:val="22"/>
        </w:rPr>
        <w:br w:type="page"/>
      </w:r>
    </w:p>
    <w:p w14:paraId="2004DD65" w14:textId="77777777" w:rsidR="008C24A6" w:rsidRPr="001F224B" w:rsidRDefault="008C24A6" w:rsidP="008C24A6">
      <w:pPr>
        <w:pStyle w:val="ListParagraph"/>
        <w:tabs>
          <w:tab w:val="left" w:pos="0"/>
        </w:tabs>
        <w:spacing w:before="120" w:after="120"/>
        <w:ind w:left="0"/>
        <w:rPr>
          <w:b/>
          <w:bCs/>
          <w:sz w:val="22"/>
          <w:szCs w:val="22"/>
        </w:rPr>
      </w:pPr>
      <w:r w:rsidRPr="001F224B">
        <w:rPr>
          <w:b/>
          <w:bCs/>
          <w:sz w:val="22"/>
          <w:szCs w:val="22"/>
        </w:rPr>
        <w:t>BEŞİNCİ BÖLÜM (Devamı)</w:t>
      </w:r>
    </w:p>
    <w:p w14:paraId="75AE3844" w14:textId="6D719D9D" w:rsidR="008C24A6" w:rsidRPr="001F224B" w:rsidRDefault="006316CE" w:rsidP="008C24A6">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37B17AF8" w14:textId="4B2BADB0" w:rsidR="008C24A6" w:rsidRPr="001F224B" w:rsidRDefault="008C24A6" w:rsidP="00C03ED8">
      <w:pPr>
        <w:pStyle w:val="Heading2"/>
        <w:numPr>
          <w:ilvl w:val="0"/>
          <w:numId w:val="0"/>
        </w:numPr>
        <w:tabs>
          <w:tab w:val="left" w:pos="567"/>
        </w:tabs>
        <w:spacing w:after="120"/>
        <w:jc w:val="both"/>
        <w:rPr>
          <w:rFonts w:ascii="Times New Roman" w:hAnsi="Times New Roman"/>
          <w:i w:val="0"/>
          <w:sz w:val="22"/>
          <w:szCs w:val="22"/>
        </w:rPr>
      </w:pPr>
      <w:r w:rsidRPr="001F224B">
        <w:rPr>
          <w:rFonts w:ascii="Times New Roman" w:hAnsi="Times New Roman"/>
          <w:bCs w:val="0"/>
          <w:i w:val="0"/>
          <w:sz w:val="22"/>
          <w:szCs w:val="22"/>
        </w:rPr>
        <w:t>I.</w:t>
      </w:r>
      <w:r w:rsidRPr="001F224B">
        <w:rPr>
          <w:rFonts w:ascii="Times New Roman" w:hAnsi="Times New Roman"/>
          <w:bCs w:val="0"/>
          <w:i w:val="0"/>
          <w:sz w:val="22"/>
          <w:szCs w:val="22"/>
        </w:rPr>
        <w:tab/>
      </w:r>
      <w:r w:rsidR="006316CE" w:rsidRPr="001F224B">
        <w:rPr>
          <w:rFonts w:ascii="Times New Roman" w:hAnsi="Times New Roman"/>
          <w:bCs w:val="0"/>
          <w:i w:val="0"/>
          <w:sz w:val="22"/>
          <w:szCs w:val="22"/>
        </w:rPr>
        <w:t>Konsolide b</w:t>
      </w:r>
      <w:r w:rsidRPr="001F224B">
        <w:rPr>
          <w:rFonts w:ascii="Times New Roman" w:hAnsi="Times New Roman"/>
          <w:bCs w:val="0"/>
          <w:i w:val="0"/>
          <w:sz w:val="22"/>
          <w:szCs w:val="22"/>
        </w:rPr>
        <w:t>ilançonun aktif hesaplarına ilişkin açıklama ve dipnotlar (Devamı</w:t>
      </w:r>
      <w:r w:rsidRPr="001F224B">
        <w:rPr>
          <w:rFonts w:ascii="Times New Roman" w:hAnsi="Times New Roman"/>
          <w:i w:val="0"/>
          <w:sz w:val="22"/>
          <w:szCs w:val="22"/>
        </w:rPr>
        <w:t>)</w:t>
      </w:r>
    </w:p>
    <w:p w14:paraId="4D00F080" w14:textId="77777777" w:rsidR="00660B91" w:rsidRPr="001F224B" w:rsidRDefault="00660B91" w:rsidP="00660B91">
      <w:pPr>
        <w:tabs>
          <w:tab w:val="left" w:pos="540"/>
          <w:tab w:val="num" w:pos="2880"/>
        </w:tabs>
        <w:spacing w:before="120"/>
        <w:jc w:val="both"/>
        <w:rPr>
          <w:b/>
          <w:bCs/>
          <w:sz w:val="22"/>
          <w:szCs w:val="22"/>
        </w:rPr>
      </w:pPr>
      <w:r w:rsidRPr="001F224B">
        <w:rPr>
          <w:b/>
          <w:bCs/>
          <w:sz w:val="22"/>
          <w:szCs w:val="22"/>
        </w:rPr>
        <w:t xml:space="preserve">3. </w:t>
      </w:r>
      <w:r w:rsidRPr="001F224B">
        <w:rPr>
          <w:b/>
          <w:bCs/>
          <w:sz w:val="22"/>
          <w:szCs w:val="22"/>
        </w:rPr>
        <w:tab/>
        <w:t>Satış amaçlı elde tutulan ve durdurulan faaliyetlere ilişkin duran varlıklar (Net):</w:t>
      </w:r>
    </w:p>
    <w:p w14:paraId="38172AC7" w14:textId="77777777" w:rsidR="00660B91" w:rsidRPr="001F224B" w:rsidRDefault="00660B91" w:rsidP="00660B91">
      <w:pPr>
        <w:tabs>
          <w:tab w:val="left" w:pos="540"/>
          <w:tab w:val="num" w:pos="2880"/>
        </w:tabs>
        <w:spacing w:before="120" w:after="120"/>
        <w:ind w:left="567"/>
        <w:jc w:val="both"/>
        <w:rPr>
          <w:bCs/>
          <w:sz w:val="22"/>
          <w:szCs w:val="22"/>
        </w:rPr>
      </w:pPr>
      <w:r w:rsidRPr="001F224B">
        <w:rPr>
          <w:bCs/>
          <w:sz w:val="22"/>
          <w:szCs w:val="22"/>
        </w:rPr>
        <w:t>Bulunmamaktadır.</w:t>
      </w:r>
    </w:p>
    <w:p w14:paraId="6BD0EAAF" w14:textId="77777777" w:rsidR="00660B91" w:rsidRPr="001F224B" w:rsidRDefault="00660B91" w:rsidP="00660B91">
      <w:pPr>
        <w:tabs>
          <w:tab w:val="left" w:pos="540"/>
          <w:tab w:val="num" w:pos="2880"/>
        </w:tabs>
        <w:jc w:val="both"/>
        <w:rPr>
          <w:b/>
          <w:bCs/>
          <w:sz w:val="22"/>
          <w:szCs w:val="22"/>
        </w:rPr>
      </w:pPr>
      <w:r w:rsidRPr="001F224B">
        <w:rPr>
          <w:b/>
          <w:bCs/>
          <w:sz w:val="22"/>
          <w:szCs w:val="22"/>
        </w:rPr>
        <w:t xml:space="preserve">4. </w:t>
      </w:r>
      <w:r w:rsidRPr="001F224B">
        <w:rPr>
          <w:b/>
          <w:bCs/>
          <w:sz w:val="22"/>
          <w:szCs w:val="22"/>
        </w:rPr>
        <w:tab/>
        <w:t>Ortaklık yatırımlarına ilişkin bilgiler:</w:t>
      </w:r>
    </w:p>
    <w:p w14:paraId="48C825F9" w14:textId="77777777" w:rsidR="00660B91" w:rsidRPr="001F224B" w:rsidRDefault="00660B91" w:rsidP="00660B91">
      <w:pPr>
        <w:tabs>
          <w:tab w:val="left" w:pos="540"/>
          <w:tab w:val="num" w:pos="2880"/>
        </w:tabs>
        <w:spacing w:before="120" w:after="120"/>
        <w:jc w:val="both"/>
        <w:rPr>
          <w:b/>
          <w:bCs/>
          <w:sz w:val="22"/>
          <w:szCs w:val="22"/>
        </w:rPr>
      </w:pPr>
      <w:r w:rsidRPr="001F224B">
        <w:rPr>
          <w:b/>
          <w:bCs/>
          <w:sz w:val="22"/>
          <w:szCs w:val="22"/>
        </w:rPr>
        <w:t>4.1.</w:t>
      </w:r>
      <w:r w:rsidRPr="001F224B">
        <w:rPr>
          <w:b/>
          <w:bCs/>
          <w:sz w:val="22"/>
          <w:szCs w:val="22"/>
        </w:rPr>
        <w:tab/>
        <w:t>İştiraklere ilişkin bilgiler:</w:t>
      </w:r>
    </w:p>
    <w:p w14:paraId="41659899" w14:textId="77777777" w:rsidR="00660B91" w:rsidRPr="001F224B" w:rsidRDefault="00660B91" w:rsidP="00BB3F06">
      <w:pPr>
        <w:tabs>
          <w:tab w:val="left" w:pos="284"/>
          <w:tab w:val="num" w:pos="2694"/>
        </w:tabs>
        <w:spacing w:after="120" w:line="276" w:lineRule="auto"/>
        <w:jc w:val="both"/>
        <w:rPr>
          <w:b/>
          <w:bCs/>
          <w:sz w:val="22"/>
          <w:szCs w:val="22"/>
        </w:rPr>
      </w:pPr>
      <w:r w:rsidRPr="001F224B">
        <w:rPr>
          <w:b/>
          <w:bCs/>
          <w:sz w:val="22"/>
          <w:szCs w:val="22"/>
        </w:rPr>
        <w:t xml:space="preserve">4.1.a) Bankaların Konsolide Finansal Tablolarının Düzenlenmesine ilişkin Tebliğ ve ilgili Türkiye Muhasebe Standardı uyarınca konsolide edilmeyen iştirak varsa konsolide edilmeme sebepleri: </w:t>
      </w:r>
    </w:p>
    <w:p w14:paraId="719C08EF" w14:textId="77777777" w:rsidR="00660B91" w:rsidRPr="001F224B" w:rsidRDefault="00660B91" w:rsidP="00660B91">
      <w:pPr>
        <w:tabs>
          <w:tab w:val="left" w:pos="284"/>
          <w:tab w:val="num" w:pos="2694"/>
        </w:tabs>
        <w:spacing w:after="120"/>
        <w:ind w:left="567"/>
        <w:jc w:val="both"/>
        <w:rPr>
          <w:sz w:val="22"/>
          <w:szCs w:val="22"/>
        </w:rPr>
      </w:pPr>
      <w:r w:rsidRPr="001F224B">
        <w:rPr>
          <w:sz w:val="22"/>
          <w:szCs w:val="22"/>
        </w:rPr>
        <w:t>Mali iştirak olmadıkları için konsolidasyon kapsamına alınmayan iştirakler maliyet yöntemine göre değerlenmiştir.</w:t>
      </w:r>
    </w:p>
    <w:p w14:paraId="0A0FB37C" w14:textId="77777777" w:rsidR="00660B91" w:rsidRPr="001F224B" w:rsidRDefault="00660B91" w:rsidP="00660B91">
      <w:pPr>
        <w:tabs>
          <w:tab w:val="left" w:pos="540"/>
          <w:tab w:val="num" w:pos="2880"/>
        </w:tabs>
        <w:spacing w:after="120"/>
        <w:jc w:val="both"/>
        <w:rPr>
          <w:b/>
          <w:bCs/>
          <w:sz w:val="22"/>
          <w:szCs w:val="22"/>
        </w:rPr>
      </w:pPr>
      <w:r w:rsidRPr="001F224B">
        <w:rPr>
          <w:b/>
          <w:bCs/>
          <w:sz w:val="22"/>
          <w:szCs w:val="22"/>
        </w:rPr>
        <w:t xml:space="preserve">4.1.b) Konsolide edilmeyen iştiraklere ilişkin genel bilgiler: </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660"/>
        <w:gridCol w:w="2131"/>
        <w:gridCol w:w="2038"/>
      </w:tblGrid>
      <w:tr w:rsidR="00660B91" w:rsidRPr="001F224B" w14:paraId="56BB8168" w14:textId="77777777" w:rsidTr="00C82513">
        <w:trPr>
          <w:trHeight w:val="20"/>
        </w:trPr>
        <w:tc>
          <w:tcPr>
            <w:tcW w:w="230" w:type="dxa"/>
            <w:tcBorders>
              <w:bottom w:val="single" w:sz="4" w:space="0" w:color="auto"/>
            </w:tcBorders>
            <w:shd w:val="clear" w:color="auto" w:fill="FFFFFF"/>
          </w:tcPr>
          <w:p w14:paraId="17655CDD" w14:textId="77777777" w:rsidR="00660B91" w:rsidRPr="001F224B" w:rsidRDefault="00660B91" w:rsidP="0020447B">
            <w:pPr>
              <w:jc w:val="center"/>
              <w:rPr>
                <w:sz w:val="18"/>
                <w:szCs w:val="18"/>
              </w:rPr>
            </w:pPr>
          </w:p>
        </w:tc>
        <w:tc>
          <w:tcPr>
            <w:tcW w:w="3802" w:type="dxa"/>
            <w:tcBorders>
              <w:bottom w:val="single" w:sz="4" w:space="0" w:color="auto"/>
            </w:tcBorders>
            <w:shd w:val="clear" w:color="auto" w:fill="FFFFFF"/>
            <w:noWrap/>
            <w:vAlign w:val="bottom"/>
          </w:tcPr>
          <w:p w14:paraId="26A84255" w14:textId="77777777" w:rsidR="00660B91" w:rsidRPr="001F224B" w:rsidRDefault="00660B91" w:rsidP="0020447B">
            <w:pPr>
              <w:jc w:val="center"/>
              <w:rPr>
                <w:b/>
                <w:bCs/>
                <w:sz w:val="18"/>
                <w:szCs w:val="18"/>
              </w:rPr>
            </w:pPr>
            <w:r w:rsidRPr="001F224B">
              <w:rPr>
                <w:b/>
                <w:bCs/>
                <w:sz w:val="18"/>
                <w:szCs w:val="18"/>
              </w:rPr>
              <w:t>Unvanı</w:t>
            </w:r>
          </w:p>
        </w:tc>
        <w:tc>
          <w:tcPr>
            <w:tcW w:w="1660" w:type="dxa"/>
            <w:tcBorders>
              <w:bottom w:val="single" w:sz="4" w:space="0" w:color="auto"/>
            </w:tcBorders>
            <w:shd w:val="clear" w:color="auto" w:fill="FFFFFF"/>
            <w:vAlign w:val="bottom"/>
          </w:tcPr>
          <w:p w14:paraId="20058BA0" w14:textId="77777777" w:rsidR="00660B91" w:rsidRPr="001F224B" w:rsidRDefault="00660B91" w:rsidP="0020447B">
            <w:pPr>
              <w:jc w:val="center"/>
              <w:rPr>
                <w:b/>
                <w:bCs/>
                <w:sz w:val="18"/>
                <w:szCs w:val="18"/>
              </w:rPr>
            </w:pPr>
            <w:r w:rsidRPr="001F224B">
              <w:rPr>
                <w:b/>
                <w:bCs/>
                <w:sz w:val="18"/>
                <w:szCs w:val="18"/>
              </w:rPr>
              <w:t>Adres (Şehir/ Ülke)</w:t>
            </w:r>
          </w:p>
        </w:tc>
        <w:tc>
          <w:tcPr>
            <w:tcW w:w="2131" w:type="dxa"/>
            <w:tcBorders>
              <w:bottom w:val="single" w:sz="4" w:space="0" w:color="auto"/>
            </w:tcBorders>
            <w:shd w:val="clear" w:color="auto" w:fill="FFFFFF"/>
            <w:vAlign w:val="bottom"/>
          </w:tcPr>
          <w:p w14:paraId="0FCA3D50" w14:textId="77777777" w:rsidR="00660B91" w:rsidRPr="001F224B" w:rsidRDefault="00660B91" w:rsidP="0020447B">
            <w:pPr>
              <w:jc w:val="center"/>
              <w:rPr>
                <w:b/>
                <w:bCs/>
                <w:sz w:val="18"/>
                <w:szCs w:val="18"/>
              </w:rPr>
            </w:pPr>
            <w:r w:rsidRPr="001F224B">
              <w:rPr>
                <w:b/>
                <w:bCs/>
                <w:sz w:val="18"/>
                <w:szCs w:val="18"/>
              </w:rPr>
              <w:t xml:space="preserve">Banka’nın Pay Oranı- Farklıysa Oy Oranı (%) </w:t>
            </w:r>
          </w:p>
        </w:tc>
        <w:tc>
          <w:tcPr>
            <w:tcW w:w="2038" w:type="dxa"/>
            <w:tcBorders>
              <w:bottom w:val="single" w:sz="4" w:space="0" w:color="auto"/>
            </w:tcBorders>
            <w:shd w:val="clear" w:color="auto" w:fill="FFFFFF"/>
            <w:vAlign w:val="bottom"/>
          </w:tcPr>
          <w:p w14:paraId="5C9EE4C7" w14:textId="77777777" w:rsidR="00660B91" w:rsidRPr="001F224B" w:rsidRDefault="00660B91" w:rsidP="0020447B">
            <w:pPr>
              <w:jc w:val="center"/>
              <w:rPr>
                <w:b/>
                <w:bCs/>
                <w:sz w:val="18"/>
                <w:szCs w:val="18"/>
              </w:rPr>
            </w:pPr>
            <w:r w:rsidRPr="001F224B">
              <w:rPr>
                <w:b/>
                <w:bCs/>
                <w:sz w:val="18"/>
                <w:szCs w:val="18"/>
              </w:rPr>
              <w:t xml:space="preserve">Banka Risk Grubu Pay Oranı (%) </w:t>
            </w:r>
          </w:p>
        </w:tc>
      </w:tr>
      <w:tr w:rsidR="00660B91" w:rsidRPr="001F224B" w14:paraId="472AD85C" w14:textId="77777777" w:rsidTr="00C82513">
        <w:trPr>
          <w:trHeight w:val="20"/>
        </w:trPr>
        <w:tc>
          <w:tcPr>
            <w:tcW w:w="230" w:type="dxa"/>
            <w:tcBorders>
              <w:bottom w:val="single" w:sz="4" w:space="0" w:color="auto"/>
            </w:tcBorders>
            <w:shd w:val="clear" w:color="auto" w:fill="FFFFFF"/>
            <w:vAlign w:val="center"/>
          </w:tcPr>
          <w:p w14:paraId="726047D2" w14:textId="77777777" w:rsidR="00660B91" w:rsidRPr="001F224B" w:rsidRDefault="00660B91" w:rsidP="0020447B">
            <w:pPr>
              <w:jc w:val="center"/>
              <w:rPr>
                <w:sz w:val="18"/>
                <w:szCs w:val="18"/>
              </w:rPr>
            </w:pPr>
            <w:r w:rsidRPr="001F224B">
              <w:rPr>
                <w:sz w:val="18"/>
                <w:szCs w:val="18"/>
              </w:rPr>
              <w:t>1</w:t>
            </w:r>
          </w:p>
        </w:tc>
        <w:tc>
          <w:tcPr>
            <w:tcW w:w="3802" w:type="dxa"/>
            <w:tcBorders>
              <w:bottom w:val="single" w:sz="4" w:space="0" w:color="auto"/>
            </w:tcBorders>
            <w:shd w:val="clear" w:color="auto" w:fill="FFFFFF"/>
            <w:noWrap/>
          </w:tcPr>
          <w:p w14:paraId="72B049B5" w14:textId="77777777" w:rsidR="00660B91" w:rsidRPr="001F224B" w:rsidRDefault="00660B91" w:rsidP="0020447B">
            <w:pPr>
              <w:rPr>
                <w:sz w:val="20"/>
                <w:szCs w:val="20"/>
              </w:rPr>
            </w:pPr>
            <w:r w:rsidRPr="001F224B">
              <w:rPr>
                <w:sz w:val="20"/>
                <w:szCs w:val="20"/>
              </w:rPr>
              <w:t xml:space="preserve">Maksan A.Ş. </w:t>
            </w:r>
          </w:p>
        </w:tc>
        <w:tc>
          <w:tcPr>
            <w:tcW w:w="1660" w:type="dxa"/>
            <w:tcBorders>
              <w:bottom w:val="single" w:sz="4" w:space="0" w:color="auto"/>
            </w:tcBorders>
            <w:shd w:val="clear" w:color="auto" w:fill="FFFFFF"/>
            <w:noWrap/>
          </w:tcPr>
          <w:p w14:paraId="70089FDC" w14:textId="77777777" w:rsidR="00660B91" w:rsidRPr="001F224B" w:rsidRDefault="00660B91" w:rsidP="0020447B">
            <w:pPr>
              <w:rPr>
                <w:sz w:val="20"/>
                <w:szCs w:val="20"/>
              </w:rPr>
            </w:pPr>
            <w:r w:rsidRPr="001F224B">
              <w:rPr>
                <w:sz w:val="20"/>
                <w:szCs w:val="20"/>
              </w:rPr>
              <w:t>Malatya</w:t>
            </w:r>
          </w:p>
        </w:tc>
        <w:tc>
          <w:tcPr>
            <w:tcW w:w="2131" w:type="dxa"/>
            <w:tcBorders>
              <w:bottom w:val="single" w:sz="4" w:space="0" w:color="auto"/>
            </w:tcBorders>
            <w:shd w:val="clear" w:color="auto" w:fill="FFFFFF"/>
            <w:noWrap/>
          </w:tcPr>
          <w:p w14:paraId="15E9A58C" w14:textId="77777777" w:rsidR="00660B91" w:rsidRPr="001F224B" w:rsidRDefault="00660B91" w:rsidP="0020447B">
            <w:pPr>
              <w:jc w:val="right"/>
              <w:rPr>
                <w:sz w:val="20"/>
                <w:szCs w:val="20"/>
              </w:rPr>
            </w:pPr>
            <w:r w:rsidRPr="001F224B">
              <w:rPr>
                <w:sz w:val="20"/>
                <w:szCs w:val="20"/>
              </w:rPr>
              <w:t>20</w:t>
            </w:r>
          </w:p>
        </w:tc>
        <w:tc>
          <w:tcPr>
            <w:tcW w:w="2038" w:type="dxa"/>
            <w:tcBorders>
              <w:bottom w:val="single" w:sz="4" w:space="0" w:color="auto"/>
            </w:tcBorders>
            <w:shd w:val="clear" w:color="auto" w:fill="FFFFFF"/>
            <w:noWrap/>
          </w:tcPr>
          <w:p w14:paraId="3F80B19E" w14:textId="77777777" w:rsidR="00660B91" w:rsidRPr="001F224B" w:rsidRDefault="00660B91" w:rsidP="0020447B">
            <w:pPr>
              <w:jc w:val="right"/>
              <w:rPr>
                <w:sz w:val="20"/>
                <w:szCs w:val="20"/>
              </w:rPr>
            </w:pPr>
            <w:r w:rsidRPr="001F224B">
              <w:rPr>
                <w:sz w:val="20"/>
                <w:szCs w:val="20"/>
              </w:rPr>
              <w:t>31,14</w:t>
            </w:r>
          </w:p>
        </w:tc>
      </w:tr>
    </w:tbl>
    <w:p w14:paraId="10C9F9C2" w14:textId="77777777" w:rsidR="00660B91" w:rsidRPr="001F224B" w:rsidRDefault="00660B91" w:rsidP="00660B91">
      <w:pPr>
        <w:tabs>
          <w:tab w:val="left" w:pos="709"/>
        </w:tabs>
        <w:spacing w:before="120" w:after="120"/>
        <w:jc w:val="both"/>
        <w:rPr>
          <w:b/>
          <w:sz w:val="22"/>
          <w:szCs w:val="22"/>
        </w:rPr>
      </w:pPr>
      <w:r w:rsidRPr="001F224B">
        <w:rPr>
          <w:b/>
          <w:sz w:val="22"/>
          <w:szCs w:val="22"/>
        </w:rPr>
        <w:t>4.1.c) Yukarıdaki sıraya göre konsolide edilmeyen iştiraklere ilişkin finansal tablo bilgileri:</w:t>
      </w:r>
    </w:p>
    <w:tbl>
      <w:tblPr>
        <w:tblW w:w="988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62"/>
      </w:tblGrid>
      <w:tr w:rsidR="00660B91" w:rsidRPr="001F224B" w14:paraId="4C02BDEF" w14:textId="77777777" w:rsidTr="000B596A">
        <w:trPr>
          <w:trHeight w:val="563"/>
        </w:trPr>
        <w:tc>
          <w:tcPr>
            <w:tcW w:w="504" w:type="dxa"/>
            <w:tcBorders>
              <w:bottom w:val="single" w:sz="4" w:space="0" w:color="auto"/>
            </w:tcBorders>
            <w:vAlign w:val="bottom"/>
          </w:tcPr>
          <w:p w14:paraId="2F7F43F2" w14:textId="24A43ACE" w:rsidR="00660B91" w:rsidRPr="001F224B" w:rsidRDefault="008F0841" w:rsidP="0020447B">
            <w:pPr>
              <w:rPr>
                <w:sz w:val="18"/>
                <w:szCs w:val="18"/>
              </w:rPr>
            </w:pPr>
            <w:r w:rsidRPr="001F224B">
              <w:rPr>
                <w:sz w:val="18"/>
                <w:szCs w:val="18"/>
              </w:rPr>
              <w:t>  </w:t>
            </w:r>
            <w:r w:rsidRPr="001F224B">
              <w:rPr>
                <w:sz w:val="14"/>
                <w:szCs w:val="18"/>
              </w:rPr>
              <w:t>(*)</w:t>
            </w:r>
          </w:p>
        </w:tc>
        <w:tc>
          <w:tcPr>
            <w:tcW w:w="1302" w:type="dxa"/>
            <w:tcBorders>
              <w:bottom w:val="single" w:sz="4" w:space="0" w:color="auto"/>
            </w:tcBorders>
            <w:shd w:val="clear" w:color="auto" w:fill="FFFFFF"/>
            <w:vAlign w:val="bottom"/>
          </w:tcPr>
          <w:p w14:paraId="405E64CB" w14:textId="77777777" w:rsidR="00660B91" w:rsidRPr="001F224B" w:rsidRDefault="00660B91" w:rsidP="0020447B">
            <w:pPr>
              <w:jc w:val="center"/>
              <w:rPr>
                <w:b/>
                <w:bCs/>
                <w:sz w:val="18"/>
                <w:szCs w:val="18"/>
              </w:rPr>
            </w:pPr>
            <w:r w:rsidRPr="001F224B">
              <w:rPr>
                <w:b/>
                <w:bCs/>
                <w:sz w:val="18"/>
                <w:szCs w:val="18"/>
              </w:rPr>
              <w:t>Aktif Toplamı</w:t>
            </w:r>
          </w:p>
        </w:tc>
        <w:tc>
          <w:tcPr>
            <w:tcW w:w="1246" w:type="dxa"/>
            <w:tcBorders>
              <w:bottom w:val="single" w:sz="4" w:space="0" w:color="auto"/>
            </w:tcBorders>
            <w:shd w:val="clear" w:color="auto" w:fill="FFFFFF"/>
            <w:vAlign w:val="bottom"/>
          </w:tcPr>
          <w:p w14:paraId="004D9D56" w14:textId="77777777" w:rsidR="00660B91" w:rsidRPr="001F224B" w:rsidRDefault="00660B91" w:rsidP="0020447B">
            <w:pPr>
              <w:jc w:val="center"/>
              <w:rPr>
                <w:b/>
                <w:bCs/>
                <w:sz w:val="18"/>
                <w:szCs w:val="18"/>
              </w:rPr>
            </w:pPr>
            <w:r w:rsidRPr="001F224B">
              <w:rPr>
                <w:b/>
                <w:bCs/>
                <w:sz w:val="18"/>
                <w:szCs w:val="18"/>
              </w:rPr>
              <w:t>Özkaynak</w:t>
            </w:r>
          </w:p>
        </w:tc>
        <w:tc>
          <w:tcPr>
            <w:tcW w:w="1176" w:type="dxa"/>
            <w:tcBorders>
              <w:bottom w:val="single" w:sz="4" w:space="0" w:color="auto"/>
            </w:tcBorders>
            <w:shd w:val="clear" w:color="auto" w:fill="FFFFFF"/>
            <w:vAlign w:val="bottom"/>
          </w:tcPr>
          <w:p w14:paraId="3C999AB3" w14:textId="77777777" w:rsidR="00660B91" w:rsidRPr="001F224B" w:rsidRDefault="00660B91" w:rsidP="0020447B">
            <w:pPr>
              <w:jc w:val="center"/>
              <w:rPr>
                <w:b/>
                <w:bCs/>
                <w:sz w:val="18"/>
                <w:szCs w:val="18"/>
              </w:rPr>
            </w:pPr>
            <w:r w:rsidRPr="001F224B">
              <w:rPr>
                <w:b/>
                <w:bCs/>
                <w:sz w:val="18"/>
                <w:szCs w:val="18"/>
              </w:rPr>
              <w:t>Sabit Varlık Toplamı</w:t>
            </w:r>
          </w:p>
        </w:tc>
        <w:tc>
          <w:tcPr>
            <w:tcW w:w="1134" w:type="dxa"/>
            <w:tcBorders>
              <w:bottom w:val="single" w:sz="4" w:space="0" w:color="auto"/>
            </w:tcBorders>
            <w:shd w:val="clear" w:color="auto" w:fill="FFFFFF"/>
            <w:vAlign w:val="bottom"/>
          </w:tcPr>
          <w:p w14:paraId="6BD0902E" w14:textId="77777777" w:rsidR="00660B91" w:rsidRPr="001F224B" w:rsidRDefault="00660B91" w:rsidP="0020447B">
            <w:pPr>
              <w:jc w:val="center"/>
              <w:rPr>
                <w:b/>
                <w:bCs/>
                <w:sz w:val="18"/>
                <w:szCs w:val="18"/>
              </w:rPr>
            </w:pPr>
            <w:r w:rsidRPr="001F224B">
              <w:rPr>
                <w:b/>
                <w:bCs/>
                <w:sz w:val="18"/>
                <w:szCs w:val="18"/>
              </w:rPr>
              <w:t>Faiz Gelirleri</w:t>
            </w:r>
          </w:p>
        </w:tc>
        <w:tc>
          <w:tcPr>
            <w:tcW w:w="1217" w:type="dxa"/>
            <w:tcBorders>
              <w:bottom w:val="single" w:sz="4" w:space="0" w:color="auto"/>
            </w:tcBorders>
            <w:shd w:val="clear" w:color="auto" w:fill="FFFFFF"/>
            <w:vAlign w:val="bottom"/>
          </w:tcPr>
          <w:p w14:paraId="3B38240E" w14:textId="77777777" w:rsidR="00660B91" w:rsidRPr="001F224B" w:rsidRDefault="00660B91" w:rsidP="0020447B">
            <w:pPr>
              <w:jc w:val="center"/>
              <w:rPr>
                <w:b/>
                <w:bCs/>
                <w:sz w:val="18"/>
                <w:szCs w:val="18"/>
              </w:rPr>
            </w:pPr>
            <w:r w:rsidRPr="001F224B">
              <w:rPr>
                <w:b/>
                <w:bCs/>
                <w:sz w:val="18"/>
                <w:szCs w:val="18"/>
              </w:rPr>
              <w:t>Menkul Değer Gelirleri</w:t>
            </w:r>
          </w:p>
        </w:tc>
        <w:tc>
          <w:tcPr>
            <w:tcW w:w="1134" w:type="dxa"/>
            <w:tcBorders>
              <w:bottom w:val="single" w:sz="4" w:space="0" w:color="auto"/>
            </w:tcBorders>
            <w:shd w:val="clear" w:color="auto" w:fill="FFFFFF"/>
            <w:vAlign w:val="bottom"/>
          </w:tcPr>
          <w:p w14:paraId="73CC03ED" w14:textId="77777777" w:rsidR="00660B91" w:rsidRPr="001F224B" w:rsidRDefault="00660B91" w:rsidP="0020447B">
            <w:pPr>
              <w:jc w:val="center"/>
              <w:rPr>
                <w:b/>
                <w:bCs/>
                <w:sz w:val="18"/>
                <w:szCs w:val="18"/>
              </w:rPr>
            </w:pPr>
            <w:r w:rsidRPr="001F224B">
              <w:rPr>
                <w:b/>
                <w:bCs/>
                <w:sz w:val="18"/>
                <w:szCs w:val="18"/>
              </w:rPr>
              <w:t>Cari Dönem Kar/Zararı</w:t>
            </w:r>
          </w:p>
        </w:tc>
        <w:tc>
          <w:tcPr>
            <w:tcW w:w="1106" w:type="dxa"/>
            <w:tcBorders>
              <w:bottom w:val="single" w:sz="4" w:space="0" w:color="auto"/>
            </w:tcBorders>
            <w:shd w:val="clear" w:color="auto" w:fill="FFFFFF"/>
            <w:vAlign w:val="bottom"/>
          </w:tcPr>
          <w:p w14:paraId="74BF88F1" w14:textId="77777777" w:rsidR="00660B91" w:rsidRPr="001F224B" w:rsidRDefault="00660B91" w:rsidP="0020447B">
            <w:pPr>
              <w:jc w:val="center"/>
              <w:rPr>
                <w:b/>
                <w:bCs/>
                <w:sz w:val="18"/>
                <w:szCs w:val="18"/>
              </w:rPr>
            </w:pPr>
            <w:r w:rsidRPr="001F224B">
              <w:rPr>
                <w:b/>
                <w:bCs/>
                <w:sz w:val="18"/>
                <w:szCs w:val="18"/>
              </w:rPr>
              <w:t>Önceki Dönem Kar/Zararı</w:t>
            </w:r>
          </w:p>
        </w:tc>
        <w:tc>
          <w:tcPr>
            <w:tcW w:w="1062" w:type="dxa"/>
            <w:tcBorders>
              <w:bottom w:val="single" w:sz="4" w:space="0" w:color="auto"/>
            </w:tcBorders>
            <w:shd w:val="clear" w:color="auto" w:fill="FFFFFF"/>
            <w:vAlign w:val="bottom"/>
          </w:tcPr>
          <w:p w14:paraId="72F56A7A" w14:textId="77777777" w:rsidR="00660B91" w:rsidRPr="001F224B" w:rsidRDefault="00660B91" w:rsidP="0020447B">
            <w:pPr>
              <w:jc w:val="center"/>
              <w:rPr>
                <w:b/>
                <w:bCs/>
                <w:sz w:val="18"/>
                <w:szCs w:val="18"/>
              </w:rPr>
            </w:pPr>
            <w:r w:rsidRPr="001F224B">
              <w:rPr>
                <w:b/>
                <w:bCs/>
                <w:sz w:val="18"/>
                <w:szCs w:val="18"/>
              </w:rPr>
              <w:t>Gerçeğe Uygun Değeri</w:t>
            </w:r>
          </w:p>
        </w:tc>
      </w:tr>
      <w:tr w:rsidR="00B4728A" w:rsidRPr="001F224B" w14:paraId="305D3947" w14:textId="77777777" w:rsidTr="000B596A">
        <w:trPr>
          <w:trHeight w:val="19"/>
        </w:trPr>
        <w:tc>
          <w:tcPr>
            <w:tcW w:w="504" w:type="dxa"/>
            <w:shd w:val="clear" w:color="auto" w:fill="FFFFFF"/>
            <w:vAlign w:val="bottom"/>
          </w:tcPr>
          <w:p w14:paraId="4C4A9256" w14:textId="77777777" w:rsidR="00B4728A" w:rsidRPr="001F224B" w:rsidRDefault="00B4728A" w:rsidP="00B4728A">
            <w:pPr>
              <w:jc w:val="center"/>
              <w:rPr>
                <w:sz w:val="18"/>
                <w:szCs w:val="18"/>
              </w:rPr>
            </w:pPr>
          </w:p>
        </w:tc>
        <w:tc>
          <w:tcPr>
            <w:tcW w:w="1302" w:type="dxa"/>
            <w:shd w:val="clear" w:color="auto" w:fill="FFFFFF"/>
          </w:tcPr>
          <w:p w14:paraId="63DCD398" w14:textId="30A5765F" w:rsidR="00B4728A" w:rsidRPr="001F224B" w:rsidRDefault="00B4728A" w:rsidP="00B4728A">
            <w:pPr>
              <w:jc w:val="center"/>
              <w:rPr>
                <w:sz w:val="20"/>
                <w:szCs w:val="20"/>
              </w:rPr>
            </w:pPr>
            <w:r w:rsidRPr="001F224B">
              <w:rPr>
                <w:sz w:val="20"/>
                <w:szCs w:val="20"/>
              </w:rPr>
              <w:t>839.537</w:t>
            </w:r>
          </w:p>
        </w:tc>
        <w:tc>
          <w:tcPr>
            <w:tcW w:w="1246" w:type="dxa"/>
            <w:shd w:val="clear" w:color="auto" w:fill="FFFFFF"/>
          </w:tcPr>
          <w:p w14:paraId="29AE4CB4" w14:textId="58D34531" w:rsidR="00B4728A" w:rsidRPr="001F224B" w:rsidRDefault="00B4728A" w:rsidP="00B4728A">
            <w:pPr>
              <w:jc w:val="center"/>
              <w:rPr>
                <w:sz w:val="20"/>
                <w:szCs w:val="20"/>
              </w:rPr>
            </w:pPr>
            <w:r w:rsidRPr="001F224B">
              <w:rPr>
                <w:sz w:val="20"/>
                <w:szCs w:val="20"/>
              </w:rPr>
              <w:t>578.456</w:t>
            </w:r>
          </w:p>
        </w:tc>
        <w:tc>
          <w:tcPr>
            <w:tcW w:w="1176" w:type="dxa"/>
            <w:shd w:val="clear" w:color="auto" w:fill="FFFFFF"/>
          </w:tcPr>
          <w:p w14:paraId="1EC1711B" w14:textId="24C131AC" w:rsidR="00B4728A" w:rsidRPr="001F224B" w:rsidRDefault="00B4728A" w:rsidP="00B4728A">
            <w:pPr>
              <w:jc w:val="center"/>
              <w:rPr>
                <w:sz w:val="20"/>
                <w:szCs w:val="20"/>
              </w:rPr>
            </w:pPr>
            <w:r w:rsidRPr="001F224B">
              <w:rPr>
                <w:sz w:val="20"/>
                <w:szCs w:val="20"/>
              </w:rPr>
              <w:t>58.484</w:t>
            </w:r>
          </w:p>
        </w:tc>
        <w:tc>
          <w:tcPr>
            <w:tcW w:w="1134" w:type="dxa"/>
            <w:shd w:val="clear" w:color="auto" w:fill="FFFFFF"/>
          </w:tcPr>
          <w:p w14:paraId="7E1CD8DE" w14:textId="3E118E18" w:rsidR="00B4728A" w:rsidRPr="001F224B" w:rsidRDefault="00B4728A" w:rsidP="00B4728A">
            <w:pPr>
              <w:jc w:val="center"/>
              <w:rPr>
                <w:sz w:val="20"/>
                <w:szCs w:val="20"/>
              </w:rPr>
            </w:pPr>
            <w:r w:rsidRPr="001F224B">
              <w:rPr>
                <w:sz w:val="20"/>
                <w:szCs w:val="20"/>
              </w:rPr>
              <w:t>-</w:t>
            </w:r>
          </w:p>
        </w:tc>
        <w:tc>
          <w:tcPr>
            <w:tcW w:w="1217" w:type="dxa"/>
            <w:shd w:val="clear" w:color="auto" w:fill="FFFFFF"/>
          </w:tcPr>
          <w:p w14:paraId="33B8C877" w14:textId="049D8803" w:rsidR="00B4728A" w:rsidRPr="001F224B" w:rsidRDefault="00B4728A" w:rsidP="00B4728A">
            <w:pPr>
              <w:jc w:val="center"/>
              <w:rPr>
                <w:sz w:val="20"/>
                <w:szCs w:val="20"/>
              </w:rPr>
            </w:pPr>
            <w:r w:rsidRPr="001F224B">
              <w:rPr>
                <w:sz w:val="20"/>
                <w:szCs w:val="20"/>
              </w:rPr>
              <w:t>-</w:t>
            </w:r>
          </w:p>
        </w:tc>
        <w:tc>
          <w:tcPr>
            <w:tcW w:w="1134" w:type="dxa"/>
            <w:shd w:val="clear" w:color="auto" w:fill="FFFFFF"/>
          </w:tcPr>
          <w:p w14:paraId="52EF54F8" w14:textId="496E2DC9" w:rsidR="00B4728A" w:rsidRPr="001F224B" w:rsidRDefault="00B4728A" w:rsidP="00B4728A">
            <w:pPr>
              <w:jc w:val="center"/>
              <w:rPr>
                <w:sz w:val="20"/>
                <w:szCs w:val="20"/>
              </w:rPr>
            </w:pPr>
            <w:r w:rsidRPr="001F224B">
              <w:rPr>
                <w:sz w:val="20"/>
                <w:szCs w:val="20"/>
              </w:rPr>
              <w:t>55.818</w:t>
            </w:r>
          </w:p>
        </w:tc>
        <w:tc>
          <w:tcPr>
            <w:tcW w:w="1106" w:type="dxa"/>
            <w:shd w:val="clear" w:color="auto" w:fill="FFFFFF"/>
          </w:tcPr>
          <w:p w14:paraId="429BA2D5" w14:textId="6BCD1CAB" w:rsidR="00B4728A" w:rsidRPr="001F224B" w:rsidRDefault="00B4728A" w:rsidP="00B4728A">
            <w:pPr>
              <w:jc w:val="center"/>
              <w:rPr>
                <w:sz w:val="20"/>
                <w:szCs w:val="20"/>
              </w:rPr>
            </w:pPr>
            <w:r w:rsidRPr="001F224B">
              <w:rPr>
                <w:sz w:val="20"/>
                <w:szCs w:val="20"/>
              </w:rPr>
              <w:t>56.532</w:t>
            </w:r>
          </w:p>
        </w:tc>
        <w:tc>
          <w:tcPr>
            <w:tcW w:w="1062" w:type="dxa"/>
            <w:shd w:val="clear" w:color="auto" w:fill="FFFFFF"/>
            <w:vAlign w:val="bottom"/>
          </w:tcPr>
          <w:p w14:paraId="67C29F11" w14:textId="29CEFB85" w:rsidR="00B4728A" w:rsidRPr="001F224B" w:rsidRDefault="00B4728A" w:rsidP="00B4728A">
            <w:pPr>
              <w:jc w:val="center"/>
              <w:rPr>
                <w:sz w:val="20"/>
                <w:szCs w:val="20"/>
              </w:rPr>
            </w:pPr>
            <w:r w:rsidRPr="001F224B">
              <w:rPr>
                <w:sz w:val="20"/>
                <w:szCs w:val="20"/>
              </w:rPr>
              <w:t>-</w:t>
            </w:r>
          </w:p>
        </w:tc>
      </w:tr>
    </w:tbl>
    <w:p w14:paraId="3786D8DB" w14:textId="77777777" w:rsidR="00B4728A" w:rsidRPr="001F224B" w:rsidRDefault="00B4728A" w:rsidP="00B4728A">
      <w:pPr>
        <w:tabs>
          <w:tab w:val="left" w:pos="1276"/>
        </w:tabs>
        <w:ind w:left="278" w:hanging="278"/>
        <w:jc w:val="both"/>
        <w:rPr>
          <w:iCs/>
          <w:noProof/>
          <w:sz w:val="16"/>
          <w:szCs w:val="16"/>
        </w:rPr>
      </w:pPr>
      <w:r w:rsidRPr="001F224B">
        <w:rPr>
          <w:iCs/>
          <w:noProof/>
          <w:sz w:val="18"/>
          <w:szCs w:val="16"/>
          <w:vertAlign w:val="superscript"/>
        </w:rPr>
        <w:t>(*)</w:t>
      </w:r>
      <w:r w:rsidRPr="001F224B">
        <w:rPr>
          <w:iCs/>
          <w:noProof/>
          <w:sz w:val="16"/>
          <w:szCs w:val="16"/>
        </w:rPr>
        <w:tab/>
        <w:t xml:space="preserve">Finansal veriler, Maksan A.Ş. 31 Mart 2025 tarihli bağımsız denetimden geçmemiş, enflasyon muhasebesi uygulanmamış finansal tablolarından; önceki dönem kar/zarar tutarı, 31 Mart 2024 tarihli bağımsız denetimden geçmemiş, enflasyon muhasebesi uygulanmamış finansal tablolarından alınmıştır.  </w:t>
      </w:r>
    </w:p>
    <w:p w14:paraId="40625CC2" w14:textId="65D1CC62" w:rsidR="00261100" w:rsidRPr="001F224B" w:rsidRDefault="00261100" w:rsidP="00DE4252">
      <w:pPr>
        <w:tabs>
          <w:tab w:val="left" w:pos="1276"/>
        </w:tabs>
        <w:spacing w:before="120" w:after="120"/>
        <w:ind w:left="278" w:hanging="278"/>
        <w:jc w:val="both"/>
        <w:rPr>
          <w:b/>
          <w:bCs/>
          <w:snapToGrid w:val="0"/>
          <w:sz w:val="22"/>
          <w:szCs w:val="22"/>
        </w:rPr>
      </w:pPr>
      <w:r w:rsidRPr="001F224B">
        <w:rPr>
          <w:b/>
          <w:bCs/>
          <w:snapToGrid w:val="0"/>
          <w:sz w:val="22"/>
          <w:szCs w:val="22"/>
        </w:rPr>
        <w:t>4.1.</w:t>
      </w:r>
      <w:r w:rsidR="00DF64C6" w:rsidRPr="001F224B">
        <w:rPr>
          <w:b/>
          <w:bCs/>
          <w:snapToGrid w:val="0"/>
          <w:sz w:val="22"/>
          <w:szCs w:val="22"/>
        </w:rPr>
        <w:t>ç</w:t>
      </w:r>
      <w:r w:rsidR="009F0770" w:rsidRPr="001F224B">
        <w:rPr>
          <w:b/>
          <w:bCs/>
          <w:snapToGrid w:val="0"/>
          <w:sz w:val="22"/>
          <w:szCs w:val="22"/>
        </w:rPr>
        <w:t>)</w:t>
      </w:r>
      <w:r w:rsidR="00E92638" w:rsidRPr="001F224B">
        <w:rPr>
          <w:b/>
          <w:bCs/>
          <w:snapToGrid w:val="0"/>
          <w:sz w:val="22"/>
          <w:szCs w:val="22"/>
        </w:rPr>
        <w:t xml:space="preserve"> </w:t>
      </w:r>
      <w:r w:rsidR="00CF7D04" w:rsidRPr="001F224B">
        <w:rPr>
          <w:b/>
          <w:bCs/>
          <w:snapToGrid w:val="0"/>
          <w:sz w:val="22"/>
          <w:szCs w:val="22"/>
        </w:rPr>
        <w:t>Konsolide e</w:t>
      </w:r>
      <w:r w:rsidR="007C7372" w:rsidRPr="001F224B">
        <w:rPr>
          <w:b/>
          <w:bCs/>
          <w:snapToGrid w:val="0"/>
          <w:sz w:val="22"/>
          <w:szCs w:val="22"/>
        </w:rPr>
        <w:t>dilmeyen</w:t>
      </w:r>
      <w:r w:rsidR="00A91FB1" w:rsidRPr="001F224B">
        <w:rPr>
          <w:b/>
          <w:bCs/>
          <w:snapToGrid w:val="0"/>
          <w:sz w:val="22"/>
          <w:szCs w:val="22"/>
        </w:rPr>
        <w:t xml:space="preserve"> </w:t>
      </w:r>
      <w:r w:rsidR="00CF7D04" w:rsidRPr="001F224B">
        <w:rPr>
          <w:b/>
          <w:bCs/>
          <w:snapToGrid w:val="0"/>
          <w:sz w:val="22"/>
          <w:szCs w:val="22"/>
        </w:rPr>
        <w:t>i</w:t>
      </w:r>
      <w:r w:rsidRPr="001F224B">
        <w:rPr>
          <w:b/>
          <w:bCs/>
          <w:snapToGrid w:val="0"/>
          <w:sz w:val="22"/>
          <w:szCs w:val="22"/>
        </w:rPr>
        <w:t>ştiraklere ilişkin hareket tablosu:</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2044"/>
      </w:tblGrid>
      <w:tr w:rsidR="00261100" w:rsidRPr="001F224B" w14:paraId="6FAF9D80" w14:textId="77777777" w:rsidTr="004174FF">
        <w:trPr>
          <w:trHeight w:val="227"/>
        </w:trPr>
        <w:tc>
          <w:tcPr>
            <w:tcW w:w="5641" w:type="dxa"/>
            <w:shd w:val="clear" w:color="000000" w:fill="FFFFFF"/>
            <w:noWrap/>
            <w:vAlign w:val="bottom"/>
            <w:hideMark/>
          </w:tcPr>
          <w:p w14:paraId="188D5279" w14:textId="77777777" w:rsidR="00261100" w:rsidRPr="001F224B" w:rsidRDefault="00261100" w:rsidP="004174FF">
            <w:pPr>
              <w:jc w:val="center"/>
              <w:rPr>
                <w:sz w:val="20"/>
                <w:szCs w:val="20"/>
              </w:rPr>
            </w:pPr>
            <w:r w:rsidRPr="001F224B">
              <w:rPr>
                <w:sz w:val="20"/>
                <w:szCs w:val="20"/>
              </w:rPr>
              <w:t> </w:t>
            </w:r>
          </w:p>
        </w:tc>
        <w:tc>
          <w:tcPr>
            <w:tcW w:w="2184" w:type="dxa"/>
            <w:shd w:val="clear" w:color="000000" w:fill="FFFFFF"/>
            <w:noWrap/>
            <w:vAlign w:val="bottom"/>
            <w:hideMark/>
          </w:tcPr>
          <w:p w14:paraId="634591AE" w14:textId="77777777" w:rsidR="00F71A28" w:rsidRPr="001F224B" w:rsidRDefault="00F71A28" w:rsidP="00F71A28">
            <w:pPr>
              <w:jc w:val="center"/>
              <w:rPr>
                <w:b/>
                <w:bCs/>
                <w:sz w:val="20"/>
                <w:szCs w:val="20"/>
              </w:rPr>
            </w:pPr>
            <w:r w:rsidRPr="001F224B">
              <w:rPr>
                <w:b/>
                <w:bCs/>
                <w:sz w:val="20"/>
                <w:szCs w:val="20"/>
              </w:rPr>
              <w:t xml:space="preserve">Cari Dönem </w:t>
            </w:r>
          </w:p>
          <w:p w14:paraId="56FD6E00" w14:textId="11149604" w:rsidR="00261100" w:rsidRPr="001F224B" w:rsidRDefault="00F71A28" w:rsidP="00F71A28">
            <w:pPr>
              <w:jc w:val="center"/>
              <w:rPr>
                <w:b/>
                <w:sz w:val="20"/>
                <w:szCs w:val="20"/>
              </w:rPr>
            </w:pPr>
            <w:r w:rsidRPr="001F224B">
              <w:rPr>
                <w:b/>
                <w:bCs/>
                <w:sz w:val="20"/>
                <w:szCs w:val="20"/>
              </w:rPr>
              <w:t>(3</w:t>
            </w:r>
            <w:r w:rsidR="008646F8" w:rsidRPr="001F224B">
              <w:rPr>
                <w:b/>
                <w:bCs/>
                <w:sz w:val="20"/>
                <w:szCs w:val="20"/>
              </w:rPr>
              <w:t>0</w:t>
            </w:r>
            <w:r w:rsidRPr="001F224B">
              <w:rPr>
                <w:b/>
                <w:bCs/>
                <w:sz w:val="20"/>
                <w:szCs w:val="20"/>
              </w:rPr>
              <w:t>.</w:t>
            </w:r>
            <w:r w:rsidR="00DF64C6" w:rsidRPr="001F224B">
              <w:rPr>
                <w:b/>
                <w:bCs/>
                <w:sz w:val="20"/>
                <w:szCs w:val="20"/>
              </w:rPr>
              <w:t>0</w:t>
            </w:r>
            <w:r w:rsidR="008646F8" w:rsidRPr="001F224B">
              <w:rPr>
                <w:b/>
                <w:bCs/>
                <w:sz w:val="20"/>
                <w:szCs w:val="20"/>
              </w:rPr>
              <w:t>6</w:t>
            </w:r>
            <w:r w:rsidRPr="001F224B">
              <w:rPr>
                <w:b/>
                <w:bCs/>
                <w:sz w:val="20"/>
                <w:szCs w:val="20"/>
              </w:rPr>
              <w:t>.202</w:t>
            </w:r>
            <w:r w:rsidR="00DF64C6" w:rsidRPr="001F224B">
              <w:rPr>
                <w:b/>
                <w:bCs/>
                <w:sz w:val="20"/>
                <w:szCs w:val="20"/>
              </w:rPr>
              <w:t>5</w:t>
            </w:r>
            <w:r w:rsidRPr="001F224B">
              <w:rPr>
                <w:b/>
                <w:bCs/>
                <w:sz w:val="20"/>
                <w:szCs w:val="20"/>
              </w:rPr>
              <w:t>)</w:t>
            </w:r>
          </w:p>
        </w:tc>
        <w:tc>
          <w:tcPr>
            <w:tcW w:w="2044" w:type="dxa"/>
            <w:shd w:val="clear" w:color="000000" w:fill="FFFFFF"/>
            <w:noWrap/>
            <w:vAlign w:val="bottom"/>
            <w:hideMark/>
          </w:tcPr>
          <w:p w14:paraId="5371CD5E" w14:textId="77777777" w:rsidR="00261100" w:rsidRPr="001F224B" w:rsidRDefault="00261100" w:rsidP="006D56FF">
            <w:pPr>
              <w:jc w:val="center"/>
              <w:rPr>
                <w:b/>
                <w:sz w:val="20"/>
                <w:szCs w:val="20"/>
              </w:rPr>
            </w:pPr>
            <w:r w:rsidRPr="001F224B">
              <w:rPr>
                <w:b/>
                <w:sz w:val="20"/>
                <w:szCs w:val="20"/>
              </w:rPr>
              <w:t>Önceki Dönem</w:t>
            </w:r>
          </w:p>
          <w:p w14:paraId="4FE06C82" w14:textId="2ABBBE39" w:rsidR="00261100" w:rsidRPr="001F224B" w:rsidRDefault="00261100" w:rsidP="006D56FF">
            <w:pPr>
              <w:jc w:val="center"/>
              <w:rPr>
                <w:b/>
                <w:sz w:val="20"/>
                <w:szCs w:val="20"/>
              </w:rPr>
            </w:pPr>
            <w:r w:rsidRPr="001F224B">
              <w:rPr>
                <w:b/>
                <w:sz w:val="20"/>
                <w:szCs w:val="20"/>
              </w:rPr>
              <w:t>(</w:t>
            </w:r>
            <w:r w:rsidR="00280C2E" w:rsidRPr="001F224B">
              <w:rPr>
                <w:b/>
                <w:bCs/>
                <w:sz w:val="20"/>
                <w:szCs w:val="20"/>
              </w:rPr>
              <w:t>31.1</w:t>
            </w:r>
            <w:r w:rsidR="00DF64C6" w:rsidRPr="001F224B">
              <w:rPr>
                <w:b/>
                <w:bCs/>
                <w:sz w:val="20"/>
                <w:szCs w:val="20"/>
              </w:rPr>
              <w:t>2</w:t>
            </w:r>
            <w:r w:rsidR="00280C2E" w:rsidRPr="001F224B">
              <w:rPr>
                <w:b/>
                <w:bCs/>
                <w:sz w:val="20"/>
                <w:szCs w:val="20"/>
              </w:rPr>
              <w:t>.202</w:t>
            </w:r>
            <w:r w:rsidR="00DF64C6" w:rsidRPr="001F224B">
              <w:rPr>
                <w:b/>
                <w:bCs/>
                <w:sz w:val="20"/>
                <w:szCs w:val="20"/>
              </w:rPr>
              <w:t>4</w:t>
            </w:r>
            <w:r w:rsidRPr="001F224B">
              <w:rPr>
                <w:b/>
                <w:sz w:val="20"/>
                <w:szCs w:val="20"/>
              </w:rPr>
              <w:t>)</w:t>
            </w:r>
          </w:p>
        </w:tc>
      </w:tr>
      <w:tr w:rsidR="00DF64C6" w:rsidRPr="001F224B" w14:paraId="00F33BD6" w14:textId="77777777" w:rsidTr="005B1EA4">
        <w:trPr>
          <w:trHeight w:val="227"/>
        </w:trPr>
        <w:tc>
          <w:tcPr>
            <w:tcW w:w="5641" w:type="dxa"/>
            <w:shd w:val="clear" w:color="000000" w:fill="FFFFFF"/>
            <w:vAlign w:val="bottom"/>
            <w:hideMark/>
          </w:tcPr>
          <w:p w14:paraId="3F3A3561" w14:textId="77777777" w:rsidR="00DF64C6" w:rsidRPr="001F224B" w:rsidRDefault="00DF64C6" w:rsidP="00DF64C6">
            <w:pPr>
              <w:rPr>
                <w:b/>
                <w:sz w:val="20"/>
                <w:szCs w:val="20"/>
              </w:rPr>
            </w:pPr>
            <w:r w:rsidRPr="001F224B">
              <w:rPr>
                <w:b/>
                <w:sz w:val="20"/>
                <w:szCs w:val="20"/>
              </w:rPr>
              <w:t>Dönem Başı Değeri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371EAA13" w14:textId="413BE302" w:rsidR="00DF64C6" w:rsidRPr="001F224B" w:rsidRDefault="00DF64C6" w:rsidP="00DF64C6">
            <w:pPr>
              <w:jc w:val="right"/>
              <w:rPr>
                <w:b/>
                <w:sz w:val="20"/>
                <w:szCs w:val="20"/>
              </w:rPr>
            </w:pPr>
            <w:r w:rsidRPr="001F224B">
              <w:rPr>
                <w:b/>
                <w:sz w:val="20"/>
                <w:szCs w:val="20"/>
              </w:rPr>
              <w:t>10.586</w:t>
            </w:r>
          </w:p>
        </w:tc>
        <w:tc>
          <w:tcPr>
            <w:tcW w:w="2044" w:type="dxa"/>
            <w:shd w:val="clear" w:color="auto" w:fill="auto"/>
            <w:noWrap/>
            <w:vAlign w:val="bottom"/>
            <w:hideMark/>
          </w:tcPr>
          <w:p w14:paraId="2E6F5A98" w14:textId="218D149E" w:rsidR="00DF64C6" w:rsidRPr="001F224B" w:rsidRDefault="00DF64C6" w:rsidP="00DF64C6">
            <w:pPr>
              <w:jc w:val="right"/>
              <w:rPr>
                <w:b/>
                <w:sz w:val="20"/>
                <w:szCs w:val="20"/>
              </w:rPr>
            </w:pPr>
            <w:r w:rsidRPr="001F224B">
              <w:rPr>
                <w:b/>
                <w:sz w:val="20"/>
                <w:szCs w:val="20"/>
              </w:rPr>
              <w:t>10.586</w:t>
            </w:r>
          </w:p>
        </w:tc>
      </w:tr>
      <w:tr w:rsidR="00DF64C6" w:rsidRPr="001F224B" w14:paraId="19BA96BE" w14:textId="77777777" w:rsidTr="005B1EA4">
        <w:trPr>
          <w:trHeight w:val="227"/>
        </w:trPr>
        <w:tc>
          <w:tcPr>
            <w:tcW w:w="5641" w:type="dxa"/>
            <w:shd w:val="clear" w:color="000000" w:fill="FFFFFF"/>
            <w:vAlign w:val="bottom"/>
            <w:hideMark/>
          </w:tcPr>
          <w:p w14:paraId="0E4B2037" w14:textId="77777777" w:rsidR="00DF64C6" w:rsidRPr="001F224B" w:rsidRDefault="00DF64C6" w:rsidP="00DF64C6">
            <w:pPr>
              <w:rPr>
                <w:b/>
                <w:sz w:val="20"/>
                <w:szCs w:val="20"/>
              </w:rPr>
            </w:pPr>
            <w:r w:rsidRPr="001F224B">
              <w:rPr>
                <w:b/>
                <w:sz w:val="20"/>
                <w:szCs w:val="20"/>
              </w:rPr>
              <w:t xml:space="preserve">Dönem İçi Hareketler </w:t>
            </w:r>
          </w:p>
        </w:tc>
        <w:tc>
          <w:tcPr>
            <w:tcW w:w="2184" w:type="dxa"/>
            <w:tcBorders>
              <w:top w:val="single" w:sz="4" w:space="0" w:color="auto"/>
              <w:left w:val="single" w:sz="4" w:space="0" w:color="auto"/>
              <w:bottom w:val="single" w:sz="4" w:space="0" w:color="auto"/>
              <w:right w:val="single" w:sz="4" w:space="0" w:color="auto"/>
            </w:tcBorders>
            <w:noWrap/>
            <w:vAlign w:val="bottom"/>
          </w:tcPr>
          <w:p w14:paraId="731F9C8B" w14:textId="2F2689F8" w:rsidR="00DF64C6" w:rsidRPr="001F224B" w:rsidRDefault="00DF64C6" w:rsidP="00DF64C6">
            <w:pPr>
              <w:jc w:val="right"/>
              <w:rPr>
                <w:b/>
                <w:sz w:val="20"/>
                <w:szCs w:val="20"/>
              </w:rPr>
            </w:pPr>
            <w:r w:rsidRPr="001F224B">
              <w:rPr>
                <w:b/>
                <w:sz w:val="20"/>
                <w:szCs w:val="20"/>
              </w:rPr>
              <w:t>-</w:t>
            </w:r>
          </w:p>
        </w:tc>
        <w:tc>
          <w:tcPr>
            <w:tcW w:w="2044" w:type="dxa"/>
            <w:shd w:val="clear" w:color="auto" w:fill="auto"/>
            <w:noWrap/>
            <w:vAlign w:val="bottom"/>
            <w:hideMark/>
          </w:tcPr>
          <w:p w14:paraId="1EC57F8A" w14:textId="4BB4B9F3" w:rsidR="00DF64C6" w:rsidRPr="001F224B" w:rsidRDefault="00DF64C6" w:rsidP="00DF64C6">
            <w:pPr>
              <w:jc w:val="right"/>
              <w:rPr>
                <w:b/>
                <w:sz w:val="20"/>
                <w:szCs w:val="20"/>
              </w:rPr>
            </w:pPr>
            <w:r w:rsidRPr="001F224B">
              <w:rPr>
                <w:b/>
                <w:sz w:val="20"/>
                <w:szCs w:val="20"/>
              </w:rPr>
              <w:t>-</w:t>
            </w:r>
          </w:p>
        </w:tc>
      </w:tr>
      <w:tr w:rsidR="00DF64C6" w:rsidRPr="001F224B" w14:paraId="7280ED80" w14:textId="77777777" w:rsidTr="005B1EA4">
        <w:trPr>
          <w:trHeight w:val="227"/>
        </w:trPr>
        <w:tc>
          <w:tcPr>
            <w:tcW w:w="5641" w:type="dxa"/>
            <w:shd w:val="clear" w:color="000000" w:fill="FFFFFF"/>
            <w:vAlign w:val="bottom"/>
            <w:hideMark/>
          </w:tcPr>
          <w:p w14:paraId="2635C70C" w14:textId="77777777" w:rsidR="00DF64C6" w:rsidRPr="001F224B" w:rsidRDefault="00DF64C6" w:rsidP="00DF64C6">
            <w:pPr>
              <w:ind w:firstLineChars="200" w:firstLine="400"/>
              <w:rPr>
                <w:sz w:val="20"/>
                <w:szCs w:val="20"/>
              </w:rPr>
            </w:pPr>
            <w:r w:rsidRPr="001F224B">
              <w:rPr>
                <w:sz w:val="20"/>
                <w:szCs w:val="20"/>
              </w:rPr>
              <w:t xml:space="preserve">Alışlar </w:t>
            </w:r>
          </w:p>
        </w:tc>
        <w:tc>
          <w:tcPr>
            <w:tcW w:w="2184" w:type="dxa"/>
            <w:tcBorders>
              <w:top w:val="single" w:sz="4" w:space="0" w:color="auto"/>
              <w:left w:val="single" w:sz="4" w:space="0" w:color="auto"/>
              <w:bottom w:val="single" w:sz="4" w:space="0" w:color="auto"/>
              <w:right w:val="single" w:sz="4" w:space="0" w:color="auto"/>
            </w:tcBorders>
            <w:noWrap/>
            <w:vAlign w:val="bottom"/>
          </w:tcPr>
          <w:p w14:paraId="7821F0E5" w14:textId="15882947"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hideMark/>
          </w:tcPr>
          <w:p w14:paraId="492383B7" w14:textId="2F7DF199" w:rsidR="00DF64C6" w:rsidRPr="001F224B" w:rsidRDefault="00DF64C6" w:rsidP="00DF64C6">
            <w:pPr>
              <w:jc w:val="right"/>
              <w:rPr>
                <w:sz w:val="20"/>
                <w:szCs w:val="20"/>
              </w:rPr>
            </w:pPr>
            <w:r w:rsidRPr="001F224B">
              <w:rPr>
                <w:sz w:val="20"/>
                <w:szCs w:val="20"/>
              </w:rPr>
              <w:t>-</w:t>
            </w:r>
          </w:p>
        </w:tc>
      </w:tr>
      <w:tr w:rsidR="00DF64C6" w:rsidRPr="001F224B" w14:paraId="6C178820" w14:textId="77777777" w:rsidTr="005B1EA4">
        <w:trPr>
          <w:trHeight w:val="227"/>
        </w:trPr>
        <w:tc>
          <w:tcPr>
            <w:tcW w:w="5641" w:type="dxa"/>
            <w:shd w:val="clear" w:color="000000" w:fill="FFFFFF"/>
            <w:vAlign w:val="bottom"/>
            <w:hideMark/>
          </w:tcPr>
          <w:p w14:paraId="57244887" w14:textId="77777777" w:rsidR="00DF64C6" w:rsidRPr="001F224B" w:rsidRDefault="00DF64C6" w:rsidP="00DF64C6">
            <w:pPr>
              <w:ind w:firstLineChars="200" w:firstLine="400"/>
              <w:rPr>
                <w:sz w:val="20"/>
                <w:szCs w:val="20"/>
              </w:rPr>
            </w:pPr>
            <w:r w:rsidRPr="001F224B">
              <w:rPr>
                <w:sz w:val="20"/>
                <w:szCs w:val="20"/>
              </w:rPr>
              <w:t>Bedelsiz Edinilen Hisse Senetleri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25FF34CB" w14:textId="71D95002"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hideMark/>
          </w:tcPr>
          <w:p w14:paraId="4A9909BE" w14:textId="5A58C633" w:rsidR="00DF64C6" w:rsidRPr="001F224B" w:rsidRDefault="00DF64C6" w:rsidP="00DF64C6">
            <w:pPr>
              <w:jc w:val="right"/>
              <w:rPr>
                <w:sz w:val="20"/>
                <w:szCs w:val="20"/>
              </w:rPr>
            </w:pPr>
            <w:r w:rsidRPr="001F224B">
              <w:rPr>
                <w:sz w:val="20"/>
                <w:szCs w:val="20"/>
              </w:rPr>
              <w:t>-</w:t>
            </w:r>
          </w:p>
        </w:tc>
      </w:tr>
      <w:tr w:rsidR="00DF64C6" w:rsidRPr="001F224B" w14:paraId="0FE089A3" w14:textId="77777777" w:rsidTr="005B1EA4">
        <w:trPr>
          <w:trHeight w:val="227"/>
        </w:trPr>
        <w:tc>
          <w:tcPr>
            <w:tcW w:w="5641" w:type="dxa"/>
            <w:shd w:val="clear" w:color="000000" w:fill="FFFFFF"/>
            <w:vAlign w:val="bottom"/>
            <w:hideMark/>
          </w:tcPr>
          <w:p w14:paraId="5DCE261D" w14:textId="77777777" w:rsidR="00DF64C6" w:rsidRPr="001F224B" w:rsidRDefault="00DF64C6" w:rsidP="00DF64C6">
            <w:pPr>
              <w:ind w:firstLineChars="200" w:firstLine="400"/>
              <w:rPr>
                <w:sz w:val="20"/>
                <w:szCs w:val="20"/>
              </w:rPr>
            </w:pPr>
            <w:r w:rsidRPr="001F224B">
              <w:rPr>
                <w:sz w:val="20"/>
                <w:szCs w:val="20"/>
              </w:rPr>
              <w:t>Cari Yıl Payından Alınan Kar</w:t>
            </w:r>
          </w:p>
        </w:tc>
        <w:tc>
          <w:tcPr>
            <w:tcW w:w="2184" w:type="dxa"/>
            <w:tcBorders>
              <w:top w:val="single" w:sz="4" w:space="0" w:color="auto"/>
              <w:left w:val="single" w:sz="4" w:space="0" w:color="auto"/>
              <w:bottom w:val="single" w:sz="4" w:space="0" w:color="auto"/>
              <w:right w:val="single" w:sz="4" w:space="0" w:color="auto"/>
            </w:tcBorders>
            <w:noWrap/>
            <w:vAlign w:val="bottom"/>
          </w:tcPr>
          <w:p w14:paraId="4899155B" w14:textId="69004A9B"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hideMark/>
          </w:tcPr>
          <w:p w14:paraId="33D51056" w14:textId="307E1FAF" w:rsidR="00DF64C6" w:rsidRPr="001F224B" w:rsidRDefault="00DF64C6" w:rsidP="00DF64C6">
            <w:pPr>
              <w:jc w:val="right"/>
              <w:rPr>
                <w:sz w:val="20"/>
                <w:szCs w:val="20"/>
              </w:rPr>
            </w:pPr>
            <w:r w:rsidRPr="001F224B">
              <w:rPr>
                <w:sz w:val="20"/>
                <w:szCs w:val="20"/>
              </w:rPr>
              <w:t>-</w:t>
            </w:r>
          </w:p>
        </w:tc>
      </w:tr>
      <w:tr w:rsidR="00DF64C6" w:rsidRPr="001F224B" w14:paraId="63A43D04" w14:textId="77777777" w:rsidTr="005B1EA4">
        <w:trPr>
          <w:trHeight w:val="227"/>
        </w:trPr>
        <w:tc>
          <w:tcPr>
            <w:tcW w:w="5641" w:type="dxa"/>
            <w:shd w:val="clear" w:color="000000" w:fill="FFFFFF"/>
            <w:vAlign w:val="bottom"/>
            <w:hideMark/>
          </w:tcPr>
          <w:p w14:paraId="340CF640" w14:textId="2183C48C" w:rsidR="00DF64C6" w:rsidRPr="001F224B" w:rsidRDefault="00DF64C6" w:rsidP="00DF64C6">
            <w:pPr>
              <w:ind w:firstLineChars="200" w:firstLine="400"/>
              <w:rPr>
                <w:sz w:val="20"/>
                <w:szCs w:val="20"/>
                <w:vertAlign w:val="superscript"/>
              </w:rPr>
            </w:pPr>
            <w:r w:rsidRPr="001F224B">
              <w:rPr>
                <w:sz w:val="20"/>
                <w:szCs w:val="20"/>
              </w:rPr>
              <w:t>Satışlar</w:t>
            </w:r>
          </w:p>
        </w:tc>
        <w:tc>
          <w:tcPr>
            <w:tcW w:w="2184" w:type="dxa"/>
            <w:tcBorders>
              <w:top w:val="single" w:sz="4" w:space="0" w:color="auto"/>
              <w:left w:val="single" w:sz="4" w:space="0" w:color="auto"/>
              <w:bottom w:val="single" w:sz="4" w:space="0" w:color="auto"/>
              <w:right w:val="single" w:sz="4" w:space="0" w:color="auto"/>
            </w:tcBorders>
            <w:noWrap/>
            <w:vAlign w:val="bottom"/>
          </w:tcPr>
          <w:p w14:paraId="704FCC64" w14:textId="34491034"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hideMark/>
          </w:tcPr>
          <w:p w14:paraId="4060FBAF" w14:textId="1374CFED" w:rsidR="00DF64C6" w:rsidRPr="001F224B" w:rsidRDefault="00DF64C6" w:rsidP="00DF64C6">
            <w:pPr>
              <w:jc w:val="right"/>
              <w:rPr>
                <w:sz w:val="20"/>
                <w:szCs w:val="20"/>
              </w:rPr>
            </w:pPr>
            <w:r w:rsidRPr="001F224B">
              <w:rPr>
                <w:sz w:val="20"/>
                <w:szCs w:val="20"/>
              </w:rPr>
              <w:t>-</w:t>
            </w:r>
          </w:p>
        </w:tc>
      </w:tr>
      <w:tr w:rsidR="00DF64C6" w:rsidRPr="001F224B" w14:paraId="252A9AAC" w14:textId="77777777" w:rsidTr="005B1EA4">
        <w:trPr>
          <w:trHeight w:val="227"/>
        </w:trPr>
        <w:tc>
          <w:tcPr>
            <w:tcW w:w="5641" w:type="dxa"/>
            <w:shd w:val="clear" w:color="000000" w:fill="FFFFFF"/>
            <w:vAlign w:val="bottom"/>
          </w:tcPr>
          <w:p w14:paraId="2EC5B77E" w14:textId="77777777" w:rsidR="00DF64C6" w:rsidRPr="001F224B" w:rsidRDefault="00DF64C6" w:rsidP="00DF64C6">
            <w:pPr>
              <w:ind w:firstLineChars="200" w:firstLine="400"/>
              <w:rPr>
                <w:sz w:val="20"/>
                <w:szCs w:val="20"/>
              </w:rPr>
            </w:pPr>
            <w:r w:rsidRPr="001F224B">
              <w:rPr>
                <w:sz w:val="20"/>
                <w:szCs w:val="20"/>
              </w:rPr>
              <w:t>TFRS 9 Sınıf Değişikliği</w:t>
            </w:r>
          </w:p>
        </w:tc>
        <w:tc>
          <w:tcPr>
            <w:tcW w:w="2184" w:type="dxa"/>
            <w:tcBorders>
              <w:top w:val="single" w:sz="4" w:space="0" w:color="auto"/>
              <w:left w:val="single" w:sz="4" w:space="0" w:color="auto"/>
              <w:bottom w:val="single" w:sz="4" w:space="0" w:color="auto"/>
              <w:right w:val="single" w:sz="4" w:space="0" w:color="auto"/>
            </w:tcBorders>
            <w:noWrap/>
            <w:vAlign w:val="bottom"/>
          </w:tcPr>
          <w:p w14:paraId="721D2BF8" w14:textId="70871798"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tcPr>
          <w:p w14:paraId="642CC912" w14:textId="1C59AD09" w:rsidR="00DF64C6" w:rsidRPr="001F224B" w:rsidRDefault="00DF64C6" w:rsidP="00DF64C6">
            <w:pPr>
              <w:jc w:val="right"/>
              <w:rPr>
                <w:sz w:val="20"/>
                <w:szCs w:val="20"/>
              </w:rPr>
            </w:pPr>
            <w:r w:rsidRPr="001F224B">
              <w:rPr>
                <w:sz w:val="20"/>
                <w:szCs w:val="20"/>
              </w:rPr>
              <w:t>-</w:t>
            </w:r>
          </w:p>
        </w:tc>
      </w:tr>
      <w:tr w:rsidR="00DF64C6" w:rsidRPr="001F224B" w14:paraId="431E3784" w14:textId="77777777" w:rsidTr="005B1EA4">
        <w:trPr>
          <w:trHeight w:val="227"/>
        </w:trPr>
        <w:tc>
          <w:tcPr>
            <w:tcW w:w="5641" w:type="dxa"/>
            <w:shd w:val="clear" w:color="000000" w:fill="FFFFFF"/>
            <w:vAlign w:val="bottom"/>
            <w:hideMark/>
          </w:tcPr>
          <w:p w14:paraId="6E7C77DF" w14:textId="77777777" w:rsidR="00DF64C6" w:rsidRPr="001F224B" w:rsidRDefault="00DF64C6" w:rsidP="00DF64C6">
            <w:pPr>
              <w:ind w:firstLineChars="200" w:firstLine="400"/>
              <w:rPr>
                <w:sz w:val="20"/>
                <w:szCs w:val="20"/>
              </w:rPr>
            </w:pPr>
            <w:r w:rsidRPr="001F224B">
              <w:rPr>
                <w:sz w:val="20"/>
                <w:szCs w:val="20"/>
              </w:rPr>
              <w:t>Yeniden Değerleme Artışı</w:t>
            </w:r>
          </w:p>
        </w:tc>
        <w:tc>
          <w:tcPr>
            <w:tcW w:w="2184" w:type="dxa"/>
            <w:tcBorders>
              <w:top w:val="single" w:sz="4" w:space="0" w:color="auto"/>
              <w:left w:val="single" w:sz="4" w:space="0" w:color="auto"/>
              <w:bottom w:val="single" w:sz="4" w:space="0" w:color="auto"/>
              <w:right w:val="single" w:sz="4" w:space="0" w:color="auto"/>
            </w:tcBorders>
            <w:noWrap/>
            <w:vAlign w:val="bottom"/>
          </w:tcPr>
          <w:p w14:paraId="380F997A" w14:textId="03BE317D"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hideMark/>
          </w:tcPr>
          <w:p w14:paraId="497FB3B6" w14:textId="1377B0A9" w:rsidR="00DF64C6" w:rsidRPr="001F224B" w:rsidRDefault="00DF64C6" w:rsidP="00DF64C6">
            <w:pPr>
              <w:jc w:val="right"/>
              <w:rPr>
                <w:sz w:val="20"/>
                <w:szCs w:val="20"/>
              </w:rPr>
            </w:pPr>
            <w:r w:rsidRPr="001F224B">
              <w:rPr>
                <w:sz w:val="20"/>
                <w:szCs w:val="20"/>
              </w:rPr>
              <w:t>-</w:t>
            </w:r>
          </w:p>
        </w:tc>
      </w:tr>
      <w:tr w:rsidR="00DF64C6" w:rsidRPr="001F224B" w14:paraId="179E5C02" w14:textId="77777777" w:rsidTr="005B1EA4">
        <w:trPr>
          <w:trHeight w:val="227"/>
        </w:trPr>
        <w:tc>
          <w:tcPr>
            <w:tcW w:w="5641" w:type="dxa"/>
            <w:shd w:val="clear" w:color="000000" w:fill="FFFFFF"/>
            <w:vAlign w:val="bottom"/>
            <w:hideMark/>
          </w:tcPr>
          <w:p w14:paraId="79449A17" w14:textId="77777777" w:rsidR="00DF64C6" w:rsidRPr="001F224B" w:rsidRDefault="00DF64C6" w:rsidP="00DF64C6">
            <w:pPr>
              <w:ind w:firstLineChars="200" w:firstLine="400"/>
              <w:rPr>
                <w:sz w:val="20"/>
                <w:szCs w:val="20"/>
              </w:rPr>
            </w:pPr>
            <w:r w:rsidRPr="001F224B">
              <w:rPr>
                <w:sz w:val="20"/>
                <w:szCs w:val="20"/>
              </w:rPr>
              <w:t>Değer Azalma Karşılıkları (-) / Karşılık İptalleri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57D86E13" w14:textId="08A32E53" w:rsidR="00DF64C6" w:rsidRPr="001F224B" w:rsidRDefault="00DF64C6" w:rsidP="00DF64C6">
            <w:pPr>
              <w:jc w:val="right"/>
              <w:rPr>
                <w:sz w:val="20"/>
                <w:szCs w:val="20"/>
              </w:rPr>
            </w:pPr>
            <w:r w:rsidRPr="001F224B">
              <w:rPr>
                <w:sz w:val="20"/>
                <w:szCs w:val="20"/>
              </w:rPr>
              <w:t>-</w:t>
            </w:r>
          </w:p>
        </w:tc>
        <w:tc>
          <w:tcPr>
            <w:tcW w:w="2044" w:type="dxa"/>
            <w:shd w:val="clear" w:color="auto" w:fill="auto"/>
            <w:noWrap/>
            <w:vAlign w:val="bottom"/>
            <w:hideMark/>
          </w:tcPr>
          <w:p w14:paraId="2503A359" w14:textId="12869DCA" w:rsidR="00DF64C6" w:rsidRPr="001F224B" w:rsidRDefault="00DF64C6" w:rsidP="00DF64C6">
            <w:pPr>
              <w:jc w:val="right"/>
              <w:rPr>
                <w:sz w:val="20"/>
                <w:szCs w:val="20"/>
              </w:rPr>
            </w:pPr>
            <w:r w:rsidRPr="001F224B">
              <w:rPr>
                <w:sz w:val="20"/>
                <w:szCs w:val="20"/>
              </w:rPr>
              <w:t>-</w:t>
            </w:r>
          </w:p>
        </w:tc>
      </w:tr>
      <w:tr w:rsidR="00DF64C6" w:rsidRPr="001F224B" w14:paraId="640BE3B6" w14:textId="77777777" w:rsidTr="005B1EA4">
        <w:trPr>
          <w:trHeight w:val="227"/>
        </w:trPr>
        <w:tc>
          <w:tcPr>
            <w:tcW w:w="5641" w:type="dxa"/>
            <w:shd w:val="clear" w:color="000000" w:fill="FFFFFF"/>
            <w:vAlign w:val="bottom"/>
            <w:hideMark/>
          </w:tcPr>
          <w:p w14:paraId="313C87ED" w14:textId="77777777" w:rsidR="00DF64C6" w:rsidRPr="001F224B" w:rsidRDefault="00DF64C6" w:rsidP="00DF64C6">
            <w:pPr>
              <w:rPr>
                <w:b/>
                <w:sz w:val="20"/>
                <w:szCs w:val="20"/>
              </w:rPr>
            </w:pPr>
            <w:r w:rsidRPr="001F224B">
              <w:rPr>
                <w:b/>
                <w:sz w:val="20"/>
                <w:szCs w:val="20"/>
              </w:rPr>
              <w:t>Dönem Sonu Değeri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7A3768B5" w14:textId="3F5780A3" w:rsidR="00DF64C6" w:rsidRPr="001F224B" w:rsidRDefault="00DF64C6" w:rsidP="00DF64C6">
            <w:pPr>
              <w:jc w:val="right"/>
              <w:rPr>
                <w:b/>
                <w:sz w:val="20"/>
                <w:szCs w:val="20"/>
              </w:rPr>
            </w:pPr>
            <w:r w:rsidRPr="001F224B">
              <w:rPr>
                <w:b/>
                <w:sz w:val="20"/>
                <w:szCs w:val="20"/>
              </w:rPr>
              <w:t>10.586</w:t>
            </w:r>
          </w:p>
        </w:tc>
        <w:tc>
          <w:tcPr>
            <w:tcW w:w="2044" w:type="dxa"/>
            <w:shd w:val="clear" w:color="auto" w:fill="auto"/>
            <w:noWrap/>
            <w:vAlign w:val="bottom"/>
            <w:hideMark/>
          </w:tcPr>
          <w:p w14:paraId="3AB8F13F" w14:textId="6E7B80D4" w:rsidR="00DF64C6" w:rsidRPr="001F224B" w:rsidRDefault="00DF64C6" w:rsidP="00DF64C6">
            <w:pPr>
              <w:jc w:val="right"/>
              <w:rPr>
                <w:b/>
                <w:sz w:val="20"/>
                <w:szCs w:val="20"/>
              </w:rPr>
            </w:pPr>
            <w:r w:rsidRPr="001F224B">
              <w:rPr>
                <w:b/>
                <w:sz w:val="20"/>
                <w:szCs w:val="20"/>
              </w:rPr>
              <w:t>10.586</w:t>
            </w:r>
          </w:p>
        </w:tc>
      </w:tr>
      <w:tr w:rsidR="00DF64C6" w:rsidRPr="001F224B" w14:paraId="7A91DE96" w14:textId="77777777" w:rsidTr="004174FF">
        <w:trPr>
          <w:trHeight w:val="227"/>
        </w:trPr>
        <w:tc>
          <w:tcPr>
            <w:tcW w:w="5641" w:type="dxa"/>
            <w:shd w:val="clear" w:color="000000" w:fill="FFFFFF"/>
            <w:vAlign w:val="bottom"/>
            <w:hideMark/>
          </w:tcPr>
          <w:p w14:paraId="372BB78D" w14:textId="77777777" w:rsidR="00DF64C6" w:rsidRPr="001F224B" w:rsidRDefault="00DF64C6" w:rsidP="00DF64C6">
            <w:pPr>
              <w:rPr>
                <w:sz w:val="20"/>
                <w:szCs w:val="20"/>
              </w:rPr>
            </w:pPr>
            <w:r w:rsidRPr="001F224B">
              <w:rPr>
                <w:sz w:val="20"/>
                <w:szCs w:val="20"/>
              </w:rPr>
              <w:t>Sermaye Taahhütleri</w:t>
            </w:r>
          </w:p>
        </w:tc>
        <w:tc>
          <w:tcPr>
            <w:tcW w:w="2184" w:type="dxa"/>
            <w:shd w:val="clear" w:color="auto" w:fill="auto"/>
            <w:noWrap/>
          </w:tcPr>
          <w:p w14:paraId="232D6E6C" w14:textId="4F5ED7FC" w:rsidR="00DF64C6" w:rsidRPr="001F224B" w:rsidRDefault="00DF64C6" w:rsidP="00DF64C6">
            <w:pPr>
              <w:jc w:val="right"/>
              <w:rPr>
                <w:sz w:val="20"/>
                <w:szCs w:val="20"/>
              </w:rPr>
            </w:pPr>
            <w:r w:rsidRPr="001F224B">
              <w:rPr>
                <w:sz w:val="20"/>
                <w:szCs w:val="20"/>
              </w:rPr>
              <w:t>-</w:t>
            </w:r>
          </w:p>
        </w:tc>
        <w:tc>
          <w:tcPr>
            <w:tcW w:w="2044" w:type="dxa"/>
            <w:shd w:val="clear" w:color="auto" w:fill="auto"/>
            <w:noWrap/>
            <w:hideMark/>
          </w:tcPr>
          <w:p w14:paraId="20F1E2AE" w14:textId="09E0A02F" w:rsidR="00DF64C6" w:rsidRPr="001F224B" w:rsidRDefault="00DF64C6" w:rsidP="00DF64C6">
            <w:pPr>
              <w:jc w:val="right"/>
              <w:rPr>
                <w:sz w:val="20"/>
                <w:szCs w:val="20"/>
              </w:rPr>
            </w:pPr>
            <w:r w:rsidRPr="001F224B">
              <w:rPr>
                <w:sz w:val="20"/>
                <w:szCs w:val="20"/>
              </w:rPr>
              <w:t>-</w:t>
            </w:r>
          </w:p>
        </w:tc>
      </w:tr>
      <w:tr w:rsidR="00DF64C6" w:rsidRPr="001F224B" w14:paraId="73C8D3D5" w14:textId="77777777" w:rsidTr="004174FF">
        <w:trPr>
          <w:trHeight w:val="227"/>
        </w:trPr>
        <w:tc>
          <w:tcPr>
            <w:tcW w:w="5641" w:type="dxa"/>
            <w:shd w:val="clear" w:color="000000" w:fill="FFFFFF"/>
            <w:vAlign w:val="bottom"/>
            <w:hideMark/>
          </w:tcPr>
          <w:p w14:paraId="4915153B" w14:textId="77777777" w:rsidR="00DF64C6" w:rsidRPr="001F224B" w:rsidRDefault="00DF64C6" w:rsidP="00DF64C6">
            <w:pPr>
              <w:rPr>
                <w:sz w:val="20"/>
                <w:szCs w:val="20"/>
              </w:rPr>
            </w:pPr>
            <w:r w:rsidRPr="001F224B">
              <w:rPr>
                <w:sz w:val="20"/>
                <w:szCs w:val="20"/>
              </w:rPr>
              <w:t>Dönem Sonu Sermaye Katılma Payı (%)</w:t>
            </w:r>
          </w:p>
        </w:tc>
        <w:tc>
          <w:tcPr>
            <w:tcW w:w="2184" w:type="dxa"/>
            <w:shd w:val="clear" w:color="auto" w:fill="auto"/>
            <w:noWrap/>
            <w:vAlign w:val="bottom"/>
          </w:tcPr>
          <w:p w14:paraId="48DC5246" w14:textId="41F27DA0" w:rsidR="00DF64C6" w:rsidRPr="001F224B" w:rsidRDefault="00DF64C6" w:rsidP="00DF64C6">
            <w:pPr>
              <w:jc w:val="right"/>
              <w:rPr>
                <w:b/>
                <w:sz w:val="20"/>
                <w:szCs w:val="20"/>
              </w:rPr>
            </w:pPr>
            <w:r w:rsidRPr="001F224B">
              <w:rPr>
                <w:sz w:val="20"/>
                <w:szCs w:val="20"/>
              </w:rPr>
              <w:t>-</w:t>
            </w:r>
          </w:p>
        </w:tc>
        <w:tc>
          <w:tcPr>
            <w:tcW w:w="2044" w:type="dxa"/>
            <w:shd w:val="clear" w:color="auto" w:fill="auto"/>
            <w:noWrap/>
            <w:vAlign w:val="bottom"/>
            <w:hideMark/>
          </w:tcPr>
          <w:p w14:paraId="474D191A" w14:textId="570DF83F" w:rsidR="00DF64C6" w:rsidRPr="001F224B" w:rsidRDefault="00DF64C6" w:rsidP="00DF64C6">
            <w:pPr>
              <w:jc w:val="right"/>
              <w:rPr>
                <w:sz w:val="20"/>
                <w:szCs w:val="20"/>
              </w:rPr>
            </w:pPr>
            <w:r w:rsidRPr="001F224B">
              <w:rPr>
                <w:sz w:val="20"/>
                <w:szCs w:val="20"/>
              </w:rPr>
              <w:t>-</w:t>
            </w:r>
          </w:p>
        </w:tc>
      </w:tr>
    </w:tbl>
    <w:p w14:paraId="7A7386F7" w14:textId="50A1C0EC" w:rsidR="001D13AA" w:rsidRPr="001F224B" w:rsidRDefault="001D13AA" w:rsidP="001D13AA">
      <w:pPr>
        <w:pStyle w:val="1tipi"/>
        <w:tabs>
          <w:tab w:val="clear" w:pos="1134"/>
          <w:tab w:val="left" w:pos="567"/>
        </w:tabs>
        <w:spacing w:before="120" w:after="120"/>
        <w:rPr>
          <w:rFonts w:ascii="Times New Roman" w:hAnsi="Times New Roman" w:cs="Times New Roman"/>
          <w:b/>
          <w:bCs/>
          <w:sz w:val="22"/>
          <w:szCs w:val="22"/>
          <w:lang w:val="tr-TR"/>
        </w:rPr>
      </w:pPr>
      <w:r w:rsidRPr="001F224B">
        <w:rPr>
          <w:rFonts w:ascii="Times New Roman" w:hAnsi="Times New Roman" w:cs="Times New Roman"/>
          <w:b/>
          <w:bCs/>
          <w:sz w:val="22"/>
          <w:szCs w:val="22"/>
          <w:lang w:val="tr-TR"/>
        </w:rPr>
        <w:t>4.1.</w:t>
      </w:r>
      <w:r w:rsidR="00102004" w:rsidRPr="001F224B">
        <w:rPr>
          <w:rFonts w:ascii="Times New Roman" w:hAnsi="Times New Roman" w:cs="Times New Roman"/>
          <w:b/>
          <w:bCs/>
          <w:sz w:val="22"/>
          <w:szCs w:val="22"/>
          <w:lang w:val="tr-TR"/>
        </w:rPr>
        <w:t>d</w:t>
      </w:r>
      <w:r w:rsidR="009F0770" w:rsidRPr="001F224B">
        <w:rPr>
          <w:rFonts w:ascii="Times New Roman" w:hAnsi="Times New Roman" w:cs="Times New Roman"/>
          <w:b/>
          <w:bCs/>
          <w:sz w:val="22"/>
          <w:szCs w:val="22"/>
          <w:lang w:val="tr-TR"/>
        </w:rPr>
        <w:t>)</w:t>
      </w:r>
      <w:r w:rsidRPr="001F224B">
        <w:rPr>
          <w:rFonts w:ascii="Times New Roman" w:hAnsi="Times New Roman" w:cs="Times New Roman"/>
          <w:b/>
          <w:bCs/>
          <w:sz w:val="22"/>
          <w:szCs w:val="22"/>
          <w:lang w:val="tr-TR"/>
        </w:rPr>
        <w:tab/>
      </w:r>
      <w:r w:rsidR="007C7372" w:rsidRPr="001F224B">
        <w:rPr>
          <w:rFonts w:ascii="Times New Roman" w:hAnsi="Times New Roman" w:cs="Times New Roman"/>
          <w:b/>
          <w:bCs/>
          <w:sz w:val="22"/>
          <w:szCs w:val="22"/>
          <w:lang w:val="tr-TR"/>
        </w:rPr>
        <w:t xml:space="preserve">Konsolide </w:t>
      </w:r>
      <w:r w:rsidR="00CF7D04" w:rsidRPr="001F224B">
        <w:rPr>
          <w:rFonts w:ascii="Times New Roman" w:hAnsi="Times New Roman" w:cs="Times New Roman"/>
          <w:b/>
          <w:bCs/>
          <w:sz w:val="22"/>
          <w:szCs w:val="22"/>
          <w:lang w:val="tr-TR"/>
        </w:rPr>
        <w:t>e</w:t>
      </w:r>
      <w:r w:rsidR="007C7372" w:rsidRPr="001F224B">
        <w:rPr>
          <w:rFonts w:ascii="Times New Roman" w:hAnsi="Times New Roman" w:cs="Times New Roman"/>
          <w:b/>
          <w:bCs/>
          <w:sz w:val="22"/>
          <w:szCs w:val="22"/>
          <w:lang w:val="tr-TR"/>
        </w:rPr>
        <w:t xml:space="preserve">dilmeyen </w:t>
      </w:r>
      <w:r w:rsidR="00CF7D04" w:rsidRPr="001F224B">
        <w:rPr>
          <w:rFonts w:ascii="Times New Roman" w:hAnsi="Times New Roman" w:cs="Times New Roman"/>
          <w:b/>
          <w:bCs/>
          <w:sz w:val="22"/>
          <w:szCs w:val="22"/>
          <w:lang w:val="tr-TR"/>
        </w:rPr>
        <w:t>i</w:t>
      </w:r>
      <w:r w:rsidRPr="001F224B">
        <w:rPr>
          <w:rFonts w:ascii="Times New Roman" w:hAnsi="Times New Roman" w:cs="Times New Roman"/>
          <w:b/>
          <w:bCs/>
          <w:sz w:val="22"/>
          <w:szCs w:val="22"/>
          <w:lang w:val="tr-TR"/>
        </w:rPr>
        <w:t>ştiraklere ilişkin sektör bilgileri ve bunlara ilişkin kayıtlı tutarlar:</w:t>
      </w:r>
    </w:p>
    <w:p w14:paraId="3D0DA3D9" w14:textId="14513E72" w:rsidR="001D13AA" w:rsidRPr="001F224B" w:rsidRDefault="001D13AA" w:rsidP="001D13AA">
      <w:pPr>
        <w:pStyle w:val="BodyTextIndent"/>
        <w:tabs>
          <w:tab w:val="left" w:pos="567"/>
        </w:tabs>
        <w:spacing w:before="120" w:after="120"/>
        <w:ind w:firstLine="0"/>
        <w:rPr>
          <w:sz w:val="22"/>
          <w:szCs w:val="22"/>
        </w:rPr>
      </w:pPr>
      <w:r w:rsidRPr="001F224B">
        <w:rPr>
          <w:sz w:val="22"/>
          <w:szCs w:val="22"/>
        </w:rPr>
        <w:tab/>
      </w:r>
      <w:r w:rsidR="007C7372" w:rsidRPr="001F224B">
        <w:rPr>
          <w:sz w:val="22"/>
          <w:szCs w:val="22"/>
        </w:rPr>
        <w:t>Ana Or</w:t>
      </w:r>
      <w:r w:rsidR="0086771E" w:rsidRPr="001F224B">
        <w:rPr>
          <w:sz w:val="22"/>
          <w:szCs w:val="22"/>
        </w:rPr>
        <w:t>t</w:t>
      </w:r>
      <w:r w:rsidR="007C7372" w:rsidRPr="001F224B">
        <w:rPr>
          <w:sz w:val="22"/>
          <w:szCs w:val="22"/>
        </w:rPr>
        <w:t>a</w:t>
      </w:r>
      <w:r w:rsidR="0086771E" w:rsidRPr="001F224B">
        <w:rPr>
          <w:sz w:val="22"/>
          <w:szCs w:val="22"/>
        </w:rPr>
        <w:t xml:space="preserve">klık </w:t>
      </w:r>
      <w:r w:rsidRPr="001F224B">
        <w:rPr>
          <w:sz w:val="22"/>
          <w:szCs w:val="22"/>
        </w:rPr>
        <w:t>Banka</w:t>
      </w:r>
      <w:r w:rsidR="000C0580" w:rsidRPr="001F224B">
        <w:rPr>
          <w:sz w:val="22"/>
          <w:szCs w:val="22"/>
        </w:rPr>
        <w:t>’</w:t>
      </w:r>
      <w:r w:rsidRPr="001F224B">
        <w:rPr>
          <w:sz w:val="22"/>
          <w:szCs w:val="22"/>
        </w:rPr>
        <w:t>nın mali ortaklık niteliğinde iştiraki bulunmamaktadır.</w:t>
      </w:r>
    </w:p>
    <w:p w14:paraId="4F5387E2" w14:textId="1FA17C48" w:rsidR="007C7372" w:rsidRPr="001F224B" w:rsidRDefault="007C7372" w:rsidP="007C7372">
      <w:pPr>
        <w:pStyle w:val="1tipi"/>
        <w:tabs>
          <w:tab w:val="clear" w:pos="1134"/>
          <w:tab w:val="left" w:pos="567"/>
        </w:tabs>
        <w:spacing w:before="120" w:after="120"/>
        <w:rPr>
          <w:rFonts w:ascii="Times New Roman" w:hAnsi="Times New Roman" w:cs="Times New Roman"/>
          <w:b/>
          <w:bCs/>
          <w:sz w:val="22"/>
          <w:szCs w:val="22"/>
          <w:lang w:val="tr-TR"/>
        </w:rPr>
      </w:pPr>
      <w:r w:rsidRPr="001F224B">
        <w:rPr>
          <w:rFonts w:ascii="Times New Roman" w:hAnsi="Times New Roman" w:cs="Times New Roman"/>
          <w:b/>
          <w:bCs/>
          <w:sz w:val="22"/>
          <w:szCs w:val="22"/>
          <w:lang w:val="tr-TR"/>
        </w:rPr>
        <w:t>4.1.</w:t>
      </w:r>
      <w:r w:rsidR="00102004" w:rsidRPr="001F224B">
        <w:rPr>
          <w:rFonts w:ascii="Times New Roman" w:hAnsi="Times New Roman" w:cs="Times New Roman"/>
          <w:b/>
          <w:bCs/>
          <w:sz w:val="22"/>
          <w:szCs w:val="22"/>
          <w:lang w:val="tr-TR"/>
        </w:rPr>
        <w:t>e</w:t>
      </w:r>
      <w:r w:rsidR="009F0770" w:rsidRPr="001F224B">
        <w:rPr>
          <w:rFonts w:ascii="Times New Roman" w:hAnsi="Times New Roman" w:cs="Times New Roman"/>
          <w:b/>
          <w:bCs/>
          <w:sz w:val="22"/>
          <w:szCs w:val="22"/>
          <w:lang w:val="tr-TR"/>
        </w:rPr>
        <w:t>)</w:t>
      </w:r>
      <w:r w:rsidRPr="001F224B">
        <w:rPr>
          <w:rFonts w:ascii="Times New Roman" w:hAnsi="Times New Roman" w:cs="Times New Roman"/>
          <w:b/>
          <w:bCs/>
          <w:sz w:val="22"/>
          <w:szCs w:val="22"/>
          <w:lang w:val="tr-TR"/>
        </w:rPr>
        <w:tab/>
        <w:t xml:space="preserve">Konsolide </w:t>
      </w:r>
      <w:r w:rsidR="00CF7D04" w:rsidRPr="001F224B">
        <w:rPr>
          <w:rFonts w:ascii="Times New Roman" w:hAnsi="Times New Roman" w:cs="Times New Roman"/>
          <w:b/>
          <w:bCs/>
          <w:sz w:val="22"/>
          <w:szCs w:val="22"/>
          <w:lang w:val="tr-TR"/>
        </w:rPr>
        <w:t>edilen i</w:t>
      </w:r>
      <w:r w:rsidRPr="001F224B">
        <w:rPr>
          <w:rFonts w:ascii="Times New Roman" w:hAnsi="Times New Roman" w:cs="Times New Roman"/>
          <w:b/>
          <w:bCs/>
          <w:sz w:val="22"/>
          <w:szCs w:val="22"/>
          <w:lang w:val="tr-TR"/>
        </w:rPr>
        <w:t>ştiraklere ilişkin bilgiler:</w:t>
      </w:r>
    </w:p>
    <w:p w14:paraId="5290D0F4" w14:textId="77777777" w:rsidR="007C7372" w:rsidRPr="001F224B" w:rsidRDefault="007C7372" w:rsidP="007C7372">
      <w:pPr>
        <w:pStyle w:val="1tipi"/>
        <w:tabs>
          <w:tab w:val="clear" w:pos="1134"/>
          <w:tab w:val="left" w:pos="567"/>
        </w:tabs>
        <w:spacing w:before="120" w:after="120"/>
        <w:ind w:left="567"/>
        <w:rPr>
          <w:rFonts w:ascii="Times New Roman" w:hAnsi="Times New Roman" w:cs="Times New Roman"/>
          <w:iCs/>
          <w:sz w:val="22"/>
          <w:szCs w:val="22"/>
          <w:lang w:val="tr-TR"/>
        </w:rPr>
      </w:pPr>
      <w:r w:rsidRPr="001F224B">
        <w:rPr>
          <w:rFonts w:ascii="Times New Roman" w:hAnsi="Times New Roman" w:cs="Times New Roman"/>
          <w:iCs/>
          <w:sz w:val="22"/>
          <w:szCs w:val="22"/>
          <w:lang w:val="tr-TR"/>
        </w:rPr>
        <w:t>Bulunmamaktadır.</w:t>
      </w:r>
    </w:p>
    <w:p w14:paraId="3DA7E2A7" w14:textId="02D98EC9" w:rsidR="001D13AA" w:rsidRPr="001F224B" w:rsidRDefault="001D13AA" w:rsidP="001D13AA">
      <w:pPr>
        <w:pStyle w:val="BodyTextIndent"/>
        <w:tabs>
          <w:tab w:val="left" w:pos="567"/>
        </w:tabs>
        <w:spacing w:before="120" w:after="120"/>
        <w:ind w:firstLine="0"/>
        <w:rPr>
          <w:b/>
          <w:iCs/>
          <w:sz w:val="22"/>
          <w:szCs w:val="22"/>
        </w:rPr>
      </w:pPr>
      <w:r w:rsidRPr="001F224B">
        <w:rPr>
          <w:b/>
          <w:sz w:val="22"/>
          <w:szCs w:val="22"/>
        </w:rPr>
        <w:t>4.1.</w:t>
      </w:r>
      <w:r w:rsidR="00102004" w:rsidRPr="001F224B">
        <w:rPr>
          <w:b/>
          <w:sz w:val="22"/>
          <w:szCs w:val="22"/>
        </w:rPr>
        <w:t>f</w:t>
      </w:r>
      <w:r w:rsidR="009F0770" w:rsidRPr="001F224B">
        <w:rPr>
          <w:b/>
          <w:sz w:val="22"/>
          <w:szCs w:val="22"/>
        </w:rPr>
        <w:t>)</w:t>
      </w:r>
      <w:r w:rsidRPr="001F224B">
        <w:rPr>
          <w:b/>
          <w:sz w:val="22"/>
          <w:szCs w:val="22"/>
        </w:rPr>
        <w:tab/>
        <w:t>B</w:t>
      </w:r>
      <w:r w:rsidRPr="001F224B">
        <w:rPr>
          <w:b/>
          <w:iCs/>
          <w:sz w:val="22"/>
          <w:szCs w:val="22"/>
        </w:rPr>
        <w:t xml:space="preserve">orsaya kote edilen iştirakler: </w:t>
      </w:r>
    </w:p>
    <w:p w14:paraId="6CAEE839" w14:textId="77777777" w:rsidR="001D13AA" w:rsidRPr="001F224B" w:rsidRDefault="001D13AA" w:rsidP="001D13AA">
      <w:pPr>
        <w:pStyle w:val="BodyTextIndent"/>
        <w:ind w:firstLine="567"/>
        <w:rPr>
          <w:iCs/>
          <w:sz w:val="22"/>
          <w:szCs w:val="22"/>
        </w:rPr>
      </w:pPr>
      <w:r w:rsidRPr="001F224B">
        <w:rPr>
          <w:iCs/>
          <w:sz w:val="22"/>
          <w:szCs w:val="22"/>
        </w:rPr>
        <w:t xml:space="preserve">Bulunmamaktadır. </w:t>
      </w:r>
    </w:p>
    <w:p w14:paraId="0D0FBE75" w14:textId="77777777" w:rsidR="008057A1" w:rsidRPr="001F224B" w:rsidRDefault="008057A1">
      <w:pPr>
        <w:rPr>
          <w:rFonts w:eastAsia="Arial Unicode MS"/>
          <w:sz w:val="22"/>
          <w:szCs w:val="22"/>
          <w:lang w:eastAsia="en-US"/>
        </w:rPr>
      </w:pPr>
      <w:r w:rsidRPr="001F224B">
        <w:rPr>
          <w:sz w:val="22"/>
          <w:szCs w:val="22"/>
        </w:rPr>
        <w:br w:type="page"/>
      </w:r>
    </w:p>
    <w:p w14:paraId="300A49C6" w14:textId="77777777" w:rsidR="009A548C" w:rsidRPr="001F224B" w:rsidRDefault="009A548C" w:rsidP="004915CA">
      <w:pPr>
        <w:pStyle w:val="ListParagraph"/>
        <w:tabs>
          <w:tab w:val="left" w:pos="0"/>
        </w:tabs>
        <w:spacing w:before="120"/>
        <w:ind w:left="0"/>
        <w:rPr>
          <w:b/>
          <w:bCs/>
          <w:sz w:val="22"/>
          <w:szCs w:val="22"/>
        </w:rPr>
      </w:pPr>
      <w:r w:rsidRPr="001F224B">
        <w:rPr>
          <w:b/>
          <w:bCs/>
          <w:sz w:val="22"/>
          <w:szCs w:val="22"/>
        </w:rPr>
        <w:t>BEŞİNCİ BÖLÜM (Devamı)</w:t>
      </w:r>
    </w:p>
    <w:p w14:paraId="15BCFE69" w14:textId="4C9AD3C0" w:rsidR="009A548C" w:rsidRPr="001F224B" w:rsidRDefault="006316CE" w:rsidP="004915CA">
      <w:pPr>
        <w:pStyle w:val="ListParagraph"/>
        <w:tabs>
          <w:tab w:val="left" w:pos="0"/>
        </w:tabs>
        <w:spacing w:before="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0E78AE95" w14:textId="25EC6C1C" w:rsidR="00FF2E12" w:rsidRPr="001F224B" w:rsidRDefault="00F034E4" w:rsidP="004915CA">
      <w:pPr>
        <w:pStyle w:val="BodyText3"/>
        <w:tabs>
          <w:tab w:val="clear" w:pos="539"/>
          <w:tab w:val="left" w:pos="567"/>
        </w:tabs>
        <w:spacing w:before="120"/>
        <w:jc w:val="both"/>
        <w:rPr>
          <w:b/>
          <w:bCs/>
          <w:iCs/>
          <w:sz w:val="14"/>
          <w:szCs w:val="14"/>
        </w:rPr>
      </w:pPr>
      <w:r w:rsidRPr="001F224B">
        <w:rPr>
          <w:b/>
          <w:bCs/>
          <w:iCs/>
          <w:sz w:val="22"/>
          <w:szCs w:val="22"/>
        </w:rPr>
        <w:t>I.</w:t>
      </w:r>
      <w:r w:rsidR="00FF2E12" w:rsidRPr="001F224B">
        <w:rPr>
          <w:b/>
          <w:bCs/>
          <w:iCs/>
          <w:sz w:val="22"/>
          <w:szCs w:val="22"/>
        </w:rPr>
        <w:tab/>
      </w:r>
      <w:r w:rsidR="006316CE" w:rsidRPr="001F224B">
        <w:rPr>
          <w:b/>
          <w:bCs/>
          <w:iCs/>
          <w:sz w:val="22"/>
          <w:szCs w:val="22"/>
        </w:rPr>
        <w:t>Konsolide b</w:t>
      </w:r>
      <w:r w:rsidR="00FF2E12" w:rsidRPr="001F224B">
        <w:rPr>
          <w:b/>
          <w:bCs/>
          <w:iCs/>
          <w:sz w:val="22"/>
          <w:szCs w:val="22"/>
        </w:rPr>
        <w:t xml:space="preserve">ilançonun aktif hesaplarına </w:t>
      </w:r>
      <w:r w:rsidR="00261100" w:rsidRPr="001F224B">
        <w:rPr>
          <w:b/>
          <w:bCs/>
          <w:iCs/>
          <w:sz w:val="22"/>
          <w:szCs w:val="22"/>
        </w:rPr>
        <w:t>ilişkin açıklama ve dipnotlar (D</w:t>
      </w:r>
      <w:r w:rsidR="00FF2E12" w:rsidRPr="001F224B">
        <w:rPr>
          <w:b/>
          <w:bCs/>
          <w:iCs/>
          <w:sz w:val="22"/>
          <w:szCs w:val="22"/>
        </w:rPr>
        <w:t>evamı)</w:t>
      </w:r>
    </w:p>
    <w:p w14:paraId="46CE3297" w14:textId="77777777" w:rsidR="00261100" w:rsidRPr="001F224B" w:rsidRDefault="00261100" w:rsidP="004915CA">
      <w:pPr>
        <w:tabs>
          <w:tab w:val="left" w:pos="540"/>
          <w:tab w:val="num" w:pos="2880"/>
        </w:tabs>
        <w:spacing w:before="120"/>
        <w:jc w:val="both"/>
        <w:rPr>
          <w:b/>
          <w:bCs/>
          <w:sz w:val="22"/>
          <w:szCs w:val="22"/>
        </w:rPr>
      </w:pPr>
      <w:r w:rsidRPr="001F224B">
        <w:rPr>
          <w:b/>
          <w:bCs/>
          <w:sz w:val="22"/>
          <w:szCs w:val="22"/>
        </w:rPr>
        <w:t xml:space="preserve">4. </w:t>
      </w:r>
      <w:r w:rsidRPr="001F224B">
        <w:rPr>
          <w:b/>
          <w:bCs/>
          <w:sz w:val="22"/>
          <w:szCs w:val="22"/>
        </w:rPr>
        <w:tab/>
        <w:t>Ortaklık yatırımlarına ilişkin bilgiler (Devamı):</w:t>
      </w:r>
    </w:p>
    <w:p w14:paraId="6F77A7FD" w14:textId="77777777" w:rsidR="00942396" w:rsidRPr="001F224B" w:rsidRDefault="00942396" w:rsidP="00942396">
      <w:pPr>
        <w:tabs>
          <w:tab w:val="left" w:pos="567"/>
        </w:tabs>
        <w:spacing w:before="120"/>
        <w:jc w:val="both"/>
        <w:rPr>
          <w:b/>
          <w:bCs/>
          <w:snapToGrid w:val="0"/>
          <w:sz w:val="22"/>
          <w:szCs w:val="22"/>
        </w:rPr>
      </w:pPr>
      <w:r w:rsidRPr="001F224B">
        <w:rPr>
          <w:b/>
          <w:bCs/>
          <w:snapToGrid w:val="0"/>
          <w:sz w:val="22"/>
          <w:szCs w:val="22"/>
        </w:rPr>
        <w:t>4.2.</w:t>
      </w:r>
      <w:r w:rsidRPr="001F224B">
        <w:rPr>
          <w:b/>
          <w:bCs/>
          <w:snapToGrid w:val="0"/>
          <w:sz w:val="22"/>
          <w:szCs w:val="22"/>
        </w:rPr>
        <w:tab/>
        <w:t>Bağlı ortaklıklara ilişkin bilgiler (Net):</w:t>
      </w:r>
    </w:p>
    <w:p w14:paraId="76B2D5A7" w14:textId="787D59F7" w:rsidR="00332683" w:rsidRPr="001F224B" w:rsidRDefault="004052DA" w:rsidP="004915CA">
      <w:pPr>
        <w:pStyle w:val="BodyText"/>
        <w:tabs>
          <w:tab w:val="clear" w:pos="0"/>
        </w:tabs>
        <w:spacing w:before="120" w:line="249" w:lineRule="auto"/>
        <w:ind w:left="567" w:right="28"/>
        <w:rPr>
          <w:sz w:val="22"/>
          <w:szCs w:val="22"/>
        </w:rPr>
      </w:pPr>
      <w:r w:rsidRPr="001F224B">
        <w:rPr>
          <w:bCs/>
          <w:snapToGrid w:val="0"/>
          <w:sz w:val="22"/>
          <w:szCs w:val="22"/>
        </w:rPr>
        <w:t>Ana ortaklık Banka’nın konsolide sermaye yeterliliği standart oranına dahil edilen bağlı ortaklıklarından kaynaklanan herhangi bir sermaye gereksinimi yoktur.</w:t>
      </w:r>
      <w:r w:rsidR="00332683" w:rsidRPr="001F224B">
        <w:rPr>
          <w:sz w:val="22"/>
          <w:szCs w:val="22"/>
        </w:rPr>
        <w:t xml:space="preserve"> </w:t>
      </w:r>
    </w:p>
    <w:p w14:paraId="4F64A8F6" w14:textId="5CE2D04E" w:rsidR="00942396" w:rsidRPr="001F224B" w:rsidRDefault="00942396" w:rsidP="00C03ED8">
      <w:pPr>
        <w:pStyle w:val="Heading1"/>
        <w:numPr>
          <w:ilvl w:val="0"/>
          <w:numId w:val="0"/>
        </w:numPr>
        <w:tabs>
          <w:tab w:val="left" w:pos="567"/>
        </w:tabs>
        <w:spacing w:before="120" w:after="120"/>
        <w:jc w:val="both"/>
        <w:rPr>
          <w:sz w:val="18"/>
          <w:szCs w:val="18"/>
        </w:rPr>
      </w:pPr>
      <w:r w:rsidRPr="001F224B">
        <w:rPr>
          <w:rFonts w:ascii="Times New Roman" w:hAnsi="Times New Roman"/>
          <w:noProof/>
          <w:sz w:val="22"/>
          <w:szCs w:val="22"/>
        </w:rPr>
        <w:t>4.2.</w:t>
      </w:r>
      <w:r w:rsidR="004358A8" w:rsidRPr="001F224B">
        <w:rPr>
          <w:rFonts w:ascii="Times New Roman" w:hAnsi="Times New Roman"/>
          <w:noProof/>
          <w:sz w:val="22"/>
          <w:szCs w:val="22"/>
        </w:rPr>
        <w:t>a</w:t>
      </w:r>
      <w:r w:rsidR="009F0770" w:rsidRPr="001F224B">
        <w:rPr>
          <w:rFonts w:ascii="Times New Roman" w:hAnsi="Times New Roman"/>
          <w:noProof/>
          <w:sz w:val="22"/>
          <w:szCs w:val="22"/>
        </w:rPr>
        <w:t>)</w:t>
      </w:r>
      <w:r w:rsidRPr="001F224B">
        <w:rPr>
          <w:rFonts w:ascii="Times New Roman" w:hAnsi="Times New Roman"/>
          <w:noProof/>
          <w:sz w:val="22"/>
          <w:szCs w:val="22"/>
        </w:rPr>
        <w:tab/>
        <w:t>Bağlı ortaklıklara ilişkin genel bilgiler</w:t>
      </w:r>
    </w:p>
    <w:p w14:paraId="32614FF7" w14:textId="77777777" w:rsidR="00162D29" w:rsidRPr="001F224B" w:rsidRDefault="00F74228" w:rsidP="00162D29">
      <w:pPr>
        <w:pStyle w:val="BodyText"/>
        <w:tabs>
          <w:tab w:val="clear" w:pos="720"/>
        </w:tabs>
        <w:spacing w:before="118" w:line="249" w:lineRule="auto"/>
        <w:ind w:left="567" w:right="28"/>
        <w:rPr>
          <w:iCs/>
          <w:sz w:val="22"/>
          <w:szCs w:val="22"/>
        </w:rPr>
      </w:pPr>
      <w:r w:rsidRPr="001F224B">
        <w:rPr>
          <w:sz w:val="22"/>
          <w:szCs w:val="22"/>
        </w:rPr>
        <w:t xml:space="preserve">Ana Ortaklık </w:t>
      </w:r>
      <w:r w:rsidR="00ED216D" w:rsidRPr="001F224B">
        <w:rPr>
          <w:sz w:val="22"/>
          <w:szCs w:val="22"/>
        </w:rPr>
        <w:t xml:space="preserve">Banka, </w:t>
      </w:r>
      <w:r w:rsidR="00162D29" w:rsidRPr="001F224B">
        <w:rPr>
          <w:iCs/>
          <w:sz w:val="22"/>
          <w:szCs w:val="22"/>
        </w:rPr>
        <w:t xml:space="preserve">28 Mayıs 2020 tarihinde 50 TL nominal sermaye ile kurulan ve </w:t>
      </w:r>
      <w:r w:rsidR="00162D29" w:rsidRPr="001F224B">
        <w:rPr>
          <w:sz w:val="22"/>
          <w:szCs w:val="22"/>
        </w:rPr>
        <w:t xml:space="preserve">17 Haziran 2025 tarihinde </w:t>
      </w:r>
      <w:r w:rsidR="00162D29" w:rsidRPr="001F224B">
        <w:rPr>
          <w:iCs/>
          <w:sz w:val="22"/>
          <w:szCs w:val="22"/>
        </w:rPr>
        <w:t xml:space="preserve">250 TL’ye çıkarılan nominal sermayesi ile Kalkınma Yatırım Varlık Kiralama Anonim Şirketi’ne ve17 Kasım 2020 tarihinde 1.800 TL nominal sermaye ile kurulan ve </w:t>
      </w:r>
      <w:r w:rsidR="00162D29" w:rsidRPr="001F224B">
        <w:rPr>
          <w:sz w:val="22"/>
          <w:szCs w:val="22"/>
        </w:rPr>
        <w:t xml:space="preserve">19 Ağustos 2024 tarihinde </w:t>
      </w:r>
      <w:r w:rsidR="00162D29" w:rsidRPr="001F224B">
        <w:rPr>
          <w:iCs/>
          <w:sz w:val="22"/>
          <w:szCs w:val="22"/>
        </w:rPr>
        <w:t>50.000 TL’ye çıkarılan nominal sermayesi ile Kalkınma Girişim Sermayesi Portföy Yönetimi Anonim Şirketi'ne %100 oranında iştirak etmiştir.</w:t>
      </w:r>
    </w:p>
    <w:p w14:paraId="12F9478C" w14:textId="333FBD00" w:rsidR="004B7C91" w:rsidRPr="001F224B" w:rsidRDefault="004B7C91" w:rsidP="00C03ED8">
      <w:pPr>
        <w:pStyle w:val="Heading1"/>
        <w:numPr>
          <w:ilvl w:val="0"/>
          <w:numId w:val="0"/>
        </w:numPr>
        <w:tabs>
          <w:tab w:val="left" w:pos="567"/>
        </w:tabs>
        <w:spacing w:before="120"/>
        <w:jc w:val="both"/>
        <w:rPr>
          <w:rFonts w:ascii="Times New Roman" w:hAnsi="Times New Roman"/>
          <w:noProof/>
          <w:sz w:val="22"/>
          <w:szCs w:val="22"/>
        </w:rPr>
      </w:pPr>
      <w:r w:rsidRPr="001F224B">
        <w:rPr>
          <w:rFonts w:ascii="Times New Roman" w:hAnsi="Times New Roman"/>
          <w:noProof/>
          <w:sz w:val="22"/>
          <w:szCs w:val="22"/>
        </w:rPr>
        <w:t>4.2.</w:t>
      </w:r>
      <w:r w:rsidR="004358A8" w:rsidRPr="001F224B">
        <w:rPr>
          <w:rFonts w:ascii="Times New Roman" w:hAnsi="Times New Roman"/>
          <w:noProof/>
          <w:sz w:val="22"/>
          <w:szCs w:val="22"/>
        </w:rPr>
        <w:t>a</w:t>
      </w:r>
      <w:r w:rsidRPr="001F224B">
        <w:rPr>
          <w:rFonts w:ascii="Times New Roman" w:hAnsi="Times New Roman"/>
          <w:noProof/>
          <w:sz w:val="22"/>
          <w:szCs w:val="22"/>
        </w:rPr>
        <w:t>.1</w:t>
      </w:r>
      <w:r w:rsidR="009F0770" w:rsidRPr="001F224B">
        <w:rPr>
          <w:rFonts w:ascii="Times New Roman" w:hAnsi="Times New Roman"/>
          <w:noProof/>
          <w:sz w:val="22"/>
          <w:szCs w:val="22"/>
        </w:rPr>
        <w:t>)</w:t>
      </w:r>
      <w:r w:rsidRPr="001F224B">
        <w:rPr>
          <w:rFonts w:ascii="Times New Roman" w:hAnsi="Times New Roman"/>
          <w:noProof/>
          <w:sz w:val="22"/>
          <w:szCs w:val="22"/>
        </w:rPr>
        <w:t xml:space="preserve"> Konsolide </w:t>
      </w:r>
      <w:r w:rsidR="00E24FF8" w:rsidRPr="001F224B">
        <w:rPr>
          <w:rFonts w:ascii="Times New Roman" w:hAnsi="Times New Roman"/>
          <w:noProof/>
          <w:sz w:val="22"/>
          <w:szCs w:val="22"/>
        </w:rPr>
        <w:t>e</w:t>
      </w:r>
      <w:r w:rsidRPr="001F224B">
        <w:rPr>
          <w:rFonts w:ascii="Times New Roman" w:hAnsi="Times New Roman"/>
          <w:noProof/>
          <w:sz w:val="22"/>
          <w:szCs w:val="22"/>
        </w:rPr>
        <w:t xml:space="preserve">dilmeyen </w:t>
      </w:r>
      <w:r w:rsidR="00E24FF8" w:rsidRPr="001F224B">
        <w:rPr>
          <w:rFonts w:ascii="Times New Roman" w:hAnsi="Times New Roman"/>
          <w:noProof/>
          <w:sz w:val="22"/>
          <w:szCs w:val="22"/>
        </w:rPr>
        <w:t>b</w:t>
      </w:r>
      <w:r w:rsidRPr="001F224B">
        <w:rPr>
          <w:rFonts w:ascii="Times New Roman" w:hAnsi="Times New Roman"/>
          <w:noProof/>
          <w:sz w:val="22"/>
          <w:szCs w:val="22"/>
        </w:rPr>
        <w:t>ağlı ortaklıklara ilişkin genel bilgiler</w:t>
      </w:r>
    </w:p>
    <w:p w14:paraId="2650CC0E" w14:textId="43B84D3D" w:rsidR="00DF510C" w:rsidRPr="001F224B" w:rsidRDefault="00DF510C" w:rsidP="004915CA">
      <w:pPr>
        <w:spacing w:before="120"/>
        <w:ind w:left="567"/>
        <w:rPr>
          <w:sz w:val="14"/>
          <w:szCs w:val="14"/>
        </w:rPr>
      </w:pPr>
      <w:r w:rsidRPr="001F224B">
        <w:rPr>
          <w:sz w:val="22"/>
          <w:szCs w:val="22"/>
        </w:rPr>
        <w:t>Bulunmamaktadır.</w:t>
      </w:r>
    </w:p>
    <w:p w14:paraId="726D7ED1" w14:textId="5481A106" w:rsidR="00417CCA" w:rsidRPr="001F224B" w:rsidRDefault="00417CCA" w:rsidP="00C03ED8">
      <w:pPr>
        <w:pStyle w:val="Heading1"/>
        <w:numPr>
          <w:ilvl w:val="0"/>
          <w:numId w:val="0"/>
        </w:numPr>
        <w:tabs>
          <w:tab w:val="left" w:pos="567"/>
        </w:tabs>
        <w:spacing w:before="120" w:after="120"/>
        <w:jc w:val="both"/>
        <w:rPr>
          <w:sz w:val="18"/>
          <w:szCs w:val="18"/>
        </w:rPr>
      </w:pPr>
      <w:r w:rsidRPr="001F224B">
        <w:rPr>
          <w:rFonts w:ascii="Times New Roman" w:hAnsi="Times New Roman"/>
          <w:noProof/>
          <w:sz w:val="22"/>
          <w:szCs w:val="22"/>
        </w:rPr>
        <w:t>4.2.</w:t>
      </w:r>
      <w:r w:rsidR="004358A8" w:rsidRPr="001F224B">
        <w:rPr>
          <w:rFonts w:ascii="Times New Roman" w:hAnsi="Times New Roman"/>
          <w:noProof/>
          <w:sz w:val="22"/>
          <w:szCs w:val="22"/>
        </w:rPr>
        <w:t>a</w:t>
      </w:r>
      <w:r w:rsidRPr="001F224B">
        <w:rPr>
          <w:rFonts w:ascii="Times New Roman" w:hAnsi="Times New Roman"/>
          <w:noProof/>
          <w:sz w:val="22"/>
          <w:szCs w:val="22"/>
        </w:rPr>
        <w:t>.</w:t>
      </w:r>
      <w:r w:rsidR="0079301C" w:rsidRPr="001F224B">
        <w:rPr>
          <w:rFonts w:ascii="Times New Roman" w:hAnsi="Times New Roman"/>
          <w:noProof/>
          <w:sz w:val="22"/>
          <w:szCs w:val="22"/>
        </w:rPr>
        <w:t>2</w:t>
      </w:r>
      <w:r w:rsidR="009F0770" w:rsidRPr="001F224B">
        <w:rPr>
          <w:rFonts w:ascii="Times New Roman" w:hAnsi="Times New Roman"/>
          <w:noProof/>
          <w:sz w:val="22"/>
          <w:szCs w:val="22"/>
        </w:rPr>
        <w:t>)</w:t>
      </w:r>
      <w:r w:rsidRPr="001F224B">
        <w:rPr>
          <w:rFonts w:ascii="Times New Roman" w:hAnsi="Times New Roman"/>
          <w:noProof/>
          <w:sz w:val="22"/>
          <w:szCs w:val="22"/>
        </w:rPr>
        <w:t xml:space="preserve"> Konsolide </w:t>
      </w:r>
      <w:r w:rsidR="00E24FF8" w:rsidRPr="001F224B">
        <w:rPr>
          <w:rFonts w:ascii="Times New Roman" w:hAnsi="Times New Roman"/>
          <w:noProof/>
          <w:sz w:val="22"/>
          <w:szCs w:val="22"/>
        </w:rPr>
        <w:t>e</w:t>
      </w:r>
      <w:r w:rsidRPr="001F224B">
        <w:rPr>
          <w:rFonts w:ascii="Times New Roman" w:hAnsi="Times New Roman"/>
          <w:noProof/>
          <w:sz w:val="22"/>
          <w:szCs w:val="22"/>
        </w:rPr>
        <w:t xml:space="preserve">dilen </w:t>
      </w:r>
      <w:r w:rsidR="00E24FF8" w:rsidRPr="001F224B">
        <w:rPr>
          <w:rFonts w:ascii="Times New Roman" w:hAnsi="Times New Roman"/>
          <w:noProof/>
          <w:sz w:val="22"/>
          <w:szCs w:val="22"/>
        </w:rPr>
        <w:t>b</w:t>
      </w:r>
      <w:r w:rsidRPr="001F224B">
        <w:rPr>
          <w:rFonts w:ascii="Times New Roman" w:hAnsi="Times New Roman"/>
          <w:noProof/>
          <w:sz w:val="22"/>
          <w:szCs w:val="22"/>
        </w:rPr>
        <w:t>ağlı ortaklıklara ilişkin genel bilgiler</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752"/>
        <w:gridCol w:w="2039"/>
        <w:gridCol w:w="2038"/>
      </w:tblGrid>
      <w:tr w:rsidR="00417CCA" w:rsidRPr="001F224B" w14:paraId="7655B7D8" w14:textId="77777777" w:rsidTr="0086617A">
        <w:trPr>
          <w:trHeight w:val="20"/>
        </w:trPr>
        <w:tc>
          <w:tcPr>
            <w:tcW w:w="230" w:type="dxa"/>
            <w:shd w:val="clear" w:color="auto" w:fill="FFFFFF"/>
          </w:tcPr>
          <w:p w14:paraId="6DA71B0C" w14:textId="77777777" w:rsidR="00417CCA" w:rsidRPr="001F224B" w:rsidRDefault="00417CCA" w:rsidP="0086617A">
            <w:pPr>
              <w:jc w:val="center"/>
              <w:rPr>
                <w:sz w:val="18"/>
                <w:szCs w:val="18"/>
              </w:rPr>
            </w:pPr>
          </w:p>
        </w:tc>
        <w:tc>
          <w:tcPr>
            <w:tcW w:w="3802" w:type="dxa"/>
            <w:shd w:val="clear" w:color="auto" w:fill="FFFFFF"/>
            <w:noWrap/>
            <w:vAlign w:val="bottom"/>
          </w:tcPr>
          <w:p w14:paraId="3EC596C4" w14:textId="77777777" w:rsidR="00417CCA" w:rsidRPr="001F224B" w:rsidRDefault="00417CCA" w:rsidP="0086617A">
            <w:pPr>
              <w:jc w:val="center"/>
              <w:rPr>
                <w:b/>
                <w:bCs/>
                <w:sz w:val="18"/>
                <w:szCs w:val="18"/>
              </w:rPr>
            </w:pPr>
            <w:r w:rsidRPr="001F224B">
              <w:rPr>
                <w:b/>
                <w:bCs/>
                <w:sz w:val="18"/>
                <w:szCs w:val="18"/>
              </w:rPr>
              <w:t>Unvanı</w:t>
            </w:r>
          </w:p>
        </w:tc>
        <w:tc>
          <w:tcPr>
            <w:tcW w:w="1752" w:type="dxa"/>
            <w:shd w:val="clear" w:color="auto" w:fill="FFFFFF"/>
            <w:vAlign w:val="bottom"/>
          </w:tcPr>
          <w:p w14:paraId="3D35BD56" w14:textId="77777777" w:rsidR="00417CCA" w:rsidRPr="001F224B" w:rsidRDefault="00417CCA" w:rsidP="0086617A">
            <w:pPr>
              <w:jc w:val="center"/>
              <w:rPr>
                <w:b/>
                <w:bCs/>
                <w:sz w:val="18"/>
                <w:szCs w:val="18"/>
              </w:rPr>
            </w:pPr>
            <w:r w:rsidRPr="001F224B">
              <w:rPr>
                <w:b/>
                <w:bCs/>
                <w:sz w:val="18"/>
                <w:szCs w:val="18"/>
              </w:rPr>
              <w:t>Adres (Şehir/ Ülke)</w:t>
            </w:r>
          </w:p>
        </w:tc>
        <w:tc>
          <w:tcPr>
            <w:tcW w:w="2039" w:type="dxa"/>
            <w:shd w:val="clear" w:color="auto" w:fill="FFFFFF"/>
            <w:vAlign w:val="bottom"/>
          </w:tcPr>
          <w:p w14:paraId="51AD67CE" w14:textId="77777777" w:rsidR="00417CCA" w:rsidRPr="001F224B" w:rsidRDefault="00417CCA" w:rsidP="0086617A">
            <w:pPr>
              <w:jc w:val="center"/>
              <w:rPr>
                <w:b/>
                <w:bCs/>
                <w:sz w:val="18"/>
                <w:szCs w:val="18"/>
              </w:rPr>
            </w:pPr>
            <w:r w:rsidRPr="001F224B">
              <w:rPr>
                <w:b/>
                <w:bCs/>
                <w:sz w:val="18"/>
                <w:szCs w:val="18"/>
              </w:rPr>
              <w:t xml:space="preserve">Banka’nın Pay Oranı- Farklıysa Oy Oranı (%) </w:t>
            </w:r>
          </w:p>
        </w:tc>
        <w:tc>
          <w:tcPr>
            <w:tcW w:w="2038" w:type="dxa"/>
            <w:shd w:val="clear" w:color="auto" w:fill="FFFFFF"/>
            <w:vAlign w:val="bottom"/>
          </w:tcPr>
          <w:p w14:paraId="04742255" w14:textId="77777777" w:rsidR="00417CCA" w:rsidRPr="001F224B" w:rsidRDefault="00417CCA" w:rsidP="0086617A">
            <w:pPr>
              <w:jc w:val="center"/>
              <w:rPr>
                <w:b/>
                <w:bCs/>
                <w:sz w:val="18"/>
                <w:szCs w:val="18"/>
              </w:rPr>
            </w:pPr>
            <w:r w:rsidRPr="001F224B">
              <w:rPr>
                <w:b/>
                <w:bCs/>
                <w:sz w:val="18"/>
                <w:szCs w:val="18"/>
              </w:rPr>
              <w:t xml:space="preserve">Banka Risk Grubu Pay Oranı (%) </w:t>
            </w:r>
          </w:p>
        </w:tc>
      </w:tr>
      <w:tr w:rsidR="00603684" w:rsidRPr="001F224B" w14:paraId="360D0022" w14:textId="77777777" w:rsidTr="009F2585">
        <w:trPr>
          <w:trHeight w:val="20"/>
        </w:trPr>
        <w:tc>
          <w:tcPr>
            <w:tcW w:w="230" w:type="dxa"/>
            <w:shd w:val="clear" w:color="auto" w:fill="FFFFFF"/>
            <w:vAlign w:val="center"/>
          </w:tcPr>
          <w:p w14:paraId="517AD6AC" w14:textId="77777777" w:rsidR="00603684" w:rsidRPr="001F224B" w:rsidRDefault="00603684" w:rsidP="00603684">
            <w:pPr>
              <w:jc w:val="center"/>
              <w:rPr>
                <w:sz w:val="18"/>
                <w:szCs w:val="18"/>
              </w:rPr>
            </w:pPr>
            <w:r w:rsidRPr="001F224B">
              <w:rPr>
                <w:sz w:val="18"/>
                <w:szCs w:val="18"/>
              </w:rPr>
              <w:t>1</w:t>
            </w:r>
          </w:p>
        </w:tc>
        <w:tc>
          <w:tcPr>
            <w:tcW w:w="3802" w:type="dxa"/>
            <w:shd w:val="clear" w:color="auto" w:fill="FFFFFF"/>
            <w:noWrap/>
            <w:vAlign w:val="bottom"/>
          </w:tcPr>
          <w:p w14:paraId="708A7267" w14:textId="7EA4CE32" w:rsidR="00603684" w:rsidRPr="001F224B" w:rsidRDefault="00603684" w:rsidP="009F2585">
            <w:pPr>
              <w:rPr>
                <w:sz w:val="20"/>
                <w:szCs w:val="20"/>
              </w:rPr>
            </w:pPr>
            <w:bookmarkStart w:id="33" w:name="_Hlk126777571"/>
            <w:r w:rsidRPr="001F224B">
              <w:rPr>
                <w:sz w:val="20"/>
                <w:szCs w:val="20"/>
              </w:rPr>
              <w:t>Kalkınma Yatırım Varlık Kiralama A.Ş.</w:t>
            </w:r>
            <w:bookmarkEnd w:id="33"/>
          </w:p>
        </w:tc>
        <w:tc>
          <w:tcPr>
            <w:tcW w:w="1752" w:type="dxa"/>
            <w:shd w:val="clear" w:color="auto" w:fill="FFFFFF"/>
            <w:noWrap/>
            <w:vAlign w:val="bottom"/>
          </w:tcPr>
          <w:p w14:paraId="0A53C52B" w14:textId="756135C5" w:rsidR="00603684" w:rsidRPr="001F224B" w:rsidRDefault="00603684" w:rsidP="00603684">
            <w:pPr>
              <w:jc w:val="right"/>
              <w:rPr>
                <w:sz w:val="20"/>
                <w:szCs w:val="20"/>
              </w:rPr>
            </w:pPr>
            <w:r w:rsidRPr="001F224B">
              <w:rPr>
                <w:sz w:val="20"/>
                <w:szCs w:val="20"/>
              </w:rPr>
              <w:t>İstanbul</w:t>
            </w:r>
          </w:p>
        </w:tc>
        <w:tc>
          <w:tcPr>
            <w:tcW w:w="2039" w:type="dxa"/>
            <w:shd w:val="clear" w:color="auto" w:fill="FFFFFF"/>
            <w:noWrap/>
            <w:vAlign w:val="bottom"/>
          </w:tcPr>
          <w:p w14:paraId="4ABFBDE4" w14:textId="42835D3E" w:rsidR="00603684" w:rsidRPr="001F224B" w:rsidRDefault="00603684" w:rsidP="00603684">
            <w:pPr>
              <w:jc w:val="right"/>
              <w:rPr>
                <w:sz w:val="20"/>
                <w:szCs w:val="20"/>
              </w:rPr>
            </w:pPr>
            <w:r w:rsidRPr="001F224B">
              <w:rPr>
                <w:sz w:val="20"/>
                <w:szCs w:val="20"/>
              </w:rPr>
              <w:t>100</w:t>
            </w:r>
          </w:p>
        </w:tc>
        <w:tc>
          <w:tcPr>
            <w:tcW w:w="2038" w:type="dxa"/>
            <w:shd w:val="clear" w:color="auto" w:fill="FFFFFF"/>
            <w:noWrap/>
            <w:vAlign w:val="bottom"/>
          </w:tcPr>
          <w:p w14:paraId="38E4A14E" w14:textId="50E69601" w:rsidR="00603684" w:rsidRPr="001F224B" w:rsidRDefault="00603684" w:rsidP="00603684">
            <w:pPr>
              <w:jc w:val="right"/>
              <w:rPr>
                <w:sz w:val="20"/>
                <w:szCs w:val="20"/>
              </w:rPr>
            </w:pPr>
            <w:r w:rsidRPr="001F224B">
              <w:rPr>
                <w:sz w:val="20"/>
                <w:szCs w:val="20"/>
              </w:rPr>
              <w:t>100</w:t>
            </w:r>
          </w:p>
        </w:tc>
      </w:tr>
      <w:tr w:rsidR="00603684" w:rsidRPr="001F224B" w14:paraId="2512011F" w14:textId="77777777" w:rsidTr="009F2585">
        <w:trPr>
          <w:trHeight w:val="20"/>
        </w:trPr>
        <w:tc>
          <w:tcPr>
            <w:tcW w:w="230" w:type="dxa"/>
            <w:shd w:val="clear" w:color="auto" w:fill="FFFFFF"/>
            <w:vAlign w:val="center"/>
          </w:tcPr>
          <w:p w14:paraId="5E3485E2" w14:textId="07944AD3" w:rsidR="00603684" w:rsidRPr="001F224B" w:rsidRDefault="00603684" w:rsidP="00603684">
            <w:pPr>
              <w:jc w:val="center"/>
              <w:rPr>
                <w:sz w:val="18"/>
                <w:szCs w:val="18"/>
              </w:rPr>
            </w:pPr>
            <w:r w:rsidRPr="001F224B">
              <w:rPr>
                <w:sz w:val="18"/>
                <w:szCs w:val="18"/>
              </w:rPr>
              <w:t>2</w:t>
            </w:r>
          </w:p>
        </w:tc>
        <w:tc>
          <w:tcPr>
            <w:tcW w:w="3802" w:type="dxa"/>
            <w:shd w:val="clear" w:color="auto" w:fill="FFFFFF"/>
            <w:noWrap/>
            <w:vAlign w:val="bottom"/>
          </w:tcPr>
          <w:p w14:paraId="20011B27" w14:textId="07D6CB3B" w:rsidR="00603684" w:rsidRPr="001F224B" w:rsidRDefault="00603684" w:rsidP="009F2585">
            <w:pPr>
              <w:rPr>
                <w:sz w:val="20"/>
                <w:szCs w:val="20"/>
              </w:rPr>
            </w:pPr>
            <w:r w:rsidRPr="001F224B">
              <w:rPr>
                <w:sz w:val="20"/>
                <w:szCs w:val="20"/>
              </w:rPr>
              <w:t>Kalkınma Girişim Sermayesi Portföy Yönetimi A.Ş.</w:t>
            </w:r>
          </w:p>
        </w:tc>
        <w:tc>
          <w:tcPr>
            <w:tcW w:w="1752" w:type="dxa"/>
            <w:shd w:val="clear" w:color="auto" w:fill="FFFFFF"/>
            <w:noWrap/>
            <w:vAlign w:val="bottom"/>
          </w:tcPr>
          <w:p w14:paraId="657B57CB" w14:textId="56145508" w:rsidR="00603684" w:rsidRPr="001F224B" w:rsidRDefault="00603684" w:rsidP="00603684">
            <w:pPr>
              <w:jc w:val="right"/>
              <w:rPr>
                <w:sz w:val="20"/>
                <w:szCs w:val="20"/>
              </w:rPr>
            </w:pPr>
            <w:r w:rsidRPr="001F224B">
              <w:rPr>
                <w:sz w:val="20"/>
                <w:szCs w:val="20"/>
              </w:rPr>
              <w:t>İstanbul</w:t>
            </w:r>
          </w:p>
        </w:tc>
        <w:tc>
          <w:tcPr>
            <w:tcW w:w="2039" w:type="dxa"/>
            <w:shd w:val="clear" w:color="auto" w:fill="FFFFFF"/>
            <w:noWrap/>
            <w:vAlign w:val="bottom"/>
          </w:tcPr>
          <w:p w14:paraId="47E40287" w14:textId="0784786B" w:rsidR="00603684" w:rsidRPr="001F224B" w:rsidRDefault="00603684" w:rsidP="00603684">
            <w:pPr>
              <w:jc w:val="right"/>
              <w:rPr>
                <w:sz w:val="20"/>
                <w:szCs w:val="20"/>
              </w:rPr>
            </w:pPr>
            <w:r w:rsidRPr="001F224B">
              <w:rPr>
                <w:sz w:val="20"/>
                <w:szCs w:val="20"/>
              </w:rPr>
              <w:t>100</w:t>
            </w:r>
          </w:p>
        </w:tc>
        <w:tc>
          <w:tcPr>
            <w:tcW w:w="2038" w:type="dxa"/>
            <w:shd w:val="clear" w:color="auto" w:fill="FFFFFF"/>
            <w:noWrap/>
            <w:vAlign w:val="bottom"/>
          </w:tcPr>
          <w:p w14:paraId="1141D195" w14:textId="738B51D2" w:rsidR="00603684" w:rsidRPr="001F224B" w:rsidRDefault="00603684" w:rsidP="00603684">
            <w:pPr>
              <w:jc w:val="right"/>
              <w:rPr>
                <w:sz w:val="20"/>
                <w:szCs w:val="20"/>
              </w:rPr>
            </w:pPr>
            <w:r w:rsidRPr="001F224B">
              <w:rPr>
                <w:sz w:val="20"/>
                <w:szCs w:val="20"/>
              </w:rPr>
              <w:t>100</w:t>
            </w:r>
          </w:p>
        </w:tc>
      </w:tr>
    </w:tbl>
    <w:p w14:paraId="2BCAE72D" w14:textId="3E0D4D3E" w:rsidR="00417CCA" w:rsidRPr="001F224B" w:rsidRDefault="00417CCA" w:rsidP="00417CCA">
      <w:pPr>
        <w:tabs>
          <w:tab w:val="left" w:pos="709"/>
        </w:tabs>
        <w:spacing w:before="120" w:after="120"/>
        <w:jc w:val="both"/>
        <w:rPr>
          <w:b/>
          <w:sz w:val="22"/>
          <w:szCs w:val="22"/>
        </w:rPr>
      </w:pPr>
      <w:r w:rsidRPr="001F224B">
        <w:rPr>
          <w:b/>
          <w:sz w:val="22"/>
          <w:szCs w:val="22"/>
        </w:rPr>
        <w:t>4.2.</w:t>
      </w:r>
      <w:r w:rsidR="004358A8" w:rsidRPr="001F224B">
        <w:rPr>
          <w:b/>
          <w:sz w:val="22"/>
          <w:szCs w:val="22"/>
        </w:rPr>
        <w:t>a</w:t>
      </w:r>
      <w:r w:rsidRPr="001F224B">
        <w:rPr>
          <w:b/>
          <w:sz w:val="22"/>
          <w:szCs w:val="22"/>
        </w:rPr>
        <w:t>.</w:t>
      </w:r>
      <w:r w:rsidR="0079301C" w:rsidRPr="001F224B">
        <w:rPr>
          <w:b/>
          <w:sz w:val="22"/>
          <w:szCs w:val="22"/>
        </w:rPr>
        <w:t>3</w:t>
      </w:r>
      <w:r w:rsidR="009F0770" w:rsidRPr="001F224B">
        <w:rPr>
          <w:b/>
          <w:sz w:val="22"/>
          <w:szCs w:val="22"/>
        </w:rPr>
        <w:t>)</w:t>
      </w:r>
      <w:r w:rsidRPr="001F224B">
        <w:rPr>
          <w:b/>
          <w:sz w:val="22"/>
          <w:szCs w:val="22"/>
        </w:rPr>
        <w:t xml:space="preserve"> Yukarıdaki sıraya göre konsolide edilen bağlı ortaklıklara ilişkin finansal tablo bilgileri:</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50"/>
      </w:tblGrid>
      <w:tr w:rsidR="00417CCA" w:rsidRPr="001F224B" w14:paraId="4EF9A870" w14:textId="77777777" w:rsidTr="0086617A">
        <w:trPr>
          <w:trHeight w:val="563"/>
        </w:trPr>
        <w:tc>
          <w:tcPr>
            <w:tcW w:w="504" w:type="dxa"/>
            <w:vAlign w:val="bottom"/>
          </w:tcPr>
          <w:p w14:paraId="2213867C" w14:textId="77777777" w:rsidR="00417CCA" w:rsidRPr="001F224B" w:rsidRDefault="00417CCA" w:rsidP="0086617A">
            <w:pPr>
              <w:rPr>
                <w:sz w:val="18"/>
                <w:szCs w:val="18"/>
              </w:rPr>
            </w:pPr>
            <w:r w:rsidRPr="001F224B">
              <w:rPr>
                <w:sz w:val="18"/>
                <w:szCs w:val="18"/>
              </w:rPr>
              <w:t>  </w:t>
            </w:r>
            <w:r w:rsidRPr="001F224B">
              <w:rPr>
                <w:sz w:val="14"/>
                <w:szCs w:val="18"/>
              </w:rPr>
              <w:t>(*)</w:t>
            </w:r>
          </w:p>
        </w:tc>
        <w:tc>
          <w:tcPr>
            <w:tcW w:w="1302" w:type="dxa"/>
            <w:shd w:val="clear" w:color="auto" w:fill="FFFFFF"/>
            <w:vAlign w:val="bottom"/>
          </w:tcPr>
          <w:p w14:paraId="621B146B" w14:textId="77777777" w:rsidR="00417CCA" w:rsidRPr="001F224B" w:rsidRDefault="00417CCA" w:rsidP="0086617A">
            <w:pPr>
              <w:jc w:val="center"/>
              <w:rPr>
                <w:b/>
                <w:bCs/>
                <w:sz w:val="18"/>
                <w:szCs w:val="18"/>
              </w:rPr>
            </w:pPr>
            <w:r w:rsidRPr="001F224B">
              <w:rPr>
                <w:b/>
                <w:bCs/>
                <w:sz w:val="18"/>
                <w:szCs w:val="18"/>
              </w:rPr>
              <w:t>Aktif Toplamı</w:t>
            </w:r>
          </w:p>
        </w:tc>
        <w:tc>
          <w:tcPr>
            <w:tcW w:w="1246" w:type="dxa"/>
            <w:shd w:val="clear" w:color="auto" w:fill="FFFFFF"/>
            <w:vAlign w:val="bottom"/>
          </w:tcPr>
          <w:p w14:paraId="43EB30C0" w14:textId="77777777" w:rsidR="00417CCA" w:rsidRPr="001F224B" w:rsidRDefault="00417CCA" w:rsidP="0086617A">
            <w:pPr>
              <w:jc w:val="center"/>
              <w:rPr>
                <w:b/>
                <w:bCs/>
                <w:sz w:val="18"/>
                <w:szCs w:val="18"/>
              </w:rPr>
            </w:pPr>
            <w:r w:rsidRPr="001F224B">
              <w:rPr>
                <w:b/>
                <w:bCs/>
                <w:sz w:val="18"/>
                <w:szCs w:val="18"/>
              </w:rPr>
              <w:t>Özkaynak</w:t>
            </w:r>
          </w:p>
        </w:tc>
        <w:tc>
          <w:tcPr>
            <w:tcW w:w="1176" w:type="dxa"/>
            <w:shd w:val="clear" w:color="auto" w:fill="FFFFFF"/>
            <w:vAlign w:val="bottom"/>
          </w:tcPr>
          <w:p w14:paraId="30BA1476" w14:textId="77777777" w:rsidR="00417CCA" w:rsidRPr="001F224B" w:rsidRDefault="00417CCA" w:rsidP="0086617A">
            <w:pPr>
              <w:jc w:val="center"/>
              <w:rPr>
                <w:b/>
                <w:bCs/>
                <w:sz w:val="18"/>
                <w:szCs w:val="18"/>
              </w:rPr>
            </w:pPr>
            <w:r w:rsidRPr="001F224B">
              <w:rPr>
                <w:b/>
                <w:bCs/>
                <w:sz w:val="18"/>
                <w:szCs w:val="18"/>
              </w:rPr>
              <w:t>Sabit Varlık Toplamı</w:t>
            </w:r>
          </w:p>
        </w:tc>
        <w:tc>
          <w:tcPr>
            <w:tcW w:w="1134" w:type="dxa"/>
            <w:shd w:val="clear" w:color="auto" w:fill="FFFFFF"/>
            <w:vAlign w:val="bottom"/>
          </w:tcPr>
          <w:p w14:paraId="6DAFBD1E" w14:textId="77777777" w:rsidR="00417CCA" w:rsidRPr="001F224B" w:rsidRDefault="00417CCA" w:rsidP="0086617A">
            <w:pPr>
              <w:jc w:val="center"/>
              <w:rPr>
                <w:b/>
                <w:bCs/>
                <w:sz w:val="18"/>
                <w:szCs w:val="18"/>
              </w:rPr>
            </w:pPr>
            <w:r w:rsidRPr="001F224B">
              <w:rPr>
                <w:b/>
                <w:bCs/>
                <w:sz w:val="18"/>
                <w:szCs w:val="18"/>
              </w:rPr>
              <w:t>Faiz Gelirleri</w:t>
            </w:r>
          </w:p>
        </w:tc>
        <w:tc>
          <w:tcPr>
            <w:tcW w:w="1217" w:type="dxa"/>
            <w:shd w:val="clear" w:color="auto" w:fill="FFFFFF"/>
            <w:vAlign w:val="bottom"/>
          </w:tcPr>
          <w:p w14:paraId="09F72854" w14:textId="77777777" w:rsidR="00417CCA" w:rsidRPr="001F224B" w:rsidRDefault="00417CCA" w:rsidP="0086617A">
            <w:pPr>
              <w:jc w:val="center"/>
              <w:rPr>
                <w:b/>
                <w:bCs/>
                <w:sz w:val="18"/>
                <w:szCs w:val="18"/>
              </w:rPr>
            </w:pPr>
            <w:r w:rsidRPr="001F224B">
              <w:rPr>
                <w:b/>
                <w:bCs/>
                <w:sz w:val="18"/>
                <w:szCs w:val="18"/>
              </w:rPr>
              <w:t>Menkul Değer Gelirleri</w:t>
            </w:r>
          </w:p>
        </w:tc>
        <w:tc>
          <w:tcPr>
            <w:tcW w:w="1134" w:type="dxa"/>
            <w:shd w:val="clear" w:color="auto" w:fill="FFFFFF"/>
            <w:vAlign w:val="bottom"/>
          </w:tcPr>
          <w:p w14:paraId="69D2DEE0" w14:textId="77777777" w:rsidR="00417CCA" w:rsidRPr="001F224B" w:rsidRDefault="00417CCA" w:rsidP="0086617A">
            <w:pPr>
              <w:jc w:val="center"/>
              <w:rPr>
                <w:b/>
                <w:bCs/>
                <w:sz w:val="18"/>
                <w:szCs w:val="18"/>
              </w:rPr>
            </w:pPr>
            <w:r w:rsidRPr="001F224B">
              <w:rPr>
                <w:b/>
                <w:bCs/>
                <w:sz w:val="18"/>
                <w:szCs w:val="18"/>
              </w:rPr>
              <w:t>Cari Dönem Kar/Zararı</w:t>
            </w:r>
          </w:p>
        </w:tc>
        <w:tc>
          <w:tcPr>
            <w:tcW w:w="1106" w:type="dxa"/>
            <w:shd w:val="clear" w:color="auto" w:fill="FFFFFF"/>
            <w:vAlign w:val="bottom"/>
          </w:tcPr>
          <w:p w14:paraId="59BD38B3" w14:textId="77777777" w:rsidR="00417CCA" w:rsidRPr="001F224B" w:rsidRDefault="00417CCA" w:rsidP="0086617A">
            <w:pPr>
              <w:jc w:val="center"/>
              <w:rPr>
                <w:b/>
                <w:bCs/>
                <w:sz w:val="18"/>
                <w:szCs w:val="18"/>
              </w:rPr>
            </w:pPr>
            <w:r w:rsidRPr="001F224B">
              <w:rPr>
                <w:b/>
                <w:bCs/>
                <w:sz w:val="18"/>
                <w:szCs w:val="18"/>
              </w:rPr>
              <w:t>Önceki Dönem Kar/Zararı</w:t>
            </w:r>
          </w:p>
        </w:tc>
        <w:tc>
          <w:tcPr>
            <w:tcW w:w="1050" w:type="dxa"/>
            <w:shd w:val="clear" w:color="auto" w:fill="FFFFFF"/>
            <w:vAlign w:val="bottom"/>
          </w:tcPr>
          <w:p w14:paraId="4B35187F" w14:textId="77777777" w:rsidR="00417CCA" w:rsidRPr="001F224B" w:rsidRDefault="00417CCA" w:rsidP="0086617A">
            <w:pPr>
              <w:jc w:val="center"/>
              <w:rPr>
                <w:b/>
                <w:bCs/>
                <w:sz w:val="18"/>
                <w:szCs w:val="18"/>
              </w:rPr>
            </w:pPr>
            <w:r w:rsidRPr="001F224B">
              <w:rPr>
                <w:b/>
                <w:bCs/>
                <w:sz w:val="18"/>
                <w:szCs w:val="18"/>
              </w:rPr>
              <w:t>Gerçeğe Uygun Değeri</w:t>
            </w:r>
          </w:p>
        </w:tc>
      </w:tr>
      <w:tr w:rsidR="007C427F" w:rsidRPr="001F224B" w14:paraId="09CB93CF" w14:textId="77777777" w:rsidTr="00D73B75">
        <w:trPr>
          <w:trHeight w:val="19"/>
        </w:trPr>
        <w:tc>
          <w:tcPr>
            <w:tcW w:w="504" w:type="dxa"/>
            <w:shd w:val="clear" w:color="auto" w:fill="FFFFFF"/>
            <w:vAlign w:val="bottom"/>
          </w:tcPr>
          <w:p w14:paraId="6B8CDF1E" w14:textId="77777777" w:rsidR="007C427F" w:rsidRPr="001F224B" w:rsidRDefault="007C427F" w:rsidP="007C427F">
            <w:pPr>
              <w:jc w:val="center"/>
              <w:rPr>
                <w:sz w:val="18"/>
                <w:szCs w:val="18"/>
              </w:rPr>
            </w:pPr>
            <w:r w:rsidRPr="001F224B">
              <w:rPr>
                <w:sz w:val="18"/>
                <w:szCs w:val="18"/>
              </w:rPr>
              <w:t>1</w:t>
            </w:r>
          </w:p>
        </w:tc>
        <w:tc>
          <w:tcPr>
            <w:tcW w:w="1302" w:type="dxa"/>
            <w:shd w:val="clear" w:color="000000" w:fill="FFFFFF"/>
            <w:vAlign w:val="bottom"/>
          </w:tcPr>
          <w:p w14:paraId="16587BBC" w14:textId="6F887747" w:rsidR="007C427F" w:rsidRPr="001F224B" w:rsidRDefault="007C427F" w:rsidP="007C427F">
            <w:pPr>
              <w:jc w:val="center"/>
              <w:rPr>
                <w:sz w:val="20"/>
                <w:szCs w:val="20"/>
              </w:rPr>
            </w:pPr>
            <w:r w:rsidRPr="001F224B">
              <w:rPr>
                <w:sz w:val="20"/>
                <w:szCs w:val="20"/>
              </w:rPr>
              <w:t>426.136</w:t>
            </w:r>
          </w:p>
        </w:tc>
        <w:tc>
          <w:tcPr>
            <w:tcW w:w="1246" w:type="dxa"/>
            <w:shd w:val="clear" w:color="000000" w:fill="FFFFFF"/>
            <w:vAlign w:val="bottom"/>
          </w:tcPr>
          <w:p w14:paraId="5B8F9C42" w14:textId="10B965DA" w:rsidR="007C427F" w:rsidRPr="001F224B" w:rsidRDefault="007C427F" w:rsidP="007C427F">
            <w:pPr>
              <w:jc w:val="center"/>
              <w:rPr>
                <w:sz w:val="20"/>
                <w:szCs w:val="20"/>
              </w:rPr>
            </w:pPr>
            <w:r w:rsidRPr="001F224B">
              <w:rPr>
                <w:sz w:val="20"/>
                <w:szCs w:val="20"/>
              </w:rPr>
              <w:t>1.512</w:t>
            </w:r>
          </w:p>
        </w:tc>
        <w:tc>
          <w:tcPr>
            <w:tcW w:w="1176" w:type="dxa"/>
            <w:shd w:val="clear" w:color="000000" w:fill="FFFFFF"/>
            <w:vAlign w:val="bottom"/>
          </w:tcPr>
          <w:p w14:paraId="2F6A7C53" w14:textId="132CE5DB" w:rsidR="007C427F" w:rsidRPr="001F224B" w:rsidRDefault="007C427F" w:rsidP="007C427F">
            <w:pPr>
              <w:jc w:val="center"/>
              <w:rPr>
                <w:sz w:val="20"/>
                <w:szCs w:val="20"/>
              </w:rPr>
            </w:pPr>
            <w:r w:rsidRPr="001F224B">
              <w:rPr>
                <w:sz w:val="20"/>
                <w:szCs w:val="20"/>
              </w:rPr>
              <w:t>8</w:t>
            </w:r>
          </w:p>
        </w:tc>
        <w:tc>
          <w:tcPr>
            <w:tcW w:w="1134" w:type="dxa"/>
            <w:shd w:val="clear" w:color="000000" w:fill="FFFFFF"/>
            <w:vAlign w:val="bottom"/>
          </w:tcPr>
          <w:p w14:paraId="233048A8" w14:textId="4E01C246" w:rsidR="007C427F" w:rsidRPr="001F224B" w:rsidRDefault="007C427F" w:rsidP="007C427F">
            <w:pPr>
              <w:jc w:val="center"/>
              <w:rPr>
                <w:sz w:val="20"/>
                <w:szCs w:val="20"/>
              </w:rPr>
            </w:pPr>
            <w:r w:rsidRPr="001F224B">
              <w:rPr>
                <w:sz w:val="20"/>
                <w:szCs w:val="20"/>
              </w:rPr>
              <w:t>21</w:t>
            </w:r>
          </w:p>
        </w:tc>
        <w:tc>
          <w:tcPr>
            <w:tcW w:w="1217" w:type="dxa"/>
            <w:shd w:val="clear" w:color="000000" w:fill="FFFFFF"/>
            <w:vAlign w:val="bottom"/>
          </w:tcPr>
          <w:p w14:paraId="0E6019F8" w14:textId="32567E67" w:rsidR="007C427F" w:rsidRPr="001F224B" w:rsidRDefault="007C427F" w:rsidP="007C427F">
            <w:pPr>
              <w:jc w:val="center"/>
              <w:rPr>
                <w:sz w:val="20"/>
                <w:szCs w:val="20"/>
              </w:rPr>
            </w:pPr>
            <w:r w:rsidRPr="001F224B">
              <w:rPr>
                <w:sz w:val="20"/>
                <w:szCs w:val="20"/>
              </w:rPr>
              <w:t>-</w:t>
            </w:r>
          </w:p>
        </w:tc>
        <w:tc>
          <w:tcPr>
            <w:tcW w:w="1134" w:type="dxa"/>
            <w:shd w:val="clear" w:color="000000" w:fill="FFFFFF"/>
            <w:vAlign w:val="bottom"/>
          </w:tcPr>
          <w:p w14:paraId="17D0F6C5" w14:textId="0B333C5E" w:rsidR="007C427F" w:rsidRPr="001F224B" w:rsidRDefault="007C427F" w:rsidP="007C427F">
            <w:pPr>
              <w:jc w:val="center"/>
              <w:rPr>
                <w:sz w:val="20"/>
                <w:szCs w:val="20"/>
              </w:rPr>
            </w:pPr>
            <w:r w:rsidRPr="001F224B">
              <w:rPr>
                <w:sz w:val="20"/>
                <w:szCs w:val="20"/>
              </w:rPr>
              <w:t>439</w:t>
            </w:r>
          </w:p>
        </w:tc>
        <w:tc>
          <w:tcPr>
            <w:tcW w:w="1106" w:type="dxa"/>
            <w:shd w:val="clear" w:color="auto" w:fill="FFFFFF"/>
          </w:tcPr>
          <w:p w14:paraId="46979578" w14:textId="4EFCDB27" w:rsidR="007C427F" w:rsidRPr="001F224B" w:rsidRDefault="007C427F" w:rsidP="007C427F">
            <w:pPr>
              <w:jc w:val="center"/>
              <w:rPr>
                <w:sz w:val="20"/>
                <w:szCs w:val="20"/>
              </w:rPr>
            </w:pPr>
            <w:r w:rsidRPr="001F224B">
              <w:rPr>
                <w:sz w:val="20"/>
                <w:szCs w:val="20"/>
              </w:rPr>
              <w:t>315</w:t>
            </w:r>
          </w:p>
        </w:tc>
        <w:tc>
          <w:tcPr>
            <w:tcW w:w="1050" w:type="dxa"/>
            <w:shd w:val="clear" w:color="000000" w:fill="FFFFFF"/>
            <w:vAlign w:val="bottom"/>
          </w:tcPr>
          <w:p w14:paraId="404DF562" w14:textId="4DF96138" w:rsidR="007C427F" w:rsidRPr="001F224B" w:rsidRDefault="007C427F" w:rsidP="007C427F">
            <w:pPr>
              <w:jc w:val="center"/>
              <w:rPr>
                <w:sz w:val="20"/>
                <w:szCs w:val="20"/>
              </w:rPr>
            </w:pPr>
            <w:r w:rsidRPr="001F224B">
              <w:rPr>
                <w:sz w:val="20"/>
                <w:szCs w:val="20"/>
              </w:rPr>
              <w:t>-</w:t>
            </w:r>
          </w:p>
        </w:tc>
      </w:tr>
      <w:tr w:rsidR="007C427F" w:rsidRPr="001F224B" w14:paraId="33B2CBF4" w14:textId="77777777" w:rsidTr="00D73B75">
        <w:trPr>
          <w:trHeight w:val="19"/>
        </w:trPr>
        <w:tc>
          <w:tcPr>
            <w:tcW w:w="504" w:type="dxa"/>
            <w:shd w:val="clear" w:color="auto" w:fill="FFFFFF"/>
            <w:vAlign w:val="bottom"/>
          </w:tcPr>
          <w:p w14:paraId="61F2328E" w14:textId="77777777" w:rsidR="007C427F" w:rsidRPr="001F224B" w:rsidRDefault="007C427F" w:rsidP="007C427F">
            <w:pPr>
              <w:jc w:val="center"/>
              <w:rPr>
                <w:sz w:val="18"/>
                <w:szCs w:val="18"/>
              </w:rPr>
            </w:pPr>
            <w:r w:rsidRPr="001F224B">
              <w:rPr>
                <w:sz w:val="18"/>
                <w:szCs w:val="18"/>
              </w:rPr>
              <w:t>2</w:t>
            </w:r>
          </w:p>
        </w:tc>
        <w:tc>
          <w:tcPr>
            <w:tcW w:w="1302" w:type="dxa"/>
            <w:shd w:val="clear" w:color="000000" w:fill="FFFFFF"/>
            <w:vAlign w:val="bottom"/>
          </w:tcPr>
          <w:p w14:paraId="238A60EE" w14:textId="4C63F784" w:rsidR="007C427F" w:rsidRPr="001F224B" w:rsidRDefault="007C427F" w:rsidP="007C427F">
            <w:pPr>
              <w:jc w:val="center"/>
              <w:rPr>
                <w:sz w:val="20"/>
                <w:szCs w:val="20"/>
              </w:rPr>
            </w:pPr>
            <w:r w:rsidRPr="001F224B">
              <w:rPr>
                <w:sz w:val="20"/>
                <w:szCs w:val="20"/>
              </w:rPr>
              <w:t>66.654</w:t>
            </w:r>
          </w:p>
        </w:tc>
        <w:tc>
          <w:tcPr>
            <w:tcW w:w="1246" w:type="dxa"/>
            <w:shd w:val="clear" w:color="000000" w:fill="FFFFFF"/>
            <w:vAlign w:val="bottom"/>
          </w:tcPr>
          <w:p w14:paraId="0EB56128" w14:textId="5D6AB8F0" w:rsidR="007C427F" w:rsidRPr="001F224B" w:rsidRDefault="007C427F" w:rsidP="007C427F">
            <w:pPr>
              <w:jc w:val="center"/>
              <w:rPr>
                <w:sz w:val="20"/>
                <w:szCs w:val="20"/>
              </w:rPr>
            </w:pPr>
            <w:r w:rsidRPr="001F224B">
              <w:rPr>
                <w:sz w:val="20"/>
                <w:szCs w:val="20"/>
              </w:rPr>
              <w:t>53.973</w:t>
            </w:r>
          </w:p>
        </w:tc>
        <w:tc>
          <w:tcPr>
            <w:tcW w:w="1176" w:type="dxa"/>
            <w:shd w:val="clear" w:color="000000" w:fill="FFFFFF"/>
            <w:vAlign w:val="bottom"/>
          </w:tcPr>
          <w:p w14:paraId="5F5CF513" w14:textId="24C00B3C" w:rsidR="007C427F" w:rsidRPr="001F224B" w:rsidRDefault="007C427F" w:rsidP="007C427F">
            <w:pPr>
              <w:jc w:val="center"/>
              <w:rPr>
                <w:sz w:val="20"/>
                <w:szCs w:val="20"/>
              </w:rPr>
            </w:pPr>
            <w:r w:rsidRPr="001F224B">
              <w:rPr>
                <w:sz w:val="20"/>
                <w:szCs w:val="20"/>
              </w:rPr>
              <w:t>9.014</w:t>
            </w:r>
          </w:p>
        </w:tc>
        <w:tc>
          <w:tcPr>
            <w:tcW w:w="1134" w:type="dxa"/>
            <w:shd w:val="clear" w:color="000000" w:fill="FFFFFF"/>
            <w:vAlign w:val="bottom"/>
          </w:tcPr>
          <w:p w14:paraId="0C32C6ED" w14:textId="05E0942B" w:rsidR="007C427F" w:rsidRPr="001F224B" w:rsidRDefault="007C427F" w:rsidP="007C427F">
            <w:pPr>
              <w:jc w:val="center"/>
              <w:rPr>
                <w:sz w:val="20"/>
                <w:szCs w:val="20"/>
              </w:rPr>
            </w:pPr>
            <w:r w:rsidRPr="001F224B">
              <w:rPr>
                <w:sz w:val="20"/>
                <w:szCs w:val="20"/>
              </w:rPr>
              <w:t>10.345</w:t>
            </w:r>
          </w:p>
        </w:tc>
        <w:tc>
          <w:tcPr>
            <w:tcW w:w="1217" w:type="dxa"/>
            <w:shd w:val="clear" w:color="000000" w:fill="FFFFFF"/>
            <w:vAlign w:val="bottom"/>
          </w:tcPr>
          <w:p w14:paraId="13063097" w14:textId="20FE2008" w:rsidR="007C427F" w:rsidRPr="001F224B" w:rsidRDefault="007C427F" w:rsidP="007C427F">
            <w:pPr>
              <w:jc w:val="center"/>
              <w:rPr>
                <w:sz w:val="20"/>
                <w:szCs w:val="20"/>
              </w:rPr>
            </w:pPr>
            <w:r w:rsidRPr="001F224B">
              <w:rPr>
                <w:sz w:val="20"/>
                <w:szCs w:val="20"/>
              </w:rPr>
              <w:t>-</w:t>
            </w:r>
          </w:p>
        </w:tc>
        <w:tc>
          <w:tcPr>
            <w:tcW w:w="1134" w:type="dxa"/>
            <w:shd w:val="clear" w:color="000000" w:fill="FFFFFF"/>
            <w:vAlign w:val="bottom"/>
          </w:tcPr>
          <w:p w14:paraId="6F82D710" w14:textId="641CF327" w:rsidR="007C427F" w:rsidRPr="001F224B" w:rsidRDefault="007C427F" w:rsidP="007C427F">
            <w:pPr>
              <w:jc w:val="center"/>
              <w:rPr>
                <w:sz w:val="20"/>
                <w:szCs w:val="20"/>
              </w:rPr>
            </w:pPr>
            <w:r w:rsidRPr="001F224B">
              <w:rPr>
                <w:sz w:val="20"/>
                <w:szCs w:val="20"/>
              </w:rPr>
              <w:t>2.066</w:t>
            </w:r>
          </w:p>
        </w:tc>
        <w:tc>
          <w:tcPr>
            <w:tcW w:w="1106" w:type="dxa"/>
            <w:shd w:val="clear" w:color="auto" w:fill="FFFFFF"/>
          </w:tcPr>
          <w:p w14:paraId="09816239" w14:textId="7F9C056D" w:rsidR="007C427F" w:rsidRPr="001F224B" w:rsidRDefault="007C427F" w:rsidP="007C427F">
            <w:pPr>
              <w:jc w:val="center"/>
              <w:rPr>
                <w:sz w:val="20"/>
                <w:szCs w:val="20"/>
              </w:rPr>
            </w:pPr>
            <w:r w:rsidRPr="001F224B">
              <w:rPr>
                <w:sz w:val="20"/>
                <w:szCs w:val="20"/>
              </w:rPr>
              <w:t>(4.273)</w:t>
            </w:r>
          </w:p>
        </w:tc>
        <w:tc>
          <w:tcPr>
            <w:tcW w:w="1050" w:type="dxa"/>
            <w:shd w:val="clear" w:color="000000" w:fill="FFFFFF"/>
            <w:vAlign w:val="bottom"/>
          </w:tcPr>
          <w:p w14:paraId="43A1DD47" w14:textId="6DDB7E9C" w:rsidR="007C427F" w:rsidRPr="001F224B" w:rsidRDefault="007C427F" w:rsidP="007C427F">
            <w:pPr>
              <w:jc w:val="center"/>
              <w:rPr>
                <w:sz w:val="20"/>
                <w:szCs w:val="20"/>
              </w:rPr>
            </w:pPr>
            <w:r w:rsidRPr="001F224B">
              <w:rPr>
                <w:sz w:val="20"/>
                <w:szCs w:val="20"/>
              </w:rPr>
              <w:t>-</w:t>
            </w:r>
          </w:p>
        </w:tc>
      </w:tr>
    </w:tbl>
    <w:p w14:paraId="2C6E97A5" w14:textId="77777777" w:rsidR="007C427F" w:rsidRPr="001F224B" w:rsidRDefault="007C427F" w:rsidP="007C427F">
      <w:pPr>
        <w:tabs>
          <w:tab w:val="left" w:pos="1276"/>
        </w:tabs>
        <w:spacing w:before="60"/>
        <w:ind w:left="278" w:hanging="278"/>
        <w:jc w:val="both"/>
        <w:rPr>
          <w:iCs/>
          <w:noProof/>
          <w:sz w:val="16"/>
          <w:szCs w:val="16"/>
        </w:rPr>
      </w:pPr>
      <w:r w:rsidRPr="001F224B">
        <w:rPr>
          <w:iCs/>
          <w:noProof/>
          <w:sz w:val="18"/>
          <w:szCs w:val="18"/>
          <w:vertAlign w:val="superscript"/>
        </w:rPr>
        <w:t>(*)</w:t>
      </w:r>
      <w:r w:rsidRPr="001F224B">
        <w:rPr>
          <w:iCs/>
          <w:noProof/>
          <w:sz w:val="16"/>
          <w:szCs w:val="16"/>
        </w:rPr>
        <w:tab/>
        <w:t>Finansal veriler, Kalkınma Yatırım Varlık Kiralama A.Ş. ve Kalkınma Girişim Sermayesi Portföy Yönetimi A.Ş. 30 Haziran 2025 tarihli sınırlı denetimden geçmemiş, enflasyon muhasebesi uygulanmamış finansal tablolarından; önceki dönem kar/zarar tutarları, 30 Haziran 2024 tarihli sınırlı denetimden geçmemiş, enflasyon muhasebesi uygulanmamış finansal tablolarından alınmıştır.</w:t>
      </w:r>
    </w:p>
    <w:p w14:paraId="48B24264" w14:textId="3E7262D9" w:rsidR="000F35BA" w:rsidRPr="001F224B" w:rsidRDefault="000F35BA" w:rsidP="00184EA8">
      <w:pPr>
        <w:tabs>
          <w:tab w:val="left" w:pos="1276"/>
        </w:tabs>
        <w:spacing w:before="60"/>
        <w:ind w:left="278" w:hanging="278"/>
        <w:jc w:val="both"/>
        <w:rPr>
          <w:b/>
          <w:bCs/>
          <w:sz w:val="22"/>
          <w:szCs w:val="22"/>
        </w:rPr>
      </w:pPr>
    </w:p>
    <w:p w14:paraId="02E5F053" w14:textId="77777777" w:rsidR="000F35BA" w:rsidRPr="001F224B" w:rsidRDefault="000F35BA" w:rsidP="004A7A9E">
      <w:pPr>
        <w:tabs>
          <w:tab w:val="left" w:pos="1276"/>
        </w:tabs>
        <w:ind w:left="280" w:hanging="280"/>
        <w:jc w:val="both"/>
        <w:rPr>
          <w:b/>
          <w:bCs/>
          <w:sz w:val="22"/>
          <w:szCs w:val="22"/>
        </w:rPr>
      </w:pPr>
    </w:p>
    <w:p w14:paraId="446EF8FA" w14:textId="77777777" w:rsidR="000F35BA" w:rsidRPr="001F224B" w:rsidRDefault="000F35BA" w:rsidP="004A7A9E">
      <w:pPr>
        <w:tabs>
          <w:tab w:val="left" w:pos="1276"/>
        </w:tabs>
        <w:ind w:left="280" w:hanging="280"/>
        <w:jc w:val="both"/>
        <w:rPr>
          <w:b/>
          <w:bCs/>
          <w:sz w:val="22"/>
          <w:szCs w:val="22"/>
        </w:rPr>
      </w:pPr>
    </w:p>
    <w:p w14:paraId="249A0C2A" w14:textId="77777777" w:rsidR="000F35BA" w:rsidRPr="001F224B" w:rsidRDefault="000F35BA" w:rsidP="004A7A9E">
      <w:pPr>
        <w:tabs>
          <w:tab w:val="left" w:pos="1276"/>
        </w:tabs>
        <w:ind w:left="280" w:hanging="280"/>
        <w:jc w:val="both"/>
        <w:rPr>
          <w:b/>
          <w:bCs/>
          <w:sz w:val="22"/>
          <w:szCs w:val="22"/>
        </w:rPr>
      </w:pPr>
    </w:p>
    <w:p w14:paraId="2FF16031" w14:textId="77777777" w:rsidR="000F35BA" w:rsidRPr="001F224B" w:rsidRDefault="000F35BA" w:rsidP="004A7A9E">
      <w:pPr>
        <w:tabs>
          <w:tab w:val="left" w:pos="1276"/>
        </w:tabs>
        <w:ind w:left="280" w:hanging="280"/>
        <w:jc w:val="both"/>
        <w:rPr>
          <w:b/>
          <w:bCs/>
          <w:sz w:val="22"/>
          <w:szCs w:val="22"/>
        </w:rPr>
      </w:pPr>
    </w:p>
    <w:p w14:paraId="68791A02" w14:textId="77777777" w:rsidR="000F35BA" w:rsidRPr="001F224B" w:rsidRDefault="000F35BA" w:rsidP="004A7A9E">
      <w:pPr>
        <w:tabs>
          <w:tab w:val="left" w:pos="1276"/>
        </w:tabs>
        <w:ind w:left="280" w:hanging="280"/>
        <w:jc w:val="both"/>
        <w:rPr>
          <w:b/>
          <w:bCs/>
          <w:sz w:val="22"/>
          <w:szCs w:val="22"/>
        </w:rPr>
      </w:pPr>
    </w:p>
    <w:p w14:paraId="3A52E7A3" w14:textId="77777777" w:rsidR="000F35BA" w:rsidRPr="001F224B" w:rsidRDefault="000F35BA" w:rsidP="004A7A9E">
      <w:pPr>
        <w:tabs>
          <w:tab w:val="left" w:pos="1276"/>
        </w:tabs>
        <w:ind w:left="280" w:hanging="280"/>
        <w:jc w:val="both"/>
        <w:rPr>
          <w:b/>
          <w:bCs/>
          <w:sz w:val="22"/>
          <w:szCs w:val="22"/>
        </w:rPr>
      </w:pPr>
    </w:p>
    <w:p w14:paraId="59950B72" w14:textId="77777777" w:rsidR="000F35BA" w:rsidRPr="001F224B" w:rsidRDefault="000F35BA" w:rsidP="004A7A9E">
      <w:pPr>
        <w:tabs>
          <w:tab w:val="left" w:pos="1276"/>
        </w:tabs>
        <w:ind w:left="280" w:hanging="280"/>
        <w:jc w:val="both"/>
        <w:rPr>
          <w:b/>
          <w:bCs/>
          <w:sz w:val="22"/>
          <w:szCs w:val="22"/>
        </w:rPr>
      </w:pPr>
    </w:p>
    <w:p w14:paraId="7C0AB478" w14:textId="77777777" w:rsidR="000F35BA" w:rsidRPr="001F224B" w:rsidRDefault="000F35BA" w:rsidP="004A7A9E">
      <w:pPr>
        <w:tabs>
          <w:tab w:val="left" w:pos="1276"/>
        </w:tabs>
        <w:ind w:left="280" w:hanging="280"/>
        <w:jc w:val="both"/>
        <w:rPr>
          <w:b/>
          <w:bCs/>
          <w:sz w:val="22"/>
          <w:szCs w:val="22"/>
        </w:rPr>
      </w:pPr>
    </w:p>
    <w:p w14:paraId="261C654E" w14:textId="1A946197" w:rsidR="00AE60E1" w:rsidRPr="001F224B" w:rsidRDefault="00AE60E1">
      <w:pPr>
        <w:rPr>
          <w:b/>
          <w:bCs/>
          <w:sz w:val="22"/>
          <w:szCs w:val="22"/>
        </w:rPr>
      </w:pPr>
      <w:r w:rsidRPr="001F224B">
        <w:rPr>
          <w:b/>
          <w:bCs/>
          <w:sz w:val="22"/>
          <w:szCs w:val="22"/>
        </w:rPr>
        <w:br w:type="page"/>
      </w:r>
    </w:p>
    <w:p w14:paraId="4EE2B69F" w14:textId="77777777" w:rsidR="000F35BA" w:rsidRPr="001F224B" w:rsidRDefault="000F35BA" w:rsidP="000F35BA">
      <w:pPr>
        <w:pStyle w:val="ListParagraph"/>
        <w:tabs>
          <w:tab w:val="left" w:pos="0"/>
        </w:tabs>
        <w:spacing w:before="120" w:after="120"/>
        <w:ind w:left="0"/>
        <w:rPr>
          <w:b/>
          <w:bCs/>
          <w:sz w:val="22"/>
          <w:szCs w:val="22"/>
        </w:rPr>
      </w:pPr>
      <w:r w:rsidRPr="001F224B">
        <w:rPr>
          <w:b/>
          <w:bCs/>
          <w:sz w:val="22"/>
          <w:szCs w:val="22"/>
        </w:rPr>
        <w:t>BEŞİNCİ BÖLÜM (Devamı)</w:t>
      </w:r>
    </w:p>
    <w:p w14:paraId="6A84D09E" w14:textId="77777777" w:rsidR="000F35BA" w:rsidRPr="001F224B" w:rsidRDefault="000F35BA" w:rsidP="000F35BA">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04443BF5" w14:textId="78541658" w:rsidR="000F35BA" w:rsidRPr="001F224B" w:rsidRDefault="00FA04F8" w:rsidP="00FA04F8">
      <w:pPr>
        <w:pStyle w:val="BodyText3"/>
        <w:tabs>
          <w:tab w:val="clear" w:pos="539"/>
          <w:tab w:val="left" w:pos="567"/>
        </w:tabs>
        <w:spacing w:before="120"/>
        <w:jc w:val="both"/>
        <w:rPr>
          <w:b/>
          <w:bCs/>
          <w:iCs/>
          <w:sz w:val="22"/>
          <w:szCs w:val="22"/>
        </w:rPr>
      </w:pPr>
      <w:r w:rsidRPr="001F224B">
        <w:rPr>
          <w:b/>
          <w:bCs/>
          <w:iCs/>
          <w:sz w:val="22"/>
          <w:szCs w:val="22"/>
        </w:rPr>
        <w:t xml:space="preserve">I.       </w:t>
      </w:r>
      <w:r w:rsidR="000F35BA" w:rsidRPr="001F224B">
        <w:rPr>
          <w:b/>
          <w:bCs/>
          <w:iCs/>
          <w:sz w:val="22"/>
          <w:szCs w:val="22"/>
        </w:rPr>
        <w:t>Konsolide bilançonun aktif hesaplarına ilişkin açıklama ve dipnotlar (Devamı)</w:t>
      </w:r>
    </w:p>
    <w:p w14:paraId="2E063C8A" w14:textId="407B0D5F" w:rsidR="00FA04F8" w:rsidRPr="001F224B" w:rsidRDefault="00FA04F8" w:rsidP="00FA04F8">
      <w:pPr>
        <w:pStyle w:val="BodyText3"/>
        <w:tabs>
          <w:tab w:val="clear" w:pos="539"/>
          <w:tab w:val="left" w:pos="567"/>
        </w:tabs>
        <w:spacing w:before="120"/>
        <w:jc w:val="both"/>
        <w:rPr>
          <w:b/>
          <w:bCs/>
          <w:iCs/>
          <w:sz w:val="22"/>
          <w:szCs w:val="22"/>
        </w:rPr>
      </w:pPr>
      <w:r w:rsidRPr="001F224B">
        <w:rPr>
          <w:b/>
          <w:bCs/>
          <w:iCs/>
          <w:sz w:val="22"/>
          <w:szCs w:val="22"/>
        </w:rPr>
        <w:t xml:space="preserve">4. </w:t>
      </w:r>
      <w:r w:rsidRPr="001F224B">
        <w:rPr>
          <w:b/>
          <w:bCs/>
          <w:iCs/>
          <w:sz w:val="22"/>
          <w:szCs w:val="22"/>
        </w:rPr>
        <w:tab/>
        <w:t>Ortaklık yatırımlarına ilişkin bilgiler (Devamı):</w:t>
      </w:r>
    </w:p>
    <w:p w14:paraId="48BCD176" w14:textId="77777777" w:rsidR="000F35BA" w:rsidRPr="001F224B" w:rsidRDefault="000F35BA" w:rsidP="000F35BA">
      <w:pPr>
        <w:tabs>
          <w:tab w:val="left" w:pos="567"/>
        </w:tabs>
        <w:spacing w:before="120" w:after="120"/>
        <w:jc w:val="both"/>
        <w:rPr>
          <w:b/>
          <w:bCs/>
          <w:snapToGrid w:val="0"/>
          <w:sz w:val="22"/>
          <w:szCs w:val="22"/>
        </w:rPr>
      </w:pPr>
      <w:r w:rsidRPr="001F224B">
        <w:rPr>
          <w:b/>
          <w:bCs/>
          <w:snapToGrid w:val="0"/>
          <w:sz w:val="22"/>
          <w:szCs w:val="22"/>
        </w:rPr>
        <w:t>4.2.</w:t>
      </w:r>
      <w:r w:rsidRPr="001F224B">
        <w:rPr>
          <w:b/>
          <w:bCs/>
          <w:snapToGrid w:val="0"/>
          <w:sz w:val="22"/>
          <w:szCs w:val="22"/>
        </w:rPr>
        <w:tab/>
        <w:t>Bağlı ortaklıklara ilişkin bilgiler (Net) (Devamı):</w:t>
      </w:r>
    </w:p>
    <w:p w14:paraId="11192A41" w14:textId="2DC688D5" w:rsidR="00942396" w:rsidRPr="001F224B" w:rsidRDefault="00942396" w:rsidP="004A7A9E">
      <w:pPr>
        <w:tabs>
          <w:tab w:val="left" w:pos="1276"/>
        </w:tabs>
        <w:ind w:left="280" w:hanging="280"/>
        <w:jc w:val="both"/>
        <w:rPr>
          <w:b/>
          <w:bCs/>
          <w:sz w:val="22"/>
          <w:szCs w:val="22"/>
        </w:rPr>
      </w:pPr>
      <w:r w:rsidRPr="001F224B">
        <w:rPr>
          <w:b/>
          <w:bCs/>
          <w:sz w:val="22"/>
          <w:szCs w:val="22"/>
        </w:rPr>
        <w:t>4.2.</w:t>
      </w:r>
      <w:r w:rsidR="004358A8" w:rsidRPr="001F224B">
        <w:rPr>
          <w:b/>
          <w:bCs/>
          <w:sz w:val="22"/>
          <w:szCs w:val="22"/>
        </w:rPr>
        <w:t>b</w:t>
      </w:r>
      <w:r w:rsidR="009F0770" w:rsidRPr="001F224B">
        <w:rPr>
          <w:b/>
          <w:bCs/>
          <w:sz w:val="22"/>
          <w:szCs w:val="22"/>
        </w:rPr>
        <w:t>)</w:t>
      </w:r>
      <w:r w:rsidR="00044417" w:rsidRPr="001F224B">
        <w:rPr>
          <w:b/>
          <w:bCs/>
          <w:sz w:val="22"/>
          <w:szCs w:val="22"/>
        </w:rPr>
        <w:t xml:space="preserve"> </w:t>
      </w:r>
      <w:r w:rsidR="00417CCA" w:rsidRPr="001F224B">
        <w:rPr>
          <w:b/>
          <w:bCs/>
          <w:sz w:val="22"/>
          <w:szCs w:val="22"/>
        </w:rPr>
        <w:t>Konsolid</w:t>
      </w:r>
      <w:r w:rsidR="00CF7D04" w:rsidRPr="001F224B">
        <w:rPr>
          <w:b/>
          <w:bCs/>
          <w:sz w:val="22"/>
          <w:szCs w:val="22"/>
        </w:rPr>
        <w:t>e e</w:t>
      </w:r>
      <w:r w:rsidR="00417CCA" w:rsidRPr="001F224B">
        <w:rPr>
          <w:b/>
          <w:bCs/>
          <w:sz w:val="22"/>
          <w:szCs w:val="22"/>
        </w:rPr>
        <w:t xml:space="preserve">dilen </w:t>
      </w:r>
      <w:r w:rsidR="00CF7D04" w:rsidRPr="001F224B">
        <w:rPr>
          <w:b/>
          <w:bCs/>
          <w:sz w:val="22"/>
          <w:szCs w:val="22"/>
        </w:rPr>
        <w:t>b</w:t>
      </w:r>
      <w:r w:rsidRPr="001F224B">
        <w:rPr>
          <w:b/>
          <w:bCs/>
          <w:sz w:val="22"/>
          <w:szCs w:val="22"/>
        </w:rPr>
        <w:t xml:space="preserve">ağlı ortaklıklara ilişkin hareket tablosu: </w:t>
      </w:r>
    </w:p>
    <w:p w14:paraId="037C67E7" w14:textId="77777777" w:rsidR="00273667" w:rsidRPr="001F224B" w:rsidRDefault="00273667" w:rsidP="00273667">
      <w:pPr>
        <w:tabs>
          <w:tab w:val="left" w:pos="1276"/>
        </w:tabs>
        <w:jc w:val="both"/>
        <w:rPr>
          <w:b/>
          <w:bCs/>
          <w:sz w:val="8"/>
          <w:szCs w:val="8"/>
        </w:rPr>
      </w:pP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1914"/>
      </w:tblGrid>
      <w:tr w:rsidR="00942396" w:rsidRPr="001F224B" w14:paraId="1786B664" w14:textId="77777777" w:rsidTr="00AE60E1">
        <w:trPr>
          <w:trHeight w:val="227"/>
        </w:trPr>
        <w:tc>
          <w:tcPr>
            <w:tcW w:w="5641" w:type="dxa"/>
            <w:shd w:val="clear" w:color="000000" w:fill="FFFFFF"/>
            <w:noWrap/>
            <w:vAlign w:val="bottom"/>
            <w:hideMark/>
          </w:tcPr>
          <w:p w14:paraId="0D76BD6F" w14:textId="77777777" w:rsidR="00942396" w:rsidRPr="001F224B" w:rsidRDefault="00942396" w:rsidP="006C0F89">
            <w:pPr>
              <w:rPr>
                <w:sz w:val="20"/>
                <w:szCs w:val="20"/>
              </w:rPr>
            </w:pPr>
            <w:r w:rsidRPr="001F224B">
              <w:rPr>
                <w:sz w:val="20"/>
                <w:szCs w:val="20"/>
              </w:rPr>
              <w:t> </w:t>
            </w:r>
          </w:p>
        </w:tc>
        <w:tc>
          <w:tcPr>
            <w:tcW w:w="2184" w:type="dxa"/>
            <w:shd w:val="clear" w:color="000000" w:fill="FFFFFF"/>
            <w:noWrap/>
            <w:vAlign w:val="bottom"/>
            <w:hideMark/>
          </w:tcPr>
          <w:p w14:paraId="5EABBDF5" w14:textId="77777777" w:rsidR="00EC6E5D" w:rsidRPr="001F224B" w:rsidRDefault="00EC6E5D" w:rsidP="00EC6E5D">
            <w:pPr>
              <w:jc w:val="center"/>
              <w:rPr>
                <w:b/>
                <w:bCs/>
                <w:sz w:val="20"/>
                <w:szCs w:val="20"/>
              </w:rPr>
            </w:pPr>
            <w:r w:rsidRPr="001F224B">
              <w:rPr>
                <w:b/>
                <w:bCs/>
                <w:sz w:val="20"/>
                <w:szCs w:val="20"/>
              </w:rPr>
              <w:t xml:space="preserve">Cari Dönem </w:t>
            </w:r>
          </w:p>
          <w:p w14:paraId="0D5D39D9" w14:textId="446B1B26" w:rsidR="00942396" w:rsidRPr="001F224B" w:rsidRDefault="00EC6E5D" w:rsidP="00EC6E5D">
            <w:pPr>
              <w:jc w:val="center"/>
              <w:rPr>
                <w:b/>
                <w:sz w:val="20"/>
                <w:szCs w:val="20"/>
              </w:rPr>
            </w:pPr>
            <w:r w:rsidRPr="001F224B">
              <w:rPr>
                <w:b/>
                <w:bCs/>
                <w:sz w:val="20"/>
                <w:szCs w:val="20"/>
              </w:rPr>
              <w:t>(3</w:t>
            </w:r>
            <w:r w:rsidR="008646F8" w:rsidRPr="001F224B">
              <w:rPr>
                <w:b/>
                <w:bCs/>
                <w:sz w:val="20"/>
                <w:szCs w:val="20"/>
              </w:rPr>
              <w:t>0</w:t>
            </w:r>
            <w:r w:rsidRPr="001F224B">
              <w:rPr>
                <w:b/>
                <w:bCs/>
                <w:sz w:val="20"/>
                <w:szCs w:val="20"/>
              </w:rPr>
              <w:t>.</w:t>
            </w:r>
            <w:r w:rsidR="00CA0ED1" w:rsidRPr="001F224B">
              <w:rPr>
                <w:b/>
                <w:bCs/>
                <w:sz w:val="20"/>
                <w:szCs w:val="20"/>
              </w:rPr>
              <w:t>0</w:t>
            </w:r>
            <w:r w:rsidR="008646F8" w:rsidRPr="001F224B">
              <w:rPr>
                <w:b/>
                <w:bCs/>
                <w:sz w:val="20"/>
                <w:szCs w:val="20"/>
              </w:rPr>
              <w:t>6</w:t>
            </w:r>
            <w:r w:rsidRPr="001F224B">
              <w:rPr>
                <w:b/>
                <w:bCs/>
                <w:sz w:val="20"/>
                <w:szCs w:val="20"/>
              </w:rPr>
              <w:t>.202</w:t>
            </w:r>
            <w:r w:rsidR="00CA0ED1" w:rsidRPr="001F224B">
              <w:rPr>
                <w:b/>
                <w:bCs/>
                <w:sz w:val="20"/>
                <w:szCs w:val="20"/>
              </w:rPr>
              <w:t>5</w:t>
            </w:r>
            <w:r w:rsidRPr="001F224B">
              <w:rPr>
                <w:b/>
                <w:bCs/>
                <w:sz w:val="20"/>
                <w:szCs w:val="20"/>
              </w:rPr>
              <w:t>)</w:t>
            </w:r>
          </w:p>
        </w:tc>
        <w:tc>
          <w:tcPr>
            <w:tcW w:w="1914" w:type="dxa"/>
            <w:shd w:val="clear" w:color="000000" w:fill="FFFFFF"/>
            <w:noWrap/>
            <w:vAlign w:val="bottom"/>
            <w:hideMark/>
          </w:tcPr>
          <w:p w14:paraId="4C80EF08" w14:textId="77777777" w:rsidR="00942396" w:rsidRPr="001F224B" w:rsidRDefault="00942396" w:rsidP="006D56FF">
            <w:pPr>
              <w:jc w:val="center"/>
              <w:rPr>
                <w:b/>
                <w:sz w:val="20"/>
                <w:szCs w:val="20"/>
              </w:rPr>
            </w:pPr>
            <w:r w:rsidRPr="001F224B">
              <w:rPr>
                <w:b/>
                <w:sz w:val="20"/>
                <w:szCs w:val="20"/>
              </w:rPr>
              <w:t>Önceki Dönem</w:t>
            </w:r>
          </w:p>
          <w:p w14:paraId="095EDE66" w14:textId="56EEEC2E" w:rsidR="00942396" w:rsidRPr="001F224B" w:rsidRDefault="00942396" w:rsidP="006D56FF">
            <w:pPr>
              <w:jc w:val="center"/>
              <w:rPr>
                <w:b/>
                <w:sz w:val="20"/>
                <w:szCs w:val="20"/>
              </w:rPr>
            </w:pPr>
            <w:r w:rsidRPr="001F224B">
              <w:rPr>
                <w:b/>
                <w:sz w:val="20"/>
                <w:szCs w:val="20"/>
              </w:rPr>
              <w:t>(31.12.20</w:t>
            </w:r>
            <w:r w:rsidR="00432958" w:rsidRPr="001F224B">
              <w:rPr>
                <w:b/>
                <w:sz w:val="20"/>
                <w:szCs w:val="20"/>
              </w:rPr>
              <w:t>2</w:t>
            </w:r>
            <w:r w:rsidR="00CA0ED1" w:rsidRPr="001F224B">
              <w:rPr>
                <w:b/>
                <w:sz w:val="20"/>
                <w:szCs w:val="20"/>
              </w:rPr>
              <w:t>4</w:t>
            </w:r>
            <w:r w:rsidRPr="001F224B">
              <w:rPr>
                <w:b/>
                <w:sz w:val="20"/>
                <w:szCs w:val="20"/>
              </w:rPr>
              <w:t>)</w:t>
            </w:r>
          </w:p>
        </w:tc>
      </w:tr>
      <w:tr w:rsidR="00B4728A" w:rsidRPr="001F224B" w14:paraId="3222A884" w14:textId="77777777" w:rsidTr="00AE60E1">
        <w:trPr>
          <w:trHeight w:val="227"/>
        </w:trPr>
        <w:tc>
          <w:tcPr>
            <w:tcW w:w="5641" w:type="dxa"/>
            <w:shd w:val="clear" w:color="000000" w:fill="FFFFFF"/>
            <w:vAlign w:val="bottom"/>
            <w:hideMark/>
          </w:tcPr>
          <w:p w14:paraId="260FCACF" w14:textId="2E9745C3" w:rsidR="00B4728A" w:rsidRPr="001F224B" w:rsidRDefault="00B4728A" w:rsidP="00B4728A">
            <w:pPr>
              <w:rPr>
                <w:b/>
                <w:sz w:val="20"/>
                <w:szCs w:val="20"/>
              </w:rPr>
            </w:pPr>
            <w:r w:rsidRPr="001F224B">
              <w:rPr>
                <w:b/>
                <w:sz w:val="20"/>
                <w:szCs w:val="20"/>
              </w:rPr>
              <w:t>Dönem Başı Değeri</w:t>
            </w:r>
          </w:p>
        </w:tc>
        <w:tc>
          <w:tcPr>
            <w:tcW w:w="2184" w:type="dxa"/>
            <w:shd w:val="clear" w:color="auto" w:fill="auto"/>
            <w:noWrap/>
            <w:vAlign w:val="bottom"/>
          </w:tcPr>
          <w:p w14:paraId="46E42EAE" w14:textId="0EAE293C" w:rsidR="00B4728A" w:rsidRPr="001F224B" w:rsidRDefault="00B4728A" w:rsidP="00B4728A">
            <w:pPr>
              <w:jc w:val="right"/>
              <w:rPr>
                <w:b/>
                <w:sz w:val="20"/>
                <w:szCs w:val="20"/>
              </w:rPr>
            </w:pPr>
            <w:r w:rsidRPr="001F224B">
              <w:rPr>
                <w:b/>
                <w:bCs/>
                <w:color w:val="000000"/>
                <w:sz w:val="20"/>
                <w:szCs w:val="20"/>
              </w:rPr>
              <w:t>44.026</w:t>
            </w:r>
          </w:p>
        </w:tc>
        <w:tc>
          <w:tcPr>
            <w:tcW w:w="1914" w:type="dxa"/>
            <w:shd w:val="clear" w:color="auto" w:fill="auto"/>
            <w:noWrap/>
            <w:vAlign w:val="bottom"/>
            <w:hideMark/>
          </w:tcPr>
          <w:p w14:paraId="3ADFADFD" w14:textId="55F33DA8" w:rsidR="00B4728A" w:rsidRPr="001F224B" w:rsidRDefault="00B4728A" w:rsidP="00B4728A">
            <w:pPr>
              <w:jc w:val="right"/>
              <w:rPr>
                <w:b/>
                <w:sz w:val="20"/>
                <w:szCs w:val="20"/>
              </w:rPr>
            </w:pPr>
            <w:r w:rsidRPr="001F224B">
              <w:rPr>
                <w:b/>
                <w:sz w:val="20"/>
                <w:szCs w:val="20"/>
              </w:rPr>
              <w:t>16.746</w:t>
            </w:r>
          </w:p>
        </w:tc>
      </w:tr>
      <w:tr w:rsidR="00B4728A" w:rsidRPr="001F224B" w14:paraId="04515C20" w14:textId="77777777" w:rsidTr="00AE60E1">
        <w:trPr>
          <w:trHeight w:val="227"/>
        </w:trPr>
        <w:tc>
          <w:tcPr>
            <w:tcW w:w="5641" w:type="dxa"/>
            <w:shd w:val="clear" w:color="000000" w:fill="FFFFFF"/>
            <w:vAlign w:val="bottom"/>
            <w:hideMark/>
          </w:tcPr>
          <w:p w14:paraId="76A78F1D" w14:textId="765E758B" w:rsidR="00B4728A" w:rsidRPr="001F224B" w:rsidRDefault="00B4728A" w:rsidP="00B4728A">
            <w:pPr>
              <w:rPr>
                <w:b/>
                <w:sz w:val="20"/>
                <w:szCs w:val="20"/>
              </w:rPr>
            </w:pPr>
            <w:r w:rsidRPr="001F224B">
              <w:rPr>
                <w:b/>
                <w:sz w:val="20"/>
                <w:szCs w:val="20"/>
              </w:rPr>
              <w:t xml:space="preserve">Dönem İçi Hareketler </w:t>
            </w:r>
          </w:p>
        </w:tc>
        <w:tc>
          <w:tcPr>
            <w:tcW w:w="2184" w:type="dxa"/>
            <w:shd w:val="clear" w:color="auto" w:fill="auto"/>
            <w:noWrap/>
            <w:vAlign w:val="bottom"/>
          </w:tcPr>
          <w:p w14:paraId="152A5076" w14:textId="5B5EB751" w:rsidR="00B4728A" w:rsidRPr="001F224B" w:rsidRDefault="00B4728A" w:rsidP="00B4728A">
            <w:pPr>
              <w:jc w:val="right"/>
              <w:rPr>
                <w:b/>
                <w:sz w:val="20"/>
                <w:szCs w:val="20"/>
              </w:rPr>
            </w:pPr>
            <w:r w:rsidRPr="001F224B">
              <w:rPr>
                <w:b/>
                <w:bCs/>
                <w:color w:val="000000"/>
                <w:sz w:val="20"/>
                <w:szCs w:val="20"/>
              </w:rPr>
              <w:t>6.224</w:t>
            </w:r>
          </w:p>
        </w:tc>
        <w:tc>
          <w:tcPr>
            <w:tcW w:w="1914" w:type="dxa"/>
            <w:shd w:val="clear" w:color="auto" w:fill="auto"/>
            <w:noWrap/>
            <w:vAlign w:val="bottom"/>
            <w:hideMark/>
          </w:tcPr>
          <w:p w14:paraId="135D7B56" w14:textId="33C60311" w:rsidR="00B4728A" w:rsidRPr="001F224B" w:rsidRDefault="00B4728A" w:rsidP="00B4728A">
            <w:pPr>
              <w:jc w:val="right"/>
              <w:rPr>
                <w:b/>
                <w:sz w:val="20"/>
                <w:szCs w:val="20"/>
              </w:rPr>
            </w:pPr>
            <w:r w:rsidRPr="001F224B">
              <w:rPr>
                <w:b/>
                <w:sz w:val="20"/>
                <w:szCs w:val="20"/>
              </w:rPr>
              <w:t>27.280</w:t>
            </w:r>
          </w:p>
        </w:tc>
      </w:tr>
      <w:tr w:rsidR="00B4728A" w:rsidRPr="001F224B" w14:paraId="6A96CD3E" w14:textId="77777777" w:rsidTr="00AE60E1">
        <w:trPr>
          <w:trHeight w:val="227"/>
        </w:trPr>
        <w:tc>
          <w:tcPr>
            <w:tcW w:w="5641" w:type="dxa"/>
            <w:shd w:val="clear" w:color="000000" w:fill="FFFFFF"/>
            <w:vAlign w:val="bottom"/>
            <w:hideMark/>
          </w:tcPr>
          <w:p w14:paraId="4047EED9" w14:textId="71E217E1" w:rsidR="00B4728A" w:rsidRPr="001F224B" w:rsidRDefault="00B4728A" w:rsidP="00B4728A">
            <w:pPr>
              <w:ind w:firstLineChars="200" w:firstLine="400"/>
              <w:rPr>
                <w:sz w:val="20"/>
                <w:szCs w:val="20"/>
              </w:rPr>
            </w:pPr>
            <w:r w:rsidRPr="001F224B">
              <w:rPr>
                <w:sz w:val="20"/>
                <w:szCs w:val="20"/>
              </w:rPr>
              <w:t xml:space="preserve">Alışlar </w:t>
            </w:r>
          </w:p>
        </w:tc>
        <w:tc>
          <w:tcPr>
            <w:tcW w:w="2184" w:type="dxa"/>
            <w:shd w:val="clear" w:color="auto" w:fill="auto"/>
            <w:noWrap/>
            <w:vAlign w:val="bottom"/>
          </w:tcPr>
          <w:p w14:paraId="22A2CFA7" w14:textId="5EEC1AF2" w:rsidR="00B4728A" w:rsidRPr="001F224B" w:rsidRDefault="00B4728A" w:rsidP="00B4728A">
            <w:pPr>
              <w:jc w:val="right"/>
              <w:rPr>
                <w:sz w:val="20"/>
                <w:szCs w:val="20"/>
              </w:rPr>
            </w:pPr>
            <w:r w:rsidRPr="001F224B">
              <w:rPr>
                <w:sz w:val="20"/>
                <w:szCs w:val="20"/>
              </w:rPr>
              <w:t>200</w:t>
            </w:r>
          </w:p>
        </w:tc>
        <w:tc>
          <w:tcPr>
            <w:tcW w:w="1914" w:type="dxa"/>
            <w:shd w:val="clear" w:color="auto" w:fill="auto"/>
            <w:noWrap/>
            <w:vAlign w:val="bottom"/>
            <w:hideMark/>
          </w:tcPr>
          <w:p w14:paraId="5B0504D2" w14:textId="4C1158C8" w:rsidR="00B4728A" w:rsidRPr="001F224B" w:rsidRDefault="00B4728A" w:rsidP="00B4728A">
            <w:pPr>
              <w:jc w:val="right"/>
              <w:rPr>
                <w:sz w:val="20"/>
                <w:szCs w:val="20"/>
              </w:rPr>
            </w:pPr>
            <w:r w:rsidRPr="001F224B">
              <w:rPr>
                <w:sz w:val="20"/>
                <w:szCs w:val="20"/>
              </w:rPr>
              <w:t>30.000</w:t>
            </w:r>
          </w:p>
        </w:tc>
      </w:tr>
      <w:tr w:rsidR="00B4728A" w:rsidRPr="001F224B" w14:paraId="317342B2" w14:textId="77777777" w:rsidTr="00AE60E1">
        <w:trPr>
          <w:trHeight w:val="227"/>
        </w:trPr>
        <w:tc>
          <w:tcPr>
            <w:tcW w:w="5641" w:type="dxa"/>
            <w:shd w:val="clear" w:color="000000" w:fill="FFFFFF"/>
            <w:vAlign w:val="bottom"/>
            <w:hideMark/>
          </w:tcPr>
          <w:p w14:paraId="364CC560" w14:textId="3E3FC459" w:rsidR="00B4728A" w:rsidRPr="001F224B" w:rsidRDefault="00B4728A" w:rsidP="00B4728A">
            <w:pPr>
              <w:ind w:firstLineChars="200" w:firstLine="400"/>
              <w:rPr>
                <w:sz w:val="20"/>
                <w:szCs w:val="20"/>
                <w:vertAlign w:val="superscript"/>
              </w:rPr>
            </w:pPr>
            <w:r w:rsidRPr="001F224B">
              <w:rPr>
                <w:sz w:val="20"/>
                <w:szCs w:val="20"/>
              </w:rPr>
              <w:t>Bedelsiz Edinilen Hisse Senetleri</w:t>
            </w:r>
          </w:p>
        </w:tc>
        <w:tc>
          <w:tcPr>
            <w:tcW w:w="2184" w:type="dxa"/>
            <w:shd w:val="clear" w:color="auto" w:fill="auto"/>
            <w:noWrap/>
            <w:vAlign w:val="bottom"/>
          </w:tcPr>
          <w:p w14:paraId="3A3CC566" w14:textId="07F7D634" w:rsidR="00B4728A" w:rsidRPr="001F224B" w:rsidRDefault="00B4728A" w:rsidP="00B4728A">
            <w:pPr>
              <w:jc w:val="right"/>
              <w:rPr>
                <w:sz w:val="20"/>
                <w:szCs w:val="20"/>
              </w:rPr>
            </w:pPr>
            <w:r w:rsidRPr="001F224B">
              <w:rPr>
                <w:color w:val="000000"/>
                <w:sz w:val="20"/>
                <w:szCs w:val="20"/>
              </w:rPr>
              <w:t>-</w:t>
            </w:r>
          </w:p>
        </w:tc>
        <w:tc>
          <w:tcPr>
            <w:tcW w:w="1914" w:type="dxa"/>
            <w:shd w:val="clear" w:color="auto" w:fill="auto"/>
            <w:noWrap/>
            <w:vAlign w:val="bottom"/>
            <w:hideMark/>
          </w:tcPr>
          <w:p w14:paraId="486DA582" w14:textId="039B8562" w:rsidR="00B4728A" w:rsidRPr="001F224B" w:rsidRDefault="00B4728A" w:rsidP="00B4728A">
            <w:pPr>
              <w:jc w:val="right"/>
              <w:rPr>
                <w:sz w:val="20"/>
                <w:szCs w:val="20"/>
              </w:rPr>
            </w:pPr>
            <w:r w:rsidRPr="001F224B">
              <w:rPr>
                <w:sz w:val="20"/>
                <w:szCs w:val="20"/>
              </w:rPr>
              <w:t>-</w:t>
            </w:r>
          </w:p>
        </w:tc>
      </w:tr>
      <w:tr w:rsidR="00B4728A" w:rsidRPr="001F224B" w14:paraId="18FB7E0D" w14:textId="77777777" w:rsidTr="00AE60E1">
        <w:trPr>
          <w:trHeight w:val="227"/>
        </w:trPr>
        <w:tc>
          <w:tcPr>
            <w:tcW w:w="5641" w:type="dxa"/>
            <w:shd w:val="clear" w:color="000000" w:fill="FFFFFF"/>
            <w:vAlign w:val="bottom"/>
            <w:hideMark/>
          </w:tcPr>
          <w:p w14:paraId="2DD271AB" w14:textId="3B15D3F8" w:rsidR="00B4728A" w:rsidRPr="001F224B" w:rsidRDefault="00B4728A" w:rsidP="00B4728A">
            <w:pPr>
              <w:ind w:firstLineChars="200" w:firstLine="400"/>
              <w:rPr>
                <w:sz w:val="20"/>
                <w:szCs w:val="20"/>
              </w:rPr>
            </w:pPr>
            <w:r w:rsidRPr="001F224B">
              <w:rPr>
                <w:sz w:val="20"/>
                <w:szCs w:val="20"/>
              </w:rPr>
              <w:t>Cari Yıl Payından Alınan Kar</w:t>
            </w:r>
          </w:p>
        </w:tc>
        <w:tc>
          <w:tcPr>
            <w:tcW w:w="2184" w:type="dxa"/>
            <w:shd w:val="clear" w:color="auto" w:fill="auto"/>
            <w:noWrap/>
            <w:vAlign w:val="bottom"/>
          </w:tcPr>
          <w:p w14:paraId="7D5F8023" w14:textId="62B5BE39" w:rsidR="00B4728A" w:rsidRPr="001F224B" w:rsidRDefault="00B4728A" w:rsidP="00B4728A">
            <w:pPr>
              <w:jc w:val="right"/>
              <w:rPr>
                <w:sz w:val="20"/>
                <w:szCs w:val="20"/>
              </w:rPr>
            </w:pPr>
            <w:r w:rsidRPr="001F224B">
              <w:rPr>
                <w:color w:val="000000"/>
                <w:sz w:val="20"/>
                <w:szCs w:val="20"/>
              </w:rPr>
              <w:t>-</w:t>
            </w:r>
          </w:p>
        </w:tc>
        <w:tc>
          <w:tcPr>
            <w:tcW w:w="1914" w:type="dxa"/>
            <w:shd w:val="clear" w:color="auto" w:fill="auto"/>
            <w:noWrap/>
            <w:vAlign w:val="bottom"/>
            <w:hideMark/>
          </w:tcPr>
          <w:p w14:paraId="53C3C8CF" w14:textId="65A53913" w:rsidR="00B4728A" w:rsidRPr="001F224B" w:rsidRDefault="00B4728A" w:rsidP="00B4728A">
            <w:pPr>
              <w:jc w:val="right"/>
              <w:rPr>
                <w:sz w:val="20"/>
                <w:szCs w:val="20"/>
              </w:rPr>
            </w:pPr>
            <w:r w:rsidRPr="001F224B">
              <w:rPr>
                <w:sz w:val="20"/>
                <w:szCs w:val="20"/>
              </w:rPr>
              <w:t>-</w:t>
            </w:r>
          </w:p>
        </w:tc>
      </w:tr>
      <w:tr w:rsidR="00B4728A" w:rsidRPr="001F224B" w14:paraId="73DDB695" w14:textId="77777777" w:rsidTr="00AE60E1">
        <w:trPr>
          <w:trHeight w:val="227"/>
        </w:trPr>
        <w:tc>
          <w:tcPr>
            <w:tcW w:w="5641" w:type="dxa"/>
            <w:shd w:val="clear" w:color="000000" w:fill="FFFFFF"/>
            <w:vAlign w:val="bottom"/>
            <w:hideMark/>
          </w:tcPr>
          <w:p w14:paraId="031F6BD4" w14:textId="55C02F9E" w:rsidR="00B4728A" w:rsidRPr="001F224B" w:rsidRDefault="00B4728A" w:rsidP="00B4728A">
            <w:pPr>
              <w:ind w:firstLineChars="200" w:firstLine="400"/>
              <w:rPr>
                <w:sz w:val="20"/>
                <w:szCs w:val="20"/>
              </w:rPr>
            </w:pPr>
            <w:r w:rsidRPr="001F224B">
              <w:rPr>
                <w:sz w:val="20"/>
                <w:szCs w:val="20"/>
              </w:rPr>
              <w:t>Satışlar</w:t>
            </w:r>
          </w:p>
        </w:tc>
        <w:tc>
          <w:tcPr>
            <w:tcW w:w="2184" w:type="dxa"/>
            <w:shd w:val="clear" w:color="auto" w:fill="auto"/>
            <w:noWrap/>
            <w:vAlign w:val="bottom"/>
          </w:tcPr>
          <w:p w14:paraId="677852D8" w14:textId="0EFF2B4D" w:rsidR="00B4728A" w:rsidRPr="001F224B" w:rsidRDefault="00B4728A" w:rsidP="00B4728A">
            <w:pPr>
              <w:jc w:val="right"/>
              <w:rPr>
                <w:sz w:val="20"/>
                <w:szCs w:val="20"/>
              </w:rPr>
            </w:pPr>
            <w:r w:rsidRPr="001F224B">
              <w:rPr>
                <w:color w:val="000000"/>
                <w:sz w:val="20"/>
                <w:szCs w:val="20"/>
              </w:rPr>
              <w:t>-</w:t>
            </w:r>
          </w:p>
        </w:tc>
        <w:tc>
          <w:tcPr>
            <w:tcW w:w="1914" w:type="dxa"/>
            <w:shd w:val="clear" w:color="auto" w:fill="auto"/>
            <w:noWrap/>
            <w:vAlign w:val="bottom"/>
            <w:hideMark/>
          </w:tcPr>
          <w:p w14:paraId="0E0F1678" w14:textId="178A67E4" w:rsidR="00B4728A" w:rsidRPr="001F224B" w:rsidRDefault="00B4728A" w:rsidP="00B4728A">
            <w:pPr>
              <w:jc w:val="right"/>
              <w:rPr>
                <w:sz w:val="20"/>
                <w:szCs w:val="20"/>
              </w:rPr>
            </w:pPr>
            <w:r w:rsidRPr="001F224B">
              <w:rPr>
                <w:sz w:val="20"/>
                <w:szCs w:val="20"/>
              </w:rPr>
              <w:t>-</w:t>
            </w:r>
          </w:p>
        </w:tc>
      </w:tr>
      <w:tr w:rsidR="00B4728A" w:rsidRPr="001F224B" w14:paraId="7C421A25" w14:textId="77777777" w:rsidTr="00AE60E1">
        <w:trPr>
          <w:trHeight w:val="227"/>
        </w:trPr>
        <w:tc>
          <w:tcPr>
            <w:tcW w:w="5641" w:type="dxa"/>
            <w:shd w:val="clear" w:color="000000" w:fill="FFFFFF"/>
            <w:vAlign w:val="bottom"/>
          </w:tcPr>
          <w:p w14:paraId="1BB26CCA" w14:textId="2C4A58D5" w:rsidR="00B4728A" w:rsidRPr="001F224B" w:rsidRDefault="00B4728A" w:rsidP="00B4728A">
            <w:pPr>
              <w:ind w:firstLineChars="200" w:firstLine="400"/>
              <w:rPr>
                <w:sz w:val="20"/>
                <w:szCs w:val="20"/>
              </w:rPr>
            </w:pPr>
            <w:r w:rsidRPr="001F224B">
              <w:rPr>
                <w:sz w:val="20"/>
                <w:szCs w:val="20"/>
              </w:rPr>
              <w:t>Yeniden Değerleme Artışı</w:t>
            </w:r>
          </w:p>
        </w:tc>
        <w:tc>
          <w:tcPr>
            <w:tcW w:w="2184" w:type="dxa"/>
            <w:shd w:val="clear" w:color="auto" w:fill="auto"/>
            <w:noWrap/>
            <w:vAlign w:val="bottom"/>
          </w:tcPr>
          <w:p w14:paraId="27044233" w14:textId="4BD26546" w:rsidR="00B4728A" w:rsidRPr="001F224B" w:rsidRDefault="00B4728A" w:rsidP="00B4728A">
            <w:pPr>
              <w:jc w:val="right"/>
              <w:rPr>
                <w:sz w:val="20"/>
                <w:szCs w:val="20"/>
              </w:rPr>
            </w:pPr>
            <w:r w:rsidRPr="001F224B">
              <w:rPr>
                <w:color w:val="000000"/>
                <w:sz w:val="20"/>
                <w:szCs w:val="20"/>
              </w:rPr>
              <w:t>-</w:t>
            </w:r>
          </w:p>
        </w:tc>
        <w:tc>
          <w:tcPr>
            <w:tcW w:w="1914" w:type="dxa"/>
            <w:shd w:val="clear" w:color="auto" w:fill="auto"/>
            <w:noWrap/>
            <w:vAlign w:val="bottom"/>
          </w:tcPr>
          <w:p w14:paraId="696C5692" w14:textId="75586985" w:rsidR="00B4728A" w:rsidRPr="001F224B" w:rsidRDefault="00B4728A" w:rsidP="00B4728A">
            <w:pPr>
              <w:jc w:val="right"/>
              <w:rPr>
                <w:sz w:val="20"/>
                <w:szCs w:val="20"/>
              </w:rPr>
            </w:pPr>
            <w:r w:rsidRPr="001F224B">
              <w:rPr>
                <w:sz w:val="20"/>
                <w:szCs w:val="20"/>
              </w:rPr>
              <w:t>-</w:t>
            </w:r>
          </w:p>
        </w:tc>
      </w:tr>
      <w:tr w:rsidR="00B4728A" w:rsidRPr="001F224B" w14:paraId="1D756128" w14:textId="77777777" w:rsidTr="00AE60E1">
        <w:trPr>
          <w:trHeight w:val="227"/>
        </w:trPr>
        <w:tc>
          <w:tcPr>
            <w:tcW w:w="5641" w:type="dxa"/>
            <w:shd w:val="clear" w:color="000000" w:fill="FFFFFF"/>
            <w:vAlign w:val="bottom"/>
            <w:hideMark/>
          </w:tcPr>
          <w:p w14:paraId="0EF1E7FE" w14:textId="6E363E4F" w:rsidR="00B4728A" w:rsidRPr="001F224B" w:rsidRDefault="00B4728A" w:rsidP="00B4728A">
            <w:pPr>
              <w:ind w:firstLineChars="200" w:firstLine="400"/>
              <w:rPr>
                <w:sz w:val="20"/>
                <w:szCs w:val="20"/>
              </w:rPr>
            </w:pPr>
            <w:r w:rsidRPr="001F224B">
              <w:rPr>
                <w:sz w:val="20"/>
                <w:szCs w:val="20"/>
              </w:rPr>
              <w:t>Değer Azalma Karşılıkları (-) / Karşılık İptalleri</w:t>
            </w:r>
          </w:p>
        </w:tc>
        <w:tc>
          <w:tcPr>
            <w:tcW w:w="2184" w:type="dxa"/>
            <w:shd w:val="clear" w:color="auto" w:fill="auto"/>
            <w:noWrap/>
            <w:vAlign w:val="bottom"/>
          </w:tcPr>
          <w:p w14:paraId="715DBA23" w14:textId="22970139" w:rsidR="00B4728A" w:rsidRPr="001F224B" w:rsidRDefault="00B4728A" w:rsidP="00B4728A">
            <w:pPr>
              <w:jc w:val="right"/>
              <w:rPr>
                <w:sz w:val="20"/>
                <w:szCs w:val="20"/>
              </w:rPr>
            </w:pPr>
            <w:r w:rsidRPr="001F224B">
              <w:rPr>
                <w:color w:val="000000"/>
                <w:sz w:val="20"/>
                <w:szCs w:val="20"/>
              </w:rPr>
              <w:t>6.024</w:t>
            </w:r>
          </w:p>
        </w:tc>
        <w:tc>
          <w:tcPr>
            <w:tcW w:w="1914" w:type="dxa"/>
            <w:shd w:val="clear" w:color="auto" w:fill="auto"/>
            <w:noWrap/>
            <w:vAlign w:val="bottom"/>
            <w:hideMark/>
          </w:tcPr>
          <w:p w14:paraId="33BAB9C4" w14:textId="1575086F" w:rsidR="00B4728A" w:rsidRPr="001F224B" w:rsidRDefault="00B4728A" w:rsidP="00B4728A">
            <w:pPr>
              <w:jc w:val="right"/>
              <w:rPr>
                <w:sz w:val="20"/>
                <w:szCs w:val="20"/>
              </w:rPr>
            </w:pPr>
            <w:r w:rsidRPr="001F224B">
              <w:rPr>
                <w:sz w:val="20"/>
                <w:szCs w:val="20"/>
              </w:rPr>
              <w:t>(2.720)</w:t>
            </w:r>
          </w:p>
        </w:tc>
      </w:tr>
      <w:tr w:rsidR="00B4728A" w:rsidRPr="001F224B" w14:paraId="4748DF36" w14:textId="77777777" w:rsidTr="00AE60E1">
        <w:trPr>
          <w:trHeight w:val="227"/>
        </w:trPr>
        <w:tc>
          <w:tcPr>
            <w:tcW w:w="5641" w:type="dxa"/>
            <w:shd w:val="clear" w:color="000000" w:fill="FFFFFF"/>
            <w:vAlign w:val="bottom"/>
            <w:hideMark/>
          </w:tcPr>
          <w:p w14:paraId="3B1D03EA" w14:textId="793EDCB2" w:rsidR="00B4728A" w:rsidRPr="001F224B" w:rsidRDefault="00B4728A" w:rsidP="00B4728A">
            <w:pPr>
              <w:ind w:firstLineChars="200" w:firstLine="400"/>
              <w:rPr>
                <w:sz w:val="20"/>
                <w:szCs w:val="20"/>
              </w:rPr>
            </w:pPr>
            <w:r w:rsidRPr="001F224B">
              <w:rPr>
                <w:b/>
                <w:sz w:val="20"/>
                <w:szCs w:val="20"/>
              </w:rPr>
              <w:t>Dönem Sonu Değeri</w:t>
            </w:r>
          </w:p>
        </w:tc>
        <w:tc>
          <w:tcPr>
            <w:tcW w:w="2184" w:type="dxa"/>
            <w:shd w:val="clear" w:color="auto" w:fill="auto"/>
            <w:noWrap/>
            <w:vAlign w:val="bottom"/>
          </w:tcPr>
          <w:p w14:paraId="632BED51" w14:textId="7CDBE547" w:rsidR="00B4728A" w:rsidRPr="001F224B" w:rsidRDefault="00B4728A" w:rsidP="00B4728A">
            <w:pPr>
              <w:jc w:val="right"/>
              <w:rPr>
                <w:sz w:val="20"/>
                <w:szCs w:val="20"/>
              </w:rPr>
            </w:pPr>
            <w:r w:rsidRPr="001F224B">
              <w:rPr>
                <w:b/>
                <w:bCs/>
                <w:color w:val="000000"/>
                <w:sz w:val="20"/>
                <w:szCs w:val="20"/>
              </w:rPr>
              <w:t>50.250</w:t>
            </w:r>
          </w:p>
        </w:tc>
        <w:tc>
          <w:tcPr>
            <w:tcW w:w="1914" w:type="dxa"/>
            <w:shd w:val="clear" w:color="auto" w:fill="auto"/>
            <w:noWrap/>
            <w:vAlign w:val="bottom"/>
            <w:hideMark/>
          </w:tcPr>
          <w:p w14:paraId="273C16F1" w14:textId="06931AC7" w:rsidR="00B4728A" w:rsidRPr="001F224B" w:rsidRDefault="00B4728A" w:rsidP="00B4728A">
            <w:pPr>
              <w:jc w:val="right"/>
              <w:rPr>
                <w:sz w:val="20"/>
                <w:szCs w:val="20"/>
              </w:rPr>
            </w:pPr>
            <w:r w:rsidRPr="001F224B">
              <w:rPr>
                <w:b/>
                <w:sz w:val="20"/>
                <w:szCs w:val="20"/>
              </w:rPr>
              <w:t>44.026</w:t>
            </w:r>
          </w:p>
        </w:tc>
      </w:tr>
      <w:tr w:rsidR="00B4728A" w:rsidRPr="001F224B" w14:paraId="4226DC1E" w14:textId="77777777" w:rsidTr="00AE60E1">
        <w:trPr>
          <w:trHeight w:val="227"/>
        </w:trPr>
        <w:tc>
          <w:tcPr>
            <w:tcW w:w="5641" w:type="dxa"/>
            <w:shd w:val="clear" w:color="000000" w:fill="FFFFFF"/>
            <w:vAlign w:val="bottom"/>
            <w:hideMark/>
          </w:tcPr>
          <w:p w14:paraId="51A7F548" w14:textId="1B116C88" w:rsidR="00B4728A" w:rsidRPr="001F224B" w:rsidRDefault="00B4728A" w:rsidP="00B4728A">
            <w:pPr>
              <w:rPr>
                <w:b/>
                <w:sz w:val="20"/>
                <w:szCs w:val="20"/>
              </w:rPr>
            </w:pPr>
            <w:r w:rsidRPr="001F224B">
              <w:rPr>
                <w:sz w:val="20"/>
                <w:szCs w:val="20"/>
              </w:rPr>
              <w:t>Sermaye Taahhütleri</w:t>
            </w:r>
          </w:p>
        </w:tc>
        <w:tc>
          <w:tcPr>
            <w:tcW w:w="2184" w:type="dxa"/>
            <w:shd w:val="clear" w:color="auto" w:fill="auto"/>
            <w:noWrap/>
            <w:vAlign w:val="bottom"/>
          </w:tcPr>
          <w:p w14:paraId="33799CC1" w14:textId="2E7FA5BC" w:rsidR="00B4728A" w:rsidRPr="001F224B" w:rsidRDefault="00B4728A" w:rsidP="00B4728A">
            <w:pPr>
              <w:jc w:val="right"/>
              <w:rPr>
                <w:b/>
                <w:sz w:val="20"/>
                <w:szCs w:val="20"/>
              </w:rPr>
            </w:pPr>
            <w:r w:rsidRPr="001F224B">
              <w:rPr>
                <w:color w:val="000000"/>
                <w:sz w:val="20"/>
                <w:szCs w:val="20"/>
              </w:rPr>
              <w:t>-</w:t>
            </w:r>
          </w:p>
        </w:tc>
        <w:tc>
          <w:tcPr>
            <w:tcW w:w="1914" w:type="dxa"/>
            <w:shd w:val="clear" w:color="auto" w:fill="auto"/>
            <w:noWrap/>
            <w:vAlign w:val="bottom"/>
            <w:hideMark/>
          </w:tcPr>
          <w:p w14:paraId="5B7F6A88" w14:textId="74EC1CA3" w:rsidR="00B4728A" w:rsidRPr="001F224B" w:rsidRDefault="00B4728A" w:rsidP="00B4728A">
            <w:pPr>
              <w:jc w:val="right"/>
              <w:rPr>
                <w:b/>
                <w:sz w:val="20"/>
                <w:szCs w:val="20"/>
              </w:rPr>
            </w:pPr>
            <w:r w:rsidRPr="001F224B">
              <w:rPr>
                <w:sz w:val="20"/>
                <w:szCs w:val="20"/>
              </w:rPr>
              <w:t>-</w:t>
            </w:r>
          </w:p>
        </w:tc>
      </w:tr>
      <w:tr w:rsidR="00B4728A" w:rsidRPr="001F224B" w14:paraId="1253C429" w14:textId="77777777" w:rsidTr="00AE60E1">
        <w:trPr>
          <w:trHeight w:val="227"/>
        </w:trPr>
        <w:tc>
          <w:tcPr>
            <w:tcW w:w="5641" w:type="dxa"/>
            <w:shd w:val="clear" w:color="000000" w:fill="FFFFFF"/>
            <w:vAlign w:val="bottom"/>
            <w:hideMark/>
          </w:tcPr>
          <w:p w14:paraId="67D73646" w14:textId="14D90EA2" w:rsidR="00B4728A" w:rsidRPr="001F224B" w:rsidRDefault="00B4728A" w:rsidP="00B4728A">
            <w:pPr>
              <w:rPr>
                <w:sz w:val="20"/>
                <w:szCs w:val="20"/>
              </w:rPr>
            </w:pPr>
            <w:r w:rsidRPr="001F224B">
              <w:rPr>
                <w:sz w:val="20"/>
                <w:szCs w:val="20"/>
              </w:rPr>
              <w:t>Dönem Sonu Sermaye Katılma Payı (%)</w:t>
            </w:r>
          </w:p>
        </w:tc>
        <w:tc>
          <w:tcPr>
            <w:tcW w:w="2184" w:type="dxa"/>
            <w:shd w:val="clear" w:color="auto" w:fill="auto"/>
            <w:noWrap/>
            <w:vAlign w:val="bottom"/>
          </w:tcPr>
          <w:p w14:paraId="464A114B" w14:textId="65719EBA" w:rsidR="00B4728A" w:rsidRPr="001F224B" w:rsidRDefault="00B4728A" w:rsidP="00B4728A">
            <w:pPr>
              <w:jc w:val="right"/>
              <w:rPr>
                <w:sz w:val="20"/>
                <w:szCs w:val="20"/>
              </w:rPr>
            </w:pPr>
            <w:r w:rsidRPr="001F224B">
              <w:rPr>
                <w:color w:val="000000"/>
                <w:sz w:val="20"/>
                <w:szCs w:val="20"/>
              </w:rPr>
              <w:t>100</w:t>
            </w:r>
          </w:p>
        </w:tc>
        <w:tc>
          <w:tcPr>
            <w:tcW w:w="1914" w:type="dxa"/>
            <w:shd w:val="clear" w:color="auto" w:fill="auto"/>
            <w:noWrap/>
            <w:vAlign w:val="bottom"/>
            <w:hideMark/>
          </w:tcPr>
          <w:p w14:paraId="2286395F" w14:textId="08394C50" w:rsidR="00B4728A" w:rsidRPr="001F224B" w:rsidRDefault="00B4728A" w:rsidP="00B4728A">
            <w:pPr>
              <w:jc w:val="right"/>
              <w:rPr>
                <w:sz w:val="20"/>
                <w:szCs w:val="20"/>
              </w:rPr>
            </w:pPr>
            <w:r w:rsidRPr="001F224B">
              <w:rPr>
                <w:sz w:val="20"/>
                <w:szCs w:val="20"/>
              </w:rPr>
              <w:t>100</w:t>
            </w:r>
          </w:p>
        </w:tc>
      </w:tr>
    </w:tbl>
    <w:p w14:paraId="4A203091" w14:textId="7C63AD25" w:rsidR="007540C7" w:rsidRPr="001F224B" w:rsidRDefault="0061606E" w:rsidP="00E04D67">
      <w:pPr>
        <w:tabs>
          <w:tab w:val="left" w:pos="567"/>
        </w:tabs>
        <w:spacing w:before="120" w:after="120"/>
        <w:rPr>
          <w:b/>
          <w:bCs/>
          <w:sz w:val="22"/>
          <w:szCs w:val="22"/>
        </w:rPr>
      </w:pPr>
      <w:r w:rsidRPr="001F224B">
        <w:rPr>
          <w:b/>
          <w:bCs/>
          <w:sz w:val="22"/>
          <w:szCs w:val="22"/>
        </w:rPr>
        <w:t>4.2</w:t>
      </w:r>
      <w:r w:rsidR="00536AB4" w:rsidRPr="001F224B">
        <w:rPr>
          <w:b/>
          <w:bCs/>
          <w:sz w:val="22"/>
          <w:szCs w:val="22"/>
        </w:rPr>
        <w:t>.</w:t>
      </w:r>
      <w:r w:rsidR="004358A8" w:rsidRPr="001F224B">
        <w:rPr>
          <w:b/>
          <w:bCs/>
          <w:sz w:val="22"/>
          <w:szCs w:val="22"/>
        </w:rPr>
        <w:t>c</w:t>
      </w:r>
      <w:r w:rsidR="009F0770" w:rsidRPr="001F224B">
        <w:rPr>
          <w:b/>
          <w:bCs/>
          <w:sz w:val="22"/>
          <w:szCs w:val="22"/>
        </w:rPr>
        <w:t>)</w:t>
      </w:r>
      <w:r w:rsidR="007540C7" w:rsidRPr="001F224B">
        <w:rPr>
          <w:b/>
          <w:bCs/>
          <w:sz w:val="22"/>
          <w:szCs w:val="22"/>
        </w:rPr>
        <w:tab/>
      </w:r>
      <w:r w:rsidR="00486FCD" w:rsidRPr="001F224B">
        <w:rPr>
          <w:b/>
          <w:bCs/>
          <w:sz w:val="22"/>
          <w:szCs w:val="22"/>
        </w:rPr>
        <w:t xml:space="preserve">Konsolide </w:t>
      </w:r>
      <w:r w:rsidR="0014284D" w:rsidRPr="001F224B">
        <w:rPr>
          <w:b/>
          <w:bCs/>
          <w:sz w:val="22"/>
          <w:szCs w:val="22"/>
        </w:rPr>
        <w:t>e</w:t>
      </w:r>
      <w:r w:rsidR="00486FCD" w:rsidRPr="001F224B">
        <w:rPr>
          <w:b/>
          <w:bCs/>
          <w:sz w:val="22"/>
          <w:szCs w:val="22"/>
        </w:rPr>
        <w:t xml:space="preserve">dilen </w:t>
      </w:r>
      <w:r w:rsidR="0014284D" w:rsidRPr="001F224B">
        <w:rPr>
          <w:b/>
          <w:bCs/>
          <w:sz w:val="22"/>
          <w:szCs w:val="22"/>
        </w:rPr>
        <w:t>b</w:t>
      </w:r>
      <w:r w:rsidR="007540C7" w:rsidRPr="001F224B">
        <w:rPr>
          <w:b/>
          <w:bCs/>
          <w:sz w:val="22"/>
          <w:szCs w:val="22"/>
        </w:rPr>
        <w:t xml:space="preserve">ağlı ortaklıklara ilişkin sektör bilgileri ve bunlara ilişkin kayıtlı tutarlar: </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7"/>
        <w:gridCol w:w="2226"/>
        <w:gridCol w:w="1886"/>
      </w:tblGrid>
      <w:tr w:rsidR="00536AB4" w:rsidRPr="001F224B" w14:paraId="3B5DB66F" w14:textId="77777777" w:rsidTr="00AE60E1">
        <w:trPr>
          <w:trHeight w:val="227"/>
        </w:trPr>
        <w:tc>
          <w:tcPr>
            <w:tcW w:w="5627" w:type="dxa"/>
            <w:shd w:val="clear" w:color="000000" w:fill="FFFFFF"/>
            <w:noWrap/>
            <w:vAlign w:val="bottom"/>
            <w:hideMark/>
          </w:tcPr>
          <w:p w14:paraId="4FF3FB86" w14:textId="77777777" w:rsidR="00536AB4" w:rsidRPr="001F224B" w:rsidRDefault="00536AB4" w:rsidP="00043C7F">
            <w:pPr>
              <w:rPr>
                <w:sz w:val="20"/>
                <w:szCs w:val="20"/>
              </w:rPr>
            </w:pPr>
            <w:r w:rsidRPr="001F224B">
              <w:rPr>
                <w:sz w:val="20"/>
                <w:szCs w:val="20"/>
              </w:rPr>
              <w:t> </w:t>
            </w:r>
          </w:p>
        </w:tc>
        <w:tc>
          <w:tcPr>
            <w:tcW w:w="2226" w:type="dxa"/>
            <w:shd w:val="clear" w:color="auto" w:fill="auto"/>
            <w:noWrap/>
            <w:vAlign w:val="bottom"/>
            <w:hideMark/>
          </w:tcPr>
          <w:p w14:paraId="1C9689BD" w14:textId="77777777" w:rsidR="00EC6E5D" w:rsidRPr="001F224B" w:rsidRDefault="00EC6E5D" w:rsidP="00EC6E5D">
            <w:pPr>
              <w:jc w:val="center"/>
              <w:rPr>
                <w:b/>
                <w:bCs/>
                <w:sz w:val="20"/>
                <w:szCs w:val="20"/>
              </w:rPr>
            </w:pPr>
            <w:r w:rsidRPr="001F224B">
              <w:rPr>
                <w:b/>
                <w:bCs/>
                <w:sz w:val="20"/>
                <w:szCs w:val="20"/>
              </w:rPr>
              <w:t xml:space="preserve">Cari Dönem </w:t>
            </w:r>
          </w:p>
          <w:p w14:paraId="053BE9A4" w14:textId="59DD9BD5" w:rsidR="00536AB4" w:rsidRPr="001F224B" w:rsidRDefault="00EC6E5D" w:rsidP="00EC6E5D">
            <w:pPr>
              <w:jc w:val="center"/>
              <w:rPr>
                <w:b/>
                <w:sz w:val="20"/>
                <w:szCs w:val="20"/>
              </w:rPr>
            </w:pPr>
            <w:r w:rsidRPr="001F224B">
              <w:rPr>
                <w:b/>
                <w:bCs/>
                <w:sz w:val="20"/>
                <w:szCs w:val="20"/>
              </w:rPr>
              <w:t>(3</w:t>
            </w:r>
            <w:r w:rsidR="00D95510" w:rsidRPr="001F224B">
              <w:rPr>
                <w:b/>
                <w:bCs/>
                <w:sz w:val="20"/>
                <w:szCs w:val="20"/>
              </w:rPr>
              <w:t>0</w:t>
            </w:r>
            <w:r w:rsidRPr="001F224B">
              <w:rPr>
                <w:b/>
                <w:bCs/>
                <w:sz w:val="20"/>
                <w:szCs w:val="20"/>
              </w:rPr>
              <w:t>.</w:t>
            </w:r>
            <w:r w:rsidR="00CA0ED1" w:rsidRPr="001F224B">
              <w:rPr>
                <w:b/>
                <w:bCs/>
                <w:sz w:val="20"/>
                <w:szCs w:val="20"/>
              </w:rPr>
              <w:t>0</w:t>
            </w:r>
            <w:r w:rsidR="00D95510" w:rsidRPr="001F224B">
              <w:rPr>
                <w:b/>
                <w:bCs/>
                <w:sz w:val="20"/>
                <w:szCs w:val="20"/>
              </w:rPr>
              <w:t>6</w:t>
            </w:r>
            <w:r w:rsidRPr="001F224B">
              <w:rPr>
                <w:b/>
                <w:bCs/>
                <w:sz w:val="20"/>
                <w:szCs w:val="20"/>
              </w:rPr>
              <w:t>.202</w:t>
            </w:r>
            <w:r w:rsidR="00CA0ED1" w:rsidRPr="001F224B">
              <w:rPr>
                <w:b/>
                <w:bCs/>
                <w:sz w:val="20"/>
                <w:szCs w:val="20"/>
              </w:rPr>
              <w:t>5</w:t>
            </w:r>
            <w:r w:rsidRPr="001F224B">
              <w:rPr>
                <w:b/>
                <w:bCs/>
                <w:sz w:val="20"/>
                <w:szCs w:val="20"/>
              </w:rPr>
              <w:t>)</w:t>
            </w:r>
          </w:p>
        </w:tc>
        <w:tc>
          <w:tcPr>
            <w:tcW w:w="1886" w:type="dxa"/>
            <w:shd w:val="clear" w:color="000000" w:fill="FFFFFF"/>
            <w:noWrap/>
            <w:vAlign w:val="bottom"/>
            <w:hideMark/>
          </w:tcPr>
          <w:p w14:paraId="667ED9D8" w14:textId="77777777" w:rsidR="00536AB4" w:rsidRPr="001F224B" w:rsidRDefault="00536AB4" w:rsidP="006D56FF">
            <w:pPr>
              <w:jc w:val="center"/>
              <w:rPr>
                <w:b/>
                <w:sz w:val="20"/>
                <w:szCs w:val="20"/>
              </w:rPr>
            </w:pPr>
            <w:r w:rsidRPr="001F224B">
              <w:rPr>
                <w:b/>
                <w:sz w:val="20"/>
                <w:szCs w:val="20"/>
              </w:rPr>
              <w:t>Önceki Dönem</w:t>
            </w:r>
          </w:p>
          <w:p w14:paraId="2B78262F" w14:textId="172599CA" w:rsidR="00536AB4" w:rsidRPr="001F224B" w:rsidRDefault="00536AB4" w:rsidP="006D56FF">
            <w:pPr>
              <w:jc w:val="center"/>
              <w:rPr>
                <w:b/>
                <w:sz w:val="20"/>
                <w:szCs w:val="20"/>
              </w:rPr>
            </w:pPr>
            <w:r w:rsidRPr="001F224B">
              <w:rPr>
                <w:b/>
                <w:sz w:val="20"/>
                <w:szCs w:val="20"/>
              </w:rPr>
              <w:t>(31.12.20</w:t>
            </w:r>
            <w:r w:rsidR="00432958" w:rsidRPr="001F224B">
              <w:rPr>
                <w:b/>
                <w:sz w:val="20"/>
                <w:szCs w:val="20"/>
              </w:rPr>
              <w:t>2</w:t>
            </w:r>
            <w:r w:rsidR="00CA0ED1" w:rsidRPr="001F224B">
              <w:rPr>
                <w:b/>
                <w:sz w:val="20"/>
                <w:szCs w:val="20"/>
              </w:rPr>
              <w:t>4</w:t>
            </w:r>
            <w:r w:rsidRPr="001F224B">
              <w:rPr>
                <w:b/>
                <w:sz w:val="20"/>
                <w:szCs w:val="20"/>
              </w:rPr>
              <w:t>)</w:t>
            </w:r>
          </w:p>
        </w:tc>
      </w:tr>
      <w:tr w:rsidR="00CA0ED1" w:rsidRPr="001F224B" w14:paraId="44971028" w14:textId="77777777" w:rsidTr="00AE60E1">
        <w:trPr>
          <w:trHeight w:val="227"/>
        </w:trPr>
        <w:tc>
          <w:tcPr>
            <w:tcW w:w="5627" w:type="dxa"/>
            <w:shd w:val="clear" w:color="000000" w:fill="FFFFFF"/>
            <w:vAlign w:val="bottom"/>
            <w:hideMark/>
          </w:tcPr>
          <w:p w14:paraId="152CA69B" w14:textId="77777777" w:rsidR="00CA0ED1" w:rsidRPr="001F224B" w:rsidRDefault="00CA0ED1" w:rsidP="00CA0ED1">
            <w:pPr>
              <w:rPr>
                <w:sz w:val="20"/>
                <w:szCs w:val="20"/>
              </w:rPr>
            </w:pPr>
            <w:r w:rsidRPr="001F224B">
              <w:rPr>
                <w:sz w:val="20"/>
                <w:szCs w:val="20"/>
              </w:rPr>
              <w:t xml:space="preserve">Bankalar </w:t>
            </w:r>
          </w:p>
        </w:tc>
        <w:tc>
          <w:tcPr>
            <w:tcW w:w="2226" w:type="dxa"/>
            <w:shd w:val="clear" w:color="auto" w:fill="auto"/>
            <w:vAlign w:val="bottom"/>
            <w:hideMark/>
          </w:tcPr>
          <w:p w14:paraId="6D003976" w14:textId="6FC7D4C9" w:rsidR="00CA0ED1" w:rsidRPr="001F224B" w:rsidRDefault="00CA0ED1" w:rsidP="00CA0ED1">
            <w:pPr>
              <w:jc w:val="right"/>
              <w:rPr>
                <w:sz w:val="20"/>
                <w:szCs w:val="20"/>
              </w:rPr>
            </w:pPr>
            <w:r w:rsidRPr="001F224B">
              <w:rPr>
                <w:sz w:val="20"/>
                <w:szCs w:val="20"/>
              </w:rPr>
              <w:t>-</w:t>
            </w:r>
          </w:p>
        </w:tc>
        <w:tc>
          <w:tcPr>
            <w:tcW w:w="1886" w:type="dxa"/>
            <w:shd w:val="clear" w:color="auto" w:fill="auto"/>
            <w:vAlign w:val="bottom"/>
            <w:hideMark/>
          </w:tcPr>
          <w:p w14:paraId="3CA943B3" w14:textId="5B68CCEF" w:rsidR="00CA0ED1" w:rsidRPr="001F224B" w:rsidRDefault="00CA0ED1" w:rsidP="00CA0ED1">
            <w:pPr>
              <w:jc w:val="right"/>
              <w:rPr>
                <w:sz w:val="20"/>
                <w:szCs w:val="20"/>
              </w:rPr>
            </w:pPr>
            <w:r w:rsidRPr="001F224B">
              <w:rPr>
                <w:sz w:val="20"/>
                <w:szCs w:val="20"/>
              </w:rPr>
              <w:t>-</w:t>
            </w:r>
          </w:p>
        </w:tc>
      </w:tr>
      <w:tr w:rsidR="00CA0ED1" w:rsidRPr="001F224B" w14:paraId="5BF9A153" w14:textId="77777777" w:rsidTr="00AE60E1">
        <w:trPr>
          <w:trHeight w:val="227"/>
        </w:trPr>
        <w:tc>
          <w:tcPr>
            <w:tcW w:w="5627" w:type="dxa"/>
            <w:shd w:val="clear" w:color="000000" w:fill="FFFFFF"/>
            <w:noWrap/>
            <w:vAlign w:val="bottom"/>
            <w:hideMark/>
          </w:tcPr>
          <w:p w14:paraId="7253981C" w14:textId="77777777" w:rsidR="00CA0ED1" w:rsidRPr="001F224B" w:rsidRDefault="00CA0ED1" w:rsidP="00CA0ED1">
            <w:pPr>
              <w:rPr>
                <w:sz w:val="20"/>
                <w:szCs w:val="20"/>
              </w:rPr>
            </w:pPr>
            <w:r w:rsidRPr="001F224B">
              <w:rPr>
                <w:sz w:val="20"/>
                <w:szCs w:val="20"/>
              </w:rPr>
              <w:t>Sigorta Şirketleri</w:t>
            </w:r>
          </w:p>
        </w:tc>
        <w:tc>
          <w:tcPr>
            <w:tcW w:w="2226" w:type="dxa"/>
            <w:shd w:val="clear" w:color="auto" w:fill="auto"/>
            <w:noWrap/>
            <w:vAlign w:val="bottom"/>
            <w:hideMark/>
          </w:tcPr>
          <w:p w14:paraId="0BFF5240" w14:textId="583EADF7" w:rsidR="00CA0ED1" w:rsidRPr="001F224B" w:rsidRDefault="00CA0ED1" w:rsidP="00CA0ED1">
            <w:pPr>
              <w:jc w:val="right"/>
              <w:rPr>
                <w:sz w:val="20"/>
                <w:szCs w:val="20"/>
              </w:rPr>
            </w:pPr>
            <w:r w:rsidRPr="001F224B">
              <w:rPr>
                <w:sz w:val="20"/>
                <w:szCs w:val="20"/>
              </w:rPr>
              <w:t>-</w:t>
            </w:r>
          </w:p>
        </w:tc>
        <w:tc>
          <w:tcPr>
            <w:tcW w:w="1886" w:type="dxa"/>
            <w:shd w:val="clear" w:color="auto" w:fill="auto"/>
            <w:noWrap/>
            <w:vAlign w:val="bottom"/>
            <w:hideMark/>
          </w:tcPr>
          <w:p w14:paraId="5D032043" w14:textId="1021B4D5" w:rsidR="00CA0ED1" w:rsidRPr="001F224B" w:rsidRDefault="00CA0ED1" w:rsidP="00CA0ED1">
            <w:pPr>
              <w:jc w:val="right"/>
              <w:rPr>
                <w:sz w:val="20"/>
                <w:szCs w:val="20"/>
              </w:rPr>
            </w:pPr>
            <w:r w:rsidRPr="001F224B">
              <w:rPr>
                <w:sz w:val="20"/>
                <w:szCs w:val="20"/>
              </w:rPr>
              <w:t>-</w:t>
            </w:r>
          </w:p>
        </w:tc>
      </w:tr>
      <w:tr w:rsidR="00CA0ED1" w:rsidRPr="001F224B" w14:paraId="1A5EFCCB" w14:textId="77777777" w:rsidTr="00AE60E1">
        <w:trPr>
          <w:trHeight w:val="227"/>
        </w:trPr>
        <w:tc>
          <w:tcPr>
            <w:tcW w:w="5627" w:type="dxa"/>
            <w:shd w:val="clear" w:color="000000" w:fill="FFFFFF"/>
            <w:noWrap/>
            <w:vAlign w:val="bottom"/>
            <w:hideMark/>
          </w:tcPr>
          <w:p w14:paraId="12AED814" w14:textId="77777777" w:rsidR="00CA0ED1" w:rsidRPr="001F224B" w:rsidRDefault="00CA0ED1" w:rsidP="00CA0ED1">
            <w:pPr>
              <w:rPr>
                <w:sz w:val="20"/>
                <w:szCs w:val="20"/>
              </w:rPr>
            </w:pPr>
            <w:r w:rsidRPr="001F224B">
              <w:rPr>
                <w:sz w:val="20"/>
                <w:szCs w:val="20"/>
              </w:rPr>
              <w:t>Faktoring Şirketleri</w:t>
            </w:r>
          </w:p>
        </w:tc>
        <w:tc>
          <w:tcPr>
            <w:tcW w:w="2226" w:type="dxa"/>
            <w:shd w:val="clear" w:color="auto" w:fill="auto"/>
            <w:noWrap/>
            <w:vAlign w:val="bottom"/>
            <w:hideMark/>
          </w:tcPr>
          <w:p w14:paraId="58A43275" w14:textId="0932C038" w:rsidR="00CA0ED1" w:rsidRPr="001F224B" w:rsidRDefault="00CA0ED1" w:rsidP="00CA0ED1">
            <w:pPr>
              <w:jc w:val="right"/>
              <w:rPr>
                <w:sz w:val="20"/>
                <w:szCs w:val="20"/>
              </w:rPr>
            </w:pPr>
            <w:r w:rsidRPr="001F224B">
              <w:rPr>
                <w:sz w:val="20"/>
                <w:szCs w:val="20"/>
              </w:rPr>
              <w:t>-</w:t>
            </w:r>
          </w:p>
        </w:tc>
        <w:tc>
          <w:tcPr>
            <w:tcW w:w="1886" w:type="dxa"/>
            <w:shd w:val="clear" w:color="auto" w:fill="auto"/>
            <w:noWrap/>
            <w:vAlign w:val="bottom"/>
            <w:hideMark/>
          </w:tcPr>
          <w:p w14:paraId="2E309F60" w14:textId="7592964D" w:rsidR="00CA0ED1" w:rsidRPr="001F224B" w:rsidRDefault="00CA0ED1" w:rsidP="00CA0ED1">
            <w:pPr>
              <w:jc w:val="right"/>
              <w:rPr>
                <w:sz w:val="20"/>
                <w:szCs w:val="20"/>
              </w:rPr>
            </w:pPr>
            <w:r w:rsidRPr="001F224B">
              <w:rPr>
                <w:sz w:val="20"/>
                <w:szCs w:val="20"/>
              </w:rPr>
              <w:t>-</w:t>
            </w:r>
          </w:p>
        </w:tc>
      </w:tr>
      <w:tr w:rsidR="00CA0ED1" w:rsidRPr="001F224B" w14:paraId="58A4E4B5" w14:textId="77777777" w:rsidTr="00AE60E1">
        <w:trPr>
          <w:trHeight w:val="227"/>
        </w:trPr>
        <w:tc>
          <w:tcPr>
            <w:tcW w:w="5627" w:type="dxa"/>
            <w:shd w:val="clear" w:color="000000" w:fill="FFFFFF"/>
            <w:noWrap/>
            <w:vAlign w:val="bottom"/>
            <w:hideMark/>
          </w:tcPr>
          <w:p w14:paraId="4914C632" w14:textId="77777777" w:rsidR="00CA0ED1" w:rsidRPr="001F224B" w:rsidRDefault="00CA0ED1" w:rsidP="00CA0ED1">
            <w:pPr>
              <w:rPr>
                <w:sz w:val="20"/>
                <w:szCs w:val="20"/>
              </w:rPr>
            </w:pPr>
            <w:r w:rsidRPr="001F224B">
              <w:rPr>
                <w:sz w:val="20"/>
                <w:szCs w:val="20"/>
              </w:rPr>
              <w:t>Leasing Şirketleri</w:t>
            </w:r>
          </w:p>
        </w:tc>
        <w:tc>
          <w:tcPr>
            <w:tcW w:w="2226" w:type="dxa"/>
            <w:shd w:val="clear" w:color="auto" w:fill="auto"/>
            <w:noWrap/>
            <w:vAlign w:val="bottom"/>
            <w:hideMark/>
          </w:tcPr>
          <w:p w14:paraId="3D044CD2" w14:textId="0229385D" w:rsidR="00CA0ED1" w:rsidRPr="001F224B" w:rsidRDefault="00CA0ED1" w:rsidP="00CA0ED1">
            <w:pPr>
              <w:jc w:val="right"/>
              <w:rPr>
                <w:sz w:val="20"/>
                <w:szCs w:val="20"/>
              </w:rPr>
            </w:pPr>
            <w:r w:rsidRPr="001F224B">
              <w:rPr>
                <w:sz w:val="20"/>
                <w:szCs w:val="20"/>
              </w:rPr>
              <w:t>-</w:t>
            </w:r>
          </w:p>
        </w:tc>
        <w:tc>
          <w:tcPr>
            <w:tcW w:w="1886" w:type="dxa"/>
            <w:shd w:val="clear" w:color="auto" w:fill="auto"/>
            <w:noWrap/>
            <w:vAlign w:val="bottom"/>
            <w:hideMark/>
          </w:tcPr>
          <w:p w14:paraId="6903FA44" w14:textId="08558EDC" w:rsidR="00CA0ED1" w:rsidRPr="001F224B" w:rsidRDefault="00CA0ED1" w:rsidP="00CA0ED1">
            <w:pPr>
              <w:jc w:val="right"/>
              <w:rPr>
                <w:sz w:val="20"/>
                <w:szCs w:val="20"/>
              </w:rPr>
            </w:pPr>
            <w:r w:rsidRPr="001F224B">
              <w:rPr>
                <w:sz w:val="20"/>
                <w:szCs w:val="20"/>
              </w:rPr>
              <w:t>-</w:t>
            </w:r>
          </w:p>
        </w:tc>
      </w:tr>
      <w:tr w:rsidR="00CA0ED1" w:rsidRPr="001F224B" w14:paraId="0503FC67" w14:textId="77777777" w:rsidTr="00AE60E1">
        <w:trPr>
          <w:trHeight w:val="227"/>
        </w:trPr>
        <w:tc>
          <w:tcPr>
            <w:tcW w:w="5627" w:type="dxa"/>
            <w:shd w:val="clear" w:color="000000" w:fill="FFFFFF"/>
            <w:noWrap/>
            <w:vAlign w:val="bottom"/>
            <w:hideMark/>
          </w:tcPr>
          <w:p w14:paraId="48E6E412" w14:textId="77777777" w:rsidR="00CA0ED1" w:rsidRPr="001F224B" w:rsidRDefault="00CA0ED1" w:rsidP="00CA0ED1">
            <w:pPr>
              <w:rPr>
                <w:sz w:val="20"/>
                <w:szCs w:val="20"/>
              </w:rPr>
            </w:pPr>
            <w:r w:rsidRPr="001F224B">
              <w:rPr>
                <w:sz w:val="20"/>
                <w:szCs w:val="20"/>
              </w:rPr>
              <w:t>Finansman Şirketleri</w:t>
            </w:r>
          </w:p>
        </w:tc>
        <w:tc>
          <w:tcPr>
            <w:tcW w:w="2226" w:type="dxa"/>
            <w:shd w:val="clear" w:color="auto" w:fill="auto"/>
            <w:noWrap/>
            <w:vAlign w:val="bottom"/>
            <w:hideMark/>
          </w:tcPr>
          <w:p w14:paraId="5CC86B17" w14:textId="5140844A" w:rsidR="00CA0ED1" w:rsidRPr="001F224B" w:rsidRDefault="00CA0ED1" w:rsidP="00CA0ED1">
            <w:pPr>
              <w:jc w:val="right"/>
              <w:rPr>
                <w:sz w:val="20"/>
                <w:szCs w:val="20"/>
              </w:rPr>
            </w:pPr>
            <w:r w:rsidRPr="001F224B">
              <w:rPr>
                <w:sz w:val="20"/>
                <w:szCs w:val="20"/>
              </w:rPr>
              <w:t>-</w:t>
            </w:r>
          </w:p>
        </w:tc>
        <w:tc>
          <w:tcPr>
            <w:tcW w:w="1886" w:type="dxa"/>
            <w:shd w:val="clear" w:color="auto" w:fill="auto"/>
            <w:noWrap/>
            <w:vAlign w:val="bottom"/>
            <w:hideMark/>
          </w:tcPr>
          <w:p w14:paraId="0FC1486B" w14:textId="6987D2AE" w:rsidR="00CA0ED1" w:rsidRPr="001F224B" w:rsidRDefault="00CA0ED1" w:rsidP="00CA0ED1">
            <w:pPr>
              <w:jc w:val="right"/>
              <w:rPr>
                <w:sz w:val="20"/>
                <w:szCs w:val="20"/>
              </w:rPr>
            </w:pPr>
            <w:r w:rsidRPr="001F224B">
              <w:rPr>
                <w:sz w:val="20"/>
                <w:szCs w:val="20"/>
              </w:rPr>
              <w:t>-</w:t>
            </w:r>
          </w:p>
        </w:tc>
      </w:tr>
      <w:tr w:rsidR="00CA0ED1" w:rsidRPr="001F224B" w14:paraId="28AF97CF" w14:textId="77777777" w:rsidTr="00AE60E1">
        <w:trPr>
          <w:trHeight w:val="227"/>
        </w:trPr>
        <w:tc>
          <w:tcPr>
            <w:tcW w:w="5627" w:type="dxa"/>
            <w:shd w:val="clear" w:color="000000" w:fill="FFFFFF"/>
            <w:noWrap/>
            <w:vAlign w:val="bottom"/>
            <w:hideMark/>
          </w:tcPr>
          <w:p w14:paraId="04F6B27F" w14:textId="6C48E79D" w:rsidR="00CA0ED1" w:rsidRPr="001F224B" w:rsidRDefault="00CA0ED1" w:rsidP="00CA0ED1">
            <w:pPr>
              <w:rPr>
                <w:sz w:val="20"/>
                <w:szCs w:val="20"/>
              </w:rPr>
            </w:pPr>
            <w:r w:rsidRPr="001F224B">
              <w:rPr>
                <w:sz w:val="20"/>
                <w:szCs w:val="20"/>
              </w:rPr>
              <w:t>Diğer Mali Bağlı Ortaklıklar</w:t>
            </w:r>
          </w:p>
        </w:tc>
        <w:tc>
          <w:tcPr>
            <w:tcW w:w="2226" w:type="dxa"/>
            <w:shd w:val="clear" w:color="auto" w:fill="auto"/>
            <w:noWrap/>
            <w:vAlign w:val="bottom"/>
            <w:hideMark/>
          </w:tcPr>
          <w:p w14:paraId="072A52A9" w14:textId="5D739DCE" w:rsidR="00CA0ED1" w:rsidRPr="001F224B" w:rsidRDefault="005A7F7C" w:rsidP="00CA0ED1">
            <w:pPr>
              <w:jc w:val="right"/>
              <w:rPr>
                <w:sz w:val="20"/>
                <w:szCs w:val="20"/>
              </w:rPr>
            </w:pPr>
            <w:r w:rsidRPr="001F224B">
              <w:rPr>
                <w:sz w:val="20"/>
                <w:szCs w:val="20"/>
              </w:rPr>
              <w:t>50.</w:t>
            </w:r>
            <w:r w:rsidR="00B4728A" w:rsidRPr="001F224B">
              <w:rPr>
                <w:sz w:val="20"/>
                <w:szCs w:val="20"/>
              </w:rPr>
              <w:t>25</w:t>
            </w:r>
            <w:r w:rsidRPr="001F224B">
              <w:rPr>
                <w:sz w:val="20"/>
                <w:szCs w:val="20"/>
              </w:rPr>
              <w:t>0</w:t>
            </w:r>
          </w:p>
        </w:tc>
        <w:tc>
          <w:tcPr>
            <w:tcW w:w="1886" w:type="dxa"/>
            <w:shd w:val="clear" w:color="auto" w:fill="auto"/>
            <w:noWrap/>
            <w:vAlign w:val="bottom"/>
            <w:hideMark/>
          </w:tcPr>
          <w:p w14:paraId="7DB1CA6C" w14:textId="13A66A81" w:rsidR="00CA0ED1" w:rsidRPr="001F224B" w:rsidRDefault="00CA0ED1" w:rsidP="00CA0ED1">
            <w:pPr>
              <w:jc w:val="right"/>
              <w:rPr>
                <w:sz w:val="20"/>
                <w:szCs w:val="20"/>
              </w:rPr>
            </w:pPr>
            <w:r w:rsidRPr="001F224B">
              <w:rPr>
                <w:sz w:val="20"/>
                <w:szCs w:val="20"/>
              </w:rPr>
              <w:t>44.026</w:t>
            </w:r>
          </w:p>
        </w:tc>
      </w:tr>
    </w:tbl>
    <w:p w14:paraId="3734E938" w14:textId="77777777" w:rsidR="00827F65" w:rsidRPr="001F224B" w:rsidRDefault="00827F65" w:rsidP="00827F65">
      <w:pPr>
        <w:tabs>
          <w:tab w:val="left" w:pos="567"/>
        </w:tabs>
        <w:spacing w:before="120" w:after="120"/>
        <w:rPr>
          <w:b/>
          <w:bCs/>
          <w:sz w:val="22"/>
          <w:szCs w:val="22"/>
        </w:rPr>
      </w:pPr>
      <w:r w:rsidRPr="001F224B">
        <w:rPr>
          <w:b/>
          <w:bCs/>
          <w:sz w:val="22"/>
          <w:szCs w:val="22"/>
        </w:rPr>
        <w:t>4.2.ç)</w:t>
      </w:r>
      <w:r w:rsidRPr="001F224B">
        <w:rPr>
          <w:b/>
          <w:bCs/>
          <w:sz w:val="22"/>
          <w:szCs w:val="22"/>
        </w:rPr>
        <w:tab/>
        <w:t>Borsaya kote edilen bağlı ortaklıklar:</w:t>
      </w:r>
    </w:p>
    <w:p w14:paraId="03E3C78A" w14:textId="77777777" w:rsidR="00827F65" w:rsidRPr="001F224B" w:rsidRDefault="00827F65" w:rsidP="00827F65">
      <w:pPr>
        <w:tabs>
          <w:tab w:val="left" w:pos="567"/>
        </w:tabs>
        <w:spacing w:before="120" w:after="120"/>
        <w:rPr>
          <w:sz w:val="22"/>
          <w:szCs w:val="22"/>
        </w:rPr>
      </w:pPr>
      <w:r w:rsidRPr="001F224B">
        <w:rPr>
          <w:sz w:val="22"/>
          <w:szCs w:val="22"/>
        </w:rPr>
        <w:tab/>
        <w:t>Bulunmamaktadır.</w:t>
      </w:r>
    </w:p>
    <w:p w14:paraId="546AA377" w14:textId="77777777" w:rsidR="00827F65" w:rsidRPr="001F224B" w:rsidRDefault="00827F65" w:rsidP="00827F65">
      <w:pPr>
        <w:pStyle w:val="BodyTextIndent"/>
        <w:tabs>
          <w:tab w:val="left" w:pos="567"/>
        </w:tabs>
        <w:spacing w:before="120" w:after="120"/>
        <w:ind w:firstLine="0"/>
        <w:rPr>
          <w:b/>
          <w:bCs/>
          <w:sz w:val="22"/>
          <w:szCs w:val="22"/>
        </w:rPr>
      </w:pPr>
      <w:r w:rsidRPr="001F224B">
        <w:rPr>
          <w:b/>
          <w:bCs/>
          <w:sz w:val="22"/>
          <w:szCs w:val="22"/>
        </w:rPr>
        <w:t>4.3.</w:t>
      </w:r>
      <w:r w:rsidRPr="001F224B">
        <w:rPr>
          <w:b/>
          <w:bCs/>
          <w:sz w:val="22"/>
          <w:szCs w:val="22"/>
        </w:rPr>
        <w:tab/>
        <w:t>Birlikte kontrol edilen ortaklıklara (iş ortaklıkları) ilişkin bilgiler:</w:t>
      </w:r>
    </w:p>
    <w:p w14:paraId="1A0DFE20" w14:textId="77777777" w:rsidR="00827F65" w:rsidRPr="001F224B" w:rsidRDefault="00827F65" w:rsidP="00827F65">
      <w:pPr>
        <w:pStyle w:val="BodyTextIndent"/>
        <w:tabs>
          <w:tab w:val="left" w:pos="567"/>
        </w:tabs>
        <w:spacing w:before="120" w:after="120"/>
        <w:ind w:firstLine="567"/>
        <w:rPr>
          <w:bCs/>
          <w:noProof/>
          <w:sz w:val="22"/>
          <w:szCs w:val="22"/>
        </w:rPr>
      </w:pPr>
      <w:r w:rsidRPr="001F224B">
        <w:rPr>
          <w:bCs/>
          <w:noProof/>
          <w:sz w:val="22"/>
          <w:szCs w:val="22"/>
        </w:rPr>
        <w:t xml:space="preserve">Ana Ortaklık Banka’nın birlikte kontrol edilen ortaklığı bulunmamaktadır. </w:t>
      </w:r>
    </w:p>
    <w:p w14:paraId="4FB75B0A" w14:textId="46F543DE" w:rsidR="00827F65" w:rsidRPr="001F224B" w:rsidRDefault="00DD0D5F" w:rsidP="00827F65">
      <w:pPr>
        <w:pStyle w:val="BodyTextIndent"/>
        <w:tabs>
          <w:tab w:val="left" w:pos="567"/>
        </w:tabs>
        <w:spacing w:before="120"/>
        <w:ind w:firstLine="0"/>
        <w:rPr>
          <w:b/>
          <w:bCs/>
          <w:sz w:val="22"/>
          <w:szCs w:val="22"/>
        </w:rPr>
      </w:pPr>
      <w:r w:rsidRPr="001F224B">
        <w:rPr>
          <w:b/>
          <w:bCs/>
          <w:sz w:val="22"/>
          <w:szCs w:val="22"/>
        </w:rPr>
        <w:t>5</w:t>
      </w:r>
      <w:r w:rsidR="00827F65" w:rsidRPr="001F224B">
        <w:rPr>
          <w:b/>
          <w:bCs/>
          <w:sz w:val="22"/>
          <w:szCs w:val="22"/>
        </w:rPr>
        <w:t>.</w:t>
      </w:r>
      <w:r w:rsidR="00827F65" w:rsidRPr="001F224B">
        <w:rPr>
          <w:b/>
          <w:bCs/>
          <w:sz w:val="22"/>
          <w:szCs w:val="22"/>
        </w:rPr>
        <w:tab/>
        <w:t>Riskten korunma amaçlı türev finansal varlıklara ilişkin pozitif farklar tablosu:</w:t>
      </w:r>
    </w:p>
    <w:p w14:paraId="482C6ED7" w14:textId="77777777" w:rsidR="00827F65" w:rsidRPr="001F224B" w:rsidRDefault="00827F65" w:rsidP="00827F65">
      <w:pPr>
        <w:pStyle w:val="BodyTextIndent"/>
        <w:tabs>
          <w:tab w:val="left" w:pos="567"/>
        </w:tabs>
        <w:spacing w:before="120"/>
        <w:ind w:firstLine="0"/>
        <w:rPr>
          <w:b/>
          <w:bCs/>
          <w:sz w:val="4"/>
          <w:szCs w:val="4"/>
        </w:rPr>
      </w:pPr>
    </w:p>
    <w:p w14:paraId="6BA510A2" w14:textId="05BCEE5B" w:rsidR="00827F65" w:rsidRPr="001F224B" w:rsidRDefault="00827F65" w:rsidP="00827F65">
      <w:pPr>
        <w:pStyle w:val="NormalWeb"/>
        <w:spacing w:before="0" w:beforeAutospacing="0" w:after="0" w:afterAutospacing="0"/>
        <w:ind w:left="546"/>
        <w:jc w:val="both"/>
        <w:rPr>
          <w:rFonts w:ascii="Times New Roman" w:eastAsia="Times New Roman" w:cs="Times New Roman"/>
          <w:bCs/>
          <w:noProof/>
          <w:sz w:val="22"/>
          <w:szCs w:val="22"/>
          <w:lang w:val="tr-TR" w:eastAsia="tr-TR"/>
        </w:rPr>
      </w:pPr>
      <w:r w:rsidRPr="001F224B">
        <w:rPr>
          <w:rFonts w:ascii="Times New Roman" w:cs="Times New Roman"/>
          <w:sz w:val="22"/>
          <w:szCs w:val="22"/>
          <w:lang w:val="tr-TR"/>
        </w:rPr>
        <w:t xml:space="preserve">Ana Ortaklık </w:t>
      </w:r>
      <w:proofErr w:type="spellStart"/>
      <w:r w:rsidRPr="001F224B">
        <w:rPr>
          <w:rFonts w:ascii="Times New Roman" w:cs="Times New Roman"/>
          <w:sz w:val="22"/>
          <w:szCs w:val="22"/>
          <w:lang w:eastAsia="tr-TR"/>
        </w:rPr>
        <w:t>Banka’nın</w:t>
      </w:r>
      <w:proofErr w:type="spellEnd"/>
      <w:r w:rsidRPr="001F224B">
        <w:rPr>
          <w:rFonts w:ascii="Times New Roman" w:cs="Times New Roman"/>
          <w:sz w:val="22"/>
          <w:szCs w:val="22"/>
          <w:lang w:eastAsia="tr-TR"/>
        </w:rPr>
        <w:t xml:space="preserve"> </w:t>
      </w:r>
      <w:proofErr w:type="spellStart"/>
      <w:r w:rsidRPr="001F224B">
        <w:rPr>
          <w:rFonts w:ascii="Times New Roman" w:cs="Times New Roman"/>
          <w:sz w:val="22"/>
          <w:szCs w:val="22"/>
          <w:lang w:eastAsia="tr-TR"/>
        </w:rPr>
        <w:t>riskten</w:t>
      </w:r>
      <w:proofErr w:type="spellEnd"/>
      <w:r w:rsidRPr="001F224B">
        <w:rPr>
          <w:rFonts w:ascii="Times New Roman" w:cs="Times New Roman"/>
          <w:sz w:val="22"/>
          <w:szCs w:val="22"/>
          <w:lang w:eastAsia="tr-TR"/>
        </w:rPr>
        <w:t xml:space="preserve"> </w:t>
      </w:r>
      <w:proofErr w:type="spellStart"/>
      <w:r w:rsidRPr="001F224B">
        <w:rPr>
          <w:rFonts w:ascii="Times New Roman" w:cs="Times New Roman"/>
          <w:sz w:val="22"/>
          <w:szCs w:val="22"/>
          <w:lang w:eastAsia="tr-TR"/>
        </w:rPr>
        <w:t>korunma</w:t>
      </w:r>
      <w:proofErr w:type="spellEnd"/>
      <w:r w:rsidRPr="001F224B">
        <w:rPr>
          <w:rFonts w:ascii="Times New Roman" w:cs="Times New Roman"/>
          <w:sz w:val="22"/>
          <w:szCs w:val="22"/>
          <w:lang w:eastAsia="tr-TR"/>
        </w:rPr>
        <w:t xml:space="preserve"> </w:t>
      </w:r>
      <w:proofErr w:type="spellStart"/>
      <w:r w:rsidRPr="001F224B">
        <w:rPr>
          <w:rFonts w:ascii="Times New Roman" w:cs="Times New Roman"/>
          <w:sz w:val="22"/>
          <w:szCs w:val="22"/>
          <w:lang w:eastAsia="tr-TR"/>
        </w:rPr>
        <w:t>amaçlı</w:t>
      </w:r>
      <w:proofErr w:type="spellEnd"/>
      <w:r w:rsidRPr="001F224B">
        <w:rPr>
          <w:rFonts w:ascii="Times New Roman" w:cs="Times New Roman"/>
          <w:sz w:val="22"/>
          <w:szCs w:val="22"/>
          <w:lang w:eastAsia="tr-TR"/>
        </w:rPr>
        <w:t xml:space="preserve"> </w:t>
      </w:r>
      <w:proofErr w:type="spellStart"/>
      <w:r w:rsidRPr="001F224B">
        <w:rPr>
          <w:rFonts w:ascii="Times New Roman" w:cs="Times New Roman"/>
          <w:sz w:val="22"/>
          <w:szCs w:val="22"/>
          <w:lang w:eastAsia="tr-TR"/>
        </w:rPr>
        <w:t>türev</w:t>
      </w:r>
      <w:proofErr w:type="spellEnd"/>
      <w:r w:rsidRPr="001F224B">
        <w:rPr>
          <w:rFonts w:ascii="Times New Roman" w:cs="Times New Roman"/>
          <w:sz w:val="22"/>
          <w:szCs w:val="22"/>
          <w:lang w:eastAsia="tr-TR"/>
        </w:rPr>
        <w:t xml:space="preserve"> </w:t>
      </w:r>
      <w:proofErr w:type="spellStart"/>
      <w:r w:rsidRPr="001F224B">
        <w:rPr>
          <w:rFonts w:ascii="Times New Roman" w:cs="Times New Roman"/>
          <w:sz w:val="22"/>
          <w:szCs w:val="22"/>
          <w:lang w:eastAsia="tr-TR"/>
        </w:rPr>
        <w:t>finansal</w:t>
      </w:r>
      <w:proofErr w:type="spellEnd"/>
      <w:r w:rsidRPr="001F224B">
        <w:rPr>
          <w:rFonts w:ascii="Times New Roman" w:cs="Times New Roman"/>
          <w:sz w:val="22"/>
          <w:szCs w:val="22"/>
          <w:lang w:eastAsia="tr-TR"/>
        </w:rPr>
        <w:t xml:space="preserve"> </w:t>
      </w:r>
      <w:proofErr w:type="spellStart"/>
      <w:r w:rsidRPr="001F224B">
        <w:rPr>
          <w:rFonts w:ascii="Times New Roman" w:cs="Times New Roman"/>
          <w:sz w:val="22"/>
          <w:szCs w:val="22"/>
          <w:lang w:eastAsia="tr-TR"/>
        </w:rPr>
        <w:t>aracı</w:t>
      </w:r>
      <w:proofErr w:type="spellEnd"/>
      <w:r w:rsidRPr="001F224B">
        <w:rPr>
          <w:rFonts w:ascii="Times New Roman" w:cs="Times New Roman"/>
          <w:sz w:val="22"/>
          <w:szCs w:val="22"/>
          <w:lang w:eastAsia="tr-TR"/>
        </w:rPr>
        <w:t xml:space="preserve"> bulunmamaktadır</w:t>
      </w:r>
      <w:r w:rsidRPr="001F224B">
        <w:rPr>
          <w:rFonts w:ascii="Times New Roman" w:eastAsia="Times New Roman" w:cs="Times New Roman"/>
          <w:bCs/>
          <w:noProof/>
          <w:sz w:val="22"/>
          <w:szCs w:val="22"/>
          <w:lang w:val="tr-TR" w:eastAsia="tr-TR"/>
        </w:rPr>
        <w:t>.</w:t>
      </w:r>
    </w:p>
    <w:p w14:paraId="3D18BAB4" w14:textId="6AC702CE" w:rsidR="00262636" w:rsidRPr="001F224B" w:rsidRDefault="00262636" w:rsidP="004C0676">
      <w:pPr>
        <w:tabs>
          <w:tab w:val="left" w:pos="567"/>
        </w:tabs>
        <w:spacing w:before="120" w:after="120"/>
        <w:jc w:val="both"/>
        <w:rPr>
          <w:b/>
          <w:bCs/>
          <w:sz w:val="22"/>
          <w:szCs w:val="22"/>
        </w:rPr>
      </w:pPr>
    </w:p>
    <w:p w14:paraId="6FC37991" w14:textId="391B9CB2" w:rsidR="004C0676" w:rsidRPr="001F224B" w:rsidRDefault="004C0676" w:rsidP="004C0676">
      <w:pPr>
        <w:tabs>
          <w:tab w:val="left" w:pos="567"/>
        </w:tabs>
        <w:spacing w:before="120" w:after="120"/>
        <w:jc w:val="both"/>
        <w:rPr>
          <w:b/>
          <w:bCs/>
          <w:sz w:val="22"/>
          <w:szCs w:val="22"/>
        </w:rPr>
      </w:pPr>
    </w:p>
    <w:p w14:paraId="73573D97" w14:textId="74E2BD64" w:rsidR="004C0676" w:rsidRPr="001F224B" w:rsidRDefault="004C0676" w:rsidP="004C0676">
      <w:pPr>
        <w:tabs>
          <w:tab w:val="left" w:pos="567"/>
        </w:tabs>
        <w:spacing w:before="120" w:after="120"/>
        <w:jc w:val="both"/>
        <w:rPr>
          <w:b/>
          <w:bCs/>
          <w:sz w:val="22"/>
          <w:szCs w:val="22"/>
        </w:rPr>
      </w:pPr>
    </w:p>
    <w:p w14:paraId="3988A921" w14:textId="4ACD1DF2" w:rsidR="004C0676" w:rsidRPr="001F224B" w:rsidRDefault="004C0676" w:rsidP="004C0676">
      <w:pPr>
        <w:tabs>
          <w:tab w:val="left" w:pos="567"/>
        </w:tabs>
        <w:spacing w:before="120" w:after="120"/>
        <w:jc w:val="both"/>
        <w:rPr>
          <w:b/>
          <w:bCs/>
          <w:sz w:val="22"/>
          <w:szCs w:val="22"/>
        </w:rPr>
      </w:pPr>
    </w:p>
    <w:p w14:paraId="3A02A747" w14:textId="12D82AE2" w:rsidR="004C0676" w:rsidRPr="001F224B" w:rsidRDefault="004C0676" w:rsidP="004C0676">
      <w:pPr>
        <w:tabs>
          <w:tab w:val="left" w:pos="567"/>
        </w:tabs>
        <w:spacing w:before="120" w:after="120"/>
        <w:jc w:val="both"/>
        <w:rPr>
          <w:b/>
          <w:bCs/>
          <w:sz w:val="22"/>
          <w:szCs w:val="22"/>
        </w:rPr>
      </w:pPr>
    </w:p>
    <w:p w14:paraId="09F1DCA6" w14:textId="1EAA76CB" w:rsidR="004C0676" w:rsidRPr="001F224B" w:rsidRDefault="004C0676" w:rsidP="004C0676">
      <w:pPr>
        <w:tabs>
          <w:tab w:val="left" w:pos="567"/>
        </w:tabs>
        <w:spacing w:before="120" w:after="120"/>
        <w:jc w:val="both"/>
        <w:rPr>
          <w:b/>
          <w:bCs/>
          <w:sz w:val="22"/>
          <w:szCs w:val="22"/>
        </w:rPr>
      </w:pPr>
    </w:p>
    <w:p w14:paraId="0C9BFCDA" w14:textId="573FE606" w:rsidR="004C0676" w:rsidRPr="001F224B" w:rsidRDefault="004C0676" w:rsidP="004C0676">
      <w:pPr>
        <w:tabs>
          <w:tab w:val="left" w:pos="567"/>
        </w:tabs>
        <w:spacing w:before="120" w:after="120"/>
        <w:jc w:val="both"/>
        <w:rPr>
          <w:b/>
          <w:bCs/>
          <w:sz w:val="22"/>
          <w:szCs w:val="22"/>
        </w:rPr>
      </w:pPr>
    </w:p>
    <w:p w14:paraId="4968622D" w14:textId="448B24B3" w:rsidR="004C0676" w:rsidRPr="001F224B" w:rsidRDefault="004C0676" w:rsidP="004C0676">
      <w:pPr>
        <w:tabs>
          <w:tab w:val="left" w:pos="567"/>
        </w:tabs>
        <w:spacing w:before="120" w:after="120"/>
        <w:jc w:val="both"/>
        <w:rPr>
          <w:b/>
          <w:bCs/>
          <w:sz w:val="22"/>
          <w:szCs w:val="22"/>
        </w:rPr>
      </w:pPr>
    </w:p>
    <w:p w14:paraId="290BC464" w14:textId="4379F03E" w:rsidR="004C0676" w:rsidRPr="001F224B" w:rsidRDefault="004C0676" w:rsidP="004C0676">
      <w:pPr>
        <w:tabs>
          <w:tab w:val="left" w:pos="567"/>
        </w:tabs>
        <w:spacing w:before="120" w:after="120"/>
        <w:jc w:val="both"/>
        <w:rPr>
          <w:b/>
          <w:bCs/>
          <w:sz w:val="22"/>
          <w:szCs w:val="22"/>
        </w:rPr>
      </w:pPr>
    </w:p>
    <w:p w14:paraId="3802520A" w14:textId="4C122977" w:rsidR="004C0676" w:rsidRPr="001F224B" w:rsidRDefault="004C0676" w:rsidP="004C0676">
      <w:pPr>
        <w:tabs>
          <w:tab w:val="left" w:pos="567"/>
        </w:tabs>
        <w:spacing w:before="120" w:after="120"/>
        <w:jc w:val="both"/>
        <w:rPr>
          <w:b/>
          <w:bCs/>
          <w:sz w:val="22"/>
          <w:szCs w:val="22"/>
        </w:rPr>
      </w:pPr>
    </w:p>
    <w:p w14:paraId="6FCDA048" w14:textId="3E8AD322" w:rsidR="004C0676" w:rsidRPr="001F224B" w:rsidRDefault="004C0676" w:rsidP="004C0676">
      <w:pPr>
        <w:tabs>
          <w:tab w:val="left" w:pos="567"/>
        </w:tabs>
        <w:spacing w:before="120" w:after="120"/>
        <w:jc w:val="both"/>
        <w:rPr>
          <w:b/>
          <w:bCs/>
          <w:sz w:val="22"/>
          <w:szCs w:val="22"/>
        </w:rPr>
      </w:pPr>
    </w:p>
    <w:p w14:paraId="5604D3BE" w14:textId="77777777" w:rsidR="004C0676" w:rsidRPr="001F224B" w:rsidRDefault="004C0676" w:rsidP="004C0676">
      <w:pPr>
        <w:pStyle w:val="ListParagraph"/>
        <w:tabs>
          <w:tab w:val="left" w:pos="0"/>
        </w:tabs>
        <w:spacing w:before="120" w:after="120"/>
        <w:ind w:left="0"/>
        <w:rPr>
          <w:b/>
          <w:bCs/>
          <w:sz w:val="22"/>
          <w:szCs w:val="22"/>
        </w:rPr>
      </w:pPr>
      <w:r w:rsidRPr="001F224B">
        <w:rPr>
          <w:b/>
          <w:bCs/>
          <w:sz w:val="22"/>
          <w:szCs w:val="22"/>
        </w:rPr>
        <w:t>BEŞİNCİ BÖLÜM (Devamı)</w:t>
      </w:r>
    </w:p>
    <w:p w14:paraId="123C0E65" w14:textId="77777777" w:rsidR="004C0676" w:rsidRPr="001F224B" w:rsidRDefault="004C0676" w:rsidP="004C0676">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25010186" w14:textId="77777777" w:rsidR="004C0676" w:rsidRPr="001F224B" w:rsidRDefault="004C0676" w:rsidP="004C0676">
      <w:pPr>
        <w:pStyle w:val="ListParagraph"/>
        <w:numPr>
          <w:ilvl w:val="6"/>
          <w:numId w:val="38"/>
        </w:numPr>
        <w:ind w:left="567" w:hanging="425"/>
        <w:rPr>
          <w:rFonts w:eastAsia="Arial Unicode MS"/>
          <w:b/>
          <w:bCs/>
          <w:sz w:val="22"/>
          <w:szCs w:val="22"/>
          <w:lang w:eastAsia="en-US"/>
        </w:rPr>
      </w:pPr>
      <w:r w:rsidRPr="001F224B">
        <w:rPr>
          <w:rFonts w:eastAsia="Arial Unicode MS"/>
          <w:b/>
          <w:bCs/>
          <w:sz w:val="22"/>
          <w:szCs w:val="22"/>
          <w:lang w:eastAsia="en-US"/>
        </w:rPr>
        <w:t>Konsolide bilançonun aktif hesaplarına ilişkin açıklama ve dipnotlar (Devamı)</w:t>
      </w:r>
    </w:p>
    <w:p w14:paraId="76FE9143" w14:textId="66916399" w:rsidR="004C0676" w:rsidRPr="001F224B" w:rsidRDefault="004C0676" w:rsidP="004C0676">
      <w:pPr>
        <w:tabs>
          <w:tab w:val="left" w:pos="567"/>
        </w:tabs>
        <w:spacing w:before="120" w:after="120"/>
        <w:jc w:val="both"/>
        <w:rPr>
          <w:b/>
          <w:bCs/>
          <w:sz w:val="22"/>
          <w:szCs w:val="22"/>
        </w:rPr>
      </w:pPr>
      <w:r w:rsidRPr="001F224B">
        <w:rPr>
          <w:b/>
          <w:bCs/>
          <w:sz w:val="22"/>
          <w:szCs w:val="22"/>
        </w:rPr>
        <w:t>6.</w:t>
      </w:r>
      <w:r w:rsidRPr="001F224B">
        <w:rPr>
          <w:b/>
          <w:bCs/>
          <w:sz w:val="22"/>
          <w:szCs w:val="22"/>
        </w:rPr>
        <w:tab/>
        <w:t xml:space="preserve">Maddi duran varlıklara ilişkin açıklamalar: </w:t>
      </w:r>
    </w:p>
    <w:p w14:paraId="2BC39624" w14:textId="77777777" w:rsidR="00CA0ED1" w:rsidRPr="001F224B" w:rsidRDefault="00CA0ED1" w:rsidP="00CA0ED1">
      <w:pPr>
        <w:spacing w:before="120" w:after="120"/>
        <w:ind w:left="567"/>
        <w:jc w:val="both"/>
        <w:rPr>
          <w:sz w:val="22"/>
          <w:szCs w:val="22"/>
        </w:rPr>
      </w:pPr>
      <w:r w:rsidRPr="001F224B">
        <w:rPr>
          <w:sz w:val="22"/>
          <w:szCs w:val="22"/>
        </w:rPr>
        <w:t>Bankalarca Kamuya Açıklanacak Finansal Tablolar ile Bunlara İlişkin Açıklama ve Dipnotlar Hakkında Tebliğ’in 25’inci maddesi uyarınca ara dönemde hazırlanmamıştır.</w:t>
      </w:r>
    </w:p>
    <w:p w14:paraId="1DD21FB4" w14:textId="47C0C370" w:rsidR="004C0676" w:rsidRPr="001F224B" w:rsidRDefault="004C0676" w:rsidP="004C0676">
      <w:pPr>
        <w:tabs>
          <w:tab w:val="left" w:pos="567"/>
        </w:tabs>
        <w:spacing w:before="120" w:after="120"/>
        <w:jc w:val="both"/>
        <w:rPr>
          <w:b/>
          <w:bCs/>
          <w:sz w:val="22"/>
          <w:szCs w:val="22"/>
        </w:rPr>
      </w:pPr>
      <w:r w:rsidRPr="001F224B">
        <w:rPr>
          <w:b/>
          <w:bCs/>
          <w:sz w:val="22"/>
          <w:szCs w:val="22"/>
        </w:rPr>
        <w:t>7.</w:t>
      </w:r>
      <w:r w:rsidRPr="001F224B">
        <w:rPr>
          <w:b/>
          <w:bCs/>
          <w:sz w:val="22"/>
          <w:szCs w:val="22"/>
        </w:rPr>
        <w:tab/>
        <w:t xml:space="preserve">Maddi olmayan duran varlıklara ilişkin açıklamalar: </w:t>
      </w:r>
    </w:p>
    <w:p w14:paraId="2C9936A4" w14:textId="77777777" w:rsidR="00CA0ED1" w:rsidRPr="001F224B" w:rsidRDefault="00CA0ED1" w:rsidP="00CA0ED1">
      <w:pPr>
        <w:spacing w:before="120" w:after="120"/>
        <w:ind w:left="567"/>
        <w:jc w:val="both"/>
        <w:rPr>
          <w:sz w:val="22"/>
          <w:szCs w:val="22"/>
        </w:rPr>
      </w:pPr>
      <w:r w:rsidRPr="001F224B">
        <w:rPr>
          <w:sz w:val="22"/>
          <w:szCs w:val="22"/>
        </w:rPr>
        <w:t>Bankalarca Kamuya Açıklanacak Finansal Tablolar ile Bunlara İlişkin Açıklama ve Dipnotlar Hakkında Tebliğ’in 25’inci maddesi uyarınca ara dönemde hazırlanmamıştır.</w:t>
      </w:r>
    </w:p>
    <w:p w14:paraId="18A2A93B" w14:textId="77777777" w:rsidR="004C0676" w:rsidRPr="001F224B" w:rsidRDefault="004C0676" w:rsidP="004C0676">
      <w:pPr>
        <w:tabs>
          <w:tab w:val="left" w:pos="567"/>
        </w:tabs>
        <w:spacing w:before="120" w:after="120"/>
        <w:jc w:val="both"/>
        <w:rPr>
          <w:b/>
          <w:bCs/>
          <w:sz w:val="22"/>
          <w:szCs w:val="22"/>
        </w:rPr>
      </w:pPr>
      <w:r w:rsidRPr="001F224B">
        <w:rPr>
          <w:b/>
          <w:bCs/>
          <w:sz w:val="22"/>
          <w:szCs w:val="22"/>
        </w:rPr>
        <w:t>8.</w:t>
      </w:r>
      <w:r w:rsidRPr="001F224B">
        <w:rPr>
          <w:b/>
          <w:bCs/>
          <w:sz w:val="22"/>
          <w:szCs w:val="22"/>
        </w:rPr>
        <w:tab/>
        <w:t>Yatırım amaçlı gayrimenkullere ilişkin açıklamalar:</w:t>
      </w:r>
    </w:p>
    <w:p w14:paraId="334307DA" w14:textId="77777777" w:rsidR="004C0676" w:rsidRPr="001F224B" w:rsidRDefault="004C0676" w:rsidP="004C0676">
      <w:pPr>
        <w:spacing w:before="120" w:after="120"/>
        <w:ind w:left="567"/>
        <w:jc w:val="both"/>
        <w:rPr>
          <w:sz w:val="22"/>
          <w:szCs w:val="22"/>
        </w:rPr>
      </w:pPr>
      <w:r w:rsidRPr="001F224B">
        <w:rPr>
          <w:sz w:val="22"/>
          <w:szCs w:val="22"/>
        </w:rPr>
        <w:t>Bulunmamaktadır.</w:t>
      </w:r>
    </w:p>
    <w:p w14:paraId="2D90F600" w14:textId="77777777" w:rsidR="004C0676" w:rsidRPr="001F224B" w:rsidRDefault="004C0676" w:rsidP="004C0676">
      <w:pPr>
        <w:tabs>
          <w:tab w:val="left" w:pos="567"/>
        </w:tabs>
        <w:spacing w:before="120" w:after="120"/>
        <w:jc w:val="both"/>
        <w:rPr>
          <w:b/>
          <w:bCs/>
          <w:color w:val="000000" w:themeColor="text1"/>
          <w:sz w:val="14"/>
          <w:szCs w:val="14"/>
        </w:rPr>
      </w:pPr>
      <w:r w:rsidRPr="001F224B">
        <w:rPr>
          <w:b/>
          <w:bCs/>
          <w:sz w:val="22"/>
          <w:szCs w:val="22"/>
        </w:rPr>
        <w:t>9.</w:t>
      </w:r>
      <w:r w:rsidRPr="001F224B">
        <w:rPr>
          <w:b/>
          <w:bCs/>
          <w:sz w:val="22"/>
          <w:szCs w:val="22"/>
        </w:rPr>
        <w:tab/>
      </w:r>
      <w:r w:rsidRPr="001F224B">
        <w:rPr>
          <w:b/>
          <w:bCs/>
          <w:color w:val="000000" w:themeColor="text1"/>
          <w:sz w:val="22"/>
          <w:szCs w:val="22"/>
        </w:rPr>
        <w:t xml:space="preserve">Cari vergi varlığına ilişkin açıklamalar: </w:t>
      </w:r>
    </w:p>
    <w:p w14:paraId="2D3A17E2" w14:textId="7008A7ED" w:rsidR="004C0676" w:rsidRPr="001F224B" w:rsidRDefault="004C0676" w:rsidP="004C0676">
      <w:pPr>
        <w:pStyle w:val="NormalWeb"/>
        <w:spacing w:before="120" w:beforeAutospacing="0" w:after="0" w:afterAutospacing="0"/>
        <w:ind w:left="567"/>
        <w:jc w:val="both"/>
        <w:rPr>
          <w:rFonts w:ascii="Times New Roman" w:cs="Times New Roman"/>
          <w:sz w:val="22"/>
          <w:szCs w:val="22"/>
          <w:lang w:val="tr-TR"/>
        </w:rPr>
      </w:pPr>
      <w:r w:rsidRPr="001F224B">
        <w:rPr>
          <w:rFonts w:ascii="Times New Roman" w:cs="Times New Roman"/>
          <w:sz w:val="22"/>
          <w:szCs w:val="22"/>
          <w:lang w:val="tr-TR"/>
        </w:rPr>
        <w:t xml:space="preserve">Grup’un cari vergi varlığı </w:t>
      </w:r>
      <w:r w:rsidR="00176CE0" w:rsidRPr="001F224B">
        <w:rPr>
          <w:rFonts w:ascii="Times New Roman" w:cs="Times New Roman"/>
          <w:sz w:val="22"/>
          <w:szCs w:val="22"/>
          <w:lang w:val="tr-TR"/>
        </w:rPr>
        <w:t>2</w:t>
      </w:r>
      <w:r w:rsidRPr="001F224B">
        <w:rPr>
          <w:rFonts w:ascii="Times New Roman" w:cs="Times New Roman"/>
          <w:sz w:val="22"/>
          <w:szCs w:val="22"/>
          <w:lang w:val="tr-TR"/>
        </w:rPr>
        <w:t xml:space="preserve"> TL’dir (31 Aralık 202</w:t>
      </w:r>
      <w:r w:rsidR="008A6067" w:rsidRPr="001F224B">
        <w:rPr>
          <w:rFonts w:ascii="Times New Roman" w:cs="Times New Roman"/>
          <w:sz w:val="22"/>
          <w:szCs w:val="22"/>
          <w:lang w:val="tr-TR"/>
        </w:rPr>
        <w:t>4</w:t>
      </w:r>
      <w:r w:rsidRPr="001F224B">
        <w:rPr>
          <w:rFonts w:ascii="Times New Roman" w:cs="Times New Roman"/>
          <w:sz w:val="22"/>
          <w:szCs w:val="22"/>
          <w:lang w:val="tr-TR"/>
        </w:rPr>
        <w:t xml:space="preserve">: </w:t>
      </w:r>
      <w:r w:rsidR="008A6067" w:rsidRPr="001F224B">
        <w:rPr>
          <w:rFonts w:ascii="Times New Roman" w:cs="Times New Roman"/>
          <w:sz w:val="22"/>
          <w:szCs w:val="22"/>
          <w:lang w:val="tr-TR"/>
        </w:rPr>
        <w:t>9</w:t>
      </w:r>
      <w:r w:rsidRPr="001F224B">
        <w:rPr>
          <w:rFonts w:ascii="Times New Roman" w:cs="Times New Roman"/>
          <w:sz w:val="22"/>
          <w:szCs w:val="22"/>
          <w:lang w:val="tr-TR"/>
        </w:rPr>
        <w:t xml:space="preserve"> TL).</w:t>
      </w:r>
    </w:p>
    <w:p w14:paraId="28B30BF0" w14:textId="77777777" w:rsidR="004C0676" w:rsidRPr="001F224B" w:rsidRDefault="004C0676" w:rsidP="004C0676">
      <w:pPr>
        <w:pStyle w:val="NormalWeb"/>
        <w:spacing w:before="120" w:beforeAutospacing="0" w:after="0" w:afterAutospacing="0"/>
        <w:ind w:left="546"/>
        <w:jc w:val="both"/>
        <w:rPr>
          <w:rFonts w:ascii="Times New Roman" w:cs="Times New Roman"/>
          <w:sz w:val="8"/>
          <w:szCs w:val="8"/>
          <w:lang w:val="tr-TR"/>
        </w:rPr>
      </w:pPr>
    </w:p>
    <w:p w14:paraId="77DDB550" w14:textId="77777777" w:rsidR="004C0676" w:rsidRPr="001F224B" w:rsidRDefault="004C0676" w:rsidP="004C0676">
      <w:pPr>
        <w:pStyle w:val="NormalWeb"/>
        <w:spacing w:before="120" w:beforeAutospacing="0" w:after="0" w:afterAutospacing="0"/>
        <w:ind w:left="546"/>
        <w:jc w:val="both"/>
        <w:rPr>
          <w:rFonts w:ascii="Times New Roman" w:cs="Times New Roman"/>
          <w:sz w:val="8"/>
          <w:szCs w:val="8"/>
          <w:lang w:val="tr-TR"/>
        </w:rPr>
      </w:pPr>
    </w:p>
    <w:p w14:paraId="5770E03A" w14:textId="2056E764" w:rsidR="00FD4EFE" w:rsidRPr="001F224B" w:rsidRDefault="00FD4EFE" w:rsidP="00262636">
      <w:pPr>
        <w:pStyle w:val="NormalWeb"/>
        <w:spacing w:before="120" w:beforeAutospacing="0" w:after="0" w:afterAutospacing="0"/>
        <w:ind w:left="546"/>
        <w:jc w:val="both"/>
        <w:rPr>
          <w:rFonts w:ascii="Times New Roman" w:cs="Times New Roman"/>
          <w:sz w:val="8"/>
          <w:szCs w:val="8"/>
          <w:lang w:val="tr-TR"/>
        </w:rPr>
      </w:pPr>
    </w:p>
    <w:p w14:paraId="40F7A465" w14:textId="77777777" w:rsidR="00FD4EFE" w:rsidRPr="001F224B" w:rsidRDefault="00FD4EFE" w:rsidP="00262636">
      <w:pPr>
        <w:pStyle w:val="NormalWeb"/>
        <w:spacing w:before="120" w:beforeAutospacing="0" w:after="0" w:afterAutospacing="0"/>
        <w:ind w:left="546"/>
        <w:jc w:val="both"/>
        <w:rPr>
          <w:rFonts w:ascii="Times New Roman" w:cs="Times New Roman"/>
          <w:sz w:val="8"/>
          <w:szCs w:val="8"/>
          <w:lang w:val="tr-TR"/>
        </w:rPr>
      </w:pPr>
    </w:p>
    <w:p w14:paraId="091DB779" w14:textId="1EE14BB5" w:rsidR="00AE60E1" w:rsidRPr="001F224B" w:rsidRDefault="00AE60E1">
      <w:pPr>
        <w:rPr>
          <w:rFonts w:eastAsia="Arial Unicode MS"/>
          <w:sz w:val="8"/>
          <w:szCs w:val="8"/>
          <w:lang w:eastAsia="en-US"/>
        </w:rPr>
      </w:pPr>
      <w:r w:rsidRPr="001F224B">
        <w:rPr>
          <w:sz w:val="8"/>
          <w:szCs w:val="8"/>
        </w:rPr>
        <w:br w:type="page"/>
      </w:r>
    </w:p>
    <w:p w14:paraId="7A810DCD" w14:textId="77777777" w:rsidR="0014467C" w:rsidRPr="001F224B" w:rsidRDefault="0014467C" w:rsidP="0014467C">
      <w:pPr>
        <w:pStyle w:val="ListParagraph"/>
        <w:tabs>
          <w:tab w:val="left" w:pos="0"/>
        </w:tabs>
        <w:spacing w:before="120" w:after="120"/>
        <w:ind w:left="0"/>
        <w:rPr>
          <w:b/>
          <w:bCs/>
          <w:sz w:val="22"/>
          <w:szCs w:val="22"/>
        </w:rPr>
      </w:pPr>
      <w:r w:rsidRPr="001F224B">
        <w:rPr>
          <w:b/>
          <w:bCs/>
          <w:sz w:val="22"/>
          <w:szCs w:val="22"/>
        </w:rPr>
        <w:t>BEŞİNCİ BÖLÜM (Devamı)</w:t>
      </w:r>
    </w:p>
    <w:p w14:paraId="43FB6503" w14:textId="77777777" w:rsidR="0014467C" w:rsidRPr="001F224B" w:rsidRDefault="0014467C" w:rsidP="0014467C">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1E5F0187" w14:textId="581C42D3" w:rsidR="0014467C" w:rsidRPr="001F224B" w:rsidRDefault="0014467C" w:rsidP="00DE7F91">
      <w:pPr>
        <w:pStyle w:val="ListParagraph"/>
        <w:numPr>
          <w:ilvl w:val="6"/>
          <w:numId w:val="17"/>
        </w:numPr>
        <w:ind w:left="600" w:hanging="458"/>
        <w:rPr>
          <w:rFonts w:eastAsia="Arial Unicode MS"/>
          <w:b/>
          <w:bCs/>
          <w:sz w:val="22"/>
          <w:szCs w:val="22"/>
          <w:lang w:eastAsia="en-US"/>
        </w:rPr>
      </w:pPr>
      <w:r w:rsidRPr="001F224B">
        <w:rPr>
          <w:rFonts w:eastAsia="Arial Unicode MS"/>
          <w:b/>
          <w:bCs/>
          <w:sz w:val="22"/>
          <w:szCs w:val="22"/>
          <w:lang w:eastAsia="en-US"/>
        </w:rPr>
        <w:t>Konsolide bilançonun aktif hesaplarına ilişkin açıklama ve dipnotlar (Devamı)</w:t>
      </w:r>
    </w:p>
    <w:p w14:paraId="3189CF94" w14:textId="5A8A2EB4" w:rsidR="00FB3481" w:rsidRPr="001F224B" w:rsidRDefault="00FB3481" w:rsidP="0014467C">
      <w:pPr>
        <w:spacing w:before="120"/>
        <w:ind w:left="567" w:hanging="567"/>
        <w:jc w:val="both"/>
        <w:rPr>
          <w:b/>
          <w:bCs/>
          <w:color w:val="000000" w:themeColor="text1"/>
          <w:sz w:val="14"/>
          <w:szCs w:val="14"/>
        </w:rPr>
      </w:pPr>
      <w:r w:rsidRPr="001F224B">
        <w:rPr>
          <w:b/>
          <w:bCs/>
          <w:sz w:val="22"/>
          <w:szCs w:val="22"/>
        </w:rPr>
        <w:t>1</w:t>
      </w:r>
      <w:r w:rsidR="00FD4EFE" w:rsidRPr="001F224B">
        <w:rPr>
          <w:b/>
          <w:bCs/>
          <w:sz w:val="22"/>
          <w:szCs w:val="22"/>
        </w:rPr>
        <w:t>0</w:t>
      </w:r>
      <w:r w:rsidRPr="001F224B">
        <w:rPr>
          <w:b/>
          <w:bCs/>
          <w:sz w:val="22"/>
          <w:szCs w:val="22"/>
        </w:rPr>
        <w:t>.</w:t>
      </w:r>
      <w:r w:rsidRPr="001F224B">
        <w:rPr>
          <w:b/>
          <w:bCs/>
          <w:sz w:val="22"/>
          <w:szCs w:val="22"/>
        </w:rPr>
        <w:tab/>
      </w:r>
      <w:r w:rsidRPr="001F224B">
        <w:rPr>
          <w:b/>
          <w:bCs/>
          <w:color w:val="000000" w:themeColor="text1"/>
          <w:sz w:val="22"/>
          <w:szCs w:val="22"/>
        </w:rPr>
        <w:t xml:space="preserve">Ertelenmiş vergi varlığına ilişkin </w:t>
      </w:r>
      <w:r w:rsidR="00B32BAC" w:rsidRPr="001F224B">
        <w:rPr>
          <w:b/>
          <w:bCs/>
          <w:color w:val="000000" w:themeColor="text1"/>
          <w:sz w:val="22"/>
          <w:szCs w:val="22"/>
        </w:rPr>
        <w:t>açıklamalar:</w:t>
      </w:r>
    </w:p>
    <w:p w14:paraId="0EED4074" w14:textId="68F11211" w:rsidR="00FB3481" w:rsidRPr="001F224B" w:rsidRDefault="00FB3481" w:rsidP="00896727">
      <w:pPr>
        <w:spacing w:before="120" w:after="120"/>
        <w:ind w:left="567"/>
        <w:jc w:val="both"/>
        <w:rPr>
          <w:rFonts w:eastAsia="Arial Unicode MS"/>
          <w:bCs/>
          <w:sz w:val="22"/>
          <w:szCs w:val="22"/>
        </w:rPr>
      </w:pPr>
      <w:r w:rsidRPr="001F224B">
        <w:rPr>
          <w:rFonts w:eastAsia="Arial Unicode MS"/>
          <w:bCs/>
          <w:sz w:val="22"/>
          <w:szCs w:val="22"/>
        </w:rPr>
        <w:t xml:space="preserve">Grup’un </w:t>
      </w:r>
      <w:r w:rsidR="004C0676" w:rsidRPr="001F224B">
        <w:rPr>
          <w:rFonts w:eastAsia="Arial Unicode MS"/>
          <w:bCs/>
          <w:sz w:val="22"/>
          <w:szCs w:val="22"/>
        </w:rPr>
        <w:t>3</w:t>
      </w:r>
      <w:r w:rsidR="00493273" w:rsidRPr="001F224B">
        <w:rPr>
          <w:rFonts w:eastAsia="Arial Unicode MS"/>
          <w:bCs/>
          <w:sz w:val="22"/>
          <w:szCs w:val="22"/>
        </w:rPr>
        <w:t>0</w:t>
      </w:r>
      <w:r w:rsidR="004C0676" w:rsidRPr="001F224B">
        <w:rPr>
          <w:rFonts w:eastAsia="Arial Unicode MS"/>
          <w:bCs/>
          <w:sz w:val="22"/>
          <w:szCs w:val="22"/>
        </w:rPr>
        <w:t xml:space="preserve"> </w:t>
      </w:r>
      <w:r w:rsidR="00493273" w:rsidRPr="001F224B">
        <w:rPr>
          <w:rFonts w:eastAsia="Arial Unicode MS"/>
          <w:bCs/>
          <w:sz w:val="22"/>
          <w:szCs w:val="22"/>
        </w:rPr>
        <w:t>Haziran</w:t>
      </w:r>
      <w:r w:rsidRPr="001F224B">
        <w:rPr>
          <w:rFonts w:eastAsia="Arial Unicode MS"/>
          <w:bCs/>
          <w:sz w:val="22"/>
          <w:szCs w:val="22"/>
        </w:rPr>
        <w:t xml:space="preserve"> 202</w:t>
      </w:r>
      <w:r w:rsidR="008A6067" w:rsidRPr="001F224B">
        <w:rPr>
          <w:rFonts w:eastAsia="Arial Unicode MS"/>
          <w:bCs/>
          <w:sz w:val="22"/>
          <w:szCs w:val="22"/>
        </w:rPr>
        <w:t>5</w:t>
      </w:r>
      <w:r w:rsidRPr="001F224B">
        <w:rPr>
          <w:rFonts w:eastAsia="Arial Unicode MS"/>
          <w:bCs/>
          <w:sz w:val="22"/>
          <w:szCs w:val="22"/>
        </w:rPr>
        <w:t xml:space="preserve"> tarihi itibarıyla </w:t>
      </w:r>
      <w:r w:rsidR="00E92EA1" w:rsidRPr="001F224B">
        <w:rPr>
          <w:rFonts w:eastAsia="Arial Unicode MS"/>
          <w:bCs/>
          <w:sz w:val="22"/>
          <w:szCs w:val="22"/>
        </w:rPr>
        <w:t xml:space="preserve">477.106 </w:t>
      </w:r>
      <w:r w:rsidR="007B2CE1" w:rsidRPr="001F224B">
        <w:rPr>
          <w:rFonts w:eastAsia="Arial Unicode MS"/>
          <w:bCs/>
          <w:sz w:val="22"/>
          <w:szCs w:val="22"/>
        </w:rPr>
        <w:t xml:space="preserve">TL </w:t>
      </w:r>
      <w:r w:rsidRPr="001F224B">
        <w:rPr>
          <w:rFonts w:eastAsia="Arial Unicode MS"/>
          <w:bCs/>
          <w:sz w:val="22"/>
          <w:szCs w:val="22"/>
        </w:rPr>
        <w:t>ertelenmiş vergi varlığı bulunmaktadır</w:t>
      </w:r>
      <w:r w:rsidR="00195791" w:rsidRPr="001F224B">
        <w:rPr>
          <w:rFonts w:eastAsia="Arial Unicode MS"/>
          <w:bCs/>
          <w:sz w:val="22"/>
          <w:szCs w:val="22"/>
        </w:rPr>
        <w:t xml:space="preserve"> </w:t>
      </w:r>
      <w:r w:rsidRPr="001F224B">
        <w:rPr>
          <w:rFonts w:eastAsia="Arial Unicode MS"/>
          <w:bCs/>
          <w:sz w:val="22"/>
          <w:szCs w:val="22"/>
        </w:rPr>
        <w:t>(31 Aralık 202</w:t>
      </w:r>
      <w:r w:rsidR="008A6067" w:rsidRPr="001F224B">
        <w:rPr>
          <w:rFonts w:eastAsia="Arial Unicode MS"/>
          <w:bCs/>
          <w:sz w:val="22"/>
          <w:szCs w:val="22"/>
        </w:rPr>
        <w:t>4</w:t>
      </w:r>
      <w:r w:rsidRPr="001F224B">
        <w:rPr>
          <w:rFonts w:eastAsia="Arial Unicode MS"/>
          <w:bCs/>
          <w:sz w:val="22"/>
          <w:szCs w:val="22"/>
        </w:rPr>
        <w:t xml:space="preserve">: </w:t>
      </w:r>
      <w:r w:rsidR="008A6067" w:rsidRPr="001F224B">
        <w:rPr>
          <w:rFonts w:eastAsia="Arial Unicode MS"/>
          <w:bCs/>
          <w:sz w:val="22"/>
          <w:szCs w:val="22"/>
        </w:rPr>
        <w:t xml:space="preserve">496.144 </w:t>
      </w:r>
      <w:r w:rsidRPr="001F224B">
        <w:rPr>
          <w:rFonts w:eastAsia="Arial Unicode MS"/>
          <w:bCs/>
          <w:sz w:val="22"/>
          <w:szCs w:val="22"/>
        </w:rPr>
        <w:t xml:space="preserve">TL). Söz konusu ertelenmiş vergi varlığı, </w:t>
      </w:r>
      <w:r w:rsidR="00A94BA9" w:rsidRPr="001F224B">
        <w:rPr>
          <w:rFonts w:eastAsia="Arial Unicode MS"/>
          <w:bCs/>
          <w:sz w:val="22"/>
          <w:szCs w:val="22"/>
        </w:rPr>
        <w:t>Grup’un</w:t>
      </w:r>
      <w:r w:rsidRPr="001F224B">
        <w:rPr>
          <w:rFonts w:eastAsia="Arial Unicode MS"/>
          <w:bCs/>
          <w:sz w:val="22"/>
          <w:szCs w:val="22"/>
        </w:rPr>
        <w:t xml:space="preserve">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 olup, </w:t>
      </w:r>
      <w:r w:rsidR="00A94BA9" w:rsidRPr="001F224B">
        <w:rPr>
          <w:rFonts w:eastAsia="Arial Unicode MS"/>
          <w:bCs/>
          <w:sz w:val="22"/>
          <w:szCs w:val="22"/>
        </w:rPr>
        <w:t>Grup’un</w:t>
      </w:r>
      <w:r w:rsidRPr="001F224B">
        <w:rPr>
          <w:rFonts w:eastAsia="Arial Unicode MS"/>
          <w:bCs/>
          <w:sz w:val="22"/>
          <w:szCs w:val="22"/>
        </w:rPr>
        <w:t xml:space="preserve"> </w:t>
      </w:r>
      <w:r w:rsidR="004C0676" w:rsidRPr="001F224B">
        <w:rPr>
          <w:rFonts w:eastAsia="Arial Unicode MS"/>
          <w:bCs/>
          <w:sz w:val="22"/>
          <w:szCs w:val="22"/>
        </w:rPr>
        <w:t>3</w:t>
      </w:r>
      <w:r w:rsidR="00493273" w:rsidRPr="001F224B">
        <w:rPr>
          <w:rFonts w:eastAsia="Arial Unicode MS"/>
          <w:bCs/>
          <w:sz w:val="22"/>
          <w:szCs w:val="22"/>
        </w:rPr>
        <w:t>0</w:t>
      </w:r>
      <w:r w:rsidR="004C0676" w:rsidRPr="001F224B">
        <w:rPr>
          <w:rFonts w:eastAsia="Arial Unicode MS"/>
          <w:bCs/>
          <w:sz w:val="22"/>
          <w:szCs w:val="22"/>
        </w:rPr>
        <w:t xml:space="preserve"> </w:t>
      </w:r>
      <w:r w:rsidR="00493273" w:rsidRPr="001F224B">
        <w:rPr>
          <w:rFonts w:eastAsia="Arial Unicode MS"/>
          <w:bCs/>
          <w:sz w:val="22"/>
          <w:szCs w:val="22"/>
        </w:rPr>
        <w:t>Haziran</w:t>
      </w:r>
      <w:r w:rsidR="004C0676" w:rsidRPr="001F224B">
        <w:rPr>
          <w:rFonts w:eastAsia="Arial Unicode MS"/>
          <w:bCs/>
          <w:sz w:val="22"/>
          <w:szCs w:val="22"/>
        </w:rPr>
        <w:t xml:space="preserve"> </w:t>
      </w:r>
      <w:r w:rsidRPr="001F224B">
        <w:rPr>
          <w:rFonts w:eastAsia="Arial Unicode MS"/>
          <w:bCs/>
          <w:sz w:val="22"/>
          <w:szCs w:val="22"/>
        </w:rPr>
        <w:t>202</w:t>
      </w:r>
      <w:r w:rsidR="008A6067" w:rsidRPr="001F224B">
        <w:rPr>
          <w:rFonts w:eastAsia="Arial Unicode MS"/>
          <w:bCs/>
          <w:sz w:val="22"/>
          <w:szCs w:val="22"/>
        </w:rPr>
        <w:t>5</w:t>
      </w:r>
      <w:r w:rsidRPr="001F224B">
        <w:rPr>
          <w:rFonts w:eastAsia="Arial Unicode MS"/>
          <w:bCs/>
          <w:sz w:val="22"/>
          <w:szCs w:val="22"/>
        </w:rPr>
        <w:t xml:space="preserve"> tarihi itibarıyla dönem zararı veya vergi indirimi üzerinden hesapladığı herhangi bir vergi varlığı bulunmamaktadır (31 Aralık 202</w:t>
      </w:r>
      <w:r w:rsidR="008A6067" w:rsidRPr="001F224B">
        <w:rPr>
          <w:rFonts w:eastAsia="Arial Unicode MS"/>
          <w:bCs/>
          <w:sz w:val="22"/>
          <w:szCs w:val="22"/>
        </w:rPr>
        <w:t>4</w:t>
      </w:r>
      <w:r w:rsidRPr="001F224B">
        <w:rPr>
          <w:rFonts w:eastAsia="Arial Unicode MS"/>
          <w:bCs/>
          <w:sz w:val="22"/>
          <w:szCs w:val="22"/>
        </w:rPr>
        <w:t>: Bulunmamaktadır).</w:t>
      </w:r>
    </w:p>
    <w:tbl>
      <w:tblPr>
        <w:tblW w:w="9739"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5306"/>
        <w:gridCol w:w="2253"/>
        <w:gridCol w:w="2180"/>
      </w:tblGrid>
      <w:tr w:rsidR="006C5451" w:rsidRPr="001F224B" w14:paraId="5F188D27" w14:textId="77777777" w:rsidTr="00AE60E1">
        <w:trPr>
          <w:trHeight w:val="20"/>
        </w:trPr>
        <w:tc>
          <w:tcPr>
            <w:tcW w:w="5306" w:type="dxa"/>
            <w:vMerge w:val="restart"/>
            <w:shd w:val="clear" w:color="auto" w:fill="auto"/>
            <w:noWrap/>
            <w:vAlign w:val="bottom"/>
            <w:hideMark/>
          </w:tcPr>
          <w:p w14:paraId="79401CF0" w14:textId="77777777" w:rsidR="006C5451" w:rsidRPr="001F224B" w:rsidRDefault="006C5451" w:rsidP="004832F6">
            <w:pPr>
              <w:rPr>
                <w:rFonts w:ascii="Arial TUR" w:hAnsi="Arial TUR"/>
                <w:color w:val="FFFFFF"/>
                <w:sz w:val="20"/>
                <w:szCs w:val="20"/>
              </w:rPr>
            </w:pPr>
            <w:bookmarkStart w:id="34" w:name="OLE_LINK4"/>
            <w:r w:rsidRPr="001F224B">
              <w:rPr>
                <w:rFonts w:ascii="Arial TUR" w:hAnsi="Arial TUR"/>
                <w:color w:val="FFFFFF"/>
                <w:sz w:val="20"/>
                <w:szCs w:val="20"/>
              </w:rPr>
              <w:t> </w:t>
            </w:r>
          </w:p>
          <w:p w14:paraId="2BA32BC9" w14:textId="77777777" w:rsidR="006C5451" w:rsidRPr="001F224B" w:rsidRDefault="006C5451" w:rsidP="004832F6">
            <w:pPr>
              <w:rPr>
                <w:rFonts w:ascii="Arial TUR" w:hAnsi="Arial TUR"/>
                <w:color w:val="FFFFFF"/>
                <w:sz w:val="20"/>
                <w:szCs w:val="20"/>
              </w:rPr>
            </w:pPr>
            <w:r w:rsidRPr="001F224B">
              <w:rPr>
                <w:rFonts w:ascii="Calibri" w:hAnsi="Calibri"/>
                <w:color w:val="000000"/>
                <w:sz w:val="22"/>
                <w:szCs w:val="22"/>
              </w:rPr>
              <w:t> </w:t>
            </w:r>
          </w:p>
        </w:tc>
        <w:tc>
          <w:tcPr>
            <w:tcW w:w="2253" w:type="dxa"/>
            <w:tcBorders>
              <w:bottom w:val="nil"/>
            </w:tcBorders>
            <w:shd w:val="clear" w:color="auto" w:fill="auto"/>
            <w:noWrap/>
            <w:vAlign w:val="bottom"/>
            <w:hideMark/>
          </w:tcPr>
          <w:p w14:paraId="2DD37698" w14:textId="77777777" w:rsidR="006C5451" w:rsidRPr="001F224B" w:rsidRDefault="006C5451" w:rsidP="00CB74D8">
            <w:pPr>
              <w:jc w:val="center"/>
              <w:rPr>
                <w:b/>
                <w:bCs/>
                <w:sz w:val="20"/>
                <w:szCs w:val="20"/>
              </w:rPr>
            </w:pPr>
            <w:r w:rsidRPr="001F224B">
              <w:rPr>
                <w:b/>
                <w:bCs/>
                <w:sz w:val="20"/>
                <w:szCs w:val="20"/>
              </w:rPr>
              <w:t>Cari Dönem</w:t>
            </w:r>
          </w:p>
        </w:tc>
        <w:tc>
          <w:tcPr>
            <w:tcW w:w="2180" w:type="dxa"/>
            <w:tcBorders>
              <w:bottom w:val="nil"/>
            </w:tcBorders>
            <w:shd w:val="clear" w:color="auto" w:fill="auto"/>
            <w:noWrap/>
            <w:vAlign w:val="bottom"/>
            <w:hideMark/>
          </w:tcPr>
          <w:p w14:paraId="24795E04" w14:textId="77777777" w:rsidR="006C5451" w:rsidRPr="001F224B" w:rsidRDefault="006C5451" w:rsidP="00CB74D8">
            <w:pPr>
              <w:jc w:val="center"/>
              <w:rPr>
                <w:b/>
                <w:bCs/>
                <w:sz w:val="20"/>
                <w:szCs w:val="20"/>
              </w:rPr>
            </w:pPr>
            <w:r w:rsidRPr="001F224B">
              <w:rPr>
                <w:b/>
                <w:bCs/>
                <w:sz w:val="20"/>
                <w:szCs w:val="20"/>
              </w:rPr>
              <w:t>Önceki Dönem</w:t>
            </w:r>
          </w:p>
        </w:tc>
      </w:tr>
      <w:tr w:rsidR="006C5451" w:rsidRPr="001F224B" w14:paraId="4E2E5827" w14:textId="77777777" w:rsidTr="00AE60E1">
        <w:trPr>
          <w:trHeight w:val="20"/>
        </w:trPr>
        <w:tc>
          <w:tcPr>
            <w:tcW w:w="5306" w:type="dxa"/>
            <w:vMerge/>
            <w:shd w:val="clear" w:color="auto" w:fill="auto"/>
            <w:noWrap/>
            <w:vAlign w:val="bottom"/>
            <w:hideMark/>
          </w:tcPr>
          <w:p w14:paraId="4BEBF8DE" w14:textId="77777777" w:rsidR="006C5451" w:rsidRPr="001F224B" w:rsidRDefault="006C5451" w:rsidP="004832F6">
            <w:pPr>
              <w:rPr>
                <w:rFonts w:ascii="Calibri" w:hAnsi="Calibri"/>
                <w:color w:val="000000"/>
                <w:sz w:val="22"/>
                <w:szCs w:val="22"/>
              </w:rPr>
            </w:pPr>
          </w:p>
        </w:tc>
        <w:tc>
          <w:tcPr>
            <w:tcW w:w="2253" w:type="dxa"/>
            <w:tcBorders>
              <w:top w:val="nil"/>
            </w:tcBorders>
            <w:shd w:val="clear" w:color="auto" w:fill="auto"/>
            <w:noWrap/>
            <w:vAlign w:val="bottom"/>
            <w:hideMark/>
          </w:tcPr>
          <w:p w14:paraId="36B74579" w14:textId="3E5C5342" w:rsidR="006C5451" w:rsidRPr="001F224B" w:rsidRDefault="006C5451" w:rsidP="00CB74D8">
            <w:pPr>
              <w:jc w:val="center"/>
              <w:rPr>
                <w:b/>
                <w:bCs/>
                <w:sz w:val="20"/>
                <w:szCs w:val="20"/>
              </w:rPr>
            </w:pPr>
            <w:r w:rsidRPr="001F224B">
              <w:rPr>
                <w:b/>
                <w:bCs/>
                <w:sz w:val="20"/>
                <w:szCs w:val="20"/>
              </w:rPr>
              <w:t>(3</w:t>
            </w:r>
            <w:r w:rsidR="00493273" w:rsidRPr="001F224B">
              <w:rPr>
                <w:b/>
                <w:bCs/>
                <w:sz w:val="20"/>
                <w:szCs w:val="20"/>
              </w:rPr>
              <w:t>0</w:t>
            </w:r>
            <w:r w:rsidRPr="001F224B">
              <w:rPr>
                <w:b/>
                <w:bCs/>
                <w:sz w:val="20"/>
                <w:szCs w:val="20"/>
              </w:rPr>
              <w:t>.</w:t>
            </w:r>
            <w:r w:rsidR="0050678E" w:rsidRPr="001F224B">
              <w:rPr>
                <w:b/>
                <w:bCs/>
                <w:sz w:val="20"/>
                <w:szCs w:val="20"/>
              </w:rPr>
              <w:t>0</w:t>
            </w:r>
            <w:r w:rsidR="00493273" w:rsidRPr="001F224B">
              <w:rPr>
                <w:b/>
                <w:bCs/>
                <w:sz w:val="20"/>
                <w:szCs w:val="20"/>
              </w:rPr>
              <w:t>6</w:t>
            </w:r>
            <w:r w:rsidRPr="001F224B">
              <w:rPr>
                <w:b/>
                <w:bCs/>
                <w:sz w:val="20"/>
                <w:szCs w:val="20"/>
              </w:rPr>
              <w:t>.202</w:t>
            </w:r>
            <w:r w:rsidR="0050678E" w:rsidRPr="001F224B">
              <w:rPr>
                <w:b/>
                <w:bCs/>
                <w:sz w:val="20"/>
                <w:szCs w:val="20"/>
              </w:rPr>
              <w:t>5</w:t>
            </w:r>
            <w:r w:rsidRPr="001F224B">
              <w:rPr>
                <w:b/>
                <w:bCs/>
                <w:sz w:val="20"/>
                <w:szCs w:val="20"/>
              </w:rPr>
              <w:t>)</w:t>
            </w:r>
          </w:p>
        </w:tc>
        <w:tc>
          <w:tcPr>
            <w:tcW w:w="2180" w:type="dxa"/>
            <w:tcBorders>
              <w:top w:val="nil"/>
            </w:tcBorders>
            <w:shd w:val="clear" w:color="auto" w:fill="auto"/>
            <w:noWrap/>
            <w:vAlign w:val="bottom"/>
            <w:hideMark/>
          </w:tcPr>
          <w:p w14:paraId="2FF11138" w14:textId="371D2D28" w:rsidR="006C5451" w:rsidRPr="001F224B" w:rsidRDefault="006C5451" w:rsidP="00CB74D8">
            <w:pPr>
              <w:jc w:val="center"/>
              <w:rPr>
                <w:b/>
                <w:bCs/>
                <w:sz w:val="20"/>
                <w:szCs w:val="20"/>
              </w:rPr>
            </w:pPr>
            <w:r w:rsidRPr="001F224B">
              <w:rPr>
                <w:b/>
                <w:bCs/>
                <w:sz w:val="20"/>
                <w:szCs w:val="20"/>
              </w:rPr>
              <w:t>(31.12.202</w:t>
            </w:r>
            <w:r w:rsidR="0050678E" w:rsidRPr="001F224B">
              <w:rPr>
                <w:b/>
                <w:bCs/>
                <w:sz w:val="20"/>
                <w:szCs w:val="20"/>
              </w:rPr>
              <w:t>4</w:t>
            </w:r>
            <w:r w:rsidRPr="001F224B">
              <w:rPr>
                <w:b/>
                <w:bCs/>
                <w:sz w:val="20"/>
                <w:szCs w:val="20"/>
              </w:rPr>
              <w:t>)</w:t>
            </w:r>
          </w:p>
        </w:tc>
      </w:tr>
      <w:tr w:rsidR="00346EF6" w:rsidRPr="001F224B" w14:paraId="7324097E" w14:textId="77777777" w:rsidTr="00AE60E1">
        <w:trPr>
          <w:trHeight w:val="20"/>
        </w:trPr>
        <w:tc>
          <w:tcPr>
            <w:tcW w:w="5306" w:type="dxa"/>
            <w:shd w:val="clear" w:color="auto" w:fill="auto"/>
            <w:noWrap/>
            <w:vAlign w:val="bottom"/>
            <w:hideMark/>
          </w:tcPr>
          <w:p w14:paraId="62F89C98" w14:textId="5CFE314B" w:rsidR="00346EF6" w:rsidRPr="001F224B" w:rsidRDefault="00346EF6" w:rsidP="00346EF6">
            <w:pPr>
              <w:rPr>
                <w:b/>
                <w:bCs/>
                <w:sz w:val="20"/>
                <w:szCs w:val="20"/>
              </w:rPr>
            </w:pPr>
            <w:r w:rsidRPr="001F224B">
              <w:rPr>
                <w:b/>
                <w:bCs/>
                <w:sz w:val="20"/>
                <w:szCs w:val="20"/>
              </w:rPr>
              <w:t>Ertelenmiş Vergi Varlığı</w:t>
            </w:r>
          </w:p>
        </w:tc>
        <w:tc>
          <w:tcPr>
            <w:tcW w:w="2253" w:type="dxa"/>
            <w:tcBorders>
              <w:bottom w:val="single" w:sz="4" w:space="0" w:color="auto"/>
            </w:tcBorders>
            <w:shd w:val="clear" w:color="auto" w:fill="auto"/>
            <w:noWrap/>
            <w:vAlign w:val="bottom"/>
            <w:hideMark/>
          </w:tcPr>
          <w:p w14:paraId="769C578B" w14:textId="45F2CF86" w:rsidR="00346EF6" w:rsidRPr="001F224B" w:rsidRDefault="00346EF6" w:rsidP="00346EF6">
            <w:pPr>
              <w:rPr>
                <w:color w:val="000000"/>
                <w:sz w:val="20"/>
                <w:szCs w:val="20"/>
              </w:rPr>
            </w:pPr>
            <w:r w:rsidRPr="001F224B">
              <w:rPr>
                <w:color w:val="000000"/>
                <w:sz w:val="20"/>
                <w:szCs w:val="20"/>
              </w:rPr>
              <w:t> </w:t>
            </w:r>
          </w:p>
        </w:tc>
        <w:tc>
          <w:tcPr>
            <w:tcW w:w="2180" w:type="dxa"/>
            <w:tcBorders>
              <w:bottom w:val="single" w:sz="4" w:space="0" w:color="auto"/>
            </w:tcBorders>
            <w:shd w:val="clear" w:color="auto" w:fill="auto"/>
            <w:noWrap/>
            <w:vAlign w:val="bottom"/>
            <w:hideMark/>
          </w:tcPr>
          <w:p w14:paraId="66D77803" w14:textId="77777777" w:rsidR="00346EF6" w:rsidRPr="001F224B" w:rsidRDefault="00346EF6" w:rsidP="00346EF6">
            <w:pPr>
              <w:jc w:val="right"/>
              <w:rPr>
                <w:color w:val="000000"/>
                <w:sz w:val="20"/>
                <w:szCs w:val="20"/>
              </w:rPr>
            </w:pPr>
            <w:r w:rsidRPr="001F224B">
              <w:rPr>
                <w:color w:val="000000"/>
                <w:sz w:val="20"/>
                <w:szCs w:val="20"/>
              </w:rPr>
              <w:t> </w:t>
            </w:r>
          </w:p>
        </w:tc>
      </w:tr>
      <w:tr w:rsidR="00C866A8" w:rsidRPr="001F224B" w14:paraId="23222058" w14:textId="77777777" w:rsidTr="00C866A8">
        <w:trPr>
          <w:trHeight w:val="20"/>
        </w:trPr>
        <w:tc>
          <w:tcPr>
            <w:tcW w:w="5306" w:type="dxa"/>
            <w:tcBorders>
              <w:right w:val="single" w:sz="4" w:space="0" w:color="auto"/>
            </w:tcBorders>
            <w:shd w:val="clear" w:color="auto" w:fill="auto"/>
            <w:noWrap/>
            <w:vAlign w:val="bottom"/>
          </w:tcPr>
          <w:p w14:paraId="401C7022" w14:textId="76C0958F" w:rsidR="00C866A8" w:rsidRPr="001F224B" w:rsidRDefault="00C866A8" w:rsidP="00C866A8">
            <w:pPr>
              <w:rPr>
                <w:sz w:val="20"/>
                <w:szCs w:val="20"/>
              </w:rPr>
            </w:pPr>
            <w:r w:rsidRPr="001F224B">
              <w:rPr>
                <w:sz w:val="20"/>
                <w:szCs w:val="20"/>
              </w:rPr>
              <w:t>Sabit Kıymetlerin Kayıtlı Değeri ile Vergi Değeri Arasındaki Farklar</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6989A" w14:textId="049E9A62" w:rsidR="00C866A8" w:rsidRPr="001F224B" w:rsidRDefault="00C866A8" w:rsidP="00C866A8">
            <w:pPr>
              <w:jc w:val="right"/>
              <w:rPr>
                <w:sz w:val="20"/>
                <w:szCs w:val="20"/>
              </w:rPr>
            </w:pPr>
            <w:r w:rsidRPr="001F224B">
              <w:rPr>
                <w:sz w:val="20"/>
                <w:szCs w:val="20"/>
              </w:rPr>
              <w:t>28.584</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91406" w14:textId="14256D85" w:rsidR="00C866A8" w:rsidRPr="001F224B" w:rsidRDefault="00C866A8" w:rsidP="00C866A8">
            <w:pPr>
              <w:jc w:val="right"/>
              <w:rPr>
                <w:sz w:val="20"/>
                <w:szCs w:val="20"/>
              </w:rPr>
            </w:pPr>
            <w:r w:rsidRPr="001F224B">
              <w:rPr>
                <w:sz w:val="20"/>
                <w:szCs w:val="20"/>
              </w:rPr>
              <w:t>53.959</w:t>
            </w:r>
          </w:p>
        </w:tc>
      </w:tr>
      <w:tr w:rsidR="00C866A8" w:rsidRPr="001F224B" w14:paraId="75A556DA" w14:textId="77777777" w:rsidTr="00C866A8">
        <w:trPr>
          <w:trHeight w:val="268"/>
        </w:trPr>
        <w:tc>
          <w:tcPr>
            <w:tcW w:w="5306" w:type="dxa"/>
            <w:tcBorders>
              <w:right w:val="single" w:sz="4" w:space="0" w:color="auto"/>
            </w:tcBorders>
            <w:shd w:val="clear" w:color="auto" w:fill="auto"/>
            <w:noWrap/>
            <w:vAlign w:val="bottom"/>
          </w:tcPr>
          <w:p w14:paraId="488D1106" w14:textId="67AF6ACC" w:rsidR="00C866A8" w:rsidRPr="001F224B" w:rsidRDefault="00C866A8" w:rsidP="00C866A8">
            <w:pPr>
              <w:rPr>
                <w:sz w:val="20"/>
                <w:szCs w:val="20"/>
              </w:rPr>
            </w:pPr>
            <w:r w:rsidRPr="001F224B">
              <w:rPr>
                <w:sz w:val="20"/>
                <w:szCs w:val="20"/>
              </w:rPr>
              <w:t>Faiz Reeskontları</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2DC88" w14:textId="1C465335" w:rsidR="00C866A8" w:rsidRPr="001F224B" w:rsidRDefault="00C866A8" w:rsidP="00C866A8">
            <w:pPr>
              <w:jc w:val="right"/>
              <w:rPr>
                <w:sz w:val="20"/>
                <w:szCs w:val="20"/>
              </w:rPr>
            </w:pPr>
            <w:r w:rsidRPr="001F224B">
              <w:rPr>
                <w:sz w:val="20"/>
                <w:szCs w:val="20"/>
              </w:rPr>
              <w: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346F1" w14:textId="14BBA46E" w:rsidR="00C866A8" w:rsidRPr="001F224B" w:rsidRDefault="00C866A8" w:rsidP="00C866A8">
            <w:pPr>
              <w:jc w:val="right"/>
              <w:rPr>
                <w:sz w:val="20"/>
                <w:szCs w:val="20"/>
              </w:rPr>
            </w:pPr>
            <w:r w:rsidRPr="001F224B">
              <w:rPr>
                <w:sz w:val="20"/>
                <w:szCs w:val="20"/>
              </w:rPr>
              <w:t>2.833</w:t>
            </w:r>
          </w:p>
        </w:tc>
      </w:tr>
      <w:tr w:rsidR="00C866A8" w:rsidRPr="001F224B" w14:paraId="70C41BC0" w14:textId="77777777" w:rsidTr="00C866A8">
        <w:trPr>
          <w:trHeight w:val="268"/>
        </w:trPr>
        <w:tc>
          <w:tcPr>
            <w:tcW w:w="5306" w:type="dxa"/>
            <w:tcBorders>
              <w:right w:val="single" w:sz="4" w:space="0" w:color="auto"/>
            </w:tcBorders>
            <w:shd w:val="clear" w:color="auto" w:fill="auto"/>
            <w:noWrap/>
            <w:vAlign w:val="bottom"/>
            <w:hideMark/>
          </w:tcPr>
          <w:p w14:paraId="6301D816" w14:textId="2C4FA898" w:rsidR="00C866A8" w:rsidRPr="001F224B" w:rsidRDefault="00C866A8" w:rsidP="00C866A8">
            <w:pPr>
              <w:rPr>
                <w:color w:val="000000"/>
                <w:sz w:val="20"/>
                <w:szCs w:val="20"/>
              </w:rPr>
            </w:pPr>
            <w:r w:rsidRPr="001F224B">
              <w:rPr>
                <w:sz w:val="20"/>
                <w:szCs w:val="20"/>
              </w:rPr>
              <w:t>Çalışan Hakları Karşılığı</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BBD9A" w14:textId="697CA087" w:rsidR="00C866A8" w:rsidRPr="001F224B" w:rsidRDefault="00C866A8" w:rsidP="00C866A8">
            <w:pPr>
              <w:jc w:val="right"/>
              <w:rPr>
                <w:sz w:val="20"/>
                <w:szCs w:val="20"/>
              </w:rPr>
            </w:pPr>
            <w:r w:rsidRPr="001F224B">
              <w:rPr>
                <w:sz w:val="20"/>
                <w:szCs w:val="20"/>
              </w:rPr>
              <w:t>37.441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8F38" w14:textId="744A7AAB" w:rsidR="00C866A8" w:rsidRPr="001F224B" w:rsidRDefault="00C866A8" w:rsidP="00C866A8">
            <w:pPr>
              <w:jc w:val="right"/>
              <w:rPr>
                <w:sz w:val="20"/>
                <w:szCs w:val="20"/>
              </w:rPr>
            </w:pPr>
            <w:r w:rsidRPr="001F224B">
              <w:rPr>
                <w:sz w:val="20"/>
                <w:szCs w:val="20"/>
              </w:rPr>
              <w:t>28.429</w:t>
            </w:r>
          </w:p>
        </w:tc>
      </w:tr>
      <w:tr w:rsidR="00C866A8" w:rsidRPr="001F224B" w14:paraId="68EC8688" w14:textId="77777777" w:rsidTr="00C866A8">
        <w:trPr>
          <w:trHeight w:val="268"/>
        </w:trPr>
        <w:tc>
          <w:tcPr>
            <w:tcW w:w="5306" w:type="dxa"/>
            <w:tcBorders>
              <w:right w:val="single" w:sz="4" w:space="0" w:color="auto"/>
            </w:tcBorders>
            <w:shd w:val="clear" w:color="auto" w:fill="auto"/>
            <w:noWrap/>
            <w:vAlign w:val="bottom"/>
          </w:tcPr>
          <w:p w14:paraId="4BB6ACAC" w14:textId="04577B38" w:rsidR="00C866A8" w:rsidRPr="001F224B" w:rsidRDefault="00C866A8" w:rsidP="00C866A8">
            <w:pPr>
              <w:rPr>
                <w:sz w:val="20"/>
                <w:szCs w:val="20"/>
              </w:rPr>
            </w:pPr>
            <w:r w:rsidRPr="001F224B">
              <w:rPr>
                <w:sz w:val="20"/>
                <w:szCs w:val="20"/>
              </w:rPr>
              <w:t>TFRS 16 Kiralamalar</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B27A3" w14:textId="17E4A895" w:rsidR="00C866A8" w:rsidRPr="001F224B" w:rsidRDefault="00C866A8" w:rsidP="00C866A8">
            <w:pPr>
              <w:jc w:val="right"/>
              <w:rPr>
                <w:sz w:val="20"/>
                <w:szCs w:val="20"/>
              </w:rPr>
            </w:pPr>
            <w:r w:rsidRPr="001F224B">
              <w:rPr>
                <w:sz w:val="20"/>
                <w:szCs w:val="20"/>
              </w:rPr>
              <w:t>2.051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C7A4B" w14:textId="02DABE02" w:rsidR="00C866A8" w:rsidRPr="001F224B" w:rsidRDefault="00C866A8" w:rsidP="00C866A8">
            <w:pPr>
              <w:jc w:val="right"/>
              <w:rPr>
                <w:sz w:val="20"/>
                <w:szCs w:val="20"/>
              </w:rPr>
            </w:pPr>
            <w:r w:rsidRPr="001F224B">
              <w:rPr>
                <w:sz w:val="20"/>
                <w:szCs w:val="20"/>
              </w:rPr>
              <w:t>1.601</w:t>
            </w:r>
          </w:p>
        </w:tc>
      </w:tr>
      <w:tr w:rsidR="00C866A8" w:rsidRPr="001F224B" w14:paraId="10360FD4" w14:textId="77777777" w:rsidTr="00C866A8">
        <w:trPr>
          <w:trHeight w:val="268"/>
        </w:trPr>
        <w:tc>
          <w:tcPr>
            <w:tcW w:w="5306" w:type="dxa"/>
            <w:tcBorders>
              <w:right w:val="single" w:sz="4" w:space="0" w:color="auto"/>
            </w:tcBorders>
            <w:shd w:val="clear" w:color="auto" w:fill="auto"/>
            <w:noWrap/>
            <w:vAlign w:val="bottom"/>
          </w:tcPr>
          <w:p w14:paraId="122CCA75" w14:textId="4731C2CA" w:rsidR="00C866A8" w:rsidRPr="001F224B" w:rsidRDefault="00C866A8" w:rsidP="00C866A8">
            <w:pPr>
              <w:rPr>
                <w:sz w:val="20"/>
                <w:szCs w:val="20"/>
              </w:rPr>
            </w:pPr>
            <w:r w:rsidRPr="001F224B">
              <w:rPr>
                <w:sz w:val="20"/>
                <w:szCs w:val="20"/>
              </w:rPr>
              <w:t>Personel İkramiye Prim Karşılığı</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5B5FA22D" w14:textId="151877BE" w:rsidR="00C866A8" w:rsidRPr="001F224B" w:rsidRDefault="00C866A8" w:rsidP="00C866A8">
            <w:pPr>
              <w:jc w:val="right"/>
              <w:rPr>
                <w:sz w:val="20"/>
                <w:szCs w:val="20"/>
              </w:rPr>
            </w:pPr>
            <w:r w:rsidRPr="001F224B">
              <w:rPr>
                <w:sz w:val="20"/>
                <w:szCs w:val="20"/>
              </w:rPr>
              <w:t>106.910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D709C" w14:textId="5C065CBA" w:rsidR="00C866A8" w:rsidRPr="001F224B" w:rsidRDefault="00C866A8" w:rsidP="00C866A8">
            <w:pPr>
              <w:jc w:val="right"/>
              <w:rPr>
                <w:sz w:val="20"/>
                <w:szCs w:val="20"/>
              </w:rPr>
            </w:pPr>
            <w:r w:rsidRPr="001F224B">
              <w:rPr>
                <w:sz w:val="20"/>
                <w:szCs w:val="20"/>
              </w:rPr>
              <w:t>114.973</w:t>
            </w:r>
          </w:p>
        </w:tc>
      </w:tr>
      <w:tr w:rsidR="00C866A8" w:rsidRPr="001F224B" w14:paraId="4FC2BE9C" w14:textId="77777777" w:rsidTr="00C866A8">
        <w:trPr>
          <w:trHeight w:val="268"/>
        </w:trPr>
        <w:tc>
          <w:tcPr>
            <w:tcW w:w="5306" w:type="dxa"/>
            <w:tcBorders>
              <w:right w:val="single" w:sz="4" w:space="0" w:color="auto"/>
            </w:tcBorders>
            <w:shd w:val="clear" w:color="auto" w:fill="auto"/>
            <w:noWrap/>
            <w:vAlign w:val="bottom"/>
          </w:tcPr>
          <w:p w14:paraId="0509F4F0" w14:textId="6C2F8AA2" w:rsidR="00C866A8" w:rsidRPr="001F224B" w:rsidRDefault="00C866A8" w:rsidP="00C866A8">
            <w:pPr>
              <w:rPr>
                <w:sz w:val="20"/>
                <w:szCs w:val="20"/>
              </w:rPr>
            </w:pPr>
            <w:r w:rsidRPr="001F224B">
              <w:rPr>
                <w:sz w:val="20"/>
                <w:szCs w:val="20"/>
              </w:rPr>
              <w:t>TFRS 9 Karşılık</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6A064226" w14:textId="7E852CFB" w:rsidR="00C866A8" w:rsidRPr="001F224B" w:rsidRDefault="00C866A8" w:rsidP="00C866A8">
            <w:pPr>
              <w:jc w:val="right"/>
              <w:rPr>
                <w:sz w:val="20"/>
                <w:szCs w:val="20"/>
              </w:rPr>
            </w:pPr>
            <w:r w:rsidRPr="001F224B">
              <w:rPr>
                <w:sz w:val="20"/>
                <w:szCs w:val="20"/>
              </w:rPr>
              <w:t>345.321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49708" w14:textId="42C425EC" w:rsidR="00C866A8" w:rsidRPr="001F224B" w:rsidRDefault="00C866A8" w:rsidP="00C866A8">
            <w:pPr>
              <w:jc w:val="right"/>
              <w:rPr>
                <w:sz w:val="20"/>
                <w:szCs w:val="20"/>
              </w:rPr>
            </w:pPr>
            <w:r w:rsidRPr="001F224B">
              <w:rPr>
                <w:sz w:val="20"/>
                <w:szCs w:val="20"/>
              </w:rPr>
              <w:t>353.560</w:t>
            </w:r>
          </w:p>
        </w:tc>
      </w:tr>
      <w:tr w:rsidR="00C866A8" w:rsidRPr="001F224B" w14:paraId="07F36ED3" w14:textId="77777777" w:rsidTr="00C866A8">
        <w:trPr>
          <w:trHeight w:val="268"/>
        </w:trPr>
        <w:tc>
          <w:tcPr>
            <w:tcW w:w="5306" w:type="dxa"/>
            <w:tcBorders>
              <w:right w:val="single" w:sz="4" w:space="0" w:color="auto"/>
            </w:tcBorders>
            <w:shd w:val="clear" w:color="auto" w:fill="auto"/>
            <w:noWrap/>
            <w:vAlign w:val="bottom"/>
            <w:hideMark/>
          </w:tcPr>
          <w:p w14:paraId="386FD6E3" w14:textId="29925889" w:rsidR="00C866A8" w:rsidRPr="001F224B" w:rsidRDefault="00C866A8" w:rsidP="00C866A8">
            <w:pPr>
              <w:rPr>
                <w:color w:val="000000"/>
                <w:sz w:val="20"/>
                <w:szCs w:val="20"/>
              </w:rPr>
            </w:pPr>
            <w:r w:rsidRPr="001F224B">
              <w:rPr>
                <w:sz w:val="20"/>
                <w:szCs w:val="20"/>
              </w:rPr>
              <w:t>Türev Finansal Varlıklar</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359381C8" w14:textId="0DA9B4AB" w:rsidR="00C866A8" w:rsidRPr="001F224B" w:rsidRDefault="00C866A8" w:rsidP="00C866A8">
            <w:pPr>
              <w:jc w:val="right"/>
              <w:rPr>
                <w:sz w:val="20"/>
                <w:szCs w:val="20"/>
              </w:rPr>
            </w:pPr>
            <w:r w:rsidRPr="001F224B">
              <w:rPr>
                <w:sz w:val="20"/>
                <w:szCs w:val="20"/>
              </w:rPr>
              <w: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69BC9" w14:textId="4B9745D0" w:rsidR="00C866A8" w:rsidRPr="001F224B" w:rsidRDefault="00C866A8" w:rsidP="00C866A8">
            <w:pPr>
              <w:jc w:val="right"/>
              <w:rPr>
                <w:sz w:val="20"/>
                <w:szCs w:val="20"/>
              </w:rPr>
            </w:pPr>
            <w:r w:rsidRPr="001F224B">
              <w:rPr>
                <w:sz w:val="20"/>
                <w:szCs w:val="20"/>
              </w:rPr>
              <w:t>-</w:t>
            </w:r>
          </w:p>
        </w:tc>
      </w:tr>
      <w:tr w:rsidR="00C866A8" w:rsidRPr="001F224B" w14:paraId="035D4564" w14:textId="77777777" w:rsidTr="00C866A8">
        <w:trPr>
          <w:trHeight w:val="268"/>
        </w:trPr>
        <w:tc>
          <w:tcPr>
            <w:tcW w:w="5306" w:type="dxa"/>
            <w:tcBorders>
              <w:right w:val="single" w:sz="4" w:space="0" w:color="auto"/>
            </w:tcBorders>
            <w:shd w:val="clear" w:color="auto" w:fill="auto"/>
            <w:noWrap/>
            <w:vAlign w:val="bottom"/>
            <w:hideMark/>
          </w:tcPr>
          <w:p w14:paraId="20EF516C" w14:textId="47A457D9" w:rsidR="00C866A8" w:rsidRPr="001F224B" w:rsidRDefault="00C866A8" w:rsidP="00C866A8">
            <w:pPr>
              <w:rPr>
                <w:b/>
                <w:bCs/>
                <w:color w:val="000000"/>
                <w:sz w:val="20"/>
                <w:szCs w:val="20"/>
              </w:rPr>
            </w:pPr>
            <w:r w:rsidRPr="001F224B">
              <w:rPr>
                <w:sz w:val="20"/>
                <w:szCs w:val="20"/>
              </w:rPr>
              <w:t>Diğer</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18135BA0" w14:textId="39EA87DB" w:rsidR="00C866A8" w:rsidRPr="001F224B" w:rsidRDefault="00C866A8" w:rsidP="00C866A8">
            <w:pPr>
              <w:jc w:val="right"/>
              <w:rPr>
                <w:sz w:val="20"/>
                <w:szCs w:val="20"/>
              </w:rPr>
            </w:pPr>
            <w:r w:rsidRPr="001F224B">
              <w:rPr>
                <w:sz w:val="20"/>
                <w:szCs w:val="20"/>
              </w:rPr>
              <w:t>32.037</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ED63A" w14:textId="6708C66E" w:rsidR="00C866A8" w:rsidRPr="001F224B" w:rsidRDefault="00C866A8" w:rsidP="00C866A8">
            <w:pPr>
              <w:jc w:val="right"/>
              <w:rPr>
                <w:sz w:val="20"/>
                <w:szCs w:val="20"/>
              </w:rPr>
            </w:pPr>
            <w:r w:rsidRPr="001F224B">
              <w:rPr>
                <w:sz w:val="20"/>
                <w:szCs w:val="20"/>
              </w:rPr>
              <w:t>32.567</w:t>
            </w:r>
          </w:p>
        </w:tc>
      </w:tr>
      <w:tr w:rsidR="00C866A8" w:rsidRPr="001F224B" w14:paraId="19EB0995" w14:textId="77777777" w:rsidTr="00C866A8">
        <w:trPr>
          <w:trHeight w:val="268"/>
        </w:trPr>
        <w:tc>
          <w:tcPr>
            <w:tcW w:w="5306" w:type="dxa"/>
            <w:tcBorders>
              <w:right w:val="single" w:sz="4" w:space="0" w:color="auto"/>
            </w:tcBorders>
            <w:shd w:val="clear" w:color="auto" w:fill="auto"/>
            <w:noWrap/>
            <w:vAlign w:val="bottom"/>
            <w:hideMark/>
          </w:tcPr>
          <w:p w14:paraId="2C3BCA65" w14:textId="398B6892" w:rsidR="00C866A8" w:rsidRPr="001F224B" w:rsidRDefault="00C866A8" w:rsidP="00C866A8">
            <w:pPr>
              <w:rPr>
                <w:color w:val="000000"/>
                <w:sz w:val="20"/>
                <w:szCs w:val="20"/>
              </w:rPr>
            </w:pPr>
            <w:r w:rsidRPr="001F224B">
              <w:rPr>
                <w:b/>
                <w:bCs/>
                <w:color w:val="000000"/>
                <w:sz w:val="20"/>
                <w:szCs w:val="20"/>
              </w:rPr>
              <w:t>Toplam Ertelenmiş Vergi Varlığı</w:t>
            </w:r>
          </w:p>
        </w:tc>
        <w:tc>
          <w:tcPr>
            <w:tcW w:w="2253" w:type="dxa"/>
            <w:tcBorders>
              <w:top w:val="single" w:sz="4" w:space="0" w:color="auto"/>
              <w:left w:val="single" w:sz="4" w:space="0" w:color="auto"/>
              <w:bottom w:val="single" w:sz="4" w:space="0" w:color="auto"/>
              <w:right w:val="single" w:sz="4" w:space="0" w:color="auto"/>
            </w:tcBorders>
            <w:noWrap/>
            <w:vAlign w:val="bottom"/>
          </w:tcPr>
          <w:p w14:paraId="0CD05FF5" w14:textId="19296123" w:rsidR="00C866A8" w:rsidRPr="001F224B" w:rsidRDefault="00C866A8" w:rsidP="00C866A8">
            <w:pPr>
              <w:jc w:val="right"/>
              <w:rPr>
                <w:b/>
                <w:bCs/>
                <w:sz w:val="20"/>
                <w:szCs w:val="20"/>
              </w:rPr>
            </w:pPr>
            <w:r w:rsidRPr="001F224B">
              <w:rPr>
                <w:b/>
                <w:bCs/>
                <w:sz w:val="20"/>
                <w:szCs w:val="20"/>
              </w:rPr>
              <w:t>552.344</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DF69F" w14:textId="423A8238" w:rsidR="00C866A8" w:rsidRPr="001F224B" w:rsidRDefault="00C866A8" w:rsidP="00C866A8">
            <w:pPr>
              <w:jc w:val="right"/>
              <w:rPr>
                <w:b/>
                <w:bCs/>
                <w:color w:val="000000"/>
                <w:sz w:val="20"/>
                <w:szCs w:val="20"/>
              </w:rPr>
            </w:pPr>
            <w:r w:rsidRPr="001F224B">
              <w:rPr>
                <w:b/>
                <w:bCs/>
                <w:color w:val="000000"/>
                <w:sz w:val="20"/>
                <w:szCs w:val="20"/>
              </w:rPr>
              <w:t>587.922</w:t>
            </w:r>
          </w:p>
        </w:tc>
      </w:tr>
      <w:tr w:rsidR="00346EF6" w:rsidRPr="001F224B" w14:paraId="582D0676" w14:textId="77777777" w:rsidTr="00C866A8">
        <w:trPr>
          <w:trHeight w:val="268"/>
        </w:trPr>
        <w:tc>
          <w:tcPr>
            <w:tcW w:w="5306" w:type="dxa"/>
            <w:tcBorders>
              <w:right w:val="single" w:sz="4" w:space="0" w:color="auto"/>
            </w:tcBorders>
            <w:shd w:val="clear" w:color="auto" w:fill="auto"/>
            <w:noWrap/>
            <w:vAlign w:val="bottom"/>
            <w:hideMark/>
          </w:tcPr>
          <w:p w14:paraId="68DB481B" w14:textId="6F1B5798" w:rsidR="00346EF6" w:rsidRPr="001F224B" w:rsidRDefault="00346EF6" w:rsidP="00346EF6">
            <w:pPr>
              <w:rPr>
                <w:b/>
                <w:bCs/>
                <w:sz w:val="20"/>
                <w:szCs w:val="20"/>
              </w:rPr>
            </w:pPr>
            <w:r w:rsidRPr="001F224B">
              <w:rPr>
                <w:color w:val="000000"/>
                <w:sz w:val="20"/>
                <w:szCs w:val="20"/>
              </w:rPr>
              <w:t> </w:t>
            </w:r>
          </w:p>
        </w:tc>
        <w:tc>
          <w:tcPr>
            <w:tcW w:w="2253" w:type="dxa"/>
            <w:tcBorders>
              <w:top w:val="single" w:sz="4" w:space="0" w:color="auto"/>
              <w:left w:val="single" w:sz="4" w:space="0" w:color="auto"/>
              <w:bottom w:val="single" w:sz="4" w:space="0" w:color="auto"/>
              <w:right w:val="single" w:sz="4" w:space="0" w:color="auto"/>
            </w:tcBorders>
            <w:noWrap/>
            <w:vAlign w:val="bottom"/>
          </w:tcPr>
          <w:p w14:paraId="3F6A2FBE" w14:textId="212820A5" w:rsidR="00346EF6" w:rsidRPr="001F224B" w:rsidRDefault="00346EF6" w:rsidP="00346EF6">
            <w:pPr>
              <w:jc w:val="right"/>
              <w:rPr>
                <w:sz w:val="20"/>
                <w:szCs w:val="20"/>
              </w:rPr>
            </w:pP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65022" w14:textId="6AFDF4B4" w:rsidR="00346EF6" w:rsidRPr="001F224B" w:rsidRDefault="00346EF6" w:rsidP="00346EF6">
            <w:pPr>
              <w:jc w:val="right"/>
              <w:rPr>
                <w:color w:val="000000"/>
                <w:sz w:val="20"/>
                <w:szCs w:val="20"/>
              </w:rPr>
            </w:pPr>
            <w:r w:rsidRPr="001F224B">
              <w:rPr>
                <w:b/>
                <w:bCs/>
                <w:color w:val="000000"/>
                <w:sz w:val="20"/>
                <w:szCs w:val="20"/>
              </w:rPr>
              <w:t> </w:t>
            </w:r>
          </w:p>
        </w:tc>
      </w:tr>
      <w:tr w:rsidR="00346EF6" w:rsidRPr="001F224B" w14:paraId="4C41D7CB" w14:textId="77777777" w:rsidTr="00C866A8">
        <w:trPr>
          <w:trHeight w:val="268"/>
        </w:trPr>
        <w:tc>
          <w:tcPr>
            <w:tcW w:w="5306" w:type="dxa"/>
            <w:tcBorders>
              <w:right w:val="single" w:sz="4" w:space="0" w:color="auto"/>
            </w:tcBorders>
            <w:shd w:val="clear" w:color="auto" w:fill="auto"/>
            <w:noWrap/>
            <w:vAlign w:val="bottom"/>
          </w:tcPr>
          <w:p w14:paraId="5A773AC1" w14:textId="1BC01654" w:rsidR="00346EF6" w:rsidRPr="001F224B" w:rsidRDefault="00346EF6" w:rsidP="00346EF6">
            <w:pPr>
              <w:rPr>
                <w:sz w:val="20"/>
                <w:szCs w:val="20"/>
              </w:rPr>
            </w:pPr>
            <w:r w:rsidRPr="001F224B">
              <w:rPr>
                <w:b/>
                <w:bCs/>
                <w:sz w:val="20"/>
                <w:szCs w:val="20"/>
              </w:rPr>
              <w:t>Ertelenmiş Vergi Yükümlülüğü</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2B15F480" w14:textId="0758D35A" w:rsidR="00346EF6" w:rsidRPr="001F224B" w:rsidRDefault="00346EF6" w:rsidP="00346EF6">
            <w:pPr>
              <w:jc w:val="right"/>
              <w:rPr>
                <w:sz w:val="20"/>
                <w:szCs w:val="20"/>
              </w:rPr>
            </w:pP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1AC0B" w14:textId="6FD1BCDD" w:rsidR="00346EF6" w:rsidRPr="001F224B" w:rsidRDefault="00346EF6" w:rsidP="00346EF6">
            <w:pPr>
              <w:jc w:val="right"/>
              <w:rPr>
                <w:sz w:val="20"/>
                <w:szCs w:val="20"/>
              </w:rPr>
            </w:pPr>
            <w:r w:rsidRPr="001F224B">
              <w:rPr>
                <w:b/>
                <w:bCs/>
                <w:color w:val="000000"/>
                <w:sz w:val="20"/>
                <w:szCs w:val="20"/>
              </w:rPr>
              <w:t> </w:t>
            </w:r>
          </w:p>
        </w:tc>
      </w:tr>
      <w:tr w:rsidR="00C866A8" w:rsidRPr="001F224B" w14:paraId="701159EB" w14:textId="77777777" w:rsidTr="00C866A8">
        <w:trPr>
          <w:trHeight w:val="268"/>
        </w:trPr>
        <w:tc>
          <w:tcPr>
            <w:tcW w:w="5306" w:type="dxa"/>
            <w:tcBorders>
              <w:right w:val="single" w:sz="4" w:space="0" w:color="auto"/>
            </w:tcBorders>
            <w:shd w:val="clear" w:color="auto" w:fill="auto"/>
            <w:noWrap/>
            <w:vAlign w:val="bottom"/>
          </w:tcPr>
          <w:p w14:paraId="1500709F" w14:textId="3A0538E7" w:rsidR="00C866A8" w:rsidRPr="001F224B" w:rsidRDefault="00C866A8" w:rsidP="00C866A8">
            <w:pPr>
              <w:rPr>
                <w:sz w:val="20"/>
                <w:szCs w:val="20"/>
              </w:rPr>
            </w:pPr>
            <w:r w:rsidRPr="001F224B">
              <w:rPr>
                <w:sz w:val="20"/>
                <w:szCs w:val="20"/>
              </w:rPr>
              <w:t>Faiz Reeskontları</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4CED507D" w14:textId="68B75C97" w:rsidR="00C866A8" w:rsidRPr="001F224B" w:rsidRDefault="00C866A8" w:rsidP="00C866A8">
            <w:pPr>
              <w:jc w:val="right"/>
              <w:rPr>
                <w:sz w:val="20"/>
                <w:szCs w:val="20"/>
              </w:rPr>
            </w:pPr>
            <w:r w:rsidRPr="001F224B">
              <w:rPr>
                <w:sz w:val="20"/>
                <w:szCs w:val="20"/>
              </w:rPr>
              <w:t>23</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5A540" w14:textId="278C5EDC" w:rsidR="00C866A8" w:rsidRPr="001F224B" w:rsidRDefault="002159EA" w:rsidP="00C866A8">
            <w:pPr>
              <w:jc w:val="right"/>
              <w:rPr>
                <w:color w:val="000000"/>
                <w:sz w:val="20"/>
                <w:szCs w:val="20"/>
              </w:rPr>
            </w:pPr>
            <w:r w:rsidRPr="001F224B">
              <w:rPr>
                <w:color w:val="000000"/>
                <w:sz w:val="20"/>
                <w:szCs w:val="20"/>
              </w:rPr>
              <w:t>-</w:t>
            </w:r>
          </w:p>
        </w:tc>
      </w:tr>
      <w:tr w:rsidR="002159EA" w:rsidRPr="001F224B" w14:paraId="2F275B26" w14:textId="77777777" w:rsidTr="00C866A8">
        <w:trPr>
          <w:trHeight w:val="268"/>
        </w:trPr>
        <w:tc>
          <w:tcPr>
            <w:tcW w:w="5306" w:type="dxa"/>
            <w:tcBorders>
              <w:right w:val="single" w:sz="4" w:space="0" w:color="auto"/>
            </w:tcBorders>
            <w:shd w:val="clear" w:color="auto" w:fill="auto"/>
            <w:noWrap/>
            <w:vAlign w:val="bottom"/>
          </w:tcPr>
          <w:p w14:paraId="64B38C1F" w14:textId="5A4F8585" w:rsidR="002159EA" w:rsidRPr="001F224B" w:rsidRDefault="002159EA" w:rsidP="002159EA">
            <w:pPr>
              <w:rPr>
                <w:sz w:val="20"/>
                <w:szCs w:val="20"/>
              </w:rPr>
            </w:pPr>
            <w:r w:rsidRPr="001F224B">
              <w:rPr>
                <w:sz w:val="20"/>
                <w:szCs w:val="20"/>
              </w:rPr>
              <w:t>Menkul Değerler Portföyü-Mali</w:t>
            </w:r>
          </w:p>
        </w:tc>
        <w:tc>
          <w:tcPr>
            <w:tcW w:w="2253" w:type="dxa"/>
            <w:tcBorders>
              <w:top w:val="single" w:sz="4" w:space="0" w:color="auto"/>
              <w:left w:val="nil"/>
              <w:bottom w:val="single" w:sz="4" w:space="0" w:color="auto"/>
              <w:right w:val="single" w:sz="4" w:space="0" w:color="auto"/>
            </w:tcBorders>
            <w:shd w:val="clear" w:color="auto" w:fill="auto"/>
            <w:noWrap/>
            <w:vAlign w:val="bottom"/>
          </w:tcPr>
          <w:p w14:paraId="571375ED" w14:textId="7B3CF074" w:rsidR="002159EA" w:rsidRPr="001F224B" w:rsidRDefault="002159EA" w:rsidP="002159EA">
            <w:pPr>
              <w:jc w:val="right"/>
              <w:rPr>
                <w:sz w:val="20"/>
                <w:szCs w:val="20"/>
              </w:rPr>
            </w:pPr>
            <w:r w:rsidRPr="001F224B">
              <w:rPr>
                <w:sz w:val="20"/>
                <w:szCs w:val="20"/>
              </w:rPr>
              <w:t>28.723</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FD7D2" w14:textId="7AEFFD38" w:rsidR="002159EA" w:rsidRPr="001F224B" w:rsidRDefault="002159EA" w:rsidP="002159EA">
            <w:pPr>
              <w:jc w:val="right"/>
              <w:rPr>
                <w:sz w:val="20"/>
                <w:szCs w:val="20"/>
              </w:rPr>
            </w:pPr>
            <w:r w:rsidRPr="001F224B">
              <w:rPr>
                <w:color w:val="000000"/>
                <w:sz w:val="20"/>
                <w:szCs w:val="20"/>
              </w:rPr>
              <w:t>26.766</w:t>
            </w:r>
          </w:p>
        </w:tc>
      </w:tr>
      <w:tr w:rsidR="002159EA" w:rsidRPr="001F224B" w14:paraId="1242C515" w14:textId="77777777" w:rsidTr="00C866A8">
        <w:trPr>
          <w:trHeight w:val="268"/>
        </w:trPr>
        <w:tc>
          <w:tcPr>
            <w:tcW w:w="5306" w:type="dxa"/>
            <w:tcBorders>
              <w:right w:val="single" w:sz="4" w:space="0" w:color="auto"/>
            </w:tcBorders>
            <w:shd w:val="clear" w:color="auto" w:fill="auto"/>
            <w:noWrap/>
            <w:vAlign w:val="bottom"/>
          </w:tcPr>
          <w:p w14:paraId="13E07BB4" w14:textId="6CF65C4B" w:rsidR="002159EA" w:rsidRPr="001F224B" w:rsidRDefault="002159EA" w:rsidP="002159EA">
            <w:pPr>
              <w:rPr>
                <w:sz w:val="20"/>
                <w:szCs w:val="20"/>
              </w:rPr>
            </w:pPr>
            <w:r w:rsidRPr="001F224B">
              <w:rPr>
                <w:sz w:val="20"/>
                <w:szCs w:val="20"/>
              </w:rPr>
              <w:t>Menkul Değerler Portföyü-Mali Olmayan</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65307" w14:textId="492ADAF5" w:rsidR="002159EA" w:rsidRPr="001F224B" w:rsidRDefault="002159EA" w:rsidP="002159EA">
            <w:pPr>
              <w:jc w:val="right"/>
              <w:rPr>
                <w:sz w:val="20"/>
                <w:szCs w:val="20"/>
              </w:rPr>
            </w:pPr>
            <w:r w:rsidRPr="001F224B">
              <w:rPr>
                <w:sz w:val="20"/>
                <w:szCs w:val="20"/>
              </w:rPr>
              <w:t>35.349</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BF494" w14:textId="15B96866" w:rsidR="002159EA" w:rsidRPr="001F224B" w:rsidRDefault="002159EA" w:rsidP="002159EA">
            <w:pPr>
              <w:jc w:val="right"/>
              <w:rPr>
                <w:b/>
                <w:sz w:val="20"/>
                <w:szCs w:val="20"/>
              </w:rPr>
            </w:pPr>
            <w:r w:rsidRPr="001F224B">
              <w:rPr>
                <w:color w:val="000000"/>
                <w:sz w:val="20"/>
                <w:szCs w:val="20"/>
              </w:rPr>
              <w:t>44.825</w:t>
            </w:r>
          </w:p>
        </w:tc>
      </w:tr>
      <w:tr w:rsidR="00C866A8" w:rsidRPr="001F224B" w14:paraId="75981EE6" w14:textId="77777777" w:rsidTr="00C866A8">
        <w:trPr>
          <w:trHeight w:val="268"/>
        </w:trPr>
        <w:tc>
          <w:tcPr>
            <w:tcW w:w="5306" w:type="dxa"/>
            <w:tcBorders>
              <w:right w:val="single" w:sz="4" w:space="0" w:color="auto"/>
            </w:tcBorders>
            <w:shd w:val="clear" w:color="auto" w:fill="auto"/>
            <w:noWrap/>
            <w:vAlign w:val="bottom"/>
          </w:tcPr>
          <w:p w14:paraId="268F7F16" w14:textId="7F1AE833" w:rsidR="00C866A8" w:rsidRPr="001F224B" w:rsidRDefault="00C866A8" w:rsidP="00C866A8">
            <w:pPr>
              <w:rPr>
                <w:sz w:val="20"/>
                <w:szCs w:val="20"/>
              </w:rPr>
            </w:pPr>
            <w:r w:rsidRPr="001F224B">
              <w:rPr>
                <w:sz w:val="20"/>
                <w:szCs w:val="20"/>
              </w:rPr>
              <w:t>Türev Finansal Varlıklar</w:t>
            </w:r>
          </w:p>
        </w:tc>
        <w:tc>
          <w:tcPr>
            <w:tcW w:w="2253" w:type="dxa"/>
            <w:tcBorders>
              <w:top w:val="single" w:sz="4" w:space="0" w:color="auto"/>
              <w:left w:val="single" w:sz="4" w:space="0" w:color="auto"/>
              <w:bottom w:val="single" w:sz="4" w:space="0" w:color="auto"/>
              <w:right w:val="single" w:sz="4" w:space="0" w:color="auto"/>
            </w:tcBorders>
            <w:noWrap/>
            <w:vAlign w:val="bottom"/>
          </w:tcPr>
          <w:p w14:paraId="6A0B3B44" w14:textId="13E92159" w:rsidR="00C866A8" w:rsidRPr="001F224B" w:rsidRDefault="00C866A8" w:rsidP="00C866A8">
            <w:pPr>
              <w:jc w:val="right"/>
              <w:rPr>
                <w:sz w:val="20"/>
                <w:szCs w:val="20"/>
              </w:rPr>
            </w:pPr>
            <w:r w:rsidRPr="001F224B">
              <w:rPr>
                <w:sz w:val="20"/>
                <w:szCs w:val="20"/>
              </w:rPr>
              <w:t>10.774</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D9C75" w14:textId="2D12CB44" w:rsidR="00C866A8" w:rsidRPr="001F224B" w:rsidRDefault="00C866A8" w:rsidP="00C866A8">
            <w:pPr>
              <w:jc w:val="right"/>
              <w:rPr>
                <w:b/>
                <w:sz w:val="20"/>
                <w:szCs w:val="20"/>
              </w:rPr>
            </w:pPr>
            <w:r w:rsidRPr="001F224B">
              <w:rPr>
                <w:color w:val="000000"/>
                <w:sz w:val="20"/>
                <w:szCs w:val="20"/>
              </w:rPr>
              <w:t>36.976</w:t>
            </w:r>
          </w:p>
        </w:tc>
      </w:tr>
      <w:tr w:rsidR="00C866A8" w:rsidRPr="001F224B" w14:paraId="448BFDC2" w14:textId="77777777" w:rsidTr="00C866A8">
        <w:trPr>
          <w:trHeight w:val="268"/>
        </w:trPr>
        <w:tc>
          <w:tcPr>
            <w:tcW w:w="5306" w:type="dxa"/>
            <w:tcBorders>
              <w:right w:val="single" w:sz="4" w:space="0" w:color="auto"/>
            </w:tcBorders>
            <w:shd w:val="clear" w:color="auto" w:fill="auto"/>
            <w:noWrap/>
            <w:vAlign w:val="bottom"/>
          </w:tcPr>
          <w:p w14:paraId="1F27E16F" w14:textId="64E8BB14" w:rsidR="00C866A8" w:rsidRPr="001F224B" w:rsidRDefault="00C866A8" w:rsidP="00C866A8">
            <w:pPr>
              <w:rPr>
                <w:sz w:val="20"/>
                <w:szCs w:val="20"/>
              </w:rPr>
            </w:pPr>
            <w:r w:rsidRPr="001F224B">
              <w:rPr>
                <w:sz w:val="20"/>
                <w:szCs w:val="20"/>
              </w:rPr>
              <w:t>Diğer</w:t>
            </w:r>
          </w:p>
        </w:tc>
        <w:tc>
          <w:tcPr>
            <w:tcW w:w="2253" w:type="dxa"/>
            <w:tcBorders>
              <w:top w:val="single" w:sz="4" w:space="0" w:color="auto"/>
              <w:left w:val="single" w:sz="4" w:space="0" w:color="auto"/>
              <w:bottom w:val="single" w:sz="4" w:space="0" w:color="auto"/>
              <w:right w:val="single" w:sz="4" w:space="0" w:color="auto"/>
            </w:tcBorders>
            <w:noWrap/>
            <w:vAlign w:val="bottom"/>
          </w:tcPr>
          <w:p w14:paraId="58001905" w14:textId="334D179C" w:rsidR="00C866A8" w:rsidRPr="001F224B" w:rsidRDefault="00C866A8" w:rsidP="00C866A8">
            <w:pPr>
              <w:jc w:val="right"/>
              <w:rPr>
                <w:sz w:val="20"/>
                <w:szCs w:val="20"/>
              </w:rPr>
            </w:pPr>
            <w:r w:rsidRPr="001F224B">
              <w:rPr>
                <w:sz w:val="20"/>
                <w:szCs w:val="20"/>
              </w:rPr>
              <w:t>369</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CA96A" w14:textId="095227E7" w:rsidR="00C866A8" w:rsidRPr="001F224B" w:rsidRDefault="00C866A8" w:rsidP="00C866A8">
            <w:pPr>
              <w:jc w:val="right"/>
              <w:rPr>
                <w:b/>
                <w:bCs/>
                <w:color w:val="000000"/>
                <w:sz w:val="20"/>
                <w:szCs w:val="20"/>
              </w:rPr>
            </w:pPr>
            <w:r w:rsidRPr="001F224B">
              <w:rPr>
                <w:b/>
                <w:bCs/>
                <w:color w:val="000000"/>
                <w:sz w:val="20"/>
                <w:szCs w:val="20"/>
              </w:rPr>
              <w:t>-</w:t>
            </w:r>
          </w:p>
        </w:tc>
      </w:tr>
      <w:tr w:rsidR="00C866A8" w:rsidRPr="001F224B" w14:paraId="39375725" w14:textId="77777777" w:rsidTr="00C866A8">
        <w:trPr>
          <w:trHeight w:val="268"/>
        </w:trPr>
        <w:tc>
          <w:tcPr>
            <w:tcW w:w="5306" w:type="dxa"/>
            <w:tcBorders>
              <w:right w:val="single" w:sz="4" w:space="0" w:color="auto"/>
            </w:tcBorders>
            <w:shd w:val="clear" w:color="auto" w:fill="auto"/>
            <w:noWrap/>
            <w:vAlign w:val="bottom"/>
          </w:tcPr>
          <w:p w14:paraId="7E4A2FED" w14:textId="6077028F" w:rsidR="00C866A8" w:rsidRPr="001F224B" w:rsidRDefault="00C866A8" w:rsidP="00C866A8">
            <w:pPr>
              <w:rPr>
                <w:b/>
                <w:bCs/>
                <w:sz w:val="20"/>
                <w:szCs w:val="20"/>
              </w:rPr>
            </w:pPr>
            <w:r w:rsidRPr="001F224B">
              <w:rPr>
                <w:b/>
                <w:bCs/>
                <w:sz w:val="20"/>
                <w:szCs w:val="20"/>
              </w:rPr>
              <w:t>Toplam Ertelenmiş Vergi Yükümlülüğü</w:t>
            </w:r>
          </w:p>
        </w:tc>
        <w:tc>
          <w:tcPr>
            <w:tcW w:w="2253" w:type="dxa"/>
            <w:tcBorders>
              <w:top w:val="single" w:sz="4" w:space="0" w:color="auto"/>
              <w:left w:val="single" w:sz="4" w:space="0" w:color="auto"/>
              <w:bottom w:val="single" w:sz="4" w:space="0" w:color="auto"/>
              <w:right w:val="single" w:sz="4" w:space="0" w:color="auto"/>
            </w:tcBorders>
            <w:noWrap/>
            <w:vAlign w:val="bottom"/>
          </w:tcPr>
          <w:p w14:paraId="7F1D8850" w14:textId="2EE6BC9D" w:rsidR="00C866A8" w:rsidRPr="001F224B" w:rsidRDefault="00C866A8" w:rsidP="00C866A8">
            <w:pPr>
              <w:jc w:val="right"/>
              <w:rPr>
                <w:b/>
                <w:bCs/>
                <w:sz w:val="20"/>
                <w:szCs w:val="20"/>
              </w:rPr>
            </w:pPr>
            <w:r w:rsidRPr="001F224B">
              <w:rPr>
                <w:b/>
                <w:bCs/>
                <w:sz w:val="20"/>
                <w:szCs w:val="20"/>
              </w:rPr>
              <w:t>75.238</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35096" w14:textId="76303858" w:rsidR="00C866A8" w:rsidRPr="001F224B" w:rsidRDefault="00C866A8" w:rsidP="00C866A8">
            <w:pPr>
              <w:jc w:val="right"/>
              <w:rPr>
                <w:b/>
                <w:bCs/>
                <w:color w:val="000000"/>
                <w:sz w:val="20"/>
                <w:szCs w:val="20"/>
              </w:rPr>
            </w:pPr>
            <w:r w:rsidRPr="001F224B">
              <w:rPr>
                <w:b/>
                <w:bCs/>
                <w:color w:val="000000"/>
                <w:sz w:val="20"/>
                <w:szCs w:val="20"/>
              </w:rPr>
              <w:t>108.567 </w:t>
            </w:r>
          </w:p>
        </w:tc>
      </w:tr>
      <w:tr w:rsidR="00C866A8" w:rsidRPr="001F224B" w14:paraId="4AE6B76A" w14:textId="77777777" w:rsidTr="00C866A8">
        <w:trPr>
          <w:trHeight w:val="268"/>
        </w:trPr>
        <w:tc>
          <w:tcPr>
            <w:tcW w:w="5306" w:type="dxa"/>
            <w:tcBorders>
              <w:right w:val="single" w:sz="4" w:space="0" w:color="auto"/>
            </w:tcBorders>
            <w:shd w:val="clear" w:color="auto" w:fill="auto"/>
            <w:noWrap/>
            <w:vAlign w:val="bottom"/>
          </w:tcPr>
          <w:p w14:paraId="0BDCF1C4" w14:textId="77777777" w:rsidR="00C866A8" w:rsidRPr="001F224B" w:rsidRDefault="00C866A8" w:rsidP="00C866A8">
            <w:pPr>
              <w:rPr>
                <w:sz w:val="20"/>
                <w:szCs w:val="20"/>
              </w:rPr>
            </w:pPr>
          </w:p>
        </w:tc>
        <w:tc>
          <w:tcPr>
            <w:tcW w:w="2253" w:type="dxa"/>
            <w:tcBorders>
              <w:top w:val="single" w:sz="4" w:space="0" w:color="auto"/>
              <w:left w:val="single" w:sz="4" w:space="0" w:color="auto"/>
              <w:bottom w:val="single" w:sz="4" w:space="0" w:color="auto"/>
              <w:right w:val="single" w:sz="4" w:space="0" w:color="auto"/>
            </w:tcBorders>
            <w:noWrap/>
            <w:vAlign w:val="bottom"/>
          </w:tcPr>
          <w:p w14:paraId="3633A5E6" w14:textId="77777777" w:rsidR="00C866A8" w:rsidRPr="001F224B" w:rsidRDefault="00C866A8" w:rsidP="00C866A8">
            <w:pPr>
              <w:jc w:val="right"/>
              <w:rPr>
                <w:b/>
                <w:bCs/>
                <w:sz w:val="20"/>
                <w:szCs w:val="20"/>
              </w:rPr>
            </w:pP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03D25" w14:textId="77777777" w:rsidR="00C866A8" w:rsidRPr="001F224B" w:rsidRDefault="00C866A8" w:rsidP="00C866A8">
            <w:pPr>
              <w:jc w:val="right"/>
              <w:rPr>
                <w:b/>
                <w:bCs/>
                <w:color w:val="000000"/>
                <w:sz w:val="20"/>
                <w:szCs w:val="20"/>
              </w:rPr>
            </w:pPr>
          </w:p>
        </w:tc>
      </w:tr>
      <w:tr w:rsidR="00C866A8" w:rsidRPr="001F224B" w14:paraId="2D5DC2FB" w14:textId="77777777" w:rsidTr="00C866A8">
        <w:trPr>
          <w:trHeight w:val="268"/>
        </w:trPr>
        <w:tc>
          <w:tcPr>
            <w:tcW w:w="5306" w:type="dxa"/>
            <w:tcBorders>
              <w:right w:val="single" w:sz="4" w:space="0" w:color="auto"/>
            </w:tcBorders>
            <w:shd w:val="clear" w:color="auto" w:fill="auto"/>
            <w:noWrap/>
            <w:vAlign w:val="bottom"/>
            <w:hideMark/>
          </w:tcPr>
          <w:p w14:paraId="67E65B0F" w14:textId="23D64254" w:rsidR="00C866A8" w:rsidRPr="001F224B" w:rsidRDefault="00C866A8" w:rsidP="00C866A8">
            <w:pPr>
              <w:rPr>
                <w:b/>
                <w:bCs/>
                <w:color w:val="000000"/>
                <w:sz w:val="20"/>
                <w:szCs w:val="20"/>
              </w:rPr>
            </w:pPr>
            <w:r w:rsidRPr="001F224B">
              <w:rPr>
                <w:b/>
                <w:bCs/>
                <w:color w:val="000000"/>
                <w:sz w:val="20"/>
                <w:szCs w:val="20"/>
              </w:rPr>
              <w:t> Net Ertelenmiş Vergi Varlığı/(Yükümlülüğü)</w:t>
            </w:r>
          </w:p>
        </w:tc>
        <w:tc>
          <w:tcPr>
            <w:tcW w:w="2253" w:type="dxa"/>
            <w:tcBorders>
              <w:top w:val="single" w:sz="4" w:space="0" w:color="auto"/>
              <w:left w:val="single" w:sz="4" w:space="0" w:color="auto"/>
              <w:bottom w:val="single" w:sz="4" w:space="0" w:color="auto"/>
              <w:right w:val="single" w:sz="4" w:space="0" w:color="auto"/>
            </w:tcBorders>
            <w:noWrap/>
            <w:vAlign w:val="bottom"/>
          </w:tcPr>
          <w:p w14:paraId="0B4031E2" w14:textId="4AC0BFE5" w:rsidR="00C866A8" w:rsidRPr="001F224B" w:rsidRDefault="00C866A8" w:rsidP="00C866A8">
            <w:pPr>
              <w:jc w:val="right"/>
              <w:rPr>
                <w:b/>
                <w:bCs/>
                <w:sz w:val="20"/>
                <w:szCs w:val="20"/>
              </w:rPr>
            </w:pPr>
            <w:r w:rsidRPr="001F224B">
              <w:rPr>
                <w:b/>
                <w:bCs/>
                <w:sz w:val="20"/>
                <w:szCs w:val="20"/>
              </w:rPr>
              <w:t>477.106</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66000" w14:textId="1DABD8D2" w:rsidR="00C866A8" w:rsidRPr="001F224B" w:rsidRDefault="00C866A8" w:rsidP="00C866A8">
            <w:pPr>
              <w:jc w:val="right"/>
              <w:rPr>
                <w:b/>
                <w:bCs/>
                <w:color w:val="000000"/>
                <w:sz w:val="20"/>
                <w:szCs w:val="20"/>
              </w:rPr>
            </w:pPr>
            <w:r w:rsidRPr="001F224B">
              <w:rPr>
                <w:b/>
                <w:bCs/>
                <w:color w:val="000000"/>
                <w:sz w:val="20"/>
                <w:szCs w:val="20"/>
              </w:rPr>
              <w:t>479.355</w:t>
            </w:r>
          </w:p>
        </w:tc>
      </w:tr>
    </w:tbl>
    <w:bookmarkEnd w:id="34"/>
    <w:p w14:paraId="0B7533F1" w14:textId="69CCFB29" w:rsidR="00827F65" w:rsidRPr="001F224B" w:rsidRDefault="00827F65" w:rsidP="00827F65">
      <w:pPr>
        <w:tabs>
          <w:tab w:val="left" w:pos="567"/>
        </w:tabs>
        <w:spacing w:before="120" w:after="120"/>
        <w:jc w:val="both"/>
        <w:rPr>
          <w:b/>
          <w:bCs/>
          <w:sz w:val="22"/>
          <w:szCs w:val="22"/>
        </w:rPr>
      </w:pPr>
      <w:r w:rsidRPr="001F224B">
        <w:rPr>
          <w:b/>
          <w:bCs/>
          <w:sz w:val="22"/>
          <w:szCs w:val="22"/>
        </w:rPr>
        <w:t>1</w:t>
      </w:r>
      <w:r w:rsidR="00FD4EFE" w:rsidRPr="001F224B">
        <w:rPr>
          <w:b/>
          <w:bCs/>
          <w:sz w:val="22"/>
          <w:szCs w:val="22"/>
        </w:rPr>
        <w:t>1</w:t>
      </w:r>
      <w:r w:rsidRPr="001F224B">
        <w:rPr>
          <w:b/>
          <w:bCs/>
          <w:sz w:val="22"/>
          <w:szCs w:val="22"/>
        </w:rPr>
        <w:t>.</w:t>
      </w:r>
      <w:r w:rsidRPr="001F224B">
        <w:rPr>
          <w:b/>
          <w:bCs/>
          <w:sz w:val="22"/>
          <w:szCs w:val="22"/>
        </w:rPr>
        <w:tab/>
        <w:t>Satış amaçlı elde tutulan ve durdurulan faaliyetlere ilişkin duran varlıklar:</w:t>
      </w:r>
    </w:p>
    <w:p w14:paraId="1D4C1959" w14:textId="0D8652F3" w:rsidR="00827F65" w:rsidRPr="001F224B" w:rsidRDefault="00827F65" w:rsidP="00827F65">
      <w:pPr>
        <w:ind w:left="567"/>
        <w:jc w:val="both"/>
        <w:rPr>
          <w:sz w:val="22"/>
          <w:szCs w:val="22"/>
        </w:rPr>
      </w:pPr>
      <w:r w:rsidRPr="001F224B">
        <w:rPr>
          <w:sz w:val="22"/>
          <w:szCs w:val="22"/>
        </w:rPr>
        <w:t>Grup’un satış amaçlı elde tutulan ve durdurulan faaliyetlere ilişkin duran varlığı bulunmamaktadır.</w:t>
      </w:r>
    </w:p>
    <w:p w14:paraId="7528F90F" w14:textId="441613AC" w:rsidR="0050678E" w:rsidRPr="001F224B" w:rsidRDefault="0050678E" w:rsidP="00827F65">
      <w:pPr>
        <w:ind w:left="567"/>
        <w:jc w:val="both"/>
        <w:rPr>
          <w:sz w:val="22"/>
          <w:szCs w:val="22"/>
        </w:rPr>
      </w:pPr>
    </w:p>
    <w:p w14:paraId="1DFD96C3" w14:textId="77777777" w:rsidR="0050678E" w:rsidRPr="001F224B" w:rsidRDefault="0050678E" w:rsidP="00827F65">
      <w:pPr>
        <w:ind w:left="567"/>
        <w:jc w:val="both"/>
        <w:rPr>
          <w:b/>
          <w:bCs/>
          <w:sz w:val="22"/>
          <w:szCs w:val="22"/>
        </w:rPr>
      </w:pPr>
    </w:p>
    <w:p w14:paraId="7BFDCED3" w14:textId="77777777" w:rsidR="00315FAA" w:rsidRPr="001F224B" w:rsidRDefault="00315FAA" w:rsidP="0014467C">
      <w:pPr>
        <w:tabs>
          <w:tab w:val="left" w:pos="567"/>
        </w:tabs>
        <w:spacing w:before="120" w:after="120"/>
        <w:jc w:val="both"/>
        <w:rPr>
          <w:b/>
          <w:bCs/>
          <w:sz w:val="22"/>
          <w:szCs w:val="22"/>
        </w:rPr>
      </w:pPr>
    </w:p>
    <w:p w14:paraId="3171ADB6" w14:textId="19A8AC31" w:rsidR="00634D30" w:rsidRPr="001F224B" w:rsidRDefault="00634D30" w:rsidP="00315FAA">
      <w:pPr>
        <w:pStyle w:val="ListParagraph"/>
        <w:tabs>
          <w:tab w:val="left" w:pos="0"/>
        </w:tabs>
        <w:spacing w:before="120" w:after="120"/>
        <w:ind w:left="0"/>
        <w:rPr>
          <w:b/>
          <w:bCs/>
          <w:sz w:val="22"/>
          <w:szCs w:val="22"/>
        </w:rPr>
      </w:pPr>
    </w:p>
    <w:p w14:paraId="601C39F2" w14:textId="1B026714" w:rsidR="00AE60E1" w:rsidRPr="001F224B" w:rsidRDefault="00AE60E1">
      <w:pPr>
        <w:rPr>
          <w:b/>
          <w:bCs/>
          <w:sz w:val="22"/>
          <w:szCs w:val="22"/>
        </w:rPr>
      </w:pPr>
      <w:r w:rsidRPr="001F224B">
        <w:rPr>
          <w:b/>
          <w:bCs/>
          <w:sz w:val="22"/>
          <w:szCs w:val="22"/>
        </w:rPr>
        <w:br w:type="page"/>
      </w:r>
    </w:p>
    <w:p w14:paraId="20E0AE39" w14:textId="29C3B543" w:rsidR="00315FAA" w:rsidRPr="001F224B" w:rsidRDefault="00315FAA" w:rsidP="00315FAA">
      <w:pPr>
        <w:pStyle w:val="ListParagraph"/>
        <w:tabs>
          <w:tab w:val="left" w:pos="0"/>
        </w:tabs>
        <w:spacing w:before="120" w:after="120"/>
        <w:ind w:left="0"/>
        <w:rPr>
          <w:b/>
          <w:bCs/>
          <w:sz w:val="22"/>
          <w:szCs w:val="22"/>
        </w:rPr>
      </w:pPr>
      <w:r w:rsidRPr="001F224B">
        <w:rPr>
          <w:b/>
          <w:bCs/>
          <w:sz w:val="22"/>
          <w:szCs w:val="22"/>
        </w:rPr>
        <w:t>BEŞİNCİ BÖLÜM (Devamı)</w:t>
      </w:r>
    </w:p>
    <w:p w14:paraId="61FB8859" w14:textId="5621C1D5" w:rsidR="00315FAA" w:rsidRPr="001F224B" w:rsidRDefault="00315FAA" w:rsidP="002719A1">
      <w:pPr>
        <w:pStyle w:val="ListParagraph"/>
        <w:tabs>
          <w:tab w:val="left" w:pos="0"/>
        </w:tabs>
        <w:spacing w:before="120"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62917A21" w14:textId="47ABE64A" w:rsidR="00315FAA" w:rsidRPr="001F224B" w:rsidRDefault="00A94BA9" w:rsidP="002719A1">
      <w:pPr>
        <w:pStyle w:val="ListParagraph"/>
        <w:tabs>
          <w:tab w:val="left" w:pos="0"/>
        </w:tabs>
        <w:spacing w:before="120" w:after="120"/>
        <w:ind w:left="0"/>
        <w:rPr>
          <w:b/>
          <w:bCs/>
          <w:sz w:val="22"/>
          <w:szCs w:val="22"/>
        </w:rPr>
      </w:pPr>
      <w:r w:rsidRPr="001F224B">
        <w:rPr>
          <w:b/>
          <w:bCs/>
          <w:sz w:val="22"/>
          <w:szCs w:val="22"/>
        </w:rPr>
        <w:t>II.</w:t>
      </w:r>
      <w:r w:rsidR="002719A1" w:rsidRPr="001F224B">
        <w:rPr>
          <w:b/>
          <w:bCs/>
          <w:sz w:val="22"/>
          <w:szCs w:val="22"/>
        </w:rPr>
        <w:t xml:space="preserve">      </w:t>
      </w:r>
      <w:r w:rsidR="00315FAA" w:rsidRPr="001F224B">
        <w:rPr>
          <w:b/>
          <w:bCs/>
          <w:sz w:val="22"/>
          <w:szCs w:val="22"/>
        </w:rPr>
        <w:t>Konsolide bilançonun pasif hesaplarına ilişkin açıklama ve dipnotlar</w:t>
      </w:r>
    </w:p>
    <w:p w14:paraId="02072FF7" w14:textId="4EBB2205" w:rsidR="00315FAA" w:rsidRPr="001F224B" w:rsidRDefault="00127079" w:rsidP="00127079">
      <w:pPr>
        <w:pStyle w:val="ListParagraph"/>
        <w:tabs>
          <w:tab w:val="left" w:pos="851"/>
        </w:tabs>
        <w:spacing w:before="120" w:after="120"/>
        <w:ind w:left="993" w:hanging="993"/>
        <w:rPr>
          <w:b/>
          <w:bCs/>
          <w:sz w:val="22"/>
          <w:szCs w:val="22"/>
        </w:rPr>
      </w:pPr>
      <w:r w:rsidRPr="001F224B">
        <w:rPr>
          <w:b/>
          <w:bCs/>
          <w:sz w:val="22"/>
          <w:szCs w:val="22"/>
        </w:rPr>
        <w:t xml:space="preserve">1.       </w:t>
      </w:r>
      <w:r w:rsidR="00315FAA" w:rsidRPr="001F224B">
        <w:rPr>
          <w:b/>
          <w:bCs/>
          <w:sz w:val="22"/>
          <w:szCs w:val="22"/>
        </w:rPr>
        <w:t>Mevduata ilişkin bilgiler:</w:t>
      </w:r>
    </w:p>
    <w:p w14:paraId="68C7C063" w14:textId="77777777" w:rsidR="00315FAA" w:rsidRPr="001F224B" w:rsidRDefault="00315FAA" w:rsidP="00315FAA">
      <w:pPr>
        <w:pStyle w:val="EndnoteText"/>
        <w:spacing w:before="120" w:after="120"/>
        <w:ind w:left="567"/>
        <w:rPr>
          <w:sz w:val="22"/>
          <w:szCs w:val="22"/>
        </w:rPr>
      </w:pPr>
      <w:r w:rsidRPr="001F224B">
        <w:rPr>
          <w:sz w:val="22"/>
          <w:szCs w:val="22"/>
        </w:rPr>
        <w:t>Ana Ortaklık Bankaca mevduat kabulü yapılmamaktadır.</w:t>
      </w:r>
    </w:p>
    <w:p w14:paraId="522C95DE" w14:textId="77777777" w:rsidR="00315FAA" w:rsidRPr="001F224B" w:rsidRDefault="00315FAA" w:rsidP="00315FAA">
      <w:pPr>
        <w:tabs>
          <w:tab w:val="left" w:pos="567"/>
        </w:tabs>
        <w:spacing w:before="120"/>
        <w:rPr>
          <w:b/>
          <w:bCs/>
          <w:sz w:val="22"/>
          <w:szCs w:val="22"/>
        </w:rPr>
      </w:pPr>
      <w:r w:rsidRPr="001F224B">
        <w:rPr>
          <w:b/>
          <w:bCs/>
          <w:sz w:val="22"/>
          <w:szCs w:val="22"/>
        </w:rPr>
        <w:t>2.</w:t>
      </w:r>
      <w:r w:rsidRPr="001F224B">
        <w:rPr>
          <w:b/>
          <w:bCs/>
          <w:sz w:val="22"/>
          <w:szCs w:val="22"/>
        </w:rPr>
        <w:tab/>
        <w:t>Alınan kredilere ilişkin bilgiler:</w:t>
      </w:r>
    </w:p>
    <w:p w14:paraId="137E58D1" w14:textId="77777777" w:rsidR="00315FAA" w:rsidRPr="001F224B" w:rsidRDefault="00315FAA" w:rsidP="00315FAA">
      <w:pPr>
        <w:tabs>
          <w:tab w:val="left" w:pos="567"/>
        </w:tabs>
        <w:spacing w:before="120" w:after="120"/>
        <w:rPr>
          <w:b/>
          <w:bCs/>
          <w:sz w:val="22"/>
          <w:szCs w:val="22"/>
        </w:rPr>
      </w:pPr>
      <w:r w:rsidRPr="001F224B">
        <w:rPr>
          <w:b/>
          <w:bCs/>
          <w:sz w:val="22"/>
          <w:szCs w:val="22"/>
        </w:rPr>
        <w:t>2.a)</w:t>
      </w:r>
      <w:r w:rsidRPr="001F224B">
        <w:rPr>
          <w:b/>
          <w:bCs/>
          <w:sz w:val="22"/>
          <w:szCs w:val="22"/>
        </w:rPr>
        <w:tab/>
        <w:t>Bankalar ve diğer mali kuruluşlara ilişkin bilgiler:</w:t>
      </w:r>
    </w:p>
    <w:tbl>
      <w:tblPr>
        <w:tblW w:w="9739" w:type="dxa"/>
        <w:tblInd w:w="37" w:type="dxa"/>
        <w:tblLayout w:type="fixed"/>
        <w:tblCellMar>
          <w:left w:w="70" w:type="dxa"/>
          <w:right w:w="70" w:type="dxa"/>
        </w:tblCellMar>
        <w:tblLook w:val="00A0" w:firstRow="1" w:lastRow="0" w:firstColumn="1" w:lastColumn="0" w:noHBand="0" w:noVBand="0"/>
      </w:tblPr>
      <w:tblGrid>
        <w:gridCol w:w="4228"/>
        <w:gridCol w:w="1390"/>
        <w:gridCol w:w="1325"/>
        <w:gridCol w:w="1417"/>
        <w:gridCol w:w="1379"/>
      </w:tblGrid>
      <w:tr w:rsidR="00315FAA" w:rsidRPr="001F224B" w14:paraId="4DB8FCE8" w14:textId="77777777" w:rsidTr="00AE60E1">
        <w:trPr>
          <w:cantSplit/>
          <w:trHeight w:val="255"/>
        </w:trPr>
        <w:tc>
          <w:tcPr>
            <w:tcW w:w="4228" w:type="dxa"/>
            <w:vMerge w:val="restart"/>
            <w:tcBorders>
              <w:top w:val="single" w:sz="4" w:space="0" w:color="auto"/>
              <w:left w:val="single" w:sz="4" w:space="0" w:color="auto"/>
              <w:right w:val="single" w:sz="4" w:space="0" w:color="auto"/>
            </w:tcBorders>
            <w:shd w:val="clear" w:color="000000" w:fill="FFFFFF"/>
          </w:tcPr>
          <w:p w14:paraId="7122045E" w14:textId="77777777" w:rsidR="00315FAA" w:rsidRPr="001F224B" w:rsidRDefault="00315FAA" w:rsidP="003F7E51">
            <w:pPr>
              <w:rPr>
                <w:sz w:val="20"/>
                <w:szCs w:val="20"/>
              </w:rPr>
            </w:pPr>
            <w:r w:rsidRPr="001F224B">
              <w:rPr>
                <w:sz w:val="20"/>
                <w:szCs w:val="20"/>
              </w:rPr>
              <w:t> </w:t>
            </w:r>
          </w:p>
          <w:p w14:paraId="410E7E10" w14:textId="77777777" w:rsidR="00315FAA" w:rsidRPr="001F224B" w:rsidRDefault="00315FAA" w:rsidP="003F7E51">
            <w:pPr>
              <w:rPr>
                <w:sz w:val="20"/>
                <w:szCs w:val="20"/>
              </w:rPr>
            </w:pPr>
            <w:r w:rsidRPr="001F224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bottom"/>
          </w:tcPr>
          <w:p w14:paraId="0F31D8D3" w14:textId="77777777" w:rsidR="00EC6E5D" w:rsidRPr="001F224B" w:rsidRDefault="00EC6E5D" w:rsidP="00EC6E5D">
            <w:pPr>
              <w:jc w:val="center"/>
              <w:rPr>
                <w:b/>
                <w:bCs/>
                <w:sz w:val="20"/>
                <w:szCs w:val="20"/>
              </w:rPr>
            </w:pPr>
            <w:r w:rsidRPr="001F224B">
              <w:rPr>
                <w:b/>
                <w:bCs/>
                <w:sz w:val="20"/>
                <w:szCs w:val="20"/>
              </w:rPr>
              <w:t xml:space="preserve">Cari Dönem </w:t>
            </w:r>
          </w:p>
          <w:p w14:paraId="7C70A956" w14:textId="4189439E" w:rsidR="00315FAA" w:rsidRPr="001F224B" w:rsidRDefault="00EC6E5D" w:rsidP="00EC6E5D">
            <w:pPr>
              <w:jc w:val="center"/>
              <w:rPr>
                <w:b/>
                <w:bCs/>
                <w:sz w:val="20"/>
                <w:szCs w:val="20"/>
              </w:rPr>
            </w:pPr>
            <w:r w:rsidRPr="001F224B">
              <w:rPr>
                <w:b/>
                <w:bCs/>
                <w:sz w:val="20"/>
                <w:szCs w:val="20"/>
              </w:rPr>
              <w:t>(3</w:t>
            </w:r>
            <w:r w:rsidR="00493273" w:rsidRPr="001F224B">
              <w:rPr>
                <w:b/>
                <w:bCs/>
                <w:sz w:val="20"/>
                <w:szCs w:val="20"/>
              </w:rPr>
              <w:t>0</w:t>
            </w:r>
            <w:r w:rsidRPr="001F224B">
              <w:rPr>
                <w:b/>
                <w:bCs/>
                <w:sz w:val="20"/>
                <w:szCs w:val="20"/>
              </w:rPr>
              <w:t>.</w:t>
            </w:r>
            <w:r w:rsidR="0050678E" w:rsidRPr="001F224B">
              <w:rPr>
                <w:b/>
                <w:bCs/>
                <w:sz w:val="20"/>
                <w:szCs w:val="20"/>
              </w:rPr>
              <w:t>0</w:t>
            </w:r>
            <w:r w:rsidR="00493273" w:rsidRPr="001F224B">
              <w:rPr>
                <w:b/>
                <w:bCs/>
                <w:sz w:val="20"/>
                <w:szCs w:val="20"/>
              </w:rPr>
              <w:t>6</w:t>
            </w:r>
            <w:r w:rsidRPr="001F224B">
              <w:rPr>
                <w:b/>
                <w:bCs/>
                <w:sz w:val="20"/>
                <w:szCs w:val="20"/>
              </w:rPr>
              <w:t>.202</w:t>
            </w:r>
            <w:r w:rsidR="0050678E" w:rsidRPr="001F224B">
              <w:rPr>
                <w:b/>
                <w:bCs/>
                <w:sz w:val="20"/>
                <w:szCs w:val="20"/>
              </w:rPr>
              <w:t>5</w:t>
            </w:r>
            <w:r w:rsidRPr="001F224B">
              <w:rPr>
                <w:b/>
                <w:bCs/>
                <w:sz w:val="20"/>
                <w:szCs w:val="20"/>
              </w:rPr>
              <w:t>)</w:t>
            </w:r>
          </w:p>
        </w:tc>
        <w:tc>
          <w:tcPr>
            <w:tcW w:w="2796" w:type="dxa"/>
            <w:gridSpan w:val="2"/>
            <w:tcBorders>
              <w:top w:val="single" w:sz="4" w:space="0" w:color="auto"/>
              <w:left w:val="nil"/>
              <w:bottom w:val="single" w:sz="4" w:space="0" w:color="auto"/>
              <w:right w:val="single" w:sz="4" w:space="0" w:color="auto"/>
            </w:tcBorders>
            <w:shd w:val="clear" w:color="000000" w:fill="FFFFFF"/>
            <w:vAlign w:val="bottom"/>
          </w:tcPr>
          <w:p w14:paraId="091D4800" w14:textId="77777777" w:rsidR="00315FAA" w:rsidRPr="001F224B" w:rsidRDefault="00315FAA" w:rsidP="003F7E51">
            <w:pPr>
              <w:jc w:val="center"/>
              <w:rPr>
                <w:b/>
                <w:bCs/>
                <w:sz w:val="20"/>
                <w:szCs w:val="20"/>
              </w:rPr>
            </w:pPr>
            <w:r w:rsidRPr="001F224B">
              <w:rPr>
                <w:b/>
                <w:bCs/>
                <w:sz w:val="20"/>
                <w:szCs w:val="20"/>
              </w:rPr>
              <w:t>Önceki Dönem</w:t>
            </w:r>
          </w:p>
          <w:p w14:paraId="435FCFF0" w14:textId="7C3BC3F7" w:rsidR="00315FAA" w:rsidRPr="001F224B" w:rsidRDefault="00315FAA" w:rsidP="003F7E51">
            <w:pPr>
              <w:jc w:val="center"/>
              <w:rPr>
                <w:b/>
                <w:bCs/>
                <w:sz w:val="20"/>
                <w:szCs w:val="20"/>
              </w:rPr>
            </w:pPr>
            <w:r w:rsidRPr="001F224B">
              <w:rPr>
                <w:b/>
                <w:bCs/>
                <w:sz w:val="20"/>
                <w:szCs w:val="20"/>
              </w:rPr>
              <w:t xml:space="preserve"> (31.12.202</w:t>
            </w:r>
            <w:r w:rsidR="0050678E" w:rsidRPr="001F224B">
              <w:rPr>
                <w:b/>
                <w:bCs/>
                <w:sz w:val="20"/>
                <w:szCs w:val="20"/>
              </w:rPr>
              <w:t>4</w:t>
            </w:r>
            <w:r w:rsidRPr="001F224B">
              <w:rPr>
                <w:b/>
                <w:bCs/>
                <w:sz w:val="20"/>
                <w:szCs w:val="20"/>
              </w:rPr>
              <w:t>)</w:t>
            </w:r>
          </w:p>
        </w:tc>
      </w:tr>
      <w:tr w:rsidR="00315FAA" w:rsidRPr="001F224B" w14:paraId="1519CE42" w14:textId="77777777" w:rsidTr="00AE60E1">
        <w:trPr>
          <w:cantSplit/>
          <w:trHeight w:val="255"/>
        </w:trPr>
        <w:tc>
          <w:tcPr>
            <w:tcW w:w="4228" w:type="dxa"/>
            <w:vMerge/>
            <w:tcBorders>
              <w:left w:val="single" w:sz="4" w:space="0" w:color="auto"/>
              <w:bottom w:val="single" w:sz="4" w:space="0" w:color="auto"/>
              <w:right w:val="single" w:sz="4" w:space="0" w:color="auto"/>
            </w:tcBorders>
          </w:tcPr>
          <w:p w14:paraId="4CCB3E80" w14:textId="77777777" w:rsidR="00315FAA" w:rsidRPr="001F224B" w:rsidRDefault="00315FAA" w:rsidP="003F7E51">
            <w:pPr>
              <w:rPr>
                <w:sz w:val="20"/>
                <w:szCs w:val="20"/>
              </w:rPr>
            </w:pPr>
          </w:p>
        </w:tc>
        <w:tc>
          <w:tcPr>
            <w:tcW w:w="1390" w:type="dxa"/>
            <w:tcBorders>
              <w:top w:val="nil"/>
              <w:left w:val="nil"/>
              <w:bottom w:val="single" w:sz="4" w:space="0" w:color="auto"/>
              <w:right w:val="single" w:sz="4" w:space="0" w:color="auto"/>
            </w:tcBorders>
            <w:shd w:val="clear" w:color="000000" w:fill="FFFFFF"/>
            <w:vAlign w:val="bottom"/>
          </w:tcPr>
          <w:p w14:paraId="2C2995C2" w14:textId="77777777" w:rsidR="00315FAA" w:rsidRPr="001F224B" w:rsidRDefault="00315FAA" w:rsidP="003F7E51">
            <w:pPr>
              <w:jc w:val="center"/>
              <w:rPr>
                <w:b/>
                <w:bCs/>
                <w:sz w:val="20"/>
                <w:szCs w:val="20"/>
              </w:rPr>
            </w:pPr>
            <w:r w:rsidRPr="001F224B">
              <w:rPr>
                <w:b/>
                <w:bCs/>
                <w:sz w:val="20"/>
                <w:szCs w:val="20"/>
              </w:rPr>
              <w:t>TP</w:t>
            </w:r>
          </w:p>
        </w:tc>
        <w:tc>
          <w:tcPr>
            <w:tcW w:w="1325" w:type="dxa"/>
            <w:tcBorders>
              <w:top w:val="nil"/>
              <w:left w:val="nil"/>
              <w:bottom w:val="single" w:sz="4" w:space="0" w:color="auto"/>
              <w:right w:val="single" w:sz="4" w:space="0" w:color="auto"/>
            </w:tcBorders>
            <w:shd w:val="clear" w:color="000000" w:fill="FFFFFF"/>
            <w:vAlign w:val="bottom"/>
          </w:tcPr>
          <w:p w14:paraId="52630479" w14:textId="77777777" w:rsidR="00315FAA" w:rsidRPr="001F224B" w:rsidRDefault="00315FAA" w:rsidP="003F7E51">
            <w:pPr>
              <w:jc w:val="center"/>
              <w:rPr>
                <w:b/>
                <w:bCs/>
                <w:sz w:val="20"/>
                <w:szCs w:val="20"/>
              </w:rPr>
            </w:pPr>
            <w:r w:rsidRPr="001F224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3BAF7D5C" w14:textId="77777777" w:rsidR="00315FAA" w:rsidRPr="001F224B" w:rsidRDefault="00315FAA" w:rsidP="003F7E51">
            <w:pPr>
              <w:jc w:val="center"/>
              <w:rPr>
                <w:b/>
                <w:bCs/>
                <w:sz w:val="20"/>
                <w:szCs w:val="20"/>
              </w:rPr>
            </w:pPr>
            <w:r w:rsidRPr="001F224B">
              <w:rPr>
                <w:b/>
                <w:bCs/>
                <w:sz w:val="20"/>
                <w:szCs w:val="20"/>
              </w:rPr>
              <w:t>TP</w:t>
            </w:r>
          </w:p>
        </w:tc>
        <w:tc>
          <w:tcPr>
            <w:tcW w:w="1379" w:type="dxa"/>
            <w:tcBorders>
              <w:top w:val="nil"/>
              <w:left w:val="nil"/>
              <w:bottom w:val="single" w:sz="4" w:space="0" w:color="auto"/>
              <w:right w:val="single" w:sz="4" w:space="0" w:color="auto"/>
            </w:tcBorders>
            <w:shd w:val="clear" w:color="000000" w:fill="FFFFFF"/>
            <w:vAlign w:val="bottom"/>
          </w:tcPr>
          <w:p w14:paraId="5668FF5F" w14:textId="77777777" w:rsidR="00315FAA" w:rsidRPr="001F224B" w:rsidRDefault="00315FAA" w:rsidP="003F7E51">
            <w:pPr>
              <w:jc w:val="center"/>
              <w:rPr>
                <w:b/>
                <w:bCs/>
                <w:sz w:val="20"/>
                <w:szCs w:val="20"/>
              </w:rPr>
            </w:pPr>
            <w:r w:rsidRPr="001F224B">
              <w:rPr>
                <w:b/>
                <w:bCs/>
                <w:sz w:val="20"/>
                <w:szCs w:val="20"/>
              </w:rPr>
              <w:t>YP</w:t>
            </w:r>
          </w:p>
        </w:tc>
      </w:tr>
      <w:tr w:rsidR="00E92EA1" w:rsidRPr="001F224B" w14:paraId="49546CDF"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1A0A7F4A" w14:textId="77777777" w:rsidR="00E92EA1" w:rsidRPr="001F224B" w:rsidRDefault="00E92EA1" w:rsidP="00E92EA1">
            <w:pPr>
              <w:ind w:firstLineChars="200" w:firstLine="400"/>
              <w:rPr>
                <w:sz w:val="20"/>
                <w:szCs w:val="20"/>
              </w:rPr>
            </w:pPr>
            <w:r w:rsidRPr="001F224B">
              <w:rPr>
                <w:sz w:val="20"/>
                <w:szCs w:val="20"/>
              </w:rPr>
              <w:t>T.C. Merkez Bankası Kredileri</w:t>
            </w:r>
            <w:r w:rsidRPr="001F224B">
              <w:rPr>
                <w:sz w:val="20"/>
                <w:szCs w:val="20"/>
                <w:vertAlign w:val="superscript"/>
              </w:rPr>
              <w:t>(*)</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1FC1EE09" w14:textId="0A2A7C3F" w:rsidR="00E92EA1" w:rsidRPr="001F224B" w:rsidRDefault="00E92EA1" w:rsidP="00E92EA1">
            <w:pPr>
              <w:jc w:val="right"/>
              <w:rPr>
                <w:sz w:val="20"/>
                <w:szCs w:val="20"/>
              </w:rPr>
            </w:pPr>
            <w:r w:rsidRPr="001F224B">
              <w:rPr>
                <w:sz w:val="20"/>
                <w:szCs w:val="20"/>
              </w:rPr>
              <w:t>22.498.160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6DD592ED" w14:textId="170F20D9" w:rsidR="00E92EA1" w:rsidRPr="001F224B" w:rsidRDefault="00E92EA1" w:rsidP="00E92EA1">
            <w:pPr>
              <w:jc w:val="right"/>
              <w:rPr>
                <w:sz w:val="20"/>
                <w:szCs w:val="20"/>
              </w:rPr>
            </w:pPr>
            <w:r w:rsidRPr="001F224B">
              <w:rPr>
                <w:sz w:val="20"/>
                <w:szCs w:val="20"/>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5728F20" w14:textId="05B73066" w:rsidR="00E92EA1" w:rsidRPr="001F224B" w:rsidRDefault="00E92EA1" w:rsidP="00E92EA1">
            <w:pPr>
              <w:jc w:val="right"/>
              <w:rPr>
                <w:sz w:val="20"/>
                <w:szCs w:val="20"/>
              </w:rPr>
            </w:pPr>
            <w:r w:rsidRPr="001F224B">
              <w:rPr>
                <w:sz w:val="20"/>
                <w:szCs w:val="20"/>
              </w:rPr>
              <w:t>21.894.170</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06E99060" w14:textId="2623B8A6" w:rsidR="00E92EA1" w:rsidRPr="001F224B" w:rsidRDefault="00E92EA1" w:rsidP="00E92EA1">
            <w:pPr>
              <w:jc w:val="right"/>
              <w:rPr>
                <w:sz w:val="20"/>
                <w:szCs w:val="20"/>
              </w:rPr>
            </w:pPr>
            <w:r w:rsidRPr="001F224B">
              <w:rPr>
                <w:sz w:val="20"/>
                <w:szCs w:val="20"/>
              </w:rPr>
              <w:t>-</w:t>
            </w:r>
          </w:p>
        </w:tc>
      </w:tr>
      <w:tr w:rsidR="00E92EA1" w:rsidRPr="001F224B" w14:paraId="21097479"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46E1711E" w14:textId="77777777" w:rsidR="00E92EA1" w:rsidRPr="001F224B" w:rsidRDefault="00E92EA1" w:rsidP="00E92EA1">
            <w:pPr>
              <w:ind w:firstLineChars="200" w:firstLine="400"/>
              <w:rPr>
                <w:sz w:val="20"/>
                <w:szCs w:val="20"/>
              </w:rPr>
            </w:pPr>
            <w:r w:rsidRPr="001F224B">
              <w:rPr>
                <w:sz w:val="20"/>
                <w:szCs w:val="20"/>
              </w:rPr>
              <w:t>Yurtiçi Banka ve Kuruluşlardan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51BD5806" w14:textId="5AC58D49" w:rsidR="00E92EA1" w:rsidRPr="001F224B" w:rsidRDefault="00E92EA1" w:rsidP="00E92EA1">
            <w:pPr>
              <w:jc w:val="right"/>
              <w:rPr>
                <w:sz w:val="20"/>
                <w:szCs w:val="20"/>
              </w:rPr>
            </w:pPr>
            <w:r w:rsidRPr="001F224B">
              <w:rPr>
                <w:sz w:val="20"/>
                <w:szCs w:val="20"/>
              </w:rPr>
              <w:t>14.437</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67E6CCFF" w14:textId="4F22ED3C" w:rsidR="00E92EA1" w:rsidRPr="001F224B" w:rsidRDefault="00E92EA1" w:rsidP="00E92EA1">
            <w:pPr>
              <w:jc w:val="right"/>
              <w:rPr>
                <w:sz w:val="20"/>
                <w:szCs w:val="20"/>
              </w:rPr>
            </w:pPr>
            <w:r w:rsidRPr="001F224B">
              <w:rPr>
                <w:sz w:val="20"/>
                <w:szCs w:val="20"/>
              </w:rPr>
              <w:t>8.719.986</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C534548" w14:textId="68571040" w:rsidR="00E92EA1" w:rsidRPr="001F224B" w:rsidRDefault="00E92EA1" w:rsidP="00E92EA1">
            <w:pPr>
              <w:jc w:val="right"/>
              <w:rPr>
                <w:sz w:val="20"/>
                <w:szCs w:val="20"/>
              </w:rPr>
            </w:pPr>
            <w:r w:rsidRPr="001F224B">
              <w:rPr>
                <w:sz w:val="20"/>
                <w:szCs w:val="20"/>
              </w:rPr>
              <w:t>10.280</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41958B2F" w14:textId="6DBAF7E6" w:rsidR="00E92EA1" w:rsidRPr="001F224B" w:rsidRDefault="00E92EA1" w:rsidP="00E92EA1">
            <w:pPr>
              <w:jc w:val="right"/>
              <w:rPr>
                <w:sz w:val="20"/>
                <w:szCs w:val="20"/>
              </w:rPr>
            </w:pPr>
            <w:r w:rsidRPr="001F224B">
              <w:rPr>
                <w:sz w:val="20"/>
                <w:szCs w:val="20"/>
              </w:rPr>
              <w:t>7.607.345</w:t>
            </w:r>
          </w:p>
        </w:tc>
      </w:tr>
      <w:tr w:rsidR="00E92EA1" w:rsidRPr="001F224B" w14:paraId="5911C76C"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02C61D1A" w14:textId="77777777" w:rsidR="00E92EA1" w:rsidRPr="001F224B" w:rsidRDefault="00E92EA1" w:rsidP="00E92EA1">
            <w:pPr>
              <w:ind w:left="497" w:hanging="141"/>
              <w:rPr>
                <w:sz w:val="20"/>
                <w:szCs w:val="20"/>
              </w:rPr>
            </w:pPr>
            <w:r w:rsidRPr="001F224B">
              <w:rPr>
                <w:sz w:val="20"/>
                <w:szCs w:val="20"/>
              </w:rPr>
              <w:t xml:space="preserve"> Yurtdışı Banka Kuruluş ve Fonlardan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5572B71" w14:textId="7088762F" w:rsidR="00E92EA1" w:rsidRPr="001F224B" w:rsidRDefault="00E92EA1" w:rsidP="00E92EA1">
            <w:pPr>
              <w:jc w:val="right"/>
              <w:rPr>
                <w:sz w:val="20"/>
                <w:szCs w:val="20"/>
              </w:rPr>
            </w:pPr>
            <w:r w:rsidRPr="001F224B">
              <w:rPr>
                <w:sz w:val="20"/>
                <w:szCs w:val="20"/>
              </w:rPr>
              <w:t>-</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7C2A3BFB" w14:textId="0C391D84" w:rsidR="00E92EA1" w:rsidRPr="001F224B" w:rsidRDefault="00E92EA1" w:rsidP="00E92EA1">
            <w:pPr>
              <w:jc w:val="right"/>
              <w:rPr>
                <w:sz w:val="20"/>
                <w:szCs w:val="20"/>
              </w:rPr>
            </w:pPr>
            <w:r w:rsidRPr="001F224B">
              <w:rPr>
                <w:sz w:val="20"/>
                <w:szCs w:val="20"/>
              </w:rPr>
              <w:t>95.166.471</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B4C0A46" w14:textId="7F1515FC" w:rsidR="00E92EA1" w:rsidRPr="001F224B" w:rsidRDefault="00E92EA1" w:rsidP="00E92EA1">
            <w:pPr>
              <w:jc w:val="right"/>
              <w:rPr>
                <w:sz w:val="20"/>
                <w:szCs w:val="20"/>
              </w:rPr>
            </w:pPr>
            <w:r w:rsidRPr="001F224B">
              <w:rPr>
                <w:sz w:val="20"/>
                <w:szCs w:val="20"/>
              </w:rPr>
              <w:t>-</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2F332B52" w14:textId="0ABD12EE" w:rsidR="00E92EA1" w:rsidRPr="001F224B" w:rsidRDefault="00E92EA1" w:rsidP="00E92EA1">
            <w:pPr>
              <w:jc w:val="right"/>
              <w:rPr>
                <w:sz w:val="20"/>
                <w:szCs w:val="20"/>
              </w:rPr>
            </w:pPr>
            <w:r w:rsidRPr="001F224B">
              <w:rPr>
                <w:sz w:val="20"/>
                <w:szCs w:val="20"/>
              </w:rPr>
              <w:t>78.773.056</w:t>
            </w:r>
          </w:p>
        </w:tc>
      </w:tr>
      <w:tr w:rsidR="00E92EA1" w:rsidRPr="001F224B" w14:paraId="7B86E3DA"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1A1C63E3" w14:textId="77777777" w:rsidR="00E92EA1" w:rsidRPr="001F224B" w:rsidRDefault="00E92EA1" w:rsidP="00E92EA1">
            <w:pPr>
              <w:rPr>
                <w:b/>
                <w:sz w:val="20"/>
                <w:szCs w:val="20"/>
              </w:rPr>
            </w:pPr>
            <w:r w:rsidRPr="001F224B">
              <w:rPr>
                <w:b/>
                <w:sz w:val="20"/>
                <w:szCs w:val="20"/>
              </w:rPr>
              <w:t>Toplam</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4E30B349" w14:textId="2EFF5B0A" w:rsidR="00E92EA1" w:rsidRPr="001F224B" w:rsidRDefault="00E92EA1" w:rsidP="00E92EA1">
            <w:pPr>
              <w:jc w:val="right"/>
              <w:rPr>
                <w:b/>
                <w:sz w:val="20"/>
                <w:szCs w:val="20"/>
              </w:rPr>
            </w:pPr>
            <w:r w:rsidRPr="001F224B">
              <w:rPr>
                <w:b/>
                <w:bCs/>
                <w:sz w:val="20"/>
                <w:szCs w:val="20"/>
              </w:rPr>
              <w:t>22.512.597</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3D5ADDB9" w14:textId="5F673C17" w:rsidR="00E92EA1" w:rsidRPr="001F224B" w:rsidRDefault="00E92EA1" w:rsidP="00E92EA1">
            <w:pPr>
              <w:jc w:val="right"/>
              <w:rPr>
                <w:b/>
                <w:sz w:val="20"/>
                <w:szCs w:val="20"/>
              </w:rPr>
            </w:pPr>
            <w:r w:rsidRPr="001F224B">
              <w:rPr>
                <w:b/>
                <w:bCs/>
                <w:sz w:val="20"/>
                <w:szCs w:val="20"/>
              </w:rPr>
              <w:t>103.886.457</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1F8D2C1" w14:textId="1336A893" w:rsidR="00E92EA1" w:rsidRPr="001F224B" w:rsidRDefault="00E92EA1" w:rsidP="00E92EA1">
            <w:pPr>
              <w:jc w:val="right"/>
              <w:rPr>
                <w:b/>
                <w:sz w:val="20"/>
                <w:szCs w:val="20"/>
              </w:rPr>
            </w:pPr>
            <w:r w:rsidRPr="001F224B">
              <w:rPr>
                <w:b/>
                <w:bCs/>
                <w:sz w:val="20"/>
                <w:szCs w:val="20"/>
              </w:rPr>
              <w:t>21.904.450</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21BA1A12" w14:textId="66C17EC1" w:rsidR="00E92EA1" w:rsidRPr="001F224B" w:rsidRDefault="00E92EA1" w:rsidP="00E92EA1">
            <w:pPr>
              <w:jc w:val="right"/>
              <w:rPr>
                <w:b/>
                <w:sz w:val="20"/>
                <w:szCs w:val="20"/>
              </w:rPr>
            </w:pPr>
            <w:r w:rsidRPr="001F224B">
              <w:rPr>
                <w:b/>
                <w:bCs/>
                <w:sz w:val="20"/>
                <w:szCs w:val="20"/>
              </w:rPr>
              <w:t>86.380.401</w:t>
            </w:r>
          </w:p>
        </w:tc>
      </w:tr>
    </w:tbl>
    <w:p w14:paraId="3740194C" w14:textId="56CEB46E" w:rsidR="00FD4C1C" w:rsidRPr="001F224B" w:rsidRDefault="00FD4C1C" w:rsidP="00FD4C1C">
      <w:pPr>
        <w:spacing w:before="60"/>
        <w:jc w:val="both"/>
        <w:rPr>
          <w:sz w:val="16"/>
          <w:szCs w:val="16"/>
        </w:rPr>
      </w:pPr>
      <w:bookmarkStart w:id="35" w:name="_Hlk101182049"/>
      <w:r w:rsidRPr="001F224B">
        <w:rPr>
          <w:sz w:val="16"/>
          <w:szCs w:val="16"/>
        </w:rPr>
        <w:t xml:space="preserve">(*) T.C. Merkez Bankası’ndan sağlanan reeskont kredilerinin kullandırıldığı kredi müşterilerinden </w:t>
      </w:r>
      <w:r w:rsidR="00E92EA1" w:rsidRPr="001F224B">
        <w:rPr>
          <w:sz w:val="16"/>
          <w:szCs w:val="16"/>
        </w:rPr>
        <w:t xml:space="preserve">alınan 48.852.325 TL </w:t>
      </w:r>
      <w:r w:rsidRPr="001F224B">
        <w:rPr>
          <w:sz w:val="16"/>
          <w:szCs w:val="16"/>
        </w:rPr>
        <w:t>(31 Aralık 2024: 45.960.576 TL)  tutarındaki senetler T.C. Merkez Bankası’na ciro edilmiştir.</w:t>
      </w:r>
    </w:p>
    <w:bookmarkEnd w:id="35"/>
    <w:p w14:paraId="2EA076BE" w14:textId="77777777" w:rsidR="00315FAA" w:rsidRPr="001F224B" w:rsidRDefault="00315FAA" w:rsidP="00315FAA">
      <w:pPr>
        <w:tabs>
          <w:tab w:val="left" w:pos="567"/>
        </w:tabs>
        <w:spacing w:before="120" w:after="120"/>
        <w:rPr>
          <w:b/>
          <w:bCs/>
          <w:color w:val="FF0000"/>
          <w:sz w:val="22"/>
          <w:szCs w:val="22"/>
        </w:rPr>
      </w:pPr>
      <w:r w:rsidRPr="001F224B">
        <w:rPr>
          <w:b/>
          <w:bCs/>
          <w:sz w:val="22"/>
          <w:szCs w:val="22"/>
        </w:rPr>
        <w:t>2.b)</w:t>
      </w:r>
      <w:r w:rsidRPr="001F224B">
        <w:rPr>
          <w:b/>
          <w:bCs/>
          <w:sz w:val="22"/>
          <w:szCs w:val="22"/>
        </w:rPr>
        <w:tab/>
        <w:t>Alınan kredilerin vade ayrımına göre gösterilmesi:</w:t>
      </w:r>
    </w:p>
    <w:tbl>
      <w:tblPr>
        <w:tblW w:w="9739" w:type="dxa"/>
        <w:tblInd w:w="37" w:type="dxa"/>
        <w:tblLayout w:type="fixed"/>
        <w:tblCellMar>
          <w:left w:w="70" w:type="dxa"/>
          <w:right w:w="70" w:type="dxa"/>
        </w:tblCellMar>
        <w:tblLook w:val="00A0" w:firstRow="1" w:lastRow="0" w:firstColumn="1" w:lastColumn="0" w:noHBand="0" w:noVBand="0"/>
      </w:tblPr>
      <w:tblGrid>
        <w:gridCol w:w="4256"/>
        <w:gridCol w:w="1417"/>
        <w:gridCol w:w="1270"/>
        <w:gridCol w:w="1419"/>
        <w:gridCol w:w="1377"/>
      </w:tblGrid>
      <w:tr w:rsidR="00315FAA" w:rsidRPr="001F224B" w14:paraId="3DED1E3D" w14:textId="77777777" w:rsidTr="00AE60E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tcPr>
          <w:p w14:paraId="5CF813B7" w14:textId="77777777" w:rsidR="00315FAA" w:rsidRPr="001F224B" w:rsidRDefault="00315FAA" w:rsidP="003F7E51">
            <w:pPr>
              <w:rPr>
                <w:sz w:val="20"/>
                <w:szCs w:val="20"/>
              </w:rPr>
            </w:pPr>
            <w:r w:rsidRPr="001F224B">
              <w:rPr>
                <w:sz w:val="20"/>
                <w:szCs w:val="20"/>
              </w:rPr>
              <w:t> </w:t>
            </w:r>
          </w:p>
        </w:tc>
        <w:tc>
          <w:tcPr>
            <w:tcW w:w="2687" w:type="dxa"/>
            <w:gridSpan w:val="2"/>
            <w:tcBorders>
              <w:top w:val="single" w:sz="4" w:space="0" w:color="auto"/>
              <w:left w:val="nil"/>
              <w:bottom w:val="single" w:sz="4" w:space="0" w:color="auto"/>
              <w:right w:val="single" w:sz="4" w:space="0" w:color="auto"/>
            </w:tcBorders>
            <w:shd w:val="clear" w:color="000000" w:fill="FFFFFF"/>
            <w:vAlign w:val="bottom"/>
          </w:tcPr>
          <w:p w14:paraId="136A1284" w14:textId="77777777" w:rsidR="004C0676" w:rsidRPr="001F224B" w:rsidRDefault="004C0676" w:rsidP="004C0676">
            <w:pPr>
              <w:jc w:val="center"/>
              <w:rPr>
                <w:b/>
                <w:bCs/>
                <w:sz w:val="20"/>
                <w:szCs w:val="20"/>
              </w:rPr>
            </w:pPr>
            <w:r w:rsidRPr="001F224B">
              <w:rPr>
                <w:b/>
                <w:bCs/>
                <w:sz w:val="20"/>
                <w:szCs w:val="20"/>
              </w:rPr>
              <w:t xml:space="preserve">Cari Dönem </w:t>
            </w:r>
          </w:p>
          <w:p w14:paraId="4763681C" w14:textId="7D6AFD39" w:rsidR="00315FAA" w:rsidRPr="001F224B" w:rsidRDefault="004C0676" w:rsidP="004C0676">
            <w:pPr>
              <w:jc w:val="center"/>
              <w:rPr>
                <w:b/>
                <w:bCs/>
                <w:sz w:val="20"/>
                <w:szCs w:val="20"/>
              </w:rPr>
            </w:pPr>
            <w:r w:rsidRPr="001F224B">
              <w:rPr>
                <w:b/>
                <w:bCs/>
                <w:sz w:val="20"/>
                <w:szCs w:val="20"/>
              </w:rPr>
              <w:t>(3</w:t>
            </w:r>
            <w:r w:rsidR="00493273" w:rsidRPr="001F224B">
              <w:rPr>
                <w:b/>
                <w:bCs/>
                <w:sz w:val="20"/>
                <w:szCs w:val="20"/>
              </w:rPr>
              <w:t>0</w:t>
            </w:r>
            <w:r w:rsidRPr="001F224B">
              <w:rPr>
                <w:b/>
                <w:bCs/>
                <w:sz w:val="20"/>
                <w:szCs w:val="20"/>
              </w:rPr>
              <w:t>.</w:t>
            </w:r>
            <w:r w:rsidR="0022749C" w:rsidRPr="001F224B">
              <w:rPr>
                <w:b/>
                <w:bCs/>
                <w:sz w:val="20"/>
                <w:szCs w:val="20"/>
              </w:rPr>
              <w:t>0</w:t>
            </w:r>
            <w:r w:rsidR="00493273" w:rsidRPr="001F224B">
              <w:rPr>
                <w:b/>
                <w:bCs/>
                <w:sz w:val="20"/>
                <w:szCs w:val="20"/>
              </w:rPr>
              <w:t>6</w:t>
            </w:r>
            <w:r w:rsidRPr="001F224B">
              <w:rPr>
                <w:b/>
                <w:bCs/>
                <w:sz w:val="20"/>
                <w:szCs w:val="20"/>
              </w:rPr>
              <w:t>.202</w:t>
            </w:r>
            <w:r w:rsidR="0022749C" w:rsidRPr="001F224B">
              <w:rPr>
                <w:b/>
                <w:bCs/>
                <w:sz w:val="20"/>
                <w:szCs w:val="20"/>
              </w:rPr>
              <w:t>5</w:t>
            </w:r>
            <w:r w:rsidRPr="001F224B">
              <w:rPr>
                <w:b/>
                <w:bCs/>
                <w:sz w:val="20"/>
                <w:szCs w:val="20"/>
              </w:rPr>
              <w:t>)</w:t>
            </w:r>
          </w:p>
        </w:tc>
        <w:tc>
          <w:tcPr>
            <w:tcW w:w="2796" w:type="dxa"/>
            <w:gridSpan w:val="2"/>
            <w:tcBorders>
              <w:top w:val="single" w:sz="4" w:space="0" w:color="auto"/>
              <w:left w:val="nil"/>
              <w:bottom w:val="single" w:sz="4" w:space="0" w:color="auto"/>
              <w:right w:val="single" w:sz="4" w:space="0" w:color="auto"/>
            </w:tcBorders>
            <w:shd w:val="clear" w:color="000000" w:fill="FFFFFF"/>
            <w:vAlign w:val="bottom"/>
          </w:tcPr>
          <w:p w14:paraId="4B9DE731" w14:textId="77777777" w:rsidR="00315FAA" w:rsidRPr="001F224B" w:rsidRDefault="00315FAA" w:rsidP="003F7E51">
            <w:pPr>
              <w:jc w:val="center"/>
              <w:rPr>
                <w:b/>
                <w:bCs/>
                <w:sz w:val="20"/>
                <w:szCs w:val="20"/>
              </w:rPr>
            </w:pPr>
            <w:r w:rsidRPr="001F224B">
              <w:rPr>
                <w:b/>
                <w:bCs/>
                <w:sz w:val="20"/>
                <w:szCs w:val="20"/>
              </w:rPr>
              <w:t xml:space="preserve">Önceki Dönem </w:t>
            </w:r>
          </w:p>
          <w:p w14:paraId="03BB27A9" w14:textId="41CFD181" w:rsidR="00315FAA" w:rsidRPr="001F224B" w:rsidRDefault="00315FAA" w:rsidP="003F7E51">
            <w:pPr>
              <w:jc w:val="center"/>
              <w:rPr>
                <w:b/>
                <w:bCs/>
                <w:sz w:val="20"/>
                <w:szCs w:val="20"/>
              </w:rPr>
            </w:pPr>
            <w:r w:rsidRPr="001F224B">
              <w:rPr>
                <w:b/>
                <w:bCs/>
                <w:sz w:val="20"/>
                <w:szCs w:val="20"/>
              </w:rPr>
              <w:t xml:space="preserve"> (31.12.202</w:t>
            </w:r>
            <w:r w:rsidR="0022749C" w:rsidRPr="001F224B">
              <w:rPr>
                <w:b/>
                <w:bCs/>
                <w:sz w:val="20"/>
                <w:szCs w:val="20"/>
              </w:rPr>
              <w:t>4</w:t>
            </w:r>
            <w:r w:rsidRPr="001F224B">
              <w:rPr>
                <w:b/>
                <w:bCs/>
                <w:sz w:val="20"/>
                <w:szCs w:val="20"/>
              </w:rPr>
              <w:t>)</w:t>
            </w:r>
          </w:p>
        </w:tc>
      </w:tr>
      <w:tr w:rsidR="00315FAA" w:rsidRPr="001F224B" w14:paraId="16206E8F" w14:textId="77777777" w:rsidTr="00EC6E5D">
        <w:trPr>
          <w:trHeight w:val="255"/>
        </w:trPr>
        <w:tc>
          <w:tcPr>
            <w:tcW w:w="4256" w:type="dxa"/>
            <w:tcBorders>
              <w:top w:val="nil"/>
              <w:left w:val="single" w:sz="4" w:space="0" w:color="auto"/>
              <w:bottom w:val="single" w:sz="4" w:space="0" w:color="auto"/>
              <w:right w:val="single" w:sz="4" w:space="0" w:color="auto"/>
            </w:tcBorders>
            <w:shd w:val="clear" w:color="000000" w:fill="FFFFFF"/>
          </w:tcPr>
          <w:p w14:paraId="4CADEB91" w14:textId="77777777" w:rsidR="00315FAA" w:rsidRPr="001F224B" w:rsidRDefault="00315FAA" w:rsidP="003F7E51">
            <w:pPr>
              <w:rPr>
                <w:sz w:val="20"/>
                <w:szCs w:val="20"/>
              </w:rPr>
            </w:pPr>
            <w:r w:rsidRPr="001F224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4732F89C" w14:textId="77777777" w:rsidR="00315FAA" w:rsidRPr="001F224B" w:rsidRDefault="00315FAA" w:rsidP="003F7E51">
            <w:pPr>
              <w:jc w:val="center"/>
              <w:rPr>
                <w:b/>
                <w:bCs/>
                <w:sz w:val="20"/>
                <w:szCs w:val="20"/>
              </w:rPr>
            </w:pPr>
            <w:r w:rsidRPr="001F224B">
              <w:rPr>
                <w:b/>
                <w:bCs/>
                <w:sz w:val="20"/>
                <w:szCs w:val="20"/>
              </w:rPr>
              <w:t>TP</w:t>
            </w:r>
          </w:p>
        </w:tc>
        <w:tc>
          <w:tcPr>
            <w:tcW w:w="1270" w:type="dxa"/>
            <w:tcBorders>
              <w:top w:val="nil"/>
              <w:left w:val="nil"/>
              <w:bottom w:val="single" w:sz="4" w:space="0" w:color="auto"/>
              <w:right w:val="single" w:sz="4" w:space="0" w:color="auto"/>
            </w:tcBorders>
            <w:shd w:val="clear" w:color="000000" w:fill="FFFFFF"/>
            <w:vAlign w:val="bottom"/>
          </w:tcPr>
          <w:p w14:paraId="097857D6" w14:textId="77777777" w:rsidR="00315FAA" w:rsidRPr="001F224B" w:rsidRDefault="00315FAA" w:rsidP="003F7E51">
            <w:pPr>
              <w:jc w:val="center"/>
              <w:rPr>
                <w:b/>
                <w:bCs/>
                <w:sz w:val="20"/>
                <w:szCs w:val="20"/>
              </w:rPr>
            </w:pPr>
            <w:r w:rsidRPr="001F224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68CE5414" w14:textId="77777777" w:rsidR="00315FAA" w:rsidRPr="001F224B" w:rsidRDefault="00315FAA" w:rsidP="003F7E51">
            <w:pPr>
              <w:jc w:val="center"/>
              <w:rPr>
                <w:b/>
                <w:bCs/>
                <w:sz w:val="20"/>
                <w:szCs w:val="20"/>
              </w:rPr>
            </w:pPr>
            <w:r w:rsidRPr="001F224B">
              <w:rPr>
                <w:b/>
                <w:bCs/>
                <w:sz w:val="20"/>
                <w:szCs w:val="20"/>
              </w:rPr>
              <w:t>TP</w:t>
            </w:r>
          </w:p>
        </w:tc>
        <w:tc>
          <w:tcPr>
            <w:tcW w:w="1377" w:type="dxa"/>
            <w:tcBorders>
              <w:top w:val="nil"/>
              <w:left w:val="nil"/>
              <w:bottom w:val="single" w:sz="4" w:space="0" w:color="auto"/>
              <w:right w:val="single" w:sz="4" w:space="0" w:color="auto"/>
            </w:tcBorders>
            <w:shd w:val="clear" w:color="000000" w:fill="FFFFFF"/>
            <w:vAlign w:val="bottom"/>
          </w:tcPr>
          <w:p w14:paraId="4E7C6AF7" w14:textId="77777777" w:rsidR="00315FAA" w:rsidRPr="001F224B" w:rsidRDefault="00315FAA" w:rsidP="003F7E51">
            <w:pPr>
              <w:jc w:val="center"/>
              <w:rPr>
                <w:b/>
                <w:bCs/>
                <w:sz w:val="20"/>
                <w:szCs w:val="20"/>
              </w:rPr>
            </w:pPr>
            <w:r w:rsidRPr="001F224B">
              <w:rPr>
                <w:b/>
                <w:bCs/>
                <w:sz w:val="20"/>
                <w:szCs w:val="20"/>
              </w:rPr>
              <w:t>YP</w:t>
            </w:r>
          </w:p>
        </w:tc>
      </w:tr>
      <w:tr w:rsidR="00E92EA1" w:rsidRPr="001F224B" w14:paraId="4CFF6C99" w14:textId="77777777" w:rsidTr="00B24AF3">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53E1BD8" w14:textId="77777777" w:rsidR="00E92EA1" w:rsidRPr="001F224B" w:rsidRDefault="00E92EA1" w:rsidP="00E92EA1">
            <w:pPr>
              <w:ind w:firstLineChars="200" w:firstLine="400"/>
              <w:rPr>
                <w:sz w:val="20"/>
                <w:szCs w:val="20"/>
              </w:rPr>
            </w:pPr>
            <w:r w:rsidRPr="001F224B">
              <w:rPr>
                <w:sz w:val="20"/>
                <w:szCs w:val="20"/>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ABF1AA3" w14:textId="786E6925" w:rsidR="00E92EA1" w:rsidRPr="001F224B" w:rsidRDefault="00E92EA1" w:rsidP="00E92EA1">
            <w:pPr>
              <w:jc w:val="right"/>
              <w:rPr>
                <w:sz w:val="20"/>
                <w:szCs w:val="20"/>
              </w:rPr>
            </w:pPr>
            <w:r w:rsidRPr="001F224B">
              <w:rPr>
                <w:sz w:val="20"/>
                <w:szCs w:val="20"/>
              </w:rPr>
              <w:t>47.204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406DD215" w14:textId="1AE1B9E1" w:rsidR="00E92EA1" w:rsidRPr="001F224B" w:rsidRDefault="00E92EA1" w:rsidP="00E92EA1">
            <w:pPr>
              <w:jc w:val="right"/>
              <w:rPr>
                <w:sz w:val="20"/>
                <w:szCs w:val="20"/>
              </w:rPr>
            </w:pPr>
            <w:r w:rsidRPr="001F224B">
              <w:rPr>
                <w:sz w:val="20"/>
                <w:szCs w:val="20"/>
              </w:rPr>
              <w:t>1.506.715</w:t>
            </w:r>
          </w:p>
        </w:tc>
        <w:tc>
          <w:tcPr>
            <w:tcW w:w="1419" w:type="dxa"/>
            <w:tcBorders>
              <w:top w:val="single" w:sz="4" w:space="0" w:color="auto"/>
              <w:left w:val="single" w:sz="4" w:space="0" w:color="auto"/>
              <w:bottom w:val="single" w:sz="4" w:space="0" w:color="auto"/>
              <w:right w:val="single" w:sz="4" w:space="0" w:color="auto"/>
            </w:tcBorders>
            <w:shd w:val="clear" w:color="000000" w:fill="FFFFFF"/>
          </w:tcPr>
          <w:p w14:paraId="50213490" w14:textId="52C7DE81" w:rsidR="00E92EA1" w:rsidRPr="001F224B" w:rsidRDefault="00E92EA1" w:rsidP="00E92EA1">
            <w:pPr>
              <w:jc w:val="right"/>
              <w:rPr>
                <w:sz w:val="20"/>
                <w:szCs w:val="20"/>
              </w:rPr>
            </w:pPr>
            <w:r w:rsidRPr="001F224B">
              <w:rPr>
                <w:sz w:val="20"/>
                <w:szCs w:val="20"/>
              </w:rPr>
              <w:t xml:space="preserve"> 94.470 </w:t>
            </w:r>
          </w:p>
        </w:tc>
        <w:tc>
          <w:tcPr>
            <w:tcW w:w="1377" w:type="dxa"/>
            <w:tcBorders>
              <w:top w:val="single" w:sz="4" w:space="0" w:color="auto"/>
              <w:left w:val="nil"/>
              <w:bottom w:val="single" w:sz="4" w:space="0" w:color="auto"/>
              <w:right w:val="single" w:sz="4" w:space="0" w:color="auto"/>
            </w:tcBorders>
            <w:shd w:val="clear" w:color="000000" w:fill="FFFFFF"/>
          </w:tcPr>
          <w:p w14:paraId="24EA5659" w14:textId="6B7FFA92" w:rsidR="00E92EA1" w:rsidRPr="001F224B" w:rsidRDefault="00E92EA1" w:rsidP="00E92EA1">
            <w:pPr>
              <w:jc w:val="right"/>
              <w:rPr>
                <w:sz w:val="20"/>
                <w:szCs w:val="20"/>
              </w:rPr>
            </w:pPr>
            <w:r w:rsidRPr="001F224B">
              <w:rPr>
                <w:sz w:val="20"/>
                <w:szCs w:val="20"/>
              </w:rPr>
              <w:t>1.305.004</w:t>
            </w:r>
          </w:p>
        </w:tc>
      </w:tr>
      <w:tr w:rsidR="00E92EA1" w:rsidRPr="001F224B" w14:paraId="6E76870A" w14:textId="77777777" w:rsidTr="00B24AF3">
        <w:trPr>
          <w:trHeight w:val="255"/>
        </w:trPr>
        <w:tc>
          <w:tcPr>
            <w:tcW w:w="4256" w:type="dxa"/>
            <w:tcBorders>
              <w:top w:val="nil"/>
              <w:left w:val="single" w:sz="4" w:space="0" w:color="auto"/>
              <w:bottom w:val="nil"/>
              <w:right w:val="single" w:sz="4" w:space="0" w:color="auto"/>
            </w:tcBorders>
            <w:shd w:val="clear" w:color="000000" w:fill="FFFFFF"/>
            <w:vAlign w:val="bottom"/>
          </w:tcPr>
          <w:p w14:paraId="7DF6025E" w14:textId="77777777" w:rsidR="00E92EA1" w:rsidRPr="001F224B" w:rsidRDefault="00E92EA1" w:rsidP="00E92EA1">
            <w:pPr>
              <w:ind w:firstLineChars="200" w:firstLine="400"/>
              <w:rPr>
                <w:sz w:val="20"/>
                <w:szCs w:val="20"/>
              </w:rPr>
            </w:pPr>
            <w:r w:rsidRPr="001F224B">
              <w:rPr>
                <w:sz w:val="20"/>
                <w:szCs w:val="20"/>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1C5D9B7" w14:textId="2A77638E" w:rsidR="00E92EA1" w:rsidRPr="001F224B" w:rsidRDefault="00E92EA1" w:rsidP="00E92EA1">
            <w:pPr>
              <w:jc w:val="right"/>
              <w:rPr>
                <w:sz w:val="20"/>
                <w:szCs w:val="20"/>
              </w:rPr>
            </w:pPr>
            <w:r w:rsidRPr="001F224B">
              <w:rPr>
                <w:sz w:val="20"/>
                <w:szCs w:val="20"/>
              </w:rPr>
              <w:t>22.465.393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7E3E2E33" w14:textId="5C8B29D1" w:rsidR="00E92EA1" w:rsidRPr="001F224B" w:rsidRDefault="00E92EA1" w:rsidP="00E92EA1">
            <w:pPr>
              <w:jc w:val="right"/>
              <w:rPr>
                <w:sz w:val="20"/>
                <w:szCs w:val="20"/>
              </w:rPr>
            </w:pPr>
            <w:r w:rsidRPr="001F224B">
              <w:rPr>
                <w:sz w:val="20"/>
                <w:szCs w:val="20"/>
              </w:rPr>
              <w:t>102.379.742</w:t>
            </w:r>
          </w:p>
        </w:tc>
        <w:tc>
          <w:tcPr>
            <w:tcW w:w="1419" w:type="dxa"/>
            <w:tcBorders>
              <w:top w:val="single" w:sz="4" w:space="0" w:color="auto"/>
              <w:left w:val="single" w:sz="4" w:space="0" w:color="auto"/>
              <w:bottom w:val="single" w:sz="4" w:space="0" w:color="auto"/>
              <w:right w:val="single" w:sz="4" w:space="0" w:color="auto"/>
            </w:tcBorders>
            <w:shd w:val="clear" w:color="000000" w:fill="FFFFFF"/>
          </w:tcPr>
          <w:p w14:paraId="327F49DF" w14:textId="0A9D2113" w:rsidR="00E92EA1" w:rsidRPr="001F224B" w:rsidRDefault="00E92EA1" w:rsidP="00E92EA1">
            <w:pPr>
              <w:jc w:val="right"/>
              <w:rPr>
                <w:sz w:val="20"/>
                <w:szCs w:val="20"/>
              </w:rPr>
            </w:pPr>
            <w:r w:rsidRPr="001F224B">
              <w:rPr>
                <w:sz w:val="20"/>
                <w:szCs w:val="20"/>
              </w:rPr>
              <w:t>21.809.980</w:t>
            </w:r>
          </w:p>
        </w:tc>
        <w:tc>
          <w:tcPr>
            <w:tcW w:w="1377" w:type="dxa"/>
            <w:tcBorders>
              <w:top w:val="single" w:sz="4" w:space="0" w:color="auto"/>
              <w:left w:val="nil"/>
              <w:bottom w:val="single" w:sz="4" w:space="0" w:color="auto"/>
              <w:right w:val="single" w:sz="4" w:space="0" w:color="auto"/>
            </w:tcBorders>
            <w:shd w:val="clear" w:color="000000" w:fill="FFFFFF"/>
          </w:tcPr>
          <w:p w14:paraId="5841C6DA" w14:textId="3322CCF9" w:rsidR="00E92EA1" w:rsidRPr="001F224B" w:rsidRDefault="00E92EA1" w:rsidP="00E92EA1">
            <w:pPr>
              <w:jc w:val="right"/>
              <w:rPr>
                <w:sz w:val="20"/>
                <w:szCs w:val="20"/>
              </w:rPr>
            </w:pPr>
            <w:r w:rsidRPr="001F224B">
              <w:rPr>
                <w:sz w:val="20"/>
                <w:szCs w:val="20"/>
              </w:rPr>
              <w:t>85.075.397</w:t>
            </w:r>
          </w:p>
        </w:tc>
      </w:tr>
      <w:tr w:rsidR="00E92EA1" w:rsidRPr="001F224B" w14:paraId="07CDD4BD" w14:textId="77777777" w:rsidTr="00B24AF3">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4276F69" w14:textId="77777777" w:rsidR="00E92EA1" w:rsidRPr="001F224B" w:rsidRDefault="00E92EA1" w:rsidP="00E92EA1">
            <w:pPr>
              <w:rPr>
                <w:b/>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7E9F4D3" w14:textId="0805CB06" w:rsidR="00E92EA1" w:rsidRPr="001F224B" w:rsidRDefault="00E92EA1" w:rsidP="00E92EA1">
            <w:pPr>
              <w:jc w:val="right"/>
              <w:rPr>
                <w:b/>
                <w:bCs/>
                <w:sz w:val="20"/>
                <w:szCs w:val="20"/>
              </w:rPr>
            </w:pPr>
            <w:r w:rsidRPr="001F224B">
              <w:rPr>
                <w:b/>
                <w:bCs/>
                <w:sz w:val="20"/>
                <w:szCs w:val="20"/>
              </w:rPr>
              <w:t>22.512.597</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356208C9" w14:textId="7B43A1B1" w:rsidR="00E92EA1" w:rsidRPr="001F224B" w:rsidRDefault="00E92EA1" w:rsidP="00E92EA1">
            <w:pPr>
              <w:jc w:val="right"/>
              <w:rPr>
                <w:b/>
                <w:bCs/>
                <w:sz w:val="20"/>
                <w:szCs w:val="20"/>
              </w:rPr>
            </w:pPr>
            <w:r w:rsidRPr="001F224B">
              <w:rPr>
                <w:b/>
                <w:bCs/>
                <w:sz w:val="20"/>
                <w:szCs w:val="20"/>
              </w:rPr>
              <w:t>103.886.457</w:t>
            </w:r>
          </w:p>
        </w:tc>
        <w:tc>
          <w:tcPr>
            <w:tcW w:w="1419" w:type="dxa"/>
            <w:tcBorders>
              <w:top w:val="single" w:sz="4" w:space="0" w:color="auto"/>
              <w:left w:val="single" w:sz="4" w:space="0" w:color="auto"/>
              <w:bottom w:val="single" w:sz="4" w:space="0" w:color="auto"/>
              <w:right w:val="single" w:sz="4" w:space="0" w:color="auto"/>
            </w:tcBorders>
            <w:shd w:val="clear" w:color="000000" w:fill="FFFFFF"/>
          </w:tcPr>
          <w:p w14:paraId="0CF7E176" w14:textId="788D0E03" w:rsidR="00E92EA1" w:rsidRPr="001F224B" w:rsidRDefault="00E92EA1" w:rsidP="00E92EA1">
            <w:pPr>
              <w:jc w:val="right"/>
              <w:rPr>
                <w:b/>
                <w:sz w:val="20"/>
                <w:szCs w:val="20"/>
              </w:rPr>
            </w:pPr>
            <w:r w:rsidRPr="001F224B">
              <w:rPr>
                <w:b/>
                <w:bCs/>
                <w:sz w:val="20"/>
                <w:szCs w:val="20"/>
              </w:rPr>
              <w:t>21.904.450</w:t>
            </w:r>
          </w:p>
        </w:tc>
        <w:tc>
          <w:tcPr>
            <w:tcW w:w="1377" w:type="dxa"/>
            <w:tcBorders>
              <w:top w:val="single" w:sz="4" w:space="0" w:color="auto"/>
              <w:left w:val="nil"/>
              <w:bottom w:val="single" w:sz="4" w:space="0" w:color="auto"/>
              <w:right w:val="single" w:sz="4" w:space="0" w:color="auto"/>
            </w:tcBorders>
            <w:shd w:val="clear" w:color="000000" w:fill="FFFFFF"/>
          </w:tcPr>
          <w:p w14:paraId="1C912890" w14:textId="2995FA68" w:rsidR="00E92EA1" w:rsidRPr="001F224B" w:rsidRDefault="00E92EA1" w:rsidP="00E92EA1">
            <w:pPr>
              <w:jc w:val="right"/>
              <w:rPr>
                <w:b/>
                <w:sz w:val="20"/>
                <w:szCs w:val="20"/>
              </w:rPr>
            </w:pPr>
            <w:r w:rsidRPr="001F224B">
              <w:rPr>
                <w:b/>
                <w:bCs/>
                <w:sz w:val="20"/>
                <w:szCs w:val="20"/>
              </w:rPr>
              <w:t>86.380.401</w:t>
            </w:r>
          </w:p>
        </w:tc>
      </w:tr>
    </w:tbl>
    <w:p w14:paraId="7E670184" w14:textId="77777777" w:rsidR="00315FAA" w:rsidRPr="001F224B" w:rsidRDefault="00315FAA" w:rsidP="00315FAA">
      <w:pPr>
        <w:pStyle w:val="BodyText3"/>
        <w:tabs>
          <w:tab w:val="clear" w:pos="539"/>
          <w:tab w:val="clear" w:pos="5310"/>
          <w:tab w:val="clear" w:pos="7560"/>
          <w:tab w:val="center" w:pos="0"/>
          <w:tab w:val="left" w:pos="567"/>
        </w:tabs>
        <w:spacing w:before="80"/>
        <w:jc w:val="both"/>
        <w:rPr>
          <w:b/>
          <w:bCs/>
          <w:iCs/>
          <w:sz w:val="22"/>
          <w:szCs w:val="22"/>
        </w:rPr>
      </w:pPr>
      <w:r w:rsidRPr="001F224B">
        <w:rPr>
          <w:b/>
          <w:bCs/>
          <w:sz w:val="22"/>
          <w:szCs w:val="22"/>
        </w:rPr>
        <w:t>2.</w:t>
      </w:r>
      <w:r w:rsidRPr="001F224B">
        <w:rPr>
          <w:b/>
          <w:bCs/>
          <w:iCs/>
          <w:sz w:val="22"/>
          <w:szCs w:val="22"/>
        </w:rPr>
        <w:t>c)</w:t>
      </w:r>
      <w:r w:rsidRPr="001F224B">
        <w:rPr>
          <w:b/>
          <w:bCs/>
          <w:iCs/>
          <w:sz w:val="22"/>
          <w:szCs w:val="22"/>
        </w:rPr>
        <w:tab/>
        <w:t>Banka’nın yükümlülüklerinin yoğunlaştığı alanlara ilişkin ilave açıklamalar:</w:t>
      </w:r>
    </w:p>
    <w:p w14:paraId="50B22142" w14:textId="77777777" w:rsidR="00315FAA" w:rsidRPr="001F224B" w:rsidRDefault="00315FAA" w:rsidP="00315FAA">
      <w:pPr>
        <w:pStyle w:val="BodybyBD"/>
        <w:keepLines w:val="0"/>
        <w:widowControl w:val="0"/>
        <w:tabs>
          <w:tab w:val="left" w:pos="567"/>
        </w:tabs>
        <w:spacing w:before="80" w:after="0"/>
        <w:ind w:left="567"/>
        <w:rPr>
          <w:noProof/>
        </w:rPr>
      </w:pPr>
      <w:r w:rsidRPr="001F224B">
        <w:rPr>
          <w:noProof/>
        </w:rPr>
        <w:t>Banka mevduat kabulüne yetkili olmayıp finansal tablolarında yer alan yükümlülükler yurt içi ve yurt dışı finansal kuruluşlardan sağlanan fonlar, orta ve uzun vadeli krediler, ihraç edilen menkul kıymetler ile sermaye benzeri borçlanma araçlarından oluşmaktadır.</w:t>
      </w:r>
    </w:p>
    <w:p w14:paraId="14873E79" w14:textId="7DCD2E31" w:rsidR="00A3338E" w:rsidRPr="001F224B" w:rsidRDefault="00A3338E" w:rsidP="00A3338E">
      <w:pPr>
        <w:pStyle w:val="BodybyBD"/>
        <w:keepLines w:val="0"/>
        <w:widowControl w:val="0"/>
        <w:tabs>
          <w:tab w:val="left" w:pos="567"/>
        </w:tabs>
        <w:spacing w:before="80" w:after="0"/>
        <w:ind w:left="567"/>
      </w:pPr>
      <w:r w:rsidRPr="001F224B">
        <w:t>Yurt dışı finansman kuruluşlarından sağlanan kredilerin büyük kısmı Dünya Bankası, Avrupa Yatırım Bankası, Avrupa Konseyi Kalkınma Bankası, İslam Kalkınma Bankası,</w:t>
      </w:r>
      <w:r w:rsidR="001810C4" w:rsidRPr="001F224B">
        <w:t xml:space="preserve"> Uluslararası İslami Ticaret Finansman Kuruluşu,</w:t>
      </w:r>
      <w:r w:rsidRPr="001F224B">
        <w:t xml:space="preserve"> Karadeniz Ticaret ve Kalkınma Bankası, Alman Kalkınma Bankası, Asya Altyapı Yatırım Bankası, Japonya Uluslararası İşbirliği Bankası ve Çin Kalkınma Bankası’ndan sağlanan kredilerinden oluşmaktadır. Yurt içinden sağlanan krediler ise </w:t>
      </w:r>
      <w:r w:rsidR="00A94BA9" w:rsidRPr="001F224B">
        <w:t xml:space="preserve">T.C. Hazine </w:t>
      </w:r>
      <w:r w:rsidRPr="001F224B">
        <w:t>ve Maliye Bakanlığı ile Türkiye Cumhuriyet Merkez Bankası kaynaklıdır.</w:t>
      </w:r>
    </w:p>
    <w:p w14:paraId="51AF9ED6" w14:textId="77777777" w:rsidR="00315FAA" w:rsidRPr="001F224B" w:rsidRDefault="00315FAA" w:rsidP="00315FAA">
      <w:pPr>
        <w:pStyle w:val="BodybyBD"/>
        <w:keepLines w:val="0"/>
        <w:widowControl w:val="0"/>
        <w:tabs>
          <w:tab w:val="left" w:pos="567"/>
        </w:tabs>
        <w:spacing w:before="80" w:after="80"/>
        <w:rPr>
          <w:b/>
        </w:rPr>
      </w:pPr>
      <w:r w:rsidRPr="001F224B">
        <w:rPr>
          <w:b/>
        </w:rPr>
        <w:t>3.</w:t>
      </w:r>
      <w:r w:rsidRPr="001F224B">
        <w:rPr>
          <w:b/>
        </w:rPr>
        <w:tab/>
        <w:t>Para piyasalarına borçlara ilişkin açıklamalar:</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56"/>
        <w:gridCol w:w="1417"/>
        <w:gridCol w:w="1298"/>
        <w:gridCol w:w="1419"/>
        <w:gridCol w:w="1349"/>
      </w:tblGrid>
      <w:tr w:rsidR="00315FAA" w:rsidRPr="001F224B" w14:paraId="1886E205" w14:textId="77777777" w:rsidTr="00AE60E1">
        <w:trPr>
          <w:trHeight w:val="255"/>
        </w:trPr>
        <w:tc>
          <w:tcPr>
            <w:tcW w:w="4256" w:type="dxa"/>
            <w:shd w:val="clear" w:color="000000" w:fill="FFFFFF"/>
          </w:tcPr>
          <w:p w14:paraId="596D54BA" w14:textId="77777777" w:rsidR="00315FAA" w:rsidRPr="001F224B" w:rsidRDefault="00315FAA" w:rsidP="003F7E51">
            <w:pPr>
              <w:rPr>
                <w:sz w:val="20"/>
                <w:szCs w:val="20"/>
              </w:rPr>
            </w:pPr>
            <w:r w:rsidRPr="001F224B">
              <w:rPr>
                <w:sz w:val="20"/>
                <w:szCs w:val="20"/>
              </w:rPr>
              <w:t> </w:t>
            </w:r>
          </w:p>
        </w:tc>
        <w:tc>
          <w:tcPr>
            <w:tcW w:w="2715" w:type="dxa"/>
            <w:gridSpan w:val="2"/>
            <w:shd w:val="clear" w:color="000000" w:fill="FFFFFF"/>
            <w:vAlign w:val="bottom"/>
          </w:tcPr>
          <w:p w14:paraId="1B5D5300" w14:textId="77777777" w:rsidR="004C0676" w:rsidRPr="001F224B" w:rsidRDefault="004C0676" w:rsidP="004C0676">
            <w:pPr>
              <w:jc w:val="center"/>
              <w:rPr>
                <w:b/>
                <w:bCs/>
                <w:sz w:val="20"/>
                <w:szCs w:val="20"/>
              </w:rPr>
            </w:pPr>
            <w:r w:rsidRPr="001F224B">
              <w:rPr>
                <w:b/>
                <w:bCs/>
                <w:sz w:val="20"/>
                <w:szCs w:val="20"/>
              </w:rPr>
              <w:t xml:space="preserve">Cari Dönem </w:t>
            </w:r>
          </w:p>
          <w:p w14:paraId="209CFB46" w14:textId="38A88370" w:rsidR="00315FAA" w:rsidRPr="001F224B" w:rsidRDefault="004C0676" w:rsidP="004C0676">
            <w:pPr>
              <w:jc w:val="center"/>
              <w:rPr>
                <w:b/>
                <w:bCs/>
                <w:sz w:val="20"/>
                <w:szCs w:val="20"/>
              </w:rPr>
            </w:pPr>
            <w:r w:rsidRPr="001F224B">
              <w:rPr>
                <w:b/>
                <w:bCs/>
                <w:sz w:val="20"/>
                <w:szCs w:val="20"/>
              </w:rPr>
              <w:t>(3</w:t>
            </w:r>
            <w:r w:rsidR="00E10308" w:rsidRPr="001F224B">
              <w:rPr>
                <w:b/>
                <w:bCs/>
                <w:sz w:val="20"/>
                <w:szCs w:val="20"/>
              </w:rPr>
              <w:t>0</w:t>
            </w:r>
            <w:r w:rsidRPr="001F224B">
              <w:rPr>
                <w:b/>
                <w:bCs/>
                <w:sz w:val="20"/>
                <w:szCs w:val="20"/>
              </w:rPr>
              <w:t>.</w:t>
            </w:r>
            <w:r w:rsidR="0022749C" w:rsidRPr="001F224B">
              <w:rPr>
                <w:b/>
                <w:bCs/>
                <w:sz w:val="20"/>
                <w:szCs w:val="20"/>
              </w:rPr>
              <w:t>0</w:t>
            </w:r>
            <w:r w:rsidR="00E10308" w:rsidRPr="001F224B">
              <w:rPr>
                <w:b/>
                <w:bCs/>
                <w:sz w:val="20"/>
                <w:szCs w:val="20"/>
              </w:rPr>
              <w:t>6</w:t>
            </w:r>
            <w:r w:rsidRPr="001F224B">
              <w:rPr>
                <w:b/>
                <w:bCs/>
                <w:sz w:val="20"/>
                <w:szCs w:val="20"/>
              </w:rPr>
              <w:t>.202</w:t>
            </w:r>
            <w:r w:rsidR="0022749C" w:rsidRPr="001F224B">
              <w:rPr>
                <w:b/>
                <w:bCs/>
                <w:sz w:val="20"/>
                <w:szCs w:val="20"/>
              </w:rPr>
              <w:t>5</w:t>
            </w:r>
            <w:r w:rsidRPr="001F224B">
              <w:rPr>
                <w:b/>
                <w:bCs/>
                <w:sz w:val="20"/>
                <w:szCs w:val="20"/>
              </w:rPr>
              <w:t>)</w:t>
            </w:r>
          </w:p>
        </w:tc>
        <w:tc>
          <w:tcPr>
            <w:tcW w:w="2768" w:type="dxa"/>
            <w:gridSpan w:val="2"/>
            <w:shd w:val="clear" w:color="000000" w:fill="FFFFFF"/>
            <w:vAlign w:val="bottom"/>
          </w:tcPr>
          <w:p w14:paraId="41606407" w14:textId="77777777" w:rsidR="00315FAA" w:rsidRPr="001F224B" w:rsidRDefault="00315FAA" w:rsidP="003F7E51">
            <w:pPr>
              <w:jc w:val="center"/>
              <w:rPr>
                <w:b/>
                <w:bCs/>
                <w:sz w:val="20"/>
                <w:szCs w:val="20"/>
              </w:rPr>
            </w:pPr>
            <w:r w:rsidRPr="001F224B">
              <w:rPr>
                <w:b/>
                <w:bCs/>
                <w:sz w:val="20"/>
                <w:szCs w:val="20"/>
              </w:rPr>
              <w:t xml:space="preserve">Önceki Dönem </w:t>
            </w:r>
          </w:p>
          <w:p w14:paraId="29EA31D8" w14:textId="05539CE9" w:rsidR="00315FAA" w:rsidRPr="001F224B" w:rsidRDefault="00315FAA" w:rsidP="003F7E51">
            <w:pPr>
              <w:jc w:val="center"/>
              <w:rPr>
                <w:b/>
                <w:bCs/>
                <w:sz w:val="20"/>
                <w:szCs w:val="20"/>
              </w:rPr>
            </w:pPr>
            <w:r w:rsidRPr="001F224B">
              <w:rPr>
                <w:b/>
                <w:bCs/>
                <w:sz w:val="20"/>
                <w:szCs w:val="20"/>
              </w:rPr>
              <w:t xml:space="preserve"> (31.12.202</w:t>
            </w:r>
            <w:r w:rsidR="0022749C" w:rsidRPr="001F224B">
              <w:rPr>
                <w:b/>
                <w:bCs/>
                <w:sz w:val="20"/>
                <w:szCs w:val="20"/>
              </w:rPr>
              <w:t>4</w:t>
            </w:r>
            <w:r w:rsidRPr="001F224B">
              <w:rPr>
                <w:b/>
                <w:bCs/>
                <w:sz w:val="20"/>
                <w:szCs w:val="20"/>
              </w:rPr>
              <w:t>)</w:t>
            </w:r>
          </w:p>
        </w:tc>
      </w:tr>
      <w:tr w:rsidR="00315FAA" w:rsidRPr="001F224B" w14:paraId="08303437" w14:textId="77777777" w:rsidTr="00A1308E">
        <w:trPr>
          <w:trHeight w:val="370"/>
        </w:trPr>
        <w:tc>
          <w:tcPr>
            <w:tcW w:w="4256" w:type="dxa"/>
            <w:shd w:val="clear" w:color="000000" w:fill="FFFFFF"/>
          </w:tcPr>
          <w:p w14:paraId="0999964A" w14:textId="77777777" w:rsidR="00315FAA" w:rsidRPr="001F224B" w:rsidRDefault="00315FAA" w:rsidP="003F7E51">
            <w:pPr>
              <w:rPr>
                <w:sz w:val="20"/>
                <w:szCs w:val="20"/>
              </w:rPr>
            </w:pPr>
            <w:r w:rsidRPr="001F224B">
              <w:rPr>
                <w:sz w:val="20"/>
                <w:szCs w:val="20"/>
              </w:rPr>
              <w:t> </w:t>
            </w:r>
          </w:p>
        </w:tc>
        <w:tc>
          <w:tcPr>
            <w:tcW w:w="1417" w:type="dxa"/>
            <w:tcBorders>
              <w:bottom w:val="single" w:sz="4" w:space="0" w:color="auto"/>
            </w:tcBorders>
            <w:shd w:val="clear" w:color="000000" w:fill="FFFFFF"/>
            <w:vAlign w:val="bottom"/>
          </w:tcPr>
          <w:p w14:paraId="64273866" w14:textId="77777777" w:rsidR="00315FAA" w:rsidRPr="001F224B" w:rsidRDefault="00315FAA" w:rsidP="003F7E51">
            <w:pPr>
              <w:jc w:val="center"/>
              <w:rPr>
                <w:b/>
                <w:bCs/>
                <w:sz w:val="20"/>
                <w:szCs w:val="20"/>
              </w:rPr>
            </w:pPr>
            <w:r w:rsidRPr="001F224B">
              <w:rPr>
                <w:b/>
                <w:bCs/>
                <w:sz w:val="20"/>
                <w:szCs w:val="20"/>
              </w:rPr>
              <w:t>TP</w:t>
            </w:r>
          </w:p>
        </w:tc>
        <w:tc>
          <w:tcPr>
            <w:tcW w:w="1298" w:type="dxa"/>
            <w:tcBorders>
              <w:bottom w:val="single" w:sz="4" w:space="0" w:color="auto"/>
            </w:tcBorders>
            <w:shd w:val="clear" w:color="000000" w:fill="FFFFFF"/>
            <w:vAlign w:val="bottom"/>
          </w:tcPr>
          <w:p w14:paraId="4FAB7EA4" w14:textId="77777777" w:rsidR="00315FAA" w:rsidRPr="001F224B" w:rsidRDefault="00315FAA" w:rsidP="003F7E51">
            <w:pPr>
              <w:jc w:val="center"/>
              <w:rPr>
                <w:b/>
                <w:bCs/>
                <w:sz w:val="20"/>
                <w:szCs w:val="20"/>
              </w:rPr>
            </w:pPr>
            <w:r w:rsidRPr="001F224B">
              <w:rPr>
                <w:b/>
                <w:bCs/>
                <w:sz w:val="20"/>
                <w:szCs w:val="20"/>
              </w:rPr>
              <w:t>YP</w:t>
            </w:r>
          </w:p>
        </w:tc>
        <w:tc>
          <w:tcPr>
            <w:tcW w:w="1419" w:type="dxa"/>
            <w:shd w:val="clear" w:color="000000" w:fill="FFFFFF"/>
            <w:vAlign w:val="bottom"/>
          </w:tcPr>
          <w:p w14:paraId="01262E67" w14:textId="77777777" w:rsidR="00315FAA" w:rsidRPr="001F224B" w:rsidRDefault="00315FAA" w:rsidP="003F7E51">
            <w:pPr>
              <w:jc w:val="center"/>
              <w:rPr>
                <w:b/>
                <w:bCs/>
                <w:sz w:val="20"/>
                <w:szCs w:val="20"/>
              </w:rPr>
            </w:pPr>
            <w:r w:rsidRPr="001F224B">
              <w:rPr>
                <w:b/>
                <w:bCs/>
                <w:sz w:val="20"/>
                <w:szCs w:val="20"/>
              </w:rPr>
              <w:t>TP</w:t>
            </w:r>
          </w:p>
        </w:tc>
        <w:tc>
          <w:tcPr>
            <w:tcW w:w="1349" w:type="dxa"/>
            <w:shd w:val="clear" w:color="000000" w:fill="FFFFFF"/>
            <w:vAlign w:val="bottom"/>
          </w:tcPr>
          <w:p w14:paraId="30CECA36" w14:textId="77777777" w:rsidR="00315FAA" w:rsidRPr="001F224B" w:rsidRDefault="00315FAA" w:rsidP="003F7E51">
            <w:pPr>
              <w:jc w:val="center"/>
              <w:rPr>
                <w:b/>
                <w:bCs/>
                <w:sz w:val="20"/>
                <w:szCs w:val="20"/>
              </w:rPr>
            </w:pPr>
            <w:r w:rsidRPr="001F224B">
              <w:rPr>
                <w:b/>
                <w:bCs/>
                <w:sz w:val="20"/>
                <w:szCs w:val="20"/>
              </w:rPr>
              <w:t>YP</w:t>
            </w:r>
          </w:p>
        </w:tc>
      </w:tr>
      <w:tr w:rsidR="004D44F7" w:rsidRPr="001F224B" w14:paraId="7F01344C" w14:textId="77777777" w:rsidTr="00E92EA1">
        <w:trPr>
          <w:trHeight w:val="255"/>
        </w:trPr>
        <w:tc>
          <w:tcPr>
            <w:tcW w:w="4256" w:type="dxa"/>
            <w:shd w:val="clear" w:color="000000" w:fill="FFFFFF"/>
            <w:vAlign w:val="bottom"/>
          </w:tcPr>
          <w:p w14:paraId="3C4FE29B" w14:textId="6544D22C" w:rsidR="004D44F7" w:rsidRPr="001F224B" w:rsidRDefault="004D44F7" w:rsidP="004D44F7">
            <w:pPr>
              <w:ind w:firstLineChars="200" w:firstLine="400"/>
              <w:rPr>
                <w:sz w:val="20"/>
                <w:szCs w:val="20"/>
              </w:rPr>
            </w:pPr>
            <w:r w:rsidRPr="001F224B">
              <w:rPr>
                <w:sz w:val="20"/>
                <w:szCs w:val="20"/>
              </w:rPr>
              <w:t xml:space="preserve">Para Piyasalarına Borçlar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B5347A" w14:textId="5A01830B" w:rsidR="004D44F7" w:rsidRPr="001F224B" w:rsidRDefault="00E92EA1" w:rsidP="004D44F7">
            <w:pPr>
              <w:jc w:val="right"/>
              <w:rPr>
                <w:color w:val="000000"/>
                <w:sz w:val="20"/>
                <w:szCs w:val="20"/>
              </w:rPr>
            </w:pPr>
            <w:r w:rsidRPr="001F224B">
              <w:rPr>
                <w:color w:val="000000"/>
                <w:sz w:val="20"/>
                <w:szCs w:val="20"/>
              </w:rPr>
              <w:t>-</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45AB1E83" w14:textId="114BB40F" w:rsidR="004D44F7" w:rsidRPr="001F224B" w:rsidRDefault="004D44F7" w:rsidP="004D44F7">
            <w:pPr>
              <w:jc w:val="right"/>
              <w:rPr>
                <w:color w:val="000000"/>
                <w:sz w:val="20"/>
                <w:szCs w:val="20"/>
              </w:rPr>
            </w:pPr>
            <w:r w:rsidRPr="001F224B">
              <w:rPr>
                <w:color w:val="000000"/>
                <w:sz w:val="20"/>
                <w:szCs w:val="20"/>
              </w:rPr>
              <w:t>-</w:t>
            </w:r>
          </w:p>
        </w:tc>
        <w:tc>
          <w:tcPr>
            <w:tcW w:w="1419" w:type="dxa"/>
            <w:tcBorders>
              <w:left w:val="single" w:sz="4" w:space="0" w:color="auto"/>
            </w:tcBorders>
            <w:shd w:val="clear" w:color="000000" w:fill="FFFFFF"/>
            <w:vAlign w:val="center"/>
          </w:tcPr>
          <w:p w14:paraId="50BE5A89" w14:textId="1221A7E3" w:rsidR="004D44F7" w:rsidRPr="001F224B" w:rsidRDefault="004D44F7" w:rsidP="004D44F7">
            <w:pPr>
              <w:jc w:val="right"/>
              <w:rPr>
                <w:sz w:val="20"/>
                <w:szCs w:val="20"/>
              </w:rPr>
            </w:pPr>
            <w:r w:rsidRPr="001F224B">
              <w:rPr>
                <w:color w:val="000000"/>
                <w:sz w:val="20"/>
                <w:szCs w:val="20"/>
              </w:rPr>
              <w:t>115.332</w:t>
            </w:r>
          </w:p>
        </w:tc>
        <w:tc>
          <w:tcPr>
            <w:tcW w:w="1349" w:type="dxa"/>
            <w:shd w:val="clear" w:color="000000" w:fill="FFFFFF"/>
            <w:vAlign w:val="center"/>
          </w:tcPr>
          <w:p w14:paraId="31A41688" w14:textId="17FC29DF" w:rsidR="004D44F7" w:rsidRPr="001F224B" w:rsidRDefault="004D44F7" w:rsidP="004D44F7">
            <w:pPr>
              <w:jc w:val="right"/>
              <w:rPr>
                <w:sz w:val="20"/>
                <w:szCs w:val="20"/>
              </w:rPr>
            </w:pPr>
            <w:r w:rsidRPr="001F224B">
              <w:rPr>
                <w:sz w:val="20"/>
                <w:szCs w:val="20"/>
              </w:rPr>
              <w:t>-</w:t>
            </w:r>
          </w:p>
        </w:tc>
      </w:tr>
      <w:tr w:rsidR="00BF70F1" w:rsidRPr="001F224B" w14:paraId="30A736EC" w14:textId="77777777" w:rsidTr="00E92EA1">
        <w:trPr>
          <w:trHeight w:val="255"/>
        </w:trPr>
        <w:tc>
          <w:tcPr>
            <w:tcW w:w="4256" w:type="dxa"/>
            <w:shd w:val="clear" w:color="000000" w:fill="FFFFFF"/>
            <w:vAlign w:val="bottom"/>
          </w:tcPr>
          <w:p w14:paraId="5474554E" w14:textId="13D5A9D4" w:rsidR="00BF70F1" w:rsidRPr="001F224B" w:rsidRDefault="00BF70F1" w:rsidP="00BF70F1">
            <w:pPr>
              <w:ind w:firstLineChars="200" w:firstLine="400"/>
              <w:rPr>
                <w:sz w:val="20"/>
                <w:szCs w:val="20"/>
              </w:rPr>
            </w:pPr>
            <w:r w:rsidRPr="001F224B">
              <w:rPr>
                <w:sz w:val="20"/>
                <w:szCs w:val="20"/>
              </w:rPr>
              <w:t xml:space="preserve">Repo İşlemlerinden Sağlanan Fonlar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DF97E5C" w14:textId="1AF22703" w:rsidR="00BF70F1" w:rsidRPr="001F224B" w:rsidRDefault="00BF70F1" w:rsidP="00BF70F1">
            <w:pPr>
              <w:jc w:val="right"/>
              <w:rPr>
                <w:color w:val="000000"/>
                <w:sz w:val="20"/>
                <w:szCs w:val="20"/>
              </w:rPr>
            </w:pPr>
            <w:r w:rsidRPr="001F224B">
              <w:rPr>
                <w:color w:val="000000"/>
                <w:sz w:val="20"/>
                <w:szCs w:val="20"/>
              </w:rPr>
              <w:t>4.108.625</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37715960" w14:textId="5EE2704F" w:rsidR="00BF70F1" w:rsidRPr="001F224B" w:rsidRDefault="00BF70F1" w:rsidP="00BF70F1">
            <w:pPr>
              <w:jc w:val="right"/>
              <w:rPr>
                <w:color w:val="000000"/>
                <w:sz w:val="20"/>
                <w:szCs w:val="20"/>
              </w:rPr>
            </w:pPr>
            <w:r w:rsidRPr="001F224B">
              <w:rPr>
                <w:color w:val="000000"/>
                <w:sz w:val="20"/>
                <w:szCs w:val="20"/>
              </w:rPr>
              <w:t>43.725</w:t>
            </w:r>
          </w:p>
        </w:tc>
        <w:tc>
          <w:tcPr>
            <w:tcW w:w="1419" w:type="dxa"/>
            <w:tcBorders>
              <w:left w:val="single" w:sz="4" w:space="0" w:color="auto"/>
            </w:tcBorders>
            <w:shd w:val="clear" w:color="000000" w:fill="FFFFFF"/>
            <w:vAlign w:val="center"/>
          </w:tcPr>
          <w:p w14:paraId="127E9C6F" w14:textId="6C9AE14A" w:rsidR="00BF70F1" w:rsidRPr="001F224B" w:rsidRDefault="00BF70F1" w:rsidP="00BF70F1">
            <w:pPr>
              <w:jc w:val="right"/>
              <w:rPr>
                <w:sz w:val="20"/>
                <w:szCs w:val="20"/>
              </w:rPr>
            </w:pPr>
            <w:r w:rsidRPr="001F224B">
              <w:rPr>
                <w:color w:val="000000"/>
                <w:sz w:val="20"/>
                <w:szCs w:val="20"/>
              </w:rPr>
              <w:t>3.299.685</w:t>
            </w:r>
          </w:p>
        </w:tc>
        <w:tc>
          <w:tcPr>
            <w:tcW w:w="1349" w:type="dxa"/>
            <w:shd w:val="clear" w:color="000000" w:fill="FFFFFF"/>
            <w:vAlign w:val="center"/>
          </w:tcPr>
          <w:p w14:paraId="1E43F8A9" w14:textId="03793BBD" w:rsidR="00BF70F1" w:rsidRPr="001F224B" w:rsidRDefault="00BF70F1" w:rsidP="00BF70F1">
            <w:pPr>
              <w:jc w:val="right"/>
              <w:rPr>
                <w:sz w:val="20"/>
                <w:szCs w:val="20"/>
              </w:rPr>
            </w:pPr>
            <w:r w:rsidRPr="001F224B">
              <w:rPr>
                <w:color w:val="000000"/>
                <w:sz w:val="20"/>
                <w:szCs w:val="20"/>
              </w:rPr>
              <w:t>2.099</w:t>
            </w:r>
          </w:p>
        </w:tc>
      </w:tr>
      <w:tr w:rsidR="00BF70F1" w:rsidRPr="001F224B" w14:paraId="6EF14CB9" w14:textId="77777777" w:rsidTr="00E92EA1">
        <w:trPr>
          <w:trHeight w:val="255"/>
        </w:trPr>
        <w:tc>
          <w:tcPr>
            <w:tcW w:w="4256" w:type="dxa"/>
            <w:shd w:val="clear" w:color="000000" w:fill="FFFFFF"/>
            <w:vAlign w:val="bottom"/>
          </w:tcPr>
          <w:p w14:paraId="68C265BB" w14:textId="3A733EE0" w:rsidR="00BF70F1" w:rsidRPr="001F224B" w:rsidRDefault="00BF70F1" w:rsidP="00BF70F1">
            <w:pPr>
              <w:ind w:left="-397" w:firstLineChars="200" w:firstLine="400"/>
              <w:jc w:val="both"/>
              <w:rPr>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4C5B498" w14:textId="6C16E6B9" w:rsidR="00BF70F1" w:rsidRPr="001F224B" w:rsidRDefault="00BF70F1" w:rsidP="00BF70F1">
            <w:pPr>
              <w:jc w:val="right"/>
              <w:rPr>
                <w:b/>
                <w:bCs/>
                <w:color w:val="000000"/>
                <w:sz w:val="20"/>
                <w:szCs w:val="20"/>
              </w:rPr>
            </w:pPr>
            <w:r w:rsidRPr="001F224B">
              <w:rPr>
                <w:b/>
                <w:bCs/>
                <w:color w:val="000000"/>
                <w:sz w:val="20"/>
                <w:szCs w:val="20"/>
              </w:rPr>
              <w:t>4.108.625</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2FADCFC9" w14:textId="55F07F62" w:rsidR="00BF70F1" w:rsidRPr="001F224B" w:rsidRDefault="00BF70F1" w:rsidP="00BF70F1">
            <w:pPr>
              <w:jc w:val="right"/>
              <w:rPr>
                <w:b/>
                <w:bCs/>
                <w:color w:val="000000"/>
                <w:sz w:val="20"/>
                <w:szCs w:val="20"/>
              </w:rPr>
            </w:pPr>
            <w:r w:rsidRPr="001F224B">
              <w:rPr>
                <w:b/>
                <w:bCs/>
                <w:color w:val="000000"/>
                <w:sz w:val="20"/>
                <w:szCs w:val="20"/>
              </w:rPr>
              <w:t>43.725</w:t>
            </w:r>
          </w:p>
        </w:tc>
        <w:tc>
          <w:tcPr>
            <w:tcW w:w="1419" w:type="dxa"/>
            <w:tcBorders>
              <w:left w:val="single" w:sz="4" w:space="0" w:color="auto"/>
            </w:tcBorders>
            <w:shd w:val="clear" w:color="000000" w:fill="FFFFFF"/>
            <w:vAlign w:val="center"/>
          </w:tcPr>
          <w:p w14:paraId="3A091E13" w14:textId="51591D57" w:rsidR="00BF70F1" w:rsidRPr="001F224B" w:rsidRDefault="00BF70F1" w:rsidP="00BF70F1">
            <w:pPr>
              <w:jc w:val="right"/>
              <w:rPr>
                <w:b/>
                <w:bCs/>
                <w:sz w:val="20"/>
                <w:szCs w:val="20"/>
              </w:rPr>
            </w:pPr>
            <w:r w:rsidRPr="001F224B">
              <w:rPr>
                <w:b/>
                <w:bCs/>
                <w:color w:val="000000"/>
                <w:sz w:val="20"/>
                <w:szCs w:val="20"/>
              </w:rPr>
              <w:t>3.415.017</w:t>
            </w:r>
          </w:p>
        </w:tc>
        <w:tc>
          <w:tcPr>
            <w:tcW w:w="1349" w:type="dxa"/>
            <w:shd w:val="clear" w:color="000000" w:fill="FFFFFF"/>
            <w:vAlign w:val="center"/>
          </w:tcPr>
          <w:p w14:paraId="0AD38065" w14:textId="19896CB7" w:rsidR="00BF70F1" w:rsidRPr="001F224B" w:rsidRDefault="00BF70F1" w:rsidP="00BF70F1">
            <w:pPr>
              <w:jc w:val="right"/>
              <w:rPr>
                <w:sz w:val="20"/>
                <w:szCs w:val="20"/>
              </w:rPr>
            </w:pPr>
            <w:r w:rsidRPr="001F224B">
              <w:rPr>
                <w:b/>
                <w:bCs/>
                <w:color w:val="000000"/>
                <w:sz w:val="20"/>
                <w:szCs w:val="20"/>
              </w:rPr>
              <w:t>2.099</w:t>
            </w:r>
          </w:p>
        </w:tc>
      </w:tr>
    </w:tbl>
    <w:p w14:paraId="114EE23F" w14:textId="77777777" w:rsidR="0013000D" w:rsidRPr="001F224B" w:rsidRDefault="0013000D" w:rsidP="0013000D">
      <w:pPr>
        <w:spacing w:before="120" w:after="120"/>
        <w:jc w:val="both"/>
        <w:rPr>
          <w:b/>
          <w:sz w:val="22"/>
          <w:szCs w:val="22"/>
        </w:rPr>
      </w:pPr>
      <w:r w:rsidRPr="001F224B">
        <w:rPr>
          <w:b/>
          <w:sz w:val="22"/>
          <w:szCs w:val="22"/>
        </w:rPr>
        <w:t>4.       İhraç edilen menkul kıymetlere ilişkin açıklamalar (Net):</w:t>
      </w:r>
    </w:p>
    <w:p w14:paraId="1A4A4063" w14:textId="77777777" w:rsidR="0013000D" w:rsidRPr="001F224B" w:rsidRDefault="0013000D" w:rsidP="0013000D">
      <w:pPr>
        <w:tabs>
          <w:tab w:val="left" w:pos="-2160"/>
          <w:tab w:val="left" w:pos="567"/>
        </w:tabs>
        <w:spacing w:before="120"/>
        <w:rPr>
          <w:b/>
          <w:sz w:val="2"/>
          <w:szCs w:val="2"/>
        </w:rPr>
      </w:pPr>
    </w:p>
    <w:tbl>
      <w:tblPr>
        <w:tblW w:w="9827"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437"/>
      </w:tblGrid>
      <w:tr w:rsidR="0013000D" w:rsidRPr="001F224B" w14:paraId="0D45B33E" w14:textId="77777777" w:rsidTr="00BC065B">
        <w:trPr>
          <w:trHeight w:val="255"/>
        </w:trPr>
        <w:tc>
          <w:tcPr>
            <w:tcW w:w="4256" w:type="dxa"/>
            <w:tcBorders>
              <w:top w:val="single" w:sz="4" w:space="0" w:color="auto"/>
              <w:left w:val="single" w:sz="4" w:space="0" w:color="auto"/>
              <w:right w:val="single" w:sz="4" w:space="0" w:color="auto"/>
            </w:tcBorders>
            <w:shd w:val="clear" w:color="000000" w:fill="FFFFFF"/>
          </w:tcPr>
          <w:p w14:paraId="2D94E3F7" w14:textId="77777777" w:rsidR="0013000D" w:rsidRPr="001F224B" w:rsidRDefault="0013000D" w:rsidP="00BC065B">
            <w:pPr>
              <w:rPr>
                <w:sz w:val="20"/>
                <w:szCs w:val="20"/>
              </w:rPr>
            </w:pPr>
            <w:r w:rsidRPr="001F224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bottom"/>
          </w:tcPr>
          <w:p w14:paraId="43FA57F1" w14:textId="77777777" w:rsidR="0013000D" w:rsidRPr="001F224B" w:rsidRDefault="0013000D" w:rsidP="00BC065B">
            <w:pPr>
              <w:jc w:val="center"/>
              <w:rPr>
                <w:b/>
                <w:bCs/>
                <w:sz w:val="20"/>
                <w:szCs w:val="20"/>
              </w:rPr>
            </w:pPr>
            <w:r w:rsidRPr="001F224B">
              <w:rPr>
                <w:b/>
                <w:bCs/>
                <w:sz w:val="20"/>
                <w:szCs w:val="20"/>
              </w:rPr>
              <w:t xml:space="preserve">Cari Dönem </w:t>
            </w:r>
          </w:p>
          <w:p w14:paraId="760C90E3" w14:textId="56B06BC3" w:rsidR="0013000D" w:rsidRPr="001F224B" w:rsidRDefault="0013000D" w:rsidP="00BC065B">
            <w:pPr>
              <w:jc w:val="center"/>
              <w:rPr>
                <w:b/>
                <w:bCs/>
                <w:sz w:val="20"/>
                <w:szCs w:val="20"/>
              </w:rPr>
            </w:pPr>
            <w:r w:rsidRPr="001F224B">
              <w:rPr>
                <w:b/>
                <w:bCs/>
                <w:sz w:val="20"/>
                <w:szCs w:val="20"/>
              </w:rPr>
              <w:t>(3</w:t>
            </w:r>
            <w:r w:rsidR="00ED65BB" w:rsidRPr="001F224B">
              <w:rPr>
                <w:b/>
                <w:bCs/>
                <w:sz w:val="20"/>
                <w:szCs w:val="20"/>
              </w:rPr>
              <w:t>0</w:t>
            </w:r>
            <w:r w:rsidRPr="001F224B">
              <w:rPr>
                <w:b/>
                <w:bCs/>
                <w:sz w:val="20"/>
                <w:szCs w:val="20"/>
              </w:rPr>
              <w:t>.</w:t>
            </w:r>
            <w:r w:rsidR="0022749C" w:rsidRPr="001F224B">
              <w:rPr>
                <w:b/>
                <w:bCs/>
                <w:sz w:val="20"/>
                <w:szCs w:val="20"/>
              </w:rPr>
              <w:t>0</w:t>
            </w:r>
            <w:r w:rsidR="00ED65BB" w:rsidRPr="001F224B">
              <w:rPr>
                <w:b/>
                <w:bCs/>
                <w:sz w:val="20"/>
                <w:szCs w:val="20"/>
              </w:rPr>
              <w:t>6</w:t>
            </w:r>
            <w:r w:rsidRPr="001F224B">
              <w:rPr>
                <w:b/>
                <w:bCs/>
                <w:sz w:val="20"/>
                <w:szCs w:val="20"/>
              </w:rPr>
              <w:t>.202</w:t>
            </w:r>
            <w:r w:rsidR="0022749C" w:rsidRPr="001F224B">
              <w:rPr>
                <w:b/>
                <w:bCs/>
                <w:sz w:val="20"/>
                <w:szCs w:val="20"/>
              </w:rPr>
              <w:t>5</w:t>
            </w:r>
            <w:r w:rsidRPr="001F224B">
              <w:rPr>
                <w:b/>
                <w:bCs/>
                <w:sz w:val="20"/>
                <w:szCs w:val="20"/>
              </w:rPr>
              <w:t>)</w:t>
            </w:r>
          </w:p>
        </w:tc>
        <w:tc>
          <w:tcPr>
            <w:tcW w:w="2856" w:type="dxa"/>
            <w:gridSpan w:val="2"/>
            <w:tcBorders>
              <w:top w:val="single" w:sz="4" w:space="0" w:color="auto"/>
              <w:left w:val="nil"/>
              <w:bottom w:val="single" w:sz="4" w:space="0" w:color="auto"/>
              <w:right w:val="single" w:sz="4" w:space="0" w:color="auto"/>
            </w:tcBorders>
            <w:shd w:val="clear" w:color="000000" w:fill="FFFFFF"/>
            <w:vAlign w:val="bottom"/>
          </w:tcPr>
          <w:p w14:paraId="5B1F5A96" w14:textId="77777777" w:rsidR="0013000D" w:rsidRPr="001F224B" w:rsidRDefault="0013000D" w:rsidP="00BC065B">
            <w:pPr>
              <w:jc w:val="center"/>
              <w:rPr>
                <w:b/>
                <w:bCs/>
                <w:sz w:val="20"/>
                <w:szCs w:val="20"/>
              </w:rPr>
            </w:pPr>
            <w:r w:rsidRPr="001F224B">
              <w:rPr>
                <w:b/>
                <w:bCs/>
                <w:sz w:val="20"/>
                <w:szCs w:val="20"/>
              </w:rPr>
              <w:t xml:space="preserve">Önceki Dönem </w:t>
            </w:r>
          </w:p>
          <w:p w14:paraId="5CE30BB9" w14:textId="7D981E81" w:rsidR="0013000D" w:rsidRPr="001F224B" w:rsidRDefault="0013000D" w:rsidP="00BC065B">
            <w:pPr>
              <w:jc w:val="center"/>
              <w:rPr>
                <w:b/>
                <w:bCs/>
                <w:sz w:val="20"/>
                <w:szCs w:val="20"/>
              </w:rPr>
            </w:pPr>
            <w:r w:rsidRPr="001F224B">
              <w:rPr>
                <w:b/>
                <w:bCs/>
                <w:sz w:val="20"/>
                <w:szCs w:val="20"/>
              </w:rPr>
              <w:t xml:space="preserve"> (31.12.202</w:t>
            </w:r>
            <w:r w:rsidR="0022749C" w:rsidRPr="001F224B">
              <w:rPr>
                <w:b/>
                <w:bCs/>
                <w:sz w:val="20"/>
                <w:szCs w:val="20"/>
              </w:rPr>
              <w:t>4</w:t>
            </w:r>
            <w:r w:rsidRPr="001F224B">
              <w:rPr>
                <w:b/>
                <w:bCs/>
                <w:sz w:val="20"/>
                <w:szCs w:val="20"/>
              </w:rPr>
              <w:t>)</w:t>
            </w:r>
          </w:p>
        </w:tc>
      </w:tr>
      <w:tr w:rsidR="0013000D" w:rsidRPr="001F224B" w14:paraId="6B6C8FD7" w14:textId="77777777" w:rsidTr="00BC065B">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45FA0EBD" w14:textId="77777777" w:rsidR="0013000D" w:rsidRPr="001F224B" w:rsidRDefault="0013000D" w:rsidP="00BC065B">
            <w:pPr>
              <w:rPr>
                <w:sz w:val="20"/>
                <w:szCs w:val="20"/>
              </w:rPr>
            </w:pPr>
            <w:r w:rsidRPr="001F224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51451DD" w14:textId="77777777" w:rsidR="0013000D" w:rsidRPr="001F224B" w:rsidRDefault="0013000D" w:rsidP="00BC065B">
            <w:pPr>
              <w:jc w:val="center"/>
              <w:rPr>
                <w:b/>
                <w:bCs/>
                <w:sz w:val="20"/>
                <w:szCs w:val="20"/>
              </w:rPr>
            </w:pPr>
            <w:r w:rsidRPr="001F224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17953FAA" w14:textId="77777777" w:rsidR="0013000D" w:rsidRPr="001F224B" w:rsidRDefault="0013000D" w:rsidP="00BC065B">
            <w:pPr>
              <w:jc w:val="center"/>
              <w:rPr>
                <w:b/>
                <w:bCs/>
                <w:sz w:val="20"/>
                <w:szCs w:val="20"/>
              </w:rPr>
            </w:pPr>
            <w:r w:rsidRPr="001F224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3B80EF5" w14:textId="77777777" w:rsidR="0013000D" w:rsidRPr="001F224B" w:rsidRDefault="0013000D" w:rsidP="00BC065B">
            <w:pPr>
              <w:jc w:val="center"/>
              <w:rPr>
                <w:b/>
                <w:bCs/>
                <w:sz w:val="20"/>
                <w:szCs w:val="20"/>
              </w:rPr>
            </w:pPr>
            <w:r w:rsidRPr="001F224B">
              <w:rPr>
                <w:b/>
                <w:bCs/>
                <w:sz w:val="20"/>
                <w:szCs w:val="20"/>
              </w:rPr>
              <w:t>TP</w:t>
            </w:r>
          </w:p>
        </w:tc>
        <w:tc>
          <w:tcPr>
            <w:tcW w:w="1437" w:type="dxa"/>
            <w:tcBorders>
              <w:top w:val="nil"/>
              <w:left w:val="nil"/>
              <w:bottom w:val="single" w:sz="4" w:space="0" w:color="auto"/>
              <w:right w:val="single" w:sz="4" w:space="0" w:color="auto"/>
            </w:tcBorders>
            <w:shd w:val="clear" w:color="000000" w:fill="FFFFFF"/>
            <w:vAlign w:val="bottom"/>
          </w:tcPr>
          <w:p w14:paraId="5722C1AB" w14:textId="77777777" w:rsidR="0013000D" w:rsidRPr="001F224B" w:rsidRDefault="0013000D" w:rsidP="00BC065B">
            <w:pPr>
              <w:jc w:val="center"/>
              <w:rPr>
                <w:b/>
                <w:bCs/>
                <w:sz w:val="20"/>
                <w:szCs w:val="20"/>
              </w:rPr>
            </w:pPr>
            <w:r w:rsidRPr="001F224B">
              <w:rPr>
                <w:b/>
                <w:bCs/>
                <w:sz w:val="20"/>
                <w:szCs w:val="20"/>
              </w:rPr>
              <w:t>YP</w:t>
            </w:r>
          </w:p>
        </w:tc>
      </w:tr>
      <w:tr w:rsidR="00E92EA1" w:rsidRPr="001F224B" w14:paraId="33D13A6E" w14:textId="77777777" w:rsidTr="00E92EA1">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3ED71953" w14:textId="77777777" w:rsidR="00E92EA1" w:rsidRPr="001F224B" w:rsidRDefault="00E92EA1" w:rsidP="00E92EA1">
            <w:pPr>
              <w:ind w:firstLineChars="200" w:firstLine="400"/>
              <w:rPr>
                <w:sz w:val="20"/>
                <w:szCs w:val="20"/>
              </w:rPr>
            </w:pPr>
            <w:r w:rsidRPr="001F224B">
              <w:rPr>
                <w:sz w:val="20"/>
                <w:szCs w:val="20"/>
              </w:rPr>
              <w:t xml:space="preserve">Varlığa Dayalı Menkul Kıymetler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CF3667C" w14:textId="3ED01616" w:rsidR="00E92EA1" w:rsidRPr="001F224B" w:rsidRDefault="00E92EA1" w:rsidP="00E92EA1">
            <w:pPr>
              <w:jc w:val="right"/>
              <w:rPr>
                <w:color w:val="000000"/>
                <w:sz w:val="20"/>
                <w:szCs w:val="20"/>
              </w:rPr>
            </w:pPr>
            <w:r w:rsidRPr="001F224B">
              <w:rPr>
                <w:color w:val="000000"/>
                <w:sz w:val="20"/>
                <w:szCs w:val="20"/>
              </w:rPr>
              <w:t>422.886</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00AF7B04" w14:textId="10FDDD02" w:rsidR="00E92EA1" w:rsidRPr="001F224B" w:rsidRDefault="00E92EA1" w:rsidP="00E92EA1">
            <w:pPr>
              <w:jc w:val="right"/>
              <w:rPr>
                <w:color w:val="000000"/>
                <w:sz w:val="20"/>
                <w:szCs w:val="20"/>
              </w:rPr>
            </w:pPr>
            <w:r w:rsidRPr="001F224B">
              <w:rPr>
                <w:color w:val="000000"/>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670F055E" w14:textId="7EB5A0C7" w:rsidR="00E92EA1" w:rsidRPr="001F224B" w:rsidRDefault="00E92EA1" w:rsidP="00E92EA1">
            <w:pPr>
              <w:jc w:val="right"/>
              <w:rPr>
                <w:color w:val="000000"/>
                <w:sz w:val="20"/>
                <w:szCs w:val="20"/>
              </w:rPr>
            </w:pPr>
            <w:r w:rsidRPr="001F224B">
              <w:rPr>
                <w:color w:val="000000"/>
                <w:sz w:val="20"/>
                <w:szCs w:val="20"/>
              </w:rPr>
              <w:t>-</w:t>
            </w:r>
          </w:p>
        </w:tc>
        <w:tc>
          <w:tcPr>
            <w:tcW w:w="1437" w:type="dxa"/>
            <w:tcBorders>
              <w:top w:val="single" w:sz="4" w:space="0" w:color="auto"/>
              <w:left w:val="nil"/>
              <w:bottom w:val="single" w:sz="4" w:space="0" w:color="auto"/>
              <w:right w:val="single" w:sz="4" w:space="0" w:color="auto"/>
            </w:tcBorders>
            <w:shd w:val="clear" w:color="000000" w:fill="FFFFFF"/>
            <w:vAlign w:val="bottom"/>
          </w:tcPr>
          <w:p w14:paraId="464DDAD7" w14:textId="4AAB6BD4" w:rsidR="00E92EA1" w:rsidRPr="001F224B" w:rsidRDefault="00E92EA1" w:rsidP="00E92EA1">
            <w:pPr>
              <w:jc w:val="right"/>
              <w:rPr>
                <w:sz w:val="20"/>
                <w:szCs w:val="20"/>
              </w:rPr>
            </w:pPr>
            <w:r w:rsidRPr="001F224B">
              <w:rPr>
                <w:sz w:val="20"/>
                <w:szCs w:val="20"/>
              </w:rPr>
              <w:t>-</w:t>
            </w:r>
          </w:p>
        </w:tc>
      </w:tr>
      <w:tr w:rsidR="00E92EA1" w:rsidRPr="001F224B" w14:paraId="5E7E97BE" w14:textId="77777777" w:rsidTr="00E92EA1">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CBB5D02" w14:textId="77777777" w:rsidR="00E92EA1" w:rsidRPr="001F224B" w:rsidRDefault="00E92EA1" w:rsidP="00E92EA1">
            <w:pPr>
              <w:ind w:firstLineChars="200" w:firstLine="400"/>
              <w:rPr>
                <w:sz w:val="20"/>
                <w:szCs w:val="20"/>
              </w:rPr>
            </w:pPr>
            <w:r w:rsidRPr="001F224B">
              <w:rPr>
                <w:sz w:val="20"/>
                <w:szCs w:val="20"/>
              </w:rPr>
              <w:t xml:space="preserve">Tahviller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AEC07C5" w14:textId="1FE9F3FC" w:rsidR="00E92EA1" w:rsidRPr="001F224B" w:rsidRDefault="00E92EA1" w:rsidP="00E92EA1">
            <w:pPr>
              <w:jc w:val="right"/>
              <w:rPr>
                <w:color w:val="000000"/>
                <w:sz w:val="20"/>
                <w:szCs w:val="20"/>
              </w:rPr>
            </w:pPr>
            <w:r w:rsidRPr="001F224B">
              <w:rPr>
                <w:color w:val="000000"/>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0BF2D5BB" w14:textId="74F95E4C" w:rsidR="00E92EA1" w:rsidRPr="001F224B" w:rsidRDefault="00E92EA1" w:rsidP="00E92EA1">
            <w:pPr>
              <w:jc w:val="right"/>
              <w:rPr>
                <w:color w:val="000000"/>
                <w:sz w:val="20"/>
                <w:szCs w:val="20"/>
              </w:rPr>
            </w:pPr>
            <w:r w:rsidRPr="001F224B">
              <w:rPr>
                <w:color w:val="000000"/>
                <w:sz w:val="20"/>
                <w:szCs w:val="20"/>
              </w:rPr>
              <w:t>4.749.692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DFE0D25" w14:textId="1E83DFB0" w:rsidR="00E92EA1" w:rsidRPr="001F224B" w:rsidRDefault="00E92EA1" w:rsidP="00E92EA1">
            <w:pPr>
              <w:jc w:val="right"/>
              <w:rPr>
                <w:color w:val="000000"/>
                <w:sz w:val="20"/>
                <w:szCs w:val="20"/>
              </w:rPr>
            </w:pPr>
            <w:r w:rsidRPr="001F224B">
              <w:rPr>
                <w:color w:val="000000"/>
                <w:sz w:val="20"/>
                <w:szCs w:val="20"/>
              </w:rPr>
              <w:t>-</w:t>
            </w:r>
          </w:p>
        </w:tc>
        <w:tc>
          <w:tcPr>
            <w:tcW w:w="1437" w:type="dxa"/>
            <w:tcBorders>
              <w:top w:val="single" w:sz="4" w:space="0" w:color="auto"/>
              <w:left w:val="nil"/>
              <w:bottom w:val="single" w:sz="4" w:space="0" w:color="auto"/>
              <w:right w:val="single" w:sz="4" w:space="0" w:color="auto"/>
            </w:tcBorders>
            <w:shd w:val="clear" w:color="000000" w:fill="FFFFFF"/>
            <w:vAlign w:val="center"/>
          </w:tcPr>
          <w:p w14:paraId="164B36B6" w14:textId="7A922C8B" w:rsidR="00E92EA1" w:rsidRPr="001F224B" w:rsidRDefault="00E92EA1" w:rsidP="00E92EA1">
            <w:pPr>
              <w:jc w:val="right"/>
              <w:rPr>
                <w:sz w:val="20"/>
                <w:szCs w:val="20"/>
              </w:rPr>
            </w:pPr>
            <w:r w:rsidRPr="001F224B">
              <w:rPr>
                <w:color w:val="000000"/>
                <w:sz w:val="20"/>
                <w:szCs w:val="20"/>
              </w:rPr>
              <w:t>3.735.924</w:t>
            </w:r>
          </w:p>
        </w:tc>
      </w:tr>
      <w:tr w:rsidR="00E92EA1" w:rsidRPr="001F224B" w14:paraId="7609AA2D" w14:textId="77777777" w:rsidTr="00E92EA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99033A2" w14:textId="77777777" w:rsidR="00E92EA1" w:rsidRPr="001F224B" w:rsidRDefault="00E92EA1" w:rsidP="00E92EA1">
            <w:pPr>
              <w:rPr>
                <w:b/>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C199EFF" w14:textId="26F0569E" w:rsidR="00E92EA1" w:rsidRPr="001F224B" w:rsidRDefault="00E92EA1" w:rsidP="00E92EA1">
            <w:pPr>
              <w:jc w:val="right"/>
              <w:rPr>
                <w:b/>
                <w:bCs/>
                <w:color w:val="000000"/>
                <w:sz w:val="20"/>
                <w:szCs w:val="20"/>
              </w:rPr>
            </w:pPr>
            <w:r w:rsidRPr="001F224B">
              <w:rPr>
                <w:b/>
                <w:bCs/>
                <w:color w:val="000000"/>
                <w:sz w:val="20"/>
                <w:szCs w:val="20"/>
              </w:rPr>
              <w:t>422.886</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DF591FA" w14:textId="0D26C2E6" w:rsidR="00E92EA1" w:rsidRPr="001F224B" w:rsidRDefault="00E92EA1" w:rsidP="00E92EA1">
            <w:pPr>
              <w:jc w:val="right"/>
              <w:rPr>
                <w:b/>
                <w:bCs/>
                <w:color w:val="000000"/>
                <w:sz w:val="20"/>
                <w:szCs w:val="20"/>
              </w:rPr>
            </w:pPr>
            <w:r w:rsidRPr="001F224B">
              <w:rPr>
                <w:b/>
                <w:bCs/>
                <w:color w:val="000000"/>
                <w:sz w:val="20"/>
                <w:szCs w:val="20"/>
              </w:rPr>
              <w:t>4.749.692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0EDE8AE" w14:textId="759AA6AC" w:rsidR="00E92EA1" w:rsidRPr="001F224B" w:rsidRDefault="00E92EA1" w:rsidP="00E92EA1">
            <w:pPr>
              <w:jc w:val="right"/>
              <w:rPr>
                <w:color w:val="000000"/>
                <w:sz w:val="20"/>
                <w:szCs w:val="20"/>
              </w:rPr>
            </w:pPr>
            <w:r w:rsidRPr="001F224B">
              <w:rPr>
                <w:color w:val="000000"/>
                <w:sz w:val="20"/>
                <w:szCs w:val="20"/>
              </w:rPr>
              <w:t>-</w:t>
            </w:r>
          </w:p>
        </w:tc>
        <w:tc>
          <w:tcPr>
            <w:tcW w:w="1437" w:type="dxa"/>
            <w:tcBorders>
              <w:top w:val="single" w:sz="4" w:space="0" w:color="auto"/>
              <w:left w:val="nil"/>
              <w:bottom w:val="single" w:sz="4" w:space="0" w:color="auto"/>
              <w:right w:val="single" w:sz="4" w:space="0" w:color="auto"/>
            </w:tcBorders>
            <w:shd w:val="clear" w:color="000000" w:fill="FFFFFF"/>
            <w:vAlign w:val="center"/>
          </w:tcPr>
          <w:p w14:paraId="02043248" w14:textId="16259B10" w:rsidR="00E92EA1" w:rsidRPr="001F224B" w:rsidRDefault="00E92EA1" w:rsidP="00E92EA1">
            <w:pPr>
              <w:jc w:val="right"/>
              <w:rPr>
                <w:b/>
                <w:bCs/>
                <w:sz w:val="20"/>
                <w:szCs w:val="20"/>
              </w:rPr>
            </w:pPr>
            <w:r w:rsidRPr="001F224B">
              <w:rPr>
                <w:b/>
                <w:bCs/>
                <w:color w:val="000000"/>
                <w:sz w:val="20"/>
                <w:szCs w:val="20"/>
              </w:rPr>
              <w:t>3.735.924</w:t>
            </w:r>
          </w:p>
        </w:tc>
      </w:tr>
    </w:tbl>
    <w:p w14:paraId="2424449D" w14:textId="77777777" w:rsidR="00315FAA" w:rsidRPr="001F224B" w:rsidRDefault="00E04D67" w:rsidP="00315FAA">
      <w:pPr>
        <w:pStyle w:val="ListParagraph"/>
        <w:tabs>
          <w:tab w:val="left" w:pos="0"/>
        </w:tabs>
        <w:spacing w:before="120" w:after="120"/>
        <w:ind w:left="0"/>
        <w:rPr>
          <w:b/>
          <w:bCs/>
          <w:sz w:val="22"/>
          <w:szCs w:val="22"/>
        </w:rPr>
      </w:pPr>
      <w:r w:rsidRPr="001F224B">
        <w:rPr>
          <w:sz w:val="22"/>
          <w:szCs w:val="22"/>
        </w:rPr>
        <w:br w:type="page"/>
      </w:r>
      <w:r w:rsidR="00315FAA" w:rsidRPr="001F224B">
        <w:rPr>
          <w:b/>
          <w:bCs/>
          <w:sz w:val="22"/>
          <w:szCs w:val="22"/>
        </w:rPr>
        <w:t>BEŞİNCİ BÖLÜM (Devamı)</w:t>
      </w:r>
    </w:p>
    <w:p w14:paraId="1E690E95" w14:textId="77777777" w:rsidR="00315FAA" w:rsidRPr="001F224B" w:rsidRDefault="00315FAA" w:rsidP="00315FAA">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3F6131E9" w14:textId="371D8BC0" w:rsidR="00315FAA" w:rsidRPr="001F224B" w:rsidRDefault="00315FAA" w:rsidP="00315FAA">
      <w:pPr>
        <w:tabs>
          <w:tab w:val="left" w:pos="567"/>
        </w:tabs>
        <w:spacing w:before="120"/>
        <w:jc w:val="both"/>
        <w:rPr>
          <w:b/>
          <w:bCs/>
          <w:sz w:val="22"/>
          <w:szCs w:val="22"/>
        </w:rPr>
      </w:pPr>
      <w:r w:rsidRPr="001F224B">
        <w:rPr>
          <w:b/>
          <w:bCs/>
          <w:sz w:val="22"/>
          <w:szCs w:val="22"/>
        </w:rPr>
        <w:t>II.</w:t>
      </w:r>
      <w:r w:rsidRPr="001F224B">
        <w:rPr>
          <w:b/>
          <w:bCs/>
          <w:sz w:val="22"/>
          <w:szCs w:val="22"/>
        </w:rPr>
        <w:tab/>
        <w:t>Konsolide bilançonun pasif hesaplarına ilişkin açıklama ve dipnotlar (Devamı)</w:t>
      </w:r>
    </w:p>
    <w:p w14:paraId="050B2A9C" w14:textId="77777777" w:rsidR="004915CA" w:rsidRPr="001F224B" w:rsidRDefault="004915CA" w:rsidP="00386C58">
      <w:pPr>
        <w:tabs>
          <w:tab w:val="left" w:pos="-2160"/>
          <w:tab w:val="left" w:pos="720"/>
        </w:tabs>
        <w:spacing w:after="80"/>
        <w:jc w:val="both"/>
        <w:rPr>
          <w:sz w:val="2"/>
          <w:szCs w:val="2"/>
          <w:vertAlign w:val="superscript"/>
        </w:rPr>
      </w:pPr>
    </w:p>
    <w:p w14:paraId="26A95728" w14:textId="1E261E7A" w:rsidR="004F3712" w:rsidRPr="001F224B" w:rsidRDefault="004F3712" w:rsidP="00436046">
      <w:pPr>
        <w:pStyle w:val="BodybyBD"/>
        <w:tabs>
          <w:tab w:val="left" w:pos="567"/>
        </w:tabs>
        <w:spacing w:after="80"/>
        <w:rPr>
          <w:b/>
          <w:bCs/>
        </w:rPr>
      </w:pPr>
      <w:r w:rsidRPr="001F224B">
        <w:rPr>
          <w:b/>
          <w:lang w:eastAsia="tr-TR"/>
        </w:rPr>
        <w:t>5</w:t>
      </w:r>
      <w:r w:rsidRPr="001F224B">
        <w:rPr>
          <w:b/>
          <w:bCs/>
        </w:rPr>
        <w:t>.</w:t>
      </w:r>
      <w:r w:rsidRPr="001F224B">
        <w:rPr>
          <w:b/>
          <w:bCs/>
        </w:rPr>
        <w:tab/>
        <w:t>Fonlara ilişkin açıklamalar:</w:t>
      </w:r>
    </w:p>
    <w:p w14:paraId="3BB8F223" w14:textId="77777777" w:rsidR="00F85D9A" w:rsidRPr="001F224B" w:rsidRDefault="00F85D9A" w:rsidP="00F85D9A">
      <w:pPr>
        <w:tabs>
          <w:tab w:val="left" w:pos="-2160"/>
          <w:tab w:val="left" w:pos="567"/>
        </w:tabs>
        <w:spacing w:after="80"/>
        <w:ind w:left="567"/>
        <w:jc w:val="both"/>
        <w:rPr>
          <w:sz w:val="22"/>
          <w:szCs w:val="22"/>
          <w:lang w:eastAsia="en-US"/>
        </w:rPr>
      </w:pPr>
      <w:r w:rsidRPr="001F224B">
        <w:rPr>
          <w:sz w:val="22"/>
          <w:szCs w:val="22"/>
          <w:lang w:eastAsia="en-US"/>
        </w:rPr>
        <w:t xml:space="preserve">Banka’nın temin ettiği 9.566.805 TL’nin (31 Aralık 2024: 8.402.633 TL); 624.049 TL’si (31 Aralık 2024: 603.727 TL) Dünya Bankası, 2.604 TL’si (31 Aralık 2024: 2.043 TL) Avrupa Komisyonu Fonu, 149.953 TL’si (31 Aralık 2024: 183.542 TL) </w:t>
      </w:r>
      <w:r w:rsidRPr="001F224B">
        <w:rPr>
          <w:sz w:val="22"/>
          <w:szCs w:val="22"/>
        </w:rPr>
        <w:t>Alman Kalkınma Bankası</w:t>
      </w:r>
      <w:r w:rsidRPr="001F224B">
        <w:rPr>
          <w:sz w:val="22"/>
          <w:szCs w:val="22"/>
          <w:lang w:eastAsia="en-US"/>
        </w:rPr>
        <w:t xml:space="preserve">, 348.316 TL’si (31 Aralık 2024: 311.025TL) T.C. Hazine ve Maliye Bakanlığı kaynaklı olup 8.441.883 TL’si (31 Aralık 2024: 7.302.296 TL) </w:t>
      </w:r>
      <w:proofErr w:type="spellStart"/>
      <w:r w:rsidRPr="001F224B">
        <w:rPr>
          <w:sz w:val="22"/>
          <w:szCs w:val="22"/>
          <w:lang w:eastAsia="en-US"/>
        </w:rPr>
        <w:t>müstakrizlerin</w:t>
      </w:r>
      <w:proofErr w:type="spellEnd"/>
      <w:r w:rsidRPr="001F224B">
        <w:rPr>
          <w:sz w:val="22"/>
          <w:szCs w:val="22"/>
          <w:lang w:eastAsia="en-US"/>
        </w:rPr>
        <w:t xml:space="preserve"> ve bankaların fonlarından oluşmaktadır. </w:t>
      </w:r>
    </w:p>
    <w:p w14:paraId="062295F7" w14:textId="3EC60F37" w:rsidR="004F3712" w:rsidRPr="001F224B" w:rsidRDefault="004F3712" w:rsidP="004F3712">
      <w:pPr>
        <w:tabs>
          <w:tab w:val="left" w:pos="-2160"/>
          <w:tab w:val="left" w:pos="567"/>
        </w:tabs>
        <w:spacing w:after="80"/>
        <w:rPr>
          <w:b/>
          <w:sz w:val="22"/>
          <w:szCs w:val="22"/>
        </w:rPr>
      </w:pPr>
      <w:r w:rsidRPr="001F224B">
        <w:rPr>
          <w:b/>
          <w:sz w:val="22"/>
          <w:szCs w:val="22"/>
        </w:rPr>
        <w:t>6.</w:t>
      </w:r>
      <w:r w:rsidRPr="001F224B">
        <w:rPr>
          <w:b/>
          <w:sz w:val="22"/>
          <w:szCs w:val="22"/>
        </w:rPr>
        <w:tab/>
        <w:t>Gerçeğe uygun değer farkı kar zarar yansıtılan finansal yükümlülüklere ilişkin açıklamalar:</w:t>
      </w:r>
    </w:p>
    <w:p w14:paraId="77DFCA1E" w14:textId="77777777" w:rsidR="004F3712" w:rsidRPr="001F224B" w:rsidRDefault="004F3712" w:rsidP="004F3712">
      <w:pPr>
        <w:spacing w:after="80"/>
        <w:ind w:left="567"/>
        <w:jc w:val="both"/>
        <w:rPr>
          <w:bCs/>
          <w:sz w:val="22"/>
          <w:szCs w:val="22"/>
        </w:rPr>
      </w:pPr>
      <w:r w:rsidRPr="001F224B">
        <w:rPr>
          <w:bCs/>
          <w:sz w:val="22"/>
          <w:szCs w:val="22"/>
        </w:rPr>
        <w:t>Bulunmamaktadır.</w:t>
      </w:r>
    </w:p>
    <w:p w14:paraId="567AE167" w14:textId="0B0E0B6D" w:rsidR="005C70E5" w:rsidRPr="001F224B" w:rsidRDefault="00637232" w:rsidP="00230AE4">
      <w:pPr>
        <w:tabs>
          <w:tab w:val="left" w:pos="567"/>
        </w:tabs>
        <w:spacing w:before="120" w:after="80"/>
        <w:jc w:val="both"/>
        <w:rPr>
          <w:bCs/>
          <w:sz w:val="22"/>
          <w:szCs w:val="22"/>
        </w:rPr>
      </w:pPr>
      <w:r w:rsidRPr="001F224B">
        <w:rPr>
          <w:b/>
          <w:bCs/>
          <w:sz w:val="22"/>
          <w:szCs w:val="22"/>
        </w:rPr>
        <w:t>7.</w:t>
      </w:r>
      <w:r w:rsidR="00FB5A5B" w:rsidRPr="001F224B">
        <w:rPr>
          <w:b/>
          <w:bCs/>
          <w:sz w:val="22"/>
          <w:szCs w:val="22"/>
        </w:rPr>
        <w:tab/>
      </w:r>
      <w:r w:rsidR="005C70E5" w:rsidRPr="001F224B">
        <w:rPr>
          <w:b/>
          <w:sz w:val="22"/>
          <w:szCs w:val="22"/>
        </w:rPr>
        <w:t xml:space="preserve">Türev </w:t>
      </w:r>
      <w:r w:rsidR="00826440" w:rsidRPr="001F224B">
        <w:rPr>
          <w:b/>
          <w:sz w:val="22"/>
          <w:szCs w:val="22"/>
        </w:rPr>
        <w:t>f</w:t>
      </w:r>
      <w:r w:rsidR="005C70E5" w:rsidRPr="001F224B">
        <w:rPr>
          <w:b/>
          <w:sz w:val="22"/>
          <w:szCs w:val="22"/>
        </w:rPr>
        <w:t xml:space="preserve">inansal </w:t>
      </w:r>
      <w:r w:rsidR="00826440" w:rsidRPr="001F224B">
        <w:rPr>
          <w:b/>
          <w:sz w:val="22"/>
          <w:szCs w:val="22"/>
        </w:rPr>
        <w:t>b</w:t>
      </w:r>
      <w:r w:rsidR="005C70E5" w:rsidRPr="001F224B">
        <w:rPr>
          <w:b/>
          <w:sz w:val="22"/>
          <w:szCs w:val="22"/>
        </w:rPr>
        <w:t xml:space="preserve">orçlara </w:t>
      </w:r>
      <w:r w:rsidR="00826440" w:rsidRPr="001F224B">
        <w:rPr>
          <w:b/>
          <w:sz w:val="22"/>
          <w:szCs w:val="22"/>
        </w:rPr>
        <w:t>i</w:t>
      </w:r>
      <w:r w:rsidR="005C70E5" w:rsidRPr="001F224B">
        <w:rPr>
          <w:b/>
          <w:sz w:val="22"/>
          <w:szCs w:val="22"/>
        </w:rPr>
        <w:t xml:space="preserve">lişkin </w:t>
      </w:r>
      <w:r w:rsidR="00826440" w:rsidRPr="001F224B">
        <w:rPr>
          <w:b/>
          <w:sz w:val="22"/>
          <w:szCs w:val="22"/>
        </w:rPr>
        <w:t>n</w:t>
      </w:r>
      <w:r w:rsidR="005C70E5" w:rsidRPr="001F224B">
        <w:rPr>
          <w:b/>
          <w:sz w:val="22"/>
          <w:szCs w:val="22"/>
        </w:rPr>
        <w:t xml:space="preserve">egatif </w:t>
      </w:r>
      <w:r w:rsidR="00826440" w:rsidRPr="001F224B">
        <w:rPr>
          <w:b/>
          <w:sz w:val="22"/>
          <w:szCs w:val="22"/>
        </w:rPr>
        <w:t>f</w:t>
      </w:r>
      <w:r w:rsidR="005C70E5" w:rsidRPr="001F224B">
        <w:rPr>
          <w:b/>
          <w:sz w:val="22"/>
          <w:szCs w:val="22"/>
        </w:rPr>
        <w:t xml:space="preserve">arklar </w:t>
      </w:r>
      <w:r w:rsidR="00826440" w:rsidRPr="001F224B">
        <w:rPr>
          <w:b/>
          <w:sz w:val="22"/>
          <w:szCs w:val="22"/>
        </w:rPr>
        <w:t>t</w:t>
      </w:r>
      <w:r w:rsidR="005C70E5" w:rsidRPr="001F224B">
        <w:rPr>
          <w:b/>
          <w:sz w:val="22"/>
          <w:szCs w:val="22"/>
        </w:rPr>
        <w:t>ablosu</w:t>
      </w:r>
      <w:r w:rsidR="00BA71F2" w:rsidRPr="001F224B">
        <w:t>:</w:t>
      </w:r>
      <w:r w:rsidR="002A2E7C" w:rsidRPr="001F224B">
        <w:rPr>
          <w:bCs/>
          <w:sz w:val="22"/>
          <w:szCs w:val="22"/>
        </w:rPr>
        <w:t xml:space="preserve"> </w:t>
      </w:r>
    </w:p>
    <w:tbl>
      <w:tblPr>
        <w:tblW w:w="9739"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49"/>
      </w:tblGrid>
      <w:tr w:rsidR="005C70E5" w:rsidRPr="001F224B" w14:paraId="0EA90CB0" w14:textId="77777777" w:rsidTr="00AE60E1">
        <w:trPr>
          <w:trHeight w:val="255"/>
        </w:trPr>
        <w:tc>
          <w:tcPr>
            <w:tcW w:w="4256" w:type="dxa"/>
            <w:tcBorders>
              <w:top w:val="single" w:sz="4" w:space="0" w:color="auto"/>
              <w:left w:val="single" w:sz="4" w:space="0" w:color="auto"/>
              <w:right w:val="single" w:sz="4" w:space="0" w:color="auto"/>
            </w:tcBorders>
            <w:shd w:val="clear" w:color="000000" w:fill="FFFFFF"/>
          </w:tcPr>
          <w:p w14:paraId="43260030" w14:textId="77777777" w:rsidR="005C70E5" w:rsidRPr="001F224B" w:rsidRDefault="005C70E5" w:rsidP="00DF27D5">
            <w:pPr>
              <w:rPr>
                <w:sz w:val="20"/>
                <w:szCs w:val="20"/>
              </w:rPr>
            </w:pPr>
            <w:r w:rsidRPr="001F224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bottom"/>
          </w:tcPr>
          <w:p w14:paraId="78109B7E" w14:textId="77777777" w:rsidR="004C0676" w:rsidRPr="001F224B" w:rsidRDefault="004C0676" w:rsidP="004C0676">
            <w:pPr>
              <w:jc w:val="center"/>
              <w:rPr>
                <w:b/>
                <w:bCs/>
                <w:sz w:val="20"/>
                <w:szCs w:val="20"/>
              </w:rPr>
            </w:pPr>
            <w:r w:rsidRPr="001F224B">
              <w:rPr>
                <w:b/>
                <w:bCs/>
                <w:sz w:val="20"/>
                <w:szCs w:val="20"/>
              </w:rPr>
              <w:t xml:space="preserve">Cari Dönem </w:t>
            </w:r>
          </w:p>
          <w:p w14:paraId="3244AF8D" w14:textId="03324925" w:rsidR="005C70E5" w:rsidRPr="001F224B" w:rsidRDefault="004C0676" w:rsidP="004C0676">
            <w:pPr>
              <w:jc w:val="center"/>
              <w:rPr>
                <w:b/>
                <w:bCs/>
                <w:sz w:val="20"/>
                <w:szCs w:val="20"/>
              </w:rPr>
            </w:pPr>
            <w:r w:rsidRPr="001F224B">
              <w:rPr>
                <w:b/>
                <w:bCs/>
                <w:sz w:val="20"/>
                <w:szCs w:val="20"/>
              </w:rPr>
              <w:t>(3</w:t>
            </w:r>
            <w:r w:rsidR="00F55AFB" w:rsidRPr="001F224B">
              <w:rPr>
                <w:b/>
                <w:bCs/>
                <w:sz w:val="20"/>
                <w:szCs w:val="20"/>
              </w:rPr>
              <w:t>0</w:t>
            </w:r>
            <w:r w:rsidRPr="001F224B">
              <w:rPr>
                <w:b/>
                <w:bCs/>
                <w:sz w:val="20"/>
                <w:szCs w:val="20"/>
              </w:rPr>
              <w:t>.</w:t>
            </w:r>
            <w:r w:rsidR="0000211A" w:rsidRPr="001F224B">
              <w:rPr>
                <w:b/>
                <w:bCs/>
                <w:sz w:val="20"/>
                <w:szCs w:val="20"/>
              </w:rPr>
              <w:t>0</w:t>
            </w:r>
            <w:r w:rsidR="00F55AFB" w:rsidRPr="001F224B">
              <w:rPr>
                <w:b/>
                <w:bCs/>
                <w:sz w:val="20"/>
                <w:szCs w:val="20"/>
              </w:rPr>
              <w:t>6</w:t>
            </w:r>
            <w:r w:rsidRPr="001F224B">
              <w:rPr>
                <w:b/>
                <w:bCs/>
                <w:sz w:val="20"/>
                <w:szCs w:val="20"/>
              </w:rPr>
              <w:t>.202</w:t>
            </w:r>
            <w:r w:rsidR="0000211A" w:rsidRPr="001F224B">
              <w:rPr>
                <w:b/>
                <w:bCs/>
                <w:sz w:val="20"/>
                <w:szCs w:val="20"/>
              </w:rPr>
              <w:t>5</w:t>
            </w:r>
            <w:r w:rsidRPr="001F224B">
              <w:rPr>
                <w:b/>
                <w:bCs/>
                <w:sz w:val="20"/>
                <w:szCs w:val="20"/>
              </w:rPr>
              <w:t>)</w:t>
            </w:r>
          </w:p>
        </w:tc>
        <w:tc>
          <w:tcPr>
            <w:tcW w:w="2768" w:type="dxa"/>
            <w:gridSpan w:val="2"/>
            <w:tcBorders>
              <w:top w:val="single" w:sz="4" w:space="0" w:color="auto"/>
              <w:left w:val="nil"/>
              <w:bottom w:val="single" w:sz="4" w:space="0" w:color="auto"/>
              <w:right w:val="single" w:sz="4" w:space="0" w:color="auto"/>
            </w:tcBorders>
            <w:shd w:val="clear" w:color="000000" w:fill="FFFFFF"/>
            <w:vAlign w:val="bottom"/>
          </w:tcPr>
          <w:p w14:paraId="100F8A78" w14:textId="77777777" w:rsidR="005C70E5" w:rsidRPr="001F224B" w:rsidRDefault="005C70E5" w:rsidP="00DF27D5">
            <w:pPr>
              <w:jc w:val="center"/>
              <w:rPr>
                <w:b/>
                <w:bCs/>
                <w:sz w:val="20"/>
                <w:szCs w:val="20"/>
              </w:rPr>
            </w:pPr>
            <w:r w:rsidRPr="001F224B">
              <w:rPr>
                <w:b/>
                <w:bCs/>
                <w:sz w:val="20"/>
                <w:szCs w:val="20"/>
              </w:rPr>
              <w:t xml:space="preserve">Önceki Dönem </w:t>
            </w:r>
          </w:p>
          <w:p w14:paraId="3F3FD3B1" w14:textId="35FD2C95" w:rsidR="005C70E5" w:rsidRPr="001F224B" w:rsidRDefault="005C70E5" w:rsidP="00DF27D5">
            <w:pPr>
              <w:jc w:val="center"/>
              <w:rPr>
                <w:b/>
                <w:bCs/>
                <w:sz w:val="20"/>
                <w:szCs w:val="20"/>
              </w:rPr>
            </w:pPr>
            <w:r w:rsidRPr="001F224B">
              <w:rPr>
                <w:b/>
                <w:bCs/>
                <w:sz w:val="20"/>
                <w:szCs w:val="20"/>
              </w:rPr>
              <w:t xml:space="preserve"> (</w:t>
            </w:r>
            <w:r w:rsidR="00280C2E" w:rsidRPr="001F224B">
              <w:rPr>
                <w:b/>
                <w:bCs/>
                <w:sz w:val="20"/>
                <w:szCs w:val="20"/>
              </w:rPr>
              <w:t>31.12.202</w:t>
            </w:r>
            <w:r w:rsidR="0000211A" w:rsidRPr="001F224B">
              <w:rPr>
                <w:b/>
                <w:bCs/>
                <w:sz w:val="20"/>
                <w:szCs w:val="20"/>
              </w:rPr>
              <w:t>4</w:t>
            </w:r>
            <w:r w:rsidRPr="001F224B">
              <w:rPr>
                <w:b/>
                <w:bCs/>
                <w:sz w:val="20"/>
                <w:szCs w:val="20"/>
              </w:rPr>
              <w:t>)</w:t>
            </w:r>
          </w:p>
        </w:tc>
      </w:tr>
      <w:tr w:rsidR="005C70E5" w:rsidRPr="001F224B" w14:paraId="69D58630" w14:textId="77777777" w:rsidTr="00AE60E1">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0658782F" w14:textId="77777777" w:rsidR="005C70E5" w:rsidRPr="001F224B" w:rsidRDefault="005C70E5" w:rsidP="00DF27D5">
            <w:pPr>
              <w:rPr>
                <w:sz w:val="20"/>
                <w:szCs w:val="20"/>
              </w:rPr>
            </w:pPr>
            <w:r w:rsidRPr="001F224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0B07580D" w14:textId="77777777" w:rsidR="005C70E5" w:rsidRPr="001F224B" w:rsidRDefault="005C70E5" w:rsidP="00DF27D5">
            <w:pPr>
              <w:jc w:val="center"/>
              <w:rPr>
                <w:b/>
                <w:bCs/>
                <w:sz w:val="20"/>
                <w:szCs w:val="20"/>
              </w:rPr>
            </w:pPr>
            <w:r w:rsidRPr="001F224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33C9AE4F" w14:textId="77777777" w:rsidR="005C70E5" w:rsidRPr="001F224B" w:rsidRDefault="005C70E5" w:rsidP="00DF27D5">
            <w:pPr>
              <w:jc w:val="center"/>
              <w:rPr>
                <w:b/>
                <w:bCs/>
                <w:sz w:val="20"/>
                <w:szCs w:val="20"/>
              </w:rPr>
            </w:pPr>
            <w:r w:rsidRPr="001F224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B30E065" w14:textId="77777777" w:rsidR="005C70E5" w:rsidRPr="001F224B" w:rsidRDefault="005C70E5" w:rsidP="00DF27D5">
            <w:pPr>
              <w:jc w:val="center"/>
              <w:rPr>
                <w:b/>
                <w:bCs/>
                <w:sz w:val="20"/>
                <w:szCs w:val="20"/>
              </w:rPr>
            </w:pPr>
            <w:r w:rsidRPr="001F224B">
              <w:rPr>
                <w:b/>
                <w:bCs/>
                <w:sz w:val="20"/>
                <w:szCs w:val="20"/>
              </w:rPr>
              <w:t>TP</w:t>
            </w:r>
          </w:p>
        </w:tc>
        <w:tc>
          <w:tcPr>
            <w:tcW w:w="1349" w:type="dxa"/>
            <w:tcBorders>
              <w:top w:val="nil"/>
              <w:left w:val="nil"/>
              <w:bottom w:val="single" w:sz="4" w:space="0" w:color="auto"/>
              <w:right w:val="single" w:sz="4" w:space="0" w:color="auto"/>
            </w:tcBorders>
            <w:shd w:val="clear" w:color="000000" w:fill="FFFFFF"/>
            <w:vAlign w:val="bottom"/>
          </w:tcPr>
          <w:p w14:paraId="7D1D5868" w14:textId="77777777" w:rsidR="005C70E5" w:rsidRPr="001F224B" w:rsidRDefault="005C70E5" w:rsidP="00DF27D5">
            <w:pPr>
              <w:jc w:val="center"/>
              <w:rPr>
                <w:b/>
                <w:bCs/>
                <w:sz w:val="20"/>
                <w:szCs w:val="20"/>
              </w:rPr>
            </w:pPr>
            <w:r w:rsidRPr="001F224B">
              <w:rPr>
                <w:b/>
                <w:bCs/>
                <w:sz w:val="20"/>
                <w:szCs w:val="20"/>
              </w:rPr>
              <w:t>YP</w:t>
            </w:r>
          </w:p>
        </w:tc>
      </w:tr>
      <w:tr w:rsidR="0000211A" w:rsidRPr="001F224B" w14:paraId="60EED8B2" w14:textId="77777777" w:rsidTr="00AE60E1">
        <w:trPr>
          <w:trHeight w:val="221"/>
        </w:trPr>
        <w:tc>
          <w:tcPr>
            <w:tcW w:w="4256" w:type="dxa"/>
            <w:tcBorders>
              <w:top w:val="nil"/>
              <w:left w:val="single" w:sz="4" w:space="0" w:color="auto"/>
              <w:bottom w:val="nil"/>
              <w:right w:val="single" w:sz="4" w:space="0" w:color="auto"/>
            </w:tcBorders>
            <w:shd w:val="clear" w:color="000000" w:fill="FFFFFF"/>
            <w:vAlign w:val="bottom"/>
          </w:tcPr>
          <w:p w14:paraId="3F89DBBE" w14:textId="77777777" w:rsidR="0000211A" w:rsidRPr="001F224B" w:rsidRDefault="0000211A" w:rsidP="0000211A">
            <w:pPr>
              <w:ind w:firstLineChars="200" w:firstLine="400"/>
              <w:rPr>
                <w:sz w:val="20"/>
                <w:szCs w:val="20"/>
              </w:rPr>
            </w:pPr>
            <w:r w:rsidRPr="001F224B">
              <w:rPr>
                <w:sz w:val="20"/>
                <w:szCs w:val="20"/>
              </w:rPr>
              <w:t xml:space="preserve">Vadeli İşlemler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6BFEEFA" w14:textId="5D0E2714" w:rsidR="0000211A" w:rsidRPr="001F224B" w:rsidRDefault="0000211A" w:rsidP="0000211A">
            <w:pPr>
              <w:jc w:val="right"/>
              <w:rPr>
                <w:sz w:val="20"/>
                <w:szCs w:val="20"/>
              </w:rPr>
            </w:pPr>
            <w:r w:rsidRPr="001F224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C3FB654" w14:textId="69D5C49A" w:rsidR="0000211A" w:rsidRPr="001F224B" w:rsidRDefault="0000211A" w:rsidP="0000211A">
            <w:pPr>
              <w:jc w:val="right"/>
              <w:rPr>
                <w:sz w:val="20"/>
                <w:szCs w:val="20"/>
              </w:rPr>
            </w:pPr>
            <w:r w:rsidRPr="001F224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23426F43" w14:textId="04005ACA" w:rsidR="0000211A" w:rsidRPr="001F224B" w:rsidRDefault="0000211A" w:rsidP="0000211A">
            <w:pPr>
              <w:jc w:val="right"/>
              <w:rPr>
                <w:sz w:val="20"/>
                <w:szCs w:val="20"/>
              </w:rPr>
            </w:pPr>
            <w:r w:rsidRPr="001F224B">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46B32067" w14:textId="67276D88" w:rsidR="0000211A" w:rsidRPr="001F224B" w:rsidRDefault="0000211A" w:rsidP="0000211A">
            <w:pPr>
              <w:jc w:val="right"/>
              <w:rPr>
                <w:sz w:val="20"/>
                <w:szCs w:val="20"/>
              </w:rPr>
            </w:pPr>
            <w:r w:rsidRPr="001F224B">
              <w:rPr>
                <w:sz w:val="20"/>
                <w:szCs w:val="20"/>
              </w:rPr>
              <w:t>-</w:t>
            </w:r>
          </w:p>
        </w:tc>
      </w:tr>
      <w:tr w:rsidR="00737054" w:rsidRPr="001F224B" w14:paraId="3553F773" w14:textId="77777777" w:rsidTr="00AE60E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5FC173B" w14:textId="77777777" w:rsidR="00737054" w:rsidRPr="001F224B" w:rsidRDefault="00737054" w:rsidP="00737054">
            <w:pPr>
              <w:ind w:firstLineChars="200" w:firstLine="400"/>
              <w:rPr>
                <w:sz w:val="20"/>
                <w:szCs w:val="20"/>
              </w:rPr>
            </w:pPr>
            <w:r w:rsidRPr="001F224B">
              <w:rPr>
                <w:sz w:val="20"/>
                <w:szCs w:val="20"/>
              </w:rPr>
              <w:t>Swap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31401DB" w14:textId="15EC5228" w:rsidR="00737054" w:rsidRPr="001F224B" w:rsidRDefault="00737054" w:rsidP="00737054">
            <w:pPr>
              <w:jc w:val="right"/>
              <w:rPr>
                <w:sz w:val="20"/>
                <w:szCs w:val="20"/>
              </w:rPr>
            </w:pPr>
            <w:r w:rsidRPr="001F224B">
              <w:rPr>
                <w:sz w:val="20"/>
                <w:szCs w:val="20"/>
              </w:rPr>
              <w:t>37.294</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61981D13" w14:textId="17794673" w:rsidR="00737054" w:rsidRPr="001F224B" w:rsidRDefault="00737054" w:rsidP="00737054">
            <w:pPr>
              <w:jc w:val="right"/>
              <w:rPr>
                <w:b/>
                <w:sz w:val="20"/>
                <w:szCs w:val="20"/>
              </w:rPr>
            </w:pPr>
            <w:r w:rsidRPr="001F224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23A05F1C" w14:textId="674CD41B" w:rsidR="00737054" w:rsidRPr="001F224B" w:rsidRDefault="00737054" w:rsidP="00737054">
            <w:pPr>
              <w:jc w:val="right"/>
              <w:rPr>
                <w:b/>
                <w:sz w:val="20"/>
                <w:szCs w:val="20"/>
              </w:rPr>
            </w:pPr>
            <w:r w:rsidRPr="001F224B">
              <w:rPr>
                <w:sz w:val="20"/>
                <w:szCs w:val="20"/>
              </w:rPr>
              <w:t>17.382</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5A6D7CA7" w14:textId="75C94CAF" w:rsidR="00737054" w:rsidRPr="001F224B" w:rsidRDefault="00737054" w:rsidP="00737054">
            <w:pPr>
              <w:jc w:val="right"/>
              <w:rPr>
                <w:b/>
                <w:sz w:val="20"/>
                <w:szCs w:val="20"/>
              </w:rPr>
            </w:pPr>
            <w:r w:rsidRPr="001F224B">
              <w:rPr>
                <w:sz w:val="20"/>
                <w:szCs w:val="20"/>
              </w:rPr>
              <w:t>3.507</w:t>
            </w:r>
          </w:p>
        </w:tc>
      </w:tr>
      <w:tr w:rsidR="00737054" w:rsidRPr="001F224B" w14:paraId="3DDAA7B2" w14:textId="77777777" w:rsidTr="00AE60E1">
        <w:trPr>
          <w:trHeight w:val="58"/>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148B604" w14:textId="77777777" w:rsidR="00737054" w:rsidRPr="001F224B" w:rsidRDefault="00737054" w:rsidP="00737054">
            <w:pPr>
              <w:ind w:firstLineChars="200" w:firstLine="400"/>
              <w:rPr>
                <w:sz w:val="20"/>
                <w:szCs w:val="20"/>
              </w:rPr>
            </w:pPr>
            <w:r w:rsidRPr="001F224B">
              <w:rPr>
                <w:sz w:val="20"/>
                <w:szCs w:val="20"/>
              </w:rPr>
              <w:t>Futures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D7B9CFC" w14:textId="180E5003" w:rsidR="00737054" w:rsidRPr="001F224B" w:rsidRDefault="00737054" w:rsidP="00737054">
            <w:pPr>
              <w:jc w:val="right"/>
              <w:rPr>
                <w:b/>
                <w:sz w:val="20"/>
                <w:szCs w:val="20"/>
              </w:rPr>
            </w:pPr>
            <w:r w:rsidRPr="001F224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5A4227D1" w14:textId="0780E2DA" w:rsidR="00737054" w:rsidRPr="001F224B" w:rsidRDefault="00737054" w:rsidP="00737054">
            <w:pPr>
              <w:jc w:val="right"/>
              <w:rPr>
                <w:b/>
                <w:sz w:val="20"/>
                <w:szCs w:val="20"/>
              </w:rPr>
            </w:pPr>
            <w:r w:rsidRPr="001F224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36FE6693" w14:textId="116873E2" w:rsidR="00737054" w:rsidRPr="001F224B" w:rsidRDefault="00737054" w:rsidP="00737054">
            <w:pPr>
              <w:jc w:val="right"/>
              <w:rPr>
                <w:b/>
                <w:sz w:val="20"/>
                <w:szCs w:val="20"/>
              </w:rPr>
            </w:pPr>
            <w:r w:rsidRPr="001F224B">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58B1F396" w14:textId="77DC2A30" w:rsidR="00737054" w:rsidRPr="001F224B" w:rsidRDefault="00737054" w:rsidP="00737054">
            <w:pPr>
              <w:jc w:val="right"/>
              <w:rPr>
                <w:b/>
                <w:sz w:val="20"/>
                <w:szCs w:val="20"/>
              </w:rPr>
            </w:pPr>
            <w:r w:rsidRPr="001F224B">
              <w:rPr>
                <w:sz w:val="20"/>
                <w:szCs w:val="20"/>
              </w:rPr>
              <w:t>-</w:t>
            </w:r>
          </w:p>
        </w:tc>
      </w:tr>
      <w:tr w:rsidR="00737054" w:rsidRPr="001F224B" w14:paraId="063366CC" w14:textId="77777777" w:rsidTr="00AE60E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08602837" w14:textId="77777777" w:rsidR="00737054" w:rsidRPr="001F224B" w:rsidRDefault="00737054" w:rsidP="00737054">
            <w:pPr>
              <w:ind w:firstLineChars="200" w:firstLine="400"/>
              <w:rPr>
                <w:sz w:val="20"/>
                <w:szCs w:val="20"/>
              </w:rPr>
            </w:pPr>
            <w:r w:rsidRPr="001F224B">
              <w:rPr>
                <w:sz w:val="20"/>
                <w:szCs w:val="20"/>
              </w:rPr>
              <w:t>Opsiyonlar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BF38392" w14:textId="5E3CC031" w:rsidR="00737054" w:rsidRPr="001F224B" w:rsidRDefault="00737054" w:rsidP="00737054">
            <w:pPr>
              <w:jc w:val="right"/>
              <w:rPr>
                <w:b/>
                <w:sz w:val="20"/>
                <w:szCs w:val="20"/>
              </w:rPr>
            </w:pPr>
            <w:r w:rsidRPr="001F224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780B5DB7" w14:textId="09FFDD90" w:rsidR="00737054" w:rsidRPr="001F224B" w:rsidRDefault="00737054" w:rsidP="00737054">
            <w:pPr>
              <w:jc w:val="right"/>
              <w:rPr>
                <w:b/>
                <w:sz w:val="20"/>
                <w:szCs w:val="20"/>
              </w:rPr>
            </w:pPr>
            <w:r w:rsidRPr="001F224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6717220D" w14:textId="4B8D45F9" w:rsidR="00737054" w:rsidRPr="001F224B" w:rsidRDefault="00737054" w:rsidP="00737054">
            <w:pPr>
              <w:jc w:val="right"/>
              <w:rPr>
                <w:b/>
                <w:sz w:val="20"/>
                <w:szCs w:val="20"/>
              </w:rPr>
            </w:pPr>
            <w:r w:rsidRPr="001F224B">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7D822E33" w14:textId="0874F842" w:rsidR="00737054" w:rsidRPr="001F224B" w:rsidRDefault="00737054" w:rsidP="00737054">
            <w:pPr>
              <w:jc w:val="right"/>
              <w:rPr>
                <w:b/>
                <w:sz w:val="20"/>
                <w:szCs w:val="20"/>
              </w:rPr>
            </w:pPr>
            <w:r w:rsidRPr="001F224B">
              <w:rPr>
                <w:sz w:val="20"/>
                <w:szCs w:val="20"/>
              </w:rPr>
              <w:t>-</w:t>
            </w:r>
          </w:p>
        </w:tc>
      </w:tr>
      <w:tr w:rsidR="00737054" w:rsidRPr="001F224B" w14:paraId="165B4DC9" w14:textId="77777777" w:rsidTr="0013000D">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CFB54C8" w14:textId="77777777" w:rsidR="00737054" w:rsidRPr="001F224B" w:rsidRDefault="00737054" w:rsidP="00737054">
            <w:pPr>
              <w:ind w:firstLineChars="200" w:firstLine="400"/>
              <w:rPr>
                <w:sz w:val="20"/>
                <w:szCs w:val="20"/>
              </w:rPr>
            </w:pPr>
            <w:r w:rsidRPr="001F224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0F07118" w14:textId="2F11343F" w:rsidR="00737054" w:rsidRPr="001F224B" w:rsidRDefault="00737054" w:rsidP="00737054">
            <w:pPr>
              <w:jc w:val="right"/>
              <w:rPr>
                <w:b/>
                <w:sz w:val="20"/>
                <w:szCs w:val="20"/>
              </w:rPr>
            </w:pPr>
            <w:r w:rsidRPr="001F224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332F8A0D" w14:textId="34D2EADD" w:rsidR="00737054" w:rsidRPr="001F224B" w:rsidRDefault="00737054" w:rsidP="00737054">
            <w:pPr>
              <w:jc w:val="right"/>
              <w:rPr>
                <w:b/>
                <w:sz w:val="20"/>
                <w:szCs w:val="20"/>
              </w:rPr>
            </w:pPr>
            <w:r w:rsidRPr="001F224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1CFD084" w14:textId="59DD507D" w:rsidR="00737054" w:rsidRPr="001F224B" w:rsidRDefault="00737054" w:rsidP="00737054">
            <w:pPr>
              <w:jc w:val="right"/>
              <w:rPr>
                <w:b/>
                <w:sz w:val="20"/>
                <w:szCs w:val="20"/>
              </w:rPr>
            </w:pPr>
            <w:r w:rsidRPr="001F224B">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5C7F2FD8" w14:textId="4947B100" w:rsidR="00737054" w:rsidRPr="001F224B" w:rsidRDefault="00737054" w:rsidP="00737054">
            <w:pPr>
              <w:jc w:val="right"/>
              <w:rPr>
                <w:b/>
                <w:sz w:val="20"/>
                <w:szCs w:val="20"/>
              </w:rPr>
            </w:pPr>
            <w:r w:rsidRPr="001F224B">
              <w:rPr>
                <w:sz w:val="20"/>
                <w:szCs w:val="20"/>
              </w:rPr>
              <w:t>-</w:t>
            </w:r>
          </w:p>
        </w:tc>
      </w:tr>
      <w:tr w:rsidR="00737054" w:rsidRPr="001F224B" w14:paraId="79A55821" w14:textId="77777777" w:rsidTr="0013000D">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7C3C31A" w14:textId="77777777" w:rsidR="00737054" w:rsidRPr="001F224B" w:rsidRDefault="00737054" w:rsidP="00737054">
            <w:pPr>
              <w:rPr>
                <w:b/>
                <w:sz w:val="20"/>
                <w:szCs w:val="20"/>
              </w:rPr>
            </w:pPr>
            <w:r w:rsidRPr="001F224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C20A74B" w14:textId="13EAAF8F" w:rsidR="00737054" w:rsidRPr="001F224B" w:rsidRDefault="00737054" w:rsidP="00737054">
            <w:pPr>
              <w:jc w:val="right"/>
              <w:rPr>
                <w:b/>
                <w:sz w:val="20"/>
                <w:szCs w:val="20"/>
              </w:rPr>
            </w:pPr>
            <w:r w:rsidRPr="001F224B">
              <w:rPr>
                <w:b/>
                <w:bCs/>
                <w:sz w:val="20"/>
                <w:szCs w:val="20"/>
              </w:rPr>
              <w:t>37.294</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4BBEC2D6" w14:textId="000A7DD3" w:rsidR="00737054" w:rsidRPr="001F224B" w:rsidRDefault="00737054" w:rsidP="00737054">
            <w:pPr>
              <w:jc w:val="right"/>
              <w:rPr>
                <w:b/>
                <w:sz w:val="20"/>
                <w:szCs w:val="20"/>
              </w:rPr>
            </w:pPr>
            <w:r w:rsidRPr="001F224B">
              <w:rPr>
                <w:b/>
                <w:bCs/>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045565E" w14:textId="7D7F1759" w:rsidR="00737054" w:rsidRPr="001F224B" w:rsidRDefault="00737054" w:rsidP="00737054">
            <w:pPr>
              <w:jc w:val="right"/>
              <w:rPr>
                <w:b/>
                <w:sz w:val="20"/>
                <w:szCs w:val="20"/>
              </w:rPr>
            </w:pPr>
            <w:r w:rsidRPr="001F224B">
              <w:rPr>
                <w:b/>
                <w:bCs/>
                <w:sz w:val="20"/>
                <w:szCs w:val="20"/>
              </w:rPr>
              <w:t>17.382</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2F0F510E" w14:textId="5FDC21BA" w:rsidR="00737054" w:rsidRPr="001F224B" w:rsidRDefault="00737054" w:rsidP="00737054">
            <w:pPr>
              <w:jc w:val="right"/>
              <w:rPr>
                <w:b/>
                <w:sz w:val="20"/>
                <w:szCs w:val="20"/>
              </w:rPr>
            </w:pPr>
            <w:r w:rsidRPr="001F224B">
              <w:rPr>
                <w:b/>
                <w:bCs/>
                <w:sz w:val="20"/>
                <w:szCs w:val="20"/>
              </w:rPr>
              <w:t>3.507</w:t>
            </w:r>
          </w:p>
        </w:tc>
      </w:tr>
    </w:tbl>
    <w:p w14:paraId="5732E638" w14:textId="77777777" w:rsidR="0008157E" w:rsidRPr="001F224B" w:rsidRDefault="0008157E" w:rsidP="007870E1">
      <w:pPr>
        <w:tabs>
          <w:tab w:val="left" w:pos="567"/>
        </w:tabs>
        <w:spacing w:after="80"/>
        <w:jc w:val="both"/>
        <w:rPr>
          <w:b/>
          <w:bCs/>
          <w:sz w:val="4"/>
          <w:szCs w:val="4"/>
        </w:rPr>
      </w:pPr>
    </w:p>
    <w:p w14:paraId="56B6D27A" w14:textId="54E4E153" w:rsidR="00637232" w:rsidRPr="001F224B" w:rsidRDefault="00637232" w:rsidP="00F23B14">
      <w:pPr>
        <w:tabs>
          <w:tab w:val="left" w:pos="567"/>
        </w:tabs>
        <w:spacing w:before="120"/>
        <w:jc w:val="both"/>
        <w:rPr>
          <w:b/>
          <w:bCs/>
          <w:sz w:val="22"/>
          <w:szCs w:val="22"/>
        </w:rPr>
      </w:pPr>
      <w:r w:rsidRPr="001F224B">
        <w:rPr>
          <w:b/>
          <w:bCs/>
          <w:sz w:val="22"/>
          <w:szCs w:val="22"/>
        </w:rPr>
        <w:t>8.</w:t>
      </w:r>
      <w:r w:rsidR="00FB5A5B" w:rsidRPr="001F224B">
        <w:rPr>
          <w:b/>
          <w:bCs/>
          <w:sz w:val="22"/>
          <w:szCs w:val="22"/>
        </w:rPr>
        <w:tab/>
      </w:r>
      <w:r w:rsidRPr="001F224B">
        <w:rPr>
          <w:b/>
          <w:bCs/>
          <w:sz w:val="22"/>
          <w:szCs w:val="22"/>
        </w:rPr>
        <w:t>Faktoring yükümlülüklere ilişkin bilgiler</w:t>
      </w:r>
      <w:r w:rsidR="00147882" w:rsidRPr="001F224B">
        <w:rPr>
          <w:b/>
          <w:bCs/>
          <w:sz w:val="22"/>
          <w:szCs w:val="22"/>
        </w:rPr>
        <w:t>:</w:t>
      </w:r>
    </w:p>
    <w:p w14:paraId="3EB56DE2" w14:textId="77777777" w:rsidR="00637232" w:rsidRPr="001F224B" w:rsidRDefault="00637232" w:rsidP="00A666FC">
      <w:pPr>
        <w:tabs>
          <w:tab w:val="left" w:pos="567"/>
        </w:tabs>
        <w:ind w:left="567"/>
        <w:jc w:val="both"/>
        <w:rPr>
          <w:bCs/>
          <w:sz w:val="22"/>
          <w:szCs w:val="22"/>
        </w:rPr>
      </w:pPr>
      <w:r w:rsidRPr="001F224B">
        <w:rPr>
          <w:bCs/>
          <w:sz w:val="22"/>
          <w:szCs w:val="22"/>
        </w:rPr>
        <w:t>Bulunmamaktadır.</w:t>
      </w:r>
    </w:p>
    <w:p w14:paraId="51454F97" w14:textId="77777777" w:rsidR="00B135D0" w:rsidRPr="001F224B" w:rsidRDefault="00637232" w:rsidP="00B135D0">
      <w:pPr>
        <w:tabs>
          <w:tab w:val="left" w:pos="-2160"/>
          <w:tab w:val="left" w:pos="567"/>
        </w:tabs>
        <w:spacing w:before="120" w:line="360" w:lineRule="auto"/>
        <w:rPr>
          <w:sz w:val="22"/>
          <w:szCs w:val="22"/>
        </w:rPr>
      </w:pPr>
      <w:r w:rsidRPr="001F224B">
        <w:rPr>
          <w:b/>
          <w:bCs/>
          <w:sz w:val="22"/>
          <w:szCs w:val="22"/>
        </w:rPr>
        <w:t>9.</w:t>
      </w:r>
      <w:r w:rsidRPr="001F224B">
        <w:rPr>
          <w:b/>
          <w:bCs/>
          <w:sz w:val="22"/>
          <w:szCs w:val="22"/>
        </w:rPr>
        <w:tab/>
        <w:t>Kiralama işlemlerinden yükümlülüklere ilişkin bilgiler (Net):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56"/>
        <w:gridCol w:w="1417"/>
        <w:gridCol w:w="1298"/>
        <w:gridCol w:w="1419"/>
        <w:gridCol w:w="1349"/>
      </w:tblGrid>
      <w:tr w:rsidR="00B135D0" w:rsidRPr="001F224B" w14:paraId="62678D34" w14:textId="77777777" w:rsidTr="00AE60E1">
        <w:trPr>
          <w:trHeight w:val="255"/>
        </w:trPr>
        <w:tc>
          <w:tcPr>
            <w:tcW w:w="4256" w:type="dxa"/>
            <w:shd w:val="clear" w:color="000000" w:fill="FFFFFF"/>
          </w:tcPr>
          <w:p w14:paraId="6B0B418C" w14:textId="77777777" w:rsidR="00B135D0" w:rsidRPr="001F224B" w:rsidRDefault="00B135D0" w:rsidP="004174FF">
            <w:pPr>
              <w:rPr>
                <w:sz w:val="20"/>
                <w:szCs w:val="20"/>
              </w:rPr>
            </w:pPr>
            <w:r w:rsidRPr="001F224B">
              <w:rPr>
                <w:sz w:val="20"/>
                <w:szCs w:val="20"/>
              </w:rPr>
              <w:t> </w:t>
            </w:r>
          </w:p>
        </w:tc>
        <w:tc>
          <w:tcPr>
            <w:tcW w:w="2715" w:type="dxa"/>
            <w:gridSpan w:val="2"/>
            <w:shd w:val="clear" w:color="000000" w:fill="FFFFFF"/>
            <w:vAlign w:val="bottom"/>
          </w:tcPr>
          <w:p w14:paraId="3A70F8C8" w14:textId="77777777" w:rsidR="004C0676" w:rsidRPr="001F224B" w:rsidRDefault="004C0676" w:rsidP="004C0676">
            <w:pPr>
              <w:jc w:val="center"/>
              <w:rPr>
                <w:b/>
                <w:bCs/>
                <w:sz w:val="20"/>
                <w:szCs w:val="20"/>
              </w:rPr>
            </w:pPr>
            <w:r w:rsidRPr="001F224B">
              <w:rPr>
                <w:b/>
                <w:bCs/>
                <w:sz w:val="20"/>
                <w:szCs w:val="20"/>
              </w:rPr>
              <w:t xml:space="preserve">Cari Dönem </w:t>
            </w:r>
          </w:p>
          <w:p w14:paraId="5B0974BB" w14:textId="6FFB66C9" w:rsidR="00B135D0" w:rsidRPr="001F224B" w:rsidRDefault="004C0676" w:rsidP="004C0676">
            <w:pPr>
              <w:jc w:val="center"/>
              <w:rPr>
                <w:b/>
                <w:bCs/>
                <w:sz w:val="20"/>
                <w:szCs w:val="20"/>
              </w:rPr>
            </w:pPr>
            <w:r w:rsidRPr="001F224B">
              <w:rPr>
                <w:b/>
                <w:bCs/>
                <w:sz w:val="20"/>
                <w:szCs w:val="20"/>
              </w:rPr>
              <w:t>(3</w:t>
            </w:r>
            <w:r w:rsidR="00F55AFB" w:rsidRPr="001F224B">
              <w:rPr>
                <w:b/>
                <w:bCs/>
                <w:sz w:val="20"/>
                <w:szCs w:val="20"/>
              </w:rPr>
              <w:t>0</w:t>
            </w:r>
            <w:r w:rsidRPr="001F224B">
              <w:rPr>
                <w:b/>
                <w:bCs/>
                <w:sz w:val="20"/>
                <w:szCs w:val="20"/>
              </w:rPr>
              <w:t>.</w:t>
            </w:r>
            <w:r w:rsidR="0000211A" w:rsidRPr="001F224B">
              <w:rPr>
                <w:b/>
                <w:bCs/>
                <w:sz w:val="20"/>
                <w:szCs w:val="20"/>
              </w:rPr>
              <w:t>0</w:t>
            </w:r>
            <w:r w:rsidR="00F55AFB" w:rsidRPr="001F224B">
              <w:rPr>
                <w:b/>
                <w:bCs/>
                <w:sz w:val="20"/>
                <w:szCs w:val="20"/>
              </w:rPr>
              <w:t>6</w:t>
            </w:r>
            <w:r w:rsidRPr="001F224B">
              <w:rPr>
                <w:b/>
                <w:bCs/>
                <w:sz w:val="20"/>
                <w:szCs w:val="20"/>
              </w:rPr>
              <w:t>.202</w:t>
            </w:r>
            <w:r w:rsidR="0000211A" w:rsidRPr="001F224B">
              <w:rPr>
                <w:b/>
                <w:bCs/>
                <w:sz w:val="20"/>
                <w:szCs w:val="20"/>
              </w:rPr>
              <w:t>5</w:t>
            </w:r>
            <w:r w:rsidRPr="001F224B">
              <w:rPr>
                <w:b/>
                <w:bCs/>
                <w:sz w:val="20"/>
                <w:szCs w:val="20"/>
              </w:rPr>
              <w:t>)</w:t>
            </w:r>
          </w:p>
        </w:tc>
        <w:tc>
          <w:tcPr>
            <w:tcW w:w="2768" w:type="dxa"/>
            <w:gridSpan w:val="2"/>
            <w:shd w:val="clear" w:color="000000" w:fill="FFFFFF"/>
            <w:vAlign w:val="bottom"/>
          </w:tcPr>
          <w:p w14:paraId="14D015AF" w14:textId="77777777" w:rsidR="00B135D0" w:rsidRPr="001F224B" w:rsidRDefault="00B135D0" w:rsidP="004174FF">
            <w:pPr>
              <w:jc w:val="center"/>
              <w:rPr>
                <w:b/>
                <w:bCs/>
                <w:sz w:val="20"/>
                <w:szCs w:val="20"/>
              </w:rPr>
            </w:pPr>
            <w:r w:rsidRPr="001F224B">
              <w:rPr>
                <w:b/>
                <w:bCs/>
                <w:sz w:val="20"/>
                <w:szCs w:val="20"/>
              </w:rPr>
              <w:t xml:space="preserve">Önceki Dönem </w:t>
            </w:r>
          </w:p>
          <w:p w14:paraId="0DDC95B2" w14:textId="3FFD7022" w:rsidR="00B135D0" w:rsidRPr="001F224B" w:rsidRDefault="00B135D0" w:rsidP="004174FF">
            <w:pPr>
              <w:jc w:val="center"/>
              <w:rPr>
                <w:b/>
                <w:bCs/>
                <w:sz w:val="20"/>
                <w:szCs w:val="20"/>
              </w:rPr>
            </w:pPr>
            <w:r w:rsidRPr="001F224B">
              <w:rPr>
                <w:b/>
                <w:bCs/>
                <w:sz w:val="20"/>
                <w:szCs w:val="20"/>
              </w:rPr>
              <w:t xml:space="preserve"> (31.12.20</w:t>
            </w:r>
            <w:r w:rsidR="00AC6F87" w:rsidRPr="001F224B">
              <w:rPr>
                <w:b/>
                <w:bCs/>
                <w:sz w:val="20"/>
                <w:szCs w:val="20"/>
              </w:rPr>
              <w:t>2</w:t>
            </w:r>
            <w:r w:rsidR="0000211A" w:rsidRPr="001F224B">
              <w:rPr>
                <w:b/>
                <w:bCs/>
                <w:sz w:val="20"/>
                <w:szCs w:val="20"/>
              </w:rPr>
              <w:t>4</w:t>
            </w:r>
            <w:r w:rsidRPr="001F224B">
              <w:rPr>
                <w:b/>
                <w:bCs/>
                <w:sz w:val="20"/>
                <w:szCs w:val="20"/>
              </w:rPr>
              <w:t>)</w:t>
            </w:r>
          </w:p>
        </w:tc>
      </w:tr>
      <w:tr w:rsidR="00B135D0" w:rsidRPr="001F224B" w14:paraId="7EE32784" w14:textId="77777777" w:rsidTr="00AE60E1">
        <w:trPr>
          <w:trHeight w:val="139"/>
        </w:trPr>
        <w:tc>
          <w:tcPr>
            <w:tcW w:w="4256" w:type="dxa"/>
            <w:shd w:val="clear" w:color="000000" w:fill="FFFFFF"/>
          </w:tcPr>
          <w:p w14:paraId="39A0DEEE" w14:textId="77777777" w:rsidR="00B135D0" w:rsidRPr="001F224B" w:rsidRDefault="00B135D0" w:rsidP="00B135D0">
            <w:pPr>
              <w:rPr>
                <w:sz w:val="20"/>
                <w:szCs w:val="20"/>
              </w:rPr>
            </w:pPr>
            <w:r w:rsidRPr="001F224B">
              <w:rPr>
                <w:sz w:val="20"/>
                <w:szCs w:val="20"/>
              </w:rPr>
              <w:t> </w:t>
            </w:r>
          </w:p>
        </w:tc>
        <w:tc>
          <w:tcPr>
            <w:tcW w:w="1417" w:type="dxa"/>
            <w:shd w:val="clear" w:color="000000" w:fill="FFFFFF"/>
            <w:vAlign w:val="bottom"/>
          </w:tcPr>
          <w:p w14:paraId="6B951E89" w14:textId="77777777" w:rsidR="00B135D0" w:rsidRPr="001F224B" w:rsidRDefault="00B135D0" w:rsidP="00B135D0">
            <w:pPr>
              <w:jc w:val="center"/>
              <w:rPr>
                <w:b/>
                <w:bCs/>
                <w:sz w:val="20"/>
                <w:szCs w:val="20"/>
              </w:rPr>
            </w:pPr>
            <w:r w:rsidRPr="001F224B">
              <w:rPr>
                <w:b/>
                <w:bCs/>
                <w:sz w:val="20"/>
                <w:szCs w:val="20"/>
              </w:rPr>
              <w:t>Brüt</w:t>
            </w:r>
          </w:p>
        </w:tc>
        <w:tc>
          <w:tcPr>
            <w:tcW w:w="1298" w:type="dxa"/>
            <w:shd w:val="clear" w:color="000000" w:fill="FFFFFF"/>
            <w:vAlign w:val="bottom"/>
          </w:tcPr>
          <w:p w14:paraId="52C151F3" w14:textId="77777777" w:rsidR="00B135D0" w:rsidRPr="001F224B" w:rsidRDefault="00B135D0" w:rsidP="00B135D0">
            <w:pPr>
              <w:jc w:val="center"/>
              <w:rPr>
                <w:b/>
                <w:bCs/>
                <w:sz w:val="20"/>
                <w:szCs w:val="20"/>
              </w:rPr>
            </w:pPr>
            <w:r w:rsidRPr="001F224B">
              <w:rPr>
                <w:b/>
                <w:bCs/>
                <w:sz w:val="20"/>
                <w:szCs w:val="20"/>
              </w:rPr>
              <w:t>Net</w:t>
            </w:r>
          </w:p>
        </w:tc>
        <w:tc>
          <w:tcPr>
            <w:tcW w:w="1419" w:type="dxa"/>
            <w:shd w:val="clear" w:color="000000" w:fill="FFFFFF"/>
            <w:vAlign w:val="bottom"/>
          </w:tcPr>
          <w:p w14:paraId="5D71AB92" w14:textId="77777777" w:rsidR="00B135D0" w:rsidRPr="001F224B" w:rsidRDefault="00B135D0" w:rsidP="00B135D0">
            <w:pPr>
              <w:jc w:val="center"/>
              <w:rPr>
                <w:b/>
                <w:bCs/>
                <w:sz w:val="20"/>
                <w:szCs w:val="20"/>
              </w:rPr>
            </w:pPr>
            <w:r w:rsidRPr="001F224B">
              <w:rPr>
                <w:b/>
                <w:bCs/>
                <w:sz w:val="20"/>
                <w:szCs w:val="20"/>
              </w:rPr>
              <w:t>Brüt</w:t>
            </w:r>
          </w:p>
        </w:tc>
        <w:tc>
          <w:tcPr>
            <w:tcW w:w="1349" w:type="dxa"/>
            <w:shd w:val="clear" w:color="000000" w:fill="FFFFFF"/>
            <w:vAlign w:val="bottom"/>
          </w:tcPr>
          <w:p w14:paraId="6CCFE723" w14:textId="77777777" w:rsidR="00B135D0" w:rsidRPr="001F224B" w:rsidRDefault="00B135D0" w:rsidP="00B135D0">
            <w:pPr>
              <w:jc w:val="center"/>
              <w:rPr>
                <w:b/>
                <w:bCs/>
                <w:sz w:val="20"/>
                <w:szCs w:val="20"/>
              </w:rPr>
            </w:pPr>
            <w:r w:rsidRPr="001F224B">
              <w:rPr>
                <w:b/>
                <w:bCs/>
                <w:sz w:val="20"/>
                <w:szCs w:val="20"/>
              </w:rPr>
              <w:t>Net</w:t>
            </w:r>
          </w:p>
        </w:tc>
      </w:tr>
      <w:tr w:rsidR="00B86738" w:rsidRPr="001F224B" w14:paraId="1CE375CF" w14:textId="77777777" w:rsidTr="00B86738">
        <w:trPr>
          <w:trHeight w:val="213"/>
        </w:trPr>
        <w:tc>
          <w:tcPr>
            <w:tcW w:w="4256" w:type="dxa"/>
            <w:shd w:val="clear" w:color="000000" w:fill="FFFFFF"/>
            <w:vAlign w:val="bottom"/>
          </w:tcPr>
          <w:p w14:paraId="6B6FF241" w14:textId="77777777" w:rsidR="00B86738" w:rsidRPr="001F224B" w:rsidRDefault="00B86738" w:rsidP="00B86738">
            <w:pPr>
              <w:ind w:firstLineChars="200" w:firstLine="400"/>
              <w:rPr>
                <w:sz w:val="20"/>
                <w:szCs w:val="20"/>
              </w:rPr>
            </w:pPr>
            <w:r w:rsidRPr="001F224B">
              <w:rPr>
                <w:sz w:val="20"/>
                <w:szCs w:val="20"/>
              </w:rPr>
              <w:t xml:space="preserve">1 Yıldan Az </w:t>
            </w:r>
          </w:p>
        </w:tc>
        <w:tc>
          <w:tcPr>
            <w:tcW w:w="1417" w:type="dxa"/>
            <w:shd w:val="clear" w:color="000000" w:fill="FFFFFF"/>
            <w:vAlign w:val="bottom"/>
          </w:tcPr>
          <w:p w14:paraId="40AD98D5" w14:textId="0587DA09" w:rsidR="00B86738" w:rsidRPr="001F224B" w:rsidRDefault="00B86738" w:rsidP="00B86738">
            <w:pPr>
              <w:jc w:val="right"/>
              <w:rPr>
                <w:color w:val="000000"/>
                <w:sz w:val="20"/>
                <w:szCs w:val="20"/>
              </w:rPr>
            </w:pPr>
            <w:r w:rsidRPr="001F224B">
              <w:rPr>
                <w:color w:val="000000"/>
                <w:sz w:val="20"/>
                <w:szCs w:val="20"/>
              </w:rPr>
              <w:t>25.613</w:t>
            </w:r>
          </w:p>
        </w:tc>
        <w:tc>
          <w:tcPr>
            <w:tcW w:w="1298" w:type="dxa"/>
            <w:shd w:val="clear" w:color="000000" w:fill="FFFFFF"/>
            <w:vAlign w:val="bottom"/>
          </w:tcPr>
          <w:p w14:paraId="5ECCE889" w14:textId="508DC134" w:rsidR="00B86738" w:rsidRPr="001F224B" w:rsidRDefault="00B86738" w:rsidP="00B86738">
            <w:pPr>
              <w:jc w:val="right"/>
              <w:rPr>
                <w:color w:val="000000"/>
                <w:sz w:val="20"/>
                <w:szCs w:val="20"/>
              </w:rPr>
            </w:pPr>
            <w:r w:rsidRPr="001F224B">
              <w:rPr>
                <w:color w:val="000000"/>
                <w:sz w:val="20"/>
                <w:szCs w:val="20"/>
              </w:rPr>
              <w:t>22.395</w:t>
            </w:r>
          </w:p>
        </w:tc>
        <w:tc>
          <w:tcPr>
            <w:tcW w:w="1419" w:type="dxa"/>
            <w:shd w:val="clear" w:color="000000" w:fill="FFFFFF"/>
            <w:vAlign w:val="center"/>
          </w:tcPr>
          <w:p w14:paraId="7601C2B5" w14:textId="41B46BEA" w:rsidR="00B86738" w:rsidRPr="001F224B" w:rsidRDefault="00B86738" w:rsidP="00B86738">
            <w:pPr>
              <w:jc w:val="right"/>
              <w:rPr>
                <w:sz w:val="20"/>
                <w:szCs w:val="20"/>
              </w:rPr>
            </w:pPr>
            <w:r w:rsidRPr="001F224B">
              <w:rPr>
                <w:color w:val="000000"/>
                <w:sz w:val="20"/>
                <w:szCs w:val="20"/>
              </w:rPr>
              <w:t>9.662</w:t>
            </w:r>
          </w:p>
        </w:tc>
        <w:tc>
          <w:tcPr>
            <w:tcW w:w="1349" w:type="dxa"/>
            <w:shd w:val="clear" w:color="000000" w:fill="FFFFFF"/>
            <w:vAlign w:val="center"/>
          </w:tcPr>
          <w:p w14:paraId="3C978C05" w14:textId="3859EB99" w:rsidR="00B86738" w:rsidRPr="001F224B" w:rsidRDefault="00B86738" w:rsidP="00B86738">
            <w:pPr>
              <w:jc w:val="right"/>
              <w:rPr>
                <w:sz w:val="20"/>
                <w:szCs w:val="20"/>
              </w:rPr>
            </w:pPr>
            <w:r w:rsidRPr="001F224B">
              <w:rPr>
                <w:color w:val="000000"/>
                <w:sz w:val="20"/>
                <w:szCs w:val="20"/>
              </w:rPr>
              <w:t>7.549</w:t>
            </w:r>
          </w:p>
        </w:tc>
      </w:tr>
      <w:tr w:rsidR="00B86738" w:rsidRPr="001F224B" w14:paraId="441665D5" w14:textId="77777777" w:rsidTr="00B86738">
        <w:trPr>
          <w:trHeight w:val="231"/>
        </w:trPr>
        <w:tc>
          <w:tcPr>
            <w:tcW w:w="4256" w:type="dxa"/>
            <w:shd w:val="clear" w:color="000000" w:fill="FFFFFF"/>
            <w:vAlign w:val="bottom"/>
          </w:tcPr>
          <w:p w14:paraId="5D2B3F71" w14:textId="77777777" w:rsidR="00B86738" w:rsidRPr="001F224B" w:rsidRDefault="00B86738" w:rsidP="00B86738">
            <w:pPr>
              <w:ind w:firstLineChars="200" w:firstLine="400"/>
              <w:rPr>
                <w:sz w:val="20"/>
                <w:szCs w:val="20"/>
              </w:rPr>
            </w:pPr>
            <w:r w:rsidRPr="001F224B">
              <w:rPr>
                <w:sz w:val="20"/>
                <w:szCs w:val="20"/>
              </w:rPr>
              <w:t>1-4 Yıl Arası</w:t>
            </w:r>
          </w:p>
        </w:tc>
        <w:tc>
          <w:tcPr>
            <w:tcW w:w="1417" w:type="dxa"/>
            <w:shd w:val="clear" w:color="000000" w:fill="FFFFFF"/>
            <w:vAlign w:val="bottom"/>
          </w:tcPr>
          <w:p w14:paraId="5F2DC98F" w14:textId="66D59F99" w:rsidR="00B86738" w:rsidRPr="001F224B" w:rsidRDefault="00B86738" w:rsidP="00B86738">
            <w:pPr>
              <w:jc w:val="right"/>
              <w:rPr>
                <w:color w:val="000000"/>
                <w:sz w:val="20"/>
                <w:szCs w:val="20"/>
              </w:rPr>
            </w:pPr>
            <w:r w:rsidRPr="001F224B">
              <w:rPr>
                <w:color w:val="000000"/>
                <w:sz w:val="20"/>
                <w:szCs w:val="20"/>
              </w:rPr>
              <w:t>11.960</w:t>
            </w:r>
          </w:p>
        </w:tc>
        <w:tc>
          <w:tcPr>
            <w:tcW w:w="1298" w:type="dxa"/>
            <w:shd w:val="clear" w:color="000000" w:fill="FFFFFF"/>
            <w:vAlign w:val="bottom"/>
          </w:tcPr>
          <w:p w14:paraId="7A9A6849" w14:textId="5C727B04" w:rsidR="00B86738" w:rsidRPr="001F224B" w:rsidRDefault="00B86738" w:rsidP="00B86738">
            <w:pPr>
              <w:jc w:val="right"/>
              <w:rPr>
                <w:color w:val="000000"/>
                <w:sz w:val="20"/>
                <w:szCs w:val="20"/>
              </w:rPr>
            </w:pPr>
            <w:r w:rsidRPr="001F224B">
              <w:rPr>
                <w:color w:val="000000"/>
                <w:sz w:val="20"/>
                <w:szCs w:val="20"/>
              </w:rPr>
              <w:t>11.058</w:t>
            </w:r>
          </w:p>
        </w:tc>
        <w:tc>
          <w:tcPr>
            <w:tcW w:w="1419" w:type="dxa"/>
            <w:shd w:val="clear" w:color="000000" w:fill="FFFFFF"/>
            <w:vAlign w:val="center"/>
          </w:tcPr>
          <w:p w14:paraId="109FA398" w14:textId="3B743DC8" w:rsidR="00B86738" w:rsidRPr="001F224B" w:rsidRDefault="00B86738" w:rsidP="00B86738">
            <w:pPr>
              <w:jc w:val="right"/>
              <w:rPr>
                <w:sz w:val="20"/>
                <w:szCs w:val="20"/>
              </w:rPr>
            </w:pPr>
            <w:r w:rsidRPr="001F224B">
              <w:rPr>
                <w:color w:val="000000"/>
                <w:sz w:val="20"/>
                <w:szCs w:val="20"/>
              </w:rPr>
              <w:t>16.444</w:t>
            </w:r>
          </w:p>
        </w:tc>
        <w:tc>
          <w:tcPr>
            <w:tcW w:w="1349" w:type="dxa"/>
            <w:shd w:val="clear" w:color="000000" w:fill="FFFFFF"/>
            <w:vAlign w:val="center"/>
          </w:tcPr>
          <w:p w14:paraId="5753C76C" w14:textId="53613443" w:rsidR="00B86738" w:rsidRPr="001F224B" w:rsidRDefault="00B86738" w:rsidP="00B86738">
            <w:pPr>
              <w:jc w:val="right"/>
              <w:rPr>
                <w:sz w:val="20"/>
                <w:szCs w:val="20"/>
              </w:rPr>
            </w:pPr>
            <w:r w:rsidRPr="001F224B">
              <w:rPr>
                <w:color w:val="000000"/>
                <w:sz w:val="20"/>
                <w:szCs w:val="20"/>
              </w:rPr>
              <w:t>14.799</w:t>
            </w:r>
          </w:p>
        </w:tc>
      </w:tr>
      <w:tr w:rsidR="00B86738" w:rsidRPr="001F224B" w14:paraId="28ABFC9A" w14:textId="77777777" w:rsidTr="0095093B">
        <w:trPr>
          <w:trHeight w:val="235"/>
        </w:trPr>
        <w:tc>
          <w:tcPr>
            <w:tcW w:w="4256" w:type="dxa"/>
            <w:tcBorders>
              <w:bottom w:val="single" w:sz="4" w:space="0" w:color="auto"/>
            </w:tcBorders>
            <w:shd w:val="clear" w:color="000000" w:fill="FFFFFF"/>
            <w:vAlign w:val="bottom"/>
          </w:tcPr>
          <w:p w14:paraId="2A4D6FED" w14:textId="77777777" w:rsidR="00B86738" w:rsidRPr="001F224B" w:rsidRDefault="00B86738" w:rsidP="00B86738">
            <w:pPr>
              <w:ind w:firstLineChars="200" w:firstLine="400"/>
              <w:rPr>
                <w:sz w:val="20"/>
                <w:szCs w:val="20"/>
              </w:rPr>
            </w:pPr>
            <w:r w:rsidRPr="001F224B">
              <w:rPr>
                <w:sz w:val="20"/>
                <w:szCs w:val="20"/>
              </w:rPr>
              <w:t>4 Yıldan Fazla</w:t>
            </w:r>
          </w:p>
        </w:tc>
        <w:tc>
          <w:tcPr>
            <w:tcW w:w="1417" w:type="dxa"/>
            <w:tcBorders>
              <w:bottom w:val="single" w:sz="4" w:space="0" w:color="auto"/>
            </w:tcBorders>
            <w:shd w:val="clear" w:color="000000" w:fill="FFFFFF"/>
            <w:vAlign w:val="bottom"/>
          </w:tcPr>
          <w:p w14:paraId="77CB9EE0" w14:textId="6B0DCFFF" w:rsidR="00B86738" w:rsidRPr="001F224B" w:rsidRDefault="00B86738" w:rsidP="00B86738">
            <w:pPr>
              <w:jc w:val="right"/>
              <w:rPr>
                <w:color w:val="000000"/>
                <w:sz w:val="20"/>
                <w:szCs w:val="20"/>
              </w:rPr>
            </w:pPr>
            <w:r w:rsidRPr="001F224B">
              <w:rPr>
                <w:sz w:val="20"/>
                <w:szCs w:val="20"/>
              </w:rPr>
              <w:t>-</w:t>
            </w:r>
          </w:p>
        </w:tc>
        <w:tc>
          <w:tcPr>
            <w:tcW w:w="1298" w:type="dxa"/>
            <w:tcBorders>
              <w:bottom w:val="single" w:sz="4" w:space="0" w:color="auto"/>
            </w:tcBorders>
            <w:shd w:val="clear" w:color="000000" w:fill="FFFFFF"/>
            <w:vAlign w:val="bottom"/>
          </w:tcPr>
          <w:p w14:paraId="599AF807" w14:textId="43D8987F" w:rsidR="00B86738" w:rsidRPr="001F224B" w:rsidRDefault="00B86738" w:rsidP="00B86738">
            <w:pPr>
              <w:jc w:val="right"/>
              <w:rPr>
                <w:color w:val="000000"/>
                <w:sz w:val="20"/>
                <w:szCs w:val="20"/>
              </w:rPr>
            </w:pPr>
            <w:r w:rsidRPr="001F224B">
              <w:rPr>
                <w:sz w:val="20"/>
                <w:szCs w:val="20"/>
              </w:rPr>
              <w:t>-</w:t>
            </w:r>
          </w:p>
        </w:tc>
        <w:tc>
          <w:tcPr>
            <w:tcW w:w="1419" w:type="dxa"/>
            <w:tcBorders>
              <w:bottom w:val="single" w:sz="4" w:space="0" w:color="auto"/>
            </w:tcBorders>
            <w:shd w:val="clear" w:color="000000" w:fill="FFFFFF"/>
            <w:vAlign w:val="bottom"/>
          </w:tcPr>
          <w:p w14:paraId="2929F9BD" w14:textId="5F70D8B1" w:rsidR="00B86738" w:rsidRPr="001F224B" w:rsidRDefault="00B86738" w:rsidP="00B86738">
            <w:pPr>
              <w:jc w:val="right"/>
              <w:rPr>
                <w:b/>
                <w:sz w:val="20"/>
                <w:szCs w:val="20"/>
              </w:rPr>
            </w:pPr>
            <w:r w:rsidRPr="001F224B">
              <w:rPr>
                <w:sz w:val="20"/>
                <w:szCs w:val="20"/>
              </w:rPr>
              <w:t>-</w:t>
            </w:r>
          </w:p>
        </w:tc>
        <w:tc>
          <w:tcPr>
            <w:tcW w:w="1349" w:type="dxa"/>
            <w:tcBorders>
              <w:bottom w:val="single" w:sz="4" w:space="0" w:color="auto"/>
            </w:tcBorders>
            <w:shd w:val="clear" w:color="000000" w:fill="FFFFFF"/>
            <w:vAlign w:val="bottom"/>
          </w:tcPr>
          <w:p w14:paraId="4A5E8F4B" w14:textId="3932DD6C" w:rsidR="00B86738" w:rsidRPr="001F224B" w:rsidRDefault="00B86738" w:rsidP="00B86738">
            <w:pPr>
              <w:jc w:val="right"/>
              <w:rPr>
                <w:b/>
                <w:sz w:val="20"/>
                <w:szCs w:val="20"/>
              </w:rPr>
            </w:pPr>
            <w:r w:rsidRPr="001F224B">
              <w:rPr>
                <w:sz w:val="20"/>
                <w:szCs w:val="20"/>
              </w:rPr>
              <w:t>-</w:t>
            </w:r>
          </w:p>
        </w:tc>
      </w:tr>
      <w:tr w:rsidR="00B86738" w:rsidRPr="001F224B" w14:paraId="27A8C898" w14:textId="77777777" w:rsidTr="0095093B">
        <w:trPr>
          <w:trHeight w:val="111"/>
        </w:trPr>
        <w:tc>
          <w:tcPr>
            <w:tcW w:w="4256" w:type="dxa"/>
            <w:tcBorders>
              <w:bottom w:val="single" w:sz="4" w:space="0" w:color="auto"/>
            </w:tcBorders>
            <w:shd w:val="clear" w:color="000000" w:fill="FFFFFF"/>
            <w:vAlign w:val="bottom"/>
          </w:tcPr>
          <w:p w14:paraId="690656F1" w14:textId="77777777" w:rsidR="00B86738" w:rsidRPr="001F224B" w:rsidRDefault="00B86738" w:rsidP="00B86738">
            <w:pPr>
              <w:rPr>
                <w:b/>
                <w:sz w:val="20"/>
                <w:szCs w:val="20"/>
              </w:rPr>
            </w:pPr>
            <w:r w:rsidRPr="001F224B">
              <w:rPr>
                <w:b/>
                <w:sz w:val="20"/>
                <w:szCs w:val="20"/>
              </w:rPr>
              <w:t>Toplam</w:t>
            </w:r>
          </w:p>
        </w:tc>
        <w:tc>
          <w:tcPr>
            <w:tcW w:w="1417" w:type="dxa"/>
            <w:tcBorders>
              <w:bottom w:val="single" w:sz="4" w:space="0" w:color="auto"/>
            </w:tcBorders>
            <w:shd w:val="clear" w:color="000000" w:fill="FFFFFF"/>
            <w:vAlign w:val="bottom"/>
          </w:tcPr>
          <w:p w14:paraId="334241D4" w14:textId="34A71093" w:rsidR="00B86738" w:rsidRPr="001F224B" w:rsidRDefault="00B86738" w:rsidP="00B86738">
            <w:pPr>
              <w:jc w:val="right"/>
              <w:rPr>
                <w:b/>
                <w:bCs/>
                <w:color w:val="000000"/>
                <w:sz w:val="20"/>
                <w:szCs w:val="20"/>
              </w:rPr>
            </w:pPr>
            <w:r w:rsidRPr="001F224B">
              <w:rPr>
                <w:b/>
                <w:bCs/>
                <w:color w:val="000000"/>
                <w:sz w:val="20"/>
                <w:szCs w:val="20"/>
              </w:rPr>
              <w:t>37.573</w:t>
            </w:r>
          </w:p>
        </w:tc>
        <w:tc>
          <w:tcPr>
            <w:tcW w:w="1298" w:type="dxa"/>
            <w:tcBorders>
              <w:bottom w:val="single" w:sz="4" w:space="0" w:color="auto"/>
            </w:tcBorders>
            <w:shd w:val="clear" w:color="000000" w:fill="FFFFFF"/>
            <w:vAlign w:val="bottom"/>
          </w:tcPr>
          <w:p w14:paraId="0FE43989" w14:textId="428DC469" w:rsidR="00B86738" w:rsidRPr="001F224B" w:rsidRDefault="00B86738" w:rsidP="00B86738">
            <w:pPr>
              <w:jc w:val="right"/>
              <w:rPr>
                <w:b/>
                <w:bCs/>
                <w:color w:val="000000"/>
                <w:sz w:val="20"/>
                <w:szCs w:val="20"/>
              </w:rPr>
            </w:pPr>
            <w:r w:rsidRPr="001F224B">
              <w:rPr>
                <w:b/>
                <w:bCs/>
                <w:color w:val="000000"/>
                <w:sz w:val="20"/>
                <w:szCs w:val="20"/>
              </w:rPr>
              <w:t>33.453</w:t>
            </w:r>
          </w:p>
        </w:tc>
        <w:tc>
          <w:tcPr>
            <w:tcW w:w="1419" w:type="dxa"/>
            <w:tcBorders>
              <w:bottom w:val="single" w:sz="4" w:space="0" w:color="auto"/>
            </w:tcBorders>
            <w:shd w:val="clear" w:color="000000" w:fill="FFFFFF"/>
            <w:vAlign w:val="center"/>
          </w:tcPr>
          <w:p w14:paraId="417FF63D" w14:textId="1AB48F7A" w:rsidR="00B86738" w:rsidRPr="001F224B" w:rsidRDefault="00B86738" w:rsidP="00B86738">
            <w:pPr>
              <w:jc w:val="right"/>
              <w:rPr>
                <w:b/>
                <w:sz w:val="20"/>
                <w:szCs w:val="20"/>
              </w:rPr>
            </w:pPr>
            <w:r w:rsidRPr="001F224B">
              <w:rPr>
                <w:b/>
                <w:bCs/>
                <w:color w:val="000000"/>
                <w:sz w:val="20"/>
                <w:szCs w:val="20"/>
              </w:rPr>
              <w:t>26.106</w:t>
            </w:r>
          </w:p>
        </w:tc>
        <w:tc>
          <w:tcPr>
            <w:tcW w:w="1349" w:type="dxa"/>
            <w:tcBorders>
              <w:bottom w:val="single" w:sz="4" w:space="0" w:color="auto"/>
            </w:tcBorders>
            <w:shd w:val="clear" w:color="000000" w:fill="FFFFFF"/>
            <w:vAlign w:val="center"/>
          </w:tcPr>
          <w:p w14:paraId="65166836" w14:textId="06F4438A" w:rsidR="00B86738" w:rsidRPr="001F224B" w:rsidRDefault="00B86738" w:rsidP="00B86738">
            <w:pPr>
              <w:jc w:val="right"/>
              <w:rPr>
                <w:b/>
                <w:sz w:val="20"/>
                <w:szCs w:val="20"/>
              </w:rPr>
            </w:pPr>
            <w:r w:rsidRPr="001F224B">
              <w:rPr>
                <w:b/>
                <w:bCs/>
                <w:color w:val="000000"/>
                <w:sz w:val="20"/>
                <w:szCs w:val="20"/>
              </w:rPr>
              <w:t>22.348</w:t>
            </w:r>
          </w:p>
        </w:tc>
      </w:tr>
    </w:tbl>
    <w:p w14:paraId="1F20C4ED" w14:textId="77777777" w:rsidR="00785B90" w:rsidRPr="001F224B" w:rsidRDefault="00785B90" w:rsidP="00785B90">
      <w:pPr>
        <w:tabs>
          <w:tab w:val="left" w:pos="-2160"/>
        </w:tabs>
        <w:ind w:left="567" w:hanging="567"/>
        <w:rPr>
          <w:b/>
          <w:sz w:val="4"/>
          <w:szCs w:val="4"/>
        </w:rPr>
      </w:pPr>
    </w:p>
    <w:p w14:paraId="621CC566" w14:textId="7DF445A5" w:rsidR="00785B90" w:rsidRPr="001F224B" w:rsidRDefault="00785B90" w:rsidP="00785B90">
      <w:pPr>
        <w:tabs>
          <w:tab w:val="left" w:pos="-2160"/>
        </w:tabs>
        <w:ind w:left="567" w:hanging="567"/>
        <w:rPr>
          <w:b/>
          <w:bCs/>
          <w:sz w:val="22"/>
          <w:szCs w:val="22"/>
        </w:rPr>
      </w:pPr>
      <w:r w:rsidRPr="001F224B">
        <w:rPr>
          <w:b/>
          <w:sz w:val="22"/>
          <w:szCs w:val="22"/>
        </w:rPr>
        <w:t>10.</w:t>
      </w:r>
      <w:r w:rsidRPr="001F224B">
        <w:rPr>
          <w:sz w:val="22"/>
          <w:szCs w:val="22"/>
        </w:rPr>
        <w:tab/>
      </w:r>
      <w:r w:rsidRPr="001F224B">
        <w:rPr>
          <w:b/>
          <w:bCs/>
          <w:sz w:val="22"/>
          <w:szCs w:val="22"/>
        </w:rPr>
        <w:t>Riskten korunma amaçlı türev finansal borçlara ilişkin negatif farklar tablosu:</w:t>
      </w:r>
    </w:p>
    <w:p w14:paraId="04CDD325" w14:textId="77777777" w:rsidR="00785B90" w:rsidRPr="001F224B" w:rsidRDefault="00785B90" w:rsidP="00785B90">
      <w:pPr>
        <w:tabs>
          <w:tab w:val="left" w:pos="-2160"/>
        </w:tabs>
        <w:ind w:left="567" w:hanging="567"/>
        <w:rPr>
          <w:b/>
          <w:bCs/>
          <w:sz w:val="12"/>
          <w:szCs w:val="12"/>
        </w:rPr>
      </w:pPr>
    </w:p>
    <w:p w14:paraId="6729D3EF" w14:textId="77777777" w:rsidR="00785B90" w:rsidRPr="001F224B" w:rsidRDefault="00785B90" w:rsidP="00AE60E1">
      <w:pPr>
        <w:tabs>
          <w:tab w:val="left" w:pos="-2160"/>
        </w:tabs>
        <w:ind w:left="567" w:hanging="567"/>
        <w:jc w:val="both"/>
        <w:rPr>
          <w:b/>
          <w:bCs/>
          <w:sz w:val="12"/>
          <w:szCs w:val="12"/>
        </w:rPr>
      </w:pPr>
      <w:r w:rsidRPr="001F224B">
        <w:t xml:space="preserve">          </w:t>
      </w:r>
      <w:r w:rsidRPr="001F224B">
        <w:rPr>
          <w:rFonts w:eastAsia="Arial Unicode MS"/>
          <w:bCs/>
          <w:sz w:val="22"/>
          <w:szCs w:val="22"/>
        </w:rPr>
        <w:t>Banka’nın riskten korunma amaçlı türev finansal aracı bulunmamaktadır.</w:t>
      </w:r>
    </w:p>
    <w:p w14:paraId="1124350E" w14:textId="4D2368E1" w:rsidR="00637232" w:rsidRPr="001F224B" w:rsidRDefault="00785B90" w:rsidP="00AE60E1">
      <w:pPr>
        <w:tabs>
          <w:tab w:val="left" w:pos="-2160"/>
        </w:tabs>
        <w:spacing w:before="120"/>
        <w:ind w:left="567" w:hanging="567"/>
        <w:jc w:val="both"/>
        <w:rPr>
          <w:b/>
          <w:bCs/>
          <w:sz w:val="22"/>
          <w:szCs w:val="22"/>
        </w:rPr>
      </w:pPr>
      <w:r w:rsidRPr="001F224B">
        <w:rPr>
          <w:b/>
          <w:sz w:val="22"/>
          <w:szCs w:val="22"/>
        </w:rPr>
        <w:t>11</w:t>
      </w:r>
      <w:r w:rsidR="00637232" w:rsidRPr="001F224B">
        <w:rPr>
          <w:b/>
          <w:sz w:val="22"/>
          <w:szCs w:val="22"/>
        </w:rPr>
        <w:t>.</w:t>
      </w:r>
      <w:r w:rsidR="00FB5A5B" w:rsidRPr="001F224B">
        <w:rPr>
          <w:sz w:val="22"/>
          <w:szCs w:val="22"/>
        </w:rPr>
        <w:tab/>
      </w:r>
      <w:r w:rsidR="00D10934" w:rsidRPr="001F224B">
        <w:rPr>
          <w:b/>
          <w:bCs/>
          <w:sz w:val="22"/>
          <w:szCs w:val="22"/>
        </w:rPr>
        <w:t>Karşılıklara ilişkin a</w:t>
      </w:r>
      <w:r w:rsidR="00637232" w:rsidRPr="001F224B">
        <w:rPr>
          <w:b/>
          <w:bCs/>
          <w:sz w:val="22"/>
          <w:szCs w:val="22"/>
        </w:rPr>
        <w:t>çıklamalar:</w:t>
      </w:r>
    </w:p>
    <w:p w14:paraId="351418A7" w14:textId="0081CB69" w:rsidR="00637232" w:rsidRPr="001F224B" w:rsidRDefault="00637232" w:rsidP="00AE60E1">
      <w:pPr>
        <w:tabs>
          <w:tab w:val="left" w:pos="-2160"/>
          <w:tab w:val="left" w:pos="567"/>
        </w:tabs>
        <w:spacing w:before="120" w:after="120"/>
        <w:jc w:val="both"/>
        <w:rPr>
          <w:b/>
          <w:bCs/>
          <w:sz w:val="22"/>
          <w:szCs w:val="22"/>
        </w:rPr>
      </w:pPr>
      <w:r w:rsidRPr="001F224B">
        <w:rPr>
          <w:b/>
          <w:bCs/>
          <w:sz w:val="22"/>
          <w:szCs w:val="22"/>
        </w:rPr>
        <w:t>1</w:t>
      </w:r>
      <w:r w:rsidR="00785B90" w:rsidRPr="001F224B">
        <w:rPr>
          <w:b/>
          <w:bCs/>
          <w:sz w:val="22"/>
          <w:szCs w:val="22"/>
        </w:rPr>
        <w:t>1</w:t>
      </w:r>
      <w:r w:rsidRPr="001F224B">
        <w:rPr>
          <w:b/>
          <w:bCs/>
          <w:sz w:val="22"/>
          <w:szCs w:val="22"/>
        </w:rPr>
        <w:t>.</w:t>
      </w:r>
      <w:r w:rsidR="00B135D0" w:rsidRPr="001F224B">
        <w:rPr>
          <w:b/>
          <w:bCs/>
          <w:sz w:val="22"/>
          <w:szCs w:val="22"/>
        </w:rPr>
        <w:t>a</w:t>
      </w:r>
      <w:r w:rsidRPr="001F224B">
        <w:rPr>
          <w:b/>
          <w:bCs/>
          <w:sz w:val="22"/>
          <w:szCs w:val="22"/>
        </w:rPr>
        <w:t>)</w:t>
      </w:r>
      <w:r w:rsidRPr="001F224B">
        <w:rPr>
          <w:b/>
          <w:bCs/>
          <w:sz w:val="22"/>
          <w:szCs w:val="22"/>
        </w:rPr>
        <w:tab/>
        <w:t>Dövize endeksli krediler ve finansal kiralama alacakları anapara kur azalış karşılıkları:</w:t>
      </w:r>
    </w:p>
    <w:p w14:paraId="5F028BD8" w14:textId="0115C74D" w:rsidR="00637232" w:rsidRPr="001F224B" w:rsidRDefault="00637232" w:rsidP="00AE60E1">
      <w:pPr>
        <w:tabs>
          <w:tab w:val="left" w:pos="567"/>
        </w:tabs>
        <w:spacing w:before="120"/>
        <w:ind w:left="567"/>
        <w:jc w:val="both"/>
        <w:rPr>
          <w:rFonts w:eastAsia="Arial Unicode MS"/>
          <w:bCs/>
          <w:sz w:val="22"/>
          <w:szCs w:val="22"/>
        </w:rPr>
      </w:pPr>
      <w:r w:rsidRPr="001F224B">
        <w:rPr>
          <w:rFonts w:eastAsia="Arial Unicode MS"/>
          <w:bCs/>
          <w:sz w:val="22"/>
          <w:szCs w:val="22"/>
        </w:rPr>
        <w:t>Dövize endeksli krediler ve finansal kiralama alacakları anapara kur azalış karşılığı bulunmamaktadır (31 Aralık 20</w:t>
      </w:r>
      <w:r w:rsidR="00AC6F87" w:rsidRPr="001F224B">
        <w:rPr>
          <w:rFonts w:eastAsia="Arial Unicode MS"/>
          <w:bCs/>
          <w:sz w:val="22"/>
          <w:szCs w:val="22"/>
        </w:rPr>
        <w:t>2</w:t>
      </w:r>
      <w:r w:rsidR="0000211A" w:rsidRPr="001F224B">
        <w:rPr>
          <w:rFonts w:eastAsia="Arial Unicode MS"/>
          <w:bCs/>
          <w:sz w:val="22"/>
          <w:szCs w:val="22"/>
        </w:rPr>
        <w:t>4</w:t>
      </w:r>
      <w:r w:rsidRPr="001F224B">
        <w:rPr>
          <w:rFonts w:eastAsia="Arial Unicode MS"/>
          <w:bCs/>
          <w:sz w:val="22"/>
          <w:szCs w:val="22"/>
        </w:rPr>
        <w:t xml:space="preserve">: Bulunmamaktadır). </w:t>
      </w:r>
    </w:p>
    <w:p w14:paraId="1149C16A" w14:textId="77777777" w:rsidR="00A71599" w:rsidRPr="001F224B" w:rsidRDefault="00A71599" w:rsidP="00AE60E1">
      <w:pPr>
        <w:tabs>
          <w:tab w:val="left" w:pos="-2160"/>
          <w:tab w:val="left" w:pos="567"/>
        </w:tabs>
        <w:spacing w:before="120"/>
        <w:jc w:val="both"/>
        <w:rPr>
          <w:b/>
          <w:bCs/>
          <w:sz w:val="22"/>
          <w:szCs w:val="22"/>
        </w:rPr>
      </w:pPr>
      <w:r w:rsidRPr="001F224B">
        <w:rPr>
          <w:b/>
          <w:bCs/>
          <w:sz w:val="22"/>
          <w:szCs w:val="22"/>
        </w:rPr>
        <w:t>11.b)</w:t>
      </w:r>
      <w:r w:rsidRPr="001F224B">
        <w:rPr>
          <w:b/>
          <w:bCs/>
          <w:sz w:val="22"/>
          <w:szCs w:val="22"/>
        </w:rPr>
        <w:tab/>
        <w:t>Tazmin edilmemiş ve nakde dönüşmemiş gayrinakdi krediler beklenen zarar karşılıkları:</w:t>
      </w:r>
    </w:p>
    <w:p w14:paraId="16769119" w14:textId="3DF9CBEE" w:rsidR="006B4C7C" w:rsidRPr="001F224B" w:rsidRDefault="006B4C7C" w:rsidP="006B4C7C">
      <w:pPr>
        <w:spacing w:before="120" w:after="120"/>
        <w:ind w:left="567"/>
        <w:jc w:val="both"/>
        <w:rPr>
          <w:rFonts w:eastAsia="Arial Unicode MS"/>
          <w:bCs/>
          <w:sz w:val="22"/>
          <w:szCs w:val="22"/>
        </w:rPr>
      </w:pPr>
      <w:r w:rsidRPr="001F224B">
        <w:rPr>
          <w:sz w:val="22"/>
          <w:szCs w:val="22"/>
        </w:rPr>
        <w:t>Tazmin edilmemiş ve nakde dönüşmemiş gayrinakdi krediler için 30 Haziran 2025 tarihi itibarıyla birinci aşama beklenen zarar karşılığı 38.</w:t>
      </w:r>
      <w:r w:rsidR="004C497B" w:rsidRPr="001F224B">
        <w:rPr>
          <w:sz w:val="22"/>
          <w:szCs w:val="22"/>
        </w:rPr>
        <w:t>4</w:t>
      </w:r>
      <w:r w:rsidRPr="001F224B">
        <w:rPr>
          <w:sz w:val="22"/>
          <w:szCs w:val="22"/>
        </w:rPr>
        <w:t>98 TL (31 Aralık 2024: 20.727 TL), üçüncü aşama beklenen zarar karşılığı 1 TL (31 Aralık 2024: 1 TL)’dir.</w:t>
      </w:r>
      <w:r w:rsidRPr="001F224B">
        <w:rPr>
          <w:rFonts w:eastAsia="Arial Unicode MS"/>
          <w:bCs/>
          <w:sz w:val="22"/>
          <w:szCs w:val="22"/>
        </w:rPr>
        <w:t xml:space="preserve">  </w:t>
      </w:r>
    </w:p>
    <w:p w14:paraId="13567E06" w14:textId="77777777" w:rsidR="0013000D" w:rsidRPr="001F224B" w:rsidRDefault="0013000D">
      <w:pPr>
        <w:rPr>
          <w:b/>
          <w:bCs/>
          <w:sz w:val="22"/>
          <w:szCs w:val="22"/>
        </w:rPr>
      </w:pPr>
      <w:r w:rsidRPr="001F224B">
        <w:rPr>
          <w:b/>
          <w:bCs/>
          <w:sz w:val="22"/>
          <w:szCs w:val="22"/>
        </w:rPr>
        <w:br w:type="page"/>
      </w:r>
    </w:p>
    <w:p w14:paraId="289BA4F3" w14:textId="21213E0F" w:rsidR="00315FAA" w:rsidRPr="001F224B" w:rsidRDefault="00315FAA" w:rsidP="00315FAA">
      <w:pPr>
        <w:pStyle w:val="ListParagraph"/>
        <w:tabs>
          <w:tab w:val="left" w:pos="0"/>
        </w:tabs>
        <w:spacing w:before="120" w:after="120"/>
        <w:ind w:left="0"/>
        <w:rPr>
          <w:b/>
          <w:bCs/>
          <w:sz w:val="22"/>
          <w:szCs w:val="22"/>
        </w:rPr>
      </w:pPr>
      <w:r w:rsidRPr="001F224B">
        <w:rPr>
          <w:b/>
          <w:bCs/>
          <w:sz w:val="22"/>
          <w:szCs w:val="22"/>
        </w:rPr>
        <w:t>BEŞİNCİ BÖLÜM (Devamı)</w:t>
      </w:r>
    </w:p>
    <w:p w14:paraId="7613C049" w14:textId="77777777" w:rsidR="00315FAA" w:rsidRPr="001F224B" w:rsidRDefault="00315FAA" w:rsidP="00315FAA">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6EC4B1B2" w14:textId="194FFC97" w:rsidR="00315FAA" w:rsidRPr="001F224B" w:rsidRDefault="00315FAA" w:rsidP="00315FAA">
      <w:pPr>
        <w:tabs>
          <w:tab w:val="left" w:pos="567"/>
        </w:tabs>
        <w:spacing w:before="120"/>
        <w:jc w:val="both"/>
        <w:rPr>
          <w:b/>
          <w:bCs/>
          <w:sz w:val="22"/>
          <w:szCs w:val="22"/>
        </w:rPr>
      </w:pPr>
      <w:r w:rsidRPr="001F224B">
        <w:rPr>
          <w:b/>
          <w:bCs/>
          <w:sz w:val="22"/>
          <w:szCs w:val="22"/>
        </w:rPr>
        <w:t>II.</w:t>
      </w:r>
      <w:r w:rsidRPr="001F224B">
        <w:rPr>
          <w:b/>
          <w:bCs/>
          <w:sz w:val="22"/>
          <w:szCs w:val="22"/>
        </w:rPr>
        <w:tab/>
        <w:t>Konsolide bilançonun pasif hesaplarına ilişkin açıklama ve dipnotlar (Devamı)</w:t>
      </w:r>
    </w:p>
    <w:p w14:paraId="740844CA" w14:textId="155643C9" w:rsidR="00315FAA" w:rsidRPr="001F224B" w:rsidRDefault="00315FAA" w:rsidP="00315FAA">
      <w:pPr>
        <w:tabs>
          <w:tab w:val="left" w:pos="-2160"/>
        </w:tabs>
        <w:spacing w:before="120"/>
        <w:ind w:left="567" w:hanging="567"/>
        <w:rPr>
          <w:b/>
          <w:bCs/>
          <w:sz w:val="22"/>
          <w:szCs w:val="22"/>
        </w:rPr>
      </w:pPr>
      <w:r w:rsidRPr="001F224B">
        <w:rPr>
          <w:b/>
          <w:sz w:val="22"/>
          <w:szCs w:val="22"/>
        </w:rPr>
        <w:t>11.</w:t>
      </w:r>
      <w:r w:rsidRPr="001F224B">
        <w:rPr>
          <w:sz w:val="22"/>
          <w:szCs w:val="22"/>
        </w:rPr>
        <w:tab/>
      </w:r>
      <w:r w:rsidRPr="001F224B">
        <w:rPr>
          <w:b/>
          <w:bCs/>
          <w:sz w:val="22"/>
          <w:szCs w:val="22"/>
        </w:rPr>
        <w:t>Karşılıklara ilişkin açıklamalar (Devamı):</w:t>
      </w:r>
    </w:p>
    <w:p w14:paraId="1B09E14C" w14:textId="5E957B0E" w:rsidR="0022043F" w:rsidRPr="001F224B" w:rsidRDefault="0022043F" w:rsidP="0022043F">
      <w:pPr>
        <w:tabs>
          <w:tab w:val="left" w:pos="-2160"/>
          <w:tab w:val="left" w:pos="567"/>
        </w:tabs>
        <w:spacing w:before="120" w:after="120"/>
        <w:rPr>
          <w:b/>
          <w:bCs/>
          <w:sz w:val="22"/>
          <w:szCs w:val="22"/>
        </w:rPr>
      </w:pPr>
      <w:r w:rsidRPr="001F224B">
        <w:rPr>
          <w:b/>
          <w:bCs/>
          <w:sz w:val="22"/>
          <w:szCs w:val="22"/>
        </w:rPr>
        <w:t>11.c)</w:t>
      </w:r>
      <w:r w:rsidRPr="001F224B">
        <w:rPr>
          <w:b/>
          <w:bCs/>
          <w:sz w:val="22"/>
          <w:szCs w:val="22"/>
        </w:rPr>
        <w:tab/>
        <w:t>Diğer karşılıklara ilişkin bilgiler:</w:t>
      </w:r>
    </w:p>
    <w:p w14:paraId="4E5533E5" w14:textId="77777777" w:rsidR="006B4C7C" w:rsidRPr="001F224B" w:rsidRDefault="00652E9E" w:rsidP="006B4C7C">
      <w:pPr>
        <w:pStyle w:val="EndnoteText"/>
        <w:numPr>
          <w:ilvl w:val="0"/>
          <w:numId w:val="19"/>
        </w:numPr>
        <w:tabs>
          <w:tab w:val="left" w:pos="-2160"/>
          <w:tab w:val="left" w:pos="567"/>
        </w:tabs>
        <w:spacing w:before="120" w:after="120"/>
        <w:ind w:left="567" w:hanging="426"/>
        <w:jc w:val="both"/>
        <w:rPr>
          <w:sz w:val="22"/>
          <w:szCs w:val="22"/>
        </w:rPr>
      </w:pPr>
      <w:r w:rsidRPr="001F224B">
        <w:rPr>
          <w:sz w:val="22"/>
          <w:szCs w:val="22"/>
        </w:rPr>
        <w:t>3</w:t>
      </w:r>
      <w:r w:rsidR="004A5AF4" w:rsidRPr="001F224B">
        <w:rPr>
          <w:sz w:val="22"/>
          <w:szCs w:val="22"/>
        </w:rPr>
        <w:t>0</w:t>
      </w:r>
      <w:r w:rsidRPr="001F224B">
        <w:rPr>
          <w:sz w:val="22"/>
          <w:szCs w:val="22"/>
        </w:rPr>
        <w:t xml:space="preserve"> </w:t>
      </w:r>
      <w:r w:rsidR="004A5AF4" w:rsidRPr="001F224B">
        <w:rPr>
          <w:sz w:val="22"/>
          <w:szCs w:val="22"/>
        </w:rPr>
        <w:t>Haziran</w:t>
      </w:r>
      <w:r w:rsidRPr="001F224B">
        <w:rPr>
          <w:sz w:val="22"/>
          <w:szCs w:val="22"/>
        </w:rPr>
        <w:t xml:space="preserve"> 202</w:t>
      </w:r>
      <w:r w:rsidR="0080395F" w:rsidRPr="001F224B">
        <w:rPr>
          <w:sz w:val="22"/>
          <w:szCs w:val="22"/>
        </w:rPr>
        <w:t>5</w:t>
      </w:r>
      <w:r w:rsidRPr="001F224B">
        <w:rPr>
          <w:sz w:val="22"/>
          <w:szCs w:val="22"/>
        </w:rPr>
        <w:t xml:space="preserve"> tarihi itibarıyla </w:t>
      </w:r>
      <w:r w:rsidR="0099063E" w:rsidRPr="001F224B">
        <w:rPr>
          <w:sz w:val="22"/>
          <w:szCs w:val="22"/>
        </w:rPr>
        <w:t>Grup</w:t>
      </w:r>
      <w:r w:rsidRPr="001F224B">
        <w:rPr>
          <w:sz w:val="22"/>
          <w:szCs w:val="22"/>
        </w:rPr>
        <w:t xml:space="preserve"> </w:t>
      </w:r>
      <w:r w:rsidR="006B4C7C" w:rsidRPr="001F224B">
        <w:rPr>
          <w:sz w:val="22"/>
          <w:szCs w:val="22"/>
        </w:rPr>
        <w:t>aleyhine açılmış 68 adet dava olup 13.784 TL risk tutarı bulunmaktadır. Banka, aleyhe sonuçlanacağı ya da sonuçlanma ihtimalinin yüksek olduğu düşünülen davalar için 4.036 TL (31 Aralık 2024: 5.139 TL) dava karşılığı ayırmıştır. Diğer karşılıkların 100.000 TL tutarındaki kısmı ise muhtemel risklere yönelik olarak ayrılmıştır (31 Aralık 2024: 100.000 TL).</w:t>
      </w:r>
    </w:p>
    <w:p w14:paraId="0B8DD74C" w14:textId="48416242" w:rsidR="006A5AAD" w:rsidRPr="001F224B" w:rsidRDefault="00D40D0C" w:rsidP="008A0F08">
      <w:pPr>
        <w:pStyle w:val="EndnoteText"/>
        <w:numPr>
          <w:ilvl w:val="0"/>
          <w:numId w:val="19"/>
        </w:numPr>
        <w:tabs>
          <w:tab w:val="left" w:pos="-2160"/>
          <w:tab w:val="left" w:pos="567"/>
        </w:tabs>
        <w:spacing w:before="120" w:after="120"/>
        <w:ind w:left="567" w:hanging="425"/>
        <w:jc w:val="both"/>
        <w:rPr>
          <w:b/>
          <w:bCs/>
          <w:sz w:val="22"/>
          <w:szCs w:val="22"/>
        </w:rPr>
      </w:pPr>
      <w:r w:rsidRPr="001F224B">
        <w:rPr>
          <w:sz w:val="22"/>
          <w:szCs w:val="22"/>
        </w:rPr>
        <w:t>Grup</w:t>
      </w:r>
      <w:r w:rsidR="002A7B98" w:rsidRPr="001F224B">
        <w:rPr>
          <w:sz w:val="22"/>
          <w:szCs w:val="22"/>
        </w:rPr>
        <w:t xml:space="preserve"> çalışan hakları </w:t>
      </w:r>
      <w:r w:rsidR="006A5AAD" w:rsidRPr="001F224B">
        <w:rPr>
          <w:sz w:val="22"/>
          <w:szCs w:val="22"/>
        </w:rPr>
        <w:t xml:space="preserve">karşılığını 19 Sayılı Türkiye Muhasebe Standartları’nda belirtilen hükümlerine göre hesaplayıp finansal tablolarına yansıtmıştır. </w:t>
      </w:r>
      <w:r w:rsidRPr="001F224B">
        <w:rPr>
          <w:sz w:val="22"/>
          <w:szCs w:val="22"/>
        </w:rPr>
        <w:t>Grup</w:t>
      </w:r>
      <w:r w:rsidR="006A5AAD" w:rsidRPr="001F224B">
        <w:rPr>
          <w:sz w:val="22"/>
          <w:szCs w:val="22"/>
        </w:rPr>
        <w:t xml:space="preserve"> </w:t>
      </w:r>
      <w:r w:rsidR="004C0676" w:rsidRPr="001F224B">
        <w:rPr>
          <w:sz w:val="22"/>
          <w:szCs w:val="22"/>
        </w:rPr>
        <w:t>3</w:t>
      </w:r>
      <w:r w:rsidR="004A5AF4" w:rsidRPr="001F224B">
        <w:rPr>
          <w:sz w:val="22"/>
          <w:szCs w:val="22"/>
        </w:rPr>
        <w:t>0</w:t>
      </w:r>
      <w:r w:rsidR="004C0676" w:rsidRPr="001F224B">
        <w:rPr>
          <w:sz w:val="22"/>
          <w:szCs w:val="22"/>
        </w:rPr>
        <w:t xml:space="preserve"> </w:t>
      </w:r>
      <w:r w:rsidR="004A5AF4" w:rsidRPr="001F224B">
        <w:rPr>
          <w:sz w:val="22"/>
          <w:szCs w:val="22"/>
        </w:rPr>
        <w:t>Haziran</w:t>
      </w:r>
      <w:r w:rsidR="004C0676" w:rsidRPr="001F224B">
        <w:rPr>
          <w:sz w:val="22"/>
          <w:szCs w:val="22"/>
        </w:rPr>
        <w:t xml:space="preserve"> </w:t>
      </w:r>
      <w:r w:rsidR="006A5AAD" w:rsidRPr="001F224B">
        <w:rPr>
          <w:sz w:val="22"/>
          <w:szCs w:val="22"/>
        </w:rPr>
        <w:t>202</w:t>
      </w:r>
      <w:r w:rsidR="0080395F" w:rsidRPr="001F224B">
        <w:rPr>
          <w:sz w:val="22"/>
          <w:szCs w:val="22"/>
        </w:rPr>
        <w:t xml:space="preserve">5 </w:t>
      </w:r>
      <w:r w:rsidR="006A5AAD" w:rsidRPr="001F224B">
        <w:rPr>
          <w:sz w:val="22"/>
          <w:szCs w:val="22"/>
        </w:rPr>
        <w:t xml:space="preserve">tarihi itibarıyla </w:t>
      </w:r>
      <w:r w:rsidR="00551AE5" w:rsidRPr="001F224B">
        <w:rPr>
          <w:sz w:val="22"/>
          <w:szCs w:val="22"/>
        </w:rPr>
        <w:t xml:space="preserve">67.465 </w:t>
      </w:r>
      <w:r w:rsidR="006A5AAD" w:rsidRPr="001F224B">
        <w:rPr>
          <w:sz w:val="22"/>
          <w:szCs w:val="22"/>
        </w:rPr>
        <w:t>TL (31 Aralık 202</w:t>
      </w:r>
      <w:r w:rsidR="0080395F" w:rsidRPr="001F224B">
        <w:rPr>
          <w:sz w:val="22"/>
          <w:szCs w:val="22"/>
        </w:rPr>
        <w:t>4</w:t>
      </w:r>
      <w:r w:rsidR="006A5AAD" w:rsidRPr="001F224B">
        <w:rPr>
          <w:sz w:val="22"/>
          <w:szCs w:val="22"/>
        </w:rPr>
        <w:t xml:space="preserve">: </w:t>
      </w:r>
      <w:r w:rsidR="0080395F" w:rsidRPr="001F224B">
        <w:rPr>
          <w:sz w:val="22"/>
          <w:szCs w:val="22"/>
        </w:rPr>
        <w:t>54.</w:t>
      </w:r>
      <w:r w:rsidR="00BC35C5" w:rsidRPr="001F224B">
        <w:rPr>
          <w:sz w:val="22"/>
          <w:szCs w:val="22"/>
        </w:rPr>
        <w:t>402</w:t>
      </w:r>
      <w:r w:rsidR="0080395F" w:rsidRPr="001F224B">
        <w:rPr>
          <w:sz w:val="22"/>
          <w:szCs w:val="22"/>
        </w:rPr>
        <w:t xml:space="preserve"> </w:t>
      </w:r>
      <w:r w:rsidR="006A5AAD" w:rsidRPr="001F224B">
        <w:rPr>
          <w:sz w:val="22"/>
          <w:szCs w:val="22"/>
        </w:rPr>
        <w:t xml:space="preserve">TL) tutarında kıdem tazminatı, </w:t>
      </w:r>
      <w:r w:rsidR="00551AE5" w:rsidRPr="001F224B">
        <w:rPr>
          <w:sz w:val="22"/>
          <w:szCs w:val="22"/>
        </w:rPr>
        <w:t xml:space="preserve">59.464 </w:t>
      </w:r>
      <w:r w:rsidR="006A5AAD" w:rsidRPr="001F224B">
        <w:rPr>
          <w:sz w:val="22"/>
          <w:szCs w:val="22"/>
        </w:rPr>
        <w:t>TL (31 Aralık 202</w:t>
      </w:r>
      <w:r w:rsidR="0080395F" w:rsidRPr="001F224B">
        <w:rPr>
          <w:sz w:val="22"/>
          <w:szCs w:val="22"/>
        </w:rPr>
        <w:t>4</w:t>
      </w:r>
      <w:r w:rsidR="006A5AAD" w:rsidRPr="001F224B">
        <w:rPr>
          <w:sz w:val="22"/>
          <w:szCs w:val="22"/>
        </w:rPr>
        <w:t xml:space="preserve">: </w:t>
      </w:r>
      <w:r w:rsidR="0080395F" w:rsidRPr="001F224B">
        <w:rPr>
          <w:sz w:val="22"/>
          <w:szCs w:val="22"/>
        </w:rPr>
        <w:t xml:space="preserve">41.178 </w:t>
      </w:r>
      <w:r w:rsidR="006A5AAD" w:rsidRPr="001F224B">
        <w:rPr>
          <w:sz w:val="22"/>
          <w:szCs w:val="22"/>
        </w:rPr>
        <w:t xml:space="preserve">TL) </w:t>
      </w:r>
      <w:r w:rsidR="00BB21BD" w:rsidRPr="001F224B">
        <w:rPr>
          <w:sz w:val="22"/>
          <w:szCs w:val="22"/>
        </w:rPr>
        <w:t>tutarında izin karşılığı ve Banka çalışanlarına sağlanması planlanan faydalar karşılığı için</w:t>
      </w:r>
      <w:r w:rsidR="006A5AAD" w:rsidRPr="001F224B">
        <w:rPr>
          <w:sz w:val="22"/>
          <w:szCs w:val="22"/>
        </w:rPr>
        <w:t xml:space="preserve"> </w:t>
      </w:r>
      <w:r w:rsidR="00551AE5" w:rsidRPr="001F224B">
        <w:rPr>
          <w:sz w:val="22"/>
          <w:szCs w:val="22"/>
        </w:rPr>
        <w:t xml:space="preserve">357.034 </w:t>
      </w:r>
      <w:r w:rsidR="006A5AAD" w:rsidRPr="001F224B">
        <w:rPr>
          <w:sz w:val="22"/>
          <w:szCs w:val="22"/>
        </w:rPr>
        <w:t>TL  (31 Aralık 202</w:t>
      </w:r>
      <w:r w:rsidR="0080395F" w:rsidRPr="001F224B">
        <w:rPr>
          <w:sz w:val="22"/>
          <w:szCs w:val="22"/>
        </w:rPr>
        <w:t>4</w:t>
      </w:r>
      <w:r w:rsidR="006A5AAD" w:rsidRPr="001F224B">
        <w:rPr>
          <w:sz w:val="22"/>
          <w:szCs w:val="22"/>
        </w:rPr>
        <w:t xml:space="preserve">: </w:t>
      </w:r>
      <w:r w:rsidR="0080395F" w:rsidRPr="001F224B">
        <w:rPr>
          <w:sz w:val="22"/>
          <w:szCs w:val="22"/>
        </w:rPr>
        <w:t xml:space="preserve">383.244 </w:t>
      </w:r>
      <w:r w:rsidR="006A5AAD" w:rsidRPr="001F224B">
        <w:rPr>
          <w:sz w:val="22"/>
          <w:szCs w:val="22"/>
        </w:rPr>
        <w:t xml:space="preserve">TL) tutarında karşılık ayırmıştır. </w:t>
      </w:r>
    </w:p>
    <w:p w14:paraId="18608B9F" w14:textId="349EB475" w:rsidR="0094014A" w:rsidRPr="001F224B" w:rsidRDefault="0094014A" w:rsidP="0094014A">
      <w:pPr>
        <w:pStyle w:val="EndnoteText"/>
        <w:tabs>
          <w:tab w:val="left" w:pos="-2160"/>
          <w:tab w:val="left" w:pos="567"/>
        </w:tabs>
        <w:spacing w:before="120" w:after="120"/>
        <w:jc w:val="both"/>
        <w:rPr>
          <w:b/>
          <w:bCs/>
          <w:sz w:val="22"/>
          <w:szCs w:val="22"/>
        </w:rPr>
      </w:pPr>
      <w:r w:rsidRPr="001F224B">
        <w:rPr>
          <w:b/>
          <w:bCs/>
          <w:sz w:val="22"/>
          <w:szCs w:val="22"/>
        </w:rPr>
        <w:t>11.c</w:t>
      </w:r>
      <w:r w:rsidR="00E51BE4" w:rsidRPr="001F224B">
        <w:rPr>
          <w:b/>
          <w:bCs/>
          <w:sz w:val="22"/>
          <w:szCs w:val="22"/>
        </w:rPr>
        <w:t>.</w:t>
      </w:r>
      <w:r w:rsidRPr="001F224B">
        <w:rPr>
          <w:b/>
          <w:bCs/>
          <w:sz w:val="22"/>
          <w:szCs w:val="22"/>
        </w:rPr>
        <w:t xml:space="preserve">1) Kıdem tazminatı karşılıklarına ilişkin bilgiler:  </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2268"/>
        <w:gridCol w:w="2179"/>
      </w:tblGrid>
      <w:tr w:rsidR="001E1D29" w:rsidRPr="001F224B" w14:paraId="5804A5D9" w14:textId="77777777" w:rsidTr="001E1D29">
        <w:trPr>
          <w:trHeight w:val="340"/>
        </w:trPr>
        <w:tc>
          <w:tcPr>
            <w:tcW w:w="5292" w:type="dxa"/>
            <w:vAlign w:val="bottom"/>
          </w:tcPr>
          <w:p w14:paraId="4AD8FEF8" w14:textId="77777777" w:rsidR="001E1D29" w:rsidRPr="001F224B" w:rsidRDefault="001E1D29" w:rsidP="001E1D29">
            <w:pPr>
              <w:pStyle w:val="EndnoteText"/>
              <w:keepNext/>
              <w:keepLines/>
              <w:rPr>
                <w:lang w:eastAsia="en-US"/>
              </w:rPr>
            </w:pPr>
          </w:p>
        </w:tc>
        <w:tc>
          <w:tcPr>
            <w:tcW w:w="2268" w:type="dxa"/>
            <w:shd w:val="clear" w:color="auto" w:fill="FFFFFF"/>
            <w:vAlign w:val="bottom"/>
          </w:tcPr>
          <w:p w14:paraId="22B410E5" w14:textId="77777777" w:rsidR="001E1D29" w:rsidRPr="001F224B" w:rsidRDefault="001E1D29" w:rsidP="001E1D29">
            <w:pPr>
              <w:jc w:val="center"/>
              <w:rPr>
                <w:b/>
                <w:bCs/>
                <w:sz w:val="20"/>
                <w:szCs w:val="20"/>
              </w:rPr>
            </w:pPr>
            <w:r w:rsidRPr="001F224B">
              <w:rPr>
                <w:b/>
                <w:bCs/>
                <w:sz w:val="20"/>
                <w:szCs w:val="20"/>
              </w:rPr>
              <w:t xml:space="preserve">Cari Dönem </w:t>
            </w:r>
          </w:p>
          <w:p w14:paraId="63AA5C5F" w14:textId="0AE2BA5B" w:rsidR="001E1D29" w:rsidRPr="001F224B" w:rsidRDefault="001E1D29" w:rsidP="001E1D29">
            <w:pPr>
              <w:pStyle w:val="EndnoteText"/>
              <w:keepNext/>
              <w:keepLines/>
              <w:ind w:left="-70"/>
              <w:jc w:val="center"/>
              <w:rPr>
                <w:b/>
                <w:bCs/>
                <w:lang w:eastAsia="en-US"/>
              </w:rPr>
            </w:pPr>
            <w:r w:rsidRPr="001F224B">
              <w:rPr>
                <w:b/>
                <w:bCs/>
              </w:rPr>
              <w:t>(30.06.2025)</w:t>
            </w:r>
          </w:p>
        </w:tc>
        <w:tc>
          <w:tcPr>
            <w:tcW w:w="2179" w:type="dxa"/>
            <w:shd w:val="clear" w:color="auto" w:fill="FFFFFF"/>
            <w:vAlign w:val="bottom"/>
          </w:tcPr>
          <w:p w14:paraId="34FFDE0D" w14:textId="77777777" w:rsidR="001E1D29" w:rsidRPr="001F224B" w:rsidRDefault="001E1D29" w:rsidP="001E1D29">
            <w:pPr>
              <w:jc w:val="center"/>
              <w:rPr>
                <w:b/>
                <w:bCs/>
                <w:sz w:val="20"/>
                <w:szCs w:val="20"/>
              </w:rPr>
            </w:pPr>
            <w:r w:rsidRPr="001F224B">
              <w:rPr>
                <w:b/>
                <w:bCs/>
                <w:sz w:val="20"/>
                <w:szCs w:val="20"/>
              </w:rPr>
              <w:t>Cari Dönem</w:t>
            </w:r>
          </w:p>
          <w:p w14:paraId="1D5B03DB" w14:textId="56F66945" w:rsidR="001E1D29" w:rsidRPr="001F224B" w:rsidRDefault="001E1D29" w:rsidP="001E1D29">
            <w:pPr>
              <w:jc w:val="center"/>
              <w:rPr>
                <w:b/>
                <w:bCs/>
                <w:sz w:val="20"/>
                <w:szCs w:val="20"/>
              </w:rPr>
            </w:pPr>
            <w:r w:rsidRPr="001F224B">
              <w:rPr>
                <w:b/>
                <w:bCs/>
                <w:sz w:val="20"/>
                <w:szCs w:val="20"/>
              </w:rPr>
              <w:t>(30.06.2024)</w:t>
            </w:r>
          </w:p>
        </w:tc>
      </w:tr>
      <w:tr w:rsidR="001E1D29" w:rsidRPr="001F224B" w14:paraId="59835A9F" w14:textId="77777777" w:rsidTr="001E1D29">
        <w:trPr>
          <w:trHeight w:val="57"/>
        </w:trPr>
        <w:tc>
          <w:tcPr>
            <w:tcW w:w="5292" w:type="dxa"/>
            <w:shd w:val="clear" w:color="auto" w:fill="FFFFFF"/>
            <w:vAlign w:val="bottom"/>
          </w:tcPr>
          <w:p w14:paraId="455B61A7" w14:textId="77777777" w:rsidR="001E1D29" w:rsidRPr="001F224B" w:rsidRDefault="001E1D29" w:rsidP="001E1D29">
            <w:pPr>
              <w:pStyle w:val="EndnoteText"/>
              <w:keepNext/>
              <w:keepLines/>
              <w:rPr>
                <w:lang w:eastAsia="en-US"/>
              </w:rPr>
            </w:pPr>
            <w:r w:rsidRPr="001F224B">
              <w:rPr>
                <w:b/>
                <w:lang w:eastAsia="en-US"/>
              </w:rPr>
              <w:t>Dönem Başı Bakiyesi</w:t>
            </w:r>
          </w:p>
        </w:tc>
        <w:tc>
          <w:tcPr>
            <w:tcW w:w="2268" w:type="dxa"/>
            <w:shd w:val="clear" w:color="auto" w:fill="FFFFFF"/>
          </w:tcPr>
          <w:p w14:paraId="5DBE2C1E" w14:textId="3B70C2BD" w:rsidR="001E1D29" w:rsidRPr="001F224B" w:rsidRDefault="001E1D29" w:rsidP="001E1D29">
            <w:pPr>
              <w:pStyle w:val="EndnoteText"/>
              <w:keepNext/>
              <w:keepLines/>
              <w:ind w:left="-70"/>
              <w:jc w:val="right"/>
              <w:rPr>
                <w:b/>
                <w:bCs/>
                <w:lang w:eastAsia="en-US"/>
              </w:rPr>
            </w:pPr>
            <w:r w:rsidRPr="001F224B">
              <w:rPr>
                <w:b/>
                <w:bCs/>
              </w:rPr>
              <w:t>54.402</w:t>
            </w:r>
          </w:p>
        </w:tc>
        <w:tc>
          <w:tcPr>
            <w:tcW w:w="2179" w:type="dxa"/>
            <w:shd w:val="clear" w:color="auto" w:fill="FFFFFF"/>
            <w:vAlign w:val="bottom"/>
          </w:tcPr>
          <w:p w14:paraId="39D91639" w14:textId="46316005" w:rsidR="001E1D29" w:rsidRPr="001F224B" w:rsidRDefault="001E1D29" w:rsidP="001E1D29">
            <w:pPr>
              <w:pStyle w:val="EndnoteText"/>
              <w:keepNext/>
              <w:keepLines/>
              <w:ind w:left="-70"/>
              <w:jc w:val="right"/>
              <w:rPr>
                <w:b/>
                <w:bCs/>
              </w:rPr>
            </w:pPr>
            <w:r w:rsidRPr="001F224B">
              <w:rPr>
                <w:b/>
                <w:bCs/>
                <w:lang w:eastAsia="en-US"/>
              </w:rPr>
              <w:t>42.314</w:t>
            </w:r>
          </w:p>
        </w:tc>
      </w:tr>
      <w:tr w:rsidR="001E1D29" w:rsidRPr="001F224B" w14:paraId="78B5E80F" w14:textId="77777777" w:rsidTr="001E1D29">
        <w:trPr>
          <w:trHeight w:val="57"/>
        </w:trPr>
        <w:tc>
          <w:tcPr>
            <w:tcW w:w="5292" w:type="dxa"/>
            <w:shd w:val="clear" w:color="auto" w:fill="FFFFFF"/>
            <w:vAlign w:val="bottom"/>
          </w:tcPr>
          <w:p w14:paraId="1F3876AE" w14:textId="77777777" w:rsidR="001E1D29" w:rsidRPr="001F224B" w:rsidRDefault="001E1D29" w:rsidP="001E1D29">
            <w:pPr>
              <w:pStyle w:val="EndnoteText"/>
              <w:keepNext/>
              <w:keepLines/>
              <w:rPr>
                <w:lang w:eastAsia="en-US"/>
              </w:rPr>
            </w:pPr>
            <w:r w:rsidRPr="001F224B">
              <w:rPr>
                <w:lang w:eastAsia="en-US"/>
              </w:rPr>
              <w:t xml:space="preserve">Dönem İçinde </w:t>
            </w:r>
            <w:proofErr w:type="spellStart"/>
            <w:r w:rsidRPr="001F224B">
              <w:rPr>
                <w:lang w:eastAsia="en-US"/>
              </w:rPr>
              <w:t>Giderleştirilen</w:t>
            </w:r>
            <w:proofErr w:type="spellEnd"/>
          </w:p>
        </w:tc>
        <w:tc>
          <w:tcPr>
            <w:tcW w:w="2268" w:type="dxa"/>
            <w:shd w:val="clear" w:color="auto" w:fill="FFFFFF"/>
          </w:tcPr>
          <w:p w14:paraId="542DC0C9" w14:textId="6AD639C7" w:rsidR="001E1D29" w:rsidRPr="001F224B" w:rsidRDefault="001E1D29" w:rsidP="001E1D29">
            <w:pPr>
              <w:pStyle w:val="EndnoteText"/>
              <w:keepNext/>
              <w:keepLines/>
              <w:ind w:left="-70"/>
              <w:jc w:val="right"/>
            </w:pPr>
            <w:r w:rsidRPr="001F224B">
              <w:t>13.255</w:t>
            </w:r>
          </w:p>
        </w:tc>
        <w:tc>
          <w:tcPr>
            <w:tcW w:w="2179" w:type="dxa"/>
            <w:shd w:val="clear" w:color="auto" w:fill="FFFFFF"/>
            <w:vAlign w:val="bottom"/>
          </w:tcPr>
          <w:p w14:paraId="38589314" w14:textId="6F3D857E" w:rsidR="001E1D29" w:rsidRPr="001F224B" w:rsidRDefault="001E1D29" w:rsidP="001E1D29">
            <w:pPr>
              <w:pStyle w:val="EndnoteText"/>
              <w:keepNext/>
              <w:keepLines/>
              <w:ind w:left="-70"/>
              <w:jc w:val="right"/>
            </w:pPr>
            <w:r w:rsidRPr="001F224B">
              <w:rPr>
                <w:lang w:eastAsia="en-US"/>
              </w:rPr>
              <w:t>13.027</w:t>
            </w:r>
          </w:p>
        </w:tc>
      </w:tr>
      <w:tr w:rsidR="001E1D29" w:rsidRPr="001F224B" w14:paraId="0335E11F" w14:textId="77777777" w:rsidTr="001E1D29">
        <w:trPr>
          <w:trHeight w:val="57"/>
        </w:trPr>
        <w:tc>
          <w:tcPr>
            <w:tcW w:w="5292" w:type="dxa"/>
            <w:shd w:val="clear" w:color="auto" w:fill="FFFFFF"/>
            <w:vAlign w:val="bottom"/>
          </w:tcPr>
          <w:p w14:paraId="75946F12" w14:textId="77777777" w:rsidR="001E1D29" w:rsidRPr="001F224B" w:rsidRDefault="001E1D29" w:rsidP="001E1D29">
            <w:pPr>
              <w:pStyle w:val="EndnoteText"/>
              <w:keepNext/>
              <w:keepLines/>
              <w:rPr>
                <w:lang w:eastAsia="en-US"/>
              </w:rPr>
            </w:pPr>
            <w:proofErr w:type="spellStart"/>
            <w:r w:rsidRPr="001F224B">
              <w:rPr>
                <w:lang w:eastAsia="en-US"/>
              </w:rPr>
              <w:t>Aktüeryal</w:t>
            </w:r>
            <w:proofErr w:type="spellEnd"/>
            <w:r w:rsidRPr="001F224B">
              <w:rPr>
                <w:lang w:eastAsia="en-US"/>
              </w:rPr>
              <w:t xml:space="preserve"> Kayıp/Kazanç</w:t>
            </w:r>
          </w:p>
        </w:tc>
        <w:tc>
          <w:tcPr>
            <w:tcW w:w="2268" w:type="dxa"/>
            <w:shd w:val="clear" w:color="auto" w:fill="FFFFFF"/>
          </w:tcPr>
          <w:p w14:paraId="5A760DD5" w14:textId="493E7099" w:rsidR="001E1D29" w:rsidRPr="001F224B" w:rsidRDefault="001E1D29" w:rsidP="001E1D29">
            <w:pPr>
              <w:pStyle w:val="EndnoteText"/>
              <w:keepNext/>
              <w:keepLines/>
              <w:ind w:left="-70"/>
              <w:jc w:val="right"/>
            </w:pPr>
            <w:r w:rsidRPr="001F224B">
              <w:t>-</w:t>
            </w:r>
          </w:p>
        </w:tc>
        <w:tc>
          <w:tcPr>
            <w:tcW w:w="2179" w:type="dxa"/>
            <w:shd w:val="clear" w:color="auto" w:fill="FFFFFF"/>
            <w:vAlign w:val="bottom"/>
          </w:tcPr>
          <w:p w14:paraId="15B424AB" w14:textId="26371F46" w:rsidR="001E1D29" w:rsidRPr="001F224B" w:rsidRDefault="001E1D29" w:rsidP="001E1D29">
            <w:pPr>
              <w:pStyle w:val="EndnoteText"/>
              <w:keepNext/>
              <w:keepLines/>
              <w:ind w:left="-70"/>
              <w:jc w:val="right"/>
            </w:pPr>
            <w:r w:rsidRPr="001F224B">
              <w:rPr>
                <w:lang w:eastAsia="en-US"/>
              </w:rPr>
              <w:t>-</w:t>
            </w:r>
          </w:p>
        </w:tc>
      </w:tr>
      <w:tr w:rsidR="001E1D29" w:rsidRPr="001F224B" w14:paraId="08EC6418" w14:textId="77777777" w:rsidTr="001E1D29">
        <w:trPr>
          <w:trHeight w:val="57"/>
        </w:trPr>
        <w:tc>
          <w:tcPr>
            <w:tcW w:w="5292" w:type="dxa"/>
            <w:shd w:val="clear" w:color="auto" w:fill="FFFFFF"/>
            <w:vAlign w:val="bottom"/>
          </w:tcPr>
          <w:p w14:paraId="450A0840" w14:textId="77777777" w:rsidR="001E1D29" w:rsidRPr="001F224B" w:rsidRDefault="001E1D29" w:rsidP="001E1D29">
            <w:pPr>
              <w:pStyle w:val="EndnoteText"/>
              <w:keepNext/>
              <w:keepLines/>
              <w:rPr>
                <w:lang w:eastAsia="en-US"/>
              </w:rPr>
            </w:pPr>
            <w:r w:rsidRPr="001F224B">
              <w:rPr>
                <w:lang w:eastAsia="en-US"/>
              </w:rPr>
              <w:t>Dönem İçinde Ödenen</w:t>
            </w:r>
          </w:p>
        </w:tc>
        <w:tc>
          <w:tcPr>
            <w:tcW w:w="2268" w:type="dxa"/>
            <w:shd w:val="clear" w:color="auto" w:fill="FFFFFF"/>
          </w:tcPr>
          <w:p w14:paraId="2CEB5C9D" w14:textId="58FD9856" w:rsidR="001E1D29" w:rsidRPr="001F224B" w:rsidRDefault="001E1D29" w:rsidP="001E1D29">
            <w:pPr>
              <w:pStyle w:val="EndnoteText"/>
              <w:keepNext/>
              <w:keepLines/>
              <w:ind w:left="-70"/>
              <w:jc w:val="right"/>
            </w:pPr>
            <w:r w:rsidRPr="001F224B">
              <w:t>(192)</w:t>
            </w:r>
          </w:p>
        </w:tc>
        <w:tc>
          <w:tcPr>
            <w:tcW w:w="2179" w:type="dxa"/>
            <w:shd w:val="clear" w:color="auto" w:fill="FFFFFF"/>
            <w:vAlign w:val="bottom"/>
          </w:tcPr>
          <w:p w14:paraId="107CA6B1" w14:textId="2BB77482" w:rsidR="001E1D29" w:rsidRPr="001F224B" w:rsidRDefault="001E1D29" w:rsidP="001E1D29">
            <w:pPr>
              <w:pStyle w:val="EndnoteText"/>
              <w:keepNext/>
              <w:keepLines/>
              <w:ind w:left="-70"/>
              <w:jc w:val="right"/>
            </w:pPr>
            <w:r w:rsidRPr="001F224B">
              <w:rPr>
                <w:lang w:eastAsia="en-US"/>
              </w:rPr>
              <w:t>(249)</w:t>
            </w:r>
          </w:p>
        </w:tc>
      </w:tr>
      <w:tr w:rsidR="001E1D29" w:rsidRPr="001F224B" w14:paraId="4F98CEF9" w14:textId="77777777" w:rsidTr="001E1D29">
        <w:trPr>
          <w:trHeight w:val="57"/>
        </w:trPr>
        <w:tc>
          <w:tcPr>
            <w:tcW w:w="5292" w:type="dxa"/>
            <w:shd w:val="clear" w:color="auto" w:fill="FFFFFF"/>
            <w:vAlign w:val="bottom"/>
          </w:tcPr>
          <w:p w14:paraId="6FC8A703" w14:textId="77777777" w:rsidR="001E1D29" w:rsidRPr="001F224B" w:rsidRDefault="001E1D29" w:rsidP="001E1D29">
            <w:pPr>
              <w:pStyle w:val="EndnoteText"/>
              <w:keepNext/>
              <w:keepLines/>
              <w:rPr>
                <w:b/>
                <w:lang w:eastAsia="en-US"/>
              </w:rPr>
            </w:pPr>
            <w:r w:rsidRPr="001F224B">
              <w:rPr>
                <w:b/>
                <w:lang w:eastAsia="en-US"/>
              </w:rPr>
              <w:t>Dönem Sonu Bakiyesi</w:t>
            </w:r>
          </w:p>
        </w:tc>
        <w:tc>
          <w:tcPr>
            <w:tcW w:w="2268" w:type="dxa"/>
            <w:shd w:val="clear" w:color="auto" w:fill="FFFFFF"/>
          </w:tcPr>
          <w:p w14:paraId="7FBC0410" w14:textId="0741A44C" w:rsidR="001E1D29" w:rsidRPr="001F224B" w:rsidRDefault="001E1D29" w:rsidP="001E1D29">
            <w:pPr>
              <w:pStyle w:val="EndnoteText"/>
              <w:keepNext/>
              <w:keepLines/>
              <w:ind w:left="-70"/>
              <w:jc w:val="right"/>
              <w:rPr>
                <w:b/>
                <w:bCs/>
              </w:rPr>
            </w:pPr>
            <w:r w:rsidRPr="001F224B">
              <w:rPr>
                <w:b/>
                <w:bCs/>
              </w:rPr>
              <w:t>67.465</w:t>
            </w:r>
          </w:p>
        </w:tc>
        <w:tc>
          <w:tcPr>
            <w:tcW w:w="2179" w:type="dxa"/>
            <w:shd w:val="clear" w:color="auto" w:fill="FFFFFF"/>
            <w:vAlign w:val="bottom"/>
          </w:tcPr>
          <w:p w14:paraId="1FDEF15A" w14:textId="37FD5BEB" w:rsidR="001E1D29" w:rsidRPr="001F224B" w:rsidRDefault="001E1D29" w:rsidP="001E1D29">
            <w:pPr>
              <w:pStyle w:val="EndnoteText"/>
              <w:keepNext/>
              <w:keepLines/>
              <w:ind w:left="-70"/>
              <w:jc w:val="right"/>
              <w:rPr>
                <w:b/>
                <w:bCs/>
              </w:rPr>
            </w:pPr>
            <w:r w:rsidRPr="001F224B">
              <w:rPr>
                <w:b/>
                <w:lang w:eastAsia="en-US"/>
              </w:rPr>
              <w:t>55.092</w:t>
            </w:r>
          </w:p>
        </w:tc>
      </w:tr>
    </w:tbl>
    <w:p w14:paraId="2F7F8484" w14:textId="1288ADCA" w:rsidR="00637232" w:rsidRPr="001F224B" w:rsidRDefault="00FE7D48" w:rsidP="006A5AAD">
      <w:pPr>
        <w:pStyle w:val="EndnoteText"/>
        <w:tabs>
          <w:tab w:val="left" w:pos="-2160"/>
          <w:tab w:val="left" w:pos="567"/>
        </w:tabs>
        <w:spacing w:before="120" w:after="120"/>
        <w:ind w:left="-12"/>
        <w:jc w:val="both"/>
        <w:rPr>
          <w:b/>
          <w:bCs/>
          <w:sz w:val="22"/>
          <w:szCs w:val="22"/>
        </w:rPr>
      </w:pPr>
      <w:r w:rsidRPr="001F224B">
        <w:rPr>
          <w:b/>
          <w:bCs/>
          <w:sz w:val="22"/>
          <w:szCs w:val="22"/>
        </w:rPr>
        <w:t>1</w:t>
      </w:r>
      <w:r w:rsidR="00C93C49" w:rsidRPr="001F224B">
        <w:rPr>
          <w:b/>
          <w:bCs/>
          <w:sz w:val="22"/>
          <w:szCs w:val="22"/>
        </w:rPr>
        <w:t>2</w:t>
      </w:r>
      <w:r w:rsidR="00637232" w:rsidRPr="001F224B">
        <w:rPr>
          <w:b/>
          <w:bCs/>
          <w:sz w:val="22"/>
          <w:szCs w:val="22"/>
        </w:rPr>
        <w:t>.</w:t>
      </w:r>
      <w:r w:rsidR="00637232" w:rsidRPr="001F224B">
        <w:rPr>
          <w:b/>
          <w:bCs/>
          <w:sz w:val="22"/>
          <w:szCs w:val="22"/>
        </w:rPr>
        <w:tab/>
        <w:t>Cari Vergi Borcu</w:t>
      </w:r>
      <w:r w:rsidRPr="001F224B">
        <w:rPr>
          <w:b/>
          <w:bCs/>
          <w:sz w:val="22"/>
          <w:szCs w:val="22"/>
        </w:rPr>
        <w:t>na ilişkin bilgiler</w:t>
      </w:r>
      <w:r w:rsidR="00637232" w:rsidRPr="001F224B">
        <w:rPr>
          <w:b/>
          <w:bCs/>
          <w:sz w:val="22"/>
          <w:szCs w:val="22"/>
        </w:rPr>
        <w:t>:</w:t>
      </w:r>
    </w:p>
    <w:p w14:paraId="4A0B8E86" w14:textId="0F9D1933" w:rsidR="00637232" w:rsidRPr="001F224B" w:rsidRDefault="00C93C49" w:rsidP="00B91897">
      <w:pPr>
        <w:tabs>
          <w:tab w:val="left" w:pos="-2160"/>
          <w:tab w:val="left" w:pos="567"/>
        </w:tabs>
        <w:spacing w:before="120" w:after="120"/>
        <w:rPr>
          <w:b/>
          <w:bCs/>
          <w:sz w:val="22"/>
          <w:szCs w:val="22"/>
        </w:rPr>
      </w:pPr>
      <w:r w:rsidRPr="001F224B">
        <w:rPr>
          <w:b/>
          <w:bCs/>
          <w:sz w:val="22"/>
          <w:szCs w:val="22"/>
        </w:rPr>
        <w:t>12</w:t>
      </w:r>
      <w:r w:rsidR="00637232" w:rsidRPr="001F224B">
        <w:rPr>
          <w:b/>
          <w:bCs/>
          <w:sz w:val="22"/>
          <w:szCs w:val="22"/>
        </w:rPr>
        <w:t>.a.1)</w:t>
      </w:r>
      <w:r w:rsidR="00637232" w:rsidRPr="001F224B">
        <w:rPr>
          <w:b/>
          <w:bCs/>
          <w:sz w:val="22"/>
          <w:szCs w:val="22"/>
        </w:rPr>
        <w:tab/>
        <w:t>Vergi karşılığına ilişkin bilgiler:</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1134"/>
        <w:gridCol w:w="1134"/>
        <w:gridCol w:w="1134"/>
        <w:gridCol w:w="1045"/>
      </w:tblGrid>
      <w:tr w:rsidR="00637232" w:rsidRPr="001F224B" w14:paraId="7AF8E6B7" w14:textId="77777777" w:rsidTr="0033482E">
        <w:trPr>
          <w:cantSplit/>
          <w:trHeight w:val="57"/>
        </w:trPr>
        <w:tc>
          <w:tcPr>
            <w:tcW w:w="5292" w:type="dxa"/>
            <w:vMerge w:val="restart"/>
            <w:shd w:val="clear" w:color="auto" w:fill="FFFFFF"/>
            <w:vAlign w:val="bottom"/>
          </w:tcPr>
          <w:p w14:paraId="38678AF7" w14:textId="77777777" w:rsidR="00637232" w:rsidRPr="001F224B" w:rsidRDefault="00637232" w:rsidP="0017026F">
            <w:pPr>
              <w:pStyle w:val="EndnoteText"/>
              <w:keepNext/>
              <w:keepLines/>
              <w:rPr>
                <w:lang w:eastAsia="en-US"/>
              </w:rPr>
            </w:pPr>
          </w:p>
          <w:p w14:paraId="774AE8DD" w14:textId="77777777" w:rsidR="00637232" w:rsidRPr="001F224B" w:rsidRDefault="00637232" w:rsidP="0017026F">
            <w:pPr>
              <w:pStyle w:val="EndnoteText"/>
              <w:keepNext/>
              <w:keepLines/>
              <w:rPr>
                <w:b/>
                <w:lang w:eastAsia="en-US"/>
              </w:rPr>
            </w:pPr>
            <w:r w:rsidRPr="001F224B">
              <w:rPr>
                <w:b/>
                <w:lang w:eastAsia="en-US"/>
              </w:rPr>
              <w:t>Kurumlar Vergisi ve Ertelenmiş Vergi</w:t>
            </w:r>
          </w:p>
        </w:tc>
        <w:tc>
          <w:tcPr>
            <w:tcW w:w="2268" w:type="dxa"/>
            <w:gridSpan w:val="2"/>
            <w:shd w:val="clear" w:color="auto" w:fill="FFFFFF"/>
            <w:vAlign w:val="bottom"/>
          </w:tcPr>
          <w:p w14:paraId="532818E5" w14:textId="77777777" w:rsidR="004C0676" w:rsidRPr="001F224B" w:rsidRDefault="004C0676" w:rsidP="004C0676">
            <w:pPr>
              <w:jc w:val="center"/>
              <w:rPr>
                <w:b/>
                <w:bCs/>
                <w:sz w:val="20"/>
                <w:szCs w:val="20"/>
              </w:rPr>
            </w:pPr>
            <w:r w:rsidRPr="001F224B">
              <w:rPr>
                <w:b/>
                <w:bCs/>
                <w:sz w:val="20"/>
                <w:szCs w:val="20"/>
              </w:rPr>
              <w:t xml:space="preserve">Cari Dönem </w:t>
            </w:r>
          </w:p>
          <w:p w14:paraId="60FCABB5" w14:textId="7B09055A" w:rsidR="00637232" w:rsidRPr="001F224B" w:rsidRDefault="004C0676" w:rsidP="004C0676">
            <w:pPr>
              <w:jc w:val="center"/>
              <w:rPr>
                <w:b/>
                <w:bCs/>
                <w:sz w:val="20"/>
                <w:szCs w:val="20"/>
              </w:rPr>
            </w:pPr>
            <w:r w:rsidRPr="001F224B">
              <w:rPr>
                <w:b/>
                <w:bCs/>
                <w:sz w:val="20"/>
                <w:szCs w:val="20"/>
              </w:rPr>
              <w:t>(3</w:t>
            </w:r>
            <w:r w:rsidR="00C104B4" w:rsidRPr="001F224B">
              <w:rPr>
                <w:b/>
                <w:bCs/>
                <w:sz w:val="20"/>
                <w:szCs w:val="20"/>
              </w:rPr>
              <w:t>0</w:t>
            </w:r>
            <w:r w:rsidRPr="001F224B">
              <w:rPr>
                <w:b/>
                <w:bCs/>
                <w:sz w:val="20"/>
                <w:szCs w:val="20"/>
              </w:rPr>
              <w:t>.</w:t>
            </w:r>
            <w:r w:rsidR="00053D56" w:rsidRPr="001F224B">
              <w:rPr>
                <w:b/>
                <w:bCs/>
                <w:sz w:val="20"/>
                <w:szCs w:val="20"/>
              </w:rPr>
              <w:t>0</w:t>
            </w:r>
            <w:r w:rsidR="00C104B4" w:rsidRPr="001F224B">
              <w:rPr>
                <w:b/>
                <w:bCs/>
                <w:sz w:val="20"/>
                <w:szCs w:val="20"/>
              </w:rPr>
              <w:t>6</w:t>
            </w:r>
            <w:r w:rsidRPr="001F224B">
              <w:rPr>
                <w:b/>
                <w:bCs/>
                <w:sz w:val="20"/>
                <w:szCs w:val="20"/>
              </w:rPr>
              <w:t>.202</w:t>
            </w:r>
            <w:r w:rsidR="00053D56" w:rsidRPr="001F224B">
              <w:rPr>
                <w:b/>
                <w:bCs/>
                <w:sz w:val="20"/>
                <w:szCs w:val="20"/>
              </w:rPr>
              <w:t>5</w:t>
            </w:r>
            <w:r w:rsidRPr="001F224B">
              <w:rPr>
                <w:b/>
                <w:bCs/>
                <w:sz w:val="20"/>
                <w:szCs w:val="20"/>
              </w:rPr>
              <w:t>)</w:t>
            </w:r>
          </w:p>
        </w:tc>
        <w:tc>
          <w:tcPr>
            <w:tcW w:w="2179" w:type="dxa"/>
            <w:gridSpan w:val="2"/>
            <w:shd w:val="clear" w:color="auto" w:fill="FFFFFF"/>
            <w:vAlign w:val="bottom"/>
          </w:tcPr>
          <w:p w14:paraId="58543BE2" w14:textId="77777777" w:rsidR="00637232" w:rsidRPr="001F224B" w:rsidRDefault="00637232" w:rsidP="0017026F">
            <w:pPr>
              <w:jc w:val="center"/>
              <w:rPr>
                <w:b/>
                <w:bCs/>
                <w:sz w:val="20"/>
                <w:szCs w:val="20"/>
              </w:rPr>
            </w:pPr>
            <w:r w:rsidRPr="001F224B">
              <w:rPr>
                <w:b/>
                <w:bCs/>
                <w:sz w:val="20"/>
                <w:szCs w:val="20"/>
              </w:rPr>
              <w:t>Önceki Dönem</w:t>
            </w:r>
          </w:p>
          <w:p w14:paraId="328A33FB" w14:textId="54708FA8" w:rsidR="00637232" w:rsidRPr="001F224B" w:rsidRDefault="00637232" w:rsidP="00FA1662">
            <w:pPr>
              <w:jc w:val="center"/>
              <w:rPr>
                <w:b/>
                <w:bCs/>
                <w:sz w:val="20"/>
                <w:szCs w:val="20"/>
              </w:rPr>
            </w:pPr>
            <w:r w:rsidRPr="001F224B">
              <w:rPr>
                <w:b/>
                <w:bCs/>
                <w:sz w:val="20"/>
                <w:szCs w:val="20"/>
              </w:rPr>
              <w:t xml:space="preserve"> (31.12.20</w:t>
            </w:r>
            <w:r w:rsidR="00AC6F87" w:rsidRPr="001F224B">
              <w:rPr>
                <w:b/>
                <w:bCs/>
                <w:sz w:val="20"/>
                <w:szCs w:val="20"/>
              </w:rPr>
              <w:t>2</w:t>
            </w:r>
            <w:r w:rsidR="00053D56" w:rsidRPr="001F224B">
              <w:rPr>
                <w:b/>
                <w:bCs/>
                <w:sz w:val="20"/>
                <w:szCs w:val="20"/>
              </w:rPr>
              <w:t>4</w:t>
            </w:r>
            <w:r w:rsidRPr="001F224B">
              <w:rPr>
                <w:b/>
                <w:bCs/>
                <w:sz w:val="20"/>
                <w:szCs w:val="20"/>
              </w:rPr>
              <w:t>)</w:t>
            </w:r>
          </w:p>
        </w:tc>
      </w:tr>
      <w:tr w:rsidR="00637232" w:rsidRPr="001F224B" w14:paraId="3E121E2A" w14:textId="77777777" w:rsidTr="0033482E">
        <w:trPr>
          <w:cantSplit/>
          <w:trHeight w:val="340"/>
        </w:trPr>
        <w:tc>
          <w:tcPr>
            <w:tcW w:w="5292" w:type="dxa"/>
            <w:vMerge/>
            <w:vAlign w:val="bottom"/>
          </w:tcPr>
          <w:p w14:paraId="39B80613" w14:textId="77777777" w:rsidR="00637232" w:rsidRPr="001F224B" w:rsidRDefault="00637232" w:rsidP="0017026F">
            <w:pPr>
              <w:pStyle w:val="EndnoteText"/>
              <w:keepNext/>
              <w:keepLines/>
              <w:rPr>
                <w:lang w:eastAsia="en-US"/>
              </w:rPr>
            </w:pPr>
          </w:p>
        </w:tc>
        <w:tc>
          <w:tcPr>
            <w:tcW w:w="1134" w:type="dxa"/>
            <w:shd w:val="clear" w:color="auto" w:fill="FFFFFF"/>
            <w:vAlign w:val="center"/>
          </w:tcPr>
          <w:p w14:paraId="63CDC9A9" w14:textId="77777777" w:rsidR="00637232" w:rsidRPr="001F224B" w:rsidRDefault="00637232" w:rsidP="0017026F">
            <w:pPr>
              <w:pStyle w:val="EndnoteText"/>
              <w:keepNext/>
              <w:keepLines/>
              <w:ind w:left="-70"/>
              <w:jc w:val="center"/>
              <w:rPr>
                <w:b/>
                <w:bCs/>
                <w:lang w:eastAsia="en-US"/>
              </w:rPr>
            </w:pPr>
            <w:r w:rsidRPr="001F224B">
              <w:rPr>
                <w:b/>
                <w:bCs/>
                <w:lang w:eastAsia="en-US"/>
              </w:rPr>
              <w:t>TP</w:t>
            </w:r>
          </w:p>
        </w:tc>
        <w:tc>
          <w:tcPr>
            <w:tcW w:w="1134" w:type="dxa"/>
            <w:shd w:val="clear" w:color="auto" w:fill="FFFFFF"/>
            <w:vAlign w:val="center"/>
          </w:tcPr>
          <w:p w14:paraId="68BE5287" w14:textId="77777777" w:rsidR="00637232" w:rsidRPr="001F224B" w:rsidRDefault="00637232" w:rsidP="0017026F">
            <w:pPr>
              <w:pStyle w:val="EndnoteText"/>
              <w:keepNext/>
              <w:keepLines/>
              <w:ind w:left="-70"/>
              <w:jc w:val="center"/>
              <w:rPr>
                <w:b/>
                <w:bCs/>
                <w:lang w:eastAsia="en-US"/>
              </w:rPr>
            </w:pPr>
            <w:r w:rsidRPr="001F224B">
              <w:rPr>
                <w:b/>
                <w:bCs/>
                <w:lang w:eastAsia="en-US"/>
              </w:rPr>
              <w:t>YP</w:t>
            </w:r>
          </w:p>
        </w:tc>
        <w:tc>
          <w:tcPr>
            <w:tcW w:w="1134" w:type="dxa"/>
            <w:shd w:val="clear" w:color="auto" w:fill="FFFFFF"/>
            <w:vAlign w:val="center"/>
          </w:tcPr>
          <w:p w14:paraId="6870E1BA" w14:textId="77777777" w:rsidR="00637232" w:rsidRPr="001F224B" w:rsidRDefault="00637232" w:rsidP="0017026F">
            <w:pPr>
              <w:pStyle w:val="EndnoteText"/>
              <w:keepNext/>
              <w:keepLines/>
              <w:ind w:hanging="27"/>
              <w:jc w:val="center"/>
              <w:rPr>
                <w:b/>
                <w:bCs/>
                <w:lang w:eastAsia="en-US"/>
              </w:rPr>
            </w:pPr>
            <w:r w:rsidRPr="001F224B">
              <w:rPr>
                <w:b/>
                <w:bCs/>
                <w:lang w:eastAsia="en-US"/>
              </w:rPr>
              <w:t>TP</w:t>
            </w:r>
          </w:p>
        </w:tc>
        <w:tc>
          <w:tcPr>
            <w:tcW w:w="1045" w:type="dxa"/>
            <w:shd w:val="clear" w:color="auto" w:fill="FFFFFF"/>
            <w:vAlign w:val="center"/>
          </w:tcPr>
          <w:p w14:paraId="4D9090DC" w14:textId="77777777" w:rsidR="00637232" w:rsidRPr="001F224B" w:rsidRDefault="00637232" w:rsidP="0017026F">
            <w:pPr>
              <w:pStyle w:val="EndnoteText"/>
              <w:keepNext/>
              <w:keepLines/>
              <w:ind w:hanging="27"/>
              <w:jc w:val="center"/>
              <w:rPr>
                <w:b/>
                <w:bCs/>
                <w:lang w:eastAsia="en-US"/>
              </w:rPr>
            </w:pPr>
            <w:r w:rsidRPr="001F224B">
              <w:rPr>
                <w:b/>
                <w:bCs/>
                <w:lang w:eastAsia="en-US"/>
              </w:rPr>
              <w:t>YP</w:t>
            </w:r>
          </w:p>
        </w:tc>
      </w:tr>
      <w:tr w:rsidR="00053D56" w:rsidRPr="001F224B" w14:paraId="5171BCE0" w14:textId="77777777" w:rsidTr="007A2ED5">
        <w:trPr>
          <w:trHeight w:val="57"/>
        </w:trPr>
        <w:tc>
          <w:tcPr>
            <w:tcW w:w="5292" w:type="dxa"/>
            <w:shd w:val="clear" w:color="auto" w:fill="FFFFFF"/>
            <w:vAlign w:val="bottom"/>
          </w:tcPr>
          <w:p w14:paraId="581C0DB8" w14:textId="77777777" w:rsidR="00053D56" w:rsidRPr="001F224B" w:rsidRDefault="00053D56" w:rsidP="00053D56">
            <w:pPr>
              <w:pStyle w:val="EndnoteText"/>
              <w:keepNext/>
              <w:keepLines/>
              <w:rPr>
                <w:lang w:eastAsia="en-US"/>
              </w:rPr>
            </w:pPr>
            <w:r w:rsidRPr="001F224B">
              <w:rPr>
                <w:lang w:eastAsia="en-US"/>
              </w:rPr>
              <w:t>Ödenecek Kurumlar Vergisi</w:t>
            </w:r>
          </w:p>
        </w:tc>
        <w:tc>
          <w:tcPr>
            <w:tcW w:w="1134" w:type="dxa"/>
            <w:shd w:val="clear" w:color="auto" w:fill="FFFFFF"/>
            <w:vAlign w:val="bottom"/>
          </w:tcPr>
          <w:p w14:paraId="47472B3A" w14:textId="4067D3F1" w:rsidR="00053D56" w:rsidRPr="001F224B" w:rsidRDefault="00D17AD3" w:rsidP="00053D56">
            <w:pPr>
              <w:pStyle w:val="EndnoteText"/>
              <w:keepNext/>
              <w:keepLines/>
              <w:jc w:val="right"/>
            </w:pPr>
            <w:r w:rsidRPr="001F224B">
              <w:t>1.047.119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14:paraId="105232AE" w14:textId="4030BEE3" w:rsidR="00053D56" w:rsidRPr="001F224B" w:rsidRDefault="00053D56" w:rsidP="00053D56">
            <w:pPr>
              <w:pStyle w:val="EndnoteText"/>
              <w:keepNext/>
              <w:keepLines/>
              <w:ind w:left="-70"/>
              <w:jc w:val="right"/>
              <w:rPr>
                <w:lang w:eastAsia="en-US"/>
              </w:rPr>
            </w:pPr>
            <w:r w:rsidRPr="001F224B">
              <w:rPr>
                <w:lang w:eastAsia="en-US"/>
              </w:rPr>
              <w:t>-</w:t>
            </w:r>
          </w:p>
        </w:tc>
        <w:tc>
          <w:tcPr>
            <w:tcW w:w="1134" w:type="dxa"/>
            <w:shd w:val="clear" w:color="auto" w:fill="FFFFFF"/>
            <w:vAlign w:val="bottom"/>
          </w:tcPr>
          <w:p w14:paraId="3C6EF230" w14:textId="4EAC9018" w:rsidR="00053D56" w:rsidRPr="001F224B" w:rsidRDefault="00053D56" w:rsidP="00053D56">
            <w:pPr>
              <w:pStyle w:val="EndnoteText"/>
              <w:keepNext/>
              <w:keepLines/>
              <w:jc w:val="right"/>
              <w:rPr>
                <w:lang w:eastAsia="en-US"/>
              </w:rPr>
            </w:pPr>
            <w:r w:rsidRPr="001F224B">
              <w:t>747.352</w:t>
            </w:r>
          </w:p>
        </w:tc>
        <w:tc>
          <w:tcPr>
            <w:tcW w:w="1045" w:type="dxa"/>
            <w:shd w:val="clear" w:color="auto" w:fill="FFFFFF"/>
            <w:vAlign w:val="bottom"/>
          </w:tcPr>
          <w:p w14:paraId="074DDF07" w14:textId="37ED85FB" w:rsidR="00053D56" w:rsidRPr="001F224B" w:rsidRDefault="00053D56" w:rsidP="00053D56">
            <w:pPr>
              <w:pStyle w:val="EndnoteText"/>
              <w:keepNext/>
              <w:keepLines/>
              <w:ind w:left="-70"/>
              <w:jc w:val="right"/>
              <w:rPr>
                <w:lang w:eastAsia="en-US"/>
              </w:rPr>
            </w:pPr>
            <w:r w:rsidRPr="001F224B">
              <w:rPr>
                <w:lang w:eastAsia="en-US"/>
              </w:rPr>
              <w:t>-</w:t>
            </w:r>
          </w:p>
        </w:tc>
      </w:tr>
      <w:tr w:rsidR="00053D56" w:rsidRPr="001F224B" w14:paraId="6F569711" w14:textId="77777777" w:rsidTr="007A2ED5">
        <w:trPr>
          <w:trHeight w:val="57"/>
        </w:trPr>
        <w:tc>
          <w:tcPr>
            <w:tcW w:w="5292" w:type="dxa"/>
            <w:shd w:val="clear" w:color="auto" w:fill="FFFFFF"/>
            <w:vAlign w:val="bottom"/>
          </w:tcPr>
          <w:p w14:paraId="1367B319" w14:textId="77777777" w:rsidR="00053D56" w:rsidRPr="001F224B" w:rsidRDefault="00053D56" w:rsidP="00053D56">
            <w:pPr>
              <w:pStyle w:val="EndnoteText"/>
              <w:keepNext/>
              <w:keepLines/>
              <w:rPr>
                <w:lang w:eastAsia="en-US"/>
              </w:rPr>
            </w:pPr>
            <w:r w:rsidRPr="001F224B">
              <w:rPr>
                <w:lang w:eastAsia="en-US"/>
              </w:rPr>
              <w:t>Ertelenmiş Vergi Borcu</w:t>
            </w:r>
          </w:p>
        </w:tc>
        <w:tc>
          <w:tcPr>
            <w:tcW w:w="1134" w:type="dxa"/>
            <w:shd w:val="clear" w:color="auto" w:fill="FFFFFF"/>
            <w:vAlign w:val="bottom"/>
          </w:tcPr>
          <w:p w14:paraId="0C4E71C5" w14:textId="76B6401D" w:rsidR="00053D56" w:rsidRPr="001F224B" w:rsidRDefault="00053D56" w:rsidP="00053D56">
            <w:pPr>
              <w:pStyle w:val="EndnoteText"/>
              <w:keepNext/>
              <w:keepLines/>
              <w:ind w:left="-70"/>
              <w:jc w:val="right"/>
            </w:pPr>
            <w:r w:rsidRPr="001F224B">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14:paraId="386F4212" w14:textId="4346C327" w:rsidR="00053D56" w:rsidRPr="001F224B" w:rsidRDefault="00053D56" w:rsidP="00053D56">
            <w:pPr>
              <w:pStyle w:val="EndnoteText"/>
              <w:keepNext/>
              <w:keepLines/>
              <w:ind w:left="-70"/>
              <w:jc w:val="right"/>
              <w:rPr>
                <w:lang w:eastAsia="en-US"/>
              </w:rPr>
            </w:pPr>
            <w:r w:rsidRPr="001F224B">
              <w:rPr>
                <w:lang w:eastAsia="en-US"/>
              </w:rPr>
              <w:t>-</w:t>
            </w:r>
          </w:p>
        </w:tc>
        <w:tc>
          <w:tcPr>
            <w:tcW w:w="1134" w:type="dxa"/>
            <w:shd w:val="clear" w:color="auto" w:fill="FFFFFF"/>
            <w:vAlign w:val="bottom"/>
          </w:tcPr>
          <w:p w14:paraId="1F468C86" w14:textId="7D02B78C" w:rsidR="00053D56" w:rsidRPr="001F224B" w:rsidRDefault="00053D56" w:rsidP="00053D56">
            <w:pPr>
              <w:pStyle w:val="EndnoteText"/>
              <w:keepNext/>
              <w:keepLines/>
              <w:ind w:left="-70"/>
              <w:jc w:val="right"/>
              <w:rPr>
                <w:lang w:eastAsia="en-US"/>
              </w:rPr>
            </w:pPr>
            <w:r w:rsidRPr="001F224B">
              <w:t>-</w:t>
            </w:r>
          </w:p>
        </w:tc>
        <w:tc>
          <w:tcPr>
            <w:tcW w:w="1045" w:type="dxa"/>
            <w:shd w:val="clear" w:color="auto" w:fill="FFFFFF"/>
            <w:vAlign w:val="bottom"/>
          </w:tcPr>
          <w:p w14:paraId="7089BE4E" w14:textId="37888797" w:rsidR="00053D56" w:rsidRPr="001F224B" w:rsidRDefault="00053D56" w:rsidP="00053D56">
            <w:pPr>
              <w:pStyle w:val="EndnoteText"/>
              <w:keepNext/>
              <w:keepLines/>
              <w:ind w:left="-70"/>
              <w:jc w:val="right"/>
              <w:rPr>
                <w:lang w:eastAsia="en-US"/>
              </w:rPr>
            </w:pPr>
            <w:r w:rsidRPr="001F224B">
              <w:rPr>
                <w:lang w:eastAsia="en-US"/>
              </w:rPr>
              <w:t>-</w:t>
            </w:r>
          </w:p>
        </w:tc>
      </w:tr>
      <w:tr w:rsidR="00053D56" w:rsidRPr="001F224B" w14:paraId="2E48D521" w14:textId="77777777" w:rsidTr="007A2ED5">
        <w:trPr>
          <w:trHeight w:val="57"/>
        </w:trPr>
        <w:tc>
          <w:tcPr>
            <w:tcW w:w="5292" w:type="dxa"/>
            <w:shd w:val="clear" w:color="auto" w:fill="FFFFFF"/>
            <w:vAlign w:val="bottom"/>
          </w:tcPr>
          <w:p w14:paraId="67EE5432" w14:textId="77777777" w:rsidR="00053D56" w:rsidRPr="001F224B" w:rsidRDefault="00053D56" w:rsidP="00053D56">
            <w:pPr>
              <w:pStyle w:val="EndnoteText"/>
              <w:keepNext/>
              <w:keepLines/>
              <w:rPr>
                <w:b/>
                <w:lang w:eastAsia="en-US"/>
              </w:rPr>
            </w:pPr>
            <w:r w:rsidRPr="001F224B">
              <w:rPr>
                <w:b/>
                <w:lang w:eastAsia="en-US"/>
              </w:rPr>
              <w:t>Toplam</w:t>
            </w:r>
          </w:p>
        </w:tc>
        <w:tc>
          <w:tcPr>
            <w:tcW w:w="1134" w:type="dxa"/>
            <w:shd w:val="clear" w:color="auto" w:fill="FFFFFF"/>
            <w:vAlign w:val="bottom"/>
          </w:tcPr>
          <w:p w14:paraId="3D20E718" w14:textId="0FF2F389" w:rsidR="00053D56" w:rsidRPr="001F224B" w:rsidRDefault="00D17AD3" w:rsidP="00053D56">
            <w:pPr>
              <w:pStyle w:val="EndnoteText"/>
              <w:keepNext/>
              <w:keepLines/>
              <w:ind w:left="-70"/>
              <w:jc w:val="right"/>
              <w:rPr>
                <w:b/>
                <w:bCs/>
              </w:rPr>
            </w:pPr>
            <w:r w:rsidRPr="001F224B">
              <w:rPr>
                <w:b/>
                <w:bCs/>
              </w:rPr>
              <w:t>1.047.119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14:paraId="324E50E5" w14:textId="2BF6BB09" w:rsidR="00053D56" w:rsidRPr="001F224B" w:rsidRDefault="00053D56" w:rsidP="00053D56">
            <w:pPr>
              <w:pStyle w:val="EndnoteText"/>
              <w:keepNext/>
              <w:keepLines/>
              <w:ind w:left="-70"/>
              <w:jc w:val="right"/>
              <w:rPr>
                <w:b/>
                <w:lang w:eastAsia="en-US"/>
              </w:rPr>
            </w:pPr>
            <w:r w:rsidRPr="001F224B">
              <w:rPr>
                <w:b/>
                <w:lang w:eastAsia="en-US"/>
              </w:rPr>
              <w:t>-</w:t>
            </w:r>
          </w:p>
        </w:tc>
        <w:tc>
          <w:tcPr>
            <w:tcW w:w="1134" w:type="dxa"/>
            <w:shd w:val="clear" w:color="auto" w:fill="FFFFFF"/>
            <w:vAlign w:val="bottom"/>
          </w:tcPr>
          <w:p w14:paraId="01823E7B" w14:textId="3472C3B7" w:rsidR="00053D56" w:rsidRPr="001F224B" w:rsidRDefault="00053D56" w:rsidP="00053D56">
            <w:pPr>
              <w:pStyle w:val="EndnoteText"/>
              <w:keepNext/>
              <w:keepLines/>
              <w:ind w:left="-70"/>
              <w:jc w:val="right"/>
              <w:rPr>
                <w:b/>
                <w:bCs/>
                <w:lang w:eastAsia="en-US"/>
              </w:rPr>
            </w:pPr>
            <w:r w:rsidRPr="001F224B">
              <w:rPr>
                <w:b/>
                <w:bCs/>
              </w:rPr>
              <w:t>747.352</w:t>
            </w:r>
          </w:p>
        </w:tc>
        <w:tc>
          <w:tcPr>
            <w:tcW w:w="1045" w:type="dxa"/>
            <w:shd w:val="clear" w:color="auto" w:fill="FFFFFF"/>
            <w:vAlign w:val="bottom"/>
          </w:tcPr>
          <w:p w14:paraId="7CA3ADA0" w14:textId="0DAF0609" w:rsidR="00053D56" w:rsidRPr="001F224B" w:rsidRDefault="00053D56" w:rsidP="00053D56">
            <w:pPr>
              <w:pStyle w:val="EndnoteText"/>
              <w:keepNext/>
              <w:keepLines/>
              <w:ind w:left="-70"/>
              <w:jc w:val="right"/>
              <w:rPr>
                <w:b/>
                <w:lang w:eastAsia="en-US"/>
              </w:rPr>
            </w:pPr>
            <w:r w:rsidRPr="001F224B">
              <w:rPr>
                <w:b/>
                <w:lang w:eastAsia="en-US"/>
              </w:rPr>
              <w:t>-</w:t>
            </w:r>
          </w:p>
        </w:tc>
      </w:tr>
    </w:tbl>
    <w:p w14:paraId="3B2517B3" w14:textId="77777777" w:rsidR="004F7D97" w:rsidRPr="001F224B" w:rsidRDefault="004F7D97">
      <w:pPr>
        <w:rPr>
          <w:b/>
          <w:bCs/>
          <w:sz w:val="12"/>
          <w:szCs w:val="12"/>
        </w:rPr>
      </w:pPr>
    </w:p>
    <w:p w14:paraId="190AF729" w14:textId="69FC75F7" w:rsidR="00637232" w:rsidRPr="001F224B" w:rsidRDefault="00FE7D48" w:rsidP="0022043F">
      <w:pPr>
        <w:tabs>
          <w:tab w:val="left" w:pos="567"/>
        </w:tabs>
        <w:spacing w:after="120"/>
        <w:rPr>
          <w:b/>
          <w:bCs/>
          <w:sz w:val="22"/>
          <w:szCs w:val="22"/>
        </w:rPr>
      </w:pPr>
      <w:r w:rsidRPr="001F224B">
        <w:rPr>
          <w:b/>
          <w:bCs/>
          <w:sz w:val="22"/>
          <w:szCs w:val="22"/>
        </w:rPr>
        <w:t>1</w:t>
      </w:r>
      <w:r w:rsidR="00C93C49" w:rsidRPr="001F224B">
        <w:rPr>
          <w:b/>
          <w:bCs/>
          <w:sz w:val="22"/>
          <w:szCs w:val="22"/>
        </w:rPr>
        <w:t>2</w:t>
      </w:r>
      <w:r w:rsidR="00637232" w:rsidRPr="001F224B">
        <w:rPr>
          <w:b/>
          <w:bCs/>
          <w:sz w:val="22"/>
          <w:szCs w:val="22"/>
        </w:rPr>
        <w:t>.a.2)</w:t>
      </w:r>
      <w:r w:rsidR="00637232" w:rsidRPr="001F224B">
        <w:rPr>
          <w:b/>
          <w:bCs/>
          <w:sz w:val="22"/>
          <w:szCs w:val="22"/>
        </w:rPr>
        <w:tab/>
        <w:t>Ödenecek vergilere ilişkin bilgiler:</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92"/>
        <w:gridCol w:w="2253"/>
        <w:gridCol w:w="2194"/>
      </w:tblGrid>
      <w:tr w:rsidR="00C93C49" w:rsidRPr="001F224B" w14:paraId="7A33C55C" w14:textId="77777777" w:rsidTr="0033482E">
        <w:trPr>
          <w:trHeight w:val="496"/>
        </w:trPr>
        <w:tc>
          <w:tcPr>
            <w:tcW w:w="5292" w:type="dxa"/>
            <w:shd w:val="clear" w:color="000000" w:fill="FFFFFF"/>
            <w:vAlign w:val="bottom"/>
          </w:tcPr>
          <w:p w14:paraId="27C278E2" w14:textId="77777777" w:rsidR="00C93C49" w:rsidRPr="001F224B" w:rsidRDefault="00C93C49" w:rsidP="004C7F47">
            <w:pPr>
              <w:rPr>
                <w:sz w:val="20"/>
                <w:szCs w:val="20"/>
              </w:rPr>
            </w:pPr>
            <w:r w:rsidRPr="001F224B">
              <w:rPr>
                <w:sz w:val="20"/>
                <w:szCs w:val="20"/>
              </w:rPr>
              <w:t> </w:t>
            </w:r>
          </w:p>
        </w:tc>
        <w:tc>
          <w:tcPr>
            <w:tcW w:w="2253" w:type="dxa"/>
            <w:shd w:val="clear" w:color="000000" w:fill="FFFFFF"/>
            <w:vAlign w:val="bottom"/>
          </w:tcPr>
          <w:p w14:paraId="084F52E9" w14:textId="77777777" w:rsidR="004C0676" w:rsidRPr="001F224B" w:rsidRDefault="004C0676" w:rsidP="004C0676">
            <w:pPr>
              <w:jc w:val="center"/>
              <w:rPr>
                <w:b/>
                <w:bCs/>
                <w:sz w:val="20"/>
                <w:szCs w:val="20"/>
              </w:rPr>
            </w:pPr>
            <w:r w:rsidRPr="001F224B">
              <w:rPr>
                <w:b/>
                <w:bCs/>
                <w:sz w:val="20"/>
                <w:szCs w:val="20"/>
              </w:rPr>
              <w:t xml:space="preserve">Cari Dönem </w:t>
            </w:r>
          </w:p>
          <w:p w14:paraId="39686715" w14:textId="406938EB" w:rsidR="00C93C49" w:rsidRPr="001F224B" w:rsidRDefault="004C0676" w:rsidP="004C0676">
            <w:pPr>
              <w:jc w:val="center"/>
              <w:rPr>
                <w:b/>
                <w:bCs/>
                <w:sz w:val="20"/>
                <w:szCs w:val="20"/>
              </w:rPr>
            </w:pPr>
            <w:r w:rsidRPr="001F224B">
              <w:rPr>
                <w:b/>
                <w:bCs/>
                <w:sz w:val="20"/>
                <w:szCs w:val="20"/>
              </w:rPr>
              <w:t>(3</w:t>
            </w:r>
            <w:r w:rsidR="00C104B4" w:rsidRPr="001F224B">
              <w:rPr>
                <w:b/>
                <w:bCs/>
                <w:sz w:val="20"/>
                <w:szCs w:val="20"/>
              </w:rPr>
              <w:t>0</w:t>
            </w:r>
            <w:r w:rsidRPr="001F224B">
              <w:rPr>
                <w:b/>
                <w:bCs/>
                <w:sz w:val="20"/>
                <w:szCs w:val="20"/>
              </w:rPr>
              <w:t>.</w:t>
            </w:r>
            <w:r w:rsidR="00053D56" w:rsidRPr="001F224B">
              <w:rPr>
                <w:b/>
                <w:bCs/>
                <w:sz w:val="20"/>
                <w:szCs w:val="20"/>
              </w:rPr>
              <w:t>0</w:t>
            </w:r>
            <w:r w:rsidR="00C104B4" w:rsidRPr="001F224B">
              <w:rPr>
                <w:b/>
                <w:bCs/>
                <w:sz w:val="20"/>
                <w:szCs w:val="20"/>
              </w:rPr>
              <w:t>6</w:t>
            </w:r>
            <w:r w:rsidRPr="001F224B">
              <w:rPr>
                <w:b/>
                <w:bCs/>
                <w:sz w:val="20"/>
                <w:szCs w:val="20"/>
              </w:rPr>
              <w:t>.202</w:t>
            </w:r>
            <w:r w:rsidR="00053D56" w:rsidRPr="001F224B">
              <w:rPr>
                <w:b/>
                <w:bCs/>
                <w:sz w:val="20"/>
                <w:szCs w:val="20"/>
              </w:rPr>
              <w:t>5</w:t>
            </w:r>
            <w:r w:rsidRPr="001F224B">
              <w:rPr>
                <w:b/>
                <w:bCs/>
                <w:sz w:val="20"/>
                <w:szCs w:val="20"/>
              </w:rPr>
              <w:t>)</w:t>
            </w:r>
          </w:p>
        </w:tc>
        <w:tc>
          <w:tcPr>
            <w:tcW w:w="2194" w:type="dxa"/>
            <w:shd w:val="clear" w:color="000000" w:fill="FFFFFF"/>
            <w:vAlign w:val="bottom"/>
          </w:tcPr>
          <w:p w14:paraId="75475B41" w14:textId="77777777" w:rsidR="00C93C49" w:rsidRPr="001F224B" w:rsidRDefault="00C93C49" w:rsidP="006D56FF">
            <w:pPr>
              <w:jc w:val="center"/>
              <w:rPr>
                <w:b/>
                <w:bCs/>
                <w:sz w:val="20"/>
                <w:szCs w:val="20"/>
              </w:rPr>
            </w:pPr>
            <w:r w:rsidRPr="001F224B">
              <w:rPr>
                <w:b/>
                <w:bCs/>
                <w:sz w:val="20"/>
                <w:szCs w:val="20"/>
              </w:rPr>
              <w:t>Önceki Dönem</w:t>
            </w:r>
          </w:p>
          <w:p w14:paraId="4D84C985" w14:textId="61C214BD" w:rsidR="00C93C49" w:rsidRPr="001F224B" w:rsidRDefault="00C93C49" w:rsidP="006D56FF">
            <w:pPr>
              <w:jc w:val="center"/>
              <w:rPr>
                <w:b/>
                <w:bCs/>
                <w:sz w:val="20"/>
                <w:szCs w:val="20"/>
              </w:rPr>
            </w:pPr>
            <w:r w:rsidRPr="001F224B">
              <w:rPr>
                <w:b/>
                <w:bCs/>
                <w:sz w:val="20"/>
                <w:szCs w:val="20"/>
              </w:rPr>
              <w:t>(31.12.202</w:t>
            </w:r>
            <w:r w:rsidR="00053D56" w:rsidRPr="001F224B">
              <w:rPr>
                <w:b/>
                <w:bCs/>
                <w:sz w:val="20"/>
                <w:szCs w:val="20"/>
              </w:rPr>
              <w:t>4</w:t>
            </w:r>
            <w:r w:rsidRPr="001F224B">
              <w:rPr>
                <w:b/>
                <w:bCs/>
                <w:sz w:val="20"/>
                <w:szCs w:val="20"/>
              </w:rPr>
              <w:t>)</w:t>
            </w:r>
          </w:p>
        </w:tc>
      </w:tr>
      <w:tr w:rsidR="00D17AD3" w:rsidRPr="001F224B" w14:paraId="605F39C2" w14:textId="77777777" w:rsidTr="00D17AD3">
        <w:trPr>
          <w:trHeight w:val="170"/>
        </w:trPr>
        <w:tc>
          <w:tcPr>
            <w:tcW w:w="5292" w:type="dxa"/>
            <w:shd w:val="clear" w:color="000000" w:fill="FFFFFF"/>
            <w:vAlign w:val="bottom"/>
          </w:tcPr>
          <w:p w14:paraId="2F2756A8" w14:textId="77777777" w:rsidR="00D17AD3" w:rsidRPr="001F224B" w:rsidRDefault="00D17AD3" w:rsidP="00D17AD3">
            <w:pPr>
              <w:rPr>
                <w:sz w:val="20"/>
                <w:szCs w:val="20"/>
              </w:rPr>
            </w:pPr>
            <w:bookmarkStart w:id="36" w:name="_Hlk245283574"/>
            <w:r w:rsidRPr="001F224B">
              <w:rPr>
                <w:sz w:val="20"/>
                <w:szCs w:val="20"/>
              </w:rPr>
              <w:t>Ödenecek Kurumlar Vergisi</w:t>
            </w:r>
          </w:p>
        </w:tc>
        <w:tc>
          <w:tcPr>
            <w:tcW w:w="2253" w:type="dxa"/>
            <w:shd w:val="clear" w:color="000000" w:fill="FFFFFF"/>
            <w:vAlign w:val="bottom"/>
          </w:tcPr>
          <w:p w14:paraId="133424CE" w14:textId="002957CE" w:rsidR="00D17AD3" w:rsidRPr="001F224B" w:rsidRDefault="00D17AD3" w:rsidP="00D17AD3">
            <w:pPr>
              <w:jc w:val="right"/>
              <w:rPr>
                <w:sz w:val="20"/>
                <w:szCs w:val="20"/>
              </w:rPr>
            </w:pPr>
            <w:r w:rsidRPr="001F224B">
              <w:rPr>
                <w:sz w:val="20"/>
                <w:szCs w:val="20"/>
              </w:rPr>
              <w:t>1.047.119</w:t>
            </w:r>
          </w:p>
        </w:tc>
        <w:tc>
          <w:tcPr>
            <w:tcW w:w="2194" w:type="dxa"/>
            <w:shd w:val="clear" w:color="000000" w:fill="FFFFFF"/>
            <w:vAlign w:val="center"/>
          </w:tcPr>
          <w:p w14:paraId="5274A809" w14:textId="5F9F7AC6" w:rsidR="00D17AD3" w:rsidRPr="001F224B" w:rsidRDefault="00D17AD3" w:rsidP="00D17AD3">
            <w:pPr>
              <w:jc w:val="right"/>
              <w:rPr>
                <w:sz w:val="20"/>
                <w:szCs w:val="20"/>
              </w:rPr>
            </w:pPr>
            <w:r w:rsidRPr="001F224B">
              <w:rPr>
                <w:color w:val="000000"/>
                <w:sz w:val="20"/>
                <w:szCs w:val="20"/>
              </w:rPr>
              <w:t>747.352</w:t>
            </w:r>
          </w:p>
        </w:tc>
      </w:tr>
      <w:tr w:rsidR="00D17AD3" w:rsidRPr="001F224B" w14:paraId="214EB8E1" w14:textId="77777777" w:rsidTr="00D17AD3">
        <w:trPr>
          <w:trHeight w:val="170"/>
        </w:trPr>
        <w:tc>
          <w:tcPr>
            <w:tcW w:w="5292" w:type="dxa"/>
            <w:shd w:val="clear" w:color="000000" w:fill="FFFFFF"/>
            <w:vAlign w:val="bottom"/>
          </w:tcPr>
          <w:p w14:paraId="36C589B0" w14:textId="77777777" w:rsidR="00D17AD3" w:rsidRPr="001F224B" w:rsidRDefault="00D17AD3" w:rsidP="00D17AD3">
            <w:pPr>
              <w:rPr>
                <w:sz w:val="20"/>
                <w:szCs w:val="20"/>
              </w:rPr>
            </w:pPr>
            <w:r w:rsidRPr="001F224B">
              <w:rPr>
                <w:sz w:val="20"/>
                <w:szCs w:val="20"/>
              </w:rPr>
              <w:t>Menkul Sermaye İradı Vergisi</w:t>
            </w:r>
          </w:p>
        </w:tc>
        <w:tc>
          <w:tcPr>
            <w:tcW w:w="2253" w:type="dxa"/>
            <w:shd w:val="clear" w:color="000000" w:fill="FFFFFF"/>
            <w:vAlign w:val="bottom"/>
          </w:tcPr>
          <w:p w14:paraId="533FEB12" w14:textId="00C1E24F" w:rsidR="00D17AD3" w:rsidRPr="001F224B" w:rsidRDefault="00D17AD3" w:rsidP="00D17AD3">
            <w:pPr>
              <w:jc w:val="right"/>
              <w:rPr>
                <w:sz w:val="20"/>
                <w:szCs w:val="20"/>
              </w:rPr>
            </w:pPr>
            <w:r w:rsidRPr="001F224B">
              <w:rPr>
                <w:sz w:val="20"/>
                <w:szCs w:val="20"/>
              </w:rPr>
              <w:t>15.468</w:t>
            </w:r>
          </w:p>
        </w:tc>
        <w:tc>
          <w:tcPr>
            <w:tcW w:w="2194" w:type="dxa"/>
            <w:shd w:val="clear" w:color="000000" w:fill="FFFFFF"/>
            <w:vAlign w:val="center"/>
          </w:tcPr>
          <w:p w14:paraId="5629EBFA" w14:textId="23B9EEAD" w:rsidR="00D17AD3" w:rsidRPr="001F224B" w:rsidRDefault="00D17AD3" w:rsidP="00D17AD3">
            <w:pPr>
              <w:jc w:val="right"/>
              <w:rPr>
                <w:sz w:val="20"/>
                <w:szCs w:val="20"/>
              </w:rPr>
            </w:pPr>
            <w:r w:rsidRPr="001F224B">
              <w:rPr>
                <w:color w:val="000000"/>
                <w:sz w:val="20"/>
                <w:szCs w:val="20"/>
              </w:rPr>
              <w:t>2.938</w:t>
            </w:r>
          </w:p>
        </w:tc>
      </w:tr>
      <w:tr w:rsidR="00D17AD3" w:rsidRPr="001F224B" w14:paraId="4B263122" w14:textId="77777777" w:rsidTr="00D17AD3">
        <w:trPr>
          <w:trHeight w:val="170"/>
        </w:trPr>
        <w:tc>
          <w:tcPr>
            <w:tcW w:w="5292" w:type="dxa"/>
            <w:shd w:val="clear" w:color="000000" w:fill="FFFFFF"/>
            <w:vAlign w:val="bottom"/>
          </w:tcPr>
          <w:p w14:paraId="64174828" w14:textId="77777777" w:rsidR="00D17AD3" w:rsidRPr="001F224B" w:rsidRDefault="00D17AD3" w:rsidP="00D17AD3">
            <w:pPr>
              <w:rPr>
                <w:sz w:val="20"/>
                <w:szCs w:val="20"/>
              </w:rPr>
            </w:pPr>
            <w:r w:rsidRPr="001F224B">
              <w:rPr>
                <w:sz w:val="20"/>
                <w:szCs w:val="20"/>
              </w:rPr>
              <w:t>Gayrimenkul Sermaye İradı Vergisi</w:t>
            </w:r>
          </w:p>
        </w:tc>
        <w:tc>
          <w:tcPr>
            <w:tcW w:w="2253" w:type="dxa"/>
            <w:shd w:val="clear" w:color="000000" w:fill="FFFFFF"/>
            <w:vAlign w:val="bottom"/>
          </w:tcPr>
          <w:p w14:paraId="6C381E1D" w14:textId="434B8E27" w:rsidR="00D17AD3" w:rsidRPr="001F224B" w:rsidRDefault="00D17AD3" w:rsidP="00D17AD3">
            <w:pPr>
              <w:jc w:val="right"/>
              <w:rPr>
                <w:sz w:val="20"/>
                <w:szCs w:val="20"/>
              </w:rPr>
            </w:pPr>
            <w:r w:rsidRPr="001F224B">
              <w:rPr>
                <w:sz w:val="20"/>
                <w:szCs w:val="20"/>
              </w:rPr>
              <w:t>-</w:t>
            </w:r>
          </w:p>
        </w:tc>
        <w:tc>
          <w:tcPr>
            <w:tcW w:w="2194" w:type="dxa"/>
            <w:shd w:val="clear" w:color="000000" w:fill="FFFFFF"/>
            <w:vAlign w:val="center"/>
          </w:tcPr>
          <w:p w14:paraId="3FE83AD7" w14:textId="1A258236" w:rsidR="00D17AD3" w:rsidRPr="001F224B" w:rsidRDefault="00D17AD3" w:rsidP="00D17AD3">
            <w:pPr>
              <w:jc w:val="right"/>
              <w:rPr>
                <w:sz w:val="20"/>
                <w:szCs w:val="20"/>
              </w:rPr>
            </w:pPr>
            <w:r w:rsidRPr="001F224B">
              <w:rPr>
                <w:sz w:val="20"/>
                <w:szCs w:val="20"/>
              </w:rPr>
              <w:t>-</w:t>
            </w:r>
          </w:p>
        </w:tc>
      </w:tr>
      <w:tr w:rsidR="00D17AD3" w:rsidRPr="001F224B" w14:paraId="08C21637" w14:textId="77777777" w:rsidTr="00D17AD3">
        <w:trPr>
          <w:trHeight w:val="170"/>
        </w:trPr>
        <w:tc>
          <w:tcPr>
            <w:tcW w:w="5292" w:type="dxa"/>
            <w:shd w:val="clear" w:color="000000" w:fill="FFFFFF"/>
            <w:vAlign w:val="bottom"/>
          </w:tcPr>
          <w:p w14:paraId="1337B5D4" w14:textId="77777777" w:rsidR="00D17AD3" w:rsidRPr="001F224B" w:rsidRDefault="00D17AD3" w:rsidP="00D17AD3">
            <w:pPr>
              <w:rPr>
                <w:sz w:val="20"/>
                <w:szCs w:val="20"/>
              </w:rPr>
            </w:pPr>
            <w:r w:rsidRPr="001F224B">
              <w:rPr>
                <w:sz w:val="20"/>
                <w:szCs w:val="20"/>
              </w:rPr>
              <w:t>BSMV</w:t>
            </w:r>
          </w:p>
        </w:tc>
        <w:tc>
          <w:tcPr>
            <w:tcW w:w="2253" w:type="dxa"/>
            <w:shd w:val="clear" w:color="000000" w:fill="FFFFFF"/>
            <w:vAlign w:val="bottom"/>
          </w:tcPr>
          <w:p w14:paraId="5B473CA3" w14:textId="6FFB0554" w:rsidR="00D17AD3" w:rsidRPr="001F224B" w:rsidRDefault="00D17AD3" w:rsidP="00D17AD3">
            <w:pPr>
              <w:jc w:val="right"/>
              <w:rPr>
                <w:sz w:val="20"/>
                <w:szCs w:val="20"/>
              </w:rPr>
            </w:pPr>
            <w:r w:rsidRPr="001F224B">
              <w:rPr>
                <w:sz w:val="20"/>
                <w:szCs w:val="20"/>
              </w:rPr>
              <w:t>14.813</w:t>
            </w:r>
          </w:p>
        </w:tc>
        <w:tc>
          <w:tcPr>
            <w:tcW w:w="2194" w:type="dxa"/>
            <w:shd w:val="clear" w:color="000000" w:fill="FFFFFF"/>
            <w:vAlign w:val="center"/>
          </w:tcPr>
          <w:p w14:paraId="56EE2303" w14:textId="406941A8" w:rsidR="00D17AD3" w:rsidRPr="001F224B" w:rsidRDefault="00D17AD3" w:rsidP="00D17AD3">
            <w:pPr>
              <w:jc w:val="right"/>
              <w:rPr>
                <w:sz w:val="20"/>
                <w:szCs w:val="20"/>
              </w:rPr>
            </w:pPr>
            <w:r w:rsidRPr="001F224B">
              <w:rPr>
                <w:color w:val="000000"/>
                <w:sz w:val="20"/>
                <w:szCs w:val="20"/>
              </w:rPr>
              <w:t>12.968</w:t>
            </w:r>
          </w:p>
        </w:tc>
      </w:tr>
      <w:tr w:rsidR="00D17AD3" w:rsidRPr="001F224B" w14:paraId="6C5B8C09" w14:textId="77777777" w:rsidTr="00D17AD3">
        <w:trPr>
          <w:trHeight w:val="170"/>
        </w:trPr>
        <w:tc>
          <w:tcPr>
            <w:tcW w:w="5292" w:type="dxa"/>
            <w:shd w:val="clear" w:color="000000" w:fill="FFFFFF"/>
            <w:vAlign w:val="bottom"/>
          </w:tcPr>
          <w:p w14:paraId="18DAF394" w14:textId="77777777" w:rsidR="00D17AD3" w:rsidRPr="001F224B" w:rsidRDefault="00D17AD3" w:rsidP="00D17AD3">
            <w:pPr>
              <w:rPr>
                <w:sz w:val="20"/>
                <w:szCs w:val="20"/>
              </w:rPr>
            </w:pPr>
            <w:r w:rsidRPr="001F224B">
              <w:rPr>
                <w:sz w:val="20"/>
                <w:szCs w:val="20"/>
              </w:rPr>
              <w:t>Kambiyo Muameleleri Vergisi</w:t>
            </w:r>
          </w:p>
        </w:tc>
        <w:tc>
          <w:tcPr>
            <w:tcW w:w="2253" w:type="dxa"/>
            <w:shd w:val="clear" w:color="000000" w:fill="FFFFFF"/>
            <w:vAlign w:val="bottom"/>
          </w:tcPr>
          <w:p w14:paraId="22BF4611" w14:textId="3601D7BD" w:rsidR="00D17AD3" w:rsidRPr="001F224B" w:rsidRDefault="00D17AD3" w:rsidP="00D17AD3">
            <w:pPr>
              <w:jc w:val="right"/>
              <w:rPr>
                <w:sz w:val="20"/>
                <w:szCs w:val="20"/>
              </w:rPr>
            </w:pPr>
            <w:r w:rsidRPr="001F224B">
              <w:rPr>
                <w:sz w:val="20"/>
                <w:szCs w:val="20"/>
              </w:rPr>
              <w:t>37</w:t>
            </w:r>
          </w:p>
        </w:tc>
        <w:tc>
          <w:tcPr>
            <w:tcW w:w="2194" w:type="dxa"/>
            <w:shd w:val="clear" w:color="000000" w:fill="FFFFFF"/>
            <w:vAlign w:val="center"/>
          </w:tcPr>
          <w:p w14:paraId="1EEFB0BA" w14:textId="61476D6B" w:rsidR="00D17AD3" w:rsidRPr="001F224B" w:rsidRDefault="00D17AD3" w:rsidP="00D17AD3">
            <w:pPr>
              <w:jc w:val="right"/>
              <w:rPr>
                <w:sz w:val="20"/>
                <w:szCs w:val="20"/>
              </w:rPr>
            </w:pPr>
            <w:r w:rsidRPr="001F224B">
              <w:rPr>
                <w:color w:val="000000"/>
                <w:sz w:val="20"/>
                <w:szCs w:val="20"/>
              </w:rPr>
              <w:t>94</w:t>
            </w:r>
          </w:p>
        </w:tc>
      </w:tr>
      <w:tr w:rsidR="00D17AD3" w:rsidRPr="001F224B" w14:paraId="6835E78E" w14:textId="77777777" w:rsidTr="00D17AD3">
        <w:trPr>
          <w:trHeight w:val="170"/>
        </w:trPr>
        <w:tc>
          <w:tcPr>
            <w:tcW w:w="5292" w:type="dxa"/>
            <w:shd w:val="clear" w:color="000000" w:fill="FFFFFF"/>
            <w:vAlign w:val="bottom"/>
          </w:tcPr>
          <w:p w14:paraId="0F182584" w14:textId="77777777" w:rsidR="00D17AD3" w:rsidRPr="001F224B" w:rsidRDefault="00D17AD3" w:rsidP="00D17AD3">
            <w:pPr>
              <w:rPr>
                <w:sz w:val="20"/>
                <w:szCs w:val="20"/>
              </w:rPr>
            </w:pPr>
            <w:r w:rsidRPr="001F224B">
              <w:rPr>
                <w:sz w:val="20"/>
                <w:szCs w:val="20"/>
              </w:rPr>
              <w:t>Ödenecek Katma Değer Vergisi</w:t>
            </w:r>
          </w:p>
        </w:tc>
        <w:tc>
          <w:tcPr>
            <w:tcW w:w="2253" w:type="dxa"/>
            <w:shd w:val="clear" w:color="000000" w:fill="FFFFFF"/>
            <w:vAlign w:val="bottom"/>
          </w:tcPr>
          <w:p w14:paraId="2C63F054" w14:textId="3E519322" w:rsidR="00D17AD3" w:rsidRPr="001F224B" w:rsidRDefault="00D17AD3" w:rsidP="00D17AD3">
            <w:pPr>
              <w:jc w:val="right"/>
              <w:rPr>
                <w:sz w:val="20"/>
                <w:szCs w:val="20"/>
              </w:rPr>
            </w:pPr>
            <w:r w:rsidRPr="001F224B">
              <w:rPr>
                <w:sz w:val="20"/>
                <w:szCs w:val="20"/>
              </w:rPr>
              <w:t>2.673</w:t>
            </w:r>
          </w:p>
        </w:tc>
        <w:tc>
          <w:tcPr>
            <w:tcW w:w="2194" w:type="dxa"/>
            <w:shd w:val="clear" w:color="000000" w:fill="FFFFFF"/>
            <w:vAlign w:val="center"/>
          </w:tcPr>
          <w:p w14:paraId="110782E9" w14:textId="2FD94E9B" w:rsidR="00D17AD3" w:rsidRPr="001F224B" w:rsidRDefault="00D17AD3" w:rsidP="00D17AD3">
            <w:pPr>
              <w:jc w:val="right"/>
              <w:rPr>
                <w:sz w:val="20"/>
                <w:szCs w:val="20"/>
              </w:rPr>
            </w:pPr>
            <w:r w:rsidRPr="001F224B">
              <w:rPr>
                <w:color w:val="000000"/>
                <w:sz w:val="20"/>
                <w:szCs w:val="20"/>
              </w:rPr>
              <w:t>3.318</w:t>
            </w:r>
          </w:p>
        </w:tc>
      </w:tr>
      <w:tr w:rsidR="00D17AD3" w:rsidRPr="001F224B" w14:paraId="33D0DC8D" w14:textId="77777777" w:rsidTr="00D17AD3">
        <w:trPr>
          <w:trHeight w:val="170"/>
        </w:trPr>
        <w:tc>
          <w:tcPr>
            <w:tcW w:w="5292" w:type="dxa"/>
            <w:shd w:val="clear" w:color="000000" w:fill="FFFFFF"/>
            <w:vAlign w:val="bottom"/>
          </w:tcPr>
          <w:p w14:paraId="5690EE31" w14:textId="77777777" w:rsidR="00D17AD3" w:rsidRPr="001F224B" w:rsidRDefault="00D17AD3" w:rsidP="00D17AD3">
            <w:pPr>
              <w:rPr>
                <w:sz w:val="20"/>
                <w:szCs w:val="20"/>
              </w:rPr>
            </w:pPr>
            <w:r w:rsidRPr="001F224B">
              <w:rPr>
                <w:sz w:val="20"/>
                <w:szCs w:val="20"/>
              </w:rPr>
              <w:t>Diğer</w:t>
            </w:r>
          </w:p>
        </w:tc>
        <w:tc>
          <w:tcPr>
            <w:tcW w:w="2253" w:type="dxa"/>
            <w:shd w:val="clear" w:color="000000" w:fill="FFFFFF"/>
            <w:vAlign w:val="bottom"/>
          </w:tcPr>
          <w:p w14:paraId="110EAD30" w14:textId="7026B250" w:rsidR="00D17AD3" w:rsidRPr="001F224B" w:rsidRDefault="00D17AD3" w:rsidP="00D17AD3">
            <w:pPr>
              <w:jc w:val="right"/>
              <w:rPr>
                <w:sz w:val="20"/>
                <w:szCs w:val="20"/>
              </w:rPr>
            </w:pPr>
            <w:r w:rsidRPr="001F224B">
              <w:rPr>
                <w:sz w:val="20"/>
                <w:szCs w:val="20"/>
              </w:rPr>
              <w:t>39.439</w:t>
            </w:r>
          </w:p>
        </w:tc>
        <w:tc>
          <w:tcPr>
            <w:tcW w:w="2194" w:type="dxa"/>
            <w:shd w:val="clear" w:color="000000" w:fill="FFFFFF"/>
            <w:vAlign w:val="center"/>
          </w:tcPr>
          <w:p w14:paraId="7B16C6AD" w14:textId="03C76C13" w:rsidR="00D17AD3" w:rsidRPr="001F224B" w:rsidRDefault="00D17AD3" w:rsidP="00D17AD3">
            <w:pPr>
              <w:jc w:val="right"/>
              <w:rPr>
                <w:sz w:val="20"/>
                <w:szCs w:val="20"/>
              </w:rPr>
            </w:pPr>
            <w:r w:rsidRPr="001F224B">
              <w:rPr>
                <w:color w:val="000000"/>
                <w:sz w:val="20"/>
                <w:szCs w:val="20"/>
              </w:rPr>
              <w:t>31.785</w:t>
            </w:r>
          </w:p>
        </w:tc>
      </w:tr>
      <w:tr w:rsidR="00D17AD3" w:rsidRPr="001F224B" w14:paraId="1DFC42A3" w14:textId="77777777" w:rsidTr="00D17AD3">
        <w:trPr>
          <w:trHeight w:val="170"/>
        </w:trPr>
        <w:tc>
          <w:tcPr>
            <w:tcW w:w="5292" w:type="dxa"/>
            <w:shd w:val="clear" w:color="000000" w:fill="FFFFFF"/>
            <w:vAlign w:val="bottom"/>
          </w:tcPr>
          <w:p w14:paraId="6EA9D0E1" w14:textId="77777777" w:rsidR="00D17AD3" w:rsidRPr="001F224B" w:rsidRDefault="00D17AD3" w:rsidP="00D17AD3">
            <w:pPr>
              <w:ind w:left="355" w:hanging="355"/>
              <w:rPr>
                <w:b/>
                <w:sz w:val="20"/>
                <w:szCs w:val="20"/>
              </w:rPr>
            </w:pPr>
            <w:r w:rsidRPr="001F224B">
              <w:rPr>
                <w:b/>
                <w:sz w:val="20"/>
                <w:szCs w:val="20"/>
              </w:rPr>
              <w:t>Toplam</w:t>
            </w:r>
          </w:p>
        </w:tc>
        <w:tc>
          <w:tcPr>
            <w:tcW w:w="2253" w:type="dxa"/>
            <w:shd w:val="clear" w:color="auto" w:fill="FFFFFF"/>
            <w:vAlign w:val="bottom"/>
          </w:tcPr>
          <w:p w14:paraId="03BF48C5" w14:textId="5F7DDCC8" w:rsidR="00D17AD3" w:rsidRPr="001F224B" w:rsidRDefault="00830A35" w:rsidP="00D17AD3">
            <w:pPr>
              <w:jc w:val="right"/>
              <w:rPr>
                <w:b/>
                <w:bCs/>
                <w:sz w:val="20"/>
                <w:szCs w:val="20"/>
              </w:rPr>
            </w:pPr>
            <w:r w:rsidRPr="001F224B">
              <w:rPr>
                <w:b/>
                <w:bCs/>
                <w:sz w:val="20"/>
                <w:szCs w:val="20"/>
              </w:rPr>
              <w:t>1.119.54</w:t>
            </w:r>
            <w:r w:rsidR="00817C75" w:rsidRPr="001F224B">
              <w:rPr>
                <w:b/>
                <w:bCs/>
                <w:sz w:val="20"/>
                <w:szCs w:val="20"/>
              </w:rPr>
              <w:t>9</w:t>
            </w:r>
          </w:p>
        </w:tc>
        <w:tc>
          <w:tcPr>
            <w:tcW w:w="2194" w:type="dxa"/>
            <w:shd w:val="clear" w:color="000000" w:fill="FFFFFF"/>
            <w:vAlign w:val="center"/>
          </w:tcPr>
          <w:p w14:paraId="5C5758F3" w14:textId="07880401" w:rsidR="00D17AD3" w:rsidRPr="001F224B" w:rsidRDefault="00D17AD3" w:rsidP="00D17AD3">
            <w:pPr>
              <w:jc w:val="right"/>
              <w:rPr>
                <w:b/>
                <w:sz w:val="20"/>
                <w:szCs w:val="20"/>
              </w:rPr>
            </w:pPr>
            <w:r w:rsidRPr="001F224B">
              <w:rPr>
                <w:b/>
                <w:bCs/>
                <w:color w:val="000000"/>
                <w:sz w:val="20"/>
                <w:szCs w:val="20"/>
              </w:rPr>
              <w:t>798.455</w:t>
            </w:r>
          </w:p>
        </w:tc>
      </w:tr>
      <w:bookmarkEnd w:id="36"/>
    </w:tbl>
    <w:p w14:paraId="074637FC" w14:textId="77777777" w:rsidR="00816FFC" w:rsidRPr="001F224B" w:rsidRDefault="00816FFC" w:rsidP="005514FC">
      <w:pPr>
        <w:tabs>
          <w:tab w:val="left" w:pos="567"/>
        </w:tabs>
        <w:spacing w:before="120" w:after="120"/>
        <w:ind w:left="709" w:hanging="709"/>
        <w:rPr>
          <w:b/>
          <w:bCs/>
          <w:sz w:val="22"/>
          <w:szCs w:val="22"/>
        </w:rPr>
      </w:pPr>
    </w:p>
    <w:p w14:paraId="0D22C060" w14:textId="77777777" w:rsidR="00816FFC" w:rsidRPr="001F224B" w:rsidRDefault="00816FFC" w:rsidP="005514FC">
      <w:pPr>
        <w:tabs>
          <w:tab w:val="left" w:pos="567"/>
        </w:tabs>
        <w:spacing w:before="120" w:after="120"/>
        <w:ind w:left="709" w:hanging="709"/>
        <w:rPr>
          <w:b/>
          <w:bCs/>
          <w:sz w:val="22"/>
          <w:szCs w:val="22"/>
        </w:rPr>
      </w:pPr>
    </w:p>
    <w:p w14:paraId="333235DE" w14:textId="794AE6F3" w:rsidR="00816FFC" w:rsidRPr="001F224B" w:rsidRDefault="00816FFC" w:rsidP="005514FC">
      <w:pPr>
        <w:tabs>
          <w:tab w:val="left" w:pos="567"/>
        </w:tabs>
        <w:spacing w:before="120" w:after="120"/>
        <w:ind w:left="709" w:hanging="709"/>
        <w:rPr>
          <w:b/>
          <w:bCs/>
          <w:sz w:val="22"/>
          <w:szCs w:val="22"/>
        </w:rPr>
      </w:pPr>
    </w:p>
    <w:p w14:paraId="498AE200" w14:textId="77777777" w:rsidR="00B82146" w:rsidRPr="001F224B" w:rsidRDefault="00B82146" w:rsidP="005514FC">
      <w:pPr>
        <w:tabs>
          <w:tab w:val="left" w:pos="567"/>
        </w:tabs>
        <w:spacing w:before="120" w:after="120"/>
        <w:ind w:left="709" w:hanging="709"/>
        <w:rPr>
          <w:b/>
          <w:bCs/>
          <w:sz w:val="22"/>
          <w:szCs w:val="22"/>
        </w:rPr>
      </w:pPr>
    </w:p>
    <w:p w14:paraId="1DD63EA4" w14:textId="22F4492B" w:rsidR="0033482E" w:rsidRPr="001F224B" w:rsidRDefault="0033482E">
      <w:pPr>
        <w:rPr>
          <w:b/>
          <w:bCs/>
          <w:sz w:val="22"/>
          <w:szCs w:val="22"/>
        </w:rPr>
      </w:pPr>
      <w:r w:rsidRPr="001F224B">
        <w:rPr>
          <w:b/>
          <w:bCs/>
          <w:sz w:val="22"/>
          <w:szCs w:val="22"/>
        </w:rPr>
        <w:br w:type="page"/>
      </w:r>
    </w:p>
    <w:p w14:paraId="4CFC357F" w14:textId="77777777" w:rsidR="00816FFC" w:rsidRPr="001F224B" w:rsidRDefault="00816FFC" w:rsidP="00816FFC">
      <w:pPr>
        <w:pStyle w:val="ListParagraph"/>
        <w:tabs>
          <w:tab w:val="left" w:pos="0"/>
        </w:tabs>
        <w:spacing w:before="120" w:after="120"/>
        <w:ind w:left="0"/>
        <w:rPr>
          <w:b/>
          <w:bCs/>
          <w:sz w:val="22"/>
          <w:szCs w:val="22"/>
        </w:rPr>
      </w:pPr>
      <w:r w:rsidRPr="001F224B">
        <w:rPr>
          <w:b/>
          <w:bCs/>
          <w:sz w:val="22"/>
          <w:szCs w:val="22"/>
        </w:rPr>
        <w:t>BEŞİNCİ BÖLÜM (Devamı)</w:t>
      </w:r>
    </w:p>
    <w:p w14:paraId="029D302B" w14:textId="77777777" w:rsidR="00816FFC" w:rsidRPr="001F224B" w:rsidRDefault="00816FFC" w:rsidP="0033482E">
      <w:pPr>
        <w:pStyle w:val="ListParagraph"/>
        <w:tabs>
          <w:tab w:val="left" w:pos="0"/>
        </w:tabs>
        <w:spacing w:before="120" w:after="120" w:line="230" w:lineRule="auto"/>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634D8BBB" w14:textId="119E0873" w:rsidR="00816FFC" w:rsidRPr="001F224B" w:rsidRDefault="00816FFC" w:rsidP="0033482E">
      <w:pPr>
        <w:pStyle w:val="BodyText3"/>
        <w:numPr>
          <w:ilvl w:val="0"/>
          <w:numId w:val="9"/>
        </w:numPr>
        <w:tabs>
          <w:tab w:val="center" w:pos="0"/>
        </w:tabs>
        <w:spacing w:before="120" w:after="120" w:line="230" w:lineRule="auto"/>
        <w:ind w:left="709"/>
        <w:jc w:val="both"/>
        <w:rPr>
          <w:b/>
          <w:bCs/>
          <w:sz w:val="22"/>
          <w:szCs w:val="22"/>
        </w:rPr>
      </w:pPr>
      <w:r w:rsidRPr="001F224B">
        <w:rPr>
          <w:b/>
          <w:bCs/>
          <w:sz w:val="22"/>
          <w:szCs w:val="22"/>
        </w:rPr>
        <w:t>Konsolide bilançonun pasif hesaplarına ilişkin açıklama ve dipnotlar (Devamı)</w:t>
      </w:r>
    </w:p>
    <w:p w14:paraId="01E16959" w14:textId="683E7B69" w:rsidR="00816FFC" w:rsidRPr="001F224B" w:rsidRDefault="00816FFC" w:rsidP="0033482E">
      <w:pPr>
        <w:pStyle w:val="EndnoteText"/>
        <w:tabs>
          <w:tab w:val="left" w:pos="-2160"/>
          <w:tab w:val="left" w:pos="567"/>
        </w:tabs>
        <w:spacing w:before="120" w:after="120" w:line="230" w:lineRule="auto"/>
        <w:jc w:val="both"/>
        <w:rPr>
          <w:b/>
          <w:bCs/>
          <w:sz w:val="22"/>
          <w:szCs w:val="22"/>
        </w:rPr>
      </w:pPr>
      <w:r w:rsidRPr="001F224B">
        <w:rPr>
          <w:b/>
          <w:bCs/>
          <w:sz w:val="22"/>
          <w:szCs w:val="22"/>
        </w:rPr>
        <w:t>12.</w:t>
      </w:r>
      <w:r w:rsidRPr="001F224B">
        <w:rPr>
          <w:b/>
          <w:bCs/>
          <w:sz w:val="22"/>
          <w:szCs w:val="22"/>
        </w:rPr>
        <w:tab/>
        <w:t>Cari Vergi Borcuna ilişkin bilgiler (Devamı):</w:t>
      </w:r>
    </w:p>
    <w:p w14:paraId="55984A89" w14:textId="5B55B3D9" w:rsidR="00637232" w:rsidRPr="001F224B" w:rsidRDefault="00C93C49" w:rsidP="0033482E">
      <w:pPr>
        <w:tabs>
          <w:tab w:val="left" w:pos="567"/>
        </w:tabs>
        <w:spacing w:before="120" w:after="120" w:line="230" w:lineRule="auto"/>
        <w:ind w:left="709" w:hanging="709"/>
        <w:rPr>
          <w:b/>
          <w:bCs/>
          <w:sz w:val="22"/>
          <w:szCs w:val="22"/>
        </w:rPr>
      </w:pPr>
      <w:r w:rsidRPr="001F224B">
        <w:rPr>
          <w:b/>
          <w:bCs/>
          <w:sz w:val="22"/>
          <w:szCs w:val="22"/>
        </w:rPr>
        <w:t>12</w:t>
      </w:r>
      <w:r w:rsidR="00637232" w:rsidRPr="001F224B">
        <w:rPr>
          <w:b/>
          <w:bCs/>
          <w:sz w:val="22"/>
          <w:szCs w:val="22"/>
        </w:rPr>
        <w:t>.a.3)</w:t>
      </w:r>
      <w:r w:rsidR="00637232" w:rsidRPr="001F224B">
        <w:rPr>
          <w:b/>
          <w:bCs/>
          <w:sz w:val="22"/>
          <w:szCs w:val="22"/>
        </w:rPr>
        <w:tab/>
        <w:t>Primlere ilişkin bilgiler:</w:t>
      </w:r>
    </w:p>
    <w:tbl>
      <w:tblPr>
        <w:tblW w:w="9757"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92"/>
        <w:gridCol w:w="2268"/>
        <w:gridCol w:w="2197"/>
      </w:tblGrid>
      <w:tr w:rsidR="00637232" w:rsidRPr="001F224B" w14:paraId="00FD453D" w14:textId="77777777" w:rsidTr="0033482E">
        <w:trPr>
          <w:trHeight w:val="20"/>
        </w:trPr>
        <w:tc>
          <w:tcPr>
            <w:tcW w:w="5292" w:type="dxa"/>
            <w:shd w:val="clear" w:color="000000" w:fill="FFFFFF"/>
            <w:vAlign w:val="bottom"/>
          </w:tcPr>
          <w:p w14:paraId="4E70415C" w14:textId="77777777" w:rsidR="00637232" w:rsidRPr="001F224B" w:rsidRDefault="00637232" w:rsidP="0033482E">
            <w:pPr>
              <w:spacing w:line="230" w:lineRule="auto"/>
              <w:rPr>
                <w:sz w:val="20"/>
                <w:szCs w:val="20"/>
              </w:rPr>
            </w:pPr>
            <w:r w:rsidRPr="001F224B">
              <w:rPr>
                <w:sz w:val="20"/>
                <w:szCs w:val="20"/>
              </w:rPr>
              <w:t> </w:t>
            </w:r>
          </w:p>
        </w:tc>
        <w:tc>
          <w:tcPr>
            <w:tcW w:w="2268" w:type="dxa"/>
            <w:shd w:val="clear" w:color="000000" w:fill="FFFFFF"/>
            <w:vAlign w:val="bottom"/>
          </w:tcPr>
          <w:p w14:paraId="0F2BFD23" w14:textId="77777777" w:rsidR="004C0676" w:rsidRPr="001F224B" w:rsidRDefault="004C0676" w:rsidP="004C0676">
            <w:pPr>
              <w:jc w:val="center"/>
              <w:rPr>
                <w:b/>
                <w:bCs/>
                <w:sz w:val="20"/>
                <w:szCs w:val="20"/>
              </w:rPr>
            </w:pPr>
            <w:r w:rsidRPr="001F224B">
              <w:rPr>
                <w:b/>
                <w:bCs/>
                <w:sz w:val="20"/>
                <w:szCs w:val="20"/>
              </w:rPr>
              <w:t xml:space="preserve">Cari Dönem </w:t>
            </w:r>
          </w:p>
          <w:p w14:paraId="5F0765A3" w14:textId="7B56D058" w:rsidR="00637232" w:rsidRPr="001F224B" w:rsidRDefault="004C0676" w:rsidP="004C0676">
            <w:pPr>
              <w:spacing w:line="230" w:lineRule="auto"/>
              <w:jc w:val="center"/>
              <w:rPr>
                <w:b/>
                <w:bCs/>
                <w:sz w:val="20"/>
                <w:szCs w:val="20"/>
              </w:rPr>
            </w:pPr>
            <w:r w:rsidRPr="001F224B">
              <w:rPr>
                <w:b/>
                <w:bCs/>
                <w:sz w:val="20"/>
                <w:szCs w:val="20"/>
              </w:rPr>
              <w:t>(3</w:t>
            </w:r>
            <w:r w:rsidR="00C104B4" w:rsidRPr="001F224B">
              <w:rPr>
                <w:b/>
                <w:bCs/>
                <w:sz w:val="20"/>
                <w:szCs w:val="20"/>
              </w:rPr>
              <w:t>0</w:t>
            </w:r>
            <w:r w:rsidRPr="001F224B">
              <w:rPr>
                <w:b/>
                <w:bCs/>
                <w:sz w:val="20"/>
                <w:szCs w:val="20"/>
              </w:rPr>
              <w:t>.</w:t>
            </w:r>
            <w:r w:rsidR="00C01815" w:rsidRPr="001F224B">
              <w:rPr>
                <w:b/>
                <w:bCs/>
                <w:sz w:val="20"/>
                <w:szCs w:val="20"/>
              </w:rPr>
              <w:t>0</w:t>
            </w:r>
            <w:r w:rsidR="00C104B4" w:rsidRPr="001F224B">
              <w:rPr>
                <w:b/>
                <w:bCs/>
                <w:sz w:val="20"/>
                <w:szCs w:val="20"/>
              </w:rPr>
              <w:t>6</w:t>
            </w:r>
            <w:r w:rsidRPr="001F224B">
              <w:rPr>
                <w:b/>
                <w:bCs/>
                <w:sz w:val="20"/>
                <w:szCs w:val="20"/>
              </w:rPr>
              <w:t>.202</w:t>
            </w:r>
            <w:r w:rsidR="00C01815" w:rsidRPr="001F224B">
              <w:rPr>
                <w:b/>
                <w:bCs/>
                <w:sz w:val="20"/>
                <w:szCs w:val="20"/>
              </w:rPr>
              <w:t>5</w:t>
            </w:r>
            <w:r w:rsidRPr="001F224B">
              <w:rPr>
                <w:b/>
                <w:bCs/>
                <w:sz w:val="20"/>
                <w:szCs w:val="20"/>
              </w:rPr>
              <w:t>)</w:t>
            </w:r>
          </w:p>
        </w:tc>
        <w:tc>
          <w:tcPr>
            <w:tcW w:w="2197" w:type="dxa"/>
            <w:shd w:val="clear" w:color="000000" w:fill="FFFFFF"/>
            <w:vAlign w:val="bottom"/>
          </w:tcPr>
          <w:p w14:paraId="39D30791" w14:textId="77777777" w:rsidR="00637232" w:rsidRPr="001F224B" w:rsidRDefault="00637232" w:rsidP="0033482E">
            <w:pPr>
              <w:spacing w:line="230" w:lineRule="auto"/>
              <w:jc w:val="center"/>
              <w:rPr>
                <w:b/>
                <w:bCs/>
                <w:sz w:val="20"/>
                <w:szCs w:val="20"/>
              </w:rPr>
            </w:pPr>
            <w:r w:rsidRPr="001F224B">
              <w:rPr>
                <w:b/>
                <w:bCs/>
                <w:sz w:val="20"/>
                <w:szCs w:val="20"/>
              </w:rPr>
              <w:t>Önceki Dönem</w:t>
            </w:r>
          </w:p>
          <w:p w14:paraId="6FD607FC" w14:textId="7ACA76AD" w:rsidR="00637232" w:rsidRPr="001F224B" w:rsidRDefault="00637232" w:rsidP="0033482E">
            <w:pPr>
              <w:spacing w:line="230" w:lineRule="auto"/>
              <w:jc w:val="center"/>
              <w:rPr>
                <w:b/>
                <w:bCs/>
                <w:sz w:val="20"/>
                <w:szCs w:val="20"/>
              </w:rPr>
            </w:pPr>
            <w:r w:rsidRPr="001F224B">
              <w:rPr>
                <w:b/>
                <w:bCs/>
                <w:sz w:val="20"/>
                <w:szCs w:val="20"/>
              </w:rPr>
              <w:t>(31.12.20</w:t>
            </w:r>
            <w:r w:rsidR="00AC6F87" w:rsidRPr="001F224B">
              <w:rPr>
                <w:b/>
                <w:bCs/>
                <w:sz w:val="20"/>
                <w:szCs w:val="20"/>
              </w:rPr>
              <w:t>2</w:t>
            </w:r>
            <w:r w:rsidR="00C01815" w:rsidRPr="001F224B">
              <w:rPr>
                <w:b/>
                <w:bCs/>
                <w:sz w:val="20"/>
                <w:szCs w:val="20"/>
              </w:rPr>
              <w:t>4</w:t>
            </w:r>
            <w:r w:rsidRPr="001F224B">
              <w:rPr>
                <w:b/>
                <w:bCs/>
                <w:sz w:val="20"/>
                <w:szCs w:val="20"/>
              </w:rPr>
              <w:t>)</w:t>
            </w:r>
          </w:p>
        </w:tc>
      </w:tr>
      <w:tr w:rsidR="00D17AD3" w:rsidRPr="001F224B" w14:paraId="49BF3DD9" w14:textId="77777777" w:rsidTr="00D17AD3">
        <w:trPr>
          <w:trHeight w:val="20"/>
        </w:trPr>
        <w:tc>
          <w:tcPr>
            <w:tcW w:w="5292" w:type="dxa"/>
            <w:shd w:val="clear" w:color="000000" w:fill="FFFFFF"/>
            <w:vAlign w:val="bottom"/>
          </w:tcPr>
          <w:p w14:paraId="0F55DDD9" w14:textId="77777777" w:rsidR="00D17AD3" w:rsidRPr="001F224B" w:rsidRDefault="00D17AD3" w:rsidP="00D17AD3">
            <w:pPr>
              <w:spacing w:line="230" w:lineRule="auto"/>
              <w:rPr>
                <w:sz w:val="20"/>
                <w:szCs w:val="20"/>
              </w:rPr>
            </w:pPr>
            <w:r w:rsidRPr="001F224B">
              <w:rPr>
                <w:sz w:val="20"/>
                <w:szCs w:val="20"/>
              </w:rPr>
              <w:t>Sosyal Sigorta Primleri Personel</w:t>
            </w:r>
          </w:p>
        </w:tc>
        <w:tc>
          <w:tcPr>
            <w:tcW w:w="2268" w:type="dxa"/>
            <w:shd w:val="clear" w:color="000000" w:fill="FFFFFF"/>
            <w:vAlign w:val="bottom"/>
          </w:tcPr>
          <w:p w14:paraId="6C2C9982" w14:textId="72723F1E" w:rsidR="00D17AD3" w:rsidRPr="001F224B" w:rsidRDefault="00D17AD3" w:rsidP="00D17AD3">
            <w:pPr>
              <w:spacing w:line="230" w:lineRule="auto"/>
              <w:jc w:val="right"/>
              <w:rPr>
                <w:color w:val="000000"/>
                <w:sz w:val="20"/>
                <w:szCs w:val="20"/>
              </w:rPr>
            </w:pPr>
            <w:r w:rsidRPr="001F224B">
              <w:rPr>
                <w:color w:val="000000"/>
                <w:sz w:val="20"/>
                <w:szCs w:val="20"/>
              </w:rPr>
              <w:t>9.305</w:t>
            </w:r>
          </w:p>
        </w:tc>
        <w:tc>
          <w:tcPr>
            <w:tcW w:w="2197" w:type="dxa"/>
            <w:shd w:val="clear" w:color="000000" w:fill="FFFFFF"/>
            <w:vAlign w:val="center"/>
          </w:tcPr>
          <w:p w14:paraId="060A071B" w14:textId="22FB528D" w:rsidR="00D17AD3" w:rsidRPr="001F224B" w:rsidRDefault="00D17AD3" w:rsidP="00D17AD3">
            <w:pPr>
              <w:spacing w:line="230" w:lineRule="auto"/>
              <w:jc w:val="right"/>
              <w:rPr>
                <w:sz w:val="20"/>
                <w:szCs w:val="20"/>
              </w:rPr>
            </w:pPr>
            <w:r w:rsidRPr="001F224B">
              <w:rPr>
                <w:color w:val="000000"/>
                <w:sz w:val="20"/>
                <w:szCs w:val="20"/>
              </w:rPr>
              <w:t>6.949</w:t>
            </w:r>
          </w:p>
        </w:tc>
      </w:tr>
      <w:tr w:rsidR="00D17AD3" w:rsidRPr="001F224B" w14:paraId="45B7AC0B" w14:textId="77777777" w:rsidTr="00D17AD3">
        <w:trPr>
          <w:trHeight w:val="20"/>
        </w:trPr>
        <w:tc>
          <w:tcPr>
            <w:tcW w:w="5292" w:type="dxa"/>
            <w:shd w:val="clear" w:color="000000" w:fill="FFFFFF"/>
            <w:vAlign w:val="bottom"/>
          </w:tcPr>
          <w:p w14:paraId="48B479A9" w14:textId="77777777" w:rsidR="00D17AD3" w:rsidRPr="001F224B" w:rsidRDefault="00D17AD3" w:rsidP="00D17AD3">
            <w:pPr>
              <w:spacing w:line="230" w:lineRule="auto"/>
              <w:rPr>
                <w:sz w:val="20"/>
                <w:szCs w:val="20"/>
              </w:rPr>
            </w:pPr>
            <w:r w:rsidRPr="001F224B">
              <w:rPr>
                <w:sz w:val="20"/>
                <w:szCs w:val="20"/>
              </w:rPr>
              <w:t>Sosyal Sigorta Primleri İşveren</w:t>
            </w:r>
          </w:p>
        </w:tc>
        <w:tc>
          <w:tcPr>
            <w:tcW w:w="2268" w:type="dxa"/>
            <w:shd w:val="clear" w:color="000000" w:fill="FFFFFF"/>
            <w:vAlign w:val="bottom"/>
          </w:tcPr>
          <w:p w14:paraId="4EAC1B57" w14:textId="3C6B68FD" w:rsidR="00D17AD3" w:rsidRPr="001F224B" w:rsidRDefault="00D17AD3" w:rsidP="00D17AD3">
            <w:pPr>
              <w:spacing w:line="230" w:lineRule="auto"/>
              <w:jc w:val="right"/>
              <w:rPr>
                <w:color w:val="000000"/>
                <w:sz w:val="20"/>
                <w:szCs w:val="20"/>
              </w:rPr>
            </w:pPr>
            <w:r w:rsidRPr="001F224B">
              <w:rPr>
                <w:color w:val="000000"/>
                <w:sz w:val="20"/>
                <w:szCs w:val="20"/>
              </w:rPr>
              <w:t>12.552</w:t>
            </w:r>
          </w:p>
        </w:tc>
        <w:tc>
          <w:tcPr>
            <w:tcW w:w="2197" w:type="dxa"/>
            <w:shd w:val="clear" w:color="000000" w:fill="FFFFFF"/>
            <w:vAlign w:val="center"/>
          </w:tcPr>
          <w:p w14:paraId="3BA1B55E" w14:textId="2E7BF70B" w:rsidR="00D17AD3" w:rsidRPr="001F224B" w:rsidRDefault="00D17AD3" w:rsidP="00D17AD3">
            <w:pPr>
              <w:spacing w:line="230" w:lineRule="auto"/>
              <w:jc w:val="right"/>
              <w:rPr>
                <w:sz w:val="20"/>
                <w:szCs w:val="20"/>
              </w:rPr>
            </w:pPr>
            <w:r w:rsidRPr="001F224B">
              <w:rPr>
                <w:color w:val="000000"/>
                <w:sz w:val="20"/>
                <w:szCs w:val="20"/>
              </w:rPr>
              <w:t>9.406</w:t>
            </w:r>
          </w:p>
        </w:tc>
      </w:tr>
      <w:tr w:rsidR="00D17AD3" w:rsidRPr="001F224B" w14:paraId="142A11E6" w14:textId="77777777" w:rsidTr="00D17AD3">
        <w:trPr>
          <w:trHeight w:val="20"/>
        </w:trPr>
        <w:tc>
          <w:tcPr>
            <w:tcW w:w="5292" w:type="dxa"/>
            <w:shd w:val="clear" w:color="000000" w:fill="FFFFFF"/>
            <w:vAlign w:val="bottom"/>
          </w:tcPr>
          <w:p w14:paraId="324FF41E" w14:textId="77777777" w:rsidR="00D17AD3" w:rsidRPr="001F224B" w:rsidRDefault="00D17AD3" w:rsidP="00D17AD3">
            <w:pPr>
              <w:spacing w:line="230" w:lineRule="auto"/>
              <w:rPr>
                <w:sz w:val="20"/>
                <w:szCs w:val="20"/>
              </w:rPr>
            </w:pPr>
            <w:r w:rsidRPr="001F224B">
              <w:rPr>
                <w:sz w:val="20"/>
                <w:szCs w:val="20"/>
              </w:rPr>
              <w:t>Banka Sosyal Yardım Sandığı Primleri Personel</w:t>
            </w:r>
          </w:p>
        </w:tc>
        <w:tc>
          <w:tcPr>
            <w:tcW w:w="2268" w:type="dxa"/>
            <w:shd w:val="clear" w:color="000000" w:fill="FFFFFF"/>
            <w:vAlign w:val="bottom"/>
          </w:tcPr>
          <w:p w14:paraId="4054FFBC" w14:textId="240D9AA2" w:rsidR="00D17AD3" w:rsidRPr="001F224B" w:rsidRDefault="00D17AD3" w:rsidP="00D17AD3">
            <w:pPr>
              <w:spacing w:line="230" w:lineRule="auto"/>
              <w:jc w:val="right"/>
              <w:rPr>
                <w:color w:val="000000"/>
                <w:sz w:val="20"/>
                <w:szCs w:val="20"/>
              </w:rPr>
            </w:pPr>
            <w:r w:rsidRPr="001F224B">
              <w:rPr>
                <w:sz w:val="20"/>
                <w:szCs w:val="20"/>
              </w:rPr>
              <w:t>-</w:t>
            </w:r>
          </w:p>
        </w:tc>
        <w:tc>
          <w:tcPr>
            <w:tcW w:w="2197" w:type="dxa"/>
            <w:shd w:val="clear" w:color="000000" w:fill="FFFFFF"/>
            <w:vAlign w:val="center"/>
          </w:tcPr>
          <w:p w14:paraId="17E3AB29" w14:textId="6206CBEA" w:rsidR="00D17AD3" w:rsidRPr="001F224B" w:rsidRDefault="00D17AD3" w:rsidP="00D17AD3">
            <w:pPr>
              <w:spacing w:line="230" w:lineRule="auto"/>
              <w:jc w:val="right"/>
              <w:rPr>
                <w:sz w:val="20"/>
                <w:szCs w:val="20"/>
              </w:rPr>
            </w:pPr>
            <w:r w:rsidRPr="001F224B">
              <w:rPr>
                <w:sz w:val="20"/>
                <w:szCs w:val="20"/>
              </w:rPr>
              <w:t>-</w:t>
            </w:r>
          </w:p>
        </w:tc>
      </w:tr>
      <w:tr w:rsidR="00D17AD3" w:rsidRPr="001F224B" w14:paraId="26E84CE2" w14:textId="77777777" w:rsidTr="00D17AD3">
        <w:trPr>
          <w:trHeight w:val="20"/>
        </w:trPr>
        <w:tc>
          <w:tcPr>
            <w:tcW w:w="5292" w:type="dxa"/>
            <w:shd w:val="clear" w:color="000000" w:fill="FFFFFF"/>
            <w:vAlign w:val="bottom"/>
          </w:tcPr>
          <w:p w14:paraId="2CFD5B67" w14:textId="77777777" w:rsidR="00D17AD3" w:rsidRPr="001F224B" w:rsidRDefault="00D17AD3" w:rsidP="00D17AD3">
            <w:pPr>
              <w:spacing w:line="230" w:lineRule="auto"/>
              <w:rPr>
                <w:sz w:val="20"/>
                <w:szCs w:val="20"/>
              </w:rPr>
            </w:pPr>
            <w:r w:rsidRPr="001F224B">
              <w:rPr>
                <w:sz w:val="20"/>
                <w:szCs w:val="20"/>
              </w:rPr>
              <w:t>Banka Sosyal Yardım Sandığı Primleri İşveren</w:t>
            </w:r>
          </w:p>
        </w:tc>
        <w:tc>
          <w:tcPr>
            <w:tcW w:w="2268" w:type="dxa"/>
            <w:shd w:val="clear" w:color="000000" w:fill="FFFFFF"/>
            <w:vAlign w:val="bottom"/>
          </w:tcPr>
          <w:p w14:paraId="0EA856C3" w14:textId="33E4859C" w:rsidR="00D17AD3" w:rsidRPr="001F224B" w:rsidRDefault="00D17AD3" w:rsidP="00D17AD3">
            <w:pPr>
              <w:spacing w:line="230" w:lineRule="auto"/>
              <w:jc w:val="right"/>
              <w:rPr>
                <w:color w:val="000000"/>
                <w:sz w:val="20"/>
                <w:szCs w:val="20"/>
              </w:rPr>
            </w:pPr>
            <w:r w:rsidRPr="001F224B">
              <w:rPr>
                <w:sz w:val="20"/>
                <w:szCs w:val="20"/>
              </w:rPr>
              <w:t>-</w:t>
            </w:r>
          </w:p>
        </w:tc>
        <w:tc>
          <w:tcPr>
            <w:tcW w:w="2197" w:type="dxa"/>
            <w:shd w:val="clear" w:color="000000" w:fill="FFFFFF"/>
            <w:vAlign w:val="center"/>
          </w:tcPr>
          <w:p w14:paraId="6B15303C" w14:textId="0C6E0E80" w:rsidR="00D17AD3" w:rsidRPr="001F224B" w:rsidRDefault="00D17AD3" w:rsidP="00D17AD3">
            <w:pPr>
              <w:spacing w:line="230" w:lineRule="auto"/>
              <w:jc w:val="right"/>
              <w:rPr>
                <w:sz w:val="20"/>
                <w:szCs w:val="20"/>
              </w:rPr>
            </w:pPr>
            <w:r w:rsidRPr="001F224B">
              <w:rPr>
                <w:sz w:val="20"/>
                <w:szCs w:val="20"/>
              </w:rPr>
              <w:t>-</w:t>
            </w:r>
          </w:p>
        </w:tc>
      </w:tr>
      <w:tr w:rsidR="00D17AD3" w:rsidRPr="001F224B" w14:paraId="39F093CE" w14:textId="77777777" w:rsidTr="00D17AD3">
        <w:trPr>
          <w:trHeight w:val="20"/>
        </w:trPr>
        <w:tc>
          <w:tcPr>
            <w:tcW w:w="5292" w:type="dxa"/>
            <w:shd w:val="clear" w:color="000000" w:fill="FFFFFF"/>
            <w:vAlign w:val="bottom"/>
          </w:tcPr>
          <w:p w14:paraId="38DA40E9" w14:textId="77777777" w:rsidR="00D17AD3" w:rsidRPr="001F224B" w:rsidRDefault="00D17AD3" w:rsidP="00D17AD3">
            <w:pPr>
              <w:spacing w:line="230" w:lineRule="auto"/>
              <w:rPr>
                <w:sz w:val="20"/>
                <w:szCs w:val="20"/>
              </w:rPr>
            </w:pPr>
            <w:r w:rsidRPr="001F224B">
              <w:rPr>
                <w:sz w:val="20"/>
                <w:szCs w:val="20"/>
              </w:rPr>
              <w:t>Emekli Sandığı Aidatı ve Karşılıkları Personel</w:t>
            </w:r>
          </w:p>
        </w:tc>
        <w:tc>
          <w:tcPr>
            <w:tcW w:w="2268" w:type="dxa"/>
            <w:shd w:val="clear" w:color="000000" w:fill="FFFFFF"/>
            <w:vAlign w:val="bottom"/>
          </w:tcPr>
          <w:p w14:paraId="27F8F713" w14:textId="00B70620" w:rsidR="00D17AD3" w:rsidRPr="001F224B" w:rsidRDefault="00D17AD3" w:rsidP="00D17AD3">
            <w:pPr>
              <w:spacing w:line="230" w:lineRule="auto"/>
              <w:jc w:val="right"/>
              <w:rPr>
                <w:color w:val="000000"/>
                <w:sz w:val="20"/>
                <w:szCs w:val="20"/>
              </w:rPr>
            </w:pPr>
            <w:r w:rsidRPr="001F224B">
              <w:rPr>
                <w:color w:val="000000"/>
                <w:sz w:val="20"/>
                <w:szCs w:val="20"/>
              </w:rPr>
              <w:t>132</w:t>
            </w:r>
          </w:p>
        </w:tc>
        <w:tc>
          <w:tcPr>
            <w:tcW w:w="2197" w:type="dxa"/>
            <w:shd w:val="clear" w:color="000000" w:fill="FFFFFF"/>
            <w:vAlign w:val="center"/>
          </w:tcPr>
          <w:p w14:paraId="152B51DF" w14:textId="29671B67" w:rsidR="00D17AD3" w:rsidRPr="001F224B" w:rsidRDefault="00D17AD3" w:rsidP="00D17AD3">
            <w:pPr>
              <w:spacing w:line="230" w:lineRule="auto"/>
              <w:jc w:val="right"/>
              <w:rPr>
                <w:sz w:val="20"/>
                <w:szCs w:val="20"/>
              </w:rPr>
            </w:pPr>
            <w:r w:rsidRPr="001F224B">
              <w:rPr>
                <w:color w:val="000000"/>
                <w:sz w:val="20"/>
                <w:szCs w:val="20"/>
              </w:rPr>
              <w:t>118</w:t>
            </w:r>
          </w:p>
        </w:tc>
      </w:tr>
      <w:tr w:rsidR="00D17AD3" w:rsidRPr="001F224B" w14:paraId="7BB2DCB4" w14:textId="77777777" w:rsidTr="00D17AD3">
        <w:trPr>
          <w:trHeight w:val="20"/>
        </w:trPr>
        <w:tc>
          <w:tcPr>
            <w:tcW w:w="5292" w:type="dxa"/>
            <w:shd w:val="clear" w:color="000000" w:fill="FFFFFF"/>
            <w:vAlign w:val="bottom"/>
          </w:tcPr>
          <w:p w14:paraId="5D631DBA" w14:textId="77777777" w:rsidR="00D17AD3" w:rsidRPr="001F224B" w:rsidRDefault="00D17AD3" w:rsidP="00D17AD3">
            <w:pPr>
              <w:spacing w:line="230" w:lineRule="auto"/>
              <w:rPr>
                <w:sz w:val="20"/>
                <w:szCs w:val="20"/>
              </w:rPr>
            </w:pPr>
            <w:r w:rsidRPr="001F224B">
              <w:rPr>
                <w:sz w:val="20"/>
                <w:szCs w:val="20"/>
              </w:rPr>
              <w:t>Emekli Sandığı Aidatı ve Karşılıkları İşveren</w:t>
            </w:r>
          </w:p>
        </w:tc>
        <w:tc>
          <w:tcPr>
            <w:tcW w:w="2268" w:type="dxa"/>
            <w:shd w:val="clear" w:color="000000" w:fill="FFFFFF"/>
            <w:vAlign w:val="bottom"/>
          </w:tcPr>
          <w:p w14:paraId="3E7844E2" w14:textId="3076467E" w:rsidR="00D17AD3" w:rsidRPr="001F224B" w:rsidRDefault="00D17AD3" w:rsidP="00D17AD3">
            <w:pPr>
              <w:spacing w:line="230" w:lineRule="auto"/>
              <w:jc w:val="right"/>
              <w:rPr>
                <w:color w:val="000000"/>
                <w:sz w:val="20"/>
                <w:szCs w:val="20"/>
              </w:rPr>
            </w:pPr>
            <w:r w:rsidRPr="001F224B">
              <w:rPr>
                <w:color w:val="000000"/>
                <w:sz w:val="20"/>
                <w:szCs w:val="20"/>
              </w:rPr>
              <w:t>165</w:t>
            </w:r>
          </w:p>
        </w:tc>
        <w:tc>
          <w:tcPr>
            <w:tcW w:w="2197" w:type="dxa"/>
            <w:shd w:val="clear" w:color="000000" w:fill="FFFFFF"/>
            <w:vAlign w:val="center"/>
          </w:tcPr>
          <w:p w14:paraId="26F7638D" w14:textId="6B4A8257" w:rsidR="00D17AD3" w:rsidRPr="001F224B" w:rsidRDefault="00D17AD3" w:rsidP="00D17AD3">
            <w:pPr>
              <w:spacing w:line="230" w:lineRule="auto"/>
              <w:jc w:val="right"/>
              <w:rPr>
                <w:sz w:val="20"/>
                <w:szCs w:val="20"/>
              </w:rPr>
            </w:pPr>
            <w:r w:rsidRPr="001F224B">
              <w:rPr>
                <w:color w:val="000000"/>
                <w:sz w:val="20"/>
                <w:szCs w:val="20"/>
              </w:rPr>
              <w:t>148</w:t>
            </w:r>
          </w:p>
        </w:tc>
      </w:tr>
      <w:tr w:rsidR="00D17AD3" w:rsidRPr="001F224B" w14:paraId="7407037C" w14:textId="77777777" w:rsidTr="00D17AD3">
        <w:trPr>
          <w:trHeight w:val="20"/>
        </w:trPr>
        <w:tc>
          <w:tcPr>
            <w:tcW w:w="5292" w:type="dxa"/>
            <w:shd w:val="clear" w:color="000000" w:fill="FFFFFF"/>
            <w:vAlign w:val="bottom"/>
          </w:tcPr>
          <w:p w14:paraId="17C9E658" w14:textId="77777777" w:rsidR="00D17AD3" w:rsidRPr="001F224B" w:rsidRDefault="00D17AD3" w:rsidP="00D17AD3">
            <w:pPr>
              <w:spacing w:line="230" w:lineRule="auto"/>
              <w:rPr>
                <w:sz w:val="20"/>
                <w:szCs w:val="20"/>
              </w:rPr>
            </w:pPr>
            <w:r w:rsidRPr="001F224B">
              <w:rPr>
                <w:sz w:val="20"/>
                <w:szCs w:val="20"/>
              </w:rPr>
              <w:t>İşsizlik Sigortası Personel</w:t>
            </w:r>
          </w:p>
        </w:tc>
        <w:tc>
          <w:tcPr>
            <w:tcW w:w="2268" w:type="dxa"/>
            <w:shd w:val="clear" w:color="000000" w:fill="FFFFFF"/>
            <w:vAlign w:val="bottom"/>
          </w:tcPr>
          <w:p w14:paraId="379688AC" w14:textId="433BF62E" w:rsidR="00D17AD3" w:rsidRPr="001F224B" w:rsidRDefault="00D17AD3" w:rsidP="00D17AD3">
            <w:pPr>
              <w:spacing w:line="230" w:lineRule="auto"/>
              <w:jc w:val="right"/>
              <w:rPr>
                <w:color w:val="000000"/>
                <w:sz w:val="20"/>
                <w:szCs w:val="20"/>
              </w:rPr>
            </w:pPr>
            <w:r w:rsidRPr="001F224B">
              <w:rPr>
                <w:color w:val="000000"/>
                <w:sz w:val="20"/>
                <w:szCs w:val="20"/>
              </w:rPr>
              <w:t>605</w:t>
            </w:r>
          </w:p>
        </w:tc>
        <w:tc>
          <w:tcPr>
            <w:tcW w:w="2197" w:type="dxa"/>
            <w:shd w:val="clear" w:color="000000" w:fill="FFFFFF"/>
            <w:vAlign w:val="center"/>
          </w:tcPr>
          <w:p w14:paraId="25060BFF" w14:textId="09B9E444" w:rsidR="00D17AD3" w:rsidRPr="001F224B" w:rsidRDefault="00D17AD3" w:rsidP="00D17AD3">
            <w:pPr>
              <w:spacing w:line="230" w:lineRule="auto"/>
              <w:jc w:val="right"/>
              <w:rPr>
                <w:sz w:val="20"/>
                <w:szCs w:val="20"/>
              </w:rPr>
            </w:pPr>
            <w:r w:rsidRPr="001F224B">
              <w:rPr>
                <w:color w:val="000000"/>
                <w:sz w:val="20"/>
                <w:szCs w:val="20"/>
              </w:rPr>
              <w:t>453</w:t>
            </w:r>
          </w:p>
        </w:tc>
      </w:tr>
      <w:tr w:rsidR="00D17AD3" w:rsidRPr="001F224B" w14:paraId="0598400C" w14:textId="77777777" w:rsidTr="00D17AD3">
        <w:trPr>
          <w:trHeight w:val="20"/>
        </w:trPr>
        <w:tc>
          <w:tcPr>
            <w:tcW w:w="5292" w:type="dxa"/>
            <w:shd w:val="clear" w:color="000000" w:fill="FFFFFF"/>
            <w:vAlign w:val="bottom"/>
          </w:tcPr>
          <w:p w14:paraId="4C1DA1AF" w14:textId="77777777" w:rsidR="00D17AD3" w:rsidRPr="001F224B" w:rsidRDefault="00D17AD3" w:rsidP="00D17AD3">
            <w:pPr>
              <w:spacing w:line="230" w:lineRule="auto"/>
              <w:rPr>
                <w:sz w:val="20"/>
                <w:szCs w:val="20"/>
              </w:rPr>
            </w:pPr>
            <w:r w:rsidRPr="001F224B">
              <w:rPr>
                <w:sz w:val="20"/>
                <w:szCs w:val="20"/>
              </w:rPr>
              <w:t>İşsizlik Sigortası İşveren</w:t>
            </w:r>
          </w:p>
        </w:tc>
        <w:tc>
          <w:tcPr>
            <w:tcW w:w="2268" w:type="dxa"/>
            <w:shd w:val="clear" w:color="000000" w:fill="FFFFFF"/>
            <w:vAlign w:val="bottom"/>
          </w:tcPr>
          <w:p w14:paraId="27D0974F" w14:textId="75799E51" w:rsidR="00D17AD3" w:rsidRPr="001F224B" w:rsidRDefault="00D17AD3" w:rsidP="00D17AD3">
            <w:pPr>
              <w:spacing w:line="230" w:lineRule="auto"/>
              <w:jc w:val="right"/>
              <w:rPr>
                <w:color w:val="000000"/>
                <w:sz w:val="20"/>
                <w:szCs w:val="20"/>
              </w:rPr>
            </w:pPr>
            <w:r w:rsidRPr="001F224B">
              <w:rPr>
                <w:color w:val="000000"/>
                <w:sz w:val="20"/>
                <w:szCs w:val="20"/>
              </w:rPr>
              <w:t>1.281</w:t>
            </w:r>
          </w:p>
        </w:tc>
        <w:tc>
          <w:tcPr>
            <w:tcW w:w="2197" w:type="dxa"/>
            <w:shd w:val="clear" w:color="000000" w:fill="FFFFFF"/>
            <w:vAlign w:val="center"/>
          </w:tcPr>
          <w:p w14:paraId="08497849" w14:textId="562B1B5F" w:rsidR="00D17AD3" w:rsidRPr="001F224B" w:rsidRDefault="00D17AD3" w:rsidP="00D17AD3">
            <w:pPr>
              <w:spacing w:line="230" w:lineRule="auto"/>
              <w:jc w:val="right"/>
              <w:rPr>
                <w:sz w:val="20"/>
                <w:szCs w:val="20"/>
              </w:rPr>
            </w:pPr>
            <w:r w:rsidRPr="001F224B">
              <w:rPr>
                <w:color w:val="000000"/>
                <w:sz w:val="20"/>
                <w:szCs w:val="20"/>
              </w:rPr>
              <w:t>959</w:t>
            </w:r>
          </w:p>
        </w:tc>
      </w:tr>
      <w:tr w:rsidR="00D17AD3" w:rsidRPr="001F224B" w14:paraId="3F0E50CF" w14:textId="77777777" w:rsidTr="00D17AD3">
        <w:trPr>
          <w:trHeight w:val="20"/>
        </w:trPr>
        <w:tc>
          <w:tcPr>
            <w:tcW w:w="5292" w:type="dxa"/>
            <w:shd w:val="clear" w:color="000000" w:fill="FFFFFF"/>
            <w:vAlign w:val="bottom"/>
          </w:tcPr>
          <w:p w14:paraId="3CDDB053" w14:textId="77777777" w:rsidR="00D17AD3" w:rsidRPr="001F224B" w:rsidRDefault="00D17AD3" w:rsidP="00D17AD3">
            <w:pPr>
              <w:spacing w:line="230" w:lineRule="auto"/>
              <w:rPr>
                <w:sz w:val="20"/>
                <w:szCs w:val="20"/>
              </w:rPr>
            </w:pPr>
            <w:r w:rsidRPr="001F224B">
              <w:rPr>
                <w:sz w:val="20"/>
                <w:szCs w:val="20"/>
              </w:rPr>
              <w:t>Diğer</w:t>
            </w:r>
          </w:p>
        </w:tc>
        <w:tc>
          <w:tcPr>
            <w:tcW w:w="2268" w:type="dxa"/>
            <w:shd w:val="clear" w:color="000000" w:fill="FFFFFF"/>
            <w:vAlign w:val="bottom"/>
          </w:tcPr>
          <w:p w14:paraId="1FC24130" w14:textId="1725B108" w:rsidR="00D17AD3" w:rsidRPr="001F224B" w:rsidRDefault="00D17AD3" w:rsidP="00D17AD3">
            <w:pPr>
              <w:spacing w:line="230" w:lineRule="auto"/>
              <w:jc w:val="right"/>
              <w:rPr>
                <w:color w:val="000000"/>
                <w:sz w:val="20"/>
                <w:szCs w:val="20"/>
              </w:rPr>
            </w:pPr>
            <w:r w:rsidRPr="001F224B">
              <w:rPr>
                <w:color w:val="000000"/>
                <w:sz w:val="20"/>
                <w:szCs w:val="20"/>
              </w:rPr>
              <w:t>101</w:t>
            </w:r>
          </w:p>
        </w:tc>
        <w:tc>
          <w:tcPr>
            <w:tcW w:w="2197" w:type="dxa"/>
            <w:shd w:val="clear" w:color="000000" w:fill="FFFFFF"/>
            <w:vAlign w:val="center"/>
          </w:tcPr>
          <w:p w14:paraId="7A4B8A87" w14:textId="1A1ED24F" w:rsidR="00D17AD3" w:rsidRPr="001F224B" w:rsidRDefault="00D17AD3" w:rsidP="00D17AD3">
            <w:pPr>
              <w:spacing w:line="230" w:lineRule="auto"/>
              <w:jc w:val="right"/>
              <w:rPr>
                <w:sz w:val="20"/>
                <w:szCs w:val="20"/>
              </w:rPr>
            </w:pPr>
            <w:r w:rsidRPr="001F224B">
              <w:rPr>
                <w:color w:val="000000"/>
                <w:sz w:val="20"/>
                <w:szCs w:val="20"/>
              </w:rPr>
              <w:t>91</w:t>
            </w:r>
          </w:p>
        </w:tc>
      </w:tr>
      <w:tr w:rsidR="00D17AD3" w:rsidRPr="001F224B" w14:paraId="48F37115" w14:textId="77777777" w:rsidTr="00D17AD3">
        <w:trPr>
          <w:trHeight w:val="20"/>
        </w:trPr>
        <w:tc>
          <w:tcPr>
            <w:tcW w:w="5292" w:type="dxa"/>
            <w:shd w:val="clear" w:color="000000" w:fill="FFFFFF"/>
            <w:vAlign w:val="bottom"/>
          </w:tcPr>
          <w:p w14:paraId="233EE11B" w14:textId="77777777" w:rsidR="00D17AD3" w:rsidRPr="001F224B" w:rsidRDefault="00D17AD3" w:rsidP="00D17AD3">
            <w:pPr>
              <w:spacing w:line="230" w:lineRule="auto"/>
              <w:rPr>
                <w:b/>
                <w:sz w:val="20"/>
                <w:szCs w:val="20"/>
              </w:rPr>
            </w:pPr>
            <w:r w:rsidRPr="001F224B">
              <w:rPr>
                <w:b/>
                <w:sz w:val="20"/>
                <w:szCs w:val="20"/>
              </w:rPr>
              <w:t>Toplam</w:t>
            </w:r>
          </w:p>
        </w:tc>
        <w:tc>
          <w:tcPr>
            <w:tcW w:w="2268" w:type="dxa"/>
            <w:shd w:val="clear" w:color="000000" w:fill="FFFFFF"/>
            <w:vAlign w:val="bottom"/>
          </w:tcPr>
          <w:p w14:paraId="3E4E7C5C" w14:textId="0EA5275F" w:rsidR="00D17AD3" w:rsidRPr="001F224B" w:rsidRDefault="00D17AD3" w:rsidP="00D17AD3">
            <w:pPr>
              <w:spacing w:line="230" w:lineRule="auto"/>
              <w:jc w:val="right"/>
              <w:rPr>
                <w:b/>
                <w:bCs/>
                <w:color w:val="000000"/>
                <w:sz w:val="20"/>
                <w:szCs w:val="20"/>
              </w:rPr>
            </w:pPr>
            <w:r w:rsidRPr="001F224B">
              <w:rPr>
                <w:b/>
                <w:bCs/>
                <w:color w:val="000000"/>
                <w:sz w:val="20"/>
                <w:szCs w:val="20"/>
              </w:rPr>
              <w:t>24.141</w:t>
            </w:r>
          </w:p>
        </w:tc>
        <w:tc>
          <w:tcPr>
            <w:tcW w:w="2197" w:type="dxa"/>
            <w:shd w:val="clear" w:color="000000" w:fill="FFFFFF"/>
            <w:vAlign w:val="center"/>
          </w:tcPr>
          <w:p w14:paraId="6405AE0F" w14:textId="0982AAD7" w:rsidR="00D17AD3" w:rsidRPr="001F224B" w:rsidRDefault="00D17AD3" w:rsidP="00D17AD3">
            <w:pPr>
              <w:spacing w:line="230" w:lineRule="auto"/>
              <w:jc w:val="right"/>
              <w:rPr>
                <w:b/>
                <w:sz w:val="20"/>
                <w:szCs w:val="20"/>
              </w:rPr>
            </w:pPr>
            <w:r w:rsidRPr="001F224B">
              <w:rPr>
                <w:b/>
                <w:bCs/>
                <w:color w:val="000000"/>
                <w:sz w:val="20"/>
                <w:szCs w:val="20"/>
              </w:rPr>
              <w:t>18.124</w:t>
            </w:r>
          </w:p>
        </w:tc>
      </w:tr>
    </w:tbl>
    <w:p w14:paraId="54D3425B" w14:textId="77777777" w:rsidR="00315FAA" w:rsidRPr="001F224B" w:rsidRDefault="00315FAA" w:rsidP="0033482E">
      <w:pPr>
        <w:tabs>
          <w:tab w:val="left" w:pos="567"/>
        </w:tabs>
        <w:spacing w:before="120" w:after="120" w:line="230" w:lineRule="auto"/>
        <w:jc w:val="both"/>
        <w:rPr>
          <w:rFonts w:eastAsia="Arial Unicode MS"/>
          <w:b/>
          <w:bCs/>
          <w:sz w:val="22"/>
          <w:szCs w:val="22"/>
        </w:rPr>
      </w:pPr>
      <w:r w:rsidRPr="001F224B">
        <w:rPr>
          <w:rFonts w:eastAsia="Arial Unicode MS"/>
          <w:b/>
          <w:bCs/>
          <w:sz w:val="22"/>
          <w:szCs w:val="22"/>
        </w:rPr>
        <w:t>13.</w:t>
      </w:r>
      <w:r w:rsidRPr="001F224B">
        <w:rPr>
          <w:rFonts w:eastAsia="Arial Unicode MS"/>
          <w:b/>
          <w:bCs/>
          <w:sz w:val="22"/>
          <w:szCs w:val="22"/>
        </w:rPr>
        <w:tab/>
        <w:t>Ertelenmiş vergi borcuna ilişkin açıklama:</w:t>
      </w:r>
    </w:p>
    <w:p w14:paraId="0DCAA268" w14:textId="315683FE" w:rsidR="00403C46" w:rsidRPr="001F224B" w:rsidRDefault="00403C46" w:rsidP="00403C46">
      <w:pPr>
        <w:spacing w:before="120" w:after="120"/>
        <w:ind w:left="567"/>
        <w:jc w:val="both"/>
        <w:rPr>
          <w:sz w:val="22"/>
          <w:szCs w:val="22"/>
        </w:rPr>
      </w:pPr>
      <w:r w:rsidRPr="001F224B">
        <w:rPr>
          <w:sz w:val="22"/>
          <w:szCs w:val="22"/>
        </w:rPr>
        <w:t>Ana Ortaklık Banka’nın 3</w:t>
      </w:r>
      <w:r w:rsidR="002419A2" w:rsidRPr="001F224B">
        <w:rPr>
          <w:sz w:val="22"/>
          <w:szCs w:val="22"/>
        </w:rPr>
        <w:t>0</w:t>
      </w:r>
      <w:r w:rsidRPr="001F224B">
        <w:rPr>
          <w:sz w:val="22"/>
          <w:szCs w:val="22"/>
        </w:rPr>
        <w:t xml:space="preserve"> </w:t>
      </w:r>
      <w:r w:rsidR="002419A2" w:rsidRPr="001F224B">
        <w:rPr>
          <w:sz w:val="22"/>
          <w:szCs w:val="22"/>
        </w:rPr>
        <w:t>Haziran</w:t>
      </w:r>
      <w:r w:rsidRPr="001F224B">
        <w:rPr>
          <w:sz w:val="22"/>
          <w:szCs w:val="22"/>
        </w:rPr>
        <w:t xml:space="preserve"> 2025 tarihi itibarıyla </w:t>
      </w:r>
      <w:r w:rsidR="00205EBE" w:rsidRPr="001F224B">
        <w:rPr>
          <w:sz w:val="22"/>
          <w:szCs w:val="22"/>
        </w:rPr>
        <w:t xml:space="preserve">477.106 </w:t>
      </w:r>
      <w:r w:rsidRPr="001F224B">
        <w:rPr>
          <w:sz w:val="22"/>
          <w:szCs w:val="22"/>
        </w:rPr>
        <w:t>TL ertelenmiş vergi varlığı bulunmaktadır (31 Aralık 2024: 479.355 TL). Söz konusu ertelenmiş vergi varlığı, Banka’nın kayıtlarında defter değeri ile takip ettiği varlık ve yükümlülüklerle, bunların vergi mevzuatı gereği hesaplanan vergiye esas değerlerinin oluşturduğu geçici farklar üzerinden hesaplanmıştır ve finansal tabloda ertelenmiş vergi varlığı ve borcu netleştirilerek gösterilmektedir.</w:t>
      </w:r>
    </w:p>
    <w:p w14:paraId="0EB903ED" w14:textId="77777777" w:rsidR="0022043F" w:rsidRPr="001F224B" w:rsidRDefault="0022043F" w:rsidP="0033482E">
      <w:pPr>
        <w:spacing w:before="120" w:after="120" w:line="230" w:lineRule="auto"/>
        <w:ind w:left="567" w:hanging="567"/>
        <w:jc w:val="both"/>
        <w:rPr>
          <w:b/>
          <w:bCs/>
          <w:sz w:val="22"/>
          <w:szCs w:val="22"/>
        </w:rPr>
      </w:pPr>
      <w:r w:rsidRPr="001F224B">
        <w:rPr>
          <w:b/>
          <w:bCs/>
          <w:sz w:val="22"/>
          <w:szCs w:val="22"/>
        </w:rPr>
        <w:t>14.</w:t>
      </w:r>
      <w:r w:rsidRPr="001F224B">
        <w:rPr>
          <w:b/>
          <w:bCs/>
          <w:sz w:val="22"/>
          <w:szCs w:val="22"/>
        </w:rPr>
        <w:tab/>
        <w:t>Satış amaçlı elde tutulan ve durdurulan faaliyetlere ilişkin duran varlık borçları hakkında bilgiler:</w:t>
      </w:r>
    </w:p>
    <w:p w14:paraId="6AD84F65" w14:textId="77777777" w:rsidR="0022043F" w:rsidRPr="001F224B" w:rsidRDefault="0022043F" w:rsidP="0033482E">
      <w:pPr>
        <w:spacing w:before="120" w:after="120" w:line="230" w:lineRule="auto"/>
        <w:ind w:left="567"/>
        <w:jc w:val="both"/>
        <w:rPr>
          <w:sz w:val="22"/>
          <w:szCs w:val="22"/>
        </w:rPr>
      </w:pPr>
      <w:r w:rsidRPr="001F224B">
        <w:rPr>
          <w:rFonts w:eastAsia="Arial Unicode MS"/>
          <w:bCs/>
          <w:sz w:val="22"/>
          <w:szCs w:val="22"/>
        </w:rPr>
        <w:t>Grup’un</w:t>
      </w:r>
      <w:r w:rsidRPr="001F224B">
        <w:rPr>
          <w:sz w:val="22"/>
          <w:szCs w:val="22"/>
        </w:rPr>
        <w:t xml:space="preserve"> satış amaçlı elde tutulan ve durdurulan faaliyetlere ilişkin duran varlık borcu bulunmamaktadır.</w:t>
      </w:r>
    </w:p>
    <w:p w14:paraId="1E5AF532" w14:textId="66D31235" w:rsidR="00637232" w:rsidRPr="001F224B" w:rsidRDefault="00C93C49" w:rsidP="0033482E">
      <w:pPr>
        <w:spacing w:before="120" w:after="120" w:line="230" w:lineRule="auto"/>
        <w:ind w:left="567" w:hanging="567"/>
        <w:jc w:val="both"/>
        <w:rPr>
          <w:b/>
          <w:bCs/>
          <w:sz w:val="22"/>
          <w:szCs w:val="22"/>
        </w:rPr>
      </w:pPr>
      <w:r w:rsidRPr="001F224B">
        <w:rPr>
          <w:b/>
          <w:bCs/>
          <w:sz w:val="22"/>
          <w:szCs w:val="22"/>
        </w:rPr>
        <w:t>15</w:t>
      </w:r>
      <w:r w:rsidR="00FE7D48" w:rsidRPr="001F224B">
        <w:rPr>
          <w:b/>
          <w:bCs/>
          <w:sz w:val="22"/>
          <w:szCs w:val="22"/>
        </w:rPr>
        <w:t>.</w:t>
      </w:r>
      <w:r w:rsidR="0090450A" w:rsidRPr="001F224B">
        <w:rPr>
          <w:b/>
          <w:bCs/>
          <w:sz w:val="22"/>
          <w:szCs w:val="22"/>
        </w:rPr>
        <w:tab/>
      </w:r>
      <w:r w:rsidR="00EF74A0" w:rsidRPr="001F224B">
        <w:rPr>
          <w:b/>
          <w:bCs/>
          <w:sz w:val="22"/>
          <w:szCs w:val="22"/>
        </w:rPr>
        <w:t>Sermaye benzeri b</w:t>
      </w:r>
      <w:r w:rsidR="00B42E35" w:rsidRPr="001F224B">
        <w:rPr>
          <w:b/>
          <w:bCs/>
          <w:sz w:val="22"/>
          <w:szCs w:val="22"/>
        </w:rPr>
        <w:t>orçlanma araçlarına ilişkin bilgiler</w:t>
      </w:r>
      <w:r w:rsidR="009D770F" w:rsidRPr="001F224B">
        <w:rPr>
          <w:b/>
          <w:bCs/>
          <w:sz w:val="22"/>
          <w:szCs w:val="22"/>
        </w:rPr>
        <w:t>:</w:t>
      </w:r>
    </w:p>
    <w:tbl>
      <w:tblPr>
        <w:tblStyle w:val="TableGrid"/>
        <w:tblW w:w="9748" w:type="dxa"/>
        <w:tblInd w:w="37" w:type="dxa"/>
        <w:tblLook w:val="04A0" w:firstRow="1" w:lastRow="0" w:firstColumn="1" w:lastColumn="0" w:noHBand="0" w:noVBand="1"/>
      </w:tblPr>
      <w:tblGrid>
        <w:gridCol w:w="4353"/>
        <w:gridCol w:w="1417"/>
        <w:gridCol w:w="1276"/>
        <w:gridCol w:w="1276"/>
        <w:gridCol w:w="1417"/>
        <w:gridCol w:w="9"/>
      </w:tblGrid>
      <w:tr w:rsidR="00C93C49" w:rsidRPr="001F224B" w14:paraId="558CAF4D" w14:textId="77777777" w:rsidTr="00D34A36">
        <w:trPr>
          <w:trHeight w:val="255"/>
        </w:trPr>
        <w:tc>
          <w:tcPr>
            <w:tcW w:w="4353" w:type="dxa"/>
            <w:vMerge w:val="restart"/>
            <w:noWrap/>
            <w:hideMark/>
          </w:tcPr>
          <w:p w14:paraId="07EFC1A5" w14:textId="77777777" w:rsidR="00C93C49" w:rsidRPr="001F224B" w:rsidRDefault="00C93C49" w:rsidP="0033482E">
            <w:pPr>
              <w:spacing w:line="230" w:lineRule="auto"/>
              <w:rPr>
                <w:bCs/>
                <w:sz w:val="20"/>
                <w:szCs w:val="20"/>
              </w:rPr>
            </w:pPr>
            <w:r w:rsidRPr="001F224B">
              <w:rPr>
                <w:bCs/>
                <w:sz w:val="20"/>
                <w:szCs w:val="20"/>
              </w:rPr>
              <w:t> </w:t>
            </w:r>
          </w:p>
        </w:tc>
        <w:tc>
          <w:tcPr>
            <w:tcW w:w="2693" w:type="dxa"/>
            <w:gridSpan w:val="2"/>
            <w:noWrap/>
            <w:hideMark/>
          </w:tcPr>
          <w:p w14:paraId="286959FA" w14:textId="77777777" w:rsidR="004C0676" w:rsidRPr="001F224B" w:rsidRDefault="004C0676" w:rsidP="004C0676">
            <w:pPr>
              <w:jc w:val="center"/>
              <w:rPr>
                <w:b/>
                <w:bCs/>
                <w:sz w:val="20"/>
                <w:szCs w:val="20"/>
              </w:rPr>
            </w:pPr>
            <w:r w:rsidRPr="001F224B">
              <w:rPr>
                <w:b/>
                <w:bCs/>
                <w:sz w:val="20"/>
                <w:szCs w:val="20"/>
              </w:rPr>
              <w:t xml:space="preserve">Cari Dönem </w:t>
            </w:r>
          </w:p>
          <w:p w14:paraId="446D9C36" w14:textId="7B11FE96" w:rsidR="00C93C49" w:rsidRPr="001F224B" w:rsidRDefault="004C0676" w:rsidP="004C0676">
            <w:pPr>
              <w:spacing w:line="230" w:lineRule="auto"/>
              <w:jc w:val="center"/>
              <w:rPr>
                <w:bCs/>
                <w:sz w:val="20"/>
                <w:szCs w:val="20"/>
              </w:rPr>
            </w:pPr>
            <w:r w:rsidRPr="001F224B">
              <w:rPr>
                <w:b/>
                <w:bCs/>
                <w:sz w:val="20"/>
                <w:szCs w:val="20"/>
              </w:rPr>
              <w:t>(3</w:t>
            </w:r>
            <w:r w:rsidR="002419A2" w:rsidRPr="001F224B">
              <w:rPr>
                <w:b/>
                <w:bCs/>
                <w:sz w:val="20"/>
                <w:szCs w:val="20"/>
              </w:rPr>
              <w:t>0</w:t>
            </w:r>
            <w:r w:rsidRPr="001F224B">
              <w:rPr>
                <w:b/>
                <w:bCs/>
                <w:sz w:val="20"/>
                <w:szCs w:val="20"/>
              </w:rPr>
              <w:t>.</w:t>
            </w:r>
            <w:r w:rsidR="00372905" w:rsidRPr="001F224B">
              <w:rPr>
                <w:b/>
                <w:bCs/>
                <w:sz w:val="20"/>
                <w:szCs w:val="20"/>
              </w:rPr>
              <w:t>0</w:t>
            </w:r>
            <w:r w:rsidR="002419A2" w:rsidRPr="001F224B">
              <w:rPr>
                <w:b/>
                <w:bCs/>
                <w:sz w:val="20"/>
                <w:szCs w:val="20"/>
              </w:rPr>
              <w:t>6</w:t>
            </w:r>
            <w:r w:rsidRPr="001F224B">
              <w:rPr>
                <w:b/>
                <w:bCs/>
                <w:sz w:val="20"/>
                <w:szCs w:val="20"/>
              </w:rPr>
              <w:t>.202</w:t>
            </w:r>
            <w:r w:rsidR="00372905" w:rsidRPr="001F224B">
              <w:rPr>
                <w:b/>
                <w:bCs/>
                <w:sz w:val="20"/>
                <w:szCs w:val="20"/>
              </w:rPr>
              <w:t>5</w:t>
            </w:r>
            <w:r w:rsidRPr="001F224B">
              <w:rPr>
                <w:b/>
                <w:bCs/>
                <w:sz w:val="20"/>
                <w:szCs w:val="20"/>
              </w:rPr>
              <w:t>)</w:t>
            </w:r>
          </w:p>
        </w:tc>
        <w:tc>
          <w:tcPr>
            <w:tcW w:w="2702" w:type="dxa"/>
            <w:gridSpan w:val="3"/>
            <w:noWrap/>
            <w:hideMark/>
          </w:tcPr>
          <w:p w14:paraId="3C0EA28D" w14:textId="77777777" w:rsidR="00C93C49" w:rsidRPr="001F224B" w:rsidRDefault="00C93C49" w:rsidP="0033482E">
            <w:pPr>
              <w:spacing w:line="230" w:lineRule="auto"/>
              <w:jc w:val="center"/>
              <w:rPr>
                <w:b/>
                <w:bCs/>
                <w:sz w:val="20"/>
                <w:szCs w:val="20"/>
              </w:rPr>
            </w:pPr>
            <w:r w:rsidRPr="001F224B">
              <w:rPr>
                <w:b/>
                <w:bCs/>
                <w:sz w:val="20"/>
                <w:szCs w:val="20"/>
              </w:rPr>
              <w:t>Önceki Dönem</w:t>
            </w:r>
          </w:p>
          <w:p w14:paraId="187EDA62" w14:textId="227E1A1E" w:rsidR="00C93C49" w:rsidRPr="001F224B" w:rsidRDefault="00C93C49" w:rsidP="0033482E">
            <w:pPr>
              <w:spacing w:line="230" w:lineRule="auto"/>
              <w:jc w:val="center"/>
              <w:rPr>
                <w:bCs/>
                <w:sz w:val="20"/>
                <w:szCs w:val="20"/>
              </w:rPr>
            </w:pPr>
            <w:r w:rsidRPr="001F224B">
              <w:rPr>
                <w:b/>
                <w:bCs/>
                <w:sz w:val="20"/>
                <w:szCs w:val="20"/>
              </w:rPr>
              <w:t>(31.12.202</w:t>
            </w:r>
            <w:r w:rsidR="00372905" w:rsidRPr="001F224B">
              <w:rPr>
                <w:b/>
                <w:bCs/>
                <w:sz w:val="20"/>
                <w:szCs w:val="20"/>
              </w:rPr>
              <w:t>4</w:t>
            </w:r>
            <w:r w:rsidRPr="001F224B">
              <w:rPr>
                <w:b/>
                <w:bCs/>
                <w:sz w:val="20"/>
                <w:szCs w:val="20"/>
              </w:rPr>
              <w:t>)</w:t>
            </w:r>
          </w:p>
        </w:tc>
      </w:tr>
      <w:tr w:rsidR="00C93C49" w:rsidRPr="001F224B" w14:paraId="69708D42" w14:textId="77777777" w:rsidTr="00D34A36">
        <w:trPr>
          <w:gridAfter w:val="1"/>
          <w:wAfter w:w="9" w:type="dxa"/>
          <w:trHeight w:val="159"/>
        </w:trPr>
        <w:tc>
          <w:tcPr>
            <w:tcW w:w="4353" w:type="dxa"/>
            <w:vMerge/>
            <w:hideMark/>
          </w:tcPr>
          <w:p w14:paraId="112E04AD" w14:textId="77777777" w:rsidR="00C93C49" w:rsidRPr="001F224B" w:rsidRDefault="00C93C49" w:rsidP="0033482E">
            <w:pPr>
              <w:spacing w:line="230" w:lineRule="auto"/>
              <w:rPr>
                <w:bCs/>
                <w:sz w:val="20"/>
                <w:szCs w:val="20"/>
              </w:rPr>
            </w:pPr>
          </w:p>
        </w:tc>
        <w:tc>
          <w:tcPr>
            <w:tcW w:w="1417" w:type="dxa"/>
            <w:noWrap/>
            <w:hideMark/>
          </w:tcPr>
          <w:p w14:paraId="2D76234F" w14:textId="77777777" w:rsidR="00C93C49" w:rsidRPr="001F224B" w:rsidRDefault="00C93C49" w:rsidP="0033482E">
            <w:pPr>
              <w:spacing w:line="230" w:lineRule="auto"/>
              <w:jc w:val="center"/>
              <w:rPr>
                <w:b/>
                <w:bCs/>
                <w:sz w:val="20"/>
                <w:szCs w:val="20"/>
              </w:rPr>
            </w:pPr>
            <w:r w:rsidRPr="001F224B">
              <w:rPr>
                <w:b/>
                <w:bCs/>
                <w:sz w:val="20"/>
                <w:szCs w:val="20"/>
              </w:rPr>
              <w:t>TP</w:t>
            </w:r>
          </w:p>
        </w:tc>
        <w:tc>
          <w:tcPr>
            <w:tcW w:w="1276" w:type="dxa"/>
            <w:hideMark/>
          </w:tcPr>
          <w:p w14:paraId="28356BF6" w14:textId="77777777" w:rsidR="00C93C49" w:rsidRPr="001F224B" w:rsidRDefault="00C93C49" w:rsidP="0033482E">
            <w:pPr>
              <w:spacing w:line="230" w:lineRule="auto"/>
              <w:jc w:val="center"/>
              <w:rPr>
                <w:b/>
                <w:bCs/>
                <w:sz w:val="20"/>
                <w:szCs w:val="20"/>
              </w:rPr>
            </w:pPr>
            <w:r w:rsidRPr="001F224B">
              <w:rPr>
                <w:b/>
                <w:bCs/>
                <w:sz w:val="20"/>
                <w:szCs w:val="20"/>
              </w:rPr>
              <w:t>YP</w:t>
            </w:r>
          </w:p>
        </w:tc>
        <w:tc>
          <w:tcPr>
            <w:tcW w:w="1276" w:type="dxa"/>
            <w:noWrap/>
            <w:hideMark/>
          </w:tcPr>
          <w:p w14:paraId="247B832D" w14:textId="77777777" w:rsidR="00C93C49" w:rsidRPr="001F224B" w:rsidRDefault="00C93C49" w:rsidP="0033482E">
            <w:pPr>
              <w:spacing w:line="230" w:lineRule="auto"/>
              <w:jc w:val="center"/>
              <w:rPr>
                <w:b/>
                <w:bCs/>
                <w:sz w:val="20"/>
                <w:szCs w:val="20"/>
              </w:rPr>
            </w:pPr>
            <w:r w:rsidRPr="001F224B">
              <w:rPr>
                <w:b/>
                <w:bCs/>
                <w:sz w:val="20"/>
                <w:szCs w:val="20"/>
              </w:rPr>
              <w:t>TP</w:t>
            </w:r>
          </w:p>
        </w:tc>
        <w:tc>
          <w:tcPr>
            <w:tcW w:w="1417" w:type="dxa"/>
            <w:hideMark/>
          </w:tcPr>
          <w:p w14:paraId="316421C7" w14:textId="77777777" w:rsidR="00C93C49" w:rsidRPr="001F224B" w:rsidRDefault="00C93C49" w:rsidP="0033482E">
            <w:pPr>
              <w:spacing w:line="230" w:lineRule="auto"/>
              <w:jc w:val="center"/>
              <w:rPr>
                <w:b/>
                <w:bCs/>
                <w:sz w:val="20"/>
                <w:szCs w:val="20"/>
              </w:rPr>
            </w:pPr>
            <w:r w:rsidRPr="001F224B">
              <w:rPr>
                <w:b/>
                <w:bCs/>
                <w:sz w:val="20"/>
                <w:szCs w:val="20"/>
              </w:rPr>
              <w:t>YP</w:t>
            </w:r>
          </w:p>
        </w:tc>
      </w:tr>
      <w:tr w:rsidR="00205EBE" w:rsidRPr="001F224B" w14:paraId="1DC1F31C" w14:textId="77777777" w:rsidTr="009A3297">
        <w:trPr>
          <w:gridAfter w:val="1"/>
          <w:wAfter w:w="9" w:type="dxa"/>
          <w:trHeight w:val="480"/>
        </w:trPr>
        <w:tc>
          <w:tcPr>
            <w:tcW w:w="4353" w:type="dxa"/>
            <w:hideMark/>
          </w:tcPr>
          <w:p w14:paraId="1DE7FF23" w14:textId="77777777" w:rsidR="00205EBE" w:rsidRPr="001F224B" w:rsidRDefault="00205EBE" w:rsidP="00205EBE">
            <w:pPr>
              <w:spacing w:line="230" w:lineRule="auto"/>
              <w:rPr>
                <w:bCs/>
                <w:sz w:val="20"/>
                <w:szCs w:val="20"/>
              </w:rPr>
            </w:pPr>
            <w:r w:rsidRPr="001F224B">
              <w:rPr>
                <w:bCs/>
                <w:sz w:val="20"/>
                <w:szCs w:val="20"/>
              </w:rPr>
              <w:t>İlave ana sermaye hesaplamasına dahil edilecek borçlanma araçları</w:t>
            </w:r>
          </w:p>
        </w:tc>
        <w:tc>
          <w:tcPr>
            <w:tcW w:w="1417" w:type="dxa"/>
            <w:vAlign w:val="bottom"/>
            <w:hideMark/>
          </w:tcPr>
          <w:p w14:paraId="6833933E" w14:textId="43F4C7A8" w:rsidR="00205EBE" w:rsidRPr="001F224B" w:rsidRDefault="00205EBE" w:rsidP="00205EBE">
            <w:pPr>
              <w:spacing w:line="230" w:lineRule="auto"/>
              <w:jc w:val="right"/>
              <w:rPr>
                <w:bCs/>
                <w:sz w:val="20"/>
                <w:szCs w:val="20"/>
              </w:rPr>
            </w:pPr>
            <w:r w:rsidRPr="001F224B">
              <w:rPr>
                <w:sz w:val="20"/>
                <w:szCs w:val="20"/>
              </w:rPr>
              <w:t>6.459.975</w:t>
            </w:r>
          </w:p>
        </w:tc>
        <w:tc>
          <w:tcPr>
            <w:tcW w:w="1276" w:type="dxa"/>
            <w:vAlign w:val="bottom"/>
            <w:hideMark/>
          </w:tcPr>
          <w:p w14:paraId="1DA48DD6" w14:textId="29C3D540" w:rsidR="00205EBE" w:rsidRPr="001F224B" w:rsidRDefault="00205EBE" w:rsidP="00205EBE">
            <w:pPr>
              <w:spacing w:line="230" w:lineRule="auto"/>
              <w:jc w:val="right"/>
              <w:rPr>
                <w:bCs/>
                <w:sz w:val="20"/>
                <w:szCs w:val="20"/>
              </w:rPr>
            </w:pPr>
            <w:r w:rsidRPr="001F224B">
              <w:rPr>
                <w:sz w:val="20"/>
                <w:szCs w:val="20"/>
              </w:rPr>
              <w:t>-</w:t>
            </w:r>
          </w:p>
        </w:tc>
        <w:tc>
          <w:tcPr>
            <w:tcW w:w="1276" w:type="dxa"/>
            <w:vAlign w:val="bottom"/>
            <w:hideMark/>
          </w:tcPr>
          <w:p w14:paraId="4CE21C30" w14:textId="6E3AB04A" w:rsidR="00205EBE" w:rsidRPr="001F224B" w:rsidRDefault="00205EBE" w:rsidP="00205EBE">
            <w:pPr>
              <w:spacing w:line="230" w:lineRule="auto"/>
              <w:jc w:val="right"/>
              <w:rPr>
                <w:bCs/>
                <w:sz w:val="20"/>
                <w:szCs w:val="20"/>
              </w:rPr>
            </w:pPr>
            <w:r w:rsidRPr="001F224B">
              <w:rPr>
                <w:sz w:val="20"/>
                <w:szCs w:val="20"/>
              </w:rPr>
              <w:t>5.516.800</w:t>
            </w:r>
          </w:p>
        </w:tc>
        <w:tc>
          <w:tcPr>
            <w:tcW w:w="1417" w:type="dxa"/>
            <w:vAlign w:val="bottom"/>
            <w:hideMark/>
          </w:tcPr>
          <w:p w14:paraId="1960484A" w14:textId="352AB528" w:rsidR="00205EBE" w:rsidRPr="001F224B" w:rsidRDefault="00205EBE" w:rsidP="00205EBE">
            <w:pPr>
              <w:spacing w:line="230" w:lineRule="auto"/>
              <w:jc w:val="right"/>
              <w:rPr>
                <w:bCs/>
                <w:sz w:val="20"/>
                <w:szCs w:val="20"/>
              </w:rPr>
            </w:pPr>
            <w:r w:rsidRPr="001F224B">
              <w:rPr>
                <w:sz w:val="20"/>
                <w:szCs w:val="20"/>
              </w:rPr>
              <w:t>-</w:t>
            </w:r>
          </w:p>
        </w:tc>
      </w:tr>
      <w:tr w:rsidR="00205EBE" w:rsidRPr="001F224B" w14:paraId="3149F4C7" w14:textId="77777777" w:rsidTr="009A3297">
        <w:trPr>
          <w:gridAfter w:val="1"/>
          <w:wAfter w:w="9" w:type="dxa"/>
          <w:trHeight w:val="255"/>
        </w:trPr>
        <w:tc>
          <w:tcPr>
            <w:tcW w:w="4353" w:type="dxa"/>
            <w:noWrap/>
            <w:hideMark/>
          </w:tcPr>
          <w:p w14:paraId="349843CD" w14:textId="77777777" w:rsidR="00205EBE" w:rsidRPr="001F224B" w:rsidRDefault="00205EBE" w:rsidP="00205EBE">
            <w:pPr>
              <w:spacing w:line="230" w:lineRule="auto"/>
              <w:ind w:left="368"/>
              <w:rPr>
                <w:bCs/>
                <w:sz w:val="20"/>
                <w:szCs w:val="20"/>
              </w:rPr>
            </w:pPr>
            <w:r w:rsidRPr="001F224B">
              <w:rPr>
                <w:bCs/>
                <w:sz w:val="20"/>
                <w:szCs w:val="20"/>
              </w:rPr>
              <w:t xml:space="preserve">Sermaye Benzeri Krediler </w:t>
            </w:r>
          </w:p>
        </w:tc>
        <w:tc>
          <w:tcPr>
            <w:tcW w:w="1417" w:type="dxa"/>
            <w:noWrap/>
            <w:vAlign w:val="bottom"/>
            <w:hideMark/>
          </w:tcPr>
          <w:p w14:paraId="506DE604" w14:textId="11178CFF" w:rsidR="00205EBE" w:rsidRPr="001F224B" w:rsidRDefault="00205EBE" w:rsidP="00205EBE">
            <w:pPr>
              <w:spacing w:line="230" w:lineRule="auto"/>
              <w:jc w:val="right"/>
              <w:rPr>
                <w:bCs/>
                <w:sz w:val="20"/>
                <w:szCs w:val="20"/>
              </w:rPr>
            </w:pPr>
            <w:r w:rsidRPr="001F224B">
              <w:rPr>
                <w:sz w:val="20"/>
                <w:szCs w:val="20"/>
              </w:rPr>
              <w:t>6.459.975</w:t>
            </w:r>
          </w:p>
        </w:tc>
        <w:tc>
          <w:tcPr>
            <w:tcW w:w="1276" w:type="dxa"/>
            <w:vAlign w:val="bottom"/>
            <w:hideMark/>
          </w:tcPr>
          <w:p w14:paraId="231DF96D" w14:textId="4DE2CFAC" w:rsidR="00205EBE" w:rsidRPr="001F224B" w:rsidRDefault="00205EBE" w:rsidP="00205EBE">
            <w:pPr>
              <w:spacing w:line="230" w:lineRule="auto"/>
              <w:jc w:val="right"/>
              <w:rPr>
                <w:bCs/>
                <w:sz w:val="20"/>
                <w:szCs w:val="20"/>
              </w:rPr>
            </w:pPr>
            <w:r w:rsidRPr="001F224B">
              <w:rPr>
                <w:sz w:val="20"/>
                <w:szCs w:val="20"/>
              </w:rPr>
              <w:t>-</w:t>
            </w:r>
          </w:p>
        </w:tc>
        <w:tc>
          <w:tcPr>
            <w:tcW w:w="1276" w:type="dxa"/>
            <w:noWrap/>
            <w:vAlign w:val="bottom"/>
            <w:hideMark/>
          </w:tcPr>
          <w:p w14:paraId="4FF6997F" w14:textId="6FA673BF" w:rsidR="00205EBE" w:rsidRPr="001F224B" w:rsidRDefault="00205EBE" w:rsidP="00205EBE">
            <w:pPr>
              <w:spacing w:line="230" w:lineRule="auto"/>
              <w:jc w:val="right"/>
              <w:rPr>
                <w:bCs/>
                <w:sz w:val="20"/>
                <w:szCs w:val="20"/>
              </w:rPr>
            </w:pPr>
            <w:r w:rsidRPr="001F224B">
              <w:rPr>
                <w:sz w:val="20"/>
                <w:szCs w:val="20"/>
              </w:rPr>
              <w:t>5.516.800</w:t>
            </w:r>
          </w:p>
        </w:tc>
        <w:tc>
          <w:tcPr>
            <w:tcW w:w="1417" w:type="dxa"/>
            <w:vAlign w:val="bottom"/>
            <w:hideMark/>
          </w:tcPr>
          <w:p w14:paraId="426B813E" w14:textId="7C1B1293" w:rsidR="00205EBE" w:rsidRPr="001F224B" w:rsidRDefault="00205EBE" w:rsidP="00205EBE">
            <w:pPr>
              <w:spacing w:line="230" w:lineRule="auto"/>
              <w:jc w:val="right"/>
              <w:rPr>
                <w:bCs/>
                <w:sz w:val="20"/>
                <w:szCs w:val="20"/>
              </w:rPr>
            </w:pPr>
            <w:r w:rsidRPr="001F224B">
              <w:rPr>
                <w:sz w:val="20"/>
                <w:szCs w:val="20"/>
              </w:rPr>
              <w:t>-</w:t>
            </w:r>
          </w:p>
        </w:tc>
      </w:tr>
      <w:tr w:rsidR="00205EBE" w:rsidRPr="001F224B" w14:paraId="2C27F095" w14:textId="77777777" w:rsidTr="009A3297">
        <w:trPr>
          <w:gridAfter w:val="1"/>
          <w:wAfter w:w="9" w:type="dxa"/>
          <w:trHeight w:val="255"/>
        </w:trPr>
        <w:tc>
          <w:tcPr>
            <w:tcW w:w="4353" w:type="dxa"/>
            <w:noWrap/>
            <w:hideMark/>
          </w:tcPr>
          <w:p w14:paraId="7D40342E" w14:textId="77777777" w:rsidR="00205EBE" w:rsidRPr="001F224B" w:rsidRDefault="00205EBE" w:rsidP="00205EBE">
            <w:pPr>
              <w:spacing w:line="230" w:lineRule="auto"/>
              <w:ind w:left="368"/>
              <w:rPr>
                <w:bCs/>
                <w:sz w:val="20"/>
                <w:szCs w:val="20"/>
              </w:rPr>
            </w:pPr>
            <w:r w:rsidRPr="001F224B">
              <w:rPr>
                <w:bCs/>
                <w:sz w:val="20"/>
                <w:szCs w:val="20"/>
              </w:rPr>
              <w:t>Sermaye Benzeri Borçlanma Araçları</w:t>
            </w:r>
          </w:p>
        </w:tc>
        <w:tc>
          <w:tcPr>
            <w:tcW w:w="1417" w:type="dxa"/>
            <w:noWrap/>
            <w:vAlign w:val="bottom"/>
            <w:hideMark/>
          </w:tcPr>
          <w:p w14:paraId="231ECA44" w14:textId="3E336F8D" w:rsidR="00205EBE" w:rsidRPr="001F224B" w:rsidRDefault="00205EBE" w:rsidP="00205EBE">
            <w:pPr>
              <w:spacing w:line="230" w:lineRule="auto"/>
              <w:jc w:val="right"/>
              <w:rPr>
                <w:bCs/>
                <w:sz w:val="20"/>
                <w:szCs w:val="20"/>
              </w:rPr>
            </w:pPr>
            <w:r w:rsidRPr="001F224B">
              <w:rPr>
                <w:sz w:val="20"/>
                <w:szCs w:val="20"/>
              </w:rPr>
              <w:t>-</w:t>
            </w:r>
          </w:p>
        </w:tc>
        <w:tc>
          <w:tcPr>
            <w:tcW w:w="1276" w:type="dxa"/>
            <w:vAlign w:val="bottom"/>
            <w:hideMark/>
          </w:tcPr>
          <w:p w14:paraId="6F42486D" w14:textId="1F8BE9AE" w:rsidR="00205EBE" w:rsidRPr="001F224B" w:rsidRDefault="00205EBE" w:rsidP="00205EBE">
            <w:pPr>
              <w:spacing w:line="230" w:lineRule="auto"/>
              <w:jc w:val="right"/>
              <w:rPr>
                <w:bCs/>
                <w:sz w:val="20"/>
                <w:szCs w:val="20"/>
              </w:rPr>
            </w:pPr>
            <w:r w:rsidRPr="001F224B">
              <w:rPr>
                <w:sz w:val="20"/>
                <w:szCs w:val="20"/>
              </w:rPr>
              <w:t>-</w:t>
            </w:r>
          </w:p>
        </w:tc>
        <w:tc>
          <w:tcPr>
            <w:tcW w:w="1276" w:type="dxa"/>
            <w:noWrap/>
            <w:vAlign w:val="bottom"/>
            <w:hideMark/>
          </w:tcPr>
          <w:p w14:paraId="5CE16080" w14:textId="22D1EE97" w:rsidR="00205EBE" w:rsidRPr="001F224B" w:rsidRDefault="00205EBE" w:rsidP="00205EBE">
            <w:pPr>
              <w:spacing w:line="230" w:lineRule="auto"/>
              <w:jc w:val="right"/>
              <w:rPr>
                <w:bCs/>
                <w:sz w:val="20"/>
                <w:szCs w:val="20"/>
              </w:rPr>
            </w:pPr>
            <w:r w:rsidRPr="001F224B">
              <w:rPr>
                <w:sz w:val="20"/>
                <w:szCs w:val="20"/>
              </w:rPr>
              <w:t>-</w:t>
            </w:r>
          </w:p>
        </w:tc>
        <w:tc>
          <w:tcPr>
            <w:tcW w:w="1417" w:type="dxa"/>
            <w:vAlign w:val="bottom"/>
            <w:hideMark/>
          </w:tcPr>
          <w:p w14:paraId="4D4005B6" w14:textId="1BC5A6FC" w:rsidR="00205EBE" w:rsidRPr="001F224B" w:rsidRDefault="00205EBE" w:rsidP="00205EBE">
            <w:pPr>
              <w:spacing w:line="230" w:lineRule="auto"/>
              <w:jc w:val="right"/>
              <w:rPr>
                <w:bCs/>
                <w:sz w:val="20"/>
                <w:szCs w:val="20"/>
              </w:rPr>
            </w:pPr>
            <w:r w:rsidRPr="001F224B">
              <w:rPr>
                <w:sz w:val="20"/>
                <w:szCs w:val="20"/>
              </w:rPr>
              <w:t>-</w:t>
            </w:r>
          </w:p>
        </w:tc>
      </w:tr>
      <w:tr w:rsidR="00205EBE" w:rsidRPr="001F224B" w14:paraId="636D29FF" w14:textId="77777777" w:rsidTr="009A3297">
        <w:trPr>
          <w:gridAfter w:val="1"/>
          <w:wAfter w:w="9" w:type="dxa"/>
          <w:trHeight w:val="480"/>
        </w:trPr>
        <w:tc>
          <w:tcPr>
            <w:tcW w:w="4353" w:type="dxa"/>
            <w:hideMark/>
          </w:tcPr>
          <w:p w14:paraId="13455953" w14:textId="77777777" w:rsidR="00205EBE" w:rsidRPr="001F224B" w:rsidRDefault="00205EBE" w:rsidP="00205EBE">
            <w:pPr>
              <w:spacing w:line="230" w:lineRule="auto"/>
              <w:rPr>
                <w:bCs/>
                <w:sz w:val="20"/>
                <w:szCs w:val="20"/>
              </w:rPr>
            </w:pPr>
            <w:r w:rsidRPr="001F224B">
              <w:rPr>
                <w:bCs/>
                <w:sz w:val="20"/>
                <w:szCs w:val="20"/>
              </w:rPr>
              <w:t>Katkı sermaye hesaplamasına dahil edilecek borçlanma araçları</w:t>
            </w:r>
          </w:p>
        </w:tc>
        <w:tc>
          <w:tcPr>
            <w:tcW w:w="1417" w:type="dxa"/>
            <w:vAlign w:val="bottom"/>
            <w:hideMark/>
          </w:tcPr>
          <w:p w14:paraId="66808CC8" w14:textId="22D5F5B6" w:rsidR="00205EBE" w:rsidRPr="001F224B" w:rsidRDefault="00205EBE" w:rsidP="00205EBE">
            <w:pPr>
              <w:spacing w:line="230" w:lineRule="auto"/>
              <w:jc w:val="right"/>
              <w:rPr>
                <w:bCs/>
                <w:sz w:val="20"/>
                <w:szCs w:val="20"/>
              </w:rPr>
            </w:pPr>
            <w:r w:rsidRPr="001F224B">
              <w:rPr>
                <w:sz w:val="20"/>
                <w:szCs w:val="20"/>
              </w:rPr>
              <w:t>-</w:t>
            </w:r>
          </w:p>
        </w:tc>
        <w:tc>
          <w:tcPr>
            <w:tcW w:w="1276" w:type="dxa"/>
            <w:vAlign w:val="bottom"/>
            <w:hideMark/>
          </w:tcPr>
          <w:p w14:paraId="2EDE64E0" w14:textId="06320038" w:rsidR="00205EBE" w:rsidRPr="001F224B" w:rsidRDefault="00205EBE" w:rsidP="00205EBE">
            <w:pPr>
              <w:spacing w:line="230" w:lineRule="auto"/>
              <w:jc w:val="right"/>
              <w:rPr>
                <w:bCs/>
                <w:sz w:val="20"/>
                <w:szCs w:val="20"/>
              </w:rPr>
            </w:pPr>
            <w:r w:rsidRPr="001F224B">
              <w:rPr>
                <w:sz w:val="20"/>
                <w:szCs w:val="20"/>
              </w:rPr>
              <w:t>2.625.464</w:t>
            </w:r>
          </w:p>
        </w:tc>
        <w:tc>
          <w:tcPr>
            <w:tcW w:w="1276" w:type="dxa"/>
            <w:vAlign w:val="bottom"/>
            <w:hideMark/>
          </w:tcPr>
          <w:p w14:paraId="24D0A571" w14:textId="39BAFDB0" w:rsidR="00205EBE" w:rsidRPr="001F224B" w:rsidRDefault="00205EBE" w:rsidP="00205EBE">
            <w:pPr>
              <w:spacing w:line="230" w:lineRule="auto"/>
              <w:jc w:val="right"/>
              <w:rPr>
                <w:bCs/>
                <w:sz w:val="20"/>
                <w:szCs w:val="20"/>
              </w:rPr>
            </w:pPr>
            <w:r w:rsidRPr="001F224B">
              <w:rPr>
                <w:sz w:val="20"/>
                <w:szCs w:val="20"/>
              </w:rPr>
              <w:t>-</w:t>
            </w:r>
          </w:p>
        </w:tc>
        <w:tc>
          <w:tcPr>
            <w:tcW w:w="1417" w:type="dxa"/>
            <w:vAlign w:val="bottom"/>
            <w:hideMark/>
          </w:tcPr>
          <w:p w14:paraId="6950FFAB" w14:textId="6F65B35C" w:rsidR="00205EBE" w:rsidRPr="001F224B" w:rsidRDefault="00205EBE" w:rsidP="00205EBE">
            <w:pPr>
              <w:spacing w:line="230" w:lineRule="auto"/>
              <w:jc w:val="right"/>
              <w:rPr>
                <w:bCs/>
                <w:sz w:val="20"/>
                <w:szCs w:val="20"/>
              </w:rPr>
            </w:pPr>
            <w:r w:rsidRPr="001F224B">
              <w:rPr>
                <w:sz w:val="20"/>
                <w:szCs w:val="20"/>
              </w:rPr>
              <w:t>2.060.311</w:t>
            </w:r>
          </w:p>
        </w:tc>
      </w:tr>
      <w:tr w:rsidR="00205EBE" w:rsidRPr="001F224B" w14:paraId="4837A759" w14:textId="77777777" w:rsidTr="009A3297">
        <w:trPr>
          <w:gridAfter w:val="1"/>
          <w:wAfter w:w="9" w:type="dxa"/>
          <w:trHeight w:val="255"/>
        </w:trPr>
        <w:tc>
          <w:tcPr>
            <w:tcW w:w="4353" w:type="dxa"/>
            <w:noWrap/>
            <w:hideMark/>
          </w:tcPr>
          <w:p w14:paraId="6DF10489" w14:textId="77777777" w:rsidR="00205EBE" w:rsidRPr="001F224B" w:rsidRDefault="00205EBE" w:rsidP="00205EBE">
            <w:pPr>
              <w:spacing w:line="230" w:lineRule="auto"/>
              <w:ind w:left="340"/>
              <w:rPr>
                <w:bCs/>
                <w:sz w:val="20"/>
                <w:szCs w:val="20"/>
              </w:rPr>
            </w:pPr>
            <w:r w:rsidRPr="001F224B">
              <w:rPr>
                <w:bCs/>
                <w:sz w:val="20"/>
                <w:szCs w:val="20"/>
              </w:rPr>
              <w:t>Sermaye Benzeri Krediler</w:t>
            </w:r>
          </w:p>
        </w:tc>
        <w:tc>
          <w:tcPr>
            <w:tcW w:w="1417" w:type="dxa"/>
            <w:noWrap/>
            <w:vAlign w:val="bottom"/>
            <w:hideMark/>
          </w:tcPr>
          <w:p w14:paraId="5247E0FF" w14:textId="57DB437B" w:rsidR="00205EBE" w:rsidRPr="001F224B" w:rsidRDefault="00205EBE" w:rsidP="00205EBE">
            <w:pPr>
              <w:spacing w:line="230" w:lineRule="auto"/>
              <w:jc w:val="right"/>
              <w:rPr>
                <w:bCs/>
                <w:sz w:val="20"/>
                <w:szCs w:val="20"/>
              </w:rPr>
            </w:pPr>
            <w:r w:rsidRPr="001F224B">
              <w:rPr>
                <w:sz w:val="20"/>
                <w:szCs w:val="20"/>
              </w:rPr>
              <w:t>-</w:t>
            </w:r>
          </w:p>
        </w:tc>
        <w:tc>
          <w:tcPr>
            <w:tcW w:w="1276" w:type="dxa"/>
            <w:vAlign w:val="bottom"/>
            <w:hideMark/>
          </w:tcPr>
          <w:p w14:paraId="2A8F7FC3" w14:textId="74C0D2D9" w:rsidR="00205EBE" w:rsidRPr="001F224B" w:rsidRDefault="00205EBE" w:rsidP="00205EBE">
            <w:pPr>
              <w:spacing w:line="230" w:lineRule="auto"/>
              <w:jc w:val="right"/>
              <w:rPr>
                <w:bCs/>
                <w:sz w:val="20"/>
                <w:szCs w:val="20"/>
              </w:rPr>
            </w:pPr>
            <w:r w:rsidRPr="001F224B">
              <w:rPr>
                <w:sz w:val="20"/>
                <w:szCs w:val="20"/>
              </w:rPr>
              <w:t>2.625.464</w:t>
            </w:r>
          </w:p>
        </w:tc>
        <w:tc>
          <w:tcPr>
            <w:tcW w:w="1276" w:type="dxa"/>
            <w:noWrap/>
            <w:vAlign w:val="bottom"/>
            <w:hideMark/>
          </w:tcPr>
          <w:p w14:paraId="5E252F9C" w14:textId="0FA62418" w:rsidR="00205EBE" w:rsidRPr="001F224B" w:rsidRDefault="00205EBE" w:rsidP="00205EBE">
            <w:pPr>
              <w:spacing w:line="230" w:lineRule="auto"/>
              <w:jc w:val="right"/>
              <w:rPr>
                <w:bCs/>
                <w:sz w:val="20"/>
                <w:szCs w:val="20"/>
              </w:rPr>
            </w:pPr>
            <w:r w:rsidRPr="001F224B">
              <w:rPr>
                <w:sz w:val="20"/>
                <w:szCs w:val="20"/>
              </w:rPr>
              <w:t>-</w:t>
            </w:r>
          </w:p>
        </w:tc>
        <w:tc>
          <w:tcPr>
            <w:tcW w:w="1417" w:type="dxa"/>
            <w:vAlign w:val="bottom"/>
            <w:hideMark/>
          </w:tcPr>
          <w:p w14:paraId="53A0505B" w14:textId="2A39E53C" w:rsidR="00205EBE" w:rsidRPr="001F224B" w:rsidRDefault="00205EBE" w:rsidP="00205EBE">
            <w:pPr>
              <w:spacing w:line="230" w:lineRule="auto"/>
              <w:jc w:val="right"/>
              <w:rPr>
                <w:bCs/>
                <w:sz w:val="20"/>
                <w:szCs w:val="20"/>
              </w:rPr>
            </w:pPr>
            <w:r w:rsidRPr="001F224B">
              <w:rPr>
                <w:sz w:val="20"/>
                <w:szCs w:val="20"/>
              </w:rPr>
              <w:t>2.060.311</w:t>
            </w:r>
          </w:p>
        </w:tc>
      </w:tr>
      <w:tr w:rsidR="00205EBE" w:rsidRPr="001F224B" w14:paraId="0ED5A13C" w14:textId="77777777" w:rsidTr="009A3297">
        <w:trPr>
          <w:gridAfter w:val="1"/>
          <w:wAfter w:w="9" w:type="dxa"/>
          <w:trHeight w:val="255"/>
        </w:trPr>
        <w:tc>
          <w:tcPr>
            <w:tcW w:w="4353" w:type="dxa"/>
            <w:noWrap/>
            <w:hideMark/>
          </w:tcPr>
          <w:p w14:paraId="1A1BD794" w14:textId="77777777" w:rsidR="00205EBE" w:rsidRPr="001F224B" w:rsidRDefault="00205EBE" w:rsidP="00205EBE">
            <w:pPr>
              <w:spacing w:line="230" w:lineRule="auto"/>
              <w:ind w:left="340"/>
              <w:rPr>
                <w:bCs/>
                <w:sz w:val="20"/>
                <w:szCs w:val="20"/>
              </w:rPr>
            </w:pPr>
            <w:r w:rsidRPr="001F224B">
              <w:rPr>
                <w:bCs/>
                <w:sz w:val="20"/>
                <w:szCs w:val="20"/>
              </w:rPr>
              <w:t>Sermaye Benzeri Borçlanma Araçları</w:t>
            </w:r>
          </w:p>
        </w:tc>
        <w:tc>
          <w:tcPr>
            <w:tcW w:w="1417" w:type="dxa"/>
            <w:noWrap/>
            <w:vAlign w:val="bottom"/>
            <w:hideMark/>
          </w:tcPr>
          <w:p w14:paraId="3929FEDD" w14:textId="6CB98C92" w:rsidR="00205EBE" w:rsidRPr="001F224B" w:rsidRDefault="00205EBE" w:rsidP="00205EBE">
            <w:pPr>
              <w:spacing w:line="230" w:lineRule="auto"/>
              <w:jc w:val="right"/>
              <w:rPr>
                <w:bCs/>
                <w:sz w:val="20"/>
                <w:szCs w:val="20"/>
              </w:rPr>
            </w:pPr>
            <w:r w:rsidRPr="001F224B">
              <w:rPr>
                <w:sz w:val="20"/>
                <w:szCs w:val="20"/>
              </w:rPr>
              <w:t>-</w:t>
            </w:r>
          </w:p>
        </w:tc>
        <w:tc>
          <w:tcPr>
            <w:tcW w:w="1276" w:type="dxa"/>
            <w:vAlign w:val="bottom"/>
            <w:hideMark/>
          </w:tcPr>
          <w:p w14:paraId="1B2343AC" w14:textId="26A6191D" w:rsidR="00205EBE" w:rsidRPr="001F224B" w:rsidRDefault="00205EBE" w:rsidP="00205EBE">
            <w:pPr>
              <w:spacing w:line="230" w:lineRule="auto"/>
              <w:jc w:val="right"/>
              <w:rPr>
                <w:bCs/>
                <w:sz w:val="20"/>
                <w:szCs w:val="20"/>
              </w:rPr>
            </w:pPr>
            <w:r w:rsidRPr="001F224B">
              <w:rPr>
                <w:bCs/>
                <w:sz w:val="20"/>
                <w:szCs w:val="20"/>
              </w:rPr>
              <w:t>-</w:t>
            </w:r>
          </w:p>
        </w:tc>
        <w:tc>
          <w:tcPr>
            <w:tcW w:w="1276" w:type="dxa"/>
            <w:noWrap/>
            <w:vAlign w:val="bottom"/>
            <w:hideMark/>
          </w:tcPr>
          <w:p w14:paraId="32E7D9BA" w14:textId="37F24D18" w:rsidR="00205EBE" w:rsidRPr="001F224B" w:rsidRDefault="00205EBE" w:rsidP="00205EBE">
            <w:pPr>
              <w:spacing w:line="230" w:lineRule="auto"/>
              <w:jc w:val="right"/>
              <w:rPr>
                <w:bCs/>
                <w:sz w:val="20"/>
                <w:szCs w:val="20"/>
              </w:rPr>
            </w:pPr>
            <w:r w:rsidRPr="001F224B">
              <w:rPr>
                <w:sz w:val="20"/>
                <w:szCs w:val="20"/>
              </w:rPr>
              <w:t>-</w:t>
            </w:r>
          </w:p>
        </w:tc>
        <w:tc>
          <w:tcPr>
            <w:tcW w:w="1417" w:type="dxa"/>
            <w:vAlign w:val="bottom"/>
            <w:hideMark/>
          </w:tcPr>
          <w:p w14:paraId="03988FE9" w14:textId="22533351" w:rsidR="00205EBE" w:rsidRPr="001F224B" w:rsidRDefault="00205EBE" w:rsidP="00205EBE">
            <w:pPr>
              <w:spacing w:line="230" w:lineRule="auto"/>
              <w:jc w:val="right"/>
              <w:rPr>
                <w:bCs/>
                <w:sz w:val="20"/>
                <w:szCs w:val="20"/>
              </w:rPr>
            </w:pPr>
            <w:r w:rsidRPr="001F224B">
              <w:rPr>
                <w:sz w:val="20"/>
                <w:szCs w:val="20"/>
              </w:rPr>
              <w:t>-</w:t>
            </w:r>
          </w:p>
        </w:tc>
      </w:tr>
      <w:tr w:rsidR="00205EBE" w:rsidRPr="001F224B" w14:paraId="1C1FC57C" w14:textId="77777777" w:rsidTr="009A3297">
        <w:trPr>
          <w:gridAfter w:val="1"/>
          <w:wAfter w:w="9" w:type="dxa"/>
          <w:trHeight w:val="255"/>
        </w:trPr>
        <w:tc>
          <w:tcPr>
            <w:tcW w:w="4353" w:type="dxa"/>
            <w:noWrap/>
            <w:hideMark/>
          </w:tcPr>
          <w:p w14:paraId="34972821" w14:textId="77777777" w:rsidR="00205EBE" w:rsidRPr="001F224B" w:rsidRDefault="00205EBE" w:rsidP="00205EBE">
            <w:pPr>
              <w:spacing w:line="230" w:lineRule="auto"/>
              <w:rPr>
                <w:b/>
                <w:bCs/>
                <w:sz w:val="20"/>
                <w:szCs w:val="20"/>
              </w:rPr>
            </w:pPr>
            <w:r w:rsidRPr="001F224B">
              <w:rPr>
                <w:b/>
                <w:bCs/>
                <w:sz w:val="20"/>
                <w:szCs w:val="20"/>
              </w:rPr>
              <w:t>Toplam</w:t>
            </w:r>
          </w:p>
        </w:tc>
        <w:tc>
          <w:tcPr>
            <w:tcW w:w="1417" w:type="dxa"/>
            <w:noWrap/>
            <w:vAlign w:val="bottom"/>
            <w:hideMark/>
          </w:tcPr>
          <w:p w14:paraId="25EB4FB5" w14:textId="6824D151" w:rsidR="00205EBE" w:rsidRPr="001F224B" w:rsidRDefault="00205EBE" w:rsidP="00205EBE">
            <w:pPr>
              <w:spacing w:line="230" w:lineRule="auto"/>
              <w:jc w:val="right"/>
              <w:rPr>
                <w:b/>
                <w:bCs/>
                <w:sz w:val="20"/>
                <w:szCs w:val="20"/>
              </w:rPr>
            </w:pPr>
            <w:r w:rsidRPr="001F224B">
              <w:rPr>
                <w:b/>
                <w:bCs/>
                <w:sz w:val="20"/>
                <w:szCs w:val="20"/>
              </w:rPr>
              <w:t>6.459.975</w:t>
            </w:r>
          </w:p>
        </w:tc>
        <w:tc>
          <w:tcPr>
            <w:tcW w:w="1276" w:type="dxa"/>
            <w:noWrap/>
            <w:vAlign w:val="bottom"/>
            <w:hideMark/>
          </w:tcPr>
          <w:p w14:paraId="4F5DA4CD" w14:textId="0D860681" w:rsidR="00205EBE" w:rsidRPr="001F224B" w:rsidRDefault="00205EBE" w:rsidP="00205EBE">
            <w:pPr>
              <w:spacing w:line="230" w:lineRule="auto"/>
              <w:jc w:val="right"/>
              <w:rPr>
                <w:b/>
                <w:bCs/>
                <w:sz w:val="20"/>
                <w:szCs w:val="20"/>
              </w:rPr>
            </w:pPr>
            <w:r w:rsidRPr="001F224B">
              <w:rPr>
                <w:b/>
                <w:bCs/>
                <w:sz w:val="20"/>
                <w:szCs w:val="20"/>
              </w:rPr>
              <w:t>2.625.464</w:t>
            </w:r>
          </w:p>
        </w:tc>
        <w:tc>
          <w:tcPr>
            <w:tcW w:w="1276" w:type="dxa"/>
            <w:noWrap/>
            <w:vAlign w:val="bottom"/>
            <w:hideMark/>
          </w:tcPr>
          <w:p w14:paraId="56882257" w14:textId="4FB20D70" w:rsidR="00205EBE" w:rsidRPr="001F224B" w:rsidRDefault="00205EBE" w:rsidP="00205EBE">
            <w:pPr>
              <w:spacing w:line="230" w:lineRule="auto"/>
              <w:jc w:val="right"/>
              <w:rPr>
                <w:b/>
                <w:bCs/>
                <w:sz w:val="20"/>
                <w:szCs w:val="20"/>
              </w:rPr>
            </w:pPr>
            <w:r w:rsidRPr="001F224B">
              <w:rPr>
                <w:b/>
                <w:bCs/>
                <w:sz w:val="20"/>
                <w:szCs w:val="20"/>
              </w:rPr>
              <w:t>5.516.800</w:t>
            </w:r>
          </w:p>
        </w:tc>
        <w:tc>
          <w:tcPr>
            <w:tcW w:w="1417" w:type="dxa"/>
            <w:noWrap/>
            <w:vAlign w:val="bottom"/>
            <w:hideMark/>
          </w:tcPr>
          <w:p w14:paraId="3F9A4397" w14:textId="17A8F570" w:rsidR="00205EBE" w:rsidRPr="001F224B" w:rsidRDefault="00205EBE" w:rsidP="00205EBE">
            <w:pPr>
              <w:spacing w:line="230" w:lineRule="auto"/>
              <w:jc w:val="right"/>
              <w:rPr>
                <w:b/>
                <w:bCs/>
                <w:sz w:val="20"/>
                <w:szCs w:val="20"/>
              </w:rPr>
            </w:pPr>
            <w:r w:rsidRPr="001F224B">
              <w:rPr>
                <w:b/>
                <w:bCs/>
                <w:sz w:val="20"/>
                <w:szCs w:val="20"/>
              </w:rPr>
              <w:t>2.060.311</w:t>
            </w:r>
          </w:p>
        </w:tc>
      </w:tr>
    </w:tbl>
    <w:p w14:paraId="6B470E61" w14:textId="56AD8817" w:rsidR="00935D3A" w:rsidRPr="001F224B" w:rsidRDefault="00C93C49" w:rsidP="0033482E">
      <w:pPr>
        <w:spacing w:before="120" w:line="230" w:lineRule="auto"/>
        <w:ind w:left="567" w:hanging="567"/>
        <w:jc w:val="both"/>
        <w:rPr>
          <w:b/>
          <w:bCs/>
          <w:sz w:val="22"/>
          <w:szCs w:val="22"/>
        </w:rPr>
      </w:pPr>
      <w:r w:rsidRPr="001F224B">
        <w:rPr>
          <w:b/>
          <w:bCs/>
          <w:sz w:val="22"/>
          <w:szCs w:val="22"/>
        </w:rPr>
        <w:t>16</w:t>
      </w:r>
      <w:r w:rsidR="00935D3A" w:rsidRPr="001F224B">
        <w:rPr>
          <w:b/>
          <w:bCs/>
          <w:sz w:val="22"/>
          <w:szCs w:val="22"/>
        </w:rPr>
        <w:t>.</w:t>
      </w:r>
      <w:r w:rsidR="00935D3A" w:rsidRPr="001F224B">
        <w:rPr>
          <w:b/>
          <w:bCs/>
          <w:sz w:val="22"/>
          <w:szCs w:val="22"/>
        </w:rPr>
        <w:tab/>
        <w:t>Bilançonun diğer yabancı kaynaklar kalemi, bilanço toplamının %10’unu aşıyorsa, bunların en az %20’sini oluşturan alt hesapların isim ve tutarları:</w:t>
      </w:r>
    </w:p>
    <w:p w14:paraId="1FFF92C8" w14:textId="77777777" w:rsidR="00935D3A" w:rsidRPr="001F224B" w:rsidRDefault="00935D3A" w:rsidP="0033482E">
      <w:pPr>
        <w:spacing w:before="120" w:line="230" w:lineRule="auto"/>
        <w:ind w:left="567"/>
        <w:jc w:val="both"/>
        <w:rPr>
          <w:rFonts w:eastAsia="Arial Unicode MS"/>
          <w:sz w:val="22"/>
          <w:szCs w:val="22"/>
        </w:rPr>
      </w:pPr>
      <w:r w:rsidRPr="001F224B">
        <w:rPr>
          <w:rFonts w:eastAsia="Arial Unicode MS"/>
          <w:sz w:val="22"/>
          <w:szCs w:val="22"/>
        </w:rPr>
        <w:t>Bilançonun diğer yabancı kaynaklar kalemi, bilanço toplamının %10’unu aşmamaktadır.</w:t>
      </w:r>
    </w:p>
    <w:p w14:paraId="0944797E" w14:textId="77777777" w:rsidR="0033482E" w:rsidRPr="001F224B" w:rsidRDefault="0033482E" w:rsidP="0033482E">
      <w:pPr>
        <w:spacing w:line="230" w:lineRule="auto"/>
        <w:rPr>
          <w:b/>
          <w:bCs/>
          <w:sz w:val="22"/>
          <w:szCs w:val="22"/>
        </w:rPr>
      </w:pPr>
      <w:r w:rsidRPr="001F224B">
        <w:rPr>
          <w:b/>
          <w:bCs/>
          <w:sz w:val="22"/>
          <w:szCs w:val="22"/>
        </w:rPr>
        <w:br w:type="page"/>
      </w:r>
    </w:p>
    <w:p w14:paraId="32E8F180" w14:textId="4606ADC0" w:rsidR="00816FFC" w:rsidRPr="001F224B" w:rsidRDefault="00816FFC" w:rsidP="00816FFC">
      <w:pPr>
        <w:pStyle w:val="ListParagraph"/>
        <w:tabs>
          <w:tab w:val="left" w:pos="0"/>
        </w:tabs>
        <w:spacing w:before="120" w:after="120"/>
        <w:ind w:left="0"/>
        <w:rPr>
          <w:b/>
          <w:bCs/>
          <w:sz w:val="22"/>
          <w:szCs w:val="22"/>
        </w:rPr>
      </w:pPr>
      <w:r w:rsidRPr="001F224B">
        <w:rPr>
          <w:b/>
          <w:bCs/>
          <w:sz w:val="22"/>
          <w:szCs w:val="22"/>
        </w:rPr>
        <w:t>BEŞİNCİ BÖLÜM (Devamı)</w:t>
      </w:r>
    </w:p>
    <w:p w14:paraId="2D857D97" w14:textId="77777777" w:rsidR="00816FFC" w:rsidRPr="001F224B" w:rsidRDefault="00816FFC" w:rsidP="00816FFC">
      <w:pPr>
        <w:pStyle w:val="ListParagraph"/>
        <w:tabs>
          <w:tab w:val="left" w:pos="0"/>
        </w:tabs>
        <w:spacing w:before="120"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752FC545" w14:textId="2D5080CE" w:rsidR="00816FFC" w:rsidRPr="001F224B" w:rsidRDefault="003C2C08" w:rsidP="003C2C08">
      <w:pPr>
        <w:pStyle w:val="BodyText3"/>
        <w:tabs>
          <w:tab w:val="center" w:pos="0"/>
        </w:tabs>
        <w:spacing w:before="120" w:after="120"/>
        <w:jc w:val="both"/>
        <w:rPr>
          <w:b/>
          <w:bCs/>
          <w:sz w:val="22"/>
          <w:szCs w:val="22"/>
        </w:rPr>
      </w:pPr>
      <w:r w:rsidRPr="001F224B">
        <w:rPr>
          <w:b/>
          <w:bCs/>
          <w:sz w:val="22"/>
          <w:szCs w:val="22"/>
        </w:rPr>
        <w:t xml:space="preserve">II.  </w:t>
      </w:r>
      <w:r w:rsidR="00914FEA" w:rsidRPr="001F224B">
        <w:rPr>
          <w:b/>
          <w:bCs/>
          <w:sz w:val="22"/>
          <w:szCs w:val="22"/>
        </w:rPr>
        <w:t xml:space="preserve">    </w:t>
      </w:r>
      <w:r w:rsidR="00816FFC" w:rsidRPr="001F224B">
        <w:rPr>
          <w:b/>
          <w:bCs/>
          <w:sz w:val="22"/>
          <w:szCs w:val="22"/>
        </w:rPr>
        <w:t>Konsolide bilançonun pasif hesaplarına ilişkin açıklama ve dipnotlar (Devamı)</w:t>
      </w:r>
    </w:p>
    <w:p w14:paraId="081322F2" w14:textId="19ED0938" w:rsidR="008B3A76" w:rsidRPr="001F224B" w:rsidRDefault="008B3A76" w:rsidP="003C2C08">
      <w:pPr>
        <w:pStyle w:val="BodyText3"/>
        <w:tabs>
          <w:tab w:val="center" w:pos="0"/>
        </w:tabs>
        <w:spacing w:before="120" w:after="120"/>
        <w:jc w:val="both"/>
        <w:rPr>
          <w:b/>
          <w:bCs/>
          <w:sz w:val="22"/>
          <w:szCs w:val="22"/>
        </w:rPr>
      </w:pPr>
      <w:r w:rsidRPr="001F224B">
        <w:rPr>
          <w:b/>
          <w:bCs/>
          <w:sz w:val="22"/>
          <w:szCs w:val="22"/>
        </w:rPr>
        <w:t>17.</w:t>
      </w:r>
      <w:r w:rsidRPr="001F224B">
        <w:rPr>
          <w:b/>
          <w:bCs/>
          <w:sz w:val="22"/>
          <w:szCs w:val="22"/>
        </w:rPr>
        <w:tab/>
      </w:r>
      <w:r w:rsidR="00914FEA" w:rsidRPr="001F224B">
        <w:rPr>
          <w:b/>
          <w:bCs/>
          <w:sz w:val="22"/>
          <w:szCs w:val="22"/>
        </w:rPr>
        <w:t xml:space="preserve">     </w:t>
      </w:r>
      <w:r w:rsidRPr="001F224B">
        <w:rPr>
          <w:b/>
          <w:bCs/>
          <w:sz w:val="22"/>
          <w:szCs w:val="22"/>
        </w:rPr>
        <w:t>Konsolide özkaynaklara ilişkin bilgiler (Devamı):</w:t>
      </w:r>
    </w:p>
    <w:p w14:paraId="298441F9" w14:textId="77777777" w:rsidR="003057DE" w:rsidRPr="001F224B" w:rsidRDefault="003057DE" w:rsidP="003057DE">
      <w:pPr>
        <w:pStyle w:val="BodyText2"/>
        <w:tabs>
          <w:tab w:val="left" w:pos="567"/>
        </w:tabs>
        <w:spacing w:before="120" w:after="120" w:line="230" w:lineRule="auto"/>
        <w:rPr>
          <w:b/>
          <w:sz w:val="22"/>
          <w:szCs w:val="22"/>
        </w:rPr>
      </w:pPr>
      <w:r w:rsidRPr="001F224B">
        <w:rPr>
          <w:b/>
          <w:sz w:val="22"/>
          <w:szCs w:val="22"/>
        </w:rPr>
        <w:t>17.</w:t>
      </w:r>
      <w:r w:rsidRPr="001F224B">
        <w:rPr>
          <w:b/>
          <w:sz w:val="22"/>
          <w:szCs w:val="22"/>
        </w:rPr>
        <w:tab/>
        <w:t>Konsolide özkaynaklara ilişkin bilgiler:</w:t>
      </w:r>
    </w:p>
    <w:p w14:paraId="51E3BFCD" w14:textId="77777777" w:rsidR="003057DE" w:rsidRPr="001F224B" w:rsidRDefault="003057DE" w:rsidP="003057DE">
      <w:pPr>
        <w:pStyle w:val="BodyText3"/>
        <w:tabs>
          <w:tab w:val="clear" w:pos="539"/>
          <w:tab w:val="clear" w:pos="5310"/>
          <w:tab w:val="clear" w:pos="7560"/>
        </w:tabs>
        <w:spacing w:before="120" w:after="120" w:line="230" w:lineRule="auto"/>
        <w:ind w:left="567" w:hanging="567"/>
        <w:jc w:val="both"/>
        <w:rPr>
          <w:b/>
          <w:bCs/>
          <w:iCs/>
          <w:sz w:val="22"/>
          <w:szCs w:val="22"/>
        </w:rPr>
      </w:pPr>
      <w:r w:rsidRPr="001F224B">
        <w:rPr>
          <w:b/>
          <w:bCs/>
          <w:iCs/>
          <w:sz w:val="22"/>
          <w:szCs w:val="22"/>
        </w:rPr>
        <w:t>17.a)</w:t>
      </w:r>
      <w:r w:rsidRPr="001F224B">
        <w:rPr>
          <w:b/>
          <w:bCs/>
          <w:iCs/>
          <w:sz w:val="22"/>
          <w:szCs w:val="22"/>
        </w:rPr>
        <w:tab/>
        <w:t>Ödenmiş sermayenin gösterimi:</w:t>
      </w:r>
    </w:p>
    <w:tbl>
      <w:tblPr>
        <w:tblW w:w="9785" w:type="dxa"/>
        <w:tblInd w:w="23" w:type="dxa"/>
        <w:tblLayout w:type="fixed"/>
        <w:tblCellMar>
          <w:left w:w="70" w:type="dxa"/>
          <w:right w:w="70" w:type="dxa"/>
        </w:tblCellMar>
        <w:tblLook w:val="00A0" w:firstRow="1" w:lastRow="0" w:firstColumn="1" w:lastColumn="0" w:noHBand="0" w:noVBand="0"/>
      </w:tblPr>
      <w:tblGrid>
        <w:gridCol w:w="4466"/>
        <w:gridCol w:w="2793"/>
        <w:gridCol w:w="2526"/>
      </w:tblGrid>
      <w:tr w:rsidR="003057DE" w:rsidRPr="001F224B" w14:paraId="43630F18" w14:textId="77777777" w:rsidTr="00C47D15">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9420D37" w14:textId="77777777" w:rsidR="003057DE" w:rsidRPr="001F224B" w:rsidRDefault="003057DE" w:rsidP="00C47D15">
            <w:pPr>
              <w:spacing w:line="230" w:lineRule="auto"/>
              <w:jc w:val="center"/>
              <w:rPr>
                <w:sz w:val="20"/>
                <w:szCs w:val="20"/>
              </w:rPr>
            </w:pPr>
            <w:r w:rsidRPr="001F224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6601C67A" w14:textId="77777777" w:rsidR="003057DE" w:rsidRPr="001F224B" w:rsidRDefault="003057DE" w:rsidP="00C47D15">
            <w:pPr>
              <w:jc w:val="center"/>
              <w:rPr>
                <w:b/>
                <w:bCs/>
                <w:sz w:val="20"/>
                <w:szCs w:val="20"/>
              </w:rPr>
            </w:pPr>
            <w:r w:rsidRPr="001F224B">
              <w:rPr>
                <w:b/>
                <w:bCs/>
                <w:sz w:val="20"/>
                <w:szCs w:val="20"/>
              </w:rPr>
              <w:t xml:space="preserve">Cari Dönem </w:t>
            </w:r>
          </w:p>
          <w:p w14:paraId="6D282BCE" w14:textId="44FD679D" w:rsidR="003057DE" w:rsidRPr="001F224B" w:rsidRDefault="003057DE" w:rsidP="00C47D15">
            <w:pPr>
              <w:spacing w:line="230" w:lineRule="auto"/>
              <w:jc w:val="center"/>
              <w:rPr>
                <w:b/>
                <w:bCs/>
                <w:sz w:val="20"/>
                <w:szCs w:val="20"/>
              </w:rPr>
            </w:pPr>
            <w:r w:rsidRPr="001F224B">
              <w:rPr>
                <w:b/>
                <w:bCs/>
                <w:sz w:val="20"/>
                <w:szCs w:val="20"/>
              </w:rPr>
              <w:t>(3</w:t>
            </w:r>
            <w:r w:rsidR="002B2BCD" w:rsidRPr="001F224B">
              <w:rPr>
                <w:b/>
                <w:bCs/>
                <w:sz w:val="20"/>
                <w:szCs w:val="20"/>
              </w:rPr>
              <w:t>0</w:t>
            </w:r>
            <w:r w:rsidRPr="001F224B">
              <w:rPr>
                <w:b/>
                <w:bCs/>
                <w:sz w:val="20"/>
                <w:szCs w:val="20"/>
              </w:rPr>
              <w:t>.0</w:t>
            </w:r>
            <w:r w:rsidR="002B2BCD" w:rsidRPr="001F224B">
              <w:rPr>
                <w:b/>
                <w:bCs/>
                <w:sz w:val="20"/>
                <w:szCs w:val="20"/>
              </w:rPr>
              <w:t>6</w:t>
            </w:r>
            <w:r w:rsidRPr="001F224B">
              <w:rPr>
                <w:b/>
                <w:bCs/>
                <w:sz w:val="20"/>
                <w:szCs w:val="20"/>
              </w:rPr>
              <w:t>.2025)</w:t>
            </w:r>
          </w:p>
        </w:tc>
        <w:tc>
          <w:tcPr>
            <w:tcW w:w="2526" w:type="dxa"/>
            <w:tcBorders>
              <w:top w:val="single" w:sz="4" w:space="0" w:color="auto"/>
              <w:left w:val="nil"/>
              <w:bottom w:val="single" w:sz="4" w:space="0" w:color="auto"/>
              <w:right w:val="single" w:sz="4" w:space="0" w:color="auto"/>
            </w:tcBorders>
            <w:shd w:val="clear" w:color="000000" w:fill="FFFFFF"/>
            <w:vAlign w:val="bottom"/>
          </w:tcPr>
          <w:p w14:paraId="392576D9" w14:textId="77777777" w:rsidR="003057DE" w:rsidRPr="001F224B" w:rsidRDefault="003057DE" w:rsidP="00C47D15">
            <w:pPr>
              <w:spacing w:line="230" w:lineRule="auto"/>
              <w:jc w:val="center"/>
              <w:rPr>
                <w:b/>
                <w:bCs/>
                <w:sz w:val="20"/>
                <w:szCs w:val="20"/>
              </w:rPr>
            </w:pPr>
            <w:r w:rsidRPr="001F224B">
              <w:rPr>
                <w:b/>
                <w:bCs/>
                <w:sz w:val="20"/>
                <w:szCs w:val="20"/>
              </w:rPr>
              <w:t>Önceki Dönem</w:t>
            </w:r>
          </w:p>
          <w:p w14:paraId="6D4D23CB" w14:textId="77777777" w:rsidR="003057DE" w:rsidRPr="001F224B" w:rsidRDefault="003057DE" w:rsidP="00C47D15">
            <w:pPr>
              <w:spacing w:line="230" w:lineRule="auto"/>
              <w:jc w:val="center"/>
              <w:rPr>
                <w:b/>
                <w:bCs/>
                <w:sz w:val="20"/>
                <w:szCs w:val="20"/>
              </w:rPr>
            </w:pPr>
            <w:r w:rsidRPr="001F224B">
              <w:rPr>
                <w:b/>
                <w:bCs/>
                <w:sz w:val="20"/>
                <w:szCs w:val="20"/>
              </w:rPr>
              <w:t>(31.12.2024)</w:t>
            </w:r>
          </w:p>
        </w:tc>
      </w:tr>
      <w:tr w:rsidR="003057DE" w:rsidRPr="001F224B" w14:paraId="514D4BB5" w14:textId="77777777" w:rsidTr="00C47D15">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4A46D85F" w14:textId="77777777" w:rsidR="003057DE" w:rsidRPr="001F224B" w:rsidRDefault="003057DE" w:rsidP="00C47D15">
            <w:pPr>
              <w:spacing w:line="230" w:lineRule="auto"/>
              <w:rPr>
                <w:sz w:val="20"/>
                <w:szCs w:val="20"/>
              </w:rPr>
            </w:pPr>
            <w:r w:rsidRPr="001F224B">
              <w:rPr>
                <w:sz w:val="20"/>
                <w:szCs w:val="20"/>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AE78763" w14:textId="66980D9C" w:rsidR="003057DE" w:rsidRPr="001F224B" w:rsidRDefault="002419A2" w:rsidP="00C47D15">
            <w:pPr>
              <w:spacing w:line="230" w:lineRule="auto"/>
              <w:jc w:val="right"/>
              <w:rPr>
                <w:sz w:val="20"/>
                <w:szCs w:val="20"/>
              </w:rPr>
            </w:pPr>
            <w:r w:rsidRPr="001F224B">
              <w:rPr>
                <w:sz w:val="20"/>
                <w:szCs w:val="20"/>
              </w:rPr>
              <w:t>10</w:t>
            </w:r>
            <w:r w:rsidR="003057DE" w:rsidRPr="001F224B">
              <w:rPr>
                <w:sz w:val="20"/>
                <w:szCs w:val="20"/>
              </w:rPr>
              <w:t>.</w:t>
            </w:r>
            <w:r w:rsidRPr="001F224B">
              <w:rPr>
                <w:sz w:val="20"/>
                <w:szCs w:val="20"/>
              </w:rPr>
              <w:t>0</w:t>
            </w:r>
            <w:r w:rsidR="003057DE" w:rsidRPr="001F224B">
              <w:rPr>
                <w:sz w:val="20"/>
                <w:szCs w:val="20"/>
              </w:rPr>
              <w:t>00.000</w:t>
            </w:r>
          </w:p>
        </w:tc>
        <w:tc>
          <w:tcPr>
            <w:tcW w:w="2526" w:type="dxa"/>
            <w:tcBorders>
              <w:top w:val="single" w:sz="4" w:space="0" w:color="auto"/>
              <w:left w:val="nil"/>
              <w:bottom w:val="single" w:sz="4" w:space="0" w:color="auto"/>
              <w:right w:val="single" w:sz="4" w:space="0" w:color="auto"/>
            </w:tcBorders>
            <w:shd w:val="clear" w:color="000000" w:fill="FFFFFF"/>
            <w:vAlign w:val="bottom"/>
          </w:tcPr>
          <w:p w14:paraId="3F419065" w14:textId="77777777" w:rsidR="003057DE" w:rsidRPr="001F224B" w:rsidRDefault="003057DE" w:rsidP="00C47D15">
            <w:pPr>
              <w:spacing w:line="230" w:lineRule="auto"/>
              <w:jc w:val="right"/>
              <w:rPr>
                <w:sz w:val="20"/>
                <w:szCs w:val="20"/>
              </w:rPr>
            </w:pPr>
            <w:r w:rsidRPr="001F224B">
              <w:rPr>
                <w:sz w:val="20"/>
                <w:szCs w:val="20"/>
              </w:rPr>
              <w:t>5.500.000</w:t>
            </w:r>
          </w:p>
        </w:tc>
      </w:tr>
      <w:tr w:rsidR="003057DE" w:rsidRPr="001F224B" w14:paraId="665140AB" w14:textId="77777777" w:rsidTr="00C47D15">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1D5E3081" w14:textId="77777777" w:rsidR="003057DE" w:rsidRPr="001F224B" w:rsidRDefault="003057DE" w:rsidP="00C47D15">
            <w:pPr>
              <w:spacing w:line="230" w:lineRule="auto"/>
              <w:rPr>
                <w:sz w:val="20"/>
                <w:szCs w:val="20"/>
              </w:rPr>
            </w:pPr>
            <w:r w:rsidRPr="001F224B">
              <w:rPr>
                <w:sz w:val="20"/>
                <w:szCs w:val="20"/>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1777EDC" w14:textId="77777777" w:rsidR="003057DE" w:rsidRPr="001F224B" w:rsidRDefault="003057DE" w:rsidP="00C47D15">
            <w:pPr>
              <w:spacing w:line="230" w:lineRule="auto"/>
              <w:jc w:val="right"/>
              <w:rPr>
                <w:sz w:val="20"/>
                <w:szCs w:val="20"/>
              </w:rPr>
            </w:pPr>
            <w:r w:rsidRPr="001F224B">
              <w:rPr>
                <w:sz w:val="20"/>
                <w:szCs w:val="20"/>
              </w:rPr>
              <w:t>- </w:t>
            </w:r>
          </w:p>
        </w:tc>
        <w:tc>
          <w:tcPr>
            <w:tcW w:w="2526" w:type="dxa"/>
            <w:tcBorders>
              <w:top w:val="single" w:sz="4" w:space="0" w:color="auto"/>
              <w:left w:val="nil"/>
              <w:bottom w:val="single" w:sz="4" w:space="0" w:color="auto"/>
              <w:right w:val="single" w:sz="4" w:space="0" w:color="auto"/>
            </w:tcBorders>
            <w:shd w:val="clear" w:color="000000" w:fill="FFFFFF"/>
            <w:vAlign w:val="bottom"/>
          </w:tcPr>
          <w:p w14:paraId="204A8807" w14:textId="77777777" w:rsidR="003057DE" w:rsidRPr="001F224B" w:rsidRDefault="003057DE" w:rsidP="00C47D15">
            <w:pPr>
              <w:spacing w:line="230" w:lineRule="auto"/>
              <w:jc w:val="right"/>
              <w:rPr>
                <w:sz w:val="20"/>
                <w:szCs w:val="20"/>
              </w:rPr>
            </w:pPr>
            <w:r w:rsidRPr="001F224B">
              <w:rPr>
                <w:sz w:val="20"/>
                <w:szCs w:val="20"/>
              </w:rPr>
              <w:t>- </w:t>
            </w:r>
          </w:p>
        </w:tc>
      </w:tr>
    </w:tbl>
    <w:p w14:paraId="577423DA" w14:textId="77777777" w:rsidR="002B09D5" w:rsidRPr="001F224B" w:rsidRDefault="002B09D5" w:rsidP="002B09D5">
      <w:pPr>
        <w:spacing w:before="120" w:after="120" w:line="230" w:lineRule="auto"/>
        <w:ind w:left="567" w:hanging="567"/>
        <w:jc w:val="both"/>
        <w:rPr>
          <w:b/>
          <w:bCs/>
          <w:sz w:val="22"/>
          <w:szCs w:val="22"/>
        </w:rPr>
      </w:pPr>
      <w:r w:rsidRPr="001F224B">
        <w:rPr>
          <w:b/>
          <w:bCs/>
          <w:sz w:val="22"/>
          <w:szCs w:val="22"/>
        </w:rPr>
        <w:t>17.b)</w:t>
      </w:r>
      <w:r w:rsidRPr="001F224B">
        <w:rPr>
          <w:b/>
          <w:bCs/>
          <w:sz w:val="22"/>
          <w:szCs w:val="22"/>
        </w:rPr>
        <w:tab/>
        <w:t xml:space="preserve">Ödenmiş sermaye tutarı, bankada kayıtlı sermaye sisteminin uygulanıp uygulanmadığı hususunun açıklanması ve bu sistem uygulanıyor ise kayıtlı sermaye tavanı: </w:t>
      </w:r>
    </w:p>
    <w:tbl>
      <w:tblPr>
        <w:tblW w:w="9771" w:type="dxa"/>
        <w:tblInd w:w="23" w:type="dxa"/>
        <w:tblLayout w:type="fixed"/>
        <w:tblCellMar>
          <w:left w:w="70" w:type="dxa"/>
          <w:right w:w="70" w:type="dxa"/>
        </w:tblCellMar>
        <w:tblLook w:val="00A0" w:firstRow="1" w:lastRow="0" w:firstColumn="1" w:lastColumn="0" w:noHBand="0" w:noVBand="0"/>
      </w:tblPr>
      <w:tblGrid>
        <w:gridCol w:w="4466"/>
        <w:gridCol w:w="2771"/>
        <w:gridCol w:w="2534"/>
      </w:tblGrid>
      <w:tr w:rsidR="002B09D5" w:rsidRPr="001F224B" w14:paraId="798C96B4" w14:textId="77777777" w:rsidTr="00844760">
        <w:trPr>
          <w:trHeight w:val="462"/>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D904A6C" w14:textId="77777777" w:rsidR="002B09D5" w:rsidRPr="001F224B" w:rsidRDefault="002B09D5" w:rsidP="00844760">
            <w:pPr>
              <w:spacing w:line="230" w:lineRule="auto"/>
              <w:rPr>
                <w:b/>
                <w:bCs/>
                <w:sz w:val="20"/>
                <w:szCs w:val="20"/>
              </w:rPr>
            </w:pPr>
            <w:r w:rsidRPr="001F224B">
              <w:rPr>
                <w:b/>
                <w:bCs/>
                <w:sz w:val="20"/>
                <w:szCs w:val="20"/>
              </w:rPr>
              <w:t>Sermaye Sistemi </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4383DE1C" w14:textId="77777777" w:rsidR="002B09D5" w:rsidRPr="001F224B" w:rsidRDefault="002B09D5" w:rsidP="00844760">
            <w:pPr>
              <w:spacing w:line="230" w:lineRule="auto"/>
              <w:jc w:val="right"/>
              <w:rPr>
                <w:b/>
                <w:bCs/>
                <w:sz w:val="20"/>
                <w:szCs w:val="20"/>
              </w:rPr>
            </w:pPr>
            <w:r w:rsidRPr="001F224B">
              <w:rPr>
                <w:b/>
                <w:bCs/>
                <w:sz w:val="20"/>
                <w:szCs w:val="20"/>
              </w:rPr>
              <w:t>Ödenmiş Sermaye</w:t>
            </w:r>
          </w:p>
        </w:tc>
        <w:tc>
          <w:tcPr>
            <w:tcW w:w="2534" w:type="dxa"/>
            <w:tcBorders>
              <w:top w:val="single" w:sz="4" w:space="0" w:color="auto"/>
              <w:left w:val="nil"/>
              <w:bottom w:val="single" w:sz="4" w:space="0" w:color="auto"/>
              <w:right w:val="single" w:sz="4" w:space="0" w:color="auto"/>
            </w:tcBorders>
            <w:shd w:val="clear" w:color="000000" w:fill="FFFFFF"/>
            <w:vAlign w:val="bottom"/>
          </w:tcPr>
          <w:p w14:paraId="34ECBFF3" w14:textId="77777777" w:rsidR="002B09D5" w:rsidRPr="001F224B" w:rsidRDefault="002B09D5" w:rsidP="00844760">
            <w:pPr>
              <w:spacing w:line="230" w:lineRule="auto"/>
              <w:jc w:val="right"/>
              <w:rPr>
                <w:b/>
                <w:bCs/>
                <w:sz w:val="20"/>
                <w:szCs w:val="20"/>
              </w:rPr>
            </w:pPr>
            <w:r w:rsidRPr="001F224B">
              <w:rPr>
                <w:b/>
                <w:bCs/>
                <w:sz w:val="20"/>
                <w:szCs w:val="20"/>
              </w:rPr>
              <w:t xml:space="preserve">Tavan </w:t>
            </w:r>
          </w:p>
        </w:tc>
      </w:tr>
      <w:tr w:rsidR="002B09D5" w:rsidRPr="001F224B" w14:paraId="78D3FC44" w14:textId="77777777" w:rsidTr="00844760">
        <w:trPr>
          <w:trHeight w:val="170"/>
        </w:trPr>
        <w:tc>
          <w:tcPr>
            <w:tcW w:w="4466" w:type="dxa"/>
            <w:tcBorders>
              <w:top w:val="nil"/>
              <w:left w:val="single" w:sz="4" w:space="0" w:color="auto"/>
              <w:bottom w:val="single" w:sz="4" w:space="0" w:color="auto"/>
              <w:right w:val="single" w:sz="4" w:space="0" w:color="auto"/>
            </w:tcBorders>
            <w:shd w:val="clear" w:color="000000" w:fill="FFFFFF"/>
            <w:vAlign w:val="bottom"/>
          </w:tcPr>
          <w:p w14:paraId="217E77E5" w14:textId="77777777" w:rsidR="002B09D5" w:rsidRPr="001F224B" w:rsidRDefault="002B09D5" w:rsidP="00844760">
            <w:pPr>
              <w:spacing w:line="230" w:lineRule="auto"/>
              <w:rPr>
                <w:sz w:val="20"/>
                <w:szCs w:val="20"/>
              </w:rPr>
            </w:pPr>
            <w:r w:rsidRPr="001F224B">
              <w:rPr>
                <w:sz w:val="20"/>
                <w:szCs w:val="20"/>
              </w:rPr>
              <w:t>Kayıtlı Sermaye</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0BCA5374" w14:textId="742E8420" w:rsidR="002B09D5" w:rsidRPr="001F224B" w:rsidRDefault="00205EBE" w:rsidP="00844760">
            <w:pPr>
              <w:spacing w:line="230" w:lineRule="auto"/>
              <w:jc w:val="right"/>
              <w:rPr>
                <w:sz w:val="20"/>
                <w:szCs w:val="20"/>
              </w:rPr>
            </w:pPr>
            <w:r w:rsidRPr="001F224B">
              <w:rPr>
                <w:sz w:val="20"/>
                <w:szCs w:val="20"/>
              </w:rPr>
              <w:t>10.000.000</w:t>
            </w:r>
          </w:p>
        </w:tc>
        <w:tc>
          <w:tcPr>
            <w:tcW w:w="2534" w:type="dxa"/>
            <w:tcBorders>
              <w:top w:val="single" w:sz="4" w:space="0" w:color="auto"/>
              <w:left w:val="nil"/>
              <w:bottom w:val="single" w:sz="4" w:space="0" w:color="auto"/>
              <w:right w:val="single" w:sz="4" w:space="0" w:color="auto"/>
            </w:tcBorders>
            <w:shd w:val="clear" w:color="000000" w:fill="FFFFFF"/>
            <w:vAlign w:val="bottom"/>
          </w:tcPr>
          <w:p w14:paraId="6BF032A6" w14:textId="77777777" w:rsidR="002B09D5" w:rsidRPr="001F224B" w:rsidRDefault="002B09D5" w:rsidP="00844760">
            <w:pPr>
              <w:spacing w:line="230" w:lineRule="auto"/>
              <w:jc w:val="right"/>
              <w:rPr>
                <w:sz w:val="20"/>
                <w:szCs w:val="20"/>
              </w:rPr>
            </w:pPr>
            <w:r w:rsidRPr="001F224B">
              <w:rPr>
                <w:sz w:val="20"/>
                <w:szCs w:val="20"/>
              </w:rPr>
              <w:t>10.000.000</w:t>
            </w:r>
          </w:p>
        </w:tc>
      </w:tr>
    </w:tbl>
    <w:p w14:paraId="0294EA4A" w14:textId="2F591BED" w:rsidR="00935D3A" w:rsidRPr="001F224B" w:rsidRDefault="00C93C49" w:rsidP="00935D3A">
      <w:pPr>
        <w:pStyle w:val="BodyText"/>
        <w:tabs>
          <w:tab w:val="clear" w:pos="0"/>
          <w:tab w:val="clear" w:pos="567"/>
          <w:tab w:val="clear" w:pos="720"/>
        </w:tabs>
        <w:spacing w:before="120" w:after="120"/>
        <w:ind w:left="567" w:hanging="567"/>
        <w:rPr>
          <w:b/>
          <w:bCs/>
          <w:sz w:val="22"/>
          <w:szCs w:val="22"/>
        </w:rPr>
      </w:pPr>
      <w:r w:rsidRPr="001F224B">
        <w:rPr>
          <w:b/>
          <w:bCs/>
          <w:sz w:val="22"/>
          <w:szCs w:val="22"/>
        </w:rPr>
        <w:t>17</w:t>
      </w:r>
      <w:r w:rsidR="00935D3A" w:rsidRPr="001F224B">
        <w:rPr>
          <w:b/>
          <w:bCs/>
          <w:sz w:val="22"/>
          <w:szCs w:val="22"/>
        </w:rPr>
        <w:t>.c)</w:t>
      </w:r>
      <w:r w:rsidR="00935D3A" w:rsidRPr="001F224B">
        <w:rPr>
          <w:b/>
          <w:bCs/>
          <w:sz w:val="22"/>
          <w:szCs w:val="22"/>
        </w:rPr>
        <w:tab/>
        <w:t>Cari dönem içinde yapılan sermaye artırımları ve kaynakları ile arttırılan sermaye payına ilişkin diğer bilgiler:</w:t>
      </w: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954"/>
        <w:gridCol w:w="1954"/>
        <w:gridCol w:w="1954"/>
        <w:gridCol w:w="1954"/>
        <w:gridCol w:w="1955"/>
      </w:tblGrid>
      <w:tr w:rsidR="00791067" w:rsidRPr="001F224B" w14:paraId="0ECD49AA" w14:textId="77777777" w:rsidTr="00E07745">
        <w:trPr>
          <w:trHeight w:val="300"/>
        </w:trPr>
        <w:tc>
          <w:tcPr>
            <w:tcW w:w="1954" w:type="dxa"/>
            <w:shd w:val="clear" w:color="auto" w:fill="auto"/>
            <w:noWrap/>
            <w:vAlign w:val="center"/>
            <w:hideMark/>
          </w:tcPr>
          <w:p w14:paraId="62EBBB45" w14:textId="77777777" w:rsidR="00791067" w:rsidRPr="001F224B" w:rsidRDefault="00791067" w:rsidP="00E07745">
            <w:pPr>
              <w:ind w:firstLineChars="172" w:firstLine="344"/>
              <w:rPr>
                <w:b/>
                <w:bCs/>
                <w:sz w:val="20"/>
                <w:szCs w:val="20"/>
              </w:rPr>
            </w:pPr>
            <w:r w:rsidRPr="001F224B">
              <w:rPr>
                <w:b/>
                <w:bCs/>
                <w:sz w:val="20"/>
                <w:szCs w:val="20"/>
              </w:rPr>
              <w:t>Artırım Tarihi</w:t>
            </w:r>
          </w:p>
        </w:tc>
        <w:tc>
          <w:tcPr>
            <w:tcW w:w="1954" w:type="dxa"/>
            <w:shd w:val="clear" w:color="auto" w:fill="auto"/>
            <w:noWrap/>
            <w:vAlign w:val="center"/>
            <w:hideMark/>
          </w:tcPr>
          <w:p w14:paraId="087C23E1" w14:textId="77777777" w:rsidR="00791067" w:rsidRPr="001F224B" w:rsidRDefault="00791067" w:rsidP="00E07745">
            <w:pPr>
              <w:ind w:firstLineChars="34" w:firstLine="68"/>
              <w:jc w:val="right"/>
              <w:rPr>
                <w:b/>
                <w:bCs/>
                <w:sz w:val="20"/>
                <w:szCs w:val="20"/>
              </w:rPr>
            </w:pPr>
            <w:r w:rsidRPr="001F224B">
              <w:rPr>
                <w:b/>
                <w:bCs/>
                <w:sz w:val="20"/>
                <w:szCs w:val="20"/>
              </w:rPr>
              <w:t>Artırım Tutarı</w:t>
            </w:r>
          </w:p>
        </w:tc>
        <w:tc>
          <w:tcPr>
            <w:tcW w:w="1954" w:type="dxa"/>
            <w:shd w:val="clear" w:color="auto" w:fill="auto"/>
            <w:noWrap/>
            <w:vAlign w:val="center"/>
            <w:hideMark/>
          </w:tcPr>
          <w:p w14:paraId="1D79321A" w14:textId="77777777" w:rsidR="00791067" w:rsidRPr="001F224B" w:rsidRDefault="00791067" w:rsidP="00E07745">
            <w:pPr>
              <w:ind w:firstLineChars="300" w:firstLine="600"/>
              <w:jc w:val="right"/>
              <w:rPr>
                <w:b/>
                <w:bCs/>
                <w:sz w:val="20"/>
                <w:szCs w:val="20"/>
              </w:rPr>
            </w:pPr>
            <w:r w:rsidRPr="001F224B">
              <w:rPr>
                <w:b/>
                <w:bCs/>
                <w:sz w:val="20"/>
                <w:szCs w:val="20"/>
              </w:rPr>
              <w:t>Nakit</w:t>
            </w:r>
          </w:p>
        </w:tc>
        <w:tc>
          <w:tcPr>
            <w:tcW w:w="1954" w:type="dxa"/>
            <w:shd w:val="clear" w:color="auto" w:fill="auto"/>
            <w:noWrap/>
            <w:vAlign w:val="center"/>
            <w:hideMark/>
          </w:tcPr>
          <w:p w14:paraId="4D83CE3C" w14:textId="77777777" w:rsidR="00791067" w:rsidRPr="001F224B" w:rsidRDefault="00791067" w:rsidP="00E07745">
            <w:pPr>
              <w:ind w:firstLineChars="300" w:firstLine="600"/>
              <w:jc w:val="right"/>
              <w:rPr>
                <w:b/>
                <w:bCs/>
                <w:sz w:val="20"/>
                <w:szCs w:val="20"/>
              </w:rPr>
            </w:pPr>
            <w:r w:rsidRPr="001F224B">
              <w:rPr>
                <w:b/>
                <w:bCs/>
                <w:sz w:val="20"/>
                <w:szCs w:val="20"/>
              </w:rPr>
              <w:t> Artırıma Konu Edilen Kar Yedekleri</w:t>
            </w:r>
          </w:p>
        </w:tc>
        <w:tc>
          <w:tcPr>
            <w:tcW w:w="1955" w:type="dxa"/>
            <w:shd w:val="clear" w:color="auto" w:fill="auto"/>
            <w:noWrap/>
            <w:vAlign w:val="center"/>
            <w:hideMark/>
          </w:tcPr>
          <w:p w14:paraId="548BB5E1" w14:textId="77777777" w:rsidR="00791067" w:rsidRPr="001F224B" w:rsidRDefault="00791067" w:rsidP="00E07745">
            <w:pPr>
              <w:jc w:val="right"/>
              <w:rPr>
                <w:b/>
                <w:bCs/>
                <w:sz w:val="20"/>
                <w:szCs w:val="20"/>
              </w:rPr>
            </w:pPr>
            <w:r w:rsidRPr="001F224B">
              <w:rPr>
                <w:b/>
                <w:bCs/>
                <w:sz w:val="20"/>
                <w:szCs w:val="20"/>
              </w:rPr>
              <w:t>Artırıma Konu Edilen Sermaye Yedekleri</w:t>
            </w:r>
          </w:p>
        </w:tc>
      </w:tr>
      <w:tr w:rsidR="00791067" w:rsidRPr="001F224B" w14:paraId="17CFB51D" w14:textId="77777777" w:rsidTr="00E07745">
        <w:trPr>
          <w:trHeight w:val="300"/>
        </w:trPr>
        <w:tc>
          <w:tcPr>
            <w:tcW w:w="1954" w:type="dxa"/>
            <w:shd w:val="clear" w:color="auto" w:fill="auto"/>
            <w:noWrap/>
            <w:vAlign w:val="center"/>
          </w:tcPr>
          <w:p w14:paraId="748FB8D3" w14:textId="77777777" w:rsidR="00791067" w:rsidRPr="001F224B" w:rsidRDefault="00791067" w:rsidP="00E07745">
            <w:pPr>
              <w:ind w:firstLineChars="300" w:firstLine="600"/>
              <w:rPr>
                <w:sz w:val="20"/>
                <w:szCs w:val="20"/>
              </w:rPr>
            </w:pPr>
            <w:r w:rsidRPr="001F224B">
              <w:rPr>
                <w:sz w:val="20"/>
                <w:szCs w:val="20"/>
              </w:rPr>
              <w:t>18.06.2025</w:t>
            </w:r>
          </w:p>
        </w:tc>
        <w:tc>
          <w:tcPr>
            <w:tcW w:w="1954" w:type="dxa"/>
            <w:shd w:val="clear" w:color="auto" w:fill="auto"/>
            <w:noWrap/>
            <w:vAlign w:val="center"/>
          </w:tcPr>
          <w:p w14:paraId="48B26E16" w14:textId="77777777" w:rsidR="00791067" w:rsidRPr="001F224B" w:rsidRDefault="00791067" w:rsidP="00E07745">
            <w:pPr>
              <w:ind w:firstLineChars="300" w:firstLine="600"/>
              <w:jc w:val="right"/>
              <w:rPr>
                <w:sz w:val="20"/>
                <w:szCs w:val="20"/>
              </w:rPr>
            </w:pPr>
            <w:r w:rsidRPr="001F224B">
              <w:rPr>
                <w:sz w:val="20"/>
                <w:szCs w:val="20"/>
              </w:rPr>
              <w:t>4.500.000</w:t>
            </w:r>
          </w:p>
        </w:tc>
        <w:tc>
          <w:tcPr>
            <w:tcW w:w="1954" w:type="dxa"/>
            <w:shd w:val="clear" w:color="auto" w:fill="auto"/>
            <w:noWrap/>
            <w:vAlign w:val="center"/>
          </w:tcPr>
          <w:p w14:paraId="00363084" w14:textId="77777777" w:rsidR="00791067" w:rsidRPr="001F224B" w:rsidRDefault="00791067" w:rsidP="00E07745">
            <w:pPr>
              <w:ind w:firstLineChars="300" w:firstLine="600"/>
              <w:jc w:val="right"/>
              <w:rPr>
                <w:sz w:val="20"/>
                <w:szCs w:val="20"/>
              </w:rPr>
            </w:pPr>
            <w:r w:rsidRPr="001F224B">
              <w:rPr>
                <w:sz w:val="20"/>
                <w:szCs w:val="20"/>
              </w:rPr>
              <w:t>4.500.000</w:t>
            </w:r>
          </w:p>
        </w:tc>
        <w:tc>
          <w:tcPr>
            <w:tcW w:w="1954" w:type="dxa"/>
            <w:shd w:val="clear" w:color="auto" w:fill="auto"/>
            <w:noWrap/>
            <w:vAlign w:val="center"/>
          </w:tcPr>
          <w:p w14:paraId="39EFE85C" w14:textId="77777777" w:rsidR="00791067" w:rsidRPr="001F224B" w:rsidRDefault="00791067" w:rsidP="00E07745">
            <w:pPr>
              <w:ind w:firstLineChars="300" w:firstLine="600"/>
              <w:jc w:val="right"/>
              <w:rPr>
                <w:b/>
                <w:bCs/>
                <w:sz w:val="20"/>
                <w:szCs w:val="20"/>
              </w:rPr>
            </w:pPr>
            <w:r w:rsidRPr="001F224B">
              <w:rPr>
                <w:b/>
                <w:bCs/>
                <w:sz w:val="20"/>
                <w:szCs w:val="20"/>
              </w:rPr>
              <w:t>-</w:t>
            </w:r>
          </w:p>
        </w:tc>
        <w:tc>
          <w:tcPr>
            <w:tcW w:w="1955" w:type="dxa"/>
            <w:shd w:val="clear" w:color="auto" w:fill="auto"/>
            <w:noWrap/>
            <w:vAlign w:val="center"/>
          </w:tcPr>
          <w:p w14:paraId="43B1D1F0" w14:textId="77777777" w:rsidR="00791067" w:rsidRPr="001F224B" w:rsidRDefault="00791067" w:rsidP="00E07745">
            <w:pPr>
              <w:ind w:firstLineChars="300" w:firstLine="600"/>
              <w:jc w:val="right"/>
              <w:rPr>
                <w:b/>
                <w:bCs/>
                <w:sz w:val="20"/>
                <w:szCs w:val="20"/>
              </w:rPr>
            </w:pPr>
            <w:r w:rsidRPr="001F224B">
              <w:rPr>
                <w:b/>
                <w:bCs/>
                <w:sz w:val="20"/>
                <w:szCs w:val="20"/>
              </w:rPr>
              <w:t>-</w:t>
            </w:r>
          </w:p>
        </w:tc>
      </w:tr>
    </w:tbl>
    <w:p w14:paraId="30F144DC" w14:textId="20D5A547" w:rsidR="00935D3A" w:rsidRPr="001F224B" w:rsidRDefault="00C93C49" w:rsidP="00935D3A">
      <w:pPr>
        <w:tabs>
          <w:tab w:val="left" w:pos="-2160"/>
          <w:tab w:val="left" w:pos="567"/>
        </w:tabs>
        <w:spacing w:before="120" w:after="120"/>
        <w:jc w:val="both"/>
        <w:rPr>
          <w:b/>
          <w:bCs/>
          <w:sz w:val="22"/>
          <w:szCs w:val="22"/>
        </w:rPr>
      </w:pPr>
      <w:r w:rsidRPr="001F224B">
        <w:rPr>
          <w:b/>
          <w:bCs/>
          <w:sz w:val="22"/>
          <w:szCs w:val="22"/>
        </w:rPr>
        <w:t>17</w:t>
      </w:r>
      <w:r w:rsidR="00935D3A" w:rsidRPr="001F224B">
        <w:rPr>
          <w:b/>
          <w:bCs/>
          <w:sz w:val="22"/>
          <w:szCs w:val="22"/>
        </w:rPr>
        <w:t>.ç)</w:t>
      </w:r>
      <w:r w:rsidR="00935D3A" w:rsidRPr="001F224B">
        <w:rPr>
          <w:b/>
          <w:bCs/>
          <w:sz w:val="22"/>
          <w:szCs w:val="22"/>
        </w:rPr>
        <w:tab/>
        <w:t>Cari dönem içinde sermaye yedeklerinden sermayeye ilave edilen kısma ilişkin bilgiler:</w:t>
      </w:r>
    </w:p>
    <w:p w14:paraId="32EB8217" w14:textId="77777777" w:rsidR="00935D3A" w:rsidRPr="001F224B" w:rsidRDefault="00935D3A" w:rsidP="00935D3A">
      <w:pPr>
        <w:pStyle w:val="BodyText3"/>
        <w:tabs>
          <w:tab w:val="clear" w:pos="539"/>
          <w:tab w:val="clear" w:pos="5310"/>
          <w:tab w:val="clear" w:pos="7560"/>
        </w:tabs>
        <w:ind w:left="567"/>
        <w:jc w:val="both"/>
        <w:rPr>
          <w:iCs/>
          <w:sz w:val="22"/>
          <w:szCs w:val="22"/>
        </w:rPr>
      </w:pPr>
      <w:r w:rsidRPr="001F224B">
        <w:rPr>
          <w:iCs/>
          <w:sz w:val="22"/>
          <w:szCs w:val="22"/>
        </w:rPr>
        <w:t>Cari dönem içinde sermaye yedeklerinden sermayeye ilave edilen kısım bulunmamaktadır.</w:t>
      </w:r>
    </w:p>
    <w:p w14:paraId="0FEA81DA" w14:textId="3BC53B5D" w:rsidR="00935D3A" w:rsidRPr="001F224B" w:rsidRDefault="00935D3A" w:rsidP="00935D3A">
      <w:pPr>
        <w:tabs>
          <w:tab w:val="left" w:pos="-2160"/>
        </w:tabs>
        <w:spacing w:before="120" w:after="120"/>
        <w:ind w:left="567" w:hanging="567"/>
        <w:jc w:val="both"/>
        <w:rPr>
          <w:b/>
          <w:bCs/>
          <w:sz w:val="22"/>
          <w:szCs w:val="22"/>
        </w:rPr>
      </w:pPr>
      <w:r w:rsidRPr="001F224B">
        <w:rPr>
          <w:b/>
          <w:bCs/>
          <w:sz w:val="22"/>
          <w:szCs w:val="22"/>
        </w:rPr>
        <w:t>1</w:t>
      </w:r>
      <w:r w:rsidR="00C93C49" w:rsidRPr="001F224B">
        <w:rPr>
          <w:b/>
          <w:bCs/>
          <w:sz w:val="22"/>
          <w:szCs w:val="22"/>
        </w:rPr>
        <w:t>7</w:t>
      </w:r>
      <w:r w:rsidRPr="001F224B">
        <w:rPr>
          <w:b/>
          <w:bCs/>
          <w:sz w:val="22"/>
          <w:szCs w:val="22"/>
        </w:rPr>
        <w:t>.d)</w:t>
      </w:r>
      <w:r w:rsidRPr="001F224B">
        <w:rPr>
          <w:b/>
          <w:bCs/>
          <w:sz w:val="22"/>
          <w:szCs w:val="22"/>
        </w:rPr>
        <w:tab/>
        <w:t>Son mali yılın ve onu takip eden ara dönemin sonuna kadar olan sermaye taahhütleri, bu taahhütlerin genel amacı ve bu taahhütler için gerekli tahmini kaynaklar:</w:t>
      </w:r>
    </w:p>
    <w:p w14:paraId="32844557" w14:textId="77777777" w:rsidR="00935D3A" w:rsidRPr="001F224B" w:rsidRDefault="00935D3A" w:rsidP="00935D3A">
      <w:pPr>
        <w:pStyle w:val="BodyText"/>
        <w:tabs>
          <w:tab w:val="clear" w:pos="0"/>
          <w:tab w:val="clear" w:pos="567"/>
          <w:tab w:val="clear" w:pos="720"/>
        </w:tabs>
        <w:ind w:left="567"/>
        <w:rPr>
          <w:sz w:val="22"/>
          <w:szCs w:val="22"/>
        </w:rPr>
      </w:pPr>
      <w:r w:rsidRPr="001F224B">
        <w:rPr>
          <w:sz w:val="22"/>
          <w:szCs w:val="22"/>
        </w:rPr>
        <w:t>Sermaye harcamalarına yönelik taahhüt olmamıştır.</w:t>
      </w:r>
    </w:p>
    <w:p w14:paraId="7C5CD414" w14:textId="77777777" w:rsidR="00816FFC" w:rsidRPr="001F224B" w:rsidRDefault="00816FFC" w:rsidP="00816FFC">
      <w:pPr>
        <w:spacing w:line="360" w:lineRule="auto"/>
        <w:ind w:left="567" w:hanging="567"/>
        <w:jc w:val="both"/>
        <w:rPr>
          <w:b/>
          <w:bCs/>
          <w:sz w:val="22"/>
          <w:szCs w:val="22"/>
        </w:rPr>
      </w:pPr>
      <w:r w:rsidRPr="001F224B">
        <w:rPr>
          <w:b/>
          <w:bCs/>
          <w:sz w:val="22"/>
          <w:szCs w:val="22"/>
        </w:rPr>
        <w:t>17.e) Yasal yedeklere ilişkin bilgiler:</w:t>
      </w:r>
    </w:p>
    <w:tbl>
      <w:tblPr>
        <w:tblW w:w="9813" w:type="dxa"/>
        <w:tblInd w:w="23" w:type="dxa"/>
        <w:tblLayout w:type="fixed"/>
        <w:tblCellMar>
          <w:left w:w="70" w:type="dxa"/>
          <w:right w:w="70" w:type="dxa"/>
        </w:tblCellMar>
        <w:tblLook w:val="00A0" w:firstRow="1" w:lastRow="0" w:firstColumn="1" w:lastColumn="0" w:noHBand="0" w:noVBand="0"/>
      </w:tblPr>
      <w:tblGrid>
        <w:gridCol w:w="4466"/>
        <w:gridCol w:w="2793"/>
        <w:gridCol w:w="2554"/>
      </w:tblGrid>
      <w:tr w:rsidR="00816FFC" w:rsidRPr="001F224B" w14:paraId="665862E8" w14:textId="77777777" w:rsidTr="00EC6E5D">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040FB3B" w14:textId="77777777" w:rsidR="00816FFC" w:rsidRPr="001F224B" w:rsidRDefault="00816FFC" w:rsidP="008A781B">
            <w:pPr>
              <w:jc w:val="center"/>
              <w:rPr>
                <w:sz w:val="20"/>
                <w:szCs w:val="20"/>
              </w:rPr>
            </w:pPr>
            <w:r w:rsidRPr="001F224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66E956F" w14:textId="77777777" w:rsidR="004C0676" w:rsidRPr="001F224B" w:rsidRDefault="004C0676" w:rsidP="004C0676">
            <w:pPr>
              <w:jc w:val="center"/>
              <w:rPr>
                <w:b/>
                <w:bCs/>
                <w:sz w:val="20"/>
                <w:szCs w:val="20"/>
              </w:rPr>
            </w:pPr>
            <w:r w:rsidRPr="001F224B">
              <w:rPr>
                <w:b/>
                <w:bCs/>
                <w:sz w:val="20"/>
                <w:szCs w:val="20"/>
              </w:rPr>
              <w:t xml:space="preserve">Cari Dönem </w:t>
            </w:r>
          </w:p>
          <w:p w14:paraId="24B93DFE" w14:textId="12F9CC89" w:rsidR="00816FFC" w:rsidRPr="001F224B" w:rsidRDefault="004C0676" w:rsidP="004C0676">
            <w:pPr>
              <w:jc w:val="center"/>
              <w:rPr>
                <w:b/>
                <w:bCs/>
                <w:sz w:val="20"/>
                <w:szCs w:val="20"/>
              </w:rPr>
            </w:pPr>
            <w:r w:rsidRPr="001F224B">
              <w:rPr>
                <w:b/>
                <w:bCs/>
                <w:sz w:val="20"/>
                <w:szCs w:val="20"/>
              </w:rPr>
              <w:t>(3</w:t>
            </w:r>
            <w:r w:rsidR="002419A2" w:rsidRPr="001F224B">
              <w:rPr>
                <w:b/>
                <w:bCs/>
                <w:sz w:val="20"/>
                <w:szCs w:val="20"/>
              </w:rPr>
              <w:t>0</w:t>
            </w:r>
            <w:r w:rsidRPr="001F224B">
              <w:rPr>
                <w:b/>
                <w:bCs/>
                <w:sz w:val="20"/>
                <w:szCs w:val="20"/>
              </w:rPr>
              <w:t>.</w:t>
            </w:r>
            <w:r w:rsidR="00372905" w:rsidRPr="001F224B">
              <w:rPr>
                <w:b/>
                <w:bCs/>
                <w:sz w:val="20"/>
                <w:szCs w:val="20"/>
              </w:rPr>
              <w:t>0</w:t>
            </w:r>
            <w:r w:rsidR="002419A2" w:rsidRPr="001F224B">
              <w:rPr>
                <w:b/>
                <w:bCs/>
                <w:sz w:val="20"/>
                <w:szCs w:val="20"/>
              </w:rPr>
              <w:t>6</w:t>
            </w:r>
            <w:r w:rsidRPr="001F224B">
              <w:rPr>
                <w:b/>
                <w:bCs/>
                <w:sz w:val="20"/>
                <w:szCs w:val="20"/>
              </w:rPr>
              <w:t>.202</w:t>
            </w:r>
            <w:r w:rsidR="00372905" w:rsidRPr="001F224B">
              <w:rPr>
                <w:b/>
                <w:bCs/>
                <w:sz w:val="20"/>
                <w:szCs w:val="20"/>
              </w:rPr>
              <w:t>5</w:t>
            </w:r>
            <w:r w:rsidRPr="001F224B">
              <w:rPr>
                <w:b/>
                <w:bCs/>
                <w:sz w:val="20"/>
                <w:szCs w:val="20"/>
              </w:rPr>
              <w:t>)</w:t>
            </w:r>
          </w:p>
        </w:tc>
        <w:tc>
          <w:tcPr>
            <w:tcW w:w="2554" w:type="dxa"/>
            <w:tcBorders>
              <w:top w:val="single" w:sz="4" w:space="0" w:color="auto"/>
              <w:left w:val="nil"/>
              <w:bottom w:val="single" w:sz="4" w:space="0" w:color="auto"/>
              <w:right w:val="single" w:sz="4" w:space="0" w:color="auto"/>
            </w:tcBorders>
            <w:shd w:val="clear" w:color="000000" w:fill="FFFFFF"/>
            <w:vAlign w:val="bottom"/>
          </w:tcPr>
          <w:p w14:paraId="718C0087" w14:textId="77777777" w:rsidR="00816FFC" w:rsidRPr="001F224B" w:rsidRDefault="00816FFC" w:rsidP="008A781B">
            <w:pPr>
              <w:jc w:val="center"/>
              <w:rPr>
                <w:b/>
                <w:bCs/>
                <w:sz w:val="20"/>
                <w:szCs w:val="20"/>
              </w:rPr>
            </w:pPr>
            <w:r w:rsidRPr="001F224B">
              <w:rPr>
                <w:b/>
                <w:bCs/>
                <w:sz w:val="20"/>
                <w:szCs w:val="20"/>
              </w:rPr>
              <w:t>Önceki Dönem</w:t>
            </w:r>
          </w:p>
          <w:p w14:paraId="22FD3148" w14:textId="63F16D96" w:rsidR="00816FFC" w:rsidRPr="001F224B" w:rsidRDefault="00816FFC" w:rsidP="008A781B">
            <w:pPr>
              <w:jc w:val="center"/>
              <w:rPr>
                <w:b/>
                <w:bCs/>
                <w:sz w:val="20"/>
                <w:szCs w:val="20"/>
              </w:rPr>
            </w:pPr>
            <w:r w:rsidRPr="001F224B">
              <w:rPr>
                <w:b/>
                <w:bCs/>
                <w:sz w:val="20"/>
                <w:szCs w:val="20"/>
              </w:rPr>
              <w:t>(31.12.202</w:t>
            </w:r>
            <w:r w:rsidR="00372905" w:rsidRPr="001F224B">
              <w:rPr>
                <w:b/>
                <w:bCs/>
                <w:sz w:val="20"/>
                <w:szCs w:val="20"/>
              </w:rPr>
              <w:t>4</w:t>
            </w:r>
            <w:r w:rsidRPr="001F224B">
              <w:rPr>
                <w:b/>
                <w:bCs/>
                <w:sz w:val="20"/>
                <w:szCs w:val="20"/>
              </w:rPr>
              <w:t>)</w:t>
            </w:r>
          </w:p>
        </w:tc>
      </w:tr>
      <w:tr w:rsidR="00205EBE" w:rsidRPr="001F224B" w14:paraId="6D40FE82" w14:textId="77777777" w:rsidTr="00205EBE">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67D7509F" w14:textId="77777777" w:rsidR="00205EBE" w:rsidRPr="001F224B" w:rsidRDefault="00205EBE" w:rsidP="00205EBE">
            <w:pPr>
              <w:rPr>
                <w:sz w:val="20"/>
                <w:szCs w:val="20"/>
              </w:rPr>
            </w:pPr>
            <w:r w:rsidRPr="001F224B">
              <w:rPr>
                <w:bCs/>
                <w:sz w:val="20"/>
                <w:szCs w:val="20"/>
              </w:rPr>
              <w:t>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A3CC4A5" w14:textId="08E7419C" w:rsidR="00205EBE" w:rsidRPr="001F224B" w:rsidRDefault="00205EBE" w:rsidP="00205EBE">
            <w:pPr>
              <w:jc w:val="right"/>
              <w:rPr>
                <w:color w:val="000000"/>
                <w:sz w:val="20"/>
                <w:szCs w:val="20"/>
              </w:rPr>
            </w:pPr>
            <w:r w:rsidRPr="001F224B">
              <w:rPr>
                <w:color w:val="000000"/>
                <w:sz w:val="20"/>
                <w:szCs w:val="20"/>
              </w:rPr>
              <w:t>716.525</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center"/>
          </w:tcPr>
          <w:p w14:paraId="1850C277" w14:textId="7F789ACE" w:rsidR="00205EBE" w:rsidRPr="001F224B" w:rsidRDefault="00205EBE" w:rsidP="00205EBE">
            <w:pPr>
              <w:jc w:val="right"/>
              <w:rPr>
                <w:sz w:val="20"/>
                <w:szCs w:val="20"/>
              </w:rPr>
            </w:pPr>
            <w:r w:rsidRPr="001F224B">
              <w:rPr>
                <w:color w:val="000000"/>
                <w:sz w:val="20"/>
                <w:szCs w:val="20"/>
              </w:rPr>
              <w:t>408.146</w:t>
            </w:r>
          </w:p>
        </w:tc>
      </w:tr>
      <w:tr w:rsidR="00205EBE" w:rsidRPr="001F224B" w14:paraId="0CFEEE76" w14:textId="77777777" w:rsidTr="00205EB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70B2AA" w14:textId="77777777" w:rsidR="00205EBE" w:rsidRPr="001F224B" w:rsidRDefault="00205EBE" w:rsidP="00205EBE">
            <w:pPr>
              <w:rPr>
                <w:sz w:val="20"/>
                <w:szCs w:val="20"/>
              </w:rPr>
            </w:pPr>
            <w:r w:rsidRPr="001F224B">
              <w:rPr>
                <w:bCs/>
                <w:sz w:val="20"/>
                <w:szCs w:val="20"/>
              </w:rPr>
              <w:t>II.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0B832443" w14:textId="0A7847B0" w:rsidR="00205EBE" w:rsidRPr="001F224B" w:rsidRDefault="00205EBE" w:rsidP="00205EBE">
            <w:pPr>
              <w:jc w:val="right"/>
              <w:rPr>
                <w:color w:val="000000"/>
                <w:sz w:val="20"/>
                <w:szCs w:val="20"/>
              </w:rPr>
            </w:pPr>
            <w:r w:rsidRPr="001F224B">
              <w:rPr>
                <w:color w:val="000000"/>
                <w:sz w:val="20"/>
                <w:szCs w:val="20"/>
              </w:rPr>
              <w:t>14.471</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center"/>
          </w:tcPr>
          <w:p w14:paraId="4112E599" w14:textId="042D4AEE" w:rsidR="00205EBE" w:rsidRPr="001F224B" w:rsidRDefault="00205EBE" w:rsidP="00205EBE">
            <w:pPr>
              <w:jc w:val="right"/>
              <w:rPr>
                <w:sz w:val="20"/>
                <w:szCs w:val="20"/>
              </w:rPr>
            </w:pPr>
            <w:r w:rsidRPr="001F224B">
              <w:rPr>
                <w:color w:val="000000"/>
                <w:sz w:val="20"/>
                <w:szCs w:val="20"/>
              </w:rPr>
              <w:t>14.471</w:t>
            </w:r>
          </w:p>
        </w:tc>
      </w:tr>
      <w:tr w:rsidR="00205EBE" w:rsidRPr="001F224B" w14:paraId="4460AEDE" w14:textId="77777777" w:rsidTr="00205EB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2B0ECA1C" w14:textId="77777777" w:rsidR="00205EBE" w:rsidRPr="001F224B" w:rsidRDefault="00205EBE" w:rsidP="00205EBE">
            <w:pPr>
              <w:rPr>
                <w:sz w:val="20"/>
                <w:szCs w:val="20"/>
              </w:rPr>
            </w:pPr>
            <w:r w:rsidRPr="001F224B">
              <w:rPr>
                <w:bCs/>
                <w:sz w:val="20"/>
                <w:szCs w:val="20"/>
              </w:rPr>
              <w:t>Özel Kanunlar Gereği Ayrılan Yedek Akçeler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16C5236" w14:textId="195C54F7" w:rsidR="00205EBE" w:rsidRPr="001F224B" w:rsidRDefault="00205EBE" w:rsidP="00205EBE">
            <w:pPr>
              <w:jc w:val="right"/>
              <w:rPr>
                <w:color w:val="000000"/>
                <w:sz w:val="20"/>
                <w:szCs w:val="20"/>
              </w:rPr>
            </w:pPr>
            <w:r w:rsidRPr="001F224B">
              <w:rPr>
                <w:color w:val="000000"/>
                <w:sz w:val="20"/>
                <w:szCs w:val="20"/>
              </w:rPr>
              <w:t>-</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center"/>
          </w:tcPr>
          <w:p w14:paraId="639ACABD" w14:textId="17824333" w:rsidR="00205EBE" w:rsidRPr="001F224B" w:rsidRDefault="00205EBE" w:rsidP="00205EBE">
            <w:pPr>
              <w:jc w:val="right"/>
              <w:rPr>
                <w:sz w:val="20"/>
                <w:szCs w:val="20"/>
              </w:rPr>
            </w:pPr>
            <w:r w:rsidRPr="001F224B">
              <w:rPr>
                <w:color w:val="000000"/>
                <w:sz w:val="20"/>
                <w:szCs w:val="20"/>
              </w:rPr>
              <w:t>-</w:t>
            </w:r>
          </w:p>
        </w:tc>
      </w:tr>
      <w:tr w:rsidR="00205EBE" w:rsidRPr="001F224B" w14:paraId="0BE9949C" w14:textId="77777777" w:rsidTr="00205EB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4C215E4D" w14:textId="77777777" w:rsidR="00205EBE" w:rsidRPr="001F224B" w:rsidRDefault="00205EBE" w:rsidP="00205EBE">
            <w:pPr>
              <w:rPr>
                <w:sz w:val="20"/>
                <w:szCs w:val="20"/>
              </w:rPr>
            </w:pPr>
            <w:r w:rsidRPr="001F224B">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72BA024" w14:textId="17F1A2D3" w:rsidR="00205EBE" w:rsidRPr="001F224B" w:rsidRDefault="00205EBE" w:rsidP="00205EBE">
            <w:pPr>
              <w:jc w:val="right"/>
              <w:rPr>
                <w:b/>
                <w:bCs/>
                <w:color w:val="000000"/>
                <w:sz w:val="20"/>
                <w:szCs w:val="20"/>
              </w:rPr>
            </w:pPr>
            <w:r w:rsidRPr="001F224B">
              <w:rPr>
                <w:b/>
                <w:bCs/>
                <w:color w:val="000000"/>
                <w:sz w:val="20"/>
                <w:szCs w:val="20"/>
              </w:rPr>
              <w:t>730.996</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center"/>
          </w:tcPr>
          <w:p w14:paraId="1FAB5BB3" w14:textId="130AF8E0" w:rsidR="00205EBE" w:rsidRPr="001F224B" w:rsidRDefault="00205EBE" w:rsidP="00205EBE">
            <w:pPr>
              <w:jc w:val="right"/>
              <w:rPr>
                <w:sz w:val="20"/>
                <w:szCs w:val="20"/>
              </w:rPr>
            </w:pPr>
            <w:r w:rsidRPr="001F224B">
              <w:rPr>
                <w:b/>
                <w:bCs/>
                <w:color w:val="000000"/>
                <w:sz w:val="20"/>
                <w:szCs w:val="20"/>
              </w:rPr>
              <w:t>422.617</w:t>
            </w:r>
          </w:p>
        </w:tc>
      </w:tr>
    </w:tbl>
    <w:p w14:paraId="1A8AF509" w14:textId="77777777" w:rsidR="0024157D" w:rsidRPr="001F224B" w:rsidRDefault="0024157D" w:rsidP="00816FFC">
      <w:pPr>
        <w:spacing w:line="360" w:lineRule="auto"/>
        <w:ind w:left="567" w:hanging="567"/>
        <w:jc w:val="both"/>
        <w:rPr>
          <w:b/>
          <w:bCs/>
          <w:sz w:val="2"/>
          <w:szCs w:val="2"/>
        </w:rPr>
      </w:pPr>
    </w:p>
    <w:p w14:paraId="088D357A" w14:textId="4A22224E" w:rsidR="00816FFC" w:rsidRPr="001F224B" w:rsidRDefault="00816FFC" w:rsidP="00816FFC">
      <w:pPr>
        <w:spacing w:line="360" w:lineRule="auto"/>
        <w:ind w:left="567" w:hanging="567"/>
        <w:jc w:val="both"/>
        <w:rPr>
          <w:b/>
          <w:bCs/>
          <w:sz w:val="22"/>
          <w:szCs w:val="22"/>
        </w:rPr>
      </w:pPr>
      <w:r w:rsidRPr="001F224B">
        <w:rPr>
          <w:b/>
          <w:bCs/>
          <w:sz w:val="22"/>
          <w:szCs w:val="22"/>
        </w:rPr>
        <w:t>17.f) Olağanüstü yedeklere ilişkin bilgiler:</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16FFC" w:rsidRPr="001F224B" w14:paraId="7694DCFA"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C492CB0" w14:textId="77777777" w:rsidR="00816FFC" w:rsidRPr="001F224B" w:rsidRDefault="00816FFC" w:rsidP="008A781B">
            <w:pPr>
              <w:jc w:val="center"/>
              <w:rPr>
                <w:sz w:val="20"/>
                <w:szCs w:val="20"/>
              </w:rPr>
            </w:pPr>
            <w:r w:rsidRPr="001F224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54F67B11" w14:textId="77777777" w:rsidR="004C0676" w:rsidRPr="001F224B" w:rsidRDefault="004C0676" w:rsidP="004C0676">
            <w:pPr>
              <w:jc w:val="center"/>
              <w:rPr>
                <w:b/>
                <w:bCs/>
                <w:sz w:val="20"/>
                <w:szCs w:val="20"/>
              </w:rPr>
            </w:pPr>
            <w:r w:rsidRPr="001F224B">
              <w:rPr>
                <w:b/>
                <w:bCs/>
                <w:sz w:val="20"/>
                <w:szCs w:val="20"/>
              </w:rPr>
              <w:t xml:space="preserve">Cari Dönem </w:t>
            </w:r>
          </w:p>
          <w:p w14:paraId="6848F68D" w14:textId="75B9D549" w:rsidR="00816FFC" w:rsidRPr="001F224B" w:rsidRDefault="004C0676" w:rsidP="004C0676">
            <w:pPr>
              <w:jc w:val="center"/>
              <w:rPr>
                <w:b/>
                <w:bCs/>
                <w:sz w:val="20"/>
                <w:szCs w:val="20"/>
              </w:rPr>
            </w:pPr>
            <w:r w:rsidRPr="001F224B">
              <w:rPr>
                <w:b/>
                <w:bCs/>
                <w:sz w:val="20"/>
                <w:szCs w:val="20"/>
              </w:rPr>
              <w:t>(3</w:t>
            </w:r>
            <w:r w:rsidR="002419A2" w:rsidRPr="001F224B">
              <w:rPr>
                <w:b/>
                <w:bCs/>
                <w:sz w:val="20"/>
                <w:szCs w:val="20"/>
              </w:rPr>
              <w:t>0</w:t>
            </w:r>
            <w:r w:rsidRPr="001F224B">
              <w:rPr>
                <w:b/>
                <w:bCs/>
                <w:sz w:val="20"/>
                <w:szCs w:val="20"/>
              </w:rPr>
              <w:t>.</w:t>
            </w:r>
            <w:r w:rsidR="00372905" w:rsidRPr="001F224B">
              <w:rPr>
                <w:b/>
                <w:bCs/>
                <w:sz w:val="20"/>
                <w:szCs w:val="20"/>
              </w:rPr>
              <w:t>0</w:t>
            </w:r>
            <w:r w:rsidR="002419A2" w:rsidRPr="001F224B">
              <w:rPr>
                <w:b/>
                <w:bCs/>
                <w:sz w:val="20"/>
                <w:szCs w:val="20"/>
              </w:rPr>
              <w:t>6</w:t>
            </w:r>
            <w:r w:rsidRPr="001F224B">
              <w:rPr>
                <w:b/>
                <w:bCs/>
                <w:sz w:val="20"/>
                <w:szCs w:val="20"/>
              </w:rPr>
              <w:t>.202</w:t>
            </w:r>
            <w:r w:rsidR="00372905" w:rsidRPr="001F224B">
              <w:rPr>
                <w:b/>
                <w:bCs/>
                <w:sz w:val="20"/>
                <w:szCs w:val="20"/>
              </w:rPr>
              <w:t>5</w:t>
            </w:r>
            <w:r w:rsidRPr="001F224B">
              <w:rPr>
                <w:b/>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2276FFD" w14:textId="77777777" w:rsidR="00816FFC" w:rsidRPr="001F224B" w:rsidRDefault="00816FFC" w:rsidP="008A781B">
            <w:pPr>
              <w:jc w:val="center"/>
              <w:rPr>
                <w:b/>
                <w:bCs/>
                <w:sz w:val="20"/>
                <w:szCs w:val="20"/>
              </w:rPr>
            </w:pPr>
            <w:r w:rsidRPr="001F224B">
              <w:rPr>
                <w:b/>
                <w:bCs/>
                <w:sz w:val="20"/>
                <w:szCs w:val="20"/>
              </w:rPr>
              <w:t>Önceki Dönem</w:t>
            </w:r>
          </w:p>
          <w:p w14:paraId="4E0024E9" w14:textId="24A7481D" w:rsidR="00816FFC" w:rsidRPr="001F224B" w:rsidRDefault="00816FFC" w:rsidP="008A781B">
            <w:pPr>
              <w:jc w:val="center"/>
              <w:rPr>
                <w:b/>
                <w:bCs/>
                <w:sz w:val="20"/>
                <w:szCs w:val="20"/>
              </w:rPr>
            </w:pPr>
            <w:r w:rsidRPr="001F224B">
              <w:rPr>
                <w:b/>
                <w:bCs/>
                <w:sz w:val="20"/>
                <w:szCs w:val="20"/>
              </w:rPr>
              <w:t>(31.12.202</w:t>
            </w:r>
            <w:r w:rsidR="00372905" w:rsidRPr="001F224B">
              <w:rPr>
                <w:b/>
                <w:bCs/>
                <w:sz w:val="20"/>
                <w:szCs w:val="20"/>
              </w:rPr>
              <w:t>4</w:t>
            </w:r>
            <w:r w:rsidRPr="001F224B">
              <w:rPr>
                <w:b/>
                <w:bCs/>
                <w:sz w:val="20"/>
                <w:szCs w:val="20"/>
              </w:rPr>
              <w:t>)</w:t>
            </w:r>
          </w:p>
        </w:tc>
      </w:tr>
      <w:tr w:rsidR="00372905" w:rsidRPr="001F224B" w14:paraId="2AB23DDB" w14:textId="77777777" w:rsidTr="0033482E">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47EE56F6" w14:textId="77777777" w:rsidR="00372905" w:rsidRPr="001F224B" w:rsidRDefault="00372905" w:rsidP="00372905">
            <w:pPr>
              <w:rPr>
                <w:sz w:val="20"/>
                <w:szCs w:val="20"/>
              </w:rPr>
            </w:pPr>
            <w:r w:rsidRPr="001F224B">
              <w:rPr>
                <w:bCs/>
                <w:sz w:val="20"/>
                <w:szCs w:val="20"/>
              </w:rPr>
              <w:t>Genel Kurul Kararı Uyarınca Ayrılan Yedek Akçe</w:t>
            </w:r>
          </w:p>
        </w:tc>
        <w:tc>
          <w:tcPr>
            <w:tcW w:w="2793" w:type="dxa"/>
            <w:tcBorders>
              <w:top w:val="single" w:sz="4" w:space="0" w:color="auto"/>
              <w:left w:val="nil"/>
              <w:bottom w:val="single" w:sz="4" w:space="0" w:color="auto"/>
              <w:right w:val="single" w:sz="4" w:space="0" w:color="auto"/>
            </w:tcBorders>
            <w:shd w:val="clear" w:color="000000" w:fill="FFFFFF"/>
          </w:tcPr>
          <w:p w14:paraId="1D8AE3D3" w14:textId="615ECFEB" w:rsidR="00372905" w:rsidRPr="001F224B" w:rsidRDefault="00205EBE" w:rsidP="00372905">
            <w:pPr>
              <w:jc w:val="right"/>
              <w:rPr>
                <w:color w:val="000000"/>
                <w:sz w:val="20"/>
                <w:szCs w:val="20"/>
              </w:rPr>
            </w:pPr>
            <w:r w:rsidRPr="001F224B">
              <w:rPr>
                <w:color w:val="000000"/>
                <w:sz w:val="20"/>
                <w:szCs w:val="20"/>
              </w:rPr>
              <w:t>13.403.533</w:t>
            </w:r>
          </w:p>
        </w:tc>
        <w:tc>
          <w:tcPr>
            <w:tcW w:w="2540" w:type="dxa"/>
            <w:tcBorders>
              <w:top w:val="single" w:sz="4" w:space="0" w:color="auto"/>
              <w:left w:val="nil"/>
              <w:bottom w:val="single" w:sz="4" w:space="0" w:color="auto"/>
              <w:right w:val="single" w:sz="4" w:space="0" w:color="auto"/>
            </w:tcBorders>
            <w:shd w:val="clear" w:color="000000" w:fill="FFFFFF"/>
          </w:tcPr>
          <w:p w14:paraId="7452E1ED" w14:textId="211DA2F0" w:rsidR="00372905" w:rsidRPr="001F224B" w:rsidRDefault="00372905" w:rsidP="00372905">
            <w:pPr>
              <w:jc w:val="right"/>
              <w:rPr>
                <w:sz w:val="20"/>
                <w:szCs w:val="20"/>
              </w:rPr>
            </w:pPr>
            <w:r w:rsidRPr="001F224B">
              <w:rPr>
                <w:color w:val="000000"/>
                <w:sz w:val="20"/>
                <w:szCs w:val="20"/>
              </w:rPr>
              <w:t>7.536.109</w:t>
            </w:r>
          </w:p>
        </w:tc>
      </w:tr>
      <w:tr w:rsidR="00372905" w:rsidRPr="001F224B" w14:paraId="0EA736CB"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12FBBEAC" w14:textId="77777777" w:rsidR="00372905" w:rsidRPr="001F224B" w:rsidRDefault="00372905" w:rsidP="00372905">
            <w:pPr>
              <w:rPr>
                <w:sz w:val="20"/>
                <w:szCs w:val="20"/>
              </w:rPr>
            </w:pPr>
            <w:r w:rsidRPr="001F224B">
              <w:rPr>
                <w:bCs/>
                <w:sz w:val="20"/>
                <w:szCs w:val="20"/>
              </w:rPr>
              <w:t>Dağıtılmamış Karlar</w:t>
            </w:r>
          </w:p>
        </w:tc>
        <w:tc>
          <w:tcPr>
            <w:tcW w:w="2793" w:type="dxa"/>
            <w:tcBorders>
              <w:top w:val="single" w:sz="4" w:space="0" w:color="auto"/>
              <w:left w:val="nil"/>
              <w:bottom w:val="single" w:sz="4" w:space="0" w:color="auto"/>
              <w:right w:val="single" w:sz="4" w:space="0" w:color="auto"/>
            </w:tcBorders>
            <w:shd w:val="clear" w:color="000000" w:fill="FFFFFF"/>
          </w:tcPr>
          <w:p w14:paraId="5ECE843B" w14:textId="77777777" w:rsidR="00372905" w:rsidRPr="001F224B" w:rsidRDefault="00372905" w:rsidP="00372905">
            <w:pPr>
              <w:jc w:val="right"/>
              <w:rPr>
                <w:sz w:val="20"/>
                <w:szCs w:val="20"/>
              </w:rPr>
            </w:pPr>
            <w:r w:rsidRPr="001F224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33B3AAAB" w14:textId="75C2CA59" w:rsidR="00372905" w:rsidRPr="001F224B" w:rsidRDefault="00372905" w:rsidP="00372905">
            <w:pPr>
              <w:jc w:val="right"/>
              <w:rPr>
                <w:sz w:val="20"/>
                <w:szCs w:val="20"/>
              </w:rPr>
            </w:pPr>
            <w:r w:rsidRPr="001F224B">
              <w:rPr>
                <w:bCs/>
                <w:sz w:val="20"/>
                <w:szCs w:val="20"/>
              </w:rPr>
              <w:t>-</w:t>
            </w:r>
          </w:p>
        </w:tc>
      </w:tr>
      <w:tr w:rsidR="00372905" w:rsidRPr="001F224B" w14:paraId="20623013"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FEDC6F6" w14:textId="77777777" w:rsidR="00372905" w:rsidRPr="001F224B" w:rsidRDefault="00372905" w:rsidP="00372905">
            <w:pPr>
              <w:rPr>
                <w:sz w:val="20"/>
                <w:szCs w:val="20"/>
              </w:rPr>
            </w:pPr>
            <w:r w:rsidRPr="001F224B">
              <w:rPr>
                <w:bCs/>
                <w:sz w:val="20"/>
                <w:szCs w:val="20"/>
              </w:rPr>
              <w:t>Birikmiş Zararlar</w:t>
            </w:r>
          </w:p>
        </w:tc>
        <w:tc>
          <w:tcPr>
            <w:tcW w:w="2793" w:type="dxa"/>
            <w:tcBorders>
              <w:top w:val="single" w:sz="4" w:space="0" w:color="auto"/>
              <w:left w:val="nil"/>
              <w:bottom w:val="single" w:sz="4" w:space="0" w:color="auto"/>
              <w:right w:val="single" w:sz="4" w:space="0" w:color="auto"/>
            </w:tcBorders>
            <w:shd w:val="clear" w:color="000000" w:fill="FFFFFF"/>
          </w:tcPr>
          <w:p w14:paraId="1FF6B492" w14:textId="77777777" w:rsidR="00372905" w:rsidRPr="001F224B" w:rsidRDefault="00372905" w:rsidP="00372905">
            <w:pPr>
              <w:jc w:val="right"/>
              <w:rPr>
                <w:sz w:val="20"/>
                <w:szCs w:val="20"/>
              </w:rPr>
            </w:pPr>
            <w:r w:rsidRPr="001F224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5679F96A" w14:textId="5489B3F8" w:rsidR="00372905" w:rsidRPr="001F224B" w:rsidRDefault="00372905" w:rsidP="00372905">
            <w:pPr>
              <w:jc w:val="right"/>
              <w:rPr>
                <w:sz w:val="20"/>
                <w:szCs w:val="20"/>
              </w:rPr>
            </w:pPr>
            <w:r w:rsidRPr="001F224B">
              <w:rPr>
                <w:bCs/>
                <w:sz w:val="20"/>
                <w:szCs w:val="20"/>
              </w:rPr>
              <w:t>-</w:t>
            </w:r>
          </w:p>
        </w:tc>
      </w:tr>
      <w:tr w:rsidR="00372905" w:rsidRPr="001F224B" w14:paraId="514B1A29" w14:textId="77777777" w:rsidTr="00994361">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DB1733" w14:textId="77777777" w:rsidR="00372905" w:rsidRPr="001F224B" w:rsidRDefault="00372905" w:rsidP="00372905">
            <w:pPr>
              <w:rPr>
                <w:bCs/>
                <w:sz w:val="20"/>
                <w:szCs w:val="20"/>
              </w:rPr>
            </w:pPr>
            <w:r w:rsidRPr="001F224B">
              <w:rPr>
                <w:bCs/>
                <w:sz w:val="20"/>
                <w:szCs w:val="20"/>
              </w:rPr>
              <w:t>Yabancı Para Sermaye Kur Farkı</w:t>
            </w:r>
          </w:p>
        </w:tc>
        <w:tc>
          <w:tcPr>
            <w:tcW w:w="2793" w:type="dxa"/>
            <w:tcBorders>
              <w:top w:val="single" w:sz="4" w:space="0" w:color="auto"/>
              <w:left w:val="nil"/>
              <w:bottom w:val="single" w:sz="4" w:space="0" w:color="auto"/>
              <w:right w:val="single" w:sz="4" w:space="0" w:color="auto"/>
            </w:tcBorders>
            <w:shd w:val="clear" w:color="000000" w:fill="FFFFFF"/>
          </w:tcPr>
          <w:p w14:paraId="7D15F89C" w14:textId="77777777" w:rsidR="00372905" w:rsidRPr="001F224B" w:rsidRDefault="00372905" w:rsidP="00372905">
            <w:pPr>
              <w:jc w:val="right"/>
              <w:rPr>
                <w:bCs/>
                <w:sz w:val="20"/>
                <w:szCs w:val="20"/>
              </w:rPr>
            </w:pPr>
            <w:r w:rsidRPr="001F224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4EEF66E4" w14:textId="02EC3824" w:rsidR="00372905" w:rsidRPr="001F224B" w:rsidRDefault="00372905" w:rsidP="00372905">
            <w:pPr>
              <w:jc w:val="right"/>
              <w:rPr>
                <w:bCs/>
                <w:sz w:val="20"/>
                <w:szCs w:val="20"/>
              </w:rPr>
            </w:pPr>
            <w:r w:rsidRPr="001F224B">
              <w:rPr>
                <w:bCs/>
                <w:sz w:val="20"/>
                <w:szCs w:val="20"/>
              </w:rPr>
              <w:t>-</w:t>
            </w:r>
          </w:p>
        </w:tc>
      </w:tr>
      <w:tr w:rsidR="00372905" w:rsidRPr="001F224B" w14:paraId="7CD57A33" w14:textId="77777777" w:rsidTr="00994361">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49376EDC" w14:textId="77777777" w:rsidR="00372905" w:rsidRPr="001F224B" w:rsidRDefault="00372905" w:rsidP="00372905">
            <w:pPr>
              <w:rPr>
                <w:sz w:val="20"/>
                <w:szCs w:val="20"/>
              </w:rPr>
            </w:pPr>
            <w:r w:rsidRPr="001F224B">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tcPr>
          <w:p w14:paraId="6EA4D133" w14:textId="48D1B458" w:rsidR="00372905" w:rsidRPr="001F224B" w:rsidRDefault="00205EBE" w:rsidP="00372905">
            <w:pPr>
              <w:jc w:val="right"/>
              <w:rPr>
                <w:b/>
                <w:bCs/>
                <w:color w:val="000000"/>
                <w:sz w:val="20"/>
                <w:szCs w:val="20"/>
              </w:rPr>
            </w:pPr>
            <w:r w:rsidRPr="001F224B">
              <w:rPr>
                <w:b/>
                <w:bCs/>
                <w:color w:val="000000"/>
                <w:sz w:val="20"/>
                <w:szCs w:val="20"/>
              </w:rPr>
              <w:t>13.403.533</w:t>
            </w:r>
          </w:p>
        </w:tc>
        <w:tc>
          <w:tcPr>
            <w:tcW w:w="2540" w:type="dxa"/>
            <w:tcBorders>
              <w:top w:val="single" w:sz="4" w:space="0" w:color="auto"/>
              <w:left w:val="nil"/>
              <w:bottom w:val="single" w:sz="4" w:space="0" w:color="auto"/>
              <w:right w:val="single" w:sz="4" w:space="0" w:color="auto"/>
            </w:tcBorders>
            <w:shd w:val="clear" w:color="000000" w:fill="FFFFFF"/>
          </w:tcPr>
          <w:p w14:paraId="43FA8537" w14:textId="19E69FD2" w:rsidR="00372905" w:rsidRPr="001F224B" w:rsidRDefault="00372905" w:rsidP="00372905">
            <w:pPr>
              <w:jc w:val="right"/>
              <w:rPr>
                <w:b/>
                <w:sz w:val="20"/>
                <w:szCs w:val="20"/>
              </w:rPr>
            </w:pPr>
            <w:r w:rsidRPr="001F224B">
              <w:rPr>
                <w:b/>
                <w:bCs/>
                <w:color w:val="000000"/>
                <w:sz w:val="20"/>
                <w:szCs w:val="20"/>
              </w:rPr>
              <w:t>7.536.109</w:t>
            </w:r>
          </w:p>
        </w:tc>
      </w:tr>
    </w:tbl>
    <w:p w14:paraId="1764D67A" w14:textId="1FC3823B" w:rsidR="009A548C" w:rsidRPr="001F224B" w:rsidRDefault="0090450A" w:rsidP="00816FFC">
      <w:pPr>
        <w:ind w:left="284" w:hanging="284"/>
        <w:jc w:val="both"/>
        <w:rPr>
          <w:bCs/>
          <w:sz w:val="16"/>
          <w:szCs w:val="22"/>
        </w:rPr>
      </w:pPr>
      <w:r w:rsidRPr="001F224B">
        <w:rPr>
          <w:bCs/>
          <w:sz w:val="16"/>
          <w:szCs w:val="22"/>
        </w:rPr>
        <w:br w:type="page"/>
      </w:r>
    </w:p>
    <w:p w14:paraId="34BCA24E" w14:textId="77777777" w:rsidR="005629B8" w:rsidRPr="001F224B" w:rsidRDefault="005629B8" w:rsidP="005629B8">
      <w:pPr>
        <w:pStyle w:val="ListParagraph"/>
        <w:tabs>
          <w:tab w:val="left" w:pos="0"/>
        </w:tabs>
        <w:spacing w:before="120" w:after="120"/>
        <w:ind w:left="0"/>
        <w:rPr>
          <w:b/>
          <w:bCs/>
          <w:sz w:val="22"/>
          <w:szCs w:val="22"/>
        </w:rPr>
      </w:pPr>
      <w:r w:rsidRPr="001F224B">
        <w:rPr>
          <w:b/>
          <w:bCs/>
          <w:sz w:val="22"/>
          <w:szCs w:val="22"/>
        </w:rPr>
        <w:t>BEŞİNCİ BÖLÜM (Devamı)</w:t>
      </w:r>
    </w:p>
    <w:p w14:paraId="43AB6A78" w14:textId="02FE1787" w:rsidR="005629B8" w:rsidRPr="001F224B" w:rsidRDefault="005629B8" w:rsidP="005629B8">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708AA025" w14:textId="77777777" w:rsidR="00CD7468" w:rsidRPr="001F224B" w:rsidRDefault="00CD7468" w:rsidP="00CD7468">
      <w:pPr>
        <w:pStyle w:val="BodyText3"/>
        <w:tabs>
          <w:tab w:val="center" w:pos="0"/>
        </w:tabs>
        <w:spacing w:before="120" w:after="120"/>
        <w:jc w:val="both"/>
        <w:rPr>
          <w:b/>
          <w:bCs/>
          <w:sz w:val="22"/>
          <w:szCs w:val="22"/>
        </w:rPr>
      </w:pPr>
      <w:r w:rsidRPr="001F224B">
        <w:rPr>
          <w:b/>
          <w:bCs/>
          <w:sz w:val="22"/>
          <w:szCs w:val="22"/>
        </w:rPr>
        <w:t>II.      Konsolide bilançonun pasif hesaplarına ilişkin açıklama ve dipnotlar (Devamı)</w:t>
      </w:r>
    </w:p>
    <w:p w14:paraId="6E5911EB" w14:textId="416249C3" w:rsidR="002B09D5" w:rsidRPr="001F224B" w:rsidRDefault="002B09D5" w:rsidP="002B09D5">
      <w:pPr>
        <w:pStyle w:val="BodyText3"/>
        <w:tabs>
          <w:tab w:val="center" w:pos="0"/>
        </w:tabs>
        <w:spacing w:before="120" w:after="120"/>
        <w:jc w:val="both"/>
        <w:rPr>
          <w:b/>
          <w:bCs/>
          <w:sz w:val="22"/>
          <w:szCs w:val="22"/>
        </w:rPr>
      </w:pPr>
      <w:r w:rsidRPr="001F224B">
        <w:rPr>
          <w:b/>
          <w:bCs/>
          <w:sz w:val="22"/>
          <w:szCs w:val="22"/>
        </w:rPr>
        <w:t>17.</w:t>
      </w:r>
      <w:r w:rsidRPr="001F224B">
        <w:rPr>
          <w:b/>
          <w:bCs/>
          <w:sz w:val="22"/>
          <w:szCs w:val="22"/>
        </w:rPr>
        <w:tab/>
        <w:t xml:space="preserve">     Konsolide özkaynaklara ilişkin bilgiler (Devamı):</w:t>
      </w:r>
    </w:p>
    <w:p w14:paraId="1570BCC8" w14:textId="77777777" w:rsidR="003057DE" w:rsidRPr="001F224B" w:rsidRDefault="003057DE" w:rsidP="003057DE">
      <w:pPr>
        <w:spacing w:before="120" w:after="120"/>
        <w:ind w:left="567" w:hanging="567"/>
        <w:jc w:val="both"/>
        <w:rPr>
          <w:b/>
          <w:bCs/>
          <w:sz w:val="22"/>
          <w:szCs w:val="22"/>
        </w:rPr>
      </w:pPr>
      <w:r w:rsidRPr="001F224B">
        <w:rPr>
          <w:b/>
          <w:bCs/>
          <w:sz w:val="22"/>
          <w:szCs w:val="22"/>
        </w:rPr>
        <w:t>17.g)</w:t>
      </w:r>
      <w:r w:rsidRPr="001F224B">
        <w:rPr>
          <w:b/>
          <w:bCs/>
          <w:sz w:val="22"/>
          <w:szCs w:val="22"/>
        </w:rPr>
        <w:tab/>
        <w:t>Banka’nın gelirleri, karlılığı ve likiditesine ilişkin geçmiş dönem göstergeleri ile bu göstergelerdeki belirsizlikler dikkate alınarak yapılacak öngörülerin, özkaynak üzerindeki tahmini etkileri:</w:t>
      </w:r>
    </w:p>
    <w:p w14:paraId="21070805" w14:textId="77777777" w:rsidR="003057DE" w:rsidRPr="001F224B" w:rsidRDefault="003057DE" w:rsidP="003057DE">
      <w:pPr>
        <w:ind w:left="567"/>
        <w:jc w:val="both"/>
        <w:rPr>
          <w:rFonts w:eastAsia="Calibri"/>
          <w:sz w:val="22"/>
          <w:szCs w:val="22"/>
        </w:rPr>
      </w:pPr>
      <w:r w:rsidRPr="001F224B">
        <w:rPr>
          <w:rFonts w:eastAsia="Calibri"/>
          <w:sz w:val="22"/>
          <w:szCs w:val="22"/>
        </w:rPr>
        <w:t>Ana Ortaklık Banka’nın geçmiş dönem gelirleri, karlılığı ve likiditesi ile gelecek dönemlerdeki projeksiyonlar ilgili birimler tarafından takip edilmektedir. Ülke ekonomisindeki mevcut koşullar ve Ana Ortaklık Banka’nın geçmiş dönem performansı göz önüne alındığında; gelir, karlılık ve likiditeye ilişkin yapılan öngörüler çerçevesinde önümüzdeki dönemde önemli ölçüde sıkıntı yaşamayacağı tahmin edilmektedir.</w:t>
      </w:r>
    </w:p>
    <w:p w14:paraId="25CB669C" w14:textId="77777777" w:rsidR="003057DE" w:rsidRPr="001F224B" w:rsidRDefault="003057DE" w:rsidP="003057DE">
      <w:pPr>
        <w:tabs>
          <w:tab w:val="left" w:pos="567"/>
        </w:tabs>
        <w:spacing w:before="120" w:after="120"/>
        <w:jc w:val="both"/>
        <w:rPr>
          <w:b/>
          <w:bCs/>
          <w:sz w:val="22"/>
          <w:szCs w:val="22"/>
        </w:rPr>
      </w:pPr>
      <w:r w:rsidRPr="001F224B">
        <w:rPr>
          <w:b/>
          <w:bCs/>
          <w:sz w:val="22"/>
          <w:szCs w:val="22"/>
        </w:rPr>
        <w:t>17.ğ)</w:t>
      </w:r>
      <w:r w:rsidRPr="001F224B">
        <w:rPr>
          <w:b/>
          <w:bCs/>
          <w:sz w:val="22"/>
          <w:szCs w:val="22"/>
        </w:rPr>
        <w:tab/>
        <w:t>Sermayeyi temsil eden hisse senetlerine tanınan imtiyazlara ilişkin özet bilgiler:</w:t>
      </w:r>
    </w:p>
    <w:p w14:paraId="072C2A65" w14:textId="77777777" w:rsidR="003057DE" w:rsidRPr="001F224B" w:rsidRDefault="003057DE" w:rsidP="003057DE">
      <w:pPr>
        <w:pStyle w:val="BodyText"/>
        <w:tabs>
          <w:tab w:val="clear" w:pos="0"/>
          <w:tab w:val="clear" w:pos="567"/>
          <w:tab w:val="clear" w:pos="720"/>
        </w:tabs>
        <w:ind w:left="567"/>
        <w:rPr>
          <w:sz w:val="22"/>
          <w:szCs w:val="22"/>
        </w:rPr>
      </w:pPr>
      <w:r w:rsidRPr="001F224B">
        <w:rPr>
          <w:sz w:val="22"/>
          <w:szCs w:val="22"/>
        </w:rPr>
        <w:t>Ana Ortaklık Banka’nın sermayeyi temsil eden hisse senetlerine tanınan imtiyaz bulunmamaktadır.</w:t>
      </w:r>
    </w:p>
    <w:p w14:paraId="124D425F" w14:textId="77777777" w:rsidR="002B09D5" w:rsidRPr="001F224B" w:rsidRDefault="002B09D5" w:rsidP="002B09D5">
      <w:pPr>
        <w:tabs>
          <w:tab w:val="left" w:pos="567"/>
        </w:tabs>
        <w:spacing w:before="120" w:after="120"/>
        <w:ind w:left="567" w:hanging="567"/>
        <w:jc w:val="both"/>
        <w:rPr>
          <w:b/>
          <w:bCs/>
          <w:sz w:val="12"/>
          <w:szCs w:val="12"/>
        </w:rPr>
      </w:pPr>
      <w:r w:rsidRPr="001F224B">
        <w:rPr>
          <w:b/>
          <w:bCs/>
          <w:sz w:val="22"/>
          <w:szCs w:val="22"/>
        </w:rPr>
        <w:t>17.h)</w:t>
      </w:r>
      <w:r w:rsidRPr="001F224B">
        <w:rPr>
          <w:b/>
          <w:bCs/>
          <w:sz w:val="22"/>
          <w:szCs w:val="22"/>
        </w:rPr>
        <w:tab/>
        <w:t>Kar veya zararda yeniden sınıflandırılacak birikmiş diğer kapsamlı gelirler veya giderlere ilişkin bilgiler:</w:t>
      </w:r>
    </w:p>
    <w:tbl>
      <w:tblPr>
        <w:tblW w:w="9771" w:type="dxa"/>
        <w:tblInd w:w="37" w:type="dxa"/>
        <w:tblLayout w:type="fixed"/>
        <w:tblCellMar>
          <w:left w:w="70" w:type="dxa"/>
          <w:right w:w="70" w:type="dxa"/>
        </w:tblCellMar>
        <w:tblLook w:val="00A0" w:firstRow="1" w:lastRow="0" w:firstColumn="1" w:lastColumn="0" w:noHBand="0" w:noVBand="0"/>
      </w:tblPr>
      <w:tblGrid>
        <w:gridCol w:w="4970"/>
        <w:gridCol w:w="1276"/>
        <w:gridCol w:w="1225"/>
        <w:gridCol w:w="1275"/>
        <w:gridCol w:w="1025"/>
      </w:tblGrid>
      <w:tr w:rsidR="002B09D5" w:rsidRPr="001F224B" w14:paraId="74F3A672" w14:textId="77777777" w:rsidTr="00844760">
        <w:trPr>
          <w:trHeight w:val="227"/>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tcPr>
          <w:p w14:paraId="38F7DE99" w14:textId="77777777" w:rsidR="002B09D5" w:rsidRPr="001F224B" w:rsidRDefault="002B09D5" w:rsidP="00844760">
            <w:pPr>
              <w:rPr>
                <w:sz w:val="20"/>
                <w:szCs w:val="20"/>
              </w:rPr>
            </w:pPr>
            <w:r w:rsidRPr="001F224B">
              <w:rPr>
                <w:sz w:val="20"/>
                <w:szCs w:val="20"/>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bottom"/>
          </w:tcPr>
          <w:p w14:paraId="1823743E" w14:textId="77777777" w:rsidR="002B09D5" w:rsidRPr="001F224B" w:rsidRDefault="002B09D5" w:rsidP="00844760">
            <w:pPr>
              <w:jc w:val="center"/>
              <w:rPr>
                <w:b/>
                <w:bCs/>
                <w:sz w:val="20"/>
                <w:szCs w:val="20"/>
              </w:rPr>
            </w:pPr>
            <w:r w:rsidRPr="001F224B">
              <w:rPr>
                <w:b/>
                <w:bCs/>
                <w:sz w:val="20"/>
                <w:szCs w:val="20"/>
              </w:rPr>
              <w:t xml:space="preserve">Cari Dönem </w:t>
            </w:r>
          </w:p>
          <w:p w14:paraId="232F2E24" w14:textId="0A11E3EB" w:rsidR="002B09D5" w:rsidRPr="001F224B" w:rsidRDefault="002B09D5" w:rsidP="00844760">
            <w:pPr>
              <w:jc w:val="center"/>
              <w:rPr>
                <w:b/>
                <w:bCs/>
                <w:sz w:val="20"/>
                <w:szCs w:val="20"/>
              </w:rPr>
            </w:pPr>
            <w:r w:rsidRPr="001F224B">
              <w:rPr>
                <w:b/>
                <w:bCs/>
                <w:sz w:val="20"/>
                <w:szCs w:val="20"/>
              </w:rPr>
              <w:t>(3</w:t>
            </w:r>
            <w:r w:rsidR="00604CA1" w:rsidRPr="001F224B">
              <w:rPr>
                <w:b/>
                <w:bCs/>
                <w:sz w:val="20"/>
                <w:szCs w:val="20"/>
              </w:rPr>
              <w:t>0</w:t>
            </w:r>
            <w:r w:rsidRPr="001F224B">
              <w:rPr>
                <w:b/>
                <w:bCs/>
                <w:sz w:val="20"/>
                <w:szCs w:val="20"/>
              </w:rPr>
              <w:t>.</w:t>
            </w:r>
            <w:r w:rsidR="00372905" w:rsidRPr="001F224B">
              <w:rPr>
                <w:b/>
                <w:bCs/>
                <w:sz w:val="20"/>
                <w:szCs w:val="20"/>
              </w:rPr>
              <w:t>0</w:t>
            </w:r>
            <w:r w:rsidR="00604CA1" w:rsidRPr="001F224B">
              <w:rPr>
                <w:b/>
                <w:bCs/>
                <w:sz w:val="20"/>
                <w:szCs w:val="20"/>
              </w:rPr>
              <w:t>6</w:t>
            </w:r>
            <w:r w:rsidRPr="001F224B">
              <w:rPr>
                <w:b/>
                <w:bCs/>
                <w:sz w:val="20"/>
                <w:szCs w:val="20"/>
              </w:rPr>
              <w:t>.202</w:t>
            </w:r>
            <w:r w:rsidR="00372905" w:rsidRPr="001F224B">
              <w:rPr>
                <w:b/>
                <w:bCs/>
                <w:sz w:val="20"/>
                <w:szCs w:val="20"/>
              </w:rPr>
              <w:t>5</w:t>
            </w:r>
            <w:r w:rsidRPr="001F224B">
              <w:rPr>
                <w:b/>
                <w:bCs/>
                <w:sz w:val="20"/>
                <w:szCs w:val="20"/>
              </w:rPr>
              <w:t>)</w:t>
            </w:r>
          </w:p>
        </w:tc>
        <w:tc>
          <w:tcPr>
            <w:tcW w:w="2300" w:type="dxa"/>
            <w:gridSpan w:val="2"/>
            <w:tcBorders>
              <w:top w:val="single" w:sz="4" w:space="0" w:color="auto"/>
              <w:left w:val="nil"/>
              <w:bottom w:val="single" w:sz="4" w:space="0" w:color="auto"/>
              <w:right w:val="single" w:sz="4" w:space="0" w:color="000000"/>
            </w:tcBorders>
            <w:shd w:val="clear" w:color="000000" w:fill="FFFFFF"/>
            <w:vAlign w:val="bottom"/>
          </w:tcPr>
          <w:p w14:paraId="6409D6B8" w14:textId="77777777" w:rsidR="002B09D5" w:rsidRPr="001F224B" w:rsidRDefault="002B09D5" w:rsidP="00844760">
            <w:pPr>
              <w:jc w:val="center"/>
              <w:rPr>
                <w:b/>
                <w:bCs/>
                <w:sz w:val="20"/>
                <w:szCs w:val="20"/>
              </w:rPr>
            </w:pPr>
            <w:r w:rsidRPr="001F224B">
              <w:rPr>
                <w:b/>
                <w:bCs/>
                <w:sz w:val="20"/>
                <w:szCs w:val="20"/>
              </w:rPr>
              <w:t>Önceki Dönem</w:t>
            </w:r>
          </w:p>
          <w:p w14:paraId="687F4129" w14:textId="0ECE7946" w:rsidR="002B09D5" w:rsidRPr="001F224B" w:rsidRDefault="002B09D5" w:rsidP="00844760">
            <w:pPr>
              <w:jc w:val="center"/>
              <w:rPr>
                <w:b/>
                <w:bCs/>
                <w:sz w:val="20"/>
                <w:szCs w:val="20"/>
              </w:rPr>
            </w:pPr>
            <w:r w:rsidRPr="001F224B">
              <w:rPr>
                <w:b/>
                <w:bCs/>
                <w:sz w:val="20"/>
                <w:szCs w:val="20"/>
              </w:rPr>
              <w:t xml:space="preserve"> (31.12.202</w:t>
            </w:r>
            <w:r w:rsidR="00372905" w:rsidRPr="001F224B">
              <w:rPr>
                <w:b/>
                <w:bCs/>
                <w:sz w:val="20"/>
                <w:szCs w:val="20"/>
              </w:rPr>
              <w:t>4</w:t>
            </w:r>
            <w:r w:rsidRPr="001F224B">
              <w:rPr>
                <w:b/>
                <w:bCs/>
                <w:sz w:val="20"/>
                <w:szCs w:val="20"/>
              </w:rPr>
              <w:t>)</w:t>
            </w:r>
          </w:p>
        </w:tc>
      </w:tr>
      <w:tr w:rsidR="002B09D5" w:rsidRPr="001F224B" w14:paraId="060D0AF0" w14:textId="77777777" w:rsidTr="00844760">
        <w:trPr>
          <w:trHeight w:val="227"/>
        </w:trPr>
        <w:tc>
          <w:tcPr>
            <w:tcW w:w="4970" w:type="dxa"/>
            <w:vMerge/>
            <w:tcBorders>
              <w:top w:val="single" w:sz="4" w:space="0" w:color="auto"/>
              <w:left w:val="single" w:sz="4" w:space="0" w:color="auto"/>
              <w:bottom w:val="single" w:sz="4" w:space="0" w:color="auto"/>
              <w:right w:val="single" w:sz="4" w:space="0" w:color="auto"/>
            </w:tcBorders>
            <w:vAlign w:val="center"/>
          </w:tcPr>
          <w:p w14:paraId="42455A7A" w14:textId="77777777" w:rsidR="002B09D5" w:rsidRPr="001F224B" w:rsidRDefault="002B09D5" w:rsidP="00844760">
            <w:pPr>
              <w:rPr>
                <w:sz w:val="20"/>
                <w:szCs w:val="20"/>
              </w:rPr>
            </w:pPr>
          </w:p>
        </w:tc>
        <w:tc>
          <w:tcPr>
            <w:tcW w:w="1276" w:type="dxa"/>
            <w:tcBorders>
              <w:top w:val="nil"/>
              <w:left w:val="nil"/>
              <w:bottom w:val="single" w:sz="4" w:space="0" w:color="auto"/>
              <w:right w:val="single" w:sz="4" w:space="0" w:color="auto"/>
            </w:tcBorders>
            <w:shd w:val="clear" w:color="000000" w:fill="FFFFFF"/>
            <w:vAlign w:val="bottom"/>
          </w:tcPr>
          <w:p w14:paraId="79ACC5EB" w14:textId="77777777" w:rsidR="002B09D5" w:rsidRPr="001F224B" w:rsidRDefault="002B09D5" w:rsidP="00844760">
            <w:pPr>
              <w:jc w:val="center"/>
              <w:rPr>
                <w:b/>
                <w:bCs/>
                <w:sz w:val="20"/>
                <w:szCs w:val="20"/>
              </w:rPr>
            </w:pPr>
            <w:r w:rsidRPr="001F224B">
              <w:rPr>
                <w:b/>
                <w:bCs/>
                <w:sz w:val="20"/>
                <w:szCs w:val="20"/>
              </w:rPr>
              <w:t>TP</w:t>
            </w:r>
          </w:p>
        </w:tc>
        <w:tc>
          <w:tcPr>
            <w:tcW w:w="1225" w:type="dxa"/>
            <w:tcBorders>
              <w:top w:val="nil"/>
              <w:left w:val="nil"/>
              <w:bottom w:val="single" w:sz="4" w:space="0" w:color="auto"/>
              <w:right w:val="single" w:sz="4" w:space="0" w:color="auto"/>
            </w:tcBorders>
            <w:shd w:val="clear" w:color="000000" w:fill="FFFFFF"/>
            <w:vAlign w:val="bottom"/>
          </w:tcPr>
          <w:p w14:paraId="7431D323" w14:textId="77777777" w:rsidR="002B09D5" w:rsidRPr="001F224B" w:rsidRDefault="002B09D5" w:rsidP="00844760">
            <w:pPr>
              <w:jc w:val="center"/>
              <w:rPr>
                <w:b/>
                <w:bCs/>
                <w:sz w:val="20"/>
                <w:szCs w:val="20"/>
              </w:rPr>
            </w:pPr>
            <w:r w:rsidRPr="001F224B">
              <w:rPr>
                <w:b/>
                <w:bCs/>
                <w:sz w:val="20"/>
                <w:szCs w:val="20"/>
              </w:rPr>
              <w:t>YP</w:t>
            </w:r>
          </w:p>
        </w:tc>
        <w:tc>
          <w:tcPr>
            <w:tcW w:w="1275" w:type="dxa"/>
            <w:tcBorders>
              <w:top w:val="nil"/>
              <w:left w:val="nil"/>
              <w:bottom w:val="single" w:sz="4" w:space="0" w:color="auto"/>
              <w:right w:val="single" w:sz="4" w:space="0" w:color="auto"/>
            </w:tcBorders>
            <w:shd w:val="clear" w:color="000000" w:fill="FFFFFF"/>
            <w:vAlign w:val="bottom"/>
          </w:tcPr>
          <w:p w14:paraId="367DCED7" w14:textId="77777777" w:rsidR="002B09D5" w:rsidRPr="001F224B" w:rsidRDefault="002B09D5" w:rsidP="00844760">
            <w:pPr>
              <w:jc w:val="center"/>
              <w:rPr>
                <w:b/>
                <w:bCs/>
                <w:sz w:val="20"/>
                <w:szCs w:val="20"/>
              </w:rPr>
            </w:pPr>
            <w:r w:rsidRPr="001F224B">
              <w:rPr>
                <w:b/>
                <w:bCs/>
                <w:sz w:val="20"/>
                <w:szCs w:val="20"/>
              </w:rPr>
              <w:t>TP</w:t>
            </w:r>
          </w:p>
        </w:tc>
        <w:tc>
          <w:tcPr>
            <w:tcW w:w="1025" w:type="dxa"/>
            <w:tcBorders>
              <w:top w:val="nil"/>
              <w:left w:val="nil"/>
              <w:bottom w:val="single" w:sz="4" w:space="0" w:color="auto"/>
              <w:right w:val="single" w:sz="4" w:space="0" w:color="auto"/>
            </w:tcBorders>
            <w:shd w:val="clear" w:color="000000" w:fill="FFFFFF"/>
            <w:vAlign w:val="bottom"/>
          </w:tcPr>
          <w:p w14:paraId="1374E1F4" w14:textId="77777777" w:rsidR="002B09D5" w:rsidRPr="001F224B" w:rsidRDefault="002B09D5" w:rsidP="00844760">
            <w:pPr>
              <w:jc w:val="center"/>
              <w:rPr>
                <w:b/>
                <w:bCs/>
                <w:sz w:val="20"/>
                <w:szCs w:val="20"/>
              </w:rPr>
            </w:pPr>
            <w:r w:rsidRPr="001F224B">
              <w:rPr>
                <w:b/>
                <w:bCs/>
                <w:sz w:val="20"/>
                <w:szCs w:val="20"/>
              </w:rPr>
              <w:t>YP</w:t>
            </w:r>
          </w:p>
        </w:tc>
      </w:tr>
      <w:tr w:rsidR="00205EBE" w:rsidRPr="001F224B" w14:paraId="225F03CC" w14:textId="77777777" w:rsidTr="00844760">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3D693CA1" w14:textId="77777777" w:rsidR="00205EBE" w:rsidRPr="001F224B" w:rsidRDefault="00205EBE" w:rsidP="00205EBE">
            <w:pPr>
              <w:ind w:leftChars="-1" w:hangingChars="1" w:hanging="2"/>
              <w:rPr>
                <w:sz w:val="20"/>
                <w:szCs w:val="20"/>
              </w:rPr>
            </w:pPr>
            <w:r w:rsidRPr="001F224B">
              <w:rPr>
                <w:sz w:val="20"/>
                <w:szCs w:val="20"/>
              </w:rPr>
              <w:t xml:space="preserve">İştirakler, Bağlı Ortaklıklar ve Birlikte Kontrol </w:t>
            </w:r>
          </w:p>
          <w:p w14:paraId="0947C31C" w14:textId="77777777" w:rsidR="00205EBE" w:rsidRPr="001F224B" w:rsidRDefault="00205EBE" w:rsidP="00205EBE">
            <w:pPr>
              <w:ind w:leftChars="-1" w:hangingChars="1" w:hanging="2"/>
              <w:rPr>
                <w:sz w:val="20"/>
                <w:szCs w:val="20"/>
              </w:rPr>
            </w:pPr>
            <w:r w:rsidRPr="001F224B">
              <w:rPr>
                <w:sz w:val="20"/>
                <w:szCs w:val="20"/>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114BBC0" w14:textId="479EC147" w:rsidR="00205EBE" w:rsidRPr="001F224B" w:rsidRDefault="00205EBE" w:rsidP="00205EBE">
            <w:pPr>
              <w:jc w:val="right"/>
              <w:rPr>
                <w:sz w:val="20"/>
                <w:szCs w:val="20"/>
              </w:rPr>
            </w:pPr>
            <w:r w:rsidRPr="001F224B">
              <w:rPr>
                <w:sz w:val="20"/>
                <w:szCs w:val="20"/>
              </w:rPr>
              <w:t>10.931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33737F88" w14:textId="60D66E12" w:rsidR="00205EBE" w:rsidRPr="001F224B" w:rsidRDefault="00205EBE" w:rsidP="00205EBE">
            <w:pPr>
              <w:jc w:val="right"/>
              <w:rPr>
                <w:sz w:val="20"/>
                <w:szCs w:val="20"/>
              </w:rPr>
            </w:pPr>
            <w:r w:rsidRPr="001F224B">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70F04285" w14:textId="139045B3" w:rsidR="00205EBE" w:rsidRPr="001F224B" w:rsidRDefault="00205EBE" w:rsidP="00205EBE">
            <w:pPr>
              <w:jc w:val="right"/>
              <w:rPr>
                <w:sz w:val="20"/>
                <w:szCs w:val="20"/>
              </w:rPr>
            </w:pPr>
            <w:r w:rsidRPr="001F224B">
              <w:rPr>
                <w:sz w:val="20"/>
                <w:szCs w:val="20"/>
              </w:rPr>
              <w:t>10.931</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4C34D869" w14:textId="327FAB8D" w:rsidR="00205EBE" w:rsidRPr="001F224B" w:rsidRDefault="00205EBE" w:rsidP="00205EBE">
            <w:pPr>
              <w:jc w:val="right"/>
              <w:rPr>
                <w:sz w:val="20"/>
                <w:szCs w:val="20"/>
              </w:rPr>
            </w:pPr>
            <w:r w:rsidRPr="001F224B">
              <w:rPr>
                <w:sz w:val="20"/>
                <w:szCs w:val="20"/>
              </w:rPr>
              <w:t>-</w:t>
            </w:r>
          </w:p>
        </w:tc>
      </w:tr>
      <w:tr w:rsidR="00205EBE" w:rsidRPr="001F224B" w14:paraId="735E10D9" w14:textId="77777777" w:rsidTr="00844760">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32215FCF" w14:textId="77777777" w:rsidR="00205EBE" w:rsidRPr="001F224B" w:rsidRDefault="00205EBE" w:rsidP="00205EBE">
            <w:pPr>
              <w:ind w:leftChars="-1" w:hangingChars="1" w:hanging="2"/>
              <w:rPr>
                <w:sz w:val="20"/>
                <w:szCs w:val="20"/>
              </w:rPr>
            </w:pPr>
            <w:r w:rsidRPr="001F224B">
              <w:rPr>
                <w:sz w:val="20"/>
                <w:szCs w:val="20"/>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4565529A" w14:textId="2A26BD60" w:rsidR="00205EBE" w:rsidRPr="001F224B" w:rsidRDefault="00205EBE" w:rsidP="00205EBE">
            <w:pPr>
              <w:jc w:val="right"/>
              <w:rPr>
                <w:sz w:val="20"/>
                <w:szCs w:val="20"/>
              </w:rPr>
            </w:pPr>
            <w:r w:rsidRPr="001F224B">
              <w:rPr>
                <w:sz w:val="20"/>
                <w:szCs w:val="20"/>
              </w:rPr>
              <w:t>20.042</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5B1EC5F2" w14:textId="30AC9466" w:rsidR="00205EBE" w:rsidRPr="001F224B" w:rsidRDefault="00205EBE" w:rsidP="00205EBE">
            <w:pPr>
              <w:jc w:val="right"/>
              <w:rPr>
                <w:sz w:val="20"/>
                <w:szCs w:val="20"/>
              </w:rPr>
            </w:pPr>
            <w:r w:rsidRPr="001F224B">
              <w:rPr>
                <w:sz w:val="20"/>
                <w:szCs w:val="20"/>
              </w:rPr>
              <w:t>80.306</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469CB340" w14:textId="7BD2A8CE" w:rsidR="00205EBE" w:rsidRPr="001F224B" w:rsidRDefault="00205EBE" w:rsidP="00205EBE">
            <w:pPr>
              <w:jc w:val="right"/>
              <w:rPr>
                <w:sz w:val="20"/>
                <w:szCs w:val="20"/>
              </w:rPr>
            </w:pPr>
            <w:r w:rsidRPr="001F224B">
              <w:rPr>
                <w:sz w:val="20"/>
                <w:szCs w:val="20"/>
              </w:rPr>
              <w:t>553</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04956C08" w14:textId="0FD766CD" w:rsidR="00205EBE" w:rsidRPr="001F224B" w:rsidRDefault="00205EBE" w:rsidP="00205EBE">
            <w:pPr>
              <w:jc w:val="right"/>
              <w:rPr>
                <w:sz w:val="20"/>
                <w:szCs w:val="20"/>
              </w:rPr>
            </w:pPr>
            <w:r w:rsidRPr="001F224B">
              <w:rPr>
                <w:sz w:val="20"/>
                <w:szCs w:val="20"/>
              </w:rPr>
              <w:t>91.451</w:t>
            </w:r>
          </w:p>
        </w:tc>
      </w:tr>
      <w:tr w:rsidR="00205EBE" w:rsidRPr="001F224B" w14:paraId="6332AFE0" w14:textId="77777777" w:rsidTr="00844760">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7AB93988" w14:textId="77777777" w:rsidR="00205EBE" w:rsidRPr="001F224B" w:rsidRDefault="00205EBE" w:rsidP="00205EBE">
            <w:pPr>
              <w:ind w:leftChars="-1" w:hangingChars="1" w:hanging="2"/>
              <w:rPr>
                <w:sz w:val="20"/>
                <w:szCs w:val="20"/>
              </w:rPr>
            </w:pPr>
            <w:r w:rsidRPr="001F224B">
              <w:rPr>
                <w:sz w:val="20"/>
                <w:szCs w:val="20"/>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EE11B68" w14:textId="2DCA75C7" w:rsidR="00205EBE" w:rsidRPr="001F224B" w:rsidRDefault="00205EBE" w:rsidP="00205EBE">
            <w:pPr>
              <w:jc w:val="right"/>
              <w:rPr>
                <w:sz w:val="20"/>
                <w:szCs w:val="20"/>
              </w:rPr>
            </w:pPr>
            <w:r w:rsidRPr="001F224B">
              <w:rPr>
                <w:sz w:val="20"/>
                <w:szCs w:val="20"/>
              </w:rPr>
              <w:t>-</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0CE52825" w14:textId="06D8BE5F" w:rsidR="00205EBE" w:rsidRPr="001F224B" w:rsidRDefault="00205EBE" w:rsidP="00205EBE">
            <w:pPr>
              <w:jc w:val="right"/>
              <w:rPr>
                <w:sz w:val="20"/>
                <w:szCs w:val="20"/>
              </w:rPr>
            </w:pPr>
            <w:r w:rsidRPr="001F224B">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4E41D23B" w14:textId="1198689B" w:rsidR="00205EBE" w:rsidRPr="001F224B" w:rsidRDefault="00205EBE" w:rsidP="00205EBE">
            <w:pPr>
              <w:jc w:val="right"/>
              <w:rPr>
                <w:sz w:val="20"/>
                <w:szCs w:val="20"/>
              </w:rPr>
            </w:pPr>
            <w:r w:rsidRPr="001F224B">
              <w:rPr>
                <w:sz w:val="20"/>
                <w:szCs w:val="20"/>
              </w:rPr>
              <w:t>- </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4E2B0384" w14:textId="3B83FE6C" w:rsidR="00205EBE" w:rsidRPr="001F224B" w:rsidRDefault="00205EBE" w:rsidP="00205EBE">
            <w:pPr>
              <w:jc w:val="right"/>
              <w:rPr>
                <w:sz w:val="20"/>
                <w:szCs w:val="20"/>
              </w:rPr>
            </w:pPr>
            <w:r w:rsidRPr="001F224B">
              <w:rPr>
                <w:sz w:val="20"/>
                <w:szCs w:val="20"/>
              </w:rPr>
              <w:t> -</w:t>
            </w:r>
          </w:p>
        </w:tc>
      </w:tr>
      <w:tr w:rsidR="00205EBE" w:rsidRPr="001F224B" w14:paraId="20BDB1C4" w14:textId="77777777" w:rsidTr="00844760">
        <w:trPr>
          <w:trHeight w:val="227"/>
        </w:trPr>
        <w:tc>
          <w:tcPr>
            <w:tcW w:w="4970" w:type="dxa"/>
            <w:tcBorders>
              <w:top w:val="single" w:sz="4" w:space="0" w:color="auto"/>
              <w:left w:val="single" w:sz="4" w:space="0" w:color="auto"/>
              <w:bottom w:val="single" w:sz="4" w:space="0" w:color="auto"/>
              <w:right w:val="single" w:sz="4" w:space="0" w:color="auto"/>
            </w:tcBorders>
            <w:shd w:val="clear" w:color="000000" w:fill="FFFFFF"/>
            <w:vAlign w:val="bottom"/>
          </w:tcPr>
          <w:p w14:paraId="2A9204CF" w14:textId="77777777" w:rsidR="00205EBE" w:rsidRPr="001F224B" w:rsidRDefault="00205EBE" w:rsidP="00205EBE">
            <w:pPr>
              <w:ind w:leftChars="-1" w:hangingChars="1" w:hanging="2"/>
              <w:rPr>
                <w:b/>
                <w:sz w:val="20"/>
                <w:szCs w:val="20"/>
              </w:rPr>
            </w:pPr>
            <w:r w:rsidRPr="001F224B">
              <w:rPr>
                <w:b/>
                <w:sz w:val="20"/>
                <w:szCs w:val="20"/>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3ECF4A46" w14:textId="1A9AF491" w:rsidR="00205EBE" w:rsidRPr="001F224B" w:rsidRDefault="00205EBE" w:rsidP="00205EBE">
            <w:pPr>
              <w:jc w:val="right"/>
              <w:rPr>
                <w:b/>
                <w:sz w:val="20"/>
                <w:szCs w:val="20"/>
              </w:rPr>
            </w:pPr>
            <w:r w:rsidRPr="001F224B">
              <w:rPr>
                <w:b/>
                <w:bCs/>
                <w:color w:val="000000"/>
                <w:sz w:val="20"/>
                <w:szCs w:val="20"/>
              </w:rPr>
              <w:t>30.973</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31612770" w14:textId="6A991E1C" w:rsidR="00205EBE" w:rsidRPr="001F224B" w:rsidRDefault="00205EBE" w:rsidP="00205EBE">
            <w:pPr>
              <w:jc w:val="right"/>
              <w:rPr>
                <w:b/>
                <w:sz w:val="20"/>
                <w:szCs w:val="20"/>
              </w:rPr>
            </w:pPr>
            <w:r w:rsidRPr="001F224B">
              <w:rPr>
                <w:b/>
                <w:bCs/>
                <w:color w:val="000000"/>
                <w:sz w:val="20"/>
                <w:szCs w:val="20"/>
              </w:rPr>
              <w:t>80.306</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7732BC84" w14:textId="407FA34F" w:rsidR="00205EBE" w:rsidRPr="001F224B" w:rsidRDefault="00205EBE" w:rsidP="00205EBE">
            <w:pPr>
              <w:jc w:val="right"/>
              <w:rPr>
                <w:b/>
                <w:sz w:val="20"/>
                <w:szCs w:val="20"/>
              </w:rPr>
            </w:pPr>
            <w:r w:rsidRPr="001F224B">
              <w:rPr>
                <w:b/>
                <w:bCs/>
                <w:sz w:val="20"/>
                <w:szCs w:val="20"/>
              </w:rPr>
              <w:t>11.484</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70770312" w14:textId="17B0C2DD" w:rsidR="00205EBE" w:rsidRPr="001F224B" w:rsidRDefault="00205EBE" w:rsidP="00205EBE">
            <w:pPr>
              <w:jc w:val="right"/>
              <w:rPr>
                <w:b/>
                <w:sz w:val="20"/>
                <w:szCs w:val="20"/>
              </w:rPr>
            </w:pPr>
            <w:r w:rsidRPr="001F224B">
              <w:rPr>
                <w:b/>
                <w:bCs/>
                <w:sz w:val="20"/>
                <w:szCs w:val="20"/>
              </w:rPr>
              <w:t>91.451</w:t>
            </w:r>
          </w:p>
        </w:tc>
      </w:tr>
    </w:tbl>
    <w:p w14:paraId="6869B1A1" w14:textId="77777777" w:rsidR="003057DE" w:rsidRPr="001F224B" w:rsidRDefault="003057DE" w:rsidP="003057DE">
      <w:pPr>
        <w:tabs>
          <w:tab w:val="left" w:pos="567"/>
        </w:tabs>
        <w:spacing w:before="120" w:after="120"/>
        <w:ind w:left="567" w:hanging="567"/>
        <w:jc w:val="both"/>
        <w:rPr>
          <w:b/>
          <w:bCs/>
          <w:sz w:val="22"/>
          <w:szCs w:val="22"/>
        </w:rPr>
      </w:pPr>
      <w:r w:rsidRPr="001F224B">
        <w:rPr>
          <w:b/>
          <w:bCs/>
          <w:sz w:val="22"/>
          <w:szCs w:val="22"/>
        </w:rPr>
        <w:t>17.ı)</w:t>
      </w:r>
      <w:r w:rsidRPr="001F224B">
        <w:rPr>
          <w:b/>
          <w:bCs/>
          <w:sz w:val="22"/>
          <w:szCs w:val="22"/>
        </w:rPr>
        <w:tab/>
        <w:t>Azınlık paylarına ilişkin bilgiler:</w:t>
      </w:r>
    </w:p>
    <w:p w14:paraId="05EC2C10" w14:textId="57DF4BCA" w:rsidR="00CD7468" w:rsidRPr="001F224B" w:rsidRDefault="003057DE" w:rsidP="003057DE">
      <w:pPr>
        <w:rPr>
          <w:rFonts w:eastAsia="Arial Unicode MS"/>
          <w:bCs/>
          <w:sz w:val="22"/>
          <w:szCs w:val="22"/>
        </w:rPr>
      </w:pPr>
      <w:r w:rsidRPr="001F224B">
        <w:rPr>
          <w:rFonts w:eastAsia="Arial Unicode MS"/>
          <w:bCs/>
          <w:sz w:val="22"/>
          <w:szCs w:val="22"/>
        </w:rPr>
        <w:t>Bulunmamaktadır.</w:t>
      </w:r>
    </w:p>
    <w:p w14:paraId="2C6B5E13" w14:textId="29F5946A" w:rsidR="003057DE" w:rsidRPr="001F224B" w:rsidRDefault="003057DE">
      <w:pPr>
        <w:rPr>
          <w:b/>
          <w:bCs/>
          <w:sz w:val="22"/>
          <w:szCs w:val="22"/>
        </w:rPr>
      </w:pPr>
      <w:r w:rsidRPr="001F224B">
        <w:rPr>
          <w:b/>
          <w:bCs/>
          <w:sz w:val="22"/>
          <w:szCs w:val="22"/>
        </w:rPr>
        <w:br w:type="page"/>
      </w:r>
    </w:p>
    <w:p w14:paraId="146D0AF2" w14:textId="77777777" w:rsidR="003057DE" w:rsidRPr="001F224B" w:rsidRDefault="003057DE" w:rsidP="003057DE">
      <w:pPr>
        <w:pStyle w:val="ListParagraph"/>
        <w:tabs>
          <w:tab w:val="left" w:pos="0"/>
        </w:tabs>
        <w:spacing w:before="120" w:after="120"/>
        <w:ind w:left="0"/>
        <w:rPr>
          <w:b/>
          <w:bCs/>
          <w:sz w:val="22"/>
          <w:szCs w:val="22"/>
        </w:rPr>
      </w:pPr>
      <w:r w:rsidRPr="001F224B">
        <w:rPr>
          <w:b/>
          <w:bCs/>
          <w:sz w:val="22"/>
          <w:szCs w:val="22"/>
        </w:rPr>
        <w:t>BEŞİNCİ BÖLÜM (Devamı)</w:t>
      </w:r>
    </w:p>
    <w:p w14:paraId="36499C17" w14:textId="77777777" w:rsidR="003057DE" w:rsidRPr="001F224B" w:rsidRDefault="003057DE" w:rsidP="003057DE">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22205929" w14:textId="444011A1" w:rsidR="005629B8" w:rsidRPr="001F224B" w:rsidRDefault="005629B8" w:rsidP="005629B8">
      <w:pPr>
        <w:rPr>
          <w:b/>
          <w:bCs/>
          <w:sz w:val="22"/>
          <w:szCs w:val="22"/>
        </w:rPr>
      </w:pPr>
      <w:r w:rsidRPr="001F224B">
        <w:rPr>
          <w:b/>
          <w:bCs/>
          <w:sz w:val="22"/>
          <w:szCs w:val="22"/>
        </w:rPr>
        <w:t>III.     Konsolide nazım hesaplara ilişkin açıklama ve dipnotlar</w:t>
      </w:r>
    </w:p>
    <w:p w14:paraId="4E092C05" w14:textId="77777777" w:rsidR="005629B8" w:rsidRPr="001F224B" w:rsidRDefault="005629B8" w:rsidP="005629B8">
      <w:pPr>
        <w:tabs>
          <w:tab w:val="left" w:pos="567"/>
        </w:tabs>
        <w:spacing w:before="120" w:after="120"/>
        <w:jc w:val="both"/>
        <w:rPr>
          <w:b/>
          <w:bCs/>
          <w:sz w:val="22"/>
          <w:szCs w:val="22"/>
        </w:rPr>
      </w:pPr>
      <w:r w:rsidRPr="001F224B">
        <w:rPr>
          <w:b/>
          <w:bCs/>
          <w:sz w:val="22"/>
          <w:szCs w:val="22"/>
        </w:rPr>
        <w:t>1.</w:t>
      </w:r>
      <w:r w:rsidRPr="001F224B">
        <w:rPr>
          <w:b/>
          <w:bCs/>
          <w:sz w:val="22"/>
          <w:szCs w:val="22"/>
        </w:rPr>
        <w:tab/>
        <w:t>Nazım hesaplarda yer alan yükümlülüklere ilişkin açıklama:</w:t>
      </w:r>
    </w:p>
    <w:p w14:paraId="50EAA983" w14:textId="77777777" w:rsidR="005629B8" w:rsidRPr="001F224B" w:rsidRDefault="005629B8" w:rsidP="005629B8">
      <w:pPr>
        <w:tabs>
          <w:tab w:val="left" w:pos="-2160"/>
          <w:tab w:val="left" w:pos="567"/>
        </w:tabs>
        <w:spacing w:before="120" w:after="120"/>
        <w:rPr>
          <w:b/>
          <w:bCs/>
          <w:sz w:val="22"/>
          <w:szCs w:val="22"/>
        </w:rPr>
      </w:pPr>
      <w:r w:rsidRPr="001F224B">
        <w:rPr>
          <w:b/>
          <w:bCs/>
          <w:sz w:val="22"/>
          <w:szCs w:val="22"/>
        </w:rPr>
        <w:t>1.a)</w:t>
      </w:r>
      <w:r w:rsidRPr="001F224B">
        <w:rPr>
          <w:b/>
          <w:bCs/>
          <w:sz w:val="22"/>
          <w:szCs w:val="22"/>
        </w:rPr>
        <w:tab/>
        <w:t>Gayri kabili rücu nitelikteki kredi taahhütlerinin türü ve miktarı:</w:t>
      </w:r>
    </w:p>
    <w:tbl>
      <w:tblPr>
        <w:tblW w:w="9799" w:type="dxa"/>
        <w:tblInd w:w="37" w:type="dxa"/>
        <w:tblLook w:val="0000" w:firstRow="0" w:lastRow="0" w:firstColumn="0" w:lastColumn="0" w:noHBand="0" w:noVBand="0"/>
      </w:tblPr>
      <w:tblGrid>
        <w:gridCol w:w="4998"/>
        <w:gridCol w:w="2477"/>
        <w:gridCol w:w="2324"/>
      </w:tblGrid>
      <w:tr w:rsidR="005629B8" w:rsidRPr="001F224B" w14:paraId="35170E95" w14:textId="77777777" w:rsidTr="00D37080">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tcPr>
          <w:p w14:paraId="5575DD6E" w14:textId="77777777" w:rsidR="005629B8" w:rsidRPr="001F224B" w:rsidRDefault="005629B8" w:rsidP="00D37080">
            <w:pPr>
              <w:rPr>
                <w:sz w:val="20"/>
                <w:szCs w:val="20"/>
                <w:lang w:eastAsia="en-US"/>
              </w:rPr>
            </w:pPr>
            <w:r w:rsidRPr="001F224B">
              <w:rPr>
                <w:sz w:val="20"/>
                <w:szCs w:val="20"/>
                <w:lang w:eastAsia="en-US"/>
              </w:rPr>
              <w:t> </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2D0DBBF8" w14:textId="77777777" w:rsidR="004C0676" w:rsidRPr="001F224B" w:rsidRDefault="004C0676" w:rsidP="004C0676">
            <w:pPr>
              <w:jc w:val="center"/>
              <w:rPr>
                <w:b/>
                <w:bCs/>
                <w:sz w:val="20"/>
                <w:szCs w:val="20"/>
              </w:rPr>
            </w:pPr>
            <w:r w:rsidRPr="001F224B">
              <w:rPr>
                <w:b/>
                <w:bCs/>
                <w:sz w:val="20"/>
                <w:szCs w:val="20"/>
              </w:rPr>
              <w:t xml:space="preserve">Cari Dönem </w:t>
            </w:r>
          </w:p>
          <w:p w14:paraId="53246D9D" w14:textId="2C41E700" w:rsidR="005629B8" w:rsidRPr="001F224B" w:rsidRDefault="004C0676" w:rsidP="004C0676">
            <w:pPr>
              <w:jc w:val="center"/>
              <w:rPr>
                <w:b/>
                <w:bCs/>
                <w:sz w:val="20"/>
                <w:szCs w:val="20"/>
              </w:rPr>
            </w:pPr>
            <w:r w:rsidRPr="001F224B">
              <w:rPr>
                <w:b/>
                <w:bCs/>
                <w:sz w:val="20"/>
                <w:szCs w:val="20"/>
              </w:rPr>
              <w:t>(3</w:t>
            </w:r>
            <w:r w:rsidR="00765B2C" w:rsidRPr="001F224B">
              <w:rPr>
                <w:b/>
                <w:bCs/>
                <w:sz w:val="20"/>
                <w:szCs w:val="20"/>
              </w:rPr>
              <w:t>0</w:t>
            </w:r>
            <w:r w:rsidRPr="001F224B">
              <w:rPr>
                <w:b/>
                <w:bCs/>
                <w:sz w:val="20"/>
                <w:szCs w:val="20"/>
              </w:rPr>
              <w:t>.</w:t>
            </w:r>
            <w:r w:rsidR="002C54DE" w:rsidRPr="001F224B">
              <w:rPr>
                <w:b/>
                <w:bCs/>
                <w:sz w:val="20"/>
                <w:szCs w:val="20"/>
              </w:rPr>
              <w:t>0</w:t>
            </w:r>
            <w:r w:rsidR="00765B2C" w:rsidRPr="001F224B">
              <w:rPr>
                <w:b/>
                <w:bCs/>
                <w:sz w:val="20"/>
                <w:szCs w:val="20"/>
              </w:rPr>
              <w:t>6</w:t>
            </w:r>
            <w:r w:rsidRPr="001F224B">
              <w:rPr>
                <w:b/>
                <w:bCs/>
                <w:sz w:val="20"/>
                <w:szCs w:val="20"/>
              </w:rPr>
              <w:t>.202</w:t>
            </w:r>
            <w:r w:rsidR="002C54DE" w:rsidRPr="001F224B">
              <w:rPr>
                <w:b/>
                <w:bCs/>
                <w:sz w:val="20"/>
                <w:szCs w:val="20"/>
              </w:rPr>
              <w:t>5</w:t>
            </w:r>
            <w:r w:rsidRPr="001F224B">
              <w:rPr>
                <w:b/>
                <w:bCs/>
                <w:sz w:val="20"/>
                <w:szCs w:val="20"/>
              </w:rPr>
              <w:t>)</w:t>
            </w:r>
          </w:p>
        </w:tc>
        <w:tc>
          <w:tcPr>
            <w:tcW w:w="2324" w:type="dxa"/>
            <w:tcBorders>
              <w:top w:val="single" w:sz="4" w:space="0" w:color="auto"/>
              <w:left w:val="nil"/>
              <w:bottom w:val="single" w:sz="4" w:space="0" w:color="auto"/>
              <w:right w:val="single" w:sz="4" w:space="0" w:color="auto"/>
            </w:tcBorders>
            <w:shd w:val="clear" w:color="auto" w:fill="auto"/>
            <w:noWrap/>
            <w:vAlign w:val="bottom"/>
          </w:tcPr>
          <w:p w14:paraId="378E05A4" w14:textId="77777777" w:rsidR="005629B8" w:rsidRPr="001F224B" w:rsidRDefault="005629B8" w:rsidP="00D37080">
            <w:pPr>
              <w:jc w:val="center"/>
              <w:rPr>
                <w:b/>
                <w:bCs/>
                <w:sz w:val="20"/>
                <w:szCs w:val="20"/>
              </w:rPr>
            </w:pPr>
            <w:r w:rsidRPr="001F224B">
              <w:rPr>
                <w:b/>
                <w:bCs/>
                <w:sz w:val="20"/>
                <w:szCs w:val="20"/>
              </w:rPr>
              <w:t>Önceki Dönem</w:t>
            </w:r>
          </w:p>
          <w:p w14:paraId="5E7B23BE" w14:textId="0B93037C" w:rsidR="005629B8" w:rsidRPr="001F224B" w:rsidRDefault="005629B8" w:rsidP="00D37080">
            <w:pPr>
              <w:jc w:val="center"/>
              <w:rPr>
                <w:b/>
                <w:bCs/>
                <w:sz w:val="20"/>
                <w:szCs w:val="20"/>
              </w:rPr>
            </w:pPr>
            <w:r w:rsidRPr="001F224B">
              <w:rPr>
                <w:b/>
                <w:bCs/>
                <w:sz w:val="20"/>
                <w:szCs w:val="20"/>
              </w:rPr>
              <w:t xml:space="preserve"> (31.12.202</w:t>
            </w:r>
            <w:r w:rsidR="002C54DE" w:rsidRPr="001F224B">
              <w:rPr>
                <w:b/>
                <w:bCs/>
                <w:sz w:val="20"/>
                <w:szCs w:val="20"/>
              </w:rPr>
              <w:t>4</w:t>
            </w:r>
            <w:r w:rsidRPr="001F224B">
              <w:rPr>
                <w:b/>
                <w:bCs/>
                <w:sz w:val="20"/>
                <w:szCs w:val="20"/>
              </w:rPr>
              <w:t>)</w:t>
            </w:r>
          </w:p>
        </w:tc>
      </w:tr>
      <w:tr w:rsidR="00BA627D" w:rsidRPr="001F224B" w14:paraId="40D0475F" w14:textId="77777777" w:rsidTr="00BA627D">
        <w:trPr>
          <w:trHeight w:val="137"/>
        </w:trPr>
        <w:tc>
          <w:tcPr>
            <w:tcW w:w="4998" w:type="dxa"/>
            <w:tcBorders>
              <w:top w:val="nil"/>
              <w:left w:val="single" w:sz="4" w:space="0" w:color="auto"/>
              <w:bottom w:val="single" w:sz="4" w:space="0" w:color="auto"/>
              <w:right w:val="single" w:sz="4" w:space="0" w:color="auto"/>
            </w:tcBorders>
            <w:shd w:val="clear" w:color="auto" w:fill="auto"/>
            <w:noWrap/>
            <w:vAlign w:val="center"/>
          </w:tcPr>
          <w:p w14:paraId="50974CCF" w14:textId="77777777" w:rsidR="00BA627D" w:rsidRPr="001F224B" w:rsidRDefault="00BA627D" w:rsidP="00BA627D">
            <w:pPr>
              <w:rPr>
                <w:sz w:val="20"/>
                <w:szCs w:val="20"/>
                <w:lang w:eastAsia="en-US"/>
              </w:rPr>
            </w:pPr>
            <w:r w:rsidRPr="001F224B">
              <w:rPr>
                <w:sz w:val="20"/>
                <w:szCs w:val="20"/>
                <w:lang w:eastAsia="en-US"/>
              </w:rPr>
              <w:t>Vadeli Aktif Değerler Alım Satım Taahhütleri</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576A8381" w14:textId="7551CDAD" w:rsidR="00BA627D" w:rsidRPr="001F224B" w:rsidRDefault="00BA627D" w:rsidP="00BA627D">
            <w:pPr>
              <w:jc w:val="right"/>
              <w:rPr>
                <w:sz w:val="20"/>
                <w:szCs w:val="20"/>
              </w:rPr>
            </w:pPr>
            <w:r w:rsidRPr="001F224B">
              <w:rPr>
                <w:sz w:val="20"/>
                <w:szCs w:val="20"/>
              </w:rPr>
              <w:t>1.507.453</w:t>
            </w:r>
          </w:p>
        </w:tc>
        <w:tc>
          <w:tcPr>
            <w:tcW w:w="2324" w:type="dxa"/>
            <w:tcBorders>
              <w:top w:val="nil"/>
              <w:left w:val="nil"/>
              <w:bottom w:val="single" w:sz="4" w:space="0" w:color="auto"/>
              <w:right w:val="single" w:sz="4" w:space="0" w:color="auto"/>
            </w:tcBorders>
            <w:shd w:val="clear" w:color="auto" w:fill="auto"/>
            <w:noWrap/>
            <w:vAlign w:val="bottom"/>
          </w:tcPr>
          <w:p w14:paraId="2C43D1B1" w14:textId="1DC83D48" w:rsidR="00BA627D" w:rsidRPr="001F224B" w:rsidRDefault="00BA627D" w:rsidP="00BA627D">
            <w:pPr>
              <w:jc w:val="right"/>
              <w:rPr>
                <w:sz w:val="20"/>
                <w:szCs w:val="20"/>
              </w:rPr>
            </w:pPr>
            <w:r w:rsidRPr="001F224B">
              <w:rPr>
                <w:sz w:val="20"/>
                <w:szCs w:val="20"/>
              </w:rPr>
              <w:t>192.563</w:t>
            </w:r>
          </w:p>
        </w:tc>
      </w:tr>
      <w:tr w:rsidR="00BA627D" w:rsidRPr="001F224B" w14:paraId="718BFDAC" w14:textId="77777777" w:rsidTr="0078680A">
        <w:trPr>
          <w:trHeight w:val="255"/>
        </w:trPr>
        <w:tc>
          <w:tcPr>
            <w:tcW w:w="4998" w:type="dxa"/>
            <w:tcBorders>
              <w:top w:val="nil"/>
              <w:left w:val="single" w:sz="4" w:space="0" w:color="auto"/>
              <w:bottom w:val="single" w:sz="4" w:space="0" w:color="auto"/>
              <w:right w:val="single" w:sz="4" w:space="0" w:color="auto"/>
            </w:tcBorders>
            <w:shd w:val="clear" w:color="auto" w:fill="auto"/>
            <w:noWrap/>
          </w:tcPr>
          <w:p w14:paraId="114ED9B6" w14:textId="77777777" w:rsidR="00BA627D" w:rsidRPr="001F224B" w:rsidRDefault="00BA627D" w:rsidP="00BA627D">
            <w:pPr>
              <w:rPr>
                <w:sz w:val="20"/>
                <w:szCs w:val="20"/>
                <w:lang w:eastAsia="en-US"/>
              </w:rPr>
            </w:pPr>
            <w:r w:rsidRPr="001F224B">
              <w:rPr>
                <w:sz w:val="20"/>
                <w:szCs w:val="20"/>
                <w:lang w:eastAsia="en-US"/>
              </w:rPr>
              <w:t>Diğer Cayılamaz Taahhütler</w:t>
            </w:r>
          </w:p>
        </w:tc>
        <w:tc>
          <w:tcPr>
            <w:tcW w:w="2477" w:type="dxa"/>
            <w:tcBorders>
              <w:top w:val="nil"/>
              <w:left w:val="nil"/>
              <w:bottom w:val="single" w:sz="4" w:space="0" w:color="auto"/>
              <w:right w:val="single" w:sz="4" w:space="0" w:color="auto"/>
            </w:tcBorders>
            <w:shd w:val="clear" w:color="auto" w:fill="auto"/>
            <w:noWrap/>
            <w:vAlign w:val="bottom"/>
          </w:tcPr>
          <w:p w14:paraId="1902D890" w14:textId="2FC3A2C9" w:rsidR="00BA627D" w:rsidRPr="001F224B" w:rsidRDefault="00BA627D" w:rsidP="00BA627D">
            <w:pPr>
              <w:jc w:val="right"/>
              <w:rPr>
                <w:sz w:val="20"/>
                <w:szCs w:val="20"/>
              </w:rPr>
            </w:pPr>
            <w:r w:rsidRPr="001F224B">
              <w:rPr>
                <w:sz w:val="20"/>
                <w:szCs w:val="20"/>
              </w:rPr>
              <w:t>801.800</w:t>
            </w:r>
          </w:p>
        </w:tc>
        <w:tc>
          <w:tcPr>
            <w:tcW w:w="2324" w:type="dxa"/>
            <w:tcBorders>
              <w:top w:val="nil"/>
              <w:left w:val="nil"/>
              <w:bottom w:val="single" w:sz="4" w:space="0" w:color="auto"/>
              <w:right w:val="single" w:sz="4" w:space="0" w:color="auto"/>
            </w:tcBorders>
            <w:shd w:val="clear" w:color="auto" w:fill="auto"/>
            <w:noWrap/>
            <w:vAlign w:val="bottom"/>
          </w:tcPr>
          <w:p w14:paraId="1D3ABDB1" w14:textId="09748F38" w:rsidR="00BA627D" w:rsidRPr="001F224B" w:rsidRDefault="00BA627D" w:rsidP="00BA627D">
            <w:pPr>
              <w:jc w:val="right"/>
              <w:rPr>
                <w:sz w:val="20"/>
                <w:szCs w:val="20"/>
              </w:rPr>
            </w:pPr>
            <w:r w:rsidRPr="001F224B">
              <w:rPr>
                <w:sz w:val="20"/>
                <w:szCs w:val="20"/>
              </w:rPr>
              <w:t>772.787</w:t>
            </w:r>
          </w:p>
        </w:tc>
      </w:tr>
      <w:tr w:rsidR="00BA627D" w:rsidRPr="001F224B" w14:paraId="39FAF386" w14:textId="77777777" w:rsidTr="0078680A">
        <w:trPr>
          <w:trHeight w:val="255"/>
        </w:trPr>
        <w:tc>
          <w:tcPr>
            <w:tcW w:w="4998" w:type="dxa"/>
            <w:tcBorders>
              <w:top w:val="nil"/>
              <w:left w:val="single" w:sz="4" w:space="0" w:color="auto"/>
              <w:bottom w:val="single" w:sz="4" w:space="0" w:color="auto"/>
              <w:right w:val="nil"/>
            </w:tcBorders>
            <w:shd w:val="clear" w:color="auto" w:fill="auto"/>
            <w:vAlign w:val="bottom"/>
          </w:tcPr>
          <w:p w14:paraId="228FAF8A" w14:textId="77777777" w:rsidR="00BA627D" w:rsidRPr="001F224B" w:rsidRDefault="00BA627D" w:rsidP="00BA627D">
            <w:pPr>
              <w:rPr>
                <w:b/>
                <w:sz w:val="20"/>
                <w:szCs w:val="20"/>
                <w:lang w:eastAsia="en-US"/>
              </w:rPr>
            </w:pPr>
            <w:r w:rsidRPr="001F224B">
              <w:rPr>
                <w:b/>
                <w:sz w:val="20"/>
                <w:szCs w:val="20"/>
                <w:lang w:eastAsia="en-US"/>
              </w:rPr>
              <w:t>Toplam</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E04F1" w14:textId="24785A01" w:rsidR="00BA627D" w:rsidRPr="001F224B" w:rsidRDefault="00BA627D" w:rsidP="00BA627D">
            <w:pPr>
              <w:jc w:val="right"/>
              <w:rPr>
                <w:b/>
                <w:sz w:val="20"/>
                <w:szCs w:val="20"/>
              </w:rPr>
            </w:pPr>
            <w:r w:rsidRPr="001F224B">
              <w:rPr>
                <w:b/>
                <w:bCs/>
                <w:sz w:val="20"/>
                <w:szCs w:val="20"/>
              </w:rPr>
              <w:t>2.309.253</w:t>
            </w:r>
          </w:p>
        </w:tc>
        <w:tc>
          <w:tcPr>
            <w:tcW w:w="2324" w:type="dxa"/>
            <w:tcBorders>
              <w:top w:val="single" w:sz="4" w:space="0" w:color="auto"/>
              <w:left w:val="single" w:sz="4" w:space="0" w:color="auto"/>
              <w:bottom w:val="single" w:sz="4" w:space="0" w:color="auto"/>
              <w:right w:val="single" w:sz="4" w:space="0" w:color="auto"/>
            </w:tcBorders>
            <w:shd w:val="clear" w:color="auto" w:fill="auto"/>
            <w:vAlign w:val="bottom"/>
          </w:tcPr>
          <w:p w14:paraId="35207A27" w14:textId="279B4EB3" w:rsidR="00BA627D" w:rsidRPr="001F224B" w:rsidRDefault="00BA627D" w:rsidP="00BA627D">
            <w:pPr>
              <w:jc w:val="right"/>
              <w:rPr>
                <w:b/>
                <w:sz w:val="20"/>
                <w:szCs w:val="20"/>
              </w:rPr>
            </w:pPr>
            <w:r w:rsidRPr="001F224B">
              <w:rPr>
                <w:b/>
                <w:bCs/>
                <w:sz w:val="20"/>
                <w:szCs w:val="20"/>
              </w:rPr>
              <w:t>965.350</w:t>
            </w:r>
          </w:p>
        </w:tc>
      </w:tr>
    </w:tbl>
    <w:p w14:paraId="3D045501" w14:textId="77777777" w:rsidR="00B40B9B" w:rsidRPr="001F224B" w:rsidRDefault="00B40B9B" w:rsidP="00B40B9B">
      <w:pPr>
        <w:tabs>
          <w:tab w:val="left" w:pos="-2160"/>
          <w:tab w:val="left" w:pos="-1418"/>
        </w:tabs>
        <w:spacing w:before="120" w:after="120"/>
        <w:ind w:left="567" w:hanging="567"/>
        <w:jc w:val="both"/>
        <w:rPr>
          <w:b/>
          <w:bCs/>
          <w:sz w:val="22"/>
          <w:szCs w:val="22"/>
        </w:rPr>
      </w:pPr>
      <w:r w:rsidRPr="001F224B">
        <w:rPr>
          <w:b/>
          <w:bCs/>
          <w:sz w:val="22"/>
          <w:szCs w:val="22"/>
        </w:rPr>
        <w:t>1.b)</w:t>
      </w:r>
      <w:r w:rsidRPr="001F224B">
        <w:rPr>
          <w:b/>
          <w:bCs/>
          <w:sz w:val="22"/>
          <w:szCs w:val="22"/>
        </w:rPr>
        <w:tab/>
        <w:t>Aşağıdakiler dahil nazım hesap kalemlerinden kaynaklanan muhtemel zararların ve taahhütlerin yapısı ve tutarı:</w:t>
      </w:r>
    </w:p>
    <w:p w14:paraId="7F230D8B" w14:textId="1EE110CA" w:rsidR="00BA627D" w:rsidRPr="001F224B" w:rsidRDefault="00BA627D" w:rsidP="00BA627D">
      <w:pPr>
        <w:spacing w:before="120" w:after="120"/>
        <w:ind w:left="567"/>
        <w:jc w:val="both"/>
        <w:rPr>
          <w:rFonts w:eastAsia="Arial Unicode MS"/>
          <w:bCs/>
          <w:sz w:val="22"/>
          <w:szCs w:val="22"/>
        </w:rPr>
      </w:pPr>
      <w:r w:rsidRPr="001F224B">
        <w:rPr>
          <w:sz w:val="22"/>
          <w:szCs w:val="22"/>
        </w:rPr>
        <w:t>Tazmin edilmemiş ve nakde dönüşmemiş gayrinakdi krediler için 30 Haziran 2025 tarihi itibarıyla birinci aşama beklenen zarar karşılığı 38.49</w:t>
      </w:r>
      <w:r w:rsidR="00994361" w:rsidRPr="001F224B">
        <w:rPr>
          <w:sz w:val="22"/>
          <w:szCs w:val="22"/>
        </w:rPr>
        <w:t>8</w:t>
      </w:r>
      <w:r w:rsidRPr="001F224B">
        <w:rPr>
          <w:sz w:val="22"/>
          <w:szCs w:val="22"/>
        </w:rPr>
        <w:t xml:space="preserve"> TL (31 Aralık 2024: 20.727 TL), üçüncü aşama beklenen zarar karşılığı 1 TL (31 Aralık 2024: 1 TL)’dir.</w:t>
      </w:r>
      <w:r w:rsidRPr="001F224B">
        <w:rPr>
          <w:rFonts w:eastAsia="Arial Unicode MS"/>
          <w:bCs/>
          <w:sz w:val="22"/>
          <w:szCs w:val="22"/>
        </w:rPr>
        <w:t xml:space="preserve">  </w:t>
      </w:r>
    </w:p>
    <w:p w14:paraId="5F7481E9" w14:textId="6BE9B0BE" w:rsidR="00B40B9B" w:rsidRPr="001F224B" w:rsidRDefault="00B40B9B" w:rsidP="00B40B9B">
      <w:pPr>
        <w:spacing w:before="120" w:after="120"/>
        <w:ind w:left="567" w:hanging="567"/>
        <w:jc w:val="both"/>
        <w:rPr>
          <w:b/>
          <w:bCs/>
          <w:sz w:val="22"/>
          <w:szCs w:val="22"/>
        </w:rPr>
      </w:pPr>
      <w:r w:rsidRPr="001F224B">
        <w:rPr>
          <w:b/>
          <w:bCs/>
          <w:sz w:val="22"/>
          <w:szCs w:val="22"/>
        </w:rPr>
        <w:t>1.b</w:t>
      </w:r>
      <w:r w:rsidR="00B63F51" w:rsidRPr="001F224B">
        <w:rPr>
          <w:b/>
          <w:bCs/>
          <w:sz w:val="22"/>
          <w:szCs w:val="22"/>
        </w:rPr>
        <w:t>.</w:t>
      </w:r>
      <w:r w:rsidRPr="001F224B">
        <w:rPr>
          <w:b/>
          <w:bCs/>
          <w:sz w:val="22"/>
          <w:szCs w:val="22"/>
        </w:rPr>
        <w:t>1)</w:t>
      </w:r>
      <w:r w:rsidRPr="001F224B">
        <w:rPr>
          <w:b/>
          <w:bCs/>
          <w:sz w:val="22"/>
          <w:szCs w:val="22"/>
        </w:rPr>
        <w:tab/>
        <w:t>Garantiler, banka aval ve kabulleri ve mali garanti yerine geçen teminatlar ve diğer akreditifler dahil gayrinakdi krediler:</w:t>
      </w:r>
    </w:p>
    <w:p w14:paraId="07688534" w14:textId="6D830CFA" w:rsidR="000206B7" w:rsidRPr="001F224B" w:rsidRDefault="000206B7" w:rsidP="000206B7">
      <w:pPr>
        <w:pStyle w:val="BodyText3"/>
        <w:tabs>
          <w:tab w:val="clear" w:pos="539"/>
          <w:tab w:val="clear" w:pos="5310"/>
          <w:tab w:val="clear" w:pos="7560"/>
        </w:tabs>
        <w:ind w:left="567"/>
        <w:jc w:val="both"/>
        <w:rPr>
          <w:iCs/>
          <w:sz w:val="22"/>
          <w:szCs w:val="22"/>
        </w:rPr>
      </w:pPr>
      <w:r w:rsidRPr="001F224B">
        <w:rPr>
          <w:iCs/>
          <w:sz w:val="22"/>
          <w:szCs w:val="22"/>
        </w:rPr>
        <w:t xml:space="preserve">Grup’un </w:t>
      </w:r>
      <w:r w:rsidR="00BA627D" w:rsidRPr="001F224B">
        <w:rPr>
          <w:iCs/>
          <w:sz w:val="22"/>
          <w:szCs w:val="22"/>
        </w:rPr>
        <w:t>714.531 TL tutarında verilen garantileri (31 Aralık 2024: 633.011 TL) ve 90.557 TL tutarında akreditifi (31 Aralık 2024: 133.709 TL) bulunmaktadır. Grup’un</w:t>
      </w:r>
      <w:r w:rsidRPr="001F224B">
        <w:rPr>
          <w:iCs/>
          <w:sz w:val="22"/>
          <w:szCs w:val="22"/>
        </w:rPr>
        <w:t xml:space="preserve"> cari dönemde banka kredileri bulunmamaktadır.</w:t>
      </w:r>
    </w:p>
    <w:p w14:paraId="4A2D825A" w14:textId="2FC487A2" w:rsidR="00B40B9B" w:rsidRPr="001F224B" w:rsidRDefault="00B40B9B" w:rsidP="00B40B9B">
      <w:pPr>
        <w:pStyle w:val="1tipi"/>
        <w:tabs>
          <w:tab w:val="clear" w:pos="1134"/>
          <w:tab w:val="left" w:pos="567"/>
        </w:tabs>
        <w:spacing w:before="120" w:after="120"/>
        <w:rPr>
          <w:rFonts w:ascii="Times New Roman" w:hAnsi="Times New Roman" w:cs="Times New Roman"/>
          <w:b/>
          <w:bCs/>
          <w:sz w:val="22"/>
          <w:szCs w:val="22"/>
          <w:lang w:val="tr-TR" w:eastAsia="en-US"/>
        </w:rPr>
      </w:pPr>
      <w:r w:rsidRPr="001F224B">
        <w:rPr>
          <w:rFonts w:ascii="Times New Roman" w:hAnsi="Times New Roman" w:cs="Times New Roman"/>
          <w:b/>
          <w:bCs/>
          <w:sz w:val="22"/>
          <w:szCs w:val="22"/>
          <w:lang w:val="tr-TR" w:eastAsia="en-US"/>
        </w:rPr>
        <w:t>1.b</w:t>
      </w:r>
      <w:r w:rsidR="00B63F51" w:rsidRPr="001F224B">
        <w:rPr>
          <w:rFonts w:ascii="Times New Roman" w:hAnsi="Times New Roman" w:cs="Times New Roman"/>
          <w:b/>
          <w:bCs/>
          <w:sz w:val="22"/>
          <w:szCs w:val="22"/>
          <w:lang w:val="tr-TR" w:eastAsia="en-US"/>
        </w:rPr>
        <w:t>.</w:t>
      </w:r>
      <w:r w:rsidRPr="001F224B">
        <w:rPr>
          <w:rFonts w:ascii="Times New Roman" w:hAnsi="Times New Roman" w:cs="Times New Roman"/>
          <w:b/>
          <w:bCs/>
          <w:sz w:val="22"/>
          <w:szCs w:val="22"/>
          <w:lang w:val="tr-TR" w:eastAsia="en-US"/>
        </w:rPr>
        <w:t>2)</w:t>
      </w:r>
      <w:r w:rsidRPr="001F224B">
        <w:rPr>
          <w:rFonts w:ascii="Times New Roman" w:hAnsi="Times New Roman" w:cs="Times New Roman"/>
          <w:b/>
          <w:bCs/>
          <w:sz w:val="22"/>
          <w:szCs w:val="22"/>
          <w:lang w:val="tr-TR" w:eastAsia="en-US"/>
        </w:rPr>
        <w:tab/>
        <w:t>Kesin teminatlar, geçici teminatlar, kefaletler ve benzeri işlemler:</w:t>
      </w:r>
    </w:p>
    <w:p w14:paraId="7E5EE9CB" w14:textId="77777777" w:rsidR="00352832" w:rsidRPr="001F224B" w:rsidRDefault="000206B7" w:rsidP="00352832">
      <w:pPr>
        <w:pStyle w:val="BodyText"/>
        <w:tabs>
          <w:tab w:val="clear" w:pos="0"/>
          <w:tab w:val="clear" w:pos="567"/>
          <w:tab w:val="clear" w:pos="720"/>
        </w:tabs>
        <w:spacing w:before="120" w:after="120"/>
        <w:ind w:left="567"/>
        <w:rPr>
          <w:sz w:val="22"/>
          <w:szCs w:val="22"/>
        </w:rPr>
      </w:pPr>
      <w:r w:rsidRPr="001F224B">
        <w:rPr>
          <w:iCs/>
          <w:sz w:val="22"/>
          <w:szCs w:val="22"/>
        </w:rPr>
        <w:t>Grup’un</w:t>
      </w:r>
      <w:r w:rsidRPr="001F224B">
        <w:rPr>
          <w:sz w:val="22"/>
          <w:szCs w:val="22"/>
        </w:rPr>
        <w:t xml:space="preserve"> </w:t>
      </w:r>
      <w:r w:rsidR="00352832" w:rsidRPr="001F224B">
        <w:rPr>
          <w:sz w:val="22"/>
          <w:szCs w:val="22"/>
        </w:rPr>
        <w:t>teminat mektuplarının toplam tutarı 4.877.428 TL’dir (31 Aralık 2024: 4.308.450 TL). Bu tutarın 1 TL’si (31 Aralık 2024: 1 TL) gümrük teminat mektubu, 153.020 TL’si (31 Aralık 2024: 155.520 TL) ise kesin teminat mektubudur.</w:t>
      </w:r>
    </w:p>
    <w:p w14:paraId="32BE1756" w14:textId="1A3BFC0C" w:rsidR="00B40B9B" w:rsidRPr="001F224B" w:rsidRDefault="00B40B9B" w:rsidP="00352832">
      <w:pPr>
        <w:pStyle w:val="BodyText"/>
        <w:tabs>
          <w:tab w:val="clear" w:pos="0"/>
          <w:tab w:val="clear" w:pos="567"/>
          <w:tab w:val="clear" w:pos="720"/>
        </w:tabs>
        <w:spacing w:before="120" w:after="120"/>
        <w:ind w:left="142"/>
        <w:rPr>
          <w:b/>
          <w:bCs/>
          <w:sz w:val="22"/>
          <w:szCs w:val="22"/>
        </w:rPr>
      </w:pPr>
      <w:r w:rsidRPr="001F224B">
        <w:rPr>
          <w:b/>
          <w:bCs/>
          <w:sz w:val="22"/>
          <w:szCs w:val="22"/>
        </w:rPr>
        <w:t>1.c</w:t>
      </w:r>
      <w:r w:rsidR="00B63F51" w:rsidRPr="001F224B">
        <w:rPr>
          <w:b/>
          <w:bCs/>
          <w:sz w:val="22"/>
          <w:szCs w:val="22"/>
        </w:rPr>
        <w:t>.</w:t>
      </w:r>
      <w:r w:rsidRPr="001F224B">
        <w:rPr>
          <w:b/>
          <w:bCs/>
          <w:sz w:val="22"/>
          <w:szCs w:val="22"/>
        </w:rPr>
        <w:t>1)</w:t>
      </w:r>
      <w:r w:rsidRPr="001F224B">
        <w:rPr>
          <w:b/>
          <w:bCs/>
          <w:sz w:val="22"/>
          <w:szCs w:val="22"/>
        </w:rPr>
        <w:tab/>
        <w:t>Gayrinakdi kredilerin toplamı:</w:t>
      </w:r>
    </w:p>
    <w:tbl>
      <w:tblPr>
        <w:tblW w:w="9799" w:type="dxa"/>
        <w:tblInd w:w="37" w:type="dxa"/>
        <w:tblLayout w:type="fixed"/>
        <w:tblCellMar>
          <w:left w:w="70" w:type="dxa"/>
          <w:right w:w="70" w:type="dxa"/>
        </w:tblCellMar>
        <w:tblLook w:val="00A0" w:firstRow="1" w:lastRow="0" w:firstColumn="1" w:lastColumn="0" w:noHBand="0" w:noVBand="0"/>
      </w:tblPr>
      <w:tblGrid>
        <w:gridCol w:w="4970"/>
        <w:gridCol w:w="2477"/>
        <w:gridCol w:w="2352"/>
      </w:tblGrid>
      <w:tr w:rsidR="00B40B9B" w:rsidRPr="001F224B" w14:paraId="342EE0E1" w14:textId="77777777" w:rsidTr="00440ECB">
        <w:trPr>
          <w:trHeight w:val="255"/>
        </w:trPr>
        <w:tc>
          <w:tcPr>
            <w:tcW w:w="4970" w:type="dxa"/>
            <w:tcBorders>
              <w:top w:val="single" w:sz="4" w:space="0" w:color="auto"/>
              <w:left w:val="single" w:sz="4" w:space="0" w:color="auto"/>
              <w:bottom w:val="single" w:sz="4" w:space="0" w:color="auto"/>
              <w:right w:val="single" w:sz="4" w:space="0" w:color="auto"/>
            </w:tcBorders>
            <w:shd w:val="clear" w:color="000000" w:fill="FFFFFF"/>
          </w:tcPr>
          <w:p w14:paraId="41921622" w14:textId="77777777" w:rsidR="00B40B9B" w:rsidRPr="001F224B" w:rsidRDefault="00B40B9B" w:rsidP="00440ECB">
            <w:pPr>
              <w:rPr>
                <w:sz w:val="20"/>
                <w:szCs w:val="20"/>
              </w:rPr>
            </w:pPr>
            <w:r w:rsidRPr="001F224B">
              <w:rPr>
                <w:sz w:val="20"/>
                <w:szCs w:val="20"/>
              </w:rPr>
              <w:t> </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097E5B12" w14:textId="77777777" w:rsidR="004C0676" w:rsidRPr="001F224B" w:rsidRDefault="004C0676" w:rsidP="004C0676">
            <w:pPr>
              <w:jc w:val="center"/>
              <w:rPr>
                <w:b/>
                <w:bCs/>
                <w:sz w:val="20"/>
                <w:szCs w:val="20"/>
              </w:rPr>
            </w:pPr>
            <w:r w:rsidRPr="001F224B">
              <w:rPr>
                <w:b/>
                <w:bCs/>
                <w:sz w:val="20"/>
                <w:szCs w:val="20"/>
              </w:rPr>
              <w:t xml:space="preserve">Cari Dönem </w:t>
            </w:r>
          </w:p>
          <w:p w14:paraId="5AD53534" w14:textId="0434E84D" w:rsidR="00B40B9B" w:rsidRPr="001F224B" w:rsidRDefault="004C0676" w:rsidP="004C0676">
            <w:pPr>
              <w:jc w:val="center"/>
              <w:rPr>
                <w:b/>
                <w:bCs/>
                <w:sz w:val="20"/>
                <w:szCs w:val="20"/>
              </w:rPr>
            </w:pPr>
            <w:r w:rsidRPr="001F224B">
              <w:rPr>
                <w:b/>
                <w:bCs/>
                <w:sz w:val="20"/>
                <w:szCs w:val="20"/>
              </w:rPr>
              <w:t>(3</w:t>
            </w:r>
            <w:r w:rsidR="000D4718" w:rsidRPr="001F224B">
              <w:rPr>
                <w:b/>
                <w:bCs/>
                <w:sz w:val="20"/>
                <w:szCs w:val="20"/>
              </w:rPr>
              <w:t>0</w:t>
            </w:r>
            <w:r w:rsidRPr="001F224B">
              <w:rPr>
                <w:b/>
                <w:bCs/>
                <w:sz w:val="20"/>
                <w:szCs w:val="20"/>
              </w:rPr>
              <w:t>.</w:t>
            </w:r>
            <w:r w:rsidR="00347F41" w:rsidRPr="001F224B">
              <w:rPr>
                <w:b/>
                <w:bCs/>
                <w:sz w:val="20"/>
                <w:szCs w:val="20"/>
              </w:rPr>
              <w:t>0</w:t>
            </w:r>
            <w:r w:rsidR="000D4718" w:rsidRPr="001F224B">
              <w:rPr>
                <w:b/>
                <w:bCs/>
                <w:sz w:val="20"/>
                <w:szCs w:val="20"/>
              </w:rPr>
              <w:t>6</w:t>
            </w:r>
            <w:r w:rsidRPr="001F224B">
              <w:rPr>
                <w:b/>
                <w:bCs/>
                <w:sz w:val="20"/>
                <w:szCs w:val="20"/>
              </w:rPr>
              <w:t>.202</w:t>
            </w:r>
            <w:r w:rsidR="00347F41" w:rsidRPr="001F224B">
              <w:rPr>
                <w:b/>
                <w:bCs/>
                <w:sz w:val="20"/>
                <w:szCs w:val="20"/>
              </w:rPr>
              <w:t>5</w:t>
            </w:r>
            <w:r w:rsidRPr="001F224B">
              <w:rPr>
                <w:b/>
                <w:bCs/>
                <w:sz w:val="20"/>
                <w:szCs w:val="20"/>
              </w:rPr>
              <w:t>)</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4066F6BD" w14:textId="77777777" w:rsidR="00B40B9B" w:rsidRPr="001F224B" w:rsidRDefault="00B40B9B" w:rsidP="00440ECB">
            <w:pPr>
              <w:jc w:val="center"/>
              <w:rPr>
                <w:b/>
                <w:bCs/>
                <w:sz w:val="20"/>
                <w:szCs w:val="20"/>
              </w:rPr>
            </w:pPr>
            <w:r w:rsidRPr="001F224B">
              <w:rPr>
                <w:b/>
                <w:bCs/>
                <w:sz w:val="20"/>
                <w:szCs w:val="20"/>
              </w:rPr>
              <w:t>Önceki Dönem</w:t>
            </w:r>
          </w:p>
          <w:p w14:paraId="49148B40" w14:textId="5D59077F" w:rsidR="00B40B9B" w:rsidRPr="001F224B" w:rsidRDefault="00B40B9B" w:rsidP="00440ECB">
            <w:pPr>
              <w:jc w:val="center"/>
              <w:rPr>
                <w:b/>
                <w:bCs/>
                <w:sz w:val="20"/>
                <w:szCs w:val="20"/>
              </w:rPr>
            </w:pPr>
            <w:r w:rsidRPr="001F224B">
              <w:rPr>
                <w:b/>
                <w:bCs/>
                <w:sz w:val="20"/>
                <w:szCs w:val="20"/>
              </w:rPr>
              <w:t>(31.12.202</w:t>
            </w:r>
            <w:r w:rsidR="00347F41" w:rsidRPr="001F224B">
              <w:rPr>
                <w:b/>
                <w:bCs/>
                <w:sz w:val="20"/>
                <w:szCs w:val="20"/>
              </w:rPr>
              <w:t>4</w:t>
            </w:r>
            <w:r w:rsidRPr="001F224B">
              <w:rPr>
                <w:b/>
                <w:bCs/>
                <w:sz w:val="20"/>
                <w:szCs w:val="20"/>
              </w:rPr>
              <w:t>)</w:t>
            </w:r>
          </w:p>
        </w:tc>
      </w:tr>
      <w:tr w:rsidR="001F4FBE" w:rsidRPr="001F224B" w14:paraId="1214CA92" w14:textId="77777777" w:rsidTr="00440ECB">
        <w:trPr>
          <w:trHeight w:val="342"/>
        </w:trPr>
        <w:tc>
          <w:tcPr>
            <w:tcW w:w="4970" w:type="dxa"/>
            <w:tcBorders>
              <w:top w:val="nil"/>
              <w:left w:val="single" w:sz="4" w:space="0" w:color="auto"/>
              <w:bottom w:val="single" w:sz="4" w:space="0" w:color="auto"/>
              <w:right w:val="single" w:sz="4" w:space="0" w:color="auto"/>
            </w:tcBorders>
            <w:shd w:val="clear" w:color="000000" w:fill="FFFFFF"/>
            <w:vAlign w:val="bottom"/>
          </w:tcPr>
          <w:p w14:paraId="0575EE49" w14:textId="77777777" w:rsidR="001F4FBE" w:rsidRPr="001F224B" w:rsidRDefault="001F4FBE" w:rsidP="001F4FBE">
            <w:pPr>
              <w:rPr>
                <w:sz w:val="20"/>
                <w:szCs w:val="20"/>
              </w:rPr>
            </w:pPr>
            <w:r w:rsidRPr="001F224B">
              <w:rPr>
                <w:sz w:val="20"/>
                <w:szCs w:val="20"/>
              </w:rPr>
              <w:t>Nakit Kredi Teminine Yönelik Olarak Açılan Gayrinakdi Krediler</w:t>
            </w:r>
          </w:p>
        </w:tc>
        <w:tc>
          <w:tcPr>
            <w:tcW w:w="2477" w:type="dxa"/>
            <w:tcBorders>
              <w:top w:val="nil"/>
              <w:left w:val="nil"/>
              <w:bottom w:val="single" w:sz="4" w:space="0" w:color="auto"/>
              <w:right w:val="single" w:sz="4" w:space="0" w:color="auto"/>
            </w:tcBorders>
            <w:shd w:val="clear" w:color="000000" w:fill="FFFFFF"/>
            <w:vAlign w:val="bottom"/>
          </w:tcPr>
          <w:p w14:paraId="18431221" w14:textId="16EDA4F0" w:rsidR="001F4FBE" w:rsidRPr="001F224B" w:rsidRDefault="001F4FBE" w:rsidP="001F4FBE">
            <w:pPr>
              <w:jc w:val="right"/>
              <w:rPr>
                <w:sz w:val="20"/>
                <w:szCs w:val="20"/>
              </w:rPr>
            </w:pPr>
            <w:r w:rsidRPr="001F224B">
              <w:rPr>
                <w:sz w:val="20"/>
                <w:szCs w:val="20"/>
              </w:rPr>
              <w:t>5.438.938</w:t>
            </w:r>
          </w:p>
        </w:tc>
        <w:tc>
          <w:tcPr>
            <w:tcW w:w="2352" w:type="dxa"/>
            <w:tcBorders>
              <w:top w:val="nil"/>
              <w:left w:val="nil"/>
              <w:bottom w:val="single" w:sz="4" w:space="0" w:color="auto"/>
              <w:right w:val="single" w:sz="4" w:space="0" w:color="auto"/>
            </w:tcBorders>
            <w:shd w:val="clear" w:color="000000" w:fill="FFFFFF"/>
            <w:vAlign w:val="bottom"/>
          </w:tcPr>
          <w:p w14:paraId="601B4AE3" w14:textId="516251BE" w:rsidR="001F4FBE" w:rsidRPr="001F224B" w:rsidRDefault="001F4FBE" w:rsidP="001F4FBE">
            <w:pPr>
              <w:jc w:val="right"/>
              <w:rPr>
                <w:sz w:val="20"/>
                <w:szCs w:val="20"/>
              </w:rPr>
            </w:pPr>
            <w:r w:rsidRPr="001F224B">
              <w:rPr>
                <w:sz w:val="20"/>
                <w:szCs w:val="20"/>
              </w:rPr>
              <w:t>4.919.649</w:t>
            </w:r>
          </w:p>
        </w:tc>
      </w:tr>
      <w:tr w:rsidR="001F4FBE" w:rsidRPr="001F224B" w14:paraId="4977F1EE"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42AC104A" w14:textId="77777777" w:rsidR="001F4FBE" w:rsidRPr="001F224B" w:rsidRDefault="001F4FBE" w:rsidP="001F4FBE">
            <w:pPr>
              <w:ind w:firstLineChars="100" w:firstLine="200"/>
              <w:rPr>
                <w:sz w:val="20"/>
                <w:szCs w:val="20"/>
              </w:rPr>
            </w:pPr>
            <w:r w:rsidRPr="001F224B">
              <w:rPr>
                <w:sz w:val="20"/>
                <w:szCs w:val="20"/>
              </w:rPr>
              <w:t>Bir Yıl veya Daha Az Süreli Asıl Vadeli</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5DF9CB23" w14:textId="03103910" w:rsidR="001F4FBE" w:rsidRPr="001F224B" w:rsidRDefault="001F4FBE" w:rsidP="001F4FBE">
            <w:pPr>
              <w:jc w:val="right"/>
              <w:rPr>
                <w:sz w:val="20"/>
                <w:szCs w:val="20"/>
              </w:rPr>
            </w:pPr>
            <w:r w:rsidRPr="001F224B">
              <w:rPr>
                <w:sz w:val="20"/>
                <w:szCs w:val="20"/>
              </w:rPr>
              <w:t>-</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52F2D8E7" w14:textId="072A49A6" w:rsidR="001F4FBE" w:rsidRPr="001F224B" w:rsidRDefault="001F4FBE" w:rsidP="001F4FBE">
            <w:pPr>
              <w:jc w:val="right"/>
              <w:rPr>
                <w:sz w:val="20"/>
                <w:szCs w:val="20"/>
              </w:rPr>
            </w:pPr>
            <w:r w:rsidRPr="001F224B">
              <w:rPr>
                <w:sz w:val="20"/>
                <w:szCs w:val="20"/>
              </w:rPr>
              <w:t>- </w:t>
            </w:r>
          </w:p>
        </w:tc>
      </w:tr>
      <w:tr w:rsidR="001F4FBE" w:rsidRPr="001F224B" w14:paraId="262E7FC9"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19891367" w14:textId="77777777" w:rsidR="001F4FBE" w:rsidRPr="001F224B" w:rsidRDefault="001F4FBE" w:rsidP="001F4FBE">
            <w:pPr>
              <w:ind w:firstLineChars="100" w:firstLine="200"/>
              <w:rPr>
                <w:sz w:val="20"/>
                <w:szCs w:val="20"/>
              </w:rPr>
            </w:pPr>
            <w:r w:rsidRPr="001F224B">
              <w:rPr>
                <w:sz w:val="20"/>
                <w:szCs w:val="20"/>
              </w:rPr>
              <w:t xml:space="preserve">Bir Yıldan Daha Uzun Süreli Asıl Vadeli </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3ABA0506" w14:textId="17FBC8F6" w:rsidR="001F4FBE" w:rsidRPr="001F224B" w:rsidRDefault="001F4FBE" w:rsidP="001F4FBE">
            <w:pPr>
              <w:jc w:val="right"/>
              <w:rPr>
                <w:sz w:val="20"/>
                <w:szCs w:val="20"/>
              </w:rPr>
            </w:pPr>
            <w:r w:rsidRPr="001F224B">
              <w:rPr>
                <w:sz w:val="20"/>
                <w:szCs w:val="20"/>
              </w:rPr>
              <w:t>5.438.938</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0D5F9046" w14:textId="5C313184" w:rsidR="001F4FBE" w:rsidRPr="001F224B" w:rsidRDefault="001F4FBE" w:rsidP="001F4FBE">
            <w:pPr>
              <w:jc w:val="right"/>
              <w:rPr>
                <w:sz w:val="20"/>
                <w:szCs w:val="20"/>
              </w:rPr>
            </w:pPr>
            <w:r w:rsidRPr="001F224B">
              <w:rPr>
                <w:sz w:val="20"/>
                <w:szCs w:val="20"/>
              </w:rPr>
              <w:t>4.919.649</w:t>
            </w:r>
          </w:p>
        </w:tc>
      </w:tr>
      <w:tr w:rsidR="001F4FBE" w:rsidRPr="001F224B" w14:paraId="6FBC4591"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60E8F7E4" w14:textId="77777777" w:rsidR="001F4FBE" w:rsidRPr="001F224B" w:rsidRDefault="001F4FBE" w:rsidP="001F4FBE">
            <w:pPr>
              <w:rPr>
                <w:sz w:val="20"/>
                <w:szCs w:val="20"/>
              </w:rPr>
            </w:pPr>
            <w:r w:rsidRPr="001F224B">
              <w:rPr>
                <w:sz w:val="20"/>
                <w:szCs w:val="20"/>
              </w:rPr>
              <w:t>Diğer Gayrinakdi Krediler</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647AD6AB" w14:textId="4AA0DD34" w:rsidR="001F4FBE" w:rsidRPr="001F224B" w:rsidRDefault="001F4FBE" w:rsidP="001F4FBE">
            <w:pPr>
              <w:jc w:val="right"/>
              <w:rPr>
                <w:sz w:val="20"/>
                <w:szCs w:val="20"/>
              </w:rPr>
            </w:pPr>
            <w:r w:rsidRPr="001F224B">
              <w:rPr>
                <w:sz w:val="20"/>
                <w:szCs w:val="20"/>
              </w:rPr>
              <w:t>243.578</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578A4D17" w14:textId="10DAB1DF" w:rsidR="001F4FBE" w:rsidRPr="001F224B" w:rsidRDefault="001F4FBE" w:rsidP="001F4FBE">
            <w:pPr>
              <w:jc w:val="right"/>
              <w:rPr>
                <w:sz w:val="20"/>
                <w:szCs w:val="20"/>
              </w:rPr>
            </w:pPr>
            <w:r w:rsidRPr="001F224B">
              <w:rPr>
                <w:sz w:val="20"/>
                <w:szCs w:val="20"/>
              </w:rPr>
              <w:t>155.521</w:t>
            </w:r>
          </w:p>
        </w:tc>
      </w:tr>
      <w:tr w:rsidR="001F4FBE" w:rsidRPr="001F224B" w14:paraId="178A8942"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24C5C031" w14:textId="77777777" w:rsidR="001F4FBE" w:rsidRPr="001F224B" w:rsidRDefault="001F4FBE" w:rsidP="001F4FBE">
            <w:pPr>
              <w:rPr>
                <w:b/>
                <w:sz w:val="20"/>
                <w:szCs w:val="20"/>
              </w:rPr>
            </w:pPr>
            <w:r w:rsidRPr="001F224B">
              <w:rPr>
                <w:b/>
                <w:sz w:val="20"/>
                <w:szCs w:val="20"/>
              </w:rPr>
              <w:t>Toplam</w:t>
            </w:r>
          </w:p>
        </w:tc>
        <w:tc>
          <w:tcPr>
            <w:tcW w:w="2477" w:type="dxa"/>
            <w:tcBorders>
              <w:top w:val="nil"/>
              <w:left w:val="nil"/>
              <w:bottom w:val="single" w:sz="4" w:space="0" w:color="auto"/>
              <w:right w:val="single" w:sz="4" w:space="0" w:color="auto"/>
            </w:tcBorders>
            <w:shd w:val="clear" w:color="000000" w:fill="FFFFFF"/>
            <w:vAlign w:val="bottom"/>
          </w:tcPr>
          <w:p w14:paraId="516ADCA9" w14:textId="42541B23" w:rsidR="001F4FBE" w:rsidRPr="001F224B" w:rsidRDefault="001F4FBE" w:rsidP="001F4FBE">
            <w:pPr>
              <w:jc w:val="right"/>
              <w:rPr>
                <w:b/>
                <w:sz w:val="20"/>
                <w:szCs w:val="20"/>
              </w:rPr>
            </w:pPr>
            <w:r w:rsidRPr="001F224B">
              <w:rPr>
                <w:b/>
                <w:bCs/>
                <w:sz w:val="20"/>
                <w:szCs w:val="20"/>
              </w:rPr>
              <w:t>5.682.516</w:t>
            </w:r>
          </w:p>
        </w:tc>
        <w:tc>
          <w:tcPr>
            <w:tcW w:w="2352" w:type="dxa"/>
            <w:tcBorders>
              <w:top w:val="nil"/>
              <w:left w:val="nil"/>
              <w:bottom w:val="single" w:sz="4" w:space="0" w:color="auto"/>
              <w:right w:val="single" w:sz="4" w:space="0" w:color="auto"/>
            </w:tcBorders>
            <w:shd w:val="clear" w:color="000000" w:fill="FFFFFF"/>
            <w:vAlign w:val="bottom"/>
          </w:tcPr>
          <w:p w14:paraId="0BA01677" w14:textId="10FBC000" w:rsidR="001F4FBE" w:rsidRPr="001F224B" w:rsidRDefault="001F4FBE" w:rsidP="001F4FBE">
            <w:pPr>
              <w:jc w:val="right"/>
              <w:rPr>
                <w:b/>
                <w:sz w:val="20"/>
                <w:szCs w:val="20"/>
              </w:rPr>
            </w:pPr>
            <w:r w:rsidRPr="001F224B">
              <w:rPr>
                <w:b/>
                <w:sz w:val="20"/>
                <w:szCs w:val="20"/>
              </w:rPr>
              <w:t>5.075.170</w:t>
            </w:r>
          </w:p>
        </w:tc>
      </w:tr>
    </w:tbl>
    <w:p w14:paraId="3B5D82EF" w14:textId="77777777" w:rsidR="00F46275" w:rsidRPr="001F224B" w:rsidRDefault="00F46275" w:rsidP="00B82146">
      <w:pPr>
        <w:tabs>
          <w:tab w:val="left" w:pos="567"/>
        </w:tabs>
        <w:spacing w:line="276" w:lineRule="auto"/>
        <w:jc w:val="both"/>
        <w:rPr>
          <w:b/>
          <w:bCs/>
          <w:sz w:val="8"/>
          <w:szCs w:val="8"/>
        </w:rPr>
      </w:pPr>
    </w:p>
    <w:p w14:paraId="6E92BB4F" w14:textId="3180037B" w:rsidR="00B82146" w:rsidRPr="001F224B" w:rsidRDefault="00B82146" w:rsidP="00B82146">
      <w:pPr>
        <w:tabs>
          <w:tab w:val="left" w:pos="567"/>
        </w:tabs>
        <w:spacing w:line="276" w:lineRule="auto"/>
        <w:jc w:val="both"/>
        <w:rPr>
          <w:b/>
          <w:bCs/>
          <w:sz w:val="22"/>
          <w:szCs w:val="22"/>
        </w:rPr>
      </w:pPr>
      <w:r w:rsidRPr="001F224B">
        <w:rPr>
          <w:b/>
          <w:bCs/>
          <w:sz w:val="22"/>
          <w:szCs w:val="22"/>
        </w:rPr>
        <w:t>2.</w:t>
      </w:r>
      <w:r w:rsidRPr="001F224B">
        <w:rPr>
          <w:b/>
          <w:bCs/>
          <w:sz w:val="22"/>
          <w:szCs w:val="22"/>
        </w:rPr>
        <w:tab/>
        <w:t>Türev işlemlere ilişkin açıklamalar:</w:t>
      </w:r>
    </w:p>
    <w:p w14:paraId="0E28A7C9" w14:textId="4EF5F340" w:rsidR="00B82146" w:rsidRPr="001F224B" w:rsidRDefault="00B82146" w:rsidP="00B82146">
      <w:pPr>
        <w:ind w:left="567"/>
        <w:jc w:val="both"/>
        <w:rPr>
          <w:sz w:val="22"/>
          <w:szCs w:val="22"/>
          <w:lang w:eastAsia="en-US"/>
        </w:rPr>
      </w:pPr>
      <w:r w:rsidRPr="001F224B">
        <w:rPr>
          <w:sz w:val="22"/>
          <w:szCs w:val="22"/>
          <w:lang w:eastAsia="en-US"/>
        </w:rPr>
        <w:t xml:space="preserve">Banka’nın türev işlemleri swap para alım-satım işlemlerinden oluşmaktadır. </w:t>
      </w:r>
      <w:r w:rsidR="004C0676" w:rsidRPr="001F224B">
        <w:rPr>
          <w:sz w:val="22"/>
          <w:szCs w:val="22"/>
          <w:lang w:eastAsia="en-US"/>
        </w:rPr>
        <w:t>3</w:t>
      </w:r>
      <w:r w:rsidR="000D4718" w:rsidRPr="001F224B">
        <w:rPr>
          <w:sz w:val="22"/>
          <w:szCs w:val="22"/>
          <w:lang w:eastAsia="en-US"/>
        </w:rPr>
        <w:t>0</w:t>
      </w:r>
      <w:r w:rsidR="004C0676" w:rsidRPr="001F224B">
        <w:rPr>
          <w:sz w:val="22"/>
          <w:szCs w:val="22"/>
          <w:lang w:eastAsia="en-US"/>
        </w:rPr>
        <w:t xml:space="preserve"> </w:t>
      </w:r>
      <w:r w:rsidR="000D4718" w:rsidRPr="001F224B">
        <w:rPr>
          <w:sz w:val="22"/>
          <w:szCs w:val="22"/>
          <w:lang w:eastAsia="en-US"/>
        </w:rPr>
        <w:t>Haziran</w:t>
      </w:r>
      <w:r w:rsidR="00EC6E5D" w:rsidRPr="001F224B">
        <w:rPr>
          <w:sz w:val="22"/>
          <w:szCs w:val="22"/>
          <w:lang w:eastAsia="en-US"/>
        </w:rPr>
        <w:t xml:space="preserve"> </w:t>
      </w:r>
      <w:r w:rsidRPr="001F224B">
        <w:rPr>
          <w:sz w:val="22"/>
          <w:szCs w:val="22"/>
          <w:lang w:eastAsia="en-US"/>
        </w:rPr>
        <w:t>202</w:t>
      </w:r>
      <w:r w:rsidR="00347F41" w:rsidRPr="001F224B">
        <w:rPr>
          <w:sz w:val="22"/>
          <w:szCs w:val="22"/>
          <w:lang w:eastAsia="en-US"/>
        </w:rPr>
        <w:t>5</w:t>
      </w:r>
      <w:r w:rsidRPr="001F224B">
        <w:rPr>
          <w:sz w:val="22"/>
          <w:szCs w:val="22"/>
          <w:lang w:eastAsia="en-US"/>
        </w:rPr>
        <w:t xml:space="preserve"> ve 31 Aralık 202</w:t>
      </w:r>
      <w:r w:rsidR="00347F41" w:rsidRPr="001F224B">
        <w:rPr>
          <w:sz w:val="22"/>
          <w:szCs w:val="22"/>
          <w:lang w:eastAsia="en-US"/>
        </w:rPr>
        <w:t>4</w:t>
      </w:r>
      <w:r w:rsidRPr="001F224B">
        <w:rPr>
          <w:sz w:val="22"/>
          <w:szCs w:val="22"/>
          <w:lang w:eastAsia="en-US"/>
        </w:rPr>
        <w:t xml:space="preserve"> tarihleri itibarıyla swap işlemlerin dökümü döviz cinsi bazında ve TL cinsinden karşılıkları aşağıdaki gibidir:</w:t>
      </w:r>
    </w:p>
    <w:p w14:paraId="48B974A7" w14:textId="77777777" w:rsidR="00B82146" w:rsidRPr="001F224B" w:rsidRDefault="00B82146" w:rsidP="00B82146">
      <w:pPr>
        <w:ind w:left="567"/>
        <w:jc w:val="both"/>
        <w:rPr>
          <w:sz w:val="8"/>
          <w:szCs w:val="8"/>
          <w:lang w:eastAsia="en-US"/>
        </w:rPr>
      </w:pPr>
    </w:p>
    <w:tbl>
      <w:tblPr>
        <w:tblStyle w:val="TableGrid"/>
        <w:tblW w:w="5013" w:type="pct"/>
        <w:tblLayout w:type="fixed"/>
        <w:tblLook w:val="04A0" w:firstRow="1" w:lastRow="0" w:firstColumn="1" w:lastColumn="0" w:noHBand="0" w:noVBand="1"/>
      </w:tblPr>
      <w:tblGrid>
        <w:gridCol w:w="1280"/>
        <w:gridCol w:w="1085"/>
        <w:gridCol w:w="1085"/>
        <w:gridCol w:w="1085"/>
        <w:gridCol w:w="1090"/>
        <w:gridCol w:w="1085"/>
        <w:gridCol w:w="941"/>
        <w:gridCol w:w="1085"/>
        <w:gridCol w:w="1088"/>
      </w:tblGrid>
      <w:tr w:rsidR="00B82146" w:rsidRPr="001F224B" w14:paraId="0C27F4E7" w14:textId="77777777" w:rsidTr="0033482E">
        <w:tc>
          <w:tcPr>
            <w:tcW w:w="651" w:type="pct"/>
            <w:tcBorders>
              <w:bottom w:val="nil"/>
            </w:tcBorders>
            <w:vAlign w:val="bottom"/>
          </w:tcPr>
          <w:p w14:paraId="296B097E" w14:textId="67D9F041" w:rsidR="00B82146" w:rsidRPr="001F224B" w:rsidRDefault="00B82146" w:rsidP="00C417B1">
            <w:pPr>
              <w:rPr>
                <w:b/>
                <w:sz w:val="20"/>
                <w:szCs w:val="20"/>
              </w:rPr>
            </w:pPr>
            <w:r w:rsidRPr="001F224B">
              <w:rPr>
                <w:sz w:val="22"/>
                <w:szCs w:val="22"/>
                <w:lang w:eastAsia="en-US"/>
              </w:rPr>
              <w:t xml:space="preserve"> </w:t>
            </w:r>
          </w:p>
        </w:tc>
        <w:tc>
          <w:tcPr>
            <w:tcW w:w="2211" w:type="pct"/>
            <w:gridSpan w:val="4"/>
            <w:vAlign w:val="bottom"/>
          </w:tcPr>
          <w:p w14:paraId="0E9B5C8F" w14:textId="77777777" w:rsidR="00384FF9" w:rsidRPr="001F224B" w:rsidRDefault="00384FF9" w:rsidP="00384FF9">
            <w:pPr>
              <w:spacing w:line="230" w:lineRule="auto"/>
              <w:jc w:val="center"/>
              <w:rPr>
                <w:b/>
                <w:bCs/>
                <w:sz w:val="20"/>
                <w:szCs w:val="20"/>
              </w:rPr>
            </w:pPr>
            <w:r w:rsidRPr="001F224B">
              <w:rPr>
                <w:b/>
                <w:bCs/>
                <w:sz w:val="20"/>
                <w:szCs w:val="20"/>
              </w:rPr>
              <w:t>Cari Dönem</w:t>
            </w:r>
          </w:p>
          <w:p w14:paraId="6A7E96D6" w14:textId="174AF627" w:rsidR="00B82146" w:rsidRPr="001F224B" w:rsidRDefault="00384FF9" w:rsidP="00384FF9">
            <w:pPr>
              <w:jc w:val="center"/>
              <w:rPr>
                <w:b/>
                <w:sz w:val="20"/>
                <w:szCs w:val="20"/>
              </w:rPr>
            </w:pPr>
            <w:r w:rsidRPr="001F224B">
              <w:rPr>
                <w:b/>
                <w:bCs/>
                <w:sz w:val="20"/>
                <w:szCs w:val="20"/>
              </w:rPr>
              <w:t>(3</w:t>
            </w:r>
            <w:r w:rsidR="000D4718" w:rsidRPr="001F224B">
              <w:rPr>
                <w:b/>
                <w:bCs/>
                <w:sz w:val="20"/>
                <w:szCs w:val="20"/>
              </w:rPr>
              <w:t>0</w:t>
            </w:r>
            <w:r w:rsidRPr="001F224B">
              <w:rPr>
                <w:b/>
                <w:bCs/>
                <w:sz w:val="20"/>
                <w:szCs w:val="20"/>
              </w:rPr>
              <w:t>.</w:t>
            </w:r>
            <w:r w:rsidR="00347F41" w:rsidRPr="001F224B">
              <w:rPr>
                <w:b/>
                <w:bCs/>
                <w:sz w:val="20"/>
                <w:szCs w:val="20"/>
              </w:rPr>
              <w:t>0</w:t>
            </w:r>
            <w:r w:rsidR="000D4718" w:rsidRPr="001F224B">
              <w:rPr>
                <w:b/>
                <w:bCs/>
                <w:sz w:val="20"/>
                <w:szCs w:val="20"/>
              </w:rPr>
              <w:t>6</w:t>
            </w:r>
            <w:r w:rsidRPr="001F224B">
              <w:rPr>
                <w:b/>
                <w:bCs/>
                <w:sz w:val="20"/>
                <w:szCs w:val="20"/>
              </w:rPr>
              <w:t>.202</w:t>
            </w:r>
            <w:r w:rsidR="00347F41" w:rsidRPr="001F224B">
              <w:rPr>
                <w:b/>
                <w:bCs/>
                <w:sz w:val="20"/>
                <w:szCs w:val="20"/>
              </w:rPr>
              <w:t>5</w:t>
            </w:r>
            <w:r w:rsidRPr="001F224B">
              <w:rPr>
                <w:b/>
                <w:bCs/>
                <w:sz w:val="20"/>
                <w:szCs w:val="20"/>
              </w:rPr>
              <w:t>)</w:t>
            </w:r>
          </w:p>
        </w:tc>
        <w:tc>
          <w:tcPr>
            <w:tcW w:w="2137" w:type="pct"/>
            <w:gridSpan w:val="4"/>
            <w:vAlign w:val="bottom"/>
          </w:tcPr>
          <w:p w14:paraId="156D909F" w14:textId="77777777" w:rsidR="00B82146" w:rsidRPr="001F224B" w:rsidRDefault="00B82146" w:rsidP="00C417B1">
            <w:pPr>
              <w:jc w:val="center"/>
              <w:rPr>
                <w:b/>
                <w:sz w:val="20"/>
                <w:szCs w:val="20"/>
              </w:rPr>
            </w:pPr>
            <w:r w:rsidRPr="001F224B">
              <w:rPr>
                <w:b/>
                <w:sz w:val="20"/>
                <w:szCs w:val="20"/>
              </w:rPr>
              <w:t>Önceki Dönem</w:t>
            </w:r>
          </w:p>
          <w:p w14:paraId="2751E76C" w14:textId="15976DB8" w:rsidR="00B82146" w:rsidRPr="001F224B" w:rsidRDefault="00B82146" w:rsidP="00C417B1">
            <w:pPr>
              <w:jc w:val="center"/>
              <w:rPr>
                <w:b/>
                <w:sz w:val="20"/>
                <w:szCs w:val="20"/>
              </w:rPr>
            </w:pPr>
            <w:r w:rsidRPr="001F224B">
              <w:rPr>
                <w:b/>
                <w:sz w:val="20"/>
                <w:szCs w:val="20"/>
              </w:rPr>
              <w:t>(31.12.202</w:t>
            </w:r>
            <w:r w:rsidR="00347F41" w:rsidRPr="001F224B">
              <w:rPr>
                <w:b/>
                <w:sz w:val="20"/>
                <w:szCs w:val="20"/>
              </w:rPr>
              <w:t>4</w:t>
            </w:r>
            <w:r w:rsidRPr="001F224B">
              <w:rPr>
                <w:b/>
                <w:sz w:val="20"/>
                <w:szCs w:val="20"/>
              </w:rPr>
              <w:t>)</w:t>
            </w:r>
          </w:p>
        </w:tc>
      </w:tr>
      <w:tr w:rsidR="00B82146" w:rsidRPr="001F224B" w14:paraId="11E7DB32" w14:textId="77777777" w:rsidTr="0033482E">
        <w:tc>
          <w:tcPr>
            <w:tcW w:w="651" w:type="pct"/>
            <w:tcBorders>
              <w:top w:val="nil"/>
            </w:tcBorders>
            <w:vAlign w:val="bottom"/>
          </w:tcPr>
          <w:p w14:paraId="73EAED26" w14:textId="77777777" w:rsidR="00B82146" w:rsidRPr="001F224B" w:rsidRDefault="00B82146" w:rsidP="00C417B1">
            <w:pPr>
              <w:rPr>
                <w:b/>
                <w:sz w:val="20"/>
                <w:szCs w:val="20"/>
              </w:rPr>
            </w:pPr>
          </w:p>
        </w:tc>
        <w:tc>
          <w:tcPr>
            <w:tcW w:w="552" w:type="pct"/>
            <w:vAlign w:val="bottom"/>
          </w:tcPr>
          <w:p w14:paraId="1698C398" w14:textId="77777777" w:rsidR="00B82146" w:rsidRPr="001F224B" w:rsidRDefault="00B82146" w:rsidP="00C417B1">
            <w:pPr>
              <w:jc w:val="center"/>
              <w:rPr>
                <w:b/>
                <w:sz w:val="20"/>
                <w:szCs w:val="20"/>
              </w:rPr>
            </w:pPr>
            <w:r w:rsidRPr="001F224B">
              <w:rPr>
                <w:b/>
                <w:sz w:val="20"/>
                <w:szCs w:val="20"/>
              </w:rPr>
              <w:t>Vadeli</w:t>
            </w:r>
          </w:p>
          <w:p w14:paraId="7D944A33" w14:textId="77777777" w:rsidR="00B82146" w:rsidRPr="001F224B" w:rsidRDefault="00B82146" w:rsidP="00C417B1">
            <w:pPr>
              <w:jc w:val="center"/>
              <w:rPr>
                <w:b/>
                <w:sz w:val="20"/>
                <w:szCs w:val="20"/>
              </w:rPr>
            </w:pPr>
            <w:r w:rsidRPr="001F224B">
              <w:rPr>
                <w:b/>
                <w:sz w:val="20"/>
                <w:szCs w:val="20"/>
              </w:rPr>
              <w:t>Alım</w:t>
            </w:r>
          </w:p>
        </w:tc>
        <w:tc>
          <w:tcPr>
            <w:tcW w:w="552" w:type="pct"/>
            <w:vAlign w:val="bottom"/>
          </w:tcPr>
          <w:p w14:paraId="3CEF7845" w14:textId="77777777" w:rsidR="00B82146" w:rsidRPr="001F224B" w:rsidRDefault="00B82146" w:rsidP="00C417B1">
            <w:pPr>
              <w:jc w:val="center"/>
              <w:rPr>
                <w:b/>
                <w:sz w:val="20"/>
                <w:szCs w:val="20"/>
              </w:rPr>
            </w:pPr>
            <w:r w:rsidRPr="001F224B">
              <w:rPr>
                <w:b/>
                <w:sz w:val="20"/>
                <w:szCs w:val="20"/>
              </w:rPr>
              <w:t>Vadeli Satım</w:t>
            </w:r>
          </w:p>
        </w:tc>
        <w:tc>
          <w:tcPr>
            <w:tcW w:w="552" w:type="pct"/>
            <w:vAlign w:val="bottom"/>
          </w:tcPr>
          <w:p w14:paraId="49E5BEB7" w14:textId="77777777" w:rsidR="00B82146" w:rsidRPr="001F224B" w:rsidRDefault="00B82146" w:rsidP="00C417B1">
            <w:pPr>
              <w:jc w:val="center"/>
              <w:rPr>
                <w:b/>
                <w:sz w:val="20"/>
                <w:szCs w:val="20"/>
              </w:rPr>
            </w:pPr>
            <w:r w:rsidRPr="001F224B">
              <w:rPr>
                <w:b/>
                <w:sz w:val="20"/>
                <w:szCs w:val="20"/>
              </w:rPr>
              <w:t>Swap Alım</w:t>
            </w:r>
          </w:p>
        </w:tc>
        <w:tc>
          <w:tcPr>
            <w:tcW w:w="555" w:type="pct"/>
            <w:vAlign w:val="bottom"/>
          </w:tcPr>
          <w:p w14:paraId="0DD24F8B" w14:textId="77777777" w:rsidR="00B82146" w:rsidRPr="001F224B" w:rsidRDefault="00B82146" w:rsidP="00C417B1">
            <w:pPr>
              <w:jc w:val="center"/>
              <w:rPr>
                <w:b/>
                <w:sz w:val="20"/>
                <w:szCs w:val="20"/>
              </w:rPr>
            </w:pPr>
            <w:r w:rsidRPr="001F224B">
              <w:rPr>
                <w:b/>
                <w:sz w:val="20"/>
                <w:szCs w:val="20"/>
              </w:rPr>
              <w:t>Swap Satım</w:t>
            </w:r>
          </w:p>
        </w:tc>
        <w:tc>
          <w:tcPr>
            <w:tcW w:w="552" w:type="pct"/>
            <w:vAlign w:val="bottom"/>
          </w:tcPr>
          <w:p w14:paraId="584251E6" w14:textId="77777777" w:rsidR="00B82146" w:rsidRPr="001F224B" w:rsidRDefault="00B82146" w:rsidP="00C417B1">
            <w:pPr>
              <w:jc w:val="center"/>
              <w:rPr>
                <w:b/>
                <w:sz w:val="20"/>
                <w:szCs w:val="20"/>
              </w:rPr>
            </w:pPr>
            <w:r w:rsidRPr="001F224B">
              <w:rPr>
                <w:b/>
                <w:sz w:val="20"/>
                <w:szCs w:val="20"/>
              </w:rPr>
              <w:t>Vadeli</w:t>
            </w:r>
          </w:p>
          <w:p w14:paraId="034CCC8F" w14:textId="77777777" w:rsidR="00B82146" w:rsidRPr="001F224B" w:rsidRDefault="00B82146" w:rsidP="00C417B1">
            <w:pPr>
              <w:jc w:val="center"/>
              <w:rPr>
                <w:b/>
                <w:sz w:val="20"/>
                <w:szCs w:val="20"/>
              </w:rPr>
            </w:pPr>
            <w:r w:rsidRPr="001F224B">
              <w:rPr>
                <w:b/>
                <w:sz w:val="20"/>
                <w:szCs w:val="20"/>
              </w:rPr>
              <w:t>Alım</w:t>
            </w:r>
          </w:p>
        </w:tc>
        <w:tc>
          <w:tcPr>
            <w:tcW w:w="479" w:type="pct"/>
            <w:vAlign w:val="bottom"/>
          </w:tcPr>
          <w:p w14:paraId="345041EC" w14:textId="77777777" w:rsidR="00B82146" w:rsidRPr="001F224B" w:rsidRDefault="00B82146" w:rsidP="00C417B1">
            <w:pPr>
              <w:jc w:val="center"/>
              <w:rPr>
                <w:b/>
                <w:sz w:val="20"/>
                <w:szCs w:val="20"/>
              </w:rPr>
            </w:pPr>
            <w:r w:rsidRPr="001F224B">
              <w:rPr>
                <w:b/>
                <w:sz w:val="20"/>
                <w:szCs w:val="20"/>
              </w:rPr>
              <w:t>Vadeli Satım</w:t>
            </w:r>
          </w:p>
        </w:tc>
        <w:tc>
          <w:tcPr>
            <w:tcW w:w="552" w:type="pct"/>
            <w:vAlign w:val="bottom"/>
          </w:tcPr>
          <w:p w14:paraId="05FDC884" w14:textId="77777777" w:rsidR="00B82146" w:rsidRPr="001F224B" w:rsidRDefault="00B82146" w:rsidP="00C417B1">
            <w:pPr>
              <w:jc w:val="center"/>
              <w:rPr>
                <w:b/>
                <w:sz w:val="20"/>
                <w:szCs w:val="20"/>
              </w:rPr>
            </w:pPr>
            <w:r w:rsidRPr="001F224B">
              <w:rPr>
                <w:b/>
                <w:sz w:val="20"/>
                <w:szCs w:val="20"/>
              </w:rPr>
              <w:t>Swap Alım</w:t>
            </w:r>
          </w:p>
        </w:tc>
        <w:tc>
          <w:tcPr>
            <w:tcW w:w="554" w:type="pct"/>
            <w:vAlign w:val="bottom"/>
          </w:tcPr>
          <w:p w14:paraId="740228E5" w14:textId="77777777" w:rsidR="00B82146" w:rsidRPr="001F224B" w:rsidRDefault="00B82146" w:rsidP="00C417B1">
            <w:pPr>
              <w:jc w:val="center"/>
              <w:rPr>
                <w:b/>
                <w:sz w:val="20"/>
                <w:szCs w:val="20"/>
              </w:rPr>
            </w:pPr>
            <w:r w:rsidRPr="001F224B">
              <w:rPr>
                <w:b/>
                <w:sz w:val="20"/>
                <w:szCs w:val="20"/>
              </w:rPr>
              <w:t>Swap Satım</w:t>
            </w:r>
          </w:p>
        </w:tc>
      </w:tr>
      <w:tr w:rsidR="001F4FBE" w:rsidRPr="001F224B" w14:paraId="5BA2B81C" w14:textId="77777777" w:rsidTr="008655C2">
        <w:tc>
          <w:tcPr>
            <w:tcW w:w="651" w:type="pct"/>
            <w:vAlign w:val="bottom"/>
          </w:tcPr>
          <w:p w14:paraId="06D0C657" w14:textId="77777777" w:rsidR="001F4FBE" w:rsidRPr="001F224B" w:rsidRDefault="001F4FBE" w:rsidP="001F4FBE">
            <w:pPr>
              <w:rPr>
                <w:sz w:val="20"/>
                <w:szCs w:val="20"/>
              </w:rPr>
            </w:pPr>
            <w:r w:rsidRPr="001F224B">
              <w:rPr>
                <w:sz w:val="20"/>
                <w:szCs w:val="20"/>
              </w:rPr>
              <w:t>TL</w:t>
            </w:r>
          </w:p>
        </w:tc>
        <w:tc>
          <w:tcPr>
            <w:tcW w:w="552" w:type="pct"/>
            <w:vAlign w:val="bottom"/>
          </w:tcPr>
          <w:p w14:paraId="12559B6D" w14:textId="6DEF154F" w:rsidR="001F4FBE" w:rsidRPr="001F224B" w:rsidRDefault="001F4FBE" w:rsidP="001F4FBE">
            <w:pPr>
              <w:jc w:val="right"/>
              <w:rPr>
                <w:sz w:val="20"/>
                <w:szCs w:val="20"/>
              </w:rPr>
            </w:pPr>
            <w:r w:rsidRPr="001F224B">
              <w:rPr>
                <w:sz w:val="20"/>
                <w:szCs w:val="20"/>
              </w:rPr>
              <w:t>-</w:t>
            </w:r>
          </w:p>
        </w:tc>
        <w:tc>
          <w:tcPr>
            <w:tcW w:w="552" w:type="pct"/>
            <w:vAlign w:val="bottom"/>
          </w:tcPr>
          <w:p w14:paraId="79385154" w14:textId="1C9CDF6F" w:rsidR="001F4FBE" w:rsidRPr="001F224B" w:rsidRDefault="001F4FBE" w:rsidP="001F4FBE">
            <w:pPr>
              <w:jc w:val="right"/>
              <w:rPr>
                <w:sz w:val="20"/>
                <w:szCs w:val="20"/>
              </w:rPr>
            </w:pPr>
            <w:r w:rsidRPr="001F224B">
              <w:rPr>
                <w:sz w:val="20"/>
                <w:szCs w:val="20"/>
              </w:rPr>
              <w:t>-</w:t>
            </w:r>
          </w:p>
        </w:tc>
        <w:tc>
          <w:tcPr>
            <w:tcW w:w="552" w:type="pct"/>
            <w:vAlign w:val="bottom"/>
          </w:tcPr>
          <w:p w14:paraId="0094EE38" w14:textId="783CA245" w:rsidR="001F4FBE" w:rsidRPr="001F224B" w:rsidRDefault="001F4FBE" w:rsidP="001F4FBE">
            <w:pPr>
              <w:jc w:val="right"/>
              <w:rPr>
                <w:sz w:val="20"/>
                <w:szCs w:val="20"/>
              </w:rPr>
            </w:pPr>
            <w:r w:rsidRPr="001F224B">
              <w:rPr>
                <w:sz w:val="20"/>
                <w:szCs w:val="20"/>
              </w:rPr>
              <w:t>2.322.525</w:t>
            </w:r>
          </w:p>
        </w:tc>
        <w:tc>
          <w:tcPr>
            <w:tcW w:w="555" w:type="pct"/>
            <w:vAlign w:val="bottom"/>
          </w:tcPr>
          <w:p w14:paraId="6C8380A1" w14:textId="733DCF66" w:rsidR="001F4FBE" w:rsidRPr="001F224B" w:rsidRDefault="001F4FBE" w:rsidP="001F4FBE">
            <w:pPr>
              <w:jc w:val="right"/>
              <w:rPr>
                <w:sz w:val="20"/>
                <w:szCs w:val="20"/>
              </w:rPr>
            </w:pPr>
            <w:r w:rsidRPr="001F224B">
              <w:rPr>
                <w:sz w:val="20"/>
                <w:szCs w:val="20"/>
              </w:rPr>
              <w:t>5.498.945</w:t>
            </w:r>
          </w:p>
        </w:tc>
        <w:tc>
          <w:tcPr>
            <w:tcW w:w="552" w:type="pct"/>
            <w:vAlign w:val="bottom"/>
          </w:tcPr>
          <w:p w14:paraId="0BEA99BA" w14:textId="484BCB92" w:rsidR="001F4FBE" w:rsidRPr="001F224B" w:rsidRDefault="001F4FBE" w:rsidP="001F4FBE">
            <w:pPr>
              <w:jc w:val="right"/>
              <w:rPr>
                <w:sz w:val="20"/>
                <w:szCs w:val="20"/>
              </w:rPr>
            </w:pPr>
            <w:r w:rsidRPr="001F224B">
              <w:rPr>
                <w:sz w:val="20"/>
                <w:szCs w:val="20"/>
              </w:rPr>
              <w:t>-</w:t>
            </w:r>
          </w:p>
        </w:tc>
        <w:tc>
          <w:tcPr>
            <w:tcW w:w="479" w:type="pct"/>
            <w:vAlign w:val="bottom"/>
          </w:tcPr>
          <w:p w14:paraId="42182F8A" w14:textId="4AB86AB2" w:rsidR="001F4FBE" w:rsidRPr="001F224B" w:rsidRDefault="001F4FBE" w:rsidP="001F4FBE">
            <w:pPr>
              <w:jc w:val="right"/>
              <w:rPr>
                <w:sz w:val="20"/>
                <w:szCs w:val="20"/>
              </w:rPr>
            </w:pPr>
            <w:r w:rsidRPr="001F224B">
              <w:rPr>
                <w:sz w:val="20"/>
                <w:szCs w:val="20"/>
              </w:rPr>
              <w:t>-</w:t>
            </w:r>
          </w:p>
        </w:tc>
        <w:tc>
          <w:tcPr>
            <w:tcW w:w="552" w:type="pct"/>
          </w:tcPr>
          <w:p w14:paraId="34E4991A" w14:textId="3E89A1BB" w:rsidR="001F4FBE" w:rsidRPr="001F224B" w:rsidRDefault="001F4FBE" w:rsidP="001F4FBE">
            <w:pPr>
              <w:jc w:val="right"/>
              <w:rPr>
                <w:sz w:val="20"/>
                <w:szCs w:val="20"/>
              </w:rPr>
            </w:pPr>
            <w:r w:rsidRPr="001F224B">
              <w:rPr>
                <w:sz w:val="20"/>
                <w:szCs w:val="20"/>
              </w:rPr>
              <w:t>2.307.407</w:t>
            </w:r>
          </w:p>
        </w:tc>
        <w:tc>
          <w:tcPr>
            <w:tcW w:w="554" w:type="pct"/>
          </w:tcPr>
          <w:p w14:paraId="40D2375D" w14:textId="61123231" w:rsidR="001F4FBE" w:rsidRPr="001F224B" w:rsidRDefault="001F4FBE" w:rsidP="001F4FBE">
            <w:pPr>
              <w:jc w:val="right"/>
              <w:rPr>
                <w:sz w:val="20"/>
                <w:szCs w:val="20"/>
              </w:rPr>
            </w:pPr>
            <w:r w:rsidRPr="001F224B">
              <w:rPr>
                <w:sz w:val="20"/>
                <w:szCs w:val="20"/>
              </w:rPr>
              <w:t>4.259.259</w:t>
            </w:r>
          </w:p>
        </w:tc>
      </w:tr>
      <w:tr w:rsidR="001F4FBE" w:rsidRPr="001F224B" w14:paraId="062B97CF" w14:textId="77777777" w:rsidTr="008655C2">
        <w:tc>
          <w:tcPr>
            <w:tcW w:w="651" w:type="pct"/>
            <w:vAlign w:val="bottom"/>
          </w:tcPr>
          <w:p w14:paraId="0C7DF566" w14:textId="77777777" w:rsidR="001F4FBE" w:rsidRPr="001F224B" w:rsidRDefault="001F4FBE" w:rsidP="001F4FBE">
            <w:pPr>
              <w:rPr>
                <w:sz w:val="20"/>
                <w:szCs w:val="20"/>
              </w:rPr>
            </w:pPr>
            <w:r w:rsidRPr="001F224B">
              <w:rPr>
                <w:sz w:val="20"/>
                <w:szCs w:val="20"/>
              </w:rPr>
              <w:t>ABD Doları</w:t>
            </w:r>
          </w:p>
        </w:tc>
        <w:tc>
          <w:tcPr>
            <w:tcW w:w="552" w:type="pct"/>
            <w:vAlign w:val="bottom"/>
          </w:tcPr>
          <w:p w14:paraId="573BFAC2" w14:textId="33F87409" w:rsidR="001F4FBE" w:rsidRPr="001F224B" w:rsidRDefault="001F4FBE" w:rsidP="001F4FBE">
            <w:pPr>
              <w:jc w:val="right"/>
              <w:rPr>
                <w:sz w:val="20"/>
                <w:szCs w:val="20"/>
              </w:rPr>
            </w:pPr>
            <w:r w:rsidRPr="001F224B">
              <w:rPr>
                <w:sz w:val="20"/>
                <w:szCs w:val="20"/>
              </w:rPr>
              <w:t>-</w:t>
            </w:r>
          </w:p>
        </w:tc>
        <w:tc>
          <w:tcPr>
            <w:tcW w:w="552" w:type="pct"/>
            <w:vAlign w:val="bottom"/>
          </w:tcPr>
          <w:p w14:paraId="330FC0DD" w14:textId="4F9FE014" w:rsidR="001F4FBE" w:rsidRPr="001F224B" w:rsidRDefault="001F4FBE" w:rsidP="001F4FBE">
            <w:pPr>
              <w:jc w:val="right"/>
              <w:rPr>
                <w:sz w:val="20"/>
                <w:szCs w:val="20"/>
              </w:rPr>
            </w:pPr>
            <w:r w:rsidRPr="001F224B">
              <w:rPr>
                <w:sz w:val="20"/>
                <w:szCs w:val="20"/>
              </w:rPr>
              <w:t>-</w:t>
            </w:r>
          </w:p>
        </w:tc>
        <w:tc>
          <w:tcPr>
            <w:tcW w:w="552" w:type="pct"/>
            <w:vAlign w:val="bottom"/>
          </w:tcPr>
          <w:p w14:paraId="7E66B6B2" w14:textId="7A5C4B08" w:rsidR="001F4FBE" w:rsidRPr="001F224B" w:rsidRDefault="001F4FBE" w:rsidP="001F4FBE">
            <w:pPr>
              <w:jc w:val="right"/>
              <w:rPr>
                <w:sz w:val="20"/>
                <w:szCs w:val="20"/>
              </w:rPr>
            </w:pPr>
            <w:r w:rsidRPr="001F224B">
              <w:rPr>
                <w:sz w:val="20"/>
                <w:szCs w:val="20"/>
              </w:rPr>
              <w:t>5.337.823</w:t>
            </w:r>
          </w:p>
        </w:tc>
        <w:tc>
          <w:tcPr>
            <w:tcW w:w="555" w:type="pct"/>
            <w:vAlign w:val="bottom"/>
          </w:tcPr>
          <w:p w14:paraId="457BD7C1" w14:textId="36EBFF1F" w:rsidR="001F4FBE" w:rsidRPr="001F224B" w:rsidRDefault="001F4FBE" w:rsidP="001F4FBE">
            <w:pPr>
              <w:jc w:val="right"/>
              <w:rPr>
                <w:sz w:val="20"/>
                <w:szCs w:val="20"/>
              </w:rPr>
            </w:pPr>
            <w:r w:rsidRPr="001F224B">
              <w:rPr>
                <w:sz w:val="20"/>
                <w:szCs w:val="20"/>
              </w:rPr>
              <w:t>5.892.217</w:t>
            </w:r>
          </w:p>
        </w:tc>
        <w:tc>
          <w:tcPr>
            <w:tcW w:w="552" w:type="pct"/>
            <w:vAlign w:val="bottom"/>
          </w:tcPr>
          <w:p w14:paraId="3B10E227" w14:textId="49D426BB" w:rsidR="001F4FBE" w:rsidRPr="001F224B" w:rsidRDefault="001F4FBE" w:rsidP="001F4FBE">
            <w:pPr>
              <w:jc w:val="right"/>
              <w:rPr>
                <w:sz w:val="20"/>
                <w:szCs w:val="20"/>
              </w:rPr>
            </w:pPr>
            <w:r w:rsidRPr="001F224B">
              <w:rPr>
                <w:sz w:val="20"/>
                <w:szCs w:val="20"/>
              </w:rPr>
              <w:t>-</w:t>
            </w:r>
          </w:p>
        </w:tc>
        <w:tc>
          <w:tcPr>
            <w:tcW w:w="479" w:type="pct"/>
            <w:vAlign w:val="bottom"/>
          </w:tcPr>
          <w:p w14:paraId="11C0C03F" w14:textId="7AA0C367" w:rsidR="001F4FBE" w:rsidRPr="001F224B" w:rsidRDefault="001F4FBE" w:rsidP="001F4FBE">
            <w:pPr>
              <w:jc w:val="right"/>
              <w:rPr>
                <w:sz w:val="20"/>
                <w:szCs w:val="20"/>
              </w:rPr>
            </w:pPr>
            <w:r w:rsidRPr="001F224B">
              <w:rPr>
                <w:sz w:val="20"/>
                <w:szCs w:val="20"/>
              </w:rPr>
              <w:t>-</w:t>
            </w:r>
          </w:p>
        </w:tc>
        <w:tc>
          <w:tcPr>
            <w:tcW w:w="552" w:type="pct"/>
          </w:tcPr>
          <w:p w14:paraId="2A9BEEB4" w14:textId="1FFB2C57" w:rsidR="001F4FBE" w:rsidRPr="001F224B" w:rsidRDefault="001F4FBE" w:rsidP="001F4FBE">
            <w:pPr>
              <w:jc w:val="right"/>
              <w:rPr>
                <w:sz w:val="20"/>
                <w:szCs w:val="20"/>
              </w:rPr>
            </w:pPr>
            <w:r w:rsidRPr="001F224B">
              <w:rPr>
                <w:sz w:val="20"/>
                <w:szCs w:val="20"/>
              </w:rPr>
              <w:t>4.058.327</w:t>
            </w:r>
          </w:p>
        </w:tc>
        <w:tc>
          <w:tcPr>
            <w:tcW w:w="554" w:type="pct"/>
          </w:tcPr>
          <w:p w14:paraId="3B21439C" w14:textId="29BB17AB" w:rsidR="001F4FBE" w:rsidRPr="001F224B" w:rsidRDefault="001F4FBE" w:rsidP="001F4FBE">
            <w:pPr>
              <w:jc w:val="right"/>
              <w:rPr>
                <w:sz w:val="20"/>
                <w:szCs w:val="20"/>
              </w:rPr>
            </w:pPr>
            <w:r w:rsidRPr="001F224B">
              <w:rPr>
                <w:sz w:val="20"/>
                <w:szCs w:val="20"/>
              </w:rPr>
              <w:t>5.059.379</w:t>
            </w:r>
          </w:p>
        </w:tc>
      </w:tr>
      <w:tr w:rsidR="001F4FBE" w:rsidRPr="001F224B" w14:paraId="2A8ED74A" w14:textId="77777777" w:rsidTr="008655C2">
        <w:tc>
          <w:tcPr>
            <w:tcW w:w="651" w:type="pct"/>
            <w:vAlign w:val="bottom"/>
          </w:tcPr>
          <w:p w14:paraId="516B9566" w14:textId="77777777" w:rsidR="001F4FBE" w:rsidRPr="001F224B" w:rsidRDefault="001F4FBE" w:rsidP="001F4FBE">
            <w:pPr>
              <w:rPr>
                <w:sz w:val="20"/>
                <w:szCs w:val="20"/>
              </w:rPr>
            </w:pPr>
            <w:r w:rsidRPr="001F224B">
              <w:rPr>
                <w:sz w:val="20"/>
                <w:szCs w:val="20"/>
              </w:rPr>
              <w:t>Avro</w:t>
            </w:r>
          </w:p>
        </w:tc>
        <w:tc>
          <w:tcPr>
            <w:tcW w:w="552" w:type="pct"/>
            <w:vAlign w:val="bottom"/>
          </w:tcPr>
          <w:p w14:paraId="274F428C" w14:textId="24D13140" w:rsidR="001F4FBE" w:rsidRPr="001F224B" w:rsidRDefault="001F4FBE" w:rsidP="001F4FBE">
            <w:pPr>
              <w:jc w:val="right"/>
              <w:rPr>
                <w:sz w:val="20"/>
                <w:szCs w:val="20"/>
              </w:rPr>
            </w:pPr>
            <w:r w:rsidRPr="001F224B">
              <w:rPr>
                <w:sz w:val="20"/>
                <w:szCs w:val="20"/>
              </w:rPr>
              <w:t>-</w:t>
            </w:r>
          </w:p>
        </w:tc>
        <w:tc>
          <w:tcPr>
            <w:tcW w:w="552" w:type="pct"/>
            <w:vAlign w:val="bottom"/>
          </w:tcPr>
          <w:p w14:paraId="26B8BC31" w14:textId="2A36E5E8" w:rsidR="001F4FBE" w:rsidRPr="001F224B" w:rsidRDefault="001F4FBE" w:rsidP="001F4FBE">
            <w:pPr>
              <w:jc w:val="right"/>
              <w:rPr>
                <w:sz w:val="20"/>
                <w:szCs w:val="20"/>
              </w:rPr>
            </w:pPr>
            <w:r w:rsidRPr="001F224B">
              <w:rPr>
                <w:sz w:val="20"/>
                <w:szCs w:val="20"/>
              </w:rPr>
              <w:t>-</w:t>
            </w:r>
          </w:p>
        </w:tc>
        <w:tc>
          <w:tcPr>
            <w:tcW w:w="552" w:type="pct"/>
            <w:vAlign w:val="bottom"/>
          </w:tcPr>
          <w:p w14:paraId="18187AA5" w14:textId="12675C2C" w:rsidR="001F4FBE" w:rsidRPr="001F224B" w:rsidRDefault="001F4FBE" w:rsidP="001F4FBE">
            <w:pPr>
              <w:jc w:val="right"/>
              <w:rPr>
                <w:sz w:val="20"/>
                <w:szCs w:val="20"/>
              </w:rPr>
            </w:pPr>
            <w:r w:rsidRPr="001F224B">
              <w:rPr>
                <w:sz w:val="20"/>
                <w:szCs w:val="20"/>
              </w:rPr>
              <w:t>3.709.472</w:t>
            </w:r>
          </w:p>
        </w:tc>
        <w:tc>
          <w:tcPr>
            <w:tcW w:w="555" w:type="pct"/>
            <w:vAlign w:val="bottom"/>
          </w:tcPr>
          <w:p w14:paraId="7E25D36B" w14:textId="351C529E" w:rsidR="001F4FBE" w:rsidRPr="001F224B" w:rsidRDefault="001F4FBE" w:rsidP="001F4FBE">
            <w:pPr>
              <w:jc w:val="right"/>
              <w:rPr>
                <w:sz w:val="20"/>
                <w:szCs w:val="20"/>
              </w:rPr>
            </w:pPr>
            <w:r w:rsidRPr="001F224B">
              <w:rPr>
                <w:sz w:val="20"/>
                <w:szCs w:val="20"/>
              </w:rPr>
              <w:t>-</w:t>
            </w:r>
          </w:p>
        </w:tc>
        <w:tc>
          <w:tcPr>
            <w:tcW w:w="552" w:type="pct"/>
            <w:vAlign w:val="bottom"/>
          </w:tcPr>
          <w:p w14:paraId="0C2CBB04" w14:textId="0ACB091E" w:rsidR="001F4FBE" w:rsidRPr="001F224B" w:rsidRDefault="001F4FBE" w:rsidP="001F4FBE">
            <w:pPr>
              <w:jc w:val="right"/>
              <w:rPr>
                <w:sz w:val="20"/>
                <w:szCs w:val="20"/>
              </w:rPr>
            </w:pPr>
            <w:r w:rsidRPr="001F224B">
              <w:rPr>
                <w:sz w:val="20"/>
                <w:szCs w:val="20"/>
              </w:rPr>
              <w:t>-</w:t>
            </w:r>
          </w:p>
        </w:tc>
        <w:tc>
          <w:tcPr>
            <w:tcW w:w="479" w:type="pct"/>
            <w:vAlign w:val="bottom"/>
          </w:tcPr>
          <w:p w14:paraId="2B0F47C5" w14:textId="13BE7096" w:rsidR="001F4FBE" w:rsidRPr="001F224B" w:rsidRDefault="001F4FBE" w:rsidP="001F4FBE">
            <w:pPr>
              <w:jc w:val="right"/>
              <w:rPr>
                <w:sz w:val="20"/>
                <w:szCs w:val="20"/>
              </w:rPr>
            </w:pPr>
            <w:r w:rsidRPr="001F224B">
              <w:rPr>
                <w:sz w:val="20"/>
                <w:szCs w:val="20"/>
              </w:rPr>
              <w:t>-</w:t>
            </w:r>
          </w:p>
        </w:tc>
        <w:tc>
          <w:tcPr>
            <w:tcW w:w="552" w:type="pct"/>
          </w:tcPr>
          <w:p w14:paraId="044116B4" w14:textId="57FD0EDA" w:rsidR="001F4FBE" w:rsidRPr="001F224B" w:rsidRDefault="001F4FBE" w:rsidP="001F4FBE">
            <w:pPr>
              <w:jc w:val="right"/>
              <w:rPr>
                <w:sz w:val="20"/>
                <w:szCs w:val="20"/>
              </w:rPr>
            </w:pPr>
            <w:r w:rsidRPr="001F224B">
              <w:rPr>
                <w:sz w:val="20"/>
                <w:szCs w:val="20"/>
              </w:rPr>
              <w:t>3.046.797</w:t>
            </w:r>
          </w:p>
        </w:tc>
        <w:tc>
          <w:tcPr>
            <w:tcW w:w="554" w:type="pct"/>
          </w:tcPr>
          <w:p w14:paraId="5010AB77" w14:textId="1977E1A1" w:rsidR="001F4FBE" w:rsidRPr="001F224B" w:rsidRDefault="001F4FBE" w:rsidP="001F4FBE">
            <w:pPr>
              <w:jc w:val="right"/>
              <w:rPr>
                <w:sz w:val="20"/>
                <w:szCs w:val="20"/>
              </w:rPr>
            </w:pPr>
            <w:r w:rsidRPr="001F224B">
              <w:rPr>
                <w:sz w:val="20"/>
                <w:szCs w:val="20"/>
              </w:rPr>
              <w:t>-</w:t>
            </w:r>
          </w:p>
        </w:tc>
      </w:tr>
      <w:tr w:rsidR="001F4FBE" w:rsidRPr="001F224B" w14:paraId="600EF041" w14:textId="77777777" w:rsidTr="0033482E">
        <w:tc>
          <w:tcPr>
            <w:tcW w:w="651" w:type="pct"/>
            <w:vAlign w:val="bottom"/>
          </w:tcPr>
          <w:p w14:paraId="44E5EA4E" w14:textId="77777777" w:rsidR="001F4FBE" w:rsidRPr="001F224B" w:rsidRDefault="001F4FBE" w:rsidP="001F4FBE">
            <w:pPr>
              <w:rPr>
                <w:sz w:val="20"/>
                <w:szCs w:val="20"/>
              </w:rPr>
            </w:pPr>
            <w:r w:rsidRPr="001F224B">
              <w:rPr>
                <w:sz w:val="20"/>
                <w:szCs w:val="20"/>
              </w:rPr>
              <w:t>Diğer</w:t>
            </w:r>
          </w:p>
        </w:tc>
        <w:tc>
          <w:tcPr>
            <w:tcW w:w="552" w:type="pct"/>
            <w:vAlign w:val="bottom"/>
          </w:tcPr>
          <w:p w14:paraId="435A838F" w14:textId="2ABB9EE6" w:rsidR="001F4FBE" w:rsidRPr="001F224B" w:rsidRDefault="001F4FBE" w:rsidP="001F4FBE">
            <w:pPr>
              <w:jc w:val="right"/>
              <w:rPr>
                <w:sz w:val="20"/>
                <w:szCs w:val="20"/>
              </w:rPr>
            </w:pPr>
            <w:r w:rsidRPr="001F224B">
              <w:rPr>
                <w:sz w:val="20"/>
                <w:szCs w:val="20"/>
              </w:rPr>
              <w:t>-</w:t>
            </w:r>
          </w:p>
        </w:tc>
        <w:tc>
          <w:tcPr>
            <w:tcW w:w="552" w:type="pct"/>
            <w:vAlign w:val="bottom"/>
          </w:tcPr>
          <w:p w14:paraId="0275DAE5" w14:textId="703F7DCA" w:rsidR="001F4FBE" w:rsidRPr="001F224B" w:rsidRDefault="001F4FBE" w:rsidP="001F4FBE">
            <w:pPr>
              <w:jc w:val="right"/>
              <w:rPr>
                <w:sz w:val="20"/>
                <w:szCs w:val="20"/>
              </w:rPr>
            </w:pPr>
            <w:r w:rsidRPr="001F224B">
              <w:rPr>
                <w:sz w:val="20"/>
                <w:szCs w:val="20"/>
              </w:rPr>
              <w:t>-</w:t>
            </w:r>
          </w:p>
        </w:tc>
        <w:tc>
          <w:tcPr>
            <w:tcW w:w="552" w:type="pct"/>
            <w:vAlign w:val="bottom"/>
          </w:tcPr>
          <w:p w14:paraId="7E5B43C7" w14:textId="27AC1FBA" w:rsidR="001F4FBE" w:rsidRPr="001F224B" w:rsidRDefault="001F4FBE" w:rsidP="001F4FBE">
            <w:pPr>
              <w:jc w:val="right"/>
              <w:rPr>
                <w:sz w:val="20"/>
                <w:szCs w:val="20"/>
              </w:rPr>
            </w:pPr>
            <w:r w:rsidRPr="001F224B">
              <w:rPr>
                <w:sz w:val="20"/>
                <w:szCs w:val="20"/>
              </w:rPr>
              <w:t>-</w:t>
            </w:r>
          </w:p>
        </w:tc>
        <w:tc>
          <w:tcPr>
            <w:tcW w:w="555" w:type="pct"/>
            <w:vAlign w:val="bottom"/>
          </w:tcPr>
          <w:p w14:paraId="0E44192B" w14:textId="5C73D030" w:rsidR="001F4FBE" w:rsidRPr="001F224B" w:rsidRDefault="001F4FBE" w:rsidP="001F4FBE">
            <w:pPr>
              <w:jc w:val="right"/>
              <w:rPr>
                <w:sz w:val="20"/>
                <w:szCs w:val="20"/>
              </w:rPr>
            </w:pPr>
            <w:r w:rsidRPr="001F224B">
              <w:rPr>
                <w:sz w:val="20"/>
                <w:szCs w:val="20"/>
              </w:rPr>
              <w:t>-</w:t>
            </w:r>
          </w:p>
        </w:tc>
        <w:tc>
          <w:tcPr>
            <w:tcW w:w="552" w:type="pct"/>
            <w:vAlign w:val="bottom"/>
          </w:tcPr>
          <w:p w14:paraId="65863201" w14:textId="6DB2A9AF" w:rsidR="001F4FBE" w:rsidRPr="001F224B" w:rsidRDefault="001F4FBE" w:rsidP="001F4FBE">
            <w:pPr>
              <w:jc w:val="right"/>
              <w:rPr>
                <w:sz w:val="20"/>
                <w:szCs w:val="20"/>
              </w:rPr>
            </w:pPr>
            <w:r w:rsidRPr="001F224B">
              <w:rPr>
                <w:sz w:val="20"/>
                <w:szCs w:val="20"/>
              </w:rPr>
              <w:t>-</w:t>
            </w:r>
          </w:p>
        </w:tc>
        <w:tc>
          <w:tcPr>
            <w:tcW w:w="479" w:type="pct"/>
            <w:vAlign w:val="bottom"/>
          </w:tcPr>
          <w:p w14:paraId="683930B8" w14:textId="69F78985" w:rsidR="001F4FBE" w:rsidRPr="001F224B" w:rsidRDefault="001F4FBE" w:rsidP="001F4FBE">
            <w:pPr>
              <w:jc w:val="right"/>
              <w:rPr>
                <w:sz w:val="20"/>
                <w:szCs w:val="20"/>
              </w:rPr>
            </w:pPr>
            <w:r w:rsidRPr="001F224B">
              <w:rPr>
                <w:sz w:val="20"/>
                <w:szCs w:val="20"/>
              </w:rPr>
              <w:t>-</w:t>
            </w:r>
          </w:p>
        </w:tc>
        <w:tc>
          <w:tcPr>
            <w:tcW w:w="552" w:type="pct"/>
            <w:vAlign w:val="bottom"/>
          </w:tcPr>
          <w:p w14:paraId="750EF34F" w14:textId="026F5810" w:rsidR="001F4FBE" w:rsidRPr="001F224B" w:rsidRDefault="001F4FBE" w:rsidP="001F4FBE">
            <w:pPr>
              <w:jc w:val="right"/>
              <w:rPr>
                <w:sz w:val="20"/>
                <w:szCs w:val="20"/>
              </w:rPr>
            </w:pPr>
            <w:r w:rsidRPr="001F224B">
              <w:rPr>
                <w:sz w:val="20"/>
                <w:szCs w:val="20"/>
              </w:rPr>
              <w:t>-</w:t>
            </w:r>
          </w:p>
        </w:tc>
        <w:tc>
          <w:tcPr>
            <w:tcW w:w="554" w:type="pct"/>
            <w:vAlign w:val="bottom"/>
          </w:tcPr>
          <w:p w14:paraId="59991030" w14:textId="73A54A6F" w:rsidR="001F4FBE" w:rsidRPr="001F224B" w:rsidRDefault="001F4FBE" w:rsidP="001F4FBE">
            <w:pPr>
              <w:jc w:val="right"/>
              <w:rPr>
                <w:sz w:val="20"/>
                <w:szCs w:val="20"/>
              </w:rPr>
            </w:pPr>
            <w:r w:rsidRPr="001F224B">
              <w:rPr>
                <w:sz w:val="20"/>
                <w:szCs w:val="20"/>
              </w:rPr>
              <w:t>-</w:t>
            </w:r>
          </w:p>
        </w:tc>
      </w:tr>
      <w:tr w:rsidR="001F4FBE" w:rsidRPr="001F224B" w14:paraId="02846429" w14:textId="77777777" w:rsidTr="008655C2">
        <w:tc>
          <w:tcPr>
            <w:tcW w:w="651" w:type="pct"/>
            <w:vAlign w:val="bottom"/>
          </w:tcPr>
          <w:p w14:paraId="3823E041" w14:textId="77777777" w:rsidR="001F4FBE" w:rsidRPr="001F224B" w:rsidRDefault="001F4FBE" w:rsidP="001F4FBE">
            <w:pPr>
              <w:rPr>
                <w:sz w:val="20"/>
                <w:szCs w:val="20"/>
              </w:rPr>
            </w:pPr>
            <w:r w:rsidRPr="001F224B">
              <w:rPr>
                <w:b/>
                <w:sz w:val="20"/>
                <w:szCs w:val="20"/>
              </w:rPr>
              <w:t>Toplam</w:t>
            </w:r>
          </w:p>
        </w:tc>
        <w:tc>
          <w:tcPr>
            <w:tcW w:w="552" w:type="pct"/>
            <w:vAlign w:val="bottom"/>
          </w:tcPr>
          <w:p w14:paraId="535EF401" w14:textId="35C9FE93" w:rsidR="001F4FBE" w:rsidRPr="001F224B" w:rsidRDefault="001F4FBE" w:rsidP="001F4FBE">
            <w:pPr>
              <w:jc w:val="right"/>
              <w:rPr>
                <w:b/>
                <w:sz w:val="20"/>
                <w:szCs w:val="20"/>
              </w:rPr>
            </w:pPr>
            <w:r w:rsidRPr="001F224B">
              <w:rPr>
                <w:b/>
                <w:sz w:val="20"/>
                <w:szCs w:val="20"/>
              </w:rPr>
              <w:t>-</w:t>
            </w:r>
          </w:p>
        </w:tc>
        <w:tc>
          <w:tcPr>
            <w:tcW w:w="552" w:type="pct"/>
            <w:vAlign w:val="bottom"/>
          </w:tcPr>
          <w:p w14:paraId="7CC3B4C2" w14:textId="7F7A8765" w:rsidR="001F4FBE" w:rsidRPr="001F224B" w:rsidRDefault="001F4FBE" w:rsidP="001F4FBE">
            <w:pPr>
              <w:jc w:val="right"/>
              <w:rPr>
                <w:b/>
                <w:sz w:val="20"/>
                <w:szCs w:val="20"/>
              </w:rPr>
            </w:pPr>
            <w:r w:rsidRPr="001F224B">
              <w:rPr>
                <w:b/>
                <w:sz w:val="20"/>
                <w:szCs w:val="20"/>
              </w:rPr>
              <w:t>-</w:t>
            </w:r>
          </w:p>
        </w:tc>
        <w:tc>
          <w:tcPr>
            <w:tcW w:w="552" w:type="pct"/>
            <w:vAlign w:val="bottom"/>
          </w:tcPr>
          <w:p w14:paraId="7AFA73FA" w14:textId="65CE6D52" w:rsidR="001F4FBE" w:rsidRPr="001F224B" w:rsidRDefault="001F4FBE" w:rsidP="001F4FBE">
            <w:pPr>
              <w:ind w:left="-307"/>
              <w:jc w:val="right"/>
              <w:rPr>
                <w:b/>
                <w:sz w:val="20"/>
                <w:szCs w:val="20"/>
              </w:rPr>
            </w:pPr>
            <w:r w:rsidRPr="001F224B">
              <w:rPr>
                <w:b/>
                <w:bCs/>
                <w:sz w:val="20"/>
                <w:szCs w:val="20"/>
              </w:rPr>
              <w:t>11.369.820</w:t>
            </w:r>
          </w:p>
        </w:tc>
        <w:tc>
          <w:tcPr>
            <w:tcW w:w="555" w:type="pct"/>
            <w:vAlign w:val="bottom"/>
          </w:tcPr>
          <w:p w14:paraId="7540479C" w14:textId="59D6BDB3" w:rsidR="001F4FBE" w:rsidRPr="001F224B" w:rsidRDefault="001F4FBE" w:rsidP="001F4FBE">
            <w:pPr>
              <w:ind w:left="-250"/>
              <w:jc w:val="right"/>
              <w:rPr>
                <w:b/>
                <w:sz w:val="20"/>
                <w:szCs w:val="20"/>
              </w:rPr>
            </w:pPr>
            <w:r w:rsidRPr="001F224B">
              <w:rPr>
                <w:b/>
                <w:bCs/>
                <w:sz w:val="20"/>
                <w:szCs w:val="20"/>
              </w:rPr>
              <w:t>11.391.162</w:t>
            </w:r>
          </w:p>
        </w:tc>
        <w:tc>
          <w:tcPr>
            <w:tcW w:w="552" w:type="pct"/>
            <w:vAlign w:val="bottom"/>
          </w:tcPr>
          <w:p w14:paraId="3E082D60" w14:textId="17E057C1" w:rsidR="001F4FBE" w:rsidRPr="001F224B" w:rsidRDefault="001F4FBE" w:rsidP="001F4FBE">
            <w:pPr>
              <w:jc w:val="right"/>
              <w:rPr>
                <w:b/>
                <w:sz w:val="20"/>
                <w:szCs w:val="20"/>
              </w:rPr>
            </w:pPr>
            <w:r w:rsidRPr="001F224B">
              <w:rPr>
                <w:b/>
                <w:sz w:val="20"/>
                <w:szCs w:val="20"/>
              </w:rPr>
              <w:t>-</w:t>
            </w:r>
          </w:p>
        </w:tc>
        <w:tc>
          <w:tcPr>
            <w:tcW w:w="479" w:type="pct"/>
            <w:vAlign w:val="bottom"/>
          </w:tcPr>
          <w:p w14:paraId="5AC17F89" w14:textId="71A588B8" w:rsidR="001F4FBE" w:rsidRPr="001F224B" w:rsidRDefault="001F4FBE" w:rsidP="001F4FBE">
            <w:pPr>
              <w:jc w:val="right"/>
              <w:rPr>
                <w:b/>
                <w:sz w:val="20"/>
                <w:szCs w:val="20"/>
              </w:rPr>
            </w:pPr>
            <w:r w:rsidRPr="001F224B">
              <w:rPr>
                <w:b/>
                <w:sz w:val="20"/>
                <w:szCs w:val="20"/>
              </w:rPr>
              <w:t>-</w:t>
            </w:r>
          </w:p>
        </w:tc>
        <w:tc>
          <w:tcPr>
            <w:tcW w:w="552" w:type="pct"/>
          </w:tcPr>
          <w:p w14:paraId="4C46856F" w14:textId="665FB424" w:rsidR="001F4FBE" w:rsidRPr="001F224B" w:rsidRDefault="001F4FBE" w:rsidP="001F4FBE">
            <w:pPr>
              <w:ind w:left="-530"/>
              <w:jc w:val="right"/>
              <w:rPr>
                <w:b/>
                <w:sz w:val="20"/>
                <w:szCs w:val="20"/>
              </w:rPr>
            </w:pPr>
            <w:r w:rsidRPr="001F224B">
              <w:rPr>
                <w:b/>
                <w:bCs/>
                <w:sz w:val="20"/>
                <w:szCs w:val="20"/>
              </w:rPr>
              <w:t>9.412.531</w:t>
            </w:r>
          </w:p>
        </w:tc>
        <w:tc>
          <w:tcPr>
            <w:tcW w:w="554" w:type="pct"/>
          </w:tcPr>
          <w:p w14:paraId="4879C4EC" w14:textId="0037278F" w:rsidR="001F4FBE" w:rsidRPr="001F224B" w:rsidRDefault="001F4FBE" w:rsidP="001F4FBE">
            <w:pPr>
              <w:ind w:left="-201"/>
              <w:jc w:val="right"/>
              <w:rPr>
                <w:b/>
                <w:sz w:val="20"/>
                <w:szCs w:val="20"/>
              </w:rPr>
            </w:pPr>
            <w:r w:rsidRPr="001F224B">
              <w:rPr>
                <w:b/>
                <w:bCs/>
                <w:sz w:val="20"/>
                <w:szCs w:val="20"/>
              </w:rPr>
              <w:t>9.318.638</w:t>
            </w:r>
          </w:p>
        </w:tc>
      </w:tr>
    </w:tbl>
    <w:p w14:paraId="4ADD8D36" w14:textId="77777777" w:rsidR="00827F65" w:rsidRPr="001F224B" w:rsidRDefault="00827F65" w:rsidP="00B40B9B">
      <w:pPr>
        <w:tabs>
          <w:tab w:val="left" w:pos="567"/>
        </w:tabs>
        <w:spacing w:line="276" w:lineRule="auto"/>
        <w:jc w:val="both"/>
        <w:rPr>
          <w:b/>
          <w:bCs/>
          <w:sz w:val="22"/>
          <w:szCs w:val="22"/>
        </w:rPr>
      </w:pPr>
    </w:p>
    <w:p w14:paraId="309D7DD1" w14:textId="77777777" w:rsidR="003057DE" w:rsidRPr="001F224B" w:rsidRDefault="003057DE" w:rsidP="00B33370">
      <w:pPr>
        <w:tabs>
          <w:tab w:val="left" w:pos="567"/>
        </w:tabs>
        <w:spacing w:line="276" w:lineRule="auto"/>
        <w:jc w:val="both"/>
        <w:rPr>
          <w:b/>
          <w:bCs/>
          <w:sz w:val="22"/>
          <w:szCs w:val="22"/>
        </w:rPr>
      </w:pPr>
    </w:p>
    <w:p w14:paraId="3C4E7776" w14:textId="77777777" w:rsidR="003057DE" w:rsidRPr="001F224B" w:rsidRDefault="003057DE" w:rsidP="00B33370">
      <w:pPr>
        <w:tabs>
          <w:tab w:val="left" w:pos="567"/>
        </w:tabs>
        <w:spacing w:line="276" w:lineRule="auto"/>
        <w:jc w:val="both"/>
        <w:rPr>
          <w:b/>
          <w:bCs/>
          <w:sz w:val="22"/>
          <w:szCs w:val="22"/>
        </w:rPr>
      </w:pPr>
    </w:p>
    <w:p w14:paraId="33C29F9B" w14:textId="77777777" w:rsidR="003057DE" w:rsidRPr="001F224B" w:rsidRDefault="003057DE" w:rsidP="003057DE">
      <w:pPr>
        <w:pStyle w:val="ListParagraph"/>
        <w:tabs>
          <w:tab w:val="left" w:pos="0"/>
        </w:tabs>
        <w:spacing w:before="120" w:after="120"/>
        <w:ind w:left="0"/>
        <w:rPr>
          <w:b/>
          <w:bCs/>
          <w:sz w:val="22"/>
          <w:szCs w:val="22"/>
        </w:rPr>
      </w:pPr>
      <w:r w:rsidRPr="001F224B">
        <w:rPr>
          <w:b/>
          <w:bCs/>
          <w:sz w:val="22"/>
          <w:szCs w:val="22"/>
        </w:rPr>
        <w:t>BEŞİNCİ BÖLÜM (Devamı)</w:t>
      </w:r>
    </w:p>
    <w:p w14:paraId="4C71C8C3" w14:textId="77777777" w:rsidR="003057DE" w:rsidRPr="001F224B" w:rsidRDefault="003057DE" w:rsidP="003057DE">
      <w:pPr>
        <w:pStyle w:val="ListParagraph"/>
        <w:tabs>
          <w:tab w:val="left" w:pos="0"/>
        </w:tabs>
        <w:spacing w:after="120"/>
        <w:ind w:left="0"/>
        <w:rPr>
          <w:b/>
          <w:bCs/>
          <w:sz w:val="22"/>
          <w:szCs w:val="22"/>
        </w:rPr>
      </w:pPr>
      <w:r w:rsidRPr="001F224B">
        <w:rPr>
          <w:b/>
          <w:bCs/>
          <w:sz w:val="22"/>
          <w:szCs w:val="22"/>
        </w:rPr>
        <w:t>KONSOLİDE FİNANSAL TABLOLARA İLİŞKİN AÇIKLAMA VE DİPNOTLAR</w:t>
      </w:r>
      <w:r w:rsidRPr="001F224B" w:rsidDel="006316CE">
        <w:rPr>
          <w:b/>
          <w:bCs/>
          <w:sz w:val="22"/>
          <w:szCs w:val="22"/>
        </w:rPr>
        <w:t xml:space="preserve"> </w:t>
      </w:r>
      <w:r w:rsidRPr="001F224B">
        <w:rPr>
          <w:b/>
          <w:bCs/>
          <w:sz w:val="22"/>
          <w:szCs w:val="22"/>
        </w:rPr>
        <w:t>(Devamı)</w:t>
      </w:r>
    </w:p>
    <w:p w14:paraId="442FB74F" w14:textId="77777777" w:rsidR="003057DE" w:rsidRPr="001F224B" w:rsidRDefault="003057DE" w:rsidP="003057DE">
      <w:pPr>
        <w:spacing w:line="360" w:lineRule="auto"/>
        <w:rPr>
          <w:b/>
          <w:bCs/>
          <w:sz w:val="22"/>
          <w:szCs w:val="22"/>
        </w:rPr>
      </w:pPr>
      <w:r w:rsidRPr="001F224B">
        <w:rPr>
          <w:b/>
          <w:bCs/>
          <w:sz w:val="22"/>
          <w:szCs w:val="22"/>
        </w:rPr>
        <w:t>III.     Konsolide nazım hesaplara ilişkin açıklama ve dipnotlar</w:t>
      </w:r>
    </w:p>
    <w:p w14:paraId="550A59A4" w14:textId="27155765" w:rsidR="001C11F6" w:rsidRPr="001F224B" w:rsidRDefault="001C11F6" w:rsidP="003057DE">
      <w:pPr>
        <w:rPr>
          <w:b/>
          <w:bCs/>
          <w:sz w:val="22"/>
          <w:szCs w:val="22"/>
        </w:rPr>
      </w:pPr>
      <w:r w:rsidRPr="001F224B">
        <w:rPr>
          <w:b/>
          <w:bCs/>
          <w:sz w:val="22"/>
          <w:szCs w:val="22"/>
        </w:rPr>
        <w:t>3.</w:t>
      </w:r>
      <w:r w:rsidR="003057DE" w:rsidRPr="001F224B">
        <w:rPr>
          <w:b/>
          <w:bCs/>
          <w:sz w:val="22"/>
          <w:szCs w:val="22"/>
        </w:rPr>
        <w:t xml:space="preserve">        </w:t>
      </w:r>
      <w:r w:rsidRPr="001F224B">
        <w:rPr>
          <w:b/>
          <w:bCs/>
          <w:sz w:val="22"/>
          <w:szCs w:val="22"/>
        </w:rPr>
        <w:t>Koşullu borçlar ve varlıklara ilişkin açıklamalar:</w:t>
      </w:r>
    </w:p>
    <w:p w14:paraId="793AB25E" w14:textId="77777777" w:rsidR="00352832" w:rsidRPr="001F224B" w:rsidRDefault="00352832" w:rsidP="00352832">
      <w:pPr>
        <w:spacing w:before="120" w:after="120"/>
        <w:ind w:left="567"/>
        <w:jc w:val="both"/>
        <w:rPr>
          <w:iCs/>
          <w:sz w:val="22"/>
          <w:szCs w:val="22"/>
          <w:lang w:eastAsia="en-US"/>
        </w:rPr>
      </w:pPr>
      <w:r w:rsidRPr="001F224B">
        <w:rPr>
          <w:iCs/>
          <w:sz w:val="22"/>
          <w:szCs w:val="22"/>
          <w:lang w:eastAsia="en-US"/>
        </w:rPr>
        <w:t xml:space="preserve">Banka, Lüksemburg mevzuatına tabi olarak, değişken sermayeli anonim şirket niteliğinde kurulmuş olan İstanbul Risk Sermayesi Girişimi (İstanbul Venture Capital Initiative – IVCI – A Luxemburg Investment Company Fund) “A Grubu” hisselerinden 10 Milyon Avro nominal bedelli payı satın almayı ve bu tutarı fonun yatırım planına göre belirleyeceği tarihte ödemeyi taahhüt etmiştir. Fonun başlangıçta taahhüt edilen sermayesi 150 Milyon Avro olup </w:t>
      </w:r>
      <w:r w:rsidRPr="001F224B">
        <w:rPr>
          <w:sz w:val="22"/>
          <w:szCs w:val="22"/>
          <w:lang w:eastAsia="en-US"/>
        </w:rPr>
        <w:t xml:space="preserve">Mart 2009’da </w:t>
      </w:r>
      <w:r w:rsidRPr="001F224B">
        <w:rPr>
          <w:iCs/>
          <w:sz w:val="22"/>
          <w:szCs w:val="22"/>
          <w:lang w:eastAsia="en-US"/>
        </w:rPr>
        <w:t xml:space="preserve">yeni katılımlarla taahhüt edilen sermayesi </w:t>
      </w:r>
      <w:r w:rsidRPr="001F224B">
        <w:rPr>
          <w:sz w:val="22"/>
          <w:szCs w:val="22"/>
          <w:lang w:eastAsia="en-US"/>
        </w:rPr>
        <w:t xml:space="preserve">160 Milyon </w:t>
      </w:r>
      <w:r w:rsidRPr="001F224B">
        <w:rPr>
          <w:iCs/>
          <w:sz w:val="22"/>
          <w:szCs w:val="22"/>
          <w:lang w:eastAsia="en-US"/>
        </w:rPr>
        <w:t>Avro</w:t>
      </w:r>
      <w:r w:rsidRPr="001F224B">
        <w:rPr>
          <w:sz w:val="22"/>
          <w:szCs w:val="22"/>
          <w:lang w:eastAsia="en-US"/>
        </w:rPr>
        <w:t xml:space="preserve">’ya çıkarılmıştır. </w:t>
      </w:r>
      <w:r w:rsidRPr="001F224B">
        <w:rPr>
          <w:iCs/>
          <w:sz w:val="22"/>
          <w:szCs w:val="22"/>
          <w:lang w:eastAsia="en-US"/>
        </w:rPr>
        <w:t xml:space="preserve">Banka’nın katılımı söz konusu şirketin yönetim kurulunca 13 Kasım 2007 tarihinde onaylanmış ve aynı tarihte hisse satın alma sözleşmesi imzalanmıştır. </w:t>
      </w:r>
    </w:p>
    <w:p w14:paraId="5BD9ADEB" w14:textId="77777777" w:rsidR="00352832" w:rsidRPr="001F224B" w:rsidRDefault="00352832" w:rsidP="00352832">
      <w:pPr>
        <w:spacing w:before="120" w:after="120"/>
        <w:ind w:left="567"/>
        <w:jc w:val="both"/>
        <w:rPr>
          <w:iCs/>
          <w:sz w:val="22"/>
          <w:szCs w:val="22"/>
          <w:lang w:eastAsia="en-US"/>
        </w:rPr>
      </w:pPr>
      <w:r w:rsidRPr="001F224B">
        <w:rPr>
          <w:iCs/>
          <w:sz w:val="22"/>
          <w:szCs w:val="22"/>
          <w:lang w:eastAsia="en-US"/>
        </w:rPr>
        <w:t xml:space="preserve">Banka, taahhüt etmiş olduğu 10 Milyon Avro’luk tutarın bilanço tarihi itibarıyla </w:t>
      </w:r>
      <w:r w:rsidRPr="001F224B">
        <w:rPr>
          <w:iCs/>
          <w:sz w:val="22"/>
          <w:szCs w:val="22"/>
          <w:lang w:val="en-US" w:eastAsia="en-US"/>
        </w:rPr>
        <w:t>9.998.342</w:t>
      </w:r>
      <w:r w:rsidRPr="001F224B">
        <w:rPr>
          <w:iCs/>
          <w:sz w:val="22"/>
          <w:szCs w:val="22"/>
          <w:lang w:eastAsia="en-US"/>
        </w:rPr>
        <w:t xml:space="preserve"> Avro’luk kısmını ödemiş olup 1.658 Avro’luk kısmı henüz ödenmemiştir.</w:t>
      </w:r>
    </w:p>
    <w:p w14:paraId="48F1EE42" w14:textId="77777777" w:rsidR="00352832" w:rsidRPr="001F224B" w:rsidRDefault="00352832" w:rsidP="00352832">
      <w:pPr>
        <w:ind w:left="567"/>
        <w:jc w:val="both"/>
        <w:rPr>
          <w:iCs/>
          <w:sz w:val="22"/>
          <w:szCs w:val="22"/>
          <w:lang w:eastAsia="en-US"/>
        </w:rPr>
      </w:pPr>
      <w:r w:rsidRPr="001F224B">
        <w:rPr>
          <w:iCs/>
          <w:sz w:val="22"/>
          <w:szCs w:val="22"/>
          <w:lang w:eastAsia="en-US"/>
        </w:rPr>
        <w:t>Banka, bağlı ortaklığı Kalkınma Girişim Sermayesi Portföy Yönetimi A.Ş.’nin kurucusu ve yöneticisi olduğu Kalkınma Katılım Girişim Sermayesi Yatırım Fonu’na 25.000 TL, Yenilikçi ve İleri Teknolojiler Girişim Sermayesi Yatırım Fonu’na 15.000 TL, Kalkınma ODTÜ Girişim Sermayesi Yatırım Fonu’na 1,5 Milyon ABD Doları yatırım taahhüdünde bulunmuştur. Katılım Girişim Sermayesi Yatırım Fonu’na 25.000 TL; Yenilikçi ve İleri Teknolojiler Katılım Girişim Sermayesi Yatırım Fonu’na 15.000 TL; Kalkınma ODTÜ Girişim Sermayesi Yatırım Fonu’na 1,5 Milyon ABD Doları sermaye payı ödemesi yapılmış olup bilanço tarihi itibarıyla söz konusu fonlara toplam taahhüdün tamamı ödenmiştir.</w:t>
      </w:r>
    </w:p>
    <w:p w14:paraId="044E244F" w14:textId="77777777" w:rsidR="00352832" w:rsidRPr="001F224B" w:rsidRDefault="00352832" w:rsidP="00352832">
      <w:pPr>
        <w:spacing w:before="120" w:after="120"/>
        <w:ind w:left="567"/>
        <w:jc w:val="both"/>
        <w:rPr>
          <w:iCs/>
          <w:sz w:val="22"/>
          <w:szCs w:val="22"/>
          <w:lang w:eastAsia="en-US"/>
        </w:rPr>
      </w:pPr>
      <w:r w:rsidRPr="001F224B">
        <w:rPr>
          <w:iCs/>
          <w:sz w:val="22"/>
          <w:szCs w:val="22"/>
          <w:lang w:eastAsia="en-US"/>
        </w:rPr>
        <w:t>Banka, Türkiye Kalkınma Fonu’nun kurucusu; Kalkınma Girişim Sermayesi Portföy Yönetimi A.Ş.’nin yöneticisi olduğu TKYB Sermaye Fonu’na 430.000 TL, TKYB Üst Fonu’na 15 Milyon ABD Doları yatırım taahhüdünde bulunmuştur. TKYB Sermaye Fonu’na 204.882 TL sermaye payı ödemesi yapılmış olup bilanço tarihi itibarıyla fona toplam taahhüdün 225.118 TL’lik kısmı henüz ödenmemiştir.</w:t>
      </w:r>
      <w:r w:rsidRPr="001F224B">
        <w:rPr>
          <w:sz w:val="22"/>
          <w:szCs w:val="22"/>
        </w:rPr>
        <w:t xml:space="preserve"> </w:t>
      </w:r>
      <w:r w:rsidRPr="001F224B">
        <w:rPr>
          <w:iCs/>
          <w:sz w:val="22"/>
          <w:szCs w:val="22"/>
          <w:lang w:eastAsia="en-US"/>
        </w:rPr>
        <w:t>TKYB Üst Fonu’na 525 Bin ABD Doları sermaye payı ödemesi yapılmış olup bilanço tarihi itibarıyla fona toplam taahhüdün 14.475 Bin ABD Dolar’lık kısmı henüz ödenmemiştir.</w:t>
      </w:r>
    </w:p>
    <w:p w14:paraId="7EFC82A4" w14:textId="77777777" w:rsidR="004D2CDB" w:rsidRPr="001F224B" w:rsidRDefault="004D2CDB" w:rsidP="004D2CDB">
      <w:pPr>
        <w:tabs>
          <w:tab w:val="left" w:pos="567"/>
        </w:tabs>
        <w:spacing w:before="120" w:after="120"/>
        <w:rPr>
          <w:b/>
          <w:bCs/>
          <w:sz w:val="22"/>
          <w:szCs w:val="22"/>
        </w:rPr>
      </w:pPr>
      <w:r w:rsidRPr="001F224B">
        <w:rPr>
          <w:b/>
          <w:bCs/>
          <w:sz w:val="22"/>
          <w:szCs w:val="22"/>
        </w:rPr>
        <w:t>4.</w:t>
      </w:r>
      <w:r w:rsidRPr="001F224B">
        <w:rPr>
          <w:b/>
          <w:bCs/>
          <w:sz w:val="22"/>
          <w:szCs w:val="22"/>
        </w:rPr>
        <w:tab/>
        <w:t>Başkaları nam ve hesabına verilen hizmetlere ilişkin açıklamalar:</w:t>
      </w:r>
    </w:p>
    <w:p w14:paraId="382CBB46" w14:textId="33DA7918" w:rsidR="004D2CDB" w:rsidRPr="001F224B" w:rsidRDefault="0051698D" w:rsidP="004D2CDB">
      <w:pPr>
        <w:tabs>
          <w:tab w:val="left" w:pos="567"/>
        </w:tabs>
        <w:ind w:left="567"/>
        <w:rPr>
          <w:sz w:val="22"/>
          <w:szCs w:val="22"/>
        </w:rPr>
      </w:pPr>
      <w:r w:rsidRPr="001F224B">
        <w:rPr>
          <w:sz w:val="22"/>
          <w:szCs w:val="22"/>
        </w:rPr>
        <w:t>Ana Ortaklık Banka</w:t>
      </w:r>
      <w:r w:rsidR="004D2CDB" w:rsidRPr="001F224B">
        <w:rPr>
          <w:sz w:val="22"/>
          <w:szCs w:val="22"/>
        </w:rPr>
        <w:t xml:space="preserve"> başkalarının nam ve hesabına menkul kıymet alım, satım ve saklama hizmetleri vermemektedir.</w:t>
      </w:r>
    </w:p>
    <w:p w14:paraId="71484EE2" w14:textId="77777777" w:rsidR="008C64C4" w:rsidRPr="001F224B" w:rsidRDefault="008C64C4" w:rsidP="00F207A3">
      <w:pPr>
        <w:tabs>
          <w:tab w:val="left" w:pos="567"/>
        </w:tabs>
        <w:ind w:left="567"/>
        <w:rPr>
          <w:sz w:val="22"/>
          <w:szCs w:val="22"/>
        </w:rPr>
      </w:pPr>
    </w:p>
    <w:p w14:paraId="7E071701" w14:textId="77777777" w:rsidR="009A548C" w:rsidRPr="001F224B" w:rsidRDefault="009A548C">
      <w:pPr>
        <w:rPr>
          <w:b/>
          <w:bCs/>
          <w:sz w:val="22"/>
          <w:szCs w:val="22"/>
        </w:rPr>
      </w:pPr>
      <w:r w:rsidRPr="001F224B">
        <w:rPr>
          <w:b/>
          <w:bCs/>
          <w:sz w:val="22"/>
          <w:szCs w:val="22"/>
        </w:rPr>
        <w:br w:type="page"/>
      </w:r>
    </w:p>
    <w:p w14:paraId="710A7892" w14:textId="77777777" w:rsidR="009A548C" w:rsidRPr="001F224B" w:rsidRDefault="009A548C" w:rsidP="009A548C">
      <w:pPr>
        <w:pStyle w:val="ListParagraph"/>
        <w:tabs>
          <w:tab w:val="left" w:pos="0"/>
        </w:tabs>
        <w:spacing w:before="120" w:after="120"/>
        <w:ind w:left="0"/>
        <w:rPr>
          <w:b/>
          <w:bCs/>
          <w:sz w:val="22"/>
          <w:szCs w:val="22"/>
        </w:rPr>
      </w:pPr>
      <w:r w:rsidRPr="001F224B">
        <w:rPr>
          <w:b/>
          <w:bCs/>
          <w:sz w:val="22"/>
          <w:szCs w:val="22"/>
        </w:rPr>
        <w:t>BEŞİNCİ BÖLÜM (Devamı)</w:t>
      </w:r>
    </w:p>
    <w:p w14:paraId="39C078F1" w14:textId="77777777" w:rsidR="009A548C" w:rsidRPr="001F224B" w:rsidRDefault="0086771E" w:rsidP="009A548C">
      <w:pPr>
        <w:pStyle w:val="ListParagraph"/>
        <w:tabs>
          <w:tab w:val="left" w:pos="0"/>
        </w:tabs>
        <w:spacing w:after="120"/>
        <w:ind w:left="0"/>
        <w:rPr>
          <w:b/>
          <w:bCs/>
          <w:sz w:val="22"/>
          <w:szCs w:val="22"/>
        </w:rPr>
      </w:pPr>
      <w:r w:rsidRPr="001F224B">
        <w:rPr>
          <w:b/>
          <w:bCs/>
          <w:sz w:val="22"/>
          <w:szCs w:val="22"/>
        </w:rPr>
        <w:t xml:space="preserve">KONSOLİDE </w:t>
      </w:r>
      <w:r w:rsidR="009A548C" w:rsidRPr="001F224B">
        <w:rPr>
          <w:b/>
          <w:bCs/>
          <w:sz w:val="22"/>
          <w:szCs w:val="22"/>
        </w:rPr>
        <w:t>FİNANSAL TABLOLARA İLİŞKİN AÇIKLAMA VE DİPNOTLAR (Devamı)</w:t>
      </w:r>
    </w:p>
    <w:p w14:paraId="27EC91CA" w14:textId="43989FDA" w:rsidR="00267DF1" w:rsidRPr="001F224B" w:rsidRDefault="00DA16BA" w:rsidP="0044207D">
      <w:pPr>
        <w:rPr>
          <w:sz w:val="22"/>
          <w:szCs w:val="22"/>
        </w:rPr>
      </w:pPr>
      <w:r w:rsidRPr="001F224B">
        <w:rPr>
          <w:b/>
          <w:bCs/>
          <w:sz w:val="22"/>
          <w:szCs w:val="22"/>
        </w:rPr>
        <w:t>I</w:t>
      </w:r>
      <w:r w:rsidR="002411C8" w:rsidRPr="001F224B">
        <w:rPr>
          <w:b/>
          <w:bCs/>
          <w:sz w:val="22"/>
          <w:szCs w:val="22"/>
        </w:rPr>
        <w:t>V</w:t>
      </w:r>
      <w:r w:rsidR="007B64F4" w:rsidRPr="001F224B">
        <w:rPr>
          <w:b/>
          <w:bCs/>
          <w:sz w:val="22"/>
          <w:szCs w:val="22"/>
        </w:rPr>
        <w:t xml:space="preserve">.     </w:t>
      </w:r>
      <w:r w:rsidR="0086771E" w:rsidRPr="001F224B">
        <w:rPr>
          <w:b/>
          <w:bCs/>
          <w:sz w:val="22"/>
          <w:szCs w:val="22"/>
        </w:rPr>
        <w:t>Konsolide k</w:t>
      </w:r>
      <w:r w:rsidR="00855D5E" w:rsidRPr="001F224B">
        <w:rPr>
          <w:b/>
          <w:bCs/>
          <w:sz w:val="22"/>
          <w:szCs w:val="22"/>
        </w:rPr>
        <w:t xml:space="preserve">ar veya </w:t>
      </w:r>
      <w:r w:rsidR="0086771E" w:rsidRPr="001F224B">
        <w:rPr>
          <w:b/>
          <w:bCs/>
          <w:sz w:val="22"/>
          <w:szCs w:val="22"/>
        </w:rPr>
        <w:t>z</w:t>
      </w:r>
      <w:r w:rsidR="00855D5E" w:rsidRPr="001F224B">
        <w:rPr>
          <w:b/>
          <w:bCs/>
          <w:sz w:val="22"/>
          <w:szCs w:val="22"/>
        </w:rPr>
        <w:t>arar</w:t>
      </w:r>
      <w:r w:rsidR="00267DF1" w:rsidRPr="001F224B">
        <w:rPr>
          <w:b/>
          <w:bCs/>
          <w:sz w:val="22"/>
          <w:szCs w:val="22"/>
        </w:rPr>
        <w:t xml:space="preserve"> tablosuna ilişkin açıklama ve dipnotlar</w:t>
      </w:r>
    </w:p>
    <w:p w14:paraId="39A1BCDD" w14:textId="63E63855" w:rsidR="00267DF1" w:rsidRPr="001F224B" w:rsidRDefault="0010126B" w:rsidP="005514FC">
      <w:pPr>
        <w:pStyle w:val="BodyText"/>
        <w:tabs>
          <w:tab w:val="clear" w:pos="720"/>
          <w:tab w:val="left" w:pos="-1800"/>
        </w:tabs>
        <w:spacing w:before="120" w:after="120"/>
        <w:rPr>
          <w:b/>
          <w:bCs/>
          <w:sz w:val="22"/>
          <w:szCs w:val="22"/>
        </w:rPr>
      </w:pPr>
      <w:r w:rsidRPr="001F224B">
        <w:rPr>
          <w:b/>
          <w:bCs/>
          <w:sz w:val="22"/>
          <w:szCs w:val="22"/>
        </w:rPr>
        <w:t>1.a)</w:t>
      </w:r>
      <w:r w:rsidRPr="001F224B">
        <w:rPr>
          <w:b/>
          <w:bCs/>
          <w:sz w:val="22"/>
          <w:szCs w:val="22"/>
        </w:rPr>
        <w:tab/>
      </w:r>
      <w:r w:rsidR="00267DF1" w:rsidRPr="001F224B">
        <w:rPr>
          <w:b/>
          <w:bCs/>
          <w:sz w:val="22"/>
          <w:szCs w:val="22"/>
        </w:rPr>
        <w:t>Kredilerden alınan faiz gelirlerine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38"/>
      </w:tblGrid>
      <w:tr w:rsidR="0007684D" w:rsidRPr="001F224B" w14:paraId="388D6A39" w14:textId="77777777" w:rsidTr="0033482E">
        <w:trPr>
          <w:cantSplit/>
          <w:trHeight w:val="57"/>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0CD732E5" w14:textId="77777777" w:rsidR="0007684D" w:rsidRPr="001F224B" w:rsidRDefault="0007684D" w:rsidP="0007684D">
            <w:pPr>
              <w:jc w:val="both"/>
              <w:rPr>
                <w:sz w:val="20"/>
                <w:szCs w:val="20"/>
              </w:rPr>
            </w:pPr>
            <w:r w:rsidRPr="001F224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36C82F0B" w14:textId="77777777" w:rsidR="0007684D" w:rsidRPr="001F224B" w:rsidRDefault="0007684D" w:rsidP="0007684D">
            <w:pPr>
              <w:jc w:val="center"/>
              <w:rPr>
                <w:b/>
                <w:bCs/>
                <w:sz w:val="20"/>
                <w:szCs w:val="20"/>
              </w:rPr>
            </w:pPr>
            <w:r w:rsidRPr="001F224B">
              <w:rPr>
                <w:b/>
                <w:bCs/>
                <w:sz w:val="20"/>
                <w:szCs w:val="20"/>
              </w:rPr>
              <w:t>Cari Dönem</w:t>
            </w:r>
          </w:p>
          <w:p w14:paraId="38C18726" w14:textId="1B8CB438" w:rsidR="0007684D" w:rsidRPr="001F224B" w:rsidRDefault="0007684D" w:rsidP="0007684D">
            <w:pPr>
              <w:jc w:val="center"/>
              <w:rPr>
                <w:b/>
                <w:bCs/>
                <w:sz w:val="20"/>
                <w:szCs w:val="20"/>
              </w:rPr>
            </w:pPr>
            <w:r w:rsidRPr="001F224B">
              <w:rPr>
                <w:b/>
                <w:bCs/>
                <w:sz w:val="20"/>
                <w:szCs w:val="20"/>
              </w:rPr>
              <w:t>(3</w:t>
            </w:r>
            <w:r w:rsidR="000D4718" w:rsidRPr="001F224B">
              <w:rPr>
                <w:b/>
                <w:bCs/>
                <w:sz w:val="20"/>
                <w:szCs w:val="20"/>
              </w:rPr>
              <w:t>0</w:t>
            </w:r>
            <w:r w:rsidRPr="001F224B">
              <w:rPr>
                <w:b/>
                <w:bCs/>
                <w:sz w:val="20"/>
                <w:szCs w:val="20"/>
              </w:rPr>
              <w:t>.</w:t>
            </w:r>
            <w:r w:rsidR="00DD14FB" w:rsidRPr="001F224B">
              <w:rPr>
                <w:b/>
                <w:bCs/>
                <w:sz w:val="20"/>
                <w:szCs w:val="20"/>
              </w:rPr>
              <w:t>0</w:t>
            </w:r>
            <w:r w:rsidR="000D4718" w:rsidRPr="001F224B">
              <w:rPr>
                <w:b/>
                <w:bCs/>
                <w:sz w:val="20"/>
                <w:szCs w:val="20"/>
              </w:rPr>
              <w:t>6</w:t>
            </w:r>
            <w:r w:rsidRPr="001F224B">
              <w:rPr>
                <w:b/>
                <w:bCs/>
                <w:sz w:val="20"/>
                <w:szCs w:val="20"/>
              </w:rPr>
              <w:t>.202</w:t>
            </w:r>
            <w:r w:rsidR="00DD14FB" w:rsidRPr="001F224B">
              <w:rPr>
                <w:b/>
                <w:bCs/>
                <w:sz w:val="20"/>
                <w:szCs w:val="20"/>
              </w:rPr>
              <w:t>5</w:t>
            </w:r>
            <w:r w:rsidRPr="001F224B">
              <w:rPr>
                <w:b/>
                <w:bCs/>
                <w:sz w:val="20"/>
                <w:szCs w:val="20"/>
              </w:rPr>
              <w:t>)</w:t>
            </w:r>
          </w:p>
        </w:tc>
        <w:tc>
          <w:tcPr>
            <w:tcW w:w="2485" w:type="dxa"/>
            <w:gridSpan w:val="2"/>
            <w:tcBorders>
              <w:top w:val="single" w:sz="4" w:space="0" w:color="auto"/>
              <w:left w:val="nil"/>
              <w:bottom w:val="single" w:sz="4" w:space="0" w:color="auto"/>
              <w:right w:val="single" w:sz="4" w:space="0" w:color="000000"/>
            </w:tcBorders>
            <w:shd w:val="clear" w:color="000000" w:fill="FFFFFF"/>
            <w:vAlign w:val="bottom"/>
          </w:tcPr>
          <w:p w14:paraId="0D43E917" w14:textId="77777777" w:rsidR="00B33370" w:rsidRPr="001F224B" w:rsidRDefault="00B33370" w:rsidP="00B33370">
            <w:pPr>
              <w:jc w:val="center"/>
              <w:rPr>
                <w:b/>
                <w:bCs/>
                <w:sz w:val="20"/>
                <w:szCs w:val="20"/>
              </w:rPr>
            </w:pPr>
            <w:r w:rsidRPr="001F224B">
              <w:rPr>
                <w:b/>
                <w:bCs/>
                <w:sz w:val="20"/>
                <w:szCs w:val="20"/>
              </w:rPr>
              <w:t>Önceki Dönem</w:t>
            </w:r>
          </w:p>
          <w:p w14:paraId="57FA4DF4" w14:textId="2A4CC110" w:rsidR="0007684D" w:rsidRPr="001F224B" w:rsidRDefault="00B33370" w:rsidP="0007684D">
            <w:pPr>
              <w:jc w:val="center"/>
              <w:rPr>
                <w:b/>
                <w:bCs/>
                <w:sz w:val="20"/>
                <w:szCs w:val="20"/>
              </w:rPr>
            </w:pPr>
            <w:r w:rsidRPr="001F224B">
              <w:rPr>
                <w:b/>
                <w:bCs/>
                <w:sz w:val="20"/>
                <w:szCs w:val="20"/>
              </w:rPr>
              <w:t>(3</w:t>
            </w:r>
            <w:r w:rsidR="000D4718" w:rsidRPr="001F224B">
              <w:rPr>
                <w:b/>
                <w:bCs/>
                <w:sz w:val="20"/>
                <w:szCs w:val="20"/>
              </w:rPr>
              <w:t>0</w:t>
            </w:r>
            <w:r w:rsidR="00B82146" w:rsidRPr="001F224B">
              <w:rPr>
                <w:b/>
                <w:bCs/>
                <w:sz w:val="20"/>
                <w:szCs w:val="20"/>
              </w:rPr>
              <w:t>.</w:t>
            </w:r>
            <w:r w:rsidR="00DD14FB" w:rsidRPr="001F224B">
              <w:rPr>
                <w:b/>
                <w:bCs/>
                <w:sz w:val="20"/>
                <w:szCs w:val="20"/>
              </w:rPr>
              <w:t>0</w:t>
            </w:r>
            <w:r w:rsidR="000D4718" w:rsidRPr="001F224B">
              <w:rPr>
                <w:b/>
                <w:bCs/>
                <w:sz w:val="20"/>
                <w:szCs w:val="20"/>
              </w:rPr>
              <w:t>6</w:t>
            </w:r>
            <w:r w:rsidRPr="001F224B">
              <w:rPr>
                <w:b/>
                <w:bCs/>
                <w:sz w:val="20"/>
                <w:szCs w:val="20"/>
              </w:rPr>
              <w:t>.202</w:t>
            </w:r>
            <w:r w:rsidR="00DD14FB" w:rsidRPr="001F224B">
              <w:rPr>
                <w:b/>
                <w:bCs/>
                <w:sz w:val="20"/>
                <w:szCs w:val="20"/>
              </w:rPr>
              <w:t>4</w:t>
            </w:r>
            <w:r w:rsidRPr="001F224B">
              <w:rPr>
                <w:b/>
                <w:bCs/>
                <w:sz w:val="20"/>
                <w:szCs w:val="20"/>
              </w:rPr>
              <w:t>)</w:t>
            </w:r>
          </w:p>
        </w:tc>
      </w:tr>
      <w:tr w:rsidR="0007684D" w:rsidRPr="001F224B" w14:paraId="0AA83D29" w14:textId="77777777" w:rsidTr="0033482E">
        <w:trPr>
          <w:cantSplit/>
          <w:trHeight w:val="57"/>
        </w:trPr>
        <w:tc>
          <w:tcPr>
            <w:tcW w:w="4774" w:type="dxa"/>
            <w:vMerge/>
            <w:tcBorders>
              <w:top w:val="single" w:sz="4" w:space="0" w:color="auto"/>
              <w:left w:val="single" w:sz="4" w:space="0" w:color="auto"/>
              <w:bottom w:val="single" w:sz="4" w:space="0" w:color="auto"/>
              <w:right w:val="single" w:sz="4" w:space="0" w:color="auto"/>
            </w:tcBorders>
            <w:vAlign w:val="center"/>
          </w:tcPr>
          <w:p w14:paraId="2430EBB8" w14:textId="77777777" w:rsidR="0007684D" w:rsidRPr="001F224B" w:rsidRDefault="0007684D" w:rsidP="0007684D">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03CFB19D" w14:textId="77777777" w:rsidR="0007684D" w:rsidRPr="001F224B" w:rsidRDefault="0007684D" w:rsidP="0007684D">
            <w:pPr>
              <w:jc w:val="center"/>
              <w:rPr>
                <w:b/>
                <w:bCs/>
                <w:sz w:val="20"/>
                <w:szCs w:val="20"/>
              </w:rPr>
            </w:pPr>
            <w:r w:rsidRPr="001F224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51DD7740" w14:textId="0F17AD6E" w:rsidR="0007684D" w:rsidRPr="001F224B" w:rsidRDefault="00B54A62" w:rsidP="0007684D">
            <w:pPr>
              <w:jc w:val="center"/>
              <w:rPr>
                <w:b/>
                <w:bCs/>
                <w:sz w:val="20"/>
                <w:szCs w:val="20"/>
              </w:rPr>
            </w:pPr>
            <w:r w:rsidRPr="001F224B">
              <w:rPr>
                <w:b/>
                <w:bCs/>
                <w:sz w:val="20"/>
                <w:szCs w:val="20"/>
              </w:rPr>
              <w:t>Y</w:t>
            </w:r>
            <w:r w:rsidR="0007684D" w:rsidRPr="001F224B">
              <w:rPr>
                <w:b/>
                <w:bCs/>
                <w:sz w:val="20"/>
                <w:szCs w:val="20"/>
              </w:rPr>
              <w:t>P</w:t>
            </w:r>
          </w:p>
        </w:tc>
        <w:tc>
          <w:tcPr>
            <w:tcW w:w="1247" w:type="dxa"/>
            <w:tcBorders>
              <w:top w:val="nil"/>
              <w:left w:val="nil"/>
              <w:bottom w:val="single" w:sz="4" w:space="0" w:color="auto"/>
              <w:right w:val="single" w:sz="4" w:space="0" w:color="auto"/>
            </w:tcBorders>
            <w:shd w:val="clear" w:color="000000" w:fill="FFFFFF"/>
            <w:vAlign w:val="bottom"/>
          </w:tcPr>
          <w:p w14:paraId="3834BA54" w14:textId="21F9B991" w:rsidR="0007684D" w:rsidRPr="001F224B" w:rsidRDefault="0007684D" w:rsidP="0007684D">
            <w:pPr>
              <w:jc w:val="center"/>
              <w:rPr>
                <w:b/>
                <w:bCs/>
                <w:sz w:val="20"/>
                <w:szCs w:val="20"/>
              </w:rPr>
            </w:pPr>
            <w:r w:rsidRPr="001F224B">
              <w:rPr>
                <w:b/>
                <w:bCs/>
                <w:sz w:val="20"/>
                <w:szCs w:val="20"/>
              </w:rPr>
              <w:t>TP</w:t>
            </w:r>
          </w:p>
        </w:tc>
        <w:tc>
          <w:tcPr>
            <w:tcW w:w="1238" w:type="dxa"/>
            <w:tcBorders>
              <w:top w:val="nil"/>
              <w:left w:val="nil"/>
              <w:bottom w:val="single" w:sz="4" w:space="0" w:color="auto"/>
              <w:right w:val="single" w:sz="4" w:space="0" w:color="auto"/>
            </w:tcBorders>
            <w:shd w:val="clear" w:color="000000" w:fill="FFFFFF"/>
            <w:vAlign w:val="bottom"/>
          </w:tcPr>
          <w:p w14:paraId="59DCE774" w14:textId="77777777" w:rsidR="0007684D" w:rsidRPr="001F224B" w:rsidRDefault="0007684D" w:rsidP="0007684D">
            <w:pPr>
              <w:jc w:val="center"/>
              <w:rPr>
                <w:b/>
                <w:bCs/>
                <w:sz w:val="20"/>
                <w:szCs w:val="20"/>
              </w:rPr>
            </w:pPr>
            <w:r w:rsidRPr="001F224B">
              <w:rPr>
                <w:b/>
                <w:bCs/>
                <w:sz w:val="20"/>
                <w:szCs w:val="20"/>
              </w:rPr>
              <w:t>YP</w:t>
            </w:r>
          </w:p>
        </w:tc>
      </w:tr>
      <w:tr w:rsidR="00C5334A" w:rsidRPr="001F224B" w14:paraId="6D9C44AD" w14:textId="77777777" w:rsidTr="0033482E">
        <w:trPr>
          <w:trHeight w:val="57"/>
        </w:trPr>
        <w:tc>
          <w:tcPr>
            <w:tcW w:w="4774" w:type="dxa"/>
            <w:tcBorders>
              <w:top w:val="nil"/>
              <w:left w:val="single" w:sz="4" w:space="0" w:color="auto"/>
              <w:bottom w:val="nil"/>
              <w:right w:val="single" w:sz="4" w:space="0" w:color="auto"/>
            </w:tcBorders>
            <w:shd w:val="clear" w:color="000000" w:fill="FFFFFF"/>
            <w:vAlign w:val="bottom"/>
          </w:tcPr>
          <w:p w14:paraId="733F1692" w14:textId="5E54A1D2" w:rsidR="00C5334A" w:rsidRPr="001F224B" w:rsidRDefault="00C5334A" w:rsidP="00C5334A">
            <w:pPr>
              <w:rPr>
                <w:b/>
                <w:sz w:val="20"/>
                <w:szCs w:val="20"/>
                <w:vertAlign w:val="superscript"/>
              </w:rPr>
            </w:pPr>
            <w:r w:rsidRPr="001F224B">
              <w:rPr>
                <w:b/>
                <w:sz w:val="20"/>
                <w:szCs w:val="20"/>
              </w:rPr>
              <w:t xml:space="preserve">Kredilerden Alınan Faizler </w:t>
            </w:r>
            <w:r w:rsidRPr="001F224B">
              <w:rPr>
                <w:b/>
                <w:sz w:val="20"/>
                <w:szCs w:val="20"/>
                <w:vertAlign w:val="superscript"/>
              </w:rPr>
              <w:t>(*)</w:t>
            </w:r>
          </w:p>
        </w:tc>
        <w:tc>
          <w:tcPr>
            <w:tcW w:w="1247" w:type="dxa"/>
            <w:tcBorders>
              <w:top w:val="nil"/>
              <w:left w:val="nil"/>
              <w:bottom w:val="single" w:sz="4" w:space="0" w:color="auto"/>
              <w:right w:val="single" w:sz="4" w:space="0" w:color="auto"/>
            </w:tcBorders>
            <w:shd w:val="clear" w:color="000000" w:fill="FFFFFF"/>
          </w:tcPr>
          <w:p w14:paraId="5651E695" w14:textId="77777777" w:rsidR="00C5334A" w:rsidRPr="001F224B" w:rsidRDefault="00C5334A" w:rsidP="00C5334A">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1F07D299" w14:textId="77777777" w:rsidR="00C5334A" w:rsidRPr="001F224B" w:rsidRDefault="00C5334A" w:rsidP="00C5334A">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0A2703B6" w14:textId="77777777" w:rsidR="00C5334A" w:rsidRPr="001F224B" w:rsidRDefault="00C5334A" w:rsidP="00C5334A">
            <w:pPr>
              <w:jc w:val="right"/>
              <w:rPr>
                <w:b/>
                <w:sz w:val="20"/>
                <w:szCs w:val="20"/>
              </w:rPr>
            </w:pPr>
          </w:p>
        </w:tc>
        <w:tc>
          <w:tcPr>
            <w:tcW w:w="1238" w:type="dxa"/>
            <w:tcBorders>
              <w:top w:val="nil"/>
              <w:left w:val="nil"/>
              <w:bottom w:val="single" w:sz="4" w:space="0" w:color="auto"/>
              <w:right w:val="single" w:sz="4" w:space="0" w:color="auto"/>
            </w:tcBorders>
            <w:shd w:val="clear" w:color="000000" w:fill="FFFFFF"/>
          </w:tcPr>
          <w:p w14:paraId="15C62593" w14:textId="77777777" w:rsidR="00C5334A" w:rsidRPr="001F224B" w:rsidRDefault="00C5334A" w:rsidP="00C5334A">
            <w:pPr>
              <w:jc w:val="right"/>
              <w:rPr>
                <w:b/>
                <w:sz w:val="20"/>
                <w:szCs w:val="20"/>
              </w:rPr>
            </w:pPr>
          </w:p>
        </w:tc>
      </w:tr>
      <w:tr w:rsidR="00AC77C6" w:rsidRPr="001F224B" w14:paraId="06174BA9" w14:textId="77777777" w:rsidTr="0033482E">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1F039D9B" w14:textId="77777777" w:rsidR="00AC77C6" w:rsidRPr="001F224B" w:rsidRDefault="00AC77C6" w:rsidP="00AC77C6">
            <w:pPr>
              <w:ind w:firstLineChars="200" w:firstLine="400"/>
              <w:rPr>
                <w:sz w:val="20"/>
                <w:szCs w:val="20"/>
              </w:rPr>
            </w:pPr>
            <w:r w:rsidRPr="001F224B">
              <w:rPr>
                <w:sz w:val="20"/>
                <w:szCs w:val="20"/>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8C2076B" w14:textId="548F576F" w:rsidR="00AC77C6" w:rsidRPr="001F224B" w:rsidRDefault="00AC77C6" w:rsidP="00AC77C6">
            <w:pPr>
              <w:jc w:val="right"/>
              <w:rPr>
                <w:sz w:val="20"/>
                <w:szCs w:val="20"/>
              </w:rPr>
            </w:pPr>
            <w:r w:rsidRPr="001F224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6A371FA" w14:textId="79A36DA3" w:rsidR="00AC77C6" w:rsidRPr="001F224B" w:rsidRDefault="00AC77C6" w:rsidP="00AC77C6">
            <w:pPr>
              <w:jc w:val="right"/>
              <w:rPr>
                <w:sz w:val="20"/>
                <w:szCs w:val="20"/>
              </w:rPr>
            </w:pPr>
            <w:r w:rsidRPr="001F224B">
              <w:rPr>
                <w:sz w:val="20"/>
                <w:szCs w:val="20"/>
              </w:rPr>
              <w:t>10.896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758896A" w14:textId="31188D29" w:rsidR="00AC77C6" w:rsidRPr="001F224B" w:rsidRDefault="00AC77C6" w:rsidP="00AC77C6">
            <w:pPr>
              <w:jc w:val="right"/>
              <w:rPr>
                <w:sz w:val="20"/>
                <w:szCs w:val="20"/>
              </w:rPr>
            </w:pPr>
            <w:r w:rsidRPr="001F224B">
              <w:rPr>
                <w:sz w:val="20"/>
                <w:szCs w:val="20"/>
              </w:rPr>
              <w:t>-</w:t>
            </w:r>
          </w:p>
        </w:tc>
        <w:tc>
          <w:tcPr>
            <w:tcW w:w="1238" w:type="dxa"/>
            <w:tcBorders>
              <w:top w:val="single" w:sz="4" w:space="0" w:color="auto"/>
              <w:left w:val="nil"/>
              <w:bottom w:val="single" w:sz="4" w:space="0" w:color="auto"/>
              <w:right w:val="single" w:sz="4" w:space="0" w:color="auto"/>
            </w:tcBorders>
            <w:shd w:val="clear" w:color="000000" w:fill="FFFFFF"/>
            <w:vAlign w:val="bottom"/>
          </w:tcPr>
          <w:p w14:paraId="1A9CA29E" w14:textId="1F995633" w:rsidR="00AC77C6" w:rsidRPr="001F224B" w:rsidRDefault="00AC77C6" w:rsidP="00AC77C6">
            <w:pPr>
              <w:jc w:val="right"/>
              <w:rPr>
                <w:sz w:val="20"/>
                <w:szCs w:val="20"/>
              </w:rPr>
            </w:pPr>
            <w:r w:rsidRPr="001F224B">
              <w:rPr>
                <w:sz w:val="20"/>
                <w:szCs w:val="20"/>
              </w:rPr>
              <w:t>52.878</w:t>
            </w:r>
          </w:p>
        </w:tc>
      </w:tr>
      <w:tr w:rsidR="00AC77C6" w:rsidRPr="001F224B" w14:paraId="6C75EAB7" w14:textId="77777777" w:rsidTr="0033482E">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46BE5814" w14:textId="77777777" w:rsidR="00AC77C6" w:rsidRPr="001F224B" w:rsidRDefault="00AC77C6" w:rsidP="00AC77C6">
            <w:pPr>
              <w:ind w:firstLineChars="200" w:firstLine="400"/>
              <w:rPr>
                <w:sz w:val="20"/>
                <w:szCs w:val="20"/>
              </w:rPr>
            </w:pPr>
            <w:r w:rsidRPr="001F224B">
              <w:rPr>
                <w:sz w:val="20"/>
                <w:szCs w:val="20"/>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F45CE43" w14:textId="00E0F1BB" w:rsidR="00AC77C6" w:rsidRPr="001F224B" w:rsidRDefault="00AC77C6" w:rsidP="00AC77C6">
            <w:pPr>
              <w:jc w:val="right"/>
              <w:rPr>
                <w:sz w:val="20"/>
                <w:szCs w:val="20"/>
              </w:rPr>
            </w:pPr>
            <w:r w:rsidRPr="001F224B">
              <w:rPr>
                <w:sz w:val="20"/>
                <w:szCs w:val="20"/>
              </w:rPr>
              <w:t>2.170.820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4068F66" w14:textId="13B1B54C" w:rsidR="00AC77C6" w:rsidRPr="001F224B" w:rsidRDefault="00AC77C6" w:rsidP="00AC77C6">
            <w:pPr>
              <w:jc w:val="right"/>
              <w:rPr>
                <w:sz w:val="20"/>
                <w:szCs w:val="20"/>
              </w:rPr>
            </w:pPr>
            <w:r w:rsidRPr="001F224B">
              <w:rPr>
                <w:sz w:val="20"/>
                <w:szCs w:val="20"/>
              </w:rPr>
              <w:t>2.967.205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AB7F23B" w14:textId="25EA6473" w:rsidR="00AC77C6" w:rsidRPr="001F224B" w:rsidRDefault="00AC77C6" w:rsidP="00AC77C6">
            <w:pPr>
              <w:jc w:val="right"/>
              <w:rPr>
                <w:sz w:val="20"/>
                <w:szCs w:val="20"/>
              </w:rPr>
            </w:pPr>
            <w:r w:rsidRPr="001F224B">
              <w:rPr>
                <w:sz w:val="20"/>
                <w:szCs w:val="20"/>
              </w:rPr>
              <w:t>1.758.780</w:t>
            </w:r>
          </w:p>
        </w:tc>
        <w:tc>
          <w:tcPr>
            <w:tcW w:w="1238" w:type="dxa"/>
            <w:tcBorders>
              <w:top w:val="single" w:sz="4" w:space="0" w:color="auto"/>
              <w:left w:val="nil"/>
              <w:bottom w:val="single" w:sz="4" w:space="0" w:color="auto"/>
              <w:right w:val="single" w:sz="4" w:space="0" w:color="auto"/>
            </w:tcBorders>
            <w:shd w:val="clear" w:color="000000" w:fill="FFFFFF"/>
            <w:vAlign w:val="bottom"/>
          </w:tcPr>
          <w:p w14:paraId="4DD4816C" w14:textId="557A8D32" w:rsidR="00AC77C6" w:rsidRPr="001F224B" w:rsidRDefault="00AC77C6" w:rsidP="00AC77C6">
            <w:pPr>
              <w:jc w:val="right"/>
              <w:rPr>
                <w:sz w:val="20"/>
                <w:szCs w:val="20"/>
              </w:rPr>
            </w:pPr>
            <w:r w:rsidRPr="001F224B">
              <w:rPr>
                <w:sz w:val="20"/>
                <w:szCs w:val="20"/>
              </w:rPr>
              <w:t>2.853.671</w:t>
            </w:r>
          </w:p>
        </w:tc>
      </w:tr>
      <w:tr w:rsidR="00AC77C6" w:rsidRPr="001F224B" w14:paraId="479C761C" w14:textId="77777777" w:rsidTr="0033482E">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02BA708F" w14:textId="77777777" w:rsidR="00AC77C6" w:rsidRPr="001F224B" w:rsidRDefault="00AC77C6" w:rsidP="00AC77C6">
            <w:pPr>
              <w:ind w:firstLineChars="200" w:firstLine="400"/>
              <w:rPr>
                <w:sz w:val="20"/>
                <w:szCs w:val="20"/>
              </w:rPr>
            </w:pPr>
            <w:r w:rsidRPr="001F224B">
              <w:rPr>
                <w:sz w:val="20"/>
                <w:szCs w:val="20"/>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57CDE03" w14:textId="3CF7B7EB" w:rsidR="00AC77C6" w:rsidRPr="001F224B" w:rsidRDefault="00AC77C6" w:rsidP="00AC77C6">
            <w:pPr>
              <w:jc w:val="right"/>
              <w:rPr>
                <w:sz w:val="20"/>
                <w:szCs w:val="20"/>
              </w:rPr>
            </w:pPr>
            <w:r w:rsidRPr="001F224B">
              <w:rPr>
                <w:sz w:val="20"/>
                <w:szCs w:val="20"/>
              </w:rPr>
              <w:t>71.290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25DFE8B" w14:textId="6948B2AA" w:rsidR="00AC77C6" w:rsidRPr="001F224B" w:rsidRDefault="00AC77C6" w:rsidP="00AC77C6">
            <w:pPr>
              <w:jc w:val="right"/>
              <w:rPr>
                <w:sz w:val="20"/>
                <w:szCs w:val="20"/>
              </w:rPr>
            </w:pPr>
            <w:r w:rsidRPr="001F224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AFB0917" w14:textId="41AD1B35" w:rsidR="00AC77C6" w:rsidRPr="001F224B" w:rsidRDefault="00AC77C6" w:rsidP="00AC77C6">
            <w:pPr>
              <w:jc w:val="right"/>
              <w:rPr>
                <w:sz w:val="20"/>
                <w:szCs w:val="20"/>
              </w:rPr>
            </w:pPr>
            <w:r w:rsidRPr="001F224B">
              <w:rPr>
                <w:sz w:val="20"/>
                <w:szCs w:val="20"/>
              </w:rPr>
              <w:t>131.674</w:t>
            </w:r>
          </w:p>
        </w:tc>
        <w:tc>
          <w:tcPr>
            <w:tcW w:w="1238" w:type="dxa"/>
            <w:tcBorders>
              <w:top w:val="single" w:sz="4" w:space="0" w:color="auto"/>
              <w:left w:val="nil"/>
              <w:bottom w:val="single" w:sz="4" w:space="0" w:color="auto"/>
              <w:right w:val="single" w:sz="4" w:space="0" w:color="auto"/>
            </w:tcBorders>
            <w:shd w:val="clear" w:color="000000" w:fill="FFFFFF"/>
            <w:vAlign w:val="bottom"/>
          </w:tcPr>
          <w:p w14:paraId="1B989518" w14:textId="0996A809" w:rsidR="00AC77C6" w:rsidRPr="001F224B" w:rsidRDefault="00AC77C6" w:rsidP="00AC77C6">
            <w:pPr>
              <w:jc w:val="right"/>
              <w:rPr>
                <w:sz w:val="20"/>
                <w:szCs w:val="20"/>
              </w:rPr>
            </w:pPr>
            <w:r w:rsidRPr="001F224B">
              <w:rPr>
                <w:sz w:val="20"/>
                <w:szCs w:val="20"/>
              </w:rPr>
              <w:t>-</w:t>
            </w:r>
          </w:p>
        </w:tc>
      </w:tr>
      <w:tr w:rsidR="00AC77C6" w:rsidRPr="001F224B" w14:paraId="0C71A483" w14:textId="77777777" w:rsidTr="004F4997">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586BF972" w14:textId="77777777" w:rsidR="00AC77C6" w:rsidRPr="001F224B" w:rsidRDefault="00AC77C6" w:rsidP="00AC77C6">
            <w:pPr>
              <w:rPr>
                <w:sz w:val="20"/>
                <w:szCs w:val="20"/>
              </w:rPr>
            </w:pPr>
            <w:r w:rsidRPr="001F224B">
              <w:rPr>
                <w:b/>
                <w:sz w:val="20"/>
                <w:szCs w:val="20"/>
              </w:rPr>
              <w:t>Toplam</w:t>
            </w:r>
          </w:p>
        </w:tc>
        <w:tc>
          <w:tcPr>
            <w:tcW w:w="1247" w:type="dxa"/>
            <w:tcBorders>
              <w:top w:val="nil"/>
              <w:left w:val="nil"/>
              <w:bottom w:val="single" w:sz="4" w:space="0" w:color="auto"/>
              <w:right w:val="single" w:sz="4" w:space="0" w:color="auto"/>
            </w:tcBorders>
            <w:shd w:val="clear" w:color="000000" w:fill="FFFFFF"/>
            <w:vAlign w:val="bottom"/>
          </w:tcPr>
          <w:p w14:paraId="414D6C1F" w14:textId="17F88DDE" w:rsidR="00AC77C6" w:rsidRPr="001F224B" w:rsidRDefault="00AC77C6" w:rsidP="00AC77C6">
            <w:pPr>
              <w:jc w:val="right"/>
              <w:rPr>
                <w:b/>
                <w:bCs/>
                <w:sz w:val="20"/>
                <w:szCs w:val="20"/>
              </w:rPr>
            </w:pPr>
            <w:r w:rsidRPr="001F224B">
              <w:rPr>
                <w:b/>
                <w:bCs/>
                <w:sz w:val="20"/>
                <w:szCs w:val="20"/>
              </w:rPr>
              <w:t>2.242.110</w:t>
            </w:r>
          </w:p>
        </w:tc>
        <w:tc>
          <w:tcPr>
            <w:tcW w:w="1247" w:type="dxa"/>
            <w:tcBorders>
              <w:top w:val="nil"/>
              <w:left w:val="nil"/>
              <w:bottom w:val="single" w:sz="4" w:space="0" w:color="auto"/>
              <w:right w:val="single" w:sz="4" w:space="0" w:color="auto"/>
            </w:tcBorders>
            <w:shd w:val="clear" w:color="000000" w:fill="FFFFFF"/>
            <w:vAlign w:val="bottom"/>
          </w:tcPr>
          <w:p w14:paraId="5239B5B5" w14:textId="52AC2C1B" w:rsidR="00AC77C6" w:rsidRPr="001F224B" w:rsidRDefault="00AC77C6" w:rsidP="00AC77C6">
            <w:pPr>
              <w:jc w:val="right"/>
              <w:rPr>
                <w:b/>
                <w:bCs/>
                <w:sz w:val="20"/>
                <w:szCs w:val="20"/>
              </w:rPr>
            </w:pPr>
            <w:r w:rsidRPr="001F224B">
              <w:rPr>
                <w:b/>
                <w:bCs/>
                <w:sz w:val="20"/>
                <w:szCs w:val="20"/>
              </w:rPr>
              <w:t>2.978.101</w:t>
            </w:r>
          </w:p>
        </w:tc>
        <w:tc>
          <w:tcPr>
            <w:tcW w:w="1247" w:type="dxa"/>
            <w:tcBorders>
              <w:top w:val="nil"/>
              <w:left w:val="nil"/>
              <w:bottom w:val="single" w:sz="4" w:space="0" w:color="auto"/>
              <w:right w:val="single" w:sz="4" w:space="0" w:color="auto"/>
            </w:tcBorders>
            <w:shd w:val="clear" w:color="auto" w:fill="FFFFFF"/>
            <w:vAlign w:val="bottom"/>
          </w:tcPr>
          <w:p w14:paraId="0AFCAF6F" w14:textId="1C63CBD3" w:rsidR="00AC77C6" w:rsidRPr="001F224B" w:rsidRDefault="00AC77C6" w:rsidP="00AC77C6">
            <w:pPr>
              <w:jc w:val="right"/>
              <w:rPr>
                <w:b/>
                <w:bCs/>
                <w:sz w:val="20"/>
                <w:szCs w:val="20"/>
              </w:rPr>
            </w:pPr>
            <w:r w:rsidRPr="001F224B">
              <w:rPr>
                <w:b/>
                <w:sz w:val="20"/>
                <w:szCs w:val="20"/>
              </w:rPr>
              <w:t>1.890.454</w:t>
            </w:r>
          </w:p>
        </w:tc>
        <w:tc>
          <w:tcPr>
            <w:tcW w:w="1238" w:type="dxa"/>
            <w:tcBorders>
              <w:top w:val="nil"/>
              <w:left w:val="nil"/>
              <w:bottom w:val="single" w:sz="4" w:space="0" w:color="auto"/>
              <w:right w:val="single" w:sz="4" w:space="0" w:color="auto"/>
            </w:tcBorders>
            <w:shd w:val="clear" w:color="auto" w:fill="FFFFFF"/>
            <w:vAlign w:val="bottom"/>
          </w:tcPr>
          <w:p w14:paraId="1AE2DE2A" w14:textId="79FB7762" w:rsidR="00AC77C6" w:rsidRPr="001F224B" w:rsidRDefault="00AC77C6" w:rsidP="00AC77C6">
            <w:pPr>
              <w:jc w:val="right"/>
              <w:rPr>
                <w:b/>
                <w:bCs/>
                <w:sz w:val="20"/>
                <w:szCs w:val="20"/>
              </w:rPr>
            </w:pPr>
            <w:r w:rsidRPr="001F224B">
              <w:rPr>
                <w:b/>
                <w:bCs/>
                <w:sz w:val="20"/>
                <w:szCs w:val="20"/>
              </w:rPr>
              <w:t>2.906.549</w:t>
            </w:r>
          </w:p>
        </w:tc>
      </w:tr>
    </w:tbl>
    <w:p w14:paraId="7EC0F25A" w14:textId="77777777" w:rsidR="000268A3" w:rsidRPr="001F224B" w:rsidRDefault="000268A3" w:rsidP="000268A3">
      <w:pPr>
        <w:tabs>
          <w:tab w:val="left" w:pos="1134"/>
        </w:tabs>
        <w:spacing w:before="120"/>
        <w:jc w:val="both"/>
        <w:rPr>
          <w:iCs/>
          <w:sz w:val="18"/>
          <w:szCs w:val="18"/>
        </w:rPr>
      </w:pPr>
      <w:r w:rsidRPr="001F224B">
        <w:rPr>
          <w:iCs/>
          <w:sz w:val="18"/>
          <w:szCs w:val="18"/>
          <w:vertAlign w:val="superscript"/>
        </w:rPr>
        <w:t>(*)</w:t>
      </w:r>
      <w:r w:rsidRPr="001F224B">
        <w:rPr>
          <w:iCs/>
          <w:sz w:val="18"/>
          <w:szCs w:val="18"/>
        </w:rPr>
        <w:t xml:space="preserve"> Nakdi kredilere ilişkin ücret ve komisyon gelirlerini de içermektedir.</w:t>
      </w:r>
    </w:p>
    <w:p w14:paraId="4B1E72D0" w14:textId="77777777" w:rsidR="00267DF1" w:rsidRPr="001F224B" w:rsidRDefault="003A5C58" w:rsidP="005514FC">
      <w:pPr>
        <w:pStyle w:val="BodyText"/>
        <w:tabs>
          <w:tab w:val="clear" w:pos="720"/>
          <w:tab w:val="left" w:pos="-1800"/>
        </w:tabs>
        <w:spacing w:before="120" w:after="120"/>
        <w:rPr>
          <w:b/>
          <w:bCs/>
          <w:sz w:val="22"/>
          <w:szCs w:val="22"/>
        </w:rPr>
      </w:pPr>
      <w:r w:rsidRPr="001F224B">
        <w:rPr>
          <w:b/>
          <w:bCs/>
          <w:sz w:val="22"/>
          <w:szCs w:val="22"/>
        </w:rPr>
        <w:t>1.b)</w:t>
      </w:r>
      <w:r w:rsidRPr="001F224B">
        <w:rPr>
          <w:b/>
          <w:bCs/>
          <w:sz w:val="22"/>
          <w:szCs w:val="22"/>
        </w:rPr>
        <w:tab/>
      </w:r>
      <w:r w:rsidR="00267DF1" w:rsidRPr="001F224B">
        <w:rPr>
          <w:b/>
          <w:bCs/>
          <w:sz w:val="22"/>
          <w:szCs w:val="22"/>
        </w:rPr>
        <w:t>Bankalardan alınan faiz gelirlerine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38"/>
      </w:tblGrid>
      <w:tr w:rsidR="0081313A" w:rsidRPr="001F224B" w14:paraId="7593D313" w14:textId="77777777" w:rsidTr="0033482E">
        <w:trPr>
          <w:cantSplit/>
          <w:trHeight w:val="113"/>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6A2762D0" w14:textId="77777777" w:rsidR="0081313A" w:rsidRPr="001F224B" w:rsidRDefault="0081313A" w:rsidP="0081313A">
            <w:pPr>
              <w:jc w:val="both"/>
              <w:rPr>
                <w:sz w:val="20"/>
                <w:szCs w:val="20"/>
              </w:rPr>
            </w:pPr>
            <w:r w:rsidRPr="001F224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1BF1FDA7" w14:textId="77777777" w:rsidR="00357752" w:rsidRPr="001F224B" w:rsidRDefault="00357752" w:rsidP="00357752">
            <w:pPr>
              <w:jc w:val="center"/>
              <w:rPr>
                <w:b/>
                <w:bCs/>
                <w:sz w:val="20"/>
                <w:szCs w:val="20"/>
              </w:rPr>
            </w:pPr>
            <w:r w:rsidRPr="001F224B">
              <w:rPr>
                <w:b/>
                <w:bCs/>
                <w:sz w:val="20"/>
                <w:szCs w:val="20"/>
              </w:rPr>
              <w:t>Cari Dönem</w:t>
            </w:r>
          </w:p>
          <w:p w14:paraId="0EAD921E" w14:textId="5051DF4F" w:rsidR="0081313A" w:rsidRPr="001F224B" w:rsidRDefault="00C5334A" w:rsidP="00357752">
            <w:pPr>
              <w:jc w:val="center"/>
              <w:rPr>
                <w:b/>
                <w:bCs/>
                <w:sz w:val="20"/>
                <w:szCs w:val="20"/>
              </w:rPr>
            </w:pPr>
            <w:r w:rsidRPr="001F224B">
              <w:rPr>
                <w:b/>
                <w:bCs/>
                <w:sz w:val="20"/>
                <w:szCs w:val="20"/>
              </w:rPr>
              <w:t>(3</w:t>
            </w:r>
            <w:r w:rsidR="000D4718" w:rsidRPr="001F224B">
              <w:rPr>
                <w:b/>
                <w:bCs/>
                <w:sz w:val="20"/>
                <w:szCs w:val="20"/>
              </w:rPr>
              <w:t>0</w:t>
            </w:r>
            <w:r w:rsidRPr="001F224B">
              <w:rPr>
                <w:b/>
                <w:bCs/>
                <w:sz w:val="20"/>
                <w:szCs w:val="20"/>
              </w:rPr>
              <w:t>.</w:t>
            </w:r>
            <w:r w:rsidR="00DD14FB" w:rsidRPr="001F224B">
              <w:rPr>
                <w:b/>
                <w:bCs/>
                <w:sz w:val="20"/>
                <w:szCs w:val="20"/>
              </w:rPr>
              <w:t>0</w:t>
            </w:r>
            <w:r w:rsidR="000D4718" w:rsidRPr="001F224B">
              <w:rPr>
                <w:b/>
                <w:bCs/>
                <w:sz w:val="20"/>
                <w:szCs w:val="20"/>
              </w:rPr>
              <w:t>6</w:t>
            </w:r>
            <w:r w:rsidRPr="001F224B">
              <w:rPr>
                <w:b/>
                <w:bCs/>
                <w:sz w:val="20"/>
                <w:szCs w:val="20"/>
              </w:rPr>
              <w:t>.202</w:t>
            </w:r>
            <w:r w:rsidR="00DD14FB" w:rsidRPr="001F224B">
              <w:rPr>
                <w:b/>
                <w:bCs/>
                <w:sz w:val="20"/>
                <w:szCs w:val="20"/>
              </w:rPr>
              <w:t>5</w:t>
            </w:r>
            <w:r w:rsidRPr="001F224B">
              <w:rPr>
                <w:b/>
                <w:bCs/>
                <w:sz w:val="20"/>
                <w:szCs w:val="20"/>
              </w:rPr>
              <w:t>)</w:t>
            </w:r>
          </w:p>
        </w:tc>
        <w:tc>
          <w:tcPr>
            <w:tcW w:w="2485" w:type="dxa"/>
            <w:gridSpan w:val="2"/>
            <w:tcBorders>
              <w:top w:val="single" w:sz="4" w:space="0" w:color="auto"/>
              <w:left w:val="nil"/>
              <w:bottom w:val="single" w:sz="4" w:space="0" w:color="auto"/>
              <w:right w:val="single" w:sz="4" w:space="0" w:color="000000"/>
            </w:tcBorders>
            <w:shd w:val="clear" w:color="000000" w:fill="FFFFFF"/>
            <w:vAlign w:val="bottom"/>
          </w:tcPr>
          <w:p w14:paraId="33CB3E8C" w14:textId="77777777" w:rsidR="0081313A" w:rsidRPr="001F224B" w:rsidRDefault="0081313A" w:rsidP="0081313A">
            <w:pPr>
              <w:jc w:val="center"/>
              <w:rPr>
                <w:b/>
                <w:bCs/>
                <w:sz w:val="20"/>
                <w:szCs w:val="20"/>
              </w:rPr>
            </w:pPr>
            <w:r w:rsidRPr="001F224B">
              <w:rPr>
                <w:b/>
                <w:bCs/>
                <w:sz w:val="20"/>
                <w:szCs w:val="20"/>
              </w:rPr>
              <w:t>Önceki Dönem</w:t>
            </w:r>
          </w:p>
          <w:p w14:paraId="172B5CCD" w14:textId="55C26118" w:rsidR="0081313A" w:rsidRPr="001F224B" w:rsidRDefault="00C5334A" w:rsidP="00AA600A">
            <w:pPr>
              <w:jc w:val="center"/>
              <w:rPr>
                <w:b/>
                <w:bCs/>
                <w:sz w:val="20"/>
                <w:szCs w:val="20"/>
              </w:rPr>
            </w:pPr>
            <w:r w:rsidRPr="001F224B">
              <w:rPr>
                <w:b/>
                <w:bCs/>
                <w:sz w:val="20"/>
                <w:szCs w:val="20"/>
              </w:rPr>
              <w:t>(3</w:t>
            </w:r>
            <w:r w:rsidR="000D4718" w:rsidRPr="001F224B">
              <w:rPr>
                <w:b/>
                <w:bCs/>
                <w:sz w:val="20"/>
                <w:szCs w:val="20"/>
              </w:rPr>
              <w:t>0</w:t>
            </w:r>
            <w:r w:rsidRPr="001F224B">
              <w:rPr>
                <w:b/>
                <w:bCs/>
                <w:sz w:val="20"/>
                <w:szCs w:val="20"/>
              </w:rPr>
              <w:t>.</w:t>
            </w:r>
            <w:r w:rsidR="00DD14FB" w:rsidRPr="001F224B">
              <w:rPr>
                <w:b/>
                <w:bCs/>
                <w:sz w:val="20"/>
                <w:szCs w:val="20"/>
              </w:rPr>
              <w:t>0</w:t>
            </w:r>
            <w:r w:rsidR="000D4718" w:rsidRPr="001F224B">
              <w:rPr>
                <w:b/>
                <w:bCs/>
                <w:sz w:val="20"/>
                <w:szCs w:val="20"/>
              </w:rPr>
              <w:t>6</w:t>
            </w:r>
            <w:r w:rsidRPr="001F224B">
              <w:rPr>
                <w:b/>
                <w:bCs/>
                <w:sz w:val="20"/>
                <w:szCs w:val="20"/>
              </w:rPr>
              <w:t>.202</w:t>
            </w:r>
            <w:r w:rsidR="00DD14FB" w:rsidRPr="001F224B">
              <w:rPr>
                <w:b/>
                <w:bCs/>
                <w:sz w:val="20"/>
                <w:szCs w:val="20"/>
              </w:rPr>
              <w:t>4</w:t>
            </w:r>
            <w:r w:rsidRPr="001F224B">
              <w:rPr>
                <w:b/>
                <w:bCs/>
                <w:sz w:val="20"/>
                <w:szCs w:val="20"/>
              </w:rPr>
              <w:t>)</w:t>
            </w:r>
          </w:p>
        </w:tc>
      </w:tr>
      <w:tr w:rsidR="00267DF1" w:rsidRPr="001F224B" w14:paraId="62539C4E" w14:textId="77777777" w:rsidTr="0033482E">
        <w:trPr>
          <w:cantSplit/>
          <w:trHeight w:val="113"/>
        </w:trPr>
        <w:tc>
          <w:tcPr>
            <w:tcW w:w="4774" w:type="dxa"/>
            <w:vMerge/>
            <w:tcBorders>
              <w:top w:val="single" w:sz="4" w:space="0" w:color="auto"/>
              <w:left w:val="single" w:sz="4" w:space="0" w:color="auto"/>
              <w:bottom w:val="single" w:sz="4" w:space="0" w:color="auto"/>
              <w:right w:val="single" w:sz="4" w:space="0" w:color="auto"/>
            </w:tcBorders>
            <w:vAlign w:val="center"/>
          </w:tcPr>
          <w:p w14:paraId="43157F5B" w14:textId="77777777" w:rsidR="00267DF1" w:rsidRPr="001F224B" w:rsidRDefault="00267DF1" w:rsidP="001B56B8">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2AC39EDA" w14:textId="77777777" w:rsidR="00267DF1" w:rsidRPr="001F224B" w:rsidRDefault="00267DF1" w:rsidP="001B56B8">
            <w:pPr>
              <w:jc w:val="center"/>
              <w:rPr>
                <w:b/>
                <w:bCs/>
                <w:sz w:val="20"/>
                <w:szCs w:val="20"/>
              </w:rPr>
            </w:pPr>
            <w:r w:rsidRPr="001F224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2DB1CE0A" w14:textId="77777777" w:rsidR="00267DF1" w:rsidRPr="001F224B" w:rsidRDefault="00267DF1" w:rsidP="001B56B8">
            <w:pPr>
              <w:jc w:val="center"/>
              <w:rPr>
                <w:b/>
                <w:bCs/>
                <w:sz w:val="20"/>
                <w:szCs w:val="20"/>
              </w:rPr>
            </w:pPr>
            <w:r w:rsidRPr="001F224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93A1BFE" w14:textId="77777777" w:rsidR="00267DF1" w:rsidRPr="001F224B" w:rsidRDefault="00267DF1" w:rsidP="001B56B8">
            <w:pPr>
              <w:jc w:val="center"/>
              <w:rPr>
                <w:b/>
                <w:bCs/>
                <w:sz w:val="20"/>
                <w:szCs w:val="20"/>
              </w:rPr>
            </w:pPr>
            <w:r w:rsidRPr="001F224B">
              <w:rPr>
                <w:b/>
                <w:bCs/>
                <w:sz w:val="20"/>
                <w:szCs w:val="20"/>
              </w:rPr>
              <w:t>TP</w:t>
            </w:r>
          </w:p>
        </w:tc>
        <w:tc>
          <w:tcPr>
            <w:tcW w:w="1238" w:type="dxa"/>
            <w:tcBorders>
              <w:top w:val="nil"/>
              <w:left w:val="nil"/>
              <w:bottom w:val="single" w:sz="4" w:space="0" w:color="auto"/>
              <w:right w:val="single" w:sz="4" w:space="0" w:color="auto"/>
            </w:tcBorders>
            <w:shd w:val="clear" w:color="000000" w:fill="FFFFFF"/>
            <w:vAlign w:val="bottom"/>
          </w:tcPr>
          <w:p w14:paraId="6550A840" w14:textId="77777777" w:rsidR="00267DF1" w:rsidRPr="001F224B" w:rsidRDefault="00267DF1" w:rsidP="001B56B8">
            <w:pPr>
              <w:jc w:val="center"/>
              <w:rPr>
                <w:b/>
                <w:bCs/>
                <w:sz w:val="20"/>
                <w:szCs w:val="20"/>
              </w:rPr>
            </w:pPr>
            <w:r w:rsidRPr="001F224B">
              <w:rPr>
                <w:b/>
                <w:bCs/>
                <w:sz w:val="20"/>
                <w:szCs w:val="20"/>
              </w:rPr>
              <w:t>YP</w:t>
            </w:r>
          </w:p>
        </w:tc>
      </w:tr>
      <w:tr w:rsidR="00EE516B" w:rsidRPr="001F224B" w14:paraId="4D685416" w14:textId="77777777" w:rsidTr="0035283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CA03C3F" w14:textId="77777777" w:rsidR="00EE516B" w:rsidRPr="001F224B" w:rsidRDefault="00EE516B" w:rsidP="00EE516B">
            <w:pPr>
              <w:ind w:firstLineChars="200" w:firstLine="400"/>
              <w:rPr>
                <w:sz w:val="20"/>
                <w:szCs w:val="20"/>
              </w:rPr>
            </w:pPr>
            <w:r w:rsidRPr="001F224B">
              <w:rPr>
                <w:sz w:val="20"/>
                <w:szCs w:val="20"/>
              </w:rPr>
              <w:t>T.C. Merkez Bankasından</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A34038B" w14:textId="584FDBE5" w:rsidR="00EE516B" w:rsidRPr="001F224B" w:rsidRDefault="00EE516B" w:rsidP="00EE516B">
            <w:pPr>
              <w:jc w:val="right"/>
              <w:rPr>
                <w:sz w:val="20"/>
                <w:szCs w:val="20"/>
              </w:rPr>
            </w:pPr>
            <w:r w:rsidRPr="001F224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878D059" w14:textId="2E365C96" w:rsidR="00EE516B" w:rsidRPr="001F224B" w:rsidRDefault="00EE516B" w:rsidP="00EE516B">
            <w:pPr>
              <w:jc w:val="right"/>
              <w:rPr>
                <w:sz w:val="20"/>
                <w:szCs w:val="20"/>
              </w:rPr>
            </w:pPr>
            <w:r w:rsidRPr="001F224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DDDD2E6" w14:textId="4347ACA4" w:rsidR="00EE516B" w:rsidRPr="001F224B" w:rsidRDefault="00EE516B" w:rsidP="00EE516B">
            <w:pPr>
              <w:jc w:val="right"/>
              <w:rPr>
                <w:sz w:val="20"/>
                <w:szCs w:val="20"/>
              </w:rPr>
            </w:pPr>
            <w:r w:rsidRPr="001F224B">
              <w:rPr>
                <w:sz w:val="20"/>
                <w:szCs w:val="20"/>
              </w:rPr>
              <w:t>-</w:t>
            </w:r>
          </w:p>
        </w:tc>
        <w:tc>
          <w:tcPr>
            <w:tcW w:w="1238" w:type="dxa"/>
            <w:tcBorders>
              <w:top w:val="single" w:sz="4" w:space="0" w:color="auto"/>
              <w:left w:val="nil"/>
              <w:bottom w:val="single" w:sz="4" w:space="0" w:color="auto"/>
              <w:right w:val="single" w:sz="4" w:space="0" w:color="auto"/>
            </w:tcBorders>
            <w:shd w:val="clear" w:color="000000" w:fill="FFFFFF"/>
          </w:tcPr>
          <w:p w14:paraId="41F0C953" w14:textId="1761DCD4" w:rsidR="00EE516B" w:rsidRPr="001F224B" w:rsidRDefault="00EE516B" w:rsidP="00EE516B">
            <w:pPr>
              <w:jc w:val="right"/>
              <w:rPr>
                <w:sz w:val="20"/>
                <w:szCs w:val="20"/>
              </w:rPr>
            </w:pPr>
            <w:r w:rsidRPr="001F224B">
              <w:rPr>
                <w:sz w:val="20"/>
                <w:szCs w:val="20"/>
              </w:rPr>
              <w:t>-</w:t>
            </w:r>
          </w:p>
        </w:tc>
      </w:tr>
      <w:tr w:rsidR="00352832" w:rsidRPr="001F224B" w14:paraId="1EAA298E" w14:textId="77777777" w:rsidTr="0035283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66EAF27" w14:textId="77777777" w:rsidR="00352832" w:rsidRPr="001F224B" w:rsidRDefault="00352832" w:rsidP="00352832">
            <w:pPr>
              <w:ind w:firstLineChars="200" w:firstLine="400"/>
              <w:rPr>
                <w:sz w:val="20"/>
                <w:szCs w:val="20"/>
              </w:rPr>
            </w:pPr>
            <w:r w:rsidRPr="001F224B">
              <w:rPr>
                <w:sz w:val="20"/>
                <w:szCs w:val="20"/>
              </w:rPr>
              <w:t>Yurtiçi Bankalardan</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4F4238DE" w14:textId="347937C4" w:rsidR="00352832" w:rsidRPr="001F224B" w:rsidRDefault="00352832" w:rsidP="00352832">
            <w:pPr>
              <w:jc w:val="right"/>
              <w:rPr>
                <w:sz w:val="20"/>
                <w:szCs w:val="20"/>
              </w:rPr>
            </w:pPr>
            <w:r w:rsidRPr="001F224B">
              <w:rPr>
                <w:sz w:val="20"/>
                <w:szCs w:val="20"/>
              </w:rPr>
              <w:t>1.214.933</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3A8C845A" w14:textId="7834F512" w:rsidR="00352832" w:rsidRPr="001F224B" w:rsidRDefault="00352832" w:rsidP="00352832">
            <w:pPr>
              <w:jc w:val="right"/>
              <w:rPr>
                <w:sz w:val="20"/>
                <w:szCs w:val="20"/>
              </w:rPr>
            </w:pPr>
            <w:r w:rsidRPr="001F224B">
              <w:rPr>
                <w:sz w:val="20"/>
                <w:szCs w:val="20"/>
              </w:rPr>
              <w:t>64.470</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3BBE3328" w14:textId="578EF6F2" w:rsidR="00352832" w:rsidRPr="001F224B" w:rsidRDefault="00352832" w:rsidP="00352832">
            <w:pPr>
              <w:jc w:val="right"/>
              <w:rPr>
                <w:sz w:val="20"/>
                <w:szCs w:val="20"/>
              </w:rPr>
            </w:pPr>
            <w:r w:rsidRPr="001F224B">
              <w:rPr>
                <w:sz w:val="20"/>
                <w:szCs w:val="20"/>
              </w:rPr>
              <w:t>1.352.139</w:t>
            </w:r>
          </w:p>
        </w:tc>
        <w:tc>
          <w:tcPr>
            <w:tcW w:w="1238" w:type="dxa"/>
            <w:tcBorders>
              <w:top w:val="single" w:sz="4" w:space="0" w:color="auto"/>
              <w:left w:val="single" w:sz="4" w:space="0" w:color="auto"/>
              <w:bottom w:val="single" w:sz="4" w:space="0" w:color="auto"/>
              <w:right w:val="single" w:sz="4" w:space="0" w:color="auto"/>
            </w:tcBorders>
            <w:shd w:val="clear" w:color="000000" w:fill="FFFFFF"/>
          </w:tcPr>
          <w:p w14:paraId="0ABD63CB" w14:textId="1F3A1E1A" w:rsidR="00352832" w:rsidRPr="001F224B" w:rsidRDefault="00352832" w:rsidP="00352832">
            <w:pPr>
              <w:jc w:val="right"/>
              <w:rPr>
                <w:sz w:val="20"/>
                <w:szCs w:val="20"/>
              </w:rPr>
            </w:pPr>
            <w:r w:rsidRPr="001F224B">
              <w:rPr>
                <w:sz w:val="20"/>
                <w:szCs w:val="20"/>
              </w:rPr>
              <w:t>18.719</w:t>
            </w:r>
          </w:p>
        </w:tc>
      </w:tr>
      <w:tr w:rsidR="00352832" w:rsidRPr="001F224B" w14:paraId="471974F0" w14:textId="77777777" w:rsidTr="0035283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108F904" w14:textId="77777777" w:rsidR="00352832" w:rsidRPr="001F224B" w:rsidRDefault="00352832" w:rsidP="00352832">
            <w:pPr>
              <w:ind w:firstLineChars="200" w:firstLine="400"/>
              <w:rPr>
                <w:sz w:val="20"/>
                <w:szCs w:val="20"/>
              </w:rPr>
            </w:pPr>
            <w:r w:rsidRPr="001F224B">
              <w:rPr>
                <w:sz w:val="20"/>
                <w:szCs w:val="20"/>
              </w:rPr>
              <w:t>Yurtdışı Bankalardan</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5045CC6B" w14:textId="06ECD229" w:rsidR="00352832" w:rsidRPr="001F224B" w:rsidRDefault="00352832" w:rsidP="00352832">
            <w:pPr>
              <w:jc w:val="right"/>
              <w:rPr>
                <w:sz w:val="20"/>
                <w:szCs w:val="20"/>
              </w:rPr>
            </w:pPr>
            <w:r w:rsidRPr="001F224B">
              <w:rPr>
                <w:sz w:val="20"/>
                <w:szCs w:val="20"/>
              </w:rPr>
              <w:t>3.025</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20C00708" w14:textId="31B68B6B" w:rsidR="00352832" w:rsidRPr="001F224B" w:rsidRDefault="00352832" w:rsidP="00352832">
            <w:pPr>
              <w:jc w:val="right"/>
              <w:rPr>
                <w:sz w:val="20"/>
                <w:szCs w:val="20"/>
              </w:rPr>
            </w:pPr>
            <w:r w:rsidRPr="001F224B">
              <w:rPr>
                <w:sz w:val="20"/>
                <w:szCs w:val="20"/>
              </w:rPr>
              <w:t>3.687</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01DA7AE7" w14:textId="36C28792" w:rsidR="00352832" w:rsidRPr="001F224B" w:rsidRDefault="00352832" w:rsidP="00352832">
            <w:pPr>
              <w:jc w:val="right"/>
              <w:rPr>
                <w:sz w:val="20"/>
                <w:szCs w:val="20"/>
              </w:rPr>
            </w:pPr>
            <w:r w:rsidRPr="001F224B">
              <w:rPr>
                <w:sz w:val="20"/>
                <w:szCs w:val="20"/>
              </w:rPr>
              <w:t>- </w:t>
            </w:r>
          </w:p>
        </w:tc>
        <w:tc>
          <w:tcPr>
            <w:tcW w:w="1238" w:type="dxa"/>
            <w:tcBorders>
              <w:top w:val="single" w:sz="4" w:space="0" w:color="auto"/>
              <w:left w:val="single" w:sz="4" w:space="0" w:color="auto"/>
              <w:bottom w:val="single" w:sz="4" w:space="0" w:color="auto"/>
              <w:right w:val="single" w:sz="4" w:space="0" w:color="auto"/>
            </w:tcBorders>
            <w:shd w:val="clear" w:color="000000" w:fill="FFFFFF"/>
          </w:tcPr>
          <w:p w14:paraId="35A99DDA" w14:textId="70E69BE7" w:rsidR="00352832" w:rsidRPr="001F224B" w:rsidRDefault="00352832" w:rsidP="00352832">
            <w:pPr>
              <w:jc w:val="right"/>
              <w:rPr>
                <w:sz w:val="20"/>
                <w:szCs w:val="20"/>
              </w:rPr>
            </w:pPr>
            <w:r w:rsidRPr="001F224B">
              <w:rPr>
                <w:sz w:val="20"/>
                <w:szCs w:val="20"/>
              </w:rPr>
              <w:t>4.077</w:t>
            </w:r>
          </w:p>
        </w:tc>
      </w:tr>
      <w:tr w:rsidR="00352832" w:rsidRPr="001F224B" w14:paraId="19E0FFA9" w14:textId="77777777" w:rsidTr="0035283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6A7E345" w14:textId="77777777" w:rsidR="00352832" w:rsidRPr="001F224B" w:rsidRDefault="00352832" w:rsidP="00352832">
            <w:pPr>
              <w:ind w:firstLineChars="200" w:firstLine="400"/>
              <w:rPr>
                <w:sz w:val="20"/>
                <w:szCs w:val="20"/>
              </w:rPr>
            </w:pPr>
            <w:r w:rsidRPr="001F224B">
              <w:rPr>
                <w:sz w:val="20"/>
                <w:szCs w:val="20"/>
              </w:rPr>
              <w:t>Yurtdışı Merkez ve Şubelerden</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61C69DDD" w14:textId="17CA22D4" w:rsidR="00352832" w:rsidRPr="001F224B" w:rsidRDefault="00352832" w:rsidP="00352832">
            <w:pPr>
              <w:jc w:val="right"/>
              <w:rPr>
                <w:sz w:val="20"/>
                <w:szCs w:val="20"/>
              </w:rPr>
            </w:pPr>
            <w:r w:rsidRPr="001F224B">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1BA31249" w14:textId="5F276C6E" w:rsidR="00352832" w:rsidRPr="001F224B" w:rsidRDefault="00352832" w:rsidP="00352832">
            <w:pPr>
              <w:jc w:val="right"/>
              <w:rPr>
                <w:sz w:val="20"/>
                <w:szCs w:val="20"/>
              </w:rPr>
            </w:pPr>
            <w:r w:rsidRPr="001F224B">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5A013CAE" w14:textId="1639BCA2" w:rsidR="00352832" w:rsidRPr="001F224B" w:rsidRDefault="00352832" w:rsidP="00352832">
            <w:pPr>
              <w:jc w:val="right"/>
            </w:pPr>
            <w:r w:rsidRPr="001F224B">
              <w:rPr>
                <w:sz w:val="20"/>
                <w:szCs w:val="20"/>
              </w:rPr>
              <w:t>-</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14:paraId="7C81C7F5" w14:textId="4A748551" w:rsidR="00352832" w:rsidRPr="001F224B" w:rsidRDefault="00352832" w:rsidP="00352832">
            <w:pPr>
              <w:jc w:val="right"/>
              <w:rPr>
                <w:sz w:val="20"/>
                <w:szCs w:val="20"/>
              </w:rPr>
            </w:pPr>
            <w:r w:rsidRPr="001F224B">
              <w:rPr>
                <w:sz w:val="20"/>
                <w:szCs w:val="20"/>
              </w:rPr>
              <w:t>-</w:t>
            </w:r>
          </w:p>
        </w:tc>
      </w:tr>
      <w:tr w:rsidR="00352832" w:rsidRPr="001F224B" w14:paraId="55CACCD1" w14:textId="77777777" w:rsidTr="0035283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67BCC165" w14:textId="77777777" w:rsidR="00352832" w:rsidRPr="001F224B" w:rsidRDefault="00352832" w:rsidP="00352832">
            <w:pPr>
              <w:rPr>
                <w:b/>
                <w:sz w:val="20"/>
                <w:szCs w:val="20"/>
              </w:rPr>
            </w:pPr>
            <w:r w:rsidRPr="001F224B">
              <w:rPr>
                <w:b/>
                <w:sz w:val="20"/>
                <w:szCs w:val="20"/>
              </w:rPr>
              <w:t>Toplam</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4F543913" w14:textId="23596D20" w:rsidR="00352832" w:rsidRPr="001F224B" w:rsidRDefault="00352832" w:rsidP="00352832">
            <w:pPr>
              <w:jc w:val="right"/>
              <w:rPr>
                <w:b/>
                <w:bCs/>
                <w:sz w:val="20"/>
                <w:szCs w:val="20"/>
              </w:rPr>
            </w:pPr>
            <w:r w:rsidRPr="001F224B">
              <w:rPr>
                <w:b/>
                <w:bCs/>
                <w:sz w:val="20"/>
                <w:szCs w:val="20"/>
              </w:rPr>
              <w:t>1.217.958</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tcPr>
          <w:p w14:paraId="6D1E71A1" w14:textId="23208D2E" w:rsidR="00352832" w:rsidRPr="001F224B" w:rsidRDefault="00352832" w:rsidP="00352832">
            <w:pPr>
              <w:jc w:val="right"/>
              <w:rPr>
                <w:b/>
                <w:bCs/>
                <w:sz w:val="20"/>
                <w:szCs w:val="20"/>
              </w:rPr>
            </w:pPr>
            <w:r w:rsidRPr="001F224B">
              <w:rPr>
                <w:b/>
                <w:bCs/>
                <w:sz w:val="20"/>
                <w:szCs w:val="20"/>
              </w:rPr>
              <w:t>68.157</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43FA24A0" w14:textId="62999384" w:rsidR="00352832" w:rsidRPr="001F224B" w:rsidRDefault="00352832" w:rsidP="00352832">
            <w:pPr>
              <w:jc w:val="right"/>
              <w:rPr>
                <w:b/>
              </w:rPr>
            </w:pPr>
            <w:r w:rsidRPr="001F224B">
              <w:rPr>
                <w:b/>
                <w:bCs/>
                <w:sz w:val="20"/>
                <w:szCs w:val="20"/>
              </w:rPr>
              <w:t>1.352.139</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14:paraId="6E5BE0C5" w14:textId="492F0C96" w:rsidR="00352832" w:rsidRPr="001F224B" w:rsidRDefault="00352832" w:rsidP="00352832">
            <w:pPr>
              <w:jc w:val="right"/>
              <w:rPr>
                <w:b/>
                <w:sz w:val="20"/>
                <w:szCs w:val="20"/>
              </w:rPr>
            </w:pPr>
            <w:r w:rsidRPr="001F224B">
              <w:rPr>
                <w:b/>
                <w:bCs/>
                <w:sz w:val="20"/>
                <w:szCs w:val="20"/>
              </w:rPr>
              <w:t>22.796</w:t>
            </w:r>
          </w:p>
        </w:tc>
      </w:tr>
    </w:tbl>
    <w:p w14:paraId="60205374" w14:textId="77777777" w:rsidR="00267DF1" w:rsidRPr="001F224B" w:rsidRDefault="00C66E53" w:rsidP="005514FC">
      <w:pPr>
        <w:tabs>
          <w:tab w:val="left" w:pos="567"/>
        </w:tabs>
        <w:spacing w:before="120" w:after="120"/>
        <w:jc w:val="both"/>
        <w:rPr>
          <w:b/>
          <w:bCs/>
          <w:sz w:val="22"/>
          <w:szCs w:val="22"/>
        </w:rPr>
      </w:pPr>
      <w:r w:rsidRPr="001F224B">
        <w:rPr>
          <w:b/>
          <w:bCs/>
          <w:sz w:val="22"/>
          <w:szCs w:val="22"/>
        </w:rPr>
        <w:t>1.</w:t>
      </w:r>
      <w:r w:rsidR="00267DF1" w:rsidRPr="001F224B">
        <w:rPr>
          <w:b/>
          <w:bCs/>
          <w:sz w:val="22"/>
          <w:szCs w:val="22"/>
        </w:rPr>
        <w:t>c)</w:t>
      </w:r>
      <w:r w:rsidRPr="001F224B">
        <w:rPr>
          <w:b/>
          <w:bCs/>
          <w:sz w:val="22"/>
          <w:szCs w:val="22"/>
        </w:rPr>
        <w:tab/>
      </w:r>
      <w:r w:rsidR="00267DF1" w:rsidRPr="001F224B">
        <w:rPr>
          <w:b/>
          <w:bCs/>
          <w:sz w:val="22"/>
          <w:szCs w:val="22"/>
        </w:rPr>
        <w:t>Menkul değerlerden alınan faizlere ilişkin bilgiler:</w:t>
      </w:r>
    </w:p>
    <w:tbl>
      <w:tblPr>
        <w:tblW w:w="9751" w:type="dxa"/>
        <w:tblInd w:w="37" w:type="dxa"/>
        <w:tblCellMar>
          <w:left w:w="70" w:type="dxa"/>
          <w:right w:w="70" w:type="dxa"/>
        </w:tblCellMar>
        <w:tblLook w:val="0000" w:firstRow="0" w:lastRow="0" w:firstColumn="0" w:lastColumn="0" w:noHBand="0" w:noVBand="0"/>
      </w:tblPr>
      <w:tblGrid>
        <w:gridCol w:w="4760"/>
        <w:gridCol w:w="1247"/>
        <w:gridCol w:w="1326"/>
        <w:gridCol w:w="1247"/>
        <w:gridCol w:w="1171"/>
      </w:tblGrid>
      <w:tr w:rsidR="00A24ABA" w:rsidRPr="001F224B" w14:paraId="42C2627B" w14:textId="77777777" w:rsidTr="0033482E">
        <w:trPr>
          <w:trHeight w:val="20"/>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532E67B3" w14:textId="77777777" w:rsidR="00A24ABA" w:rsidRPr="001F224B" w:rsidRDefault="00A24ABA" w:rsidP="00A24ABA">
            <w:pPr>
              <w:jc w:val="both"/>
              <w:rPr>
                <w:sz w:val="20"/>
                <w:szCs w:val="20"/>
              </w:rPr>
            </w:pPr>
            <w:r w:rsidRPr="001F224B">
              <w:rPr>
                <w:sz w:val="20"/>
                <w:szCs w:val="20"/>
              </w:rPr>
              <w:t> </w:t>
            </w:r>
          </w:p>
        </w:tc>
        <w:tc>
          <w:tcPr>
            <w:tcW w:w="2573" w:type="dxa"/>
            <w:gridSpan w:val="2"/>
            <w:tcBorders>
              <w:top w:val="single" w:sz="4" w:space="0" w:color="auto"/>
              <w:left w:val="nil"/>
              <w:bottom w:val="single" w:sz="4" w:space="0" w:color="auto"/>
              <w:right w:val="single" w:sz="4" w:space="0" w:color="auto"/>
            </w:tcBorders>
            <w:shd w:val="clear" w:color="000000" w:fill="FFFFFF"/>
            <w:vAlign w:val="bottom"/>
          </w:tcPr>
          <w:p w14:paraId="29CCF26B" w14:textId="77777777" w:rsidR="00357752" w:rsidRPr="001F224B" w:rsidRDefault="00357752" w:rsidP="00357752">
            <w:pPr>
              <w:jc w:val="center"/>
              <w:rPr>
                <w:b/>
                <w:bCs/>
                <w:sz w:val="20"/>
                <w:szCs w:val="20"/>
              </w:rPr>
            </w:pPr>
            <w:r w:rsidRPr="001F224B">
              <w:rPr>
                <w:b/>
                <w:bCs/>
                <w:sz w:val="20"/>
                <w:szCs w:val="20"/>
              </w:rPr>
              <w:t>Cari Dönem</w:t>
            </w:r>
          </w:p>
          <w:p w14:paraId="47ECA20F" w14:textId="087E5AFB" w:rsidR="00A24ABA" w:rsidRPr="001F224B" w:rsidRDefault="00C5334A" w:rsidP="00357752">
            <w:pPr>
              <w:jc w:val="center"/>
              <w:rPr>
                <w:b/>
                <w:bCs/>
                <w:sz w:val="20"/>
                <w:szCs w:val="20"/>
              </w:rPr>
            </w:pPr>
            <w:r w:rsidRPr="001F224B">
              <w:rPr>
                <w:b/>
                <w:bCs/>
                <w:sz w:val="20"/>
                <w:szCs w:val="20"/>
              </w:rPr>
              <w:t>(3</w:t>
            </w:r>
            <w:r w:rsidR="00EE516B" w:rsidRPr="001F224B">
              <w:rPr>
                <w:b/>
                <w:bCs/>
                <w:sz w:val="20"/>
                <w:szCs w:val="20"/>
              </w:rPr>
              <w:t>0</w:t>
            </w:r>
            <w:r w:rsidRPr="001F224B">
              <w:rPr>
                <w:b/>
                <w:bCs/>
                <w:sz w:val="20"/>
                <w:szCs w:val="20"/>
              </w:rPr>
              <w:t>.</w:t>
            </w:r>
            <w:r w:rsidR="00DD14FB" w:rsidRPr="001F224B">
              <w:rPr>
                <w:b/>
                <w:bCs/>
                <w:sz w:val="20"/>
                <w:szCs w:val="20"/>
              </w:rPr>
              <w:t>0</w:t>
            </w:r>
            <w:r w:rsidR="00EE516B" w:rsidRPr="001F224B">
              <w:rPr>
                <w:b/>
                <w:bCs/>
                <w:sz w:val="20"/>
                <w:szCs w:val="20"/>
              </w:rPr>
              <w:t>6</w:t>
            </w:r>
            <w:r w:rsidRPr="001F224B">
              <w:rPr>
                <w:b/>
                <w:bCs/>
                <w:sz w:val="20"/>
                <w:szCs w:val="20"/>
              </w:rPr>
              <w:t>.202</w:t>
            </w:r>
            <w:r w:rsidR="00DD14FB" w:rsidRPr="001F224B">
              <w:rPr>
                <w:b/>
                <w:bCs/>
                <w:sz w:val="20"/>
                <w:szCs w:val="20"/>
              </w:rPr>
              <w:t>5</w:t>
            </w:r>
            <w:r w:rsidRPr="001F224B">
              <w:rPr>
                <w:b/>
                <w:bCs/>
                <w:sz w:val="20"/>
                <w:szCs w:val="20"/>
              </w:rPr>
              <w:t>)</w:t>
            </w:r>
          </w:p>
        </w:tc>
        <w:tc>
          <w:tcPr>
            <w:tcW w:w="2418" w:type="dxa"/>
            <w:gridSpan w:val="2"/>
            <w:tcBorders>
              <w:top w:val="single" w:sz="4" w:space="0" w:color="auto"/>
              <w:left w:val="nil"/>
              <w:bottom w:val="single" w:sz="4" w:space="0" w:color="auto"/>
              <w:right w:val="single" w:sz="4" w:space="0" w:color="000000"/>
            </w:tcBorders>
            <w:shd w:val="clear" w:color="000000" w:fill="FFFFFF"/>
            <w:vAlign w:val="bottom"/>
          </w:tcPr>
          <w:p w14:paraId="276AA0D8" w14:textId="77777777" w:rsidR="00A24ABA" w:rsidRPr="001F224B" w:rsidRDefault="00A24ABA" w:rsidP="00A24ABA">
            <w:pPr>
              <w:jc w:val="center"/>
              <w:rPr>
                <w:b/>
                <w:bCs/>
                <w:sz w:val="20"/>
                <w:szCs w:val="20"/>
              </w:rPr>
            </w:pPr>
            <w:r w:rsidRPr="001F224B">
              <w:rPr>
                <w:b/>
                <w:bCs/>
                <w:sz w:val="20"/>
                <w:szCs w:val="20"/>
              </w:rPr>
              <w:t>Önceki Dönem</w:t>
            </w:r>
          </w:p>
          <w:p w14:paraId="397B1ADD" w14:textId="4FB0713A" w:rsidR="00A24ABA" w:rsidRPr="001F224B" w:rsidRDefault="00C5334A" w:rsidP="00A24ABA">
            <w:pPr>
              <w:jc w:val="center"/>
              <w:rPr>
                <w:b/>
                <w:bCs/>
                <w:sz w:val="20"/>
                <w:szCs w:val="20"/>
              </w:rPr>
            </w:pPr>
            <w:r w:rsidRPr="001F224B">
              <w:rPr>
                <w:b/>
                <w:bCs/>
                <w:sz w:val="20"/>
                <w:szCs w:val="20"/>
              </w:rPr>
              <w:t>(3</w:t>
            </w:r>
            <w:r w:rsidR="00EE516B" w:rsidRPr="001F224B">
              <w:rPr>
                <w:b/>
                <w:bCs/>
                <w:sz w:val="20"/>
                <w:szCs w:val="20"/>
              </w:rPr>
              <w:t>0</w:t>
            </w:r>
            <w:r w:rsidRPr="001F224B">
              <w:rPr>
                <w:b/>
                <w:bCs/>
                <w:sz w:val="20"/>
                <w:szCs w:val="20"/>
              </w:rPr>
              <w:t>.</w:t>
            </w:r>
            <w:r w:rsidR="00DD14FB" w:rsidRPr="001F224B">
              <w:rPr>
                <w:b/>
                <w:bCs/>
                <w:sz w:val="20"/>
                <w:szCs w:val="20"/>
              </w:rPr>
              <w:t>0</w:t>
            </w:r>
            <w:r w:rsidR="00EE516B" w:rsidRPr="001F224B">
              <w:rPr>
                <w:b/>
                <w:bCs/>
                <w:sz w:val="20"/>
                <w:szCs w:val="20"/>
              </w:rPr>
              <w:t>6</w:t>
            </w:r>
            <w:r w:rsidRPr="001F224B">
              <w:rPr>
                <w:b/>
                <w:bCs/>
                <w:sz w:val="20"/>
                <w:szCs w:val="20"/>
              </w:rPr>
              <w:t>.202</w:t>
            </w:r>
            <w:r w:rsidR="00DD14FB" w:rsidRPr="001F224B">
              <w:rPr>
                <w:b/>
                <w:bCs/>
                <w:sz w:val="20"/>
                <w:szCs w:val="20"/>
              </w:rPr>
              <w:t>4</w:t>
            </w:r>
            <w:r w:rsidRPr="001F224B">
              <w:rPr>
                <w:b/>
                <w:bCs/>
                <w:sz w:val="20"/>
                <w:szCs w:val="20"/>
              </w:rPr>
              <w:t>)</w:t>
            </w:r>
          </w:p>
        </w:tc>
      </w:tr>
      <w:tr w:rsidR="00D422AF" w:rsidRPr="001F224B" w14:paraId="3F64D59E" w14:textId="77777777" w:rsidTr="00A40A56">
        <w:trPr>
          <w:trHeight w:val="442"/>
        </w:trPr>
        <w:tc>
          <w:tcPr>
            <w:tcW w:w="4760" w:type="dxa"/>
            <w:vMerge/>
            <w:tcBorders>
              <w:top w:val="single" w:sz="4" w:space="0" w:color="auto"/>
              <w:left w:val="single" w:sz="4" w:space="0" w:color="auto"/>
              <w:bottom w:val="single" w:sz="4" w:space="0" w:color="auto"/>
              <w:right w:val="single" w:sz="4" w:space="0" w:color="auto"/>
            </w:tcBorders>
            <w:vAlign w:val="bottom"/>
          </w:tcPr>
          <w:p w14:paraId="3648EC7D" w14:textId="77777777" w:rsidR="00D422AF" w:rsidRPr="001F224B" w:rsidRDefault="00D422AF" w:rsidP="001B56B8">
            <w:pPr>
              <w:rPr>
                <w:sz w:val="20"/>
                <w:szCs w:val="20"/>
              </w:rPr>
            </w:pPr>
          </w:p>
        </w:tc>
        <w:tc>
          <w:tcPr>
            <w:tcW w:w="1247" w:type="dxa"/>
            <w:tcBorders>
              <w:top w:val="nil"/>
              <w:left w:val="nil"/>
              <w:bottom w:val="single" w:sz="4" w:space="0" w:color="auto"/>
              <w:right w:val="single" w:sz="4" w:space="0" w:color="auto"/>
            </w:tcBorders>
            <w:shd w:val="clear" w:color="auto" w:fill="FFFFFF"/>
            <w:vAlign w:val="bottom"/>
          </w:tcPr>
          <w:p w14:paraId="26A54F27" w14:textId="77777777" w:rsidR="00D422AF" w:rsidRPr="001F224B" w:rsidRDefault="00D422AF" w:rsidP="001B56B8">
            <w:pPr>
              <w:jc w:val="center"/>
              <w:rPr>
                <w:b/>
                <w:bCs/>
                <w:sz w:val="20"/>
                <w:szCs w:val="20"/>
              </w:rPr>
            </w:pPr>
            <w:r w:rsidRPr="001F224B">
              <w:rPr>
                <w:b/>
                <w:bCs/>
                <w:sz w:val="20"/>
                <w:szCs w:val="20"/>
              </w:rPr>
              <w:t>TP</w:t>
            </w:r>
          </w:p>
        </w:tc>
        <w:tc>
          <w:tcPr>
            <w:tcW w:w="1326" w:type="dxa"/>
            <w:tcBorders>
              <w:top w:val="nil"/>
              <w:left w:val="nil"/>
              <w:bottom w:val="single" w:sz="4" w:space="0" w:color="auto"/>
              <w:right w:val="single" w:sz="4" w:space="0" w:color="auto"/>
            </w:tcBorders>
            <w:shd w:val="clear" w:color="auto" w:fill="FFFFFF"/>
            <w:vAlign w:val="bottom"/>
          </w:tcPr>
          <w:p w14:paraId="2EDA598B" w14:textId="77777777" w:rsidR="00D422AF" w:rsidRPr="001F224B" w:rsidRDefault="00D422AF" w:rsidP="001B56B8">
            <w:pPr>
              <w:jc w:val="center"/>
              <w:rPr>
                <w:b/>
                <w:bCs/>
                <w:sz w:val="20"/>
                <w:szCs w:val="20"/>
              </w:rPr>
            </w:pPr>
            <w:r w:rsidRPr="001F224B">
              <w:rPr>
                <w:b/>
                <w:bCs/>
                <w:sz w:val="20"/>
                <w:szCs w:val="20"/>
              </w:rPr>
              <w:t>YP</w:t>
            </w:r>
          </w:p>
        </w:tc>
        <w:tc>
          <w:tcPr>
            <w:tcW w:w="1247" w:type="dxa"/>
            <w:tcBorders>
              <w:top w:val="nil"/>
              <w:left w:val="nil"/>
              <w:bottom w:val="single" w:sz="4" w:space="0" w:color="auto"/>
              <w:right w:val="single" w:sz="4" w:space="0" w:color="auto"/>
            </w:tcBorders>
            <w:shd w:val="clear" w:color="auto" w:fill="FFFFFF"/>
            <w:vAlign w:val="bottom"/>
          </w:tcPr>
          <w:p w14:paraId="09AA0330" w14:textId="77777777" w:rsidR="00D422AF" w:rsidRPr="001F224B" w:rsidRDefault="00D422AF" w:rsidP="001B56B8">
            <w:pPr>
              <w:jc w:val="center"/>
              <w:rPr>
                <w:b/>
                <w:bCs/>
                <w:sz w:val="20"/>
                <w:szCs w:val="20"/>
              </w:rPr>
            </w:pPr>
            <w:r w:rsidRPr="001F224B">
              <w:rPr>
                <w:b/>
                <w:bCs/>
                <w:sz w:val="20"/>
                <w:szCs w:val="20"/>
              </w:rPr>
              <w:t>TP</w:t>
            </w:r>
          </w:p>
        </w:tc>
        <w:tc>
          <w:tcPr>
            <w:tcW w:w="1171" w:type="dxa"/>
            <w:tcBorders>
              <w:top w:val="nil"/>
              <w:left w:val="nil"/>
              <w:bottom w:val="single" w:sz="4" w:space="0" w:color="auto"/>
              <w:right w:val="single" w:sz="4" w:space="0" w:color="auto"/>
            </w:tcBorders>
            <w:shd w:val="clear" w:color="auto" w:fill="FFFFFF"/>
            <w:vAlign w:val="bottom"/>
          </w:tcPr>
          <w:p w14:paraId="5A490C2C" w14:textId="77777777" w:rsidR="00D422AF" w:rsidRPr="001F224B" w:rsidRDefault="00D422AF" w:rsidP="001B56B8">
            <w:pPr>
              <w:jc w:val="center"/>
              <w:rPr>
                <w:b/>
                <w:bCs/>
                <w:sz w:val="20"/>
                <w:szCs w:val="20"/>
              </w:rPr>
            </w:pPr>
            <w:r w:rsidRPr="001F224B">
              <w:rPr>
                <w:b/>
                <w:bCs/>
                <w:sz w:val="20"/>
                <w:szCs w:val="20"/>
              </w:rPr>
              <w:t>YP</w:t>
            </w:r>
          </w:p>
        </w:tc>
      </w:tr>
      <w:tr w:rsidR="00EE516B" w:rsidRPr="001F224B" w14:paraId="56F3A1EA" w14:textId="77777777" w:rsidTr="00A40A56">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1A63DBE0" w14:textId="77777777" w:rsidR="00EE516B" w:rsidRPr="001F224B" w:rsidRDefault="00EE516B" w:rsidP="00EE516B">
            <w:pPr>
              <w:ind w:left="497"/>
              <w:rPr>
                <w:sz w:val="20"/>
                <w:szCs w:val="20"/>
              </w:rPr>
            </w:pPr>
            <w:r w:rsidRPr="001F224B">
              <w:rPr>
                <w:sz w:val="20"/>
                <w:szCs w:val="20"/>
              </w:rPr>
              <w:t>Gerçeğe Uygun Değer Farkı Kar veya Zarara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3F6F32D" w14:textId="46A2C231" w:rsidR="00EE516B" w:rsidRPr="001F224B" w:rsidRDefault="00EE516B" w:rsidP="00EE516B">
            <w:pPr>
              <w:jc w:val="right"/>
              <w:rPr>
                <w:sz w:val="20"/>
                <w:szCs w:val="20"/>
              </w:rPr>
            </w:pPr>
            <w:r w:rsidRPr="001F224B">
              <w:rPr>
                <w:sz w:val="20"/>
                <w:szCs w:val="20"/>
              </w:rPr>
              <w:t>-</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33DBADCF" w14:textId="503DE7CC" w:rsidR="00EE516B" w:rsidRPr="001F224B" w:rsidRDefault="00EE516B" w:rsidP="00EE516B">
            <w:pPr>
              <w:jc w:val="right"/>
              <w:rPr>
                <w:sz w:val="20"/>
                <w:szCs w:val="20"/>
              </w:rPr>
            </w:pPr>
            <w:r w:rsidRPr="001F224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DA7BB57" w14:textId="30714E32" w:rsidR="00EE516B" w:rsidRPr="001F224B" w:rsidRDefault="00EE516B" w:rsidP="00EE516B">
            <w:pPr>
              <w:jc w:val="right"/>
              <w:rPr>
                <w:sz w:val="20"/>
                <w:szCs w:val="20"/>
              </w:rPr>
            </w:pPr>
            <w:r w:rsidRPr="001F224B">
              <w:rPr>
                <w:sz w:val="20"/>
                <w:szCs w:val="20"/>
              </w:rPr>
              <w:t>-</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76CAA39C" w14:textId="57526D71" w:rsidR="00EE516B" w:rsidRPr="001F224B" w:rsidRDefault="00EE516B" w:rsidP="00EE516B">
            <w:pPr>
              <w:jc w:val="right"/>
              <w:rPr>
                <w:sz w:val="20"/>
                <w:szCs w:val="20"/>
              </w:rPr>
            </w:pPr>
            <w:r w:rsidRPr="001F224B">
              <w:rPr>
                <w:sz w:val="20"/>
                <w:szCs w:val="20"/>
              </w:rPr>
              <w:t>-</w:t>
            </w:r>
          </w:p>
        </w:tc>
      </w:tr>
      <w:tr w:rsidR="00CD7D12" w:rsidRPr="001F224B" w14:paraId="3D1306A2" w14:textId="77777777" w:rsidTr="00A40A56">
        <w:trPr>
          <w:trHeight w:val="354"/>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5B976CCA" w14:textId="77777777" w:rsidR="00CD7D12" w:rsidRPr="001F224B" w:rsidRDefault="00CD7D12" w:rsidP="00CD7D12">
            <w:pPr>
              <w:ind w:left="497"/>
              <w:rPr>
                <w:sz w:val="20"/>
                <w:szCs w:val="20"/>
              </w:rPr>
            </w:pPr>
            <w:r w:rsidRPr="001F224B">
              <w:rPr>
                <w:bCs/>
                <w:sz w:val="20"/>
                <w:szCs w:val="20"/>
              </w:rPr>
              <w:t>Gerçeğe Uygun Değer Farkı Diğer Kapsamlı Gelire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5B3578F8" w14:textId="48C334C4" w:rsidR="00CD7D12" w:rsidRPr="001F224B" w:rsidRDefault="00CD7D12" w:rsidP="00CD7D12">
            <w:pPr>
              <w:jc w:val="right"/>
              <w:rPr>
                <w:sz w:val="20"/>
                <w:szCs w:val="20"/>
              </w:rPr>
            </w:pPr>
            <w:r w:rsidRPr="001F224B">
              <w:rPr>
                <w:sz w:val="20"/>
                <w:szCs w:val="20"/>
              </w:rPr>
              <w:t>915.422</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2D6E980A" w14:textId="4B6E5F0B" w:rsidR="00CD7D12" w:rsidRPr="001F224B" w:rsidRDefault="00CD7D12" w:rsidP="00CD7D12">
            <w:pPr>
              <w:jc w:val="right"/>
              <w:rPr>
                <w:sz w:val="20"/>
                <w:szCs w:val="20"/>
              </w:rPr>
            </w:pPr>
            <w:r w:rsidRPr="001F224B">
              <w:rPr>
                <w:sz w:val="20"/>
                <w:szCs w:val="20"/>
              </w:rPr>
              <w:t>652.846</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CB783A" w14:textId="221A08E0" w:rsidR="00CD7D12" w:rsidRPr="001F224B" w:rsidRDefault="00CD7D12" w:rsidP="00CD7D12">
            <w:pPr>
              <w:jc w:val="right"/>
              <w:rPr>
                <w:sz w:val="20"/>
                <w:szCs w:val="20"/>
              </w:rPr>
            </w:pPr>
            <w:r w:rsidRPr="001F224B">
              <w:rPr>
                <w:sz w:val="20"/>
                <w:szCs w:val="20"/>
              </w:rPr>
              <w:t>367.760</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31A5B4BA" w14:textId="52DC114B" w:rsidR="00CD7D12" w:rsidRPr="001F224B" w:rsidRDefault="00CD7D12" w:rsidP="00CD7D12">
            <w:pPr>
              <w:jc w:val="right"/>
              <w:rPr>
                <w:sz w:val="20"/>
                <w:szCs w:val="20"/>
              </w:rPr>
            </w:pPr>
            <w:r w:rsidRPr="001F224B">
              <w:rPr>
                <w:sz w:val="20"/>
                <w:szCs w:val="20"/>
              </w:rPr>
              <w:t>634.252</w:t>
            </w:r>
          </w:p>
        </w:tc>
      </w:tr>
      <w:tr w:rsidR="00CD7D12" w:rsidRPr="001F224B" w14:paraId="7A10F8EB" w14:textId="77777777" w:rsidTr="00A40A56">
        <w:trPr>
          <w:trHeight w:val="20"/>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1DF23E22" w14:textId="77777777" w:rsidR="00CD7D12" w:rsidRPr="001F224B" w:rsidRDefault="00CD7D12" w:rsidP="00CD7D12">
            <w:pPr>
              <w:ind w:left="497"/>
              <w:rPr>
                <w:sz w:val="20"/>
                <w:szCs w:val="20"/>
              </w:rPr>
            </w:pPr>
            <w:r w:rsidRPr="001F224B">
              <w:rPr>
                <w:bCs/>
                <w:sz w:val="20"/>
                <w:szCs w:val="20"/>
              </w:rPr>
              <w:t>İtfa Edilmiş Maliyeti Üzerinden Değerlenen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35729903" w14:textId="2D6CD989" w:rsidR="00CD7D12" w:rsidRPr="001F224B" w:rsidRDefault="00CD7D12" w:rsidP="00CD7D12">
            <w:pPr>
              <w:jc w:val="right"/>
              <w:rPr>
                <w:sz w:val="20"/>
                <w:szCs w:val="20"/>
              </w:rPr>
            </w:pPr>
            <w:r w:rsidRPr="001F224B">
              <w:rPr>
                <w:sz w:val="20"/>
                <w:szCs w:val="20"/>
              </w:rPr>
              <w:t>1.685.519</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0864D040" w14:textId="56FCDFDD" w:rsidR="00CD7D12" w:rsidRPr="001F224B" w:rsidRDefault="00CD7D12" w:rsidP="00CD7D12">
            <w:pPr>
              <w:jc w:val="right"/>
              <w:rPr>
                <w:sz w:val="20"/>
                <w:szCs w:val="20"/>
              </w:rPr>
            </w:pPr>
            <w:r w:rsidRPr="001F224B">
              <w:rPr>
                <w:sz w:val="20"/>
                <w:szCs w:val="20"/>
              </w:rPr>
              <w:t>10.043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3D3D49E8" w14:textId="77777777" w:rsidR="00CD7D12" w:rsidRPr="001F224B" w:rsidRDefault="00CD7D12" w:rsidP="00CD7D12">
            <w:pPr>
              <w:jc w:val="right"/>
              <w:rPr>
                <w:sz w:val="20"/>
                <w:szCs w:val="20"/>
              </w:rPr>
            </w:pPr>
          </w:p>
          <w:p w14:paraId="757F088B" w14:textId="73491196" w:rsidR="00CD7D12" w:rsidRPr="001F224B" w:rsidRDefault="00CD7D12" w:rsidP="00CD7D12">
            <w:pPr>
              <w:jc w:val="right"/>
              <w:rPr>
                <w:sz w:val="20"/>
                <w:szCs w:val="20"/>
              </w:rPr>
            </w:pPr>
            <w:r w:rsidRPr="001F224B">
              <w:rPr>
                <w:sz w:val="20"/>
                <w:szCs w:val="20"/>
              </w:rPr>
              <w:t>1.760.540</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2577A566" w14:textId="5BF338CC" w:rsidR="00CD7D12" w:rsidRPr="001F224B" w:rsidRDefault="00CD7D12" w:rsidP="00CD7D12">
            <w:pPr>
              <w:jc w:val="right"/>
              <w:rPr>
                <w:sz w:val="20"/>
                <w:szCs w:val="20"/>
              </w:rPr>
            </w:pPr>
            <w:r w:rsidRPr="001F224B">
              <w:rPr>
                <w:sz w:val="20"/>
                <w:szCs w:val="20"/>
              </w:rPr>
              <w:t>140.417</w:t>
            </w:r>
          </w:p>
        </w:tc>
      </w:tr>
      <w:tr w:rsidR="00CD7D12" w:rsidRPr="001F224B" w14:paraId="4500D0F2" w14:textId="77777777" w:rsidTr="004B71F2">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782A386B" w14:textId="77777777" w:rsidR="00CD7D12" w:rsidRPr="001F224B" w:rsidRDefault="00CD7D12" w:rsidP="00CD7D12">
            <w:pPr>
              <w:jc w:val="both"/>
              <w:rPr>
                <w:b/>
                <w:sz w:val="20"/>
                <w:szCs w:val="20"/>
              </w:rPr>
            </w:pPr>
            <w:r w:rsidRPr="001F224B">
              <w:rPr>
                <w:b/>
                <w:sz w:val="20"/>
                <w:szCs w:val="20"/>
              </w:rPr>
              <w:t>Toplam</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C35431" w14:textId="2B109451" w:rsidR="00CD7D12" w:rsidRPr="001F224B" w:rsidRDefault="00CD7D12" w:rsidP="00CD7D12">
            <w:pPr>
              <w:jc w:val="right"/>
              <w:rPr>
                <w:b/>
                <w:sz w:val="20"/>
                <w:szCs w:val="20"/>
              </w:rPr>
            </w:pPr>
            <w:r w:rsidRPr="001F224B">
              <w:rPr>
                <w:b/>
                <w:bCs/>
                <w:sz w:val="20"/>
                <w:szCs w:val="20"/>
              </w:rPr>
              <w:t>2.600.941</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0E817DE6" w14:textId="1FFBB6A8" w:rsidR="00CD7D12" w:rsidRPr="001F224B" w:rsidRDefault="00CD7D12" w:rsidP="00CD7D12">
            <w:pPr>
              <w:jc w:val="right"/>
              <w:rPr>
                <w:b/>
                <w:sz w:val="20"/>
                <w:szCs w:val="20"/>
              </w:rPr>
            </w:pPr>
            <w:r w:rsidRPr="001F224B">
              <w:rPr>
                <w:b/>
                <w:bCs/>
                <w:sz w:val="20"/>
                <w:szCs w:val="20"/>
              </w:rPr>
              <w:t>662.889</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8C78679" w14:textId="788697A9" w:rsidR="00CD7D12" w:rsidRPr="001F224B" w:rsidRDefault="00CD7D12" w:rsidP="00CD7D12">
            <w:pPr>
              <w:jc w:val="right"/>
              <w:rPr>
                <w:b/>
                <w:sz w:val="20"/>
                <w:szCs w:val="20"/>
              </w:rPr>
            </w:pPr>
            <w:r w:rsidRPr="001F224B">
              <w:rPr>
                <w:b/>
                <w:sz w:val="20"/>
                <w:szCs w:val="20"/>
              </w:rPr>
              <w:t>2.128.300</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397E7FFD" w14:textId="4CA40221" w:rsidR="00CD7D12" w:rsidRPr="001F224B" w:rsidRDefault="00CD7D12" w:rsidP="00CD7D12">
            <w:pPr>
              <w:jc w:val="right"/>
              <w:rPr>
                <w:b/>
                <w:sz w:val="20"/>
                <w:szCs w:val="20"/>
              </w:rPr>
            </w:pPr>
            <w:r w:rsidRPr="001F224B">
              <w:rPr>
                <w:b/>
                <w:sz w:val="20"/>
                <w:szCs w:val="20"/>
              </w:rPr>
              <w:t>774.669</w:t>
            </w:r>
          </w:p>
        </w:tc>
      </w:tr>
    </w:tbl>
    <w:p w14:paraId="4B5CAB0E" w14:textId="77777777" w:rsidR="009800CE" w:rsidRPr="001F224B" w:rsidRDefault="009800CE" w:rsidP="005514FC">
      <w:pPr>
        <w:tabs>
          <w:tab w:val="left" w:pos="567"/>
        </w:tabs>
        <w:spacing w:before="120" w:after="120"/>
        <w:jc w:val="both"/>
        <w:rPr>
          <w:b/>
          <w:bCs/>
          <w:sz w:val="22"/>
          <w:szCs w:val="22"/>
        </w:rPr>
      </w:pPr>
      <w:bookmarkStart w:id="37" w:name="_Toc21420826"/>
      <w:r w:rsidRPr="001F224B">
        <w:rPr>
          <w:b/>
          <w:bCs/>
          <w:sz w:val="22"/>
          <w:szCs w:val="22"/>
        </w:rPr>
        <w:t>1.ç)</w:t>
      </w:r>
      <w:r w:rsidRPr="001F224B">
        <w:rPr>
          <w:b/>
          <w:bCs/>
          <w:sz w:val="22"/>
          <w:szCs w:val="22"/>
        </w:rPr>
        <w:tab/>
        <w:t>İştirak ve bağlı ortaklıklardan alınan faiz gelirlerine ilişkin bilgiler:</w:t>
      </w:r>
    </w:p>
    <w:p w14:paraId="3D1B1B71" w14:textId="77777777" w:rsidR="009800CE" w:rsidRPr="001F224B" w:rsidRDefault="009800CE">
      <w:pPr>
        <w:pStyle w:val="BodyText"/>
        <w:tabs>
          <w:tab w:val="clear" w:pos="0"/>
          <w:tab w:val="clear" w:pos="567"/>
          <w:tab w:val="clear" w:pos="720"/>
        </w:tabs>
        <w:ind w:left="567"/>
        <w:rPr>
          <w:bCs/>
          <w:sz w:val="22"/>
          <w:szCs w:val="22"/>
        </w:rPr>
      </w:pPr>
      <w:r w:rsidRPr="001F224B">
        <w:rPr>
          <w:bCs/>
          <w:sz w:val="22"/>
          <w:szCs w:val="22"/>
        </w:rPr>
        <w:t>Bulunmamaktadır.</w:t>
      </w:r>
    </w:p>
    <w:p w14:paraId="53F89258" w14:textId="77777777" w:rsidR="00546D21" w:rsidRPr="001F224B" w:rsidRDefault="00546D21" w:rsidP="005514FC">
      <w:pPr>
        <w:tabs>
          <w:tab w:val="left" w:pos="567"/>
        </w:tabs>
        <w:spacing w:before="120" w:after="120"/>
        <w:jc w:val="both"/>
        <w:rPr>
          <w:b/>
          <w:bCs/>
          <w:sz w:val="22"/>
          <w:szCs w:val="22"/>
        </w:rPr>
      </w:pPr>
      <w:r w:rsidRPr="001F224B">
        <w:rPr>
          <w:b/>
          <w:bCs/>
          <w:sz w:val="22"/>
          <w:szCs w:val="22"/>
        </w:rPr>
        <w:t>1.d)</w:t>
      </w:r>
      <w:r w:rsidRPr="001F224B">
        <w:rPr>
          <w:b/>
          <w:bCs/>
          <w:sz w:val="22"/>
          <w:szCs w:val="22"/>
        </w:rPr>
        <w:tab/>
        <w:t>Para piyas</w:t>
      </w:r>
      <w:r w:rsidR="009D3664" w:rsidRPr="001F224B">
        <w:rPr>
          <w:b/>
          <w:bCs/>
          <w:sz w:val="22"/>
          <w:szCs w:val="22"/>
        </w:rPr>
        <w:t>ası işlemlerinden alınan faiz</w:t>
      </w:r>
      <w:r w:rsidRPr="001F224B">
        <w:rPr>
          <w:b/>
          <w:bCs/>
          <w:sz w:val="22"/>
          <w:szCs w:val="22"/>
        </w:rPr>
        <w:t>lere ilişkin bilgiler:</w:t>
      </w:r>
    </w:p>
    <w:tbl>
      <w:tblPr>
        <w:tblW w:w="9853" w:type="dxa"/>
        <w:tblInd w:w="-5" w:type="dxa"/>
        <w:tblCellMar>
          <w:left w:w="70" w:type="dxa"/>
          <w:right w:w="70" w:type="dxa"/>
        </w:tblCellMar>
        <w:tblLook w:val="0000" w:firstRow="0" w:lastRow="0" w:firstColumn="0" w:lastColumn="0" w:noHBand="0" w:noVBand="0"/>
      </w:tblPr>
      <w:tblGrid>
        <w:gridCol w:w="4732"/>
        <w:gridCol w:w="1435"/>
        <w:gridCol w:w="1259"/>
        <w:gridCol w:w="1247"/>
        <w:gridCol w:w="1180"/>
      </w:tblGrid>
      <w:tr w:rsidR="00C5334A" w:rsidRPr="001F224B" w14:paraId="1E688E84" w14:textId="77777777" w:rsidTr="0033482E">
        <w:trPr>
          <w:trHeight w:val="20"/>
        </w:trPr>
        <w:tc>
          <w:tcPr>
            <w:tcW w:w="4732" w:type="dxa"/>
            <w:vMerge w:val="restart"/>
            <w:tcBorders>
              <w:top w:val="single" w:sz="4" w:space="0" w:color="auto"/>
              <w:left w:val="single" w:sz="4" w:space="0" w:color="auto"/>
              <w:bottom w:val="single" w:sz="4" w:space="0" w:color="auto"/>
              <w:right w:val="single" w:sz="4" w:space="0" w:color="auto"/>
            </w:tcBorders>
            <w:shd w:val="clear" w:color="auto" w:fill="FFFFFF"/>
          </w:tcPr>
          <w:p w14:paraId="02132113" w14:textId="77777777" w:rsidR="00C5334A" w:rsidRPr="001F224B" w:rsidRDefault="00C5334A" w:rsidP="00C5334A">
            <w:pPr>
              <w:jc w:val="both"/>
              <w:rPr>
                <w:b/>
                <w:bCs/>
                <w:sz w:val="22"/>
                <w:szCs w:val="22"/>
              </w:rPr>
            </w:pPr>
            <w:r w:rsidRPr="001F224B">
              <w:rPr>
                <w:b/>
                <w:bCs/>
                <w:sz w:val="22"/>
                <w:szCs w:val="22"/>
              </w:rPr>
              <w:t> </w:t>
            </w:r>
          </w:p>
        </w:tc>
        <w:tc>
          <w:tcPr>
            <w:tcW w:w="2694" w:type="dxa"/>
            <w:gridSpan w:val="2"/>
            <w:tcBorders>
              <w:top w:val="single" w:sz="4" w:space="0" w:color="auto"/>
              <w:left w:val="nil"/>
              <w:bottom w:val="single" w:sz="4" w:space="0" w:color="auto"/>
              <w:right w:val="single" w:sz="4" w:space="0" w:color="auto"/>
            </w:tcBorders>
            <w:shd w:val="clear" w:color="000000" w:fill="FFFFFF"/>
            <w:vAlign w:val="bottom"/>
          </w:tcPr>
          <w:p w14:paraId="48A19983" w14:textId="77777777" w:rsidR="00C5334A" w:rsidRPr="001F224B" w:rsidRDefault="00C5334A" w:rsidP="00C5334A">
            <w:pPr>
              <w:jc w:val="center"/>
              <w:rPr>
                <w:b/>
                <w:bCs/>
                <w:sz w:val="20"/>
                <w:szCs w:val="20"/>
              </w:rPr>
            </w:pPr>
            <w:r w:rsidRPr="001F224B">
              <w:rPr>
                <w:b/>
                <w:bCs/>
                <w:sz w:val="20"/>
                <w:szCs w:val="20"/>
              </w:rPr>
              <w:t>Cari Dönem</w:t>
            </w:r>
          </w:p>
          <w:p w14:paraId="1D8F240E" w14:textId="6780F5A5" w:rsidR="00C5334A" w:rsidRPr="001F224B" w:rsidRDefault="00C5334A" w:rsidP="00C5334A">
            <w:pPr>
              <w:jc w:val="center"/>
              <w:rPr>
                <w:b/>
                <w:bCs/>
                <w:sz w:val="20"/>
                <w:szCs w:val="20"/>
              </w:rPr>
            </w:pPr>
            <w:r w:rsidRPr="001F224B">
              <w:rPr>
                <w:b/>
                <w:bCs/>
                <w:sz w:val="20"/>
                <w:szCs w:val="20"/>
              </w:rPr>
              <w:t>(3</w:t>
            </w:r>
            <w:r w:rsidR="00EE516B" w:rsidRPr="001F224B">
              <w:rPr>
                <w:b/>
                <w:bCs/>
                <w:sz w:val="20"/>
                <w:szCs w:val="20"/>
              </w:rPr>
              <w:t>0</w:t>
            </w:r>
            <w:r w:rsidRPr="001F224B">
              <w:rPr>
                <w:b/>
                <w:bCs/>
                <w:sz w:val="20"/>
                <w:szCs w:val="20"/>
              </w:rPr>
              <w:t>.</w:t>
            </w:r>
            <w:r w:rsidR="00DD14FB" w:rsidRPr="001F224B">
              <w:rPr>
                <w:b/>
                <w:bCs/>
                <w:sz w:val="20"/>
                <w:szCs w:val="20"/>
              </w:rPr>
              <w:t>0</w:t>
            </w:r>
            <w:r w:rsidR="00EE516B" w:rsidRPr="001F224B">
              <w:rPr>
                <w:b/>
                <w:bCs/>
                <w:sz w:val="20"/>
                <w:szCs w:val="20"/>
              </w:rPr>
              <w:t>6</w:t>
            </w:r>
            <w:r w:rsidRPr="001F224B">
              <w:rPr>
                <w:b/>
                <w:bCs/>
                <w:sz w:val="20"/>
                <w:szCs w:val="20"/>
              </w:rPr>
              <w:t>.202</w:t>
            </w:r>
            <w:r w:rsidR="00DD14FB" w:rsidRPr="001F224B">
              <w:rPr>
                <w:b/>
                <w:bCs/>
                <w:sz w:val="20"/>
                <w:szCs w:val="20"/>
              </w:rPr>
              <w:t>5</w:t>
            </w:r>
            <w:r w:rsidRPr="001F224B">
              <w:rPr>
                <w:b/>
                <w:bCs/>
                <w:sz w:val="20"/>
                <w:szCs w:val="20"/>
              </w:rPr>
              <w:t>)</w:t>
            </w:r>
          </w:p>
        </w:tc>
        <w:tc>
          <w:tcPr>
            <w:tcW w:w="2427" w:type="dxa"/>
            <w:gridSpan w:val="2"/>
            <w:tcBorders>
              <w:top w:val="single" w:sz="4" w:space="0" w:color="auto"/>
              <w:left w:val="nil"/>
              <w:bottom w:val="single" w:sz="4" w:space="0" w:color="auto"/>
              <w:right w:val="single" w:sz="4" w:space="0" w:color="000000"/>
            </w:tcBorders>
            <w:shd w:val="clear" w:color="000000" w:fill="FFFFFF"/>
            <w:vAlign w:val="bottom"/>
          </w:tcPr>
          <w:p w14:paraId="6AEBC9F4" w14:textId="77777777" w:rsidR="00C5334A" w:rsidRPr="001F224B" w:rsidRDefault="00C5334A" w:rsidP="00C5334A">
            <w:pPr>
              <w:jc w:val="center"/>
              <w:rPr>
                <w:b/>
                <w:bCs/>
                <w:sz w:val="20"/>
                <w:szCs w:val="20"/>
              </w:rPr>
            </w:pPr>
            <w:r w:rsidRPr="001F224B">
              <w:rPr>
                <w:b/>
                <w:bCs/>
                <w:sz w:val="20"/>
                <w:szCs w:val="20"/>
              </w:rPr>
              <w:t>Önceki Dönem</w:t>
            </w:r>
          </w:p>
          <w:p w14:paraId="60E7244D" w14:textId="666DA1FA" w:rsidR="00C5334A" w:rsidRPr="001F224B" w:rsidRDefault="00C5334A" w:rsidP="00C5334A">
            <w:pPr>
              <w:jc w:val="center"/>
              <w:rPr>
                <w:b/>
                <w:bCs/>
                <w:sz w:val="20"/>
                <w:szCs w:val="20"/>
              </w:rPr>
            </w:pPr>
            <w:r w:rsidRPr="001F224B">
              <w:rPr>
                <w:b/>
                <w:bCs/>
                <w:sz w:val="20"/>
                <w:szCs w:val="20"/>
              </w:rPr>
              <w:t>(3</w:t>
            </w:r>
            <w:r w:rsidR="00EE516B" w:rsidRPr="001F224B">
              <w:rPr>
                <w:b/>
                <w:bCs/>
                <w:sz w:val="20"/>
                <w:szCs w:val="20"/>
              </w:rPr>
              <w:t>0</w:t>
            </w:r>
            <w:r w:rsidRPr="001F224B">
              <w:rPr>
                <w:b/>
                <w:bCs/>
                <w:sz w:val="20"/>
                <w:szCs w:val="20"/>
              </w:rPr>
              <w:t>.</w:t>
            </w:r>
            <w:r w:rsidR="00DD14FB" w:rsidRPr="001F224B">
              <w:rPr>
                <w:b/>
                <w:bCs/>
                <w:sz w:val="20"/>
                <w:szCs w:val="20"/>
              </w:rPr>
              <w:t>0</w:t>
            </w:r>
            <w:r w:rsidR="00EE516B" w:rsidRPr="001F224B">
              <w:rPr>
                <w:b/>
                <w:bCs/>
                <w:sz w:val="20"/>
                <w:szCs w:val="20"/>
              </w:rPr>
              <w:t>6</w:t>
            </w:r>
            <w:r w:rsidRPr="001F224B">
              <w:rPr>
                <w:b/>
                <w:bCs/>
                <w:sz w:val="20"/>
                <w:szCs w:val="20"/>
              </w:rPr>
              <w:t>.202</w:t>
            </w:r>
            <w:r w:rsidR="00DD14FB" w:rsidRPr="001F224B">
              <w:rPr>
                <w:b/>
                <w:bCs/>
                <w:sz w:val="20"/>
                <w:szCs w:val="20"/>
              </w:rPr>
              <w:t>4</w:t>
            </w:r>
            <w:r w:rsidRPr="001F224B">
              <w:rPr>
                <w:b/>
                <w:bCs/>
                <w:sz w:val="20"/>
                <w:szCs w:val="20"/>
              </w:rPr>
              <w:t>)</w:t>
            </w:r>
          </w:p>
        </w:tc>
      </w:tr>
      <w:tr w:rsidR="00546D21" w:rsidRPr="001F224B" w14:paraId="3204EA1A" w14:textId="77777777" w:rsidTr="0033482E">
        <w:trPr>
          <w:trHeight w:val="20"/>
        </w:trPr>
        <w:tc>
          <w:tcPr>
            <w:tcW w:w="4732" w:type="dxa"/>
            <w:vMerge/>
            <w:tcBorders>
              <w:top w:val="single" w:sz="4" w:space="0" w:color="auto"/>
              <w:left w:val="single" w:sz="4" w:space="0" w:color="auto"/>
              <w:bottom w:val="single" w:sz="4" w:space="0" w:color="auto"/>
              <w:right w:val="single" w:sz="4" w:space="0" w:color="auto"/>
            </w:tcBorders>
            <w:vAlign w:val="center"/>
          </w:tcPr>
          <w:p w14:paraId="2C30310D" w14:textId="77777777" w:rsidR="00546D21" w:rsidRPr="001F224B" w:rsidRDefault="00546D21" w:rsidP="001B56B8">
            <w:pPr>
              <w:jc w:val="both"/>
              <w:rPr>
                <w:b/>
                <w:bCs/>
                <w:sz w:val="22"/>
                <w:szCs w:val="22"/>
              </w:rPr>
            </w:pPr>
          </w:p>
        </w:tc>
        <w:tc>
          <w:tcPr>
            <w:tcW w:w="1435" w:type="dxa"/>
            <w:tcBorders>
              <w:top w:val="nil"/>
              <w:left w:val="nil"/>
              <w:bottom w:val="single" w:sz="4" w:space="0" w:color="auto"/>
              <w:right w:val="single" w:sz="4" w:space="0" w:color="auto"/>
            </w:tcBorders>
            <w:shd w:val="clear" w:color="auto" w:fill="FFFFFF"/>
            <w:vAlign w:val="bottom"/>
          </w:tcPr>
          <w:p w14:paraId="4FD6840E" w14:textId="77777777" w:rsidR="00546D21" w:rsidRPr="001F224B" w:rsidRDefault="00546D21" w:rsidP="00291E0A">
            <w:pPr>
              <w:jc w:val="center"/>
              <w:rPr>
                <w:b/>
                <w:bCs/>
                <w:sz w:val="22"/>
                <w:szCs w:val="22"/>
              </w:rPr>
            </w:pPr>
            <w:r w:rsidRPr="001F224B">
              <w:rPr>
                <w:b/>
                <w:bCs/>
                <w:sz w:val="22"/>
                <w:szCs w:val="22"/>
              </w:rPr>
              <w:t>TP</w:t>
            </w:r>
          </w:p>
        </w:tc>
        <w:tc>
          <w:tcPr>
            <w:tcW w:w="1259" w:type="dxa"/>
            <w:tcBorders>
              <w:top w:val="nil"/>
              <w:left w:val="nil"/>
              <w:bottom w:val="single" w:sz="4" w:space="0" w:color="auto"/>
              <w:right w:val="single" w:sz="4" w:space="0" w:color="auto"/>
            </w:tcBorders>
            <w:shd w:val="clear" w:color="auto" w:fill="FFFFFF"/>
            <w:vAlign w:val="bottom"/>
          </w:tcPr>
          <w:p w14:paraId="73950019" w14:textId="77777777" w:rsidR="00546D21" w:rsidRPr="001F224B" w:rsidRDefault="00546D21" w:rsidP="00291E0A">
            <w:pPr>
              <w:jc w:val="center"/>
              <w:rPr>
                <w:b/>
                <w:bCs/>
                <w:sz w:val="22"/>
                <w:szCs w:val="22"/>
              </w:rPr>
            </w:pPr>
            <w:r w:rsidRPr="001F224B">
              <w:rPr>
                <w:b/>
                <w:bCs/>
                <w:sz w:val="22"/>
                <w:szCs w:val="22"/>
              </w:rPr>
              <w:t>YP</w:t>
            </w:r>
          </w:p>
        </w:tc>
        <w:tc>
          <w:tcPr>
            <w:tcW w:w="1247" w:type="dxa"/>
            <w:tcBorders>
              <w:top w:val="nil"/>
              <w:left w:val="nil"/>
              <w:bottom w:val="single" w:sz="4" w:space="0" w:color="auto"/>
              <w:right w:val="single" w:sz="4" w:space="0" w:color="auto"/>
            </w:tcBorders>
            <w:shd w:val="clear" w:color="auto" w:fill="FFFFFF"/>
            <w:vAlign w:val="bottom"/>
          </w:tcPr>
          <w:p w14:paraId="3631B851" w14:textId="77777777" w:rsidR="00546D21" w:rsidRPr="001F224B" w:rsidRDefault="00546D21" w:rsidP="00291E0A">
            <w:pPr>
              <w:jc w:val="center"/>
              <w:rPr>
                <w:b/>
                <w:bCs/>
                <w:sz w:val="22"/>
                <w:szCs w:val="22"/>
              </w:rPr>
            </w:pPr>
            <w:r w:rsidRPr="001F224B">
              <w:rPr>
                <w:b/>
                <w:bCs/>
                <w:sz w:val="22"/>
                <w:szCs w:val="22"/>
              </w:rPr>
              <w:t>TP</w:t>
            </w:r>
          </w:p>
        </w:tc>
        <w:tc>
          <w:tcPr>
            <w:tcW w:w="1180" w:type="dxa"/>
            <w:tcBorders>
              <w:top w:val="nil"/>
              <w:left w:val="nil"/>
              <w:bottom w:val="single" w:sz="4" w:space="0" w:color="auto"/>
              <w:right w:val="single" w:sz="4" w:space="0" w:color="auto"/>
            </w:tcBorders>
            <w:shd w:val="clear" w:color="auto" w:fill="FFFFFF"/>
            <w:vAlign w:val="bottom"/>
          </w:tcPr>
          <w:p w14:paraId="2C78D15F" w14:textId="77777777" w:rsidR="00546D21" w:rsidRPr="001F224B" w:rsidRDefault="00546D21" w:rsidP="00291E0A">
            <w:pPr>
              <w:jc w:val="center"/>
              <w:rPr>
                <w:b/>
                <w:bCs/>
                <w:sz w:val="22"/>
                <w:szCs w:val="22"/>
              </w:rPr>
            </w:pPr>
            <w:r w:rsidRPr="001F224B">
              <w:rPr>
                <w:b/>
                <w:bCs/>
                <w:sz w:val="22"/>
                <w:szCs w:val="22"/>
              </w:rPr>
              <w:t>YP</w:t>
            </w:r>
          </w:p>
        </w:tc>
      </w:tr>
      <w:tr w:rsidR="00AC77C6" w:rsidRPr="001F224B" w14:paraId="788FD140" w14:textId="77777777" w:rsidTr="0033482E">
        <w:trPr>
          <w:trHeight w:val="20"/>
        </w:trPr>
        <w:tc>
          <w:tcPr>
            <w:tcW w:w="4732" w:type="dxa"/>
            <w:tcBorders>
              <w:top w:val="nil"/>
              <w:left w:val="single" w:sz="4" w:space="0" w:color="auto"/>
              <w:bottom w:val="single" w:sz="4" w:space="0" w:color="auto"/>
              <w:right w:val="single" w:sz="4" w:space="0" w:color="auto"/>
            </w:tcBorders>
            <w:shd w:val="clear" w:color="auto" w:fill="FFFFFF"/>
            <w:noWrap/>
            <w:vAlign w:val="bottom"/>
          </w:tcPr>
          <w:p w14:paraId="0195B0F4" w14:textId="71CCC0A7" w:rsidR="00AC77C6" w:rsidRPr="001F224B" w:rsidRDefault="00AC77C6" w:rsidP="00AC77C6">
            <w:pPr>
              <w:jc w:val="both"/>
              <w:rPr>
                <w:bCs/>
                <w:sz w:val="20"/>
                <w:szCs w:val="20"/>
              </w:rPr>
            </w:pPr>
            <w:r w:rsidRPr="001F224B">
              <w:rPr>
                <w:bCs/>
                <w:sz w:val="20"/>
                <w:szCs w:val="20"/>
              </w:rPr>
              <w:t>Para Piyasası İşlemlerinden Alınan Faizler</w:t>
            </w:r>
          </w:p>
        </w:tc>
        <w:tc>
          <w:tcPr>
            <w:tcW w:w="1435" w:type="dxa"/>
            <w:tcBorders>
              <w:top w:val="single" w:sz="4" w:space="0" w:color="auto"/>
              <w:left w:val="nil"/>
              <w:bottom w:val="single" w:sz="4" w:space="0" w:color="auto"/>
              <w:right w:val="single" w:sz="4" w:space="0" w:color="auto"/>
            </w:tcBorders>
            <w:shd w:val="clear" w:color="auto" w:fill="FFFFFF"/>
            <w:vAlign w:val="bottom"/>
          </w:tcPr>
          <w:p w14:paraId="66B23B62" w14:textId="542BB432" w:rsidR="00AC77C6" w:rsidRPr="001F224B" w:rsidRDefault="00AC77C6" w:rsidP="00AC77C6">
            <w:pPr>
              <w:jc w:val="right"/>
              <w:rPr>
                <w:bCs/>
                <w:sz w:val="20"/>
                <w:szCs w:val="20"/>
              </w:rPr>
            </w:pPr>
            <w:r w:rsidRPr="001F224B">
              <w:rPr>
                <w:bCs/>
                <w:sz w:val="20"/>
                <w:szCs w:val="20"/>
              </w:rPr>
              <w:t>4.101.547</w:t>
            </w:r>
          </w:p>
        </w:tc>
        <w:tc>
          <w:tcPr>
            <w:tcW w:w="1259" w:type="dxa"/>
            <w:tcBorders>
              <w:top w:val="single" w:sz="4" w:space="0" w:color="auto"/>
              <w:left w:val="nil"/>
              <w:bottom w:val="single" w:sz="4" w:space="0" w:color="auto"/>
              <w:right w:val="single" w:sz="4" w:space="0" w:color="auto"/>
            </w:tcBorders>
            <w:shd w:val="clear" w:color="auto" w:fill="FFFFFF"/>
            <w:vAlign w:val="bottom"/>
          </w:tcPr>
          <w:p w14:paraId="5E9D0806" w14:textId="38DCF388" w:rsidR="00AC77C6" w:rsidRPr="001F224B" w:rsidRDefault="00AC77C6" w:rsidP="00AC77C6">
            <w:pPr>
              <w:jc w:val="right"/>
              <w:rPr>
                <w:bCs/>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949C949" w14:textId="087E43DB" w:rsidR="00AC77C6" w:rsidRPr="001F224B" w:rsidRDefault="00AC77C6" w:rsidP="00AC77C6">
            <w:pPr>
              <w:jc w:val="right"/>
              <w:rPr>
                <w:bCs/>
                <w:sz w:val="20"/>
                <w:szCs w:val="20"/>
              </w:rPr>
            </w:pPr>
            <w:r w:rsidRPr="001F224B">
              <w:rPr>
                <w:bCs/>
                <w:sz w:val="20"/>
                <w:szCs w:val="20"/>
              </w:rPr>
              <w:t>2.315.329</w:t>
            </w:r>
          </w:p>
        </w:tc>
        <w:tc>
          <w:tcPr>
            <w:tcW w:w="1180" w:type="dxa"/>
            <w:tcBorders>
              <w:top w:val="single" w:sz="4" w:space="0" w:color="auto"/>
              <w:left w:val="nil"/>
              <w:bottom w:val="single" w:sz="4" w:space="0" w:color="auto"/>
              <w:right w:val="single" w:sz="4" w:space="0" w:color="auto"/>
            </w:tcBorders>
            <w:shd w:val="clear" w:color="auto" w:fill="FFFFFF"/>
            <w:vAlign w:val="bottom"/>
          </w:tcPr>
          <w:p w14:paraId="2EBBE012" w14:textId="1DCC417A" w:rsidR="00AC77C6" w:rsidRPr="001F224B" w:rsidRDefault="00AC77C6" w:rsidP="00AC77C6">
            <w:pPr>
              <w:jc w:val="right"/>
              <w:rPr>
                <w:bCs/>
                <w:sz w:val="20"/>
                <w:szCs w:val="20"/>
              </w:rPr>
            </w:pPr>
            <w:r w:rsidRPr="001F224B">
              <w:rPr>
                <w:bCs/>
                <w:sz w:val="20"/>
                <w:szCs w:val="20"/>
              </w:rPr>
              <w:t>-</w:t>
            </w:r>
          </w:p>
        </w:tc>
      </w:tr>
      <w:tr w:rsidR="00AC77C6" w:rsidRPr="001F224B" w14:paraId="70FD35CD" w14:textId="77777777" w:rsidTr="0033482E">
        <w:trPr>
          <w:trHeight w:val="20"/>
        </w:trPr>
        <w:tc>
          <w:tcPr>
            <w:tcW w:w="473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05B85BA" w14:textId="307AEEF9" w:rsidR="00AC77C6" w:rsidRPr="001F224B" w:rsidRDefault="00AC77C6" w:rsidP="00AC77C6">
            <w:pPr>
              <w:jc w:val="both"/>
              <w:rPr>
                <w:bCs/>
                <w:sz w:val="20"/>
                <w:szCs w:val="20"/>
              </w:rPr>
            </w:pPr>
            <w:r w:rsidRPr="001F224B">
              <w:rPr>
                <w:bCs/>
                <w:sz w:val="20"/>
                <w:szCs w:val="20"/>
              </w:rPr>
              <w:t>Ters Repo İşlemlerinden Alınan Faizler</w:t>
            </w:r>
          </w:p>
        </w:tc>
        <w:tc>
          <w:tcPr>
            <w:tcW w:w="1435" w:type="dxa"/>
            <w:tcBorders>
              <w:top w:val="single" w:sz="4" w:space="0" w:color="auto"/>
              <w:left w:val="nil"/>
              <w:bottom w:val="single" w:sz="4" w:space="0" w:color="auto"/>
              <w:right w:val="single" w:sz="4" w:space="0" w:color="auto"/>
            </w:tcBorders>
            <w:shd w:val="clear" w:color="auto" w:fill="FFFFFF"/>
            <w:vAlign w:val="bottom"/>
          </w:tcPr>
          <w:p w14:paraId="1226059E" w14:textId="1C116B69" w:rsidR="00AC77C6" w:rsidRPr="001F224B" w:rsidRDefault="00AC77C6" w:rsidP="00AC77C6">
            <w:pPr>
              <w:jc w:val="right"/>
              <w:rPr>
                <w:bCs/>
                <w:sz w:val="20"/>
                <w:szCs w:val="20"/>
              </w:rPr>
            </w:pPr>
            <w:r w:rsidRPr="001F224B">
              <w:rPr>
                <w:bCs/>
                <w:sz w:val="20"/>
                <w:szCs w:val="20"/>
              </w:rPr>
              <w:t>16.959</w:t>
            </w:r>
          </w:p>
        </w:tc>
        <w:tc>
          <w:tcPr>
            <w:tcW w:w="1259" w:type="dxa"/>
            <w:tcBorders>
              <w:top w:val="single" w:sz="4" w:space="0" w:color="auto"/>
              <w:left w:val="nil"/>
              <w:bottom w:val="single" w:sz="4" w:space="0" w:color="auto"/>
              <w:right w:val="single" w:sz="4" w:space="0" w:color="auto"/>
            </w:tcBorders>
            <w:shd w:val="clear" w:color="auto" w:fill="FFFFFF"/>
            <w:vAlign w:val="bottom"/>
          </w:tcPr>
          <w:p w14:paraId="57B23818" w14:textId="5894A9A7" w:rsidR="00AC77C6" w:rsidRPr="001F224B" w:rsidRDefault="00AC77C6" w:rsidP="00AC77C6">
            <w:pPr>
              <w:jc w:val="right"/>
              <w:rPr>
                <w:bCs/>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B1EC54F" w14:textId="3FF0916F" w:rsidR="00AC77C6" w:rsidRPr="001F224B" w:rsidRDefault="00AC77C6" w:rsidP="00AC77C6">
            <w:pPr>
              <w:jc w:val="right"/>
              <w:rPr>
                <w:bCs/>
                <w:sz w:val="20"/>
                <w:szCs w:val="20"/>
              </w:rPr>
            </w:pPr>
            <w:r w:rsidRPr="001F224B">
              <w:rPr>
                <w:bCs/>
                <w:sz w:val="20"/>
                <w:szCs w:val="20"/>
              </w:rPr>
              <w:t>13.899</w:t>
            </w:r>
          </w:p>
        </w:tc>
        <w:tc>
          <w:tcPr>
            <w:tcW w:w="1180" w:type="dxa"/>
            <w:tcBorders>
              <w:top w:val="single" w:sz="4" w:space="0" w:color="auto"/>
              <w:left w:val="nil"/>
              <w:bottom w:val="single" w:sz="4" w:space="0" w:color="auto"/>
              <w:right w:val="single" w:sz="4" w:space="0" w:color="auto"/>
            </w:tcBorders>
            <w:shd w:val="clear" w:color="auto" w:fill="FFFFFF"/>
            <w:vAlign w:val="bottom"/>
          </w:tcPr>
          <w:p w14:paraId="16846AAD" w14:textId="5564A7CE" w:rsidR="00AC77C6" w:rsidRPr="001F224B" w:rsidRDefault="00AC77C6" w:rsidP="00AC77C6">
            <w:pPr>
              <w:jc w:val="right"/>
              <w:rPr>
                <w:bCs/>
                <w:sz w:val="20"/>
                <w:szCs w:val="20"/>
              </w:rPr>
            </w:pPr>
            <w:r w:rsidRPr="001F224B">
              <w:rPr>
                <w:bCs/>
                <w:sz w:val="20"/>
                <w:szCs w:val="20"/>
              </w:rPr>
              <w:t>-</w:t>
            </w:r>
          </w:p>
        </w:tc>
      </w:tr>
      <w:tr w:rsidR="00AC77C6" w:rsidRPr="001F224B" w14:paraId="67E2A93F" w14:textId="77777777" w:rsidTr="0033482E">
        <w:trPr>
          <w:trHeight w:val="20"/>
        </w:trPr>
        <w:tc>
          <w:tcPr>
            <w:tcW w:w="473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D05FA33" w14:textId="77777777" w:rsidR="00AC77C6" w:rsidRPr="001F224B" w:rsidRDefault="00AC77C6" w:rsidP="00AC77C6">
            <w:pPr>
              <w:jc w:val="both"/>
              <w:rPr>
                <w:bCs/>
                <w:sz w:val="20"/>
                <w:szCs w:val="20"/>
              </w:rPr>
            </w:pPr>
            <w:r w:rsidRPr="001F224B">
              <w:rPr>
                <w:b/>
                <w:sz w:val="20"/>
                <w:szCs w:val="20"/>
              </w:rPr>
              <w:t>Toplam</w:t>
            </w:r>
          </w:p>
        </w:tc>
        <w:tc>
          <w:tcPr>
            <w:tcW w:w="1435" w:type="dxa"/>
            <w:tcBorders>
              <w:top w:val="single" w:sz="4" w:space="0" w:color="auto"/>
              <w:left w:val="nil"/>
              <w:bottom w:val="single" w:sz="4" w:space="0" w:color="auto"/>
              <w:right w:val="single" w:sz="4" w:space="0" w:color="auto"/>
            </w:tcBorders>
            <w:shd w:val="clear" w:color="auto" w:fill="FFFFFF"/>
            <w:vAlign w:val="bottom"/>
          </w:tcPr>
          <w:p w14:paraId="295C52C4" w14:textId="6842D40F" w:rsidR="00AC77C6" w:rsidRPr="001F224B" w:rsidRDefault="00AC77C6" w:rsidP="00AC77C6">
            <w:pPr>
              <w:jc w:val="right"/>
              <w:rPr>
                <w:b/>
                <w:sz w:val="20"/>
                <w:szCs w:val="20"/>
              </w:rPr>
            </w:pPr>
            <w:r w:rsidRPr="001F224B">
              <w:rPr>
                <w:b/>
                <w:sz w:val="20"/>
                <w:szCs w:val="20"/>
              </w:rPr>
              <w:t>4.118.506</w:t>
            </w:r>
          </w:p>
        </w:tc>
        <w:tc>
          <w:tcPr>
            <w:tcW w:w="1259" w:type="dxa"/>
            <w:tcBorders>
              <w:top w:val="single" w:sz="4" w:space="0" w:color="auto"/>
              <w:left w:val="nil"/>
              <w:bottom w:val="single" w:sz="4" w:space="0" w:color="auto"/>
              <w:right w:val="single" w:sz="4" w:space="0" w:color="auto"/>
            </w:tcBorders>
            <w:shd w:val="clear" w:color="auto" w:fill="FFFFFF"/>
            <w:vAlign w:val="bottom"/>
          </w:tcPr>
          <w:p w14:paraId="55DFF3AE" w14:textId="3B36E69D" w:rsidR="00AC77C6" w:rsidRPr="001F224B" w:rsidRDefault="00AC77C6" w:rsidP="00AC77C6">
            <w:pPr>
              <w:jc w:val="right"/>
              <w:rPr>
                <w:b/>
                <w:sz w:val="20"/>
                <w:szCs w:val="20"/>
              </w:rPr>
            </w:pPr>
            <w:r w:rsidRPr="001F224B">
              <w:rPr>
                <w:b/>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B94492F" w14:textId="6D542260" w:rsidR="00AC77C6" w:rsidRPr="001F224B" w:rsidRDefault="00AC77C6" w:rsidP="00AC77C6">
            <w:pPr>
              <w:jc w:val="right"/>
              <w:rPr>
                <w:b/>
                <w:bCs/>
                <w:sz w:val="20"/>
                <w:szCs w:val="20"/>
              </w:rPr>
            </w:pPr>
            <w:r w:rsidRPr="001F224B">
              <w:rPr>
                <w:b/>
                <w:bCs/>
                <w:sz w:val="20"/>
                <w:szCs w:val="20"/>
              </w:rPr>
              <w:t>2.329.228</w:t>
            </w:r>
          </w:p>
        </w:tc>
        <w:tc>
          <w:tcPr>
            <w:tcW w:w="1180" w:type="dxa"/>
            <w:tcBorders>
              <w:top w:val="single" w:sz="4" w:space="0" w:color="auto"/>
              <w:left w:val="nil"/>
              <w:bottom w:val="single" w:sz="4" w:space="0" w:color="auto"/>
              <w:right w:val="single" w:sz="4" w:space="0" w:color="auto"/>
            </w:tcBorders>
            <w:shd w:val="clear" w:color="auto" w:fill="FFFFFF"/>
            <w:vAlign w:val="bottom"/>
          </w:tcPr>
          <w:p w14:paraId="52C843EC" w14:textId="5761B410" w:rsidR="00AC77C6" w:rsidRPr="001F224B" w:rsidRDefault="00AC77C6" w:rsidP="00AC77C6">
            <w:pPr>
              <w:jc w:val="right"/>
              <w:rPr>
                <w:b/>
                <w:bCs/>
                <w:sz w:val="20"/>
                <w:szCs w:val="20"/>
              </w:rPr>
            </w:pPr>
            <w:r w:rsidRPr="001F224B">
              <w:rPr>
                <w:b/>
                <w:bCs/>
                <w:sz w:val="20"/>
                <w:szCs w:val="20"/>
              </w:rPr>
              <w:t>-</w:t>
            </w:r>
          </w:p>
        </w:tc>
      </w:tr>
    </w:tbl>
    <w:p w14:paraId="7D83C108" w14:textId="77777777" w:rsidR="002B3B95" w:rsidRPr="001F224B" w:rsidRDefault="002B3B95" w:rsidP="00604594">
      <w:pPr>
        <w:spacing w:before="60"/>
        <w:jc w:val="both"/>
        <w:rPr>
          <w:bCs/>
          <w:i/>
          <w:sz w:val="18"/>
          <w:szCs w:val="18"/>
        </w:rPr>
      </w:pPr>
    </w:p>
    <w:p w14:paraId="4291465E" w14:textId="77777777" w:rsidR="009A548C" w:rsidRPr="001F224B" w:rsidRDefault="009A548C">
      <w:pPr>
        <w:rPr>
          <w:b/>
          <w:bCs/>
          <w:sz w:val="22"/>
          <w:szCs w:val="22"/>
        </w:rPr>
      </w:pPr>
      <w:r w:rsidRPr="001F224B">
        <w:rPr>
          <w:b/>
          <w:bCs/>
          <w:sz w:val="22"/>
          <w:szCs w:val="22"/>
        </w:rPr>
        <w:br w:type="page"/>
      </w:r>
    </w:p>
    <w:p w14:paraId="5A4564BB" w14:textId="77777777" w:rsidR="009A548C" w:rsidRPr="001F224B" w:rsidRDefault="009A548C" w:rsidP="009A548C">
      <w:pPr>
        <w:pStyle w:val="ListParagraph"/>
        <w:tabs>
          <w:tab w:val="left" w:pos="0"/>
        </w:tabs>
        <w:spacing w:before="120" w:after="120"/>
        <w:ind w:left="0"/>
        <w:rPr>
          <w:b/>
          <w:bCs/>
          <w:sz w:val="22"/>
          <w:szCs w:val="22"/>
        </w:rPr>
      </w:pPr>
      <w:r w:rsidRPr="001F224B">
        <w:rPr>
          <w:b/>
          <w:bCs/>
          <w:sz w:val="22"/>
          <w:szCs w:val="22"/>
        </w:rPr>
        <w:t>BEŞİNCİ BÖLÜM (Devamı)</w:t>
      </w:r>
    </w:p>
    <w:p w14:paraId="333638F2" w14:textId="77777777" w:rsidR="009A548C" w:rsidRPr="001F224B" w:rsidRDefault="0086771E" w:rsidP="009A548C">
      <w:pPr>
        <w:pStyle w:val="ListParagraph"/>
        <w:tabs>
          <w:tab w:val="left" w:pos="0"/>
        </w:tabs>
        <w:spacing w:after="120"/>
        <w:ind w:left="0"/>
        <w:rPr>
          <w:b/>
          <w:bCs/>
          <w:sz w:val="22"/>
          <w:szCs w:val="22"/>
        </w:rPr>
      </w:pPr>
      <w:r w:rsidRPr="001F224B">
        <w:rPr>
          <w:b/>
          <w:bCs/>
          <w:sz w:val="22"/>
          <w:szCs w:val="22"/>
        </w:rPr>
        <w:t xml:space="preserve">KONSOLİDE </w:t>
      </w:r>
      <w:r w:rsidR="009A548C" w:rsidRPr="001F224B">
        <w:rPr>
          <w:b/>
          <w:bCs/>
          <w:sz w:val="22"/>
          <w:szCs w:val="22"/>
        </w:rPr>
        <w:t>FİNANSAL TABLOLARA İLİŞKİN AÇIKLAMA VE DİPNOTLAR (Devamı)</w:t>
      </w:r>
    </w:p>
    <w:p w14:paraId="42335BAE" w14:textId="62B445B5" w:rsidR="00546D21" w:rsidRPr="001F224B" w:rsidRDefault="00855D5E" w:rsidP="00241E96">
      <w:pPr>
        <w:tabs>
          <w:tab w:val="left" w:pos="567"/>
        </w:tabs>
        <w:jc w:val="both"/>
        <w:rPr>
          <w:b/>
          <w:bCs/>
          <w:sz w:val="22"/>
          <w:szCs w:val="22"/>
        </w:rPr>
      </w:pPr>
      <w:r w:rsidRPr="001F224B">
        <w:rPr>
          <w:b/>
          <w:bCs/>
          <w:sz w:val="22"/>
          <w:szCs w:val="22"/>
        </w:rPr>
        <w:t>IV.</w:t>
      </w:r>
      <w:r w:rsidRPr="001F224B">
        <w:rPr>
          <w:b/>
          <w:bCs/>
          <w:sz w:val="22"/>
          <w:szCs w:val="22"/>
        </w:rPr>
        <w:tab/>
      </w:r>
      <w:r w:rsidR="0086771E" w:rsidRPr="001F224B">
        <w:rPr>
          <w:b/>
          <w:bCs/>
          <w:sz w:val="22"/>
          <w:szCs w:val="22"/>
        </w:rPr>
        <w:t>Konsolide k</w:t>
      </w:r>
      <w:r w:rsidRPr="001F224B">
        <w:rPr>
          <w:b/>
          <w:bCs/>
          <w:sz w:val="22"/>
          <w:szCs w:val="22"/>
        </w:rPr>
        <w:t xml:space="preserve">ar veya </w:t>
      </w:r>
      <w:r w:rsidR="0086771E" w:rsidRPr="001F224B">
        <w:rPr>
          <w:b/>
          <w:bCs/>
          <w:sz w:val="22"/>
          <w:szCs w:val="22"/>
        </w:rPr>
        <w:t>z</w:t>
      </w:r>
      <w:r w:rsidRPr="001F224B">
        <w:rPr>
          <w:b/>
          <w:bCs/>
          <w:sz w:val="22"/>
          <w:szCs w:val="22"/>
        </w:rPr>
        <w:t>arar</w:t>
      </w:r>
      <w:r w:rsidR="00546D21" w:rsidRPr="001F224B">
        <w:rPr>
          <w:b/>
          <w:bCs/>
          <w:sz w:val="22"/>
          <w:szCs w:val="22"/>
        </w:rPr>
        <w:t xml:space="preserve"> tablosuna </w:t>
      </w:r>
      <w:r w:rsidR="00333AA6" w:rsidRPr="001F224B">
        <w:rPr>
          <w:b/>
          <w:bCs/>
          <w:sz w:val="22"/>
          <w:szCs w:val="22"/>
        </w:rPr>
        <w:t>ilişkin açıklama ve dipnotlar (D</w:t>
      </w:r>
      <w:r w:rsidR="00546D21" w:rsidRPr="001F224B">
        <w:rPr>
          <w:b/>
          <w:bCs/>
          <w:sz w:val="22"/>
          <w:szCs w:val="22"/>
        </w:rPr>
        <w:t>evam</w:t>
      </w:r>
      <w:r w:rsidR="00AB43AC" w:rsidRPr="001F224B">
        <w:rPr>
          <w:b/>
          <w:bCs/>
          <w:sz w:val="22"/>
          <w:szCs w:val="22"/>
        </w:rPr>
        <w:t>ı</w:t>
      </w:r>
      <w:r w:rsidR="00546D21" w:rsidRPr="001F224B">
        <w:rPr>
          <w:b/>
          <w:bCs/>
          <w:sz w:val="22"/>
          <w:szCs w:val="22"/>
        </w:rPr>
        <w:t>)</w:t>
      </w:r>
    </w:p>
    <w:p w14:paraId="4750EBCA" w14:textId="09DDD56E" w:rsidR="00267DF1" w:rsidRPr="001F224B" w:rsidRDefault="000F59FB" w:rsidP="005514FC">
      <w:pPr>
        <w:pStyle w:val="BodyText"/>
        <w:tabs>
          <w:tab w:val="clear" w:pos="0"/>
          <w:tab w:val="clear" w:pos="720"/>
        </w:tabs>
        <w:spacing w:before="120" w:after="120"/>
        <w:rPr>
          <w:b/>
          <w:bCs/>
          <w:sz w:val="22"/>
          <w:szCs w:val="22"/>
        </w:rPr>
      </w:pPr>
      <w:r w:rsidRPr="001F224B">
        <w:rPr>
          <w:b/>
          <w:bCs/>
          <w:sz w:val="22"/>
          <w:szCs w:val="22"/>
        </w:rPr>
        <w:t>2.a)</w:t>
      </w:r>
      <w:r w:rsidRPr="001F224B">
        <w:rPr>
          <w:b/>
          <w:bCs/>
          <w:sz w:val="22"/>
          <w:szCs w:val="22"/>
        </w:rPr>
        <w:tab/>
      </w:r>
      <w:r w:rsidR="00267DF1" w:rsidRPr="001F224B">
        <w:rPr>
          <w:b/>
          <w:bCs/>
          <w:sz w:val="22"/>
          <w:szCs w:val="22"/>
        </w:rPr>
        <w:t>Kullanılan kredilere ver</w:t>
      </w:r>
      <w:r w:rsidR="000268A3" w:rsidRPr="001F224B">
        <w:rPr>
          <w:b/>
          <w:bCs/>
          <w:sz w:val="22"/>
          <w:szCs w:val="22"/>
        </w:rPr>
        <w:t>ilen faizlere ilişkin bilgiler</w:t>
      </w:r>
      <w:r w:rsidR="000268A3" w:rsidRPr="001F224B">
        <w:rPr>
          <w:b/>
          <w:sz w:val="20"/>
          <w:szCs w:val="20"/>
        </w:rPr>
        <w:t>:</w:t>
      </w:r>
    </w:p>
    <w:tbl>
      <w:tblPr>
        <w:tblW w:w="9739" w:type="dxa"/>
        <w:tblInd w:w="37" w:type="dxa"/>
        <w:tblLayout w:type="fixed"/>
        <w:tblCellMar>
          <w:left w:w="70" w:type="dxa"/>
          <w:right w:w="70" w:type="dxa"/>
        </w:tblCellMar>
        <w:tblLook w:val="00A0" w:firstRow="1" w:lastRow="0" w:firstColumn="1" w:lastColumn="0" w:noHBand="0" w:noVBand="0"/>
      </w:tblPr>
      <w:tblGrid>
        <w:gridCol w:w="4732"/>
        <w:gridCol w:w="1315"/>
        <w:gridCol w:w="1247"/>
        <w:gridCol w:w="1247"/>
        <w:gridCol w:w="1198"/>
      </w:tblGrid>
      <w:tr w:rsidR="00C5334A" w:rsidRPr="001F224B" w14:paraId="57F6BDE3" w14:textId="77777777" w:rsidTr="0033482E">
        <w:trPr>
          <w:trHeight w:val="227"/>
        </w:trPr>
        <w:tc>
          <w:tcPr>
            <w:tcW w:w="4732" w:type="dxa"/>
            <w:vMerge w:val="restart"/>
            <w:tcBorders>
              <w:top w:val="single" w:sz="4" w:space="0" w:color="auto"/>
              <w:left w:val="single" w:sz="4" w:space="0" w:color="auto"/>
              <w:bottom w:val="single" w:sz="4" w:space="0" w:color="auto"/>
              <w:right w:val="single" w:sz="4" w:space="0" w:color="auto"/>
            </w:tcBorders>
            <w:shd w:val="clear" w:color="000000" w:fill="FFFFFF"/>
          </w:tcPr>
          <w:p w14:paraId="06728C76" w14:textId="77777777" w:rsidR="00C5334A" w:rsidRPr="001F224B" w:rsidRDefault="00C5334A" w:rsidP="00C5334A">
            <w:pPr>
              <w:jc w:val="both"/>
              <w:rPr>
                <w:sz w:val="20"/>
                <w:szCs w:val="20"/>
              </w:rPr>
            </w:pPr>
            <w:r w:rsidRPr="001F224B">
              <w:rPr>
                <w:sz w:val="20"/>
                <w:szCs w:val="20"/>
              </w:rPr>
              <w:t> </w:t>
            </w:r>
          </w:p>
        </w:tc>
        <w:tc>
          <w:tcPr>
            <w:tcW w:w="2562" w:type="dxa"/>
            <w:gridSpan w:val="2"/>
            <w:tcBorders>
              <w:top w:val="single" w:sz="4" w:space="0" w:color="auto"/>
              <w:left w:val="nil"/>
              <w:bottom w:val="single" w:sz="4" w:space="0" w:color="auto"/>
              <w:right w:val="single" w:sz="4" w:space="0" w:color="auto"/>
            </w:tcBorders>
            <w:shd w:val="clear" w:color="000000" w:fill="FFFFFF"/>
            <w:vAlign w:val="bottom"/>
          </w:tcPr>
          <w:p w14:paraId="4FFFF279" w14:textId="77777777" w:rsidR="00C5334A" w:rsidRPr="001F224B" w:rsidRDefault="00C5334A" w:rsidP="00C5334A">
            <w:pPr>
              <w:jc w:val="center"/>
              <w:rPr>
                <w:b/>
                <w:bCs/>
                <w:sz w:val="20"/>
                <w:szCs w:val="20"/>
              </w:rPr>
            </w:pPr>
            <w:r w:rsidRPr="001F224B">
              <w:rPr>
                <w:b/>
                <w:bCs/>
                <w:sz w:val="20"/>
                <w:szCs w:val="20"/>
              </w:rPr>
              <w:t>Cari Dönem</w:t>
            </w:r>
          </w:p>
          <w:p w14:paraId="0EB353DB" w14:textId="23D9487C" w:rsidR="00C5334A" w:rsidRPr="001F224B" w:rsidRDefault="00C5334A" w:rsidP="00C5334A">
            <w:pPr>
              <w:jc w:val="center"/>
              <w:rPr>
                <w:b/>
                <w:bCs/>
                <w:sz w:val="20"/>
                <w:szCs w:val="20"/>
              </w:rPr>
            </w:pPr>
            <w:r w:rsidRPr="001F224B">
              <w:rPr>
                <w:b/>
                <w:bCs/>
                <w:sz w:val="20"/>
                <w:szCs w:val="20"/>
              </w:rPr>
              <w:t>(3</w:t>
            </w:r>
            <w:r w:rsidR="006660EC" w:rsidRPr="001F224B">
              <w:rPr>
                <w:b/>
                <w:bCs/>
                <w:sz w:val="20"/>
                <w:szCs w:val="20"/>
              </w:rPr>
              <w:t>0</w:t>
            </w:r>
            <w:r w:rsidRPr="001F224B">
              <w:rPr>
                <w:b/>
                <w:bCs/>
                <w:sz w:val="20"/>
                <w:szCs w:val="20"/>
              </w:rPr>
              <w:t>.</w:t>
            </w:r>
            <w:r w:rsidR="00DD14FB" w:rsidRPr="001F224B">
              <w:rPr>
                <w:b/>
                <w:bCs/>
                <w:sz w:val="20"/>
                <w:szCs w:val="20"/>
              </w:rPr>
              <w:t>0</w:t>
            </w:r>
            <w:r w:rsidR="006660EC" w:rsidRPr="001F224B">
              <w:rPr>
                <w:b/>
                <w:bCs/>
                <w:sz w:val="20"/>
                <w:szCs w:val="20"/>
              </w:rPr>
              <w:t>6</w:t>
            </w:r>
            <w:r w:rsidRPr="001F224B">
              <w:rPr>
                <w:b/>
                <w:bCs/>
                <w:sz w:val="20"/>
                <w:szCs w:val="20"/>
              </w:rPr>
              <w:t>.202</w:t>
            </w:r>
            <w:r w:rsidR="00DD14FB" w:rsidRPr="001F224B">
              <w:rPr>
                <w:b/>
                <w:bCs/>
                <w:sz w:val="20"/>
                <w:szCs w:val="20"/>
              </w:rPr>
              <w:t>5</w:t>
            </w:r>
            <w:r w:rsidRPr="001F224B">
              <w:rPr>
                <w:b/>
                <w:bCs/>
                <w:sz w:val="20"/>
                <w:szCs w:val="20"/>
              </w:rPr>
              <w:t>)</w:t>
            </w:r>
          </w:p>
        </w:tc>
        <w:tc>
          <w:tcPr>
            <w:tcW w:w="2445" w:type="dxa"/>
            <w:gridSpan w:val="2"/>
            <w:tcBorders>
              <w:top w:val="single" w:sz="4" w:space="0" w:color="auto"/>
              <w:left w:val="nil"/>
              <w:bottom w:val="single" w:sz="4" w:space="0" w:color="auto"/>
              <w:right w:val="single" w:sz="4" w:space="0" w:color="000000"/>
            </w:tcBorders>
            <w:shd w:val="clear" w:color="000000" w:fill="FFFFFF"/>
            <w:vAlign w:val="bottom"/>
          </w:tcPr>
          <w:p w14:paraId="33C54DE4" w14:textId="77777777" w:rsidR="00C5334A" w:rsidRPr="001F224B" w:rsidRDefault="00C5334A" w:rsidP="00C5334A">
            <w:pPr>
              <w:jc w:val="center"/>
              <w:rPr>
                <w:b/>
                <w:bCs/>
                <w:sz w:val="20"/>
                <w:szCs w:val="20"/>
              </w:rPr>
            </w:pPr>
            <w:r w:rsidRPr="001F224B">
              <w:rPr>
                <w:b/>
                <w:bCs/>
                <w:sz w:val="20"/>
                <w:szCs w:val="20"/>
              </w:rPr>
              <w:t>Önceki Dönem</w:t>
            </w:r>
          </w:p>
          <w:p w14:paraId="1B990237" w14:textId="1905B68D" w:rsidR="00C5334A" w:rsidRPr="001F224B" w:rsidRDefault="00C5334A" w:rsidP="00C5334A">
            <w:pPr>
              <w:jc w:val="center"/>
              <w:rPr>
                <w:b/>
                <w:bCs/>
                <w:sz w:val="20"/>
                <w:szCs w:val="20"/>
              </w:rPr>
            </w:pPr>
            <w:r w:rsidRPr="001F224B">
              <w:rPr>
                <w:b/>
                <w:bCs/>
                <w:sz w:val="20"/>
                <w:szCs w:val="20"/>
              </w:rPr>
              <w:t>(3</w:t>
            </w:r>
            <w:r w:rsidR="006660EC" w:rsidRPr="001F224B">
              <w:rPr>
                <w:b/>
                <w:bCs/>
                <w:sz w:val="20"/>
                <w:szCs w:val="20"/>
              </w:rPr>
              <w:t>0</w:t>
            </w:r>
            <w:r w:rsidRPr="001F224B">
              <w:rPr>
                <w:b/>
                <w:bCs/>
                <w:sz w:val="20"/>
                <w:szCs w:val="20"/>
              </w:rPr>
              <w:t>.</w:t>
            </w:r>
            <w:r w:rsidR="00DD14FB" w:rsidRPr="001F224B">
              <w:rPr>
                <w:b/>
                <w:bCs/>
                <w:sz w:val="20"/>
                <w:szCs w:val="20"/>
              </w:rPr>
              <w:t>0</w:t>
            </w:r>
            <w:r w:rsidR="006660EC" w:rsidRPr="001F224B">
              <w:rPr>
                <w:b/>
                <w:bCs/>
                <w:sz w:val="20"/>
                <w:szCs w:val="20"/>
              </w:rPr>
              <w:t>6</w:t>
            </w:r>
            <w:r w:rsidRPr="001F224B">
              <w:rPr>
                <w:b/>
                <w:bCs/>
                <w:sz w:val="20"/>
                <w:szCs w:val="20"/>
              </w:rPr>
              <w:t>.202</w:t>
            </w:r>
            <w:r w:rsidR="00DD14FB" w:rsidRPr="001F224B">
              <w:rPr>
                <w:b/>
                <w:bCs/>
                <w:sz w:val="20"/>
                <w:szCs w:val="20"/>
              </w:rPr>
              <w:t>4</w:t>
            </w:r>
            <w:r w:rsidRPr="001F224B">
              <w:rPr>
                <w:b/>
                <w:bCs/>
                <w:sz w:val="20"/>
                <w:szCs w:val="20"/>
              </w:rPr>
              <w:t>)</w:t>
            </w:r>
          </w:p>
        </w:tc>
      </w:tr>
      <w:tr w:rsidR="00267DF1" w:rsidRPr="001F224B" w14:paraId="43F27CAB" w14:textId="77777777" w:rsidTr="0033482E">
        <w:trPr>
          <w:trHeight w:val="227"/>
        </w:trPr>
        <w:tc>
          <w:tcPr>
            <w:tcW w:w="4732" w:type="dxa"/>
            <w:vMerge/>
            <w:tcBorders>
              <w:top w:val="single" w:sz="4" w:space="0" w:color="auto"/>
              <w:left w:val="single" w:sz="4" w:space="0" w:color="auto"/>
              <w:bottom w:val="single" w:sz="4" w:space="0" w:color="auto"/>
              <w:right w:val="single" w:sz="4" w:space="0" w:color="auto"/>
            </w:tcBorders>
            <w:vAlign w:val="center"/>
          </w:tcPr>
          <w:p w14:paraId="2FDF995D" w14:textId="77777777" w:rsidR="00267DF1" w:rsidRPr="001F224B" w:rsidRDefault="00267DF1" w:rsidP="001B56B8">
            <w:pPr>
              <w:rPr>
                <w:sz w:val="20"/>
                <w:szCs w:val="20"/>
              </w:rPr>
            </w:pPr>
          </w:p>
        </w:tc>
        <w:tc>
          <w:tcPr>
            <w:tcW w:w="1315" w:type="dxa"/>
            <w:tcBorders>
              <w:top w:val="nil"/>
              <w:left w:val="nil"/>
              <w:bottom w:val="single" w:sz="4" w:space="0" w:color="auto"/>
              <w:right w:val="single" w:sz="4" w:space="0" w:color="auto"/>
            </w:tcBorders>
            <w:shd w:val="clear" w:color="000000" w:fill="FFFFFF"/>
            <w:vAlign w:val="bottom"/>
          </w:tcPr>
          <w:p w14:paraId="300B4DD7" w14:textId="77777777" w:rsidR="00267DF1" w:rsidRPr="001F224B" w:rsidRDefault="00267DF1" w:rsidP="00291E0A">
            <w:pPr>
              <w:jc w:val="center"/>
              <w:rPr>
                <w:b/>
                <w:bCs/>
                <w:sz w:val="20"/>
                <w:szCs w:val="20"/>
              </w:rPr>
            </w:pPr>
            <w:r w:rsidRPr="001F224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3CB60EC4" w14:textId="77777777" w:rsidR="00267DF1" w:rsidRPr="001F224B" w:rsidRDefault="00267DF1" w:rsidP="00291E0A">
            <w:pPr>
              <w:jc w:val="center"/>
              <w:rPr>
                <w:b/>
                <w:bCs/>
                <w:sz w:val="20"/>
                <w:szCs w:val="20"/>
              </w:rPr>
            </w:pPr>
            <w:r w:rsidRPr="001F224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2F6150FE" w14:textId="77777777" w:rsidR="00267DF1" w:rsidRPr="001F224B" w:rsidRDefault="00267DF1" w:rsidP="00291E0A">
            <w:pPr>
              <w:jc w:val="center"/>
              <w:rPr>
                <w:b/>
                <w:bCs/>
                <w:sz w:val="20"/>
                <w:szCs w:val="20"/>
              </w:rPr>
            </w:pPr>
            <w:r w:rsidRPr="001F224B">
              <w:rPr>
                <w:b/>
                <w:bCs/>
                <w:sz w:val="20"/>
                <w:szCs w:val="20"/>
              </w:rPr>
              <w:t>TP</w:t>
            </w:r>
          </w:p>
        </w:tc>
        <w:tc>
          <w:tcPr>
            <w:tcW w:w="1198" w:type="dxa"/>
            <w:tcBorders>
              <w:top w:val="nil"/>
              <w:left w:val="nil"/>
              <w:bottom w:val="single" w:sz="4" w:space="0" w:color="auto"/>
              <w:right w:val="single" w:sz="4" w:space="0" w:color="auto"/>
            </w:tcBorders>
            <w:shd w:val="clear" w:color="000000" w:fill="FFFFFF"/>
            <w:vAlign w:val="bottom"/>
          </w:tcPr>
          <w:p w14:paraId="436CE74E" w14:textId="77777777" w:rsidR="00267DF1" w:rsidRPr="001F224B" w:rsidRDefault="00267DF1" w:rsidP="00291E0A">
            <w:pPr>
              <w:jc w:val="center"/>
              <w:rPr>
                <w:b/>
                <w:bCs/>
                <w:sz w:val="20"/>
                <w:szCs w:val="20"/>
              </w:rPr>
            </w:pPr>
            <w:r w:rsidRPr="001F224B">
              <w:rPr>
                <w:b/>
                <w:bCs/>
                <w:sz w:val="20"/>
                <w:szCs w:val="20"/>
              </w:rPr>
              <w:t>YP</w:t>
            </w:r>
          </w:p>
        </w:tc>
      </w:tr>
      <w:tr w:rsidR="009C348B" w:rsidRPr="001F224B" w14:paraId="1E311917"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8A58416" w14:textId="2F0454EB" w:rsidR="009C348B" w:rsidRPr="001F224B" w:rsidRDefault="009C348B" w:rsidP="009C348B">
            <w:pPr>
              <w:rPr>
                <w:sz w:val="20"/>
                <w:szCs w:val="20"/>
              </w:rPr>
            </w:pPr>
            <w:r w:rsidRPr="001F224B">
              <w:rPr>
                <w:sz w:val="20"/>
                <w:szCs w:val="20"/>
              </w:rPr>
              <w:t>Bankalara Verilen Faizler</w:t>
            </w:r>
            <w:r w:rsidRPr="001F224B">
              <w:rPr>
                <w:sz w:val="20"/>
                <w:szCs w:val="20"/>
                <w:vertAlign w:val="superscript"/>
              </w:rPr>
              <w:t>(*)</w:t>
            </w:r>
            <w:r w:rsidRPr="001F224B">
              <w:rPr>
                <w:sz w:val="20"/>
                <w:szCs w:val="20"/>
              </w:rPr>
              <w:t xml:space="preserve"> </w:t>
            </w:r>
          </w:p>
        </w:tc>
        <w:tc>
          <w:tcPr>
            <w:tcW w:w="1315" w:type="dxa"/>
            <w:tcBorders>
              <w:top w:val="nil"/>
              <w:left w:val="nil"/>
              <w:bottom w:val="single" w:sz="4" w:space="0" w:color="auto"/>
              <w:right w:val="single" w:sz="4" w:space="0" w:color="auto"/>
            </w:tcBorders>
            <w:shd w:val="clear" w:color="000000" w:fill="FFFFFF"/>
            <w:vAlign w:val="bottom"/>
          </w:tcPr>
          <w:p w14:paraId="10C92346" w14:textId="4B94B9AC" w:rsidR="009C348B" w:rsidRPr="001F224B" w:rsidRDefault="009C348B" w:rsidP="009C348B">
            <w:pPr>
              <w:jc w:val="right"/>
              <w:rPr>
                <w:sz w:val="20"/>
                <w:szCs w:val="20"/>
              </w:rPr>
            </w:pPr>
            <w:r w:rsidRPr="001F224B">
              <w:rPr>
                <w:bCs/>
                <w:sz w:val="20"/>
                <w:szCs w:val="20"/>
              </w:rPr>
              <w:t>2.007.016</w:t>
            </w:r>
          </w:p>
        </w:tc>
        <w:tc>
          <w:tcPr>
            <w:tcW w:w="1247" w:type="dxa"/>
            <w:tcBorders>
              <w:top w:val="nil"/>
              <w:left w:val="nil"/>
              <w:bottom w:val="single" w:sz="4" w:space="0" w:color="auto"/>
              <w:right w:val="single" w:sz="4" w:space="0" w:color="auto"/>
            </w:tcBorders>
            <w:shd w:val="clear" w:color="000000" w:fill="FFFFFF"/>
            <w:vAlign w:val="bottom"/>
          </w:tcPr>
          <w:p w14:paraId="0F5B01C2" w14:textId="5EFF458A" w:rsidR="009C348B" w:rsidRPr="001F224B" w:rsidRDefault="009C348B" w:rsidP="009C348B">
            <w:pPr>
              <w:jc w:val="right"/>
              <w:rPr>
                <w:sz w:val="20"/>
                <w:szCs w:val="20"/>
              </w:rPr>
            </w:pPr>
            <w:r w:rsidRPr="001F224B">
              <w:rPr>
                <w:bCs/>
                <w:sz w:val="20"/>
                <w:szCs w:val="20"/>
              </w:rPr>
              <w:t>233.240</w:t>
            </w:r>
          </w:p>
        </w:tc>
        <w:tc>
          <w:tcPr>
            <w:tcW w:w="1247" w:type="dxa"/>
            <w:tcBorders>
              <w:top w:val="nil"/>
              <w:left w:val="nil"/>
              <w:bottom w:val="single" w:sz="4" w:space="0" w:color="auto"/>
              <w:right w:val="single" w:sz="4" w:space="0" w:color="auto"/>
            </w:tcBorders>
            <w:shd w:val="clear" w:color="000000" w:fill="FFFFFF"/>
            <w:vAlign w:val="bottom"/>
          </w:tcPr>
          <w:p w14:paraId="315F3456" w14:textId="4AA5F9E1" w:rsidR="009C348B" w:rsidRPr="001F224B" w:rsidRDefault="009C348B" w:rsidP="009C348B">
            <w:pPr>
              <w:jc w:val="right"/>
              <w:rPr>
                <w:sz w:val="20"/>
                <w:szCs w:val="20"/>
              </w:rPr>
            </w:pPr>
            <w:r w:rsidRPr="001F224B">
              <w:rPr>
                <w:bCs/>
                <w:sz w:val="20"/>
                <w:szCs w:val="20"/>
              </w:rPr>
              <w:t>1.530.590</w:t>
            </w:r>
          </w:p>
        </w:tc>
        <w:tc>
          <w:tcPr>
            <w:tcW w:w="1198" w:type="dxa"/>
            <w:tcBorders>
              <w:top w:val="nil"/>
              <w:left w:val="nil"/>
              <w:bottom w:val="single" w:sz="4" w:space="0" w:color="auto"/>
              <w:right w:val="single" w:sz="4" w:space="0" w:color="auto"/>
            </w:tcBorders>
            <w:shd w:val="clear" w:color="000000" w:fill="FFFFFF"/>
            <w:vAlign w:val="bottom"/>
          </w:tcPr>
          <w:p w14:paraId="2C679E4F" w14:textId="503AB321" w:rsidR="009C348B" w:rsidRPr="001F224B" w:rsidRDefault="009C348B" w:rsidP="009C348B">
            <w:pPr>
              <w:jc w:val="right"/>
              <w:rPr>
                <w:sz w:val="20"/>
                <w:szCs w:val="20"/>
              </w:rPr>
            </w:pPr>
            <w:r w:rsidRPr="001F224B">
              <w:rPr>
                <w:sz w:val="20"/>
                <w:szCs w:val="20"/>
              </w:rPr>
              <w:t>269.073</w:t>
            </w:r>
          </w:p>
        </w:tc>
      </w:tr>
      <w:tr w:rsidR="009C348B" w:rsidRPr="001F224B" w14:paraId="63EEB4E7"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C9C3968" w14:textId="77777777" w:rsidR="009C348B" w:rsidRPr="001F224B" w:rsidRDefault="009C348B" w:rsidP="009C348B">
            <w:pPr>
              <w:ind w:firstLineChars="200" w:firstLine="400"/>
              <w:rPr>
                <w:sz w:val="20"/>
                <w:szCs w:val="20"/>
              </w:rPr>
            </w:pPr>
            <w:r w:rsidRPr="001F224B">
              <w:rPr>
                <w:sz w:val="20"/>
                <w:szCs w:val="20"/>
              </w:rPr>
              <w:t>T.C. Merkez Bankası’na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70533181" w14:textId="792FA9F6" w:rsidR="009C348B" w:rsidRPr="001F224B" w:rsidRDefault="009C348B" w:rsidP="009C348B">
            <w:pPr>
              <w:jc w:val="right"/>
              <w:rPr>
                <w:sz w:val="20"/>
                <w:szCs w:val="20"/>
              </w:rPr>
            </w:pPr>
            <w:r w:rsidRPr="001F224B">
              <w:rPr>
                <w:bCs/>
                <w:sz w:val="20"/>
                <w:szCs w:val="20"/>
              </w:rPr>
              <w:t>2.007.016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29F2331" w14:textId="4DB800E3" w:rsidR="009C348B" w:rsidRPr="001F224B" w:rsidRDefault="009C348B" w:rsidP="009C348B">
            <w:pPr>
              <w:jc w:val="right"/>
              <w:rPr>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E15D60E" w14:textId="745F3391" w:rsidR="009C348B" w:rsidRPr="001F224B" w:rsidRDefault="009C348B" w:rsidP="009C348B">
            <w:pPr>
              <w:jc w:val="right"/>
            </w:pPr>
            <w:r w:rsidRPr="001F224B">
              <w:rPr>
                <w:bCs/>
                <w:sz w:val="20"/>
                <w:szCs w:val="20"/>
              </w:rPr>
              <w:t>1.530.590</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56C1CD52" w14:textId="50EB3C36" w:rsidR="009C348B" w:rsidRPr="001F224B" w:rsidRDefault="009C348B" w:rsidP="009C348B">
            <w:pPr>
              <w:jc w:val="right"/>
            </w:pPr>
            <w:r w:rsidRPr="001F224B">
              <w:rPr>
                <w:bCs/>
                <w:sz w:val="20"/>
                <w:szCs w:val="20"/>
              </w:rPr>
              <w:t>-</w:t>
            </w:r>
          </w:p>
        </w:tc>
      </w:tr>
      <w:tr w:rsidR="009C348B" w:rsidRPr="001F224B" w14:paraId="3F4B5603"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79EF442" w14:textId="77777777" w:rsidR="009C348B" w:rsidRPr="001F224B" w:rsidRDefault="009C348B" w:rsidP="009C348B">
            <w:pPr>
              <w:ind w:firstLineChars="200" w:firstLine="400"/>
              <w:rPr>
                <w:sz w:val="20"/>
                <w:szCs w:val="20"/>
              </w:rPr>
            </w:pPr>
            <w:r w:rsidRPr="001F224B">
              <w:rPr>
                <w:sz w:val="20"/>
                <w:szCs w:val="20"/>
              </w:rPr>
              <w:t>Yurtiçi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080D68DD" w14:textId="4E238127" w:rsidR="009C348B" w:rsidRPr="001F224B" w:rsidRDefault="009C348B" w:rsidP="009C348B">
            <w:pPr>
              <w:jc w:val="right"/>
              <w:rPr>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57C9472" w14:textId="08131DE0" w:rsidR="009C348B" w:rsidRPr="001F224B" w:rsidRDefault="009C348B" w:rsidP="009C348B">
            <w:pPr>
              <w:jc w:val="right"/>
              <w:rPr>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75788B2" w14:textId="06BD2BD4" w:rsidR="009C348B" w:rsidRPr="001F224B" w:rsidRDefault="009C348B" w:rsidP="009C348B">
            <w:pPr>
              <w:jc w:val="right"/>
            </w:pPr>
            <w:r w:rsidRPr="001F224B">
              <w:rPr>
                <w:bCs/>
                <w:sz w:val="20"/>
                <w:szCs w:val="20"/>
              </w:rPr>
              <w:t>-</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1423DFBF" w14:textId="1B6019D4" w:rsidR="009C348B" w:rsidRPr="001F224B" w:rsidRDefault="009C348B" w:rsidP="009C348B">
            <w:pPr>
              <w:jc w:val="right"/>
            </w:pPr>
            <w:r w:rsidRPr="001F224B">
              <w:rPr>
                <w:bCs/>
                <w:sz w:val="20"/>
                <w:szCs w:val="20"/>
              </w:rPr>
              <w:t>-</w:t>
            </w:r>
          </w:p>
        </w:tc>
      </w:tr>
      <w:tr w:rsidR="009C348B" w:rsidRPr="001F224B" w14:paraId="3DEC7B23"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82F90B3" w14:textId="77777777" w:rsidR="009C348B" w:rsidRPr="001F224B" w:rsidRDefault="009C348B" w:rsidP="009C348B">
            <w:pPr>
              <w:ind w:firstLineChars="200" w:firstLine="400"/>
              <w:rPr>
                <w:sz w:val="20"/>
                <w:szCs w:val="20"/>
              </w:rPr>
            </w:pPr>
            <w:r w:rsidRPr="001F224B">
              <w:rPr>
                <w:sz w:val="20"/>
                <w:szCs w:val="20"/>
              </w:rPr>
              <w:t>Yurtdışı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63CEF42C" w14:textId="6E28E541" w:rsidR="009C348B" w:rsidRPr="001F224B" w:rsidRDefault="009C348B" w:rsidP="009C348B">
            <w:pPr>
              <w:jc w:val="right"/>
              <w:rPr>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57A3153" w14:textId="5B5948E1" w:rsidR="009C348B" w:rsidRPr="001F224B" w:rsidRDefault="009C348B" w:rsidP="009C348B">
            <w:pPr>
              <w:jc w:val="right"/>
              <w:rPr>
                <w:sz w:val="20"/>
                <w:szCs w:val="20"/>
              </w:rPr>
            </w:pPr>
            <w:r w:rsidRPr="001F224B">
              <w:rPr>
                <w:bCs/>
                <w:sz w:val="20"/>
                <w:szCs w:val="20"/>
              </w:rPr>
              <w:t>233.240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BC301DD" w14:textId="2E898F38" w:rsidR="009C348B" w:rsidRPr="001F224B" w:rsidRDefault="009C348B" w:rsidP="009C348B">
            <w:pPr>
              <w:jc w:val="right"/>
            </w:pPr>
            <w:r w:rsidRPr="001F224B">
              <w:rPr>
                <w:bCs/>
                <w:sz w:val="20"/>
                <w:szCs w:val="20"/>
              </w:rPr>
              <w:t>-</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532B446A" w14:textId="60EA3CE2" w:rsidR="009C348B" w:rsidRPr="001F224B" w:rsidRDefault="009C348B" w:rsidP="009C348B">
            <w:pPr>
              <w:jc w:val="right"/>
              <w:rPr>
                <w:sz w:val="20"/>
                <w:szCs w:val="20"/>
              </w:rPr>
            </w:pPr>
            <w:r w:rsidRPr="001F224B">
              <w:rPr>
                <w:sz w:val="20"/>
                <w:szCs w:val="20"/>
              </w:rPr>
              <w:t>269.073</w:t>
            </w:r>
          </w:p>
        </w:tc>
      </w:tr>
      <w:tr w:rsidR="009C348B" w:rsidRPr="001F224B" w14:paraId="591B672D"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343CC562" w14:textId="77777777" w:rsidR="009C348B" w:rsidRPr="001F224B" w:rsidRDefault="009C348B" w:rsidP="009C348B">
            <w:pPr>
              <w:ind w:firstLineChars="200" w:firstLine="400"/>
              <w:rPr>
                <w:sz w:val="20"/>
                <w:szCs w:val="20"/>
              </w:rPr>
            </w:pPr>
            <w:r w:rsidRPr="001F224B">
              <w:rPr>
                <w:sz w:val="20"/>
                <w:szCs w:val="20"/>
              </w:rPr>
              <w:t>Yurtdışı Merkez ve Şubelere</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1A6D0803" w14:textId="3F5F59BD" w:rsidR="009C348B" w:rsidRPr="001F224B" w:rsidRDefault="009C348B" w:rsidP="009C348B">
            <w:pPr>
              <w:jc w:val="right"/>
              <w:rPr>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3D91289" w14:textId="2570A32E" w:rsidR="009C348B" w:rsidRPr="001F224B" w:rsidRDefault="009C348B" w:rsidP="009C348B">
            <w:pPr>
              <w:jc w:val="right"/>
              <w:rPr>
                <w:sz w:val="20"/>
                <w:szCs w:val="20"/>
              </w:rPr>
            </w:pPr>
            <w:r w:rsidRPr="001F224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9A8FB7F" w14:textId="39A74B40" w:rsidR="009C348B" w:rsidRPr="001F224B" w:rsidRDefault="009C348B" w:rsidP="009C348B">
            <w:pPr>
              <w:jc w:val="right"/>
            </w:pPr>
            <w:r w:rsidRPr="001F224B">
              <w:rPr>
                <w:bCs/>
                <w:sz w:val="20"/>
                <w:szCs w:val="20"/>
              </w:rPr>
              <w:t>-</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02C4F5EE" w14:textId="02BBF3C6" w:rsidR="009C348B" w:rsidRPr="001F224B" w:rsidRDefault="009C348B" w:rsidP="009C348B">
            <w:pPr>
              <w:jc w:val="right"/>
              <w:rPr>
                <w:sz w:val="20"/>
                <w:szCs w:val="20"/>
              </w:rPr>
            </w:pPr>
            <w:r w:rsidRPr="001F224B">
              <w:rPr>
                <w:bCs/>
                <w:sz w:val="20"/>
                <w:szCs w:val="20"/>
              </w:rPr>
              <w:t>-</w:t>
            </w:r>
          </w:p>
        </w:tc>
      </w:tr>
      <w:tr w:rsidR="009C348B" w:rsidRPr="001F224B" w14:paraId="051F24F5"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0B5220A4" w14:textId="77777777" w:rsidR="009C348B" w:rsidRPr="001F224B" w:rsidRDefault="009C348B" w:rsidP="009C348B">
            <w:pPr>
              <w:rPr>
                <w:sz w:val="20"/>
                <w:szCs w:val="20"/>
              </w:rPr>
            </w:pPr>
            <w:r w:rsidRPr="001F224B">
              <w:rPr>
                <w:sz w:val="20"/>
                <w:szCs w:val="20"/>
              </w:rPr>
              <w:t>Diğer Kuruluşlara Verilen Faizler</w:t>
            </w:r>
            <w:r w:rsidRPr="001F224B">
              <w:rPr>
                <w:sz w:val="20"/>
                <w:szCs w:val="20"/>
                <w:vertAlign w:val="superscript"/>
              </w:rPr>
              <w:t>(*)</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68BADE49" w14:textId="06D0BBDC" w:rsidR="009C348B" w:rsidRPr="001F224B" w:rsidRDefault="009C348B" w:rsidP="009C348B">
            <w:pPr>
              <w:jc w:val="right"/>
              <w:rPr>
                <w:sz w:val="20"/>
                <w:szCs w:val="20"/>
              </w:rPr>
            </w:pPr>
            <w:r w:rsidRPr="001F224B">
              <w:rPr>
                <w:bCs/>
                <w:sz w:val="20"/>
                <w:szCs w:val="20"/>
              </w:rPr>
              <w:t>943.199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3EE84E3" w14:textId="3C154092" w:rsidR="009C348B" w:rsidRPr="001F224B" w:rsidRDefault="009C348B" w:rsidP="009C348B">
            <w:pPr>
              <w:jc w:val="right"/>
              <w:rPr>
                <w:sz w:val="20"/>
                <w:szCs w:val="20"/>
              </w:rPr>
            </w:pPr>
            <w:r w:rsidRPr="001F224B">
              <w:rPr>
                <w:bCs/>
                <w:sz w:val="20"/>
                <w:szCs w:val="20"/>
              </w:rPr>
              <w:t>2.234.504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06CE7A8" w14:textId="77464474" w:rsidR="009C348B" w:rsidRPr="001F224B" w:rsidRDefault="009C348B" w:rsidP="009C348B">
            <w:pPr>
              <w:jc w:val="right"/>
              <w:rPr>
                <w:sz w:val="20"/>
                <w:szCs w:val="20"/>
              </w:rPr>
            </w:pPr>
            <w:r w:rsidRPr="001F224B">
              <w:rPr>
                <w:sz w:val="20"/>
                <w:szCs w:val="20"/>
              </w:rPr>
              <w:t>973.097</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7D000726" w14:textId="3A59BC5B" w:rsidR="009C348B" w:rsidRPr="001F224B" w:rsidRDefault="009C348B" w:rsidP="009C348B">
            <w:pPr>
              <w:jc w:val="right"/>
              <w:rPr>
                <w:sz w:val="20"/>
                <w:szCs w:val="20"/>
              </w:rPr>
            </w:pPr>
            <w:r w:rsidRPr="001F224B">
              <w:rPr>
                <w:sz w:val="20"/>
                <w:szCs w:val="20"/>
              </w:rPr>
              <w:t>2.334.913</w:t>
            </w:r>
          </w:p>
        </w:tc>
      </w:tr>
      <w:tr w:rsidR="009C348B" w:rsidRPr="001F224B" w14:paraId="134331AD" w14:textId="77777777" w:rsidTr="002F5CC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16D99111" w14:textId="77777777" w:rsidR="009C348B" w:rsidRPr="001F224B" w:rsidRDefault="009C348B" w:rsidP="009C348B">
            <w:pPr>
              <w:rPr>
                <w:b/>
                <w:sz w:val="20"/>
                <w:szCs w:val="20"/>
              </w:rPr>
            </w:pPr>
            <w:r w:rsidRPr="001F224B">
              <w:rPr>
                <w:b/>
                <w:sz w:val="20"/>
                <w:szCs w:val="20"/>
              </w:rPr>
              <w:t>Toplam</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39EE649" w14:textId="3AB662A7" w:rsidR="009C348B" w:rsidRPr="001F224B" w:rsidRDefault="009C348B" w:rsidP="009C348B">
            <w:pPr>
              <w:jc w:val="right"/>
              <w:rPr>
                <w:b/>
                <w:sz w:val="20"/>
                <w:szCs w:val="20"/>
              </w:rPr>
            </w:pPr>
            <w:r w:rsidRPr="001F224B">
              <w:rPr>
                <w:b/>
                <w:sz w:val="20"/>
                <w:szCs w:val="20"/>
              </w:rPr>
              <w:t>2.950.215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1F53F54" w14:textId="74B55EA3" w:rsidR="009C348B" w:rsidRPr="001F224B" w:rsidRDefault="009C348B" w:rsidP="009C348B">
            <w:pPr>
              <w:jc w:val="right"/>
              <w:rPr>
                <w:b/>
                <w:sz w:val="20"/>
                <w:szCs w:val="20"/>
              </w:rPr>
            </w:pPr>
            <w:r w:rsidRPr="001F224B">
              <w:rPr>
                <w:b/>
                <w:sz w:val="20"/>
                <w:szCs w:val="20"/>
              </w:rPr>
              <w:t>2.467.744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88B7E49" w14:textId="32E1FA7C" w:rsidR="009C348B" w:rsidRPr="001F224B" w:rsidRDefault="009C348B" w:rsidP="009C348B">
            <w:pPr>
              <w:jc w:val="right"/>
              <w:rPr>
                <w:b/>
                <w:sz w:val="20"/>
                <w:szCs w:val="20"/>
              </w:rPr>
            </w:pPr>
            <w:r w:rsidRPr="001F224B">
              <w:rPr>
                <w:b/>
                <w:sz w:val="20"/>
                <w:szCs w:val="20"/>
              </w:rPr>
              <w:t>2.503.687</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4A78B1A0" w14:textId="6AA5E768" w:rsidR="009C348B" w:rsidRPr="001F224B" w:rsidRDefault="009C348B" w:rsidP="009C348B">
            <w:pPr>
              <w:jc w:val="right"/>
              <w:rPr>
                <w:b/>
                <w:sz w:val="20"/>
                <w:szCs w:val="20"/>
              </w:rPr>
            </w:pPr>
            <w:r w:rsidRPr="001F224B">
              <w:rPr>
                <w:b/>
                <w:sz w:val="20"/>
                <w:szCs w:val="20"/>
              </w:rPr>
              <w:t>2.603.986</w:t>
            </w:r>
          </w:p>
        </w:tc>
      </w:tr>
    </w:tbl>
    <w:p w14:paraId="13D57891" w14:textId="77777777" w:rsidR="00B73633" w:rsidRPr="001F224B" w:rsidRDefault="006256FA" w:rsidP="006039F0">
      <w:pPr>
        <w:tabs>
          <w:tab w:val="left" w:pos="1134"/>
        </w:tabs>
        <w:spacing w:before="120"/>
        <w:jc w:val="both"/>
        <w:rPr>
          <w:iCs/>
          <w:sz w:val="18"/>
          <w:szCs w:val="18"/>
        </w:rPr>
      </w:pPr>
      <w:r w:rsidRPr="001F224B">
        <w:rPr>
          <w:iCs/>
          <w:sz w:val="18"/>
          <w:szCs w:val="18"/>
          <w:vertAlign w:val="superscript"/>
        </w:rPr>
        <w:t>(*)</w:t>
      </w:r>
      <w:r w:rsidRPr="001F224B">
        <w:rPr>
          <w:iCs/>
          <w:sz w:val="18"/>
          <w:szCs w:val="18"/>
        </w:rPr>
        <w:t xml:space="preserve"> </w:t>
      </w:r>
      <w:r w:rsidR="00A94C55" w:rsidRPr="001F224B">
        <w:rPr>
          <w:iCs/>
          <w:sz w:val="18"/>
          <w:szCs w:val="18"/>
        </w:rPr>
        <w:t>Nakdi kredilere ilişkin ücret ve komisyon giderlerini de içermektedir.</w:t>
      </w:r>
    </w:p>
    <w:p w14:paraId="7F7F076C" w14:textId="77777777" w:rsidR="00267DF1" w:rsidRPr="001F224B" w:rsidRDefault="008009B8" w:rsidP="005514FC">
      <w:pPr>
        <w:tabs>
          <w:tab w:val="left" w:pos="567"/>
        </w:tabs>
        <w:spacing w:before="120" w:after="120"/>
        <w:jc w:val="both"/>
        <w:rPr>
          <w:b/>
          <w:bCs/>
          <w:sz w:val="22"/>
          <w:szCs w:val="22"/>
        </w:rPr>
      </w:pPr>
      <w:r w:rsidRPr="001F224B">
        <w:rPr>
          <w:b/>
          <w:bCs/>
          <w:sz w:val="22"/>
          <w:szCs w:val="22"/>
        </w:rPr>
        <w:t>2.b)</w:t>
      </w:r>
      <w:r w:rsidR="002203D7" w:rsidRPr="001F224B">
        <w:rPr>
          <w:b/>
          <w:bCs/>
          <w:sz w:val="22"/>
          <w:szCs w:val="22"/>
        </w:rPr>
        <w:tab/>
      </w:r>
      <w:r w:rsidR="00267DF1" w:rsidRPr="001F224B">
        <w:rPr>
          <w:b/>
          <w:bCs/>
          <w:sz w:val="22"/>
          <w:szCs w:val="22"/>
        </w:rPr>
        <w:t>İştirakler ve bağlı ortaklıklara verilen faiz giderlerine iliş</w:t>
      </w:r>
      <w:r w:rsidR="00A2555B" w:rsidRPr="001F224B">
        <w:rPr>
          <w:b/>
          <w:bCs/>
          <w:sz w:val="22"/>
          <w:szCs w:val="22"/>
        </w:rPr>
        <w:t>kin bilgiler</w:t>
      </w:r>
      <w:r w:rsidR="00267DF1" w:rsidRPr="001F224B">
        <w:rPr>
          <w:b/>
          <w:bCs/>
          <w:sz w:val="22"/>
          <w:szCs w:val="22"/>
        </w:rPr>
        <w:t>:</w:t>
      </w:r>
    </w:p>
    <w:p w14:paraId="474CB5A4" w14:textId="77777777" w:rsidR="00267DF1" w:rsidRPr="001F224B" w:rsidRDefault="00267DF1" w:rsidP="00241E96">
      <w:pPr>
        <w:ind w:firstLine="567"/>
        <w:jc w:val="both"/>
        <w:rPr>
          <w:bCs/>
          <w:sz w:val="22"/>
          <w:szCs w:val="22"/>
        </w:rPr>
      </w:pPr>
      <w:r w:rsidRPr="001F224B">
        <w:rPr>
          <w:bCs/>
          <w:sz w:val="22"/>
          <w:szCs w:val="22"/>
        </w:rPr>
        <w:t>Bulunmamaktadır.</w:t>
      </w:r>
    </w:p>
    <w:p w14:paraId="64E134B6" w14:textId="3537D3C7" w:rsidR="00AE78A7" w:rsidRPr="001F224B" w:rsidRDefault="008009B8" w:rsidP="005514FC">
      <w:pPr>
        <w:tabs>
          <w:tab w:val="left" w:pos="567"/>
        </w:tabs>
        <w:spacing w:before="120" w:after="120"/>
        <w:jc w:val="both"/>
        <w:rPr>
          <w:rFonts w:eastAsia="Arial Unicode MS"/>
          <w:b/>
          <w:bCs/>
          <w:sz w:val="22"/>
          <w:szCs w:val="22"/>
        </w:rPr>
      </w:pPr>
      <w:r w:rsidRPr="001F224B">
        <w:rPr>
          <w:rFonts w:eastAsia="Arial Unicode MS"/>
          <w:b/>
          <w:bCs/>
          <w:sz w:val="22"/>
          <w:szCs w:val="22"/>
        </w:rPr>
        <w:t>2.c)</w:t>
      </w:r>
      <w:r w:rsidR="002203D7" w:rsidRPr="001F224B">
        <w:rPr>
          <w:rFonts w:eastAsia="Arial Unicode MS"/>
          <w:b/>
          <w:bCs/>
          <w:sz w:val="22"/>
          <w:szCs w:val="22"/>
        </w:rPr>
        <w:tab/>
      </w:r>
      <w:r w:rsidR="00AE78A7" w:rsidRPr="001F224B">
        <w:rPr>
          <w:rFonts w:eastAsia="Arial Unicode MS"/>
          <w:b/>
          <w:bCs/>
          <w:sz w:val="22"/>
          <w:szCs w:val="22"/>
        </w:rPr>
        <w:t>İhraç edilen menkul kıymetlere verilen faizlere ilişkin bilgiler:</w:t>
      </w:r>
    </w:p>
    <w:tbl>
      <w:tblPr>
        <w:tblW w:w="9781" w:type="dxa"/>
        <w:tblInd w:w="-5" w:type="dxa"/>
        <w:tblCellMar>
          <w:left w:w="70" w:type="dxa"/>
          <w:right w:w="70" w:type="dxa"/>
        </w:tblCellMar>
        <w:tblLook w:val="0000" w:firstRow="0" w:lastRow="0" w:firstColumn="0" w:lastColumn="0" w:noHBand="0" w:noVBand="0"/>
      </w:tblPr>
      <w:tblGrid>
        <w:gridCol w:w="4802"/>
        <w:gridCol w:w="1315"/>
        <w:gridCol w:w="1232"/>
        <w:gridCol w:w="1218"/>
        <w:gridCol w:w="1214"/>
      </w:tblGrid>
      <w:tr w:rsidR="00C5334A" w:rsidRPr="001F224B" w14:paraId="1218950D" w14:textId="77777777" w:rsidTr="0033482E">
        <w:trPr>
          <w:trHeight w:val="227"/>
        </w:trPr>
        <w:tc>
          <w:tcPr>
            <w:tcW w:w="4802" w:type="dxa"/>
            <w:vMerge w:val="restart"/>
            <w:tcBorders>
              <w:top w:val="single" w:sz="4" w:space="0" w:color="auto"/>
              <w:left w:val="single" w:sz="4" w:space="0" w:color="auto"/>
              <w:bottom w:val="single" w:sz="4" w:space="0" w:color="auto"/>
              <w:right w:val="single" w:sz="4" w:space="0" w:color="auto"/>
            </w:tcBorders>
            <w:shd w:val="clear" w:color="auto" w:fill="FFFFFF"/>
          </w:tcPr>
          <w:p w14:paraId="13A0E654" w14:textId="77777777" w:rsidR="00C5334A" w:rsidRPr="001F224B" w:rsidRDefault="00C5334A" w:rsidP="00C5334A">
            <w:pPr>
              <w:jc w:val="both"/>
              <w:rPr>
                <w:b/>
                <w:bCs/>
                <w:sz w:val="20"/>
                <w:szCs w:val="20"/>
              </w:rPr>
            </w:pPr>
            <w:r w:rsidRPr="001F224B">
              <w:rPr>
                <w:b/>
                <w:bCs/>
                <w:sz w:val="20"/>
                <w:szCs w:val="20"/>
              </w:rPr>
              <w:t> </w:t>
            </w:r>
          </w:p>
        </w:tc>
        <w:tc>
          <w:tcPr>
            <w:tcW w:w="2547" w:type="dxa"/>
            <w:gridSpan w:val="2"/>
            <w:tcBorders>
              <w:top w:val="single" w:sz="4" w:space="0" w:color="auto"/>
              <w:left w:val="nil"/>
              <w:bottom w:val="single" w:sz="4" w:space="0" w:color="auto"/>
              <w:right w:val="single" w:sz="4" w:space="0" w:color="auto"/>
            </w:tcBorders>
            <w:shd w:val="clear" w:color="000000" w:fill="FFFFFF"/>
            <w:vAlign w:val="bottom"/>
          </w:tcPr>
          <w:p w14:paraId="4DEAC2FB" w14:textId="77777777" w:rsidR="00C5334A" w:rsidRPr="001F224B" w:rsidRDefault="00C5334A" w:rsidP="00C5334A">
            <w:pPr>
              <w:jc w:val="center"/>
              <w:rPr>
                <w:b/>
                <w:bCs/>
                <w:sz w:val="20"/>
                <w:szCs w:val="20"/>
              </w:rPr>
            </w:pPr>
            <w:r w:rsidRPr="001F224B">
              <w:rPr>
                <w:b/>
                <w:bCs/>
                <w:sz w:val="20"/>
                <w:szCs w:val="20"/>
              </w:rPr>
              <w:t>Cari Dönem</w:t>
            </w:r>
          </w:p>
          <w:p w14:paraId="0075074C" w14:textId="453107AC" w:rsidR="00C5334A" w:rsidRPr="001F224B" w:rsidRDefault="00C5334A" w:rsidP="00C5334A">
            <w:pPr>
              <w:jc w:val="center"/>
              <w:rPr>
                <w:b/>
                <w:bCs/>
                <w:sz w:val="20"/>
                <w:szCs w:val="20"/>
              </w:rPr>
            </w:pPr>
            <w:r w:rsidRPr="001F224B">
              <w:rPr>
                <w:b/>
                <w:bCs/>
                <w:sz w:val="20"/>
                <w:szCs w:val="20"/>
              </w:rPr>
              <w:t>(3</w:t>
            </w:r>
            <w:r w:rsidR="006660EC" w:rsidRPr="001F224B">
              <w:rPr>
                <w:b/>
                <w:bCs/>
                <w:sz w:val="20"/>
                <w:szCs w:val="20"/>
              </w:rPr>
              <w:t>0</w:t>
            </w:r>
            <w:r w:rsidRPr="001F224B">
              <w:rPr>
                <w:b/>
                <w:bCs/>
                <w:sz w:val="20"/>
                <w:szCs w:val="20"/>
              </w:rPr>
              <w:t>.</w:t>
            </w:r>
            <w:r w:rsidR="00472E26" w:rsidRPr="001F224B">
              <w:rPr>
                <w:b/>
                <w:bCs/>
                <w:sz w:val="20"/>
                <w:szCs w:val="20"/>
              </w:rPr>
              <w:t>0</w:t>
            </w:r>
            <w:r w:rsidR="006660EC" w:rsidRPr="001F224B">
              <w:rPr>
                <w:b/>
                <w:bCs/>
                <w:sz w:val="20"/>
                <w:szCs w:val="20"/>
              </w:rPr>
              <w:t>6</w:t>
            </w:r>
            <w:r w:rsidRPr="001F224B">
              <w:rPr>
                <w:b/>
                <w:bCs/>
                <w:sz w:val="20"/>
                <w:szCs w:val="20"/>
              </w:rPr>
              <w:t>.202</w:t>
            </w:r>
            <w:r w:rsidR="00472E26" w:rsidRPr="001F224B">
              <w:rPr>
                <w:b/>
                <w:bCs/>
                <w:sz w:val="20"/>
                <w:szCs w:val="20"/>
              </w:rPr>
              <w:t>5</w:t>
            </w:r>
            <w:r w:rsidRPr="001F224B">
              <w:rPr>
                <w:b/>
                <w:bCs/>
                <w:sz w:val="20"/>
                <w:szCs w:val="20"/>
              </w:rPr>
              <w:t>)</w:t>
            </w:r>
          </w:p>
        </w:tc>
        <w:tc>
          <w:tcPr>
            <w:tcW w:w="2432" w:type="dxa"/>
            <w:gridSpan w:val="2"/>
            <w:tcBorders>
              <w:top w:val="single" w:sz="4" w:space="0" w:color="auto"/>
              <w:left w:val="nil"/>
              <w:bottom w:val="single" w:sz="4" w:space="0" w:color="auto"/>
              <w:right w:val="single" w:sz="4" w:space="0" w:color="000000"/>
            </w:tcBorders>
            <w:shd w:val="clear" w:color="000000" w:fill="FFFFFF"/>
            <w:vAlign w:val="bottom"/>
          </w:tcPr>
          <w:p w14:paraId="57F5F2B7" w14:textId="77777777" w:rsidR="00C5334A" w:rsidRPr="001F224B" w:rsidRDefault="00C5334A" w:rsidP="00C5334A">
            <w:pPr>
              <w:jc w:val="center"/>
              <w:rPr>
                <w:b/>
                <w:bCs/>
                <w:sz w:val="20"/>
                <w:szCs w:val="20"/>
              </w:rPr>
            </w:pPr>
            <w:r w:rsidRPr="001F224B">
              <w:rPr>
                <w:b/>
                <w:bCs/>
                <w:sz w:val="20"/>
                <w:szCs w:val="20"/>
              </w:rPr>
              <w:t>Önceki Dönem</w:t>
            </w:r>
          </w:p>
          <w:p w14:paraId="7EE0D356" w14:textId="4044A6FA" w:rsidR="00C5334A" w:rsidRPr="001F224B" w:rsidRDefault="00C5334A" w:rsidP="00C5334A">
            <w:pPr>
              <w:jc w:val="center"/>
              <w:rPr>
                <w:b/>
                <w:bCs/>
                <w:sz w:val="20"/>
                <w:szCs w:val="20"/>
              </w:rPr>
            </w:pPr>
            <w:r w:rsidRPr="001F224B">
              <w:rPr>
                <w:b/>
                <w:bCs/>
                <w:sz w:val="20"/>
                <w:szCs w:val="20"/>
              </w:rPr>
              <w:t>(3</w:t>
            </w:r>
            <w:r w:rsidR="006F4893" w:rsidRPr="001F224B">
              <w:rPr>
                <w:b/>
                <w:bCs/>
                <w:sz w:val="20"/>
                <w:szCs w:val="20"/>
              </w:rPr>
              <w:t>0</w:t>
            </w:r>
            <w:r w:rsidRPr="001F224B">
              <w:rPr>
                <w:b/>
                <w:bCs/>
                <w:sz w:val="20"/>
                <w:szCs w:val="20"/>
              </w:rPr>
              <w:t>.</w:t>
            </w:r>
            <w:r w:rsidR="00472E26" w:rsidRPr="001F224B">
              <w:rPr>
                <w:b/>
                <w:bCs/>
                <w:sz w:val="20"/>
                <w:szCs w:val="20"/>
              </w:rPr>
              <w:t>0</w:t>
            </w:r>
            <w:r w:rsidR="006F4893" w:rsidRPr="001F224B">
              <w:rPr>
                <w:b/>
                <w:bCs/>
                <w:sz w:val="20"/>
                <w:szCs w:val="20"/>
              </w:rPr>
              <w:t>6</w:t>
            </w:r>
            <w:r w:rsidRPr="001F224B">
              <w:rPr>
                <w:b/>
                <w:bCs/>
                <w:sz w:val="20"/>
                <w:szCs w:val="20"/>
              </w:rPr>
              <w:t>.202</w:t>
            </w:r>
            <w:r w:rsidR="00472E26" w:rsidRPr="001F224B">
              <w:rPr>
                <w:b/>
                <w:bCs/>
                <w:sz w:val="20"/>
                <w:szCs w:val="20"/>
              </w:rPr>
              <w:t>4</w:t>
            </w:r>
            <w:r w:rsidRPr="001F224B">
              <w:rPr>
                <w:b/>
                <w:bCs/>
                <w:sz w:val="20"/>
                <w:szCs w:val="20"/>
              </w:rPr>
              <w:t>)</w:t>
            </w:r>
          </w:p>
        </w:tc>
      </w:tr>
      <w:tr w:rsidR="005A40A5" w:rsidRPr="001F224B" w14:paraId="1A80C7AC" w14:textId="77777777" w:rsidTr="0033482E">
        <w:trPr>
          <w:trHeight w:val="227"/>
        </w:trPr>
        <w:tc>
          <w:tcPr>
            <w:tcW w:w="4802" w:type="dxa"/>
            <w:vMerge/>
            <w:tcBorders>
              <w:top w:val="single" w:sz="4" w:space="0" w:color="auto"/>
              <w:left w:val="single" w:sz="4" w:space="0" w:color="auto"/>
              <w:bottom w:val="single" w:sz="4" w:space="0" w:color="auto"/>
              <w:right w:val="single" w:sz="4" w:space="0" w:color="auto"/>
            </w:tcBorders>
            <w:vAlign w:val="center"/>
          </w:tcPr>
          <w:p w14:paraId="541AC6E6" w14:textId="77777777" w:rsidR="005A40A5" w:rsidRPr="001F224B" w:rsidRDefault="005A40A5" w:rsidP="004324E6">
            <w:pPr>
              <w:jc w:val="both"/>
              <w:rPr>
                <w:b/>
                <w:bCs/>
                <w:sz w:val="20"/>
                <w:szCs w:val="20"/>
              </w:rPr>
            </w:pPr>
          </w:p>
        </w:tc>
        <w:tc>
          <w:tcPr>
            <w:tcW w:w="1315" w:type="dxa"/>
            <w:tcBorders>
              <w:top w:val="nil"/>
              <w:left w:val="nil"/>
              <w:bottom w:val="single" w:sz="4" w:space="0" w:color="auto"/>
              <w:right w:val="single" w:sz="4" w:space="0" w:color="auto"/>
            </w:tcBorders>
            <w:shd w:val="clear" w:color="auto" w:fill="FFFFFF"/>
            <w:vAlign w:val="bottom"/>
          </w:tcPr>
          <w:p w14:paraId="224D41B8" w14:textId="77777777" w:rsidR="005A40A5" w:rsidRPr="001F224B" w:rsidRDefault="005A40A5" w:rsidP="004324E6">
            <w:pPr>
              <w:jc w:val="center"/>
              <w:rPr>
                <w:b/>
                <w:bCs/>
                <w:sz w:val="20"/>
                <w:szCs w:val="20"/>
              </w:rPr>
            </w:pPr>
            <w:r w:rsidRPr="001F224B">
              <w:rPr>
                <w:b/>
                <w:bCs/>
                <w:sz w:val="20"/>
                <w:szCs w:val="20"/>
              </w:rPr>
              <w:t>TP</w:t>
            </w:r>
          </w:p>
        </w:tc>
        <w:tc>
          <w:tcPr>
            <w:tcW w:w="1232" w:type="dxa"/>
            <w:tcBorders>
              <w:top w:val="nil"/>
              <w:left w:val="nil"/>
              <w:bottom w:val="single" w:sz="4" w:space="0" w:color="auto"/>
              <w:right w:val="single" w:sz="4" w:space="0" w:color="auto"/>
            </w:tcBorders>
            <w:shd w:val="clear" w:color="auto" w:fill="FFFFFF"/>
            <w:vAlign w:val="bottom"/>
          </w:tcPr>
          <w:p w14:paraId="08DEF35C" w14:textId="77777777" w:rsidR="005A40A5" w:rsidRPr="001F224B" w:rsidRDefault="005A40A5" w:rsidP="004324E6">
            <w:pPr>
              <w:jc w:val="center"/>
              <w:rPr>
                <w:b/>
                <w:bCs/>
                <w:sz w:val="20"/>
                <w:szCs w:val="20"/>
              </w:rPr>
            </w:pPr>
            <w:r w:rsidRPr="001F224B">
              <w:rPr>
                <w:b/>
                <w:bCs/>
                <w:sz w:val="20"/>
                <w:szCs w:val="20"/>
              </w:rPr>
              <w:t>YP</w:t>
            </w:r>
          </w:p>
        </w:tc>
        <w:tc>
          <w:tcPr>
            <w:tcW w:w="1218" w:type="dxa"/>
            <w:tcBorders>
              <w:top w:val="nil"/>
              <w:left w:val="nil"/>
              <w:bottom w:val="single" w:sz="4" w:space="0" w:color="auto"/>
              <w:right w:val="single" w:sz="4" w:space="0" w:color="auto"/>
            </w:tcBorders>
            <w:shd w:val="clear" w:color="auto" w:fill="FFFFFF"/>
            <w:vAlign w:val="bottom"/>
          </w:tcPr>
          <w:p w14:paraId="6C2AB6C8" w14:textId="77777777" w:rsidR="005A40A5" w:rsidRPr="001F224B" w:rsidRDefault="005A40A5" w:rsidP="004324E6">
            <w:pPr>
              <w:jc w:val="center"/>
              <w:rPr>
                <w:b/>
                <w:bCs/>
                <w:sz w:val="20"/>
                <w:szCs w:val="20"/>
              </w:rPr>
            </w:pPr>
            <w:r w:rsidRPr="001F224B">
              <w:rPr>
                <w:b/>
                <w:bCs/>
                <w:sz w:val="20"/>
                <w:szCs w:val="20"/>
              </w:rPr>
              <w:t>TP</w:t>
            </w:r>
          </w:p>
        </w:tc>
        <w:tc>
          <w:tcPr>
            <w:tcW w:w="1214" w:type="dxa"/>
            <w:tcBorders>
              <w:top w:val="nil"/>
              <w:left w:val="nil"/>
              <w:bottom w:val="single" w:sz="4" w:space="0" w:color="auto"/>
              <w:right w:val="single" w:sz="4" w:space="0" w:color="auto"/>
            </w:tcBorders>
            <w:shd w:val="clear" w:color="auto" w:fill="FFFFFF"/>
            <w:vAlign w:val="bottom"/>
          </w:tcPr>
          <w:p w14:paraId="3DB316DC" w14:textId="77777777" w:rsidR="005A40A5" w:rsidRPr="001F224B" w:rsidRDefault="005A40A5" w:rsidP="004324E6">
            <w:pPr>
              <w:jc w:val="center"/>
              <w:rPr>
                <w:b/>
                <w:bCs/>
                <w:sz w:val="20"/>
                <w:szCs w:val="20"/>
              </w:rPr>
            </w:pPr>
            <w:r w:rsidRPr="001F224B">
              <w:rPr>
                <w:b/>
                <w:bCs/>
                <w:sz w:val="20"/>
                <w:szCs w:val="20"/>
              </w:rPr>
              <w:t>YP</w:t>
            </w:r>
          </w:p>
        </w:tc>
      </w:tr>
      <w:tr w:rsidR="00CE3F30" w:rsidRPr="001F224B" w14:paraId="52C6918D" w14:textId="77777777" w:rsidTr="0033482E">
        <w:trPr>
          <w:trHeight w:val="227"/>
        </w:trPr>
        <w:tc>
          <w:tcPr>
            <w:tcW w:w="4802" w:type="dxa"/>
            <w:tcBorders>
              <w:top w:val="nil"/>
              <w:left w:val="single" w:sz="4" w:space="0" w:color="auto"/>
              <w:bottom w:val="single" w:sz="4" w:space="0" w:color="auto"/>
              <w:right w:val="single" w:sz="4" w:space="0" w:color="auto"/>
            </w:tcBorders>
            <w:shd w:val="clear" w:color="auto" w:fill="FFFFFF"/>
            <w:noWrap/>
            <w:vAlign w:val="bottom"/>
          </w:tcPr>
          <w:p w14:paraId="5978CB7A" w14:textId="77777777" w:rsidR="00CE3F30" w:rsidRPr="001F224B" w:rsidRDefault="00CE3F30" w:rsidP="00CE3F30">
            <w:pPr>
              <w:jc w:val="both"/>
              <w:rPr>
                <w:bCs/>
                <w:sz w:val="20"/>
                <w:szCs w:val="20"/>
              </w:rPr>
            </w:pPr>
            <w:r w:rsidRPr="001F224B">
              <w:rPr>
                <w:bCs/>
                <w:sz w:val="20"/>
                <w:szCs w:val="20"/>
              </w:rPr>
              <w:t>İhraç Edilen Menkul Kıymetlere Verilen Faizler</w:t>
            </w:r>
          </w:p>
        </w:tc>
        <w:tc>
          <w:tcPr>
            <w:tcW w:w="1315" w:type="dxa"/>
            <w:tcBorders>
              <w:top w:val="single" w:sz="4" w:space="0" w:color="auto"/>
              <w:left w:val="nil"/>
              <w:bottom w:val="single" w:sz="4" w:space="0" w:color="auto"/>
              <w:right w:val="single" w:sz="4" w:space="0" w:color="auto"/>
            </w:tcBorders>
            <w:shd w:val="clear" w:color="auto" w:fill="FFFFFF"/>
            <w:vAlign w:val="bottom"/>
          </w:tcPr>
          <w:p w14:paraId="0A22F7CB" w14:textId="6D1E3AA7" w:rsidR="00CE3F30" w:rsidRPr="001F224B" w:rsidRDefault="00CE3F30" w:rsidP="00CE3F30">
            <w:pPr>
              <w:jc w:val="right"/>
              <w:rPr>
                <w:bCs/>
                <w:sz w:val="20"/>
                <w:szCs w:val="20"/>
              </w:rPr>
            </w:pPr>
            <w:r w:rsidRPr="001F224B">
              <w:rPr>
                <w:bCs/>
                <w:sz w:val="20"/>
                <w:szCs w:val="20"/>
              </w:rPr>
              <w:t>-</w:t>
            </w:r>
          </w:p>
        </w:tc>
        <w:tc>
          <w:tcPr>
            <w:tcW w:w="1232" w:type="dxa"/>
            <w:tcBorders>
              <w:top w:val="single" w:sz="4" w:space="0" w:color="auto"/>
              <w:left w:val="nil"/>
              <w:bottom w:val="single" w:sz="4" w:space="0" w:color="auto"/>
              <w:right w:val="single" w:sz="4" w:space="0" w:color="auto"/>
            </w:tcBorders>
            <w:shd w:val="clear" w:color="auto" w:fill="FFFFFF"/>
            <w:vAlign w:val="bottom"/>
          </w:tcPr>
          <w:p w14:paraId="7A88CC82" w14:textId="608F9369" w:rsidR="00CE3F30" w:rsidRPr="001F224B" w:rsidRDefault="00CE3F30" w:rsidP="00CE3F30">
            <w:pPr>
              <w:jc w:val="right"/>
              <w:rPr>
                <w:color w:val="000000"/>
                <w:sz w:val="20"/>
                <w:szCs w:val="20"/>
              </w:rPr>
            </w:pPr>
            <w:r w:rsidRPr="001F224B">
              <w:rPr>
                <w:bCs/>
                <w:sz w:val="20"/>
                <w:szCs w:val="20"/>
              </w:rPr>
              <w:t>205.648</w:t>
            </w:r>
          </w:p>
        </w:tc>
        <w:tc>
          <w:tcPr>
            <w:tcW w:w="1218" w:type="dxa"/>
            <w:tcBorders>
              <w:top w:val="single" w:sz="4" w:space="0" w:color="auto"/>
              <w:left w:val="nil"/>
              <w:bottom w:val="single" w:sz="4" w:space="0" w:color="auto"/>
              <w:right w:val="single" w:sz="4" w:space="0" w:color="auto"/>
            </w:tcBorders>
            <w:shd w:val="clear" w:color="auto" w:fill="FFFFFF"/>
            <w:vAlign w:val="bottom"/>
          </w:tcPr>
          <w:p w14:paraId="6D1A860B" w14:textId="2DD57F9D" w:rsidR="00CE3F30" w:rsidRPr="001F224B" w:rsidRDefault="00CE3F30" w:rsidP="00CE3F30">
            <w:pPr>
              <w:jc w:val="right"/>
              <w:rPr>
                <w:bCs/>
                <w:sz w:val="20"/>
                <w:szCs w:val="20"/>
              </w:rPr>
            </w:pPr>
            <w:r w:rsidRPr="001F224B">
              <w:rPr>
                <w:bCs/>
                <w:sz w:val="20"/>
                <w:szCs w:val="20"/>
              </w:rPr>
              <w:t>-</w:t>
            </w:r>
          </w:p>
        </w:tc>
        <w:tc>
          <w:tcPr>
            <w:tcW w:w="1214" w:type="dxa"/>
            <w:tcBorders>
              <w:top w:val="single" w:sz="4" w:space="0" w:color="auto"/>
              <w:left w:val="nil"/>
              <w:bottom w:val="single" w:sz="4" w:space="0" w:color="auto"/>
              <w:right w:val="single" w:sz="4" w:space="0" w:color="auto"/>
            </w:tcBorders>
            <w:shd w:val="clear" w:color="auto" w:fill="FFFFFF"/>
            <w:vAlign w:val="bottom"/>
          </w:tcPr>
          <w:p w14:paraId="2D9546B6" w14:textId="36B06096" w:rsidR="00CE3F30" w:rsidRPr="001F224B" w:rsidRDefault="00CE3F30" w:rsidP="00CE3F30">
            <w:pPr>
              <w:jc w:val="right"/>
              <w:rPr>
                <w:bCs/>
                <w:sz w:val="20"/>
                <w:szCs w:val="20"/>
              </w:rPr>
            </w:pPr>
            <w:r w:rsidRPr="001F224B">
              <w:rPr>
                <w:bCs/>
                <w:sz w:val="20"/>
                <w:szCs w:val="20"/>
              </w:rPr>
              <w:t>125.386</w:t>
            </w:r>
          </w:p>
        </w:tc>
      </w:tr>
    </w:tbl>
    <w:p w14:paraId="31D6BCB4" w14:textId="77777777" w:rsidR="00382B8D" w:rsidRPr="001F224B" w:rsidRDefault="00382B8D" w:rsidP="005514FC">
      <w:pPr>
        <w:tabs>
          <w:tab w:val="left" w:pos="567"/>
        </w:tabs>
        <w:spacing w:before="120" w:after="120"/>
        <w:jc w:val="both"/>
        <w:rPr>
          <w:b/>
          <w:bCs/>
          <w:sz w:val="22"/>
          <w:szCs w:val="22"/>
        </w:rPr>
      </w:pPr>
      <w:r w:rsidRPr="001F224B">
        <w:rPr>
          <w:b/>
          <w:bCs/>
          <w:sz w:val="22"/>
          <w:szCs w:val="22"/>
        </w:rPr>
        <w:t>2.ç)</w:t>
      </w:r>
      <w:r w:rsidRPr="001F224B">
        <w:rPr>
          <w:b/>
          <w:bCs/>
          <w:sz w:val="22"/>
          <w:szCs w:val="22"/>
        </w:rPr>
        <w:tab/>
        <w:t>Para piyasası işlemlerine verilen faizlere ilişkin bilgiler:</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435"/>
        <w:gridCol w:w="1234"/>
        <w:gridCol w:w="1218"/>
        <w:gridCol w:w="1092"/>
      </w:tblGrid>
      <w:tr w:rsidR="00C5334A" w:rsidRPr="001F224B" w14:paraId="7581A4BB" w14:textId="77777777" w:rsidTr="0033482E">
        <w:trPr>
          <w:trHeight w:val="227"/>
        </w:trPr>
        <w:tc>
          <w:tcPr>
            <w:tcW w:w="4802" w:type="dxa"/>
            <w:vMerge w:val="restart"/>
            <w:shd w:val="clear" w:color="auto" w:fill="FFFFFF"/>
          </w:tcPr>
          <w:p w14:paraId="16120CBA" w14:textId="77777777" w:rsidR="00C5334A" w:rsidRPr="001F224B" w:rsidRDefault="00C5334A" w:rsidP="00C5334A">
            <w:pPr>
              <w:jc w:val="both"/>
              <w:rPr>
                <w:b/>
                <w:bCs/>
                <w:sz w:val="20"/>
                <w:szCs w:val="20"/>
              </w:rPr>
            </w:pPr>
            <w:r w:rsidRPr="001F224B">
              <w:rPr>
                <w:b/>
                <w:bCs/>
                <w:sz w:val="20"/>
                <w:szCs w:val="20"/>
              </w:rPr>
              <w:t> </w:t>
            </w:r>
          </w:p>
        </w:tc>
        <w:tc>
          <w:tcPr>
            <w:tcW w:w="2669" w:type="dxa"/>
            <w:gridSpan w:val="2"/>
            <w:shd w:val="clear" w:color="000000" w:fill="FFFFFF"/>
            <w:vAlign w:val="bottom"/>
          </w:tcPr>
          <w:p w14:paraId="42300CEE" w14:textId="77777777" w:rsidR="00C5334A" w:rsidRPr="001F224B" w:rsidRDefault="00C5334A" w:rsidP="00C5334A">
            <w:pPr>
              <w:jc w:val="center"/>
              <w:rPr>
                <w:b/>
                <w:bCs/>
                <w:sz w:val="20"/>
                <w:szCs w:val="20"/>
              </w:rPr>
            </w:pPr>
            <w:r w:rsidRPr="001F224B">
              <w:rPr>
                <w:b/>
                <w:bCs/>
                <w:sz w:val="20"/>
                <w:szCs w:val="20"/>
              </w:rPr>
              <w:t>Cari Dönem</w:t>
            </w:r>
          </w:p>
          <w:p w14:paraId="19327635" w14:textId="126DA957" w:rsidR="00C5334A" w:rsidRPr="001F224B" w:rsidRDefault="00C5334A" w:rsidP="00C5334A">
            <w:pPr>
              <w:jc w:val="center"/>
              <w:rPr>
                <w:b/>
                <w:bCs/>
                <w:sz w:val="20"/>
                <w:szCs w:val="20"/>
              </w:rPr>
            </w:pPr>
            <w:r w:rsidRPr="001F224B">
              <w:rPr>
                <w:b/>
                <w:bCs/>
                <w:sz w:val="20"/>
                <w:szCs w:val="20"/>
              </w:rPr>
              <w:t>(3</w:t>
            </w:r>
            <w:r w:rsidR="006F4893" w:rsidRPr="001F224B">
              <w:rPr>
                <w:b/>
                <w:bCs/>
                <w:sz w:val="20"/>
                <w:szCs w:val="20"/>
              </w:rPr>
              <w:t>0</w:t>
            </w:r>
            <w:r w:rsidRPr="001F224B">
              <w:rPr>
                <w:b/>
                <w:bCs/>
                <w:sz w:val="20"/>
                <w:szCs w:val="20"/>
              </w:rPr>
              <w:t>.</w:t>
            </w:r>
            <w:r w:rsidR="006D1456" w:rsidRPr="001F224B">
              <w:rPr>
                <w:b/>
                <w:bCs/>
                <w:sz w:val="20"/>
                <w:szCs w:val="20"/>
              </w:rPr>
              <w:t>0</w:t>
            </w:r>
            <w:r w:rsidR="006F4893" w:rsidRPr="001F224B">
              <w:rPr>
                <w:b/>
                <w:bCs/>
                <w:sz w:val="20"/>
                <w:szCs w:val="20"/>
              </w:rPr>
              <w:t>6</w:t>
            </w:r>
            <w:r w:rsidRPr="001F224B">
              <w:rPr>
                <w:b/>
                <w:bCs/>
                <w:sz w:val="20"/>
                <w:szCs w:val="20"/>
              </w:rPr>
              <w:t>.202</w:t>
            </w:r>
            <w:r w:rsidR="006D1456" w:rsidRPr="001F224B">
              <w:rPr>
                <w:b/>
                <w:bCs/>
                <w:sz w:val="20"/>
                <w:szCs w:val="20"/>
              </w:rPr>
              <w:t>5</w:t>
            </w:r>
            <w:r w:rsidRPr="001F224B">
              <w:rPr>
                <w:b/>
                <w:bCs/>
                <w:sz w:val="20"/>
                <w:szCs w:val="20"/>
              </w:rPr>
              <w:t>)</w:t>
            </w:r>
          </w:p>
        </w:tc>
        <w:tc>
          <w:tcPr>
            <w:tcW w:w="2310" w:type="dxa"/>
            <w:gridSpan w:val="2"/>
            <w:shd w:val="clear" w:color="000000" w:fill="FFFFFF"/>
            <w:vAlign w:val="bottom"/>
          </w:tcPr>
          <w:p w14:paraId="4BCA3901" w14:textId="77777777" w:rsidR="00C5334A" w:rsidRPr="001F224B" w:rsidRDefault="00C5334A" w:rsidP="00C5334A">
            <w:pPr>
              <w:jc w:val="center"/>
              <w:rPr>
                <w:b/>
                <w:bCs/>
                <w:sz w:val="20"/>
                <w:szCs w:val="20"/>
              </w:rPr>
            </w:pPr>
            <w:r w:rsidRPr="001F224B">
              <w:rPr>
                <w:b/>
                <w:bCs/>
                <w:sz w:val="20"/>
                <w:szCs w:val="20"/>
              </w:rPr>
              <w:t>Önceki Dönem</w:t>
            </w:r>
          </w:p>
          <w:p w14:paraId="1760BEBA" w14:textId="5EE98ABF" w:rsidR="00C5334A" w:rsidRPr="001F224B" w:rsidRDefault="00C5334A" w:rsidP="00C5334A">
            <w:pPr>
              <w:jc w:val="center"/>
              <w:rPr>
                <w:b/>
                <w:bCs/>
                <w:sz w:val="20"/>
                <w:szCs w:val="20"/>
              </w:rPr>
            </w:pPr>
            <w:r w:rsidRPr="001F224B">
              <w:rPr>
                <w:b/>
                <w:bCs/>
                <w:sz w:val="20"/>
                <w:szCs w:val="20"/>
              </w:rPr>
              <w:t>(3</w:t>
            </w:r>
            <w:r w:rsidR="006F4893" w:rsidRPr="001F224B">
              <w:rPr>
                <w:b/>
                <w:bCs/>
                <w:sz w:val="20"/>
                <w:szCs w:val="20"/>
              </w:rPr>
              <w:t>0</w:t>
            </w:r>
            <w:r w:rsidR="006D1456" w:rsidRPr="001F224B">
              <w:rPr>
                <w:b/>
                <w:bCs/>
                <w:sz w:val="20"/>
                <w:szCs w:val="20"/>
              </w:rPr>
              <w:t>.0</w:t>
            </w:r>
            <w:r w:rsidR="006F4893" w:rsidRPr="001F224B">
              <w:rPr>
                <w:b/>
                <w:bCs/>
                <w:sz w:val="20"/>
                <w:szCs w:val="20"/>
              </w:rPr>
              <w:t>6</w:t>
            </w:r>
            <w:r w:rsidRPr="001F224B">
              <w:rPr>
                <w:b/>
                <w:bCs/>
                <w:sz w:val="20"/>
                <w:szCs w:val="20"/>
              </w:rPr>
              <w:t>.202</w:t>
            </w:r>
            <w:r w:rsidR="00472E26" w:rsidRPr="001F224B">
              <w:rPr>
                <w:b/>
                <w:bCs/>
                <w:sz w:val="20"/>
                <w:szCs w:val="20"/>
              </w:rPr>
              <w:t>4</w:t>
            </w:r>
            <w:r w:rsidRPr="001F224B">
              <w:rPr>
                <w:b/>
                <w:bCs/>
                <w:sz w:val="20"/>
                <w:szCs w:val="20"/>
              </w:rPr>
              <w:t>)</w:t>
            </w:r>
          </w:p>
        </w:tc>
      </w:tr>
      <w:tr w:rsidR="00382B8D" w:rsidRPr="001F224B" w14:paraId="12F78141" w14:textId="77777777" w:rsidTr="0033482E">
        <w:trPr>
          <w:trHeight w:val="227"/>
        </w:trPr>
        <w:tc>
          <w:tcPr>
            <w:tcW w:w="4802" w:type="dxa"/>
            <w:vMerge/>
            <w:vAlign w:val="center"/>
          </w:tcPr>
          <w:p w14:paraId="09999EDC" w14:textId="77777777" w:rsidR="00382B8D" w:rsidRPr="001F224B" w:rsidRDefault="00382B8D" w:rsidP="001B56B8">
            <w:pPr>
              <w:jc w:val="both"/>
              <w:rPr>
                <w:b/>
                <w:bCs/>
                <w:sz w:val="20"/>
                <w:szCs w:val="20"/>
              </w:rPr>
            </w:pPr>
          </w:p>
        </w:tc>
        <w:tc>
          <w:tcPr>
            <w:tcW w:w="1435" w:type="dxa"/>
            <w:tcBorders>
              <w:bottom w:val="single" w:sz="4" w:space="0" w:color="auto"/>
            </w:tcBorders>
            <w:shd w:val="clear" w:color="auto" w:fill="FFFFFF"/>
            <w:vAlign w:val="bottom"/>
          </w:tcPr>
          <w:p w14:paraId="65701A63" w14:textId="77777777" w:rsidR="00382B8D" w:rsidRPr="001F224B" w:rsidRDefault="00382B8D" w:rsidP="00291E0A">
            <w:pPr>
              <w:jc w:val="center"/>
              <w:rPr>
                <w:b/>
                <w:bCs/>
                <w:sz w:val="20"/>
                <w:szCs w:val="20"/>
              </w:rPr>
            </w:pPr>
            <w:r w:rsidRPr="001F224B">
              <w:rPr>
                <w:b/>
                <w:bCs/>
                <w:sz w:val="20"/>
                <w:szCs w:val="20"/>
              </w:rPr>
              <w:t>TP</w:t>
            </w:r>
          </w:p>
        </w:tc>
        <w:tc>
          <w:tcPr>
            <w:tcW w:w="1234" w:type="dxa"/>
            <w:tcBorders>
              <w:bottom w:val="single" w:sz="4" w:space="0" w:color="auto"/>
            </w:tcBorders>
            <w:shd w:val="clear" w:color="auto" w:fill="FFFFFF"/>
            <w:vAlign w:val="bottom"/>
          </w:tcPr>
          <w:p w14:paraId="18B13836" w14:textId="77777777" w:rsidR="00382B8D" w:rsidRPr="001F224B" w:rsidRDefault="00382B8D" w:rsidP="00291E0A">
            <w:pPr>
              <w:jc w:val="center"/>
              <w:rPr>
                <w:b/>
                <w:bCs/>
                <w:sz w:val="20"/>
                <w:szCs w:val="20"/>
              </w:rPr>
            </w:pPr>
            <w:r w:rsidRPr="001F224B">
              <w:rPr>
                <w:b/>
                <w:bCs/>
                <w:sz w:val="20"/>
                <w:szCs w:val="20"/>
              </w:rPr>
              <w:t>YP</w:t>
            </w:r>
          </w:p>
        </w:tc>
        <w:tc>
          <w:tcPr>
            <w:tcW w:w="1218" w:type="dxa"/>
            <w:tcBorders>
              <w:bottom w:val="single" w:sz="4" w:space="0" w:color="auto"/>
            </w:tcBorders>
            <w:shd w:val="clear" w:color="auto" w:fill="FFFFFF"/>
            <w:vAlign w:val="bottom"/>
          </w:tcPr>
          <w:p w14:paraId="61C626D6" w14:textId="77777777" w:rsidR="00382B8D" w:rsidRPr="001F224B" w:rsidRDefault="00382B8D" w:rsidP="00291E0A">
            <w:pPr>
              <w:jc w:val="center"/>
              <w:rPr>
                <w:b/>
                <w:bCs/>
                <w:sz w:val="20"/>
                <w:szCs w:val="20"/>
              </w:rPr>
            </w:pPr>
            <w:r w:rsidRPr="001F224B">
              <w:rPr>
                <w:b/>
                <w:bCs/>
                <w:sz w:val="20"/>
                <w:szCs w:val="20"/>
              </w:rPr>
              <w:t>TP</w:t>
            </w:r>
          </w:p>
        </w:tc>
        <w:tc>
          <w:tcPr>
            <w:tcW w:w="1092" w:type="dxa"/>
            <w:tcBorders>
              <w:bottom w:val="single" w:sz="4" w:space="0" w:color="auto"/>
            </w:tcBorders>
            <w:shd w:val="clear" w:color="auto" w:fill="FFFFFF"/>
            <w:vAlign w:val="bottom"/>
          </w:tcPr>
          <w:p w14:paraId="09CCDAEE" w14:textId="77777777" w:rsidR="00382B8D" w:rsidRPr="001F224B" w:rsidRDefault="00382B8D" w:rsidP="00291E0A">
            <w:pPr>
              <w:jc w:val="center"/>
              <w:rPr>
                <w:b/>
                <w:bCs/>
                <w:sz w:val="20"/>
                <w:szCs w:val="20"/>
              </w:rPr>
            </w:pPr>
            <w:r w:rsidRPr="001F224B">
              <w:rPr>
                <w:b/>
                <w:bCs/>
                <w:sz w:val="20"/>
                <w:szCs w:val="20"/>
              </w:rPr>
              <w:t>YP</w:t>
            </w:r>
          </w:p>
        </w:tc>
      </w:tr>
      <w:tr w:rsidR="00CE3F30" w:rsidRPr="001F224B" w14:paraId="76C2D847" w14:textId="77777777" w:rsidTr="00CE3F30">
        <w:trPr>
          <w:trHeight w:val="227"/>
        </w:trPr>
        <w:tc>
          <w:tcPr>
            <w:tcW w:w="4802" w:type="dxa"/>
            <w:shd w:val="clear" w:color="auto" w:fill="FFFFFF"/>
            <w:noWrap/>
            <w:vAlign w:val="bottom"/>
          </w:tcPr>
          <w:p w14:paraId="3C265535" w14:textId="6F03243F" w:rsidR="00CE3F30" w:rsidRPr="001F224B" w:rsidRDefault="00CE3F30" w:rsidP="00CE3F30">
            <w:pPr>
              <w:jc w:val="both"/>
              <w:rPr>
                <w:bCs/>
                <w:sz w:val="20"/>
                <w:szCs w:val="20"/>
              </w:rPr>
            </w:pPr>
            <w:r w:rsidRPr="001F224B">
              <w:rPr>
                <w:bCs/>
                <w:sz w:val="20"/>
                <w:szCs w:val="20"/>
              </w:rPr>
              <w:t>Para Piyasası İşlemlerine Verilen Faizler</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bottom"/>
          </w:tcPr>
          <w:p w14:paraId="259FADBE" w14:textId="227D113D" w:rsidR="00CE3F30" w:rsidRPr="001F224B" w:rsidRDefault="00CE3F30" w:rsidP="00CE3F30">
            <w:pPr>
              <w:jc w:val="right"/>
              <w:rPr>
                <w:bCs/>
                <w:sz w:val="20"/>
                <w:szCs w:val="20"/>
              </w:rPr>
            </w:pPr>
            <w:r w:rsidRPr="001F224B">
              <w:rPr>
                <w:bCs/>
                <w:sz w:val="20"/>
                <w:szCs w:val="20"/>
              </w:rPr>
              <w:t>29.135</w:t>
            </w:r>
          </w:p>
        </w:tc>
        <w:tc>
          <w:tcPr>
            <w:tcW w:w="1234" w:type="dxa"/>
            <w:tcBorders>
              <w:top w:val="single" w:sz="4" w:space="0" w:color="auto"/>
              <w:left w:val="single" w:sz="4" w:space="0" w:color="auto"/>
              <w:bottom w:val="single" w:sz="4" w:space="0" w:color="auto"/>
              <w:right w:val="single" w:sz="4" w:space="0" w:color="auto"/>
            </w:tcBorders>
            <w:shd w:val="clear" w:color="000000" w:fill="FFFFFF"/>
            <w:vAlign w:val="bottom"/>
          </w:tcPr>
          <w:p w14:paraId="79D9238B" w14:textId="3FC5248A" w:rsidR="00CE3F30" w:rsidRPr="001F224B" w:rsidRDefault="00CE3F30" w:rsidP="00CE3F30">
            <w:pPr>
              <w:jc w:val="right"/>
              <w:rPr>
                <w:bCs/>
                <w:sz w:val="20"/>
                <w:szCs w:val="20"/>
              </w:rPr>
            </w:pPr>
            <w:r w:rsidRPr="001F224B">
              <w:rPr>
                <w:bCs/>
                <w:sz w:val="20"/>
                <w:szCs w:val="20"/>
              </w:rPr>
              <w:t>-</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bottom"/>
          </w:tcPr>
          <w:p w14:paraId="1A357D51" w14:textId="3D6C4898" w:rsidR="00CE3F30" w:rsidRPr="001F224B" w:rsidRDefault="00CE3F30" w:rsidP="00CE3F30">
            <w:pPr>
              <w:jc w:val="right"/>
              <w:rPr>
                <w:sz w:val="20"/>
                <w:szCs w:val="20"/>
              </w:rPr>
            </w:pPr>
            <w:r w:rsidRPr="001F224B">
              <w:rPr>
                <w:bCs/>
                <w:sz w:val="20"/>
                <w:szCs w:val="20"/>
              </w:rPr>
              <w:t>22.283</w:t>
            </w:r>
          </w:p>
        </w:tc>
        <w:tc>
          <w:tcPr>
            <w:tcW w:w="1092" w:type="dxa"/>
            <w:tcBorders>
              <w:top w:val="single" w:sz="4" w:space="0" w:color="auto"/>
              <w:left w:val="single" w:sz="4" w:space="0" w:color="auto"/>
              <w:bottom w:val="single" w:sz="4" w:space="0" w:color="auto"/>
            </w:tcBorders>
            <w:shd w:val="clear" w:color="auto" w:fill="FFFFFF"/>
            <w:vAlign w:val="bottom"/>
          </w:tcPr>
          <w:p w14:paraId="11153C9C" w14:textId="215E554A" w:rsidR="00CE3F30" w:rsidRPr="001F224B" w:rsidRDefault="00CE3F30" w:rsidP="00CE3F30">
            <w:pPr>
              <w:jc w:val="right"/>
              <w:rPr>
                <w:bCs/>
                <w:sz w:val="20"/>
                <w:szCs w:val="20"/>
              </w:rPr>
            </w:pPr>
            <w:r w:rsidRPr="001F224B">
              <w:rPr>
                <w:bCs/>
                <w:sz w:val="20"/>
                <w:szCs w:val="20"/>
              </w:rPr>
              <w:t>-</w:t>
            </w:r>
          </w:p>
        </w:tc>
      </w:tr>
      <w:tr w:rsidR="00CE3F30" w:rsidRPr="001F224B" w14:paraId="61D5D31B" w14:textId="77777777" w:rsidTr="00CE3F30">
        <w:trPr>
          <w:trHeight w:val="227"/>
        </w:trPr>
        <w:tc>
          <w:tcPr>
            <w:tcW w:w="4802" w:type="dxa"/>
            <w:shd w:val="clear" w:color="auto" w:fill="FFFFFF"/>
            <w:noWrap/>
            <w:vAlign w:val="bottom"/>
          </w:tcPr>
          <w:p w14:paraId="2BF0110F" w14:textId="25E42D82" w:rsidR="00CE3F30" w:rsidRPr="001F224B" w:rsidRDefault="00CE3F30" w:rsidP="00CE3F30">
            <w:pPr>
              <w:jc w:val="both"/>
              <w:rPr>
                <w:bCs/>
                <w:sz w:val="20"/>
                <w:szCs w:val="20"/>
              </w:rPr>
            </w:pPr>
            <w:r w:rsidRPr="001F224B">
              <w:rPr>
                <w:bCs/>
                <w:sz w:val="20"/>
                <w:szCs w:val="20"/>
              </w:rPr>
              <w:t>Repo İşlemlerine Verilen Faizler</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bottom"/>
          </w:tcPr>
          <w:p w14:paraId="33CB2A44" w14:textId="05554332" w:rsidR="00CE3F30" w:rsidRPr="001F224B" w:rsidRDefault="00CE3F30" w:rsidP="00CE3F30">
            <w:pPr>
              <w:jc w:val="right"/>
              <w:rPr>
                <w:bCs/>
                <w:sz w:val="20"/>
                <w:szCs w:val="20"/>
              </w:rPr>
            </w:pPr>
            <w:r w:rsidRPr="001F224B">
              <w:rPr>
                <w:bCs/>
                <w:sz w:val="20"/>
                <w:szCs w:val="20"/>
              </w:rPr>
              <w:t>690.089</w:t>
            </w:r>
          </w:p>
        </w:tc>
        <w:tc>
          <w:tcPr>
            <w:tcW w:w="1234" w:type="dxa"/>
            <w:tcBorders>
              <w:top w:val="single" w:sz="4" w:space="0" w:color="auto"/>
              <w:left w:val="single" w:sz="4" w:space="0" w:color="auto"/>
              <w:bottom w:val="single" w:sz="4" w:space="0" w:color="auto"/>
              <w:right w:val="single" w:sz="4" w:space="0" w:color="auto"/>
            </w:tcBorders>
            <w:shd w:val="clear" w:color="000000" w:fill="FFFFFF"/>
            <w:vAlign w:val="bottom"/>
          </w:tcPr>
          <w:p w14:paraId="142146ED" w14:textId="0DEAF29E" w:rsidR="00CE3F30" w:rsidRPr="001F224B" w:rsidRDefault="00CE3F30" w:rsidP="00CE3F30">
            <w:pPr>
              <w:jc w:val="right"/>
              <w:rPr>
                <w:bCs/>
                <w:sz w:val="20"/>
                <w:szCs w:val="20"/>
              </w:rPr>
            </w:pPr>
            <w:r w:rsidRPr="001F224B">
              <w:rPr>
                <w:bCs/>
                <w:sz w:val="20"/>
                <w:szCs w:val="20"/>
              </w:rPr>
              <w:t>657</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bottom"/>
          </w:tcPr>
          <w:p w14:paraId="5BAAABDE" w14:textId="429A3FE6" w:rsidR="00CE3F30" w:rsidRPr="001F224B" w:rsidRDefault="00CE3F30" w:rsidP="00CE3F30">
            <w:pPr>
              <w:jc w:val="right"/>
              <w:rPr>
                <w:sz w:val="20"/>
                <w:szCs w:val="20"/>
              </w:rPr>
            </w:pPr>
            <w:r w:rsidRPr="001F224B">
              <w:rPr>
                <w:bCs/>
                <w:sz w:val="20"/>
                <w:szCs w:val="20"/>
              </w:rPr>
              <w:t>469.855</w:t>
            </w:r>
          </w:p>
        </w:tc>
        <w:tc>
          <w:tcPr>
            <w:tcW w:w="1092" w:type="dxa"/>
            <w:tcBorders>
              <w:top w:val="single" w:sz="4" w:space="0" w:color="auto"/>
              <w:left w:val="single" w:sz="4" w:space="0" w:color="auto"/>
              <w:bottom w:val="single" w:sz="4" w:space="0" w:color="auto"/>
            </w:tcBorders>
            <w:shd w:val="clear" w:color="auto" w:fill="FFFFFF"/>
            <w:vAlign w:val="bottom"/>
          </w:tcPr>
          <w:p w14:paraId="3D903F36" w14:textId="1400929B" w:rsidR="00CE3F30" w:rsidRPr="001F224B" w:rsidRDefault="00CE3F30" w:rsidP="00CE3F30">
            <w:pPr>
              <w:jc w:val="right"/>
              <w:rPr>
                <w:bCs/>
                <w:sz w:val="20"/>
                <w:szCs w:val="20"/>
              </w:rPr>
            </w:pPr>
            <w:r w:rsidRPr="001F224B">
              <w:rPr>
                <w:bCs/>
                <w:sz w:val="20"/>
                <w:szCs w:val="20"/>
              </w:rPr>
              <w:t>1.897</w:t>
            </w:r>
          </w:p>
        </w:tc>
      </w:tr>
      <w:tr w:rsidR="00CE3F30" w:rsidRPr="001F224B" w14:paraId="6BA754E4" w14:textId="77777777" w:rsidTr="00CE3F30">
        <w:trPr>
          <w:trHeight w:val="227"/>
        </w:trPr>
        <w:tc>
          <w:tcPr>
            <w:tcW w:w="4802" w:type="dxa"/>
            <w:shd w:val="clear" w:color="auto" w:fill="FFFFFF"/>
            <w:noWrap/>
            <w:vAlign w:val="bottom"/>
          </w:tcPr>
          <w:p w14:paraId="6310A080" w14:textId="77777777" w:rsidR="00CE3F30" w:rsidRPr="001F224B" w:rsidRDefault="00CE3F30" w:rsidP="00CE3F30">
            <w:pPr>
              <w:jc w:val="both"/>
              <w:rPr>
                <w:bCs/>
                <w:sz w:val="20"/>
                <w:szCs w:val="20"/>
              </w:rPr>
            </w:pPr>
            <w:r w:rsidRPr="001F224B">
              <w:rPr>
                <w:b/>
                <w:sz w:val="20"/>
                <w:szCs w:val="20"/>
              </w:rPr>
              <w:t>Toplam</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bottom"/>
          </w:tcPr>
          <w:p w14:paraId="0FEA4BB5" w14:textId="4BCBEBDF" w:rsidR="00CE3F30" w:rsidRPr="001F224B" w:rsidRDefault="00CE3F30" w:rsidP="00CE3F30">
            <w:pPr>
              <w:jc w:val="right"/>
              <w:rPr>
                <w:b/>
                <w:sz w:val="20"/>
                <w:szCs w:val="20"/>
              </w:rPr>
            </w:pPr>
            <w:r w:rsidRPr="001F224B">
              <w:rPr>
                <w:b/>
                <w:sz w:val="20"/>
                <w:szCs w:val="20"/>
              </w:rPr>
              <w:t>719.224</w:t>
            </w:r>
          </w:p>
        </w:tc>
        <w:tc>
          <w:tcPr>
            <w:tcW w:w="1234" w:type="dxa"/>
            <w:tcBorders>
              <w:top w:val="single" w:sz="4" w:space="0" w:color="auto"/>
              <w:left w:val="single" w:sz="4" w:space="0" w:color="auto"/>
              <w:bottom w:val="single" w:sz="4" w:space="0" w:color="auto"/>
              <w:right w:val="single" w:sz="4" w:space="0" w:color="auto"/>
            </w:tcBorders>
            <w:shd w:val="clear" w:color="000000" w:fill="FFFFFF"/>
            <w:vAlign w:val="bottom"/>
          </w:tcPr>
          <w:p w14:paraId="2A67263D" w14:textId="4042663A" w:rsidR="00CE3F30" w:rsidRPr="001F224B" w:rsidRDefault="00CE3F30" w:rsidP="00CE3F30">
            <w:pPr>
              <w:jc w:val="right"/>
              <w:rPr>
                <w:b/>
                <w:sz w:val="20"/>
                <w:szCs w:val="20"/>
              </w:rPr>
            </w:pPr>
            <w:r w:rsidRPr="001F224B">
              <w:rPr>
                <w:b/>
                <w:sz w:val="20"/>
                <w:szCs w:val="20"/>
              </w:rPr>
              <w:t>657</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bottom"/>
          </w:tcPr>
          <w:p w14:paraId="5232B093" w14:textId="258DC514" w:rsidR="00CE3F30" w:rsidRPr="001F224B" w:rsidRDefault="00CE3F30" w:rsidP="00CE3F30">
            <w:pPr>
              <w:jc w:val="right"/>
              <w:rPr>
                <w:b/>
                <w:bCs/>
                <w:sz w:val="20"/>
                <w:szCs w:val="20"/>
              </w:rPr>
            </w:pPr>
            <w:r w:rsidRPr="001F224B">
              <w:rPr>
                <w:b/>
                <w:sz w:val="20"/>
                <w:szCs w:val="20"/>
              </w:rPr>
              <w:t>492.138</w:t>
            </w:r>
          </w:p>
        </w:tc>
        <w:tc>
          <w:tcPr>
            <w:tcW w:w="1092" w:type="dxa"/>
            <w:tcBorders>
              <w:top w:val="single" w:sz="4" w:space="0" w:color="auto"/>
              <w:left w:val="single" w:sz="4" w:space="0" w:color="auto"/>
              <w:bottom w:val="single" w:sz="4" w:space="0" w:color="auto"/>
            </w:tcBorders>
            <w:shd w:val="clear" w:color="auto" w:fill="FFFFFF"/>
            <w:vAlign w:val="bottom"/>
          </w:tcPr>
          <w:p w14:paraId="7DACDD00" w14:textId="66EFAE5A" w:rsidR="00CE3F30" w:rsidRPr="001F224B" w:rsidRDefault="00CE3F30" w:rsidP="00CE3F30">
            <w:pPr>
              <w:jc w:val="right"/>
              <w:rPr>
                <w:bCs/>
                <w:sz w:val="20"/>
                <w:szCs w:val="20"/>
              </w:rPr>
            </w:pPr>
            <w:r w:rsidRPr="001F224B">
              <w:rPr>
                <w:b/>
                <w:sz w:val="20"/>
                <w:szCs w:val="20"/>
              </w:rPr>
              <w:t>1.897</w:t>
            </w:r>
          </w:p>
        </w:tc>
      </w:tr>
    </w:tbl>
    <w:p w14:paraId="0D708D77" w14:textId="77777777" w:rsidR="0087785C" w:rsidRPr="001F224B" w:rsidRDefault="0087785C" w:rsidP="0087785C">
      <w:pPr>
        <w:tabs>
          <w:tab w:val="left" w:pos="567"/>
        </w:tabs>
        <w:spacing w:before="120" w:after="120"/>
        <w:jc w:val="both"/>
        <w:rPr>
          <w:b/>
          <w:bCs/>
          <w:sz w:val="22"/>
          <w:szCs w:val="22"/>
        </w:rPr>
      </w:pPr>
      <w:r w:rsidRPr="001F224B">
        <w:rPr>
          <w:b/>
          <w:bCs/>
          <w:sz w:val="22"/>
          <w:szCs w:val="22"/>
        </w:rPr>
        <w:t>2.d)</w:t>
      </w:r>
      <w:r w:rsidR="00547F16" w:rsidRPr="001F224B">
        <w:rPr>
          <w:b/>
          <w:bCs/>
          <w:sz w:val="22"/>
          <w:szCs w:val="22"/>
        </w:rPr>
        <w:tab/>
      </w:r>
      <w:r w:rsidRPr="001F224B">
        <w:rPr>
          <w:b/>
          <w:bCs/>
          <w:sz w:val="22"/>
          <w:szCs w:val="22"/>
        </w:rPr>
        <w:t>Kiralama faiz giderlerine ilişkin bilgiler:</w:t>
      </w:r>
    </w:p>
    <w:tbl>
      <w:tblPr>
        <w:tblW w:w="9739" w:type="dxa"/>
        <w:tblInd w:w="37" w:type="dxa"/>
        <w:tblCellMar>
          <w:left w:w="70" w:type="dxa"/>
          <w:right w:w="70" w:type="dxa"/>
        </w:tblCellMar>
        <w:tblLook w:val="0000" w:firstRow="0" w:lastRow="0" w:firstColumn="0" w:lastColumn="0" w:noHBand="0" w:noVBand="0"/>
      </w:tblPr>
      <w:tblGrid>
        <w:gridCol w:w="4760"/>
        <w:gridCol w:w="1435"/>
        <w:gridCol w:w="1204"/>
        <w:gridCol w:w="1190"/>
        <w:gridCol w:w="1150"/>
      </w:tblGrid>
      <w:tr w:rsidR="00C5334A" w:rsidRPr="001F224B" w14:paraId="3D489DD0" w14:textId="77777777" w:rsidTr="0033482E">
        <w:trPr>
          <w:trHeight w:val="227"/>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tcPr>
          <w:p w14:paraId="31EFD198" w14:textId="77777777" w:rsidR="00C5334A" w:rsidRPr="001F224B" w:rsidRDefault="00C5334A" w:rsidP="00C5334A">
            <w:pPr>
              <w:jc w:val="both"/>
              <w:rPr>
                <w:b/>
                <w:bCs/>
                <w:sz w:val="20"/>
                <w:szCs w:val="20"/>
              </w:rPr>
            </w:pPr>
            <w:r w:rsidRPr="001F224B">
              <w:rPr>
                <w:b/>
                <w:bCs/>
                <w:sz w:val="20"/>
                <w:szCs w:val="20"/>
              </w:rPr>
              <w:t> </w:t>
            </w:r>
          </w:p>
        </w:tc>
        <w:tc>
          <w:tcPr>
            <w:tcW w:w="2639" w:type="dxa"/>
            <w:gridSpan w:val="2"/>
            <w:tcBorders>
              <w:top w:val="single" w:sz="4" w:space="0" w:color="auto"/>
              <w:left w:val="nil"/>
              <w:bottom w:val="single" w:sz="4" w:space="0" w:color="auto"/>
              <w:right w:val="single" w:sz="4" w:space="0" w:color="auto"/>
            </w:tcBorders>
            <w:shd w:val="clear" w:color="000000" w:fill="FFFFFF"/>
            <w:vAlign w:val="bottom"/>
          </w:tcPr>
          <w:p w14:paraId="1CD9C257" w14:textId="77777777" w:rsidR="00C5334A" w:rsidRPr="001F224B" w:rsidRDefault="00C5334A" w:rsidP="00C5334A">
            <w:pPr>
              <w:jc w:val="center"/>
              <w:rPr>
                <w:b/>
                <w:bCs/>
                <w:sz w:val="20"/>
                <w:szCs w:val="20"/>
              </w:rPr>
            </w:pPr>
            <w:r w:rsidRPr="001F224B">
              <w:rPr>
                <w:b/>
                <w:bCs/>
                <w:sz w:val="20"/>
                <w:szCs w:val="20"/>
              </w:rPr>
              <w:t>Cari Dönem</w:t>
            </w:r>
          </w:p>
          <w:p w14:paraId="6E70F5CE" w14:textId="73DC0E2C" w:rsidR="00C5334A" w:rsidRPr="001F224B" w:rsidRDefault="00C5334A" w:rsidP="00C5334A">
            <w:pPr>
              <w:jc w:val="center"/>
              <w:rPr>
                <w:b/>
                <w:bCs/>
                <w:sz w:val="20"/>
                <w:szCs w:val="20"/>
              </w:rPr>
            </w:pPr>
            <w:r w:rsidRPr="001F224B">
              <w:rPr>
                <w:b/>
                <w:bCs/>
                <w:sz w:val="20"/>
                <w:szCs w:val="20"/>
              </w:rPr>
              <w:t>(3</w:t>
            </w:r>
            <w:r w:rsidR="006F4893" w:rsidRPr="001F224B">
              <w:rPr>
                <w:b/>
                <w:bCs/>
                <w:sz w:val="20"/>
                <w:szCs w:val="20"/>
              </w:rPr>
              <w:t>0</w:t>
            </w:r>
            <w:r w:rsidRPr="001F224B">
              <w:rPr>
                <w:b/>
                <w:bCs/>
                <w:sz w:val="20"/>
                <w:szCs w:val="20"/>
              </w:rPr>
              <w:t>.</w:t>
            </w:r>
            <w:r w:rsidR="006D1456" w:rsidRPr="001F224B">
              <w:rPr>
                <w:b/>
                <w:bCs/>
                <w:sz w:val="20"/>
                <w:szCs w:val="20"/>
              </w:rPr>
              <w:t>0</w:t>
            </w:r>
            <w:r w:rsidR="006F4893" w:rsidRPr="001F224B">
              <w:rPr>
                <w:b/>
                <w:bCs/>
                <w:sz w:val="20"/>
                <w:szCs w:val="20"/>
              </w:rPr>
              <w:t>6</w:t>
            </w:r>
            <w:r w:rsidRPr="001F224B">
              <w:rPr>
                <w:b/>
                <w:bCs/>
                <w:sz w:val="20"/>
                <w:szCs w:val="20"/>
              </w:rPr>
              <w:t>.202</w:t>
            </w:r>
            <w:r w:rsidR="006D1456" w:rsidRPr="001F224B">
              <w:rPr>
                <w:b/>
                <w:bCs/>
                <w:sz w:val="20"/>
                <w:szCs w:val="20"/>
              </w:rPr>
              <w:t>5</w:t>
            </w:r>
            <w:r w:rsidRPr="001F224B">
              <w:rPr>
                <w:b/>
                <w:bCs/>
                <w:sz w:val="20"/>
                <w:szCs w:val="20"/>
              </w:rPr>
              <w:t>)</w:t>
            </w:r>
          </w:p>
        </w:tc>
        <w:tc>
          <w:tcPr>
            <w:tcW w:w="2340" w:type="dxa"/>
            <w:gridSpan w:val="2"/>
            <w:tcBorders>
              <w:top w:val="single" w:sz="4" w:space="0" w:color="auto"/>
              <w:left w:val="nil"/>
              <w:bottom w:val="single" w:sz="4" w:space="0" w:color="auto"/>
              <w:right w:val="single" w:sz="4" w:space="0" w:color="000000"/>
            </w:tcBorders>
            <w:shd w:val="clear" w:color="000000" w:fill="FFFFFF"/>
            <w:vAlign w:val="bottom"/>
          </w:tcPr>
          <w:p w14:paraId="77AD4FA5" w14:textId="77777777" w:rsidR="00C5334A" w:rsidRPr="001F224B" w:rsidRDefault="00C5334A" w:rsidP="00C5334A">
            <w:pPr>
              <w:jc w:val="center"/>
              <w:rPr>
                <w:b/>
                <w:bCs/>
                <w:sz w:val="20"/>
                <w:szCs w:val="20"/>
              </w:rPr>
            </w:pPr>
            <w:r w:rsidRPr="001F224B">
              <w:rPr>
                <w:b/>
                <w:bCs/>
                <w:sz w:val="20"/>
                <w:szCs w:val="20"/>
              </w:rPr>
              <w:t>Önceki Dönem</w:t>
            </w:r>
          </w:p>
          <w:p w14:paraId="6253A0B1" w14:textId="26A80452" w:rsidR="00C5334A" w:rsidRPr="001F224B" w:rsidRDefault="00C5334A" w:rsidP="00C5334A">
            <w:pPr>
              <w:jc w:val="center"/>
              <w:rPr>
                <w:b/>
                <w:bCs/>
                <w:sz w:val="20"/>
                <w:szCs w:val="20"/>
              </w:rPr>
            </w:pPr>
            <w:r w:rsidRPr="001F224B">
              <w:rPr>
                <w:b/>
                <w:bCs/>
                <w:sz w:val="20"/>
                <w:szCs w:val="20"/>
              </w:rPr>
              <w:t>(3</w:t>
            </w:r>
            <w:r w:rsidR="006F4893" w:rsidRPr="001F224B">
              <w:rPr>
                <w:b/>
                <w:bCs/>
                <w:sz w:val="20"/>
                <w:szCs w:val="20"/>
              </w:rPr>
              <w:t>0</w:t>
            </w:r>
            <w:r w:rsidRPr="001F224B">
              <w:rPr>
                <w:b/>
                <w:bCs/>
                <w:sz w:val="20"/>
                <w:szCs w:val="20"/>
              </w:rPr>
              <w:t>.</w:t>
            </w:r>
            <w:r w:rsidR="006D1456" w:rsidRPr="001F224B">
              <w:rPr>
                <w:b/>
                <w:bCs/>
                <w:sz w:val="20"/>
                <w:szCs w:val="20"/>
              </w:rPr>
              <w:t>0</w:t>
            </w:r>
            <w:r w:rsidR="006F4893" w:rsidRPr="001F224B">
              <w:rPr>
                <w:b/>
                <w:bCs/>
                <w:sz w:val="20"/>
                <w:szCs w:val="20"/>
              </w:rPr>
              <w:t>6</w:t>
            </w:r>
            <w:r w:rsidRPr="001F224B">
              <w:rPr>
                <w:b/>
                <w:bCs/>
                <w:sz w:val="20"/>
                <w:szCs w:val="20"/>
              </w:rPr>
              <w:t>.202</w:t>
            </w:r>
            <w:r w:rsidR="006D1456" w:rsidRPr="001F224B">
              <w:rPr>
                <w:b/>
                <w:bCs/>
                <w:sz w:val="20"/>
                <w:szCs w:val="20"/>
              </w:rPr>
              <w:t>4</w:t>
            </w:r>
            <w:r w:rsidRPr="001F224B">
              <w:rPr>
                <w:b/>
                <w:bCs/>
                <w:sz w:val="20"/>
                <w:szCs w:val="20"/>
              </w:rPr>
              <w:t>)</w:t>
            </w:r>
          </w:p>
        </w:tc>
      </w:tr>
      <w:tr w:rsidR="0087785C" w:rsidRPr="001F224B" w14:paraId="36D208ED" w14:textId="77777777" w:rsidTr="0033482E">
        <w:trPr>
          <w:trHeight w:val="227"/>
        </w:trPr>
        <w:tc>
          <w:tcPr>
            <w:tcW w:w="4760" w:type="dxa"/>
            <w:vMerge/>
            <w:tcBorders>
              <w:top w:val="single" w:sz="4" w:space="0" w:color="auto"/>
              <w:left w:val="single" w:sz="4" w:space="0" w:color="auto"/>
              <w:bottom w:val="single" w:sz="4" w:space="0" w:color="auto"/>
              <w:right w:val="single" w:sz="4" w:space="0" w:color="auto"/>
            </w:tcBorders>
            <w:vAlign w:val="center"/>
          </w:tcPr>
          <w:p w14:paraId="25DB038A" w14:textId="77777777" w:rsidR="0087785C" w:rsidRPr="001F224B" w:rsidRDefault="0087785C" w:rsidP="00241A1A">
            <w:pPr>
              <w:jc w:val="both"/>
              <w:rPr>
                <w:b/>
                <w:bCs/>
                <w:sz w:val="20"/>
                <w:szCs w:val="20"/>
              </w:rPr>
            </w:pPr>
          </w:p>
        </w:tc>
        <w:tc>
          <w:tcPr>
            <w:tcW w:w="1435" w:type="dxa"/>
            <w:tcBorders>
              <w:top w:val="nil"/>
              <w:left w:val="nil"/>
              <w:bottom w:val="single" w:sz="4" w:space="0" w:color="auto"/>
              <w:right w:val="single" w:sz="4" w:space="0" w:color="auto"/>
            </w:tcBorders>
            <w:shd w:val="clear" w:color="auto" w:fill="FFFFFF"/>
            <w:vAlign w:val="bottom"/>
          </w:tcPr>
          <w:p w14:paraId="5E2389D7" w14:textId="77777777" w:rsidR="0087785C" w:rsidRPr="001F224B" w:rsidRDefault="0087785C" w:rsidP="00291E0A">
            <w:pPr>
              <w:jc w:val="center"/>
              <w:rPr>
                <w:b/>
                <w:bCs/>
                <w:sz w:val="20"/>
                <w:szCs w:val="20"/>
              </w:rPr>
            </w:pPr>
            <w:r w:rsidRPr="001F224B">
              <w:rPr>
                <w:b/>
                <w:bCs/>
                <w:sz w:val="20"/>
                <w:szCs w:val="20"/>
              </w:rPr>
              <w:t>TP</w:t>
            </w:r>
          </w:p>
        </w:tc>
        <w:tc>
          <w:tcPr>
            <w:tcW w:w="1204" w:type="dxa"/>
            <w:tcBorders>
              <w:top w:val="nil"/>
              <w:left w:val="nil"/>
              <w:bottom w:val="single" w:sz="4" w:space="0" w:color="auto"/>
              <w:right w:val="single" w:sz="4" w:space="0" w:color="auto"/>
            </w:tcBorders>
            <w:shd w:val="clear" w:color="auto" w:fill="FFFFFF"/>
            <w:vAlign w:val="bottom"/>
          </w:tcPr>
          <w:p w14:paraId="146BEC9A" w14:textId="77777777" w:rsidR="0087785C" w:rsidRPr="001F224B" w:rsidRDefault="0087785C" w:rsidP="00291E0A">
            <w:pPr>
              <w:jc w:val="center"/>
              <w:rPr>
                <w:b/>
                <w:bCs/>
                <w:sz w:val="20"/>
                <w:szCs w:val="20"/>
              </w:rPr>
            </w:pPr>
            <w:r w:rsidRPr="001F224B">
              <w:rPr>
                <w:b/>
                <w:bCs/>
                <w:sz w:val="20"/>
                <w:szCs w:val="20"/>
              </w:rPr>
              <w:t>YP</w:t>
            </w:r>
          </w:p>
        </w:tc>
        <w:tc>
          <w:tcPr>
            <w:tcW w:w="1190" w:type="dxa"/>
            <w:tcBorders>
              <w:top w:val="nil"/>
              <w:left w:val="nil"/>
              <w:bottom w:val="single" w:sz="4" w:space="0" w:color="auto"/>
              <w:right w:val="single" w:sz="4" w:space="0" w:color="auto"/>
            </w:tcBorders>
            <w:shd w:val="clear" w:color="auto" w:fill="FFFFFF"/>
            <w:vAlign w:val="bottom"/>
          </w:tcPr>
          <w:p w14:paraId="0B608E37" w14:textId="77777777" w:rsidR="0087785C" w:rsidRPr="001F224B" w:rsidRDefault="0087785C" w:rsidP="00291E0A">
            <w:pPr>
              <w:jc w:val="center"/>
              <w:rPr>
                <w:b/>
                <w:bCs/>
                <w:sz w:val="20"/>
                <w:szCs w:val="20"/>
              </w:rPr>
            </w:pPr>
            <w:r w:rsidRPr="001F224B">
              <w:rPr>
                <w:b/>
                <w:bCs/>
                <w:sz w:val="20"/>
                <w:szCs w:val="20"/>
              </w:rPr>
              <w:t>TP</w:t>
            </w:r>
          </w:p>
        </w:tc>
        <w:tc>
          <w:tcPr>
            <w:tcW w:w="1150" w:type="dxa"/>
            <w:tcBorders>
              <w:top w:val="nil"/>
              <w:left w:val="nil"/>
              <w:bottom w:val="single" w:sz="4" w:space="0" w:color="auto"/>
              <w:right w:val="single" w:sz="4" w:space="0" w:color="auto"/>
            </w:tcBorders>
            <w:shd w:val="clear" w:color="auto" w:fill="FFFFFF"/>
            <w:vAlign w:val="bottom"/>
          </w:tcPr>
          <w:p w14:paraId="123C8549" w14:textId="77777777" w:rsidR="0087785C" w:rsidRPr="001F224B" w:rsidRDefault="0087785C" w:rsidP="00291E0A">
            <w:pPr>
              <w:jc w:val="center"/>
              <w:rPr>
                <w:b/>
                <w:bCs/>
                <w:sz w:val="20"/>
                <w:szCs w:val="20"/>
              </w:rPr>
            </w:pPr>
            <w:r w:rsidRPr="001F224B">
              <w:rPr>
                <w:b/>
                <w:bCs/>
                <w:sz w:val="20"/>
                <w:szCs w:val="20"/>
              </w:rPr>
              <w:t>YP</w:t>
            </w:r>
          </w:p>
        </w:tc>
      </w:tr>
      <w:tr w:rsidR="00AD1EF1" w:rsidRPr="001F224B" w14:paraId="7D6DCE3B" w14:textId="77777777" w:rsidTr="00CE3F30">
        <w:trPr>
          <w:trHeight w:val="227"/>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32AD49E9" w14:textId="0D822BE1" w:rsidR="00AD1EF1" w:rsidRPr="001F224B" w:rsidRDefault="00AD1EF1" w:rsidP="00AD1EF1">
            <w:pPr>
              <w:jc w:val="both"/>
              <w:rPr>
                <w:bCs/>
                <w:sz w:val="20"/>
                <w:szCs w:val="20"/>
              </w:rPr>
            </w:pPr>
            <w:r w:rsidRPr="001F224B">
              <w:rPr>
                <w:bCs/>
                <w:sz w:val="20"/>
                <w:szCs w:val="20"/>
              </w:rPr>
              <w:t>Gayrimenkuller</w:t>
            </w:r>
          </w:p>
        </w:tc>
        <w:tc>
          <w:tcPr>
            <w:tcW w:w="1435" w:type="dxa"/>
            <w:tcBorders>
              <w:top w:val="single" w:sz="4" w:space="0" w:color="auto"/>
              <w:left w:val="nil"/>
              <w:bottom w:val="single" w:sz="4" w:space="0" w:color="auto"/>
              <w:right w:val="single" w:sz="4" w:space="0" w:color="auto"/>
            </w:tcBorders>
            <w:shd w:val="clear" w:color="000000" w:fill="FFFFFF"/>
            <w:vAlign w:val="bottom"/>
          </w:tcPr>
          <w:p w14:paraId="3CF93301" w14:textId="5152B72F" w:rsidR="00AD1EF1" w:rsidRPr="001F224B" w:rsidRDefault="00AD1EF1" w:rsidP="00AD1EF1">
            <w:pPr>
              <w:jc w:val="right"/>
              <w:rPr>
                <w:sz w:val="20"/>
                <w:szCs w:val="20"/>
              </w:rPr>
            </w:pPr>
            <w:r w:rsidRPr="001F224B">
              <w:rPr>
                <w:sz w:val="20"/>
                <w:szCs w:val="20"/>
              </w:rPr>
              <w:t>3.482</w:t>
            </w:r>
          </w:p>
        </w:tc>
        <w:tc>
          <w:tcPr>
            <w:tcW w:w="1204" w:type="dxa"/>
            <w:tcBorders>
              <w:top w:val="single" w:sz="4" w:space="0" w:color="auto"/>
              <w:left w:val="single" w:sz="4" w:space="0" w:color="auto"/>
              <w:bottom w:val="single" w:sz="4" w:space="0" w:color="auto"/>
              <w:right w:val="single" w:sz="4" w:space="0" w:color="auto"/>
            </w:tcBorders>
            <w:shd w:val="clear" w:color="auto" w:fill="FFFFFF"/>
            <w:vAlign w:val="bottom"/>
          </w:tcPr>
          <w:p w14:paraId="3F269284" w14:textId="6F1F5D9E" w:rsidR="00AD1EF1" w:rsidRPr="001F224B" w:rsidRDefault="00AD1EF1" w:rsidP="00AD1EF1">
            <w:pPr>
              <w:jc w:val="right"/>
              <w:rPr>
                <w:bCs/>
                <w:sz w:val="20"/>
                <w:szCs w:val="20"/>
              </w:rPr>
            </w:pPr>
            <w:r w:rsidRPr="001F224B">
              <w:rPr>
                <w:bCs/>
                <w:sz w:val="20"/>
                <w:szCs w:val="20"/>
              </w:rPr>
              <w:t>-</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45CFB409" w14:textId="08622C29" w:rsidR="00AD1EF1" w:rsidRPr="001F224B" w:rsidRDefault="00AD1EF1" w:rsidP="00AD1EF1">
            <w:pPr>
              <w:jc w:val="right"/>
              <w:rPr>
                <w:bCs/>
                <w:sz w:val="20"/>
                <w:szCs w:val="20"/>
              </w:rPr>
            </w:pPr>
            <w:r w:rsidRPr="001F224B">
              <w:rPr>
                <w:bCs/>
                <w:color w:val="000000"/>
                <w:sz w:val="20"/>
                <w:szCs w:val="20"/>
              </w:rPr>
              <w:t>2.127</w:t>
            </w:r>
          </w:p>
        </w:tc>
        <w:tc>
          <w:tcPr>
            <w:tcW w:w="1150" w:type="dxa"/>
            <w:tcBorders>
              <w:top w:val="single" w:sz="4" w:space="0" w:color="auto"/>
              <w:left w:val="single" w:sz="4" w:space="0" w:color="auto"/>
              <w:bottom w:val="single" w:sz="4" w:space="0" w:color="auto"/>
              <w:right w:val="single" w:sz="4" w:space="0" w:color="auto"/>
            </w:tcBorders>
            <w:shd w:val="clear" w:color="auto" w:fill="FFFFFF"/>
            <w:vAlign w:val="bottom"/>
          </w:tcPr>
          <w:p w14:paraId="4C3A8E31" w14:textId="6776EB43" w:rsidR="00AD1EF1" w:rsidRPr="001F224B" w:rsidRDefault="00AD1EF1" w:rsidP="00AD1EF1">
            <w:pPr>
              <w:jc w:val="right"/>
              <w:rPr>
                <w:bCs/>
                <w:sz w:val="20"/>
                <w:szCs w:val="20"/>
              </w:rPr>
            </w:pPr>
            <w:r w:rsidRPr="001F224B">
              <w:rPr>
                <w:bCs/>
                <w:sz w:val="20"/>
                <w:szCs w:val="20"/>
              </w:rPr>
              <w:t>-</w:t>
            </w:r>
          </w:p>
        </w:tc>
      </w:tr>
      <w:tr w:rsidR="00AD1EF1" w:rsidRPr="001F224B" w14:paraId="53EE1DA1" w14:textId="77777777" w:rsidTr="00CE3F30">
        <w:trPr>
          <w:trHeight w:val="227"/>
        </w:trPr>
        <w:tc>
          <w:tcPr>
            <w:tcW w:w="47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88DA4DE" w14:textId="3DB1A4D6" w:rsidR="00AD1EF1" w:rsidRPr="001F224B" w:rsidRDefault="00AD1EF1" w:rsidP="00AD1EF1">
            <w:pPr>
              <w:jc w:val="both"/>
              <w:rPr>
                <w:bCs/>
                <w:sz w:val="20"/>
                <w:szCs w:val="20"/>
              </w:rPr>
            </w:pPr>
            <w:r w:rsidRPr="001F224B">
              <w:rPr>
                <w:bCs/>
                <w:sz w:val="20"/>
                <w:szCs w:val="20"/>
              </w:rPr>
              <w:t>Menkuller</w:t>
            </w:r>
          </w:p>
        </w:tc>
        <w:tc>
          <w:tcPr>
            <w:tcW w:w="1435" w:type="dxa"/>
            <w:tcBorders>
              <w:top w:val="single" w:sz="4" w:space="0" w:color="auto"/>
              <w:left w:val="nil"/>
              <w:bottom w:val="single" w:sz="4" w:space="0" w:color="auto"/>
              <w:right w:val="single" w:sz="4" w:space="0" w:color="auto"/>
            </w:tcBorders>
            <w:shd w:val="clear" w:color="000000" w:fill="FFFFFF"/>
            <w:vAlign w:val="bottom"/>
          </w:tcPr>
          <w:p w14:paraId="6CFAC72A" w14:textId="5A28DBDA" w:rsidR="00AD1EF1" w:rsidRPr="001F224B" w:rsidRDefault="00AD1EF1" w:rsidP="00AD1EF1">
            <w:pPr>
              <w:jc w:val="right"/>
              <w:rPr>
                <w:sz w:val="20"/>
                <w:szCs w:val="20"/>
              </w:rPr>
            </w:pPr>
            <w:r w:rsidRPr="001F224B">
              <w:rPr>
                <w:sz w:val="20"/>
                <w:szCs w:val="20"/>
              </w:rPr>
              <w:t>1.169</w:t>
            </w:r>
          </w:p>
        </w:tc>
        <w:tc>
          <w:tcPr>
            <w:tcW w:w="1204" w:type="dxa"/>
            <w:tcBorders>
              <w:top w:val="single" w:sz="4" w:space="0" w:color="auto"/>
              <w:left w:val="single" w:sz="4" w:space="0" w:color="auto"/>
              <w:bottom w:val="single" w:sz="4" w:space="0" w:color="auto"/>
              <w:right w:val="single" w:sz="4" w:space="0" w:color="auto"/>
            </w:tcBorders>
            <w:shd w:val="clear" w:color="auto" w:fill="FFFFFF"/>
            <w:vAlign w:val="bottom"/>
          </w:tcPr>
          <w:p w14:paraId="6BB79376" w14:textId="0ED5DD1A" w:rsidR="00AD1EF1" w:rsidRPr="001F224B" w:rsidRDefault="00AD1EF1" w:rsidP="00AD1EF1">
            <w:pPr>
              <w:jc w:val="right"/>
              <w:rPr>
                <w:bCs/>
                <w:sz w:val="20"/>
                <w:szCs w:val="20"/>
              </w:rPr>
            </w:pPr>
            <w:r w:rsidRPr="001F224B">
              <w:rPr>
                <w:bCs/>
                <w:sz w:val="20"/>
                <w:szCs w:val="20"/>
              </w:rPr>
              <w:t>-</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7CA103C9" w14:textId="218B4710" w:rsidR="00AD1EF1" w:rsidRPr="001F224B" w:rsidRDefault="00AD1EF1" w:rsidP="00AD1EF1">
            <w:pPr>
              <w:jc w:val="right"/>
              <w:rPr>
                <w:bCs/>
                <w:sz w:val="20"/>
                <w:szCs w:val="20"/>
              </w:rPr>
            </w:pPr>
            <w:r w:rsidRPr="001F224B">
              <w:rPr>
                <w:bCs/>
                <w:sz w:val="20"/>
                <w:szCs w:val="20"/>
              </w:rPr>
              <w:t>1.125</w:t>
            </w:r>
          </w:p>
        </w:tc>
        <w:tc>
          <w:tcPr>
            <w:tcW w:w="1150" w:type="dxa"/>
            <w:tcBorders>
              <w:top w:val="single" w:sz="4" w:space="0" w:color="auto"/>
              <w:left w:val="single" w:sz="4" w:space="0" w:color="auto"/>
              <w:bottom w:val="single" w:sz="4" w:space="0" w:color="auto"/>
              <w:right w:val="single" w:sz="4" w:space="0" w:color="auto"/>
            </w:tcBorders>
            <w:shd w:val="clear" w:color="auto" w:fill="FFFFFF"/>
            <w:vAlign w:val="bottom"/>
          </w:tcPr>
          <w:p w14:paraId="481B21D7" w14:textId="451CC3B4" w:rsidR="00AD1EF1" w:rsidRPr="001F224B" w:rsidRDefault="00AD1EF1" w:rsidP="00AD1EF1">
            <w:pPr>
              <w:jc w:val="right"/>
              <w:rPr>
                <w:bCs/>
                <w:sz w:val="20"/>
                <w:szCs w:val="20"/>
              </w:rPr>
            </w:pPr>
            <w:r w:rsidRPr="001F224B">
              <w:rPr>
                <w:bCs/>
                <w:sz w:val="20"/>
                <w:szCs w:val="20"/>
              </w:rPr>
              <w:t>-</w:t>
            </w:r>
          </w:p>
        </w:tc>
      </w:tr>
      <w:tr w:rsidR="00AD1EF1" w:rsidRPr="001F224B" w14:paraId="25208C5B" w14:textId="77777777" w:rsidTr="00CE3F30">
        <w:trPr>
          <w:trHeight w:val="227"/>
        </w:trPr>
        <w:tc>
          <w:tcPr>
            <w:tcW w:w="47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F3923C" w14:textId="77777777" w:rsidR="00AD1EF1" w:rsidRPr="001F224B" w:rsidRDefault="00AD1EF1" w:rsidP="00AD1EF1">
            <w:pPr>
              <w:jc w:val="both"/>
              <w:rPr>
                <w:b/>
                <w:bCs/>
                <w:sz w:val="20"/>
                <w:szCs w:val="20"/>
              </w:rPr>
            </w:pPr>
            <w:r w:rsidRPr="001F224B">
              <w:rPr>
                <w:b/>
                <w:bCs/>
                <w:sz w:val="20"/>
                <w:szCs w:val="20"/>
              </w:rPr>
              <w:t>Toplam</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bottom"/>
          </w:tcPr>
          <w:p w14:paraId="4B3E0574" w14:textId="141B7A53" w:rsidR="00AD1EF1" w:rsidRPr="001F224B" w:rsidRDefault="00AD1EF1" w:rsidP="00AD1EF1">
            <w:pPr>
              <w:jc w:val="right"/>
              <w:rPr>
                <w:b/>
                <w:bCs/>
                <w:sz w:val="20"/>
                <w:szCs w:val="20"/>
              </w:rPr>
            </w:pPr>
            <w:r w:rsidRPr="001F224B">
              <w:rPr>
                <w:b/>
                <w:bCs/>
                <w:sz w:val="20"/>
                <w:szCs w:val="20"/>
              </w:rPr>
              <w:t>4.651</w:t>
            </w:r>
          </w:p>
        </w:tc>
        <w:tc>
          <w:tcPr>
            <w:tcW w:w="1204" w:type="dxa"/>
            <w:tcBorders>
              <w:top w:val="single" w:sz="4" w:space="0" w:color="auto"/>
              <w:left w:val="single" w:sz="4" w:space="0" w:color="auto"/>
              <w:bottom w:val="single" w:sz="4" w:space="0" w:color="auto"/>
              <w:right w:val="single" w:sz="4" w:space="0" w:color="auto"/>
            </w:tcBorders>
            <w:shd w:val="clear" w:color="auto" w:fill="FFFFFF"/>
            <w:vAlign w:val="bottom"/>
          </w:tcPr>
          <w:p w14:paraId="2563FE25" w14:textId="61A0A807" w:rsidR="00AD1EF1" w:rsidRPr="001F224B" w:rsidRDefault="00AD1EF1" w:rsidP="00AD1EF1">
            <w:pPr>
              <w:jc w:val="right"/>
              <w:rPr>
                <w:b/>
                <w:bCs/>
                <w:sz w:val="20"/>
                <w:szCs w:val="20"/>
              </w:rPr>
            </w:pPr>
            <w:r w:rsidRPr="001F224B">
              <w:rPr>
                <w:b/>
                <w:bCs/>
                <w:sz w:val="20"/>
                <w:szCs w:val="20"/>
              </w:rPr>
              <w:t>-</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819A477" w14:textId="545F8AE5" w:rsidR="00AD1EF1" w:rsidRPr="001F224B" w:rsidRDefault="00AD1EF1" w:rsidP="00AD1EF1">
            <w:pPr>
              <w:jc w:val="right"/>
              <w:rPr>
                <w:b/>
                <w:bCs/>
                <w:sz w:val="20"/>
                <w:szCs w:val="20"/>
              </w:rPr>
            </w:pPr>
            <w:r w:rsidRPr="001F224B">
              <w:rPr>
                <w:b/>
                <w:bCs/>
                <w:sz w:val="20"/>
                <w:szCs w:val="20"/>
              </w:rPr>
              <w:t>3.252</w:t>
            </w:r>
          </w:p>
        </w:tc>
        <w:tc>
          <w:tcPr>
            <w:tcW w:w="1150" w:type="dxa"/>
            <w:tcBorders>
              <w:top w:val="single" w:sz="4" w:space="0" w:color="auto"/>
              <w:left w:val="single" w:sz="4" w:space="0" w:color="auto"/>
              <w:bottom w:val="single" w:sz="4" w:space="0" w:color="auto"/>
              <w:right w:val="single" w:sz="4" w:space="0" w:color="auto"/>
            </w:tcBorders>
            <w:shd w:val="clear" w:color="auto" w:fill="FFFFFF"/>
            <w:vAlign w:val="bottom"/>
          </w:tcPr>
          <w:p w14:paraId="5AC72698" w14:textId="3EF2979A" w:rsidR="00AD1EF1" w:rsidRPr="001F224B" w:rsidRDefault="00AD1EF1" w:rsidP="00AD1EF1">
            <w:pPr>
              <w:jc w:val="right"/>
              <w:rPr>
                <w:b/>
                <w:bCs/>
                <w:sz w:val="20"/>
                <w:szCs w:val="20"/>
              </w:rPr>
            </w:pPr>
            <w:r w:rsidRPr="001F224B">
              <w:rPr>
                <w:b/>
                <w:bCs/>
                <w:sz w:val="20"/>
                <w:szCs w:val="20"/>
              </w:rPr>
              <w:t>-</w:t>
            </w:r>
          </w:p>
        </w:tc>
      </w:tr>
    </w:tbl>
    <w:p w14:paraId="31AABD94" w14:textId="7E37ACA1" w:rsidR="006D1456" w:rsidRPr="001F224B" w:rsidRDefault="008009B8" w:rsidP="006D1456">
      <w:pPr>
        <w:pStyle w:val="BodyText"/>
        <w:tabs>
          <w:tab w:val="clear" w:pos="0"/>
          <w:tab w:val="clear" w:pos="720"/>
        </w:tabs>
        <w:spacing w:before="120" w:after="120"/>
        <w:rPr>
          <w:b/>
          <w:bCs/>
          <w:sz w:val="22"/>
          <w:szCs w:val="22"/>
        </w:rPr>
      </w:pPr>
      <w:r w:rsidRPr="001F224B">
        <w:rPr>
          <w:b/>
          <w:bCs/>
          <w:sz w:val="22"/>
          <w:szCs w:val="22"/>
        </w:rPr>
        <w:t>3.</w:t>
      </w:r>
      <w:r w:rsidR="009B51CE" w:rsidRPr="001F224B">
        <w:rPr>
          <w:b/>
          <w:bCs/>
          <w:sz w:val="22"/>
          <w:szCs w:val="22"/>
        </w:rPr>
        <w:t xml:space="preserve">       </w:t>
      </w:r>
      <w:r w:rsidR="00267DF1" w:rsidRPr="001F224B">
        <w:rPr>
          <w:b/>
          <w:bCs/>
          <w:sz w:val="22"/>
          <w:szCs w:val="22"/>
        </w:rPr>
        <w:t xml:space="preserve">Temettü </w:t>
      </w:r>
      <w:r w:rsidR="00FF56DF" w:rsidRPr="001F224B">
        <w:rPr>
          <w:b/>
          <w:bCs/>
          <w:sz w:val="22"/>
          <w:szCs w:val="22"/>
        </w:rPr>
        <w:t>gelirlerine ilişkin a</w:t>
      </w:r>
      <w:r w:rsidR="00267DF1" w:rsidRPr="001F224B">
        <w:rPr>
          <w:b/>
          <w:bCs/>
          <w:sz w:val="22"/>
          <w:szCs w:val="22"/>
        </w:rPr>
        <w:t>çıklamalar:</w:t>
      </w:r>
      <w:bookmarkEnd w:id="37"/>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5525"/>
        <w:gridCol w:w="2123"/>
        <w:gridCol w:w="2192"/>
      </w:tblGrid>
      <w:tr w:rsidR="0094387C" w:rsidRPr="001F224B" w14:paraId="2ABE65C2" w14:textId="77777777" w:rsidTr="006F4893">
        <w:trPr>
          <w:trHeight w:val="460"/>
        </w:trPr>
        <w:tc>
          <w:tcPr>
            <w:tcW w:w="2807" w:type="pct"/>
            <w:shd w:val="clear" w:color="auto" w:fill="auto"/>
            <w:vAlign w:val="bottom"/>
            <w:hideMark/>
          </w:tcPr>
          <w:p w14:paraId="199B6AD0" w14:textId="77777777" w:rsidR="0094387C" w:rsidRPr="001F224B" w:rsidRDefault="0094387C" w:rsidP="00E50495">
            <w:pPr>
              <w:jc w:val="both"/>
              <w:rPr>
                <w:sz w:val="22"/>
                <w:szCs w:val="22"/>
              </w:rPr>
            </w:pPr>
            <w:r w:rsidRPr="001F224B">
              <w:rPr>
                <w:sz w:val="22"/>
                <w:szCs w:val="22"/>
              </w:rPr>
              <w:t xml:space="preserve">       </w:t>
            </w:r>
          </w:p>
        </w:tc>
        <w:tc>
          <w:tcPr>
            <w:tcW w:w="1079" w:type="pct"/>
            <w:shd w:val="clear" w:color="000000" w:fill="FFFFFF"/>
            <w:vAlign w:val="bottom"/>
            <w:hideMark/>
          </w:tcPr>
          <w:p w14:paraId="7A5D63E2" w14:textId="77777777" w:rsidR="0094387C" w:rsidRPr="001F224B" w:rsidRDefault="0094387C" w:rsidP="00E50495">
            <w:pPr>
              <w:jc w:val="center"/>
              <w:rPr>
                <w:b/>
                <w:bCs/>
                <w:sz w:val="20"/>
                <w:szCs w:val="20"/>
              </w:rPr>
            </w:pPr>
            <w:r w:rsidRPr="001F224B">
              <w:rPr>
                <w:b/>
                <w:bCs/>
                <w:sz w:val="20"/>
                <w:szCs w:val="20"/>
              </w:rPr>
              <w:t xml:space="preserve">Cari Dönem </w:t>
            </w:r>
          </w:p>
          <w:p w14:paraId="6BCDC963" w14:textId="78CF6F3D" w:rsidR="0094387C" w:rsidRPr="001F224B" w:rsidRDefault="0094387C" w:rsidP="00E50495">
            <w:pPr>
              <w:jc w:val="center"/>
              <w:rPr>
                <w:b/>
                <w:bCs/>
                <w:color w:val="000000"/>
                <w:sz w:val="20"/>
                <w:szCs w:val="20"/>
              </w:rPr>
            </w:pPr>
            <w:r w:rsidRPr="001F224B">
              <w:rPr>
                <w:b/>
                <w:bCs/>
                <w:sz w:val="20"/>
                <w:szCs w:val="20"/>
              </w:rPr>
              <w:t>(3</w:t>
            </w:r>
            <w:r w:rsidR="006F4893" w:rsidRPr="001F224B">
              <w:rPr>
                <w:b/>
                <w:bCs/>
                <w:sz w:val="20"/>
                <w:szCs w:val="20"/>
              </w:rPr>
              <w:t>0</w:t>
            </w:r>
            <w:r w:rsidRPr="001F224B">
              <w:rPr>
                <w:b/>
                <w:bCs/>
                <w:sz w:val="20"/>
                <w:szCs w:val="20"/>
              </w:rPr>
              <w:t>.0</w:t>
            </w:r>
            <w:r w:rsidR="006F4893" w:rsidRPr="001F224B">
              <w:rPr>
                <w:b/>
                <w:bCs/>
                <w:sz w:val="20"/>
                <w:szCs w:val="20"/>
              </w:rPr>
              <w:t>6</w:t>
            </w:r>
            <w:r w:rsidRPr="001F224B">
              <w:rPr>
                <w:b/>
                <w:bCs/>
                <w:sz w:val="20"/>
                <w:szCs w:val="20"/>
              </w:rPr>
              <w:t>.2025)</w:t>
            </w:r>
          </w:p>
        </w:tc>
        <w:tc>
          <w:tcPr>
            <w:tcW w:w="1114" w:type="pct"/>
            <w:shd w:val="clear" w:color="000000" w:fill="FFFFFF"/>
            <w:vAlign w:val="bottom"/>
            <w:hideMark/>
          </w:tcPr>
          <w:p w14:paraId="50B3D792" w14:textId="77777777" w:rsidR="0094387C" w:rsidRPr="001F224B" w:rsidRDefault="0094387C" w:rsidP="00E50495">
            <w:pPr>
              <w:jc w:val="center"/>
              <w:rPr>
                <w:b/>
                <w:bCs/>
                <w:sz w:val="20"/>
                <w:szCs w:val="20"/>
              </w:rPr>
            </w:pPr>
            <w:r w:rsidRPr="001F224B">
              <w:rPr>
                <w:b/>
                <w:bCs/>
                <w:sz w:val="20"/>
                <w:szCs w:val="20"/>
              </w:rPr>
              <w:t>Önceki Dönem</w:t>
            </w:r>
          </w:p>
          <w:p w14:paraId="1E61D894" w14:textId="1CA1C2F2" w:rsidR="0094387C" w:rsidRPr="001F224B" w:rsidRDefault="0094387C" w:rsidP="00E50495">
            <w:pPr>
              <w:jc w:val="center"/>
              <w:rPr>
                <w:b/>
                <w:bCs/>
                <w:color w:val="000000"/>
                <w:sz w:val="20"/>
                <w:szCs w:val="20"/>
              </w:rPr>
            </w:pPr>
            <w:r w:rsidRPr="001F224B">
              <w:rPr>
                <w:b/>
                <w:bCs/>
                <w:sz w:val="20"/>
                <w:szCs w:val="20"/>
              </w:rPr>
              <w:t xml:space="preserve"> (3</w:t>
            </w:r>
            <w:r w:rsidR="006F4893" w:rsidRPr="001F224B">
              <w:rPr>
                <w:b/>
                <w:bCs/>
                <w:sz w:val="20"/>
                <w:szCs w:val="20"/>
              </w:rPr>
              <w:t>0</w:t>
            </w:r>
            <w:r w:rsidRPr="001F224B">
              <w:rPr>
                <w:b/>
                <w:bCs/>
                <w:sz w:val="20"/>
                <w:szCs w:val="20"/>
              </w:rPr>
              <w:t>.0</w:t>
            </w:r>
            <w:r w:rsidR="006F4893" w:rsidRPr="001F224B">
              <w:rPr>
                <w:b/>
                <w:bCs/>
                <w:sz w:val="20"/>
                <w:szCs w:val="20"/>
              </w:rPr>
              <w:t>6</w:t>
            </w:r>
            <w:r w:rsidRPr="001F224B">
              <w:rPr>
                <w:b/>
                <w:bCs/>
                <w:sz w:val="20"/>
                <w:szCs w:val="20"/>
              </w:rPr>
              <w:t>.2024)</w:t>
            </w:r>
          </w:p>
        </w:tc>
      </w:tr>
      <w:tr w:rsidR="004C6901" w:rsidRPr="001F224B" w14:paraId="054F9AF1" w14:textId="77777777" w:rsidTr="006F4893">
        <w:trPr>
          <w:trHeight w:val="460"/>
        </w:trPr>
        <w:tc>
          <w:tcPr>
            <w:tcW w:w="2807" w:type="pct"/>
            <w:shd w:val="clear" w:color="000000" w:fill="FFFFFF"/>
            <w:vAlign w:val="bottom"/>
            <w:hideMark/>
          </w:tcPr>
          <w:p w14:paraId="65527B99" w14:textId="77777777" w:rsidR="004C6901" w:rsidRPr="001F224B" w:rsidRDefault="004C6901" w:rsidP="004C6901">
            <w:pPr>
              <w:rPr>
                <w:color w:val="000000"/>
                <w:sz w:val="20"/>
                <w:szCs w:val="20"/>
              </w:rPr>
            </w:pPr>
            <w:r w:rsidRPr="001F224B">
              <w:rPr>
                <w:color w:val="000000"/>
                <w:sz w:val="20"/>
                <w:szCs w:val="20"/>
              </w:rPr>
              <w:t>Gerçeğe Uygun Değer Farkı Kar veya Zarara Yansıtılan Finansal Varlıklar</w:t>
            </w:r>
          </w:p>
        </w:tc>
        <w:tc>
          <w:tcPr>
            <w:tcW w:w="1079" w:type="pct"/>
            <w:shd w:val="clear" w:color="auto" w:fill="auto"/>
            <w:vAlign w:val="bottom"/>
            <w:hideMark/>
          </w:tcPr>
          <w:p w14:paraId="285C784C" w14:textId="19939349" w:rsidR="004C6901" w:rsidRPr="001F224B" w:rsidRDefault="004C6901" w:rsidP="004C6901">
            <w:pPr>
              <w:jc w:val="right"/>
              <w:rPr>
                <w:sz w:val="20"/>
                <w:szCs w:val="20"/>
              </w:rPr>
            </w:pPr>
            <w:r w:rsidRPr="001F224B">
              <w:rPr>
                <w:sz w:val="20"/>
                <w:szCs w:val="20"/>
              </w:rPr>
              <w:t>30.469</w:t>
            </w:r>
          </w:p>
        </w:tc>
        <w:tc>
          <w:tcPr>
            <w:tcW w:w="1114" w:type="pct"/>
            <w:shd w:val="clear" w:color="auto" w:fill="auto"/>
            <w:vAlign w:val="bottom"/>
            <w:hideMark/>
          </w:tcPr>
          <w:p w14:paraId="7E7FBBAB" w14:textId="0D679DD2" w:rsidR="004C6901" w:rsidRPr="001F224B" w:rsidRDefault="004C6901" w:rsidP="004C6901">
            <w:pPr>
              <w:jc w:val="right"/>
              <w:rPr>
                <w:sz w:val="20"/>
                <w:szCs w:val="20"/>
              </w:rPr>
            </w:pPr>
            <w:r w:rsidRPr="001F224B">
              <w:rPr>
                <w:bCs/>
                <w:sz w:val="20"/>
                <w:szCs w:val="20"/>
              </w:rPr>
              <w:t>-</w:t>
            </w:r>
          </w:p>
        </w:tc>
      </w:tr>
      <w:tr w:rsidR="004C6901" w:rsidRPr="001F224B" w14:paraId="5ECDBD0F" w14:textId="77777777" w:rsidTr="006F4893">
        <w:trPr>
          <w:trHeight w:val="460"/>
        </w:trPr>
        <w:tc>
          <w:tcPr>
            <w:tcW w:w="2807" w:type="pct"/>
            <w:shd w:val="clear" w:color="000000" w:fill="FFFFFF"/>
            <w:vAlign w:val="bottom"/>
            <w:hideMark/>
          </w:tcPr>
          <w:p w14:paraId="59F7C0ED" w14:textId="77777777" w:rsidR="004C6901" w:rsidRPr="001F224B" w:rsidRDefault="004C6901" w:rsidP="004C6901">
            <w:pPr>
              <w:rPr>
                <w:color w:val="000000"/>
                <w:sz w:val="20"/>
                <w:szCs w:val="20"/>
              </w:rPr>
            </w:pPr>
            <w:r w:rsidRPr="001F224B">
              <w:rPr>
                <w:color w:val="000000"/>
                <w:sz w:val="20"/>
                <w:szCs w:val="20"/>
              </w:rPr>
              <w:t>Gerçeğe Uygun Değer Farkı Diğer Kapsamlı Gelire Yansıtılan Finansal Varlıklar</w:t>
            </w:r>
          </w:p>
        </w:tc>
        <w:tc>
          <w:tcPr>
            <w:tcW w:w="1079" w:type="pct"/>
            <w:shd w:val="clear" w:color="auto" w:fill="auto"/>
            <w:vAlign w:val="bottom"/>
            <w:hideMark/>
          </w:tcPr>
          <w:p w14:paraId="10B138D7" w14:textId="2BB0FB2E" w:rsidR="004C6901" w:rsidRPr="001F224B" w:rsidRDefault="004C6901" w:rsidP="004C6901">
            <w:pPr>
              <w:jc w:val="right"/>
              <w:rPr>
                <w:sz w:val="20"/>
                <w:szCs w:val="20"/>
              </w:rPr>
            </w:pPr>
            <w:r w:rsidRPr="001F224B">
              <w:rPr>
                <w:sz w:val="20"/>
                <w:szCs w:val="20"/>
              </w:rPr>
              <w:t>17.167</w:t>
            </w:r>
          </w:p>
        </w:tc>
        <w:tc>
          <w:tcPr>
            <w:tcW w:w="1114" w:type="pct"/>
            <w:shd w:val="clear" w:color="auto" w:fill="auto"/>
            <w:vAlign w:val="bottom"/>
            <w:hideMark/>
          </w:tcPr>
          <w:p w14:paraId="79DE436E" w14:textId="32ACBFED" w:rsidR="004C6901" w:rsidRPr="001F224B" w:rsidRDefault="004C6901" w:rsidP="004C6901">
            <w:pPr>
              <w:jc w:val="right"/>
              <w:rPr>
                <w:sz w:val="20"/>
                <w:szCs w:val="20"/>
              </w:rPr>
            </w:pPr>
            <w:r w:rsidRPr="001F224B">
              <w:rPr>
                <w:sz w:val="20"/>
                <w:szCs w:val="20"/>
              </w:rPr>
              <w:t>7.204</w:t>
            </w:r>
          </w:p>
        </w:tc>
      </w:tr>
      <w:tr w:rsidR="00CE3F30" w:rsidRPr="001F224B" w14:paraId="1D3B6C23" w14:textId="77777777" w:rsidTr="006F4893">
        <w:trPr>
          <w:trHeight w:val="183"/>
        </w:trPr>
        <w:tc>
          <w:tcPr>
            <w:tcW w:w="2807" w:type="pct"/>
            <w:shd w:val="clear" w:color="000000" w:fill="FFFFFF"/>
            <w:vAlign w:val="bottom"/>
            <w:hideMark/>
          </w:tcPr>
          <w:p w14:paraId="15DACA15" w14:textId="77777777" w:rsidR="00CE3F30" w:rsidRPr="001F224B" w:rsidRDefault="00CE3F30" w:rsidP="00CE3F30">
            <w:pPr>
              <w:rPr>
                <w:color w:val="000000"/>
                <w:sz w:val="20"/>
                <w:szCs w:val="20"/>
              </w:rPr>
            </w:pPr>
            <w:r w:rsidRPr="001F224B">
              <w:rPr>
                <w:color w:val="000000"/>
                <w:sz w:val="20"/>
                <w:szCs w:val="20"/>
              </w:rPr>
              <w:t>Diğer</w:t>
            </w:r>
          </w:p>
        </w:tc>
        <w:tc>
          <w:tcPr>
            <w:tcW w:w="1079" w:type="pct"/>
            <w:shd w:val="clear" w:color="auto" w:fill="auto"/>
            <w:vAlign w:val="bottom"/>
            <w:hideMark/>
          </w:tcPr>
          <w:p w14:paraId="0587551C" w14:textId="7FC1EF7B" w:rsidR="00CE3F30" w:rsidRPr="001F224B" w:rsidRDefault="00CE3F30" w:rsidP="00CE3F30">
            <w:pPr>
              <w:jc w:val="right"/>
              <w:rPr>
                <w:sz w:val="20"/>
                <w:szCs w:val="20"/>
              </w:rPr>
            </w:pPr>
            <w:r w:rsidRPr="001F224B">
              <w:rPr>
                <w:sz w:val="20"/>
                <w:szCs w:val="20"/>
              </w:rPr>
              <w:t>-</w:t>
            </w:r>
          </w:p>
        </w:tc>
        <w:tc>
          <w:tcPr>
            <w:tcW w:w="1114" w:type="pct"/>
            <w:shd w:val="clear" w:color="auto" w:fill="auto"/>
            <w:vAlign w:val="bottom"/>
            <w:hideMark/>
          </w:tcPr>
          <w:p w14:paraId="33D8BF9B" w14:textId="7AD42446" w:rsidR="00CE3F30" w:rsidRPr="001F224B" w:rsidRDefault="00CE3F30" w:rsidP="00CE3F30">
            <w:pPr>
              <w:jc w:val="right"/>
              <w:rPr>
                <w:sz w:val="20"/>
                <w:szCs w:val="20"/>
              </w:rPr>
            </w:pPr>
            <w:r w:rsidRPr="001F224B">
              <w:rPr>
                <w:sz w:val="20"/>
                <w:szCs w:val="20"/>
              </w:rPr>
              <w:t>-</w:t>
            </w:r>
          </w:p>
        </w:tc>
      </w:tr>
      <w:tr w:rsidR="00CE3F30" w:rsidRPr="001F224B" w14:paraId="2435337B" w14:textId="77777777" w:rsidTr="006F4893">
        <w:trPr>
          <w:trHeight w:val="215"/>
        </w:trPr>
        <w:tc>
          <w:tcPr>
            <w:tcW w:w="2807" w:type="pct"/>
            <w:shd w:val="clear" w:color="auto" w:fill="auto"/>
            <w:vAlign w:val="bottom"/>
            <w:hideMark/>
          </w:tcPr>
          <w:p w14:paraId="0BB0317E" w14:textId="77777777" w:rsidR="00CE3F30" w:rsidRPr="001F224B" w:rsidRDefault="00CE3F30" w:rsidP="00CE3F30">
            <w:pPr>
              <w:rPr>
                <w:b/>
                <w:bCs/>
                <w:sz w:val="20"/>
                <w:szCs w:val="20"/>
              </w:rPr>
            </w:pPr>
            <w:r w:rsidRPr="001F224B">
              <w:rPr>
                <w:b/>
                <w:bCs/>
                <w:sz w:val="20"/>
                <w:szCs w:val="20"/>
              </w:rPr>
              <w:t>Toplam</w:t>
            </w:r>
          </w:p>
        </w:tc>
        <w:tc>
          <w:tcPr>
            <w:tcW w:w="1079" w:type="pct"/>
            <w:shd w:val="clear" w:color="auto" w:fill="auto"/>
            <w:vAlign w:val="bottom"/>
            <w:hideMark/>
          </w:tcPr>
          <w:p w14:paraId="016759C9" w14:textId="6D691600" w:rsidR="00CE3F30" w:rsidRPr="001F224B" w:rsidRDefault="00CE3F30" w:rsidP="00CE3F30">
            <w:pPr>
              <w:jc w:val="right"/>
              <w:rPr>
                <w:b/>
                <w:bCs/>
                <w:sz w:val="20"/>
                <w:szCs w:val="20"/>
              </w:rPr>
            </w:pPr>
            <w:r w:rsidRPr="001F224B">
              <w:rPr>
                <w:b/>
                <w:bCs/>
                <w:sz w:val="20"/>
                <w:szCs w:val="20"/>
              </w:rPr>
              <w:t>47.636</w:t>
            </w:r>
          </w:p>
        </w:tc>
        <w:tc>
          <w:tcPr>
            <w:tcW w:w="1114" w:type="pct"/>
            <w:shd w:val="clear" w:color="auto" w:fill="auto"/>
            <w:vAlign w:val="bottom"/>
            <w:hideMark/>
          </w:tcPr>
          <w:p w14:paraId="74EC3188" w14:textId="59011560" w:rsidR="00CE3F30" w:rsidRPr="001F224B" w:rsidRDefault="00CE3F30" w:rsidP="00CE3F30">
            <w:pPr>
              <w:jc w:val="right"/>
              <w:rPr>
                <w:b/>
                <w:bCs/>
                <w:sz w:val="20"/>
                <w:szCs w:val="20"/>
              </w:rPr>
            </w:pPr>
            <w:r w:rsidRPr="001F224B">
              <w:rPr>
                <w:b/>
                <w:sz w:val="20"/>
                <w:szCs w:val="20"/>
              </w:rPr>
              <w:t>7.204</w:t>
            </w:r>
          </w:p>
        </w:tc>
      </w:tr>
    </w:tbl>
    <w:p w14:paraId="22E8988D" w14:textId="34A42E92" w:rsidR="009A548C" w:rsidRPr="001F224B" w:rsidRDefault="009A548C" w:rsidP="006D1456">
      <w:pPr>
        <w:pStyle w:val="BodyText"/>
        <w:tabs>
          <w:tab w:val="clear" w:pos="0"/>
          <w:tab w:val="clear" w:pos="720"/>
        </w:tabs>
        <w:spacing w:before="120" w:after="120"/>
        <w:rPr>
          <w:bCs/>
          <w:sz w:val="22"/>
          <w:szCs w:val="22"/>
        </w:rPr>
      </w:pPr>
      <w:r w:rsidRPr="001F224B">
        <w:rPr>
          <w:sz w:val="22"/>
          <w:szCs w:val="22"/>
        </w:rPr>
        <w:br w:type="page"/>
      </w:r>
    </w:p>
    <w:p w14:paraId="503126EC" w14:textId="77777777" w:rsidR="009A548C" w:rsidRPr="001F224B" w:rsidRDefault="009A548C" w:rsidP="009A548C">
      <w:pPr>
        <w:pStyle w:val="ListParagraph"/>
        <w:tabs>
          <w:tab w:val="left" w:pos="0"/>
        </w:tabs>
        <w:spacing w:before="120" w:after="120"/>
        <w:ind w:left="0"/>
        <w:rPr>
          <w:b/>
          <w:bCs/>
          <w:sz w:val="22"/>
          <w:szCs w:val="22"/>
        </w:rPr>
      </w:pPr>
      <w:r w:rsidRPr="001F224B">
        <w:rPr>
          <w:b/>
          <w:bCs/>
          <w:sz w:val="22"/>
          <w:szCs w:val="22"/>
        </w:rPr>
        <w:t>BEŞİNCİ BÖLÜM (Devamı)</w:t>
      </w:r>
    </w:p>
    <w:p w14:paraId="08AF1370" w14:textId="77777777" w:rsidR="009A548C" w:rsidRPr="001F224B" w:rsidRDefault="0086771E" w:rsidP="009A548C">
      <w:pPr>
        <w:pStyle w:val="ListParagraph"/>
        <w:tabs>
          <w:tab w:val="left" w:pos="0"/>
        </w:tabs>
        <w:spacing w:after="120"/>
        <w:ind w:left="0"/>
        <w:rPr>
          <w:b/>
          <w:bCs/>
          <w:sz w:val="22"/>
          <w:szCs w:val="22"/>
        </w:rPr>
      </w:pPr>
      <w:r w:rsidRPr="001F224B">
        <w:rPr>
          <w:b/>
          <w:bCs/>
          <w:sz w:val="22"/>
          <w:szCs w:val="22"/>
        </w:rPr>
        <w:t xml:space="preserve">KONSOLİDE </w:t>
      </w:r>
      <w:r w:rsidR="009A548C" w:rsidRPr="001F224B">
        <w:rPr>
          <w:b/>
          <w:bCs/>
          <w:sz w:val="22"/>
          <w:szCs w:val="22"/>
        </w:rPr>
        <w:t>FİNANSAL TABLOLARA İLİŞKİN AÇIKLAMA VE DİPNOTLAR (Devamı)</w:t>
      </w:r>
    </w:p>
    <w:p w14:paraId="3F897226" w14:textId="520EA862" w:rsidR="00FE5E73" w:rsidRPr="001F224B" w:rsidRDefault="00AE2E42" w:rsidP="009A548C">
      <w:pPr>
        <w:pStyle w:val="ListParagraph"/>
        <w:tabs>
          <w:tab w:val="left" w:pos="0"/>
        </w:tabs>
        <w:spacing w:after="120"/>
        <w:ind w:left="0"/>
        <w:rPr>
          <w:b/>
          <w:bCs/>
          <w:sz w:val="22"/>
          <w:szCs w:val="22"/>
        </w:rPr>
      </w:pPr>
      <w:r w:rsidRPr="001F224B">
        <w:rPr>
          <w:b/>
          <w:bCs/>
          <w:sz w:val="22"/>
          <w:szCs w:val="22"/>
        </w:rPr>
        <w:t xml:space="preserve">IV.     </w:t>
      </w:r>
      <w:r w:rsidR="0086771E" w:rsidRPr="001F224B">
        <w:rPr>
          <w:b/>
          <w:bCs/>
          <w:sz w:val="22"/>
          <w:szCs w:val="22"/>
        </w:rPr>
        <w:t>Konsolide k</w:t>
      </w:r>
      <w:r w:rsidR="00FE5E73" w:rsidRPr="001F224B">
        <w:rPr>
          <w:b/>
          <w:bCs/>
          <w:sz w:val="22"/>
          <w:szCs w:val="22"/>
        </w:rPr>
        <w:t xml:space="preserve">ar veya </w:t>
      </w:r>
      <w:r w:rsidR="0086771E" w:rsidRPr="001F224B">
        <w:rPr>
          <w:b/>
          <w:bCs/>
          <w:sz w:val="22"/>
          <w:szCs w:val="22"/>
        </w:rPr>
        <w:t>z</w:t>
      </w:r>
      <w:r w:rsidR="00FE5E73" w:rsidRPr="001F224B">
        <w:rPr>
          <w:b/>
          <w:bCs/>
          <w:sz w:val="22"/>
          <w:szCs w:val="22"/>
        </w:rPr>
        <w:t>arar tablosuna ilişkin açıklama ve dipnotlar (Devamı)</w:t>
      </w:r>
    </w:p>
    <w:p w14:paraId="16ECFA11" w14:textId="77777777" w:rsidR="00267DF1" w:rsidRPr="001F224B" w:rsidRDefault="00267DF1" w:rsidP="005514FC">
      <w:pPr>
        <w:tabs>
          <w:tab w:val="left" w:pos="567"/>
          <w:tab w:val="left" w:pos="709"/>
        </w:tabs>
        <w:spacing w:before="120" w:after="120"/>
        <w:jc w:val="both"/>
        <w:rPr>
          <w:b/>
          <w:bCs/>
          <w:sz w:val="22"/>
          <w:szCs w:val="22"/>
        </w:rPr>
      </w:pPr>
      <w:r w:rsidRPr="001F224B">
        <w:rPr>
          <w:b/>
          <w:bCs/>
          <w:sz w:val="22"/>
          <w:szCs w:val="22"/>
        </w:rPr>
        <w:t>4.</w:t>
      </w:r>
      <w:r w:rsidR="002203D7" w:rsidRPr="001F224B">
        <w:rPr>
          <w:b/>
          <w:bCs/>
          <w:sz w:val="22"/>
          <w:szCs w:val="22"/>
        </w:rPr>
        <w:tab/>
      </w:r>
      <w:r w:rsidR="0056623B" w:rsidRPr="001F224B">
        <w:rPr>
          <w:b/>
          <w:bCs/>
          <w:sz w:val="22"/>
          <w:szCs w:val="22"/>
        </w:rPr>
        <w:t>Ticari k</w:t>
      </w:r>
      <w:r w:rsidR="00047F42" w:rsidRPr="001F224B">
        <w:rPr>
          <w:b/>
          <w:bCs/>
          <w:sz w:val="22"/>
          <w:szCs w:val="22"/>
        </w:rPr>
        <w:t>a</w:t>
      </w:r>
      <w:r w:rsidR="0056623B" w:rsidRPr="001F224B">
        <w:rPr>
          <w:b/>
          <w:bCs/>
          <w:sz w:val="22"/>
          <w:szCs w:val="22"/>
        </w:rPr>
        <w:t>r/</w:t>
      </w:r>
      <w:r w:rsidRPr="001F224B">
        <w:rPr>
          <w:b/>
          <w:bCs/>
          <w:sz w:val="22"/>
          <w:szCs w:val="22"/>
        </w:rPr>
        <w:t>zarara ilişkin açıklamalar:</w:t>
      </w:r>
    </w:p>
    <w:tbl>
      <w:tblPr>
        <w:tblW w:w="9753" w:type="dxa"/>
        <w:tblInd w:w="23" w:type="dxa"/>
        <w:tblCellMar>
          <w:left w:w="70" w:type="dxa"/>
          <w:right w:w="70" w:type="dxa"/>
        </w:tblCellMar>
        <w:tblLook w:val="0000" w:firstRow="0" w:lastRow="0" w:firstColumn="0" w:lastColumn="0" w:noHBand="0" w:noVBand="0"/>
      </w:tblPr>
      <w:tblGrid>
        <w:gridCol w:w="4774"/>
        <w:gridCol w:w="2494"/>
        <w:gridCol w:w="2485"/>
      </w:tblGrid>
      <w:tr w:rsidR="00C5334A" w:rsidRPr="001F224B" w14:paraId="690E5E78" w14:textId="77777777" w:rsidTr="0082167C">
        <w:trPr>
          <w:trHeight w:val="227"/>
        </w:trPr>
        <w:tc>
          <w:tcPr>
            <w:tcW w:w="477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C4224FC" w14:textId="77777777" w:rsidR="00C5334A" w:rsidRPr="001F224B" w:rsidRDefault="00C5334A" w:rsidP="00C5334A">
            <w:pPr>
              <w:ind w:left="-198"/>
              <w:rPr>
                <w:b/>
                <w:bCs/>
                <w:sz w:val="20"/>
                <w:szCs w:val="20"/>
              </w:rPr>
            </w:pPr>
            <w:r w:rsidRPr="001F224B">
              <w:rPr>
                <w:b/>
                <w:bCs/>
                <w:sz w:val="20"/>
                <w:szCs w:val="20"/>
              </w:rPr>
              <w:t>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2D89F602" w14:textId="77777777" w:rsidR="00C5334A" w:rsidRPr="001F224B" w:rsidRDefault="00C5334A" w:rsidP="00C5334A">
            <w:pPr>
              <w:jc w:val="center"/>
              <w:rPr>
                <w:b/>
                <w:bCs/>
                <w:sz w:val="20"/>
                <w:szCs w:val="20"/>
              </w:rPr>
            </w:pPr>
            <w:r w:rsidRPr="001F224B">
              <w:rPr>
                <w:b/>
                <w:bCs/>
                <w:sz w:val="20"/>
                <w:szCs w:val="20"/>
              </w:rPr>
              <w:t>Cari Dönem</w:t>
            </w:r>
          </w:p>
          <w:p w14:paraId="5E4C6BC9" w14:textId="2D73F472" w:rsidR="00C5334A" w:rsidRPr="001F224B" w:rsidRDefault="00C5334A" w:rsidP="00C5334A">
            <w:pPr>
              <w:jc w:val="center"/>
              <w:rPr>
                <w:b/>
                <w:bCs/>
                <w:sz w:val="20"/>
                <w:szCs w:val="20"/>
              </w:rPr>
            </w:pPr>
            <w:r w:rsidRPr="001F224B">
              <w:rPr>
                <w:b/>
                <w:bCs/>
                <w:sz w:val="20"/>
                <w:szCs w:val="20"/>
              </w:rPr>
              <w:t>(3</w:t>
            </w:r>
            <w:r w:rsidR="00C84E56" w:rsidRPr="001F224B">
              <w:rPr>
                <w:b/>
                <w:bCs/>
                <w:sz w:val="20"/>
                <w:szCs w:val="20"/>
              </w:rPr>
              <w:t>0</w:t>
            </w:r>
            <w:r w:rsidRPr="001F224B">
              <w:rPr>
                <w:b/>
                <w:bCs/>
                <w:sz w:val="20"/>
                <w:szCs w:val="20"/>
              </w:rPr>
              <w:t>.</w:t>
            </w:r>
            <w:r w:rsidR="00BA7A0D" w:rsidRPr="001F224B">
              <w:rPr>
                <w:b/>
                <w:bCs/>
                <w:sz w:val="20"/>
                <w:szCs w:val="20"/>
              </w:rPr>
              <w:t>0</w:t>
            </w:r>
            <w:r w:rsidR="00C84E56" w:rsidRPr="001F224B">
              <w:rPr>
                <w:b/>
                <w:bCs/>
                <w:sz w:val="20"/>
                <w:szCs w:val="20"/>
              </w:rPr>
              <w:t>6</w:t>
            </w:r>
            <w:r w:rsidRPr="001F224B">
              <w:rPr>
                <w:b/>
                <w:bCs/>
                <w:sz w:val="20"/>
                <w:szCs w:val="20"/>
              </w:rPr>
              <w:t>.202</w:t>
            </w:r>
            <w:r w:rsidR="00BA7A0D" w:rsidRPr="001F224B">
              <w:rPr>
                <w:b/>
                <w:bCs/>
                <w:sz w:val="20"/>
                <w:szCs w:val="20"/>
              </w:rPr>
              <w:t>5</w:t>
            </w:r>
            <w:r w:rsidRPr="001F224B">
              <w:rPr>
                <w:b/>
                <w:bCs/>
                <w:sz w:val="20"/>
                <w:szCs w:val="20"/>
              </w:rPr>
              <w:t>)</w:t>
            </w:r>
          </w:p>
        </w:tc>
        <w:tc>
          <w:tcPr>
            <w:tcW w:w="2485" w:type="dxa"/>
            <w:tcBorders>
              <w:top w:val="single" w:sz="4" w:space="0" w:color="auto"/>
              <w:left w:val="nil"/>
              <w:bottom w:val="single" w:sz="4" w:space="0" w:color="auto"/>
              <w:right w:val="single" w:sz="4" w:space="0" w:color="000000"/>
            </w:tcBorders>
            <w:shd w:val="clear" w:color="000000" w:fill="FFFFFF"/>
            <w:noWrap/>
            <w:vAlign w:val="bottom"/>
          </w:tcPr>
          <w:p w14:paraId="44233910" w14:textId="77777777" w:rsidR="00C5334A" w:rsidRPr="001F224B" w:rsidRDefault="00C5334A" w:rsidP="00C5334A">
            <w:pPr>
              <w:jc w:val="center"/>
              <w:rPr>
                <w:b/>
                <w:bCs/>
                <w:sz w:val="20"/>
                <w:szCs w:val="20"/>
              </w:rPr>
            </w:pPr>
            <w:r w:rsidRPr="001F224B">
              <w:rPr>
                <w:b/>
                <w:bCs/>
                <w:sz w:val="20"/>
                <w:szCs w:val="20"/>
              </w:rPr>
              <w:t>Önceki Dönem</w:t>
            </w:r>
          </w:p>
          <w:p w14:paraId="25D7F63E" w14:textId="0E925072" w:rsidR="00C5334A" w:rsidRPr="001F224B" w:rsidRDefault="00C5334A" w:rsidP="00C5334A">
            <w:pPr>
              <w:jc w:val="center"/>
              <w:rPr>
                <w:b/>
                <w:bCs/>
                <w:sz w:val="20"/>
                <w:szCs w:val="20"/>
              </w:rPr>
            </w:pPr>
            <w:r w:rsidRPr="001F224B">
              <w:rPr>
                <w:b/>
                <w:bCs/>
                <w:sz w:val="20"/>
                <w:szCs w:val="20"/>
              </w:rPr>
              <w:t>(3</w:t>
            </w:r>
            <w:r w:rsidR="00C84E56" w:rsidRPr="001F224B">
              <w:rPr>
                <w:b/>
                <w:bCs/>
                <w:sz w:val="20"/>
                <w:szCs w:val="20"/>
              </w:rPr>
              <w:t>0</w:t>
            </w:r>
            <w:r w:rsidRPr="001F224B">
              <w:rPr>
                <w:b/>
                <w:bCs/>
                <w:sz w:val="20"/>
                <w:szCs w:val="20"/>
              </w:rPr>
              <w:t>.</w:t>
            </w:r>
            <w:r w:rsidR="00BA7A0D" w:rsidRPr="001F224B">
              <w:rPr>
                <w:b/>
                <w:bCs/>
                <w:sz w:val="20"/>
                <w:szCs w:val="20"/>
              </w:rPr>
              <w:t>0</w:t>
            </w:r>
            <w:r w:rsidR="00C84E56" w:rsidRPr="001F224B">
              <w:rPr>
                <w:b/>
                <w:bCs/>
                <w:sz w:val="20"/>
                <w:szCs w:val="20"/>
              </w:rPr>
              <w:t>6</w:t>
            </w:r>
            <w:r w:rsidRPr="001F224B">
              <w:rPr>
                <w:b/>
                <w:bCs/>
                <w:sz w:val="20"/>
                <w:szCs w:val="20"/>
              </w:rPr>
              <w:t>.202</w:t>
            </w:r>
            <w:r w:rsidR="00BA7A0D" w:rsidRPr="001F224B">
              <w:rPr>
                <w:b/>
                <w:bCs/>
                <w:sz w:val="20"/>
                <w:szCs w:val="20"/>
              </w:rPr>
              <w:t>4</w:t>
            </w:r>
            <w:r w:rsidRPr="001F224B">
              <w:rPr>
                <w:b/>
                <w:bCs/>
                <w:sz w:val="20"/>
                <w:szCs w:val="20"/>
              </w:rPr>
              <w:t>)</w:t>
            </w:r>
          </w:p>
        </w:tc>
      </w:tr>
      <w:tr w:rsidR="004302DA" w:rsidRPr="001F224B" w14:paraId="06CD2DE1"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674B1967" w14:textId="77777777" w:rsidR="004302DA" w:rsidRPr="001F224B" w:rsidRDefault="004302DA" w:rsidP="004302DA">
            <w:pPr>
              <w:rPr>
                <w:b/>
                <w:bCs/>
                <w:sz w:val="20"/>
                <w:szCs w:val="20"/>
              </w:rPr>
            </w:pPr>
            <w:r w:rsidRPr="001F224B">
              <w:rPr>
                <w:b/>
                <w:bCs/>
                <w:sz w:val="20"/>
                <w:szCs w:val="20"/>
              </w:rPr>
              <w:t>Kar</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471A6F44" w14:textId="5CEF516E" w:rsidR="004302DA" w:rsidRPr="001F224B" w:rsidRDefault="004302DA" w:rsidP="004302DA">
            <w:pPr>
              <w:jc w:val="right"/>
              <w:rPr>
                <w:b/>
                <w:bCs/>
                <w:sz w:val="20"/>
                <w:szCs w:val="20"/>
              </w:rPr>
            </w:pPr>
            <w:r w:rsidRPr="001F224B">
              <w:rPr>
                <w:b/>
                <w:bCs/>
                <w:sz w:val="20"/>
                <w:szCs w:val="20"/>
              </w:rPr>
              <w:t>1.424.012</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5C2B5E4A" w14:textId="4BF0C1B7" w:rsidR="004302DA" w:rsidRPr="001F224B" w:rsidRDefault="004302DA" w:rsidP="004302DA">
            <w:pPr>
              <w:jc w:val="right"/>
              <w:rPr>
                <w:b/>
                <w:sz w:val="20"/>
                <w:szCs w:val="20"/>
              </w:rPr>
            </w:pPr>
            <w:r w:rsidRPr="001F224B">
              <w:rPr>
                <w:b/>
                <w:bCs/>
                <w:sz w:val="20"/>
                <w:szCs w:val="20"/>
              </w:rPr>
              <w:t>398.415</w:t>
            </w:r>
          </w:p>
        </w:tc>
      </w:tr>
      <w:tr w:rsidR="004302DA" w:rsidRPr="001F224B" w14:paraId="3DAC3FC1"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865C0EC" w14:textId="77777777" w:rsidR="004302DA" w:rsidRPr="001F224B" w:rsidRDefault="004302DA" w:rsidP="004302DA">
            <w:pPr>
              <w:rPr>
                <w:sz w:val="20"/>
                <w:szCs w:val="20"/>
              </w:rPr>
            </w:pPr>
            <w:r w:rsidRPr="001F224B">
              <w:rPr>
                <w:sz w:val="20"/>
                <w:szCs w:val="20"/>
              </w:rPr>
              <w:t>Sermaye Piyasası İşlemleri Karı</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42A6C958" w14:textId="64F42657" w:rsidR="004302DA" w:rsidRPr="001F224B" w:rsidRDefault="004302DA" w:rsidP="004302DA">
            <w:pPr>
              <w:jc w:val="right"/>
              <w:rPr>
                <w:sz w:val="20"/>
                <w:szCs w:val="20"/>
              </w:rPr>
            </w:pPr>
            <w:r w:rsidRPr="001F224B">
              <w:rPr>
                <w:sz w:val="20"/>
                <w:szCs w:val="20"/>
              </w:rPr>
              <w:t>155.238</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138703DF" w14:textId="53D7BD93" w:rsidR="004302DA" w:rsidRPr="001F224B" w:rsidRDefault="004302DA" w:rsidP="004302DA">
            <w:pPr>
              <w:jc w:val="right"/>
              <w:rPr>
                <w:sz w:val="20"/>
                <w:szCs w:val="20"/>
              </w:rPr>
            </w:pPr>
            <w:r w:rsidRPr="001F224B">
              <w:rPr>
                <w:sz w:val="20"/>
                <w:szCs w:val="20"/>
              </w:rPr>
              <w:t>62.884</w:t>
            </w:r>
          </w:p>
        </w:tc>
      </w:tr>
      <w:tr w:rsidR="004302DA" w:rsidRPr="001F224B" w14:paraId="75A4864C"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14169C5E" w14:textId="77777777" w:rsidR="004302DA" w:rsidRPr="001F224B" w:rsidRDefault="004302DA" w:rsidP="004302DA">
            <w:pPr>
              <w:rPr>
                <w:sz w:val="20"/>
                <w:szCs w:val="20"/>
              </w:rPr>
            </w:pPr>
            <w:r w:rsidRPr="001F224B">
              <w:rPr>
                <w:sz w:val="20"/>
                <w:szCs w:val="20"/>
              </w:rPr>
              <w:t>Türev Finansal İşlemlerden Kar</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4279800A" w14:textId="2DA5DE29" w:rsidR="004302DA" w:rsidRPr="001F224B" w:rsidRDefault="004302DA" w:rsidP="004302DA">
            <w:pPr>
              <w:jc w:val="right"/>
              <w:rPr>
                <w:sz w:val="20"/>
                <w:szCs w:val="20"/>
              </w:rPr>
            </w:pPr>
            <w:r w:rsidRPr="001F224B">
              <w:rPr>
                <w:sz w:val="20"/>
                <w:szCs w:val="20"/>
              </w:rPr>
              <w:t>991.178</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4A31DAD2" w14:textId="4475A2C7" w:rsidR="004302DA" w:rsidRPr="001F224B" w:rsidRDefault="004302DA" w:rsidP="004302DA">
            <w:pPr>
              <w:jc w:val="right"/>
              <w:rPr>
                <w:sz w:val="20"/>
                <w:szCs w:val="20"/>
              </w:rPr>
            </w:pPr>
            <w:r w:rsidRPr="001F224B">
              <w:rPr>
                <w:sz w:val="20"/>
                <w:szCs w:val="20"/>
              </w:rPr>
              <w:t>190.954</w:t>
            </w:r>
          </w:p>
        </w:tc>
      </w:tr>
      <w:tr w:rsidR="004302DA" w:rsidRPr="001F224B" w14:paraId="37EC443B"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43C113E9" w14:textId="77777777" w:rsidR="004302DA" w:rsidRPr="001F224B" w:rsidRDefault="004302DA" w:rsidP="004302DA">
            <w:pPr>
              <w:rPr>
                <w:sz w:val="20"/>
                <w:szCs w:val="20"/>
              </w:rPr>
            </w:pPr>
            <w:r w:rsidRPr="001F224B">
              <w:rPr>
                <w:sz w:val="20"/>
                <w:szCs w:val="20"/>
              </w:rPr>
              <w:t>Kambiyo İşlemlerinden Kar</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6125A6B0" w14:textId="2C416762" w:rsidR="004302DA" w:rsidRPr="001F224B" w:rsidRDefault="004302DA" w:rsidP="004302DA">
            <w:pPr>
              <w:jc w:val="right"/>
              <w:rPr>
                <w:sz w:val="20"/>
                <w:szCs w:val="20"/>
              </w:rPr>
            </w:pPr>
            <w:r w:rsidRPr="001F224B">
              <w:rPr>
                <w:sz w:val="20"/>
                <w:szCs w:val="20"/>
              </w:rPr>
              <w:t>277.596</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7C788DFE" w14:textId="474CC9CC" w:rsidR="004302DA" w:rsidRPr="001F224B" w:rsidRDefault="004302DA" w:rsidP="004302DA">
            <w:pPr>
              <w:jc w:val="right"/>
              <w:rPr>
                <w:sz w:val="20"/>
                <w:szCs w:val="20"/>
              </w:rPr>
            </w:pPr>
            <w:r w:rsidRPr="001F224B">
              <w:rPr>
                <w:sz w:val="20"/>
                <w:szCs w:val="20"/>
              </w:rPr>
              <w:t>144.577</w:t>
            </w:r>
          </w:p>
        </w:tc>
      </w:tr>
      <w:tr w:rsidR="004302DA" w:rsidRPr="001F224B" w14:paraId="695DCDAC"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E02681E" w14:textId="77777777" w:rsidR="004302DA" w:rsidRPr="001F224B" w:rsidRDefault="004302DA" w:rsidP="004302DA">
            <w:pPr>
              <w:rPr>
                <w:b/>
                <w:bCs/>
                <w:sz w:val="20"/>
                <w:szCs w:val="20"/>
              </w:rPr>
            </w:pPr>
            <w:r w:rsidRPr="001F224B">
              <w:rPr>
                <w:b/>
                <w:bCs/>
                <w:sz w:val="20"/>
                <w:szCs w:val="20"/>
              </w:rPr>
              <w:t>Zarar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3D613B30" w14:textId="3DC9AB2E" w:rsidR="004302DA" w:rsidRPr="001F224B" w:rsidRDefault="004302DA" w:rsidP="004302DA">
            <w:pPr>
              <w:jc w:val="right"/>
              <w:rPr>
                <w:b/>
                <w:bCs/>
                <w:sz w:val="20"/>
                <w:szCs w:val="20"/>
              </w:rPr>
            </w:pPr>
            <w:r w:rsidRPr="001F224B">
              <w:rPr>
                <w:b/>
                <w:bCs/>
                <w:sz w:val="20"/>
                <w:szCs w:val="20"/>
              </w:rPr>
              <w:t>(1.672.688)</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562876AE" w14:textId="0F84E092" w:rsidR="004302DA" w:rsidRPr="001F224B" w:rsidRDefault="004302DA" w:rsidP="004302DA">
            <w:pPr>
              <w:jc w:val="right"/>
              <w:rPr>
                <w:b/>
                <w:sz w:val="20"/>
                <w:szCs w:val="20"/>
              </w:rPr>
            </w:pPr>
            <w:r w:rsidRPr="001F224B">
              <w:rPr>
                <w:b/>
                <w:bCs/>
                <w:sz w:val="20"/>
                <w:szCs w:val="20"/>
              </w:rPr>
              <w:t>(1.203.544)</w:t>
            </w:r>
          </w:p>
        </w:tc>
      </w:tr>
      <w:tr w:rsidR="004302DA" w:rsidRPr="001F224B" w14:paraId="6AB6C139"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4EA81EDE" w14:textId="77777777" w:rsidR="004302DA" w:rsidRPr="001F224B" w:rsidRDefault="004302DA" w:rsidP="004302DA">
            <w:pPr>
              <w:rPr>
                <w:sz w:val="20"/>
                <w:szCs w:val="20"/>
              </w:rPr>
            </w:pPr>
            <w:r w:rsidRPr="001F224B">
              <w:rPr>
                <w:sz w:val="20"/>
                <w:szCs w:val="20"/>
              </w:rPr>
              <w:t>Sermaye Piyasası İşlemleri Zararı</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22B50D42" w14:textId="3A07F37A" w:rsidR="004302DA" w:rsidRPr="001F224B" w:rsidRDefault="004302DA" w:rsidP="004302DA">
            <w:pPr>
              <w:jc w:val="right"/>
              <w:rPr>
                <w:sz w:val="20"/>
                <w:szCs w:val="20"/>
              </w:rPr>
            </w:pPr>
            <w:r w:rsidRPr="001F224B">
              <w:rPr>
                <w:sz w:val="20"/>
                <w:szCs w:val="20"/>
              </w:rPr>
              <w:t>(64.756)</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16CA51F4" w14:textId="046FDA32" w:rsidR="004302DA" w:rsidRPr="001F224B" w:rsidRDefault="004302DA" w:rsidP="004302DA">
            <w:pPr>
              <w:jc w:val="right"/>
            </w:pPr>
            <w:r w:rsidRPr="001F224B">
              <w:rPr>
                <w:sz w:val="20"/>
                <w:szCs w:val="20"/>
              </w:rPr>
              <w:t>(28.421)</w:t>
            </w:r>
          </w:p>
        </w:tc>
      </w:tr>
      <w:tr w:rsidR="004302DA" w:rsidRPr="001F224B" w14:paraId="5492E8E9"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01FA1C5" w14:textId="77777777" w:rsidR="004302DA" w:rsidRPr="001F224B" w:rsidRDefault="004302DA" w:rsidP="004302DA">
            <w:pPr>
              <w:rPr>
                <w:sz w:val="20"/>
                <w:szCs w:val="20"/>
              </w:rPr>
            </w:pPr>
            <w:r w:rsidRPr="001F224B">
              <w:rPr>
                <w:sz w:val="20"/>
                <w:szCs w:val="20"/>
              </w:rPr>
              <w:t>Türev Finansal İşlemlerden Zarar</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588DB1EB" w14:textId="5BD48E25" w:rsidR="004302DA" w:rsidRPr="001F224B" w:rsidRDefault="004302DA" w:rsidP="004302DA">
            <w:pPr>
              <w:jc w:val="right"/>
              <w:rPr>
                <w:sz w:val="20"/>
                <w:szCs w:val="20"/>
              </w:rPr>
            </w:pPr>
            <w:r w:rsidRPr="001F224B">
              <w:rPr>
                <w:sz w:val="20"/>
                <w:szCs w:val="20"/>
              </w:rPr>
              <w:t>(850.989)</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4EEF7CC8" w14:textId="23F5F9BD" w:rsidR="004302DA" w:rsidRPr="001F224B" w:rsidRDefault="004302DA" w:rsidP="004302DA">
            <w:pPr>
              <w:jc w:val="right"/>
            </w:pPr>
            <w:r w:rsidRPr="001F224B">
              <w:rPr>
                <w:sz w:val="20"/>
                <w:szCs w:val="20"/>
              </w:rPr>
              <w:t>(749.384)</w:t>
            </w:r>
          </w:p>
        </w:tc>
      </w:tr>
      <w:tr w:rsidR="004302DA" w:rsidRPr="001F224B" w14:paraId="5475FDAC" w14:textId="77777777" w:rsidTr="004302DA">
        <w:trPr>
          <w:trHeight w:val="227"/>
        </w:trPr>
        <w:tc>
          <w:tcPr>
            <w:tcW w:w="4774" w:type="dxa"/>
            <w:tcBorders>
              <w:top w:val="nil"/>
              <w:left w:val="single" w:sz="4" w:space="0" w:color="auto"/>
              <w:bottom w:val="single" w:sz="4" w:space="0" w:color="auto"/>
              <w:right w:val="single" w:sz="4" w:space="0" w:color="auto"/>
            </w:tcBorders>
            <w:shd w:val="clear" w:color="auto" w:fill="FFFFFF"/>
            <w:noWrap/>
            <w:vAlign w:val="bottom"/>
          </w:tcPr>
          <w:p w14:paraId="22FE0DD6" w14:textId="77777777" w:rsidR="004302DA" w:rsidRPr="001F224B" w:rsidRDefault="004302DA" w:rsidP="004302DA">
            <w:pPr>
              <w:rPr>
                <w:sz w:val="20"/>
                <w:szCs w:val="20"/>
              </w:rPr>
            </w:pPr>
            <w:r w:rsidRPr="001F224B">
              <w:rPr>
                <w:sz w:val="20"/>
                <w:szCs w:val="20"/>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658065" w14:textId="4E465D7B" w:rsidR="004302DA" w:rsidRPr="001F224B" w:rsidRDefault="004302DA" w:rsidP="004302DA">
            <w:pPr>
              <w:jc w:val="right"/>
              <w:rPr>
                <w:sz w:val="20"/>
                <w:szCs w:val="20"/>
              </w:rPr>
            </w:pPr>
            <w:r w:rsidRPr="001F224B">
              <w:rPr>
                <w:sz w:val="20"/>
                <w:szCs w:val="20"/>
              </w:rPr>
              <w:t>(756.943)</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5BFB5844" w14:textId="2E95DF93" w:rsidR="004302DA" w:rsidRPr="001F224B" w:rsidRDefault="004302DA" w:rsidP="004302DA">
            <w:pPr>
              <w:jc w:val="right"/>
              <w:rPr>
                <w:sz w:val="20"/>
                <w:szCs w:val="20"/>
              </w:rPr>
            </w:pPr>
            <w:r w:rsidRPr="001F224B">
              <w:rPr>
                <w:sz w:val="20"/>
                <w:szCs w:val="20"/>
              </w:rPr>
              <w:t>(425.739)</w:t>
            </w:r>
          </w:p>
        </w:tc>
      </w:tr>
    </w:tbl>
    <w:p w14:paraId="4D918893" w14:textId="77777777" w:rsidR="00283007" w:rsidRPr="001F224B" w:rsidRDefault="00E84673" w:rsidP="005514FC">
      <w:pPr>
        <w:tabs>
          <w:tab w:val="left" w:pos="567"/>
        </w:tabs>
        <w:spacing w:before="120" w:after="120"/>
        <w:jc w:val="both"/>
        <w:rPr>
          <w:b/>
          <w:bCs/>
          <w:sz w:val="22"/>
          <w:szCs w:val="22"/>
          <w:lang w:eastAsia="en-US"/>
        </w:rPr>
      </w:pPr>
      <w:bookmarkStart w:id="38" w:name="OLE_LINK1"/>
      <w:r w:rsidRPr="001F224B">
        <w:rPr>
          <w:b/>
          <w:bCs/>
          <w:sz w:val="22"/>
          <w:szCs w:val="22"/>
        </w:rPr>
        <w:t>5.</w:t>
      </w:r>
      <w:r w:rsidRPr="001F224B">
        <w:rPr>
          <w:b/>
          <w:bCs/>
          <w:sz w:val="22"/>
          <w:szCs w:val="22"/>
        </w:rPr>
        <w:tab/>
      </w:r>
      <w:r w:rsidR="00283007" w:rsidRPr="001F224B">
        <w:rPr>
          <w:b/>
          <w:bCs/>
          <w:sz w:val="22"/>
          <w:szCs w:val="22"/>
        </w:rPr>
        <w:t>Diğer faaliyet gelirlerine ilişkin bilgiler:</w:t>
      </w:r>
      <w:r w:rsidR="00283007" w:rsidRPr="001F224B">
        <w:rPr>
          <w:b/>
          <w:bCs/>
          <w:sz w:val="22"/>
          <w:szCs w:val="22"/>
          <w:lang w:eastAsia="en-US"/>
        </w:rPr>
        <w:t xml:space="preserve"> </w:t>
      </w:r>
    </w:p>
    <w:tbl>
      <w:tblPr>
        <w:tblW w:w="978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2"/>
        <w:gridCol w:w="2463"/>
        <w:gridCol w:w="2516"/>
      </w:tblGrid>
      <w:tr w:rsidR="00C5334A" w:rsidRPr="001F224B" w14:paraId="087C1376" w14:textId="77777777" w:rsidTr="0033482E">
        <w:trPr>
          <w:trHeight w:val="492"/>
        </w:trPr>
        <w:tc>
          <w:tcPr>
            <w:tcW w:w="4802" w:type="dxa"/>
            <w:vAlign w:val="center"/>
          </w:tcPr>
          <w:p w14:paraId="6331481E" w14:textId="77777777" w:rsidR="00C5334A" w:rsidRPr="001F224B" w:rsidRDefault="00C5334A" w:rsidP="00C5334A">
            <w:pPr>
              <w:pStyle w:val="EndnoteText"/>
              <w:keepNext/>
              <w:keepLines/>
              <w:rPr>
                <w:lang w:eastAsia="en-US"/>
              </w:rPr>
            </w:pPr>
            <w:bookmarkStart w:id="39" w:name="OLE_LINK3"/>
          </w:p>
        </w:tc>
        <w:tc>
          <w:tcPr>
            <w:tcW w:w="2463" w:type="dxa"/>
            <w:tcBorders>
              <w:top w:val="single" w:sz="4" w:space="0" w:color="auto"/>
              <w:left w:val="nil"/>
              <w:bottom w:val="single" w:sz="4" w:space="0" w:color="auto"/>
              <w:right w:val="single" w:sz="4" w:space="0" w:color="auto"/>
            </w:tcBorders>
            <w:shd w:val="clear" w:color="000000" w:fill="FFFFFF"/>
            <w:vAlign w:val="bottom"/>
          </w:tcPr>
          <w:p w14:paraId="1A0A1F85" w14:textId="77777777" w:rsidR="00C5334A" w:rsidRPr="001F224B" w:rsidRDefault="00C5334A" w:rsidP="00C5334A">
            <w:pPr>
              <w:jc w:val="center"/>
              <w:rPr>
                <w:b/>
                <w:bCs/>
                <w:sz w:val="20"/>
                <w:szCs w:val="20"/>
              </w:rPr>
            </w:pPr>
            <w:r w:rsidRPr="001F224B">
              <w:rPr>
                <w:b/>
                <w:bCs/>
                <w:sz w:val="20"/>
                <w:szCs w:val="20"/>
              </w:rPr>
              <w:t>Cari Dönem</w:t>
            </w:r>
          </w:p>
          <w:p w14:paraId="7FBBA031" w14:textId="7E3BF363" w:rsidR="00C5334A" w:rsidRPr="001F224B" w:rsidRDefault="00C5334A" w:rsidP="00C5334A">
            <w:pPr>
              <w:jc w:val="center"/>
              <w:rPr>
                <w:b/>
                <w:bCs/>
                <w:sz w:val="20"/>
                <w:szCs w:val="20"/>
              </w:rPr>
            </w:pPr>
            <w:r w:rsidRPr="001F224B">
              <w:rPr>
                <w:b/>
                <w:bCs/>
                <w:sz w:val="20"/>
                <w:szCs w:val="20"/>
              </w:rPr>
              <w:t>(3</w:t>
            </w:r>
            <w:r w:rsidR="00C84E56" w:rsidRPr="001F224B">
              <w:rPr>
                <w:b/>
                <w:bCs/>
                <w:sz w:val="20"/>
                <w:szCs w:val="20"/>
              </w:rPr>
              <w:t>0</w:t>
            </w:r>
            <w:r w:rsidRPr="001F224B">
              <w:rPr>
                <w:b/>
                <w:bCs/>
                <w:sz w:val="20"/>
                <w:szCs w:val="20"/>
              </w:rPr>
              <w:t>.</w:t>
            </w:r>
            <w:r w:rsidR="0082167C" w:rsidRPr="001F224B">
              <w:rPr>
                <w:b/>
                <w:bCs/>
                <w:sz w:val="20"/>
                <w:szCs w:val="20"/>
              </w:rPr>
              <w:t>0</w:t>
            </w:r>
            <w:r w:rsidR="00C84E56" w:rsidRPr="001F224B">
              <w:rPr>
                <w:b/>
                <w:bCs/>
                <w:sz w:val="20"/>
                <w:szCs w:val="20"/>
              </w:rPr>
              <w:t>6</w:t>
            </w:r>
            <w:r w:rsidRPr="001F224B">
              <w:rPr>
                <w:b/>
                <w:bCs/>
                <w:sz w:val="20"/>
                <w:szCs w:val="20"/>
              </w:rPr>
              <w:t>.202</w:t>
            </w:r>
            <w:r w:rsidR="0082167C" w:rsidRPr="001F224B">
              <w:rPr>
                <w:b/>
                <w:bCs/>
                <w:sz w:val="20"/>
                <w:szCs w:val="20"/>
              </w:rPr>
              <w:t>5</w:t>
            </w:r>
            <w:r w:rsidRPr="001F224B">
              <w:rPr>
                <w:b/>
                <w:bCs/>
                <w:sz w:val="20"/>
                <w:szCs w:val="20"/>
              </w:rPr>
              <w:t>)</w:t>
            </w:r>
          </w:p>
        </w:tc>
        <w:tc>
          <w:tcPr>
            <w:tcW w:w="2516" w:type="dxa"/>
            <w:tcBorders>
              <w:top w:val="single" w:sz="4" w:space="0" w:color="auto"/>
              <w:left w:val="nil"/>
              <w:bottom w:val="single" w:sz="4" w:space="0" w:color="auto"/>
              <w:right w:val="single" w:sz="4" w:space="0" w:color="000000"/>
            </w:tcBorders>
            <w:shd w:val="clear" w:color="000000" w:fill="FFFFFF"/>
            <w:vAlign w:val="bottom"/>
          </w:tcPr>
          <w:p w14:paraId="331BC141" w14:textId="77777777" w:rsidR="00C5334A" w:rsidRPr="001F224B" w:rsidRDefault="00C5334A" w:rsidP="00C5334A">
            <w:pPr>
              <w:jc w:val="center"/>
              <w:rPr>
                <w:b/>
                <w:bCs/>
                <w:sz w:val="20"/>
                <w:szCs w:val="20"/>
              </w:rPr>
            </w:pPr>
            <w:r w:rsidRPr="001F224B">
              <w:rPr>
                <w:b/>
                <w:bCs/>
                <w:sz w:val="20"/>
                <w:szCs w:val="20"/>
              </w:rPr>
              <w:t>Önceki Dönem</w:t>
            </w:r>
          </w:p>
          <w:p w14:paraId="23622D99" w14:textId="6C47239B" w:rsidR="00C5334A" w:rsidRPr="001F224B" w:rsidRDefault="00C5334A" w:rsidP="00C5334A">
            <w:pPr>
              <w:jc w:val="center"/>
              <w:rPr>
                <w:b/>
                <w:bCs/>
                <w:sz w:val="20"/>
                <w:szCs w:val="20"/>
              </w:rPr>
            </w:pPr>
            <w:r w:rsidRPr="001F224B">
              <w:rPr>
                <w:b/>
                <w:bCs/>
                <w:sz w:val="20"/>
                <w:szCs w:val="20"/>
              </w:rPr>
              <w:t>(3</w:t>
            </w:r>
            <w:r w:rsidR="00C84E56" w:rsidRPr="001F224B">
              <w:rPr>
                <w:b/>
                <w:bCs/>
                <w:sz w:val="20"/>
                <w:szCs w:val="20"/>
              </w:rPr>
              <w:t>0</w:t>
            </w:r>
            <w:r w:rsidRPr="001F224B">
              <w:rPr>
                <w:b/>
                <w:bCs/>
                <w:sz w:val="20"/>
                <w:szCs w:val="20"/>
              </w:rPr>
              <w:t>.</w:t>
            </w:r>
            <w:r w:rsidR="0082167C" w:rsidRPr="001F224B">
              <w:rPr>
                <w:b/>
                <w:bCs/>
                <w:sz w:val="20"/>
                <w:szCs w:val="20"/>
              </w:rPr>
              <w:t>0</w:t>
            </w:r>
            <w:r w:rsidR="00C84E56" w:rsidRPr="001F224B">
              <w:rPr>
                <w:b/>
                <w:bCs/>
                <w:sz w:val="20"/>
                <w:szCs w:val="20"/>
              </w:rPr>
              <w:t>6</w:t>
            </w:r>
            <w:r w:rsidRPr="001F224B">
              <w:rPr>
                <w:b/>
                <w:bCs/>
                <w:sz w:val="20"/>
                <w:szCs w:val="20"/>
              </w:rPr>
              <w:t>.202</w:t>
            </w:r>
            <w:r w:rsidR="0082167C" w:rsidRPr="001F224B">
              <w:rPr>
                <w:b/>
                <w:bCs/>
                <w:sz w:val="20"/>
                <w:szCs w:val="20"/>
              </w:rPr>
              <w:t>4</w:t>
            </w:r>
            <w:r w:rsidRPr="001F224B">
              <w:rPr>
                <w:b/>
                <w:bCs/>
                <w:sz w:val="20"/>
                <w:szCs w:val="20"/>
              </w:rPr>
              <w:t>)</w:t>
            </w:r>
          </w:p>
        </w:tc>
      </w:tr>
      <w:tr w:rsidR="00CE3F30" w:rsidRPr="001F224B" w14:paraId="6784B008" w14:textId="77777777" w:rsidTr="00CE3F30">
        <w:trPr>
          <w:trHeight w:val="255"/>
        </w:trPr>
        <w:tc>
          <w:tcPr>
            <w:tcW w:w="4802" w:type="dxa"/>
            <w:vAlign w:val="bottom"/>
          </w:tcPr>
          <w:p w14:paraId="1B035748" w14:textId="77777777" w:rsidR="00CE3F30" w:rsidRPr="001F224B" w:rsidRDefault="00CE3F30" w:rsidP="00CE3F30">
            <w:pPr>
              <w:pStyle w:val="FootnoteText"/>
              <w:keepNext/>
              <w:keepLines/>
              <w:ind w:firstLine="375"/>
            </w:pPr>
            <w:r w:rsidRPr="001F224B">
              <w:t xml:space="preserve">Aktif Satışlarından Elde Edilen Gelirler </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6A382E95" w14:textId="045CE3A3" w:rsidR="00CE3F30" w:rsidRPr="001F224B" w:rsidRDefault="00CE3F30" w:rsidP="00CE3F30">
            <w:pPr>
              <w:ind w:right="28"/>
              <w:jc w:val="right"/>
              <w:rPr>
                <w:sz w:val="20"/>
                <w:szCs w:val="20"/>
              </w:rPr>
            </w:pPr>
            <w:r w:rsidRPr="001F224B">
              <w:rPr>
                <w:sz w:val="20"/>
                <w:szCs w:val="20"/>
              </w:rPr>
              <w:t>42</w:t>
            </w:r>
          </w:p>
        </w:tc>
        <w:tc>
          <w:tcPr>
            <w:tcW w:w="2516" w:type="dxa"/>
            <w:tcBorders>
              <w:top w:val="single" w:sz="4" w:space="0" w:color="auto"/>
              <w:left w:val="single" w:sz="4" w:space="0" w:color="auto"/>
              <w:bottom w:val="single" w:sz="4" w:space="0" w:color="auto"/>
            </w:tcBorders>
            <w:shd w:val="clear" w:color="auto" w:fill="FFFFFF"/>
          </w:tcPr>
          <w:p w14:paraId="08600AA2" w14:textId="11946D21" w:rsidR="00CE3F30" w:rsidRPr="001F224B" w:rsidRDefault="00CE3F30" w:rsidP="00CE3F30">
            <w:pPr>
              <w:ind w:right="28"/>
              <w:jc w:val="right"/>
              <w:rPr>
                <w:sz w:val="20"/>
                <w:szCs w:val="20"/>
              </w:rPr>
            </w:pPr>
            <w:r w:rsidRPr="001F224B">
              <w:rPr>
                <w:sz w:val="20"/>
                <w:szCs w:val="20"/>
              </w:rPr>
              <w:t>7</w:t>
            </w:r>
          </w:p>
        </w:tc>
      </w:tr>
      <w:tr w:rsidR="00CE3F30" w:rsidRPr="001F224B" w14:paraId="623AFD52" w14:textId="77777777" w:rsidTr="00CE3F30">
        <w:trPr>
          <w:trHeight w:val="255"/>
        </w:trPr>
        <w:tc>
          <w:tcPr>
            <w:tcW w:w="4802" w:type="dxa"/>
            <w:vAlign w:val="bottom"/>
          </w:tcPr>
          <w:p w14:paraId="6862122C" w14:textId="77777777" w:rsidR="00CE3F30" w:rsidRPr="001F224B" w:rsidRDefault="00CE3F30" w:rsidP="00CE3F30">
            <w:pPr>
              <w:pStyle w:val="FootnoteText"/>
              <w:keepNext/>
              <w:keepLines/>
              <w:ind w:firstLine="375"/>
            </w:pPr>
            <w:r w:rsidRPr="001F224B">
              <w:t>Geçmiş Yıllarda Ayrılan Karşılıklardan İptaller</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15601813" w14:textId="5625E747" w:rsidR="00CE3F30" w:rsidRPr="001F224B" w:rsidRDefault="00CE3F30" w:rsidP="00CE3F30">
            <w:pPr>
              <w:ind w:right="28"/>
              <w:jc w:val="right"/>
              <w:rPr>
                <w:sz w:val="20"/>
                <w:szCs w:val="20"/>
              </w:rPr>
            </w:pPr>
            <w:r w:rsidRPr="001F224B">
              <w:rPr>
                <w:sz w:val="20"/>
                <w:szCs w:val="20"/>
              </w:rPr>
              <w:t>311.204</w:t>
            </w:r>
          </w:p>
        </w:tc>
        <w:tc>
          <w:tcPr>
            <w:tcW w:w="2516" w:type="dxa"/>
            <w:tcBorders>
              <w:top w:val="single" w:sz="4" w:space="0" w:color="auto"/>
              <w:left w:val="single" w:sz="4" w:space="0" w:color="auto"/>
              <w:bottom w:val="single" w:sz="4" w:space="0" w:color="auto"/>
            </w:tcBorders>
            <w:shd w:val="clear" w:color="auto" w:fill="FFFFFF"/>
          </w:tcPr>
          <w:p w14:paraId="22884E92" w14:textId="435BB4A9" w:rsidR="00CE3F30" w:rsidRPr="001F224B" w:rsidRDefault="00CE3F30" w:rsidP="00CE3F30">
            <w:pPr>
              <w:ind w:right="28"/>
              <w:jc w:val="right"/>
              <w:rPr>
                <w:sz w:val="20"/>
                <w:szCs w:val="20"/>
              </w:rPr>
            </w:pPr>
            <w:r w:rsidRPr="001F224B">
              <w:rPr>
                <w:sz w:val="20"/>
                <w:szCs w:val="20"/>
              </w:rPr>
              <w:t>209.249</w:t>
            </w:r>
          </w:p>
        </w:tc>
      </w:tr>
      <w:tr w:rsidR="00CE3F30" w:rsidRPr="001F224B" w14:paraId="78FC0A14" w14:textId="77777777" w:rsidTr="00CE3F30">
        <w:trPr>
          <w:trHeight w:val="258"/>
        </w:trPr>
        <w:tc>
          <w:tcPr>
            <w:tcW w:w="4802" w:type="dxa"/>
            <w:vAlign w:val="bottom"/>
          </w:tcPr>
          <w:p w14:paraId="0C151B2B" w14:textId="77777777" w:rsidR="00CE3F30" w:rsidRPr="001F224B" w:rsidRDefault="00CE3F30" w:rsidP="00CE3F30">
            <w:pPr>
              <w:pStyle w:val="FootnoteText"/>
              <w:keepNext/>
              <w:keepLines/>
              <w:ind w:firstLine="375"/>
            </w:pPr>
            <w:r w:rsidRPr="001F224B">
              <w:t>Diğer</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20BFF513" w14:textId="66B42A17" w:rsidR="00CE3F30" w:rsidRPr="001F224B" w:rsidRDefault="00CE3F30" w:rsidP="00CE3F30">
            <w:pPr>
              <w:ind w:right="28"/>
              <w:jc w:val="right"/>
              <w:rPr>
                <w:sz w:val="20"/>
                <w:szCs w:val="20"/>
              </w:rPr>
            </w:pPr>
            <w:r w:rsidRPr="001F224B">
              <w:rPr>
                <w:sz w:val="20"/>
                <w:szCs w:val="20"/>
              </w:rPr>
              <w:t>8.660</w:t>
            </w:r>
          </w:p>
        </w:tc>
        <w:tc>
          <w:tcPr>
            <w:tcW w:w="2516" w:type="dxa"/>
            <w:tcBorders>
              <w:top w:val="single" w:sz="4" w:space="0" w:color="auto"/>
              <w:left w:val="single" w:sz="4" w:space="0" w:color="auto"/>
              <w:bottom w:val="single" w:sz="4" w:space="0" w:color="auto"/>
            </w:tcBorders>
            <w:shd w:val="clear" w:color="auto" w:fill="FFFFFF"/>
          </w:tcPr>
          <w:p w14:paraId="7F299312" w14:textId="08049FC3" w:rsidR="00CE3F30" w:rsidRPr="001F224B" w:rsidRDefault="00CE3F30" w:rsidP="00CE3F30">
            <w:pPr>
              <w:ind w:right="28"/>
              <w:jc w:val="right"/>
              <w:rPr>
                <w:sz w:val="20"/>
                <w:szCs w:val="20"/>
              </w:rPr>
            </w:pPr>
            <w:r w:rsidRPr="001F224B">
              <w:rPr>
                <w:sz w:val="20"/>
                <w:szCs w:val="20"/>
              </w:rPr>
              <w:t>7.275</w:t>
            </w:r>
          </w:p>
        </w:tc>
      </w:tr>
      <w:tr w:rsidR="00CE3F30" w:rsidRPr="001F224B" w14:paraId="46D2DADD" w14:textId="77777777" w:rsidTr="00CE3F30">
        <w:trPr>
          <w:trHeight w:val="250"/>
        </w:trPr>
        <w:tc>
          <w:tcPr>
            <w:tcW w:w="4802" w:type="dxa"/>
            <w:vAlign w:val="bottom"/>
          </w:tcPr>
          <w:p w14:paraId="781B9ADF" w14:textId="77777777" w:rsidR="00CE3F30" w:rsidRPr="001F224B" w:rsidRDefault="00CE3F30" w:rsidP="00CE3F30">
            <w:pPr>
              <w:pStyle w:val="FootnoteText"/>
              <w:keepNext/>
              <w:keepLines/>
              <w:ind w:firstLine="15"/>
              <w:rPr>
                <w:b/>
              </w:rPr>
            </w:pPr>
            <w:r w:rsidRPr="001F224B">
              <w:rPr>
                <w:b/>
              </w:rPr>
              <w:t>Toplam</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561155B8" w14:textId="5D22A7C2" w:rsidR="00CE3F30" w:rsidRPr="001F224B" w:rsidRDefault="00CE3F30" w:rsidP="00CE3F30">
            <w:pPr>
              <w:ind w:right="28"/>
              <w:jc w:val="right"/>
              <w:rPr>
                <w:b/>
                <w:bCs/>
                <w:sz w:val="20"/>
                <w:szCs w:val="20"/>
              </w:rPr>
            </w:pPr>
            <w:r w:rsidRPr="001F224B">
              <w:rPr>
                <w:b/>
                <w:bCs/>
                <w:sz w:val="20"/>
                <w:szCs w:val="20"/>
              </w:rPr>
              <w:t>319.906</w:t>
            </w:r>
          </w:p>
        </w:tc>
        <w:tc>
          <w:tcPr>
            <w:tcW w:w="2516" w:type="dxa"/>
            <w:tcBorders>
              <w:top w:val="single" w:sz="4" w:space="0" w:color="auto"/>
              <w:left w:val="single" w:sz="4" w:space="0" w:color="auto"/>
              <w:bottom w:val="single" w:sz="4" w:space="0" w:color="auto"/>
            </w:tcBorders>
          </w:tcPr>
          <w:p w14:paraId="721265A8" w14:textId="092E7ECA" w:rsidR="00CE3F30" w:rsidRPr="001F224B" w:rsidRDefault="00CE3F30" w:rsidP="00CE3F30">
            <w:pPr>
              <w:ind w:right="28"/>
              <w:jc w:val="right"/>
              <w:rPr>
                <w:b/>
                <w:sz w:val="20"/>
                <w:szCs w:val="20"/>
              </w:rPr>
            </w:pPr>
            <w:r w:rsidRPr="001F224B">
              <w:rPr>
                <w:b/>
                <w:bCs/>
                <w:sz w:val="20"/>
                <w:szCs w:val="20"/>
              </w:rPr>
              <w:t>216.531</w:t>
            </w:r>
          </w:p>
        </w:tc>
      </w:tr>
    </w:tbl>
    <w:bookmarkEnd w:id="38"/>
    <w:bookmarkEnd w:id="39"/>
    <w:p w14:paraId="14F081CB" w14:textId="77777777" w:rsidR="00C1358E" w:rsidRPr="001F224B" w:rsidRDefault="002354C3" w:rsidP="00C1358E">
      <w:pPr>
        <w:tabs>
          <w:tab w:val="left" w:pos="1276"/>
        </w:tabs>
        <w:spacing w:before="120" w:after="120"/>
        <w:ind w:left="567"/>
        <w:jc w:val="both"/>
        <w:rPr>
          <w:bCs/>
          <w:sz w:val="20"/>
          <w:szCs w:val="20"/>
        </w:rPr>
      </w:pPr>
      <w:r w:rsidRPr="001F224B">
        <w:rPr>
          <w:bCs/>
          <w:sz w:val="22"/>
          <w:szCs w:val="22"/>
        </w:rPr>
        <w:t xml:space="preserve">Genel olarak, Ana Ortaklık Banka’nın </w:t>
      </w:r>
      <w:r w:rsidR="00C1358E" w:rsidRPr="001F224B">
        <w:rPr>
          <w:bCs/>
          <w:sz w:val="22"/>
          <w:szCs w:val="22"/>
        </w:rPr>
        <w:t xml:space="preserve">diğer faaliyet gelirleri önceki yıllarda ayrılmış beklenen zarar karşılıkları, bağlı ortaklıklar değer düşüş karşılıkları, dava karşılıkları iptallerinden oluşmaktadır. </w:t>
      </w:r>
    </w:p>
    <w:p w14:paraId="37E078A5" w14:textId="2B5D08FC" w:rsidR="003506F2" w:rsidRPr="001F224B" w:rsidRDefault="002F5FBD" w:rsidP="00C1358E">
      <w:pPr>
        <w:tabs>
          <w:tab w:val="left" w:pos="567"/>
          <w:tab w:val="left" w:pos="1276"/>
        </w:tabs>
        <w:spacing w:before="120" w:after="120"/>
        <w:jc w:val="both"/>
        <w:rPr>
          <w:rFonts w:eastAsia="Arial Unicode MS"/>
          <w:bCs/>
          <w:sz w:val="22"/>
          <w:szCs w:val="22"/>
        </w:rPr>
      </w:pPr>
      <w:r w:rsidRPr="001F224B">
        <w:rPr>
          <w:b/>
          <w:bCs/>
          <w:sz w:val="22"/>
          <w:szCs w:val="22"/>
        </w:rPr>
        <w:t>6.</w:t>
      </w:r>
      <w:r w:rsidR="00C1358E" w:rsidRPr="001F224B">
        <w:rPr>
          <w:b/>
          <w:bCs/>
          <w:sz w:val="22"/>
          <w:szCs w:val="22"/>
        </w:rPr>
        <w:t xml:space="preserve">       </w:t>
      </w:r>
      <w:r w:rsidR="00FD247D" w:rsidRPr="001F224B">
        <w:rPr>
          <w:rFonts w:eastAsia="Arial Unicode MS"/>
          <w:b/>
          <w:bCs/>
          <w:sz w:val="22"/>
          <w:szCs w:val="22"/>
        </w:rPr>
        <w:t>Grup’un</w:t>
      </w:r>
      <w:r w:rsidR="00FD247D" w:rsidRPr="001F224B">
        <w:rPr>
          <w:rFonts w:eastAsia="Arial Unicode MS"/>
          <w:bCs/>
          <w:sz w:val="22"/>
          <w:szCs w:val="22"/>
        </w:rPr>
        <w:t xml:space="preserve"> </w:t>
      </w:r>
      <w:r w:rsidR="002D6575" w:rsidRPr="001F224B">
        <w:rPr>
          <w:b/>
          <w:bCs/>
          <w:sz w:val="22"/>
          <w:szCs w:val="22"/>
        </w:rPr>
        <w:t>beklenen kredi zarar karşılıkları</w:t>
      </w:r>
      <w:r w:rsidR="007B0C84" w:rsidRPr="001F224B">
        <w:rPr>
          <w:b/>
          <w:bCs/>
          <w:sz w:val="22"/>
          <w:szCs w:val="22"/>
        </w:rPr>
        <w:t xml:space="preserve"> ve diğer karşılık</w:t>
      </w:r>
      <w:r w:rsidR="002D6575" w:rsidRPr="001F224B">
        <w:rPr>
          <w:b/>
          <w:bCs/>
          <w:sz w:val="22"/>
          <w:szCs w:val="22"/>
        </w:rPr>
        <w:t xml:space="preserve"> giderleri</w:t>
      </w:r>
      <w:r w:rsidR="008560A6" w:rsidRPr="001F224B">
        <w:rPr>
          <w:b/>
          <w:bCs/>
          <w:sz w:val="22"/>
          <w:szCs w:val="22"/>
        </w:rPr>
        <w:t>:</w:t>
      </w:r>
    </w:p>
    <w:tbl>
      <w:tblPr>
        <w:tblStyle w:val="TableGrid"/>
        <w:tblpPr w:leftFromText="141" w:rightFromText="141" w:vertAnchor="text" w:horzAnchor="page" w:tblpX="1172" w:tblpY="14"/>
        <w:tblW w:w="9776" w:type="dxa"/>
        <w:tblLook w:val="04A0" w:firstRow="1" w:lastRow="0" w:firstColumn="1" w:lastColumn="0" w:noHBand="0" w:noVBand="1"/>
      </w:tblPr>
      <w:tblGrid>
        <w:gridCol w:w="4815"/>
        <w:gridCol w:w="2410"/>
        <w:gridCol w:w="2551"/>
      </w:tblGrid>
      <w:tr w:rsidR="00C5334A" w:rsidRPr="001F224B" w14:paraId="38D21D1A" w14:textId="77777777" w:rsidTr="0033482E">
        <w:trPr>
          <w:trHeight w:val="320"/>
        </w:trPr>
        <w:tc>
          <w:tcPr>
            <w:tcW w:w="4815" w:type="dxa"/>
            <w:noWrap/>
            <w:hideMark/>
          </w:tcPr>
          <w:p w14:paraId="39812D6E" w14:textId="77777777" w:rsidR="00C5334A" w:rsidRPr="001F224B" w:rsidRDefault="00C5334A" w:rsidP="00C5334A">
            <w:pPr>
              <w:jc w:val="both"/>
              <w:rPr>
                <w:b/>
                <w:bCs/>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39649946" w14:textId="77777777" w:rsidR="00C5334A" w:rsidRPr="001F224B" w:rsidRDefault="00C5334A" w:rsidP="00C5334A">
            <w:pPr>
              <w:jc w:val="center"/>
              <w:rPr>
                <w:b/>
                <w:bCs/>
                <w:sz w:val="20"/>
                <w:szCs w:val="20"/>
              </w:rPr>
            </w:pPr>
            <w:r w:rsidRPr="001F224B">
              <w:rPr>
                <w:b/>
                <w:bCs/>
                <w:sz w:val="20"/>
                <w:szCs w:val="20"/>
              </w:rPr>
              <w:t>Cari Dönem</w:t>
            </w:r>
          </w:p>
          <w:p w14:paraId="65D7AE7F" w14:textId="40CA2228" w:rsidR="00C5334A" w:rsidRPr="001F224B" w:rsidRDefault="00C5334A" w:rsidP="00C5334A">
            <w:pPr>
              <w:jc w:val="center"/>
              <w:rPr>
                <w:b/>
                <w:bCs/>
                <w:sz w:val="20"/>
                <w:szCs w:val="20"/>
              </w:rPr>
            </w:pPr>
            <w:r w:rsidRPr="001F224B">
              <w:rPr>
                <w:b/>
                <w:bCs/>
                <w:sz w:val="20"/>
                <w:szCs w:val="20"/>
              </w:rPr>
              <w:t>(3</w:t>
            </w:r>
            <w:r w:rsidR="00392C6C" w:rsidRPr="001F224B">
              <w:rPr>
                <w:b/>
                <w:bCs/>
                <w:sz w:val="20"/>
                <w:szCs w:val="20"/>
              </w:rPr>
              <w:t>0</w:t>
            </w:r>
            <w:r w:rsidRPr="001F224B">
              <w:rPr>
                <w:b/>
                <w:bCs/>
                <w:sz w:val="20"/>
                <w:szCs w:val="20"/>
              </w:rPr>
              <w:t>.</w:t>
            </w:r>
            <w:r w:rsidR="005439F1" w:rsidRPr="001F224B">
              <w:rPr>
                <w:b/>
                <w:bCs/>
                <w:sz w:val="20"/>
                <w:szCs w:val="20"/>
              </w:rPr>
              <w:t>0</w:t>
            </w:r>
            <w:r w:rsidR="00392C6C" w:rsidRPr="001F224B">
              <w:rPr>
                <w:b/>
                <w:bCs/>
                <w:sz w:val="20"/>
                <w:szCs w:val="20"/>
              </w:rPr>
              <w:t>6</w:t>
            </w:r>
            <w:r w:rsidRPr="001F224B">
              <w:rPr>
                <w:b/>
                <w:bCs/>
                <w:sz w:val="20"/>
                <w:szCs w:val="20"/>
              </w:rPr>
              <w:t>.202</w:t>
            </w:r>
            <w:r w:rsidR="005439F1" w:rsidRPr="001F224B">
              <w:rPr>
                <w:b/>
                <w:bCs/>
                <w:sz w:val="20"/>
                <w:szCs w:val="20"/>
              </w:rPr>
              <w:t>5</w:t>
            </w:r>
            <w:r w:rsidRPr="001F224B">
              <w:rPr>
                <w:b/>
                <w:bCs/>
                <w:sz w:val="20"/>
                <w:szCs w:val="20"/>
              </w:rPr>
              <w:t>)</w:t>
            </w:r>
          </w:p>
        </w:tc>
        <w:tc>
          <w:tcPr>
            <w:tcW w:w="2551" w:type="dxa"/>
            <w:tcBorders>
              <w:top w:val="single" w:sz="4" w:space="0" w:color="auto"/>
              <w:left w:val="nil"/>
              <w:bottom w:val="single" w:sz="4" w:space="0" w:color="auto"/>
              <w:right w:val="single" w:sz="4" w:space="0" w:color="000000"/>
            </w:tcBorders>
            <w:shd w:val="clear" w:color="000000" w:fill="FFFFFF"/>
            <w:vAlign w:val="bottom"/>
          </w:tcPr>
          <w:p w14:paraId="392961CD" w14:textId="77777777" w:rsidR="00C5334A" w:rsidRPr="001F224B" w:rsidRDefault="00C5334A" w:rsidP="00C5334A">
            <w:pPr>
              <w:jc w:val="center"/>
              <w:rPr>
                <w:b/>
                <w:bCs/>
                <w:sz w:val="20"/>
                <w:szCs w:val="20"/>
              </w:rPr>
            </w:pPr>
            <w:r w:rsidRPr="001F224B">
              <w:rPr>
                <w:b/>
                <w:bCs/>
                <w:sz w:val="20"/>
                <w:szCs w:val="20"/>
              </w:rPr>
              <w:t>Önceki Dönem</w:t>
            </w:r>
          </w:p>
          <w:p w14:paraId="3A390719" w14:textId="1F793BA0" w:rsidR="00C5334A" w:rsidRPr="001F224B" w:rsidRDefault="00C5334A" w:rsidP="00C5334A">
            <w:pPr>
              <w:jc w:val="center"/>
              <w:rPr>
                <w:b/>
                <w:bCs/>
                <w:sz w:val="20"/>
                <w:szCs w:val="20"/>
              </w:rPr>
            </w:pPr>
            <w:r w:rsidRPr="001F224B">
              <w:rPr>
                <w:b/>
                <w:bCs/>
                <w:sz w:val="20"/>
                <w:szCs w:val="20"/>
              </w:rPr>
              <w:t>(3</w:t>
            </w:r>
            <w:r w:rsidR="00392C6C" w:rsidRPr="001F224B">
              <w:rPr>
                <w:b/>
                <w:bCs/>
                <w:sz w:val="20"/>
                <w:szCs w:val="20"/>
              </w:rPr>
              <w:t>0</w:t>
            </w:r>
            <w:r w:rsidRPr="001F224B">
              <w:rPr>
                <w:b/>
                <w:bCs/>
                <w:sz w:val="20"/>
                <w:szCs w:val="20"/>
              </w:rPr>
              <w:t>.</w:t>
            </w:r>
            <w:r w:rsidR="005439F1" w:rsidRPr="001F224B">
              <w:rPr>
                <w:b/>
                <w:bCs/>
                <w:sz w:val="20"/>
                <w:szCs w:val="20"/>
              </w:rPr>
              <w:t>0</w:t>
            </w:r>
            <w:r w:rsidR="00392C6C" w:rsidRPr="001F224B">
              <w:rPr>
                <w:b/>
                <w:bCs/>
                <w:sz w:val="20"/>
                <w:szCs w:val="20"/>
              </w:rPr>
              <w:t>6</w:t>
            </w:r>
            <w:r w:rsidRPr="001F224B">
              <w:rPr>
                <w:b/>
                <w:bCs/>
                <w:sz w:val="20"/>
                <w:szCs w:val="20"/>
              </w:rPr>
              <w:t>.202</w:t>
            </w:r>
            <w:r w:rsidR="005439F1" w:rsidRPr="001F224B">
              <w:rPr>
                <w:b/>
                <w:bCs/>
                <w:sz w:val="20"/>
                <w:szCs w:val="20"/>
              </w:rPr>
              <w:t>4</w:t>
            </w:r>
            <w:r w:rsidRPr="001F224B">
              <w:rPr>
                <w:b/>
                <w:bCs/>
                <w:sz w:val="20"/>
                <w:szCs w:val="20"/>
              </w:rPr>
              <w:t>)</w:t>
            </w:r>
          </w:p>
        </w:tc>
      </w:tr>
      <w:tr w:rsidR="009643EE" w:rsidRPr="001F224B" w14:paraId="48B0C788" w14:textId="77777777" w:rsidTr="009643EE">
        <w:trPr>
          <w:trHeight w:val="259"/>
        </w:trPr>
        <w:tc>
          <w:tcPr>
            <w:tcW w:w="4815" w:type="dxa"/>
            <w:noWrap/>
            <w:vAlign w:val="bottom"/>
            <w:hideMark/>
          </w:tcPr>
          <w:p w14:paraId="6FB3522C" w14:textId="77777777" w:rsidR="009643EE" w:rsidRPr="001F224B" w:rsidRDefault="009643EE" w:rsidP="009643EE">
            <w:pPr>
              <w:rPr>
                <w:b/>
                <w:sz w:val="20"/>
                <w:szCs w:val="20"/>
              </w:rPr>
            </w:pPr>
            <w:r w:rsidRPr="001F224B">
              <w:rPr>
                <w:b/>
                <w:sz w:val="20"/>
                <w:szCs w:val="20"/>
              </w:rPr>
              <w:t>Beklenen Kredi Zararı Karşılıkları</w:t>
            </w:r>
          </w:p>
        </w:tc>
        <w:tc>
          <w:tcPr>
            <w:tcW w:w="2410" w:type="dxa"/>
            <w:tcBorders>
              <w:right w:val="single" w:sz="4" w:space="0" w:color="auto"/>
            </w:tcBorders>
            <w:noWrap/>
            <w:vAlign w:val="bottom"/>
            <w:hideMark/>
          </w:tcPr>
          <w:p w14:paraId="4D64591F" w14:textId="2D5E8F07" w:rsidR="009643EE" w:rsidRPr="001F224B" w:rsidRDefault="009643EE" w:rsidP="009643EE">
            <w:pPr>
              <w:jc w:val="right"/>
              <w:rPr>
                <w:b/>
                <w:bCs/>
                <w:sz w:val="20"/>
                <w:szCs w:val="20"/>
              </w:rPr>
            </w:pPr>
            <w:r w:rsidRPr="001F224B">
              <w:rPr>
                <w:b/>
                <w:bCs/>
                <w:sz w:val="20"/>
                <w:szCs w:val="20"/>
              </w:rPr>
              <w:t>238.632</w:t>
            </w:r>
          </w:p>
        </w:tc>
        <w:tc>
          <w:tcPr>
            <w:tcW w:w="2551" w:type="dxa"/>
            <w:tcBorders>
              <w:right w:val="single" w:sz="4" w:space="0" w:color="auto"/>
            </w:tcBorders>
            <w:vAlign w:val="bottom"/>
          </w:tcPr>
          <w:p w14:paraId="1DBBCCE9" w14:textId="147CAEAF" w:rsidR="009643EE" w:rsidRPr="001F224B" w:rsidRDefault="009643EE" w:rsidP="009643EE">
            <w:pPr>
              <w:jc w:val="right"/>
              <w:rPr>
                <w:b/>
                <w:bCs/>
                <w:sz w:val="20"/>
                <w:szCs w:val="20"/>
              </w:rPr>
            </w:pPr>
            <w:r w:rsidRPr="001F224B">
              <w:rPr>
                <w:b/>
                <w:bCs/>
                <w:sz w:val="20"/>
                <w:szCs w:val="20"/>
              </w:rPr>
              <w:t>400.335</w:t>
            </w:r>
          </w:p>
        </w:tc>
      </w:tr>
      <w:tr w:rsidR="009643EE" w:rsidRPr="001F224B" w14:paraId="71555221" w14:textId="77777777" w:rsidTr="009643EE">
        <w:trPr>
          <w:trHeight w:val="259"/>
        </w:trPr>
        <w:tc>
          <w:tcPr>
            <w:tcW w:w="4815" w:type="dxa"/>
            <w:noWrap/>
            <w:vAlign w:val="bottom"/>
            <w:hideMark/>
          </w:tcPr>
          <w:p w14:paraId="40E391C9" w14:textId="77777777" w:rsidR="009643EE" w:rsidRPr="001F224B" w:rsidRDefault="009643EE" w:rsidP="009643EE">
            <w:pPr>
              <w:ind w:firstLine="171"/>
              <w:rPr>
                <w:bCs/>
                <w:sz w:val="20"/>
                <w:szCs w:val="20"/>
              </w:rPr>
            </w:pPr>
            <w:r w:rsidRPr="001F224B">
              <w:rPr>
                <w:sz w:val="20"/>
                <w:szCs w:val="20"/>
              </w:rPr>
              <w:t>12 Aylık Beklenen Zarar Karşılığı (Birinci Aşama)</w:t>
            </w:r>
          </w:p>
        </w:tc>
        <w:tc>
          <w:tcPr>
            <w:tcW w:w="2410" w:type="dxa"/>
            <w:tcBorders>
              <w:right w:val="single" w:sz="4" w:space="0" w:color="auto"/>
            </w:tcBorders>
            <w:noWrap/>
            <w:vAlign w:val="bottom"/>
            <w:hideMark/>
          </w:tcPr>
          <w:p w14:paraId="755C9CA4" w14:textId="0175B13A" w:rsidR="009643EE" w:rsidRPr="001F224B" w:rsidRDefault="009643EE" w:rsidP="009643EE">
            <w:pPr>
              <w:jc w:val="right"/>
              <w:rPr>
                <w:sz w:val="20"/>
                <w:szCs w:val="20"/>
              </w:rPr>
            </w:pPr>
            <w:r w:rsidRPr="001F224B">
              <w:rPr>
                <w:sz w:val="20"/>
                <w:szCs w:val="20"/>
              </w:rPr>
              <w:t>184.59</w:t>
            </w:r>
            <w:r w:rsidR="0077452C" w:rsidRPr="001F224B">
              <w:rPr>
                <w:sz w:val="20"/>
                <w:szCs w:val="20"/>
              </w:rPr>
              <w:t>9</w:t>
            </w:r>
          </w:p>
        </w:tc>
        <w:tc>
          <w:tcPr>
            <w:tcW w:w="2551" w:type="dxa"/>
            <w:tcBorders>
              <w:right w:val="single" w:sz="4" w:space="0" w:color="auto"/>
            </w:tcBorders>
            <w:vAlign w:val="bottom"/>
          </w:tcPr>
          <w:p w14:paraId="7CF22A7F" w14:textId="33A19C8F" w:rsidR="009643EE" w:rsidRPr="001F224B" w:rsidRDefault="009643EE" w:rsidP="009643EE">
            <w:pPr>
              <w:jc w:val="right"/>
              <w:rPr>
                <w:sz w:val="20"/>
                <w:szCs w:val="20"/>
              </w:rPr>
            </w:pPr>
            <w:r w:rsidRPr="001F224B">
              <w:rPr>
                <w:sz w:val="20"/>
                <w:szCs w:val="20"/>
              </w:rPr>
              <w:t>-</w:t>
            </w:r>
          </w:p>
        </w:tc>
      </w:tr>
      <w:tr w:rsidR="009643EE" w:rsidRPr="001F224B" w14:paraId="392C1911" w14:textId="77777777" w:rsidTr="009643EE">
        <w:trPr>
          <w:trHeight w:val="259"/>
        </w:trPr>
        <w:tc>
          <w:tcPr>
            <w:tcW w:w="4815" w:type="dxa"/>
            <w:noWrap/>
            <w:vAlign w:val="bottom"/>
            <w:hideMark/>
          </w:tcPr>
          <w:p w14:paraId="713CAFE6" w14:textId="77777777" w:rsidR="009643EE" w:rsidRPr="001F224B" w:rsidRDefault="009643EE" w:rsidP="009643EE">
            <w:pPr>
              <w:ind w:firstLine="171"/>
              <w:rPr>
                <w:bCs/>
                <w:sz w:val="20"/>
                <w:szCs w:val="20"/>
              </w:rPr>
            </w:pPr>
            <w:r w:rsidRPr="001F224B">
              <w:rPr>
                <w:sz w:val="20"/>
                <w:szCs w:val="20"/>
              </w:rPr>
              <w:t>Kredi Riskinde Önemli Artış (İkinci Aşama)</w:t>
            </w:r>
          </w:p>
        </w:tc>
        <w:tc>
          <w:tcPr>
            <w:tcW w:w="2410" w:type="dxa"/>
            <w:tcBorders>
              <w:right w:val="single" w:sz="4" w:space="0" w:color="auto"/>
            </w:tcBorders>
            <w:noWrap/>
            <w:vAlign w:val="bottom"/>
            <w:hideMark/>
          </w:tcPr>
          <w:p w14:paraId="40350AC2" w14:textId="75F777D7" w:rsidR="009643EE" w:rsidRPr="001F224B" w:rsidRDefault="009643EE" w:rsidP="009643EE">
            <w:pPr>
              <w:jc w:val="right"/>
              <w:rPr>
                <w:sz w:val="20"/>
                <w:szCs w:val="20"/>
              </w:rPr>
            </w:pPr>
            <w:r w:rsidRPr="001F224B">
              <w:rPr>
                <w:sz w:val="20"/>
                <w:szCs w:val="20"/>
              </w:rPr>
              <w:t>15.510</w:t>
            </w:r>
          </w:p>
        </w:tc>
        <w:tc>
          <w:tcPr>
            <w:tcW w:w="2551" w:type="dxa"/>
            <w:tcBorders>
              <w:right w:val="single" w:sz="4" w:space="0" w:color="auto"/>
            </w:tcBorders>
          </w:tcPr>
          <w:p w14:paraId="4DEA8639" w14:textId="4AF64107" w:rsidR="009643EE" w:rsidRPr="001F224B" w:rsidRDefault="009643EE" w:rsidP="009643EE">
            <w:pPr>
              <w:jc w:val="right"/>
              <w:rPr>
                <w:sz w:val="20"/>
                <w:szCs w:val="20"/>
              </w:rPr>
            </w:pPr>
            <w:r w:rsidRPr="001F224B">
              <w:rPr>
                <w:sz w:val="20"/>
                <w:szCs w:val="20"/>
              </w:rPr>
              <w:t>278.132</w:t>
            </w:r>
          </w:p>
        </w:tc>
      </w:tr>
      <w:tr w:rsidR="009643EE" w:rsidRPr="001F224B" w14:paraId="00EEF81A" w14:textId="77777777" w:rsidTr="009643EE">
        <w:trPr>
          <w:trHeight w:val="259"/>
        </w:trPr>
        <w:tc>
          <w:tcPr>
            <w:tcW w:w="4815" w:type="dxa"/>
            <w:noWrap/>
            <w:vAlign w:val="bottom"/>
            <w:hideMark/>
          </w:tcPr>
          <w:p w14:paraId="6BCA6B47" w14:textId="77777777" w:rsidR="009643EE" w:rsidRPr="001F224B" w:rsidRDefault="009643EE" w:rsidP="009643EE">
            <w:pPr>
              <w:ind w:firstLine="171"/>
              <w:rPr>
                <w:bCs/>
                <w:sz w:val="20"/>
                <w:szCs w:val="20"/>
              </w:rPr>
            </w:pPr>
            <w:r w:rsidRPr="001F224B">
              <w:rPr>
                <w:sz w:val="20"/>
                <w:szCs w:val="20"/>
              </w:rPr>
              <w:t>Temerrüt (Üçüncü Aşama)</w:t>
            </w:r>
          </w:p>
        </w:tc>
        <w:tc>
          <w:tcPr>
            <w:tcW w:w="2410" w:type="dxa"/>
            <w:tcBorders>
              <w:right w:val="single" w:sz="4" w:space="0" w:color="auto"/>
            </w:tcBorders>
            <w:noWrap/>
            <w:vAlign w:val="bottom"/>
            <w:hideMark/>
          </w:tcPr>
          <w:p w14:paraId="4F827548" w14:textId="3416B917" w:rsidR="009643EE" w:rsidRPr="001F224B" w:rsidRDefault="009643EE" w:rsidP="009643EE">
            <w:pPr>
              <w:jc w:val="right"/>
              <w:rPr>
                <w:sz w:val="20"/>
                <w:szCs w:val="20"/>
              </w:rPr>
            </w:pPr>
            <w:r w:rsidRPr="001F224B">
              <w:rPr>
                <w:sz w:val="20"/>
                <w:szCs w:val="20"/>
              </w:rPr>
              <w:t>38.52</w:t>
            </w:r>
            <w:r w:rsidR="0077452C" w:rsidRPr="001F224B">
              <w:rPr>
                <w:sz w:val="20"/>
                <w:szCs w:val="20"/>
              </w:rPr>
              <w:t>3</w:t>
            </w:r>
          </w:p>
        </w:tc>
        <w:tc>
          <w:tcPr>
            <w:tcW w:w="2551" w:type="dxa"/>
            <w:tcBorders>
              <w:right w:val="single" w:sz="4" w:space="0" w:color="auto"/>
            </w:tcBorders>
          </w:tcPr>
          <w:p w14:paraId="5ADA39F9" w14:textId="2A4599E2" w:rsidR="009643EE" w:rsidRPr="001F224B" w:rsidRDefault="009643EE" w:rsidP="009643EE">
            <w:pPr>
              <w:jc w:val="right"/>
              <w:rPr>
                <w:sz w:val="20"/>
                <w:szCs w:val="20"/>
              </w:rPr>
            </w:pPr>
            <w:r w:rsidRPr="001F224B">
              <w:rPr>
                <w:sz w:val="20"/>
                <w:szCs w:val="20"/>
              </w:rPr>
              <w:t>122.203</w:t>
            </w:r>
          </w:p>
        </w:tc>
      </w:tr>
      <w:tr w:rsidR="009643EE" w:rsidRPr="001F224B" w14:paraId="425E7318" w14:textId="77777777" w:rsidTr="009643EE">
        <w:trPr>
          <w:trHeight w:val="259"/>
        </w:trPr>
        <w:tc>
          <w:tcPr>
            <w:tcW w:w="4815" w:type="dxa"/>
            <w:noWrap/>
            <w:vAlign w:val="bottom"/>
            <w:hideMark/>
          </w:tcPr>
          <w:p w14:paraId="6AB0AD79" w14:textId="77777777" w:rsidR="009643EE" w:rsidRPr="001F224B" w:rsidRDefault="009643EE" w:rsidP="009643EE">
            <w:pPr>
              <w:rPr>
                <w:b/>
                <w:sz w:val="20"/>
                <w:szCs w:val="20"/>
              </w:rPr>
            </w:pPr>
            <w:r w:rsidRPr="001F224B">
              <w:rPr>
                <w:b/>
                <w:sz w:val="20"/>
                <w:szCs w:val="20"/>
              </w:rPr>
              <w:t>Menkul Değerler Değer Düşüş Karşılıkları</w:t>
            </w:r>
          </w:p>
        </w:tc>
        <w:tc>
          <w:tcPr>
            <w:tcW w:w="2410" w:type="dxa"/>
            <w:tcBorders>
              <w:right w:val="single" w:sz="4" w:space="0" w:color="auto"/>
            </w:tcBorders>
            <w:noWrap/>
            <w:vAlign w:val="bottom"/>
            <w:hideMark/>
          </w:tcPr>
          <w:p w14:paraId="16FBE55C" w14:textId="23D3BE99" w:rsidR="009643EE" w:rsidRPr="001F224B" w:rsidRDefault="009643EE" w:rsidP="009643EE">
            <w:pPr>
              <w:jc w:val="right"/>
              <w:rPr>
                <w:b/>
                <w:bCs/>
                <w:sz w:val="20"/>
                <w:szCs w:val="20"/>
              </w:rPr>
            </w:pPr>
            <w:r w:rsidRPr="001F224B">
              <w:rPr>
                <w:b/>
                <w:bCs/>
                <w:sz w:val="20"/>
                <w:szCs w:val="20"/>
              </w:rPr>
              <w:t>18.939</w:t>
            </w:r>
          </w:p>
        </w:tc>
        <w:tc>
          <w:tcPr>
            <w:tcW w:w="2551" w:type="dxa"/>
            <w:tcBorders>
              <w:right w:val="single" w:sz="4" w:space="0" w:color="auto"/>
            </w:tcBorders>
            <w:vAlign w:val="bottom"/>
          </w:tcPr>
          <w:p w14:paraId="589AB6AA" w14:textId="2274FC2B" w:rsidR="009643EE" w:rsidRPr="001F224B" w:rsidRDefault="009643EE" w:rsidP="009643EE">
            <w:pPr>
              <w:jc w:val="right"/>
              <w:rPr>
                <w:b/>
                <w:bCs/>
                <w:sz w:val="20"/>
                <w:szCs w:val="20"/>
              </w:rPr>
            </w:pPr>
            <w:r w:rsidRPr="001F224B">
              <w:rPr>
                <w:b/>
                <w:bCs/>
                <w:sz w:val="20"/>
                <w:szCs w:val="20"/>
              </w:rPr>
              <w:t>11.289</w:t>
            </w:r>
          </w:p>
        </w:tc>
      </w:tr>
      <w:tr w:rsidR="009643EE" w:rsidRPr="001F224B" w14:paraId="2B546EFD" w14:textId="77777777" w:rsidTr="009643EE">
        <w:trPr>
          <w:trHeight w:val="487"/>
        </w:trPr>
        <w:tc>
          <w:tcPr>
            <w:tcW w:w="4815" w:type="dxa"/>
            <w:vAlign w:val="bottom"/>
            <w:hideMark/>
          </w:tcPr>
          <w:p w14:paraId="3C7249AB" w14:textId="77777777" w:rsidR="009643EE" w:rsidRPr="001F224B" w:rsidRDefault="009643EE" w:rsidP="009643EE">
            <w:pPr>
              <w:ind w:left="171"/>
              <w:rPr>
                <w:bCs/>
                <w:sz w:val="20"/>
                <w:szCs w:val="20"/>
              </w:rPr>
            </w:pPr>
            <w:r w:rsidRPr="001F224B">
              <w:rPr>
                <w:bCs/>
                <w:sz w:val="20"/>
                <w:szCs w:val="20"/>
              </w:rPr>
              <w:t>Gerçeğe Uygun Değer Farkı Kar veya Zarara</w:t>
            </w:r>
            <w:r w:rsidRPr="001F224B">
              <w:rPr>
                <w:bCs/>
                <w:sz w:val="20"/>
                <w:szCs w:val="20"/>
              </w:rPr>
              <w:br/>
              <w:t>Yansıtılan Finansal Varlıklar</w:t>
            </w:r>
          </w:p>
        </w:tc>
        <w:tc>
          <w:tcPr>
            <w:tcW w:w="2410" w:type="dxa"/>
            <w:tcBorders>
              <w:right w:val="single" w:sz="4" w:space="0" w:color="auto"/>
            </w:tcBorders>
            <w:noWrap/>
            <w:vAlign w:val="bottom"/>
            <w:hideMark/>
          </w:tcPr>
          <w:p w14:paraId="0780F8D2" w14:textId="781C143B" w:rsidR="009643EE" w:rsidRPr="001F224B" w:rsidRDefault="009643EE" w:rsidP="009643EE">
            <w:pPr>
              <w:jc w:val="right"/>
              <w:rPr>
                <w:sz w:val="20"/>
                <w:szCs w:val="20"/>
              </w:rPr>
            </w:pPr>
            <w:r w:rsidRPr="001F224B">
              <w:rPr>
                <w:sz w:val="20"/>
                <w:szCs w:val="20"/>
              </w:rPr>
              <w:t>18.933</w:t>
            </w:r>
          </w:p>
        </w:tc>
        <w:tc>
          <w:tcPr>
            <w:tcW w:w="2551" w:type="dxa"/>
            <w:tcBorders>
              <w:right w:val="single" w:sz="4" w:space="0" w:color="auto"/>
            </w:tcBorders>
            <w:vAlign w:val="bottom"/>
          </w:tcPr>
          <w:p w14:paraId="79D63FA4" w14:textId="38C1F9BF" w:rsidR="009643EE" w:rsidRPr="001F224B" w:rsidRDefault="009643EE" w:rsidP="009643EE">
            <w:pPr>
              <w:jc w:val="right"/>
              <w:rPr>
                <w:sz w:val="20"/>
                <w:szCs w:val="20"/>
              </w:rPr>
            </w:pPr>
            <w:r w:rsidRPr="001F224B">
              <w:rPr>
                <w:sz w:val="20"/>
                <w:szCs w:val="20"/>
              </w:rPr>
              <w:t>11.289</w:t>
            </w:r>
          </w:p>
        </w:tc>
      </w:tr>
      <w:tr w:rsidR="009643EE" w:rsidRPr="001F224B" w14:paraId="4B0891E2" w14:textId="77777777" w:rsidTr="009643EE">
        <w:trPr>
          <w:trHeight w:val="487"/>
        </w:trPr>
        <w:tc>
          <w:tcPr>
            <w:tcW w:w="4815" w:type="dxa"/>
            <w:vAlign w:val="bottom"/>
            <w:hideMark/>
          </w:tcPr>
          <w:p w14:paraId="6132B5DA" w14:textId="77777777" w:rsidR="009643EE" w:rsidRPr="001F224B" w:rsidRDefault="009643EE" w:rsidP="009643EE">
            <w:pPr>
              <w:ind w:left="171"/>
              <w:rPr>
                <w:bCs/>
                <w:sz w:val="20"/>
                <w:szCs w:val="20"/>
              </w:rPr>
            </w:pPr>
            <w:r w:rsidRPr="001F224B">
              <w:rPr>
                <w:bCs/>
                <w:sz w:val="20"/>
                <w:szCs w:val="20"/>
              </w:rPr>
              <w:t>Gerçeğe Uygun Değer Farkı Diğer Kapsamlı Gelire</w:t>
            </w:r>
            <w:r w:rsidRPr="001F224B">
              <w:rPr>
                <w:bCs/>
                <w:sz w:val="20"/>
                <w:szCs w:val="20"/>
              </w:rPr>
              <w:br/>
              <w:t>Yansıtılan Varlıklar</w:t>
            </w:r>
          </w:p>
        </w:tc>
        <w:tc>
          <w:tcPr>
            <w:tcW w:w="2410" w:type="dxa"/>
            <w:tcBorders>
              <w:right w:val="single" w:sz="4" w:space="0" w:color="auto"/>
            </w:tcBorders>
            <w:noWrap/>
            <w:vAlign w:val="bottom"/>
            <w:hideMark/>
          </w:tcPr>
          <w:p w14:paraId="71775325" w14:textId="218F536A" w:rsidR="009643EE" w:rsidRPr="001F224B" w:rsidRDefault="009643EE" w:rsidP="009643EE">
            <w:pPr>
              <w:jc w:val="right"/>
              <w:rPr>
                <w:sz w:val="20"/>
                <w:szCs w:val="20"/>
              </w:rPr>
            </w:pPr>
            <w:r w:rsidRPr="001F224B">
              <w:rPr>
                <w:sz w:val="20"/>
                <w:szCs w:val="20"/>
              </w:rPr>
              <w:t>6</w:t>
            </w:r>
          </w:p>
        </w:tc>
        <w:tc>
          <w:tcPr>
            <w:tcW w:w="2551" w:type="dxa"/>
            <w:tcBorders>
              <w:right w:val="single" w:sz="4" w:space="0" w:color="auto"/>
            </w:tcBorders>
            <w:vAlign w:val="bottom"/>
          </w:tcPr>
          <w:p w14:paraId="09BDA250" w14:textId="2B49CF3F" w:rsidR="009643EE" w:rsidRPr="001F224B" w:rsidRDefault="009643EE" w:rsidP="009643EE">
            <w:pPr>
              <w:jc w:val="right"/>
              <w:rPr>
                <w:sz w:val="20"/>
                <w:szCs w:val="20"/>
              </w:rPr>
            </w:pPr>
            <w:r w:rsidRPr="001F224B">
              <w:rPr>
                <w:sz w:val="20"/>
                <w:szCs w:val="20"/>
              </w:rPr>
              <w:t>-</w:t>
            </w:r>
          </w:p>
        </w:tc>
      </w:tr>
      <w:tr w:rsidR="00392C6C" w:rsidRPr="001F224B" w14:paraId="61DD6186" w14:textId="77777777" w:rsidTr="009643EE">
        <w:trPr>
          <w:trHeight w:val="487"/>
        </w:trPr>
        <w:tc>
          <w:tcPr>
            <w:tcW w:w="4815" w:type="dxa"/>
            <w:vAlign w:val="bottom"/>
            <w:hideMark/>
          </w:tcPr>
          <w:p w14:paraId="22D15522" w14:textId="3E1D462E" w:rsidR="00392C6C" w:rsidRPr="001F224B" w:rsidRDefault="00392C6C" w:rsidP="00392C6C">
            <w:pPr>
              <w:rPr>
                <w:b/>
                <w:sz w:val="20"/>
                <w:szCs w:val="20"/>
              </w:rPr>
            </w:pPr>
            <w:r w:rsidRPr="001F224B">
              <w:rPr>
                <w:b/>
                <w:sz w:val="20"/>
                <w:szCs w:val="20"/>
              </w:rPr>
              <w:t>İştirakler, Bağlı Ortaklıklar ve Birlikte Kontrol Edilen</w:t>
            </w:r>
            <w:r w:rsidR="009643EE" w:rsidRPr="001F224B">
              <w:rPr>
                <w:b/>
                <w:sz w:val="20"/>
                <w:szCs w:val="20"/>
              </w:rPr>
              <w:t xml:space="preserve"> </w:t>
            </w:r>
            <w:r w:rsidRPr="001F224B">
              <w:rPr>
                <w:b/>
                <w:sz w:val="20"/>
                <w:szCs w:val="20"/>
              </w:rPr>
              <w:t>Ortaklıklar Değer Düşüş Karşılıkları</w:t>
            </w:r>
          </w:p>
        </w:tc>
        <w:tc>
          <w:tcPr>
            <w:tcW w:w="2410" w:type="dxa"/>
            <w:tcBorders>
              <w:right w:val="single" w:sz="4" w:space="0" w:color="auto"/>
            </w:tcBorders>
            <w:noWrap/>
            <w:vAlign w:val="bottom"/>
            <w:hideMark/>
          </w:tcPr>
          <w:p w14:paraId="53BBBE82" w14:textId="46C362CD" w:rsidR="00392C6C" w:rsidRPr="001F224B" w:rsidRDefault="00392C6C" w:rsidP="00392C6C">
            <w:pPr>
              <w:jc w:val="right"/>
              <w:rPr>
                <w:b/>
                <w:bCs/>
                <w:sz w:val="20"/>
                <w:szCs w:val="20"/>
              </w:rPr>
            </w:pPr>
            <w:r w:rsidRPr="001F224B">
              <w:rPr>
                <w:b/>
                <w:bCs/>
                <w:sz w:val="20"/>
                <w:szCs w:val="20"/>
              </w:rPr>
              <w:t>-</w:t>
            </w:r>
          </w:p>
        </w:tc>
        <w:tc>
          <w:tcPr>
            <w:tcW w:w="2551" w:type="dxa"/>
            <w:tcBorders>
              <w:right w:val="single" w:sz="4" w:space="0" w:color="auto"/>
            </w:tcBorders>
            <w:vAlign w:val="bottom"/>
          </w:tcPr>
          <w:p w14:paraId="6488742A" w14:textId="2B2CAF74" w:rsidR="00392C6C" w:rsidRPr="001F224B" w:rsidRDefault="00392C6C" w:rsidP="00392C6C">
            <w:pPr>
              <w:jc w:val="right"/>
              <w:rPr>
                <w:b/>
                <w:bCs/>
                <w:sz w:val="20"/>
                <w:szCs w:val="20"/>
              </w:rPr>
            </w:pPr>
            <w:r w:rsidRPr="001F224B">
              <w:rPr>
                <w:b/>
                <w:bCs/>
                <w:sz w:val="20"/>
                <w:szCs w:val="20"/>
              </w:rPr>
              <w:t>-</w:t>
            </w:r>
          </w:p>
        </w:tc>
      </w:tr>
      <w:tr w:rsidR="00392C6C" w:rsidRPr="001F224B" w14:paraId="06D84D8E" w14:textId="77777777" w:rsidTr="009643EE">
        <w:trPr>
          <w:trHeight w:val="259"/>
        </w:trPr>
        <w:tc>
          <w:tcPr>
            <w:tcW w:w="4815" w:type="dxa"/>
            <w:noWrap/>
            <w:vAlign w:val="bottom"/>
            <w:hideMark/>
          </w:tcPr>
          <w:p w14:paraId="04F32B99" w14:textId="77777777" w:rsidR="00392C6C" w:rsidRPr="001F224B" w:rsidRDefault="00392C6C" w:rsidP="00392C6C">
            <w:pPr>
              <w:ind w:firstLine="171"/>
              <w:rPr>
                <w:bCs/>
                <w:sz w:val="20"/>
                <w:szCs w:val="20"/>
              </w:rPr>
            </w:pPr>
            <w:r w:rsidRPr="001F224B">
              <w:rPr>
                <w:bCs/>
                <w:sz w:val="20"/>
                <w:szCs w:val="20"/>
              </w:rPr>
              <w:t>İştirakler</w:t>
            </w:r>
          </w:p>
        </w:tc>
        <w:tc>
          <w:tcPr>
            <w:tcW w:w="2410" w:type="dxa"/>
            <w:tcBorders>
              <w:right w:val="single" w:sz="4" w:space="0" w:color="auto"/>
            </w:tcBorders>
            <w:noWrap/>
            <w:vAlign w:val="bottom"/>
            <w:hideMark/>
          </w:tcPr>
          <w:p w14:paraId="7FDC3EDB" w14:textId="50B21F93" w:rsidR="00392C6C" w:rsidRPr="001F224B" w:rsidRDefault="00392C6C" w:rsidP="00392C6C">
            <w:pPr>
              <w:jc w:val="right"/>
              <w:rPr>
                <w:sz w:val="20"/>
                <w:szCs w:val="20"/>
              </w:rPr>
            </w:pPr>
            <w:r w:rsidRPr="001F224B">
              <w:rPr>
                <w:sz w:val="20"/>
                <w:szCs w:val="20"/>
              </w:rPr>
              <w:t>-</w:t>
            </w:r>
          </w:p>
        </w:tc>
        <w:tc>
          <w:tcPr>
            <w:tcW w:w="2551" w:type="dxa"/>
            <w:tcBorders>
              <w:right w:val="single" w:sz="4" w:space="0" w:color="auto"/>
            </w:tcBorders>
            <w:vAlign w:val="bottom"/>
          </w:tcPr>
          <w:p w14:paraId="3F645331" w14:textId="63F39EFA" w:rsidR="00392C6C" w:rsidRPr="001F224B" w:rsidRDefault="00392C6C" w:rsidP="00392C6C">
            <w:pPr>
              <w:jc w:val="right"/>
              <w:rPr>
                <w:sz w:val="20"/>
                <w:szCs w:val="20"/>
              </w:rPr>
            </w:pPr>
            <w:r w:rsidRPr="001F224B">
              <w:rPr>
                <w:sz w:val="20"/>
                <w:szCs w:val="20"/>
              </w:rPr>
              <w:t>-</w:t>
            </w:r>
          </w:p>
        </w:tc>
      </w:tr>
      <w:tr w:rsidR="00392C6C" w:rsidRPr="001F224B" w14:paraId="342225FA" w14:textId="77777777" w:rsidTr="009643EE">
        <w:trPr>
          <w:trHeight w:val="259"/>
        </w:trPr>
        <w:tc>
          <w:tcPr>
            <w:tcW w:w="4815" w:type="dxa"/>
            <w:noWrap/>
            <w:vAlign w:val="bottom"/>
            <w:hideMark/>
          </w:tcPr>
          <w:p w14:paraId="3323F064" w14:textId="77777777" w:rsidR="00392C6C" w:rsidRPr="001F224B" w:rsidRDefault="00392C6C" w:rsidP="00392C6C">
            <w:pPr>
              <w:ind w:firstLine="171"/>
              <w:rPr>
                <w:bCs/>
                <w:sz w:val="20"/>
                <w:szCs w:val="20"/>
              </w:rPr>
            </w:pPr>
            <w:r w:rsidRPr="001F224B">
              <w:rPr>
                <w:bCs/>
                <w:sz w:val="20"/>
                <w:szCs w:val="20"/>
              </w:rPr>
              <w:t>Bağlı Ortaklıklar</w:t>
            </w:r>
          </w:p>
        </w:tc>
        <w:tc>
          <w:tcPr>
            <w:tcW w:w="2410" w:type="dxa"/>
            <w:tcBorders>
              <w:right w:val="single" w:sz="4" w:space="0" w:color="auto"/>
            </w:tcBorders>
            <w:noWrap/>
            <w:vAlign w:val="bottom"/>
            <w:hideMark/>
          </w:tcPr>
          <w:p w14:paraId="04CA01D3" w14:textId="215E1647" w:rsidR="00392C6C" w:rsidRPr="001F224B" w:rsidRDefault="00392C6C" w:rsidP="00392C6C">
            <w:pPr>
              <w:jc w:val="right"/>
              <w:rPr>
                <w:sz w:val="20"/>
                <w:szCs w:val="20"/>
              </w:rPr>
            </w:pPr>
            <w:r w:rsidRPr="001F224B">
              <w:rPr>
                <w:sz w:val="20"/>
                <w:szCs w:val="20"/>
              </w:rPr>
              <w:t>-</w:t>
            </w:r>
          </w:p>
        </w:tc>
        <w:tc>
          <w:tcPr>
            <w:tcW w:w="2551" w:type="dxa"/>
            <w:tcBorders>
              <w:right w:val="single" w:sz="4" w:space="0" w:color="auto"/>
            </w:tcBorders>
            <w:vAlign w:val="bottom"/>
          </w:tcPr>
          <w:p w14:paraId="54B4B8CB" w14:textId="302E158C" w:rsidR="00392C6C" w:rsidRPr="001F224B" w:rsidRDefault="00392C6C" w:rsidP="00392C6C">
            <w:pPr>
              <w:jc w:val="right"/>
              <w:rPr>
                <w:sz w:val="20"/>
                <w:szCs w:val="20"/>
              </w:rPr>
            </w:pPr>
            <w:r w:rsidRPr="001F224B">
              <w:rPr>
                <w:sz w:val="20"/>
                <w:szCs w:val="20"/>
              </w:rPr>
              <w:t>-</w:t>
            </w:r>
          </w:p>
        </w:tc>
      </w:tr>
      <w:tr w:rsidR="00392C6C" w:rsidRPr="001F224B" w14:paraId="5E34097C" w14:textId="77777777" w:rsidTr="009643EE">
        <w:trPr>
          <w:trHeight w:val="259"/>
        </w:trPr>
        <w:tc>
          <w:tcPr>
            <w:tcW w:w="4815" w:type="dxa"/>
            <w:noWrap/>
            <w:vAlign w:val="bottom"/>
            <w:hideMark/>
          </w:tcPr>
          <w:p w14:paraId="1D17C6AF" w14:textId="77777777" w:rsidR="00392C6C" w:rsidRPr="001F224B" w:rsidRDefault="00392C6C" w:rsidP="00392C6C">
            <w:pPr>
              <w:ind w:firstLine="171"/>
              <w:rPr>
                <w:bCs/>
                <w:sz w:val="20"/>
                <w:szCs w:val="20"/>
              </w:rPr>
            </w:pPr>
            <w:r w:rsidRPr="001F224B">
              <w:rPr>
                <w:bCs/>
                <w:sz w:val="20"/>
                <w:szCs w:val="20"/>
              </w:rPr>
              <w:t>Birlikte Kontrol Edilen Ortaklıklar</w:t>
            </w:r>
          </w:p>
        </w:tc>
        <w:tc>
          <w:tcPr>
            <w:tcW w:w="2410" w:type="dxa"/>
            <w:tcBorders>
              <w:right w:val="single" w:sz="4" w:space="0" w:color="auto"/>
            </w:tcBorders>
            <w:noWrap/>
            <w:vAlign w:val="bottom"/>
            <w:hideMark/>
          </w:tcPr>
          <w:p w14:paraId="342DD967" w14:textId="7CCFA747" w:rsidR="00392C6C" w:rsidRPr="001F224B" w:rsidRDefault="00392C6C" w:rsidP="00392C6C">
            <w:pPr>
              <w:jc w:val="right"/>
              <w:rPr>
                <w:sz w:val="20"/>
                <w:szCs w:val="20"/>
              </w:rPr>
            </w:pPr>
            <w:r w:rsidRPr="001F224B">
              <w:rPr>
                <w:sz w:val="20"/>
                <w:szCs w:val="20"/>
              </w:rPr>
              <w:t>-</w:t>
            </w:r>
          </w:p>
        </w:tc>
        <w:tc>
          <w:tcPr>
            <w:tcW w:w="2551" w:type="dxa"/>
            <w:tcBorders>
              <w:right w:val="single" w:sz="4" w:space="0" w:color="auto"/>
            </w:tcBorders>
            <w:vAlign w:val="bottom"/>
          </w:tcPr>
          <w:p w14:paraId="5DFA163D" w14:textId="7BDC1C45" w:rsidR="00392C6C" w:rsidRPr="001F224B" w:rsidRDefault="00392C6C" w:rsidP="00392C6C">
            <w:pPr>
              <w:jc w:val="right"/>
              <w:rPr>
                <w:sz w:val="20"/>
                <w:szCs w:val="20"/>
              </w:rPr>
            </w:pPr>
            <w:r w:rsidRPr="001F224B">
              <w:rPr>
                <w:sz w:val="20"/>
                <w:szCs w:val="20"/>
              </w:rPr>
              <w:t>-</w:t>
            </w:r>
          </w:p>
        </w:tc>
      </w:tr>
      <w:tr w:rsidR="009643EE" w:rsidRPr="001F224B" w14:paraId="1C40791F" w14:textId="77777777" w:rsidTr="009643EE">
        <w:trPr>
          <w:trHeight w:val="259"/>
        </w:trPr>
        <w:tc>
          <w:tcPr>
            <w:tcW w:w="4815" w:type="dxa"/>
            <w:noWrap/>
            <w:vAlign w:val="bottom"/>
            <w:hideMark/>
          </w:tcPr>
          <w:p w14:paraId="0D5CC666" w14:textId="725F674B" w:rsidR="009643EE" w:rsidRPr="001F224B" w:rsidRDefault="009643EE" w:rsidP="009643EE">
            <w:pPr>
              <w:rPr>
                <w:b/>
                <w:sz w:val="20"/>
                <w:szCs w:val="20"/>
              </w:rPr>
            </w:pPr>
            <w:r w:rsidRPr="001F224B">
              <w:rPr>
                <w:b/>
                <w:sz w:val="20"/>
                <w:szCs w:val="20"/>
              </w:rPr>
              <w:t xml:space="preserve">Diğer Karşılık Giderleri </w:t>
            </w:r>
            <w:r w:rsidRPr="001F224B">
              <w:rPr>
                <w:b/>
                <w:sz w:val="20"/>
                <w:szCs w:val="20"/>
                <w:vertAlign w:val="superscript"/>
              </w:rPr>
              <w:t>(*)</w:t>
            </w:r>
          </w:p>
        </w:tc>
        <w:tc>
          <w:tcPr>
            <w:tcW w:w="2410" w:type="dxa"/>
            <w:tcBorders>
              <w:right w:val="single" w:sz="4" w:space="0" w:color="auto"/>
            </w:tcBorders>
            <w:noWrap/>
            <w:vAlign w:val="bottom"/>
            <w:hideMark/>
          </w:tcPr>
          <w:p w14:paraId="3B33DD32" w14:textId="14843C59" w:rsidR="009643EE" w:rsidRPr="001F224B" w:rsidRDefault="009643EE" w:rsidP="009643EE">
            <w:pPr>
              <w:jc w:val="right"/>
              <w:rPr>
                <w:b/>
                <w:bCs/>
                <w:sz w:val="20"/>
                <w:szCs w:val="20"/>
              </w:rPr>
            </w:pPr>
            <w:r w:rsidRPr="001F224B">
              <w:rPr>
                <w:b/>
                <w:bCs/>
                <w:sz w:val="20"/>
                <w:szCs w:val="20"/>
              </w:rPr>
              <w:t>137.488</w:t>
            </w:r>
          </w:p>
        </w:tc>
        <w:tc>
          <w:tcPr>
            <w:tcW w:w="2551" w:type="dxa"/>
            <w:tcBorders>
              <w:right w:val="single" w:sz="4" w:space="0" w:color="auto"/>
            </w:tcBorders>
            <w:vAlign w:val="bottom"/>
          </w:tcPr>
          <w:p w14:paraId="4FB98C19" w14:textId="0FD12A9B" w:rsidR="009643EE" w:rsidRPr="001F224B" w:rsidRDefault="009643EE" w:rsidP="009643EE">
            <w:pPr>
              <w:jc w:val="right"/>
              <w:rPr>
                <w:b/>
                <w:bCs/>
                <w:sz w:val="20"/>
                <w:szCs w:val="20"/>
              </w:rPr>
            </w:pPr>
            <w:r w:rsidRPr="001F224B">
              <w:rPr>
                <w:b/>
                <w:bCs/>
                <w:sz w:val="20"/>
                <w:szCs w:val="20"/>
              </w:rPr>
              <w:t>210.948</w:t>
            </w:r>
          </w:p>
        </w:tc>
      </w:tr>
      <w:tr w:rsidR="009643EE" w:rsidRPr="001F224B" w14:paraId="46B0B3E7" w14:textId="77777777" w:rsidTr="009643EE">
        <w:trPr>
          <w:trHeight w:val="259"/>
        </w:trPr>
        <w:tc>
          <w:tcPr>
            <w:tcW w:w="4815" w:type="dxa"/>
            <w:noWrap/>
            <w:vAlign w:val="bottom"/>
            <w:hideMark/>
          </w:tcPr>
          <w:p w14:paraId="70734C29" w14:textId="77777777" w:rsidR="009643EE" w:rsidRPr="001F224B" w:rsidRDefault="009643EE" w:rsidP="009643EE">
            <w:pPr>
              <w:rPr>
                <w:b/>
                <w:bCs/>
                <w:sz w:val="20"/>
                <w:szCs w:val="20"/>
              </w:rPr>
            </w:pPr>
            <w:r w:rsidRPr="001F224B">
              <w:rPr>
                <w:b/>
                <w:bCs/>
                <w:sz w:val="20"/>
                <w:szCs w:val="20"/>
              </w:rPr>
              <w:t>Toplam</w:t>
            </w:r>
          </w:p>
        </w:tc>
        <w:tc>
          <w:tcPr>
            <w:tcW w:w="2410" w:type="dxa"/>
            <w:tcBorders>
              <w:right w:val="single" w:sz="4" w:space="0" w:color="auto"/>
            </w:tcBorders>
            <w:noWrap/>
            <w:vAlign w:val="bottom"/>
            <w:hideMark/>
          </w:tcPr>
          <w:p w14:paraId="123DC00D" w14:textId="536C1CF8" w:rsidR="009643EE" w:rsidRPr="001F224B" w:rsidRDefault="009643EE" w:rsidP="009643EE">
            <w:pPr>
              <w:jc w:val="right"/>
              <w:rPr>
                <w:b/>
                <w:bCs/>
                <w:sz w:val="20"/>
                <w:szCs w:val="20"/>
              </w:rPr>
            </w:pPr>
            <w:r w:rsidRPr="001F224B">
              <w:rPr>
                <w:b/>
                <w:bCs/>
                <w:sz w:val="20"/>
                <w:szCs w:val="20"/>
              </w:rPr>
              <w:t>395.059</w:t>
            </w:r>
          </w:p>
        </w:tc>
        <w:tc>
          <w:tcPr>
            <w:tcW w:w="2551" w:type="dxa"/>
            <w:tcBorders>
              <w:right w:val="single" w:sz="4" w:space="0" w:color="auto"/>
            </w:tcBorders>
            <w:vAlign w:val="bottom"/>
          </w:tcPr>
          <w:p w14:paraId="65FD6FA3" w14:textId="7CCF7F17" w:rsidR="009643EE" w:rsidRPr="001F224B" w:rsidRDefault="009643EE" w:rsidP="009643EE">
            <w:pPr>
              <w:jc w:val="right"/>
              <w:rPr>
                <w:b/>
                <w:sz w:val="20"/>
                <w:szCs w:val="20"/>
              </w:rPr>
            </w:pPr>
            <w:r w:rsidRPr="001F224B">
              <w:rPr>
                <w:b/>
                <w:bCs/>
                <w:sz w:val="20"/>
                <w:szCs w:val="20"/>
              </w:rPr>
              <w:t>622.572</w:t>
            </w:r>
          </w:p>
        </w:tc>
      </w:tr>
    </w:tbl>
    <w:p w14:paraId="190F9038" w14:textId="4DFBF6AD" w:rsidR="005F1F96" w:rsidRPr="001F224B" w:rsidRDefault="005F1F96" w:rsidP="005F1F96">
      <w:pPr>
        <w:tabs>
          <w:tab w:val="left" w:pos="567"/>
          <w:tab w:val="left" w:pos="709"/>
        </w:tabs>
        <w:spacing w:after="120"/>
        <w:ind w:left="142" w:hanging="142"/>
        <w:jc w:val="both"/>
        <w:rPr>
          <w:sz w:val="16"/>
          <w:szCs w:val="16"/>
        </w:rPr>
      </w:pPr>
      <w:r w:rsidRPr="001F224B">
        <w:rPr>
          <w:bCs/>
          <w:sz w:val="18"/>
          <w:szCs w:val="18"/>
          <w:vertAlign w:val="superscript"/>
        </w:rPr>
        <w:t xml:space="preserve">(*) </w:t>
      </w:r>
      <w:r w:rsidRPr="001F224B">
        <w:rPr>
          <w:sz w:val="16"/>
          <w:szCs w:val="16"/>
        </w:rPr>
        <w:t>Diğer karşılık giderlerinin 32.545 TL tutarındaki kısmı kıdem tazminatı karşılığı ve izin ücret karşılığı giderlerinden (</w:t>
      </w:r>
      <w:r w:rsidRPr="001F224B">
        <w:rPr>
          <w:bCs/>
          <w:sz w:val="16"/>
          <w:szCs w:val="16"/>
        </w:rPr>
        <w:t xml:space="preserve">30 Haziran 2024: </w:t>
      </w:r>
      <w:r w:rsidRPr="001F224B">
        <w:rPr>
          <w:sz w:val="16"/>
          <w:szCs w:val="16"/>
        </w:rPr>
        <w:t xml:space="preserve">34.661 </w:t>
      </w:r>
      <w:r w:rsidRPr="001F224B">
        <w:rPr>
          <w:bCs/>
          <w:sz w:val="16"/>
          <w:szCs w:val="16"/>
        </w:rPr>
        <w:t>TL</w:t>
      </w:r>
      <w:r w:rsidRPr="001F224B">
        <w:rPr>
          <w:sz w:val="16"/>
          <w:szCs w:val="16"/>
        </w:rPr>
        <w:t xml:space="preserve">), 104.943 TL </w:t>
      </w:r>
      <w:r w:rsidR="00804119" w:rsidRPr="001F224B">
        <w:rPr>
          <w:sz w:val="16"/>
          <w:szCs w:val="16"/>
        </w:rPr>
        <w:t>tutarındaki kısmı çal</w:t>
      </w:r>
      <w:r w:rsidR="00804119" w:rsidRPr="001F224B">
        <w:rPr>
          <w:rFonts w:ascii="TimesNewRomanPSMT" w:hAnsi="TimesNewRomanPSMT" w:cs="TimesNewRomanPSMT"/>
          <w:sz w:val="16"/>
          <w:szCs w:val="16"/>
        </w:rPr>
        <w:t>ış</w:t>
      </w:r>
      <w:r w:rsidR="00804119" w:rsidRPr="001F224B">
        <w:rPr>
          <w:sz w:val="16"/>
          <w:szCs w:val="16"/>
        </w:rPr>
        <w:t>anlara sa</w:t>
      </w:r>
      <w:r w:rsidR="00804119" w:rsidRPr="001F224B">
        <w:rPr>
          <w:rFonts w:ascii="TimesNewRomanPSMT" w:hAnsi="TimesNewRomanPSMT" w:cs="TimesNewRomanPSMT"/>
          <w:sz w:val="16"/>
          <w:szCs w:val="16"/>
        </w:rPr>
        <w:t>ğ</w:t>
      </w:r>
      <w:r w:rsidR="00804119" w:rsidRPr="001F224B">
        <w:rPr>
          <w:sz w:val="16"/>
          <w:szCs w:val="16"/>
        </w:rPr>
        <w:t>lanmas</w:t>
      </w:r>
      <w:r w:rsidR="00804119" w:rsidRPr="001F224B">
        <w:rPr>
          <w:rFonts w:ascii="TimesNewRomanPSMT" w:hAnsi="TimesNewRomanPSMT" w:cs="TimesNewRomanPSMT"/>
          <w:sz w:val="16"/>
          <w:szCs w:val="16"/>
        </w:rPr>
        <w:t xml:space="preserve">ı </w:t>
      </w:r>
      <w:r w:rsidR="00804119" w:rsidRPr="001F224B">
        <w:rPr>
          <w:sz w:val="16"/>
          <w:szCs w:val="16"/>
        </w:rPr>
        <w:t>planlanan faydalar kar</w:t>
      </w:r>
      <w:r w:rsidR="00804119" w:rsidRPr="001F224B">
        <w:rPr>
          <w:rFonts w:ascii="TimesNewRomanPSMT" w:hAnsi="TimesNewRomanPSMT" w:cs="TimesNewRomanPSMT"/>
          <w:sz w:val="16"/>
          <w:szCs w:val="16"/>
        </w:rPr>
        <w:t>şı</w:t>
      </w:r>
      <w:r w:rsidR="00804119" w:rsidRPr="001F224B">
        <w:rPr>
          <w:sz w:val="16"/>
          <w:szCs w:val="16"/>
        </w:rPr>
        <w:t>l</w:t>
      </w:r>
      <w:r w:rsidR="00804119" w:rsidRPr="001F224B">
        <w:rPr>
          <w:rFonts w:ascii="TimesNewRomanPSMT" w:hAnsi="TimesNewRomanPSMT" w:cs="TimesNewRomanPSMT"/>
          <w:sz w:val="16"/>
          <w:szCs w:val="16"/>
        </w:rPr>
        <w:t xml:space="preserve">ığı </w:t>
      </w:r>
      <w:r w:rsidR="00804119" w:rsidRPr="001F224B">
        <w:rPr>
          <w:sz w:val="16"/>
          <w:szCs w:val="16"/>
        </w:rPr>
        <w:t xml:space="preserve">giderlerinden </w:t>
      </w:r>
      <w:r w:rsidRPr="001F224B">
        <w:rPr>
          <w:sz w:val="16"/>
          <w:szCs w:val="16"/>
        </w:rPr>
        <w:t>(</w:t>
      </w:r>
      <w:r w:rsidRPr="001F224B">
        <w:rPr>
          <w:bCs/>
          <w:sz w:val="16"/>
          <w:szCs w:val="16"/>
        </w:rPr>
        <w:t xml:space="preserve">30 Haziran 2024: </w:t>
      </w:r>
      <w:r w:rsidRPr="001F224B">
        <w:rPr>
          <w:sz w:val="16"/>
          <w:szCs w:val="16"/>
        </w:rPr>
        <w:t xml:space="preserve">176.287 </w:t>
      </w:r>
      <w:r w:rsidRPr="001F224B">
        <w:rPr>
          <w:bCs/>
          <w:sz w:val="16"/>
          <w:szCs w:val="16"/>
        </w:rPr>
        <w:t>TL</w:t>
      </w:r>
      <w:r w:rsidRPr="001F224B">
        <w:rPr>
          <w:sz w:val="16"/>
          <w:szCs w:val="16"/>
        </w:rPr>
        <w:t>) oluşmaktadır.</w:t>
      </w:r>
    </w:p>
    <w:p w14:paraId="57E788E7" w14:textId="77777777" w:rsidR="00804119" w:rsidRPr="001F224B" w:rsidRDefault="00804119" w:rsidP="005F1F96">
      <w:pPr>
        <w:tabs>
          <w:tab w:val="left" w:pos="567"/>
          <w:tab w:val="left" w:pos="709"/>
        </w:tabs>
        <w:spacing w:after="120"/>
        <w:ind w:left="142" w:hanging="142"/>
        <w:jc w:val="both"/>
        <w:rPr>
          <w:b/>
          <w:bCs/>
          <w:sz w:val="22"/>
          <w:szCs w:val="22"/>
        </w:rPr>
      </w:pPr>
    </w:p>
    <w:p w14:paraId="180F2BCA" w14:textId="77777777" w:rsidR="005F1F96" w:rsidRPr="001F224B" w:rsidRDefault="005F1F96" w:rsidP="00517225">
      <w:pPr>
        <w:tabs>
          <w:tab w:val="left" w:pos="567"/>
          <w:tab w:val="left" w:pos="709"/>
        </w:tabs>
        <w:spacing w:after="120"/>
        <w:ind w:left="142" w:hanging="142"/>
        <w:jc w:val="both"/>
        <w:rPr>
          <w:sz w:val="16"/>
          <w:szCs w:val="16"/>
        </w:rPr>
      </w:pPr>
    </w:p>
    <w:p w14:paraId="2266BCEA" w14:textId="77777777" w:rsidR="001D3D8D" w:rsidRPr="001F224B" w:rsidRDefault="001D3D8D" w:rsidP="00517225">
      <w:pPr>
        <w:tabs>
          <w:tab w:val="left" w:pos="567"/>
          <w:tab w:val="left" w:pos="709"/>
        </w:tabs>
        <w:spacing w:after="120"/>
        <w:ind w:left="142" w:hanging="142"/>
        <w:jc w:val="both"/>
        <w:rPr>
          <w:b/>
          <w:bCs/>
          <w:sz w:val="22"/>
          <w:szCs w:val="22"/>
        </w:rPr>
      </w:pPr>
    </w:p>
    <w:p w14:paraId="7BDC731F" w14:textId="23969FF9" w:rsidR="00517225" w:rsidRPr="001F224B" w:rsidRDefault="00517225" w:rsidP="009C3C5B">
      <w:pPr>
        <w:tabs>
          <w:tab w:val="left" w:pos="567"/>
          <w:tab w:val="left" w:pos="709"/>
        </w:tabs>
        <w:spacing w:after="120"/>
        <w:ind w:left="142" w:hanging="142"/>
        <w:jc w:val="both"/>
        <w:rPr>
          <w:b/>
          <w:bCs/>
          <w:sz w:val="22"/>
          <w:szCs w:val="22"/>
        </w:rPr>
      </w:pPr>
    </w:p>
    <w:p w14:paraId="6483D671" w14:textId="77777777" w:rsidR="003659AA" w:rsidRPr="001F224B" w:rsidRDefault="003659AA" w:rsidP="009C3C5B">
      <w:pPr>
        <w:tabs>
          <w:tab w:val="left" w:pos="567"/>
          <w:tab w:val="left" w:pos="709"/>
        </w:tabs>
        <w:spacing w:after="120"/>
        <w:ind w:left="142" w:hanging="142"/>
        <w:jc w:val="both"/>
        <w:rPr>
          <w:b/>
          <w:bCs/>
          <w:sz w:val="22"/>
          <w:szCs w:val="22"/>
        </w:rPr>
      </w:pPr>
    </w:p>
    <w:p w14:paraId="3EA90BAA" w14:textId="25FCC1B4" w:rsidR="00B5673D" w:rsidRPr="001F224B" w:rsidRDefault="00B5673D" w:rsidP="00B5673D">
      <w:pPr>
        <w:tabs>
          <w:tab w:val="left" w:pos="567"/>
          <w:tab w:val="left" w:pos="709"/>
        </w:tabs>
        <w:spacing w:after="120"/>
        <w:ind w:left="142" w:hanging="142"/>
        <w:jc w:val="both"/>
        <w:rPr>
          <w:b/>
          <w:bCs/>
          <w:sz w:val="22"/>
          <w:szCs w:val="22"/>
        </w:rPr>
      </w:pPr>
    </w:p>
    <w:p w14:paraId="435D43D4" w14:textId="77777777" w:rsidR="00A0277A" w:rsidRPr="001F224B" w:rsidRDefault="00A0277A" w:rsidP="00A0277A">
      <w:pPr>
        <w:pStyle w:val="ListParagraph"/>
        <w:tabs>
          <w:tab w:val="left" w:pos="0"/>
        </w:tabs>
        <w:spacing w:before="120" w:after="120"/>
        <w:ind w:left="0"/>
        <w:rPr>
          <w:b/>
          <w:bCs/>
          <w:sz w:val="22"/>
          <w:szCs w:val="22"/>
        </w:rPr>
      </w:pPr>
      <w:r w:rsidRPr="001F224B">
        <w:rPr>
          <w:b/>
          <w:bCs/>
          <w:sz w:val="22"/>
          <w:szCs w:val="22"/>
        </w:rPr>
        <w:t>BEŞİNCİ BÖLÜM (Devamı)</w:t>
      </w:r>
    </w:p>
    <w:p w14:paraId="6BFFF46E" w14:textId="77777777" w:rsidR="00A0277A" w:rsidRPr="001F224B" w:rsidRDefault="007A701D" w:rsidP="00A0277A">
      <w:pPr>
        <w:pStyle w:val="ListParagraph"/>
        <w:tabs>
          <w:tab w:val="left" w:pos="0"/>
        </w:tabs>
        <w:spacing w:after="120"/>
        <w:ind w:left="0"/>
        <w:rPr>
          <w:b/>
          <w:bCs/>
          <w:sz w:val="22"/>
          <w:szCs w:val="22"/>
        </w:rPr>
      </w:pPr>
      <w:r w:rsidRPr="001F224B">
        <w:rPr>
          <w:b/>
          <w:bCs/>
          <w:sz w:val="22"/>
          <w:szCs w:val="22"/>
        </w:rPr>
        <w:t xml:space="preserve">KONSOLİDE </w:t>
      </w:r>
      <w:r w:rsidR="00A0277A" w:rsidRPr="001F224B">
        <w:rPr>
          <w:b/>
          <w:bCs/>
          <w:sz w:val="22"/>
          <w:szCs w:val="22"/>
        </w:rPr>
        <w:t>FİNANSAL TABLOLARA İLİŞKİN AÇIKLAMA VE DİPNOTLAR (Devamı)</w:t>
      </w:r>
    </w:p>
    <w:p w14:paraId="555106B0" w14:textId="281905ED" w:rsidR="008B0A67" w:rsidRPr="001F224B" w:rsidRDefault="008B0A67" w:rsidP="008B0A67">
      <w:pPr>
        <w:tabs>
          <w:tab w:val="left" w:pos="567"/>
        </w:tabs>
        <w:rPr>
          <w:b/>
          <w:bCs/>
          <w:sz w:val="22"/>
          <w:szCs w:val="22"/>
        </w:rPr>
      </w:pPr>
      <w:r w:rsidRPr="001F224B">
        <w:rPr>
          <w:b/>
          <w:bCs/>
          <w:sz w:val="22"/>
          <w:szCs w:val="22"/>
        </w:rPr>
        <w:t>IV.</w:t>
      </w:r>
      <w:r w:rsidRPr="001F224B">
        <w:rPr>
          <w:b/>
          <w:bCs/>
          <w:sz w:val="22"/>
          <w:szCs w:val="22"/>
        </w:rPr>
        <w:tab/>
      </w:r>
      <w:r w:rsidR="007A701D" w:rsidRPr="001F224B">
        <w:rPr>
          <w:b/>
          <w:bCs/>
          <w:sz w:val="22"/>
          <w:szCs w:val="22"/>
        </w:rPr>
        <w:t>Konsolide k</w:t>
      </w:r>
      <w:r w:rsidRPr="001F224B">
        <w:rPr>
          <w:b/>
          <w:bCs/>
          <w:sz w:val="22"/>
          <w:szCs w:val="22"/>
        </w:rPr>
        <w:t xml:space="preserve">ar veya </w:t>
      </w:r>
      <w:r w:rsidR="007A701D" w:rsidRPr="001F224B">
        <w:rPr>
          <w:b/>
          <w:bCs/>
          <w:sz w:val="22"/>
          <w:szCs w:val="22"/>
        </w:rPr>
        <w:t>z</w:t>
      </w:r>
      <w:r w:rsidRPr="001F224B">
        <w:rPr>
          <w:b/>
          <w:bCs/>
          <w:sz w:val="22"/>
          <w:szCs w:val="22"/>
        </w:rPr>
        <w:t xml:space="preserve">arar tablosuna </w:t>
      </w:r>
      <w:r w:rsidR="00333AA6" w:rsidRPr="001F224B">
        <w:rPr>
          <w:b/>
          <w:bCs/>
          <w:sz w:val="22"/>
          <w:szCs w:val="22"/>
        </w:rPr>
        <w:t>ilişkin açıklama ve dipnotlar (D</w:t>
      </w:r>
      <w:r w:rsidRPr="001F224B">
        <w:rPr>
          <w:b/>
          <w:bCs/>
          <w:sz w:val="22"/>
          <w:szCs w:val="22"/>
        </w:rPr>
        <w:t>evamı)</w:t>
      </w:r>
    </w:p>
    <w:p w14:paraId="207A68FA" w14:textId="77777777" w:rsidR="00267DF1" w:rsidRPr="001F224B" w:rsidRDefault="008009B8" w:rsidP="005514FC">
      <w:pPr>
        <w:tabs>
          <w:tab w:val="left" w:pos="540"/>
        </w:tabs>
        <w:spacing w:before="120" w:after="120"/>
        <w:jc w:val="both"/>
        <w:rPr>
          <w:b/>
          <w:bCs/>
          <w:sz w:val="22"/>
          <w:szCs w:val="22"/>
        </w:rPr>
      </w:pPr>
      <w:r w:rsidRPr="001F224B">
        <w:rPr>
          <w:b/>
          <w:bCs/>
          <w:sz w:val="22"/>
          <w:szCs w:val="22"/>
        </w:rPr>
        <w:t>7.</w:t>
      </w:r>
      <w:r w:rsidR="002203D7" w:rsidRPr="001F224B">
        <w:rPr>
          <w:b/>
          <w:bCs/>
          <w:sz w:val="22"/>
          <w:szCs w:val="22"/>
        </w:rPr>
        <w:tab/>
      </w:r>
      <w:r w:rsidR="00267DF1" w:rsidRPr="001F224B">
        <w:rPr>
          <w:b/>
          <w:bCs/>
          <w:sz w:val="22"/>
          <w:szCs w:val="22"/>
        </w:rPr>
        <w:t>Diğer faaliyet giderlerine ilişkin bilgiler:</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965"/>
        <w:gridCol w:w="1973"/>
        <w:gridCol w:w="1843"/>
      </w:tblGrid>
      <w:tr w:rsidR="00C5334A" w:rsidRPr="001F224B" w14:paraId="7BC7DD26" w14:textId="77777777" w:rsidTr="007576A7">
        <w:trPr>
          <w:trHeight w:val="319"/>
        </w:trPr>
        <w:tc>
          <w:tcPr>
            <w:tcW w:w="5965" w:type="dxa"/>
            <w:shd w:val="clear" w:color="000000" w:fill="FFFFFF"/>
            <w:vAlign w:val="bottom"/>
          </w:tcPr>
          <w:p w14:paraId="131A0CE6" w14:textId="77777777" w:rsidR="00C5334A" w:rsidRPr="001F224B" w:rsidRDefault="00C5334A" w:rsidP="00C5334A">
            <w:pPr>
              <w:rPr>
                <w:sz w:val="20"/>
                <w:szCs w:val="20"/>
              </w:rPr>
            </w:pPr>
            <w:r w:rsidRPr="001F224B">
              <w:rPr>
                <w:sz w:val="20"/>
                <w:szCs w:val="20"/>
              </w:rPr>
              <w:t> </w:t>
            </w:r>
          </w:p>
        </w:tc>
        <w:tc>
          <w:tcPr>
            <w:tcW w:w="1973" w:type="dxa"/>
            <w:tcBorders>
              <w:bottom w:val="single" w:sz="4" w:space="0" w:color="auto"/>
            </w:tcBorders>
            <w:shd w:val="clear" w:color="000000" w:fill="FFFFFF"/>
            <w:vAlign w:val="bottom"/>
          </w:tcPr>
          <w:p w14:paraId="46085AF1" w14:textId="77777777" w:rsidR="00C5334A" w:rsidRPr="001F224B" w:rsidRDefault="00C5334A" w:rsidP="00C5334A">
            <w:pPr>
              <w:jc w:val="center"/>
              <w:rPr>
                <w:b/>
                <w:bCs/>
                <w:sz w:val="20"/>
                <w:szCs w:val="20"/>
              </w:rPr>
            </w:pPr>
            <w:r w:rsidRPr="001F224B">
              <w:rPr>
                <w:b/>
                <w:bCs/>
                <w:sz w:val="20"/>
                <w:szCs w:val="20"/>
              </w:rPr>
              <w:t>Cari Dönem</w:t>
            </w:r>
          </w:p>
          <w:p w14:paraId="2B6EBDBC" w14:textId="514B3DC7" w:rsidR="00C5334A" w:rsidRPr="001F224B" w:rsidRDefault="00C5334A" w:rsidP="00C5334A">
            <w:pPr>
              <w:jc w:val="center"/>
              <w:rPr>
                <w:b/>
                <w:bCs/>
                <w:sz w:val="20"/>
                <w:szCs w:val="20"/>
              </w:rPr>
            </w:pPr>
            <w:r w:rsidRPr="001F224B">
              <w:rPr>
                <w:b/>
                <w:bCs/>
                <w:sz w:val="20"/>
                <w:szCs w:val="20"/>
              </w:rPr>
              <w:t>(3</w:t>
            </w:r>
            <w:r w:rsidR="00743AF2" w:rsidRPr="001F224B">
              <w:rPr>
                <w:b/>
                <w:bCs/>
                <w:sz w:val="20"/>
                <w:szCs w:val="20"/>
              </w:rPr>
              <w:t>0</w:t>
            </w:r>
            <w:r w:rsidRPr="001F224B">
              <w:rPr>
                <w:b/>
                <w:bCs/>
                <w:sz w:val="20"/>
                <w:szCs w:val="20"/>
              </w:rPr>
              <w:t>.</w:t>
            </w:r>
            <w:r w:rsidR="002F64E2" w:rsidRPr="001F224B">
              <w:rPr>
                <w:b/>
                <w:bCs/>
                <w:sz w:val="20"/>
                <w:szCs w:val="20"/>
              </w:rPr>
              <w:t>0</w:t>
            </w:r>
            <w:r w:rsidR="00743AF2" w:rsidRPr="001F224B">
              <w:rPr>
                <w:b/>
                <w:bCs/>
                <w:sz w:val="20"/>
                <w:szCs w:val="20"/>
              </w:rPr>
              <w:t>6</w:t>
            </w:r>
            <w:r w:rsidRPr="001F224B">
              <w:rPr>
                <w:b/>
                <w:bCs/>
                <w:sz w:val="20"/>
                <w:szCs w:val="20"/>
              </w:rPr>
              <w:t>.202</w:t>
            </w:r>
            <w:r w:rsidR="002F64E2" w:rsidRPr="001F224B">
              <w:rPr>
                <w:b/>
                <w:bCs/>
                <w:sz w:val="20"/>
                <w:szCs w:val="20"/>
              </w:rPr>
              <w:t>5</w:t>
            </w:r>
            <w:r w:rsidRPr="001F224B">
              <w:rPr>
                <w:b/>
                <w:bCs/>
                <w:sz w:val="20"/>
                <w:szCs w:val="20"/>
              </w:rPr>
              <w:t>)</w:t>
            </w:r>
          </w:p>
        </w:tc>
        <w:tc>
          <w:tcPr>
            <w:tcW w:w="1843" w:type="dxa"/>
            <w:shd w:val="clear" w:color="000000" w:fill="FFFFFF"/>
            <w:vAlign w:val="bottom"/>
          </w:tcPr>
          <w:p w14:paraId="093769A7" w14:textId="77777777" w:rsidR="00C5334A" w:rsidRPr="001F224B" w:rsidRDefault="00C5334A" w:rsidP="00C5334A">
            <w:pPr>
              <w:jc w:val="center"/>
              <w:rPr>
                <w:b/>
                <w:bCs/>
                <w:sz w:val="20"/>
                <w:szCs w:val="20"/>
              </w:rPr>
            </w:pPr>
            <w:r w:rsidRPr="001F224B">
              <w:rPr>
                <w:b/>
                <w:bCs/>
                <w:sz w:val="20"/>
                <w:szCs w:val="20"/>
              </w:rPr>
              <w:t>Önceki Dönem</w:t>
            </w:r>
          </w:p>
          <w:p w14:paraId="698A5ABC" w14:textId="06F0EEC8" w:rsidR="00C5334A" w:rsidRPr="001F224B" w:rsidRDefault="00C5334A" w:rsidP="00C5334A">
            <w:pPr>
              <w:jc w:val="center"/>
              <w:rPr>
                <w:b/>
                <w:bCs/>
                <w:sz w:val="20"/>
                <w:szCs w:val="20"/>
              </w:rPr>
            </w:pPr>
            <w:r w:rsidRPr="001F224B">
              <w:rPr>
                <w:b/>
                <w:bCs/>
                <w:sz w:val="20"/>
                <w:szCs w:val="20"/>
              </w:rPr>
              <w:t>(3</w:t>
            </w:r>
            <w:r w:rsidR="00743AF2" w:rsidRPr="001F224B">
              <w:rPr>
                <w:b/>
                <w:bCs/>
                <w:sz w:val="20"/>
                <w:szCs w:val="20"/>
              </w:rPr>
              <w:t>0</w:t>
            </w:r>
            <w:r w:rsidRPr="001F224B">
              <w:rPr>
                <w:b/>
                <w:bCs/>
                <w:sz w:val="20"/>
                <w:szCs w:val="20"/>
              </w:rPr>
              <w:t>.</w:t>
            </w:r>
            <w:r w:rsidR="002F64E2" w:rsidRPr="001F224B">
              <w:rPr>
                <w:b/>
                <w:bCs/>
                <w:sz w:val="20"/>
                <w:szCs w:val="20"/>
              </w:rPr>
              <w:t>0</w:t>
            </w:r>
            <w:r w:rsidR="00743AF2" w:rsidRPr="001F224B">
              <w:rPr>
                <w:b/>
                <w:bCs/>
                <w:sz w:val="20"/>
                <w:szCs w:val="20"/>
              </w:rPr>
              <w:t>6</w:t>
            </w:r>
            <w:r w:rsidRPr="001F224B">
              <w:rPr>
                <w:b/>
                <w:bCs/>
                <w:sz w:val="20"/>
                <w:szCs w:val="20"/>
              </w:rPr>
              <w:t>.202</w:t>
            </w:r>
            <w:r w:rsidR="002F64E2" w:rsidRPr="001F224B">
              <w:rPr>
                <w:b/>
                <w:bCs/>
                <w:sz w:val="20"/>
                <w:szCs w:val="20"/>
              </w:rPr>
              <w:t>4</w:t>
            </w:r>
            <w:r w:rsidRPr="001F224B">
              <w:rPr>
                <w:b/>
                <w:bCs/>
                <w:sz w:val="20"/>
                <w:szCs w:val="20"/>
              </w:rPr>
              <w:t>)</w:t>
            </w:r>
          </w:p>
        </w:tc>
      </w:tr>
      <w:tr w:rsidR="00DF4B04" w:rsidRPr="001F224B" w14:paraId="31B7508F" w14:textId="77777777" w:rsidTr="00DF4B04">
        <w:trPr>
          <w:trHeight w:val="258"/>
        </w:trPr>
        <w:tc>
          <w:tcPr>
            <w:tcW w:w="5965" w:type="dxa"/>
            <w:shd w:val="clear" w:color="000000" w:fill="FFFFFF"/>
            <w:vAlign w:val="bottom"/>
          </w:tcPr>
          <w:p w14:paraId="3D7BE880" w14:textId="77777777" w:rsidR="00DF4B04" w:rsidRPr="001F224B" w:rsidRDefault="00DF4B04" w:rsidP="00DF4B04">
            <w:pPr>
              <w:rPr>
                <w:sz w:val="20"/>
                <w:szCs w:val="20"/>
              </w:rPr>
            </w:pPr>
            <w:r w:rsidRPr="001F224B">
              <w:rPr>
                <w:sz w:val="20"/>
                <w:szCs w:val="20"/>
              </w:rPr>
              <w:t>Kıdem Tazminatı Karşılığı</w:t>
            </w:r>
            <w:r w:rsidRPr="001F224B">
              <w:rPr>
                <w:sz w:val="20"/>
                <w:szCs w:val="20"/>
                <w:vertAlign w:val="superscript"/>
              </w:rPr>
              <w:t>(*)</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5934D57" w14:textId="2997CE0C" w:rsidR="00DF4B04" w:rsidRPr="001F224B" w:rsidRDefault="00DF4B04" w:rsidP="00DF4B04">
            <w:pPr>
              <w:jc w:val="right"/>
              <w:rPr>
                <w:sz w:val="20"/>
                <w:szCs w:val="20"/>
              </w:rPr>
            </w:pPr>
            <w:r w:rsidRPr="001F224B">
              <w:rPr>
                <w:sz w:val="20"/>
                <w:szCs w:val="20"/>
              </w:rPr>
              <w:t>13.255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0F0AF074" w14:textId="01A82430" w:rsidR="00DF4B04" w:rsidRPr="001F224B" w:rsidRDefault="00DF4B04" w:rsidP="00DF4B04">
            <w:pPr>
              <w:jc w:val="right"/>
              <w:rPr>
                <w:sz w:val="20"/>
                <w:szCs w:val="20"/>
              </w:rPr>
            </w:pPr>
            <w:r w:rsidRPr="001F224B">
              <w:rPr>
                <w:sz w:val="20"/>
                <w:szCs w:val="20"/>
              </w:rPr>
              <w:t xml:space="preserve">13.157    </w:t>
            </w:r>
          </w:p>
        </w:tc>
      </w:tr>
      <w:tr w:rsidR="00DF4B04" w:rsidRPr="001F224B" w14:paraId="0E718A91" w14:textId="77777777" w:rsidTr="00DF4B04">
        <w:trPr>
          <w:trHeight w:val="258"/>
        </w:trPr>
        <w:tc>
          <w:tcPr>
            <w:tcW w:w="5965" w:type="dxa"/>
            <w:shd w:val="clear" w:color="000000" w:fill="FFFFFF"/>
            <w:vAlign w:val="bottom"/>
          </w:tcPr>
          <w:p w14:paraId="609A3D30" w14:textId="77777777" w:rsidR="00DF4B04" w:rsidRPr="001F224B" w:rsidRDefault="00DF4B04" w:rsidP="00DF4B04">
            <w:pPr>
              <w:rPr>
                <w:sz w:val="20"/>
                <w:szCs w:val="20"/>
              </w:rPr>
            </w:pPr>
            <w:r w:rsidRPr="001F224B">
              <w:rPr>
                <w:sz w:val="20"/>
                <w:szCs w:val="20"/>
              </w:rPr>
              <w:t>Banka Sosyal Yardım Sandığı Varlık Açıkları Karşılığı</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182A3FF8" w14:textId="51ED1648"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27E4C54B" w14:textId="31C5B014" w:rsidR="00DF4B04" w:rsidRPr="001F224B" w:rsidRDefault="00DF4B04" w:rsidP="00DF4B04">
            <w:pPr>
              <w:jc w:val="right"/>
              <w:rPr>
                <w:sz w:val="20"/>
                <w:szCs w:val="20"/>
              </w:rPr>
            </w:pPr>
            <w:r w:rsidRPr="001F224B">
              <w:rPr>
                <w:sz w:val="20"/>
                <w:szCs w:val="20"/>
              </w:rPr>
              <w:t xml:space="preserve"> -  </w:t>
            </w:r>
          </w:p>
        </w:tc>
      </w:tr>
      <w:tr w:rsidR="00DF4B04" w:rsidRPr="001F224B" w14:paraId="0FF3EB47" w14:textId="77777777" w:rsidTr="00DF4B04">
        <w:trPr>
          <w:trHeight w:val="258"/>
        </w:trPr>
        <w:tc>
          <w:tcPr>
            <w:tcW w:w="5965" w:type="dxa"/>
            <w:shd w:val="clear" w:color="000000" w:fill="FFFFFF"/>
            <w:vAlign w:val="bottom"/>
          </w:tcPr>
          <w:p w14:paraId="34DD989F" w14:textId="77777777" w:rsidR="00DF4B04" w:rsidRPr="001F224B" w:rsidRDefault="00DF4B04" w:rsidP="00DF4B04">
            <w:pPr>
              <w:rPr>
                <w:sz w:val="20"/>
                <w:szCs w:val="20"/>
              </w:rPr>
            </w:pPr>
            <w:r w:rsidRPr="001F224B">
              <w:rPr>
                <w:sz w:val="20"/>
                <w:szCs w:val="20"/>
              </w:rPr>
              <w:t xml:space="preserve">Maddi Duran Varlık Değer Düşüş Giderleri </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3434CB3A" w14:textId="3B2BC7A3"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68654423" w14:textId="1E31D4F3" w:rsidR="00DF4B04" w:rsidRPr="001F224B" w:rsidRDefault="00DF4B04" w:rsidP="00DF4B04">
            <w:pPr>
              <w:jc w:val="right"/>
              <w:rPr>
                <w:sz w:val="20"/>
                <w:szCs w:val="20"/>
              </w:rPr>
            </w:pPr>
            <w:r w:rsidRPr="001F224B">
              <w:rPr>
                <w:sz w:val="20"/>
                <w:szCs w:val="20"/>
              </w:rPr>
              <w:t xml:space="preserve"> -  </w:t>
            </w:r>
          </w:p>
        </w:tc>
      </w:tr>
      <w:tr w:rsidR="00DF4B04" w:rsidRPr="001F224B" w14:paraId="04045DEB" w14:textId="77777777" w:rsidTr="00DF4B04">
        <w:trPr>
          <w:trHeight w:val="258"/>
        </w:trPr>
        <w:tc>
          <w:tcPr>
            <w:tcW w:w="5965" w:type="dxa"/>
            <w:shd w:val="clear" w:color="000000" w:fill="FFFFFF"/>
            <w:vAlign w:val="bottom"/>
          </w:tcPr>
          <w:p w14:paraId="1B95C03D" w14:textId="77777777" w:rsidR="00DF4B04" w:rsidRPr="001F224B" w:rsidRDefault="00DF4B04" w:rsidP="00DF4B04">
            <w:pPr>
              <w:rPr>
                <w:sz w:val="20"/>
                <w:szCs w:val="20"/>
              </w:rPr>
            </w:pPr>
            <w:r w:rsidRPr="001F224B">
              <w:rPr>
                <w:sz w:val="20"/>
                <w:szCs w:val="20"/>
              </w:rPr>
              <w:t>Maddi Duran Varlık Amortisman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AFC9589" w14:textId="261392F5" w:rsidR="00DF4B04" w:rsidRPr="001F224B" w:rsidRDefault="00DF4B04" w:rsidP="00DF4B04">
            <w:pPr>
              <w:jc w:val="right"/>
              <w:rPr>
                <w:sz w:val="20"/>
                <w:szCs w:val="20"/>
              </w:rPr>
            </w:pPr>
            <w:r w:rsidRPr="001F224B">
              <w:rPr>
                <w:sz w:val="20"/>
                <w:szCs w:val="20"/>
              </w:rPr>
              <w:t>22.559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27019D82" w14:textId="719DC316" w:rsidR="00DF4B04" w:rsidRPr="001F224B" w:rsidRDefault="00DF4B04" w:rsidP="00DF4B04">
            <w:pPr>
              <w:jc w:val="right"/>
              <w:rPr>
                <w:sz w:val="20"/>
                <w:szCs w:val="20"/>
              </w:rPr>
            </w:pPr>
            <w:r w:rsidRPr="001F224B">
              <w:rPr>
                <w:sz w:val="20"/>
                <w:szCs w:val="20"/>
              </w:rPr>
              <w:t xml:space="preserve">14.037    </w:t>
            </w:r>
          </w:p>
        </w:tc>
      </w:tr>
      <w:tr w:rsidR="00DF4B04" w:rsidRPr="001F224B" w14:paraId="7F1C42D6" w14:textId="77777777" w:rsidTr="00DF4B04">
        <w:trPr>
          <w:trHeight w:val="258"/>
        </w:trPr>
        <w:tc>
          <w:tcPr>
            <w:tcW w:w="5965" w:type="dxa"/>
            <w:shd w:val="clear" w:color="000000" w:fill="FFFFFF"/>
            <w:vAlign w:val="bottom"/>
          </w:tcPr>
          <w:p w14:paraId="3693C41B" w14:textId="77777777" w:rsidR="00DF4B04" w:rsidRPr="001F224B" w:rsidRDefault="00DF4B04" w:rsidP="00DF4B04">
            <w:pPr>
              <w:rPr>
                <w:sz w:val="20"/>
                <w:szCs w:val="20"/>
              </w:rPr>
            </w:pPr>
            <w:r w:rsidRPr="001F224B">
              <w:rPr>
                <w:sz w:val="20"/>
                <w:szCs w:val="20"/>
              </w:rPr>
              <w:t>Maddi Olmayan Duran Varlık Değer Düşüş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DD72170" w14:textId="6F9A584C"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212AB987" w14:textId="06ACC073" w:rsidR="00DF4B04" w:rsidRPr="001F224B" w:rsidRDefault="00DF4B04" w:rsidP="00DF4B04">
            <w:pPr>
              <w:jc w:val="right"/>
              <w:rPr>
                <w:sz w:val="20"/>
                <w:szCs w:val="20"/>
              </w:rPr>
            </w:pPr>
            <w:r w:rsidRPr="001F224B">
              <w:rPr>
                <w:sz w:val="20"/>
                <w:szCs w:val="20"/>
              </w:rPr>
              <w:t xml:space="preserve"> -  </w:t>
            </w:r>
          </w:p>
        </w:tc>
      </w:tr>
      <w:tr w:rsidR="00DF4B04" w:rsidRPr="001F224B" w14:paraId="365A5964" w14:textId="77777777" w:rsidTr="00DF4B04">
        <w:trPr>
          <w:trHeight w:val="258"/>
        </w:trPr>
        <w:tc>
          <w:tcPr>
            <w:tcW w:w="5965" w:type="dxa"/>
            <w:shd w:val="clear" w:color="000000" w:fill="FFFFFF"/>
            <w:vAlign w:val="bottom"/>
          </w:tcPr>
          <w:p w14:paraId="7A3D00ED" w14:textId="77777777" w:rsidR="00DF4B04" w:rsidRPr="001F224B" w:rsidRDefault="00DF4B04" w:rsidP="00DF4B04">
            <w:pPr>
              <w:rPr>
                <w:sz w:val="20"/>
                <w:szCs w:val="20"/>
              </w:rPr>
            </w:pPr>
            <w:r w:rsidRPr="001F224B">
              <w:rPr>
                <w:sz w:val="20"/>
                <w:szCs w:val="20"/>
              </w:rPr>
              <w:t>Şerefiye Değer Düşüş Gideri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1159879A" w14:textId="4A99867D"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32B3CA08" w14:textId="6CAB0F9A" w:rsidR="00DF4B04" w:rsidRPr="001F224B" w:rsidRDefault="00DF4B04" w:rsidP="00DF4B04">
            <w:pPr>
              <w:jc w:val="right"/>
              <w:rPr>
                <w:sz w:val="20"/>
                <w:szCs w:val="20"/>
              </w:rPr>
            </w:pPr>
            <w:r w:rsidRPr="001F224B">
              <w:rPr>
                <w:sz w:val="20"/>
                <w:szCs w:val="20"/>
              </w:rPr>
              <w:t xml:space="preserve"> -  </w:t>
            </w:r>
          </w:p>
        </w:tc>
      </w:tr>
      <w:tr w:rsidR="00DF4B04" w:rsidRPr="001F224B" w14:paraId="2107CD78" w14:textId="77777777" w:rsidTr="00DF4B04">
        <w:trPr>
          <w:trHeight w:val="258"/>
        </w:trPr>
        <w:tc>
          <w:tcPr>
            <w:tcW w:w="5965" w:type="dxa"/>
            <w:shd w:val="clear" w:color="000000" w:fill="FFFFFF"/>
            <w:vAlign w:val="bottom"/>
          </w:tcPr>
          <w:p w14:paraId="43242BEB" w14:textId="77777777" w:rsidR="00DF4B04" w:rsidRPr="001F224B" w:rsidRDefault="00DF4B04" w:rsidP="00DF4B04">
            <w:pPr>
              <w:rPr>
                <w:sz w:val="20"/>
                <w:szCs w:val="20"/>
              </w:rPr>
            </w:pPr>
            <w:r w:rsidRPr="001F224B">
              <w:rPr>
                <w:sz w:val="20"/>
                <w:szCs w:val="20"/>
              </w:rPr>
              <w:t>Maddi Olmayan Duran Varlık Amortisman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DB5A100" w14:textId="200E80E1" w:rsidR="00DF4B04" w:rsidRPr="001F224B" w:rsidRDefault="00DF4B04" w:rsidP="00DF4B04">
            <w:pPr>
              <w:jc w:val="right"/>
              <w:rPr>
                <w:sz w:val="20"/>
                <w:szCs w:val="20"/>
              </w:rPr>
            </w:pPr>
            <w:r w:rsidRPr="001F224B">
              <w:rPr>
                <w:sz w:val="20"/>
                <w:szCs w:val="20"/>
              </w:rPr>
              <w:t>11.575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1BEE538B" w14:textId="1FD52B23" w:rsidR="00DF4B04" w:rsidRPr="001F224B" w:rsidRDefault="00DF4B04" w:rsidP="00DF4B04">
            <w:pPr>
              <w:jc w:val="right"/>
              <w:rPr>
                <w:sz w:val="20"/>
                <w:szCs w:val="20"/>
              </w:rPr>
            </w:pPr>
            <w:r w:rsidRPr="001F224B">
              <w:rPr>
                <w:sz w:val="20"/>
                <w:szCs w:val="20"/>
              </w:rPr>
              <w:t xml:space="preserve">6.587    </w:t>
            </w:r>
          </w:p>
        </w:tc>
      </w:tr>
      <w:tr w:rsidR="00DF4B04" w:rsidRPr="001F224B" w14:paraId="6C56BE29" w14:textId="77777777" w:rsidTr="00DF4B04">
        <w:trPr>
          <w:trHeight w:val="258"/>
        </w:trPr>
        <w:tc>
          <w:tcPr>
            <w:tcW w:w="5965" w:type="dxa"/>
            <w:shd w:val="clear" w:color="000000" w:fill="FFFFFF"/>
            <w:vAlign w:val="bottom"/>
          </w:tcPr>
          <w:p w14:paraId="4362437E" w14:textId="77777777" w:rsidR="00DF4B04" w:rsidRPr="001F224B" w:rsidRDefault="00DF4B04" w:rsidP="00DF4B04">
            <w:pPr>
              <w:rPr>
                <w:sz w:val="20"/>
                <w:szCs w:val="20"/>
              </w:rPr>
            </w:pPr>
            <w:proofErr w:type="spellStart"/>
            <w:r w:rsidRPr="001F224B">
              <w:rPr>
                <w:sz w:val="20"/>
                <w:szCs w:val="20"/>
              </w:rPr>
              <w:t>Özkaynak</w:t>
            </w:r>
            <w:proofErr w:type="spellEnd"/>
            <w:r w:rsidRPr="001F224B">
              <w:rPr>
                <w:sz w:val="20"/>
                <w:szCs w:val="20"/>
              </w:rPr>
              <w:t xml:space="preserve"> Yöntemi Uygulanan Ortaklık Payları Değer Düşüş Gideri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BC41CE1" w14:textId="51D8DCCA"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1D94B0FE" w14:textId="113DB879" w:rsidR="00DF4B04" w:rsidRPr="001F224B" w:rsidRDefault="00DF4B04" w:rsidP="00DF4B04">
            <w:pPr>
              <w:jc w:val="right"/>
              <w:rPr>
                <w:sz w:val="20"/>
                <w:szCs w:val="20"/>
              </w:rPr>
            </w:pPr>
            <w:r w:rsidRPr="001F224B">
              <w:rPr>
                <w:sz w:val="20"/>
                <w:szCs w:val="20"/>
              </w:rPr>
              <w:t xml:space="preserve"> -  </w:t>
            </w:r>
          </w:p>
        </w:tc>
      </w:tr>
      <w:tr w:rsidR="00DF4B04" w:rsidRPr="001F224B" w14:paraId="550AA8A1" w14:textId="77777777" w:rsidTr="00DF4B04">
        <w:trPr>
          <w:trHeight w:val="258"/>
        </w:trPr>
        <w:tc>
          <w:tcPr>
            <w:tcW w:w="5965" w:type="dxa"/>
            <w:shd w:val="clear" w:color="000000" w:fill="FFFFFF"/>
            <w:vAlign w:val="bottom"/>
          </w:tcPr>
          <w:p w14:paraId="56CA2C72" w14:textId="77777777" w:rsidR="00DF4B04" w:rsidRPr="001F224B" w:rsidRDefault="00DF4B04" w:rsidP="00DF4B04">
            <w:pPr>
              <w:rPr>
                <w:sz w:val="20"/>
                <w:szCs w:val="20"/>
              </w:rPr>
            </w:pPr>
            <w:r w:rsidRPr="001F224B">
              <w:rPr>
                <w:sz w:val="20"/>
                <w:szCs w:val="20"/>
              </w:rPr>
              <w:t>Elden Çıkarılacak Kıymetler Değer Düşüş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517ED81" w14:textId="636ECB57"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21FF2A68" w14:textId="6B9E0899" w:rsidR="00DF4B04" w:rsidRPr="001F224B" w:rsidRDefault="00DF4B04" w:rsidP="00DF4B04">
            <w:pPr>
              <w:jc w:val="right"/>
              <w:rPr>
                <w:sz w:val="20"/>
                <w:szCs w:val="20"/>
              </w:rPr>
            </w:pPr>
            <w:r w:rsidRPr="001F224B">
              <w:rPr>
                <w:sz w:val="20"/>
                <w:szCs w:val="20"/>
              </w:rPr>
              <w:t xml:space="preserve"> -  </w:t>
            </w:r>
          </w:p>
        </w:tc>
      </w:tr>
      <w:tr w:rsidR="00DF4B04" w:rsidRPr="001F224B" w14:paraId="2B81563A" w14:textId="77777777" w:rsidTr="00DF4B04">
        <w:trPr>
          <w:trHeight w:val="258"/>
        </w:trPr>
        <w:tc>
          <w:tcPr>
            <w:tcW w:w="5965" w:type="dxa"/>
            <w:shd w:val="clear" w:color="000000" w:fill="FFFFFF"/>
            <w:vAlign w:val="bottom"/>
          </w:tcPr>
          <w:p w14:paraId="14F401F5" w14:textId="77777777" w:rsidR="00DF4B04" w:rsidRPr="001F224B" w:rsidRDefault="00DF4B04" w:rsidP="00DF4B04">
            <w:pPr>
              <w:rPr>
                <w:sz w:val="20"/>
                <w:szCs w:val="20"/>
              </w:rPr>
            </w:pPr>
            <w:r w:rsidRPr="001F224B">
              <w:rPr>
                <w:sz w:val="20"/>
                <w:szCs w:val="20"/>
              </w:rPr>
              <w:t>Elden Çıkarılacak Kıymetler Amortisman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6FFBC2D5" w14:textId="21EAD4DC"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286E5360" w14:textId="6B90FDBC" w:rsidR="00DF4B04" w:rsidRPr="001F224B" w:rsidRDefault="00DF4B04" w:rsidP="00DF4B04">
            <w:pPr>
              <w:jc w:val="right"/>
              <w:rPr>
                <w:sz w:val="20"/>
                <w:szCs w:val="20"/>
              </w:rPr>
            </w:pPr>
            <w:r w:rsidRPr="001F224B">
              <w:rPr>
                <w:sz w:val="20"/>
                <w:szCs w:val="20"/>
              </w:rPr>
              <w:t xml:space="preserve"> -  </w:t>
            </w:r>
          </w:p>
        </w:tc>
      </w:tr>
      <w:tr w:rsidR="00DF4B04" w:rsidRPr="001F224B" w14:paraId="055DE9AF" w14:textId="77777777" w:rsidTr="00DF4B04">
        <w:trPr>
          <w:trHeight w:val="258"/>
        </w:trPr>
        <w:tc>
          <w:tcPr>
            <w:tcW w:w="5965" w:type="dxa"/>
            <w:shd w:val="clear" w:color="000000" w:fill="FFFFFF"/>
            <w:vAlign w:val="bottom"/>
          </w:tcPr>
          <w:p w14:paraId="1BD5CC6F" w14:textId="77777777" w:rsidR="00DF4B04" w:rsidRPr="001F224B" w:rsidRDefault="00DF4B04" w:rsidP="00DF4B04">
            <w:pPr>
              <w:rPr>
                <w:sz w:val="20"/>
                <w:szCs w:val="20"/>
              </w:rPr>
            </w:pPr>
            <w:r w:rsidRPr="001F224B">
              <w:rPr>
                <w:sz w:val="20"/>
                <w:szCs w:val="20"/>
              </w:rPr>
              <w:t>Satış Amaçlı Elde Tutulan ve Durdurulan Faaliyetlere İlişkin Duran Varlıklar Değer Düşüş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74107E3C" w14:textId="6F699D2C" w:rsidR="00DF4B04" w:rsidRPr="001F224B" w:rsidRDefault="00DF4B04" w:rsidP="00DF4B04">
            <w:pPr>
              <w:jc w:val="right"/>
              <w:rPr>
                <w:sz w:val="20"/>
                <w:szCs w:val="20"/>
              </w:rPr>
            </w:pPr>
            <w:r w:rsidRPr="001F224B">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37C7C1AD" w14:textId="567955A0" w:rsidR="00DF4B04" w:rsidRPr="001F224B" w:rsidRDefault="00DF4B04" w:rsidP="00DF4B04">
            <w:pPr>
              <w:jc w:val="right"/>
              <w:rPr>
                <w:sz w:val="20"/>
                <w:szCs w:val="20"/>
              </w:rPr>
            </w:pPr>
            <w:r w:rsidRPr="001F224B">
              <w:rPr>
                <w:sz w:val="20"/>
                <w:szCs w:val="20"/>
              </w:rPr>
              <w:t xml:space="preserve"> -  </w:t>
            </w:r>
          </w:p>
        </w:tc>
      </w:tr>
      <w:tr w:rsidR="00DF4B04" w:rsidRPr="001F224B" w14:paraId="28DD2EC7" w14:textId="77777777" w:rsidTr="00DF4B04">
        <w:trPr>
          <w:trHeight w:val="258"/>
        </w:trPr>
        <w:tc>
          <w:tcPr>
            <w:tcW w:w="5965" w:type="dxa"/>
            <w:shd w:val="clear" w:color="000000" w:fill="FFFFFF"/>
            <w:vAlign w:val="bottom"/>
          </w:tcPr>
          <w:p w14:paraId="7EDA9E42" w14:textId="77777777" w:rsidR="00DF4B04" w:rsidRPr="001F224B" w:rsidRDefault="00DF4B04" w:rsidP="00DF4B04">
            <w:pPr>
              <w:rPr>
                <w:sz w:val="20"/>
                <w:szCs w:val="20"/>
              </w:rPr>
            </w:pPr>
            <w:r w:rsidRPr="001F224B">
              <w:rPr>
                <w:sz w:val="20"/>
                <w:szCs w:val="20"/>
              </w:rPr>
              <w:t>Diğer İşletme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3F65951" w14:textId="36C1D0EC" w:rsidR="00DF4B04" w:rsidRPr="001F224B" w:rsidRDefault="00DF4B04" w:rsidP="00DF4B04">
            <w:pPr>
              <w:jc w:val="right"/>
              <w:rPr>
                <w:sz w:val="20"/>
                <w:szCs w:val="20"/>
              </w:rPr>
            </w:pPr>
            <w:r w:rsidRPr="001F224B">
              <w:rPr>
                <w:sz w:val="20"/>
                <w:szCs w:val="20"/>
              </w:rPr>
              <w:t>106.689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CCD3E56" w14:textId="54284B0C" w:rsidR="00DF4B04" w:rsidRPr="001F224B" w:rsidRDefault="00DF4B04" w:rsidP="00DF4B04">
            <w:pPr>
              <w:jc w:val="right"/>
              <w:rPr>
                <w:sz w:val="20"/>
                <w:szCs w:val="20"/>
              </w:rPr>
            </w:pPr>
            <w:r w:rsidRPr="001F224B">
              <w:rPr>
                <w:sz w:val="20"/>
                <w:szCs w:val="20"/>
              </w:rPr>
              <w:t xml:space="preserve">              70.303    </w:t>
            </w:r>
          </w:p>
        </w:tc>
      </w:tr>
      <w:tr w:rsidR="00DF4B04" w:rsidRPr="001F224B" w14:paraId="63D188EB" w14:textId="77777777" w:rsidTr="00DF4B04">
        <w:trPr>
          <w:trHeight w:val="258"/>
        </w:trPr>
        <w:tc>
          <w:tcPr>
            <w:tcW w:w="5965" w:type="dxa"/>
            <w:shd w:val="clear" w:color="000000" w:fill="FFFFFF"/>
            <w:vAlign w:val="bottom"/>
          </w:tcPr>
          <w:p w14:paraId="48585159" w14:textId="77777777" w:rsidR="00DF4B04" w:rsidRPr="001F224B" w:rsidRDefault="00DF4B04" w:rsidP="00DF4B04">
            <w:pPr>
              <w:ind w:firstLineChars="200" w:firstLine="400"/>
              <w:rPr>
                <w:i/>
                <w:iCs/>
                <w:sz w:val="20"/>
                <w:szCs w:val="20"/>
              </w:rPr>
            </w:pPr>
            <w:r w:rsidRPr="001F224B">
              <w:rPr>
                <w:i/>
                <w:iCs/>
                <w:sz w:val="20"/>
                <w:szCs w:val="20"/>
              </w:rPr>
              <w:t>TFRS 16 İstisnalarına İlişkin Kiralama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7F35A0FD" w14:textId="68A9E2C7" w:rsidR="00DF4B04" w:rsidRPr="001F224B" w:rsidRDefault="00DF4B04" w:rsidP="00DF4B04">
            <w:pPr>
              <w:jc w:val="right"/>
              <w:rPr>
                <w:sz w:val="20"/>
                <w:szCs w:val="20"/>
              </w:rPr>
            </w:pPr>
            <w:r w:rsidRPr="001F224B">
              <w:rPr>
                <w:sz w:val="20"/>
                <w:szCs w:val="20"/>
              </w:rPr>
              <w:t>372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76E0C0F" w14:textId="646B82EE" w:rsidR="00DF4B04" w:rsidRPr="001F224B" w:rsidRDefault="00DF4B04" w:rsidP="00DF4B04">
            <w:pPr>
              <w:jc w:val="right"/>
              <w:rPr>
                <w:i/>
                <w:iCs/>
                <w:sz w:val="20"/>
                <w:szCs w:val="20"/>
              </w:rPr>
            </w:pPr>
            <w:r w:rsidRPr="001F224B">
              <w:rPr>
                <w:sz w:val="20"/>
                <w:szCs w:val="20"/>
              </w:rPr>
              <w:t xml:space="preserve">                    186    </w:t>
            </w:r>
          </w:p>
        </w:tc>
      </w:tr>
      <w:tr w:rsidR="00DF4B04" w:rsidRPr="001F224B" w14:paraId="6B6520A8" w14:textId="77777777" w:rsidTr="00DF4B04">
        <w:trPr>
          <w:trHeight w:val="258"/>
        </w:trPr>
        <w:tc>
          <w:tcPr>
            <w:tcW w:w="5965" w:type="dxa"/>
            <w:shd w:val="clear" w:color="000000" w:fill="FFFFFF"/>
            <w:vAlign w:val="bottom"/>
          </w:tcPr>
          <w:p w14:paraId="787E87AB" w14:textId="77777777" w:rsidR="00DF4B04" w:rsidRPr="001F224B" w:rsidRDefault="00DF4B04" w:rsidP="00DF4B04">
            <w:pPr>
              <w:ind w:firstLineChars="200" w:firstLine="400"/>
              <w:rPr>
                <w:i/>
                <w:iCs/>
                <w:sz w:val="20"/>
                <w:szCs w:val="20"/>
              </w:rPr>
            </w:pPr>
            <w:r w:rsidRPr="001F224B">
              <w:rPr>
                <w:i/>
                <w:iCs/>
                <w:sz w:val="20"/>
                <w:szCs w:val="20"/>
              </w:rPr>
              <w:t>Bakım ve Onarım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927A555" w14:textId="0B981B81" w:rsidR="00DF4B04" w:rsidRPr="001F224B" w:rsidRDefault="00DF4B04" w:rsidP="00DF4B04">
            <w:pPr>
              <w:jc w:val="right"/>
              <w:rPr>
                <w:sz w:val="20"/>
                <w:szCs w:val="20"/>
              </w:rPr>
            </w:pPr>
            <w:r w:rsidRPr="001F224B">
              <w:rPr>
                <w:sz w:val="20"/>
                <w:szCs w:val="20"/>
              </w:rPr>
              <w:t>692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0FE6B3E" w14:textId="673FE449" w:rsidR="00DF4B04" w:rsidRPr="001F224B" w:rsidRDefault="00DF4B04" w:rsidP="00DF4B04">
            <w:pPr>
              <w:jc w:val="right"/>
              <w:rPr>
                <w:i/>
                <w:iCs/>
                <w:sz w:val="20"/>
                <w:szCs w:val="20"/>
              </w:rPr>
            </w:pPr>
            <w:r w:rsidRPr="001F224B">
              <w:rPr>
                <w:sz w:val="20"/>
                <w:szCs w:val="20"/>
              </w:rPr>
              <w:t xml:space="preserve">                    380    </w:t>
            </w:r>
          </w:p>
        </w:tc>
      </w:tr>
      <w:tr w:rsidR="00DF4B04" w:rsidRPr="001F224B" w14:paraId="58CE7459" w14:textId="77777777" w:rsidTr="00DF4B04">
        <w:trPr>
          <w:trHeight w:val="258"/>
        </w:trPr>
        <w:tc>
          <w:tcPr>
            <w:tcW w:w="5965" w:type="dxa"/>
            <w:shd w:val="clear" w:color="000000" w:fill="FFFFFF"/>
            <w:vAlign w:val="bottom"/>
          </w:tcPr>
          <w:p w14:paraId="21A2C60B" w14:textId="77777777" w:rsidR="00DF4B04" w:rsidRPr="001F224B" w:rsidRDefault="00DF4B04" w:rsidP="00DF4B04">
            <w:pPr>
              <w:ind w:firstLineChars="200" w:firstLine="400"/>
              <w:rPr>
                <w:i/>
                <w:iCs/>
                <w:sz w:val="20"/>
                <w:szCs w:val="20"/>
              </w:rPr>
            </w:pPr>
            <w:r w:rsidRPr="001F224B">
              <w:rPr>
                <w:i/>
                <w:iCs/>
                <w:sz w:val="20"/>
                <w:szCs w:val="20"/>
              </w:rPr>
              <w:t>Reklam ve İlan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7C9454F5" w14:textId="40A54929" w:rsidR="00DF4B04" w:rsidRPr="001F224B" w:rsidRDefault="00DF4B04" w:rsidP="00DF4B04">
            <w:pPr>
              <w:jc w:val="right"/>
              <w:rPr>
                <w:sz w:val="20"/>
                <w:szCs w:val="20"/>
              </w:rPr>
            </w:pPr>
            <w:r w:rsidRPr="001F224B">
              <w:rPr>
                <w:sz w:val="20"/>
                <w:szCs w:val="20"/>
              </w:rPr>
              <w:t>99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18C2759" w14:textId="56B13922" w:rsidR="00DF4B04" w:rsidRPr="001F224B" w:rsidRDefault="00DF4B04" w:rsidP="00DF4B04">
            <w:pPr>
              <w:jc w:val="right"/>
              <w:rPr>
                <w:i/>
                <w:iCs/>
                <w:sz w:val="20"/>
                <w:szCs w:val="20"/>
              </w:rPr>
            </w:pPr>
            <w:r w:rsidRPr="001F224B">
              <w:rPr>
                <w:sz w:val="20"/>
                <w:szCs w:val="20"/>
              </w:rPr>
              <w:t xml:space="preserve">                      61    </w:t>
            </w:r>
          </w:p>
        </w:tc>
      </w:tr>
      <w:tr w:rsidR="00DF4B04" w:rsidRPr="001F224B" w14:paraId="76163498" w14:textId="77777777" w:rsidTr="00DF4B04">
        <w:trPr>
          <w:trHeight w:val="258"/>
        </w:trPr>
        <w:tc>
          <w:tcPr>
            <w:tcW w:w="5965" w:type="dxa"/>
            <w:shd w:val="clear" w:color="000000" w:fill="FFFFFF"/>
            <w:vAlign w:val="bottom"/>
          </w:tcPr>
          <w:p w14:paraId="03524D35" w14:textId="77777777" w:rsidR="00DF4B04" w:rsidRPr="001F224B" w:rsidRDefault="00DF4B04" w:rsidP="00DF4B04">
            <w:pPr>
              <w:ind w:firstLineChars="200" w:firstLine="400"/>
              <w:rPr>
                <w:i/>
                <w:iCs/>
                <w:sz w:val="20"/>
                <w:szCs w:val="20"/>
              </w:rPr>
            </w:pPr>
            <w:r w:rsidRPr="001F224B">
              <w:rPr>
                <w:i/>
                <w:iCs/>
                <w:sz w:val="20"/>
                <w:szCs w:val="20"/>
              </w:rPr>
              <w:t>Diğer Giderler</w:t>
            </w:r>
            <w:r w:rsidRPr="001F224B">
              <w:rPr>
                <w:i/>
                <w:iCs/>
                <w:sz w:val="20"/>
                <w:szCs w:val="20"/>
                <w:vertAlign w:val="superscript"/>
              </w:rPr>
              <w:t>(**)</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076899B0" w14:textId="008BAAB3" w:rsidR="00DF4B04" w:rsidRPr="001F224B" w:rsidRDefault="00DF4B04" w:rsidP="00DF4B04">
            <w:pPr>
              <w:jc w:val="right"/>
              <w:rPr>
                <w:sz w:val="20"/>
                <w:szCs w:val="20"/>
              </w:rPr>
            </w:pPr>
            <w:r w:rsidRPr="001F224B">
              <w:rPr>
                <w:sz w:val="20"/>
                <w:szCs w:val="20"/>
              </w:rPr>
              <w:t>105.526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2DCA797" w14:textId="0892020E" w:rsidR="00DF4B04" w:rsidRPr="001F224B" w:rsidRDefault="00DF4B04" w:rsidP="00DF4B04">
            <w:pPr>
              <w:jc w:val="right"/>
              <w:rPr>
                <w:i/>
                <w:iCs/>
                <w:sz w:val="20"/>
                <w:szCs w:val="20"/>
              </w:rPr>
            </w:pPr>
            <w:r w:rsidRPr="001F224B">
              <w:rPr>
                <w:sz w:val="20"/>
                <w:szCs w:val="20"/>
              </w:rPr>
              <w:t xml:space="preserve">              69.676    </w:t>
            </w:r>
          </w:p>
        </w:tc>
      </w:tr>
      <w:tr w:rsidR="00DF4B04" w:rsidRPr="001F224B" w14:paraId="7410CE57" w14:textId="77777777" w:rsidTr="00DF4B04">
        <w:trPr>
          <w:trHeight w:val="258"/>
        </w:trPr>
        <w:tc>
          <w:tcPr>
            <w:tcW w:w="5965" w:type="dxa"/>
            <w:shd w:val="clear" w:color="000000" w:fill="FFFFFF"/>
            <w:vAlign w:val="bottom"/>
          </w:tcPr>
          <w:p w14:paraId="4CEC9996" w14:textId="77777777" w:rsidR="00DF4B04" w:rsidRPr="001F224B" w:rsidRDefault="00DF4B04" w:rsidP="00DF4B04">
            <w:pPr>
              <w:rPr>
                <w:sz w:val="20"/>
                <w:szCs w:val="20"/>
              </w:rPr>
            </w:pPr>
            <w:r w:rsidRPr="001F224B">
              <w:rPr>
                <w:sz w:val="20"/>
                <w:szCs w:val="20"/>
              </w:rPr>
              <w:t>Aktiflerin Satışından Doğan Zararlar</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BCCFEC3" w14:textId="34346CBA" w:rsidR="00DF4B04" w:rsidRPr="001F224B" w:rsidRDefault="00DF4B04" w:rsidP="00DF4B04">
            <w:pPr>
              <w:jc w:val="right"/>
              <w:rPr>
                <w:sz w:val="20"/>
                <w:szCs w:val="20"/>
              </w:rPr>
            </w:pPr>
            <w:r w:rsidRPr="001F224B">
              <w:rPr>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14:paraId="72564E90" w14:textId="2771E245" w:rsidR="00DF4B04" w:rsidRPr="001F224B" w:rsidRDefault="00DF4B04" w:rsidP="00DF4B04">
            <w:pPr>
              <w:jc w:val="right"/>
              <w:rPr>
                <w:sz w:val="20"/>
                <w:szCs w:val="20"/>
              </w:rPr>
            </w:pPr>
            <w:r w:rsidRPr="001F224B">
              <w:rPr>
                <w:sz w:val="20"/>
                <w:szCs w:val="20"/>
              </w:rPr>
              <w:t xml:space="preserve"> - </w:t>
            </w:r>
          </w:p>
        </w:tc>
      </w:tr>
      <w:tr w:rsidR="00DF4B04" w:rsidRPr="001F224B" w14:paraId="585547D0" w14:textId="77777777" w:rsidTr="00DF4B04">
        <w:trPr>
          <w:trHeight w:val="258"/>
        </w:trPr>
        <w:tc>
          <w:tcPr>
            <w:tcW w:w="5965" w:type="dxa"/>
            <w:shd w:val="clear" w:color="000000" w:fill="FFFFFF"/>
            <w:vAlign w:val="bottom"/>
          </w:tcPr>
          <w:p w14:paraId="43C8CC54" w14:textId="77777777" w:rsidR="00DF4B04" w:rsidRPr="001F224B" w:rsidRDefault="00DF4B04" w:rsidP="00DF4B04">
            <w:pPr>
              <w:rPr>
                <w:sz w:val="20"/>
                <w:szCs w:val="20"/>
              </w:rPr>
            </w:pPr>
            <w:r w:rsidRPr="001F224B">
              <w:rPr>
                <w:sz w:val="20"/>
                <w:szCs w:val="20"/>
              </w:rPr>
              <w:t>Diğer</w:t>
            </w:r>
            <w:r w:rsidRPr="001F224B">
              <w:rPr>
                <w:sz w:val="20"/>
                <w:szCs w:val="20"/>
                <w:vertAlign w:val="superscript"/>
              </w:rPr>
              <w:t>(***)</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09537B93" w14:textId="47DD4DF5" w:rsidR="00DF4B04" w:rsidRPr="001F224B" w:rsidRDefault="00DF4B04" w:rsidP="00DF4B04">
            <w:pPr>
              <w:jc w:val="right"/>
              <w:rPr>
                <w:sz w:val="20"/>
                <w:szCs w:val="20"/>
              </w:rPr>
            </w:pPr>
            <w:r w:rsidRPr="001F224B">
              <w:rPr>
                <w:sz w:val="20"/>
                <w:szCs w:val="20"/>
              </w:rPr>
              <w:t>171.780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2B86DB3" w14:textId="09D04832" w:rsidR="00DF4B04" w:rsidRPr="001F224B" w:rsidRDefault="00DF4B04" w:rsidP="00DF4B04">
            <w:pPr>
              <w:jc w:val="right"/>
              <w:rPr>
                <w:sz w:val="20"/>
                <w:szCs w:val="20"/>
              </w:rPr>
            </w:pPr>
            <w:r w:rsidRPr="001F224B">
              <w:rPr>
                <w:sz w:val="20"/>
                <w:szCs w:val="20"/>
              </w:rPr>
              <w:t xml:space="preserve"> 109.905    </w:t>
            </w:r>
          </w:p>
        </w:tc>
      </w:tr>
      <w:tr w:rsidR="00DF4B04" w:rsidRPr="001F224B" w14:paraId="34248A89" w14:textId="77777777" w:rsidTr="00DF4B04">
        <w:trPr>
          <w:trHeight w:val="258"/>
        </w:trPr>
        <w:tc>
          <w:tcPr>
            <w:tcW w:w="5965" w:type="dxa"/>
            <w:shd w:val="clear" w:color="000000" w:fill="FFFFFF"/>
            <w:vAlign w:val="bottom"/>
          </w:tcPr>
          <w:p w14:paraId="5AB0E3F5" w14:textId="77777777" w:rsidR="00DF4B04" w:rsidRPr="001F224B" w:rsidRDefault="00DF4B04" w:rsidP="00DF4B04">
            <w:pPr>
              <w:rPr>
                <w:b/>
                <w:sz w:val="20"/>
                <w:szCs w:val="20"/>
              </w:rPr>
            </w:pPr>
            <w:r w:rsidRPr="001F224B">
              <w:rPr>
                <w:b/>
                <w:sz w:val="20"/>
                <w:szCs w:val="20"/>
              </w:rPr>
              <w:t>Toplam</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4F260F56" w14:textId="16C1D0D2" w:rsidR="00DF4B04" w:rsidRPr="001F224B" w:rsidRDefault="00DF4B04" w:rsidP="00DF4B04">
            <w:pPr>
              <w:jc w:val="right"/>
              <w:rPr>
                <w:b/>
                <w:bCs/>
                <w:sz w:val="20"/>
                <w:szCs w:val="20"/>
              </w:rPr>
            </w:pPr>
            <w:r w:rsidRPr="001F224B">
              <w:rPr>
                <w:b/>
                <w:bCs/>
                <w:sz w:val="20"/>
                <w:szCs w:val="20"/>
              </w:rPr>
              <w:t>325.858</w:t>
            </w:r>
          </w:p>
        </w:tc>
        <w:tc>
          <w:tcPr>
            <w:tcW w:w="1843" w:type="dxa"/>
            <w:tcBorders>
              <w:top w:val="nil"/>
              <w:left w:val="single" w:sz="4" w:space="0" w:color="auto"/>
              <w:bottom w:val="single" w:sz="4" w:space="0" w:color="auto"/>
              <w:right w:val="single" w:sz="4" w:space="0" w:color="auto"/>
            </w:tcBorders>
            <w:shd w:val="clear" w:color="000000" w:fill="FFFFFF"/>
          </w:tcPr>
          <w:p w14:paraId="02272E36" w14:textId="22C51680" w:rsidR="00DF4B04" w:rsidRPr="001F224B" w:rsidRDefault="00DF4B04" w:rsidP="00DF4B04">
            <w:pPr>
              <w:jc w:val="right"/>
              <w:rPr>
                <w:b/>
                <w:sz w:val="20"/>
                <w:szCs w:val="20"/>
              </w:rPr>
            </w:pPr>
            <w:r w:rsidRPr="001F224B">
              <w:rPr>
                <w:b/>
                <w:bCs/>
                <w:sz w:val="20"/>
                <w:szCs w:val="20"/>
              </w:rPr>
              <w:t xml:space="preserve"> 213.989    </w:t>
            </w:r>
          </w:p>
        </w:tc>
      </w:tr>
    </w:tbl>
    <w:p w14:paraId="76A68CCB" w14:textId="7B62BA49" w:rsidR="00C5334A" w:rsidRPr="001F224B" w:rsidRDefault="00C5334A" w:rsidP="00F15EDE">
      <w:pPr>
        <w:spacing w:before="120"/>
        <w:ind w:left="238"/>
        <w:jc w:val="both"/>
        <w:rPr>
          <w:bCs/>
          <w:sz w:val="16"/>
          <w:szCs w:val="16"/>
        </w:rPr>
      </w:pPr>
      <w:r w:rsidRPr="001F224B">
        <w:rPr>
          <w:bCs/>
          <w:sz w:val="16"/>
          <w:szCs w:val="16"/>
        </w:rPr>
        <w:t>(*)</w:t>
      </w:r>
      <w:r w:rsidR="00F15EDE" w:rsidRPr="001F224B">
        <w:rPr>
          <w:bCs/>
          <w:sz w:val="16"/>
          <w:szCs w:val="16"/>
        </w:rPr>
        <w:t xml:space="preserve"> </w:t>
      </w:r>
      <w:r w:rsidRPr="001F224B">
        <w:rPr>
          <w:bCs/>
          <w:sz w:val="16"/>
          <w:szCs w:val="16"/>
        </w:rPr>
        <w:t>“Kıdem Tazminatı Karşılığı” ve “Kısa Vadeli Çalışan Hakları Karşılığı” giderleri, kar veya zarar tablosunda “Diğer Karşılık Giderleri” satırında gösterilmektedir.</w:t>
      </w:r>
    </w:p>
    <w:p w14:paraId="2082EEDE" w14:textId="1362AA60" w:rsidR="000308E6" w:rsidRPr="001F224B" w:rsidRDefault="000308E6" w:rsidP="000308E6">
      <w:pPr>
        <w:spacing w:before="120"/>
        <w:ind w:left="238" w:hanging="227"/>
        <w:jc w:val="both"/>
        <w:rPr>
          <w:bCs/>
          <w:sz w:val="16"/>
          <w:szCs w:val="16"/>
        </w:rPr>
      </w:pPr>
      <w:r w:rsidRPr="001F224B">
        <w:rPr>
          <w:bCs/>
          <w:sz w:val="16"/>
          <w:szCs w:val="16"/>
        </w:rPr>
        <w:t xml:space="preserve">      (**) Diğer giderlerin 5.848 TL tutarındaki kısmı temizlik giderlerinden (30 Haziran 2024: 3.463 TL), 14.747 TL tutarındaki kısmı haberleşme giderlerinden (30 Haziran 2024: 9.902 TL), 14.043 TL tutarındaki kısmı bilgisayar kullanım giderlerinden (30 Haziran 2024: 8.917 TL), 1.120 TL tutarındaki kısmı ısıtma, aydınlatma ve su giderlerinden (30 Haziran 2024: 856 TL), 30.596 TL tutarındaki kısmı taşıt aracı giderlerinden (30 Haziran 2024: 19.738 TL), 2.052 TL tutarındaki kısmı aidatlardan (30 Haziran 2024: 2.058 TL), 17.216 TL tutarındaki kısmı ortak giderlere katılma payından (30 Haziran 2024: 8.283 TL), 3.753 TL tutarındaki kısmı sigorta giderlerinden (30 Haziran 2024: 3.150 TL), 4.932 TL tutarındaki kısmı müteferrik giderlerinden (30 Haziran 2024: 1.439 TL) ve 11.219 TL tutarındaki kalan kısım (30 Haziran 2024: 11.870 TL) diğer çeşitli giderlerden oluşmaktadır.</w:t>
      </w:r>
    </w:p>
    <w:p w14:paraId="520E272A" w14:textId="1546A2DD" w:rsidR="00D805FD" w:rsidRPr="001F224B" w:rsidRDefault="00C5334A" w:rsidP="00F15EDE">
      <w:pPr>
        <w:pStyle w:val="ListParagraph"/>
        <w:tabs>
          <w:tab w:val="left" w:pos="284"/>
        </w:tabs>
        <w:spacing w:before="120" w:after="120"/>
        <w:ind w:left="284" w:right="-114"/>
        <w:jc w:val="both"/>
        <w:rPr>
          <w:bCs/>
          <w:sz w:val="16"/>
          <w:szCs w:val="16"/>
        </w:rPr>
      </w:pPr>
      <w:r w:rsidRPr="001F224B">
        <w:rPr>
          <w:bCs/>
          <w:sz w:val="16"/>
          <w:szCs w:val="16"/>
        </w:rPr>
        <w:t>(***)</w:t>
      </w:r>
      <w:r w:rsidR="00F15EDE" w:rsidRPr="001F224B">
        <w:rPr>
          <w:bCs/>
          <w:sz w:val="16"/>
          <w:szCs w:val="16"/>
        </w:rPr>
        <w:t xml:space="preserve"> </w:t>
      </w:r>
      <w:r w:rsidRPr="001F224B">
        <w:rPr>
          <w:bCs/>
          <w:sz w:val="16"/>
          <w:szCs w:val="16"/>
        </w:rPr>
        <w:t xml:space="preserve">Diğerin </w:t>
      </w:r>
      <w:r w:rsidR="000308E6" w:rsidRPr="001F224B">
        <w:rPr>
          <w:bCs/>
          <w:sz w:val="16"/>
          <w:szCs w:val="16"/>
        </w:rPr>
        <w:t xml:space="preserve"> 96.115 </w:t>
      </w:r>
      <w:r w:rsidRPr="001F224B">
        <w:rPr>
          <w:bCs/>
          <w:sz w:val="16"/>
          <w:szCs w:val="16"/>
        </w:rPr>
        <w:t>TL tutarındaki kısmı vergi, resim, harç ve fon giderlerinden (</w:t>
      </w:r>
      <w:r w:rsidR="000308E6" w:rsidRPr="001F224B">
        <w:rPr>
          <w:bCs/>
          <w:sz w:val="16"/>
          <w:szCs w:val="16"/>
        </w:rPr>
        <w:t>30 Haziran</w:t>
      </w:r>
      <w:r w:rsidRPr="001F224B">
        <w:rPr>
          <w:bCs/>
          <w:sz w:val="16"/>
          <w:szCs w:val="16"/>
        </w:rPr>
        <w:t xml:space="preserve"> 202</w:t>
      </w:r>
      <w:r w:rsidR="002F64E2" w:rsidRPr="001F224B">
        <w:rPr>
          <w:bCs/>
          <w:sz w:val="16"/>
          <w:szCs w:val="16"/>
        </w:rPr>
        <w:t>4</w:t>
      </w:r>
      <w:r w:rsidRPr="001F224B">
        <w:rPr>
          <w:bCs/>
          <w:sz w:val="16"/>
          <w:szCs w:val="16"/>
        </w:rPr>
        <w:t xml:space="preserve">: </w:t>
      </w:r>
      <w:r w:rsidR="000308E6" w:rsidRPr="001F224B">
        <w:rPr>
          <w:bCs/>
          <w:sz w:val="16"/>
          <w:szCs w:val="16"/>
        </w:rPr>
        <w:t xml:space="preserve">55.159 </w:t>
      </w:r>
      <w:r w:rsidRPr="001F224B">
        <w:rPr>
          <w:bCs/>
          <w:sz w:val="16"/>
          <w:szCs w:val="16"/>
        </w:rPr>
        <w:t xml:space="preserve">TL), </w:t>
      </w:r>
      <w:r w:rsidR="000308E6" w:rsidRPr="001F224B">
        <w:rPr>
          <w:bCs/>
          <w:sz w:val="16"/>
          <w:szCs w:val="16"/>
        </w:rPr>
        <w:t xml:space="preserve">35.069 </w:t>
      </w:r>
      <w:r w:rsidRPr="001F224B">
        <w:rPr>
          <w:bCs/>
          <w:sz w:val="16"/>
          <w:szCs w:val="16"/>
        </w:rPr>
        <w:t>TL tutarındaki kısmı denetim ve müşavirlik ücretlerinden (</w:t>
      </w:r>
      <w:r w:rsidR="000308E6" w:rsidRPr="001F224B">
        <w:rPr>
          <w:bCs/>
          <w:sz w:val="16"/>
          <w:szCs w:val="16"/>
        </w:rPr>
        <w:t>30 Haziran</w:t>
      </w:r>
      <w:r w:rsidRPr="001F224B">
        <w:rPr>
          <w:bCs/>
          <w:sz w:val="16"/>
          <w:szCs w:val="16"/>
        </w:rPr>
        <w:t xml:space="preserve"> 202</w:t>
      </w:r>
      <w:r w:rsidR="002F64E2" w:rsidRPr="001F224B">
        <w:rPr>
          <w:bCs/>
          <w:sz w:val="16"/>
          <w:szCs w:val="16"/>
        </w:rPr>
        <w:t>4</w:t>
      </w:r>
      <w:r w:rsidRPr="001F224B">
        <w:rPr>
          <w:bCs/>
          <w:sz w:val="16"/>
          <w:szCs w:val="16"/>
        </w:rPr>
        <w:t xml:space="preserve">: </w:t>
      </w:r>
      <w:r w:rsidR="000308E6" w:rsidRPr="001F224B">
        <w:rPr>
          <w:bCs/>
          <w:sz w:val="16"/>
          <w:szCs w:val="16"/>
        </w:rPr>
        <w:t xml:space="preserve">20.527 </w:t>
      </w:r>
      <w:r w:rsidRPr="001F224B">
        <w:rPr>
          <w:bCs/>
          <w:sz w:val="16"/>
          <w:szCs w:val="16"/>
        </w:rPr>
        <w:t xml:space="preserve">TL), </w:t>
      </w:r>
      <w:r w:rsidR="000308E6" w:rsidRPr="001F224B">
        <w:rPr>
          <w:bCs/>
          <w:sz w:val="16"/>
          <w:szCs w:val="16"/>
        </w:rPr>
        <w:t xml:space="preserve">20.061 </w:t>
      </w:r>
      <w:r w:rsidRPr="001F224B">
        <w:rPr>
          <w:bCs/>
          <w:sz w:val="16"/>
          <w:szCs w:val="16"/>
        </w:rPr>
        <w:t>TL tutarındaki kısmı BDDK katılım payı (</w:t>
      </w:r>
      <w:r w:rsidR="000308E6" w:rsidRPr="001F224B">
        <w:rPr>
          <w:bCs/>
          <w:sz w:val="16"/>
          <w:szCs w:val="16"/>
        </w:rPr>
        <w:t>30 Haziran</w:t>
      </w:r>
      <w:r w:rsidRPr="001F224B">
        <w:rPr>
          <w:bCs/>
          <w:sz w:val="16"/>
          <w:szCs w:val="16"/>
        </w:rPr>
        <w:t xml:space="preserve"> 202</w:t>
      </w:r>
      <w:r w:rsidR="00FC4313" w:rsidRPr="001F224B">
        <w:rPr>
          <w:bCs/>
          <w:sz w:val="16"/>
          <w:szCs w:val="16"/>
        </w:rPr>
        <w:t>4</w:t>
      </w:r>
      <w:r w:rsidRPr="001F224B">
        <w:rPr>
          <w:bCs/>
          <w:sz w:val="16"/>
          <w:szCs w:val="16"/>
        </w:rPr>
        <w:t xml:space="preserve">: </w:t>
      </w:r>
      <w:r w:rsidR="000308E6" w:rsidRPr="001F224B">
        <w:rPr>
          <w:bCs/>
          <w:sz w:val="16"/>
          <w:szCs w:val="16"/>
        </w:rPr>
        <w:t xml:space="preserve">13.665 </w:t>
      </w:r>
      <w:r w:rsidRPr="001F224B">
        <w:rPr>
          <w:bCs/>
          <w:sz w:val="16"/>
          <w:szCs w:val="16"/>
        </w:rPr>
        <w:t xml:space="preserve">TL) ve </w:t>
      </w:r>
      <w:r w:rsidR="000308E6" w:rsidRPr="001F224B">
        <w:rPr>
          <w:bCs/>
          <w:sz w:val="16"/>
          <w:szCs w:val="16"/>
        </w:rPr>
        <w:t xml:space="preserve">20.536 </w:t>
      </w:r>
      <w:r w:rsidRPr="001F224B">
        <w:rPr>
          <w:bCs/>
          <w:sz w:val="16"/>
          <w:szCs w:val="16"/>
        </w:rPr>
        <w:t>TL tutarındaki kalan kısım (</w:t>
      </w:r>
      <w:r w:rsidR="000308E6" w:rsidRPr="001F224B">
        <w:rPr>
          <w:bCs/>
          <w:sz w:val="16"/>
          <w:szCs w:val="16"/>
        </w:rPr>
        <w:t>30 Haziran</w:t>
      </w:r>
      <w:r w:rsidRPr="001F224B">
        <w:rPr>
          <w:bCs/>
          <w:sz w:val="16"/>
          <w:szCs w:val="16"/>
        </w:rPr>
        <w:t xml:space="preserve"> 202</w:t>
      </w:r>
      <w:r w:rsidR="00FC4313" w:rsidRPr="001F224B">
        <w:rPr>
          <w:bCs/>
          <w:sz w:val="16"/>
          <w:szCs w:val="16"/>
        </w:rPr>
        <w:t>4</w:t>
      </w:r>
      <w:r w:rsidRPr="001F224B">
        <w:rPr>
          <w:bCs/>
          <w:sz w:val="16"/>
          <w:szCs w:val="16"/>
        </w:rPr>
        <w:t xml:space="preserve">: </w:t>
      </w:r>
      <w:r w:rsidR="000308E6" w:rsidRPr="001F224B">
        <w:rPr>
          <w:bCs/>
          <w:sz w:val="16"/>
          <w:szCs w:val="16"/>
        </w:rPr>
        <w:t>20.554 TL</w:t>
      </w:r>
      <w:r w:rsidRPr="001F224B">
        <w:rPr>
          <w:bCs/>
          <w:sz w:val="16"/>
          <w:szCs w:val="16"/>
        </w:rPr>
        <w:t xml:space="preserve">) diğer çeşitli giderlerden </w:t>
      </w:r>
      <w:r w:rsidR="00D805FD" w:rsidRPr="001F224B">
        <w:rPr>
          <w:bCs/>
          <w:sz w:val="16"/>
          <w:szCs w:val="16"/>
        </w:rPr>
        <w:t>oluşmaktadır.</w:t>
      </w:r>
    </w:p>
    <w:p w14:paraId="0305B5AF" w14:textId="71DBB998" w:rsidR="00FC4313" w:rsidRPr="001F224B" w:rsidRDefault="00C5334A" w:rsidP="00FC4313">
      <w:pPr>
        <w:tabs>
          <w:tab w:val="left" w:pos="9639"/>
        </w:tabs>
        <w:ind w:left="588" w:hanging="574"/>
        <w:jc w:val="both"/>
        <w:rPr>
          <w:b/>
          <w:bCs/>
          <w:sz w:val="22"/>
          <w:szCs w:val="22"/>
        </w:rPr>
      </w:pPr>
      <w:r w:rsidRPr="001F224B">
        <w:rPr>
          <w:b/>
          <w:bCs/>
          <w:sz w:val="22"/>
          <w:szCs w:val="22"/>
        </w:rPr>
        <w:t>8.</w:t>
      </w:r>
      <w:r w:rsidR="00FC4313" w:rsidRPr="001F224B">
        <w:rPr>
          <w:b/>
          <w:bCs/>
          <w:sz w:val="22"/>
          <w:szCs w:val="22"/>
        </w:rPr>
        <w:tab/>
        <w:t>Sürdürülen faaliyetler ile durdurulan faaliyetler vergi öncesi kar/zararına ilişkin açıklama:</w:t>
      </w:r>
    </w:p>
    <w:p w14:paraId="0D17B206" w14:textId="6E9AE524" w:rsidR="00FC4313" w:rsidRPr="001F224B" w:rsidRDefault="00FC4313" w:rsidP="003659AA">
      <w:pPr>
        <w:tabs>
          <w:tab w:val="left" w:pos="709"/>
        </w:tabs>
        <w:spacing w:before="120" w:after="120"/>
        <w:ind w:left="567"/>
        <w:jc w:val="both"/>
        <w:rPr>
          <w:iCs/>
          <w:sz w:val="22"/>
          <w:szCs w:val="22"/>
        </w:rPr>
      </w:pPr>
      <w:r w:rsidRPr="001F224B">
        <w:rPr>
          <w:rFonts w:eastAsia="Arial Unicode MS"/>
          <w:bCs/>
          <w:sz w:val="22"/>
          <w:szCs w:val="22"/>
        </w:rPr>
        <w:t>Grup’un</w:t>
      </w:r>
      <w:r w:rsidRPr="001F224B">
        <w:rPr>
          <w:sz w:val="22"/>
          <w:szCs w:val="22"/>
        </w:rPr>
        <w:t xml:space="preserve"> 3</w:t>
      </w:r>
      <w:r w:rsidR="005B4FBA" w:rsidRPr="001F224B">
        <w:rPr>
          <w:sz w:val="22"/>
          <w:szCs w:val="22"/>
        </w:rPr>
        <w:t>0</w:t>
      </w:r>
      <w:r w:rsidRPr="001F224B">
        <w:rPr>
          <w:sz w:val="22"/>
          <w:szCs w:val="22"/>
        </w:rPr>
        <w:t xml:space="preserve"> </w:t>
      </w:r>
      <w:r w:rsidR="005B4FBA" w:rsidRPr="001F224B">
        <w:rPr>
          <w:sz w:val="22"/>
          <w:szCs w:val="22"/>
        </w:rPr>
        <w:t>Haziran</w:t>
      </w:r>
      <w:r w:rsidRPr="001F224B">
        <w:rPr>
          <w:sz w:val="22"/>
          <w:szCs w:val="22"/>
        </w:rPr>
        <w:t xml:space="preserve"> 2025 tarihinde </w:t>
      </w:r>
      <w:r w:rsidR="002A15A5" w:rsidRPr="001F224B">
        <w:rPr>
          <w:sz w:val="22"/>
          <w:szCs w:val="22"/>
        </w:rPr>
        <w:t xml:space="preserve">sona eren ara hesap </w:t>
      </w:r>
      <w:r w:rsidRPr="001F224B">
        <w:rPr>
          <w:sz w:val="22"/>
          <w:szCs w:val="22"/>
        </w:rPr>
        <w:t xml:space="preserve">döneminde sürdürülen faaliyetlerinden vergi öncesi karı </w:t>
      </w:r>
      <w:r w:rsidR="00B515B5" w:rsidRPr="001F224B">
        <w:rPr>
          <w:sz w:val="22"/>
          <w:szCs w:val="22"/>
        </w:rPr>
        <w:t xml:space="preserve">5.768.084 </w:t>
      </w:r>
      <w:r w:rsidRPr="001F224B">
        <w:rPr>
          <w:sz w:val="22"/>
          <w:szCs w:val="22"/>
        </w:rPr>
        <w:t>TL (3</w:t>
      </w:r>
      <w:r w:rsidR="005B4FBA" w:rsidRPr="001F224B">
        <w:rPr>
          <w:sz w:val="22"/>
          <w:szCs w:val="22"/>
        </w:rPr>
        <w:t>0</w:t>
      </w:r>
      <w:r w:rsidRPr="001F224B">
        <w:rPr>
          <w:sz w:val="22"/>
          <w:szCs w:val="22"/>
        </w:rPr>
        <w:t xml:space="preserve"> </w:t>
      </w:r>
      <w:r w:rsidR="005B4FBA" w:rsidRPr="001F224B">
        <w:rPr>
          <w:sz w:val="22"/>
          <w:szCs w:val="22"/>
        </w:rPr>
        <w:t>Haziran</w:t>
      </w:r>
      <w:r w:rsidR="004E3A04" w:rsidRPr="001F224B">
        <w:rPr>
          <w:sz w:val="22"/>
          <w:szCs w:val="22"/>
        </w:rPr>
        <w:t xml:space="preserve"> </w:t>
      </w:r>
      <w:r w:rsidRPr="001F224B">
        <w:rPr>
          <w:sz w:val="22"/>
          <w:szCs w:val="22"/>
        </w:rPr>
        <w:t>202</w:t>
      </w:r>
      <w:r w:rsidR="004E3A04" w:rsidRPr="001F224B">
        <w:rPr>
          <w:sz w:val="22"/>
          <w:szCs w:val="22"/>
        </w:rPr>
        <w:t>4</w:t>
      </w:r>
      <w:r w:rsidRPr="001F224B">
        <w:rPr>
          <w:sz w:val="22"/>
          <w:szCs w:val="22"/>
        </w:rPr>
        <w:t xml:space="preserve">: </w:t>
      </w:r>
      <w:r w:rsidR="005B4FBA" w:rsidRPr="001F224B">
        <w:rPr>
          <w:sz w:val="22"/>
          <w:szCs w:val="22"/>
        </w:rPr>
        <w:t xml:space="preserve">3.858.037 </w:t>
      </w:r>
      <w:r w:rsidRPr="001F224B">
        <w:rPr>
          <w:sz w:val="22"/>
          <w:szCs w:val="22"/>
        </w:rPr>
        <w:t xml:space="preserve">TL)’dir. </w:t>
      </w:r>
      <w:r w:rsidRPr="001F224B">
        <w:rPr>
          <w:rFonts w:eastAsia="Arial Unicode MS"/>
          <w:bCs/>
          <w:sz w:val="22"/>
          <w:szCs w:val="22"/>
        </w:rPr>
        <w:t>Grup’un</w:t>
      </w:r>
      <w:r w:rsidRPr="001F224B">
        <w:rPr>
          <w:sz w:val="22"/>
          <w:szCs w:val="22"/>
        </w:rPr>
        <w:t xml:space="preserve"> durdurulan faaliyeti </w:t>
      </w:r>
      <w:r w:rsidRPr="001F224B">
        <w:rPr>
          <w:iCs/>
          <w:sz w:val="22"/>
          <w:szCs w:val="22"/>
        </w:rPr>
        <w:t>bulunmamaktadır.</w:t>
      </w:r>
    </w:p>
    <w:p w14:paraId="26449172" w14:textId="0B7C6DAA" w:rsidR="00FC4313" w:rsidRPr="001F224B" w:rsidRDefault="00FC4313" w:rsidP="003659AA">
      <w:pPr>
        <w:tabs>
          <w:tab w:val="left" w:pos="709"/>
        </w:tabs>
        <w:spacing w:before="120" w:after="120"/>
        <w:jc w:val="both"/>
        <w:rPr>
          <w:b/>
          <w:bCs/>
          <w:sz w:val="22"/>
          <w:szCs w:val="22"/>
        </w:rPr>
      </w:pPr>
      <w:r w:rsidRPr="001F224B">
        <w:rPr>
          <w:b/>
          <w:bCs/>
          <w:sz w:val="22"/>
          <w:szCs w:val="22"/>
        </w:rPr>
        <w:t>9.</w:t>
      </w:r>
      <w:r w:rsidR="003659AA" w:rsidRPr="001F224B">
        <w:rPr>
          <w:b/>
          <w:bCs/>
          <w:sz w:val="22"/>
          <w:szCs w:val="22"/>
        </w:rPr>
        <w:t xml:space="preserve">       </w:t>
      </w:r>
      <w:r w:rsidRPr="001F224B">
        <w:rPr>
          <w:b/>
          <w:bCs/>
          <w:sz w:val="22"/>
          <w:szCs w:val="22"/>
        </w:rPr>
        <w:t>Sürdürülen faaliyetler ile durdurulan faaliyetler vergi karşılığına ilişkin açıklama:</w:t>
      </w:r>
    </w:p>
    <w:p w14:paraId="3C56C932" w14:textId="69B797DD" w:rsidR="00FC4313" w:rsidRPr="001F224B" w:rsidRDefault="00FC4313" w:rsidP="003659AA">
      <w:pPr>
        <w:tabs>
          <w:tab w:val="left" w:pos="709"/>
        </w:tabs>
        <w:spacing w:before="120" w:after="120"/>
        <w:ind w:left="567"/>
        <w:jc w:val="both"/>
        <w:rPr>
          <w:b/>
          <w:bCs/>
          <w:sz w:val="22"/>
          <w:szCs w:val="22"/>
        </w:rPr>
      </w:pPr>
      <w:r w:rsidRPr="001F224B">
        <w:rPr>
          <w:iCs/>
          <w:sz w:val="22"/>
          <w:szCs w:val="22"/>
        </w:rPr>
        <w:t>Grup’un</w:t>
      </w:r>
      <w:r w:rsidRPr="001F224B">
        <w:rPr>
          <w:sz w:val="22"/>
          <w:szCs w:val="22"/>
          <w:lang w:eastAsia="en-US"/>
        </w:rPr>
        <w:t xml:space="preserve"> 3</w:t>
      </w:r>
      <w:r w:rsidR="005B4FBA" w:rsidRPr="001F224B">
        <w:rPr>
          <w:sz w:val="22"/>
          <w:szCs w:val="22"/>
          <w:lang w:eastAsia="en-US"/>
        </w:rPr>
        <w:t>0</w:t>
      </w:r>
      <w:r w:rsidRPr="001F224B">
        <w:rPr>
          <w:sz w:val="22"/>
          <w:szCs w:val="22"/>
          <w:lang w:eastAsia="en-US"/>
        </w:rPr>
        <w:t xml:space="preserve"> </w:t>
      </w:r>
      <w:r w:rsidR="005B4FBA" w:rsidRPr="001F224B">
        <w:rPr>
          <w:sz w:val="22"/>
          <w:szCs w:val="22"/>
          <w:lang w:eastAsia="en-US"/>
        </w:rPr>
        <w:t>Haziran</w:t>
      </w:r>
      <w:r w:rsidRPr="001F224B">
        <w:rPr>
          <w:sz w:val="22"/>
          <w:szCs w:val="22"/>
          <w:lang w:eastAsia="en-US"/>
        </w:rPr>
        <w:t xml:space="preserve"> 2025 tarihinde sona eren </w:t>
      </w:r>
      <w:r w:rsidR="002A15A5" w:rsidRPr="001F224B">
        <w:rPr>
          <w:sz w:val="22"/>
          <w:szCs w:val="22"/>
          <w:lang w:eastAsia="en-US"/>
        </w:rPr>
        <w:t xml:space="preserve">ara </w:t>
      </w:r>
      <w:r w:rsidRPr="001F224B">
        <w:rPr>
          <w:sz w:val="22"/>
          <w:szCs w:val="22"/>
          <w:lang w:eastAsia="en-US"/>
        </w:rPr>
        <w:t xml:space="preserve">hesap döneminde </w:t>
      </w:r>
      <w:r w:rsidR="00B515B5" w:rsidRPr="001F224B">
        <w:rPr>
          <w:sz w:val="22"/>
          <w:szCs w:val="22"/>
          <w:lang w:eastAsia="en-US"/>
        </w:rPr>
        <w:t xml:space="preserve">1.754.328 </w:t>
      </w:r>
      <w:r w:rsidRPr="001F224B">
        <w:rPr>
          <w:sz w:val="22"/>
          <w:szCs w:val="22"/>
          <w:lang w:eastAsia="en-US"/>
        </w:rPr>
        <w:t>TL (3</w:t>
      </w:r>
      <w:r w:rsidR="005B4FBA" w:rsidRPr="001F224B">
        <w:rPr>
          <w:sz w:val="22"/>
          <w:szCs w:val="22"/>
          <w:lang w:eastAsia="en-US"/>
        </w:rPr>
        <w:t>0 Haziran</w:t>
      </w:r>
      <w:r w:rsidRPr="001F224B">
        <w:rPr>
          <w:sz w:val="22"/>
          <w:szCs w:val="22"/>
          <w:lang w:eastAsia="en-US"/>
        </w:rPr>
        <w:t xml:space="preserve"> 2024: </w:t>
      </w:r>
      <w:r w:rsidR="005B4FBA" w:rsidRPr="001F224B">
        <w:rPr>
          <w:sz w:val="22"/>
          <w:szCs w:val="22"/>
          <w:lang w:eastAsia="en-US"/>
        </w:rPr>
        <w:t xml:space="preserve">1.125.487 </w:t>
      </w:r>
      <w:r w:rsidRPr="001F224B">
        <w:rPr>
          <w:sz w:val="22"/>
          <w:szCs w:val="22"/>
          <w:lang w:eastAsia="en-US"/>
        </w:rPr>
        <w:t xml:space="preserve">TL) sürdürülen faaliyetlerinden hesaplanan vergi karşılığı giderinin </w:t>
      </w:r>
      <w:r w:rsidR="00B515B5" w:rsidRPr="001F224B">
        <w:rPr>
          <w:sz w:val="22"/>
          <w:szCs w:val="22"/>
          <w:lang w:eastAsia="en-US"/>
        </w:rPr>
        <w:t xml:space="preserve">1.755.655 </w:t>
      </w:r>
      <w:r w:rsidRPr="001F224B">
        <w:rPr>
          <w:sz w:val="22"/>
          <w:szCs w:val="22"/>
          <w:lang w:eastAsia="en-US"/>
        </w:rPr>
        <w:t>TL tutarındaki   kısmı cari vergi giderinden (3</w:t>
      </w:r>
      <w:r w:rsidR="005B4FBA" w:rsidRPr="001F224B">
        <w:rPr>
          <w:sz w:val="22"/>
          <w:szCs w:val="22"/>
          <w:lang w:eastAsia="en-US"/>
        </w:rPr>
        <w:t>0</w:t>
      </w:r>
      <w:r w:rsidRPr="001F224B">
        <w:rPr>
          <w:sz w:val="22"/>
          <w:szCs w:val="22"/>
          <w:lang w:eastAsia="en-US"/>
        </w:rPr>
        <w:t xml:space="preserve"> </w:t>
      </w:r>
      <w:r w:rsidR="005B4FBA" w:rsidRPr="001F224B">
        <w:rPr>
          <w:sz w:val="22"/>
          <w:szCs w:val="22"/>
          <w:lang w:eastAsia="en-US"/>
        </w:rPr>
        <w:t xml:space="preserve">Haziran </w:t>
      </w:r>
      <w:r w:rsidRPr="001F224B">
        <w:rPr>
          <w:sz w:val="22"/>
          <w:szCs w:val="22"/>
          <w:lang w:eastAsia="en-US"/>
        </w:rPr>
        <w:t xml:space="preserve">2024: </w:t>
      </w:r>
      <w:r w:rsidR="00437C95" w:rsidRPr="001F224B">
        <w:rPr>
          <w:sz w:val="22"/>
          <w:szCs w:val="22"/>
          <w:lang w:eastAsia="en-US"/>
        </w:rPr>
        <w:t xml:space="preserve">1.184.398 </w:t>
      </w:r>
      <w:r w:rsidRPr="001F224B">
        <w:rPr>
          <w:sz w:val="22"/>
          <w:szCs w:val="22"/>
          <w:lang w:eastAsia="en-US"/>
        </w:rPr>
        <w:t xml:space="preserve">TL), </w:t>
      </w:r>
      <w:r w:rsidR="00B515B5" w:rsidRPr="001F224B">
        <w:rPr>
          <w:sz w:val="22"/>
          <w:szCs w:val="22"/>
          <w:lang w:eastAsia="en-US"/>
        </w:rPr>
        <w:t xml:space="preserve">1.327 </w:t>
      </w:r>
      <w:r w:rsidRPr="001F224B">
        <w:rPr>
          <w:sz w:val="22"/>
          <w:szCs w:val="22"/>
          <w:lang w:eastAsia="en-US"/>
        </w:rPr>
        <w:t xml:space="preserve">TL ertelenmiş vergi </w:t>
      </w:r>
      <w:r w:rsidR="009C3A24" w:rsidRPr="001F224B">
        <w:rPr>
          <w:sz w:val="22"/>
          <w:szCs w:val="22"/>
          <w:lang w:eastAsia="en-US"/>
        </w:rPr>
        <w:t>gelir</w:t>
      </w:r>
      <w:r w:rsidRPr="001F224B">
        <w:rPr>
          <w:sz w:val="22"/>
          <w:szCs w:val="22"/>
          <w:lang w:eastAsia="en-US"/>
        </w:rPr>
        <w:t xml:space="preserve"> etkisinden oluşmaktadır (3</w:t>
      </w:r>
      <w:r w:rsidR="00437C95" w:rsidRPr="001F224B">
        <w:rPr>
          <w:sz w:val="22"/>
          <w:szCs w:val="22"/>
          <w:lang w:eastAsia="en-US"/>
        </w:rPr>
        <w:t>0</w:t>
      </w:r>
      <w:r w:rsidRPr="001F224B">
        <w:rPr>
          <w:sz w:val="22"/>
          <w:szCs w:val="22"/>
          <w:lang w:eastAsia="en-US"/>
        </w:rPr>
        <w:t xml:space="preserve"> </w:t>
      </w:r>
      <w:r w:rsidR="00437C95" w:rsidRPr="001F224B">
        <w:rPr>
          <w:sz w:val="22"/>
          <w:szCs w:val="22"/>
          <w:lang w:eastAsia="en-US"/>
        </w:rPr>
        <w:t>Haziran</w:t>
      </w:r>
      <w:r w:rsidRPr="001F224B">
        <w:rPr>
          <w:sz w:val="22"/>
          <w:szCs w:val="22"/>
          <w:lang w:eastAsia="en-US"/>
        </w:rPr>
        <w:t xml:space="preserve"> </w:t>
      </w:r>
      <w:r w:rsidRPr="001F224B">
        <w:rPr>
          <w:bCs/>
          <w:sz w:val="22"/>
          <w:szCs w:val="22"/>
          <w:lang w:eastAsia="en-US"/>
        </w:rPr>
        <w:t>2024</w:t>
      </w:r>
      <w:r w:rsidRPr="001F224B">
        <w:rPr>
          <w:sz w:val="22"/>
          <w:szCs w:val="22"/>
          <w:lang w:eastAsia="en-US"/>
        </w:rPr>
        <w:t xml:space="preserve">: </w:t>
      </w:r>
      <w:r w:rsidR="009C3A24" w:rsidRPr="001F224B">
        <w:rPr>
          <w:sz w:val="22"/>
          <w:szCs w:val="22"/>
          <w:lang w:eastAsia="en-US"/>
        </w:rPr>
        <w:t>59.020 TL ertelenmiş vergi gelir etkisi ve 109 TL ertelenmiş vergi gider etkisi</w:t>
      </w:r>
      <w:r w:rsidRPr="001F224B">
        <w:rPr>
          <w:sz w:val="22"/>
          <w:szCs w:val="22"/>
          <w:lang w:eastAsia="en-US"/>
        </w:rPr>
        <w:t>)</w:t>
      </w:r>
      <w:r w:rsidR="009C3A24" w:rsidRPr="001F224B">
        <w:rPr>
          <w:sz w:val="22"/>
          <w:szCs w:val="22"/>
          <w:lang w:eastAsia="en-US"/>
        </w:rPr>
        <w:t xml:space="preserve"> oluşmaktadır.</w:t>
      </w:r>
    </w:p>
    <w:p w14:paraId="7A984124" w14:textId="77777777" w:rsidR="00FC4313" w:rsidRPr="001F224B" w:rsidRDefault="00FC4313" w:rsidP="00FC4313">
      <w:pPr>
        <w:tabs>
          <w:tab w:val="left" w:pos="567"/>
        </w:tabs>
        <w:spacing w:before="120" w:after="120" w:line="240" w:lineRule="atLeast"/>
        <w:ind w:left="567"/>
        <w:jc w:val="both"/>
        <w:rPr>
          <w:b/>
          <w:bCs/>
          <w:sz w:val="22"/>
          <w:szCs w:val="22"/>
        </w:rPr>
      </w:pPr>
    </w:p>
    <w:p w14:paraId="779D6CFD" w14:textId="6115538A" w:rsidR="00A4241C" w:rsidRPr="001F224B" w:rsidRDefault="00A4241C" w:rsidP="00FC4313">
      <w:pPr>
        <w:pStyle w:val="BodyText"/>
        <w:tabs>
          <w:tab w:val="clear" w:pos="0"/>
        </w:tabs>
        <w:spacing w:after="120"/>
        <w:ind w:left="567" w:hanging="567"/>
        <w:rPr>
          <w:bCs/>
          <w:sz w:val="12"/>
          <w:szCs w:val="12"/>
        </w:rPr>
      </w:pPr>
    </w:p>
    <w:p w14:paraId="56752557" w14:textId="42E4C215" w:rsidR="00C5334A" w:rsidRPr="001F224B" w:rsidRDefault="00C5334A" w:rsidP="00A4241C">
      <w:pPr>
        <w:spacing w:before="120"/>
        <w:ind w:left="284" w:hanging="284"/>
        <w:jc w:val="both"/>
        <w:rPr>
          <w:bCs/>
          <w:sz w:val="12"/>
          <w:szCs w:val="12"/>
        </w:rPr>
      </w:pPr>
    </w:p>
    <w:p w14:paraId="5CF66C21" w14:textId="6A2FC91A" w:rsidR="00C5334A" w:rsidRPr="001F224B" w:rsidRDefault="00C5334A" w:rsidP="00A4241C">
      <w:pPr>
        <w:spacing w:before="120"/>
        <w:ind w:left="284" w:hanging="284"/>
        <w:jc w:val="both"/>
        <w:rPr>
          <w:bCs/>
          <w:sz w:val="12"/>
          <w:szCs w:val="12"/>
        </w:rPr>
      </w:pPr>
    </w:p>
    <w:p w14:paraId="63A3CEF5" w14:textId="0A28B260" w:rsidR="00C5334A" w:rsidRPr="001F224B" w:rsidRDefault="00C5334A" w:rsidP="00C5334A">
      <w:pPr>
        <w:pStyle w:val="ListParagraph"/>
        <w:tabs>
          <w:tab w:val="left" w:pos="0"/>
        </w:tabs>
        <w:spacing w:before="120" w:after="120"/>
        <w:ind w:left="0" w:right="-114"/>
        <w:rPr>
          <w:b/>
          <w:bCs/>
          <w:sz w:val="22"/>
          <w:szCs w:val="22"/>
        </w:rPr>
      </w:pPr>
      <w:r w:rsidRPr="001F224B">
        <w:rPr>
          <w:b/>
          <w:bCs/>
          <w:sz w:val="22"/>
          <w:szCs w:val="22"/>
        </w:rPr>
        <w:t>BEŞİNCİ BÖLÜM (Devamı)</w:t>
      </w:r>
    </w:p>
    <w:p w14:paraId="1E4784E5" w14:textId="77777777" w:rsidR="00C5334A" w:rsidRPr="001F224B" w:rsidRDefault="00C5334A" w:rsidP="00C5334A">
      <w:pPr>
        <w:pStyle w:val="ListParagraph"/>
        <w:tabs>
          <w:tab w:val="left" w:pos="0"/>
        </w:tabs>
        <w:spacing w:before="120" w:after="120"/>
        <w:ind w:left="0"/>
        <w:rPr>
          <w:b/>
          <w:bCs/>
          <w:sz w:val="22"/>
          <w:szCs w:val="22"/>
        </w:rPr>
      </w:pPr>
      <w:r w:rsidRPr="001F224B">
        <w:rPr>
          <w:b/>
          <w:bCs/>
          <w:sz w:val="22"/>
          <w:szCs w:val="22"/>
        </w:rPr>
        <w:t>KONSOLİDE FİNANSAL TABLOLARA İLİŞKİN AÇIKLAMA VE DİPNOTLAR (Devamı)</w:t>
      </w:r>
    </w:p>
    <w:p w14:paraId="38C1F5BF" w14:textId="6AB1ED82" w:rsidR="00C5334A" w:rsidRPr="001F224B" w:rsidRDefault="00C5334A" w:rsidP="00C5334A">
      <w:pPr>
        <w:tabs>
          <w:tab w:val="left" w:pos="567"/>
        </w:tabs>
        <w:spacing w:before="120" w:after="120"/>
        <w:rPr>
          <w:b/>
          <w:bCs/>
          <w:sz w:val="22"/>
          <w:szCs w:val="22"/>
        </w:rPr>
      </w:pPr>
      <w:r w:rsidRPr="001F224B">
        <w:rPr>
          <w:b/>
          <w:bCs/>
          <w:sz w:val="22"/>
          <w:szCs w:val="22"/>
        </w:rPr>
        <w:t>IV.</w:t>
      </w:r>
      <w:r w:rsidRPr="001F224B">
        <w:rPr>
          <w:b/>
          <w:bCs/>
          <w:sz w:val="22"/>
          <w:szCs w:val="22"/>
        </w:rPr>
        <w:tab/>
        <w:t>Konsolide kar veya zarar tablosuna ilişkin açıklama ve dipnotlar (Devamı)</w:t>
      </w:r>
    </w:p>
    <w:p w14:paraId="6812BDCD" w14:textId="3351D810" w:rsidR="00962388" w:rsidRPr="001F224B" w:rsidRDefault="00962388" w:rsidP="00962388">
      <w:pPr>
        <w:tabs>
          <w:tab w:val="left" w:pos="0"/>
          <w:tab w:val="left" w:pos="567"/>
        </w:tabs>
        <w:spacing w:before="120" w:after="120"/>
        <w:jc w:val="both"/>
        <w:rPr>
          <w:b/>
          <w:bCs/>
          <w:sz w:val="22"/>
          <w:szCs w:val="22"/>
        </w:rPr>
      </w:pPr>
      <w:r w:rsidRPr="001F224B">
        <w:rPr>
          <w:b/>
          <w:bCs/>
          <w:sz w:val="22"/>
          <w:szCs w:val="22"/>
        </w:rPr>
        <w:t>1</w:t>
      </w:r>
      <w:r w:rsidR="007C0C8D" w:rsidRPr="001F224B">
        <w:rPr>
          <w:b/>
          <w:bCs/>
          <w:sz w:val="22"/>
          <w:szCs w:val="22"/>
        </w:rPr>
        <w:t>0</w:t>
      </w:r>
      <w:r w:rsidRPr="001F224B">
        <w:rPr>
          <w:b/>
          <w:bCs/>
          <w:sz w:val="22"/>
          <w:szCs w:val="22"/>
        </w:rPr>
        <w:t>.</w:t>
      </w:r>
      <w:r w:rsidRPr="001F224B">
        <w:rPr>
          <w:b/>
          <w:bCs/>
          <w:sz w:val="22"/>
          <w:szCs w:val="22"/>
        </w:rPr>
        <w:tab/>
        <w:t>Sürdürülen faaliyetler ile durdurulan faaliyetler dönem net kar / zararına ilişkin açıklama:</w:t>
      </w:r>
    </w:p>
    <w:p w14:paraId="09F86EFB" w14:textId="0261E4E1" w:rsidR="00C5334A" w:rsidRPr="001F224B" w:rsidRDefault="00C5334A" w:rsidP="00C5334A">
      <w:pPr>
        <w:pStyle w:val="1tipi"/>
        <w:tabs>
          <w:tab w:val="left" w:pos="708"/>
        </w:tabs>
        <w:ind w:left="567"/>
        <w:rPr>
          <w:rFonts w:ascii="Times New Roman" w:hAnsi="Times New Roman" w:cs="Times New Roman"/>
          <w:sz w:val="22"/>
          <w:szCs w:val="22"/>
          <w:lang w:val="tr-TR"/>
        </w:rPr>
      </w:pPr>
      <w:r w:rsidRPr="001F224B">
        <w:rPr>
          <w:rFonts w:ascii="Times New Roman" w:eastAsia="Arial Unicode MS" w:hAnsi="Times New Roman" w:cs="Times New Roman"/>
          <w:bCs/>
          <w:sz w:val="22"/>
          <w:szCs w:val="22"/>
          <w:lang w:val="tr-TR"/>
        </w:rPr>
        <w:t>Grup,</w:t>
      </w:r>
      <w:r w:rsidRPr="001F224B">
        <w:rPr>
          <w:rFonts w:ascii="Times New Roman" w:hAnsi="Times New Roman" w:cs="Times New Roman"/>
          <w:sz w:val="22"/>
          <w:szCs w:val="22"/>
          <w:lang w:val="tr-TR"/>
        </w:rPr>
        <w:t xml:space="preserve"> </w:t>
      </w:r>
      <w:r w:rsidRPr="001F224B">
        <w:rPr>
          <w:rFonts w:ascii="Times New Roman" w:hAnsi="Times New Roman" w:cs="Times New Roman"/>
          <w:sz w:val="22"/>
          <w:szCs w:val="22"/>
          <w:lang w:val="tr-TR" w:eastAsia="en-US"/>
        </w:rPr>
        <w:t>1 Ocak 202</w:t>
      </w:r>
      <w:r w:rsidR="007C0C8D" w:rsidRPr="001F224B">
        <w:rPr>
          <w:rFonts w:ascii="Times New Roman" w:hAnsi="Times New Roman" w:cs="Times New Roman"/>
          <w:sz w:val="22"/>
          <w:szCs w:val="22"/>
          <w:lang w:val="tr-TR" w:eastAsia="en-US"/>
        </w:rPr>
        <w:t>5</w:t>
      </w:r>
      <w:r w:rsidR="00D22CB6" w:rsidRPr="001F224B">
        <w:rPr>
          <w:rFonts w:ascii="Times New Roman" w:hAnsi="Times New Roman" w:cs="Times New Roman"/>
          <w:sz w:val="22"/>
          <w:szCs w:val="22"/>
          <w:lang w:val="tr-TR" w:eastAsia="en-US"/>
        </w:rPr>
        <w:t xml:space="preserve"> </w:t>
      </w:r>
      <w:r w:rsidR="00943553" w:rsidRPr="001F224B">
        <w:rPr>
          <w:sz w:val="22"/>
          <w:szCs w:val="22"/>
          <w:lang w:eastAsia="en-US"/>
        </w:rPr>
        <w:t xml:space="preserve">– </w:t>
      </w:r>
      <w:r w:rsidRPr="001F224B">
        <w:rPr>
          <w:rFonts w:ascii="Times New Roman" w:hAnsi="Times New Roman" w:cs="Times New Roman"/>
          <w:sz w:val="22"/>
          <w:szCs w:val="22"/>
          <w:lang w:val="tr-TR" w:eastAsia="en-US"/>
        </w:rPr>
        <w:t>3</w:t>
      </w:r>
      <w:r w:rsidR="00701DF2" w:rsidRPr="001F224B">
        <w:rPr>
          <w:rFonts w:ascii="Times New Roman" w:hAnsi="Times New Roman" w:cs="Times New Roman"/>
          <w:sz w:val="22"/>
          <w:szCs w:val="22"/>
          <w:lang w:val="tr-TR" w:eastAsia="en-US"/>
        </w:rPr>
        <w:t>0</w:t>
      </w:r>
      <w:r w:rsidRPr="001F224B">
        <w:rPr>
          <w:rFonts w:ascii="Times New Roman" w:hAnsi="Times New Roman" w:cs="Times New Roman"/>
          <w:sz w:val="22"/>
          <w:szCs w:val="22"/>
          <w:lang w:val="tr-TR" w:eastAsia="en-US"/>
        </w:rPr>
        <w:t xml:space="preserve"> </w:t>
      </w:r>
      <w:r w:rsidR="00701DF2" w:rsidRPr="001F224B">
        <w:rPr>
          <w:rFonts w:ascii="Times New Roman" w:hAnsi="Times New Roman" w:cs="Times New Roman"/>
          <w:sz w:val="22"/>
          <w:szCs w:val="22"/>
          <w:lang w:val="tr-TR" w:eastAsia="en-US"/>
        </w:rPr>
        <w:t>Haziran</w:t>
      </w:r>
      <w:r w:rsidRPr="001F224B">
        <w:rPr>
          <w:rFonts w:ascii="Times New Roman" w:hAnsi="Times New Roman" w:cs="Times New Roman"/>
          <w:sz w:val="22"/>
          <w:szCs w:val="22"/>
          <w:lang w:val="tr-TR" w:eastAsia="en-US"/>
        </w:rPr>
        <w:t xml:space="preserve"> 202</w:t>
      </w:r>
      <w:r w:rsidR="007C0C8D" w:rsidRPr="001F224B">
        <w:rPr>
          <w:rFonts w:ascii="Times New Roman" w:hAnsi="Times New Roman" w:cs="Times New Roman"/>
          <w:sz w:val="22"/>
          <w:szCs w:val="22"/>
          <w:lang w:val="tr-TR" w:eastAsia="en-US"/>
        </w:rPr>
        <w:t>5</w:t>
      </w:r>
      <w:r w:rsidRPr="001F224B">
        <w:rPr>
          <w:rFonts w:ascii="Times New Roman" w:hAnsi="Times New Roman" w:cs="Times New Roman"/>
          <w:sz w:val="22"/>
          <w:szCs w:val="22"/>
          <w:lang w:val="tr-TR" w:eastAsia="en-US"/>
        </w:rPr>
        <w:t xml:space="preserve"> </w:t>
      </w:r>
      <w:r w:rsidR="0034032E" w:rsidRPr="001F224B">
        <w:rPr>
          <w:rFonts w:ascii="Times New Roman" w:hAnsi="Times New Roman" w:cs="Times New Roman"/>
          <w:sz w:val="22"/>
          <w:szCs w:val="22"/>
          <w:lang w:val="tr-TR" w:eastAsia="en-US"/>
        </w:rPr>
        <w:t xml:space="preserve">ara </w:t>
      </w:r>
      <w:r w:rsidRPr="001F224B">
        <w:rPr>
          <w:rFonts w:ascii="Times New Roman" w:hAnsi="Times New Roman" w:cs="Times New Roman"/>
          <w:sz w:val="22"/>
          <w:szCs w:val="22"/>
          <w:lang w:val="tr-TR" w:eastAsia="en-US"/>
        </w:rPr>
        <w:t xml:space="preserve">hesap </w:t>
      </w:r>
      <w:r w:rsidRPr="001F224B">
        <w:rPr>
          <w:rFonts w:ascii="Times New Roman" w:hAnsi="Times New Roman" w:cs="Times New Roman"/>
          <w:sz w:val="22"/>
          <w:szCs w:val="22"/>
          <w:lang w:val="tr-TR"/>
        </w:rPr>
        <w:t xml:space="preserve">döneminde sürdürülen faaliyetleri sonucunda </w:t>
      </w:r>
      <w:r w:rsidR="00A300DA" w:rsidRPr="001F224B">
        <w:rPr>
          <w:rFonts w:ascii="Times New Roman" w:hAnsi="Times New Roman" w:cs="Times New Roman"/>
          <w:sz w:val="22"/>
          <w:szCs w:val="22"/>
          <w:lang w:val="tr-TR"/>
        </w:rPr>
        <w:t xml:space="preserve">4.013.756 </w:t>
      </w:r>
      <w:r w:rsidRPr="001F224B">
        <w:rPr>
          <w:rFonts w:ascii="Times New Roman" w:hAnsi="Times New Roman" w:cs="Times New Roman"/>
          <w:sz w:val="22"/>
          <w:szCs w:val="22"/>
          <w:lang w:val="tr-TR"/>
        </w:rPr>
        <w:t>TL net dönem karı elde etmiştir (1 Ocak 202</w:t>
      </w:r>
      <w:r w:rsidR="00E14E94" w:rsidRPr="001F224B">
        <w:rPr>
          <w:rFonts w:ascii="Times New Roman" w:hAnsi="Times New Roman" w:cs="Times New Roman"/>
          <w:sz w:val="22"/>
          <w:szCs w:val="22"/>
          <w:lang w:val="tr-TR"/>
        </w:rPr>
        <w:t>4</w:t>
      </w:r>
      <w:r w:rsidR="00943553" w:rsidRPr="001F224B">
        <w:rPr>
          <w:rFonts w:ascii="Times New Roman" w:hAnsi="Times New Roman" w:cs="Times New Roman"/>
          <w:sz w:val="22"/>
          <w:szCs w:val="22"/>
          <w:lang w:val="tr-TR"/>
        </w:rPr>
        <w:t xml:space="preserve"> </w:t>
      </w:r>
      <w:r w:rsidR="00943553" w:rsidRPr="001F224B">
        <w:rPr>
          <w:sz w:val="22"/>
          <w:szCs w:val="22"/>
          <w:lang w:eastAsia="en-US"/>
        </w:rPr>
        <w:t xml:space="preserve">– </w:t>
      </w:r>
      <w:r w:rsidRPr="001F224B">
        <w:rPr>
          <w:rFonts w:ascii="Times New Roman" w:hAnsi="Times New Roman" w:cs="Times New Roman"/>
          <w:sz w:val="22"/>
          <w:szCs w:val="22"/>
          <w:lang w:val="tr-TR"/>
        </w:rPr>
        <w:t>3</w:t>
      </w:r>
      <w:r w:rsidR="00701DF2" w:rsidRPr="001F224B">
        <w:rPr>
          <w:rFonts w:ascii="Times New Roman" w:hAnsi="Times New Roman" w:cs="Times New Roman"/>
          <w:sz w:val="22"/>
          <w:szCs w:val="22"/>
          <w:lang w:val="tr-TR"/>
        </w:rPr>
        <w:t>0</w:t>
      </w:r>
      <w:r w:rsidRPr="001F224B">
        <w:rPr>
          <w:rFonts w:ascii="Times New Roman" w:hAnsi="Times New Roman" w:cs="Times New Roman"/>
          <w:sz w:val="22"/>
          <w:szCs w:val="22"/>
          <w:lang w:val="tr-TR"/>
        </w:rPr>
        <w:t xml:space="preserve"> </w:t>
      </w:r>
      <w:r w:rsidR="00701DF2" w:rsidRPr="001F224B">
        <w:rPr>
          <w:rFonts w:ascii="Times New Roman" w:hAnsi="Times New Roman" w:cs="Times New Roman"/>
          <w:sz w:val="22"/>
          <w:szCs w:val="22"/>
          <w:lang w:val="tr-TR"/>
        </w:rPr>
        <w:t>Haziran</w:t>
      </w:r>
      <w:r w:rsidR="00BB0C68" w:rsidRPr="001F224B">
        <w:rPr>
          <w:rFonts w:ascii="Times New Roman" w:hAnsi="Times New Roman" w:cs="Times New Roman"/>
          <w:sz w:val="22"/>
          <w:szCs w:val="22"/>
          <w:lang w:val="tr-TR"/>
        </w:rPr>
        <w:t xml:space="preserve"> 2024</w:t>
      </w:r>
      <w:r w:rsidRPr="001F224B">
        <w:rPr>
          <w:rFonts w:ascii="Times New Roman" w:hAnsi="Times New Roman" w:cs="Times New Roman"/>
          <w:sz w:val="22"/>
          <w:szCs w:val="22"/>
          <w:lang w:val="tr-TR"/>
        </w:rPr>
        <w:t xml:space="preserve"> dönemi: </w:t>
      </w:r>
      <w:r w:rsidR="00701DF2" w:rsidRPr="001F224B">
        <w:rPr>
          <w:rFonts w:ascii="Times New Roman" w:hAnsi="Times New Roman" w:cs="Times New Roman"/>
          <w:sz w:val="22"/>
          <w:szCs w:val="22"/>
          <w:lang w:val="tr-TR"/>
        </w:rPr>
        <w:t xml:space="preserve">2.732.550 </w:t>
      </w:r>
      <w:r w:rsidRPr="001F224B">
        <w:rPr>
          <w:rFonts w:ascii="Times New Roman" w:hAnsi="Times New Roman" w:cs="Times New Roman"/>
          <w:sz w:val="22"/>
          <w:szCs w:val="22"/>
          <w:lang w:val="tr-TR"/>
        </w:rPr>
        <w:t>TL kar).</w:t>
      </w:r>
    </w:p>
    <w:p w14:paraId="2DC14A6D" w14:textId="0EF5DF2F" w:rsidR="0007684D" w:rsidRPr="001F224B" w:rsidRDefault="0007684D" w:rsidP="0007684D">
      <w:pPr>
        <w:tabs>
          <w:tab w:val="left" w:pos="567"/>
        </w:tabs>
        <w:spacing w:before="120" w:after="120"/>
        <w:rPr>
          <w:b/>
          <w:bCs/>
          <w:sz w:val="22"/>
          <w:szCs w:val="22"/>
        </w:rPr>
      </w:pPr>
      <w:r w:rsidRPr="001F224B">
        <w:rPr>
          <w:b/>
          <w:bCs/>
          <w:sz w:val="22"/>
          <w:szCs w:val="22"/>
        </w:rPr>
        <w:t>1</w:t>
      </w:r>
      <w:r w:rsidR="007C0C8D" w:rsidRPr="001F224B">
        <w:rPr>
          <w:b/>
          <w:bCs/>
          <w:sz w:val="22"/>
          <w:szCs w:val="22"/>
        </w:rPr>
        <w:t>1</w:t>
      </w:r>
      <w:r w:rsidRPr="001F224B">
        <w:rPr>
          <w:b/>
          <w:bCs/>
          <w:sz w:val="22"/>
          <w:szCs w:val="22"/>
        </w:rPr>
        <w:t>.</w:t>
      </w:r>
      <w:r w:rsidRPr="001F224B">
        <w:rPr>
          <w:b/>
          <w:bCs/>
          <w:sz w:val="22"/>
          <w:szCs w:val="22"/>
        </w:rPr>
        <w:tab/>
        <w:t>Net dönem kar / zararına ilişkin açıklama:</w:t>
      </w:r>
    </w:p>
    <w:p w14:paraId="6B511628" w14:textId="07841521" w:rsidR="0007684D" w:rsidRPr="001F224B" w:rsidRDefault="0007684D" w:rsidP="0007684D">
      <w:pPr>
        <w:ind w:left="567" w:hanging="567"/>
        <w:jc w:val="both"/>
        <w:rPr>
          <w:b/>
          <w:bCs/>
          <w:sz w:val="22"/>
          <w:szCs w:val="22"/>
        </w:rPr>
      </w:pPr>
      <w:r w:rsidRPr="001F224B">
        <w:rPr>
          <w:b/>
          <w:bCs/>
          <w:sz w:val="22"/>
          <w:szCs w:val="22"/>
        </w:rPr>
        <w:t>1</w:t>
      </w:r>
      <w:r w:rsidR="007C0C8D" w:rsidRPr="001F224B">
        <w:rPr>
          <w:b/>
          <w:bCs/>
          <w:sz w:val="22"/>
          <w:szCs w:val="22"/>
        </w:rPr>
        <w:t>1</w:t>
      </w:r>
      <w:r w:rsidRPr="001F224B">
        <w:rPr>
          <w:b/>
          <w:bCs/>
          <w:sz w:val="22"/>
          <w:szCs w:val="22"/>
        </w:rPr>
        <w:t>.a)</w:t>
      </w:r>
      <w:r w:rsidRPr="001F224B">
        <w:rPr>
          <w:b/>
          <w:bCs/>
          <w:sz w:val="22"/>
          <w:szCs w:val="22"/>
        </w:rPr>
        <w:tab/>
        <w:t>Olağan bankacılık işlemlerinden kaynaklanan gelir ve gider kalemlerinin niteliği, boyutu ve tekrarlanma oranının açıklanması bankanın dönem içindeki performansının anlaşılması için gerekli ise, bu kalemlerin niteliği ve tutarı:</w:t>
      </w:r>
    </w:p>
    <w:p w14:paraId="20CBDF37" w14:textId="77777777" w:rsidR="0007684D" w:rsidRPr="001F224B" w:rsidRDefault="0007684D" w:rsidP="0007684D">
      <w:pPr>
        <w:spacing w:before="120" w:after="120"/>
        <w:ind w:left="709" w:hanging="142"/>
        <w:jc w:val="both"/>
        <w:rPr>
          <w:sz w:val="22"/>
          <w:szCs w:val="22"/>
        </w:rPr>
      </w:pPr>
      <w:r w:rsidRPr="001F224B">
        <w:rPr>
          <w:sz w:val="22"/>
          <w:szCs w:val="22"/>
        </w:rPr>
        <w:t>Bulunmamaktadır.</w:t>
      </w:r>
    </w:p>
    <w:p w14:paraId="483EFCFF" w14:textId="22CE0554" w:rsidR="0007684D" w:rsidRPr="001F224B" w:rsidRDefault="0007684D" w:rsidP="0007684D">
      <w:pPr>
        <w:spacing w:before="120" w:after="120"/>
        <w:ind w:left="567" w:hanging="567"/>
        <w:jc w:val="both"/>
        <w:rPr>
          <w:b/>
          <w:bCs/>
          <w:sz w:val="22"/>
          <w:szCs w:val="22"/>
        </w:rPr>
      </w:pPr>
      <w:r w:rsidRPr="001F224B">
        <w:rPr>
          <w:b/>
          <w:bCs/>
          <w:sz w:val="22"/>
          <w:szCs w:val="22"/>
        </w:rPr>
        <w:t>1</w:t>
      </w:r>
      <w:r w:rsidR="007C0C8D" w:rsidRPr="001F224B">
        <w:rPr>
          <w:b/>
          <w:bCs/>
          <w:sz w:val="22"/>
          <w:szCs w:val="22"/>
        </w:rPr>
        <w:t>1</w:t>
      </w:r>
      <w:r w:rsidRPr="001F224B">
        <w:rPr>
          <w:b/>
          <w:bCs/>
          <w:sz w:val="22"/>
          <w:szCs w:val="22"/>
        </w:rPr>
        <w:t>.b)</w:t>
      </w:r>
      <w:r w:rsidRPr="001F224B">
        <w:rPr>
          <w:b/>
          <w:bCs/>
          <w:sz w:val="22"/>
          <w:szCs w:val="22"/>
        </w:rPr>
        <w:tab/>
        <w:t>Finansal tablo kalemlerine ilişkin olarak yapılan bir tahmindeki değişikliğin kar / zarara etkisi, daha sonraki dönemleri de etkilemesi olasılığı varsa, o dönemleri de kapsayacak şekilde belirtilir:</w:t>
      </w:r>
    </w:p>
    <w:p w14:paraId="2017202A" w14:textId="13389899" w:rsidR="00CD4E22" w:rsidRPr="001F224B" w:rsidRDefault="00CD4E22" w:rsidP="00CD4E22">
      <w:pPr>
        <w:pStyle w:val="1tipi"/>
        <w:tabs>
          <w:tab w:val="clear" w:pos="1134"/>
        </w:tabs>
        <w:ind w:left="567"/>
        <w:rPr>
          <w:rFonts w:ascii="Times New Roman" w:eastAsia="Arial Unicode MS" w:hAnsi="Times New Roman" w:cs="Times New Roman"/>
          <w:bCs/>
          <w:sz w:val="22"/>
          <w:szCs w:val="22"/>
          <w:lang w:val="tr-TR"/>
        </w:rPr>
      </w:pPr>
      <w:r w:rsidRPr="001F224B">
        <w:rPr>
          <w:rFonts w:ascii="Times New Roman" w:eastAsia="Arial Unicode MS" w:hAnsi="Times New Roman" w:cs="Times New Roman"/>
          <w:bCs/>
          <w:sz w:val="22"/>
          <w:szCs w:val="22"/>
          <w:lang w:val="tr-TR"/>
        </w:rPr>
        <w:t>Muhasebe tahminlerinde değişiklik olmadığı için açıklama yapılmasını gerektirecek bir husus bulunmamaktadır.</w:t>
      </w:r>
    </w:p>
    <w:p w14:paraId="7D42EB7D" w14:textId="77777777" w:rsidR="00CD4E22" w:rsidRPr="001F224B" w:rsidRDefault="00CD4E22" w:rsidP="00CD4E22">
      <w:pPr>
        <w:pStyle w:val="1tipi"/>
        <w:tabs>
          <w:tab w:val="clear" w:pos="1134"/>
        </w:tabs>
        <w:ind w:left="567"/>
        <w:rPr>
          <w:rFonts w:ascii="Times New Roman" w:eastAsia="Arial Unicode MS" w:hAnsi="Times New Roman" w:cs="Times New Roman"/>
          <w:bCs/>
          <w:sz w:val="2"/>
          <w:szCs w:val="2"/>
          <w:lang w:val="tr-TR"/>
        </w:rPr>
      </w:pPr>
    </w:p>
    <w:p w14:paraId="51630546" w14:textId="604EAA0B" w:rsidR="0007684D" w:rsidRPr="001F224B" w:rsidRDefault="00FE5606" w:rsidP="0007684D">
      <w:pPr>
        <w:ind w:left="567" w:hanging="567"/>
        <w:jc w:val="both"/>
        <w:rPr>
          <w:b/>
          <w:bCs/>
          <w:sz w:val="22"/>
          <w:szCs w:val="22"/>
        </w:rPr>
      </w:pPr>
      <w:r w:rsidRPr="001F224B">
        <w:rPr>
          <w:b/>
          <w:bCs/>
          <w:sz w:val="22"/>
          <w:szCs w:val="22"/>
        </w:rPr>
        <w:t>1</w:t>
      </w:r>
      <w:r w:rsidR="007C0C8D" w:rsidRPr="001F224B">
        <w:rPr>
          <w:b/>
          <w:bCs/>
          <w:sz w:val="22"/>
          <w:szCs w:val="22"/>
        </w:rPr>
        <w:t>2</w:t>
      </w:r>
      <w:r w:rsidR="0007684D" w:rsidRPr="001F224B">
        <w:rPr>
          <w:b/>
          <w:bCs/>
          <w:sz w:val="22"/>
          <w:szCs w:val="22"/>
        </w:rPr>
        <w:t>.</w:t>
      </w:r>
      <w:r w:rsidR="0007684D" w:rsidRPr="001F224B">
        <w:rPr>
          <w:b/>
          <w:bCs/>
          <w:sz w:val="22"/>
          <w:szCs w:val="22"/>
        </w:rPr>
        <w:tab/>
        <w:t xml:space="preserve">Kar veya </w:t>
      </w:r>
      <w:r w:rsidR="00484A48" w:rsidRPr="001F224B">
        <w:rPr>
          <w:b/>
          <w:bCs/>
          <w:sz w:val="22"/>
          <w:szCs w:val="22"/>
        </w:rPr>
        <w:t>z</w:t>
      </w:r>
      <w:r w:rsidR="0007684D" w:rsidRPr="001F224B">
        <w:rPr>
          <w:b/>
          <w:bCs/>
          <w:sz w:val="22"/>
          <w:szCs w:val="22"/>
        </w:rPr>
        <w:t>arar tablosunda yer alan diğer kalemlerin, gelir tablosu toplamının %10’unu aşması</w:t>
      </w:r>
      <w:r w:rsidR="009E79BC" w:rsidRPr="001F224B">
        <w:rPr>
          <w:b/>
          <w:bCs/>
          <w:sz w:val="22"/>
          <w:szCs w:val="22"/>
        </w:rPr>
        <w:t xml:space="preserve"> </w:t>
      </w:r>
      <w:r w:rsidR="0007684D" w:rsidRPr="001F224B">
        <w:rPr>
          <w:b/>
          <w:bCs/>
          <w:sz w:val="22"/>
          <w:szCs w:val="22"/>
        </w:rPr>
        <w:t>halinde bu kalemlerin en az %20’sini oluşturan alt hesaplar:</w:t>
      </w:r>
    </w:p>
    <w:p w14:paraId="3C46D520" w14:textId="77777777" w:rsidR="00726617" w:rsidRPr="001F224B" w:rsidRDefault="002D11F2" w:rsidP="00726617">
      <w:pPr>
        <w:pStyle w:val="BodyText3"/>
        <w:tabs>
          <w:tab w:val="clear" w:pos="539"/>
          <w:tab w:val="left" w:pos="709"/>
        </w:tabs>
        <w:spacing w:before="120" w:after="120"/>
        <w:ind w:left="567"/>
        <w:jc w:val="both"/>
        <w:rPr>
          <w:sz w:val="22"/>
          <w:szCs w:val="22"/>
        </w:rPr>
      </w:pPr>
      <w:r w:rsidRPr="001F224B">
        <w:rPr>
          <w:iCs/>
          <w:sz w:val="22"/>
          <w:szCs w:val="22"/>
        </w:rPr>
        <w:t xml:space="preserve">30 Haziran 2025 tarihinde sona eren hesap dönemine ait kar veya zarar tablosundaki diğer alınan ücret ve komisyonların toplam tutarı </w:t>
      </w:r>
      <w:r w:rsidR="00726617" w:rsidRPr="001F224B">
        <w:rPr>
          <w:iCs/>
          <w:sz w:val="22"/>
          <w:szCs w:val="22"/>
        </w:rPr>
        <w:t xml:space="preserve">186.071 </w:t>
      </w:r>
      <w:r w:rsidRPr="001F224B">
        <w:rPr>
          <w:iCs/>
          <w:sz w:val="22"/>
          <w:szCs w:val="22"/>
        </w:rPr>
        <w:t xml:space="preserve">TL’dir (30 Haziran 2024: 86.099 TL). </w:t>
      </w:r>
      <w:r w:rsidR="00726617" w:rsidRPr="001F224B">
        <w:rPr>
          <w:iCs/>
          <w:sz w:val="22"/>
          <w:szCs w:val="22"/>
        </w:rPr>
        <w:t xml:space="preserve">Bu tutarın 32.011 TL (30 Haziran 2024: 38.287 TL) tutarındaki kısmını yatırım bankacılığı hizmet gelirleri,  56.456 TL (30 Haziran 2024: 8.806 TL) tutarındaki kısmını kredi erken kapama tazminatları ve </w:t>
      </w:r>
      <w:bookmarkStart w:id="40" w:name="_Hlk100132683"/>
      <w:r w:rsidR="00726617" w:rsidRPr="001F224B">
        <w:rPr>
          <w:iCs/>
          <w:sz w:val="22"/>
          <w:szCs w:val="22"/>
        </w:rPr>
        <w:t xml:space="preserve">13.311 </w:t>
      </w:r>
      <w:bookmarkEnd w:id="40"/>
      <w:r w:rsidR="00726617" w:rsidRPr="001F224B">
        <w:rPr>
          <w:iCs/>
          <w:sz w:val="22"/>
          <w:szCs w:val="22"/>
        </w:rPr>
        <w:t>TL (30 Haziran 2024: 10.678 TL) tutarındaki kısmını TCMB yatırım avans komisyonları oluşturmaktadır.</w:t>
      </w:r>
    </w:p>
    <w:p w14:paraId="6EA4721E" w14:textId="77777777" w:rsidR="00726617" w:rsidRPr="001F224B" w:rsidRDefault="002D11F2" w:rsidP="00726617">
      <w:pPr>
        <w:tabs>
          <w:tab w:val="left" w:pos="709"/>
        </w:tabs>
        <w:spacing w:before="120" w:after="120"/>
        <w:ind w:left="567"/>
        <w:jc w:val="both"/>
        <w:rPr>
          <w:iCs/>
          <w:sz w:val="22"/>
          <w:szCs w:val="22"/>
        </w:rPr>
      </w:pPr>
      <w:r w:rsidRPr="001F224B">
        <w:rPr>
          <w:iCs/>
          <w:sz w:val="22"/>
          <w:szCs w:val="22"/>
        </w:rPr>
        <w:t xml:space="preserve">30 Haziran 2025 tarihinde sona eren hesap dönemine ait kar veya zarar tablosundaki diğer verilen ücret ve komisyonların toplam tutarı </w:t>
      </w:r>
      <w:r w:rsidR="00726617" w:rsidRPr="001F224B">
        <w:rPr>
          <w:iCs/>
          <w:sz w:val="22"/>
          <w:szCs w:val="22"/>
        </w:rPr>
        <w:t xml:space="preserve">27.375 </w:t>
      </w:r>
      <w:r w:rsidRPr="001F224B">
        <w:rPr>
          <w:iCs/>
          <w:sz w:val="22"/>
          <w:szCs w:val="22"/>
        </w:rPr>
        <w:t xml:space="preserve">TL’dir (30 Haziran 2024: 20.284 TL). </w:t>
      </w:r>
      <w:r w:rsidR="00726617" w:rsidRPr="001F224B">
        <w:rPr>
          <w:iCs/>
          <w:sz w:val="22"/>
          <w:szCs w:val="22"/>
        </w:rPr>
        <w:t>Bu tutarın 9.905 TL (30 Haziran 2024: 10.831TL) tutarındaki kısmını borsa işlem komisyonları oluşturmaktadır.</w:t>
      </w:r>
    </w:p>
    <w:p w14:paraId="4C63DFCC" w14:textId="35BAE235" w:rsidR="00D71AC0" w:rsidRPr="001F224B" w:rsidRDefault="000326AD" w:rsidP="00340ACB">
      <w:pPr>
        <w:pStyle w:val="BodyText3"/>
        <w:tabs>
          <w:tab w:val="clear" w:pos="539"/>
          <w:tab w:val="left" w:pos="709"/>
        </w:tabs>
        <w:spacing w:before="120" w:after="120"/>
        <w:ind w:left="142"/>
        <w:jc w:val="both"/>
        <w:rPr>
          <w:bCs/>
          <w:sz w:val="22"/>
          <w:szCs w:val="22"/>
        </w:rPr>
      </w:pPr>
      <w:r w:rsidRPr="001F224B">
        <w:rPr>
          <w:b/>
          <w:bCs/>
          <w:sz w:val="22"/>
          <w:szCs w:val="22"/>
        </w:rPr>
        <w:t xml:space="preserve"> </w:t>
      </w:r>
      <w:r w:rsidR="00D71AC0" w:rsidRPr="001F224B">
        <w:rPr>
          <w:b/>
          <w:bCs/>
          <w:sz w:val="22"/>
          <w:szCs w:val="22"/>
        </w:rPr>
        <w:t>1</w:t>
      </w:r>
      <w:r w:rsidR="007C0C8D" w:rsidRPr="001F224B">
        <w:rPr>
          <w:b/>
          <w:bCs/>
          <w:sz w:val="22"/>
          <w:szCs w:val="22"/>
        </w:rPr>
        <w:t>3</w:t>
      </w:r>
      <w:r w:rsidR="00D71AC0" w:rsidRPr="001F224B">
        <w:rPr>
          <w:b/>
          <w:bCs/>
          <w:sz w:val="22"/>
          <w:szCs w:val="22"/>
        </w:rPr>
        <w:t>.   Azınlık haklarına ait kar/zarar:</w:t>
      </w:r>
    </w:p>
    <w:p w14:paraId="2E8D7937" w14:textId="765A929D" w:rsidR="00D71AC0" w:rsidRPr="001F224B" w:rsidRDefault="00340ACB" w:rsidP="00D71AC0">
      <w:pPr>
        <w:spacing w:line="360" w:lineRule="auto"/>
        <w:ind w:left="567"/>
        <w:jc w:val="both"/>
        <w:rPr>
          <w:bCs/>
          <w:sz w:val="22"/>
          <w:szCs w:val="22"/>
        </w:rPr>
      </w:pPr>
      <w:r w:rsidRPr="001F224B">
        <w:rPr>
          <w:bCs/>
          <w:sz w:val="22"/>
          <w:szCs w:val="22"/>
        </w:rPr>
        <w:t xml:space="preserve"> </w:t>
      </w:r>
      <w:r w:rsidR="00D71AC0" w:rsidRPr="001F224B">
        <w:rPr>
          <w:bCs/>
          <w:sz w:val="22"/>
          <w:szCs w:val="22"/>
        </w:rPr>
        <w:t>Bulunmamaktadır.</w:t>
      </w:r>
    </w:p>
    <w:p w14:paraId="6496F4C7" w14:textId="77777777" w:rsidR="00015479" w:rsidRPr="001F224B" w:rsidRDefault="00015479" w:rsidP="0007684D">
      <w:pPr>
        <w:pStyle w:val="ListParagraph"/>
        <w:tabs>
          <w:tab w:val="left" w:pos="0"/>
        </w:tabs>
        <w:spacing w:before="120" w:after="120"/>
        <w:ind w:left="0"/>
        <w:rPr>
          <w:b/>
          <w:bCs/>
          <w:sz w:val="22"/>
          <w:szCs w:val="22"/>
        </w:rPr>
      </w:pPr>
    </w:p>
    <w:p w14:paraId="47D25960" w14:textId="77777777" w:rsidR="00015479" w:rsidRPr="001F224B" w:rsidRDefault="00015479" w:rsidP="0007684D">
      <w:pPr>
        <w:pStyle w:val="ListParagraph"/>
        <w:tabs>
          <w:tab w:val="left" w:pos="0"/>
        </w:tabs>
        <w:spacing w:before="120" w:after="120"/>
        <w:ind w:left="0"/>
        <w:rPr>
          <w:b/>
          <w:bCs/>
          <w:sz w:val="22"/>
          <w:szCs w:val="22"/>
        </w:rPr>
      </w:pPr>
    </w:p>
    <w:p w14:paraId="1869ED48" w14:textId="77777777" w:rsidR="00015479" w:rsidRPr="001F224B" w:rsidRDefault="00015479" w:rsidP="0007684D">
      <w:pPr>
        <w:pStyle w:val="ListParagraph"/>
        <w:tabs>
          <w:tab w:val="left" w:pos="0"/>
        </w:tabs>
        <w:spacing w:before="120" w:after="120"/>
        <w:ind w:left="0"/>
        <w:rPr>
          <w:b/>
          <w:bCs/>
          <w:sz w:val="22"/>
          <w:szCs w:val="22"/>
        </w:rPr>
      </w:pPr>
    </w:p>
    <w:p w14:paraId="22624AE3" w14:textId="77777777" w:rsidR="00015479" w:rsidRPr="001F224B" w:rsidRDefault="00015479" w:rsidP="0007684D">
      <w:pPr>
        <w:pStyle w:val="ListParagraph"/>
        <w:tabs>
          <w:tab w:val="left" w:pos="0"/>
        </w:tabs>
        <w:spacing w:before="120" w:after="120"/>
        <w:ind w:left="0"/>
        <w:rPr>
          <w:b/>
          <w:bCs/>
          <w:sz w:val="22"/>
          <w:szCs w:val="22"/>
        </w:rPr>
      </w:pPr>
    </w:p>
    <w:p w14:paraId="31F8EF04" w14:textId="77777777" w:rsidR="00015479" w:rsidRPr="001F224B" w:rsidRDefault="00015479" w:rsidP="0007684D">
      <w:pPr>
        <w:pStyle w:val="ListParagraph"/>
        <w:tabs>
          <w:tab w:val="left" w:pos="0"/>
        </w:tabs>
        <w:spacing w:before="120" w:after="120"/>
        <w:ind w:left="0"/>
        <w:rPr>
          <w:b/>
          <w:bCs/>
          <w:sz w:val="22"/>
          <w:szCs w:val="22"/>
        </w:rPr>
      </w:pPr>
    </w:p>
    <w:p w14:paraId="4055E690" w14:textId="77777777" w:rsidR="00015479" w:rsidRPr="001F224B" w:rsidRDefault="00015479" w:rsidP="0007684D">
      <w:pPr>
        <w:pStyle w:val="ListParagraph"/>
        <w:tabs>
          <w:tab w:val="left" w:pos="0"/>
        </w:tabs>
        <w:spacing w:before="120" w:after="120"/>
        <w:ind w:left="0"/>
        <w:rPr>
          <w:b/>
          <w:bCs/>
          <w:sz w:val="22"/>
          <w:szCs w:val="22"/>
        </w:rPr>
      </w:pPr>
    </w:p>
    <w:p w14:paraId="18BB51C7" w14:textId="77777777" w:rsidR="00015479" w:rsidRPr="001F224B" w:rsidRDefault="00015479" w:rsidP="0007684D">
      <w:pPr>
        <w:pStyle w:val="ListParagraph"/>
        <w:tabs>
          <w:tab w:val="left" w:pos="0"/>
        </w:tabs>
        <w:spacing w:before="120" w:after="120"/>
        <w:ind w:left="0"/>
        <w:rPr>
          <w:b/>
          <w:bCs/>
          <w:sz w:val="22"/>
          <w:szCs w:val="22"/>
        </w:rPr>
      </w:pPr>
    </w:p>
    <w:p w14:paraId="6F53F490" w14:textId="77777777" w:rsidR="00015479" w:rsidRPr="001F224B" w:rsidRDefault="00015479" w:rsidP="0007684D">
      <w:pPr>
        <w:pStyle w:val="ListParagraph"/>
        <w:tabs>
          <w:tab w:val="left" w:pos="0"/>
        </w:tabs>
        <w:spacing w:before="120" w:after="120"/>
        <w:ind w:left="0"/>
        <w:rPr>
          <w:b/>
          <w:bCs/>
          <w:sz w:val="22"/>
          <w:szCs w:val="22"/>
        </w:rPr>
      </w:pPr>
    </w:p>
    <w:p w14:paraId="059D9566" w14:textId="77777777" w:rsidR="00015479" w:rsidRPr="001F224B" w:rsidRDefault="00015479" w:rsidP="0007684D">
      <w:pPr>
        <w:pStyle w:val="ListParagraph"/>
        <w:tabs>
          <w:tab w:val="left" w:pos="0"/>
        </w:tabs>
        <w:spacing w:before="120" w:after="120"/>
        <w:ind w:left="0"/>
        <w:rPr>
          <w:b/>
          <w:bCs/>
          <w:sz w:val="22"/>
          <w:szCs w:val="22"/>
        </w:rPr>
      </w:pPr>
    </w:p>
    <w:p w14:paraId="05637F1A" w14:textId="77777777" w:rsidR="00015479" w:rsidRPr="001F224B" w:rsidRDefault="00015479" w:rsidP="0007684D">
      <w:pPr>
        <w:pStyle w:val="ListParagraph"/>
        <w:tabs>
          <w:tab w:val="left" w:pos="0"/>
        </w:tabs>
        <w:spacing w:before="120" w:after="120"/>
        <w:ind w:left="0"/>
        <w:rPr>
          <w:b/>
          <w:bCs/>
          <w:sz w:val="22"/>
          <w:szCs w:val="22"/>
        </w:rPr>
      </w:pPr>
    </w:p>
    <w:p w14:paraId="59A41B98" w14:textId="1FB9467A" w:rsidR="00015479" w:rsidRPr="001F224B" w:rsidRDefault="00015479" w:rsidP="0007684D">
      <w:pPr>
        <w:pStyle w:val="ListParagraph"/>
        <w:tabs>
          <w:tab w:val="left" w:pos="0"/>
        </w:tabs>
        <w:spacing w:before="120" w:after="120"/>
        <w:ind w:left="0"/>
        <w:rPr>
          <w:b/>
          <w:bCs/>
          <w:sz w:val="22"/>
          <w:szCs w:val="22"/>
        </w:rPr>
      </w:pPr>
    </w:p>
    <w:p w14:paraId="21D17C3B" w14:textId="7C97A8F7" w:rsidR="0057015E" w:rsidRPr="001F224B" w:rsidRDefault="0057015E" w:rsidP="0007684D">
      <w:pPr>
        <w:pStyle w:val="ListParagraph"/>
        <w:tabs>
          <w:tab w:val="left" w:pos="0"/>
        </w:tabs>
        <w:spacing w:before="120" w:after="120"/>
        <w:ind w:left="0"/>
        <w:rPr>
          <w:b/>
          <w:bCs/>
          <w:sz w:val="22"/>
          <w:szCs w:val="22"/>
        </w:rPr>
      </w:pPr>
    </w:p>
    <w:p w14:paraId="6139FB26" w14:textId="73C77B8E" w:rsidR="0057015E" w:rsidRPr="001F224B" w:rsidRDefault="0057015E" w:rsidP="0007684D">
      <w:pPr>
        <w:pStyle w:val="ListParagraph"/>
        <w:tabs>
          <w:tab w:val="left" w:pos="0"/>
        </w:tabs>
        <w:spacing w:before="120" w:after="120"/>
        <w:ind w:left="0"/>
        <w:rPr>
          <w:b/>
          <w:bCs/>
          <w:sz w:val="22"/>
          <w:szCs w:val="22"/>
        </w:rPr>
      </w:pPr>
    </w:p>
    <w:p w14:paraId="46DBFB6F" w14:textId="77777777" w:rsidR="00AF2175" w:rsidRPr="001F224B" w:rsidRDefault="00AF2175" w:rsidP="0007684D">
      <w:pPr>
        <w:pStyle w:val="ListParagraph"/>
        <w:tabs>
          <w:tab w:val="left" w:pos="0"/>
        </w:tabs>
        <w:spacing w:before="120" w:after="120"/>
        <w:ind w:left="0"/>
        <w:rPr>
          <w:b/>
          <w:bCs/>
          <w:sz w:val="22"/>
          <w:szCs w:val="22"/>
        </w:rPr>
      </w:pPr>
    </w:p>
    <w:p w14:paraId="73BB3825" w14:textId="1B4C62A4" w:rsidR="00A17FBB" w:rsidRPr="001F224B" w:rsidRDefault="00A17FBB" w:rsidP="00A17FBB">
      <w:pPr>
        <w:pStyle w:val="ListParagraph"/>
        <w:tabs>
          <w:tab w:val="left" w:pos="0"/>
        </w:tabs>
        <w:spacing w:before="120" w:after="120"/>
        <w:ind w:left="0"/>
        <w:rPr>
          <w:b/>
          <w:bCs/>
          <w:sz w:val="22"/>
          <w:szCs w:val="22"/>
        </w:rPr>
      </w:pPr>
      <w:r w:rsidRPr="001F224B">
        <w:rPr>
          <w:b/>
          <w:bCs/>
          <w:sz w:val="22"/>
          <w:szCs w:val="22"/>
        </w:rPr>
        <w:t>BEŞİNCİ BÖLÜM (Devamı)</w:t>
      </w:r>
    </w:p>
    <w:p w14:paraId="7065C8D1" w14:textId="77777777" w:rsidR="00A17FBB" w:rsidRPr="001F224B" w:rsidRDefault="00A17FBB" w:rsidP="00A17FBB">
      <w:pPr>
        <w:pStyle w:val="ListParagraph"/>
        <w:tabs>
          <w:tab w:val="left" w:pos="0"/>
        </w:tabs>
        <w:spacing w:after="120"/>
        <w:ind w:left="0"/>
        <w:rPr>
          <w:b/>
          <w:bCs/>
          <w:sz w:val="22"/>
          <w:szCs w:val="22"/>
        </w:rPr>
      </w:pPr>
      <w:r w:rsidRPr="001F224B">
        <w:rPr>
          <w:b/>
          <w:bCs/>
          <w:sz w:val="22"/>
          <w:szCs w:val="22"/>
        </w:rPr>
        <w:t>KONSOLİDE FİNANSAL TABLOLARA İLİŞKİN AÇIKLAMA VE DİPNOTLAR (Devamı)</w:t>
      </w:r>
    </w:p>
    <w:p w14:paraId="2EFB73FD" w14:textId="37A10BB0" w:rsidR="00751F82" w:rsidRPr="001F224B" w:rsidRDefault="00751F82" w:rsidP="00751F82">
      <w:pPr>
        <w:tabs>
          <w:tab w:val="left" w:pos="567"/>
        </w:tabs>
        <w:jc w:val="both"/>
        <w:rPr>
          <w:b/>
          <w:bCs/>
          <w:sz w:val="22"/>
          <w:szCs w:val="22"/>
        </w:rPr>
      </w:pPr>
      <w:r w:rsidRPr="001F224B">
        <w:rPr>
          <w:b/>
          <w:bCs/>
          <w:sz w:val="22"/>
          <w:szCs w:val="22"/>
        </w:rPr>
        <w:t>V.</w:t>
      </w:r>
      <w:r w:rsidRPr="001F224B">
        <w:rPr>
          <w:b/>
          <w:bCs/>
          <w:sz w:val="22"/>
          <w:szCs w:val="22"/>
        </w:rPr>
        <w:tab/>
      </w:r>
      <w:r w:rsidR="002A15A5" w:rsidRPr="001F224B">
        <w:rPr>
          <w:b/>
          <w:bCs/>
          <w:sz w:val="22"/>
          <w:szCs w:val="22"/>
        </w:rPr>
        <w:t xml:space="preserve">Ana Ortaklık </w:t>
      </w:r>
      <w:r w:rsidRPr="001F224B">
        <w:rPr>
          <w:b/>
          <w:bCs/>
          <w:sz w:val="22"/>
          <w:szCs w:val="22"/>
        </w:rPr>
        <w:t>Banka’nın dahil olduğu risk grubuna ilişkin açıklamalar</w:t>
      </w:r>
    </w:p>
    <w:p w14:paraId="7F9D8A39" w14:textId="05A776B3" w:rsidR="00751F82" w:rsidRPr="001F224B" w:rsidRDefault="00751F82" w:rsidP="00751F82">
      <w:pPr>
        <w:pStyle w:val="BodyText"/>
        <w:tabs>
          <w:tab w:val="clear" w:pos="0"/>
          <w:tab w:val="clear" w:pos="720"/>
          <w:tab w:val="left" w:pos="1549"/>
        </w:tabs>
        <w:spacing w:before="120" w:after="120"/>
        <w:ind w:left="567"/>
        <w:rPr>
          <w:sz w:val="22"/>
          <w:szCs w:val="22"/>
        </w:rPr>
      </w:pPr>
      <w:r w:rsidRPr="001F224B">
        <w:rPr>
          <w:sz w:val="22"/>
          <w:szCs w:val="22"/>
        </w:rPr>
        <w:t xml:space="preserve">Mevduat kabulü ile ilgili işlemleri bulunmayan Banka’da Bankacılık Kanunu’nda öngörülen ve iç düzenlemelerinde yer alan sınırlamalar korunarak, risk grupları ile ilişkilerde normal müşteri ilişkisi ve piyasa koşulları dikkate alınmaktadır. </w:t>
      </w:r>
      <w:r w:rsidR="002A15A5" w:rsidRPr="001F224B">
        <w:rPr>
          <w:sz w:val="22"/>
          <w:szCs w:val="22"/>
        </w:rPr>
        <w:t>Grup’un</w:t>
      </w:r>
      <w:r w:rsidRPr="001F224B">
        <w:rPr>
          <w:sz w:val="22"/>
          <w:szCs w:val="22"/>
        </w:rPr>
        <w:t xml:space="preserve"> aktiflerinin ve pasiflerinin ilgili risk grubunun hakimiyetinde kalmayacak tutarlarda ve toplam bilanço içinde makul sayılacak seviyelerde bulundurulması politikası benimsenmiş olup, uygulamalar bu politika doğrultusunda yürütülmektedir.</w:t>
      </w:r>
    </w:p>
    <w:p w14:paraId="59CC9A53" w14:textId="77777777" w:rsidR="00751F82" w:rsidRPr="001F224B" w:rsidRDefault="00751F82" w:rsidP="00751F82">
      <w:pPr>
        <w:numPr>
          <w:ilvl w:val="0"/>
          <w:numId w:val="4"/>
        </w:numPr>
        <w:tabs>
          <w:tab w:val="left" w:pos="567"/>
        </w:tabs>
        <w:spacing w:after="120"/>
        <w:ind w:left="709" w:hanging="709"/>
        <w:rPr>
          <w:b/>
          <w:bCs/>
          <w:sz w:val="22"/>
          <w:szCs w:val="22"/>
        </w:rPr>
      </w:pPr>
      <w:r w:rsidRPr="001F224B">
        <w:rPr>
          <w:b/>
          <w:bCs/>
          <w:sz w:val="22"/>
          <w:szCs w:val="22"/>
        </w:rPr>
        <w:t>Cari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751F82" w:rsidRPr="001F224B" w14:paraId="61C12B48" w14:textId="77777777" w:rsidTr="00ED7563">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19495878" w14:textId="4FD64BF2" w:rsidR="00751F82" w:rsidRPr="001F224B" w:rsidRDefault="002A15A5" w:rsidP="00ED7563">
            <w:pPr>
              <w:rPr>
                <w:b/>
                <w:bCs/>
                <w:sz w:val="20"/>
                <w:szCs w:val="20"/>
              </w:rPr>
            </w:pPr>
            <w:r w:rsidRPr="001F224B">
              <w:rPr>
                <w:b/>
                <w:bCs/>
                <w:sz w:val="20"/>
                <w:szCs w:val="20"/>
              </w:rPr>
              <w:t xml:space="preserve">Ana Ortaklık </w:t>
            </w:r>
            <w:r w:rsidR="00751F82" w:rsidRPr="001F224B">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2DD39FCE" w14:textId="77777777" w:rsidR="00751F82" w:rsidRPr="001F224B" w:rsidRDefault="00751F82" w:rsidP="00ED7563">
            <w:pPr>
              <w:jc w:val="center"/>
              <w:rPr>
                <w:b/>
                <w:bCs/>
                <w:sz w:val="20"/>
                <w:szCs w:val="20"/>
              </w:rPr>
            </w:pPr>
            <w:r w:rsidRPr="001F224B">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2AA65BC2" w14:textId="77777777" w:rsidR="00751F82" w:rsidRPr="001F224B" w:rsidRDefault="00751F82" w:rsidP="00ED7563">
            <w:pPr>
              <w:jc w:val="center"/>
              <w:rPr>
                <w:b/>
                <w:bCs/>
                <w:sz w:val="20"/>
                <w:szCs w:val="20"/>
              </w:rPr>
            </w:pPr>
            <w:r w:rsidRPr="001F224B">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4B1AE49D" w14:textId="77777777" w:rsidR="00751F82" w:rsidRPr="001F224B" w:rsidRDefault="00751F82" w:rsidP="00ED7563">
            <w:pPr>
              <w:jc w:val="center"/>
              <w:rPr>
                <w:b/>
                <w:bCs/>
                <w:sz w:val="20"/>
                <w:szCs w:val="20"/>
              </w:rPr>
            </w:pPr>
            <w:r w:rsidRPr="001F224B">
              <w:rPr>
                <w:b/>
                <w:bCs/>
                <w:sz w:val="20"/>
                <w:szCs w:val="20"/>
              </w:rPr>
              <w:t>Risk Grubuna Dahil Olan Diğer Gerçek ve Tüzel Kişiler</w:t>
            </w:r>
          </w:p>
        </w:tc>
      </w:tr>
      <w:tr w:rsidR="00751F82" w:rsidRPr="001F224B" w14:paraId="40971F2D"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4AA6579A" w14:textId="77777777" w:rsidR="00751F82" w:rsidRPr="001F224B" w:rsidRDefault="00751F82" w:rsidP="00ED7563">
            <w:pPr>
              <w:rPr>
                <w:b/>
                <w:bCs/>
                <w:sz w:val="20"/>
                <w:szCs w:val="20"/>
              </w:rPr>
            </w:pPr>
            <w:r w:rsidRPr="001F224B">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6A7B7EBE" w14:textId="77777777" w:rsidR="00751F82" w:rsidRPr="001F224B" w:rsidRDefault="00751F82" w:rsidP="00ED7563">
            <w:pPr>
              <w:jc w:val="center"/>
              <w:rPr>
                <w:b/>
                <w:bCs/>
                <w:sz w:val="20"/>
                <w:szCs w:val="20"/>
              </w:rPr>
            </w:pPr>
            <w:r w:rsidRPr="001F224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1EBA2A06" w14:textId="77777777" w:rsidR="00751F82" w:rsidRPr="001F224B" w:rsidRDefault="00751F82" w:rsidP="00ED7563">
            <w:pPr>
              <w:jc w:val="center"/>
              <w:rPr>
                <w:b/>
                <w:bCs/>
                <w:sz w:val="20"/>
                <w:szCs w:val="20"/>
              </w:rPr>
            </w:pPr>
            <w:r w:rsidRPr="001F224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66EAEA57" w14:textId="77777777" w:rsidR="00751F82" w:rsidRPr="001F224B" w:rsidRDefault="00751F82" w:rsidP="00ED7563">
            <w:pPr>
              <w:jc w:val="center"/>
              <w:rPr>
                <w:b/>
                <w:bCs/>
                <w:sz w:val="20"/>
                <w:szCs w:val="20"/>
              </w:rPr>
            </w:pPr>
            <w:r w:rsidRPr="001F224B">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5D2CF45B" w14:textId="77777777" w:rsidR="00751F82" w:rsidRPr="001F224B" w:rsidRDefault="00751F82" w:rsidP="00ED7563">
            <w:pPr>
              <w:jc w:val="center"/>
              <w:rPr>
                <w:b/>
                <w:bCs/>
                <w:sz w:val="20"/>
                <w:szCs w:val="20"/>
              </w:rPr>
            </w:pPr>
            <w:r w:rsidRPr="001F224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20A71E5A" w14:textId="77777777" w:rsidR="00751F82" w:rsidRPr="001F224B" w:rsidRDefault="00751F82" w:rsidP="00ED7563">
            <w:pPr>
              <w:jc w:val="center"/>
              <w:rPr>
                <w:b/>
                <w:bCs/>
                <w:sz w:val="20"/>
                <w:szCs w:val="20"/>
              </w:rPr>
            </w:pPr>
            <w:r w:rsidRPr="001F224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46442DA0" w14:textId="77777777" w:rsidR="00751F82" w:rsidRPr="001F224B" w:rsidRDefault="00751F82" w:rsidP="00ED7563">
            <w:pPr>
              <w:jc w:val="center"/>
              <w:rPr>
                <w:b/>
                <w:bCs/>
                <w:sz w:val="20"/>
                <w:szCs w:val="20"/>
              </w:rPr>
            </w:pPr>
            <w:r w:rsidRPr="001F224B">
              <w:rPr>
                <w:b/>
                <w:bCs/>
                <w:sz w:val="20"/>
                <w:szCs w:val="20"/>
              </w:rPr>
              <w:t>G.Nakdi</w:t>
            </w:r>
          </w:p>
        </w:tc>
      </w:tr>
      <w:tr w:rsidR="00751F82" w:rsidRPr="001F224B" w14:paraId="194EC03D"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093E934" w14:textId="77777777" w:rsidR="00751F82" w:rsidRPr="001F224B" w:rsidRDefault="00751F82" w:rsidP="00ED7563">
            <w:pPr>
              <w:rPr>
                <w:sz w:val="20"/>
                <w:szCs w:val="20"/>
              </w:rPr>
            </w:pPr>
            <w:r w:rsidRPr="001F224B">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456619ED"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8FD6F1D"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D9CA4EC" w14:textId="77777777" w:rsidR="00751F82" w:rsidRPr="001F224B" w:rsidRDefault="00751F82" w:rsidP="00ED756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D6FAF19"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09D4937"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D0EBBFD" w14:textId="77777777" w:rsidR="00751F82" w:rsidRPr="001F224B" w:rsidRDefault="00751F82" w:rsidP="00ED7563">
            <w:pPr>
              <w:jc w:val="right"/>
              <w:rPr>
                <w:sz w:val="20"/>
                <w:szCs w:val="20"/>
              </w:rPr>
            </w:pPr>
            <w:r w:rsidRPr="001F224B">
              <w:rPr>
                <w:sz w:val="20"/>
                <w:szCs w:val="20"/>
              </w:rPr>
              <w:t>-</w:t>
            </w:r>
          </w:p>
        </w:tc>
      </w:tr>
      <w:tr w:rsidR="00E233C3" w:rsidRPr="001F224B" w14:paraId="17C02D57"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D31AA24" w14:textId="77777777" w:rsidR="00E233C3" w:rsidRPr="001F224B" w:rsidRDefault="00E233C3" w:rsidP="00E233C3">
            <w:pPr>
              <w:ind w:firstLineChars="100" w:firstLine="200"/>
              <w:rPr>
                <w:sz w:val="20"/>
                <w:szCs w:val="20"/>
              </w:rPr>
            </w:pPr>
            <w:r w:rsidRPr="001F224B">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755919F1" w14:textId="21CF6F3B" w:rsidR="00E233C3" w:rsidRPr="001F224B" w:rsidRDefault="00E233C3" w:rsidP="00E233C3">
            <w:pPr>
              <w:jc w:val="right"/>
              <w:rPr>
                <w:sz w:val="20"/>
                <w:szCs w:val="20"/>
              </w:rPr>
            </w:pPr>
            <w:r w:rsidRPr="001F224B">
              <w:rPr>
                <w:sz w:val="20"/>
                <w:szCs w:val="20"/>
              </w:rPr>
              <w:t>3.856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6451DEC" w14:textId="77777777" w:rsidR="00E233C3" w:rsidRPr="001F224B" w:rsidRDefault="00E233C3" w:rsidP="00E233C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499CBD0" w14:textId="77777777" w:rsidR="00E233C3" w:rsidRPr="001F224B" w:rsidRDefault="00E233C3" w:rsidP="00E233C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2B2CC5C0" w14:textId="77777777" w:rsidR="00E233C3" w:rsidRPr="001F224B" w:rsidRDefault="00E233C3" w:rsidP="00E233C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FAB32C2" w14:textId="77777777" w:rsidR="00E233C3" w:rsidRPr="001F224B" w:rsidRDefault="00E233C3" w:rsidP="00E233C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5C73EC8" w14:textId="77777777" w:rsidR="00E233C3" w:rsidRPr="001F224B" w:rsidRDefault="00E233C3" w:rsidP="00E233C3">
            <w:pPr>
              <w:jc w:val="right"/>
              <w:rPr>
                <w:sz w:val="20"/>
                <w:szCs w:val="20"/>
              </w:rPr>
            </w:pPr>
            <w:r w:rsidRPr="001F224B">
              <w:rPr>
                <w:sz w:val="20"/>
                <w:szCs w:val="20"/>
              </w:rPr>
              <w:t>-</w:t>
            </w:r>
          </w:p>
        </w:tc>
      </w:tr>
      <w:tr w:rsidR="00E233C3" w:rsidRPr="001F224B" w14:paraId="7CCF88BE"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42981C4D" w14:textId="77777777" w:rsidR="00E233C3" w:rsidRPr="001F224B" w:rsidRDefault="00E233C3" w:rsidP="00E233C3">
            <w:pPr>
              <w:ind w:firstLineChars="100" w:firstLine="200"/>
              <w:rPr>
                <w:sz w:val="20"/>
                <w:szCs w:val="20"/>
              </w:rPr>
            </w:pPr>
            <w:r w:rsidRPr="001F224B">
              <w:rPr>
                <w:sz w:val="20"/>
                <w:szCs w:val="20"/>
              </w:rPr>
              <w:t xml:space="preserve">Dönem Sonu Bakiyesi </w:t>
            </w:r>
            <w:r w:rsidRPr="001F224B">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0828A91" w14:textId="280211CA" w:rsidR="00E233C3" w:rsidRPr="001F224B" w:rsidRDefault="00E233C3" w:rsidP="00E233C3">
            <w:pPr>
              <w:jc w:val="right"/>
              <w:rPr>
                <w:sz w:val="20"/>
                <w:szCs w:val="20"/>
              </w:rPr>
            </w:pPr>
            <w:r w:rsidRPr="001F224B">
              <w:rPr>
                <w:sz w:val="20"/>
                <w:szCs w:val="20"/>
              </w:rPr>
              <w:t>3.857</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B0AB94A" w14:textId="77777777" w:rsidR="00E233C3" w:rsidRPr="001F224B" w:rsidRDefault="00E233C3" w:rsidP="00E233C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57312D7" w14:textId="77777777" w:rsidR="00E233C3" w:rsidRPr="001F224B" w:rsidRDefault="00E233C3" w:rsidP="00E233C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1AA69C79" w14:textId="77777777" w:rsidR="00E233C3" w:rsidRPr="001F224B" w:rsidRDefault="00E233C3" w:rsidP="00E233C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4CD83AF" w14:textId="77777777" w:rsidR="00E233C3" w:rsidRPr="001F224B" w:rsidRDefault="00E233C3" w:rsidP="00E233C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B418D1D" w14:textId="77777777" w:rsidR="00E233C3" w:rsidRPr="001F224B" w:rsidRDefault="00E233C3" w:rsidP="00E233C3">
            <w:pPr>
              <w:jc w:val="right"/>
              <w:rPr>
                <w:sz w:val="20"/>
                <w:szCs w:val="20"/>
              </w:rPr>
            </w:pPr>
            <w:r w:rsidRPr="001F224B">
              <w:rPr>
                <w:sz w:val="20"/>
                <w:szCs w:val="20"/>
              </w:rPr>
              <w:t>-</w:t>
            </w:r>
          </w:p>
        </w:tc>
      </w:tr>
      <w:tr w:rsidR="00751F82" w:rsidRPr="001F224B" w14:paraId="27E28CBB"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40BDE0DA" w14:textId="77777777" w:rsidR="00751F82" w:rsidRPr="001F224B" w:rsidRDefault="00751F82" w:rsidP="00ED7563">
            <w:pPr>
              <w:ind w:left="209" w:hanging="209"/>
              <w:rPr>
                <w:sz w:val="20"/>
                <w:szCs w:val="20"/>
              </w:rPr>
            </w:pPr>
            <w:r w:rsidRPr="001F224B">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4F67E08A"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F1DE3B3"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8B53481" w14:textId="77777777" w:rsidR="00751F82" w:rsidRPr="001F224B" w:rsidRDefault="00751F82" w:rsidP="00ED756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7AABF09B"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13A6FE8"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9E3EC07" w14:textId="77777777" w:rsidR="00751F82" w:rsidRPr="001F224B" w:rsidRDefault="00751F82" w:rsidP="00ED7563">
            <w:pPr>
              <w:jc w:val="right"/>
              <w:rPr>
                <w:sz w:val="20"/>
                <w:szCs w:val="20"/>
              </w:rPr>
            </w:pPr>
            <w:r w:rsidRPr="001F224B">
              <w:rPr>
                <w:sz w:val="20"/>
                <w:szCs w:val="20"/>
              </w:rPr>
              <w:t>-</w:t>
            </w:r>
          </w:p>
        </w:tc>
      </w:tr>
    </w:tbl>
    <w:p w14:paraId="3FB69F14" w14:textId="77777777" w:rsidR="00E233C3" w:rsidRPr="001F224B" w:rsidRDefault="00751F82" w:rsidP="00E233C3">
      <w:pPr>
        <w:tabs>
          <w:tab w:val="left" w:pos="567"/>
        </w:tabs>
        <w:spacing w:before="60"/>
        <w:ind w:left="434" w:hanging="426"/>
        <w:jc w:val="both"/>
        <w:rPr>
          <w:sz w:val="16"/>
          <w:szCs w:val="16"/>
        </w:rPr>
      </w:pPr>
      <w:r w:rsidRPr="001F224B">
        <w:rPr>
          <w:sz w:val="16"/>
          <w:szCs w:val="16"/>
          <w:vertAlign w:val="superscript"/>
        </w:rPr>
        <w:t>(*)</w:t>
      </w:r>
      <w:r w:rsidRPr="001F224B">
        <w:rPr>
          <w:sz w:val="16"/>
          <w:szCs w:val="16"/>
        </w:rPr>
        <w:tab/>
        <w:t xml:space="preserve">Banka bağlı </w:t>
      </w:r>
      <w:r w:rsidR="00E233C3" w:rsidRPr="001F224B">
        <w:rPr>
          <w:sz w:val="16"/>
          <w:szCs w:val="16"/>
        </w:rPr>
        <w:t>ortaklığı olan (İflas Nedeniyle Tasfiye Halinde) Arıcak A.Ş.’ye kullandırılan 3.857 TL tutarındaki krediyi V. Grup kredilerde izlemektedir. Söz konusu kredi için 3.857 TL üçüncü aşama beklenen zarar karşılığı ayrılmıştır.</w:t>
      </w:r>
    </w:p>
    <w:p w14:paraId="0C48DB6C" w14:textId="2E394624" w:rsidR="00751F82" w:rsidRPr="001F224B" w:rsidRDefault="009165DE" w:rsidP="00E233C3">
      <w:pPr>
        <w:tabs>
          <w:tab w:val="left" w:pos="567"/>
        </w:tabs>
        <w:spacing w:before="60"/>
        <w:ind w:left="434" w:hanging="426"/>
        <w:jc w:val="both"/>
        <w:rPr>
          <w:b/>
          <w:bCs/>
          <w:sz w:val="22"/>
          <w:szCs w:val="22"/>
        </w:rPr>
      </w:pPr>
      <w:r w:rsidRPr="001F224B">
        <w:rPr>
          <w:b/>
          <w:bCs/>
          <w:sz w:val="22"/>
          <w:szCs w:val="22"/>
        </w:rPr>
        <w:t xml:space="preserve">b)     </w:t>
      </w:r>
      <w:r w:rsidR="00751F82" w:rsidRPr="001F224B">
        <w:rPr>
          <w:b/>
          <w:bCs/>
          <w:sz w:val="22"/>
          <w:szCs w:val="22"/>
        </w:rPr>
        <w:t>Önceki Dönem:</w:t>
      </w:r>
    </w:p>
    <w:p w14:paraId="6644B019" w14:textId="77777777" w:rsidR="009165DE" w:rsidRPr="001F224B" w:rsidRDefault="009165DE" w:rsidP="00E233C3">
      <w:pPr>
        <w:tabs>
          <w:tab w:val="left" w:pos="567"/>
        </w:tabs>
        <w:spacing w:before="60"/>
        <w:ind w:left="434" w:hanging="426"/>
        <w:jc w:val="both"/>
        <w:rPr>
          <w:b/>
          <w:bCs/>
          <w:sz w:val="4"/>
          <w:szCs w:val="4"/>
        </w:rPr>
      </w:pP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751F82" w:rsidRPr="001F224B" w14:paraId="35F186AB" w14:textId="77777777" w:rsidTr="00ED7563">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62166CEA" w14:textId="35C34A99" w:rsidR="00751F82" w:rsidRPr="001F224B" w:rsidRDefault="002A15A5" w:rsidP="00ED7563">
            <w:pPr>
              <w:rPr>
                <w:b/>
                <w:bCs/>
                <w:sz w:val="20"/>
                <w:szCs w:val="20"/>
              </w:rPr>
            </w:pPr>
            <w:r w:rsidRPr="001F224B">
              <w:rPr>
                <w:b/>
                <w:bCs/>
                <w:sz w:val="20"/>
                <w:szCs w:val="20"/>
              </w:rPr>
              <w:t xml:space="preserve">Ana Ortaklık </w:t>
            </w:r>
            <w:r w:rsidR="00751F82" w:rsidRPr="001F224B">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115D2D12" w14:textId="77777777" w:rsidR="00751F82" w:rsidRPr="001F224B" w:rsidRDefault="00751F82" w:rsidP="00ED7563">
            <w:pPr>
              <w:jc w:val="center"/>
              <w:rPr>
                <w:b/>
                <w:bCs/>
                <w:sz w:val="20"/>
                <w:szCs w:val="20"/>
              </w:rPr>
            </w:pPr>
            <w:r w:rsidRPr="001F224B">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3E96B9C5" w14:textId="77777777" w:rsidR="00751F82" w:rsidRPr="001F224B" w:rsidRDefault="00751F82" w:rsidP="00ED7563">
            <w:pPr>
              <w:jc w:val="center"/>
              <w:rPr>
                <w:b/>
                <w:bCs/>
                <w:sz w:val="20"/>
                <w:szCs w:val="20"/>
              </w:rPr>
            </w:pPr>
            <w:r w:rsidRPr="001F224B">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3761972E" w14:textId="77777777" w:rsidR="00751F82" w:rsidRPr="001F224B" w:rsidRDefault="00751F82" w:rsidP="00ED7563">
            <w:pPr>
              <w:jc w:val="center"/>
              <w:rPr>
                <w:b/>
                <w:bCs/>
                <w:sz w:val="20"/>
                <w:szCs w:val="20"/>
              </w:rPr>
            </w:pPr>
            <w:r w:rsidRPr="001F224B">
              <w:rPr>
                <w:b/>
                <w:bCs/>
                <w:sz w:val="20"/>
                <w:szCs w:val="20"/>
              </w:rPr>
              <w:t>Risk Grubuna Dahil Olan Diğer Gerçek ve Tüzel Kişiler</w:t>
            </w:r>
          </w:p>
        </w:tc>
      </w:tr>
      <w:tr w:rsidR="00751F82" w:rsidRPr="001F224B" w14:paraId="2E1E190C"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DC8287D" w14:textId="77777777" w:rsidR="00751F82" w:rsidRPr="001F224B" w:rsidRDefault="00751F82" w:rsidP="00ED7563">
            <w:pPr>
              <w:rPr>
                <w:b/>
                <w:bCs/>
                <w:sz w:val="20"/>
                <w:szCs w:val="20"/>
              </w:rPr>
            </w:pPr>
            <w:r w:rsidRPr="001F224B">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52C5F922" w14:textId="77777777" w:rsidR="00751F82" w:rsidRPr="001F224B" w:rsidRDefault="00751F82" w:rsidP="00ED7563">
            <w:pPr>
              <w:jc w:val="center"/>
              <w:rPr>
                <w:b/>
                <w:bCs/>
                <w:sz w:val="20"/>
                <w:szCs w:val="20"/>
              </w:rPr>
            </w:pPr>
            <w:r w:rsidRPr="001F224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0FF37043" w14:textId="77777777" w:rsidR="00751F82" w:rsidRPr="001F224B" w:rsidRDefault="00751F82" w:rsidP="00ED7563">
            <w:pPr>
              <w:jc w:val="center"/>
              <w:rPr>
                <w:b/>
                <w:bCs/>
                <w:sz w:val="20"/>
                <w:szCs w:val="20"/>
              </w:rPr>
            </w:pPr>
            <w:r w:rsidRPr="001F224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092664D4" w14:textId="77777777" w:rsidR="00751F82" w:rsidRPr="001F224B" w:rsidRDefault="00751F82" w:rsidP="00ED7563">
            <w:pPr>
              <w:jc w:val="center"/>
              <w:rPr>
                <w:b/>
                <w:bCs/>
                <w:sz w:val="20"/>
                <w:szCs w:val="20"/>
              </w:rPr>
            </w:pPr>
            <w:r w:rsidRPr="001F224B">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20F6CC1E" w14:textId="77777777" w:rsidR="00751F82" w:rsidRPr="001F224B" w:rsidRDefault="00751F82" w:rsidP="00ED7563">
            <w:pPr>
              <w:jc w:val="center"/>
              <w:rPr>
                <w:b/>
                <w:bCs/>
                <w:sz w:val="20"/>
                <w:szCs w:val="20"/>
              </w:rPr>
            </w:pPr>
            <w:r w:rsidRPr="001F224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37017018" w14:textId="77777777" w:rsidR="00751F82" w:rsidRPr="001F224B" w:rsidRDefault="00751F82" w:rsidP="00ED7563">
            <w:pPr>
              <w:jc w:val="center"/>
              <w:rPr>
                <w:b/>
                <w:bCs/>
                <w:sz w:val="20"/>
                <w:szCs w:val="20"/>
              </w:rPr>
            </w:pPr>
            <w:r w:rsidRPr="001F224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4D36105A" w14:textId="77777777" w:rsidR="00751F82" w:rsidRPr="001F224B" w:rsidRDefault="00751F82" w:rsidP="00ED7563">
            <w:pPr>
              <w:jc w:val="center"/>
              <w:rPr>
                <w:b/>
                <w:bCs/>
                <w:sz w:val="20"/>
                <w:szCs w:val="20"/>
              </w:rPr>
            </w:pPr>
            <w:r w:rsidRPr="001F224B">
              <w:rPr>
                <w:b/>
                <w:bCs/>
                <w:sz w:val="20"/>
                <w:szCs w:val="20"/>
              </w:rPr>
              <w:t>G.Nakdi</w:t>
            </w:r>
          </w:p>
        </w:tc>
      </w:tr>
      <w:tr w:rsidR="00751F82" w:rsidRPr="001F224B" w14:paraId="3AD404FA"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3B3BEB8" w14:textId="77777777" w:rsidR="00751F82" w:rsidRPr="001F224B" w:rsidRDefault="00751F82" w:rsidP="00ED7563">
            <w:pPr>
              <w:rPr>
                <w:sz w:val="20"/>
                <w:szCs w:val="20"/>
              </w:rPr>
            </w:pPr>
            <w:r w:rsidRPr="001F224B">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1A87F1F"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8219FC8"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CFB7521" w14:textId="77777777" w:rsidR="00751F82" w:rsidRPr="001F224B" w:rsidRDefault="00751F82" w:rsidP="00ED756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5C932AD"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2A9FFD2"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EC8077C" w14:textId="77777777" w:rsidR="00751F82" w:rsidRPr="001F224B" w:rsidRDefault="00751F82" w:rsidP="00ED7563">
            <w:pPr>
              <w:jc w:val="right"/>
              <w:rPr>
                <w:sz w:val="20"/>
                <w:szCs w:val="20"/>
              </w:rPr>
            </w:pPr>
            <w:r w:rsidRPr="001F224B">
              <w:rPr>
                <w:sz w:val="20"/>
                <w:szCs w:val="20"/>
              </w:rPr>
              <w:t>-</w:t>
            </w:r>
          </w:p>
        </w:tc>
      </w:tr>
      <w:tr w:rsidR="00751F82" w:rsidRPr="001F224B" w14:paraId="0338912D"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2CFB7FE" w14:textId="77777777" w:rsidR="00751F82" w:rsidRPr="001F224B" w:rsidRDefault="00751F82" w:rsidP="00ED7563">
            <w:pPr>
              <w:ind w:firstLineChars="100" w:firstLine="200"/>
              <w:rPr>
                <w:sz w:val="20"/>
                <w:szCs w:val="20"/>
              </w:rPr>
            </w:pPr>
            <w:r w:rsidRPr="001F224B">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25D28EED" w14:textId="77777777" w:rsidR="00751F82" w:rsidRPr="001F224B" w:rsidRDefault="00751F82" w:rsidP="00ED7563">
            <w:pPr>
              <w:jc w:val="right"/>
              <w:rPr>
                <w:sz w:val="20"/>
                <w:szCs w:val="20"/>
              </w:rPr>
            </w:pPr>
            <w:r w:rsidRPr="001F224B">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9C1D31F"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BCD0881" w14:textId="77777777" w:rsidR="00751F82" w:rsidRPr="001F224B" w:rsidRDefault="00751F82" w:rsidP="00ED756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3CC1833"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7C9467B"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FA18A04" w14:textId="77777777" w:rsidR="00751F82" w:rsidRPr="001F224B" w:rsidRDefault="00751F82" w:rsidP="00ED7563">
            <w:pPr>
              <w:jc w:val="right"/>
              <w:rPr>
                <w:sz w:val="20"/>
                <w:szCs w:val="20"/>
              </w:rPr>
            </w:pPr>
            <w:r w:rsidRPr="001F224B">
              <w:rPr>
                <w:sz w:val="20"/>
                <w:szCs w:val="20"/>
              </w:rPr>
              <w:t>-</w:t>
            </w:r>
          </w:p>
        </w:tc>
      </w:tr>
      <w:tr w:rsidR="00751F82" w:rsidRPr="001F224B" w14:paraId="36EA8815"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2C261708" w14:textId="77777777" w:rsidR="00751F82" w:rsidRPr="001F224B" w:rsidRDefault="00751F82" w:rsidP="00ED7563">
            <w:pPr>
              <w:ind w:firstLineChars="100" w:firstLine="200"/>
              <w:rPr>
                <w:sz w:val="20"/>
                <w:szCs w:val="20"/>
              </w:rPr>
            </w:pPr>
            <w:r w:rsidRPr="001F224B">
              <w:rPr>
                <w:sz w:val="20"/>
                <w:szCs w:val="20"/>
              </w:rPr>
              <w:t xml:space="preserve">Dönem Sonu Bakiyesi </w:t>
            </w:r>
            <w:r w:rsidRPr="001F224B">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4C4E63C7" w14:textId="3DF80F7B" w:rsidR="00751F82" w:rsidRPr="001F224B" w:rsidRDefault="00751F82" w:rsidP="00ED7563">
            <w:pPr>
              <w:jc w:val="right"/>
              <w:rPr>
                <w:sz w:val="20"/>
                <w:szCs w:val="20"/>
              </w:rPr>
            </w:pPr>
            <w:r w:rsidRPr="001F224B">
              <w:rPr>
                <w:sz w:val="20"/>
                <w:szCs w:val="20"/>
              </w:rPr>
              <w:t>3.85</w:t>
            </w:r>
            <w:r w:rsidR="00260F1C" w:rsidRPr="001F224B">
              <w:rPr>
                <w:sz w:val="20"/>
                <w:szCs w:val="20"/>
              </w:rPr>
              <w:t>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65699EA"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35B90ED" w14:textId="77777777" w:rsidR="00751F82" w:rsidRPr="001F224B" w:rsidRDefault="00751F82" w:rsidP="00ED756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1AD3DC18"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CAF5245"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CF3FAD4" w14:textId="77777777" w:rsidR="00751F82" w:rsidRPr="001F224B" w:rsidRDefault="00751F82" w:rsidP="00ED7563">
            <w:pPr>
              <w:jc w:val="right"/>
              <w:rPr>
                <w:sz w:val="20"/>
                <w:szCs w:val="20"/>
              </w:rPr>
            </w:pPr>
            <w:r w:rsidRPr="001F224B">
              <w:rPr>
                <w:sz w:val="20"/>
                <w:szCs w:val="20"/>
              </w:rPr>
              <w:t>-</w:t>
            </w:r>
          </w:p>
        </w:tc>
      </w:tr>
      <w:tr w:rsidR="00751F82" w:rsidRPr="001F224B" w14:paraId="5365787B"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E736B36" w14:textId="77777777" w:rsidR="00751F82" w:rsidRPr="001F224B" w:rsidRDefault="00751F82" w:rsidP="00ED7563">
            <w:pPr>
              <w:ind w:left="209" w:hanging="209"/>
              <w:rPr>
                <w:sz w:val="20"/>
                <w:szCs w:val="20"/>
              </w:rPr>
            </w:pPr>
            <w:r w:rsidRPr="001F224B">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0CE4F1CE"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61D10A0"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413AB15" w14:textId="77777777" w:rsidR="00751F82" w:rsidRPr="001F224B" w:rsidRDefault="00751F82" w:rsidP="00ED7563">
            <w:pPr>
              <w:jc w:val="right"/>
              <w:rPr>
                <w:sz w:val="20"/>
                <w:szCs w:val="20"/>
              </w:rPr>
            </w:pPr>
            <w:r w:rsidRPr="001F224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197201D"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DB7F06B" w14:textId="77777777" w:rsidR="00751F82" w:rsidRPr="001F224B" w:rsidRDefault="00751F82" w:rsidP="00ED7563">
            <w:pPr>
              <w:jc w:val="right"/>
              <w:rPr>
                <w:sz w:val="20"/>
                <w:szCs w:val="20"/>
              </w:rPr>
            </w:pPr>
            <w:r w:rsidRPr="001F224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48F2AB1" w14:textId="77777777" w:rsidR="00751F82" w:rsidRPr="001F224B" w:rsidRDefault="00751F82" w:rsidP="00ED7563">
            <w:pPr>
              <w:jc w:val="right"/>
              <w:rPr>
                <w:sz w:val="20"/>
                <w:szCs w:val="20"/>
              </w:rPr>
            </w:pPr>
            <w:r w:rsidRPr="001F224B">
              <w:rPr>
                <w:sz w:val="20"/>
                <w:szCs w:val="20"/>
              </w:rPr>
              <w:t>-</w:t>
            </w:r>
          </w:p>
        </w:tc>
      </w:tr>
    </w:tbl>
    <w:p w14:paraId="1FEC26AC" w14:textId="77777777" w:rsidR="00D6205A" w:rsidRPr="001F224B" w:rsidRDefault="00D6205A" w:rsidP="00D6205A">
      <w:pPr>
        <w:pStyle w:val="ListParagraph"/>
        <w:tabs>
          <w:tab w:val="left" w:pos="1276"/>
        </w:tabs>
        <w:spacing w:before="60"/>
        <w:ind w:left="426" w:hanging="426"/>
        <w:jc w:val="both"/>
        <w:rPr>
          <w:b/>
          <w:bCs/>
          <w:sz w:val="22"/>
          <w:szCs w:val="22"/>
        </w:rPr>
      </w:pPr>
      <w:r w:rsidRPr="001F224B">
        <w:rPr>
          <w:sz w:val="16"/>
          <w:szCs w:val="16"/>
          <w:vertAlign w:val="superscript"/>
        </w:rPr>
        <w:t>(*)</w:t>
      </w:r>
      <w:r w:rsidRPr="001F224B">
        <w:rPr>
          <w:sz w:val="16"/>
          <w:szCs w:val="16"/>
        </w:rPr>
        <w:tab/>
        <w:t>Banka bağlı ortaklığı olan (İflas Nedeniyle Tasfiye Halinde) Arıcak A.Ş.’ye kullandırılan 3.856 TL tutarındaki krediyi V. Grup kredilerde izlemektedir. Söz konusu kredi için 3.856 TL üçüncü aşama beklenen zarar karşılığı ayrılmıştır.</w:t>
      </w:r>
    </w:p>
    <w:p w14:paraId="6B583CBE" w14:textId="3AD2E951" w:rsidR="0007684D" w:rsidRPr="001F224B" w:rsidRDefault="0007684D" w:rsidP="009165DE">
      <w:pPr>
        <w:pStyle w:val="ListParagraph"/>
        <w:numPr>
          <w:ilvl w:val="0"/>
          <w:numId w:val="42"/>
        </w:numPr>
        <w:tabs>
          <w:tab w:val="left" w:pos="567"/>
        </w:tabs>
        <w:spacing w:before="120" w:after="120"/>
        <w:ind w:left="567" w:hanging="567"/>
        <w:jc w:val="both"/>
        <w:rPr>
          <w:b/>
          <w:bCs/>
          <w:sz w:val="22"/>
          <w:szCs w:val="22"/>
        </w:rPr>
      </w:pPr>
      <w:r w:rsidRPr="001F224B">
        <w:rPr>
          <w:b/>
          <w:bCs/>
          <w:sz w:val="22"/>
          <w:szCs w:val="22"/>
        </w:rPr>
        <w:t>Ana Ortaklık Banka’nın dahil olduğu risk grubu ile yaptığı vadeli işlemler ile opsiyon sözleşmeleri ile benzeri diğer sözleşmelere ilişkin bilgiler:</w:t>
      </w:r>
    </w:p>
    <w:p w14:paraId="331F29BA" w14:textId="77777777" w:rsidR="0007684D" w:rsidRPr="001F224B" w:rsidRDefault="0007684D" w:rsidP="0007684D">
      <w:pPr>
        <w:tabs>
          <w:tab w:val="left" w:pos="567"/>
        </w:tabs>
        <w:spacing w:before="120" w:after="120"/>
        <w:ind w:left="567"/>
        <w:rPr>
          <w:sz w:val="22"/>
          <w:szCs w:val="22"/>
        </w:rPr>
      </w:pPr>
      <w:r w:rsidRPr="001F224B">
        <w:rPr>
          <w:sz w:val="22"/>
          <w:szCs w:val="22"/>
        </w:rPr>
        <w:t>Bulunmamaktadır.</w:t>
      </w:r>
    </w:p>
    <w:p w14:paraId="619F5FAD" w14:textId="2324E93E" w:rsidR="00A67777" w:rsidRPr="001F224B" w:rsidRDefault="009165DE" w:rsidP="00607942">
      <w:pPr>
        <w:tabs>
          <w:tab w:val="left" w:pos="567"/>
        </w:tabs>
        <w:ind w:left="709" w:hanging="709"/>
        <w:jc w:val="both"/>
        <w:rPr>
          <w:rFonts w:eastAsia="Arial Unicode MS"/>
          <w:b/>
          <w:bCs/>
          <w:sz w:val="22"/>
          <w:szCs w:val="22"/>
        </w:rPr>
      </w:pPr>
      <w:r w:rsidRPr="001F224B">
        <w:rPr>
          <w:rFonts w:eastAsia="Arial Unicode MS"/>
          <w:b/>
          <w:bCs/>
          <w:sz w:val="22"/>
          <w:szCs w:val="22"/>
        </w:rPr>
        <w:t>d</w:t>
      </w:r>
      <w:r w:rsidR="0007684D" w:rsidRPr="001F224B">
        <w:rPr>
          <w:rFonts w:eastAsia="Arial Unicode MS"/>
          <w:b/>
          <w:bCs/>
          <w:sz w:val="22"/>
          <w:szCs w:val="22"/>
        </w:rPr>
        <w:t>)</w:t>
      </w:r>
      <w:r w:rsidR="0007684D" w:rsidRPr="001F224B">
        <w:rPr>
          <w:rFonts w:eastAsia="Arial Unicode MS"/>
          <w:b/>
          <w:bCs/>
          <w:sz w:val="22"/>
          <w:szCs w:val="22"/>
        </w:rPr>
        <w:tab/>
        <w:t xml:space="preserve">Ana Ortaklık </w:t>
      </w:r>
      <w:r w:rsidR="00012B8F" w:rsidRPr="001F224B">
        <w:rPr>
          <w:rFonts w:eastAsia="Arial Unicode MS"/>
          <w:b/>
          <w:bCs/>
          <w:sz w:val="22"/>
          <w:szCs w:val="22"/>
        </w:rPr>
        <w:t>B</w:t>
      </w:r>
      <w:r w:rsidR="0007684D" w:rsidRPr="001F224B">
        <w:rPr>
          <w:rFonts w:eastAsia="Arial Unicode MS"/>
          <w:b/>
          <w:bCs/>
          <w:sz w:val="22"/>
          <w:szCs w:val="22"/>
        </w:rPr>
        <w:t>anka üst yönetimine ödenen ücretlere ilişkin bilgiler:</w:t>
      </w:r>
    </w:p>
    <w:p w14:paraId="30A95E1E" w14:textId="60DF0041" w:rsidR="00607942" w:rsidRPr="001F224B" w:rsidRDefault="00607942" w:rsidP="00607942">
      <w:pPr>
        <w:spacing w:before="120" w:after="120"/>
        <w:ind w:left="567"/>
        <w:jc w:val="both"/>
        <w:rPr>
          <w:rFonts w:eastAsia="Arial Unicode MS"/>
          <w:sz w:val="22"/>
          <w:szCs w:val="22"/>
        </w:rPr>
      </w:pPr>
      <w:r w:rsidRPr="001F224B">
        <w:rPr>
          <w:rFonts w:eastAsia="Arial Unicode MS"/>
          <w:sz w:val="22"/>
          <w:szCs w:val="22"/>
        </w:rPr>
        <w:t xml:space="preserve">Ana Ortaklık Banka üst yönetimine sağlanan faydalar toplamı </w:t>
      </w:r>
      <w:r w:rsidR="00EC7B49" w:rsidRPr="001F224B">
        <w:rPr>
          <w:rFonts w:eastAsia="Arial Unicode MS"/>
          <w:sz w:val="22"/>
          <w:szCs w:val="22"/>
        </w:rPr>
        <w:t>68.014</w:t>
      </w:r>
      <w:r w:rsidR="002E37FF" w:rsidRPr="001F224B">
        <w:rPr>
          <w:rFonts w:eastAsia="Arial Unicode MS"/>
          <w:sz w:val="22"/>
          <w:szCs w:val="22"/>
        </w:rPr>
        <w:t xml:space="preserve"> </w:t>
      </w:r>
      <w:r w:rsidRPr="001F224B">
        <w:rPr>
          <w:rFonts w:eastAsia="Arial Unicode MS"/>
          <w:sz w:val="22"/>
          <w:szCs w:val="22"/>
        </w:rPr>
        <w:t>TL’dir (</w:t>
      </w:r>
      <w:r w:rsidR="009B1ECC" w:rsidRPr="001F224B">
        <w:rPr>
          <w:rFonts w:eastAsia="Arial Unicode MS"/>
          <w:sz w:val="22"/>
          <w:szCs w:val="22"/>
        </w:rPr>
        <w:t>3</w:t>
      </w:r>
      <w:r w:rsidR="009D5FCC" w:rsidRPr="001F224B">
        <w:rPr>
          <w:rFonts w:eastAsia="Arial Unicode MS"/>
          <w:sz w:val="22"/>
          <w:szCs w:val="22"/>
        </w:rPr>
        <w:t>0 Haziran</w:t>
      </w:r>
      <w:r w:rsidR="004A61D8" w:rsidRPr="001F224B">
        <w:rPr>
          <w:rFonts w:eastAsia="Arial Unicode MS"/>
          <w:sz w:val="22"/>
          <w:szCs w:val="22"/>
        </w:rPr>
        <w:t xml:space="preserve"> </w:t>
      </w:r>
      <w:r w:rsidRPr="001F224B">
        <w:rPr>
          <w:rFonts w:eastAsia="Arial Unicode MS"/>
          <w:sz w:val="22"/>
          <w:szCs w:val="22"/>
        </w:rPr>
        <w:t>202</w:t>
      </w:r>
      <w:r w:rsidR="00072423" w:rsidRPr="001F224B">
        <w:rPr>
          <w:rFonts w:eastAsia="Arial Unicode MS"/>
          <w:sz w:val="22"/>
          <w:szCs w:val="22"/>
        </w:rPr>
        <w:t>4</w:t>
      </w:r>
      <w:r w:rsidRPr="001F224B">
        <w:rPr>
          <w:rFonts w:eastAsia="Arial Unicode MS"/>
          <w:sz w:val="22"/>
          <w:szCs w:val="22"/>
        </w:rPr>
        <w:t xml:space="preserve">: </w:t>
      </w:r>
      <w:r w:rsidR="009D5FCC" w:rsidRPr="001F224B">
        <w:rPr>
          <w:rFonts w:eastAsia="Arial Unicode MS"/>
          <w:sz w:val="22"/>
          <w:szCs w:val="22"/>
        </w:rPr>
        <w:t xml:space="preserve">38.411 </w:t>
      </w:r>
      <w:r w:rsidRPr="001F224B">
        <w:rPr>
          <w:rFonts w:eastAsia="Arial Unicode MS"/>
          <w:sz w:val="22"/>
          <w:szCs w:val="22"/>
        </w:rPr>
        <w:t>TL).</w:t>
      </w:r>
    </w:p>
    <w:p w14:paraId="431A0923" w14:textId="1F71C98F" w:rsidR="00827F65" w:rsidRPr="001F224B" w:rsidRDefault="00827F65" w:rsidP="00607942">
      <w:pPr>
        <w:spacing w:before="120" w:after="120"/>
        <w:ind w:left="567"/>
        <w:jc w:val="both"/>
        <w:rPr>
          <w:b/>
          <w:bCs/>
          <w:sz w:val="22"/>
          <w:szCs w:val="22"/>
        </w:rPr>
      </w:pPr>
    </w:p>
    <w:p w14:paraId="6B4E3003" w14:textId="3194E4B8" w:rsidR="00962388" w:rsidRPr="001F224B" w:rsidRDefault="00962388" w:rsidP="00607942">
      <w:pPr>
        <w:spacing w:before="120" w:after="120"/>
        <w:ind w:left="567"/>
        <w:jc w:val="both"/>
        <w:rPr>
          <w:b/>
          <w:bCs/>
          <w:sz w:val="22"/>
          <w:szCs w:val="22"/>
        </w:rPr>
      </w:pPr>
    </w:p>
    <w:p w14:paraId="3817239D" w14:textId="38CDAD90" w:rsidR="00E94B67" w:rsidRPr="001F224B" w:rsidRDefault="00E94B67">
      <w:pPr>
        <w:rPr>
          <w:b/>
          <w:bCs/>
          <w:sz w:val="22"/>
          <w:szCs w:val="22"/>
        </w:rPr>
      </w:pPr>
      <w:r w:rsidRPr="001F224B">
        <w:rPr>
          <w:b/>
          <w:bCs/>
          <w:sz w:val="22"/>
          <w:szCs w:val="22"/>
        </w:rPr>
        <w:br w:type="page"/>
      </w:r>
    </w:p>
    <w:p w14:paraId="26DF8FE8" w14:textId="77777777" w:rsidR="00A17FBB" w:rsidRPr="001F224B" w:rsidRDefault="00A17FBB" w:rsidP="00A17FBB">
      <w:pPr>
        <w:pStyle w:val="Heading2"/>
        <w:numPr>
          <w:ilvl w:val="0"/>
          <w:numId w:val="0"/>
        </w:numPr>
        <w:tabs>
          <w:tab w:val="left" w:pos="284"/>
        </w:tabs>
        <w:spacing w:after="120"/>
        <w:rPr>
          <w:rFonts w:ascii="Times New Roman" w:hAnsi="Times New Roman"/>
          <w:i w:val="0"/>
          <w:sz w:val="22"/>
          <w:szCs w:val="22"/>
        </w:rPr>
      </w:pPr>
      <w:r w:rsidRPr="001F224B">
        <w:rPr>
          <w:rFonts w:ascii="Times New Roman" w:hAnsi="Times New Roman"/>
          <w:i w:val="0"/>
          <w:sz w:val="22"/>
          <w:szCs w:val="22"/>
        </w:rPr>
        <w:t>ALTINCI BÖLÜM</w:t>
      </w:r>
    </w:p>
    <w:p w14:paraId="2F388FDB" w14:textId="77777777" w:rsidR="000540A7" w:rsidRPr="001F224B" w:rsidRDefault="000540A7" w:rsidP="000540A7">
      <w:pPr>
        <w:spacing w:before="120" w:after="120"/>
        <w:rPr>
          <w:b/>
          <w:bCs/>
          <w:sz w:val="22"/>
          <w:szCs w:val="22"/>
        </w:rPr>
      </w:pPr>
      <w:r w:rsidRPr="001F224B">
        <w:rPr>
          <w:b/>
          <w:bCs/>
          <w:sz w:val="22"/>
          <w:szCs w:val="22"/>
        </w:rPr>
        <w:t>DİĞER AÇIKLAMALAR</w:t>
      </w:r>
    </w:p>
    <w:p w14:paraId="27F38CF1" w14:textId="77777777" w:rsidR="000540A7" w:rsidRPr="001F224B" w:rsidRDefault="000540A7" w:rsidP="000540A7">
      <w:pPr>
        <w:pStyle w:val="BodyText"/>
        <w:tabs>
          <w:tab w:val="clear" w:pos="0"/>
          <w:tab w:val="clear" w:pos="720"/>
        </w:tabs>
        <w:ind w:left="567" w:hanging="567"/>
        <w:rPr>
          <w:b/>
          <w:bCs/>
          <w:sz w:val="22"/>
          <w:szCs w:val="22"/>
        </w:rPr>
      </w:pPr>
      <w:r w:rsidRPr="001F224B">
        <w:rPr>
          <w:b/>
          <w:bCs/>
          <w:sz w:val="22"/>
          <w:szCs w:val="22"/>
        </w:rPr>
        <w:t>I.</w:t>
      </w:r>
      <w:r w:rsidRPr="001F224B">
        <w:rPr>
          <w:b/>
          <w:bCs/>
          <w:sz w:val="22"/>
          <w:szCs w:val="22"/>
        </w:rPr>
        <w:tab/>
        <w:t>Sınırlı denetim raporuna ilişkin olarak açıklanması gereken hususlar:</w:t>
      </w:r>
    </w:p>
    <w:p w14:paraId="4572BEDC" w14:textId="2994F1AC" w:rsidR="000540A7" w:rsidRPr="001F224B" w:rsidRDefault="000540A7" w:rsidP="000540A7">
      <w:pPr>
        <w:tabs>
          <w:tab w:val="left" w:pos="567"/>
          <w:tab w:val="left" w:pos="7455"/>
        </w:tabs>
        <w:spacing w:before="120" w:after="120"/>
        <w:ind w:left="567"/>
        <w:jc w:val="both"/>
        <w:rPr>
          <w:sz w:val="22"/>
          <w:szCs w:val="22"/>
        </w:rPr>
      </w:pPr>
      <w:r w:rsidRPr="001F224B">
        <w:rPr>
          <w:sz w:val="22"/>
          <w:szCs w:val="22"/>
        </w:rPr>
        <w:t xml:space="preserve">Grup’un </w:t>
      </w:r>
      <w:r w:rsidR="0054539A" w:rsidRPr="001F224B">
        <w:rPr>
          <w:sz w:val="22"/>
          <w:szCs w:val="22"/>
        </w:rPr>
        <w:t>30 Haziran</w:t>
      </w:r>
      <w:r w:rsidRPr="001F224B">
        <w:rPr>
          <w:sz w:val="22"/>
          <w:szCs w:val="22"/>
        </w:rPr>
        <w:t xml:space="preserve"> 2025 tarihli konsolide finansal tabloları Güney Bağımsız Denetim ve Serbest Muhasebeci Mali Müşavirlik A.Ş. (a member firm of Ernst&amp;Young Global Limited) tarafından sınırlı denetime tabi tutulmuş olup 2</w:t>
      </w:r>
      <w:r w:rsidR="00A37336" w:rsidRPr="001F224B">
        <w:rPr>
          <w:sz w:val="22"/>
          <w:szCs w:val="22"/>
        </w:rPr>
        <w:t>4 Temmuz</w:t>
      </w:r>
      <w:r w:rsidRPr="001F224B">
        <w:rPr>
          <w:sz w:val="22"/>
          <w:szCs w:val="22"/>
        </w:rPr>
        <w:t xml:space="preserve"> 202</w:t>
      </w:r>
      <w:r w:rsidR="00370C93" w:rsidRPr="001F224B">
        <w:rPr>
          <w:sz w:val="22"/>
          <w:szCs w:val="22"/>
        </w:rPr>
        <w:t>5</w:t>
      </w:r>
      <w:r w:rsidRPr="001F224B">
        <w:rPr>
          <w:sz w:val="22"/>
          <w:szCs w:val="22"/>
        </w:rPr>
        <w:t xml:space="preserve"> tarihli sınırlı denetim raporu finansal tabloların önünde sunulmuştur.</w:t>
      </w:r>
    </w:p>
    <w:p w14:paraId="5E10D86F" w14:textId="77777777" w:rsidR="000540A7" w:rsidRPr="001F224B" w:rsidRDefault="000540A7" w:rsidP="000540A7">
      <w:pPr>
        <w:spacing w:before="120" w:after="120"/>
        <w:ind w:left="567" w:hanging="567"/>
        <w:jc w:val="both"/>
        <w:rPr>
          <w:b/>
          <w:bCs/>
          <w:sz w:val="22"/>
          <w:szCs w:val="22"/>
        </w:rPr>
      </w:pPr>
      <w:r w:rsidRPr="001F224B">
        <w:rPr>
          <w:b/>
          <w:bCs/>
          <w:sz w:val="22"/>
          <w:szCs w:val="22"/>
        </w:rPr>
        <w:t>II.</w:t>
      </w:r>
      <w:r w:rsidRPr="001F224B">
        <w:rPr>
          <w:b/>
          <w:bCs/>
          <w:sz w:val="22"/>
          <w:szCs w:val="22"/>
        </w:rPr>
        <w:tab/>
        <w:t>Bilanço sonrası hususlara ilişkin açıklama ve dipnotlar:</w:t>
      </w:r>
    </w:p>
    <w:p w14:paraId="2DFB3B5F" w14:textId="77777777" w:rsidR="001A58B5" w:rsidRPr="001F224B" w:rsidRDefault="001A58B5" w:rsidP="001A58B5">
      <w:pPr>
        <w:autoSpaceDE w:val="0"/>
        <w:autoSpaceDN w:val="0"/>
        <w:spacing w:before="40" w:after="40"/>
        <w:ind w:left="567"/>
        <w:rPr>
          <w:sz w:val="22"/>
          <w:szCs w:val="22"/>
        </w:rPr>
      </w:pPr>
      <w:proofErr w:type="spellStart"/>
      <w:r w:rsidRPr="001F224B">
        <w:rPr>
          <w:sz w:val="22"/>
          <w:szCs w:val="22"/>
        </w:rPr>
        <w:t>Fitch</w:t>
      </w:r>
      <w:proofErr w:type="spellEnd"/>
      <w:r w:rsidRPr="001F224B">
        <w:rPr>
          <w:sz w:val="22"/>
          <w:szCs w:val="22"/>
        </w:rPr>
        <w:t xml:space="preserve"> </w:t>
      </w:r>
      <w:proofErr w:type="spellStart"/>
      <w:r w:rsidRPr="001F224B">
        <w:rPr>
          <w:sz w:val="22"/>
          <w:szCs w:val="22"/>
        </w:rPr>
        <w:t>Ratings</w:t>
      </w:r>
      <w:proofErr w:type="spellEnd"/>
      <w:r w:rsidRPr="001F224B">
        <w:rPr>
          <w:sz w:val="22"/>
          <w:szCs w:val="22"/>
        </w:rPr>
        <w:t xml:space="preserve"> tarafından Banka kredi derecelendirme notu 11 Temmuz 2025 itibarıyla BB- ve görünümü durağan olarak teyit edilmiştir. </w:t>
      </w:r>
    </w:p>
    <w:p w14:paraId="790945DD" w14:textId="4936CFB3" w:rsidR="003C0AEC" w:rsidRPr="001F224B" w:rsidRDefault="0018155B" w:rsidP="0018155B">
      <w:pPr>
        <w:spacing w:after="240"/>
        <w:ind w:left="567"/>
        <w:jc w:val="both"/>
        <w:rPr>
          <w:b/>
          <w:bCs/>
          <w:sz w:val="22"/>
          <w:szCs w:val="22"/>
        </w:rPr>
        <w:sectPr w:rsidR="003C0AEC" w:rsidRPr="001F224B" w:rsidSect="00A17FBB">
          <w:footerReference w:type="default" r:id="rId102"/>
          <w:headerReference w:type="first" r:id="rId103"/>
          <w:footerReference w:type="first" r:id="rId104"/>
          <w:pgSz w:w="11907" w:h="16840" w:code="9"/>
          <w:pgMar w:top="1650" w:right="964" w:bottom="567" w:left="1134" w:header="624" w:footer="397" w:gutter="0"/>
          <w:cols w:space="708"/>
          <w:docGrid w:linePitch="326"/>
        </w:sectPr>
      </w:pPr>
      <w:r w:rsidRPr="001F224B">
        <w:rPr>
          <w:b/>
          <w:bCs/>
          <w:sz w:val="22"/>
          <w:szCs w:val="22"/>
        </w:rPr>
        <w:br w:type="page"/>
      </w:r>
    </w:p>
    <w:p w14:paraId="31CEBB5C" w14:textId="77777777" w:rsidR="00C81242" w:rsidRPr="001F224B" w:rsidRDefault="00C81242" w:rsidP="00C81242">
      <w:pPr>
        <w:spacing w:before="120" w:after="120"/>
        <w:rPr>
          <w:b/>
          <w:bCs/>
          <w:sz w:val="22"/>
          <w:szCs w:val="22"/>
        </w:rPr>
      </w:pPr>
      <w:r w:rsidRPr="001F224B">
        <w:rPr>
          <w:b/>
          <w:bCs/>
          <w:sz w:val="22"/>
          <w:szCs w:val="22"/>
        </w:rPr>
        <w:t>YEDİNCİ BÖLÜM</w:t>
      </w:r>
    </w:p>
    <w:p w14:paraId="3FCC0DEA" w14:textId="79E539EA" w:rsidR="002B383F" w:rsidRPr="001F224B" w:rsidRDefault="002B383F" w:rsidP="002B383F">
      <w:pPr>
        <w:spacing w:before="120" w:after="120"/>
        <w:rPr>
          <w:b/>
          <w:bCs/>
          <w:sz w:val="22"/>
          <w:szCs w:val="22"/>
        </w:rPr>
      </w:pPr>
      <w:r w:rsidRPr="001F224B">
        <w:rPr>
          <w:b/>
          <w:bCs/>
          <w:sz w:val="22"/>
          <w:szCs w:val="22"/>
        </w:rPr>
        <w:t xml:space="preserve">KONSOLİDE ARA DÖNEM FAALİYET RAPORU </w:t>
      </w:r>
    </w:p>
    <w:p w14:paraId="276FF05C" w14:textId="77777777" w:rsidR="00C81242" w:rsidRPr="001F224B" w:rsidRDefault="00C81242" w:rsidP="00C81242">
      <w:pPr>
        <w:rPr>
          <w:sz w:val="22"/>
          <w:szCs w:val="22"/>
        </w:rPr>
      </w:pPr>
      <w:r w:rsidRPr="001F224B">
        <w:rPr>
          <w:b/>
          <w:sz w:val="22"/>
          <w:szCs w:val="22"/>
        </w:rPr>
        <w:t>I.       Yönetim Kurulu Başkanı’nın  Değerlendirmesi</w:t>
      </w:r>
    </w:p>
    <w:p w14:paraId="475EE68B"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Değerli Paydaşlarımız,</w:t>
      </w:r>
    </w:p>
    <w:p w14:paraId="1EBF2ACE"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2025 yılının ikinci çeyreğinde gelişmiş ülkelerde enflasyon, azalma eğilimini sürdürürken, merkez bankaları temkinli para politikası yaklaşımlarını korumuştur. Küresel ticaret hacmi, jeopolitik gelişmeler ve gümrük tarifelerinin ticaret akışlarını şekillendirmesiyle dalgalı bir seyir izlemiş; artan tarifelerin etkisiyle ticaret hacminde yavaşlama riski belirginleşmiştir.</w:t>
      </w:r>
    </w:p>
    <w:p w14:paraId="26D9DF2E"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2025 yılının ikinci çeyreğine ilişkin ilk veriler, Türkiye ekonomisinin ılımlı büyüme performansını koruduğuna işaret etmektedir. Enflasyonla mücadele kapsamında uygulanan politikalar kapsamında talep bileşenleri arasında dengelenme devam ederken, enflasyon görünümündeki iyileşme belirginleşmiştir.</w:t>
      </w:r>
    </w:p>
    <w:p w14:paraId="0F539FFC"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Bankamız, yılın ilk altı ayında uluslararası finansman kuruluşlarıyla iş birliklerini sürdürmüş; hayata geçirdiği projelerle finansal performansındaki güçlü seyrini korumuştur. 2025 yılı ikinci çeyreğinde Bankamızın aktifleri geçen yılın aynı dönemine göre yüzde 28,6, faaliyet gelirleri ise yüzde 39,6 oranında artmıştır. Toplam aktifimizin yüzde 59’unu oluşturan kredi portföyümüz, Haziran sonu itibarıyla yüzde 19 artarak 109,3 milyar TL'ye yükselmiştir. Sermaye yeterlilik oranı ise %20,08 olmuştur.</w:t>
      </w:r>
    </w:p>
    <w:p w14:paraId="162D49D6"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Kalkınma ve yatırım bankacılığı misyonumuz doğrultusunda, ülkemizin üretim gücünü artıran, teknoloji odaklı dönüşümünü hızlandıran ve yüksek toplumsal etki yaratan projelere uzun vadeli finansman sağlamayı sürdürmekteyiz. Toplumsal refahı önceleyen bütüncül yaklaşımımızla; yeşil finansman, dijital dönüşüm, KOBİ'lerin güçlendirilmesi, enerji verimliliği, katma değerli üretim ve nitelikli istihdam yaratma alanlarında somut katkılar sunmakta, sürdürülebilir kalkınma hedeflerine değer katmaktayız. Finansal araçlarımızı kalkınma odaklı etkiyi artıracak şekilde çeşitlendirirken, tüm paydaşlarımız için uzun vadeli değer yaratmayı temel önceliğimiz olarak görmekteyiz. Sorumlu bankacılık anlayışımızla; iklim kriziyle mücadele, kapsayıcı büyüme ile yeşil ve dijital dönüşüm alanlarında Türkiye’nin stratejik hedeflerine katkı sunan projeleri desteklemeye devam etmekteyiz. Çevresel ve toplumsal etkiyi odağımıza alarak, sürdürülebilir kalkınmayı güçlendiren ve ekonomik dönüşümü destekleyen yatırımların finansmanında aktif rol üstlenmekteyiz.</w:t>
      </w:r>
    </w:p>
    <w:p w14:paraId="62764E90"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Türkiye Kalkınma ve Yatırım Bankası, güçlü sermaye yapısı, nitelikli insan kaynağı ve yarım asırlık köklü birikimiyle; ülkemizin sürdürülebilir kalkınma hedefleri doğrultusunda, stratejik projelere değer katan çözümler üretmeye ve kalkınma vizyonuna katkı sunmaya kararlılıkla devam edecektir.</w:t>
      </w:r>
    </w:p>
    <w:p w14:paraId="6FB0D083" w14:textId="77777777" w:rsidR="00B85C4D" w:rsidRPr="001F224B" w:rsidRDefault="00B85C4D" w:rsidP="00B85C4D">
      <w:pPr>
        <w:spacing w:after="160" w:line="259" w:lineRule="auto"/>
        <w:rPr>
          <w:rFonts w:eastAsia="Calibri"/>
          <w:b/>
          <w:bCs/>
        </w:rPr>
      </w:pPr>
      <w:r w:rsidRPr="001F224B">
        <w:rPr>
          <w:rFonts w:eastAsia="Calibri"/>
          <w:b/>
          <w:bCs/>
        </w:rPr>
        <w:t xml:space="preserve">                                                                                                                                            </w:t>
      </w:r>
    </w:p>
    <w:p w14:paraId="6D3C2880" w14:textId="77777777" w:rsidR="00B85C4D" w:rsidRPr="001F224B" w:rsidRDefault="00B85C4D" w:rsidP="00B85C4D">
      <w:pPr>
        <w:tabs>
          <w:tab w:val="left" w:pos="567"/>
        </w:tabs>
        <w:ind w:left="567" w:firstLine="6663"/>
        <w:jc w:val="center"/>
        <w:rPr>
          <w:b/>
          <w:sz w:val="22"/>
          <w:szCs w:val="22"/>
        </w:rPr>
      </w:pPr>
      <w:r w:rsidRPr="001F224B">
        <w:rPr>
          <w:b/>
          <w:sz w:val="22"/>
          <w:szCs w:val="22"/>
        </w:rPr>
        <w:t xml:space="preserve">Dr. Raci KAYA                  </w:t>
      </w:r>
    </w:p>
    <w:p w14:paraId="37EA9A88" w14:textId="77777777" w:rsidR="00B85C4D" w:rsidRPr="001F224B" w:rsidRDefault="00B85C4D" w:rsidP="00B85C4D">
      <w:pPr>
        <w:tabs>
          <w:tab w:val="left" w:pos="567"/>
        </w:tabs>
        <w:ind w:left="567" w:hanging="567"/>
        <w:jc w:val="center"/>
        <w:rPr>
          <w:b/>
          <w:sz w:val="22"/>
          <w:szCs w:val="22"/>
        </w:rPr>
      </w:pP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t>Yönetim Kurulu Başkanı</w:t>
      </w:r>
    </w:p>
    <w:p w14:paraId="0849A194" w14:textId="690C0AC4" w:rsidR="00B85C4D" w:rsidRPr="001F224B" w:rsidRDefault="00B85C4D">
      <w:pPr>
        <w:rPr>
          <w:b/>
          <w:bCs/>
          <w:sz w:val="22"/>
          <w:szCs w:val="22"/>
        </w:rPr>
      </w:pPr>
      <w:r w:rsidRPr="001F224B">
        <w:rPr>
          <w:b/>
          <w:bCs/>
          <w:sz w:val="22"/>
          <w:szCs w:val="22"/>
        </w:rPr>
        <w:br w:type="page"/>
      </w:r>
    </w:p>
    <w:p w14:paraId="2EBEE44C" w14:textId="77777777" w:rsidR="00C81242" w:rsidRPr="001F224B" w:rsidRDefault="00C81242" w:rsidP="00C81242">
      <w:pPr>
        <w:spacing w:before="120" w:after="120"/>
        <w:rPr>
          <w:b/>
          <w:bCs/>
          <w:sz w:val="22"/>
          <w:szCs w:val="22"/>
        </w:rPr>
      </w:pPr>
      <w:bookmarkStart w:id="41" w:name="_Hlk102047166"/>
      <w:r w:rsidRPr="001F224B">
        <w:rPr>
          <w:b/>
          <w:bCs/>
          <w:sz w:val="22"/>
          <w:szCs w:val="22"/>
        </w:rPr>
        <w:t>YEDİNCİ BÖLÜM (Devamı)</w:t>
      </w:r>
    </w:p>
    <w:p w14:paraId="5595892D" w14:textId="77777777" w:rsidR="002B383F" w:rsidRPr="001F224B" w:rsidRDefault="002B383F" w:rsidP="002B383F">
      <w:pPr>
        <w:spacing w:before="120" w:after="120"/>
        <w:rPr>
          <w:b/>
          <w:bCs/>
          <w:sz w:val="22"/>
          <w:szCs w:val="22"/>
        </w:rPr>
      </w:pPr>
      <w:r w:rsidRPr="001F224B">
        <w:rPr>
          <w:b/>
          <w:bCs/>
          <w:sz w:val="22"/>
          <w:szCs w:val="22"/>
        </w:rPr>
        <w:t>KONSOLİDE ARA DÖNEM FAALİYET RAPORU (Devamı)</w:t>
      </w:r>
    </w:p>
    <w:p w14:paraId="48BF4B01" w14:textId="77777777" w:rsidR="00C81242" w:rsidRPr="001F224B" w:rsidRDefault="00C81242" w:rsidP="00C81242">
      <w:pPr>
        <w:rPr>
          <w:sz w:val="22"/>
          <w:szCs w:val="22"/>
        </w:rPr>
      </w:pPr>
      <w:r w:rsidRPr="001F224B">
        <w:rPr>
          <w:b/>
          <w:sz w:val="22"/>
          <w:szCs w:val="22"/>
        </w:rPr>
        <w:t xml:space="preserve">II.      </w:t>
      </w:r>
      <w:r w:rsidRPr="001F224B">
        <w:rPr>
          <w:b/>
          <w:bCs/>
          <w:sz w:val="22"/>
          <w:szCs w:val="22"/>
        </w:rPr>
        <w:t>Genel Müdür ve Yönetim Kurulu Üyesi’nin Değerlendirmesi</w:t>
      </w:r>
      <w:bookmarkEnd w:id="41"/>
      <w:r w:rsidRPr="001F224B">
        <w:rPr>
          <w:sz w:val="22"/>
          <w:szCs w:val="22"/>
        </w:rPr>
        <w:t xml:space="preserve"> </w:t>
      </w:r>
    </w:p>
    <w:p w14:paraId="7F708E15"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Değerli Paydaşlarımız,</w:t>
      </w:r>
    </w:p>
    <w:p w14:paraId="1C07BCCF"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2025 yılının ilk yarısında ekonomideki dengelenme süreci devam etmiş, bu dönemde Türkiye ekonomisi yıllık bazda yüzde 2 oranında büyüme kaydetmiştir. Mevcut göstergeler doğrultusunda yılın ikinci yarısında ise ılımlı büyüme performansının devam etmesi beklenmektedir. İstikrarlı bir şekilde uygulanan mali programların etkisiyle; yıllık enflasyon düşüş eğilimini korumuş ve Haziran ayı itibarıyla yüzde 35 seviyesine gerilemiştir.</w:t>
      </w:r>
    </w:p>
    <w:p w14:paraId="6FE30A5E"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2025’in ikinci çeyreğinde kredilerin öncülüğünde büyümeye devam eden Türk bankacılık sektörünün aktif büyüklüğü Mayıs ayında önceki yıla göre yüzde 41,1 artarak 38,1 trilyon TL’ye ulaşmıştır. Bankacılık sektörü, güçlü sermaye yapısını korurken, dış finansman koşullarındaki iyileşme sektörün genel görünümünü desteklemeyi sürdürmüştür.</w:t>
      </w:r>
    </w:p>
    <w:p w14:paraId="7411A8B0"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2025 yılının ikinci çeyreğinde Bankamız finansal performansını güçlendirmeye devam etmiştir. Haziran sonu itibarıyla Bankamızın aktifleri, bir önceki yılın aynı dönemine göre yüzde 28,6 artarak 185 milyar TL'ye yükselmiş ve güçlü performans seyrini korumuştur. Kredilerimiz, bir önceki yılın aynı dönemine göre yüzde 19 artış göstererek 109,3 milyar TL'ye ulaşmıştır. Aktif kalitesinin önemli bir göstergesi olan brüt takipteki kredilerin toplam kredilere oranı ise azalış seyrini sürdürerek, yüzde 0,60 düzeyinde gerçekleşmiştir. Altı aylık dönem kârımız 4.017 milyon TL olarak kaydedilmiştir.</w:t>
      </w:r>
    </w:p>
    <w:p w14:paraId="6481618B"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Bu dönemde de uluslararası finans kuruluşlarıyla iş birlikleri güçlendiren Bankamız, yurt dışından kaynak temin etmeyi sürdürerek ülkemizdeki bölgesel kalkınma önceliklerine destek olmaya devam etmiştir. Bankamız 23 Mayıs 2025 tarihinde Dünya Bankası ile 6 Şubat 2023 Kahramanmaraş merkezli depremlerden etkilenen 11 il ve komşu 7 ilde kayıtlı istihdamın artırılmasına yönelik 500 milyon ABD Doları tutarında kredi anlaşması imzalamıştır. Bu kaynak ile bölgedeki işletmelerin yatırım ve işletme sermayesi ihtiyaçlarının karşılanması, istihdamın korunması ve yeni istihdam yaratılması hedeflenmektedir. Böylece, KOBİ’ler ve büyük ölçekli firmalara uzun vadeli finansman sağlanarak sürdürülebilir ekonomik toparlanmaya katkı sunulması amaçlanmaktadır.</w:t>
      </w:r>
    </w:p>
    <w:p w14:paraId="52880A34"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Yatırım bankacılığı faaliyetlerimiz kapsamında kamu ve özel sektör alanında birleşme ve satın alma ile finansal danışmanlık hizmetleri sunulmaya devam edilmiştir. Özelleştirme İdaresi’ne ait EÜAŞ enerji santralleri ve liman projeleri başta olmak üzere, 15 özel sektör projesinde münhasır finansal danışmanlık üstlenilmiştir. Bu çerçevede Kalamış Yat Limanı’nın işletme hakkı devri başarıyla tamamlanmıştır. Ayrıca teknoloji, start-</w:t>
      </w:r>
      <w:proofErr w:type="spellStart"/>
      <w:r w:rsidRPr="001F224B">
        <w:rPr>
          <w:sz w:val="22"/>
          <w:szCs w:val="22"/>
        </w:rPr>
        <w:t>up</w:t>
      </w:r>
      <w:proofErr w:type="spellEnd"/>
      <w:r w:rsidRPr="001F224B">
        <w:rPr>
          <w:sz w:val="22"/>
          <w:szCs w:val="22"/>
        </w:rPr>
        <w:t xml:space="preserve">, gıda ve e-ticaret gibi stratejik sektörlerde faaliyet gösteren firmaların stratejik ortaklık süreçlerine katkı sunulmuştur. Bu kapsamda Bankamız, </w:t>
      </w:r>
      <w:proofErr w:type="spellStart"/>
      <w:r w:rsidRPr="001F224B">
        <w:rPr>
          <w:sz w:val="22"/>
          <w:szCs w:val="22"/>
        </w:rPr>
        <w:t>Oleago</w:t>
      </w:r>
      <w:proofErr w:type="spellEnd"/>
      <w:r w:rsidRPr="001F224B">
        <w:rPr>
          <w:sz w:val="22"/>
          <w:szCs w:val="22"/>
        </w:rPr>
        <w:t xml:space="preserve"> </w:t>
      </w:r>
      <w:proofErr w:type="spellStart"/>
      <w:r w:rsidRPr="001F224B">
        <w:rPr>
          <w:sz w:val="22"/>
          <w:szCs w:val="22"/>
        </w:rPr>
        <w:t>Bio</w:t>
      </w:r>
      <w:proofErr w:type="spellEnd"/>
      <w:r w:rsidRPr="001F224B">
        <w:rPr>
          <w:sz w:val="22"/>
          <w:szCs w:val="22"/>
        </w:rPr>
        <w:t xml:space="preserve"> Deri ve Sürdürülebilirlik Ürünleri Sanayi Ticaret A.Ş.’</w:t>
      </w:r>
      <w:proofErr w:type="spellStart"/>
      <w:r w:rsidRPr="001F224B">
        <w:rPr>
          <w:sz w:val="22"/>
          <w:szCs w:val="22"/>
        </w:rPr>
        <w:t>nin</w:t>
      </w:r>
      <w:proofErr w:type="spellEnd"/>
      <w:r w:rsidRPr="001F224B">
        <w:rPr>
          <w:sz w:val="22"/>
          <w:szCs w:val="22"/>
        </w:rPr>
        <w:t xml:space="preserve"> kitle fonlama sürecinde münhasır finansal danışmanı olarak görev almıştır. Bankamız, yerli e-ticaret çözümleri sağlayıcısı </w:t>
      </w:r>
      <w:proofErr w:type="spellStart"/>
      <w:r w:rsidRPr="001F224B">
        <w:rPr>
          <w:sz w:val="22"/>
          <w:szCs w:val="22"/>
        </w:rPr>
        <w:t>Ticimax’in</w:t>
      </w:r>
      <w:proofErr w:type="spellEnd"/>
      <w:r w:rsidRPr="001F224B">
        <w:rPr>
          <w:sz w:val="22"/>
          <w:szCs w:val="22"/>
        </w:rPr>
        <w:t xml:space="preserve"> Avrupa’da faaliyet gösteren </w:t>
      </w:r>
      <w:proofErr w:type="spellStart"/>
      <w:proofErr w:type="gramStart"/>
      <w:r w:rsidRPr="001F224B">
        <w:rPr>
          <w:sz w:val="22"/>
          <w:szCs w:val="22"/>
        </w:rPr>
        <w:t>team.blue</w:t>
      </w:r>
      <w:proofErr w:type="spellEnd"/>
      <w:proofErr w:type="gramEnd"/>
      <w:r w:rsidRPr="001F224B">
        <w:rPr>
          <w:sz w:val="22"/>
          <w:szCs w:val="22"/>
        </w:rPr>
        <w:t xml:space="preserve"> ile stratejik ortaklık tesis etmesine yönelik görüşmelerde satıcı taraf danışman olarak yer almıştır.  </w:t>
      </w:r>
    </w:p>
    <w:p w14:paraId="47FC5EA2"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 xml:space="preserve">Sermaye piyasalarında aktif rol üstlenen Bankamız, Kalyon Güneş </w:t>
      </w:r>
      <w:proofErr w:type="spellStart"/>
      <w:r w:rsidRPr="001F224B">
        <w:rPr>
          <w:sz w:val="22"/>
          <w:szCs w:val="22"/>
        </w:rPr>
        <w:t>Teknolojileri’nin</w:t>
      </w:r>
      <w:proofErr w:type="spellEnd"/>
      <w:r w:rsidRPr="001F224B">
        <w:rPr>
          <w:sz w:val="22"/>
          <w:szCs w:val="22"/>
        </w:rPr>
        <w:t xml:space="preserve"> 3,26 milyar TL büyüklüğündeki halka arzında lider kurum olarak yer almıştır. Tarım teknolojileri alanında faaliyet gösteren </w:t>
      </w:r>
      <w:proofErr w:type="spellStart"/>
      <w:r w:rsidRPr="001F224B">
        <w:rPr>
          <w:sz w:val="22"/>
          <w:szCs w:val="22"/>
        </w:rPr>
        <w:t>Tarfin</w:t>
      </w:r>
      <w:proofErr w:type="spellEnd"/>
      <w:r w:rsidRPr="001F224B">
        <w:rPr>
          <w:sz w:val="22"/>
          <w:szCs w:val="22"/>
        </w:rPr>
        <w:t xml:space="preserve"> Tarım A.Ş. adına, Kalkınma Yatırım Varlık Kiralama A.Ş. aracılığıyla toplam 400 milyon TL tutarında </w:t>
      </w:r>
      <w:proofErr w:type="spellStart"/>
      <w:r w:rsidRPr="001F224B">
        <w:rPr>
          <w:sz w:val="22"/>
          <w:szCs w:val="22"/>
        </w:rPr>
        <w:t>sukuk</w:t>
      </w:r>
      <w:proofErr w:type="spellEnd"/>
      <w:r w:rsidRPr="001F224B">
        <w:rPr>
          <w:sz w:val="22"/>
          <w:szCs w:val="22"/>
        </w:rPr>
        <w:t xml:space="preserve"> ihracı başarıyla gerçekleştirilmiştir. Bankamız, yılın ikinci çeyreğinde de firmalara sürdürülebilirlik odaklı yasal raporlama yükümlülükleri ve çevresel, sosyal, yönetişim (ÇSY) alanlarında sürdürülebilirlik stratejileri oluşturulması konularında danışmanlık hizmeti sunmaya devam etmiştir.</w:t>
      </w:r>
    </w:p>
    <w:p w14:paraId="21D2BEDE" w14:textId="0195A5F0" w:rsidR="00B85C4D" w:rsidRPr="001F224B" w:rsidRDefault="00B85C4D">
      <w:pPr>
        <w:rPr>
          <w:b/>
          <w:bCs/>
          <w:sz w:val="22"/>
          <w:szCs w:val="22"/>
        </w:rPr>
      </w:pPr>
      <w:r w:rsidRPr="001F224B">
        <w:rPr>
          <w:b/>
          <w:bCs/>
          <w:sz w:val="22"/>
          <w:szCs w:val="22"/>
        </w:rPr>
        <w:br w:type="page"/>
      </w:r>
    </w:p>
    <w:p w14:paraId="1D922856" w14:textId="77777777" w:rsidR="00C81242" w:rsidRPr="001F224B" w:rsidRDefault="00C81242" w:rsidP="00C81242">
      <w:pPr>
        <w:spacing w:before="120" w:after="120"/>
        <w:rPr>
          <w:b/>
          <w:bCs/>
          <w:sz w:val="22"/>
          <w:szCs w:val="22"/>
        </w:rPr>
      </w:pPr>
      <w:r w:rsidRPr="001F224B">
        <w:rPr>
          <w:b/>
          <w:bCs/>
          <w:sz w:val="22"/>
          <w:szCs w:val="22"/>
        </w:rPr>
        <w:t>YEDİNCİ BÖLÜM (Devamı)</w:t>
      </w:r>
    </w:p>
    <w:p w14:paraId="52ACC696" w14:textId="77777777" w:rsidR="002B383F" w:rsidRPr="001F224B" w:rsidRDefault="002B383F" w:rsidP="002B383F">
      <w:pPr>
        <w:spacing w:before="120" w:after="120"/>
        <w:rPr>
          <w:b/>
          <w:bCs/>
          <w:sz w:val="22"/>
          <w:szCs w:val="22"/>
        </w:rPr>
      </w:pPr>
      <w:r w:rsidRPr="001F224B">
        <w:rPr>
          <w:b/>
          <w:bCs/>
          <w:sz w:val="22"/>
          <w:szCs w:val="22"/>
        </w:rPr>
        <w:t>KONSOLİDE ARA DÖNEM FAALİYET RAPORU (Devamı)</w:t>
      </w:r>
    </w:p>
    <w:p w14:paraId="393A7F4C" w14:textId="77777777" w:rsidR="00C81242" w:rsidRPr="001F224B" w:rsidRDefault="00C81242" w:rsidP="00C81242">
      <w:pPr>
        <w:tabs>
          <w:tab w:val="left" w:pos="567"/>
          <w:tab w:val="left" w:pos="7455"/>
        </w:tabs>
        <w:spacing w:before="120" w:after="120"/>
        <w:jc w:val="both"/>
        <w:rPr>
          <w:sz w:val="22"/>
          <w:szCs w:val="22"/>
        </w:rPr>
      </w:pPr>
      <w:r w:rsidRPr="001F224B">
        <w:rPr>
          <w:b/>
          <w:sz w:val="22"/>
          <w:szCs w:val="22"/>
        </w:rPr>
        <w:t xml:space="preserve">II.      </w:t>
      </w:r>
      <w:r w:rsidRPr="001F224B">
        <w:rPr>
          <w:b/>
          <w:bCs/>
          <w:sz w:val="22"/>
          <w:szCs w:val="22"/>
        </w:rPr>
        <w:t>Genel Müdür ve Yönetim Kurulu Üyesi’nin Değerlendirmesi (Devamı)</w:t>
      </w:r>
    </w:p>
    <w:p w14:paraId="6C14F180"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 xml:space="preserve">Girişimcilik ekosisteminin gelişiminde önemli bir rol üstlenen Türkiye Kalkınma Fonu aracılığıyla yılın ilk yarısında önemli yatırımlar gerçekleştirilmiştir. T.C. Hazine ve Maliye Bakanlığı’nın katkılarıyla kurulan TKYB Üst Fonu, </w:t>
      </w:r>
      <w:proofErr w:type="spellStart"/>
      <w:r w:rsidRPr="001F224B">
        <w:rPr>
          <w:sz w:val="22"/>
          <w:szCs w:val="22"/>
        </w:rPr>
        <w:t>Mediterra</w:t>
      </w:r>
      <w:proofErr w:type="spellEnd"/>
      <w:r w:rsidRPr="001F224B">
        <w:rPr>
          <w:sz w:val="22"/>
          <w:szCs w:val="22"/>
        </w:rPr>
        <w:t xml:space="preserve"> </w:t>
      </w:r>
      <w:proofErr w:type="spellStart"/>
      <w:r w:rsidRPr="001F224B">
        <w:rPr>
          <w:sz w:val="22"/>
          <w:szCs w:val="22"/>
        </w:rPr>
        <w:t>Capital</w:t>
      </w:r>
      <w:proofErr w:type="spellEnd"/>
      <w:r w:rsidRPr="001F224B">
        <w:rPr>
          <w:sz w:val="22"/>
          <w:szCs w:val="22"/>
        </w:rPr>
        <w:t xml:space="preserve"> ve </w:t>
      </w:r>
      <w:proofErr w:type="spellStart"/>
      <w:r w:rsidRPr="001F224B">
        <w:rPr>
          <w:sz w:val="22"/>
          <w:szCs w:val="22"/>
        </w:rPr>
        <w:t>Revo</w:t>
      </w:r>
      <w:proofErr w:type="spellEnd"/>
      <w:r w:rsidRPr="001F224B">
        <w:rPr>
          <w:sz w:val="22"/>
          <w:szCs w:val="22"/>
        </w:rPr>
        <w:t xml:space="preserve"> </w:t>
      </w:r>
      <w:proofErr w:type="spellStart"/>
      <w:r w:rsidRPr="001F224B">
        <w:rPr>
          <w:sz w:val="22"/>
          <w:szCs w:val="22"/>
        </w:rPr>
        <w:t>Capital’ın</w:t>
      </w:r>
      <w:proofErr w:type="spellEnd"/>
      <w:r w:rsidRPr="001F224B">
        <w:rPr>
          <w:sz w:val="22"/>
          <w:szCs w:val="22"/>
        </w:rPr>
        <w:t xml:space="preserve"> III. fonlarına yatırım yaparken, Invest101 Fonu aracılığıyla birçok yenilikçi şirketlere doğrudan yatırımlar gerçekleştirilmiştir.</w:t>
      </w:r>
    </w:p>
    <w:p w14:paraId="7A81B5B4"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 xml:space="preserve">Türkiye Kalkınma Fonu çatısı altındaki Teknoloji ve İnovasyon Fonu ile Yenilikçi ve İleri Teknolojiler Katılım GSYF aracılığıyla, yüksek teknoloji odaklı girişimlere yatırımlarımızı sürdürmekteyiz. Bu kapsamda; siber güvenlik, yapay zekâ, otonom mobil robot teknolojileri ve bulut bilişim altyapısı gibi stratejik alanlarda faaliyet gösteren yenilikçi şirketlere sermaye desteği sağlanmıştır. Böylece, Türkiye Kalkınma Fonu’nun girişimcilik ekosistemine aktardığı toplam kaynak miktarı, 37 doğrudan yatırım için </w:t>
      </w:r>
      <w:r w:rsidRPr="001F224B">
        <w:rPr>
          <w:b/>
          <w:bCs/>
          <w:sz w:val="22"/>
          <w:szCs w:val="22"/>
        </w:rPr>
        <w:t>26,2 milyon ABD Doları</w:t>
      </w:r>
      <w:r w:rsidRPr="001F224B">
        <w:rPr>
          <w:sz w:val="22"/>
          <w:szCs w:val="22"/>
        </w:rPr>
        <w:t xml:space="preserve">, 7 fon yatırımı için </w:t>
      </w:r>
      <w:r w:rsidRPr="001F224B">
        <w:rPr>
          <w:b/>
          <w:bCs/>
          <w:sz w:val="22"/>
          <w:szCs w:val="22"/>
        </w:rPr>
        <w:t>23,4 milyon ABD Doları</w:t>
      </w:r>
      <w:r w:rsidRPr="001F224B">
        <w:rPr>
          <w:sz w:val="22"/>
          <w:szCs w:val="22"/>
        </w:rPr>
        <w:t xml:space="preserve"> ve 355 TÜBİTAK </w:t>
      </w:r>
      <w:proofErr w:type="spellStart"/>
      <w:r w:rsidRPr="001F224B">
        <w:rPr>
          <w:sz w:val="22"/>
          <w:szCs w:val="22"/>
        </w:rPr>
        <w:t>BiGG</w:t>
      </w:r>
      <w:proofErr w:type="spellEnd"/>
      <w:r w:rsidRPr="001F224B">
        <w:rPr>
          <w:sz w:val="22"/>
          <w:szCs w:val="22"/>
        </w:rPr>
        <w:t xml:space="preserve"> girişimi için yaklaşık </w:t>
      </w:r>
      <w:r w:rsidRPr="001F224B">
        <w:rPr>
          <w:b/>
          <w:bCs/>
          <w:sz w:val="22"/>
          <w:szCs w:val="22"/>
        </w:rPr>
        <w:t>9,7 milyon ABD Doları</w:t>
      </w:r>
      <w:r w:rsidRPr="001F224B">
        <w:rPr>
          <w:sz w:val="22"/>
          <w:szCs w:val="22"/>
        </w:rPr>
        <w:t xml:space="preserve"> olmak üzere </w:t>
      </w:r>
      <w:r w:rsidRPr="001F224B">
        <w:rPr>
          <w:b/>
          <w:bCs/>
          <w:sz w:val="22"/>
          <w:szCs w:val="22"/>
        </w:rPr>
        <w:t>59 milyon ABD Doları</w:t>
      </w:r>
      <w:r w:rsidRPr="001F224B">
        <w:rPr>
          <w:sz w:val="22"/>
          <w:szCs w:val="22"/>
        </w:rPr>
        <w:t xml:space="preserve"> seviyesini aşmıştır. Türkiye Kalkınma Fonu yılın ikinci yarısında sürdüreceği hem doğrudan yatırımlar hem fon yatırımları ile girişimcilik ekosistemindeki rolünü pekiştirecektir.</w:t>
      </w:r>
    </w:p>
    <w:p w14:paraId="5D24C47B"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 xml:space="preserve">Dünya Bankası yönetiminde ve Avrupa Birliği FRIT-II Fonu destekli Kayıtlı İstihdam Yaratma Projesi (KAYİST) kapsamında, bugüne kadar 591 firma ile toplam 66,4 milyon Avro tutarında alt hibe sözleşmesi imzalanmış; 565 firma ile uygulama süreçleri devam etmektedir. 2025 yılı ikinci çeyreğinde yaklaşık 1,1 milyon Avro tutarında yeni ödeme yapılmış ve toplam alt hibe ödemesi 16,3 milyon </w:t>
      </w:r>
      <w:proofErr w:type="spellStart"/>
      <w:r w:rsidRPr="001F224B">
        <w:rPr>
          <w:sz w:val="22"/>
          <w:szCs w:val="22"/>
        </w:rPr>
        <w:t>Avro’ya</w:t>
      </w:r>
      <w:proofErr w:type="spellEnd"/>
      <w:r w:rsidRPr="001F224B">
        <w:rPr>
          <w:sz w:val="22"/>
          <w:szCs w:val="22"/>
        </w:rPr>
        <w:t xml:space="preserve"> ulaşmıştır. Ayrıca, Dünya Bankası kaynaklı Acil Durum Şirket Desteği Kredisi kapsamında 2025 yılının ikinci çeyreğinde 19,4 milyon ABD Doları kredi kullandırılmış olup, kaynak bazında </w:t>
      </w:r>
      <w:proofErr w:type="spellStart"/>
      <w:r w:rsidRPr="001F224B">
        <w:rPr>
          <w:sz w:val="22"/>
          <w:szCs w:val="22"/>
        </w:rPr>
        <w:t>kullandırım</w:t>
      </w:r>
      <w:proofErr w:type="spellEnd"/>
      <w:r w:rsidRPr="001F224B">
        <w:rPr>
          <w:sz w:val="22"/>
          <w:szCs w:val="22"/>
        </w:rPr>
        <w:t xml:space="preserve"> tutarı toplam 250 milyon ABD Doları seviyesine gelmiştir.</w:t>
      </w:r>
      <w:r w:rsidRPr="001F224B" w:rsidDel="00820A9B">
        <w:rPr>
          <w:sz w:val="22"/>
          <w:szCs w:val="22"/>
        </w:rPr>
        <w:t xml:space="preserve"> </w:t>
      </w:r>
      <w:r w:rsidRPr="001F224B">
        <w:rPr>
          <w:sz w:val="22"/>
          <w:szCs w:val="22"/>
        </w:rPr>
        <w:t xml:space="preserve"> </w:t>
      </w:r>
    </w:p>
    <w:p w14:paraId="669299E4"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Bankamız, 2025 yılının ilk çeyreği itibarıyla sürdürülebilir kalkınma misyonu doğrultusunda güçlü performansını bir adım daha öteye taşımıştır. Sürdürülebilirlik temalı kredi portföyü, toplam portföyümüzün yüzde 96’sını oluştururken; temin edilen kaynakların yüzde 61’i yenilenebilir enerji ve enerji verimliliği odaklı projelere yönlendirilmiştir. Türkiye’deki yenilenebilir enerji projelerinin yaklaşık yüzde 7’si Bankamız tarafından finanse edilmiş; bu sayede 4,2 milyon ton CO₂ emisyonunun azaltılmasına katkı sağlanmıştır. Sürdürülebilir Bono ihracı kapsamında ise Etki Raporumuzun üçüncüsü yayımlanmıştır. Gerçekleştirdiğimiz tüm bu çalışmalar, sürdürülebilir kalkınma odağındaki stratejik yaklaşımımızın ve kararlılıkla uyguladığımız eylem planlarının bir göstergesidir.</w:t>
      </w:r>
    </w:p>
    <w:p w14:paraId="2126BFA8" w14:textId="77777777" w:rsidR="00B85C4D" w:rsidRPr="001F224B" w:rsidRDefault="00B85C4D" w:rsidP="00B85C4D">
      <w:pPr>
        <w:tabs>
          <w:tab w:val="left" w:pos="567"/>
          <w:tab w:val="left" w:pos="7455"/>
        </w:tabs>
        <w:spacing w:before="120" w:after="120"/>
        <w:ind w:left="567"/>
        <w:jc w:val="both"/>
        <w:rPr>
          <w:rFonts w:asciiTheme="minorHAnsi" w:eastAsia="Calibri" w:hAnsiTheme="minorHAnsi" w:cstheme="minorHAnsi"/>
          <w:sz w:val="23"/>
          <w:szCs w:val="23"/>
        </w:rPr>
      </w:pPr>
      <w:r w:rsidRPr="001F224B">
        <w:rPr>
          <w:sz w:val="22"/>
          <w:szCs w:val="22"/>
        </w:rPr>
        <w:t xml:space="preserve">Tüm bu gelişmelerin ve çabaların bir sonucu olarak Bankamız, 2025 </w:t>
      </w:r>
      <w:proofErr w:type="spellStart"/>
      <w:r w:rsidRPr="001F224B">
        <w:rPr>
          <w:sz w:val="22"/>
          <w:szCs w:val="22"/>
        </w:rPr>
        <w:t>Sustainable</w:t>
      </w:r>
      <w:proofErr w:type="spellEnd"/>
      <w:r w:rsidRPr="001F224B">
        <w:rPr>
          <w:sz w:val="22"/>
          <w:szCs w:val="22"/>
        </w:rPr>
        <w:t xml:space="preserve"> Finance </w:t>
      </w:r>
      <w:proofErr w:type="spellStart"/>
      <w:r w:rsidRPr="001F224B">
        <w:rPr>
          <w:sz w:val="22"/>
          <w:szCs w:val="22"/>
        </w:rPr>
        <w:t>Awards’ta</w:t>
      </w:r>
      <w:proofErr w:type="spellEnd"/>
      <w:r w:rsidRPr="001F224B">
        <w:rPr>
          <w:sz w:val="22"/>
          <w:szCs w:val="22"/>
        </w:rPr>
        <w:t xml:space="preserve"> Orta ve Doğu Avrupa’da Sürdürülebilir Finans alanında “En İyi Kalkınma Bankası” ödülünü kazanarak uluslararası alanda önemli bir başarı elde etmiştir. Bankamız, çalışanlarımızın değerlendirmeleri doğrultusunda üst üste üçüncü kez Great </w:t>
      </w:r>
      <w:proofErr w:type="spellStart"/>
      <w:r w:rsidRPr="001F224B">
        <w:rPr>
          <w:sz w:val="22"/>
          <w:szCs w:val="22"/>
        </w:rPr>
        <w:t>Place</w:t>
      </w:r>
      <w:proofErr w:type="spellEnd"/>
      <w:r w:rsidRPr="001F224B">
        <w:rPr>
          <w:sz w:val="22"/>
          <w:szCs w:val="22"/>
        </w:rPr>
        <w:t xml:space="preserve"> </w:t>
      </w:r>
      <w:proofErr w:type="spellStart"/>
      <w:r w:rsidRPr="001F224B">
        <w:rPr>
          <w:sz w:val="22"/>
          <w:szCs w:val="22"/>
        </w:rPr>
        <w:t>to</w:t>
      </w:r>
      <w:proofErr w:type="spellEnd"/>
      <w:r w:rsidRPr="001F224B">
        <w:rPr>
          <w:sz w:val="22"/>
          <w:szCs w:val="22"/>
        </w:rPr>
        <w:t xml:space="preserve"> </w:t>
      </w:r>
      <w:proofErr w:type="spellStart"/>
      <w:r w:rsidRPr="001F224B">
        <w:rPr>
          <w:sz w:val="22"/>
          <w:szCs w:val="22"/>
        </w:rPr>
        <w:t>Work</w:t>
      </w:r>
      <w:proofErr w:type="spellEnd"/>
      <w:r w:rsidRPr="001F224B">
        <w:rPr>
          <w:sz w:val="22"/>
          <w:szCs w:val="22"/>
        </w:rPr>
        <w:t xml:space="preserve"> (GPTW) </w:t>
      </w:r>
      <w:proofErr w:type="spellStart"/>
      <w:r w:rsidRPr="001F224B">
        <w:rPr>
          <w:sz w:val="22"/>
          <w:szCs w:val="22"/>
        </w:rPr>
        <w:t>Sertifikası’na</w:t>
      </w:r>
      <w:proofErr w:type="spellEnd"/>
      <w:r w:rsidRPr="001F224B">
        <w:rPr>
          <w:sz w:val="22"/>
          <w:szCs w:val="22"/>
        </w:rPr>
        <w:t xml:space="preserve"> layık görülerek kurum içi kültür ve çalışan memnuniyeti açısından da güçlü bir performans sergilemiştir.</w:t>
      </w:r>
      <w:r w:rsidRPr="001F224B">
        <w:rPr>
          <w:rFonts w:asciiTheme="minorHAnsi" w:eastAsia="Calibri" w:hAnsiTheme="minorHAnsi" w:cstheme="minorHAnsi"/>
          <w:sz w:val="23"/>
          <w:szCs w:val="23"/>
        </w:rPr>
        <w:t xml:space="preserve"> </w:t>
      </w:r>
    </w:p>
    <w:p w14:paraId="66936539" w14:textId="77777777" w:rsidR="00B85C4D" w:rsidRPr="001F224B" w:rsidRDefault="00B85C4D" w:rsidP="00B85C4D">
      <w:pPr>
        <w:tabs>
          <w:tab w:val="left" w:pos="567"/>
          <w:tab w:val="left" w:pos="7455"/>
        </w:tabs>
        <w:spacing w:before="120" w:after="120"/>
        <w:ind w:left="567"/>
        <w:jc w:val="both"/>
        <w:rPr>
          <w:sz w:val="22"/>
          <w:szCs w:val="22"/>
        </w:rPr>
      </w:pPr>
      <w:r w:rsidRPr="001F224B">
        <w:rPr>
          <w:sz w:val="22"/>
          <w:szCs w:val="22"/>
        </w:rPr>
        <w:t>Bankamız, ülkemizin sürdürülebilir kalkınma hedeflerine katkı sunma sorumluluğunu kararlılıkla taşımaktadır. Yeşil dönüşümden altyapıya, bölgesel kalkınmadan üretim kapasitesinin artırılmasına kadar pek çok alanda etki oluşturarak ekonomik dönüşüm sürecine aktif destek vermektedir. Önümüzdeki dönemde de Bankamız 50 yıllık köklü deneyimi ve sürdürülebilir kalkınma vizyonu doğrultusunda ekonomik, çevresel ve toplumsal etki yaratan projelere destek vermeye ve ülkemizin uzun vadeli kalkınma hedeflerine katkıda bulunmaya devam edecektir.</w:t>
      </w:r>
    </w:p>
    <w:p w14:paraId="3F9F29B4" w14:textId="77777777" w:rsidR="00B85C4D" w:rsidRPr="001F224B" w:rsidRDefault="00B85C4D" w:rsidP="00B85C4D">
      <w:pPr>
        <w:tabs>
          <w:tab w:val="left" w:pos="567"/>
          <w:tab w:val="left" w:pos="7455"/>
        </w:tabs>
        <w:spacing w:before="120" w:after="120"/>
        <w:ind w:left="567"/>
        <w:jc w:val="both"/>
        <w:rPr>
          <w:sz w:val="22"/>
          <w:szCs w:val="22"/>
        </w:rPr>
      </w:pPr>
    </w:p>
    <w:p w14:paraId="580FAABE" w14:textId="77777777" w:rsidR="00B85C4D" w:rsidRPr="001F224B" w:rsidRDefault="00B85C4D" w:rsidP="00B85C4D">
      <w:pPr>
        <w:tabs>
          <w:tab w:val="left" w:pos="2694"/>
        </w:tabs>
        <w:ind w:left="8222" w:hanging="567"/>
        <w:jc w:val="center"/>
        <w:rPr>
          <w:b/>
          <w:sz w:val="22"/>
          <w:szCs w:val="22"/>
        </w:rPr>
      </w:pPr>
      <w:r w:rsidRPr="001F224B">
        <w:rPr>
          <w:b/>
          <w:sz w:val="22"/>
          <w:szCs w:val="22"/>
        </w:rPr>
        <w:t xml:space="preserve">İbrahim H. ÖZTOP                  </w:t>
      </w:r>
    </w:p>
    <w:p w14:paraId="6C161862" w14:textId="77777777" w:rsidR="00B85C4D" w:rsidRPr="001F224B" w:rsidRDefault="00B85C4D" w:rsidP="00B85C4D">
      <w:pPr>
        <w:tabs>
          <w:tab w:val="left" w:pos="567"/>
        </w:tabs>
        <w:ind w:left="567" w:hanging="567"/>
        <w:jc w:val="center"/>
        <w:rPr>
          <w:b/>
          <w:sz w:val="22"/>
          <w:szCs w:val="22"/>
        </w:rPr>
      </w:pPr>
      <w:r w:rsidRPr="001F224B">
        <w:rPr>
          <w:b/>
          <w:sz w:val="22"/>
          <w:szCs w:val="22"/>
        </w:rPr>
        <w:t xml:space="preserve">                                                                                                                                          Genel Müdür</w:t>
      </w:r>
    </w:p>
    <w:p w14:paraId="26B24DE1" w14:textId="77777777" w:rsidR="00B85C4D" w:rsidRPr="001F224B" w:rsidRDefault="00B85C4D" w:rsidP="00B85C4D">
      <w:pPr>
        <w:tabs>
          <w:tab w:val="left" w:pos="567"/>
        </w:tabs>
        <w:ind w:left="567" w:hanging="567"/>
        <w:jc w:val="center"/>
        <w:rPr>
          <w:b/>
          <w:sz w:val="22"/>
          <w:szCs w:val="22"/>
        </w:rPr>
      </w:pPr>
      <w:r w:rsidRPr="001F224B">
        <w:rPr>
          <w:b/>
          <w:sz w:val="22"/>
          <w:szCs w:val="22"/>
        </w:rPr>
        <w:t xml:space="preserve">                                                                                                                                           </w:t>
      </w:r>
      <w:proofErr w:type="gramStart"/>
      <w:r w:rsidRPr="001F224B">
        <w:rPr>
          <w:b/>
          <w:sz w:val="22"/>
          <w:szCs w:val="22"/>
        </w:rPr>
        <w:t>ve</w:t>
      </w:r>
      <w:proofErr w:type="gramEnd"/>
    </w:p>
    <w:p w14:paraId="21628855" w14:textId="77777777" w:rsidR="00B85C4D" w:rsidRPr="001F224B" w:rsidRDefault="00B85C4D" w:rsidP="00B85C4D">
      <w:pPr>
        <w:spacing w:after="120"/>
        <w:jc w:val="both"/>
        <w:rPr>
          <w:bCs/>
          <w:sz w:val="22"/>
          <w:szCs w:val="22"/>
        </w:rPr>
      </w:pP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r>
      <w:r w:rsidRPr="001F224B">
        <w:rPr>
          <w:b/>
          <w:sz w:val="22"/>
          <w:szCs w:val="22"/>
        </w:rPr>
        <w:tab/>
        <w:t xml:space="preserve">        Yönetim Kurulu Üyesi</w:t>
      </w:r>
    </w:p>
    <w:p w14:paraId="23448AAA" w14:textId="17886A10" w:rsidR="00A24443" w:rsidRPr="001F224B" w:rsidRDefault="00A24443" w:rsidP="000540A7">
      <w:pPr>
        <w:tabs>
          <w:tab w:val="left" w:pos="567"/>
          <w:tab w:val="left" w:pos="7455"/>
        </w:tabs>
        <w:spacing w:before="120" w:after="120"/>
        <w:ind w:left="567"/>
        <w:jc w:val="both"/>
        <w:rPr>
          <w:b/>
          <w:bCs/>
          <w:sz w:val="22"/>
          <w:szCs w:val="22"/>
        </w:rPr>
      </w:pPr>
    </w:p>
    <w:p w14:paraId="6759942B" w14:textId="729623D6" w:rsidR="00A24443" w:rsidRPr="001F224B" w:rsidRDefault="00A24443" w:rsidP="000540A7">
      <w:pPr>
        <w:tabs>
          <w:tab w:val="left" w:pos="567"/>
          <w:tab w:val="left" w:pos="7455"/>
        </w:tabs>
        <w:spacing w:before="120" w:after="120"/>
        <w:ind w:left="567"/>
        <w:jc w:val="both"/>
        <w:rPr>
          <w:b/>
          <w:bCs/>
          <w:sz w:val="22"/>
          <w:szCs w:val="22"/>
        </w:rPr>
      </w:pPr>
    </w:p>
    <w:p w14:paraId="04E9D05E" w14:textId="18EB50EF" w:rsidR="00A24443" w:rsidRPr="001F224B" w:rsidRDefault="00A24443" w:rsidP="000540A7">
      <w:pPr>
        <w:tabs>
          <w:tab w:val="left" w:pos="567"/>
          <w:tab w:val="left" w:pos="7455"/>
        </w:tabs>
        <w:spacing w:before="120" w:after="120"/>
        <w:ind w:left="567"/>
        <w:jc w:val="both"/>
        <w:rPr>
          <w:b/>
          <w:bCs/>
          <w:sz w:val="22"/>
          <w:szCs w:val="22"/>
        </w:rPr>
      </w:pPr>
    </w:p>
    <w:p w14:paraId="74B4F040" w14:textId="77777777" w:rsidR="003C0AEC" w:rsidRPr="001F224B" w:rsidRDefault="003C0AEC" w:rsidP="000540A7">
      <w:pPr>
        <w:tabs>
          <w:tab w:val="left" w:pos="567"/>
          <w:tab w:val="left" w:pos="7455"/>
        </w:tabs>
        <w:spacing w:before="120" w:after="120"/>
        <w:ind w:left="567"/>
        <w:jc w:val="both"/>
        <w:rPr>
          <w:b/>
          <w:bCs/>
          <w:sz w:val="22"/>
          <w:szCs w:val="22"/>
        </w:rPr>
        <w:sectPr w:rsidR="003C0AEC" w:rsidRPr="001F224B" w:rsidSect="003C29A2">
          <w:headerReference w:type="default" r:id="rId105"/>
          <w:pgSz w:w="11907" w:h="16840" w:code="9"/>
          <w:pgMar w:top="1650" w:right="964" w:bottom="567" w:left="1134" w:header="624" w:footer="283" w:gutter="0"/>
          <w:cols w:space="708"/>
          <w:docGrid w:linePitch="326"/>
        </w:sectPr>
      </w:pPr>
    </w:p>
    <w:p w14:paraId="53808CF9" w14:textId="77777777" w:rsidR="002B383F" w:rsidRPr="001F224B" w:rsidRDefault="002B383F" w:rsidP="002B383F">
      <w:pPr>
        <w:spacing w:before="120" w:after="120"/>
        <w:rPr>
          <w:b/>
          <w:bCs/>
          <w:sz w:val="22"/>
          <w:szCs w:val="22"/>
        </w:rPr>
      </w:pPr>
      <w:r w:rsidRPr="001F224B">
        <w:rPr>
          <w:b/>
          <w:bCs/>
          <w:sz w:val="22"/>
          <w:szCs w:val="22"/>
        </w:rPr>
        <w:t>YEDİNCİ BÖLÜM (Devamı)</w:t>
      </w:r>
    </w:p>
    <w:p w14:paraId="05AD0B2C" w14:textId="77777777" w:rsidR="002B383F" w:rsidRPr="001F224B" w:rsidRDefault="002B383F" w:rsidP="002B383F">
      <w:pPr>
        <w:spacing w:before="120" w:after="120"/>
        <w:rPr>
          <w:b/>
          <w:bCs/>
          <w:sz w:val="22"/>
          <w:szCs w:val="22"/>
        </w:rPr>
      </w:pPr>
      <w:r w:rsidRPr="001F224B">
        <w:rPr>
          <w:b/>
          <w:bCs/>
          <w:sz w:val="22"/>
          <w:szCs w:val="22"/>
        </w:rPr>
        <w:t>KONSOLİDE ARA DÖNEM FAALİYET RAPORU (Devamı)</w:t>
      </w:r>
    </w:p>
    <w:p w14:paraId="5A923AE0" w14:textId="77777777" w:rsidR="002B383F" w:rsidRPr="001F224B" w:rsidRDefault="002B383F" w:rsidP="002B383F">
      <w:pPr>
        <w:tabs>
          <w:tab w:val="left" w:pos="3000"/>
        </w:tabs>
        <w:rPr>
          <w:sz w:val="22"/>
          <w:szCs w:val="22"/>
        </w:rPr>
      </w:pPr>
      <w:r w:rsidRPr="001F224B">
        <w:rPr>
          <w:b/>
          <w:sz w:val="22"/>
          <w:szCs w:val="22"/>
        </w:rPr>
        <w:t>III.       Konsolidasyona Tabi Bağlı Ortaklık ve İştiraklere İlişkin Bilgiler</w:t>
      </w:r>
    </w:p>
    <w:p w14:paraId="36E97D71" w14:textId="77777777" w:rsidR="002B383F" w:rsidRPr="001F224B" w:rsidRDefault="002B383F" w:rsidP="002B383F">
      <w:pPr>
        <w:tabs>
          <w:tab w:val="left" w:pos="709"/>
          <w:tab w:val="left" w:pos="851"/>
        </w:tabs>
        <w:spacing w:before="120"/>
        <w:ind w:left="709"/>
        <w:jc w:val="both"/>
        <w:rPr>
          <w:b/>
          <w:bCs/>
          <w:sz w:val="22"/>
          <w:szCs w:val="22"/>
        </w:rPr>
      </w:pPr>
      <w:r w:rsidRPr="001F224B">
        <w:rPr>
          <w:b/>
          <w:bCs/>
          <w:sz w:val="22"/>
          <w:szCs w:val="22"/>
        </w:rPr>
        <w:t>Kalkınma Yatırım Varlık Kiralama A.Ş.</w:t>
      </w:r>
    </w:p>
    <w:p w14:paraId="35E52519" w14:textId="77777777" w:rsidR="00B35B58" w:rsidRPr="001F224B" w:rsidRDefault="00B35B58" w:rsidP="00B35B58">
      <w:pPr>
        <w:tabs>
          <w:tab w:val="left" w:pos="709"/>
          <w:tab w:val="left" w:pos="851"/>
        </w:tabs>
        <w:spacing w:before="120"/>
        <w:ind w:left="709"/>
        <w:jc w:val="both"/>
        <w:rPr>
          <w:sz w:val="22"/>
          <w:szCs w:val="22"/>
        </w:rPr>
      </w:pPr>
      <w:r w:rsidRPr="001F224B">
        <w:rPr>
          <w:sz w:val="22"/>
          <w:szCs w:val="22"/>
        </w:rPr>
        <w:t>Kalkınma Yatırım Varlık Kiralama A.Ş., 28 Mayıs 2020 tarihinde İstanbul Ticaret Siciline tescil ve 1 Haziran 2020 tarih ve 10087 sayılı Ticaret Sicili Gazetesi’nde ilan edilerek kurulmuştur. Şirket’in kuruluş amacı, 6362 Sayılı Sermaye Piyasası Kanunu, Sermaye Piyasası Kurulu’nun ilgili Tebliği ve Sermaye Piyasası Kurulu’nun ilgili düzenlemeleri çerçevesinde kira sertifikası ihraç etmektir. Kalkınma Yatırım Varlık Kiralama A.Ş. Bankamızın %100 oranında iştirakidir.</w:t>
      </w:r>
    </w:p>
    <w:p w14:paraId="0C7D4623" w14:textId="6D747DB2" w:rsidR="00B35B58" w:rsidRPr="001F224B" w:rsidRDefault="00B35B58" w:rsidP="00B35B58">
      <w:pPr>
        <w:tabs>
          <w:tab w:val="left" w:pos="709"/>
          <w:tab w:val="left" w:pos="851"/>
        </w:tabs>
        <w:spacing w:before="120"/>
        <w:ind w:left="709"/>
        <w:jc w:val="both"/>
        <w:rPr>
          <w:sz w:val="22"/>
          <w:szCs w:val="22"/>
        </w:rPr>
      </w:pPr>
      <w:r w:rsidRPr="001F224B">
        <w:rPr>
          <w:sz w:val="22"/>
          <w:szCs w:val="22"/>
        </w:rPr>
        <w:t>Bankamız Yönetim Kurulu'nun 30 Mayıs 2025 tarihli kararı ile; Bankamızın sermayesinde %100 paya sahip olduğu Kalkınma Yatırım Varlık Kiralama A.Ş ‘nin esas sermayesinin tamamı nakden karşılanmak üzere 200</w:t>
      </w:r>
      <w:r w:rsidR="00367522" w:rsidRPr="001F224B">
        <w:rPr>
          <w:sz w:val="22"/>
          <w:szCs w:val="22"/>
        </w:rPr>
        <w:t>.000 tam</w:t>
      </w:r>
      <w:r w:rsidRPr="001F224B">
        <w:rPr>
          <w:sz w:val="22"/>
          <w:szCs w:val="22"/>
        </w:rPr>
        <w:t xml:space="preserve"> TL artırılarak 50</w:t>
      </w:r>
      <w:r w:rsidR="002A7580" w:rsidRPr="001F224B">
        <w:rPr>
          <w:sz w:val="22"/>
          <w:szCs w:val="22"/>
        </w:rPr>
        <w:t>.000 tam</w:t>
      </w:r>
      <w:r w:rsidRPr="001F224B">
        <w:rPr>
          <w:sz w:val="22"/>
          <w:szCs w:val="22"/>
        </w:rPr>
        <w:t xml:space="preserve"> TL'den 250</w:t>
      </w:r>
      <w:r w:rsidR="00EC526F" w:rsidRPr="001F224B">
        <w:rPr>
          <w:sz w:val="22"/>
          <w:szCs w:val="22"/>
        </w:rPr>
        <w:t>.000 tam</w:t>
      </w:r>
      <w:r w:rsidRPr="001F224B">
        <w:rPr>
          <w:sz w:val="22"/>
          <w:szCs w:val="22"/>
        </w:rPr>
        <w:t xml:space="preserve"> TL'ye artırılmasında; nakden artırılan 200</w:t>
      </w:r>
      <w:r w:rsidR="00367522" w:rsidRPr="001F224B">
        <w:rPr>
          <w:sz w:val="22"/>
          <w:szCs w:val="22"/>
        </w:rPr>
        <w:t>.000 tam</w:t>
      </w:r>
      <w:r w:rsidRPr="001F224B">
        <w:rPr>
          <w:sz w:val="22"/>
          <w:szCs w:val="22"/>
        </w:rPr>
        <w:t xml:space="preserve"> TL tutarındaki sermaye artışında Bankamızın yeni pay alma hakkını kullanması ve 200</w:t>
      </w:r>
      <w:r w:rsidR="00367522" w:rsidRPr="001F224B">
        <w:rPr>
          <w:sz w:val="22"/>
          <w:szCs w:val="22"/>
        </w:rPr>
        <w:t>.000 tam</w:t>
      </w:r>
      <w:r w:rsidRPr="001F224B">
        <w:rPr>
          <w:sz w:val="22"/>
          <w:szCs w:val="22"/>
        </w:rPr>
        <w:t xml:space="preserve"> TL'nin nakden ve defaten ödenmesine karar verilmiştir.  Kalkınma Yatırım Varlık Kiralama A.Ş.’nin şirket esas sözleşmesinin sermaye maddesinin tescil işlemleri tamamlanmış olup tescile ilişkin ilanlar 17 Haziran 2025 tarih ve 11352 sayılı Türkiye Ticaret Sicili Gazetesi’nde yayımlanmıştır.</w:t>
      </w:r>
    </w:p>
    <w:p w14:paraId="1E75B5BB" w14:textId="5990363A" w:rsidR="002B383F" w:rsidRPr="001F224B" w:rsidRDefault="002B383F" w:rsidP="00B35B58">
      <w:pPr>
        <w:tabs>
          <w:tab w:val="left" w:pos="709"/>
          <w:tab w:val="left" w:pos="851"/>
        </w:tabs>
        <w:spacing w:before="120"/>
        <w:ind w:left="709"/>
        <w:jc w:val="both"/>
        <w:rPr>
          <w:b/>
          <w:bCs/>
          <w:sz w:val="22"/>
          <w:szCs w:val="22"/>
        </w:rPr>
      </w:pPr>
      <w:r w:rsidRPr="001F224B">
        <w:rPr>
          <w:b/>
          <w:bCs/>
          <w:sz w:val="22"/>
          <w:szCs w:val="22"/>
        </w:rPr>
        <w:t>Kalkınma Girişim Sermayesi Portföy Yönetimi A.Ş.</w:t>
      </w:r>
    </w:p>
    <w:p w14:paraId="24C99649" w14:textId="77777777" w:rsidR="002B383F" w:rsidRPr="001F224B" w:rsidRDefault="002B383F" w:rsidP="002B383F">
      <w:pPr>
        <w:tabs>
          <w:tab w:val="left" w:pos="709"/>
          <w:tab w:val="left" w:pos="851"/>
        </w:tabs>
        <w:spacing w:before="120"/>
        <w:ind w:left="709"/>
        <w:jc w:val="both"/>
        <w:rPr>
          <w:sz w:val="22"/>
          <w:szCs w:val="22"/>
        </w:rPr>
      </w:pPr>
      <w:r w:rsidRPr="001F224B">
        <w:rPr>
          <w:sz w:val="22"/>
          <w:szCs w:val="22"/>
        </w:rPr>
        <w:t xml:space="preserve">11 Kasım 2020 tarihinde Bankamızın %100 iştiraki olarak SPK mevzuatı kapsamında yatırım yapan yatırımcılara da hizmet vermek amacıyla kurulan Kalkınma Girişim Sermayesi Portföy Yönetimi A.Ş. çatısı altında girişim sermayesi yatırım fonlarının kurulması ve bu fonlar aracılığı ile ağırlıklı olarak büyüme sermayesi yaklaşımıyla, kalkınmada öncelikli stratejik sektörlerde faaliyet gösteren güçlü bölgesel/küresel şirketlerin yaratılmasının yanı sıra yüksek teknoloji üreten girişimlerin de desteklenmesi hedeflenmektedir.  </w:t>
      </w:r>
    </w:p>
    <w:p w14:paraId="64972FB5" w14:textId="77777777" w:rsidR="002B383F" w:rsidRPr="001F224B" w:rsidRDefault="002B383F" w:rsidP="002B383F">
      <w:pPr>
        <w:tabs>
          <w:tab w:val="left" w:pos="709"/>
          <w:tab w:val="left" w:pos="851"/>
        </w:tabs>
        <w:spacing w:before="120"/>
        <w:ind w:left="709"/>
        <w:jc w:val="both"/>
        <w:rPr>
          <w:sz w:val="22"/>
          <w:szCs w:val="22"/>
        </w:rPr>
      </w:pPr>
      <w:r w:rsidRPr="001F224B">
        <w:rPr>
          <w:sz w:val="22"/>
          <w:szCs w:val="22"/>
        </w:rPr>
        <w:t>2020 sonu itibarıyla Sermaye Piyasası Kurulu’na faaliyet izni başvurusu gerçekleştirilmiş olup, 11 Mart 2021 tarih ve 2021/13 sayılı Sermaye Piyasası Kurulu Bülteninde faaliyet izni ile portföy yöneticiliği yetki belgesi verilmesi talebinin olumlu karşılanmasına karar verilmiştir.</w:t>
      </w:r>
    </w:p>
    <w:p w14:paraId="170E0DA5" w14:textId="77777777" w:rsidR="002B383F" w:rsidRPr="001F224B" w:rsidRDefault="002B383F" w:rsidP="002B383F">
      <w:pPr>
        <w:tabs>
          <w:tab w:val="left" w:pos="709"/>
          <w:tab w:val="left" w:pos="851"/>
        </w:tabs>
        <w:spacing w:before="120"/>
        <w:ind w:left="709"/>
        <w:jc w:val="both"/>
        <w:rPr>
          <w:sz w:val="22"/>
          <w:szCs w:val="22"/>
        </w:rPr>
      </w:pPr>
      <w:r w:rsidRPr="001F224B">
        <w:rPr>
          <w:sz w:val="22"/>
          <w:szCs w:val="22"/>
        </w:rPr>
        <w:t xml:space="preserve">İlgili dönem içerisinde bağlı ortaklığımız Kalkınma Girişim Sermayesi Portföy Yönetimi A.Ş. Kayıtlı sermaye tavanını 100 milyon TL’ye çıkarmıştır. </w:t>
      </w:r>
    </w:p>
    <w:p w14:paraId="112E3315" w14:textId="77777777" w:rsidR="002B383F" w:rsidRPr="001F224B" w:rsidRDefault="002B383F" w:rsidP="002B383F">
      <w:pPr>
        <w:tabs>
          <w:tab w:val="left" w:pos="709"/>
          <w:tab w:val="left" w:pos="851"/>
        </w:tabs>
        <w:spacing w:before="120"/>
        <w:ind w:left="709"/>
        <w:jc w:val="both"/>
        <w:rPr>
          <w:sz w:val="22"/>
          <w:szCs w:val="22"/>
        </w:rPr>
      </w:pPr>
      <w:r w:rsidRPr="001F224B">
        <w:rPr>
          <w:sz w:val="22"/>
          <w:szCs w:val="22"/>
        </w:rPr>
        <w:t>Bankamız Yönetim Kurulu'nun 22 Temmuz 2024 tarihli kararı ile; Bankamızın sermayesinde %100 paya sahip olduğu Kalkınma Girişim Sermayesi Portföy Yönetimi A.Ş ‘nin 100.000.000 tam TL kayıtlı sermaye tavanı içinde, çıkarılmış sermayesinin tamamı nakden karşılanmak üzere 30.000.000 tam  TL artırılarak 20.000.000 tam TL'den 50.000.000 tam TL'ye artırılmasında; nakden artırılan 30.000.000 tam TL tutarındaki  sermaye artışında Bankamızın yeni pay alma hakkını kullanması ve  30.000.000 tam TL'nin nakden ve defaten ödenmesine karar verilmiştir. Bankamız yeni pay alma hakkının tamamını kullanmıştır.</w:t>
      </w:r>
    </w:p>
    <w:p w14:paraId="346A72B0" w14:textId="77777777" w:rsidR="002B383F" w:rsidRPr="001F224B" w:rsidRDefault="002B383F" w:rsidP="002B383F">
      <w:pPr>
        <w:tabs>
          <w:tab w:val="left" w:pos="709"/>
          <w:tab w:val="left" w:pos="851"/>
        </w:tabs>
        <w:spacing w:before="120"/>
        <w:ind w:left="709"/>
        <w:jc w:val="both"/>
        <w:rPr>
          <w:sz w:val="22"/>
          <w:szCs w:val="22"/>
        </w:rPr>
      </w:pPr>
      <w:r w:rsidRPr="001F224B">
        <w:rPr>
          <w:sz w:val="22"/>
          <w:szCs w:val="22"/>
        </w:rPr>
        <w:t>Kalkınma Girişim Sermayesi Portföy Yönetimi A.Ş.’nin ödenmiş sermayesinin 50.000.000 tam TL’ye çıkarılması 19 Ağustos 2024 tarihinde tescil ve 19 Ağustos 2024 tarih ve 11146 sayılı Türkiye Ticaret Sicili Gazetesi’nde ilan edilmiştir</w:t>
      </w:r>
    </w:p>
    <w:p w14:paraId="72BE9D68" w14:textId="77777777" w:rsidR="002B383F" w:rsidRPr="001F224B" w:rsidRDefault="002B383F" w:rsidP="002B383F">
      <w:pPr>
        <w:spacing w:after="120"/>
        <w:jc w:val="both"/>
        <w:rPr>
          <w:b/>
          <w:bCs/>
          <w:sz w:val="22"/>
          <w:szCs w:val="22"/>
        </w:rPr>
      </w:pPr>
    </w:p>
    <w:p w14:paraId="45C28BF8" w14:textId="77777777" w:rsidR="002B383F" w:rsidRPr="001F224B" w:rsidRDefault="002B383F">
      <w:pPr>
        <w:rPr>
          <w:b/>
          <w:bCs/>
          <w:sz w:val="22"/>
          <w:szCs w:val="22"/>
        </w:rPr>
      </w:pPr>
      <w:r w:rsidRPr="001F224B">
        <w:rPr>
          <w:b/>
          <w:bCs/>
          <w:sz w:val="22"/>
          <w:szCs w:val="22"/>
        </w:rPr>
        <w:br w:type="page"/>
      </w:r>
    </w:p>
    <w:p w14:paraId="23527327" w14:textId="5D7AA96C" w:rsidR="00C81242" w:rsidRPr="001F224B" w:rsidRDefault="00C81242" w:rsidP="00C81242">
      <w:pPr>
        <w:spacing w:after="120"/>
        <w:jc w:val="both"/>
        <w:rPr>
          <w:bCs/>
          <w:sz w:val="22"/>
          <w:szCs w:val="22"/>
        </w:rPr>
      </w:pPr>
      <w:r w:rsidRPr="001F224B">
        <w:rPr>
          <w:b/>
          <w:bCs/>
          <w:sz w:val="22"/>
          <w:szCs w:val="22"/>
        </w:rPr>
        <w:t>YEDİNCİ BÖLÜM (Devamı)</w:t>
      </w:r>
    </w:p>
    <w:p w14:paraId="2D1867ED" w14:textId="3E7819C6" w:rsidR="00C81242" w:rsidRPr="001F224B" w:rsidRDefault="002B383F" w:rsidP="00C81242">
      <w:pPr>
        <w:spacing w:before="120" w:after="120"/>
        <w:rPr>
          <w:b/>
          <w:bCs/>
          <w:sz w:val="22"/>
          <w:szCs w:val="22"/>
        </w:rPr>
      </w:pPr>
      <w:r w:rsidRPr="001F224B">
        <w:rPr>
          <w:b/>
          <w:bCs/>
          <w:sz w:val="22"/>
          <w:szCs w:val="22"/>
        </w:rPr>
        <w:t xml:space="preserve">KONSOLİDE ARA DÖNEM FAALİYET RAPORU </w:t>
      </w:r>
      <w:r w:rsidR="00C81242" w:rsidRPr="001F224B">
        <w:rPr>
          <w:b/>
          <w:bCs/>
          <w:sz w:val="22"/>
          <w:szCs w:val="22"/>
        </w:rPr>
        <w:t xml:space="preserve"> (Devamı)</w:t>
      </w:r>
    </w:p>
    <w:p w14:paraId="1C57B0E3" w14:textId="0A3591CE" w:rsidR="00C81242" w:rsidRPr="001F224B" w:rsidRDefault="00C81242" w:rsidP="00C81242">
      <w:pPr>
        <w:tabs>
          <w:tab w:val="left" w:pos="3000"/>
        </w:tabs>
        <w:rPr>
          <w:sz w:val="22"/>
          <w:szCs w:val="22"/>
        </w:rPr>
      </w:pPr>
      <w:r w:rsidRPr="001F224B">
        <w:rPr>
          <w:b/>
          <w:sz w:val="22"/>
          <w:szCs w:val="22"/>
        </w:rPr>
        <w:t>I</w:t>
      </w:r>
      <w:r w:rsidR="002B383F" w:rsidRPr="001F224B">
        <w:rPr>
          <w:b/>
          <w:sz w:val="22"/>
          <w:szCs w:val="22"/>
        </w:rPr>
        <w:t>V</w:t>
      </w:r>
      <w:r w:rsidRPr="001F224B">
        <w:rPr>
          <w:b/>
          <w:sz w:val="22"/>
          <w:szCs w:val="22"/>
        </w:rPr>
        <w:t>.        Özet Finansal Bilgiler ve Rasyolar</w:t>
      </w:r>
    </w:p>
    <w:p w14:paraId="6B29BA5F" w14:textId="77777777" w:rsidR="00C81242" w:rsidRPr="001F224B" w:rsidRDefault="00C81242" w:rsidP="00C81242">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2551"/>
        <w:gridCol w:w="2381"/>
      </w:tblGrid>
      <w:tr w:rsidR="00C81242" w:rsidRPr="001F224B" w14:paraId="0D7DE4C8" w14:textId="77777777" w:rsidTr="00220023">
        <w:trPr>
          <w:trHeight w:val="514"/>
        </w:trPr>
        <w:tc>
          <w:tcPr>
            <w:tcW w:w="4140" w:type="dxa"/>
            <w:tcBorders>
              <w:top w:val="single" w:sz="4" w:space="0" w:color="000000"/>
              <w:left w:val="single" w:sz="4" w:space="0" w:color="000000"/>
              <w:bottom w:val="single" w:sz="4" w:space="0" w:color="000000"/>
              <w:right w:val="single" w:sz="4" w:space="0" w:color="000000"/>
            </w:tcBorders>
            <w:vAlign w:val="bottom"/>
            <w:hideMark/>
          </w:tcPr>
          <w:p w14:paraId="3ADFBA69" w14:textId="77777777" w:rsidR="00C81242" w:rsidRPr="001F224B" w:rsidRDefault="00C81242" w:rsidP="00220023">
            <w:pPr>
              <w:rPr>
                <w:b/>
                <w:sz w:val="20"/>
                <w:szCs w:val="20"/>
              </w:rPr>
            </w:pPr>
            <w:r w:rsidRPr="001F224B">
              <w:rPr>
                <w:b/>
                <w:sz w:val="20"/>
                <w:szCs w:val="20"/>
              </w:rPr>
              <w:t>Bilanço (Bin TL)</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3FF1733" w14:textId="77777777" w:rsidR="00C81242" w:rsidRPr="001F224B" w:rsidRDefault="00C81242" w:rsidP="00220023">
            <w:pPr>
              <w:jc w:val="right"/>
              <w:rPr>
                <w:b/>
                <w:sz w:val="20"/>
                <w:szCs w:val="20"/>
              </w:rPr>
            </w:pPr>
            <w:r w:rsidRPr="001F224B">
              <w:rPr>
                <w:b/>
                <w:sz w:val="20"/>
                <w:szCs w:val="20"/>
              </w:rPr>
              <w:t>Cari Dönem</w:t>
            </w:r>
          </w:p>
          <w:p w14:paraId="5C29DD30" w14:textId="700E3401" w:rsidR="00C81242" w:rsidRPr="001F224B" w:rsidRDefault="00C81242" w:rsidP="00220023">
            <w:pPr>
              <w:jc w:val="right"/>
              <w:rPr>
                <w:b/>
                <w:sz w:val="20"/>
                <w:szCs w:val="20"/>
              </w:rPr>
            </w:pPr>
            <w:r w:rsidRPr="001F224B">
              <w:rPr>
                <w:b/>
                <w:sz w:val="20"/>
                <w:szCs w:val="20"/>
              </w:rPr>
              <w:t>(3</w:t>
            </w:r>
            <w:r w:rsidR="009D5FCC" w:rsidRPr="001F224B">
              <w:rPr>
                <w:b/>
                <w:sz w:val="20"/>
                <w:szCs w:val="20"/>
              </w:rPr>
              <w:t>0</w:t>
            </w:r>
            <w:r w:rsidRPr="001F224B">
              <w:rPr>
                <w:b/>
                <w:sz w:val="20"/>
                <w:szCs w:val="20"/>
              </w:rPr>
              <w:t>.0</w:t>
            </w:r>
            <w:r w:rsidR="009D5FCC" w:rsidRPr="001F224B">
              <w:rPr>
                <w:b/>
                <w:sz w:val="20"/>
                <w:szCs w:val="20"/>
              </w:rPr>
              <w:t>6</w:t>
            </w:r>
            <w:r w:rsidRPr="001F224B">
              <w:rPr>
                <w:b/>
                <w:sz w:val="20"/>
                <w:szCs w:val="20"/>
              </w:rPr>
              <w:t>.2025)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4D175639" w14:textId="77777777" w:rsidR="00C81242" w:rsidRPr="001F224B" w:rsidRDefault="00C81242" w:rsidP="00220023">
            <w:pPr>
              <w:jc w:val="right"/>
              <w:rPr>
                <w:b/>
                <w:sz w:val="20"/>
                <w:szCs w:val="20"/>
              </w:rPr>
            </w:pPr>
            <w:r w:rsidRPr="001F224B">
              <w:rPr>
                <w:b/>
                <w:sz w:val="20"/>
                <w:szCs w:val="20"/>
              </w:rPr>
              <w:t>Önceki Dönem</w:t>
            </w:r>
          </w:p>
          <w:p w14:paraId="1353B61B" w14:textId="6AC9E376" w:rsidR="00C81242" w:rsidRPr="001F224B" w:rsidRDefault="00C81242" w:rsidP="00220023">
            <w:pPr>
              <w:jc w:val="right"/>
              <w:rPr>
                <w:b/>
                <w:sz w:val="20"/>
                <w:szCs w:val="20"/>
              </w:rPr>
            </w:pPr>
            <w:r w:rsidRPr="001F224B">
              <w:rPr>
                <w:b/>
                <w:sz w:val="20"/>
                <w:szCs w:val="20"/>
              </w:rPr>
              <w:t>(31.12.2024)</w:t>
            </w:r>
          </w:p>
        </w:tc>
      </w:tr>
      <w:tr w:rsidR="00F654B5" w:rsidRPr="001F224B" w14:paraId="04927733"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31BE7E43" w14:textId="77777777" w:rsidR="00F654B5" w:rsidRPr="001F224B" w:rsidRDefault="00F654B5" w:rsidP="00F654B5">
            <w:pPr>
              <w:rPr>
                <w:bCs/>
                <w:color w:val="000000"/>
                <w:sz w:val="20"/>
                <w:szCs w:val="20"/>
              </w:rPr>
            </w:pPr>
            <w:r w:rsidRPr="001F224B">
              <w:rPr>
                <w:sz w:val="20"/>
                <w:szCs w:val="20"/>
              </w:rPr>
              <w:t>Toplam Aktifler</w:t>
            </w:r>
          </w:p>
        </w:tc>
        <w:tc>
          <w:tcPr>
            <w:tcW w:w="2551" w:type="dxa"/>
            <w:tcBorders>
              <w:top w:val="single" w:sz="4" w:space="0" w:color="auto"/>
              <w:left w:val="nil"/>
              <w:bottom w:val="single" w:sz="4" w:space="0" w:color="auto"/>
              <w:right w:val="nil"/>
            </w:tcBorders>
            <w:shd w:val="clear" w:color="auto" w:fill="auto"/>
            <w:vAlign w:val="bottom"/>
            <w:hideMark/>
          </w:tcPr>
          <w:p w14:paraId="73FE8D41" w14:textId="0E69ACA1" w:rsidR="00F654B5" w:rsidRPr="001F224B" w:rsidRDefault="00F654B5" w:rsidP="00F654B5">
            <w:pPr>
              <w:jc w:val="right"/>
              <w:rPr>
                <w:color w:val="000000"/>
                <w:sz w:val="20"/>
                <w:szCs w:val="20"/>
              </w:rPr>
            </w:pPr>
            <w:r w:rsidRPr="001F224B">
              <w:rPr>
                <w:color w:val="000000"/>
                <w:sz w:val="20"/>
                <w:szCs w:val="20"/>
              </w:rPr>
              <w:t>185.492.195</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DEA4E" w14:textId="12BF7011" w:rsidR="00F654B5" w:rsidRPr="001F224B" w:rsidRDefault="00F654B5" w:rsidP="00F654B5">
            <w:pPr>
              <w:jc w:val="right"/>
              <w:rPr>
                <w:color w:val="000000"/>
                <w:sz w:val="20"/>
                <w:szCs w:val="20"/>
              </w:rPr>
            </w:pPr>
            <w:r w:rsidRPr="001F224B">
              <w:rPr>
                <w:color w:val="000000"/>
                <w:sz w:val="20"/>
                <w:szCs w:val="20"/>
              </w:rPr>
              <w:t>153.594.469</w:t>
            </w:r>
          </w:p>
        </w:tc>
      </w:tr>
      <w:tr w:rsidR="00F654B5" w:rsidRPr="001F224B" w14:paraId="66936231" w14:textId="77777777" w:rsidTr="00F654B5">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01F3903C" w14:textId="77777777" w:rsidR="00F654B5" w:rsidRPr="001F224B" w:rsidRDefault="00F654B5" w:rsidP="00F654B5">
            <w:pPr>
              <w:rPr>
                <w:bCs/>
                <w:color w:val="000000"/>
                <w:sz w:val="20"/>
                <w:szCs w:val="20"/>
              </w:rPr>
            </w:pPr>
            <w:r w:rsidRPr="001F224B">
              <w:rPr>
                <w:sz w:val="20"/>
                <w:szCs w:val="20"/>
              </w:rPr>
              <w:t>Finansal Varlıklar</w:t>
            </w:r>
          </w:p>
        </w:tc>
        <w:tc>
          <w:tcPr>
            <w:tcW w:w="2551" w:type="dxa"/>
            <w:tcBorders>
              <w:top w:val="nil"/>
              <w:left w:val="nil"/>
              <w:bottom w:val="single" w:sz="4" w:space="0" w:color="auto"/>
              <w:right w:val="nil"/>
            </w:tcBorders>
            <w:shd w:val="clear" w:color="auto" w:fill="auto"/>
            <w:vAlign w:val="bottom"/>
            <w:hideMark/>
          </w:tcPr>
          <w:p w14:paraId="77F103D1" w14:textId="169976C3" w:rsidR="00F654B5" w:rsidRPr="001F224B" w:rsidRDefault="00F654B5" w:rsidP="00F654B5">
            <w:pPr>
              <w:jc w:val="right"/>
              <w:rPr>
                <w:color w:val="000000"/>
                <w:sz w:val="20"/>
                <w:szCs w:val="20"/>
              </w:rPr>
            </w:pPr>
            <w:r w:rsidRPr="001F224B">
              <w:rPr>
                <w:color w:val="000000"/>
                <w:sz w:val="20"/>
                <w:szCs w:val="20"/>
              </w:rPr>
              <w:t>65.454.914</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2C67B4" w14:textId="51142AD2" w:rsidR="00F654B5" w:rsidRPr="001F224B" w:rsidRDefault="00F654B5" w:rsidP="00F654B5">
            <w:pPr>
              <w:jc w:val="right"/>
              <w:rPr>
                <w:color w:val="000000"/>
                <w:sz w:val="20"/>
                <w:szCs w:val="20"/>
              </w:rPr>
            </w:pPr>
            <w:r w:rsidRPr="001F224B">
              <w:rPr>
                <w:color w:val="000000"/>
                <w:sz w:val="20"/>
                <w:szCs w:val="20"/>
              </w:rPr>
              <w:t>48.995.386</w:t>
            </w:r>
          </w:p>
        </w:tc>
      </w:tr>
      <w:tr w:rsidR="00F654B5" w:rsidRPr="001F224B" w14:paraId="7A53FB42"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3F2AF11B" w14:textId="77777777" w:rsidR="00F654B5" w:rsidRPr="001F224B" w:rsidRDefault="00F654B5" w:rsidP="00F654B5">
            <w:pPr>
              <w:rPr>
                <w:bCs/>
                <w:color w:val="000000"/>
                <w:sz w:val="20"/>
                <w:szCs w:val="20"/>
              </w:rPr>
            </w:pPr>
            <w:r w:rsidRPr="001F224B">
              <w:rPr>
                <w:sz w:val="20"/>
                <w:szCs w:val="20"/>
              </w:rPr>
              <w:t>Krediler</w:t>
            </w:r>
          </w:p>
        </w:tc>
        <w:tc>
          <w:tcPr>
            <w:tcW w:w="2551" w:type="dxa"/>
            <w:tcBorders>
              <w:top w:val="nil"/>
              <w:left w:val="nil"/>
              <w:bottom w:val="single" w:sz="4" w:space="0" w:color="auto"/>
              <w:right w:val="nil"/>
            </w:tcBorders>
            <w:shd w:val="clear" w:color="auto" w:fill="auto"/>
            <w:vAlign w:val="bottom"/>
            <w:hideMark/>
          </w:tcPr>
          <w:p w14:paraId="6D706396" w14:textId="4675FCEB" w:rsidR="00F654B5" w:rsidRPr="001F224B" w:rsidRDefault="00F654B5" w:rsidP="00F654B5">
            <w:pPr>
              <w:jc w:val="right"/>
              <w:rPr>
                <w:color w:val="000000"/>
                <w:sz w:val="20"/>
                <w:szCs w:val="20"/>
              </w:rPr>
            </w:pPr>
            <w:r w:rsidRPr="001F224B">
              <w:rPr>
                <w:color w:val="000000"/>
                <w:sz w:val="20"/>
                <w:szCs w:val="20"/>
              </w:rPr>
              <w:t>109.347.216</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A955F9" w14:textId="7364A2AC" w:rsidR="00F654B5" w:rsidRPr="001F224B" w:rsidRDefault="00F654B5" w:rsidP="00F654B5">
            <w:pPr>
              <w:jc w:val="right"/>
              <w:rPr>
                <w:color w:val="000000"/>
                <w:sz w:val="20"/>
                <w:szCs w:val="20"/>
              </w:rPr>
            </w:pPr>
            <w:r w:rsidRPr="001F224B">
              <w:rPr>
                <w:color w:val="000000"/>
                <w:sz w:val="20"/>
                <w:szCs w:val="20"/>
              </w:rPr>
              <w:t>94.812.835</w:t>
            </w:r>
          </w:p>
        </w:tc>
      </w:tr>
      <w:tr w:rsidR="00F654B5" w:rsidRPr="001F224B" w14:paraId="41B649D2"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4D14C4AF" w14:textId="77777777" w:rsidR="00F654B5" w:rsidRPr="001F224B" w:rsidRDefault="00F654B5" w:rsidP="00F654B5">
            <w:pPr>
              <w:rPr>
                <w:bCs/>
                <w:color w:val="000000"/>
                <w:sz w:val="20"/>
                <w:szCs w:val="20"/>
              </w:rPr>
            </w:pPr>
            <w:r w:rsidRPr="001F224B">
              <w:rPr>
                <w:sz w:val="20"/>
                <w:szCs w:val="20"/>
              </w:rPr>
              <w:t>İtfa Edilmiş Maliyetl İle Ölçülen Diğer F.V.</w:t>
            </w:r>
          </w:p>
        </w:tc>
        <w:tc>
          <w:tcPr>
            <w:tcW w:w="2551" w:type="dxa"/>
            <w:tcBorders>
              <w:top w:val="single" w:sz="4" w:space="0" w:color="auto"/>
              <w:left w:val="nil"/>
              <w:bottom w:val="single" w:sz="4" w:space="0" w:color="auto"/>
              <w:right w:val="nil"/>
            </w:tcBorders>
            <w:shd w:val="clear" w:color="auto" w:fill="auto"/>
            <w:vAlign w:val="bottom"/>
          </w:tcPr>
          <w:p w14:paraId="30CA49AA" w14:textId="0EBA5E10" w:rsidR="00F654B5" w:rsidRPr="001F224B" w:rsidRDefault="00F654B5" w:rsidP="00F654B5">
            <w:pPr>
              <w:jc w:val="right"/>
              <w:rPr>
                <w:color w:val="000000"/>
                <w:sz w:val="20"/>
                <w:szCs w:val="20"/>
              </w:rPr>
            </w:pPr>
            <w:r w:rsidRPr="001F224B">
              <w:rPr>
                <w:color w:val="000000"/>
                <w:sz w:val="20"/>
                <w:szCs w:val="20"/>
              </w:rPr>
              <w:t>10.868.599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78BB4C" w14:textId="5C54BD90" w:rsidR="00F654B5" w:rsidRPr="001F224B" w:rsidRDefault="00F654B5" w:rsidP="00F654B5">
            <w:pPr>
              <w:jc w:val="right"/>
              <w:rPr>
                <w:color w:val="000000"/>
                <w:sz w:val="20"/>
                <w:szCs w:val="20"/>
              </w:rPr>
            </w:pPr>
            <w:r w:rsidRPr="001F224B">
              <w:rPr>
                <w:color w:val="000000"/>
                <w:sz w:val="20"/>
                <w:szCs w:val="20"/>
              </w:rPr>
              <w:t>10.402.375</w:t>
            </w:r>
          </w:p>
        </w:tc>
      </w:tr>
      <w:tr w:rsidR="00F654B5" w:rsidRPr="001F224B" w14:paraId="481AA63B"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093AD6C2" w14:textId="77777777" w:rsidR="00F654B5" w:rsidRPr="001F224B" w:rsidRDefault="00F654B5" w:rsidP="00F654B5">
            <w:pPr>
              <w:rPr>
                <w:bCs/>
                <w:color w:val="000000"/>
                <w:sz w:val="20"/>
                <w:szCs w:val="20"/>
              </w:rPr>
            </w:pPr>
            <w:r w:rsidRPr="001F224B">
              <w:rPr>
                <w:sz w:val="20"/>
                <w:szCs w:val="20"/>
              </w:rPr>
              <w:t>Beklenen Zarar Karşılıkları (-)</w:t>
            </w:r>
          </w:p>
        </w:tc>
        <w:tc>
          <w:tcPr>
            <w:tcW w:w="2551" w:type="dxa"/>
            <w:tcBorders>
              <w:top w:val="nil"/>
              <w:left w:val="nil"/>
              <w:bottom w:val="single" w:sz="4" w:space="0" w:color="auto"/>
              <w:right w:val="nil"/>
            </w:tcBorders>
            <w:shd w:val="clear" w:color="auto" w:fill="auto"/>
            <w:vAlign w:val="bottom"/>
            <w:hideMark/>
          </w:tcPr>
          <w:p w14:paraId="314D7F4F" w14:textId="75A7FB33" w:rsidR="00F654B5" w:rsidRPr="001F224B" w:rsidRDefault="00F654B5" w:rsidP="00F654B5">
            <w:pPr>
              <w:jc w:val="right"/>
              <w:rPr>
                <w:color w:val="000000"/>
                <w:sz w:val="20"/>
                <w:szCs w:val="20"/>
              </w:rPr>
            </w:pPr>
            <w:r w:rsidRPr="001F224B">
              <w:rPr>
                <w:color w:val="000000"/>
                <w:sz w:val="20"/>
                <w:szCs w:val="20"/>
              </w:rPr>
              <w:t>1.590.422</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19C156" w14:textId="25F9ADD2" w:rsidR="00F654B5" w:rsidRPr="001F224B" w:rsidRDefault="00F654B5" w:rsidP="00F654B5">
            <w:pPr>
              <w:jc w:val="right"/>
              <w:rPr>
                <w:color w:val="000000"/>
                <w:sz w:val="20"/>
                <w:szCs w:val="20"/>
              </w:rPr>
            </w:pPr>
            <w:r w:rsidRPr="001F224B">
              <w:rPr>
                <w:color w:val="000000"/>
                <w:sz w:val="20"/>
                <w:szCs w:val="20"/>
              </w:rPr>
              <w:t>1.729.148</w:t>
            </w:r>
          </w:p>
        </w:tc>
      </w:tr>
      <w:tr w:rsidR="00F654B5" w:rsidRPr="001F224B" w14:paraId="2658A180"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416802CB" w14:textId="77777777" w:rsidR="00F654B5" w:rsidRPr="001F224B" w:rsidRDefault="00F654B5" w:rsidP="00F654B5">
            <w:pPr>
              <w:rPr>
                <w:bCs/>
                <w:color w:val="000000"/>
                <w:sz w:val="20"/>
                <w:szCs w:val="20"/>
              </w:rPr>
            </w:pPr>
            <w:r w:rsidRPr="001F224B">
              <w:rPr>
                <w:sz w:val="20"/>
                <w:szCs w:val="20"/>
              </w:rPr>
              <w:t>Alınan Krediler-Fonlar</w:t>
            </w:r>
          </w:p>
        </w:tc>
        <w:tc>
          <w:tcPr>
            <w:tcW w:w="2551" w:type="dxa"/>
            <w:tcBorders>
              <w:top w:val="single" w:sz="4" w:space="0" w:color="auto"/>
              <w:left w:val="nil"/>
              <w:bottom w:val="single" w:sz="4" w:space="0" w:color="auto"/>
              <w:right w:val="nil"/>
            </w:tcBorders>
            <w:shd w:val="clear" w:color="auto" w:fill="auto"/>
            <w:vAlign w:val="bottom"/>
            <w:hideMark/>
          </w:tcPr>
          <w:p w14:paraId="4E400C06" w14:textId="2B7606F6" w:rsidR="00F654B5" w:rsidRPr="001F224B" w:rsidRDefault="00F654B5" w:rsidP="00F654B5">
            <w:pPr>
              <w:jc w:val="right"/>
              <w:rPr>
                <w:color w:val="000000"/>
                <w:sz w:val="20"/>
                <w:szCs w:val="20"/>
              </w:rPr>
            </w:pPr>
            <w:r w:rsidRPr="001F224B">
              <w:rPr>
                <w:color w:val="000000"/>
                <w:sz w:val="20"/>
                <w:szCs w:val="20"/>
              </w:rPr>
              <w:t>135.965.859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1A19B3" w14:textId="0D052446" w:rsidR="00F654B5" w:rsidRPr="001F224B" w:rsidRDefault="00F654B5" w:rsidP="00F654B5">
            <w:pPr>
              <w:jc w:val="right"/>
              <w:rPr>
                <w:color w:val="000000"/>
                <w:sz w:val="20"/>
                <w:szCs w:val="20"/>
              </w:rPr>
            </w:pPr>
            <w:r w:rsidRPr="001F224B">
              <w:rPr>
                <w:color w:val="000000"/>
                <w:sz w:val="20"/>
                <w:szCs w:val="20"/>
              </w:rPr>
              <w:t>116.687.484</w:t>
            </w:r>
          </w:p>
        </w:tc>
      </w:tr>
      <w:tr w:rsidR="00F654B5" w:rsidRPr="001F224B" w14:paraId="701F7788"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tcPr>
          <w:p w14:paraId="31386B31" w14:textId="77777777" w:rsidR="00F654B5" w:rsidRPr="001F224B" w:rsidRDefault="00F654B5" w:rsidP="00F654B5">
            <w:pPr>
              <w:rPr>
                <w:sz w:val="20"/>
                <w:szCs w:val="20"/>
              </w:rPr>
            </w:pPr>
            <w:r w:rsidRPr="001F224B">
              <w:rPr>
                <w:sz w:val="20"/>
                <w:szCs w:val="20"/>
              </w:rPr>
              <w:t>İhraç Edilen Menkul Kıymet-Para Piy.Borç.</w:t>
            </w:r>
          </w:p>
        </w:tc>
        <w:tc>
          <w:tcPr>
            <w:tcW w:w="2551" w:type="dxa"/>
            <w:tcBorders>
              <w:top w:val="nil"/>
              <w:left w:val="nil"/>
              <w:bottom w:val="single" w:sz="4" w:space="0" w:color="auto"/>
              <w:right w:val="nil"/>
            </w:tcBorders>
            <w:shd w:val="clear" w:color="auto" w:fill="auto"/>
            <w:vAlign w:val="bottom"/>
          </w:tcPr>
          <w:p w14:paraId="5C74F969" w14:textId="16C65231" w:rsidR="00F654B5" w:rsidRPr="001F224B" w:rsidRDefault="00F654B5" w:rsidP="00F654B5">
            <w:pPr>
              <w:jc w:val="right"/>
              <w:rPr>
                <w:color w:val="000000"/>
                <w:sz w:val="20"/>
                <w:szCs w:val="20"/>
              </w:rPr>
            </w:pPr>
            <w:r w:rsidRPr="001F224B">
              <w:rPr>
                <w:color w:val="000000"/>
                <w:sz w:val="20"/>
                <w:szCs w:val="20"/>
              </w:rPr>
              <w:t>9.324.928</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14:paraId="0E911D58" w14:textId="46E8AC77" w:rsidR="00F654B5" w:rsidRPr="001F224B" w:rsidRDefault="00F654B5" w:rsidP="00F654B5">
            <w:pPr>
              <w:jc w:val="right"/>
              <w:rPr>
                <w:color w:val="000000"/>
                <w:sz w:val="20"/>
                <w:szCs w:val="20"/>
              </w:rPr>
            </w:pPr>
            <w:r w:rsidRPr="001F224B">
              <w:rPr>
                <w:color w:val="000000"/>
                <w:sz w:val="20"/>
                <w:szCs w:val="20"/>
              </w:rPr>
              <w:t>7.153.040</w:t>
            </w:r>
          </w:p>
        </w:tc>
      </w:tr>
      <w:tr w:rsidR="00F654B5" w:rsidRPr="001F224B" w14:paraId="7767233C"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tcPr>
          <w:p w14:paraId="02398FF3" w14:textId="77777777" w:rsidR="00F654B5" w:rsidRPr="001F224B" w:rsidRDefault="00F654B5" w:rsidP="00F654B5">
            <w:pPr>
              <w:rPr>
                <w:sz w:val="20"/>
                <w:szCs w:val="20"/>
              </w:rPr>
            </w:pPr>
            <w:r w:rsidRPr="001F224B">
              <w:rPr>
                <w:bCs/>
                <w:color w:val="000000"/>
                <w:sz w:val="20"/>
                <w:szCs w:val="20"/>
              </w:rPr>
              <w:t xml:space="preserve">Sermaye Benzeri Borçlanma Araçları </w:t>
            </w:r>
          </w:p>
        </w:tc>
        <w:tc>
          <w:tcPr>
            <w:tcW w:w="2551" w:type="dxa"/>
            <w:tcBorders>
              <w:top w:val="nil"/>
              <w:left w:val="nil"/>
              <w:bottom w:val="single" w:sz="4" w:space="0" w:color="auto"/>
              <w:right w:val="nil"/>
            </w:tcBorders>
            <w:shd w:val="clear" w:color="auto" w:fill="auto"/>
            <w:vAlign w:val="bottom"/>
          </w:tcPr>
          <w:p w14:paraId="75541459" w14:textId="65F9CE30" w:rsidR="00F654B5" w:rsidRPr="001F224B" w:rsidRDefault="00F654B5" w:rsidP="00F654B5">
            <w:pPr>
              <w:jc w:val="right"/>
              <w:rPr>
                <w:color w:val="000000"/>
                <w:sz w:val="20"/>
                <w:szCs w:val="20"/>
              </w:rPr>
            </w:pPr>
            <w:r w:rsidRPr="001F224B">
              <w:rPr>
                <w:color w:val="000000"/>
                <w:sz w:val="20"/>
                <w:szCs w:val="20"/>
              </w:rPr>
              <w:t>9.085.439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14:paraId="359D8795" w14:textId="4DB4425D" w:rsidR="00F654B5" w:rsidRPr="001F224B" w:rsidRDefault="00F654B5" w:rsidP="00F654B5">
            <w:pPr>
              <w:jc w:val="right"/>
              <w:rPr>
                <w:color w:val="000000"/>
                <w:sz w:val="20"/>
                <w:szCs w:val="20"/>
              </w:rPr>
            </w:pPr>
            <w:r w:rsidRPr="001F224B">
              <w:rPr>
                <w:color w:val="000000"/>
                <w:sz w:val="20"/>
                <w:szCs w:val="20"/>
              </w:rPr>
              <w:t>7.577.111</w:t>
            </w:r>
          </w:p>
        </w:tc>
      </w:tr>
      <w:tr w:rsidR="00F654B5" w:rsidRPr="001F224B" w14:paraId="7C51A028"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tcPr>
          <w:p w14:paraId="4ABFB945" w14:textId="77777777" w:rsidR="00F654B5" w:rsidRPr="001F224B" w:rsidRDefault="00F654B5" w:rsidP="00F654B5">
            <w:pPr>
              <w:rPr>
                <w:sz w:val="20"/>
                <w:szCs w:val="20"/>
              </w:rPr>
            </w:pPr>
            <w:r w:rsidRPr="001F224B">
              <w:rPr>
                <w:bCs/>
                <w:color w:val="000000"/>
                <w:sz w:val="20"/>
                <w:szCs w:val="20"/>
              </w:rPr>
              <w:t xml:space="preserve">Özkaynaklar ( Kâr Dahil ) </w:t>
            </w:r>
          </w:p>
        </w:tc>
        <w:tc>
          <w:tcPr>
            <w:tcW w:w="2551" w:type="dxa"/>
            <w:tcBorders>
              <w:top w:val="nil"/>
              <w:left w:val="nil"/>
              <w:bottom w:val="single" w:sz="4" w:space="0" w:color="auto"/>
              <w:right w:val="nil"/>
            </w:tcBorders>
            <w:shd w:val="clear" w:color="auto" w:fill="auto"/>
            <w:vAlign w:val="bottom"/>
          </w:tcPr>
          <w:p w14:paraId="38336B4D" w14:textId="1BE0EAF7" w:rsidR="00F654B5" w:rsidRPr="001F224B" w:rsidRDefault="00F654B5" w:rsidP="00F654B5">
            <w:pPr>
              <w:jc w:val="right"/>
              <w:rPr>
                <w:color w:val="000000"/>
                <w:sz w:val="20"/>
                <w:szCs w:val="20"/>
              </w:rPr>
            </w:pPr>
            <w:r w:rsidRPr="001F224B">
              <w:rPr>
                <w:color w:val="000000"/>
                <w:sz w:val="20"/>
                <w:szCs w:val="20"/>
              </w:rPr>
              <w:t>28.528.676</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14:paraId="27A83DA5" w14:textId="4142B674" w:rsidR="00F654B5" w:rsidRPr="001F224B" w:rsidRDefault="00F654B5" w:rsidP="00F654B5">
            <w:pPr>
              <w:jc w:val="right"/>
              <w:rPr>
                <w:color w:val="000000"/>
                <w:sz w:val="20"/>
                <w:szCs w:val="20"/>
              </w:rPr>
            </w:pPr>
            <w:r w:rsidRPr="001F224B">
              <w:rPr>
                <w:color w:val="000000"/>
                <w:sz w:val="20"/>
                <w:szCs w:val="20"/>
              </w:rPr>
              <w:t>20.005.400</w:t>
            </w:r>
          </w:p>
        </w:tc>
      </w:tr>
    </w:tbl>
    <w:p w14:paraId="627A07BB" w14:textId="77777777" w:rsidR="00C81242" w:rsidRPr="001F224B" w:rsidRDefault="00C81242" w:rsidP="00C81242">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3"/>
        <w:gridCol w:w="2571"/>
        <w:gridCol w:w="2328"/>
      </w:tblGrid>
      <w:tr w:rsidR="00C81242" w:rsidRPr="001F224B" w14:paraId="371AF998" w14:textId="77777777" w:rsidTr="00220023">
        <w:trPr>
          <w:trHeight w:val="463"/>
        </w:trPr>
        <w:tc>
          <w:tcPr>
            <w:tcW w:w="4173" w:type="dxa"/>
            <w:tcBorders>
              <w:top w:val="single" w:sz="4" w:space="0" w:color="000000"/>
              <w:left w:val="single" w:sz="4" w:space="0" w:color="000000"/>
              <w:bottom w:val="single" w:sz="4" w:space="0" w:color="000000"/>
              <w:right w:val="single" w:sz="4" w:space="0" w:color="000000"/>
            </w:tcBorders>
            <w:vAlign w:val="bottom"/>
            <w:hideMark/>
          </w:tcPr>
          <w:p w14:paraId="7E876BAB" w14:textId="77777777" w:rsidR="00C81242" w:rsidRPr="001F224B" w:rsidRDefault="00C81242" w:rsidP="00220023">
            <w:pPr>
              <w:rPr>
                <w:b/>
                <w:sz w:val="20"/>
                <w:szCs w:val="20"/>
              </w:rPr>
            </w:pPr>
            <w:r w:rsidRPr="001F224B">
              <w:rPr>
                <w:b/>
                <w:sz w:val="20"/>
                <w:szCs w:val="20"/>
              </w:rPr>
              <w:t>Kar / Zarar (Bin TL)</w:t>
            </w:r>
          </w:p>
        </w:tc>
        <w:tc>
          <w:tcPr>
            <w:tcW w:w="2571" w:type="dxa"/>
            <w:tcBorders>
              <w:top w:val="single" w:sz="4" w:space="0" w:color="000000"/>
              <w:left w:val="single" w:sz="4" w:space="0" w:color="000000"/>
              <w:bottom w:val="single" w:sz="4" w:space="0" w:color="000000"/>
              <w:right w:val="single" w:sz="4" w:space="0" w:color="000000"/>
            </w:tcBorders>
            <w:vAlign w:val="center"/>
            <w:hideMark/>
          </w:tcPr>
          <w:p w14:paraId="2C3A7E0D" w14:textId="77777777" w:rsidR="00C81242" w:rsidRPr="001F224B" w:rsidRDefault="00C81242" w:rsidP="00220023">
            <w:pPr>
              <w:jc w:val="right"/>
              <w:rPr>
                <w:b/>
                <w:sz w:val="20"/>
                <w:szCs w:val="20"/>
              </w:rPr>
            </w:pPr>
            <w:r w:rsidRPr="001F224B">
              <w:rPr>
                <w:b/>
                <w:sz w:val="20"/>
                <w:szCs w:val="20"/>
              </w:rPr>
              <w:t>Cari Dönem</w:t>
            </w:r>
          </w:p>
          <w:p w14:paraId="5B02872C" w14:textId="2963631C" w:rsidR="00C81242" w:rsidRPr="001F224B" w:rsidRDefault="00C81242" w:rsidP="00220023">
            <w:pPr>
              <w:jc w:val="right"/>
              <w:rPr>
                <w:b/>
                <w:sz w:val="20"/>
                <w:szCs w:val="20"/>
              </w:rPr>
            </w:pPr>
            <w:r w:rsidRPr="001F224B">
              <w:rPr>
                <w:b/>
                <w:sz w:val="20"/>
                <w:szCs w:val="20"/>
              </w:rPr>
              <w:t>(3</w:t>
            </w:r>
            <w:r w:rsidR="009D5FCC" w:rsidRPr="001F224B">
              <w:rPr>
                <w:b/>
                <w:sz w:val="20"/>
                <w:szCs w:val="20"/>
              </w:rPr>
              <w:t>0</w:t>
            </w:r>
            <w:r w:rsidRPr="001F224B">
              <w:rPr>
                <w:b/>
                <w:sz w:val="20"/>
                <w:szCs w:val="20"/>
              </w:rPr>
              <w:t>.0</w:t>
            </w:r>
            <w:r w:rsidR="009D5FCC" w:rsidRPr="001F224B">
              <w:rPr>
                <w:b/>
                <w:sz w:val="20"/>
                <w:szCs w:val="20"/>
              </w:rPr>
              <w:t>6</w:t>
            </w:r>
            <w:r w:rsidRPr="001F224B">
              <w:rPr>
                <w:b/>
                <w:sz w:val="20"/>
                <w:szCs w:val="20"/>
              </w:rPr>
              <w:t>.2025)</w:t>
            </w:r>
          </w:p>
        </w:tc>
        <w:tc>
          <w:tcPr>
            <w:tcW w:w="2328" w:type="dxa"/>
            <w:tcBorders>
              <w:top w:val="single" w:sz="4" w:space="0" w:color="000000"/>
              <w:left w:val="single" w:sz="4" w:space="0" w:color="000000"/>
              <w:bottom w:val="single" w:sz="4" w:space="0" w:color="auto"/>
              <w:right w:val="single" w:sz="4" w:space="0" w:color="000000"/>
            </w:tcBorders>
            <w:vAlign w:val="center"/>
            <w:hideMark/>
          </w:tcPr>
          <w:p w14:paraId="0B0883A5" w14:textId="77777777" w:rsidR="00C81242" w:rsidRPr="001F224B" w:rsidRDefault="00C81242" w:rsidP="00220023">
            <w:pPr>
              <w:jc w:val="right"/>
              <w:rPr>
                <w:b/>
                <w:sz w:val="20"/>
                <w:szCs w:val="20"/>
              </w:rPr>
            </w:pPr>
            <w:r w:rsidRPr="001F224B">
              <w:rPr>
                <w:b/>
                <w:sz w:val="20"/>
                <w:szCs w:val="20"/>
              </w:rPr>
              <w:t>Önceki Dönem</w:t>
            </w:r>
          </w:p>
          <w:p w14:paraId="60AF108E" w14:textId="4BA87EBC" w:rsidR="00C81242" w:rsidRPr="001F224B" w:rsidRDefault="00C81242" w:rsidP="00220023">
            <w:pPr>
              <w:jc w:val="right"/>
              <w:rPr>
                <w:b/>
                <w:sz w:val="20"/>
                <w:szCs w:val="20"/>
              </w:rPr>
            </w:pPr>
            <w:r w:rsidRPr="001F224B">
              <w:rPr>
                <w:b/>
                <w:sz w:val="20"/>
                <w:szCs w:val="20"/>
              </w:rPr>
              <w:t>(3</w:t>
            </w:r>
            <w:r w:rsidR="009D5FCC" w:rsidRPr="001F224B">
              <w:rPr>
                <w:b/>
                <w:sz w:val="20"/>
                <w:szCs w:val="20"/>
              </w:rPr>
              <w:t>0</w:t>
            </w:r>
            <w:r w:rsidRPr="001F224B">
              <w:rPr>
                <w:b/>
                <w:sz w:val="20"/>
                <w:szCs w:val="20"/>
              </w:rPr>
              <w:t>.0</w:t>
            </w:r>
            <w:r w:rsidR="009D5FCC" w:rsidRPr="001F224B">
              <w:rPr>
                <w:b/>
                <w:sz w:val="20"/>
                <w:szCs w:val="20"/>
              </w:rPr>
              <w:t>6</w:t>
            </w:r>
            <w:r w:rsidRPr="001F224B">
              <w:rPr>
                <w:b/>
                <w:sz w:val="20"/>
                <w:szCs w:val="20"/>
              </w:rPr>
              <w:t>.2024)</w:t>
            </w:r>
          </w:p>
        </w:tc>
      </w:tr>
      <w:tr w:rsidR="00F654B5" w:rsidRPr="001F224B" w14:paraId="6311F6E8" w14:textId="77777777" w:rsidTr="00F654B5">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20E6062D" w14:textId="77777777" w:rsidR="00F654B5" w:rsidRPr="001F224B" w:rsidRDefault="00F654B5" w:rsidP="00F654B5">
            <w:pPr>
              <w:rPr>
                <w:bCs/>
                <w:color w:val="000000"/>
                <w:sz w:val="20"/>
                <w:szCs w:val="20"/>
              </w:rPr>
            </w:pPr>
            <w:r w:rsidRPr="001F224B">
              <w:rPr>
                <w:bCs/>
                <w:color w:val="000000"/>
                <w:sz w:val="20"/>
                <w:szCs w:val="20"/>
              </w:rPr>
              <w:t xml:space="preserve">Faiz Gelirleri (Net)  </w:t>
            </w:r>
          </w:p>
        </w:tc>
        <w:tc>
          <w:tcPr>
            <w:tcW w:w="2571" w:type="dxa"/>
            <w:tcBorders>
              <w:top w:val="nil"/>
              <w:left w:val="nil"/>
              <w:bottom w:val="single" w:sz="4" w:space="0" w:color="auto"/>
              <w:right w:val="nil"/>
            </w:tcBorders>
            <w:shd w:val="clear" w:color="auto" w:fill="auto"/>
            <w:vAlign w:val="bottom"/>
            <w:hideMark/>
          </w:tcPr>
          <w:p w14:paraId="3387AA8A" w14:textId="64825BD6" w:rsidR="00F654B5" w:rsidRPr="001F224B" w:rsidRDefault="00F654B5" w:rsidP="00F654B5">
            <w:pPr>
              <w:jc w:val="right"/>
              <w:rPr>
                <w:color w:val="000000"/>
                <w:sz w:val="20"/>
                <w:szCs w:val="20"/>
              </w:rPr>
            </w:pPr>
            <w:r w:rsidRPr="001F224B">
              <w:rPr>
                <w:color w:val="000000"/>
                <w:sz w:val="20"/>
                <w:szCs w:val="20"/>
              </w:rPr>
              <w:t>6.820.829</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A640D4" w14:textId="0A32A102" w:rsidR="00F654B5" w:rsidRPr="001F224B" w:rsidRDefault="00F654B5" w:rsidP="00F654B5">
            <w:pPr>
              <w:jc w:val="right"/>
              <w:rPr>
                <w:color w:val="000000"/>
                <w:sz w:val="20"/>
                <w:szCs w:val="20"/>
              </w:rPr>
            </w:pPr>
            <w:r w:rsidRPr="001F224B">
              <w:rPr>
                <w:color w:val="000000"/>
                <w:sz w:val="20"/>
                <w:szCs w:val="20"/>
              </w:rPr>
              <w:t>5.555.045</w:t>
            </w:r>
          </w:p>
        </w:tc>
      </w:tr>
      <w:tr w:rsidR="00F654B5" w:rsidRPr="001F224B" w14:paraId="532369F0" w14:textId="77777777" w:rsidTr="00F654B5">
        <w:trPr>
          <w:trHeight w:val="259"/>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339FFB8" w14:textId="77777777" w:rsidR="00F654B5" w:rsidRPr="001F224B" w:rsidRDefault="00F654B5" w:rsidP="00F654B5">
            <w:pPr>
              <w:rPr>
                <w:bCs/>
                <w:color w:val="000000"/>
                <w:sz w:val="20"/>
                <w:szCs w:val="20"/>
              </w:rPr>
            </w:pPr>
            <w:r w:rsidRPr="001F224B">
              <w:rPr>
                <w:bCs/>
                <w:color w:val="000000"/>
                <w:sz w:val="20"/>
                <w:szCs w:val="20"/>
              </w:rPr>
              <w:t>Faiz Dışı Gelirler-Giderler (Net)</w:t>
            </w:r>
          </w:p>
        </w:tc>
        <w:tc>
          <w:tcPr>
            <w:tcW w:w="2571" w:type="dxa"/>
            <w:tcBorders>
              <w:top w:val="nil"/>
              <w:left w:val="nil"/>
              <w:bottom w:val="single" w:sz="4" w:space="0" w:color="auto"/>
              <w:right w:val="nil"/>
            </w:tcBorders>
            <w:shd w:val="clear" w:color="auto" w:fill="auto"/>
            <w:vAlign w:val="bottom"/>
            <w:hideMark/>
          </w:tcPr>
          <w:p w14:paraId="2313FCBA" w14:textId="5DD71128" w:rsidR="00F654B5" w:rsidRPr="001F224B" w:rsidRDefault="00F654B5" w:rsidP="00F654B5">
            <w:pPr>
              <w:jc w:val="right"/>
              <w:rPr>
                <w:color w:val="000000"/>
                <w:sz w:val="20"/>
                <w:szCs w:val="20"/>
              </w:rPr>
            </w:pPr>
            <w:r w:rsidRPr="001F224B">
              <w:rPr>
                <w:color w:val="000000"/>
                <w:sz w:val="20"/>
                <w:szCs w:val="20"/>
              </w:rPr>
              <w:t>(1.052.745)</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D33EF7" w14:textId="5E8D8402" w:rsidR="00F654B5" w:rsidRPr="001F224B" w:rsidRDefault="00F654B5" w:rsidP="00F654B5">
            <w:pPr>
              <w:jc w:val="right"/>
              <w:rPr>
                <w:color w:val="000000"/>
                <w:sz w:val="20"/>
                <w:szCs w:val="20"/>
              </w:rPr>
            </w:pPr>
            <w:r w:rsidRPr="001F224B">
              <w:rPr>
                <w:color w:val="000000"/>
                <w:sz w:val="20"/>
                <w:szCs w:val="20"/>
              </w:rPr>
              <w:t>(1.697.008)</w:t>
            </w:r>
          </w:p>
        </w:tc>
      </w:tr>
      <w:tr w:rsidR="00F654B5" w:rsidRPr="001F224B" w14:paraId="5BEFD955" w14:textId="77777777" w:rsidTr="00F654B5">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10A3FEB9" w14:textId="77777777" w:rsidR="00F654B5" w:rsidRPr="001F224B" w:rsidRDefault="00F654B5" w:rsidP="00F654B5">
            <w:pPr>
              <w:rPr>
                <w:bCs/>
                <w:color w:val="000000"/>
                <w:sz w:val="20"/>
                <w:szCs w:val="20"/>
              </w:rPr>
            </w:pPr>
            <w:r w:rsidRPr="001F224B">
              <w:rPr>
                <w:bCs/>
                <w:color w:val="000000"/>
                <w:sz w:val="20"/>
                <w:szCs w:val="20"/>
              </w:rPr>
              <w:t>Vergi Karşılığı (-)</w:t>
            </w:r>
          </w:p>
        </w:tc>
        <w:tc>
          <w:tcPr>
            <w:tcW w:w="2571" w:type="dxa"/>
            <w:tcBorders>
              <w:top w:val="nil"/>
              <w:left w:val="nil"/>
              <w:bottom w:val="single" w:sz="4" w:space="0" w:color="auto"/>
              <w:right w:val="nil"/>
            </w:tcBorders>
            <w:shd w:val="clear" w:color="auto" w:fill="auto"/>
            <w:vAlign w:val="bottom"/>
            <w:hideMark/>
          </w:tcPr>
          <w:p w14:paraId="7E6FAD36" w14:textId="48C79C87" w:rsidR="00F654B5" w:rsidRPr="001F224B" w:rsidRDefault="00F654B5" w:rsidP="00F654B5">
            <w:pPr>
              <w:jc w:val="right"/>
              <w:rPr>
                <w:color w:val="000000"/>
                <w:sz w:val="20"/>
                <w:szCs w:val="20"/>
              </w:rPr>
            </w:pPr>
            <w:r w:rsidRPr="001F224B">
              <w:rPr>
                <w:color w:val="000000"/>
                <w:sz w:val="20"/>
                <w:szCs w:val="20"/>
              </w:rPr>
              <w:t>1.754.328</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54DEB0" w14:textId="1A23100D" w:rsidR="00F654B5" w:rsidRPr="001F224B" w:rsidRDefault="00F654B5" w:rsidP="00F654B5">
            <w:pPr>
              <w:jc w:val="right"/>
              <w:rPr>
                <w:color w:val="000000"/>
                <w:sz w:val="20"/>
                <w:szCs w:val="20"/>
              </w:rPr>
            </w:pPr>
            <w:r w:rsidRPr="001F224B">
              <w:rPr>
                <w:color w:val="000000"/>
                <w:sz w:val="20"/>
                <w:szCs w:val="20"/>
              </w:rPr>
              <w:t>1.125.487</w:t>
            </w:r>
          </w:p>
        </w:tc>
      </w:tr>
      <w:tr w:rsidR="00F654B5" w:rsidRPr="001F224B" w14:paraId="7C8AB76D" w14:textId="77777777" w:rsidTr="00F654B5">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1B717217" w14:textId="77777777" w:rsidR="00F654B5" w:rsidRPr="001F224B" w:rsidRDefault="00F654B5" w:rsidP="00F654B5">
            <w:pPr>
              <w:rPr>
                <w:bCs/>
                <w:color w:val="000000"/>
                <w:sz w:val="20"/>
                <w:szCs w:val="20"/>
              </w:rPr>
            </w:pPr>
            <w:r w:rsidRPr="001F224B">
              <w:rPr>
                <w:bCs/>
                <w:color w:val="000000"/>
                <w:sz w:val="20"/>
                <w:szCs w:val="20"/>
              </w:rPr>
              <w:t>Net Kâr/Zarar</w:t>
            </w:r>
          </w:p>
        </w:tc>
        <w:tc>
          <w:tcPr>
            <w:tcW w:w="2571" w:type="dxa"/>
            <w:tcBorders>
              <w:top w:val="nil"/>
              <w:left w:val="nil"/>
              <w:bottom w:val="single" w:sz="4" w:space="0" w:color="auto"/>
              <w:right w:val="nil"/>
            </w:tcBorders>
            <w:shd w:val="clear" w:color="auto" w:fill="auto"/>
            <w:vAlign w:val="bottom"/>
            <w:hideMark/>
          </w:tcPr>
          <w:p w14:paraId="6A329885" w14:textId="476F1FFF" w:rsidR="00F654B5" w:rsidRPr="001F224B" w:rsidRDefault="00F654B5" w:rsidP="00F654B5">
            <w:pPr>
              <w:jc w:val="right"/>
              <w:rPr>
                <w:color w:val="000000"/>
                <w:sz w:val="20"/>
                <w:szCs w:val="20"/>
              </w:rPr>
            </w:pPr>
            <w:r w:rsidRPr="001F224B">
              <w:rPr>
                <w:color w:val="000000"/>
                <w:sz w:val="20"/>
                <w:szCs w:val="20"/>
              </w:rPr>
              <w:t>4.013.756</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12210D" w14:textId="77703105" w:rsidR="00F654B5" w:rsidRPr="001F224B" w:rsidRDefault="00F654B5" w:rsidP="00F654B5">
            <w:pPr>
              <w:jc w:val="right"/>
              <w:rPr>
                <w:color w:val="000000"/>
                <w:sz w:val="20"/>
                <w:szCs w:val="20"/>
              </w:rPr>
            </w:pPr>
            <w:r w:rsidRPr="001F224B">
              <w:rPr>
                <w:color w:val="000000"/>
                <w:sz w:val="20"/>
                <w:szCs w:val="20"/>
              </w:rPr>
              <w:t>2.732.550</w:t>
            </w:r>
          </w:p>
        </w:tc>
      </w:tr>
    </w:tbl>
    <w:p w14:paraId="70ABCA47" w14:textId="77777777" w:rsidR="00C81242" w:rsidRPr="001F224B" w:rsidRDefault="00C81242" w:rsidP="00C81242">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551"/>
        <w:gridCol w:w="2381"/>
      </w:tblGrid>
      <w:tr w:rsidR="00C81242" w:rsidRPr="001F224B" w14:paraId="2BE259FB" w14:textId="77777777" w:rsidTr="00220023">
        <w:tc>
          <w:tcPr>
            <w:tcW w:w="4140" w:type="dxa"/>
            <w:tcBorders>
              <w:top w:val="single" w:sz="4" w:space="0" w:color="000000"/>
              <w:left w:val="single" w:sz="4" w:space="0" w:color="000000"/>
              <w:bottom w:val="single" w:sz="4" w:space="0" w:color="000000"/>
              <w:right w:val="single" w:sz="4" w:space="0" w:color="000000"/>
            </w:tcBorders>
            <w:vAlign w:val="bottom"/>
            <w:hideMark/>
          </w:tcPr>
          <w:p w14:paraId="097C0566" w14:textId="77777777" w:rsidR="00C81242" w:rsidRPr="001F224B" w:rsidRDefault="00C81242" w:rsidP="00220023">
            <w:pPr>
              <w:rPr>
                <w:b/>
                <w:sz w:val="20"/>
                <w:szCs w:val="20"/>
              </w:rPr>
            </w:pPr>
            <w:r w:rsidRPr="001F224B">
              <w:rPr>
                <w:b/>
                <w:sz w:val="20"/>
                <w:szCs w:val="20"/>
              </w:rPr>
              <w:t>Rasyolar (%)</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5E7DA6A" w14:textId="77777777" w:rsidR="00C81242" w:rsidRPr="001F224B" w:rsidRDefault="00C81242" w:rsidP="00220023">
            <w:pPr>
              <w:jc w:val="right"/>
              <w:rPr>
                <w:b/>
                <w:sz w:val="20"/>
                <w:szCs w:val="20"/>
              </w:rPr>
            </w:pPr>
            <w:r w:rsidRPr="001F224B">
              <w:rPr>
                <w:b/>
                <w:sz w:val="20"/>
                <w:szCs w:val="20"/>
              </w:rPr>
              <w:t>Cari Dönem</w:t>
            </w:r>
          </w:p>
          <w:p w14:paraId="5AB315D5" w14:textId="0C2D5E88" w:rsidR="00C81242" w:rsidRPr="001F224B" w:rsidRDefault="00C81242" w:rsidP="00220023">
            <w:pPr>
              <w:jc w:val="right"/>
              <w:rPr>
                <w:b/>
                <w:sz w:val="20"/>
                <w:szCs w:val="20"/>
              </w:rPr>
            </w:pPr>
            <w:r w:rsidRPr="001F224B">
              <w:rPr>
                <w:b/>
                <w:sz w:val="20"/>
                <w:szCs w:val="20"/>
              </w:rPr>
              <w:t>(3</w:t>
            </w:r>
            <w:r w:rsidR="009D5FCC" w:rsidRPr="001F224B">
              <w:rPr>
                <w:b/>
                <w:sz w:val="20"/>
                <w:szCs w:val="20"/>
              </w:rPr>
              <w:t>0</w:t>
            </w:r>
            <w:r w:rsidRPr="001F224B">
              <w:rPr>
                <w:b/>
                <w:sz w:val="20"/>
                <w:szCs w:val="20"/>
              </w:rPr>
              <w:t>.0</w:t>
            </w:r>
            <w:r w:rsidR="009D5FCC" w:rsidRPr="001F224B">
              <w:rPr>
                <w:b/>
                <w:sz w:val="20"/>
                <w:szCs w:val="20"/>
              </w:rPr>
              <w:t>6</w:t>
            </w:r>
            <w:r w:rsidRPr="001F224B">
              <w:rPr>
                <w:b/>
                <w:sz w:val="20"/>
                <w:szCs w:val="20"/>
              </w:rPr>
              <w:t>.2025)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23597A00" w14:textId="77777777" w:rsidR="00C81242" w:rsidRPr="001F224B" w:rsidRDefault="00C81242" w:rsidP="00220023">
            <w:pPr>
              <w:jc w:val="right"/>
              <w:rPr>
                <w:b/>
                <w:sz w:val="20"/>
                <w:szCs w:val="20"/>
              </w:rPr>
            </w:pPr>
            <w:r w:rsidRPr="001F224B">
              <w:rPr>
                <w:b/>
                <w:sz w:val="20"/>
                <w:szCs w:val="20"/>
              </w:rPr>
              <w:t>Önceki Dönem</w:t>
            </w:r>
          </w:p>
          <w:p w14:paraId="3AAA21E0" w14:textId="525569BD" w:rsidR="00C81242" w:rsidRPr="001F224B" w:rsidRDefault="00C81242" w:rsidP="00220023">
            <w:pPr>
              <w:jc w:val="right"/>
              <w:rPr>
                <w:b/>
                <w:sz w:val="20"/>
                <w:szCs w:val="20"/>
              </w:rPr>
            </w:pPr>
            <w:r w:rsidRPr="001F224B">
              <w:rPr>
                <w:b/>
                <w:sz w:val="20"/>
                <w:szCs w:val="20"/>
              </w:rPr>
              <w:t>(31.12.2024)</w:t>
            </w:r>
          </w:p>
        </w:tc>
      </w:tr>
      <w:tr w:rsidR="00F654B5" w:rsidRPr="001F224B" w14:paraId="6B19ACA3"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25A2B03A" w14:textId="77777777" w:rsidR="00F654B5" w:rsidRPr="001F224B" w:rsidRDefault="00F654B5" w:rsidP="00F654B5">
            <w:pPr>
              <w:rPr>
                <w:bCs/>
                <w:color w:val="000000"/>
                <w:sz w:val="20"/>
                <w:szCs w:val="20"/>
              </w:rPr>
            </w:pPr>
            <w:r w:rsidRPr="001F224B">
              <w:rPr>
                <w:bCs/>
                <w:color w:val="000000"/>
                <w:sz w:val="20"/>
                <w:szCs w:val="20"/>
              </w:rPr>
              <w:t xml:space="preserve">Toplam Krediler / Toplam Aktifler </w:t>
            </w:r>
          </w:p>
        </w:tc>
        <w:tc>
          <w:tcPr>
            <w:tcW w:w="2551" w:type="dxa"/>
            <w:tcBorders>
              <w:top w:val="single" w:sz="4" w:space="0" w:color="000000"/>
              <w:left w:val="nil"/>
              <w:bottom w:val="single" w:sz="4" w:space="0" w:color="auto"/>
              <w:right w:val="single" w:sz="4" w:space="0" w:color="auto"/>
            </w:tcBorders>
            <w:shd w:val="clear" w:color="auto" w:fill="auto"/>
            <w:vAlign w:val="bottom"/>
            <w:hideMark/>
          </w:tcPr>
          <w:p w14:paraId="6D4F63D4" w14:textId="1ECFD319" w:rsidR="00F654B5" w:rsidRPr="001F224B" w:rsidRDefault="00F654B5" w:rsidP="00F654B5">
            <w:pPr>
              <w:jc w:val="right"/>
              <w:rPr>
                <w:color w:val="000000"/>
                <w:sz w:val="20"/>
                <w:szCs w:val="20"/>
              </w:rPr>
            </w:pPr>
            <w:r w:rsidRPr="001F224B">
              <w:rPr>
                <w:color w:val="000000"/>
                <w:sz w:val="20"/>
                <w:szCs w:val="20"/>
              </w:rPr>
              <w:t>58,9</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B5B627" w14:textId="04FDF11A" w:rsidR="00F654B5" w:rsidRPr="001F224B" w:rsidRDefault="00F654B5" w:rsidP="00F654B5">
            <w:pPr>
              <w:jc w:val="right"/>
              <w:rPr>
                <w:color w:val="000000"/>
                <w:sz w:val="20"/>
                <w:szCs w:val="20"/>
              </w:rPr>
            </w:pPr>
            <w:r w:rsidRPr="001F224B">
              <w:rPr>
                <w:color w:val="000000"/>
                <w:sz w:val="20"/>
                <w:szCs w:val="20"/>
              </w:rPr>
              <w:t>61,7</w:t>
            </w:r>
          </w:p>
        </w:tc>
      </w:tr>
      <w:tr w:rsidR="00F654B5" w:rsidRPr="001F224B" w14:paraId="4857ABF2" w14:textId="77777777" w:rsidTr="00F654B5">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5300EB70" w14:textId="77777777" w:rsidR="00F654B5" w:rsidRPr="001F224B" w:rsidRDefault="00F654B5" w:rsidP="00F654B5">
            <w:pPr>
              <w:rPr>
                <w:bCs/>
                <w:color w:val="000000"/>
                <w:sz w:val="20"/>
                <w:szCs w:val="20"/>
              </w:rPr>
            </w:pPr>
            <w:r w:rsidRPr="001F224B">
              <w:rPr>
                <w:bCs/>
                <w:color w:val="000000"/>
                <w:sz w:val="20"/>
                <w:szCs w:val="20"/>
              </w:rPr>
              <w:t>Takipteki Krediler / Toplam Krediler</w:t>
            </w:r>
          </w:p>
        </w:tc>
        <w:tc>
          <w:tcPr>
            <w:tcW w:w="2551" w:type="dxa"/>
            <w:tcBorders>
              <w:top w:val="single" w:sz="4" w:space="0" w:color="auto"/>
              <w:left w:val="nil"/>
              <w:bottom w:val="single" w:sz="4" w:space="0" w:color="auto"/>
              <w:right w:val="single" w:sz="4" w:space="0" w:color="auto"/>
            </w:tcBorders>
            <w:shd w:val="clear" w:color="auto" w:fill="auto"/>
            <w:vAlign w:val="bottom"/>
          </w:tcPr>
          <w:p w14:paraId="65551C33" w14:textId="25E21C08" w:rsidR="00F654B5" w:rsidRPr="001F224B" w:rsidRDefault="00F654B5" w:rsidP="00F654B5">
            <w:pPr>
              <w:jc w:val="right"/>
              <w:rPr>
                <w:color w:val="000000"/>
                <w:sz w:val="20"/>
                <w:szCs w:val="20"/>
              </w:rPr>
            </w:pPr>
            <w:r w:rsidRPr="001F224B">
              <w:rPr>
                <w:color w:val="000000"/>
                <w:sz w:val="20"/>
                <w:szCs w:val="20"/>
              </w:rPr>
              <w:t>0,6</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27BBAE" w14:textId="1D171E95" w:rsidR="00F654B5" w:rsidRPr="001F224B" w:rsidRDefault="00F654B5" w:rsidP="00F654B5">
            <w:pPr>
              <w:jc w:val="right"/>
              <w:rPr>
                <w:color w:val="000000"/>
                <w:sz w:val="20"/>
                <w:szCs w:val="20"/>
              </w:rPr>
            </w:pPr>
            <w:r w:rsidRPr="001F224B">
              <w:rPr>
                <w:color w:val="000000"/>
                <w:sz w:val="20"/>
                <w:szCs w:val="20"/>
              </w:rPr>
              <w:t>0,8</w:t>
            </w:r>
          </w:p>
        </w:tc>
      </w:tr>
      <w:tr w:rsidR="00F654B5" w:rsidRPr="001F224B" w14:paraId="2A5C156B"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666C436B" w14:textId="77777777" w:rsidR="00F654B5" w:rsidRPr="001F224B" w:rsidRDefault="00F654B5" w:rsidP="00F654B5">
            <w:pPr>
              <w:rPr>
                <w:bCs/>
                <w:color w:val="000000"/>
                <w:sz w:val="20"/>
                <w:szCs w:val="20"/>
              </w:rPr>
            </w:pPr>
            <w:r w:rsidRPr="001F224B">
              <w:rPr>
                <w:bCs/>
                <w:color w:val="000000"/>
                <w:sz w:val="20"/>
                <w:szCs w:val="20"/>
              </w:rPr>
              <w:t xml:space="preserve">Özkaynaklar / Toplam Aktifler </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62635E46" w14:textId="6E5A305A" w:rsidR="00F654B5" w:rsidRPr="001F224B" w:rsidRDefault="00F654B5" w:rsidP="00F654B5">
            <w:pPr>
              <w:jc w:val="right"/>
              <w:rPr>
                <w:color w:val="000000"/>
                <w:sz w:val="20"/>
                <w:szCs w:val="20"/>
              </w:rPr>
            </w:pPr>
            <w:r w:rsidRPr="001F224B">
              <w:rPr>
                <w:color w:val="000000"/>
                <w:sz w:val="20"/>
                <w:szCs w:val="20"/>
              </w:rPr>
              <w:t>15,4</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248DAE" w14:textId="1AFCED15" w:rsidR="00F654B5" w:rsidRPr="001F224B" w:rsidRDefault="00F654B5" w:rsidP="00F654B5">
            <w:pPr>
              <w:jc w:val="right"/>
              <w:rPr>
                <w:color w:val="000000"/>
                <w:sz w:val="20"/>
                <w:szCs w:val="20"/>
              </w:rPr>
            </w:pPr>
            <w:r w:rsidRPr="001F224B">
              <w:rPr>
                <w:color w:val="000000"/>
                <w:sz w:val="20"/>
                <w:szCs w:val="20"/>
              </w:rPr>
              <w:t>13,0</w:t>
            </w:r>
          </w:p>
        </w:tc>
      </w:tr>
      <w:tr w:rsidR="00F654B5" w:rsidRPr="001F224B" w14:paraId="0983D666"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29AE6F1B" w14:textId="77777777" w:rsidR="00F654B5" w:rsidRPr="001F224B" w:rsidRDefault="00F654B5" w:rsidP="00F654B5">
            <w:pPr>
              <w:rPr>
                <w:bCs/>
                <w:color w:val="000000"/>
                <w:sz w:val="20"/>
                <w:szCs w:val="20"/>
              </w:rPr>
            </w:pPr>
            <w:r w:rsidRPr="001F224B">
              <w:rPr>
                <w:bCs/>
                <w:color w:val="000000"/>
                <w:sz w:val="20"/>
                <w:szCs w:val="20"/>
              </w:rPr>
              <w:t>Alınan Krediler / Toplam Pasifler</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23E9325B" w14:textId="14FDD78C" w:rsidR="00F654B5" w:rsidRPr="001F224B" w:rsidRDefault="00F654B5" w:rsidP="00F654B5">
            <w:pPr>
              <w:jc w:val="right"/>
              <w:rPr>
                <w:color w:val="000000"/>
                <w:sz w:val="20"/>
                <w:szCs w:val="20"/>
              </w:rPr>
            </w:pPr>
            <w:r w:rsidRPr="001F224B">
              <w:rPr>
                <w:color w:val="000000"/>
                <w:sz w:val="20"/>
                <w:szCs w:val="20"/>
              </w:rPr>
              <w:t>68,1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3D94D7" w14:textId="742005E2" w:rsidR="00F654B5" w:rsidRPr="001F224B" w:rsidRDefault="00F654B5" w:rsidP="00F654B5">
            <w:pPr>
              <w:jc w:val="right"/>
              <w:rPr>
                <w:color w:val="000000"/>
                <w:sz w:val="20"/>
                <w:szCs w:val="20"/>
              </w:rPr>
            </w:pPr>
            <w:r w:rsidRPr="001F224B">
              <w:rPr>
                <w:color w:val="000000"/>
                <w:sz w:val="20"/>
                <w:szCs w:val="20"/>
              </w:rPr>
              <w:t>70,5</w:t>
            </w:r>
          </w:p>
        </w:tc>
      </w:tr>
      <w:tr w:rsidR="002B383F" w:rsidRPr="001F224B" w14:paraId="7F0F637B" w14:textId="77777777" w:rsidTr="00F654B5">
        <w:tc>
          <w:tcPr>
            <w:tcW w:w="4140" w:type="dxa"/>
            <w:tcBorders>
              <w:top w:val="single" w:sz="4" w:space="0" w:color="000000"/>
              <w:left w:val="single" w:sz="4" w:space="0" w:color="000000"/>
              <w:bottom w:val="single" w:sz="4" w:space="0" w:color="000000"/>
              <w:right w:val="single" w:sz="4" w:space="0" w:color="000000"/>
            </w:tcBorders>
            <w:vAlign w:val="center"/>
            <w:hideMark/>
          </w:tcPr>
          <w:p w14:paraId="21C4B5D0" w14:textId="77777777" w:rsidR="002B383F" w:rsidRPr="001F224B" w:rsidRDefault="002B383F" w:rsidP="002B383F">
            <w:pPr>
              <w:rPr>
                <w:bCs/>
                <w:color w:val="000000"/>
                <w:sz w:val="20"/>
                <w:szCs w:val="20"/>
              </w:rPr>
            </w:pPr>
            <w:r w:rsidRPr="001F224B">
              <w:rPr>
                <w:bCs/>
                <w:color w:val="000000"/>
                <w:sz w:val="20"/>
                <w:szCs w:val="20"/>
              </w:rPr>
              <w:t xml:space="preserve">Sermaye Yeterliliği Rasyosu </w:t>
            </w:r>
          </w:p>
        </w:tc>
        <w:tc>
          <w:tcPr>
            <w:tcW w:w="2551" w:type="dxa"/>
            <w:tcBorders>
              <w:top w:val="single" w:sz="4" w:space="0" w:color="auto"/>
              <w:left w:val="nil"/>
              <w:bottom w:val="single" w:sz="4" w:space="0" w:color="auto"/>
              <w:right w:val="single" w:sz="4" w:space="0" w:color="auto"/>
            </w:tcBorders>
            <w:shd w:val="clear" w:color="auto" w:fill="FFFFFF"/>
            <w:vAlign w:val="bottom"/>
            <w:hideMark/>
          </w:tcPr>
          <w:p w14:paraId="127FAD3B" w14:textId="069AED44" w:rsidR="002B383F" w:rsidRPr="001F224B" w:rsidRDefault="00676C8C" w:rsidP="002B383F">
            <w:pPr>
              <w:jc w:val="right"/>
              <w:rPr>
                <w:sz w:val="20"/>
                <w:szCs w:val="20"/>
              </w:rPr>
            </w:pPr>
            <w:r w:rsidRPr="001F224B">
              <w:rPr>
                <w:color w:val="000000"/>
                <w:sz w:val="20"/>
                <w:szCs w:val="20"/>
              </w:rPr>
              <w:t>20,0</w:t>
            </w:r>
          </w:p>
        </w:tc>
        <w:tc>
          <w:tcPr>
            <w:tcW w:w="2381" w:type="dxa"/>
            <w:tcBorders>
              <w:top w:val="single" w:sz="4" w:space="0" w:color="auto"/>
              <w:left w:val="nil"/>
              <w:bottom w:val="single" w:sz="4" w:space="0" w:color="auto"/>
              <w:right w:val="single" w:sz="4" w:space="0" w:color="auto"/>
            </w:tcBorders>
            <w:shd w:val="clear" w:color="auto" w:fill="auto"/>
            <w:vAlign w:val="bottom"/>
            <w:hideMark/>
          </w:tcPr>
          <w:p w14:paraId="47255A8B" w14:textId="0B8EA558" w:rsidR="002B383F" w:rsidRPr="001F224B" w:rsidRDefault="002B383F" w:rsidP="002B383F">
            <w:pPr>
              <w:jc w:val="right"/>
              <w:rPr>
                <w:color w:val="000000"/>
                <w:sz w:val="20"/>
                <w:szCs w:val="20"/>
              </w:rPr>
            </w:pPr>
            <w:r w:rsidRPr="001F224B">
              <w:rPr>
                <w:color w:val="000000"/>
                <w:sz w:val="20"/>
                <w:szCs w:val="20"/>
              </w:rPr>
              <w:t>18,0</w:t>
            </w:r>
          </w:p>
        </w:tc>
      </w:tr>
    </w:tbl>
    <w:p w14:paraId="0C684F7C" w14:textId="77777777" w:rsidR="00C81242" w:rsidRPr="001F224B" w:rsidRDefault="00C81242" w:rsidP="00C81242">
      <w:pPr>
        <w:rPr>
          <w:b/>
          <w:bCs/>
          <w:sz w:val="22"/>
          <w:szCs w:val="22"/>
        </w:rPr>
      </w:pPr>
    </w:p>
    <w:p w14:paraId="18BE0DCF" w14:textId="44274DFF" w:rsidR="00C81242" w:rsidRPr="001F224B" w:rsidRDefault="00C81242" w:rsidP="00C81242">
      <w:pPr>
        <w:tabs>
          <w:tab w:val="left" w:pos="3000"/>
        </w:tabs>
        <w:rPr>
          <w:sz w:val="22"/>
          <w:szCs w:val="22"/>
        </w:rPr>
      </w:pPr>
      <w:r w:rsidRPr="001F224B">
        <w:rPr>
          <w:b/>
          <w:sz w:val="22"/>
          <w:szCs w:val="22"/>
        </w:rPr>
        <w:t>V.       Banka Yönetimi</w:t>
      </w:r>
    </w:p>
    <w:p w14:paraId="4E2475CC" w14:textId="77777777" w:rsidR="00C81242" w:rsidRPr="001F224B" w:rsidRDefault="00C81242" w:rsidP="00C81242">
      <w:pPr>
        <w:numPr>
          <w:ilvl w:val="2"/>
          <w:numId w:val="18"/>
        </w:numPr>
        <w:tabs>
          <w:tab w:val="left" w:pos="3000"/>
        </w:tabs>
        <w:spacing w:before="120"/>
        <w:ind w:left="567" w:hanging="591"/>
        <w:jc w:val="both"/>
        <w:rPr>
          <w:b/>
          <w:sz w:val="22"/>
          <w:szCs w:val="22"/>
        </w:rPr>
      </w:pPr>
      <w:r w:rsidRPr="001F224B">
        <w:rPr>
          <w:b/>
          <w:sz w:val="22"/>
          <w:szCs w:val="22"/>
        </w:rPr>
        <w:t xml:space="preserve">  Yönetim Kurulu ve Banka Üst Yönetimi</w:t>
      </w:r>
    </w:p>
    <w:p w14:paraId="67C7E468" w14:textId="77777777" w:rsidR="00C81242" w:rsidRPr="001F224B" w:rsidRDefault="00C81242" w:rsidP="00C81242">
      <w:pPr>
        <w:tabs>
          <w:tab w:val="left" w:pos="3000"/>
        </w:tabs>
        <w:spacing w:before="120"/>
        <w:ind w:left="567"/>
        <w:jc w:val="both"/>
        <w:rPr>
          <w:sz w:val="22"/>
          <w:szCs w:val="22"/>
        </w:rPr>
      </w:pPr>
      <w:r w:rsidRPr="001F224B">
        <w:rPr>
          <w:sz w:val="22"/>
          <w:szCs w:val="22"/>
        </w:rPr>
        <w:t xml:space="preserve">  Yönetim Kurulu Üyeleri ve Banka Üst Yönetimi, genel bilgiler bölümünde ikinci sayfada belirtilmiştir.</w:t>
      </w:r>
    </w:p>
    <w:p w14:paraId="4F52BBB6" w14:textId="77777777" w:rsidR="002C63CA" w:rsidRPr="001F224B" w:rsidRDefault="002C63CA" w:rsidP="002C63CA">
      <w:pPr>
        <w:numPr>
          <w:ilvl w:val="2"/>
          <w:numId w:val="18"/>
        </w:numPr>
        <w:tabs>
          <w:tab w:val="left" w:pos="3000"/>
        </w:tabs>
        <w:spacing w:before="120"/>
        <w:ind w:left="567" w:hanging="591"/>
        <w:jc w:val="both"/>
        <w:rPr>
          <w:b/>
          <w:sz w:val="22"/>
          <w:szCs w:val="22"/>
        </w:rPr>
      </w:pPr>
      <w:r w:rsidRPr="001F224B">
        <w:rPr>
          <w:b/>
          <w:sz w:val="22"/>
          <w:szCs w:val="22"/>
        </w:rPr>
        <w:t xml:space="preserve">  Yönetim Kurulu Başkanı ve Üyeleri’nin Yetki Sınırları</w:t>
      </w:r>
    </w:p>
    <w:p w14:paraId="01FC968A" w14:textId="77777777" w:rsidR="00FA0789" w:rsidRPr="001F224B" w:rsidRDefault="00FA0789" w:rsidP="00FA0789">
      <w:pPr>
        <w:tabs>
          <w:tab w:val="left" w:pos="709"/>
          <w:tab w:val="left" w:pos="851"/>
        </w:tabs>
        <w:spacing w:before="120"/>
        <w:ind w:left="709"/>
        <w:jc w:val="both"/>
        <w:rPr>
          <w:sz w:val="22"/>
          <w:szCs w:val="22"/>
        </w:rPr>
      </w:pPr>
      <w:r w:rsidRPr="001F224B">
        <w:rPr>
          <w:sz w:val="22"/>
          <w:szCs w:val="22"/>
        </w:rPr>
        <w:t xml:space="preserve">Banka Yönetim Kurulu üyelerinin görev ve sorumlulukları, 7147 sayılı Türkiye Kalkınma ve Yatırım Bankası A.Ş. Hakkında Kanun ve Banka Ana Sözleşmesi ile belirlenmiştir. </w:t>
      </w:r>
    </w:p>
    <w:p w14:paraId="5227DA96" w14:textId="77777777" w:rsidR="00FA0789" w:rsidRPr="001F224B" w:rsidRDefault="00FA0789" w:rsidP="00FA0789">
      <w:pPr>
        <w:tabs>
          <w:tab w:val="left" w:pos="709"/>
          <w:tab w:val="left" w:pos="851"/>
        </w:tabs>
        <w:spacing w:before="120"/>
        <w:ind w:left="709"/>
        <w:jc w:val="both"/>
        <w:rPr>
          <w:sz w:val="22"/>
          <w:szCs w:val="22"/>
        </w:rPr>
      </w:pPr>
      <w:r w:rsidRPr="001F224B">
        <w:rPr>
          <w:sz w:val="22"/>
          <w:szCs w:val="22"/>
        </w:rPr>
        <w:t xml:space="preserve">Banka Yönetim Kurulunun temel görevi, Genel Kurul kararları ve ilgili mevzuat ile kalkınma planı ve yıllık programlar çerçevesinde, Kanun ile belirlenen amaçların gerçekleşmesini sağlamaktır. Nisan-Haziran 2025 döneminde Yönetim Kurulu 5 adet toplantı yapmış ve 66 adet karar almıştır. </w:t>
      </w:r>
    </w:p>
    <w:p w14:paraId="0F1EE11F" w14:textId="43FA5A6D" w:rsidR="003241CF" w:rsidRPr="001F224B" w:rsidRDefault="003241CF" w:rsidP="003241CF">
      <w:pPr>
        <w:tabs>
          <w:tab w:val="left" w:pos="709"/>
          <w:tab w:val="left" w:pos="851"/>
        </w:tabs>
        <w:spacing w:before="120"/>
        <w:ind w:left="709" w:hanging="709"/>
        <w:jc w:val="both"/>
        <w:rPr>
          <w:b/>
          <w:sz w:val="22"/>
          <w:szCs w:val="22"/>
        </w:rPr>
      </w:pPr>
      <w:r w:rsidRPr="001F224B">
        <w:rPr>
          <w:b/>
          <w:sz w:val="22"/>
          <w:szCs w:val="22"/>
        </w:rPr>
        <w:t xml:space="preserve">3.  </w:t>
      </w:r>
      <w:r w:rsidRPr="001F224B">
        <w:rPr>
          <w:b/>
          <w:sz w:val="22"/>
          <w:szCs w:val="22"/>
        </w:rPr>
        <w:tab/>
        <w:t>Denetim Komitesi</w:t>
      </w:r>
    </w:p>
    <w:p w14:paraId="2EAF1969" w14:textId="77777777" w:rsidR="003241CF" w:rsidRPr="001F224B" w:rsidRDefault="003241CF" w:rsidP="003241CF">
      <w:pPr>
        <w:tabs>
          <w:tab w:val="left" w:pos="709"/>
          <w:tab w:val="left" w:pos="851"/>
        </w:tabs>
        <w:spacing w:before="120"/>
        <w:ind w:left="709"/>
        <w:jc w:val="both"/>
        <w:rPr>
          <w:b/>
          <w:sz w:val="2"/>
          <w:szCs w:val="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216"/>
      </w:tblGrid>
      <w:tr w:rsidR="00FA0789" w:rsidRPr="001F224B" w14:paraId="29239EED" w14:textId="77777777" w:rsidTr="00EB22A7">
        <w:tc>
          <w:tcPr>
            <w:tcW w:w="3856" w:type="dxa"/>
            <w:vAlign w:val="bottom"/>
            <w:hideMark/>
          </w:tcPr>
          <w:p w14:paraId="0463CE86" w14:textId="77777777" w:rsidR="00FA0789" w:rsidRPr="001F224B" w:rsidRDefault="00FA0789" w:rsidP="00EB22A7">
            <w:pPr>
              <w:rPr>
                <w:b/>
                <w:sz w:val="20"/>
                <w:szCs w:val="20"/>
              </w:rPr>
            </w:pPr>
            <w:r w:rsidRPr="001F224B">
              <w:rPr>
                <w:b/>
                <w:sz w:val="20"/>
                <w:szCs w:val="20"/>
              </w:rPr>
              <w:t>Adı Soyadı</w:t>
            </w:r>
          </w:p>
        </w:tc>
        <w:tc>
          <w:tcPr>
            <w:tcW w:w="5216" w:type="dxa"/>
            <w:vAlign w:val="bottom"/>
            <w:hideMark/>
          </w:tcPr>
          <w:p w14:paraId="03F6ABA6" w14:textId="77777777" w:rsidR="00FA0789" w:rsidRPr="001F224B" w:rsidRDefault="00FA0789" w:rsidP="00EB22A7">
            <w:pPr>
              <w:jc w:val="center"/>
              <w:rPr>
                <w:b/>
                <w:sz w:val="20"/>
                <w:szCs w:val="20"/>
              </w:rPr>
            </w:pPr>
            <w:r w:rsidRPr="001F224B">
              <w:rPr>
                <w:b/>
                <w:sz w:val="20"/>
                <w:szCs w:val="20"/>
              </w:rPr>
              <w:t>Görevi</w:t>
            </w:r>
          </w:p>
        </w:tc>
      </w:tr>
      <w:tr w:rsidR="00FA0789" w:rsidRPr="001F224B" w14:paraId="5864F3C6" w14:textId="77777777" w:rsidTr="00EB22A7">
        <w:tc>
          <w:tcPr>
            <w:tcW w:w="3856" w:type="dxa"/>
            <w:shd w:val="clear" w:color="auto" w:fill="auto"/>
            <w:vAlign w:val="center"/>
            <w:hideMark/>
          </w:tcPr>
          <w:p w14:paraId="5694B699" w14:textId="77777777" w:rsidR="00FA0789" w:rsidRPr="001F224B" w:rsidRDefault="00FA0789" w:rsidP="00EB22A7">
            <w:pPr>
              <w:rPr>
                <w:color w:val="000000"/>
                <w:sz w:val="20"/>
                <w:szCs w:val="20"/>
              </w:rPr>
            </w:pPr>
            <w:r w:rsidRPr="001F224B">
              <w:rPr>
                <w:color w:val="000000"/>
                <w:sz w:val="20"/>
                <w:szCs w:val="20"/>
              </w:rPr>
              <w:t>Erdal ERDEM</w:t>
            </w:r>
          </w:p>
        </w:tc>
        <w:tc>
          <w:tcPr>
            <w:tcW w:w="5216" w:type="dxa"/>
            <w:shd w:val="clear" w:color="auto" w:fill="auto"/>
            <w:vAlign w:val="center"/>
            <w:hideMark/>
          </w:tcPr>
          <w:p w14:paraId="222DF6E2" w14:textId="77777777" w:rsidR="00FA0789" w:rsidRPr="001F224B" w:rsidRDefault="00FA0789" w:rsidP="00EB22A7">
            <w:pPr>
              <w:rPr>
                <w:color w:val="000000"/>
                <w:sz w:val="20"/>
                <w:szCs w:val="20"/>
              </w:rPr>
            </w:pPr>
            <w:r w:rsidRPr="001F224B">
              <w:rPr>
                <w:color w:val="000000"/>
                <w:sz w:val="20"/>
                <w:szCs w:val="20"/>
              </w:rPr>
              <w:t>Denetim Komitesi Başkanı</w:t>
            </w:r>
          </w:p>
        </w:tc>
      </w:tr>
      <w:tr w:rsidR="00FA0789" w:rsidRPr="001F224B" w14:paraId="0AFF14D9" w14:textId="77777777" w:rsidTr="00EB22A7">
        <w:trPr>
          <w:trHeight w:val="255"/>
        </w:trPr>
        <w:tc>
          <w:tcPr>
            <w:tcW w:w="3856" w:type="dxa"/>
            <w:shd w:val="clear" w:color="auto" w:fill="auto"/>
            <w:vAlign w:val="center"/>
            <w:hideMark/>
          </w:tcPr>
          <w:p w14:paraId="33E8CB32" w14:textId="77777777" w:rsidR="00FA0789" w:rsidRPr="001F224B" w:rsidRDefault="00FA0789" w:rsidP="00EB22A7">
            <w:pPr>
              <w:rPr>
                <w:color w:val="000000"/>
                <w:sz w:val="20"/>
                <w:szCs w:val="20"/>
                <w:vertAlign w:val="superscript"/>
              </w:rPr>
            </w:pPr>
            <w:r w:rsidRPr="001F224B">
              <w:rPr>
                <w:color w:val="000000"/>
                <w:sz w:val="20"/>
                <w:szCs w:val="20"/>
              </w:rPr>
              <w:t>Zeynep BOĞA</w:t>
            </w:r>
          </w:p>
        </w:tc>
        <w:tc>
          <w:tcPr>
            <w:tcW w:w="5216" w:type="dxa"/>
            <w:shd w:val="clear" w:color="auto" w:fill="auto"/>
            <w:vAlign w:val="center"/>
            <w:hideMark/>
          </w:tcPr>
          <w:p w14:paraId="04C815F5" w14:textId="77777777" w:rsidR="00FA0789" w:rsidRPr="001F224B" w:rsidRDefault="00FA0789" w:rsidP="00EB22A7">
            <w:pPr>
              <w:rPr>
                <w:color w:val="000000"/>
                <w:sz w:val="20"/>
                <w:szCs w:val="20"/>
              </w:rPr>
            </w:pPr>
            <w:r w:rsidRPr="001F224B">
              <w:rPr>
                <w:color w:val="000000"/>
                <w:sz w:val="20"/>
                <w:szCs w:val="20"/>
              </w:rPr>
              <w:t>Denetim Komitesi Başkan Vekili</w:t>
            </w:r>
          </w:p>
        </w:tc>
      </w:tr>
      <w:tr w:rsidR="00FA0789" w:rsidRPr="001F224B" w14:paraId="24C4B680" w14:textId="77777777" w:rsidTr="00EB22A7">
        <w:trPr>
          <w:trHeight w:val="255"/>
        </w:trPr>
        <w:tc>
          <w:tcPr>
            <w:tcW w:w="3856" w:type="dxa"/>
            <w:shd w:val="clear" w:color="auto" w:fill="auto"/>
            <w:vAlign w:val="center"/>
          </w:tcPr>
          <w:p w14:paraId="76CF8F30" w14:textId="77777777" w:rsidR="00FA0789" w:rsidRPr="001F224B" w:rsidRDefault="00FA0789" w:rsidP="00EB22A7">
            <w:pPr>
              <w:rPr>
                <w:color w:val="000000"/>
                <w:sz w:val="20"/>
                <w:szCs w:val="20"/>
              </w:rPr>
            </w:pPr>
            <w:r w:rsidRPr="001F224B">
              <w:rPr>
                <w:color w:val="000000"/>
                <w:sz w:val="20"/>
                <w:szCs w:val="20"/>
              </w:rPr>
              <w:t>Kerem DÖNMEZ</w:t>
            </w:r>
          </w:p>
        </w:tc>
        <w:tc>
          <w:tcPr>
            <w:tcW w:w="5216" w:type="dxa"/>
            <w:shd w:val="clear" w:color="auto" w:fill="auto"/>
            <w:vAlign w:val="center"/>
          </w:tcPr>
          <w:p w14:paraId="13B513C9" w14:textId="77777777" w:rsidR="00FA0789" w:rsidRPr="001F224B" w:rsidRDefault="00FA0789" w:rsidP="00EB22A7">
            <w:pPr>
              <w:rPr>
                <w:color w:val="000000"/>
                <w:sz w:val="20"/>
                <w:szCs w:val="20"/>
              </w:rPr>
            </w:pPr>
            <w:r w:rsidRPr="001F224B">
              <w:rPr>
                <w:color w:val="000000"/>
                <w:sz w:val="20"/>
                <w:szCs w:val="20"/>
              </w:rPr>
              <w:t>Denetim Komitesi Üyesi</w:t>
            </w:r>
          </w:p>
        </w:tc>
      </w:tr>
      <w:tr w:rsidR="00FA0789" w:rsidRPr="001F224B" w14:paraId="12B08AF9" w14:textId="77777777" w:rsidTr="00EB22A7">
        <w:trPr>
          <w:trHeight w:val="255"/>
        </w:trPr>
        <w:tc>
          <w:tcPr>
            <w:tcW w:w="3856" w:type="dxa"/>
            <w:shd w:val="clear" w:color="auto" w:fill="auto"/>
            <w:vAlign w:val="center"/>
          </w:tcPr>
          <w:p w14:paraId="299A13FC" w14:textId="77777777" w:rsidR="00FA0789" w:rsidRPr="001F224B" w:rsidRDefault="00FA0789" w:rsidP="00EB22A7">
            <w:pPr>
              <w:rPr>
                <w:color w:val="000000"/>
                <w:sz w:val="20"/>
                <w:szCs w:val="20"/>
              </w:rPr>
            </w:pPr>
            <w:r w:rsidRPr="001F224B">
              <w:rPr>
                <w:color w:val="000000"/>
                <w:sz w:val="20"/>
                <w:szCs w:val="20"/>
              </w:rPr>
              <w:t>Halil İbrahim AZAL</w:t>
            </w:r>
            <w:r w:rsidRPr="001F224B">
              <w:rPr>
                <w:color w:val="000000"/>
                <w:sz w:val="20"/>
                <w:szCs w:val="20"/>
                <w:vertAlign w:val="superscript"/>
              </w:rPr>
              <w:t>(*)</w:t>
            </w:r>
          </w:p>
        </w:tc>
        <w:tc>
          <w:tcPr>
            <w:tcW w:w="5216" w:type="dxa"/>
            <w:shd w:val="clear" w:color="auto" w:fill="auto"/>
            <w:vAlign w:val="center"/>
          </w:tcPr>
          <w:p w14:paraId="16FD68F7" w14:textId="77777777" w:rsidR="00FA0789" w:rsidRPr="001F224B" w:rsidRDefault="00FA0789" w:rsidP="00EB22A7">
            <w:pPr>
              <w:rPr>
                <w:color w:val="000000"/>
                <w:sz w:val="20"/>
                <w:szCs w:val="20"/>
              </w:rPr>
            </w:pPr>
            <w:r w:rsidRPr="001F224B">
              <w:rPr>
                <w:color w:val="000000"/>
                <w:sz w:val="20"/>
                <w:szCs w:val="20"/>
              </w:rPr>
              <w:t>Denetim Komitesi Üyesi</w:t>
            </w:r>
          </w:p>
        </w:tc>
      </w:tr>
    </w:tbl>
    <w:p w14:paraId="19D031A0" w14:textId="77777777" w:rsidR="00FA0789" w:rsidRPr="001F224B" w:rsidRDefault="00FA0789" w:rsidP="00FA0789">
      <w:pPr>
        <w:ind w:left="709"/>
        <w:rPr>
          <w:bCs/>
          <w:sz w:val="4"/>
          <w:szCs w:val="4"/>
        </w:rPr>
      </w:pPr>
    </w:p>
    <w:p w14:paraId="630C7F52" w14:textId="77777777" w:rsidR="00FA0789" w:rsidRPr="001F224B" w:rsidRDefault="00FA0789" w:rsidP="00FA0789">
      <w:pPr>
        <w:tabs>
          <w:tab w:val="left" w:pos="567"/>
        </w:tabs>
        <w:spacing w:line="230" w:lineRule="auto"/>
        <w:ind w:left="709"/>
        <w:jc w:val="both"/>
        <w:rPr>
          <w:sz w:val="14"/>
          <w:szCs w:val="14"/>
        </w:rPr>
      </w:pPr>
      <w:r w:rsidRPr="001F224B">
        <w:rPr>
          <w:sz w:val="14"/>
          <w:szCs w:val="14"/>
        </w:rPr>
        <w:tab/>
        <w:t>(*) Banka’nın 2024 yılı Olağan Genel Kurul toplantısı 22 Nisan 2025 tarihinde gerçekleştirilmiştir. Denetim Komitesi Üyesi Ömer KARADEMİR 22 Nisan 2025 tarihinde yapılan Olağan Genel Kurulda ayrılmıştır. 2 Mayıs 2025 tarihli Yönetim Kurulu Kararı ile Halil İbrahim AZAL</w:t>
      </w:r>
      <w:r w:rsidRPr="001F224B">
        <w:rPr>
          <w:color w:val="000000"/>
          <w:sz w:val="20"/>
          <w:szCs w:val="20"/>
        </w:rPr>
        <w:t xml:space="preserve"> </w:t>
      </w:r>
      <w:r w:rsidRPr="001F224B">
        <w:rPr>
          <w:sz w:val="14"/>
          <w:szCs w:val="14"/>
        </w:rPr>
        <w:t>Denetim Komitesi Üyesi olarak seçilmiştir.</w:t>
      </w:r>
    </w:p>
    <w:p w14:paraId="717D4F78" w14:textId="77777777" w:rsidR="00FA0789" w:rsidRPr="001F224B" w:rsidRDefault="00FA0789" w:rsidP="00FA0789">
      <w:pPr>
        <w:spacing w:before="160"/>
        <w:ind w:left="709"/>
        <w:rPr>
          <w:b/>
          <w:sz w:val="22"/>
          <w:szCs w:val="22"/>
        </w:rPr>
      </w:pPr>
      <w:r w:rsidRPr="001F224B">
        <w:rPr>
          <w:sz w:val="22"/>
          <w:szCs w:val="22"/>
        </w:rPr>
        <w:t xml:space="preserve">Nisan-Haziran 2025 </w:t>
      </w:r>
      <w:r w:rsidRPr="001F224B">
        <w:rPr>
          <w:rFonts w:eastAsia="Arial Unicode MS"/>
          <w:sz w:val="22"/>
          <w:szCs w:val="22"/>
        </w:rPr>
        <w:t>döneminde Denetim Komitesi 5 adet toplantı yapmış ve 11 adet karar almıştır.</w:t>
      </w:r>
      <w:r w:rsidRPr="001F224B">
        <w:rPr>
          <w:b/>
          <w:sz w:val="22"/>
          <w:szCs w:val="22"/>
        </w:rPr>
        <w:t xml:space="preserve">  </w:t>
      </w:r>
    </w:p>
    <w:p w14:paraId="0C3AE957" w14:textId="0688F604" w:rsidR="00C81242" w:rsidRPr="001F224B" w:rsidRDefault="00C81242" w:rsidP="00C81242">
      <w:pPr>
        <w:spacing w:before="160"/>
        <w:ind w:left="709"/>
        <w:rPr>
          <w:b/>
          <w:sz w:val="22"/>
          <w:szCs w:val="22"/>
        </w:rPr>
      </w:pPr>
    </w:p>
    <w:p w14:paraId="346FF4CB" w14:textId="77777777" w:rsidR="00C81242" w:rsidRPr="001F224B" w:rsidRDefault="00C81242" w:rsidP="00C81242">
      <w:pPr>
        <w:rPr>
          <w:b/>
          <w:bCs/>
          <w:sz w:val="22"/>
          <w:szCs w:val="22"/>
        </w:rPr>
      </w:pPr>
      <w:r w:rsidRPr="001F224B">
        <w:rPr>
          <w:b/>
          <w:bCs/>
          <w:sz w:val="22"/>
          <w:szCs w:val="22"/>
        </w:rPr>
        <w:br w:type="page"/>
      </w:r>
    </w:p>
    <w:p w14:paraId="460EE550" w14:textId="77777777" w:rsidR="00C81242" w:rsidRPr="001F224B" w:rsidRDefault="00C81242" w:rsidP="00C81242">
      <w:pPr>
        <w:spacing w:before="120" w:after="120"/>
        <w:rPr>
          <w:b/>
          <w:bCs/>
          <w:sz w:val="22"/>
          <w:szCs w:val="22"/>
        </w:rPr>
      </w:pPr>
      <w:r w:rsidRPr="001F224B">
        <w:rPr>
          <w:b/>
          <w:bCs/>
          <w:sz w:val="22"/>
          <w:szCs w:val="22"/>
        </w:rPr>
        <w:t>YEDİNCİ BÖLÜM (Devamı)</w:t>
      </w:r>
    </w:p>
    <w:p w14:paraId="44801889" w14:textId="5E4FF981" w:rsidR="00C81242" w:rsidRPr="001F224B" w:rsidRDefault="002B383F" w:rsidP="00C81242">
      <w:pPr>
        <w:spacing w:before="120" w:after="120"/>
        <w:rPr>
          <w:b/>
          <w:bCs/>
          <w:sz w:val="22"/>
          <w:szCs w:val="22"/>
        </w:rPr>
      </w:pPr>
      <w:r w:rsidRPr="001F224B">
        <w:rPr>
          <w:b/>
          <w:bCs/>
          <w:sz w:val="22"/>
          <w:szCs w:val="22"/>
        </w:rPr>
        <w:t>KONSOLİDE ARA DÖNEM FAALİYET RAPORU</w:t>
      </w:r>
      <w:r w:rsidR="00C81242" w:rsidRPr="001F224B">
        <w:rPr>
          <w:b/>
          <w:bCs/>
          <w:sz w:val="22"/>
          <w:szCs w:val="22"/>
        </w:rPr>
        <w:t xml:space="preserve"> (Devamı)</w:t>
      </w:r>
    </w:p>
    <w:p w14:paraId="013A1DE2" w14:textId="32E81863" w:rsidR="00C81242" w:rsidRPr="001F224B" w:rsidRDefault="00C81242" w:rsidP="00C81242">
      <w:pPr>
        <w:spacing w:before="120" w:after="120"/>
        <w:jc w:val="both"/>
        <w:rPr>
          <w:b/>
          <w:sz w:val="22"/>
          <w:szCs w:val="22"/>
        </w:rPr>
      </w:pPr>
      <w:r w:rsidRPr="001F224B">
        <w:rPr>
          <w:b/>
          <w:sz w:val="22"/>
          <w:szCs w:val="22"/>
        </w:rPr>
        <w:t>V.       Banka Yönetimi (Devamı):</w:t>
      </w:r>
    </w:p>
    <w:p w14:paraId="6BB773A0" w14:textId="6E548883" w:rsidR="003241CF" w:rsidRPr="001F224B" w:rsidRDefault="003241CF" w:rsidP="003241CF">
      <w:pPr>
        <w:tabs>
          <w:tab w:val="left" w:pos="709"/>
        </w:tabs>
        <w:spacing w:before="120" w:after="120"/>
        <w:rPr>
          <w:b/>
          <w:sz w:val="22"/>
          <w:szCs w:val="22"/>
          <w:vertAlign w:val="superscript"/>
        </w:rPr>
      </w:pPr>
      <w:bookmarkStart w:id="42" w:name="_Hlk101173684"/>
      <w:r w:rsidRPr="001F224B">
        <w:rPr>
          <w:b/>
          <w:sz w:val="22"/>
          <w:szCs w:val="22"/>
        </w:rPr>
        <w:t xml:space="preserve">4.      </w:t>
      </w:r>
      <w:r w:rsidRPr="001F224B">
        <w:rPr>
          <w:b/>
          <w:sz w:val="22"/>
          <w:szCs w:val="22"/>
        </w:rPr>
        <w:tab/>
        <w:t>Kurumsal Yönetim Komitesi</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3241CF" w:rsidRPr="001F224B" w14:paraId="0B52C9CC" w14:textId="77777777" w:rsidTr="00620E3C">
        <w:tc>
          <w:tcPr>
            <w:tcW w:w="3714" w:type="dxa"/>
            <w:vAlign w:val="bottom"/>
            <w:hideMark/>
          </w:tcPr>
          <w:p w14:paraId="77DBAF7E" w14:textId="77777777" w:rsidR="003241CF" w:rsidRPr="001F224B" w:rsidRDefault="003241CF" w:rsidP="00620E3C">
            <w:pPr>
              <w:rPr>
                <w:b/>
                <w:sz w:val="20"/>
                <w:szCs w:val="20"/>
              </w:rPr>
            </w:pPr>
            <w:r w:rsidRPr="001F224B">
              <w:rPr>
                <w:b/>
                <w:sz w:val="20"/>
                <w:szCs w:val="20"/>
              </w:rPr>
              <w:t>Adı Soyadı</w:t>
            </w:r>
          </w:p>
        </w:tc>
        <w:tc>
          <w:tcPr>
            <w:tcW w:w="5358" w:type="dxa"/>
            <w:vAlign w:val="bottom"/>
            <w:hideMark/>
          </w:tcPr>
          <w:p w14:paraId="41E8640B" w14:textId="77777777" w:rsidR="003241CF" w:rsidRPr="001F224B" w:rsidRDefault="003241CF" w:rsidP="00620E3C">
            <w:pPr>
              <w:jc w:val="center"/>
              <w:rPr>
                <w:b/>
                <w:sz w:val="20"/>
                <w:szCs w:val="20"/>
              </w:rPr>
            </w:pPr>
            <w:r w:rsidRPr="001F224B">
              <w:rPr>
                <w:b/>
                <w:sz w:val="20"/>
                <w:szCs w:val="20"/>
              </w:rPr>
              <w:t>Görevi</w:t>
            </w:r>
          </w:p>
        </w:tc>
      </w:tr>
      <w:tr w:rsidR="003241CF" w:rsidRPr="001F224B" w14:paraId="2BBA939D" w14:textId="77777777" w:rsidTr="00620E3C">
        <w:trPr>
          <w:trHeight w:val="255"/>
        </w:trPr>
        <w:tc>
          <w:tcPr>
            <w:tcW w:w="3714" w:type="dxa"/>
            <w:shd w:val="clear" w:color="auto" w:fill="auto"/>
            <w:vAlign w:val="center"/>
            <w:hideMark/>
          </w:tcPr>
          <w:p w14:paraId="02145BBF" w14:textId="77777777" w:rsidR="003241CF" w:rsidRPr="001F224B" w:rsidRDefault="003241CF" w:rsidP="00620E3C">
            <w:pPr>
              <w:rPr>
                <w:color w:val="000000"/>
                <w:sz w:val="20"/>
                <w:szCs w:val="20"/>
              </w:rPr>
            </w:pPr>
            <w:r w:rsidRPr="001F224B">
              <w:rPr>
                <w:color w:val="000000"/>
                <w:sz w:val="20"/>
                <w:szCs w:val="20"/>
              </w:rPr>
              <w:t>Kerem DÖNMEZ</w:t>
            </w:r>
          </w:p>
        </w:tc>
        <w:tc>
          <w:tcPr>
            <w:tcW w:w="5358" w:type="dxa"/>
            <w:shd w:val="clear" w:color="auto" w:fill="auto"/>
            <w:vAlign w:val="center"/>
            <w:hideMark/>
          </w:tcPr>
          <w:p w14:paraId="6210708C" w14:textId="77777777" w:rsidR="003241CF" w:rsidRPr="001F224B" w:rsidRDefault="003241CF" w:rsidP="00620E3C">
            <w:pPr>
              <w:rPr>
                <w:color w:val="000000"/>
                <w:sz w:val="20"/>
                <w:szCs w:val="20"/>
              </w:rPr>
            </w:pPr>
            <w:r w:rsidRPr="001F224B">
              <w:rPr>
                <w:color w:val="000000"/>
                <w:sz w:val="20"/>
                <w:szCs w:val="20"/>
              </w:rPr>
              <w:t>Kurumsal Yönetim Komitesi Başkanı</w:t>
            </w:r>
          </w:p>
        </w:tc>
      </w:tr>
      <w:tr w:rsidR="003241CF" w:rsidRPr="001F224B" w14:paraId="7AC9FFE1" w14:textId="77777777" w:rsidTr="00620E3C">
        <w:tc>
          <w:tcPr>
            <w:tcW w:w="3714" w:type="dxa"/>
            <w:shd w:val="clear" w:color="auto" w:fill="auto"/>
            <w:vAlign w:val="center"/>
            <w:hideMark/>
          </w:tcPr>
          <w:p w14:paraId="2FBDB5F8" w14:textId="77777777" w:rsidR="003241CF" w:rsidRPr="001F224B" w:rsidRDefault="003241CF" w:rsidP="00620E3C">
            <w:pPr>
              <w:rPr>
                <w:color w:val="000000"/>
                <w:sz w:val="20"/>
                <w:szCs w:val="20"/>
              </w:rPr>
            </w:pPr>
            <w:r w:rsidRPr="001F224B">
              <w:rPr>
                <w:color w:val="000000"/>
                <w:sz w:val="20"/>
                <w:szCs w:val="20"/>
              </w:rPr>
              <w:t>Zekeriya ÇOŞTU</w:t>
            </w:r>
          </w:p>
        </w:tc>
        <w:tc>
          <w:tcPr>
            <w:tcW w:w="5358" w:type="dxa"/>
            <w:shd w:val="clear" w:color="auto" w:fill="auto"/>
            <w:vAlign w:val="center"/>
            <w:hideMark/>
          </w:tcPr>
          <w:p w14:paraId="1BFAACF5" w14:textId="77777777" w:rsidR="003241CF" w:rsidRPr="001F224B" w:rsidRDefault="003241CF" w:rsidP="00620E3C">
            <w:pPr>
              <w:rPr>
                <w:color w:val="000000"/>
                <w:sz w:val="20"/>
                <w:szCs w:val="20"/>
              </w:rPr>
            </w:pPr>
            <w:r w:rsidRPr="001F224B">
              <w:rPr>
                <w:color w:val="000000"/>
                <w:sz w:val="20"/>
                <w:szCs w:val="20"/>
              </w:rPr>
              <w:t>Kurumsal Yönetim Komitesi Başkan Vekili</w:t>
            </w:r>
          </w:p>
        </w:tc>
      </w:tr>
      <w:tr w:rsidR="003241CF" w:rsidRPr="001F224B" w14:paraId="11A0E89D" w14:textId="77777777" w:rsidTr="00620E3C">
        <w:tc>
          <w:tcPr>
            <w:tcW w:w="3714" w:type="dxa"/>
            <w:shd w:val="clear" w:color="auto" w:fill="auto"/>
            <w:vAlign w:val="center"/>
            <w:hideMark/>
          </w:tcPr>
          <w:p w14:paraId="326A4284" w14:textId="77777777" w:rsidR="003241CF" w:rsidRPr="001F224B" w:rsidRDefault="003241CF" w:rsidP="00620E3C">
            <w:pPr>
              <w:rPr>
                <w:color w:val="000000"/>
                <w:sz w:val="20"/>
                <w:szCs w:val="20"/>
              </w:rPr>
            </w:pPr>
            <w:r w:rsidRPr="001F224B">
              <w:rPr>
                <w:color w:val="000000"/>
                <w:sz w:val="20"/>
                <w:szCs w:val="20"/>
              </w:rPr>
              <w:t>Metin YILMAZ</w:t>
            </w:r>
          </w:p>
        </w:tc>
        <w:tc>
          <w:tcPr>
            <w:tcW w:w="5358" w:type="dxa"/>
            <w:shd w:val="clear" w:color="auto" w:fill="auto"/>
            <w:vAlign w:val="center"/>
            <w:hideMark/>
          </w:tcPr>
          <w:p w14:paraId="31868B76" w14:textId="77777777" w:rsidR="003241CF" w:rsidRPr="001F224B" w:rsidRDefault="003241CF" w:rsidP="00620E3C">
            <w:pPr>
              <w:rPr>
                <w:color w:val="000000"/>
                <w:sz w:val="20"/>
                <w:szCs w:val="20"/>
              </w:rPr>
            </w:pPr>
            <w:r w:rsidRPr="001F224B">
              <w:rPr>
                <w:color w:val="000000"/>
                <w:sz w:val="20"/>
                <w:szCs w:val="20"/>
              </w:rPr>
              <w:t>Kurumsal Yönetim Komitesi Üyesi</w:t>
            </w:r>
          </w:p>
        </w:tc>
      </w:tr>
    </w:tbl>
    <w:p w14:paraId="65089218" w14:textId="77777777" w:rsidR="003241CF" w:rsidRPr="001F224B" w:rsidRDefault="003241CF" w:rsidP="003241CF">
      <w:pPr>
        <w:ind w:left="709"/>
        <w:rPr>
          <w:bCs/>
          <w:sz w:val="4"/>
          <w:szCs w:val="4"/>
        </w:rPr>
      </w:pPr>
    </w:p>
    <w:p w14:paraId="5C07636B" w14:textId="77777777" w:rsidR="003241CF" w:rsidRPr="001F224B" w:rsidRDefault="003241CF" w:rsidP="003241CF">
      <w:pPr>
        <w:ind w:left="709"/>
        <w:jc w:val="both"/>
        <w:rPr>
          <w:bCs/>
          <w:sz w:val="16"/>
          <w:szCs w:val="16"/>
        </w:rPr>
      </w:pPr>
    </w:p>
    <w:p w14:paraId="79D0C5FC" w14:textId="069676DA" w:rsidR="003241CF" w:rsidRPr="001F224B" w:rsidRDefault="003241CF" w:rsidP="003241CF">
      <w:pPr>
        <w:spacing w:after="120"/>
        <w:rPr>
          <w:b/>
          <w:sz w:val="22"/>
          <w:szCs w:val="22"/>
        </w:rPr>
      </w:pPr>
      <w:r w:rsidRPr="001F224B">
        <w:rPr>
          <w:b/>
          <w:sz w:val="22"/>
          <w:szCs w:val="22"/>
        </w:rPr>
        <w:t xml:space="preserve">5.      </w:t>
      </w:r>
      <w:r w:rsidRPr="001F224B">
        <w:rPr>
          <w:b/>
          <w:sz w:val="22"/>
          <w:szCs w:val="22"/>
        </w:rPr>
        <w:tab/>
        <w:t xml:space="preserve">Ücretlendirme Komitesi </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5358"/>
      </w:tblGrid>
      <w:tr w:rsidR="003241CF" w:rsidRPr="001F224B" w14:paraId="713558D2" w14:textId="77777777" w:rsidTr="00620E3C">
        <w:tc>
          <w:tcPr>
            <w:tcW w:w="3714" w:type="dxa"/>
            <w:tcBorders>
              <w:top w:val="single" w:sz="4" w:space="0" w:color="000000"/>
              <w:left w:val="single" w:sz="4" w:space="0" w:color="000000"/>
              <w:bottom w:val="single" w:sz="4" w:space="0" w:color="000000"/>
              <w:right w:val="single" w:sz="4" w:space="0" w:color="000000"/>
            </w:tcBorders>
            <w:vAlign w:val="bottom"/>
            <w:hideMark/>
          </w:tcPr>
          <w:p w14:paraId="59484A55" w14:textId="77777777" w:rsidR="003241CF" w:rsidRPr="001F224B" w:rsidRDefault="003241CF" w:rsidP="00620E3C">
            <w:pPr>
              <w:rPr>
                <w:b/>
                <w:sz w:val="20"/>
                <w:szCs w:val="20"/>
              </w:rPr>
            </w:pPr>
            <w:r w:rsidRPr="001F224B">
              <w:rPr>
                <w:b/>
                <w:sz w:val="20"/>
                <w:szCs w:val="20"/>
              </w:rPr>
              <w:t>Adı Soyadı</w:t>
            </w:r>
          </w:p>
        </w:tc>
        <w:tc>
          <w:tcPr>
            <w:tcW w:w="5358" w:type="dxa"/>
            <w:tcBorders>
              <w:top w:val="single" w:sz="4" w:space="0" w:color="000000"/>
              <w:left w:val="single" w:sz="4" w:space="0" w:color="000000"/>
              <w:bottom w:val="single" w:sz="4" w:space="0" w:color="000000"/>
              <w:right w:val="single" w:sz="4" w:space="0" w:color="000000"/>
            </w:tcBorders>
            <w:vAlign w:val="bottom"/>
            <w:hideMark/>
          </w:tcPr>
          <w:p w14:paraId="45588D66" w14:textId="77777777" w:rsidR="003241CF" w:rsidRPr="001F224B" w:rsidRDefault="003241CF" w:rsidP="00620E3C">
            <w:pPr>
              <w:jc w:val="center"/>
              <w:rPr>
                <w:b/>
                <w:sz w:val="20"/>
                <w:szCs w:val="20"/>
              </w:rPr>
            </w:pPr>
            <w:r w:rsidRPr="001F224B">
              <w:rPr>
                <w:b/>
                <w:sz w:val="20"/>
                <w:szCs w:val="20"/>
              </w:rPr>
              <w:t>Görevi</w:t>
            </w:r>
          </w:p>
        </w:tc>
      </w:tr>
      <w:tr w:rsidR="003241CF" w:rsidRPr="001F224B" w14:paraId="2E8BF6A2" w14:textId="77777777" w:rsidTr="00620E3C">
        <w:tc>
          <w:tcPr>
            <w:tcW w:w="3714" w:type="dxa"/>
            <w:tcBorders>
              <w:top w:val="single" w:sz="4" w:space="0" w:color="000000"/>
              <w:left w:val="single" w:sz="4" w:space="0" w:color="000000"/>
              <w:bottom w:val="single" w:sz="4" w:space="0" w:color="000000"/>
              <w:right w:val="single" w:sz="4" w:space="0" w:color="000000"/>
            </w:tcBorders>
            <w:vAlign w:val="center"/>
            <w:hideMark/>
          </w:tcPr>
          <w:p w14:paraId="269D572B" w14:textId="77777777" w:rsidR="003241CF" w:rsidRPr="001F224B" w:rsidRDefault="003241CF" w:rsidP="00620E3C">
            <w:pPr>
              <w:rPr>
                <w:bCs/>
                <w:color w:val="000000"/>
                <w:sz w:val="20"/>
                <w:szCs w:val="20"/>
              </w:rPr>
            </w:pPr>
            <w:r w:rsidRPr="001F224B">
              <w:rPr>
                <w:color w:val="000000"/>
                <w:sz w:val="20"/>
                <w:szCs w:val="20"/>
              </w:rPr>
              <w:t>Zeynep BOĞA</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7D25CF3B" w14:textId="77777777" w:rsidR="003241CF" w:rsidRPr="001F224B" w:rsidRDefault="003241CF" w:rsidP="00620E3C">
            <w:pPr>
              <w:rPr>
                <w:color w:val="000000"/>
                <w:sz w:val="20"/>
                <w:szCs w:val="20"/>
              </w:rPr>
            </w:pPr>
            <w:r w:rsidRPr="001F224B">
              <w:rPr>
                <w:color w:val="000000"/>
                <w:sz w:val="20"/>
                <w:szCs w:val="20"/>
              </w:rPr>
              <w:t>Ücretlendirme Komitesi Başkanı</w:t>
            </w:r>
          </w:p>
        </w:tc>
      </w:tr>
      <w:tr w:rsidR="003241CF" w:rsidRPr="001F224B" w14:paraId="1EFA22A6" w14:textId="77777777" w:rsidTr="00620E3C">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4A81636B" w14:textId="77777777" w:rsidR="003241CF" w:rsidRPr="001F224B" w:rsidRDefault="003241CF" w:rsidP="00620E3C">
            <w:pPr>
              <w:rPr>
                <w:bCs/>
                <w:color w:val="000000"/>
                <w:sz w:val="20"/>
                <w:szCs w:val="20"/>
              </w:rPr>
            </w:pPr>
            <w:r w:rsidRPr="001F224B">
              <w:rPr>
                <w:color w:val="000000"/>
                <w:sz w:val="20"/>
                <w:szCs w:val="20"/>
              </w:rPr>
              <w:t>Erdal ERDEM</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60CFCD0C" w14:textId="77777777" w:rsidR="003241CF" w:rsidRPr="001F224B" w:rsidRDefault="003241CF" w:rsidP="00620E3C">
            <w:pPr>
              <w:rPr>
                <w:color w:val="000000"/>
                <w:sz w:val="20"/>
                <w:szCs w:val="20"/>
              </w:rPr>
            </w:pPr>
            <w:r w:rsidRPr="001F224B">
              <w:rPr>
                <w:color w:val="000000"/>
                <w:sz w:val="20"/>
                <w:szCs w:val="20"/>
              </w:rPr>
              <w:t>Ücretlendirme Komitesi Üyesi</w:t>
            </w:r>
          </w:p>
        </w:tc>
      </w:tr>
    </w:tbl>
    <w:p w14:paraId="7D0FF33F" w14:textId="77777777" w:rsidR="003241CF" w:rsidRPr="001F224B" w:rsidRDefault="003241CF" w:rsidP="003241CF">
      <w:pPr>
        <w:ind w:left="709"/>
        <w:rPr>
          <w:bCs/>
          <w:sz w:val="4"/>
          <w:szCs w:val="4"/>
        </w:rPr>
      </w:pPr>
    </w:p>
    <w:p w14:paraId="0AB2D9CD" w14:textId="77777777" w:rsidR="00FA0789" w:rsidRPr="001F224B" w:rsidRDefault="00FA0789" w:rsidP="00FA0789">
      <w:pPr>
        <w:spacing w:before="120" w:after="120"/>
        <w:ind w:firstLine="720"/>
        <w:rPr>
          <w:rFonts w:eastAsia="Arial Unicode MS"/>
          <w:sz w:val="22"/>
          <w:szCs w:val="22"/>
        </w:rPr>
      </w:pPr>
      <w:r w:rsidRPr="001F224B">
        <w:rPr>
          <w:sz w:val="22"/>
          <w:szCs w:val="22"/>
        </w:rPr>
        <w:t xml:space="preserve">Nisan-Haziran 2025 </w:t>
      </w:r>
      <w:r w:rsidRPr="001F224B">
        <w:rPr>
          <w:rFonts w:eastAsia="Arial Unicode MS"/>
          <w:sz w:val="22"/>
          <w:szCs w:val="22"/>
        </w:rPr>
        <w:t>döneminde Ücretlendirme Komitesi toplanmamıştır.</w:t>
      </w:r>
    </w:p>
    <w:p w14:paraId="585F23D0" w14:textId="77777777" w:rsidR="002C63CA" w:rsidRPr="001F224B" w:rsidRDefault="002C63CA" w:rsidP="002C63CA">
      <w:pPr>
        <w:spacing w:after="120"/>
        <w:rPr>
          <w:b/>
          <w:sz w:val="22"/>
          <w:szCs w:val="22"/>
        </w:rPr>
      </w:pPr>
      <w:r w:rsidRPr="001F224B">
        <w:rPr>
          <w:b/>
          <w:sz w:val="22"/>
          <w:szCs w:val="22"/>
        </w:rPr>
        <w:t xml:space="preserve">6.      </w:t>
      </w:r>
      <w:r w:rsidRPr="001F224B">
        <w:rPr>
          <w:b/>
          <w:sz w:val="22"/>
          <w:szCs w:val="22"/>
        </w:rPr>
        <w:tab/>
        <w:t xml:space="preserve">İç Sistemler Kapsamındaki Birimler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2C63CA" w:rsidRPr="001F224B" w14:paraId="5343F0EC" w14:textId="77777777" w:rsidTr="00C90F45">
        <w:tc>
          <w:tcPr>
            <w:tcW w:w="3714" w:type="dxa"/>
            <w:vAlign w:val="bottom"/>
            <w:hideMark/>
          </w:tcPr>
          <w:p w14:paraId="54EDC89D" w14:textId="77777777" w:rsidR="002C63CA" w:rsidRPr="001F224B" w:rsidRDefault="002C63CA" w:rsidP="00C90F45">
            <w:pPr>
              <w:rPr>
                <w:b/>
                <w:sz w:val="20"/>
                <w:szCs w:val="20"/>
              </w:rPr>
            </w:pPr>
            <w:r w:rsidRPr="001F224B">
              <w:rPr>
                <w:b/>
                <w:sz w:val="20"/>
                <w:szCs w:val="20"/>
              </w:rPr>
              <w:t>Adı Soyadı</w:t>
            </w:r>
          </w:p>
        </w:tc>
        <w:tc>
          <w:tcPr>
            <w:tcW w:w="5358" w:type="dxa"/>
            <w:vAlign w:val="bottom"/>
            <w:hideMark/>
          </w:tcPr>
          <w:p w14:paraId="41361803" w14:textId="77777777" w:rsidR="002C63CA" w:rsidRPr="001F224B" w:rsidRDefault="002C63CA" w:rsidP="00C90F45">
            <w:pPr>
              <w:jc w:val="center"/>
              <w:rPr>
                <w:b/>
                <w:sz w:val="20"/>
                <w:szCs w:val="20"/>
              </w:rPr>
            </w:pPr>
            <w:r w:rsidRPr="001F224B">
              <w:rPr>
                <w:b/>
                <w:sz w:val="20"/>
                <w:szCs w:val="20"/>
              </w:rPr>
              <w:t>Görevi</w:t>
            </w:r>
          </w:p>
        </w:tc>
      </w:tr>
      <w:tr w:rsidR="002C63CA" w:rsidRPr="001F224B" w14:paraId="61ED9E42" w14:textId="77777777" w:rsidTr="00C90F45">
        <w:tc>
          <w:tcPr>
            <w:tcW w:w="3714" w:type="dxa"/>
            <w:shd w:val="clear" w:color="auto" w:fill="auto"/>
            <w:vAlign w:val="center"/>
            <w:hideMark/>
          </w:tcPr>
          <w:p w14:paraId="707E72A9" w14:textId="77777777" w:rsidR="002C63CA" w:rsidRPr="001F224B" w:rsidRDefault="002C63CA" w:rsidP="00C90F45">
            <w:pPr>
              <w:rPr>
                <w:color w:val="000000"/>
                <w:sz w:val="22"/>
                <w:szCs w:val="22"/>
              </w:rPr>
            </w:pPr>
            <w:r w:rsidRPr="001F224B">
              <w:rPr>
                <w:color w:val="000000"/>
                <w:sz w:val="22"/>
                <w:szCs w:val="22"/>
              </w:rPr>
              <w:t>Dr. Kaan Ramazan ÇAKALI</w:t>
            </w:r>
          </w:p>
        </w:tc>
        <w:tc>
          <w:tcPr>
            <w:tcW w:w="5358" w:type="dxa"/>
            <w:shd w:val="clear" w:color="auto" w:fill="auto"/>
            <w:vAlign w:val="center"/>
            <w:hideMark/>
          </w:tcPr>
          <w:p w14:paraId="3E01B0EF" w14:textId="77777777" w:rsidR="002C63CA" w:rsidRPr="001F224B" w:rsidRDefault="002C63CA" w:rsidP="00C90F45">
            <w:pPr>
              <w:rPr>
                <w:color w:val="000000"/>
                <w:sz w:val="22"/>
                <w:szCs w:val="22"/>
              </w:rPr>
            </w:pPr>
            <w:r w:rsidRPr="001F224B">
              <w:rPr>
                <w:color w:val="000000"/>
                <w:sz w:val="22"/>
                <w:szCs w:val="22"/>
              </w:rPr>
              <w:t>Teftiş Kurulu Başkanı</w:t>
            </w:r>
          </w:p>
        </w:tc>
      </w:tr>
      <w:tr w:rsidR="002C63CA" w:rsidRPr="001F224B" w14:paraId="71131ABA" w14:textId="77777777" w:rsidTr="00C90F45">
        <w:trPr>
          <w:trHeight w:val="255"/>
        </w:trPr>
        <w:tc>
          <w:tcPr>
            <w:tcW w:w="3714" w:type="dxa"/>
            <w:shd w:val="clear" w:color="auto" w:fill="auto"/>
            <w:vAlign w:val="center"/>
            <w:hideMark/>
          </w:tcPr>
          <w:p w14:paraId="73DD3738" w14:textId="77777777" w:rsidR="002C63CA" w:rsidRPr="001F224B" w:rsidRDefault="002C63CA" w:rsidP="00C90F45">
            <w:pPr>
              <w:rPr>
                <w:color w:val="000000"/>
                <w:sz w:val="22"/>
                <w:szCs w:val="22"/>
              </w:rPr>
            </w:pPr>
            <w:r w:rsidRPr="001F224B">
              <w:rPr>
                <w:color w:val="000000"/>
                <w:sz w:val="22"/>
                <w:szCs w:val="22"/>
              </w:rPr>
              <w:t>Dr. Semra PEKKAYA</w:t>
            </w:r>
          </w:p>
        </w:tc>
        <w:tc>
          <w:tcPr>
            <w:tcW w:w="5358" w:type="dxa"/>
            <w:shd w:val="clear" w:color="auto" w:fill="auto"/>
            <w:vAlign w:val="center"/>
            <w:hideMark/>
          </w:tcPr>
          <w:p w14:paraId="089C591B" w14:textId="77777777" w:rsidR="002C63CA" w:rsidRPr="001F224B" w:rsidRDefault="002C63CA" w:rsidP="00C90F45">
            <w:pPr>
              <w:rPr>
                <w:color w:val="000000"/>
                <w:sz w:val="22"/>
                <w:szCs w:val="22"/>
              </w:rPr>
            </w:pPr>
            <w:r w:rsidRPr="001F224B">
              <w:rPr>
                <w:color w:val="000000"/>
                <w:sz w:val="22"/>
                <w:szCs w:val="22"/>
              </w:rPr>
              <w:t>Risk Yönetimi Daire Başkanı</w:t>
            </w:r>
          </w:p>
        </w:tc>
      </w:tr>
      <w:tr w:rsidR="002C63CA" w:rsidRPr="001F224B" w14:paraId="33339A77" w14:textId="77777777" w:rsidTr="00C90F45">
        <w:trPr>
          <w:trHeight w:val="255"/>
        </w:trPr>
        <w:tc>
          <w:tcPr>
            <w:tcW w:w="3714" w:type="dxa"/>
            <w:shd w:val="clear" w:color="auto" w:fill="auto"/>
            <w:vAlign w:val="center"/>
            <w:hideMark/>
          </w:tcPr>
          <w:p w14:paraId="04F53B13" w14:textId="77777777" w:rsidR="002C63CA" w:rsidRPr="001F224B" w:rsidRDefault="002C63CA" w:rsidP="00C90F45">
            <w:pPr>
              <w:rPr>
                <w:color w:val="000000"/>
                <w:sz w:val="22"/>
                <w:szCs w:val="22"/>
              </w:rPr>
            </w:pPr>
            <w:r w:rsidRPr="001F224B">
              <w:rPr>
                <w:color w:val="000000"/>
                <w:sz w:val="22"/>
                <w:szCs w:val="22"/>
              </w:rPr>
              <w:t>Burhan Serhan PEKER</w:t>
            </w:r>
          </w:p>
        </w:tc>
        <w:tc>
          <w:tcPr>
            <w:tcW w:w="5358" w:type="dxa"/>
            <w:shd w:val="clear" w:color="auto" w:fill="auto"/>
            <w:vAlign w:val="center"/>
            <w:hideMark/>
          </w:tcPr>
          <w:p w14:paraId="4EE7F1C9" w14:textId="77777777" w:rsidR="002C63CA" w:rsidRPr="001F224B" w:rsidRDefault="002C63CA" w:rsidP="00C90F45">
            <w:pPr>
              <w:rPr>
                <w:color w:val="000000"/>
                <w:sz w:val="22"/>
                <w:szCs w:val="22"/>
              </w:rPr>
            </w:pPr>
            <w:r w:rsidRPr="001F224B">
              <w:rPr>
                <w:color w:val="000000"/>
                <w:sz w:val="22"/>
                <w:szCs w:val="22"/>
              </w:rPr>
              <w:t>İç Kontrol ve Uyum Daire Başkanı</w:t>
            </w:r>
          </w:p>
        </w:tc>
      </w:tr>
    </w:tbl>
    <w:p w14:paraId="5DB99707" w14:textId="77777777" w:rsidR="002C63CA" w:rsidRPr="001F224B" w:rsidRDefault="002C63CA" w:rsidP="002C63CA">
      <w:pPr>
        <w:rPr>
          <w:b/>
          <w:sz w:val="22"/>
          <w:szCs w:val="22"/>
        </w:rPr>
      </w:pPr>
      <w:r w:rsidRPr="001F224B">
        <w:rPr>
          <w:bCs/>
          <w:sz w:val="18"/>
          <w:szCs w:val="18"/>
        </w:rPr>
        <w:t xml:space="preserve">  </w:t>
      </w:r>
    </w:p>
    <w:p w14:paraId="33E3D28B" w14:textId="7B892D40" w:rsidR="002C63CA" w:rsidRPr="001F224B" w:rsidRDefault="002C63CA" w:rsidP="002C63CA">
      <w:pPr>
        <w:tabs>
          <w:tab w:val="left" w:pos="142"/>
        </w:tabs>
        <w:spacing w:after="120"/>
        <w:ind w:left="142" w:hanging="142"/>
        <w:rPr>
          <w:b/>
          <w:sz w:val="22"/>
          <w:szCs w:val="22"/>
        </w:rPr>
      </w:pPr>
      <w:r w:rsidRPr="001F224B">
        <w:rPr>
          <w:b/>
          <w:sz w:val="22"/>
          <w:szCs w:val="22"/>
        </w:rPr>
        <w:t>V</w:t>
      </w:r>
      <w:r w:rsidR="00260F1C" w:rsidRPr="001F224B">
        <w:rPr>
          <w:b/>
          <w:sz w:val="22"/>
          <w:szCs w:val="22"/>
        </w:rPr>
        <w:t>I</w:t>
      </w:r>
      <w:r w:rsidRPr="001F224B">
        <w:rPr>
          <w:b/>
          <w:sz w:val="22"/>
          <w:szCs w:val="22"/>
        </w:rPr>
        <w:t xml:space="preserve">.     </w:t>
      </w:r>
      <w:r w:rsidRPr="001F224B">
        <w:rPr>
          <w:b/>
          <w:sz w:val="22"/>
          <w:szCs w:val="22"/>
        </w:rPr>
        <w:tab/>
        <w:t>Sermaye ve Ortaklık Yapısı</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2665"/>
        <w:gridCol w:w="2693"/>
      </w:tblGrid>
      <w:tr w:rsidR="002C63CA" w:rsidRPr="001F224B" w14:paraId="1B344535" w14:textId="77777777" w:rsidTr="00C90F45">
        <w:tc>
          <w:tcPr>
            <w:tcW w:w="3714" w:type="dxa"/>
            <w:tcBorders>
              <w:top w:val="single" w:sz="4" w:space="0" w:color="000000"/>
              <w:left w:val="single" w:sz="4" w:space="0" w:color="000000"/>
              <w:bottom w:val="single" w:sz="4" w:space="0" w:color="000000"/>
              <w:right w:val="single" w:sz="4" w:space="0" w:color="000000"/>
            </w:tcBorders>
            <w:vAlign w:val="bottom"/>
            <w:hideMark/>
          </w:tcPr>
          <w:p w14:paraId="4610E0A8" w14:textId="77777777" w:rsidR="002C63CA" w:rsidRPr="001F224B" w:rsidRDefault="002C63CA" w:rsidP="00C90F45">
            <w:pPr>
              <w:rPr>
                <w:b/>
                <w:sz w:val="20"/>
                <w:szCs w:val="20"/>
              </w:rPr>
            </w:pPr>
            <w:r w:rsidRPr="001F224B">
              <w:rPr>
                <w:b/>
                <w:sz w:val="20"/>
                <w:szCs w:val="20"/>
              </w:rPr>
              <w:t>Ortaklar</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108775C9" w14:textId="77777777" w:rsidR="002C63CA" w:rsidRPr="001F224B" w:rsidRDefault="002C63CA" w:rsidP="00C90F45">
            <w:pPr>
              <w:jc w:val="right"/>
              <w:rPr>
                <w:b/>
                <w:sz w:val="20"/>
                <w:szCs w:val="20"/>
              </w:rPr>
            </w:pPr>
            <w:r w:rsidRPr="001F224B">
              <w:rPr>
                <w:b/>
                <w:sz w:val="20"/>
                <w:szCs w:val="20"/>
              </w:rPr>
              <w:t>Mevcut Sermaye Payı (TL)</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37BE50F3" w14:textId="77777777" w:rsidR="002C63CA" w:rsidRPr="001F224B" w:rsidRDefault="002C63CA" w:rsidP="00C90F45">
            <w:pPr>
              <w:jc w:val="right"/>
              <w:rPr>
                <w:b/>
                <w:sz w:val="20"/>
                <w:szCs w:val="20"/>
              </w:rPr>
            </w:pPr>
            <w:r w:rsidRPr="001F224B">
              <w:rPr>
                <w:b/>
                <w:sz w:val="20"/>
                <w:szCs w:val="20"/>
              </w:rPr>
              <w:t>%</w:t>
            </w:r>
          </w:p>
        </w:tc>
      </w:tr>
      <w:tr w:rsidR="00FA0789" w:rsidRPr="001F224B" w14:paraId="1F9DA2D6" w14:textId="77777777" w:rsidTr="00C90F45">
        <w:tc>
          <w:tcPr>
            <w:tcW w:w="3714" w:type="dxa"/>
            <w:tcBorders>
              <w:top w:val="single" w:sz="4" w:space="0" w:color="000000"/>
              <w:left w:val="single" w:sz="4" w:space="0" w:color="000000"/>
              <w:bottom w:val="single" w:sz="4" w:space="0" w:color="000000"/>
              <w:right w:val="single" w:sz="4" w:space="0" w:color="000000"/>
            </w:tcBorders>
            <w:vAlign w:val="center"/>
            <w:hideMark/>
          </w:tcPr>
          <w:p w14:paraId="3F4FCE4E" w14:textId="77777777" w:rsidR="00FA0789" w:rsidRPr="001F224B" w:rsidRDefault="00FA0789" w:rsidP="00FA0789">
            <w:pPr>
              <w:rPr>
                <w:bCs/>
                <w:color w:val="000000"/>
                <w:sz w:val="20"/>
                <w:szCs w:val="20"/>
              </w:rPr>
            </w:pPr>
            <w:r w:rsidRPr="001F224B">
              <w:rPr>
                <w:bCs/>
                <w:color w:val="000000"/>
                <w:sz w:val="20"/>
                <w:szCs w:val="20"/>
              </w:rPr>
              <w:t>T.C. Hazine ve Maliye Bakanlığı</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73AA6E2F" w14:textId="7C989349" w:rsidR="00FA0789" w:rsidRPr="001F224B" w:rsidRDefault="00FA0789" w:rsidP="00FA0789">
            <w:pPr>
              <w:jc w:val="right"/>
              <w:rPr>
                <w:color w:val="000000"/>
                <w:sz w:val="20"/>
                <w:szCs w:val="20"/>
              </w:rPr>
            </w:pPr>
            <w:r w:rsidRPr="001F224B">
              <w:rPr>
                <w:color w:val="000000"/>
                <w:sz w:val="20"/>
                <w:szCs w:val="20"/>
              </w:rPr>
              <w:t>9.908.153.053,05</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6C51F7D5" w14:textId="25DB853C" w:rsidR="00FA0789" w:rsidRPr="001F224B" w:rsidRDefault="00FA0789" w:rsidP="00FA0789">
            <w:pPr>
              <w:jc w:val="right"/>
              <w:rPr>
                <w:color w:val="000000"/>
                <w:sz w:val="20"/>
                <w:szCs w:val="20"/>
              </w:rPr>
            </w:pPr>
            <w:r w:rsidRPr="001F224B">
              <w:rPr>
                <w:color w:val="000000"/>
                <w:sz w:val="20"/>
                <w:szCs w:val="20"/>
              </w:rPr>
              <w:t>99,08</w:t>
            </w:r>
          </w:p>
        </w:tc>
      </w:tr>
      <w:tr w:rsidR="00FA0789" w:rsidRPr="001F224B" w14:paraId="2B118119" w14:textId="77777777" w:rsidTr="008B2E0D">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7D7CBA57" w14:textId="77777777" w:rsidR="00FA0789" w:rsidRPr="001F224B" w:rsidRDefault="00FA0789" w:rsidP="00FA0789">
            <w:pPr>
              <w:rPr>
                <w:bCs/>
                <w:color w:val="000000"/>
                <w:sz w:val="20"/>
                <w:szCs w:val="20"/>
              </w:rPr>
            </w:pPr>
            <w:r w:rsidRPr="001F224B">
              <w:rPr>
                <w:bCs/>
                <w:color w:val="000000"/>
                <w:sz w:val="20"/>
                <w:szCs w:val="20"/>
              </w:rPr>
              <w:t xml:space="preserve">Diğer </w:t>
            </w:r>
            <w:r w:rsidRPr="001F224B">
              <w:rPr>
                <w:bCs/>
                <w:color w:val="000000"/>
                <w:sz w:val="20"/>
                <w:szCs w:val="20"/>
                <w:vertAlign w:val="superscript"/>
              </w:rPr>
              <w:t>(*)</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5058A33" w14:textId="32630B3A" w:rsidR="00FA0789" w:rsidRPr="001F224B" w:rsidRDefault="00FA0789" w:rsidP="00FA0789">
            <w:pPr>
              <w:jc w:val="right"/>
              <w:rPr>
                <w:color w:val="000000"/>
                <w:sz w:val="20"/>
                <w:szCs w:val="20"/>
              </w:rPr>
            </w:pPr>
            <w:r w:rsidRPr="001F224B">
              <w:rPr>
                <w:color w:val="000000"/>
                <w:sz w:val="20"/>
                <w:szCs w:val="20"/>
              </w:rPr>
              <w:t>91.846.946,95</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3093A444" w14:textId="096435AE" w:rsidR="00FA0789" w:rsidRPr="001F224B" w:rsidRDefault="00FA0789" w:rsidP="00FA0789">
            <w:pPr>
              <w:jc w:val="right"/>
              <w:rPr>
                <w:color w:val="000000"/>
                <w:sz w:val="20"/>
                <w:szCs w:val="20"/>
              </w:rPr>
            </w:pPr>
            <w:r w:rsidRPr="001F224B">
              <w:rPr>
                <w:color w:val="000000"/>
                <w:sz w:val="20"/>
                <w:szCs w:val="20"/>
              </w:rPr>
              <w:t>0,92</w:t>
            </w:r>
          </w:p>
        </w:tc>
      </w:tr>
      <w:tr w:rsidR="00FA0789" w:rsidRPr="001F224B" w14:paraId="52760B2A" w14:textId="77777777" w:rsidTr="008B2E0D">
        <w:tc>
          <w:tcPr>
            <w:tcW w:w="3714" w:type="dxa"/>
            <w:tcBorders>
              <w:top w:val="single" w:sz="4" w:space="0" w:color="000000"/>
              <w:left w:val="single" w:sz="4" w:space="0" w:color="000000"/>
              <w:bottom w:val="single" w:sz="4" w:space="0" w:color="auto"/>
              <w:right w:val="single" w:sz="4" w:space="0" w:color="000000"/>
            </w:tcBorders>
            <w:vAlign w:val="center"/>
            <w:hideMark/>
          </w:tcPr>
          <w:p w14:paraId="59925EFE" w14:textId="77777777" w:rsidR="00FA0789" w:rsidRPr="001F224B" w:rsidRDefault="00FA0789" w:rsidP="00FA0789">
            <w:pPr>
              <w:rPr>
                <w:b/>
                <w:bCs/>
                <w:color w:val="000000"/>
                <w:sz w:val="20"/>
                <w:szCs w:val="20"/>
              </w:rPr>
            </w:pPr>
            <w:r w:rsidRPr="001F224B">
              <w:rPr>
                <w:b/>
                <w:bCs/>
                <w:color w:val="000000"/>
                <w:sz w:val="20"/>
                <w:szCs w:val="20"/>
              </w:rPr>
              <w:t>Toplam</w:t>
            </w:r>
          </w:p>
        </w:tc>
        <w:tc>
          <w:tcPr>
            <w:tcW w:w="2665" w:type="dxa"/>
            <w:tcBorders>
              <w:top w:val="single" w:sz="4" w:space="0" w:color="000000"/>
              <w:left w:val="single" w:sz="4" w:space="0" w:color="000000"/>
              <w:bottom w:val="single" w:sz="4" w:space="0" w:color="auto"/>
              <w:right w:val="single" w:sz="4" w:space="0" w:color="000000"/>
            </w:tcBorders>
            <w:vAlign w:val="bottom"/>
            <w:hideMark/>
          </w:tcPr>
          <w:p w14:paraId="5F5317FA" w14:textId="21472767" w:rsidR="00FA0789" w:rsidRPr="001F224B" w:rsidRDefault="00FA0789" w:rsidP="00FA0789">
            <w:pPr>
              <w:jc w:val="right"/>
              <w:rPr>
                <w:b/>
                <w:bCs/>
                <w:color w:val="000000"/>
                <w:sz w:val="20"/>
                <w:szCs w:val="20"/>
              </w:rPr>
            </w:pPr>
            <w:r w:rsidRPr="001F224B">
              <w:rPr>
                <w:b/>
                <w:bCs/>
                <w:color w:val="000000"/>
                <w:sz w:val="20"/>
                <w:szCs w:val="20"/>
              </w:rPr>
              <w:t>10.000.000.000,00</w:t>
            </w:r>
          </w:p>
        </w:tc>
        <w:tc>
          <w:tcPr>
            <w:tcW w:w="2693" w:type="dxa"/>
            <w:tcBorders>
              <w:top w:val="single" w:sz="4" w:space="0" w:color="000000"/>
              <w:left w:val="single" w:sz="4" w:space="0" w:color="000000"/>
              <w:bottom w:val="single" w:sz="4" w:space="0" w:color="auto"/>
              <w:right w:val="single" w:sz="4" w:space="0" w:color="000000"/>
            </w:tcBorders>
            <w:vAlign w:val="bottom"/>
            <w:hideMark/>
          </w:tcPr>
          <w:p w14:paraId="11CBCCA2" w14:textId="653E434A" w:rsidR="00FA0789" w:rsidRPr="001F224B" w:rsidRDefault="00FA0789" w:rsidP="00FA0789">
            <w:pPr>
              <w:jc w:val="right"/>
              <w:rPr>
                <w:b/>
                <w:color w:val="000000"/>
                <w:sz w:val="20"/>
                <w:szCs w:val="20"/>
              </w:rPr>
            </w:pPr>
            <w:r w:rsidRPr="001F224B">
              <w:rPr>
                <w:b/>
                <w:color w:val="000000"/>
                <w:sz w:val="20"/>
                <w:szCs w:val="20"/>
              </w:rPr>
              <w:t>100</w:t>
            </w:r>
          </w:p>
        </w:tc>
      </w:tr>
    </w:tbl>
    <w:p w14:paraId="15971976" w14:textId="77777777" w:rsidR="002C63CA" w:rsidRPr="001F224B" w:rsidRDefault="002C63CA" w:rsidP="002C63CA">
      <w:pPr>
        <w:tabs>
          <w:tab w:val="left" w:pos="3000"/>
        </w:tabs>
        <w:ind w:left="851" w:hanging="851"/>
        <w:jc w:val="both"/>
        <w:rPr>
          <w:sz w:val="16"/>
          <w:szCs w:val="18"/>
        </w:rPr>
      </w:pPr>
      <w:r w:rsidRPr="001F224B">
        <w:rPr>
          <w:bCs/>
          <w:sz w:val="18"/>
          <w:szCs w:val="18"/>
        </w:rPr>
        <w:t xml:space="preserve">                </w:t>
      </w:r>
      <w:r w:rsidRPr="001F224B">
        <w:rPr>
          <w:bCs/>
          <w:sz w:val="18"/>
          <w:szCs w:val="18"/>
          <w:vertAlign w:val="superscript"/>
        </w:rPr>
        <w:t>(*)</w:t>
      </w:r>
      <w:r w:rsidRPr="001F224B">
        <w:rPr>
          <w:bCs/>
          <w:sz w:val="16"/>
          <w:szCs w:val="16"/>
        </w:rPr>
        <w:t xml:space="preserve"> </w:t>
      </w:r>
      <w:r w:rsidRPr="001F224B">
        <w:rPr>
          <w:sz w:val="18"/>
          <w:szCs w:val="20"/>
        </w:rPr>
        <w:t>Tüm gerçek ve tüzel kişileri kapsamakta ve bu ortaklara ait hisse senetleri Borsa İstanbul’da işlem görmekte olduğundan ortak sayısı bilinememektedir.</w:t>
      </w:r>
    </w:p>
    <w:p w14:paraId="60B8771E" w14:textId="77777777" w:rsidR="002C63CA" w:rsidRPr="001F224B" w:rsidRDefault="002C63CA" w:rsidP="002C63CA">
      <w:pPr>
        <w:tabs>
          <w:tab w:val="left" w:pos="3000"/>
        </w:tabs>
        <w:jc w:val="both"/>
        <w:rPr>
          <w:b/>
          <w:bCs/>
          <w:sz w:val="22"/>
          <w:szCs w:val="22"/>
        </w:rPr>
      </w:pPr>
      <w:r w:rsidRPr="001F224B">
        <w:rPr>
          <w:sz w:val="18"/>
          <w:szCs w:val="18"/>
        </w:rPr>
        <w:tab/>
      </w:r>
    </w:p>
    <w:p w14:paraId="1FBE9D08" w14:textId="340E1EF4" w:rsidR="002C63CA" w:rsidRPr="001F224B" w:rsidRDefault="002C63CA" w:rsidP="002C63CA">
      <w:pPr>
        <w:ind w:left="560" w:hanging="546"/>
        <w:rPr>
          <w:b/>
          <w:bCs/>
          <w:sz w:val="22"/>
          <w:szCs w:val="22"/>
        </w:rPr>
      </w:pPr>
      <w:r w:rsidRPr="001F224B">
        <w:rPr>
          <w:b/>
          <w:bCs/>
          <w:sz w:val="22"/>
          <w:szCs w:val="22"/>
        </w:rPr>
        <w:t>VI</w:t>
      </w:r>
      <w:r w:rsidR="00260F1C" w:rsidRPr="001F224B">
        <w:rPr>
          <w:b/>
          <w:bCs/>
          <w:sz w:val="22"/>
          <w:szCs w:val="22"/>
        </w:rPr>
        <w:t>I</w:t>
      </w:r>
      <w:r w:rsidRPr="001F224B">
        <w:rPr>
          <w:b/>
          <w:bCs/>
          <w:sz w:val="22"/>
          <w:szCs w:val="22"/>
        </w:rPr>
        <w:t>.</w:t>
      </w:r>
      <w:r w:rsidRPr="001F224B">
        <w:rPr>
          <w:b/>
          <w:bCs/>
          <w:sz w:val="22"/>
          <w:szCs w:val="22"/>
        </w:rPr>
        <w:tab/>
        <w:t>Banka’nın 2025 Yılı I</w:t>
      </w:r>
      <w:r w:rsidR="00E845AD" w:rsidRPr="001F224B">
        <w:rPr>
          <w:b/>
          <w:bCs/>
          <w:sz w:val="22"/>
          <w:szCs w:val="22"/>
        </w:rPr>
        <w:t>I</w:t>
      </w:r>
      <w:r w:rsidRPr="001F224B">
        <w:rPr>
          <w:b/>
          <w:bCs/>
          <w:sz w:val="22"/>
          <w:szCs w:val="22"/>
        </w:rPr>
        <w:t>. Dönem Faaliyetleri</w:t>
      </w:r>
    </w:p>
    <w:p w14:paraId="05A5F06C" w14:textId="77777777" w:rsidR="00260F1C" w:rsidRPr="001F224B" w:rsidRDefault="00260F1C" w:rsidP="00260F1C">
      <w:pPr>
        <w:spacing w:before="120" w:after="120"/>
        <w:ind w:left="555" w:hanging="544"/>
        <w:rPr>
          <w:b/>
          <w:bCs/>
          <w:sz w:val="22"/>
          <w:szCs w:val="22"/>
        </w:rPr>
      </w:pPr>
      <w:r w:rsidRPr="001F224B">
        <w:rPr>
          <w:b/>
          <w:bCs/>
          <w:sz w:val="22"/>
          <w:szCs w:val="22"/>
        </w:rPr>
        <w:tab/>
        <w:t>Finansman Faaliyetleri ve Finansal Kurumlarla İlişkiler</w:t>
      </w:r>
    </w:p>
    <w:bookmarkEnd w:id="42"/>
    <w:p w14:paraId="18EFD73D"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Kayıtlı istihdamın artırılması amacıyla Dünya Bankası (WB) ile imzalanan 316 milyon Avro tutarındaki kredinin kullandırımları tamamlanmıştır. Avrupa Birliği’nden sağlanan 75,9 milyon Avro tutarındaki hibe anlaşmasının kullandırımları  devam etmektedir.</w:t>
      </w:r>
    </w:p>
    <w:p w14:paraId="4420EF30"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Jeotermal enerji projelerinin finansmanı amacıyla Dünya Bankası (WB) ile imzalanan 150 milyon ABD Doları tutarında kredi anlaşması kullandırımına devam edilmiştir.</w:t>
      </w:r>
    </w:p>
    <w:p w14:paraId="3E84EED6"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Enerji ve enerji verimliliği yatırımlarının finansmanı amacıyla Japon Uluslararası Kalkınma Bankası’ndan (JBIC) sağlanan 200 milyon ABD Doları tutarında GREEN IV kredi anlaşması kapsamında kredi kullandırımına devam edilmiştir.</w:t>
      </w:r>
    </w:p>
    <w:p w14:paraId="0CCB5EE3"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Yenilenebilir enerji, enerji verimliliği projelerinin finansmanı amacıyla Alman Kalkınma Bankası (KfW) ile imzalanan 100 milyon Avro tutarında kredi anlaşması ve 10 milyon Avro Hibe anlaşması kapsamında kredi kullandırımına devam edilmiştir.</w:t>
      </w:r>
    </w:p>
    <w:p w14:paraId="7103E774"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Deprem bölgesindeki KOBİ’lerin finansmanı amacıyla  Karadeniz Ticaret ve Kalkınma Bankası (KTKB) ile imzalanan kredi anlaşması kapsamında kredi kullandırımı tamamlanmıştır.</w:t>
      </w:r>
    </w:p>
    <w:p w14:paraId="3DD347CC"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Deprem etkilerinin giderilmesi ve gıda güvenliği yatırımlarının finansmanında kullanılmak üzere İslam Kalkınma Bankası (İKB) ile imzalanan 100 milyon ABD Doları tutarında finansman imkanı kapsamında kredi kullandırımına devam edilmiştir.</w:t>
      </w:r>
    </w:p>
    <w:p w14:paraId="4DC2EA83" w14:textId="77777777" w:rsidR="00FA0789" w:rsidRPr="001F224B" w:rsidRDefault="00FA0789" w:rsidP="00260F1C">
      <w:pPr>
        <w:spacing w:before="120" w:after="120"/>
        <w:rPr>
          <w:b/>
          <w:bCs/>
          <w:sz w:val="22"/>
          <w:szCs w:val="22"/>
        </w:rPr>
      </w:pPr>
    </w:p>
    <w:p w14:paraId="244E6AF5" w14:textId="7979B934" w:rsidR="00260F1C" w:rsidRPr="001F224B" w:rsidRDefault="00260F1C" w:rsidP="00260F1C">
      <w:pPr>
        <w:spacing w:before="120" w:after="120"/>
        <w:rPr>
          <w:b/>
          <w:bCs/>
          <w:sz w:val="22"/>
          <w:szCs w:val="22"/>
        </w:rPr>
      </w:pPr>
      <w:r w:rsidRPr="001F224B">
        <w:rPr>
          <w:b/>
          <w:bCs/>
          <w:sz w:val="22"/>
          <w:szCs w:val="22"/>
        </w:rPr>
        <w:t>YEDİNCİ BÖLÜM (Devamı)</w:t>
      </w:r>
    </w:p>
    <w:p w14:paraId="6F69F578" w14:textId="6B868931" w:rsidR="00260F1C" w:rsidRPr="001F224B" w:rsidRDefault="00260F1C" w:rsidP="00260F1C">
      <w:pPr>
        <w:spacing w:before="120" w:after="120"/>
        <w:rPr>
          <w:b/>
          <w:bCs/>
          <w:sz w:val="22"/>
          <w:szCs w:val="22"/>
        </w:rPr>
      </w:pPr>
      <w:r w:rsidRPr="001F224B">
        <w:rPr>
          <w:b/>
          <w:bCs/>
          <w:sz w:val="22"/>
          <w:szCs w:val="22"/>
        </w:rPr>
        <w:t>KONSOLİDE ARA DÖNEM FAALİYET RAPORU (Devamı)</w:t>
      </w:r>
    </w:p>
    <w:p w14:paraId="4EFAECD6" w14:textId="1CC648EA" w:rsidR="00260F1C" w:rsidRPr="001F224B" w:rsidRDefault="00260F1C" w:rsidP="00260F1C">
      <w:pPr>
        <w:ind w:left="560" w:hanging="546"/>
        <w:rPr>
          <w:b/>
          <w:bCs/>
          <w:sz w:val="22"/>
          <w:szCs w:val="22"/>
        </w:rPr>
      </w:pPr>
      <w:r w:rsidRPr="001F224B">
        <w:rPr>
          <w:b/>
          <w:bCs/>
          <w:sz w:val="22"/>
          <w:szCs w:val="22"/>
        </w:rPr>
        <w:t>VII.</w:t>
      </w:r>
      <w:r w:rsidRPr="001F224B">
        <w:rPr>
          <w:b/>
          <w:bCs/>
          <w:sz w:val="22"/>
          <w:szCs w:val="22"/>
        </w:rPr>
        <w:tab/>
        <w:t xml:space="preserve">Banka’nın 2025 Yılı </w:t>
      </w:r>
      <w:r w:rsidR="00E845AD" w:rsidRPr="001F224B">
        <w:rPr>
          <w:b/>
          <w:bCs/>
          <w:sz w:val="22"/>
          <w:szCs w:val="22"/>
        </w:rPr>
        <w:t>I</w:t>
      </w:r>
      <w:r w:rsidRPr="001F224B">
        <w:rPr>
          <w:b/>
          <w:bCs/>
          <w:sz w:val="22"/>
          <w:szCs w:val="22"/>
        </w:rPr>
        <w:t>I. Dönem Faaliyetleri (Devamı)</w:t>
      </w:r>
    </w:p>
    <w:p w14:paraId="0B5CAB7B" w14:textId="77777777" w:rsidR="00260F1C" w:rsidRPr="001F224B" w:rsidRDefault="00260F1C" w:rsidP="00260F1C">
      <w:pPr>
        <w:spacing w:before="120" w:after="120"/>
        <w:ind w:left="555" w:hanging="544"/>
        <w:rPr>
          <w:b/>
          <w:bCs/>
          <w:sz w:val="22"/>
          <w:szCs w:val="22"/>
        </w:rPr>
      </w:pPr>
      <w:r w:rsidRPr="001F224B">
        <w:rPr>
          <w:b/>
          <w:bCs/>
          <w:sz w:val="22"/>
          <w:szCs w:val="22"/>
        </w:rPr>
        <w:tab/>
        <w:t>Finansman Faaliyetleri ve Finansal Kurumlarla İlişkiler (Devamı)</w:t>
      </w:r>
    </w:p>
    <w:p w14:paraId="21AD9EC2"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Fransız Kalkınma Ajansı (AFD) ile gerçekleştirilen 100 milyon Avro tutarında Sürdürülebilir Eurobond ihracı kapsamında kredi kullandırımına devam edilmiştir. </w:t>
      </w:r>
    </w:p>
    <w:p w14:paraId="1CB03F5C"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Gıda güvenliği yatırımlarının finansmanında kullanılmak OPEC Uluslararası Kalkınma Fonu’ndan (OFID) sağlanan 50 milyon ABD Doları tutarında  kredi anlaşması kapsamında kredi kullandırımına devam edilmiştir.</w:t>
      </w:r>
    </w:p>
    <w:p w14:paraId="307B7FD1"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Karbon salınımlarının azaltılması ve hava kalitesinin iyileştirilmesine yönelik projelerin finansmanında kullanılmak üzere Dünya Bankası (WB) ile imzalanan 200 milyon Avro ve 200 milyon ABD Doları tutarında kredi anlaşması kapsamında kredi kullandırımına devam edilmiştir.</w:t>
      </w:r>
    </w:p>
    <w:p w14:paraId="0CE35523"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Dağıtık güneş enerjisi projelerinin (Distributed Solar PV) finansmanı amacıyla Dünya Bankası’ndan (WB) sağlanan 300 milyon Avro tutarında IBRD (International Bank for Reconstruction and Development) kredi anlaşması ve 15 milyon ABD Doları CTF (Clean Technology Fund) kredi anlaşması ile 1,5 milyon ABD Doları ESMAP (Energy Sector Management Assistance Program)  Hibe anlaşması kapsamında kredi kullandırımına devam edilmiştir.</w:t>
      </w:r>
    </w:p>
    <w:p w14:paraId="0845DBE3"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Uluslararası ticaretin finansmanı için Uluslararası İslami Ticaret Finansmanı Şirketi’nden</w:t>
      </w:r>
      <w:r w:rsidRPr="001F224B">
        <w:rPr>
          <w:rFonts w:ascii="Roboto" w:hAnsi="Roboto"/>
          <w:color w:val="4D5156"/>
          <w:sz w:val="21"/>
          <w:szCs w:val="21"/>
          <w:shd w:val="clear" w:color="auto" w:fill="FFFFFF"/>
        </w:rPr>
        <w:t> </w:t>
      </w:r>
      <w:r w:rsidRPr="001F224B">
        <w:rPr>
          <w:sz w:val="22"/>
          <w:szCs w:val="22"/>
        </w:rPr>
        <w:t xml:space="preserve"> (ITFC) sağlanan 100 milyon ABD Doları tutarında murabaha finansmanı anlaşması kapsamında kredi kullandırımına devam edilmiştir.</w:t>
      </w:r>
    </w:p>
    <w:p w14:paraId="7B114178"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Kahramanmaraş merkezli 6 Şubat 2023 depreminden etkilenen illerde istihdamın korunması ve ilave istihdam oluşturulması amacıyla Dünya Bankası (WB) ile 500 milyon USD eşdeğerinde kredi anlaşması 23 Mayıs 2025 tarihinde imzalanmıştır.</w:t>
      </w:r>
    </w:p>
    <w:p w14:paraId="600986A9" w14:textId="77777777" w:rsidR="00FA0789" w:rsidRPr="001F224B" w:rsidRDefault="00FA0789" w:rsidP="00FA0789">
      <w:pPr>
        <w:tabs>
          <w:tab w:val="left" w:pos="0"/>
          <w:tab w:val="left" w:pos="567"/>
          <w:tab w:val="left" w:pos="720"/>
          <w:tab w:val="left" w:pos="7455"/>
        </w:tabs>
        <w:spacing w:before="120" w:after="120"/>
        <w:ind w:left="560"/>
        <w:jc w:val="both"/>
        <w:rPr>
          <w:b/>
          <w:bCs/>
          <w:sz w:val="22"/>
          <w:szCs w:val="22"/>
        </w:rPr>
      </w:pPr>
      <w:r w:rsidRPr="001F224B">
        <w:rPr>
          <w:b/>
          <w:bCs/>
          <w:sz w:val="22"/>
          <w:szCs w:val="22"/>
        </w:rPr>
        <w:t>Proje Faaliyetleri, Danışmanlık ve Teknik Yardım Hizmetleri</w:t>
      </w:r>
    </w:p>
    <w:p w14:paraId="687FFB27"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Dünya Bankası aracılığıyla Temiz Teknoloji Fonundan (CTF) hibe sağlanarak finanse edilen, ülkemizin jeotermal kaynaklarının geliştirilmesine yönelik oluşturulmuş Risk Paylaşım Mekanizması (RPM) projesi Bankamızca yürütülmektedir. Proje çerçevesinde jeotermal yatırımcıların kaynak arama amaçlı delecekleri kuyuların başarısız olması durumunda maliyetlerinin kısmen karşılanması hedeflenmektedir. </w:t>
      </w:r>
    </w:p>
    <w:p w14:paraId="10D2E761"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RPM projesi ikinci ve üçüncü tur uygulama çalışmaları devam etmektedir. İkinci tur sözleşme imzalanan 2 (iki) projede sondaj çalışmaları tamamlanmıştır. Sondaj ve kuyu test operasyonları tamamlanan projelerden ilki, Eskişehir ili Sarıcakaya ilçesinde yer almakta olup, sera ısıtması amacıyla oluşturulmuş doğrudan kullanım projesidir. Proje kapsamındaki ilk kuyunun sondajı başarısız olarak tamamlanmış olup, Yararlanıcıya 620 bin USD hibe ödemesi gerçekleştirilmiştir. RPM kapsamında sondaj çalışmaları tamamlanan diğer kuyu, Aksaray ili Güzelyurt ilçesinde yer alan jeotermal ruhsat alanında, elektrik üretimi amacıyla planlanan jeotermal arama kuyusudur. Sondaj sonrası gerçekleştirilen kuyu testlerinin değerlendirilmesi sonucu söz konusu kuyu, sözleşme dönemi belirlenen başarı kriteri ile karşılaştırıldığında, başarısız olarak tamamlanmıştır. Kuyuya ait tüm harcama belgeleri değerlendirilmiş ve hibe ödeme tutarı belirlenmiştir. Dünya Bankası’nın onayı sonrasında ödemenin gerçekleştirilmesi planlanmaktadır. Ayrıca, ikinci tur uygulama kapsamında Koçpınar Jeotermal firması ile 2025 yılı Şubat ayı içinde Faydalanıcı Sözleşmesi imzalanmış olup, Aksaray ili Merkez ilçesinde yer alan jeotermal arama ruhsat alanında ilk kuyunun sondaj çalışmalarına Mart ayında başlanmıştır. 30 Haziran 2025 tarihi itibari ile arama kuyusu sondajı 2800m derinlikte devam etmektedir. Diğer projeler için sözleşme hazırlık çalışmaları devam etmektedir.</w:t>
      </w:r>
    </w:p>
    <w:p w14:paraId="02CA33E2" w14:textId="77777777" w:rsidR="00260F1C" w:rsidRPr="001F224B" w:rsidRDefault="00260F1C" w:rsidP="00260F1C">
      <w:pPr>
        <w:rPr>
          <w:sz w:val="22"/>
          <w:szCs w:val="22"/>
        </w:rPr>
      </w:pPr>
      <w:r w:rsidRPr="001F224B">
        <w:rPr>
          <w:sz w:val="22"/>
          <w:szCs w:val="22"/>
        </w:rPr>
        <w:br w:type="page"/>
      </w:r>
    </w:p>
    <w:p w14:paraId="22350CD1" w14:textId="77777777" w:rsidR="00260F1C" w:rsidRPr="001F224B" w:rsidRDefault="00260F1C" w:rsidP="00260F1C">
      <w:pPr>
        <w:spacing w:before="120" w:after="120"/>
        <w:rPr>
          <w:b/>
          <w:bCs/>
          <w:sz w:val="22"/>
          <w:szCs w:val="22"/>
        </w:rPr>
      </w:pPr>
      <w:r w:rsidRPr="001F224B">
        <w:rPr>
          <w:b/>
          <w:bCs/>
          <w:sz w:val="22"/>
          <w:szCs w:val="22"/>
        </w:rPr>
        <w:t>YEDİNCİ BÖLÜM (Devamı)</w:t>
      </w:r>
    </w:p>
    <w:p w14:paraId="68396BBE" w14:textId="2BA354E9" w:rsidR="00260F1C" w:rsidRPr="001F224B" w:rsidRDefault="00260F1C" w:rsidP="00260F1C">
      <w:pPr>
        <w:spacing w:before="120" w:after="120"/>
        <w:rPr>
          <w:b/>
          <w:bCs/>
          <w:sz w:val="22"/>
          <w:szCs w:val="22"/>
        </w:rPr>
      </w:pPr>
      <w:r w:rsidRPr="001F224B">
        <w:rPr>
          <w:b/>
          <w:bCs/>
          <w:sz w:val="22"/>
          <w:szCs w:val="22"/>
        </w:rPr>
        <w:t>KONSOLİDE ARA DÖNEM FAALİYET RAPORU (Devamı)</w:t>
      </w:r>
    </w:p>
    <w:p w14:paraId="7DE7433E" w14:textId="7DE7FD6A" w:rsidR="00260F1C" w:rsidRPr="001F224B" w:rsidRDefault="00260F1C" w:rsidP="00260F1C">
      <w:pPr>
        <w:ind w:left="560" w:hanging="546"/>
        <w:rPr>
          <w:b/>
          <w:bCs/>
          <w:sz w:val="22"/>
          <w:szCs w:val="22"/>
        </w:rPr>
      </w:pPr>
      <w:r w:rsidRPr="001F224B">
        <w:rPr>
          <w:b/>
          <w:bCs/>
          <w:sz w:val="22"/>
          <w:szCs w:val="22"/>
        </w:rPr>
        <w:t>VII.</w:t>
      </w:r>
      <w:r w:rsidRPr="001F224B">
        <w:rPr>
          <w:b/>
          <w:bCs/>
          <w:sz w:val="22"/>
          <w:szCs w:val="22"/>
        </w:rPr>
        <w:tab/>
        <w:t>Banka’nın 2025 Yılı I</w:t>
      </w:r>
      <w:r w:rsidR="00E845AD" w:rsidRPr="001F224B">
        <w:rPr>
          <w:b/>
          <w:bCs/>
          <w:sz w:val="22"/>
          <w:szCs w:val="22"/>
        </w:rPr>
        <w:t>I</w:t>
      </w:r>
      <w:r w:rsidRPr="001F224B">
        <w:rPr>
          <w:b/>
          <w:bCs/>
          <w:sz w:val="22"/>
          <w:szCs w:val="22"/>
        </w:rPr>
        <w:t>. Dönem Faaliyetleri (Devamı)</w:t>
      </w:r>
    </w:p>
    <w:p w14:paraId="54DDD32D" w14:textId="77777777" w:rsidR="00260F1C" w:rsidRPr="001F224B" w:rsidRDefault="00260F1C" w:rsidP="00260F1C">
      <w:pPr>
        <w:tabs>
          <w:tab w:val="left" w:pos="0"/>
          <w:tab w:val="left" w:pos="567"/>
          <w:tab w:val="left" w:pos="720"/>
          <w:tab w:val="left" w:pos="7455"/>
        </w:tabs>
        <w:spacing w:before="120" w:after="120"/>
        <w:ind w:left="560"/>
        <w:jc w:val="both"/>
        <w:rPr>
          <w:b/>
          <w:bCs/>
          <w:sz w:val="22"/>
          <w:szCs w:val="22"/>
        </w:rPr>
      </w:pPr>
      <w:r w:rsidRPr="001F224B">
        <w:rPr>
          <w:b/>
          <w:bCs/>
          <w:sz w:val="22"/>
          <w:szCs w:val="22"/>
        </w:rPr>
        <w:t>Proje Faaliyetleri, Danışmanlık ve Teknik Yardım Hizmetleri (Devamı)</w:t>
      </w:r>
    </w:p>
    <w:p w14:paraId="0BFE34F0"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RPM projesi dördüncü tur kapsamında tam başvuruda bulunan 14 adet jeotermal arama projesinin değerlendirilmesi, 2025 yılı Ocak ayı içinde tamamlanmış olup, 10 adet proje 70 ve üzerinde puanlanarak, RPM dördüncü tur uygulama programı kapsamına alınmıştır. RPM dördüncü tur uygulamaya dahil olan 10 proje için ön müzakere toplantıları, 2025 yılı Mart ayı içinde tamamlanmıştır. Nisan- Haziran 2025 döneminde kısa listeye kalan 10 projeden 3 tanesi için çevresel dokümantasyon hazırlık çalışmaları çoğunlukla tamamlanmış, bir tanesi için Dünya Bankası ön onayı alınmıştır. Ön onay alınan ve Kütahya-Simav/ Demirci bölgesinde yer alan projeye ait paydaş katılım toplantısı da gerçekleştirilmiştir. Diğer projeler için sözleşme hazırlık çalışmaları devam etmektedir. </w:t>
      </w:r>
    </w:p>
    <w:p w14:paraId="32418EBD"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Dünya Bankası Jeotermal Geliştirme Projesi Ek Finansmanı kapsamında, ESMAP (Energy Sector Management Assistance Program) finansörlüğünde geliştirilen hibe programı, Bankamız Mühendislik Birimi tarafından yürütülmektedir. </w:t>
      </w:r>
    </w:p>
    <w:p w14:paraId="180DC14E"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Söz konusu program, ülkemizdeki jeotermal kaynakların doğrudan kullanımını amaçlayan projeler için hazırlanacak fizibilite çalışmalarını desteklemektedir. Toplam proje bütçesi 350 bin ABD Dolar olup, hibe kullanım oranı, fizibilite maliyetinin %50’si ve en fazla proje başına 50 bin ABD Doları olacaktır. Aynı zamanda, söz konusu proje kapsamında, kadın istihdamını destekler hedefler belirlenmiş olup, firmaların ortaklık yapısında ve yönetici kadrosunda kadınların istihdam edilmesi, firmaların programdan yararlanması konusunda öncelikli tercih edilecek kriterler arasında yer almaktadır. </w:t>
      </w:r>
      <w:r w:rsidRPr="001F224B">
        <w:rPr>
          <w:sz w:val="22"/>
          <w:szCs w:val="22"/>
        </w:rPr>
        <w:tab/>
      </w:r>
    </w:p>
    <w:p w14:paraId="62BD7C3D"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ESMAP Hibe projesi kapsamında 2025 yılı Nisan- Haziran döneminde, ilgili firmalarla görüşmelere devam edilmiş, proje tanıtımı gerçekleştirilmiştir. Programa iki adet başvuru alınmıştır. Başvuruların ilki, Muş ili, Merkez ilçesinde yer alan jeotermal ruhsat alanında geliştirilecek doğrudan kullanım projesi için hazırlanacak fizibilite çalışmalarını kapsamaktadır. Programa başvuruda bulunan bir diğer proje ise, Bitlis ili Tatvan ilçesinde yer alan ve dört adet jeotermal ruhsat alanı içinde planlanan jeotermal kaynaklı sera yatırımına ait bir fizibilite çalışmasını kapsamaktadır. İlave olarak söz konusu dönem içinde, Dünya Bankası görüşleri ile geliştirilen ESMAP Hibe Sözleşmesi ve hibe programı Kullanıcı Kılavuzu hazırlık çalışmaları devam etmektedir.</w:t>
      </w:r>
    </w:p>
    <w:p w14:paraId="1A542520"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Bankamızın Dünya Bankası ile birlikte yürüttüğü Kayıtlı İstihdam Yaratma Projesi (Kayist), Türk vatandaşları ve mültecilerin yararına, Geçici Koruma Altındaki Suriyelilerin yüksek oranda olduğu 24 ilde faaliyet gösteren firmaların kayıtlı istihdam yaratma koşullarını iyileştirmeyi amaçlamaktadır. Proje illeri İstanbul, Gaziantep, Hatay, Şanlıurfa, Adana, Mersin, Bursa, İzmir, Kilis, Konya, Ankara, Kahramanmaraş, Mardin, Kayseri, Kocaeli, Osmaniye, Diyarbakır, Malatya, Adıyaman, Batman, Sakarya, Manisa, Tekirdağ ve Denizli’dir. Projenin ilk bileşeni olan kredi 316 milyon Avro, ikinci bileşeni olan Avrupa Birliği FRIT-II Fonu Kaynaklı Hibe ise 75,9 milyon Avro tutarındadır. </w:t>
      </w:r>
    </w:p>
    <w:p w14:paraId="292104DC"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Avrupa Birliği FRIT-II Fonu Kaynaklı Kayıtlı İstihdam Yaratma Projesi (Kayist) Hibe Programı proje teklif çağrısı 17 Aralık 2022’de 70 milyon Avro bütçe ile ilan edilmiş, proje teklif çağrısı son başvuru tarihi olan 14 Mart 2022’ye kadar proje başvuruları alınmış ve çağrı süreci tamamlanmıştır. </w:t>
      </w:r>
    </w:p>
    <w:p w14:paraId="72C4234B"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Hibe programı başvuru değerlendirme aşamasında ise “İdari ve Uygunluk Kontrolü” süreci, “Teknik ve Finansal Değerlendirme” süreci ve “Çevresel ve Sosyal Değerlendirme” süreci Aralık 2023 itibarıyla tamamlanmış ve hibe değerlendirme sonuç bildirimleri başvuru sahiplerine iletilmiştir. Hibe almaya hak kazanan başvuru sahipleriyle kontrat imzalama süreci 19 Nisan 2024 itibarıyla tamamlanmış olup 66,4 milyon Avro tutarında 591 alt hibe sözleşmesi imzalanmış ve alt hibe projeleri için uygulama dönemine geçilmiştir. Hibe yararlanıcılarına ön ödemeler Haziran-Eylül 2024 döneminde yapılmıştır. Hibe yararlanıcılarına hak ediş ödemelerine ilişkin izleme ve değerlendirme faaliyetleri Kasım 2024-Haziran 2025 döneminde gerçekleştirilmiştir. 30 Haziran 2025 itibarıyla yaklaşık 16,3 milyon Avro hibe ödemesi yapılmış olup, hak ediş ödemeleri devam etmektedir. </w:t>
      </w:r>
    </w:p>
    <w:p w14:paraId="1ED5AE28" w14:textId="77777777" w:rsidR="00260F1C" w:rsidRPr="001F224B" w:rsidRDefault="00260F1C" w:rsidP="00260F1C">
      <w:pPr>
        <w:rPr>
          <w:sz w:val="22"/>
          <w:szCs w:val="22"/>
        </w:rPr>
      </w:pPr>
      <w:r w:rsidRPr="001F224B">
        <w:rPr>
          <w:sz w:val="22"/>
          <w:szCs w:val="22"/>
        </w:rPr>
        <w:br w:type="page"/>
      </w:r>
    </w:p>
    <w:p w14:paraId="0686F426" w14:textId="77777777" w:rsidR="00260F1C" w:rsidRPr="001F224B" w:rsidRDefault="00260F1C" w:rsidP="00260F1C">
      <w:pPr>
        <w:spacing w:before="120" w:after="120"/>
        <w:rPr>
          <w:b/>
          <w:bCs/>
          <w:sz w:val="22"/>
          <w:szCs w:val="22"/>
        </w:rPr>
      </w:pPr>
      <w:r w:rsidRPr="001F224B">
        <w:rPr>
          <w:b/>
          <w:bCs/>
          <w:sz w:val="22"/>
          <w:szCs w:val="22"/>
        </w:rPr>
        <w:t>YEDİNCİ BÖLÜM (Devamı)</w:t>
      </w:r>
    </w:p>
    <w:p w14:paraId="02511174" w14:textId="35FF079A" w:rsidR="00260F1C" w:rsidRPr="001F224B" w:rsidRDefault="00260F1C" w:rsidP="00260F1C">
      <w:pPr>
        <w:spacing w:before="120" w:after="120"/>
        <w:rPr>
          <w:b/>
          <w:bCs/>
          <w:sz w:val="22"/>
          <w:szCs w:val="22"/>
        </w:rPr>
      </w:pPr>
      <w:r w:rsidRPr="001F224B">
        <w:rPr>
          <w:b/>
          <w:bCs/>
          <w:sz w:val="22"/>
          <w:szCs w:val="22"/>
        </w:rPr>
        <w:t>KONSOLİDE ARA DÖNEM FAALİYET RAPORU (Devamı)</w:t>
      </w:r>
    </w:p>
    <w:p w14:paraId="7B1732BA" w14:textId="47F1C57E" w:rsidR="00260F1C" w:rsidRPr="001F224B" w:rsidRDefault="00260F1C" w:rsidP="00260F1C">
      <w:pPr>
        <w:ind w:left="560" w:hanging="546"/>
        <w:rPr>
          <w:b/>
          <w:bCs/>
          <w:sz w:val="22"/>
          <w:szCs w:val="22"/>
        </w:rPr>
      </w:pPr>
      <w:r w:rsidRPr="001F224B">
        <w:rPr>
          <w:b/>
          <w:bCs/>
          <w:sz w:val="22"/>
          <w:szCs w:val="22"/>
        </w:rPr>
        <w:t>VII.</w:t>
      </w:r>
      <w:r w:rsidRPr="001F224B">
        <w:rPr>
          <w:b/>
          <w:bCs/>
          <w:sz w:val="22"/>
          <w:szCs w:val="22"/>
        </w:rPr>
        <w:tab/>
        <w:t>Banka’nın 2025 Yılı I</w:t>
      </w:r>
      <w:r w:rsidR="00E845AD" w:rsidRPr="001F224B">
        <w:rPr>
          <w:b/>
          <w:bCs/>
          <w:sz w:val="22"/>
          <w:szCs w:val="22"/>
        </w:rPr>
        <w:t>I</w:t>
      </w:r>
      <w:r w:rsidRPr="001F224B">
        <w:rPr>
          <w:b/>
          <w:bCs/>
          <w:sz w:val="22"/>
          <w:szCs w:val="22"/>
        </w:rPr>
        <w:t>. Dönem Faaliyetleri (Devamı)</w:t>
      </w:r>
    </w:p>
    <w:p w14:paraId="1ED8E730" w14:textId="77777777" w:rsidR="00260F1C" w:rsidRPr="001F224B" w:rsidRDefault="00260F1C" w:rsidP="00260F1C">
      <w:pPr>
        <w:tabs>
          <w:tab w:val="left" w:pos="0"/>
          <w:tab w:val="left" w:pos="567"/>
          <w:tab w:val="left" w:pos="720"/>
          <w:tab w:val="left" w:pos="7455"/>
        </w:tabs>
        <w:spacing w:before="120" w:after="120"/>
        <w:ind w:left="560"/>
        <w:jc w:val="both"/>
        <w:rPr>
          <w:b/>
          <w:bCs/>
          <w:sz w:val="22"/>
          <w:szCs w:val="22"/>
        </w:rPr>
      </w:pPr>
      <w:r w:rsidRPr="001F224B">
        <w:rPr>
          <w:b/>
          <w:bCs/>
          <w:sz w:val="22"/>
          <w:szCs w:val="22"/>
        </w:rPr>
        <w:t>Proje Faaliyetleri, Danışmanlık ve Teknik Yardım Hizmetleri (Devamı)</w:t>
      </w:r>
    </w:p>
    <w:p w14:paraId="43BF66E8"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Kredi ve Hibe bileşenlerinin etki ve başarısının artırılması amacıyla her iki bileşen altında eğitim ve kapasite geliştirme faaliyetleri için teknik ve kurumsal destek bütçesi yer almaktadır. Projenin KOBİ ve Büyük İşletmelere yönelik kredi bileşenine ilişkin faaliyetler 31 Aralık 2024 itibariyle tamamlanmıştır. </w:t>
      </w:r>
    </w:p>
    <w:p w14:paraId="20DBAC46"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KAYİST Hibe Programı kapsamında proje uygulama süreci devam eden 565 hibe yararlanıcısı firmanın tamamı için uygulama süreci 30 Haziran 2025 tarihine uzatılmıştır. Kayıtlı İstihdam Yaratma Projesinin mevcut kapanış tarihinin 30 Kasım 2025’ten daha ileri bir tarihe uzatılması halinde yararlanıcı firmalar ile yapılan alt hibe sözleşmelerinin süre uzatımına ilişkin çalışmalar planlanmaktadır. </w:t>
      </w:r>
    </w:p>
    <w:p w14:paraId="266CB2AD"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Bankamız ile Cumhurbaşkanlığı Strateji ve Bütçe Başkanlığı, İSEDAK ve Uluslararası Kalkınma İşbirliği Genel Müdürlüğü (İSEDAK Koordinasyon Ofisi) arasında İSEDAK Proje Finansmanı Programlarının yürütülmesine ilişkin 2014 yılından beri devam eden işbirliği kapsamındaki İşbirliği Protokolü, 3 Şubat 2025 tarihinde imzalanmıştır.  Proje sahiplerine 8 Nisan ve 15 Nisan 2025 tarihlerinde proje uygulama eğitimleri  verilmiştir.</w:t>
      </w:r>
    </w:p>
    <w:p w14:paraId="330F67FF" w14:textId="77777777" w:rsidR="00FA0789" w:rsidRPr="001F224B" w:rsidRDefault="00FA0789" w:rsidP="00FA0789">
      <w:pPr>
        <w:tabs>
          <w:tab w:val="left" w:pos="0"/>
          <w:tab w:val="left" w:pos="567"/>
          <w:tab w:val="left" w:pos="720"/>
          <w:tab w:val="left" w:pos="7455"/>
        </w:tabs>
        <w:spacing w:before="120" w:after="120"/>
        <w:ind w:left="560"/>
        <w:jc w:val="both"/>
        <w:rPr>
          <w:sz w:val="22"/>
          <w:szCs w:val="22"/>
        </w:rPr>
      </w:pPr>
      <w:r w:rsidRPr="001F224B">
        <w:rPr>
          <w:sz w:val="22"/>
          <w:szCs w:val="22"/>
        </w:rPr>
        <w:t xml:space="preserve">İSEDAK İşbirliği Protokolü kapsamında 2025 yılında destek almaya hak kazanan toplam 29 projeye bildirim yapılmış olup  kontratların imza süreci devam etmektedir. Ayrıca, 2 proje için sözleşme ve uygulama süreci doğrudan İSEDAK Koordinasyon Ofisi tarafından yürütülmektedir. </w:t>
      </w:r>
    </w:p>
    <w:p w14:paraId="7115709C" w14:textId="77777777" w:rsidR="00FA0789" w:rsidRPr="001F224B" w:rsidRDefault="00FA0789" w:rsidP="00FA0789">
      <w:pPr>
        <w:tabs>
          <w:tab w:val="left" w:pos="0"/>
          <w:tab w:val="left" w:pos="567"/>
          <w:tab w:val="left" w:pos="720"/>
          <w:tab w:val="left" w:pos="7455"/>
        </w:tabs>
        <w:spacing w:before="120"/>
        <w:ind w:left="561"/>
        <w:jc w:val="both"/>
        <w:rPr>
          <w:b/>
          <w:sz w:val="22"/>
          <w:szCs w:val="22"/>
        </w:rPr>
      </w:pPr>
      <w:r w:rsidRPr="001F224B">
        <w:rPr>
          <w:b/>
          <w:sz w:val="22"/>
          <w:szCs w:val="22"/>
        </w:rPr>
        <w:t>Kredilendirme Faaliyetleri</w:t>
      </w:r>
    </w:p>
    <w:p w14:paraId="5E8DFBBE" w14:textId="7F5467B3" w:rsidR="00FA0789" w:rsidRPr="001F224B" w:rsidRDefault="00FA0789" w:rsidP="00FA0789">
      <w:pPr>
        <w:tabs>
          <w:tab w:val="left" w:pos="567"/>
          <w:tab w:val="left" w:pos="720"/>
          <w:tab w:val="left" w:pos="7455"/>
        </w:tabs>
        <w:spacing w:before="120" w:after="120"/>
        <w:ind w:left="567"/>
        <w:jc w:val="both"/>
        <w:rPr>
          <w:sz w:val="22"/>
          <w:szCs w:val="22"/>
        </w:rPr>
      </w:pPr>
      <w:r w:rsidRPr="001F224B">
        <w:rPr>
          <w:sz w:val="22"/>
          <w:szCs w:val="22"/>
        </w:rPr>
        <w:t>Nisan-Haziran 2025 döneminde Kurumsal Bankacılık ve Proje Finansmanı Birimimize 62 firmadan 180 milyon Avro ve 343 milyon ABD Doları tutarında kredi müracaatı kabul edilmiş olup toplam değeri 22.095 milyon TL’dir. Bu müracaatların %60’ı (13.187  milyon TL) imalat sanayi, %33’ü (7.315 milyon TL) enerji ve 7’si (1.593 milyon TL) diğer sektörlere aittir.</w:t>
      </w:r>
    </w:p>
    <w:p w14:paraId="07FF9798" w14:textId="77777777" w:rsidR="00FA0789" w:rsidRPr="001F224B" w:rsidRDefault="00FA0789" w:rsidP="00FA0789">
      <w:pPr>
        <w:tabs>
          <w:tab w:val="left" w:pos="567"/>
          <w:tab w:val="left" w:pos="720"/>
          <w:tab w:val="left" w:pos="7455"/>
        </w:tabs>
        <w:spacing w:before="120" w:after="120"/>
        <w:ind w:left="567"/>
        <w:jc w:val="both"/>
        <w:rPr>
          <w:sz w:val="22"/>
          <w:szCs w:val="22"/>
        </w:rPr>
      </w:pPr>
      <w:r w:rsidRPr="001F224B">
        <w:rPr>
          <w:sz w:val="22"/>
          <w:szCs w:val="22"/>
        </w:rPr>
        <w:t>Nisan-Haziran 2025 döneminde 23 adet firmaya 1.710 milyon TL, 111 milyon Avro ve 76 milyon ABD Doları tutarında nakdi kredi kullandırılmış olup, raporlama tarihi itibarıyla toplam değeri 9.950 milyon TL’dir. Kullandırılan nakdi kredilerin %79’u (7.867 milyon TL) imalat sanayi, %11’i (1.050 milyon TL) enerji ve %10’u (1.033 milyon TL) mali kuruluşlara aittir.</w:t>
      </w:r>
    </w:p>
    <w:p w14:paraId="73676773" w14:textId="77777777" w:rsidR="00FA0789" w:rsidRPr="001F224B" w:rsidRDefault="00FA0789" w:rsidP="00FA0789">
      <w:pPr>
        <w:tabs>
          <w:tab w:val="left" w:pos="567"/>
          <w:tab w:val="left" w:pos="720"/>
          <w:tab w:val="left" w:pos="7455"/>
        </w:tabs>
        <w:spacing w:before="120" w:after="120"/>
        <w:ind w:left="567"/>
        <w:jc w:val="both"/>
        <w:rPr>
          <w:sz w:val="22"/>
          <w:szCs w:val="22"/>
        </w:rPr>
      </w:pPr>
      <w:r w:rsidRPr="001F224B">
        <w:rPr>
          <w:sz w:val="22"/>
          <w:szCs w:val="22"/>
        </w:rPr>
        <w:t>Nisan-Haziran 2025 döneminde döneminde 3 adet firmaya 17.738 bin TL tutarında gayrinakdi kredi kullandırılmıştır. Kullandırılan gayrinakdi kredilerin %90’ı (15.869 bin TL) enerji ve %10’u (1.869 bin TL)  imalat sektörüne aittir.</w:t>
      </w:r>
    </w:p>
    <w:p w14:paraId="60F8A0AF" w14:textId="15FED35E" w:rsidR="00FA0789" w:rsidRPr="001F224B" w:rsidRDefault="00E11DC4" w:rsidP="00FA0789">
      <w:pPr>
        <w:tabs>
          <w:tab w:val="left" w:pos="567"/>
          <w:tab w:val="left" w:pos="720"/>
          <w:tab w:val="left" w:pos="7455"/>
        </w:tabs>
        <w:spacing w:before="120" w:after="120"/>
        <w:ind w:left="567" w:hanging="567"/>
        <w:jc w:val="both"/>
        <w:rPr>
          <w:b/>
          <w:bCs/>
          <w:sz w:val="22"/>
          <w:szCs w:val="22"/>
        </w:rPr>
      </w:pPr>
      <w:r w:rsidRPr="001F224B">
        <w:rPr>
          <w:b/>
          <w:bCs/>
          <w:sz w:val="22"/>
          <w:szCs w:val="22"/>
        </w:rPr>
        <w:t>VIII</w:t>
      </w:r>
      <w:r w:rsidR="00FA0789" w:rsidRPr="001F224B">
        <w:rPr>
          <w:b/>
          <w:bCs/>
          <w:sz w:val="22"/>
          <w:szCs w:val="22"/>
        </w:rPr>
        <w:t>.   Kurumsal Yönetim İlkeleri Uyum Raporu</w:t>
      </w:r>
    </w:p>
    <w:p w14:paraId="3D3947CB"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Türkiye Kalkınma ve Yatırım Bankası A.Ş. kuruluşunu düzenleyen 7147 sayılı Kanun, Bankacılık Kanunu ve tabi olduğu diğer yasal düzenlemelere uygun olarak çalışmalarını sürdürmekte olup; Sermaye Piyasası Kurulu tarafından yayınlanan Kurumsal Yönetim İlkelerinden zorunlu olanlarına uyulmakta, zorunlu olmayan ilkelere ise uyum konusunda azami gayret gösterilmektedir.</w:t>
      </w:r>
    </w:p>
    <w:p w14:paraId="59841800"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 xml:space="preserve">Sermaye Piyasası Kurulunun 10 Ocak 2019 tarih ve 2/49 sayılı kararı gereğince II-17.1 sayılı Kurumsal Yönetim Tebliği uyarınca yapılan Kurumsal Yönetim Uyum Raporlaması KAP Platformu üzerinden Kurumsal Yönetim Uyum Raporu (URF) ve Kurumsal Yönetim Bilgi Formu (KYBF) şablonları kullanılarak yapılmaktadır. </w:t>
      </w:r>
    </w:p>
    <w:p w14:paraId="3B99AF5D" w14:textId="77777777" w:rsidR="00FA0789" w:rsidRPr="001F224B" w:rsidRDefault="00FA0789" w:rsidP="00FA0789">
      <w:pPr>
        <w:spacing w:before="120" w:after="120"/>
        <w:ind w:left="567"/>
        <w:jc w:val="both"/>
        <w:rPr>
          <w:sz w:val="22"/>
          <w:szCs w:val="22"/>
        </w:rPr>
      </w:pPr>
      <w:r w:rsidRPr="001F224B">
        <w:rPr>
          <w:sz w:val="22"/>
          <w:szCs w:val="22"/>
        </w:rPr>
        <w:t xml:space="preserve">Bankamızın 2024 yılına ait Kurumsal Yönetim Bilgi Formu ve Kurumsal Yönetim Uyum Raporu 7 Mart 2025 tarihinde Kamuyu Aydınlatma Platformu’nda ilan edilmiştir.  İlgili raporlamalara https://www.kap.org.tr/tr/sirket-bilgileri/ozet/2426-turkiye-kalkinma-ve-yatirim-bankasi-a-s  adresinden ulaşılabilir. </w:t>
      </w:r>
    </w:p>
    <w:p w14:paraId="11E943D3" w14:textId="77777777" w:rsidR="00FA0789" w:rsidRPr="001F224B" w:rsidRDefault="00FA0789" w:rsidP="00FA0789">
      <w:pPr>
        <w:rPr>
          <w:sz w:val="22"/>
          <w:szCs w:val="22"/>
        </w:rPr>
      </w:pPr>
      <w:r w:rsidRPr="001F224B">
        <w:rPr>
          <w:sz w:val="22"/>
          <w:szCs w:val="22"/>
        </w:rPr>
        <w:br w:type="page"/>
      </w:r>
    </w:p>
    <w:p w14:paraId="4DDF42A3" w14:textId="77777777" w:rsidR="00260F1C" w:rsidRPr="001F224B" w:rsidRDefault="00260F1C" w:rsidP="00260F1C">
      <w:pPr>
        <w:spacing w:before="120" w:after="120"/>
        <w:rPr>
          <w:b/>
          <w:bCs/>
          <w:sz w:val="22"/>
          <w:szCs w:val="22"/>
        </w:rPr>
      </w:pPr>
      <w:r w:rsidRPr="001F224B">
        <w:rPr>
          <w:b/>
          <w:bCs/>
          <w:sz w:val="22"/>
          <w:szCs w:val="22"/>
        </w:rPr>
        <w:t>YEDİNCİ BÖLÜM (Devamı)</w:t>
      </w:r>
    </w:p>
    <w:p w14:paraId="090C457A" w14:textId="7CBB0A1B" w:rsidR="00260F1C" w:rsidRPr="001F224B" w:rsidRDefault="00260F1C" w:rsidP="00260F1C">
      <w:pPr>
        <w:spacing w:before="120" w:after="120"/>
        <w:rPr>
          <w:b/>
          <w:bCs/>
          <w:sz w:val="22"/>
          <w:szCs w:val="22"/>
        </w:rPr>
      </w:pPr>
      <w:r w:rsidRPr="001F224B">
        <w:rPr>
          <w:b/>
          <w:bCs/>
          <w:sz w:val="22"/>
          <w:szCs w:val="22"/>
        </w:rPr>
        <w:t>KONSOLİDE ARA DÖNEM FAALİYET RAPORU (Devamı)</w:t>
      </w:r>
    </w:p>
    <w:p w14:paraId="36D22021" w14:textId="56D1AF7B" w:rsidR="00260F1C" w:rsidRPr="001F224B" w:rsidRDefault="00260F1C" w:rsidP="00260F1C">
      <w:pPr>
        <w:tabs>
          <w:tab w:val="left" w:pos="567"/>
          <w:tab w:val="left" w:pos="720"/>
          <w:tab w:val="left" w:pos="7455"/>
        </w:tabs>
        <w:spacing w:before="120" w:after="120"/>
        <w:ind w:left="567" w:hanging="567"/>
        <w:jc w:val="both"/>
        <w:rPr>
          <w:b/>
          <w:bCs/>
          <w:sz w:val="22"/>
          <w:szCs w:val="22"/>
        </w:rPr>
      </w:pPr>
      <w:r w:rsidRPr="001F224B">
        <w:rPr>
          <w:b/>
          <w:bCs/>
          <w:sz w:val="22"/>
          <w:szCs w:val="22"/>
        </w:rPr>
        <w:t>VIII.   Kurumsal Yönetim İlkeleri Uyum Raporu (Devamı)</w:t>
      </w:r>
    </w:p>
    <w:p w14:paraId="7A3647BC" w14:textId="77777777" w:rsidR="00FA0789" w:rsidRPr="001F224B" w:rsidRDefault="00FA0789" w:rsidP="00FA0789">
      <w:pPr>
        <w:tabs>
          <w:tab w:val="left" w:pos="0"/>
          <w:tab w:val="left" w:pos="567"/>
          <w:tab w:val="left" w:pos="720"/>
          <w:tab w:val="left" w:pos="7455"/>
        </w:tabs>
        <w:spacing w:before="120" w:after="120"/>
        <w:ind w:left="567"/>
        <w:jc w:val="both"/>
        <w:rPr>
          <w:b/>
          <w:sz w:val="22"/>
          <w:szCs w:val="22"/>
        </w:rPr>
      </w:pPr>
      <w:r w:rsidRPr="001F224B">
        <w:rPr>
          <w:b/>
          <w:sz w:val="22"/>
          <w:szCs w:val="22"/>
        </w:rPr>
        <w:t>1. Pay Sahipleri İle İlişkiler Birimi</w:t>
      </w:r>
    </w:p>
    <w:p w14:paraId="0F6AFA33"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 xml:space="preserve">Pay sahipleri ile ilişkiler fonksiyonu Hazine ve Sermaye Piyasası İşlemleri Operasyon Birimi ile İştirakler ve Kurumsal İlişkiler Birimi tarafından yerine getirilmektedir. </w:t>
      </w:r>
    </w:p>
    <w:p w14:paraId="160D3698"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Nisan-Haziran 2025 döneminde pay sahiplerinin Bilgi Edinme Haklarının Kullanımı kapsamında bilgi edinme başvurusu olmamıştır.</w:t>
      </w:r>
    </w:p>
    <w:p w14:paraId="13F42450" w14:textId="77777777" w:rsidR="00FA0789" w:rsidRPr="001F224B" w:rsidRDefault="00FA0789" w:rsidP="00FA0789">
      <w:pPr>
        <w:pStyle w:val="ListParagraph"/>
        <w:numPr>
          <w:ilvl w:val="0"/>
          <w:numId w:val="18"/>
        </w:numPr>
        <w:tabs>
          <w:tab w:val="left" w:pos="0"/>
          <w:tab w:val="left" w:pos="567"/>
          <w:tab w:val="left" w:pos="720"/>
          <w:tab w:val="left" w:pos="7455"/>
        </w:tabs>
        <w:spacing w:before="120" w:after="120"/>
        <w:jc w:val="both"/>
        <w:rPr>
          <w:b/>
          <w:sz w:val="22"/>
          <w:szCs w:val="22"/>
        </w:rPr>
      </w:pPr>
      <w:r w:rsidRPr="001F224B">
        <w:rPr>
          <w:b/>
          <w:sz w:val="22"/>
          <w:szCs w:val="22"/>
        </w:rPr>
        <w:t>Sermaye Artırımı ve Genel Kurul Bilgileri</w:t>
      </w:r>
    </w:p>
    <w:p w14:paraId="1821C24B"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Banka’nın 2024 yılına ait Olağan Genel Kurul toplantısı 22 Nisan 2025 tarihinde, saat 10:00’ da, İnkılap Mah. Dr. Adnan Büyükdeniz Cad. B Blok No:10 Ümraniye/İSTANBUL adresinde Bakanlık temsilcisi gözetiminde yapılmıştır. Toplantıya ait çağrı Kanun ve Esas Sözleşmede öngörüldüğü gibi ve gündemi de ihtiva edecek şekilde 21 Mart 2025 tarihinde Kamuyu Aydınlatma Platformunda, Merkezi Kayıt Kuruluşu’nun Elektronik Genel Kurul Sisteminde ve Banka’nın resmi web sitesi olan www.kalkinma.com.tr’de, Türkiye Ticaret Sicili Gazetesinin 26 Mart 2025 tarih ve 11300 sayılı nüshasında ilan edilmek suretiyle süresi içinde yapılmıştır. Hazır bulunanlar listesinin tetkikinden, Banka’nın toplam 5.521.895.826,41 tam TL’lik sermayesine tekabül eden 552.189.582.641 adet paydan 5.449.484.179,176 tam TL’lik sermayeye karşılık 544.948.417.917,6 adet payın temsilen, 100.000 tam TL’lik sermayeye karşılık 10.000.000 adet payın asaleten toplantıda hazır bulunduğunun ve böylece gerek Kanun ve gerekse Esas Sözleşmede öngörülen asgari toplantı nisabının mevcut olduğu anlaşılmıştır. Genel Kurul Toplantı tutanağı ve hazır bulunanlar listesine ayrıca Kamuyu Aydınlatma Platformu’nun (KAP) internet adresinden (www.kap.gov.tr) ve Banka internet sitesinden (www.kalkinma.com.tr.) erişilebilmektedir.</w:t>
      </w:r>
    </w:p>
    <w:p w14:paraId="622777AF"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Bankamızın 10.000.000 TL tutarındaki kayıtlı sermaye tavanı içerisinde 5.500.000 TL tutarındaki çıkarılmış sermayesinin 4.500.000 TL (bedelli) artırılarak 10.000.000 TL'ye yükseltilmesi kapsamında, artırılan 4.500.000 TL nominal değerli payların ihracı izahnamede belirtilen koşullar çerçevesinde tamamlanmış olup, Bankamızın çıkarılmış sermayesi 10.000.000 TL’ye yükseltilmiştir. Bankamız çıkarılmış sermayesinin 10.000.000 TL olduğunu gösteren Esas Sözleşmemizin "Sermaye" başlıklı 6. maddesinin yeni şekli 30 Haziran 2025 tarihinde İstanbul Ticaret Sicili Müdürlüğünce tescil edilmiş ve 30 Haziran 2025 tarih ve 11361 sayılı Türkiye Ticaret Sicili Gazetesi'nde yayımlanmıştır.</w:t>
      </w:r>
    </w:p>
    <w:p w14:paraId="1F275682" w14:textId="77777777" w:rsidR="00FA0789" w:rsidRPr="001F224B" w:rsidRDefault="00FA0789" w:rsidP="00FA0789">
      <w:pPr>
        <w:tabs>
          <w:tab w:val="left" w:pos="0"/>
          <w:tab w:val="left" w:pos="567"/>
          <w:tab w:val="left" w:pos="720"/>
          <w:tab w:val="left" w:pos="7455"/>
        </w:tabs>
        <w:spacing w:before="120" w:after="120"/>
        <w:ind w:left="567"/>
        <w:jc w:val="both"/>
        <w:rPr>
          <w:b/>
          <w:bCs/>
          <w:sz w:val="22"/>
          <w:szCs w:val="22"/>
        </w:rPr>
      </w:pPr>
      <w:r w:rsidRPr="001F224B">
        <w:rPr>
          <w:b/>
          <w:bCs/>
          <w:sz w:val="22"/>
          <w:szCs w:val="22"/>
        </w:rPr>
        <w:t>3.Şirket Bilgilendirme Politikası</w:t>
      </w:r>
    </w:p>
    <w:p w14:paraId="432E7C36"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 xml:space="preserve">Banka Kurumsal Yönetim Komitesince hazırlanan ve Yönetim Kuruluna sunulan Banka Bilgilendirme Politikası 29 Nisan 2009 tarihinde onaylanmış olup 1 Mayıs 2009 tarihinden itibaren Banka internet sitesinde yer almaktadır. Bilgilendirme Politikasının uygulanmasının izlenmesi, gözetimi ve geliştirilmesi Banka Yönetim Kurulunun yetki ve sorumluluğunda olup Banka Yönetim Kurulu adına Kurumsal Yönetim Komitesi gözetiminde yürütülmektedir. Ayrıca Banka tabi olunan mevzuatla belirlenen kuralların yanı sıra misyonuna uygun ve ticari sır niteliği taşımayan hususlarda da kamuyu aydınlatma ilkesini benimsemiştir. </w:t>
      </w:r>
    </w:p>
    <w:p w14:paraId="69600C4A" w14:textId="77777777" w:rsidR="00FA0789" w:rsidRPr="001F224B" w:rsidRDefault="00FA0789" w:rsidP="00FA0789">
      <w:pPr>
        <w:tabs>
          <w:tab w:val="left" w:pos="0"/>
          <w:tab w:val="left" w:pos="567"/>
          <w:tab w:val="left" w:pos="720"/>
          <w:tab w:val="left" w:pos="7455"/>
        </w:tabs>
        <w:spacing w:before="120" w:after="120"/>
        <w:ind w:left="567"/>
        <w:jc w:val="both"/>
        <w:rPr>
          <w:sz w:val="22"/>
          <w:szCs w:val="22"/>
        </w:rPr>
      </w:pPr>
      <w:r w:rsidRPr="001F224B">
        <w:rPr>
          <w:sz w:val="22"/>
          <w:szCs w:val="22"/>
        </w:rPr>
        <w:t>Nisan-Haziran 2025 döneminde;</w:t>
      </w:r>
    </w:p>
    <w:p w14:paraId="24C46992" w14:textId="77777777" w:rsidR="00FA0789" w:rsidRPr="001F224B" w:rsidRDefault="00FA0789" w:rsidP="00FA0789">
      <w:pPr>
        <w:tabs>
          <w:tab w:val="left" w:pos="284"/>
          <w:tab w:val="left" w:pos="567"/>
          <w:tab w:val="left" w:pos="720"/>
          <w:tab w:val="left" w:pos="7455"/>
        </w:tabs>
        <w:spacing w:before="120" w:after="120"/>
        <w:ind w:left="567"/>
        <w:jc w:val="both"/>
        <w:rPr>
          <w:sz w:val="22"/>
          <w:szCs w:val="22"/>
        </w:rPr>
      </w:pPr>
      <w:r w:rsidRPr="001F224B">
        <w:rPr>
          <w:sz w:val="22"/>
          <w:szCs w:val="22"/>
        </w:rPr>
        <w:t>4982 sayılı Bilgi Edinme Hakkı Kanunu ve Uygulamasına İlişkin Esas ve Usuller Hakkında Yönetmelik kapsamında, Bilgi Edinme Birimi’ne başvuru olmamıştır.</w:t>
      </w:r>
    </w:p>
    <w:p w14:paraId="1E12D517" w14:textId="77777777" w:rsidR="00FA0789" w:rsidRPr="001F224B" w:rsidRDefault="00FA0789" w:rsidP="00FA0789">
      <w:pPr>
        <w:tabs>
          <w:tab w:val="left" w:pos="284"/>
          <w:tab w:val="left" w:pos="567"/>
          <w:tab w:val="left" w:pos="720"/>
          <w:tab w:val="left" w:pos="7455"/>
        </w:tabs>
        <w:spacing w:before="120" w:after="120"/>
        <w:ind w:left="567"/>
        <w:jc w:val="both"/>
        <w:rPr>
          <w:sz w:val="22"/>
          <w:szCs w:val="22"/>
        </w:rPr>
      </w:pPr>
      <w:r w:rsidRPr="001F224B">
        <w:rPr>
          <w:sz w:val="22"/>
          <w:szCs w:val="22"/>
        </w:rPr>
        <w:t>20 Mayıs 2006 tarih ve 26055 sayılı Resmî Gazete’de yayımlanan 2006/3 sayılı Başbakanlık Genelgesi çerçevesinde Cumhurbaşkanlığı İletişim Merkezi (CİMER) Doğrudan Cumhurbaşkanlığı sisteminden Nisan-Haziran 2025 döneminde başvuru olmamıştır.</w:t>
      </w:r>
    </w:p>
    <w:p w14:paraId="53859F08" w14:textId="77777777" w:rsidR="00FA0789" w:rsidRPr="001F224B" w:rsidRDefault="00FA0789" w:rsidP="00FA0789">
      <w:pPr>
        <w:tabs>
          <w:tab w:val="left" w:pos="0"/>
          <w:tab w:val="left" w:pos="567"/>
          <w:tab w:val="left" w:pos="720"/>
          <w:tab w:val="left" w:pos="7455"/>
        </w:tabs>
        <w:spacing w:before="120" w:after="120"/>
        <w:ind w:left="567"/>
        <w:jc w:val="both"/>
        <w:rPr>
          <w:b/>
          <w:sz w:val="22"/>
          <w:szCs w:val="22"/>
        </w:rPr>
      </w:pPr>
      <w:r w:rsidRPr="001F224B">
        <w:rPr>
          <w:b/>
          <w:sz w:val="22"/>
          <w:szCs w:val="22"/>
        </w:rPr>
        <w:t xml:space="preserve">4. Özel Durum Açıklamaları          </w:t>
      </w:r>
    </w:p>
    <w:p w14:paraId="4832E147" w14:textId="77777777" w:rsidR="00FA0789" w:rsidRDefault="00FA0789" w:rsidP="00FA0789">
      <w:pPr>
        <w:tabs>
          <w:tab w:val="left" w:pos="0"/>
          <w:tab w:val="left" w:pos="567"/>
          <w:tab w:val="left" w:pos="720"/>
          <w:tab w:val="left" w:pos="7455"/>
        </w:tabs>
        <w:spacing w:before="120" w:after="120"/>
        <w:ind w:left="567"/>
        <w:jc w:val="both"/>
        <w:rPr>
          <w:b/>
          <w:sz w:val="22"/>
          <w:szCs w:val="22"/>
        </w:rPr>
      </w:pPr>
      <w:r w:rsidRPr="001F224B">
        <w:rPr>
          <w:sz w:val="22"/>
          <w:szCs w:val="22"/>
        </w:rPr>
        <w:t>Özel durum açıklamasını gerektiren durumlarda bildirimler zamanında yapılmaktadır. Nisan-Haziran 2025 döneminde Kamuyu Aydınlatma Platformu’nda 19 adet özel durum açıklaması yapılmıştır. Yapılan açıklamalarla ilgili olarak SPK ve Borsa İstanbul tarafından ek açıklama talebi olmamıştır.</w:t>
      </w:r>
      <w:r>
        <w:rPr>
          <w:sz w:val="22"/>
          <w:szCs w:val="22"/>
        </w:rPr>
        <w:t xml:space="preserve"> </w:t>
      </w:r>
    </w:p>
    <w:sectPr w:rsidR="00FA0789" w:rsidSect="00A17FBB">
      <w:headerReference w:type="default" r:id="rId106"/>
      <w:pgSz w:w="11907" w:h="16840" w:code="9"/>
      <w:pgMar w:top="1650" w:right="964" w:bottom="567" w:left="1134" w:header="624"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1FF62" w14:textId="77777777" w:rsidR="00443037" w:rsidRDefault="00443037">
      <w:r>
        <w:separator/>
      </w:r>
    </w:p>
  </w:endnote>
  <w:endnote w:type="continuationSeparator" w:id="0">
    <w:p w14:paraId="04257B6F" w14:textId="77777777" w:rsidR="00443037" w:rsidRDefault="0044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EYInterstate Light">
    <w:altName w:val="Calibri"/>
    <w:charset w:val="A2"/>
    <w:family w:val="auto"/>
    <w:pitch w:val="variable"/>
    <w:sig w:usb0="A00002AF" w:usb1="5000206A" w:usb2="00000000" w:usb3="00000000" w:csb0="0000009F" w:csb1="00000000"/>
  </w:font>
  <w:font w:name="Times New Roman TUR">
    <w:panose1 w:val="02020603050405020304"/>
    <w:charset w:val="A2"/>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TUR">
    <w:panose1 w:val="020B0604020202020204"/>
    <w:charset w:val="A2"/>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Roboto">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F6FC" w14:textId="77777777" w:rsidR="00EE31AA" w:rsidRDefault="00EE31AA" w:rsidP="008769AE">
    <w:pPr>
      <w:pStyle w:val="Footer"/>
      <w:jc w:val="center"/>
    </w:pPr>
  </w:p>
  <w:p w14:paraId="2225263F" w14:textId="77777777" w:rsidR="00EE31AA" w:rsidRDefault="00EE31AA" w:rsidP="008666CC">
    <w:pPr>
      <w:pStyle w:val="Footer"/>
      <w:tabs>
        <w:tab w:val="clear" w:pos="4153"/>
        <w:tab w:val="clear" w:pos="8306"/>
        <w:tab w:val="left" w:pos="7470"/>
      </w:tabs>
    </w:pPr>
    <w:r w:rsidRPr="003670B7">
      <w:rPr>
        <w:rFonts w:ascii="EYInterstate Light" w:hAnsi="EYInterstate Light"/>
        <w:noProof/>
        <w:sz w:val="20"/>
      </w:rPr>
      <mc:AlternateContent>
        <mc:Choice Requires="wps">
          <w:drawing>
            <wp:anchor distT="0" distB="0" distL="114300" distR="114300" simplePos="0" relativeHeight="251669504" behindDoc="1" locked="1" layoutInCell="1" allowOverlap="1" wp14:anchorId="1A37E6CB" wp14:editId="6D9DB982">
              <wp:simplePos x="0" y="0"/>
              <wp:positionH relativeFrom="column">
                <wp:posOffset>0</wp:posOffset>
              </wp:positionH>
              <wp:positionV relativeFrom="page">
                <wp:posOffset>10067290</wp:posOffset>
              </wp:positionV>
              <wp:extent cx="6450965" cy="198120"/>
              <wp:effectExtent l="0" t="0" r="6985" b="1143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CC122" w14:textId="77777777" w:rsidR="00EE31AA" w:rsidRPr="00BD0773" w:rsidRDefault="00EE31AA"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37E6CB" id="_x0000_t202" coordsize="21600,21600" o:spt="202" path="m,l,21600r21600,l21600,xe">
              <v:stroke joinstyle="miter"/>
              <v:path gradientshapeok="t" o:connecttype="rect"/>
            </v:shapetype>
            <v:shape id="Text Box 14" o:spid="_x0000_s1026" type="#_x0000_t202" style="position:absolute;margin-left:0;margin-top:792.7pt;width:507.95pt;height:15.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" filled="f" stroked="f">
              <v:textbox inset="0,0,0,0">
                <w:txbxContent>
                  <w:p w14:paraId="39CCC122" w14:textId="77777777" w:rsidR="00EE31AA" w:rsidRPr="00BD0773" w:rsidRDefault="00EE31AA"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r>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BB565" w14:textId="77777777" w:rsidR="002458B6" w:rsidRDefault="002458B6">
    <w:pPr>
      <w:pStyle w:val="Footer"/>
      <w:jc w:val="center"/>
    </w:pPr>
    <w:r>
      <w:t>2</w:t>
    </w:r>
  </w:p>
  <w:p w14:paraId="4B6AD8E1" w14:textId="77777777" w:rsidR="002458B6" w:rsidRDefault="002458B6">
    <w:pPr>
      <w:pStyle w:val="Footer"/>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25199"/>
      <w:docPartObj>
        <w:docPartGallery w:val="Page Numbers (Bottom of Page)"/>
        <w:docPartUnique/>
      </w:docPartObj>
    </w:sdtPr>
    <w:sdtEndPr>
      <w:rPr>
        <w:noProof/>
      </w:rPr>
    </w:sdtEndPr>
    <w:sdtContent>
      <w:p w14:paraId="4D0DD469" w14:textId="2F3F2A99" w:rsidR="002458B6" w:rsidRDefault="002458B6">
        <w:pPr>
          <w:pStyle w:val="Footer"/>
          <w:jc w:val="center"/>
        </w:pPr>
        <w:r>
          <w:fldChar w:fldCharType="begin"/>
        </w:r>
        <w:r>
          <w:instrText xml:space="preserve"> PAGE   \* MERGEFORMAT </w:instrText>
        </w:r>
        <w:r>
          <w:fldChar w:fldCharType="separate"/>
        </w:r>
        <w:r w:rsidR="00AB0F6B">
          <w:rPr>
            <w:noProof/>
          </w:rPr>
          <w:t>5</w:t>
        </w:r>
        <w:r>
          <w:rPr>
            <w:noProof/>
          </w:rPr>
          <w:fldChar w:fldCharType="end"/>
        </w:r>
      </w:p>
    </w:sdtContent>
  </w:sdt>
  <w:p w14:paraId="269AB0C3" w14:textId="77777777" w:rsidR="002458B6" w:rsidRDefault="002458B6">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573632"/>
      <w:docPartObj>
        <w:docPartGallery w:val="Page Numbers (Bottom of Page)"/>
        <w:docPartUnique/>
      </w:docPartObj>
    </w:sdtPr>
    <w:sdtEndPr/>
    <w:sdtContent>
      <w:p w14:paraId="221F1E73" w14:textId="7410EF04" w:rsidR="002458B6" w:rsidRDefault="002458B6">
        <w:pPr>
          <w:pStyle w:val="Footer"/>
          <w:jc w:val="center"/>
        </w:pPr>
        <w:r>
          <w:fldChar w:fldCharType="begin"/>
        </w:r>
        <w:r>
          <w:instrText>PAGE   \* MERGEFORMAT</w:instrText>
        </w:r>
        <w:r>
          <w:fldChar w:fldCharType="separate"/>
        </w:r>
        <w:r>
          <w:rPr>
            <w:noProof/>
          </w:rPr>
          <w:t>11</w:t>
        </w:r>
        <w:r>
          <w:fldChar w:fldCharType="end"/>
        </w:r>
      </w:p>
    </w:sdtContent>
  </w:sdt>
  <w:p w14:paraId="1EDFF540" w14:textId="77777777" w:rsidR="002458B6" w:rsidRDefault="002458B6" w:rsidP="00B36D6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08655"/>
      <w:docPartObj>
        <w:docPartGallery w:val="Page Numbers (Bottom of Page)"/>
        <w:docPartUnique/>
      </w:docPartObj>
    </w:sdtPr>
    <w:sdtEndPr/>
    <w:sdtContent>
      <w:p w14:paraId="478CAF2A" w14:textId="0D9C04F6" w:rsidR="002458B6" w:rsidRDefault="002458B6">
        <w:pPr>
          <w:pStyle w:val="Footer"/>
          <w:jc w:val="center"/>
        </w:pPr>
        <w:r>
          <w:fldChar w:fldCharType="begin"/>
        </w:r>
        <w:r>
          <w:instrText>PAGE   \* MERGEFORMAT</w:instrText>
        </w:r>
        <w:r>
          <w:fldChar w:fldCharType="separate"/>
        </w:r>
        <w:r w:rsidR="00AB0F6B">
          <w:rPr>
            <w:noProof/>
          </w:rPr>
          <w:t>6</w:t>
        </w:r>
        <w:r>
          <w:fldChar w:fldCharType="end"/>
        </w:r>
      </w:p>
    </w:sdtContent>
  </w:sdt>
  <w:p w14:paraId="7B28C3DB" w14:textId="77777777" w:rsidR="002458B6" w:rsidRDefault="002458B6">
    <w:pPr>
      <w:pStyle w:val="Footer"/>
      <w:jc w:val="cen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951591"/>
      <w:docPartObj>
        <w:docPartGallery w:val="Page Numbers (Bottom of Page)"/>
        <w:docPartUnique/>
      </w:docPartObj>
    </w:sdtPr>
    <w:sdtEndPr>
      <w:rPr>
        <w:noProof/>
      </w:rPr>
    </w:sdtEndPr>
    <w:sdtContent>
      <w:p w14:paraId="234D0CA8" w14:textId="5F82E9B7" w:rsidR="002458B6" w:rsidRDefault="002458B6">
        <w:pPr>
          <w:pStyle w:val="Footer"/>
          <w:jc w:val="center"/>
        </w:pPr>
        <w:r>
          <w:fldChar w:fldCharType="begin"/>
        </w:r>
        <w:r>
          <w:instrText xml:space="preserve"> PAGE   \* MERGEFORMAT </w:instrText>
        </w:r>
        <w:r>
          <w:fldChar w:fldCharType="separate"/>
        </w:r>
        <w:r w:rsidR="00AB0F6B">
          <w:rPr>
            <w:noProof/>
          </w:rPr>
          <w:t>7</w:t>
        </w:r>
        <w:r>
          <w:rPr>
            <w:noProof/>
          </w:rPr>
          <w:fldChar w:fldCharType="end"/>
        </w:r>
      </w:p>
    </w:sdtContent>
  </w:sdt>
  <w:p w14:paraId="5DEB4C04" w14:textId="77777777" w:rsidR="002458B6" w:rsidRDefault="002458B6">
    <w:pPr>
      <w:pStyle w:val="Footer"/>
      <w:jc w:val="cen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438815"/>
      <w:docPartObj>
        <w:docPartGallery w:val="Page Numbers (Bottom of Page)"/>
        <w:docPartUnique/>
      </w:docPartObj>
    </w:sdtPr>
    <w:sdtEndPr>
      <w:rPr>
        <w:noProof/>
      </w:rPr>
    </w:sdtEndPr>
    <w:sdtContent>
      <w:p w14:paraId="06EDD96C" w14:textId="25CF2EE6" w:rsidR="002458B6" w:rsidRDefault="002458B6">
        <w:pPr>
          <w:pStyle w:val="Footer"/>
          <w:jc w:val="center"/>
        </w:pPr>
        <w:r>
          <w:fldChar w:fldCharType="begin"/>
        </w:r>
        <w:r>
          <w:instrText xml:space="preserve"> PAGE   \* MERGEFORMAT </w:instrText>
        </w:r>
        <w:r>
          <w:fldChar w:fldCharType="separate"/>
        </w:r>
        <w:r w:rsidR="00AB0F6B">
          <w:rPr>
            <w:noProof/>
          </w:rPr>
          <w:t>8</w:t>
        </w:r>
        <w:r>
          <w:rPr>
            <w:noProof/>
          </w:rPr>
          <w:fldChar w:fldCharType="end"/>
        </w:r>
      </w:p>
    </w:sdtContent>
  </w:sdt>
  <w:p w14:paraId="6DBAC92A" w14:textId="77777777" w:rsidR="002458B6" w:rsidRDefault="002458B6">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076098"/>
      <w:docPartObj>
        <w:docPartGallery w:val="Page Numbers (Bottom of Page)"/>
        <w:docPartUnique/>
      </w:docPartObj>
    </w:sdtPr>
    <w:sdtEndPr>
      <w:rPr>
        <w:noProof/>
      </w:rPr>
    </w:sdtEndPr>
    <w:sdtContent>
      <w:p w14:paraId="0B61C4F0" w14:textId="4107345B" w:rsidR="002458B6" w:rsidRDefault="002458B6">
        <w:pPr>
          <w:pStyle w:val="Footer"/>
          <w:jc w:val="center"/>
        </w:pPr>
        <w:r>
          <w:fldChar w:fldCharType="begin"/>
        </w:r>
        <w:r>
          <w:instrText xml:space="preserve"> PAGE   \* MERGEFORMAT </w:instrText>
        </w:r>
        <w:r>
          <w:fldChar w:fldCharType="separate"/>
        </w:r>
        <w:r w:rsidR="00AB0F6B">
          <w:rPr>
            <w:noProof/>
          </w:rPr>
          <w:t>9</w:t>
        </w:r>
        <w:r>
          <w:rPr>
            <w:noProof/>
          </w:rPr>
          <w:fldChar w:fldCharType="end"/>
        </w:r>
      </w:p>
    </w:sdtContent>
  </w:sdt>
  <w:p w14:paraId="40CCE03D" w14:textId="77777777" w:rsidR="002458B6" w:rsidRDefault="002458B6">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465823"/>
      <w:docPartObj>
        <w:docPartGallery w:val="Page Numbers (Bottom of Page)"/>
        <w:docPartUnique/>
      </w:docPartObj>
    </w:sdtPr>
    <w:sdtEndPr>
      <w:rPr>
        <w:noProof/>
      </w:rPr>
    </w:sdtEndPr>
    <w:sdtContent>
      <w:p w14:paraId="13683EAB" w14:textId="0B036E9B" w:rsidR="002458B6" w:rsidRDefault="002458B6">
        <w:pPr>
          <w:pStyle w:val="Footer"/>
          <w:jc w:val="center"/>
        </w:pPr>
        <w:r>
          <w:fldChar w:fldCharType="begin"/>
        </w:r>
        <w:r>
          <w:instrText xml:space="preserve"> PAGE   \* MERGEFORMAT </w:instrText>
        </w:r>
        <w:r>
          <w:fldChar w:fldCharType="separate"/>
        </w:r>
        <w:r w:rsidR="00AB0F6B">
          <w:rPr>
            <w:noProof/>
          </w:rPr>
          <w:t>10</w:t>
        </w:r>
        <w:r>
          <w:rPr>
            <w:noProof/>
          </w:rPr>
          <w:fldChar w:fldCharType="end"/>
        </w:r>
      </w:p>
    </w:sdtContent>
  </w:sdt>
  <w:p w14:paraId="2138DDF2" w14:textId="77777777" w:rsidR="002458B6" w:rsidRDefault="002458B6">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020455"/>
      <w:docPartObj>
        <w:docPartGallery w:val="Page Numbers (Bottom of Page)"/>
        <w:docPartUnique/>
      </w:docPartObj>
    </w:sdtPr>
    <w:sdtEndPr>
      <w:rPr>
        <w:noProof/>
      </w:rPr>
    </w:sdtEndPr>
    <w:sdtContent>
      <w:p w14:paraId="25CAB35C" w14:textId="67F93877" w:rsidR="002458B6" w:rsidRDefault="002458B6">
        <w:pPr>
          <w:pStyle w:val="Footer"/>
          <w:jc w:val="center"/>
        </w:pPr>
        <w:r>
          <w:fldChar w:fldCharType="begin"/>
        </w:r>
        <w:r>
          <w:instrText xml:space="preserve"> PAGE   \* MERGEFORMAT </w:instrText>
        </w:r>
        <w:r>
          <w:fldChar w:fldCharType="separate"/>
        </w:r>
        <w:r w:rsidR="00AB0F6B">
          <w:rPr>
            <w:noProof/>
          </w:rPr>
          <w:t>37</w:t>
        </w:r>
        <w:r>
          <w:rPr>
            <w:noProof/>
          </w:rPr>
          <w:fldChar w:fldCharType="end"/>
        </w:r>
      </w:p>
    </w:sdtContent>
  </w:sdt>
  <w:p w14:paraId="6C4FA90F" w14:textId="77777777" w:rsidR="002458B6" w:rsidRPr="003625A2" w:rsidRDefault="002458B6" w:rsidP="00DB5AA2">
    <w:pPr>
      <w:pStyle w:val="Footer"/>
      <w:rPr>
        <w:noProof/>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585230"/>
      <w:docPartObj>
        <w:docPartGallery w:val="Page Numbers (Bottom of Page)"/>
        <w:docPartUnique/>
      </w:docPartObj>
    </w:sdtPr>
    <w:sdtEndPr>
      <w:rPr>
        <w:noProof/>
      </w:rPr>
    </w:sdtEndPr>
    <w:sdtContent>
      <w:p w14:paraId="2F89A45F" w14:textId="77777777" w:rsidR="00682C72" w:rsidRDefault="00682C72">
        <w:pPr>
          <w:pStyle w:val="Footer"/>
          <w:jc w:val="center"/>
        </w:pPr>
        <w:r>
          <w:fldChar w:fldCharType="begin"/>
        </w:r>
        <w:r>
          <w:instrText xml:space="preserve"> PAGE   \* MERGEFORMAT </w:instrText>
        </w:r>
        <w:r>
          <w:fldChar w:fldCharType="separate"/>
        </w:r>
        <w:r>
          <w:rPr>
            <w:noProof/>
          </w:rPr>
          <w:t>37</w:t>
        </w:r>
        <w:r>
          <w:rPr>
            <w:noProof/>
          </w:rPr>
          <w:fldChar w:fldCharType="end"/>
        </w:r>
      </w:p>
    </w:sdtContent>
  </w:sdt>
  <w:p w14:paraId="4E739D51" w14:textId="77777777" w:rsidR="00682C72" w:rsidRPr="003625A2" w:rsidRDefault="00682C72" w:rsidP="00DB5AA2">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05A1" w14:textId="77777777" w:rsidR="002458B6" w:rsidRDefault="002458B6" w:rsidP="008769AE">
    <w:pPr>
      <w:pStyle w:val="Footer"/>
      <w:jc w:val="center"/>
    </w:pPr>
  </w:p>
  <w:p w14:paraId="243EBD18" w14:textId="77777777" w:rsidR="002458B6" w:rsidRDefault="002458B6" w:rsidP="008666CC">
    <w:pPr>
      <w:pStyle w:val="Footer"/>
      <w:tabs>
        <w:tab w:val="clear" w:pos="4153"/>
        <w:tab w:val="clear" w:pos="8306"/>
        <w:tab w:val="left" w:pos="7470"/>
      </w:tabs>
    </w:pPr>
    <w:r>
      <w:tab/>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365663"/>
      <w:docPartObj>
        <w:docPartGallery w:val="Page Numbers (Bottom of Page)"/>
        <w:docPartUnique/>
      </w:docPartObj>
    </w:sdtPr>
    <w:sdtEndPr>
      <w:rPr>
        <w:noProof/>
      </w:rPr>
    </w:sdtEndPr>
    <w:sdtContent>
      <w:p w14:paraId="23AB1461" w14:textId="58279E1B" w:rsidR="002458B6" w:rsidRDefault="002458B6">
        <w:pPr>
          <w:pStyle w:val="Footer"/>
          <w:jc w:val="center"/>
        </w:pPr>
        <w:r>
          <w:fldChar w:fldCharType="begin"/>
        </w:r>
        <w:r>
          <w:instrText xml:space="preserve"> PAGE   \* MERGEFORMAT </w:instrText>
        </w:r>
        <w:r>
          <w:fldChar w:fldCharType="separate"/>
        </w:r>
        <w:r w:rsidR="00C06C4E">
          <w:rPr>
            <w:noProof/>
          </w:rPr>
          <w:t>52</w:t>
        </w:r>
        <w:r>
          <w:rPr>
            <w:noProof/>
          </w:rPr>
          <w:fldChar w:fldCharType="end"/>
        </w:r>
      </w:p>
    </w:sdtContent>
  </w:sdt>
  <w:p w14:paraId="7539A367" w14:textId="77777777" w:rsidR="002458B6" w:rsidRPr="003625A2" w:rsidRDefault="002458B6" w:rsidP="00DB5AA2">
    <w:pPr>
      <w:pStyle w:val="Footer"/>
      <w:rPr>
        <w:noProof/>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474484"/>
      <w:docPartObj>
        <w:docPartGallery w:val="Page Numbers (Bottom of Page)"/>
        <w:docPartUnique/>
      </w:docPartObj>
    </w:sdtPr>
    <w:sdtEndPr>
      <w:rPr>
        <w:noProof/>
      </w:rPr>
    </w:sdtEndPr>
    <w:sdtContent>
      <w:p w14:paraId="0CDA25DE" w14:textId="77777777" w:rsidR="00C0079B" w:rsidRDefault="00C0079B">
        <w:pPr>
          <w:pStyle w:val="Footer"/>
          <w:jc w:val="center"/>
        </w:pPr>
        <w:r>
          <w:fldChar w:fldCharType="begin"/>
        </w:r>
        <w:r>
          <w:instrText xml:space="preserve"> PAGE   \* MERGEFORMAT </w:instrText>
        </w:r>
        <w:r>
          <w:fldChar w:fldCharType="separate"/>
        </w:r>
        <w:r>
          <w:rPr>
            <w:noProof/>
          </w:rPr>
          <w:t>53</w:t>
        </w:r>
        <w:r>
          <w:rPr>
            <w:noProof/>
          </w:rPr>
          <w:fldChar w:fldCharType="end"/>
        </w:r>
      </w:p>
    </w:sdtContent>
  </w:sdt>
  <w:p w14:paraId="27EB5C3D" w14:textId="77777777" w:rsidR="00C0079B" w:rsidRPr="003625A2" w:rsidRDefault="00C0079B" w:rsidP="00DB5AA2">
    <w:pPr>
      <w:pStyle w:val="Footer"/>
      <w:rPr>
        <w:noProof/>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50660"/>
      <w:docPartObj>
        <w:docPartGallery w:val="Page Numbers (Bottom of Page)"/>
        <w:docPartUnique/>
      </w:docPartObj>
    </w:sdtPr>
    <w:sdtEndPr>
      <w:rPr>
        <w:noProof/>
      </w:rPr>
    </w:sdtEndPr>
    <w:sdtContent>
      <w:p w14:paraId="60E43B02" w14:textId="43CEA879" w:rsidR="002458B6" w:rsidRDefault="002458B6">
        <w:pPr>
          <w:pStyle w:val="Footer"/>
          <w:jc w:val="center"/>
        </w:pPr>
        <w:r>
          <w:fldChar w:fldCharType="begin"/>
        </w:r>
        <w:r>
          <w:instrText xml:space="preserve"> PAGE   \* MERGEFORMAT </w:instrText>
        </w:r>
        <w:r>
          <w:fldChar w:fldCharType="separate"/>
        </w:r>
        <w:r w:rsidR="0062764E">
          <w:rPr>
            <w:noProof/>
          </w:rPr>
          <w:t>64</w:t>
        </w:r>
        <w:r>
          <w:rPr>
            <w:noProof/>
          </w:rPr>
          <w:fldChar w:fldCharType="end"/>
        </w:r>
      </w:p>
    </w:sdtContent>
  </w:sdt>
  <w:p w14:paraId="2EB8A4ED" w14:textId="77777777" w:rsidR="002458B6" w:rsidRPr="003625A2" w:rsidRDefault="002458B6" w:rsidP="00DB5AA2">
    <w:pPr>
      <w:pStyle w:val="Footer"/>
      <w:rPr>
        <w:noProof/>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35701"/>
      <w:docPartObj>
        <w:docPartGallery w:val="Page Numbers (Bottom of Page)"/>
        <w:docPartUnique/>
      </w:docPartObj>
    </w:sdtPr>
    <w:sdtEndPr>
      <w:rPr>
        <w:noProof/>
      </w:rPr>
    </w:sdtEndPr>
    <w:sdtContent>
      <w:p w14:paraId="05BFD450" w14:textId="6C773515" w:rsidR="002458B6" w:rsidRDefault="002458B6">
        <w:pPr>
          <w:pStyle w:val="Footer"/>
          <w:jc w:val="center"/>
        </w:pPr>
        <w:r>
          <w:fldChar w:fldCharType="begin"/>
        </w:r>
        <w:r>
          <w:instrText xml:space="preserve"> PAGE   \* MERGEFORMAT </w:instrText>
        </w:r>
        <w:r>
          <w:fldChar w:fldCharType="separate"/>
        </w:r>
        <w:r w:rsidR="0062764E">
          <w:rPr>
            <w:noProof/>
          </w:rPr>
          <w:t>69</w:t>
        </w:r>
        <w:r>
          <w:rPr>
            <w:noProof/>
          </w:rPr>
          <w:fldChar w:fldCharType="end"/>
        </w:r>
      </w:p>
    </w:sdtContent>
  </w:sdt>
  <w:p w14:paraId="2B40A927" w14:textId="77777777" w:rsidR="002458B6" w:rsidRPr="003625A2" w:rsidRDefault="002458B6" w:rsidP="00DB5AA2">
    <w:pPr>
      <w:pStyle w:val="Footer"/>
      <w:rPr>
        <w:noProof/>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73621"/>
      <w:docPartObj>
        <w:docPartGallery w:val="Page Numbers (Bottom of Page)"/>
        <w:docPartUnique/>
      </w:docPartObj>
    </w:sdtPr>
    <w:sdtEndPr>
      <w:rPr>
        <w:noProof/>
      </w:rPr>
    </w:sdtEndPr>
    <w:sdtContent>
      <w:p w14:paraId="1B717B14" w14:textId="77777777" w:rsidR="001E3833" w:rsidRDefault="001E3833">
        <w:pPr>
          <w:pStyle w:val="Footer"/>
          <w:jc w:val="center"/>
        </w:pPr>
        <w:r>
          <w:fldChar w:fldCharType="begin"/>
        </w:r>
        <w:r>
          <w:instrText xml:space="preserve"> PAGE   \* MERGEFORMAT </w:instrText>
        </w:r>
        <w:r>
          <w:fldChar w:fldCharType="separate"/>
        </w:r>
        <w:r>
          <w:rPr>
            <w:noProof/>
          </w:rPr>
          <w:t>137</w:t>
        </w:r>
        <w:r>
          <w:rPr>
            <w:noProof/>
          </w:rPr>
          <w:fldChar w:fldCharType="end"/>
        </w:r>
      </w:p>
    </w:sdtContent>
  </w:sdt>
  <w:p w14:paraId="6B8B73B9" w14:textId="77777777" w:rsidR="001E3833" w:rsidRDefault="001E3833" w:rsidP="00B36D66">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EA77" w14:textId="77777777" w:rsidR="001E3833" w:rsidRPr="00C85C8E" w:rsidRDefault="001E3833" w:rsidP="00C85C8E">
    <w:pPr>
      <w:pStyle w:val="Footer"/>
    </w:pPr>
    <w:r>
      <w:ptab w:relativeTo="margin" w:alignment="center" w:leader="none"/>
    </w:r>
    <w:r w:rsidRPr="00AD669A">
      <w:fldChar w:fldCharType="begin"/>
    </w:r>
    <w:r w:rsidRPr="00AD669A">
      <w:instrText>PAGE   \* MERGEFORMAT</w:instrText>
    </w:r>
    <w:r w:rsidRPr="00AD669A">
      <w:fldChar w:fldCharType="separate"/>
    </w:r>
    <w:r>
      <w:rPr>
        <w:noProof/>
      </w:rPr>
      <w:t>101</w:t>
    </w:r>
    <w:r w:rsidRPr="00AD669A">
      <w:fldChar w:fldCharType="end"/>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6CB6C" w14:textId="77777777" w:rsidR="00407D2D" w:rsidRDefault="00407D2D">
    <w:pPr>
      <w:pStyle w:val="Footer"/>
    </w:pPr>
    <w:r w:rsidRPr="004B7B40">
      <w:rPr>
        <w:rFonts w:ascii="EYInterstate Light" w:hAnsi="EYInterstate Light"/>
        <w:noProof/>
        <w:sz w:val="20"/>
      </w:rPr>
      <mc:AlternateContent>
        <mc:Choice Requires="wps">
          <w:drawing>
            <wp:anchor distT="0" distB="0" distL="114300" distR="114300" simplePos="0" relativeHeight="251673600" behindDoc="1" locked="1" layoutInCell="1" allowOverlap="1" wp14:anchorId="461DEE87" wp14:editId="05549321">
              <wp:simplePos x="0" y="0"/>
              <wp:positionH relativeFrom="column">
                <wp:posOffset>0</wp:posOffset>
              </wp:positionH>
              <wp:positionV relativeFrom="page">
                <wp:posOffset>10066655</wp:posOffset>
              </wp:positionV>
              <wp:extent cx="6450965" cy="198120"/>
              <wp:effectExtent l="0" t="0" r="6985" b="11430"/>
              <wp:wrapNone/>
              <wp:docPr id="4608801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46B0B" w14:textId="77777777" w:rsidR="00407D2D" w:rsidRPr="00BD0773" w:rsidRDefault="00407D2D" w:rsidP="004B7B40">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1DEE87" id="_x0000_t202" coordsize="21600,21600" o:spt="202" path="m,l,21600r21600,l21600,xe">
              <v:stroke joinstyle="miter"/>
              <v:path gradientshapeok="t" o:connecttype="rect"/>
            </v:shapetype>
            <v:shape id="_x0000_s1028" type="#_x0000_t202" style="position:absolute;margin-left:0;margin-top:792.65pt;width:507.95pt;height:15.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" filled="f" stroked="f">
              <v:textbox inset="0,0,0,0">
                <w:txbxContent>
                  <w:p w14:paraId="2BC46B0B" w14:textId="77777777" w:rsidR="00407D2D" w:rsidRPr="00BD0773" w:rsidRDefault="00407D2D" w:rsidP="004B7B40">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6EC14" w14:textId="5D160673" w:rsidR="004C4A96" w:rsidRPr="004C4A96" w:rsidRDefault="004C4A96" w:rsidP="004C4A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84E6B" w14:textId="77777777" w:rsidR="002F096D" w:rsidRPr="002F096D" w:rsidRDefault="002F096D" w:rsidP="002F096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640107"/>
      <w:docPartObj>
        <w:docPartGallery w:val="Page Numbers (Bottom of Page)"/>
        <w:docPartUnique/>
      </w:docPartObj>
    </w:sdtPr>
    <w:sdtEndPr>
      <w:rPr>
        <w:noProof/>
      </w:rPr>
    </w:sdtEndPr>
    <w:sdtContent>
      <w:p w14:paraId="0B493D4E" w14:textId="77777777" w:rsidR="002458B6" w:rsidRDefault="002458B6">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13C19C66" w14:textId="77777777" w:rsidR="002458B6" w:rsidRDefault="002458B6" w:rsidP="00383E14">
    <w:pPr>
      <w:pStyle w:val="Footer"/>
      <w:tabs>
        <w:tab w:val="clear" w:pos="4153"/>
        <w:tab w:val="clear" w:pos="8306"/>
        <w:tab w:val="left" w:pos="5580"/>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127796"/>
      <w:docPartObj>
        <w:docPartGallery w:val="Page Numbers (Bottom of Page)"/>
        <w:docPartUnique/>
      </w:docPartObj>
    </w:sdtPr>
    <w:sdtEndPr>
      <w:rPr>
        <w:noProof/>
      </w:rPr>
    </w:sdtEndPr>
    <w:sdtContent>
      <w:p w14:paraId="7627B571" w14:textId="77777777" w:rsidR="002458B6" w:rsidRDefault="002458B6">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C68A5D6" w14:textId="77777777" w:rsidR="002458B6" w:rsidRDefault="002458B6" w:rsidP="00B36D6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29632"/>
      <w:docPartObj>
        <w:docPartGallery w:val="Page Numbers (Bottom of Page)"/>
        <w:docPartUnique/>
      </w:docPartObj>
    </w:sdtPr>
    <w:sdtEndPr>
      <w:rPr>
        <w:noProof/>
      </w:rPr>
    </w:sdtEndPr>
    <w:sdtContent>
      <w:p w14:paraId="56D56F8F" w14:textId="64B922C4" w:rsidR="002458B6" w:rsidRDefault="002458B6">
        <w:pPr>
          <w:pStyle w:val="Footer"/>
          <w:jc w:val="center"/>
        </w:pPr>
        <w:r>
          <w:fldChar w:fldCharType="begin"/>
        </w:r>
        <w:r>
          <w:instrText xml:space="preserve"> PAGE   \* MERGEFORMAT </w:instrText>
        </w:r>
        <w:r>
          <w:fldChar w:fldCharType="separate"/>
        </w:r>
        <w:r w:rsidR="00AB0F6B">
          <w:rPr>
            <w:noProof/>
          </w:rPr>
          <w:t>1</w:t>
        </w:r>
        <w:r>
          <w:rPr>
            <w:noProof/>
          </w:rPr>
          <w:fldChar w:fldCharType="end"/>
        </w:r>
      </w:p>
    </w:sdtContent>
  </w:sdt>
  <w:p w14:paraId="5525A341" w14:textId="77777777" w:rsidR="002458B6" w:rsidRDefault="002458B6">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953133"/>
      <w:docPartObj>
        <w:docPartGallery w:val="Page Numbers (Bottom of Page)"/>
        <w:docPartUnique/>
      </w:docPartObj>
    </w:sdtPr>
    <w:sdtEndPr>
      <w:rPr>
        <w:noProof/>
      </w:rPr>
    </w:sdtEndPr>
    <w:sdtContent>
      <w:p w14:paraId="3C86FC9E" w14:textId="59090A56" w:rsidR="002458B6" w:rsidRDefault="002458B6">
        <w:pPr>
          <w:pStyle w:val="Footer"/>
          <w:jc w:val="center"/>
        </w:pPr>
        <w:r>
          <w:fldChar w:fldCharType="begin"/>
        </w:r>
        <w:r>
          <w:instrText xml:space="preserve"> PAGE   \* MERGEFORMAT </w:instrText>
        </w:r>
        <w:r>
          <w:fldChar w:fldCharType="separate"/>
        </w:r>
        <w:r w:rsidR="00AB0F6B">
          <w:rPr>
            <w:noProof/>
          </w:rPr>
          <w:t>3</w:t>
        </w:r>
        <w:r>
          <w:rPr>
            <w:noProof/>
          </w:rPr>
          <w:fldChar w:fldCharType="end"/>
        </w:r>
      </w:p>
    </w:sdtContent>
  </w:sdt>
  <w:p w14:paraId="21961B08" w14:textId="77777777" w:rsidR="002458B6" w:rsidRDefault="002458B6" w:rsidP="00B36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26674" w14:textId="77777777" w:rsidR="00443037" w:rsidRDefault="00443037">
      <w:r>
        <w:separator/>
      </w:r>
    </w:p>
  </w:footnote>
  <w:footnote w:type="continuationSeparator" w:id="0">
    <w:p w14:paraId="4E2924A7" w14:textId="77777777" w:rsidR="00443037" w:rsidRDefault="00443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A7DEF" w14:textId="77777777" w:rsidR="00EE31AA" w:rsidRPr="00BB3048" w:rsidRDefault="00EE31AA"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DBEC0" w14:textId="77777777" w:rsidR="002458B6" w:rsidRPr="007D12F0" w:rsidRDefault="002458B6" w:rsidP="007D12F0">
    <w:pPr>
      <w:pStyle w:val="Header"/>
      <w:tabs>
        <w:tab w:val="clear" w:pos="4153"/>
        <w:tab w:val="clear" w:pos="8306"/>
        <w:tab w:val="left" w:pos="7655"/>
        <w:tab w:val="right" w:pos="9809"/>
      </w:tabs>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3E80" w14:textId="77777777" w:rsidR="002458B6" w:rsidRDefault="002458B6" w:rsidP="00921861">
    <w:pPr>
      <w:pStyle w:val="Header"/>
      <w:tabs>
        <w:tab w:val="clear" w:pos="4153"/>
        <w:tab w:val="clear" w:pos="8306"/>
        <w:tab w:val="left" w:pos="7655"/>
      </w:tabs>
      <w:rPr>
        <w:b/>
        <w:bCs/>
        <w:sz w:val="20"/>
        <w:szCs w:val="20"/>
      </w:rPr>
    </w:pPr>
    <w:r>
      <w:rPr>
        <w:b/>
        <w:bCs/>
        <w:sz w:val="20"/>
        <w:szCs w:val="20"/>
      </w:rPr>
      <w:t>TÜRKİYE KALKINMA VE YATIRIM BANKASI A.Ş.</w:t>
    </w:r>
  </w:p>
  <w:p w14:paraId="04D25B2B" w14:textId="77777777" w:rsidR="002458B6" w:rsidRDefault="002458B6" w:rsidP="00921861">
    <w:pPr>
      <w:pStyle w:val="Header"/>
      <w:tabs>
        <w:tab w:val="clear" w:pos="4153"/>
        <w:tab w:val="clear" w:pos="8306"/>
        <w:tab w:val="left" w:pos="7655"/>
      </w:tabs>
      <w:rPr>
        <w:b/>
        <w:bCs/>
        <w:sz w:val="20"/>
        <w:szCs w:val="20"/>
      </w:rPr>
    </w:pPr>
    <w:r>
      <w:rPr>
        <w:b/>
        <w:bCs/>
        <w:sz w:val="20"/>
        <w:szCs w:val="20"/>
      </w:rPr>
      <w:t>31 Mart 2019 Tarihi İtibarıyla Konsolide Olmayan</w:t>
    </w:r>
  </w:p>
  <w:p w14:paraId="1500299C" w14:textId="77777777" w:rsidR="002458B6" w:rsidRDefault="002458B6"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424906DC" w14:textId="77777777" w:rsidR="002458B6" w:rsidRDefault="002458B6" w:rsidP="006B6CE6">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069900D0" w14:textId="77777777" w:rsidR="002458B6" w:rsidRPr="0070331E" w:rsidRDefault="002458B6" w:rsidP="00921861">
    <w:pPr>
      <w:pStyle w:val="Header"/>
      <w:tabs>
        <w:tab w:val="clear" w:pos="4153"/>
        <w:tab w:val="clear" w:pos="8306"/>
        <w:tab w:val="left" w:pos="7655"/>
        <w:tab w:val="right" w:pos="9809"/>
      </w:tabs>
      <w:rPr>
        <w:sz w:val="16"/>
        <w:szCs w:val="16"/>
      </w:rPr>
    </w:pPr>
    <w:r w:rsidRPr="00BB3048" w:rsidDel="006B6CE6">
      <w:rPr>
        <w:sz w:val="20"/>
        <w:szCs w:val="20"/>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939" w14:textId="77777777" w:rsidR="002458B6" w:rsidRDefault="002458B6" w:rsidP="007D12F0">
    <w:pPr>
      <w:pStyle w:val="Header"/>
      <w:tabs>
        <w:tab w:val="clear" w:pos="4153"/>
        <w:tab w:val="clear" w:pos="8306"/>
        <w:tab w:val="left" w:pos="7655"/>
      </w:tabs>
      <w:rPr>
        <w:b/>
        <w:bCs/>
        <w:sz w:val="20"/>
        <w:szCs w:val="20"/>
      </w:rPr>
    </w:pPr>
    <w:r>
      <w:rPr>
        <w:b/>
        <w:bCs/>
        <w:sz w:val="20"/>
        <w:szCs w:val="20"/>
      </w:rPr>
      <w:t>TÜRKİYE KALKINMA VE YATIRIM BANKASI A.Ş.</w:t>
    </w:r>
  </w:p>
  <w:p w14:paraId="2003F474" w14:textId="7DDC9F05" w:rsidR="002458B6" w:rsidRDefault="00A1696E" w:rsidP="007D12F0">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1363AC">
      <w:rPr>
        <w:b/>
        <w:bCs/>
        <w:sz w:val="20"/>
        <w:szCs w:val="20"/>
      </w:rPr>
      <w:t xml:space="preserve"> </w:t>
    </w:r>
    <w:r w:rsidR="002458B6">
      <w:rPr>
        <w:b/>
        <w:bCs/>
        <w:sz w:val="20"/>
        <w:szCs w:val="20"/>
      </w:rPr>
      <w:t>202</w:t>
    </w:r>
    <w:r w:rsidR="009D78E1">
      <w:rPr>
        <w:b/>
        <w:bCs/>
        <w:sz w:val="20"/>
        <w:szCs w:val="20"/>
      </w:rPr>
      <w:t>5</w:t>
    </w:r>
    <w:r w:rsidR="002458B6">
      <w:rPr>
        <w:b/>
        <w:bCs/>
        <w:sz w:val="20"/>
        <w:szCs w:val="20"/>
      </w:rPr>
      <w:t xml:space="preserve"> Tarihi İtibarıyla </w:t>
    </w:r>
  </w:p>
  <w:p w14:paraId="52C5CA53" w14:textId="76201667" w:rsidR="002458B6" w:rsidRDefault="002458B6" w:rsidP="007D12F0">
    <w:pPr>
      <w:pStyle w:val="Header"/>
      <w:tabs>
        <w:tab w:val="clear" w:pos="4153"/>
        <w:tab w:val="clear" w:pos="8306"/>
        <w:tab w:val="left" w:pos="7159"/>
        <w:tab w:val="left" w:pos="7655"/>
      </w:tabs>
      <w:rPr>
        <w:b/>
        <w:bCs/>
        <w:sz w:val="20"/>
        <w:szCs w:val="20"/>
      </w:rPr>
    </w:pPr>
    <w:r>
      <w:rPr>
        <w:b/>
        <w:bCs/>
        <w:sz w:val="20"/>
        <w:szCs w:val="20"/>
      </w:rPr>
      <w:t>Konsolide Bilanço (Finansal Durum Tablosu)</w:t>
    </w:r>
    <w:r>
      <w:rPr>
        <w:b/>
        <w:bCs/>
        <w:sz w:val="20"/>
        <w:szCs w:val="20"/>
      </w:rPr>
      <w:tab/>
    </w:r>
    <w:r>
      <w:rPr>
        <w:b/>
        <w:bCs/>
        <w:sz w:val="20"/>
        <w:szCs w:val="20"/>
      </w:rPr>
      <w:tab/>
    </w:r>
  </w:p>
  <w:p w14:paraId="6F552D8B" w14:textId="5CE444F3" w:rsidR="002458B6" w:rsidRPr="007D12F0" w:rsidRDefault="002458B6" w:rsidP="007D12F0">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060D"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0B33FC4A" w14:textId="426AE0AE" w:rsidR="002458B6" w:rsidRDefault="00A1696E" w:rsidP="000F1584">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1363AC">
      <w:rPr>
        <w:b/>
        <w:bCs/>
        <w:sz w:val="20"/>
        <w:szCs w:val="20"/>
      </w:rPr>
      <w:t xml:space="preserve"> 202</w:t>
    </w:r>
    <w:r w:rsidR="009D78E1">
      <w:rPr>
        <w:b/>
        <w:bCs/>
        <w:sz w:val="20"/>
        <w:szCs w:val="20"/>
      </w:rPr>
      <w:t>5</w:t>
    </w:r>
    <w:r w:rsidR="001363AC">
      <w:rPr>
        <w:b/>
        <w:bCs/>
        <w:sz w:val="20"/>
        <w:szCs w:val="20"/>
      </w:rPr>
      <w:t xml:space="preserve"> </w:t>
    </w:r>
    <w:r w:rsidR="002458B6">
      <w:rPr>
        <w:b/>
        <w:bCs/>
        <w:sz w:val="20"/>
        <w:szCs w:val="20"/>
      </w:rPr>
      <w:t xml:space="preserve">Tarihi İtibarıyla </w:t>
    </w:r>
  </w:p>
  <w:p w14:paraId="64625502" w14:textId="480876B0" w:rsidR="002458B6" w:rsidRDefault="002458B6" w:rsidP="000F1584">
    <w:pPr>
      <w:pStyle w:val="Header"/>
      <w:tabs>
        <w:tab w:val="clear" w:pos="4153"/>
        <w:tab w:val="clear" w:pos="8306"/>
        <w:tab w:val="left" w:pos="7159"/>
        <w:tab w:val="left" w:pos="7655"/>
      </w:tabs>
      <w:rPr>
        <w:b/>
        <w:bCs/>
        <w:sz w:val="20"/>
        <w:szCs w:val="20"/>
      </w:rPr>
    </w:pPr>
    <w:r>
      <w:rPr>
        <w:b/>
        <w:bCs/>
        <w:sz w:val="20"/>
        <w:szCs w:val="20"/>
      </w:rPr>
      <w:t>Konsolide Bilanço (Finansal Durum Tablosu)</w:t>
    </w:r>
    <w:r>
      <w:rPr>
        <w:b/>
        <w:bCs/>
        <w:sz w:val="20"/>
        <w:szCs w:val="20"/>
      </w:rPr>
      <w:tab/>
    </w:r>
    <w:r>
      <w:rPr>
        <w:b/>
        <w:bCs/>
        <w:sz w:val="20"/>
        <w:szCs w:val="20"/>
      </w:rPr>
      <w:tab/>
    </w:r>
  </w:p>
  <w:p w14:paraId="2B641B6C"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3A7CD514" w14:textId="77777777" w:rsidR="002458B6" w:rsidRPr="00B36D66" w:rsidRDefault="002458B6" w:rsidP="000F1584">
    <w:pPr>
      <w:pStyle w:val="Header"/>
    </w:pPr>
    <w:r w:rsidRPr="00BB3048" w:rsidDel="00E572BB">
      <w:rPr>
        <w:sz w:val="20"/>
        <w:szCs w:val="20"/>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7E6A"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7C376BCA" w14:textId="46A728B2" w:rsidR="002458B6" w:rsidRDefault="00A1696E" w:rsidP="000F1584">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1363AC">
      <w:rPr>
        <w:b/>
        <w:bCs/>
        <w:sz w:val="20"/>
        <w:szCs w:val="20"/>
      </w:rPr>
      <w:t xml:space="preserve"> 202</w:t>
    </w:r>
    <w:r w:rsidR="009D78E1">
      <w:rPr>
        <w:b/>
        <w:bCs/>
        <w:sz w:val="20"/>
        <w:szCs w:val="20"/>
      </w:rPr>
      <w:t>5</w:t>
    </w:r>
    <w:r w:rsidR="001363AC">
      <w:rPr>
        <w:b/>
        <w:bCs/>
        <w:sz w:val="20"/>
        <w:szCs w:val="20"/>
      </w:rPr>
      <w:t xml:space="preserve"> </w:t>
    </w:r>
    <w:r w:rsidR="002458B6">
      <w:rPr>
        <w:b/>
        <w:bCs/>
        <w:sz w:val="20"/>
        <w:szCs w:val="20"/>
      </w:rPr>
      <w:t>Tarihi İtibarıyla</w:t>
    </w:r>
  </w:p>
  <w:p w14:paraId="752F28EE" w14:textId="311A803E" w:rsidR="002458B6" w:rsidRDefault="002458B6" w:rsidP="00DF438D">
    <w:pPr>
      <w:pStyle w:val="Header"/>
      <w:tabs>
        <w:tab w:val="clear" w:pos="4153"/>
        <w:tab w:val="clear" w:pos="8306"/>
        <w:tab w:val="left" w:pos="7655"/>
      </w:tabs>
      <w:rPr>
        <w:b/>
        <w:bCs/>
        <w:sz w:val="20"/>
        <w:szCs w:val="20"/>
      </w:rPr>
    </w:pPr>
    <w:r>
      <w:rPr>
        <w:b/>
        <w:bCs/>
        <w:sz w:val="20"/>
        <w:szCs w:val="20"/>
      </w:rPr>
      <w:t>Konsolide Nazım Hesaplar</w:t>
    </w:r>
    <w:r w:rsidRPr="00DF438D">
      <w:rPr>
        <w:b/>
        <w:bCs/>
        <w:sz w:val="20"/>
        <w:szCs w:val="20"/>
      </w:rPr>
      <w:t xml:space="preserve"> Tablosu</w:t>
    </w:r>
    <w:r>
      <w:rPr>
        <w:b/>
        <w:bCs/>
        <w:sz w:val="20"/>
        <w:szCs w:val="20"/>
      </w:rPr>
      <w:tab/>
    </w:r>
    <w:r>
      <w:rPr>
        <w:b/>
        <w:bCs/>
        <w:sz w:val="20"/>
        <w:szCs w:val="20"/>
      </w:rPr>
      <w:tab/>
    </w:r>
  </w:p>
  <w:p w14:paraId="2D4218BD"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5BBBE240" w14:textId="77777777" w:rsidR="002458B6" w:rsidRPr="00B36D66" w:rsidRDefault="002458B6" w:rsidP="000F1584">
    <w:pPr>
      <w:pStyle w:val="Header"/>
    </w:pPr>
    <w:r w:rsidRPr="00BB3048" w:rsidDel="00E572BB">
      <w:rPr>
        <w:sz w:val="20"/>
        <w:szCs w:val="20"/>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25989" w14:textId="77777777" w:rsidR="006D3A45" w:rsidRDefault="006D3A45" w:rsidP="006D3A45">
    <w:pPr>
      <w:pStyle w:val="Header"/>
      <w:tabs>
        <w:tab w:val="clear" w:pos="4153"/>
        <w:tab w:val="clear" w:pos="8306"/>
        <w:tab w:val="left" w:pos="7655"/>
      </w:tabs>
      <w:rPr>
        <w:b/>
        <w:bCs/>
        <w:sz w:val="20"/>
        <w:szCs w:val="20"/>
      </w:rPr>
    </w:pPr>
    <w:bookmarkStart w:id="3" w:name="_Hlk151646221"/>
    <w:r>
      <w:rPr>
        <w:b/>
        <w:bCs/>
        <w:sz w:val="20"/>
        <w:szCs w:val="20"/>
      </w:rPr>
      <w:t>TÜRKİYE KALKINMA VE YATIRIM BANKASI A.Ş.</w:t>
    </w:r>
  </w:p>
  <w:p w14:paraId="31A07268" w14:textId="3F798CBA" w:rsidR="00CB33D7" w:rsidRDefault="00A1696E" w:rsidP="00CB33D7">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CB33D7">
      <w:rPr>
        <w:b/>
        <w:bCs/>
        <w:sz w:val="20"/>
        <w:szCs w:val="20"/>
      </w:rPr>
      <w:t xml:space="preserve"> 202</w:t>
    </w:r>
    <w:r w:rsidR="009D78E1">
      <w:rPr>
        <w:b/>
        <w:bCs/>
        <w:sz w:val="20"/>
        <w:szCs w:val="20"/>
      </w:rPr>
      <w:t>5</w:t>
    </w:r>
    <w:r w:rsidR="00CB33D7">
      <w:rPr>
        <w:b/>
        <w:bCs/>
        <w:sz w:val="20"/>
        <w:szCs w:val="20"/>
      </w:rPr>
      <w:t xml:space="preserve"> Tarihi İtibarıyla</w:t>
    </w:r>
  </w:p>
  <w:p w14:paraId="6649B3D5" w14:textId="2B4881DB" w:rsidR="006D3A45" w:rsidRPr="00CF7DE4" w:rsidRDefault="00995BB1" w:rsidP="006D3A45">
    <w:pPr>
      <w:pStyle w:val="Header"/>
      <w:rPr>
        <w:b/>
        <w:bCs/>
        <w:sz w:val="20"/>
        <w:szCs w:val="20"/>
      </w:rPr>
    </w:pPr>
    <w:r>
      <w:rPr>
        <w:b/>
        <w:bCs/>
        <w:sz w:val="20"/>
        <w:szCs w:val="20"/>
      </w:rPr>
      <w:t>Konsolide Finansal Tablolara İlişkin Açıklama ve Dipnotlar</w:t>
    </w:r>
    <w:r w:rsidR="006D3A45" w:rsidRPr="00CF7DE4">
      <w:rPr>
        <w:b/>
        <w:bCs/>
        <w:sz w:val="20"/>
        <w:szCs w:val="20"/>
      </w:rPr>
      <w:tab/>
    </w:r>
    <w:r w:rsidR="006D3A45" w:rsidRPr="00CF7DE4">
      <w:rPr>
        <w:b/>
        <w:bCs/>
        <w:sz w:val="20"/>
        <w:szCs w:val="20"/>
      </w:rPr>
      <w:tab/>
    </w:r>
  </w:p>
  <w:p w14:paraId="3484EE63" w14:textId="77777777" w:rsidR="006D3A45" w:rsidRPr="006D3A45" w:rsidRDefault="006D3A45" w:rsidP="006D3A45">
    <w:pPr>
      <w:pStyle w:val="Header"/>
      <w:rPr>
        <w:sz w:val="6"/>
        <w:szCs w:val="6"/>
      </w:rPr>
    </w:pPr>
    <w:r w:rsidRPr="006D3A45">
      <w:rPr>
        <w:sz w:val="20"/>
        <w:szCs w:val="20"/>
      </w:rPr>
      <w:t>(Tutarlar aksi belirtilmedikçe Bin Türk Lirası (TL) olarak ifade edilmiştir.)</w:t>
    </w:r>
  </w:p>
  <w:bookmarkEnd w:id="3"/>
  <w:p w14:paraId="0646F0EB" w14:textId="77777777" w:rsidR="002458B6" w:rsidRPr="0070331E" w:rsidRDefault="002458B6" w:rsidP="00921861">
    <w:pPr>
      <w:pStyle w:val="Header"/>
      <w:tabs>
        <w:tab w:val="clear" w:pos="4153"/>
        <w:tab w:val="clear" w:pos="8306"/>
        <w:tab w:val="left" w:pos="7655"/>
        <w:tab w:val="right" w:pos="9809"/>
      </w:tabs>
      <w:rPr>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5254"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21B86691" w14:textId="0626C50A" w:rsidR="002458B6" w:rsidRDefault="00A1696E" w:rsidP="000F1584">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475A2B">
      <w:rPr>
        <w:b/>
        <w:bCs/>
        <w:sz w:val="20"/>
        <w:szCs w:val="20"/>
      </w:rPr>
      <w:t xml:space="preserve"> </w:t>
    </w:r>
    <w:r w:rsidR="001363AC">
      <w:rPr>
        <w:b/>
        <w:bCs/>
        <w:sz w:val="20"/>
        <w:szCs w:val="20"/>
      </w:rPr>
      <w:t>202</w:t>
    </w:r>
    <w:r w:rsidR="009D78E1">
      <w:rPr>
        <w:b/>
        <w:bCs/>
        <w:sz w:val="20"/>
        <w:szCs w:val="20"/>
      </w:rPr>
      <w:t>5</w:t>
    </w:r>
    <w:r w:rsidR="001363AC">
      <w:rPr>
        <w:b/>
        <w:bCs/>
        <w:sz w:val="20"/>
        <w:szCs w:val="20"/>
      </w:rPr>
      <w:t xml:space="preserve"> </w:t>
    </w:r>
    <w:r w:rsidR="002458B6">
      <w:rPr>
        <w:b/>
        <w:bCs/>
        <w:sz w:val="20"/>
        <w:szCs w:val="20"/>
      </w:rPr>
      <w:t xml:space="preserve">Tarihinde Sona Eren Hesap Dönemine Ait </w:t>
    </w:r>
  </w:p>
  <w:p w14:paraId="3A437A81" w14:textId="1D5DF826" w:rsidR="002458B6" w:rsidRDefault="002458B6" w:rsidP="00DF438D">
    <w:pPr>
      <w:pStyle w:val="Header"/>
      <w:tabs>
        <w:tab w:val="clear" w:pos="4153"/>
        <w:tab w:val="clear" w:pos="8306"/>
        <w:tab w:val="left" w:pos="7655"/>
      </w:tabs>
      <w:rPr>
        <w:b/>
        <w:bCs/>
        <w:sz w:val="20"/>
        <w:szCs w:val="20"/>
      </w:rPr>
    </w:pPr>
    <w:r>
      <w:rPr>
        <w:b/>
        <w:bCs/>
        <w:sz w:val="20"/>
        <w:szCs w:val="20"/>
      </w:rPr>
      <w:t>Konsolide Kar veya Zarar Tablosu</w:t>
    </w:r>
    <w:r>
      <w:rPr>
        <w:b/>
        <w:bCs/>
        <w:sz w:val="20"/>
        <w:szCs w:val="20"/>
      </w:rPr>
      <w:tab/>
    </w:r>
    <w:r>
      <w:rPr>
        <w:b/>
        <w:bCs/>
        <w:sz w:val="20"/>
        <w:szCs w:val="20"/>
      </w:rPr>
      <w:tab/>
    </w:r>
  </w:p>
  <w:p w14:paraId="49BF78AF"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5185B8E6" w14:textId="77777777" w:rsidR="002458B6" w:rsidRPr="00B36D66" w:rsidRDefault="002458B6" w:rsidP="000F1584">
    <w:pPr>
      <w:pStyle w:val="Header"/>
    </w:pPr>
    <w:r w:rsidRPr="00BB3048" w:rsidDel="00E572BB">
      <w:rPr>
        <w:sz w:val="20"/>
        <w:szCs w:val="20"/>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0895F"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4DD2E145" w14:textId="751520E8" w:rsidR="002458B6" w:rsidRDefault="00A1696E" w:rsidP="000F1584">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1363AC">
      <w:rPr>
        <w:b/>
        <w:bCs/>
        <w:sz w:val="20"/>
        <w:szCs w:val="20"/>
      </w:rPr>
      <w:t xml:space="preserve"> 202</w:t>
    </w:r>
    <w:r w:rsidR="009D78E1">
      <w:rPr>
        <w:b/>
        <w:bCs/>
        <w:sz w:val="20"/>
        <w:szCs w:val="20"/>
      </w:rPr>
      <w:t>5</w:t>
    </w:r>
    <w:r w:rsidR="001363AC">
      <w:rPr>
        <w:b/>
        <w:bCs/>
        <w:sz w:val="20"/>
        <w:szCs w:val="20"/>
      </w:rPr>
      <w:t xml:space="preserve"> </w:t>
    </w:r>
    <w:r w:rsidR="002458B6">
      <w:rPr>
        <w:b/>
        <w:bCs/>
        <w:sz w:val="20"/>
        <w:szCs w:val="20"/>
      </w:rPr>
      <w:t xml:space="preserve">Tarihinde Sona Eren Hesap Dönemine Ait </w:t>
    </w:r>
  </w:p>
  <w:p w14:paraId="2E18F327" w14:textId="2ED33FCC" w:rsidR="002458B6" w:rsidRDefault="002458B6" w:rsidP="00DF438D">
    <w:pPr>
      <w:pStyle w:val="Header"/>
      <w:tabs>
        <w:tab w:val="clear" w:pos="4153"/>
        <w:tab w:val="clear" w:pos="8306"/>
        <w:tab w:val="left" w:pos="7655"/>
      </w:tabs>
      <w:rPr>
        <w:b/>
        <w:bCs/>
        <w:sz w:val="20"/>
        <w:szCs w:val="20"/>
      </w:rPr>
    </w:pPr>
    <w:r>
      <w:rPr>
        <w:b/>
        <w:bCs/>
        <w:sz w:val="20"/>
        <w:szCs w:val="20"/>
      </w:rPr>
      <w:t xml:space="preserve">Konsolide Kar veya Zarar ve Diğer Kapsamlı Gelir Tablosu </w:t>
    </w:r>
    <w:r>
      <w:rPr>
        <w:b/>
        <w:bCs/>
        <w:sz w:val="20"/>
        <w:szCs w:val="20"/>
      </w:rPr>
      <w:tab/>
    </w:r>
    <w:r>
      <w:rPr>
        <w:b/>
        <w:bCs/>
        <w:sz w:val="20"/>
        <w:szCs w:val="20"/>
      </w:rPr>
      <w:tab/>
    </w:r>
  </w:p>
  <w:p w14:paraId="0E34E5E7"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1E649461" w14:textId="77777777" w:rsidR="002458B6" w:rsidRPr="00B36D66" w:rsidRDefault="002458B6" w:rsidP="000F1584">
    <w:pPr>
      <w:pStyle w:val="Header"/>
    </w:pPr>
    <w:r w:rsidRPr="00BB3048" w:rsidDel="00E572BB">
      <w:rPr>
        <w:sz w:val="20"/>
        <w:szCs w:val="20"/>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F920D"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6B82F92D" w14:textId="6DC6D677" w:rsidR="002458B6" w:rsidRDefault="00142ED7" w:rsidP="000F1584">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EE6EBF">
      <w:rPr>
        <w:b/>
        <w:bCs/>
        <w:sz w:val="20"/>
        <w:szCs w:val="20"/>
      </w:rPr>
      <w:t xml:space="preserve"> </w:t>
    </w:r>
    <w:r w:rsidR="001363AC">
      <w:rPr>
        <w:b/>
        <w:bCs/>
        <w:sz w:val="20"/>
        <w:szCs w:val="20"/>
      </w:rPr>
      <w:t>202</w:t>
    </w:r>
    <w:r w:rsidR="009D78E1">
      <w:rPr>
        <w:b/>
        <w:bCs/>
        <w:sz w:val="20"/>
        <w:szCs w:val="20"/>
      </w:rPr>
      <w:t>5</w:t>
    </w:r>
    <w:r w:rsidR="001363AC">
      <w:rPr>
        <w:b/>
        <w:bCs/>
        <w:sz w:val="20"/>
        <w:szCs w:val="20"/>
      </w:rPr>
      <w:t xml:space="preserve"> </w:t>
    </w:r>
    <w:r w:rsidR="002458B6">
      <w:rPr>
        <w:b/>
        <w:bCs/>
        <w:sz w:val="20"/>
        <w:szCs w:val="20"/>
      </w:rPr>
      <w:t xml:space="preserve">Tarihinde Sona Eren Hesap Dönemine Ait </w:t>
    </w:r>
  </w:p>
  <w:p w14:paraId="1A9E2850" w14:textId="59FFB68F" w:rsidR="002458B6" w:rsidRDefault="002458B6" w:rsidP="009937F4">
    <w:pPr>
      <w:pStyle w:val="Header"/>
      <w:tabs>
        <w:tab w:val="clear" w:pos="4153"/>
        <w:tab w:val="clear" w:pos="8306"/>
        <w:tab w:val="left" w:pos="7655"/>
      </w:tabs>
      <w:rPr>
        <w:b/>
        <w:bCs/>
        <w:sz w:val="20"/>
        <w:szCs w:val="20"/>
      </w:rPr>
    </w:pPr>
    <w:r>
      <w:rPr>
        <w:b/>
        <w:bCs/>
        <w:sz w:val="20"/>
        <w:szCs w:val="20"/>
      </w:rPr>
      <w:t>Konsolide Özkaynaklar Değişim Tablosu</w:t>
    </w:r>
    <w:r>
      <w:rPr>
        <w:b/>
        <w:bCs/>
        <w:sz w:val="20"/>
        <w:szCs w:val="20"/>
      </w:rPr>
      <w:tab/>
    </w:r>
    <w:r>
      <w:rPr>
        <w:b/>
        <w:bCs/>
        <w:sz w:val="20"/>
        <w:szCs w:val="20"/>
      </w:rPr>
      <w:tab/>
    </w:r>
  </w:p>
  <w:p w14:paraId="407D4D5E"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220DF3DB" w14:textId="77777777" w:rsidR="002458B6" w:rsidRPr="00436855" w:rsidRDefault="002458B6" w:rsidP="000F1584">
    <w:pPr>
      <w:pStyle w:val="Header"/>
      <w:rPr>
        <w:sz w:val="6"/>
        <w:szCs w:val="6"/>
      </w:rPr>
    </w:pPr>
    <w:r w:rsidRPr="00BB3048" w:rsidDel="00E572BB">
      <w:rPr>
        <w:sz w:val="20"/>
        <w:szCs w:val="20"/>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172C" w14:textId="77777777" w:rsidR="009A571E" w:rsidRDefault="009A571E" w:rsidP="008E0752">
    <w:pPr>
      <w:pStyle w:val="Header"/>
      <w:tabs>
        <w:tab w:val="clear" w:pos="4153"/>
        <w:tab w:val="clear" w:pos="8306"/>
        <w:tab w:val="left" w:pos="7655"/>
      </w:tabs>
      <w:rPr>
        <w:b/>
        <w:bCs/>
        <w:sz w:val="20"/>
        <w:szCs w:val="20"/>
      </w:rPr>
    </w:pPr>
    <w:r>
      <w:rPr>
        <w:b/>
        <w:bCs/>
        <w:sz w:val="20"/>
        <w:szCs w:val="20"/>
      </w:rPr>
      <w:t>TÜRKİYE KALKINMA VE YATIRIM BANKASI A.Ş.</w:t>
    </w:r>
  </w:p>
  <w:p w14:paraId="70A1D643" w14:textId="724FF0D1" w:rsidR="004335BF" w:rsidRDefault="00A1696E" w:rsidP="004335BF">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9A571E">
      <w:rPr>
        <w:b/>
        <w:bCs/>
        <w:sz w:val="20"/>
        <w:szCs w:val="20"/>
      </w:rPr>
      <w:t xml:space="preserve"> 202</w:t>
    </w:r>
    <w:r w:rsidR="009D78E1">
      <w:rPr>
        <w:b/>
        <w:bCs/>
        <w:sz w:val="20"/>
        <w:szCs w:val="20"/>
      </w:rPr>
      <w:t>5</w:t>
    </w:r>
    <w:r w:rsidR="009A571E">
      <w:rPr>
        <w:b/>
        <w:bCs/>
        <w:sz w:val="20"/>
        <w:szCs w:val="20"/>
      </w:rPr>
      <w:t xml:space="preserve"> </w:t>
    </w:r>
    <w:r w:rsidR="004335BF">
      <w:rPr>
        <w:b/>
        <w:bCs/>
        <w:sz w:val="20"/>
        <w:szCs w:val="20"/>
      </w:rPr>
      <w:t xml:space="preserve">Tarihinde Sona Eren Hesap Dönemine Ait </w:t>
    </w:r>
  </w:p>
  <w:p w14:paraId="148A0388" w14:textId="3D65C8AE" w:rsidR="009A571E" w:rsidRDefault="001344BB" w:rsidP="008E0752">
    <w:pPr>
      <w:pStyle w:val="Header"/>
      <w:tabs>
        <w:tab w:val="clear" w:pos="4153"/>
        <w:tab w:val="clear" w:pos="8306"/>
        <w:tab w:val="left" w:pos="7159"/>
        <w:tab w:val="left" w:pos="7655"/>
      </w:tabs>
      <w:rPr>
        <w:b/>
        <w:bCs/>
        <w:sz w:val="20"/>
        <w:szCs w:val="20"/>
      </w:rPr>
    </w:pPr>
    <w:r>
      <w:rPr>
        <w:b/>
        <w:bCs/>
        <w:sz w:val="20"/>
        <w:szCs w:val="20"/>
      </w:rPr>
      <w:t xml:space="preserve">Konsolide </w:t>
    </w:r>
    <w:r w:rsidR="00264EEA">
      <w:rPr>
        <w:b/>
        <w:bCs/>
        <w:sz w:val="20"/>
        <w:szCs w:val="20"/>
      </w:rPr>
      <w:t>Nakit Akış</w:t>
    </w:r>
    <w:r w:rsidR="001858D6">
      <w:rPr>
        <w:b/>
        <w:bCs/>
        <w:sz w:val="20"/>
        <w:szCs w:val="20"/>
      </w:rPr>
      <w:t xml:space="preserve"> </w:t>
    </w:r>
    <w:r w:rsidR="00264EEA">
      <w:rPr>
        <w:b/>
        <w:bCs/>
        <w:sz w:val="20"/>
        <w:szCs w:val="20"/>
      </w:rPr>
      <w:t>Tablosu</w:t>
    </w:r>
    <w:r w:rsidR="009A571E">
      <w:rPr>
        <w:b/>
        <w:bCs/>
        <w:sz w:val="20"/>
        <w:szCs w:val="20"/>
      </w:rPr>
      <w:tab/>
    </w:r>
    <w:r w:rsidR="009A571E">
      <w:rPr>
        <w:b/>
        <w:bCs/>
        <w:sz w:val="20"/>
        <w:szCs w:val="20"/>
      </w:rPr>
      <w:tab/>
    </w:r>
  </w:p>
  <w:p w14:paraId="0DB6461C" w14:textId="77777777" w:rsidR="009A571E" w:rsidRPr="00427768" w:rsidRDefault="009A571E" w:rsidP="008E0752">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24AC6183" w14:textId="77777777" w:rsidR="009A571E" w:rsidRPr="008E0752" w:rsidRDefault="009A571E" w:rsidP="008E07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89E9A" w14:textId="77777777" w:rsidR="002458B6" w:rsidRPr="00BB3048" w:rsidRDefault="002458B6"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41E88" w14:textId="77777777" w:rsidR="00A1696E" w:rsidRDefault="00A1696E" w:rsidP="008E0752">
    <w:pPr>
      <w:pStyle w:val="Header"/>
      <w:tabs>
        <w:tab w:val="clear" w:pos="4153"/>
        <w:tab w:val="clear" w:pos="8306"/>
        <w:tab w:val="left" w:pos="7655"/>
      </w:tabs>
      <w:rPr>
        <w:b/>
        <w:bCs/>
        <w:sz w:val="20"/>
        <w:szCs w:val="20"/>
      </w:rPr>
    </w:pPr>
    <w:r>
      <w:rPr>
        <w:b/>
        <w:bCs/>
        <w:sz w:val="20"/>
        <w:szCs w:val="20"/>
      </w:rPr>
      <w:t>TÜRKİYE KALKINMA VE YATIRIM BANKASI A.Ş.</w:t>
    </w:r>
  </w:p>
  <w:p w14:paraId="075E1792" w14:textId="0F485EF8" w:rsidR="00BC2561" w:rsidRDefault="00BC2561" w:rsidP="00A1696E">
    <w:pPr>
      <w:pStyle w:val="Header"/>
      <w:rPr>
        <w:b/>
        <w:bCs/>
        <w:sz w:val="20"/>
        <w:szCs w:val="20"/>
      </w:rPr>
    </w:pPr>
    <w:r w:rsidRPr="00BC2561">
      <w:rPr>
        <w:b/>
        <w:bCs/>
        <w:sz w:val="20"/>
        <w:szCs w:val="20"/>
      </w:rPr>
      <w:t>3</w:t>
    </w:r>
    <w:r w:rsidR="007C75FB">
      <w:rPr>
        <w:b/>
        <w:bCs/>
        <w:sz w:val="20"/>
        <w:szCs w:val="20"/>
      </w:rPr>
      <w:t>0</w:t>
    </w:r>
    <w:r w:rsidRPr="00BC2561">
      <w:rPr>
        <w:b/>
        <w:bCs/>
        <w:sz w:val="20"/>
        <w:szCs w:val="20"/>
      </w:rPr>
      <w:t xml:space="preserve"> </w:t>
    </w:r>
    <w:r w:rsidR="007C75FB">
      <w:rPr>
        <w:b/>
        <w:bCs/>
        <w:sz w:val="20"/>
        <w:szCs w:val="20"/>
      </w:rPr>
      <w:t>Haziran</w:t>
    </w:r>
    <w:r w:rsidRPr="00BC2561">
      <w:rPr>
        <w:b/>
        <w:bCs/>
        <w:sz w:val="20"/>
        <w:szCs w:val="20"/>
      </w:rPr>
      <w:t xml:space="preserve"> 2025 Tarihi İtibarıyla</w:t>
    </w:r>
  </w:p>
  <w:p w14:paraId="328146F1" w14:textId="0B6A4823" w:rsidR="00A1696E" w:rsidRPr="00CF7DE4" w:rsidRDefault="00BC2561" w:rsidP="00A1696E">
    <w:pPr>
      <w:pStyle w:val="Header"/>
      <w:rPr>
        <w:b/>
        <w:bCs/>
        <w:sz w:val="20"/>
        <w:szCs w:val="20"/>
      </w:rPr>
    </w:pPr>
    <w:r w:rsidRPr="00BC2561">
      <w:rPr>
        <w:b/>
        <w:bCs/>
        <w:sz w:val="20"/>
        <w:szCs w:val="20"/>
      </w:rPr>
      <w:t>Konsolide Finansal Tablolara İlişkin Açıklama ve Dipnotlar</w:t>
    </w:r>
    <w:r w:rsidR="00A1696E" w:rsidRPr="00CF7DE4">
      <w:rPr>
        <w:b/>
        <w:bCs/>
        <w:sz w:val="20"/>
        <w:szCs w:val="20"/>
      </w:rPr>
      <w:tab/>
    </w:r>
    <w:r w:rsidR="00A1696E" w:rsidRPr="00CF7DE4">
      <w:rPr>
        <w:b/>
        <w:bCs/>
        <w:sz w:val="20"/>
        <w:szCs w:val="20"/>
      </w:rPr>
      <w:tab/>
    </w:r>
  </w:p>
  <w:p w14:paraId="248B4C5E" w14:textId="77777777" w:rsidR="00A1696E" w:rsidRPr="006D3A45" w:rsidRDefault="00A1696E" w:rsidP="00A1696E">
    <w:pPr>
      <w:pStyle w:val="Header"/>
      <w:rPr>
        <w:sz w:val="6"/>
        <w:szCs w:val="6"/>
      </w:rPr>
    </w:pPr>
    <w:r w:rsidRPr="006D3A45">
      <w:rPr>
        <w:sz w:val="20"/>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ED5BE" w14:textId="77777777" w:rsidR="003A3FAC" w:rsidRDefault="003A3FAC" w:rsidP="003A3FAC">
    <w:pPr>
      <w:pStyle w:val="Header"/>
      <w:tabs>
        <w:tab w:val="clear" w:pos="4153"/>
        <w:tab w:val="clear" w:pos="8306"/>
        <w:tab w:val="left" w:pos="7655"/>
      </w:tabs>
      <w:rPr>
        <w:b/>
        <w:bCs/>
        <w:sz w:val="20"/>
        <w:szCs w:val="20"/>
      </w:rPr>
    </w:pPr>
    <w:r>
      <w:rPr>
        <w:b/>
        <w:bCs/>
        <w:sz w:val="20"/>
        <w:szCs w:val="20"/>
      </w:rPr>
      <w:t>TÜRKİYE KALKINMA VE YATIRIM BANKASI A.Ş.</w:t>
    </w:r>
  </w:p>
  <w:p w14:paraId="2A24EC77" w14:textId="5A19B894" w:rsidR="00CB33D7" w:rsidRDefault="00886F8D" w:rsidP="00CB33D7">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CB33D7">
      <w:rPr>
        <w:b/>
        <w:bCs/>
        <w:sz w:val="20"/>
        <w:szCs w:val="20"/>
      </w:rPr>
      <w:t xml:space="preserve"> 202</w:t>
    </w:r>
    <w:r w:rsidR="009D78E1">
      <w:rPr>
        <w:b/>
        <w:bCs/>
        <w:sz w:val="20"/>
        <w:szCs w:val="20"/>
      </w:rPr>
      <w:t>5</w:t>
    </w:r>
    <w:r w:rsidR="00CB33D7">
      <w:rPr>
        <w:b/>
        <w:bCs/>
        <w:sz w:val="20"/>
        <w:szCs w:val="20"/>
      </w:rPr>
      <w:t xml:space="preserve"> Tarihi İtibarıyla</w:t>
    </w:r>
  </w:p>
  <w:p w14:paraId="41F564ED" w14:textId="77777777" w:rsidR="003A3FAC" w:rsidRPr="00CF7DE4" w:rsidRDefault="003A3FAC" w:rsidP="003A3FAC">
    <w:pPr>
      <w:pStyle w:val="Header"/>
      <w:rPr>
        <w:b/>
        <w:bCs/>
        <w:sz w:val="20"/>
        <w:szCs w:val="20"/>
      </w:rPr>
    </w:pPr>
    <w:r>
      <w:rPr>
        <w:b/>
        <w:bCs/>
        <w:sz w:val="20"/>
        <w:szCs w:val="20"/>
      </w:rPr>
      <w:t>Konsolide Finansal Tablolara İlişkin Açıklama ve Dipnotlar</w:t>
    </w:r>
    <w:r w:rsidRPr="00CF7DE4">
      <w:rPr>
        <w:b/>
        <w:bCs/>
        <w:sz w:val="20"/>
        <w:szCs w:val="20"/>
      </w:rPr>
      <w:tab/>
    </w:r>
    <w:r w:rsidRPr="00CF7DE4">
      <w:rPr>
        <w:b/>
        <w:bCs/>
        <w:sz w:val="20"/>
        <w:szCs w:val="20"/>
      </w:rPr>
      <w:tab/>
    </w:r>
  </w:p>
  <w:p w14:paraId="7E2DB6F4" w14:textId="77777777" w:rsidR="003A3FAC" w:rsidRPr="006D3A45" w:rsidRDefault="003A3FAC" w:rsidP="003A3FAC">
    <w:pPr>
      <w:pStyle w:val="Header"/>
      <w:rPr>
        <w:sz w:val="6"/>
        <w:szCs w:val="6"/>
      </w:rPr>
    </w:pPr>
    <w:r w:rsidRPr="006D3A45">
      <w:rPr>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2D6F7" w14:textId="77777777" w:rsidR="001E3833" w:rsidRDefault="001E3833" w:rsidP="00BB3048">
    <w:pPr>
      <w:pStyle w:val="Header"/>
      <w:tabs>
        <w:tab w:val="clear" w:pos="4153"/>
        <w:tab w:val="clear" w:pos="8306"/>
        <w:tab w:val="left" w:pos="7655"/>
      </w:tabs>
      <w:rPr>
        <w:b/>
        <w:bCs/>
        <w:sz w:val="20"/>
        <w:szCs w:val="20"/>
      </w:rPr>
    </w:pPr>
  </w:p>
  <w:p w14:paraId="636D84B7" w14:textId="77777777" w:rsidR="001E3833" w:rsidRDefault="001E3833" w:rsidP="00BB3048">
    <w:pPr>
      <w:pStyle w:val="Header"/>
      <w:tabs>
        <w:tab w:val="clear" w:pos="4153"/>
        <w:tab w:val="clear" w:pos="8306"/>
        <w:tab w:val="left" w:pos="7655"/>
      </w:tabs>
      <w:rPr>
        <w:b/>
        <w:bCs/>
        <w:sz w:val="20"/>
        <w:szCs w:val="20"/>
      </w:rPr>
    </w:pPr>
    <w:r>
      <w:rPr>
        <w:b/>
        <w:bCs/>
        <w:sz w:val="20"/>
        <w:szCs w:val="20"/>
      </w:rPr>
      <w:t xml:space="preserve">TÜRKİYE KALKINMA BANKASI A.Ş. </w:t>
    </w:r>
  </w:p>
  <w:p w14:paraId="7B894927" w14:textId="77777777" w:rsidR="001E3833" w:rsidRDefault="001E3833" w:rsidP="00BB3048">
    <w:pPr>
      <w:pStyle w:val="Header"/>
      <w:tabs>
        <w:tab w:val="clear" w:pos="4153"/>
        <w:tab w:val="clear" w:pos="8306"/>
        <w:tab w:val="left" w:pos="7655"/>
      </w:tabs>
      <w:rPr>
        <w:b/>
        <w:bCs/>
        <w:sz w:val="20"/>
        <w:szCs w:val="20"/>
      </w:rPr>
    </w:pPr>
    <w:r>
      <w:rPr>
        <w:b/>
        <w:bCs/>
        <w:sz w:val="20"/>
        <w:szCs w:val="20"/>
      </w:rPr>
      <w:t>31 Aralık 2018 Tarihi İtibarıyla Konsolide Olmayan</w:t>
    </w:r>
  </w:p>
  <w:p w14:paraId="5CC853DA" w14:textId="77777777" w:rsidR="001E3833" w:rsidRPr="00921861" w:rsidRDefault="001E3833" w:rsidP="00BB3048">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C45C79D" w14:textId="77777777" w:rsidR="001E3833" w:rsidRDefault="001E3833" w:rsidP="00BB304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6C077759" w14:textId="77777777" w:rsidR="001E3833" w:rsidRDefault="001E3833"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9B89D" w14:textId="77777777" w:rsidR="003C0AEC" w:rsidRDefault="003C0AEC" w:rsidP="006D3A45">
    <w:pPr>
      <w:pStyle w:val="Header"/>
      <w:tabs>
        <w:tab w:val="clear" w:pos="4153"/>
        <w:tab w:val="clear" w:pos="8306"/>
        <w:tab w:val="left" w:pos="7655"/>
      </w:tabs>
      <w:rPr>
        <w:b/>
        <w:bCs/>
        <w:sz w:val="20"/>
        <w:szCs w:val="20"/>
      </w:rPr>
    </w:pPr>
    <w:r>
      <w:rPr>
        <w:b/>
        <w:bCs/>
        <w:sz w:val="20"/>
        <w:szCs w:val="20"/>
      </w:rPr>
      <w:t>TÜRKİYE KALKINMA VE YATIRIM BANKASI A.Ş.</w:t>
    </w:r>
  </w:p>
  <w:p w14:paraId="726C3A25" w14:textId="5ABA48EF" w:rsidR="003C0AEC" w:rsidRDefault="003C0AEC" w:rsidP="00CB33D7">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Pr>
        <w:b/>
        <w:bCs/>
        <w:sz w:val="20"/>
        <w:szCs w:val="20"/>
      </w:rPr>
      <w:t xml:space="preserve"> 2025 Tarihi İtibarıyla</w:t>
    </w:r>
  </w:p>
  <w:p w14:paraId="3CFF98D9" w14:textId="77777777" w:rsidR="003C0AEC" w:rsidRPr="00CF7DE4" w:rsidRDefault="003C0AEC" w:rsidP="006D3A45">
    <w:pPr>
      <w:pStyle w:val="Header"/>
      <w:rPr>
        <w:b/>
        <w:bCs/>
        <w:sz w:val="20"/>
        <w:szCs w:val="20"/>
      </w:rPr>
    </w:pPr>
    <w:r>
      <w:rPr>
        <w:b/>
        <w:bCs/>
        <w:sz w:val="20"/>
        <w:szCs w:val="20"/>
      </w:rPr>
      <w:t>Konsolide Finansal Tablolara İlişkin Açıklama ve Dipnotlar</w:t>
    </w:r>
    <w:r w:rsidRPr="00CF7DE4">
      <w:rPr>
        <w:b/>
        <w:bCs/>
        <w:sz w:val="20"/>
        <w:szCs w:val="20"/>
      </w:rPr>
      <w:tab/>
    </w:r>
    <w:r w:rsidRPr="00CF7DE4">
      <w:rPr>
        <w:b/>
        <w:bCs/>
        <w:sz w:val="20"/>
        <w:szCs w:val="20"/>
      </w:rPr>
      <w:tab/>
    </w:r>
  </w:p>
  <w:p w14:paraId="376D8B4B" w14:textId="77777777" w:rsidR="003C0AEC" w:rsidRPr="003C29A2" w:rsidRDefault="003C0AEC" w:rsidP="003C29A2">
    <w:pPr>
      <w:pStyle w:val="Header"/>
      <w:tabs>
        <w:tab w:val="clear" w:pos="4153"/>
        <w:tab w:val="clear" w:pos="8306"/>
        <w:tab w:val="left" w:pos="7655"/>
        <w:tab w:val="right" w:pos="9809"/>
      </w:tabs>
      <w:ind w:firstLine="720"/>
      <w:rPr>
        <w:sz w:val="4"/>
        <w:szCs w:val="4"/>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C0A2" w14:textId="77777777" w:rsidR="003C0AEC" w:rsidRDefault="003C0AEC" w:rsidP="006D3A45">
    <w:pPr>
      <w:pStyle w:val="Header"/>
      <w:tabs>
        <w:tab w:val="clear" w:pos="4153"/>
        <w:tab w:val="clear" w:pos="8306"/>
        <w:tab w:val="left" w:pos="7655"/>
      </w:tabs>
      <w:rPr>
        <w:b/>
        <w:bCs/>
        <w:sz w:val="20"/>
        <w:szCs w:val="20"/>
      </w:rPr>
    </w:pPr>
    <w:r>
      <w:rPr>
        <w:b/>
        <w:bCs/>
        <w:sz w:val="20"/>
        <w:szCs w:val="20"/>
      </w:rPr>
      <w:t>TÜRKİYE KALKINMA VE YATIRIM BANKASI A.Ş.</w:t>
    </w:r>
  </w:p>
  <w:p w14:paraId="2E1DDF1E" w14:textId="311B3D1D" w:rsidR="003C0AEC" w:rsidRDefault="003C0AEC" w:rsidP="00CB33D7">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Pr>
        <w:b/>
        <w:bCs/>
        <w:sz w:val="20"/>
        <w:szCs w:val="20"/>
      </w:rPr>
      <w:t xml:space="preserve"> 2025 Tarihi İtibarıyla</w:t>
    </w:r>
  </w:p>
  <w:p w14:paraId="4B055AB0" w14:textId="77777777" w:rsidR="003C0AEC" w:rsidRPr="00CF7DE4" w:rsidRDefault="003C0AEC" w:rsidP="006D3A45">
    <w:pPr>
      <w:pStyle w:val="Header"/>
      <w:rPr>
        <w:b/>
        <w:bCs/>
        <w:sz w:val="20"/>
        <w:szCs w:val="20"/>
      </w:rPr>
    </w:pPr>
    <w:r>
      <w:rPr>
        <w:b/>
        <w:bCs/>
        <w:sz w:val="20"/>
        <w:szCs w:val="20"/>
      </w:rPr>
      <w:t>Konsolide Finansal Tablolara İlişkin Açıklama ve Dipnotlar</w:t>
    </w:r>
    <w:r w:rsidRPr="00CF7DE4">
      <w:rPr>
        <w:b/>
        <w:bCs/>
        <w:sz w:val="20"/>
        <w:szCs w:val="20"/>
      </w:rPr>
      <w:tab/>
    </w:r>
    <w:r w:rsidRPr="00CF7DE4">
      <w:rPr>
        <w:b/>
        <w:bCs/>
        <w:sz w:val="20"/>
        <w:szCs w:val="20"/>
      </w:rPr>
      <w:tab/>
    </w:r>
  </w:p>
  <w:p w14:paraId="478E4B74" w14:textId="77777777" w:rsidR="003C0AEC" w:rsidRPr="006D3A45" w:rsidRDefault="003C0AEC" w:rsidP="003C0AEC">
    <w:pPr>
      <w:pStyle w:val="Header"/>
      <w:rPr>
        <w:sz w:val="6"/>
        <w:szCs w:val="6"/>
      </w:rPr>
    </w:pPr>
    <w:r w:rsidRPr="006D3A45">
      <w:rPr>
        <w:sz w:val="20"/>
        <w:szCs w:val="20"/>
      </w:rPr>
      <w:t>(Tutarlar aksi belirtilmedikçe Bin Türk Lirası (TL) olarak ifade edilmiştir.)</w:t>
    </w:r>
  </w:p>
  <w:p w14:paraId="2774F525" w14:textId="77777777" w:rsidR="003C0AEC" w:rsidRPr="0070331E" w:rsidRDefault="003C0AEC" w:rsidP="00921861">
    <w:pPr>
      <w:pStyle w:val="Header"/>
      <w:tabs>
        <w:tab w:val="clear" w:pos="4153"/>
        <w:tab w:val="clear" w:pos="8306"/>
        <w:tab w:val="left" w:pos="7655"/>
        <w:tab w:val="right" w:pos="9809"/>
      </w:tabs>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4F67" w14:textId="77777777" w:rsidR="00407D2D" w:rsidRDefault="00407D2D">
    <w:pPr>
      <w:pStyle w:val="Header"/>
    </w:pPr>
    <w:r w:rsidRPr="004B7B40">
      <w:rPr>
        <w:rFonts w:ascii="EYInterstate Light" w:hAnsi="EYInterstate Light"/>
        <w:noProof/>
        <w:sz w:val="20"/>
      </w:rPr>
      <mc:AlternateContent>
        <mc:Choice Requires="wps">
          <w:drawing>
            <wp:anchor distT="0" distB="0" distL="114300" distR="114300" simplePos="0" relativeHeight="251671552" behindDoc="0" locked="1" layoutInCell="1" allowOverlap="1" wp14:anchorId="2A578766" wp14:editId="7AF21264">
              <wp:simplePos x="0" y="0"/>
              <wp:positionH relativeFrom="page">
                <wp:posOffset>2708910</wp:posOffset>
              </wp:positionH>
              <wp:positionV relativeFrom="page">
                <wp:posOffset>859790</wp:posOffset>
              </wp:positionV>
              <wp:extent cx="3962400" cy="789940"/>
              <wp:effectExtent l="0" t="0" r="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407D2D" w14:paraId="52675284" w14:textId="77777777" w:rsidTr="00086B15">
                            <w:trPr>
                              <w:trHeight w:val="1335"/>
                            </w:trPr>
                            <w:tc>
                              <w:tcPr>
                                <w:tcW w:w="3194" w:type="dxa"/>
                                <w:hideMark/>
                              </w:tcPr>
                              <w:p w14:paraId="3F6035C9" w14:textId="77777777" w:rsidR="00407D2D" w:rsidRDefault="00407D2D" w:rsidP="00C946D6">
                                <w:pPr>
                                  <w:pStyle w:val="EYBusinessaddress"/>
                                </w:pPr>
                                <w:r>
                                  <w:t>Güney Bağımsız Denetim ve SMMM A.Ş.</w:t>
                                </w:r>
                              </w:p>
                              <w:p w14:paraId="68FC3583" w14:textId="77777777" w:rsidR="00407D2D" w:rsidRDefault="00407D2D" w:rsidP="00C946D6">
                                <w:pPr>
                                  <w:pStyle w:val="EYBusinessaddress"/>
                                </w:pPr>
                                <w:r>
                                  <w:t xml:space="preserve">Maslak Mah. Eski Büyükdere Cad. </w:t>
                                </w:r>
                              </w:p>
                              <w:p w14:paraId="2E9DD18F" w14:textId="77777777" w:rsidR="00407D2D" w:rsidRDefault="00407D2D" w:rsidP="00C946D6">
                                <w:pPr>
                                  <w:pStyle w:val="EYBusinessaddress"/>
                                </w:pPr>
                                <w:r>
                                  <w:t xml:space="preserve">Orjin Maslak İş Merkezi No: 27 </w:t>
                                </w:r>
                              </w:p>
                              <w:p w14:paraId="777D3529" w14:textId="77777777" w:rsidR="00407D2D" w:rsidRDefault="00407D2D" w:rsidP="00C946D6">
                                <w:pPr>
                                  <w:pStyle w:val="EYBusinessaddress"/>
                                </w:pPr>
                                <w:r>
                                  <w:t>Daire: 57 34485 Sarıyer</w:t>
                                </w:r>
                              </w:p>
                              <w:p w14:paraId="196D5A69" w14:textId="77777777" w:rsidR="00407D2D" w:rsidRDefault="00407D2D" w:rsidP="00C946D6">
                                <w:pPr>
                                  <w:pStyle w:val="EYBusinessaddress"/>
                                </w:pPr>
                                <w:r>
                                  <w:t>İstanbul - Türkiye</w:t>
                                </w:r>
                              </w:p>
                            </w:tc>
                            <w:tc>
                              <w:tcPr>
                                <w:tcW w:w="563" w:type="dxa"/>
                              </w:tcPr>
                              <w:p w14:paraId="13323302" w14:textId="77777777" w:rsidR="00407D2D" w:rsidRDefault="00407D2D" w:rsidP="00086B15">
                                <w:pPr>
                                  <w:pStyle w:val="EYBusinessaddress"/>
                                </w:pPr>
                              </w:p>
                            </w:tc>
                            <w:tc>
                              <w:tcPr>
                                <w:tcW w:w="3221" w:type="dxa"/>
                              </w:tcPr>
                              <w:p w14:paraId="07DB846F" w14:textId="77777777" w:rsidR="00407D2D" w:rsidRDefault="00407D2D" w:rsidP="00086B15">
                                <w:pPr>
                                  <w:pStyle w:val="EYBusinessaddress"/>
                                </w:pPr>
                                <w:r>
                                  <w:t>Tel: +90 212 315 3000</w:t>
                                </w:r>
                              </w:p>
                              <w:p w14:paraId="0B744C5A" w14:textId="77777777" w:rsidR="00407D2D" w:rsidRDefault="00407D2D" w:rsidP="00086B15">
                                <w:pPr>
                                  <w:pStyle w:val="EYBusinessaddress"/>
                                </w:pPr>
                                <w:r>
                                  <w:t>Fax: +90 212 230 8291</w:t>
                                </w:r>
                              </w:p>
                              <w:p w14:paraId="07A1CAC0" w14:textId="77777777" w:rsidR="00407D2D" w:rsidRDefault="00407D2D" w:rsidP="00086B15">
                                <w:pPr>
                                  <w:pStyle w:val="EYBusinessaddress"/>
                                </w:pPr>
                                <w:r>
                                  <w:t>ey.com</w:t>
                                </w:r>
                              </w:p>
                              <w:p w14:paraId="64EBE81D" w14:textId="77777777" w:rsidR="00407D2D" w:rsidRDefault="00407D2D" w:rsidP="00086B15">
                                <w:pPr>
                                  <w:pStyle w:val="EYBusinessaddress"/>
                                </w:pPr>
                                <w:r>
                                  <w:t>Ticaret Sicil No : 479920</w:t>
                                </w:r>
                              </w:p>
                              <w:p w14:paraId="49347B7F" w14:textId="77777777" w:rsidR="00407D2D" w:rsidRDefault="00407D2D" w:rsidP="00086B15">
                                <w:pPr>
                                  <w:pStyle w:val="EYBusinessaddress"/>
                                </w:pPr>
                                <w:r>
                                  <w:t>Mersis No: 0-4350-3032-6000017</w:t>
                                </w:r>
                              </w:p>
                              <w:p w14:paraId="7D72A49B" w14:textId="77777777" w:rsidR="00407D2D" w:rsidRDefault="00407D2D" w:rsidP="00086B15">
                                <w:pPr>
                                  <w:pStyle w:val="EYBusinessaddress"/>
                                </w:pPr>
                              </w:p>
                              <w:p w14:paraId="3221B69C" w14:textId="77777777" w:rsidR="00407D2D" w:rsidRDefault="00407D2D" w:rsidP="00086B15">
                                <w:pPr>
                                  <w:pStyle w:val="EYBusinessaddress"/>
                                </w:pPr>
                              </w:p>
                            </w:tc>
                          </w:tr>
                        </w:tbl>
                        <w:p w14:paraId="60D5759B" w14:textId="77777777" w:rsidR="00407D2D" w:rsidRDefault="00407D2D" w:rsidP="004B7B40">
                          <w:pPr>
                            <w:pStyle w:val="EYBusinessaddress"/>
                          </w:pPr>
                        </w:p>
                        <w:p w14:paraId="780DAB79" w14:textId="77777777" w:rsidR="00407D2D" w:rsidRDefault="00407D2D" w:rsidP="004B7B40">
                          <w:pPr>
                            <w:pStyle w:val="EYBusinessaddress"/>
                            <w:rPr>
                              <w:rFonts w:ascii="EYInterstate Light" w:hAnsi="EYInterstate Light"/>
                            </w:rPr>
                          </w:pPr>
                        </w:p>
                        <w:p w14:paraId="3F783DF0" w14:textId="77777777" w:rsidR="00407D2D" w:rsidRDefault="00407D2D" w:rsidP="004B7B40">
                          <w:pPr>
                            <w:pStyle w:val="EYBusinessaddress"/>
                          </w:pPr>
                        </w:p>
                        <w:p w14:paraId="02ECF922" w14:textId="77777777" w:rsidR="00407D2D" w:rsidRDefault="00407D2D" w:rsidP="004B7B40">
                          <w:pPr>
                            <w:pStyle w:val="EYBusinessaddress"/>
                            <w:rPr>
                              <w:rFonts w:ascii="EYInterstate Light" w:hAnsi="EYInterstate Light"/>
                            </w:rPr>
                          </w:pPr>
                        </w:p>
                        <w:p w14:paraId="581E31C4" w14:textId="77777777" w:rsidR="00407D2D" w:rsidRDefault="00407D2D" w:rsidP="004B7B40">
                          <w:pPr>
                            <w:pStyle w:val="EYBusinessaddress"/>
                          </w:pPr>
                        </w:p>
                        <w:p w14:paraId="196810B0" w14:textId="77777777" w:rsidR="00407D2D" w:rsidRDefault="00407D2D" w:rsidP="004B7B40">
                          <w:pPr>
                            <w:pStyle w:val="EYBusinessaddress"/>
                          </w:pPr>
                        </w:p>
                        <w:p w14:paraId="4854EA4E" w14:textId="77777777" w:rsidR="00407D2D" w:rsidRDefault="00407D2D" w:rsidP="004B7B40">
                          <w:pPr>
                            <w:pStyle w:val="EYBusinessaddress"/>
                          </w:pPr>
                        </w:p>
                        <w:p w14:paraId="7CAD9F47" w14:textId="77777777" w:rsidR="00407D2D" w:rsidRPr="00BD0773" w:rsidRDefault="00407D2D" w:rsidP="004B7B40">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578766" id="_x0000_t202" coordsize="21600,21600" o:spt="202" path="m,l,21600r21600,l21600,xe">
              <v:stroke joinstyle="miter"/>
              <v:path gradientshapeok="t" o:connecttype="rect"/>
            </v:shapetype>
            <v:shape id="Text Box 2" o:spid="_x0000_s1027" type="#_x0000_t202" style="position:absolute;margin-left:213.3pt;margin-top:67.7pt;width:312pt;height:62.2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vLf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407D2D" w14:paraId="52675284" w14:textId="77777777" w:rsidTr="00086B15">
                      <w:trPr>
                        <w:trHeight w:val="1335"/>
                      </w:trPr>
                      <w:tc>
                        <w:tcPr>
                          <w:tcW w:w="3194" w:type="dxa"/>
                          <w:hideMark/>
                        </w:tcPr>
                        <w:p w14:paraId="3F6035C9" w14:textId="77777777" w:rsidR="00407D2D" w:rsidRDefault="00407D2D" w:rsidP="00C946D6">
                          <w:pPr>
                            <w:pStyle w:val="EYBusinessaddress"/>
                          </w:pPr>
                          <w:r>
                            <w:t>Güney Bağımsız Denetim ve SMMM A.Ş.</w:t>
                          </w:r>
                        </w:p>
                        <w:p w14:paraId="68FC3583" w14:textId="77777777" w:rsidR="00407D2D" w:rsidRDefault="00407D2D" w:rsidP="00C946D6">
                          <w:pPr>
                            <w:pStyle w:val="EYBusinessaddress"/>
                          </w:pPr>
                          <w:r>
                            <w:t xml:space="preserve">Maslak Mah. Eski Büyükdere Cad. </w:t>
                          </w:r>
                        </w:p>
                        <w:p w14:paraId="2E9DD18F" w14:textId="77777777" w:rsidR="00407D2D" w:rsidRDefault="00407D2D" w:rsidP="00C946D6">
                          <w:pPr>
                            <w:pStyle w:val="EYBusinessaddress"/>
                          </w:pPr>
                          <w:r>
                            <w:t xml:space="preserve">Orjin Maslak İş Merkezi No: 27 </w:t>
                          </w:r>
                        </w:p>
                        <w:p w14:paraId="777D3529" w14:textId="77777777" w:rsidR="00407D2D" w:rsidRDefault="00407D2D" w:rsidP="00C946D6">
                          <w:pPr>
                            <w:pStyle w:val="EYBusinessaddress"/>
                          </w:pPr>
                          <w:r>
                            <w:t>Daire: 57 34485 Sarıyer</w:t>
                          </w:r>
                        </w:p>
                        <w:p w14:paraId="196D5A69" w14:textId="77777777" w:rsidR="00407D2D" w:rsidRDefault="00407D2D" w:rsidP="00C946D6">
                          <w:pPr>
                            <w:pStyle w:val="EYBusinessaddress"/>
                          </w:pPr>
                          <w:r>
                            <w:t>İstanbul - Türkiye</w:t>
                          </w:r>
                        </w:p>
                      </w:tc>
                      <w:tc>
                        <w:tcPr>
                          <w:tcW w:w="563" w:type="dxa"/>
                        </w:tcPr>
                        <w:p w14:paraId="13323302" w14:textId="77777777" w:rsidR="00407D2D" w:rsidRDefault="00407D2D" w:rsidP="00086B15">
                          <w:pPr>
                            <w:pStyle w:val="EYBusinessaddress"/>
                          </w:pPr>
                        </w:p>
                      </w:tc>
                      <w:tc>
                        <w:tcPr>
                          <w:tcW w:w="3221" w:type="dxa"/>
                        </w:tcPr>
                        <w:p w14:paraId="07DB846F" w14:textId="77777777" w:rsidR="00407D2D" w:rsidRDefault="00407D2D" w:rsidP="00086B15">
                          <w:pPr>
                            <w:pStyle w:val="EYBusinessaddress"/>
                          </w:pPr>
                          <w:r>
                            <w:t>Tel: +90 212 315 3000</w:t>
                          </w:r>
                        </w:p>
                        <w:p w14:paraId="0B744C5A" w14:textId="77777777" w:rsidR="00407D2D" w:rsidRDefault="00407D2D" w:rsidP="00086B15">
                          <w:pPr>
                            <w:pStyle w:val="EYBusinessaddress"/>
                          </w:pPr>
                          <w:r>
                            <w:t>Fax: +90 212 230 8291</w:t>
                          </w:r>
                        </w:p>
                        <w:p w14:paraId="07A1CAC0" w14:textId="77777777" w:rsidR="00407D2D" w:rsidRDefault="00407D2D" w:rsidP="00086B15">
                          <w:pPr>
                            <w:pStyle w:val="EYBusinessaddress"/>
                          </w:pPr>
                          <w:r>
                            <w:t>ey.com</w:t>
                          </w:r>
                        </w:p>
                        <w:p w14:paraId="64EBE81D" w14:textId="77777777" w:rsidR="00407D2D" w:rsidRDefault="00407D2D" w:rsidP="00086B15">
                          <w:pPr>
                            <w:pStyle w:val="EYBusinessaddress"/>
                          </w:pPr>
                          <w:r>
                            <w:t>Ticaret Sicil No : 479920</w:t>
                          </w:r>
                        </w:p>
                        <w:p w14:paraId="49347B7F" w14:textId="77777777" w:rsidR="00407D2D" w:rsidRDefault="00407D2D" w:rsidP="00086B15">
                          <w:pPr>
                            <w:pStyle w:val="EYBusinessaddress"/>
                          </w:pPr>
                          <w:r>
                            <w:t>Mersis No: 0-4350-3032-6000017</w:t>
                          </w:r>
                        </w:p>
                        <w:p w14:paraId="7D72A49B" w14:textId="77777777" w:rsidR="00407D2D" w:rsidRDefault="00407D2D" w:rsidP="00086B15">
                          <w:pPr>
                            <w:pStyle w:val="EYBusinessaddress"/>
                          </w:pPr>
                        </w:p>
                        <w:p w14:paraId="3221B69C" w14:textId="77777777" w:rsidR="00407D2D" w:rsidRDefault="00407D2D" w:rsidP="00086B15">
                          <w:pPr>
                            <w:pStyle w:val="EYBusinessaddress"/>
                          </w:pPr>
                        </w:p>
                      </w:tc>
                    </w:tr>
                  </w:tbl>
                  <w:p w14:paraId="60D5759B" w14:textId="77777777" w:rsidR="00407D2D" w:rsidRDefault="00407D2D" w:rsidP="004B7B40">
                    <w:pPr>
                      <w:pStyle w:val="EYBusinessaddress"/>
                    </w:pPr>
                  </w:p>
                  <w:p w14:paraId="780DAB79" w14:textId="77777777" w:rsidR="00407D2D" w:rsidRDefault="00407D2D" w:rsidP="004B7B40">
                    <w:pPr>
                      <w:pStyle w:val="EYBusinessaddress"/>
                      <w:rPr>
                        <w:rFonts w:ascii="EYInterstate Light" w:hAnsi="EYInterstate Light"/>
                      </w:rPr>
                    </w:pPr>
                  </w:p>
                  <w:p w14:paraId="3F783DF0" w14:textId="77777777" w:rsidR="00407D2D" w:rsidRDefault="00407D2D" w:rsidP="004B7B40">
                    <w:pPr>
                      <w:pStyle w:val="EYBusinessaddress"/>
                    </w:pPr>
                  </w:p>
                  <w:p w14:paraId="02ECF922" w14:textId="77777777" w:rsidR="00407D2D" w:rsidRDefault="00407D2D" w:rsidP="004B7B40">
                    <w:pPr>
                      <w:pStyle w:val="EYBusinessaddress"/>
                      <w:rPr>
                        <w:rFonts w:ascii="EYInterstate Light" w:hAnsi="EYInterstate Light"/>
                      </w:rPr>
                    </w:pPr>
                  </w:p>
                  <w:p w14:paraId="581E31C4" w14:textId="77777777" w:rsidR="00407D2D" w:rsidRDefault="00407D2D" w:rsidP="004B7B40">
                    <w:pPr>
                      <w:pStyle w:val="EYBusinessaddress"/>
                    </w:pPr>
                  </w:p>
                  <w:p w14:paraId="196810B0" w14:textId="77777777" w:rsidR="00407D2D" w:rsidRDefault="00407D2D" w:rsidP="004B7B40">
                    <w:pPr>
                      <w:pStyle w:val="EYBusinessaddress"/>
                    </w:pPr>
                  </w:p>
                  <w:p w14:paraId="4854EA4E" w14:textId="77777777" w:rsidR="00407D2D" w:rsidRDefault="00407D2D" w:rsidP="004B7B40">
                    <w:pPr>
                      <w:pStyle w:val="EYBusinessaddress"/>
                    </w:pPr>
                  </w:p>
                  <w:p w14:paraId="7CAD9F47" w14:textId="77777777" w:rsidR="00407D2D" w:rsidRPr="00BD0773" w:rsidRDefault="00407D2D" w:rsidP="004B7B40">
                    <w:pPr>
                      <w:pStyle w:val="EYBusinessaddress"/>
                      <w:rPr>
                        <w:color w:val="747480"/>
                      </w:rPr>
                    </w:pPr>
                  </w:p>
                </w:txbxContent>
              </v:textbox>
              <w10:wrap type="square" anchorx="page" anchory="page"/>
              <w10:anchorlock/>
            </v:shape>
          </w:pict>
        </mc:Fallback>
      </mc:AlternateContent>
    </w:r>
    <w:r w:rsidRPr="004B7B40">
      <w:rPr>
        <w:rFonts w:ascii="EYInterstate Light" w:hAnsi="EYInterstate Light"/>
        <w:noProof/>
        <w:sz w:val="20"/>
      </w:rPr>
      <w:drawing>
        <wp:anchor distT="0" distB="0" distL="114300" distR="114300" simplePos="0" relativeHeight="251672576" behindDoc="1" locked="0" layoutInCell="1" allowOverlap="1" wp14:anchorId="33B88B54" wp14:editId="49C5D8E0">
          <wp:simplePos x="0" y="0"/>
          <wp:positionH relativeFrom="margin">
            <wp:posOffset>-31750</wp:posOffset>
          </wp:positionH>
          <wp:positionV relativeFrom="paragraph">
            <wp:posOffset>62865</wp:posOffset>
          </wp:positionV>
          <wp:extent cx="1080000" cy="1138319"/>
          <wp:effectExtent l="0" t="0" r="6350" b="5080"/>
          <wp:wrapNone/>
          <wp:docPr id="2052"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22878" w14:textId="77777777" w:rsidR="00CA5498" w:rsidRDefault="00CA5498">
    <w:pPr>
      <w:pStyle w:val="Header"/>
    </w:pPr>
    <w:r w:rsidRPr="004B7B40">
      <w:rPr>
        <w:rFonts w:ascii="EYInterstate Light" w:hAnsi="EYInterstate Light"/>
        <w:noProof/>
        <w:sz w:val="20"/>
      </w:rPr>
      <mc:AlternateContent>
        <mc:Choice Requires="wps">
          <w:drawing>
            <wp:anchor distT="0" distB="0" distL="114300" distR="114300" simplePos="0" relativeHeight="251677696" behindDoc="0" locked="1" layoutInCell="1" allowOverlap="1" wp14:anchorId="5CB78E49" wp14:editId="2248C64A">
              <wp:simplePos x="0" y="0"/>
              <wp:positionH relativeFrom="page">
                <wp:posOffset>2710815</wp:posOffset>
              </wp:positionH>
              <wp:positionV relativeFrom="page">
                <wp:posOffset>857885</wp:posOffset>
              </wp:positionV>
              <wp:extent cx="328295" cy="95885"/>
              <wp:effectExtent l="0" t="0" r="14605"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95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4"/>
                            <w:gridCol w:w="46"/>
                            <w:gridCol w:w="237"/>
                          </w:tblGrid>
                          <w:tr w:rsidR="00CA5498" w14:paraId="06CC85EA" w14:textId="77777777" w:rsidTr="00CA5498">
                            <w:trPr>
                              <w:trHeight w:val="1335"/>
                            </w:trPr>
                            <w:tc>
                              <w:tcPr>
                                <w:tcW w:w="3194" w:type="dxa"/>
                              </w:tcPr>
                              <w:p w14:paraId="4FCB4E8A" w14:textId="4AF0141B" w:rsidR="00CA5498" w:rsidRDefault="00CA5498" w:rsidP="00C946D6">
                                <w:pPr>
                                  <w:pStyle w:val="EYBusinessaddress"/>
                                </w:pPr>
                              </w:p>
                            </w:tc>
                            <w:tc>
                              <w:tcPr>
                                <w:tcW w:w="563" w:type="dxa"/>
                              </w:tcPr>
                              <w:p w14:paraId="4590F2BA" w14:textId="77777777" w:rsidR="00CA5498" w:rsidRDefault="00CA5498" w:rsidP="00086B15">
                                <w:pPr>
                                  <w:pStyle w:val="EYBusinessaddress"/>
                                </w:pPr>
                              </w:p>
                            </w:tc>
                            <w:tc>
                              <w:tcPr>
                                <w:tcW w:w="3221" w:type="dxa"/>
                              </w:tcPr>
                              <w:p w14:paraId="58CB3567" w14:textId="77777777" w:rsidR="00CA5498" w:rsidRDefault="00CA5498" w:rsidP="00086B15">
                                <w:pPr>
                                  <w:pStyle w:val="EYBusinessaddress"/>
                                </w:pPr>
                              </w:p>
                            </w:tc>
                          </w:tr>
                        </w:tbl>
                        <w:p w14:paraId="6F3A1F26" w14:textId="77777777" w:rsidR="00CA5498" w:rsidRDefault="00CA5498" w:rsidP="004B7B40">
                          <w:pPr>
                            <w:pStyle w:val="EYBusinessaddress"/>
                          </w:pPr>
                        </w:p>
                        <w:p w14:paraId="23C9D70A" w14:textId="77777777" w:rsidR="00CA5498" w:rsidRDefault="00CA5498" w:rsidP="004B7B40">
                          <w:pPr>
                            <w:pStyle w:val="EYBusinessaddress"/>
                            <w:rPr>
                              <w:rFonts w:ascii="EYInterstate Light" w:hAnsi="EYInterstate Light"/>
                            </w:rPr>
                          </w:pPr>
                        </w:p>
                        <w:p w14:paraId="114B5335" w14:textId="77777777" w:rsidR="00CA5498" w:rsidRDefault="00CA5498" w:rsidP="004B7B40">
                          <w:pPr>
                            <w:pStyle w:val="EYBusinessaddress"/>
                          </w:pPr>
                        </w:p>
                        <w:p w14:paraId="11C3D10D" w14:textId="77777777" w:rsidR="00CA5498" w:rsidRDefault="00CA5498" w:rsidP="004B7B40">
                          <w:pPr>
                            <w:pStyle w:val="EYBusinessaddress"/>
                            <w:rPr>
                              <w:rFonts w:ascii="EYInterstate Light" w:hAnsi="EYInterstate Light"/>
                            </w:rPr>
                          </w:pPr>
                        </w:p>
                        <w:p w14:paraId="2037AD6D" w14:textId="77777777" w:rsidR="00CA5498" w:rsidRDefault="00CA5498" w:rsidP="004B7B40">
                          <w:pPr>
                            <w:pStyle w:val="EYBusinessaddress"/>
                          </w:pPr>
                        </w:p>
                        <w:p w14:paraId="1304EFF0" w14:textId="77777777" w:rsidR="00CA5498" w:rsidRDefault="00CA5498" w:rsidP="004B7B40">
                          <w:pPr>
                            <w:pStyle w:val="EYBusinessaddress"/>
                          </w:pPr>
                        </w:p>
                        <w:p w14:paraId="3F758CA6" w14:textId="77777777" w:rsidR="00CA5498" w:rsidRDefault="00CA5498" w:rsidP="004B7B40">
                          <w:pPr>
                            <w:pStyle w:val="EYBusinessaddress"/>
                          </w:pPr>
                        </w:p>
                        <w:p w14:paraId="1BA19A91" w14:textId="77777777" w:rsidR="00CA5498" w:rsidRPr="00BD0773" w:rsidRDefault="00CA5498" w:rsidP="004B7B40">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B78E49" id="_x0000_t202" coordsize="21600,21600" o:spt="202" path="m,l,21600r21600,l21600,xe">
              <v:stroke joinstyle="miter"/>
              <v:path gradientshapeok="t" o:connecttype="rect"/>
            </v:shapetype>
            <v:shape id="Text Box 1" o:spid="_x0000_s1029" type="#_x0000_t202" style="position:absolute;margin-left:213.45pt;margin-top:67.55pt;width:25.85pt;height:7.5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4"/>
                      <w:gridCol w:w="46"/>
                      <w:gridCol w:w="237"/>
                    </w:tblGrid>
                    <w:tr w:rsidR="00CA5498" w14:paraId="06CC85EA" w14:textId="77777777" w:rsidTr="00CA5498">
                      <w:trPr>
                        <w:trHeight w:val="1335"/>
                      </w:trPr>
                      <w:tc>
                        <w:tcPr>
                          <w:tcW w:w="3194" w:type="dxa"/>
                        </w:tcPr>
                        <w:p w14:paraId="4FCB4E8A" w14:textId="4AF0141B" w:rsidR="00CA5498" w:rsidRDefault="00CA5498" w:rsidP="00C946D6">
                          <w:pPr>
                            <w:pStyle w:val="EYBusinessaddress"/>
                          </w:pPr>
                        </w:p>
                      </w:tc>
                      <w:tc>
                        <w:tcPr>
                          <w:tcW w:w="563" w:type="dxa"/>
                        </w:tcPr>
                        <w:p w14:paraId="4590F2BA" w14:textId="77777777" w:rsidR="00CA5498" w:rsidRDefault="00CA5498" w:rsidP="00086B15">
                          <w:pPr>
                            <w:pStyle w:val="EYBusinessaddress"/>
                          </w:pPr>
                        </w:p>
                      </w:tc>
                      <w:tc>
                        <w:tcPr>
                          <w:tcW w:w="3221" w:type="dxa"/>
                        </w:tcPr>
                        <w:p w14:paraId="58CB3567" w14:textId="77777777" w:rsidR="00CA5498" w:rsidRDefault="00CA5498" w:rsidP="00086B15">
                          <w:pPr>
                            <w:pStyle w:val="EYBusinessaddress"/>
                          </w:pPr>
                        </w:p>
                      </w:tc>
                    </w:tr>
                  </w:tbl>
                  <w:p w14:paraId="6F3A1F26" w14:textId="77777777" w:rsidR="00CA5498" w:rsidRDefault="00CA5498" w:rsidP="004B7B40">
                    <w:pPr>
                      <w:pStyle w:val="EYBusinessaddress"/>
                    </w:pPr>
                  </w:p>
                  <w:p w14:paraId="23C9D70A" w14:textId="77777777" w:rsidR="00CA5498" w:rsidRDefault="00CA5498" w:rsidP="004B7B40">
                    <w:pPr>
                      <w:pStyle w:val="EYBusinessaddress"/>
                      <w:rPr>
                        <w:rFonts w:ascii="EYInterstate Light" w:hAnsi="EYInterstate Light"/>
                      </w:rPr>
                    </w:pPr>
                  </w:p>
                  <w:p w14:paraId="114B5335" w14:textId="77777777" w:rsidR="00CA5498" w:rsidRDefault="00CA5498" w:rsidP="004B7B40">
                    <w:pPr>
                      <w:pStyle w:val="EYBusinessaddress"/>
                    </w:pPr>
                  </w:p>
                  <w:p w14:paraId="11C3D10D" w14:textId="77777777" w:rsidR="00CA5498" w:rsidRDefault="00CA5498" w:rsidP="004B7B40">
                    <w:pPr>
                      <w:pStyle w:val="EYBusinessaddress"/>
                      <w:rPr>
                        <w:rFonts w:ascii="EYInterstate Light" w:hAnsi="EYInterstate Light"/>
                      </w:rPr>
                    </w:pPr>
                  </w:p>
                  <w:p w14:paraId="2037AD6D" w14:textId="77777777" w:rsidR="00CA5498" w:rsidRDefault="00CA5498" w:rsidP="004B7B40">
                    <w:pPr>
                      <w:pStyle w:val="EYBusinessaddress"/>
                    </w:pPr>
                  </w:p>
                  <w:p w14:paraId="1304EFF0" w14:textId="77777777" w:rsidR="00CA5498" w:rsidRDefault="00CA5498" w:rsidP="004B7B40">
                    <w:pPr>
                      <w:pStyle w:val="EYBusinessaddress"/>
                    </w:pPr>
                  </w:p>
                  <w:p w14:paraId="3F758CA6" w14:textId="77777777" w:rsidR="00CA5498" w:rsidRDefault="00CA5498" w:rsidP="004B7B40">
                    <w:pPr>
                      <w:pStyle w:val="EYBusinessaddress"/>
                    </w:pPr>
                  </w:p>
                  <w:p w14:paraId="1BA19A91" w14:textId="77777777" w:rsidR="00CA5498" w:rsidRPr="00BD0773" w:rsidRDefault="00CA5498" w:rsidP="004B7B40">
                    <w:pPr>
                      <w:pStyle w:val="EYBusinessaddress"/>
                      <w:rPr>
                        <w:color w:val="747480"/>
                      </w:rPr>
                    </w:pPr>
                  </w:p>
                </w:txbxContent>
              </v:textbox>
              <w10:wrap type="square" anchorx="page" anchory="page"/>
              <w10:anchorlock/>
            </v:shape>
          </w:pict>
        </mc:Fallback>
      </mc:AlternateContent>
    </w:r>
    <w:r w:rsidRPr="004B7B40">
      <w:rPr>
        <w:rFonts w:ascii="EYInterstate Light" w:hAnsi="EYInterstate Light"/>
        <w:noProof/>
        <w:sz w:val="20"/>
      </w:rPr>
      <w:drawing>
        <wp:anchor distT="0" distB="0" distL="114300" distR="114300" simplePos="0" relativeHeight="251678720" behindDoc="1" locked="0" layoutInCell="1" allowOverlap="1" wp14:anchorId="3DF16C9C" wp14:editId="71E074DC">
          <wp:simplePos x="0" y="0"/>
          <wp:positionH relativeFrom="margin">
            <wp:posOffset>-31750</wp:posOffset>
          </wp:positionH>
          <wp:positionV relativeFrom="paragraph">
            <wp:posOffset>62865</wp:posOffset>
          </wp:positionV>
          <wp:extent cx="1080000" cy="1138319"/>
          <wp:effectExtent l="0" t="0" r="6350" b="5080"/>
          <wp:wrapNone/>
          <wp:docPr id="3"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CF14E" w14:textId="75A7A906" w:rsidR="0026742F" w:rsidRPr="00636B98" w:rsidRDefault="0026742F" w:rsidP="00636B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79ED6" w14:textId="26788BCB" w:rsidR="00367975" w:rsidRDefault="00367975" w:rsidP="00D6609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0D12" w14:textId="77777777" w:rsidR="002458B6" w:rsidRDefault="002458B6" w:rsidP="00921861">
    <w:pPr>
      <w:pStyle w:val="Header"/>
      <w:tabs>
        <w:tab w:val="clear" w:pos="4153"/>
        <w:tab w:val="clear" w:pos="8306"/>
        <w:tab w:val="left" w:pos="7655"/>
      </w:tabs>
      <w:rPr>
        <w:b/>
        <w:bCs/>
        <w:sz w:val="20"/>
        <w:szCs w:val="20"/>
      </w:rPr>
    </w:pPr>
    <w:r>
      <w:rPr>
        <w:b/>
        <w:bCs/>
        <w:sz w:val="20"/>
        <w:szCs w:val="20"/>
      </w:rPr>
      <w:t>TÜRKİYE KALKINMA VE YATIRIM BANKASI A.Ş.</w:t>
    </w:r>
  </w:p>
  <w:p w14:paraId="42F0442E" w14:textId="77777777" w:rsidR="002458B6" w:rsidRDefault="002458B6" w:rsidP="00921861">
    <w:pPr>
      <w:pStyle w:val="Header"/>
      <w:tabs>
        <w:tab w:val="clear" w:pos="4153"/>
        <w:tab w:val="clear" w:pos="8306"/>
        <w:tab w:val="left" w:pos="7655"/>
      </w:tabs>
      <w:rPr>
        <w:b/>
        <w:bCs/>
        <w:sz w:val="20"/>
        <w:szCs w:val="20"/>
      </w:rPr>
    </w:pPr>
    <w:r>
      <w:rPr>
        <w:b/>
        <w:bCs/>
        <w:sz w:val="20"/>
        <w:szCs w:val="20"/>
      </w:rPr>
      <w:t>31 Mart 2018 Tarihi İtibarıyla Hazırlanan Konsolide Olmayan</w:t>
    </w:r>
  </w:p>
  <w:p w14:paraId="16746DFB" w14:textId="77777777" w:rsidR="002458B6" w:rsidRDefault="002458B6"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BAC04C9" w14:textId="77777777" w:rsidR="002458B6" w:rsidRDefault="002458B6"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61405B40" w14:textId="77777777" w:rsidR="002458B6" w:rsidRPr="0070331E" w:rsidRDefault="002458B6" w:rsidP="00921861">
    <w:pPr>
      <w:pStyle w:val="Header"/>
      <w:tabs>
        <w:tab w:val="clear" w:pos="4153"/>
        <w:tab w:val="clear" w:pos="8306"/>
        <w:tab w:val="left" w:pos="7655"/>
        <w:tab w:val="right" w:pos="9809"/>
      </w:tabs>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A6E2F" w14:textId="77777777" w:rsidR="002458B6" w:rsidRDefault="002458B6" w:rsidP="00B36D66">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4511C88E" w14:textId="7F18BBD9" w:rsidR="002458B6" w:rsidRDefault="00A1696E" w:rsidP="00B36D66">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A7725E">
      <w:rPr>
        <w:b/>
        <w:bCs/>
        <w:sz w:val="20"/>
        <w:szCs w:val="20"/>
      </w:rPr>
      <w:t xml:space="preserve"> </w:t>
    </w:r>
    <w:r w:rsidR="002458B6">
      <w:rPr>
        <w:b/>
        <w:bCs/>
        <w:sz w:val="20"/>
        <w:szCs w:val="20"/>
      </w:rPr>
      <w:t>202</w:t>
    </w:r>
    <w:r w:rsidR="009D78E1">
      <w:rPr>
        <w:b/>
        <w:bCs/>
        <w:sz w:val="20"/>
        <w:szCs w:val="20"/>
      </w:rPr>
      <w:t>5</w:t>
    </w:r>
    <w:r w:rsidR="002458B6">
      <w:rPr>
        <w:b/>
        <w:bCs/>
        <w:sz w:val="20"/>
        <w:szCs w:val="20"/>
      </w:rPr>
      <w:t xml:space="preserve"> Tarihi İtibarıyla </w:t>
    </w:r>
  </w:p>
  <w:p w14:paraId="5647D45D" w14:textId="3F86845D" w:rsidR="002458B6" w:rsidRPr="00921861" w:rsidRDefault="002458B6" w:rsidP="00B36D66">
    <w:pPr>
      <w:pStyle w:val="Header"/>
      <w:tabs>
        <w:tab w:val="clear" w:pos="4153"/>
        <w:tab w:val="clear" w:pos="8306"/>
        <w:tab w:val="left" w:pos="7159"/>
        <w:tab w:val="left" w:pos="7655"/>
      </w:tabs>
      <w:rPr>
        <w:b/>
        <w:bCs/>
        <w:sz w:val="20"/>
        <w:szCs w:val="20"/>
      </w:rPr>
    </w:pPr>
    <w:r>
      <w:rPr>
        <w:b/>
        <w:bCs/>
        <w:sz w:val="20"/>
        <w:szCs w:val="20"/>
      </w:rPr>
      <w:t>Konsolide Finansal Tablolara İlişkin Açıklama ve Dipnotlar</w:t>
    </w:r>
    <w:r>
      <w:rPr>
        <w:b/>
        <w:bCs/>
        <w:sz w:val="20"/>
        <w:szCs w:val="20"/>
      </w:rPr>
      <w:tab/>
    </w:r>
    <w:r>
      <w:rPr>
        <w:b/>
        <w:bCs/>
        <w:sz w:val="20"/>
        <w:szCs w:val="20"/>
      </w:rPr>
      <w:tab/>
    </w:r>
  </w:p>
  <w:p w14:paraId="1CAAD964" w14:textId="1A0ADDA8" w:rsidR="002458B6" w:rsidRDefault="002458B6" w:rsidP="00B36D66">
    <w:pPr>
      <w:pStyle w:val="Header"/>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2DE62F21" w14:textId="77777777" w:rsidR="00776C32" w:rsidRPr="00776C32" w:rsidRDefault="00776C32" w:rsidP="00B36D66">
    <w:pPr>
      <w:pStyle w:val="Header"/>
      <w:rPr>
        <w:sz w:val="10"/>
        <w:szCs w:val="1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CF520" w14:textId="77777777" w:rsidR="002458B6" w:rsidRDefault="002458B6" w:rsidP="00921861">
    <w:pPr>
      <w:pStyle w:val="Header"/>
      <w:tabs>
        <w:tab w:val="clear" w:pos="4153"/>
        <w:tab w:val="clear" w:pos="8306"/>
        <w:tab w:val="left" w:pos="7655"/>
      </w:tabs>
      <w:rPr>
        <w:b/>
        <w:bCs/>
        <w:sz w:val="20"/>
        <w:szCs w:val="20"/>
      </w:rPr>
    </w:pPr>
    <w:r>
      <w:rPr>
        <w:b/>
        <w:bCs/>
        <w:sz w:val="20"/>
        <w:szCs w:val="20"/>
      </w:rPr>
      <w:t>TÜRKİYE KALKINMA VE YATIRIM BANKASI A.Ş.</w:t>
    </w:r>
  </w:p>
  <w:p w14:paraId="62047875" w14:textId="06D7329A" w:rsidR="002458B6" w:rsidRDefault="007D1D0A" w:rsidP="00E160FD">
    <w:pPr>
      <w:pStyle w:val="Header"/>
      <w:tabs>
        <w:tab w:val="clear" w:pos="4153"/>
        <w:tab w:val="clear" w:pos="8306"/>
        <w:tab w:val="left" w:pos="7655"/>
      </w:tabs>
      <w:rPr>
        <w:b/>
        <w:bCs/>
        <w:sz w:val="20"/>
        <w:szCs w:val="20"/>
      </w:rPr>
    </w:pPr>
    <w:r>
      <w:rPr>
        <w:b/>
        <w:bCs/>
        <w:sz w:val="20"/>
        <w:szCs w:val="20"/>
      </w:rPr>
      <w:t>3</w:t>
    </w:r>
    <w:r w:rsidR="007C75FB">
      <w:rPr>
        <w:b/>
        <w:bCs/>
        <w:sz w:val="20"/>
        <w:szCs w:val="20"/>
      </w:rPr>
      <w:t>0</w:t>
    </w:r>
    <w:r>
      <w:rPr>
        <w:b/>
        <w:bCs/>
        <w:sz w:val="20"/>
        <w:szCs w:val="20"/>
      </w:rPr>
      <w:t xml:space="preserve"> </w:t>
    </w:r>
    <w:r w:rsidR="007C75FB">
      <w:rPr>
        <w:b/>
        <w:bCs/>
        <w:sz w:val="20"/>
        <w:szCs w:val="20"/>
      </w:rPr>
      <w:t>Haziran</w:t>
    </w:r>
    <w:r w:rsidR="00A7725E">
      <w:rPr>
        <w:b/>
        <w:bCs/>
        <w:sz w:val="20"/>
        <w:szCs w:val="20"/>
      </w:rPr>
      <w:t xml:space="preserve"> </w:t>
    </w:r>
    <w:r w:rsidR="002458B6">
      <w:rPr>
        <w:b/>
        <w:bCs/>
        <w:sz w:val="20"/>
        <w:szCs w:val="20"/>
      </w:rPr>
      <w:t>202</w:t>
    </w:r>
    <w:r w:rsidR="009D78E1">
      <w:rPr>
        <w:b/>
        <w:bCs/>
        <w:sz w:val="20"/>
        <w:szCs w:val="20"/>
      </w:rPr>
      <w:t>5</w:t>
    </w:r>
    <w:r w:rsidR="002458B6" w:rsidRPr="0014634B">
      <w:rPr>
        <w:b/>
        <w:bCs/>
        <w:sz w:val="20"/>
        <w:szCs w:val="20"/>
      </w:rPr>
      <w:t xml:space="preserve"> </w:t>
    </w:r>
    <w:r w:rsidR="002458B6">
      <w:rPr>
        <w:b/>
        <w:bCs/>
        <w:sz w:val="20"/>
        <w:szCs w:val="20"/>
      </w:rPr>
      <w:t xml:space="preserve">Tarihi İtibarıyla </w:t>
    </w:r>
  </w:p>
  <w:p w14:paraId="608E044F" w14:textId="165B051A" w:rsidR="002458B6" w:rsidRDefault="002458B6" w:rsidP="00E160FD">
    <w:pPr>
      <w:pStyle w:val="Header"/>
      <w:tabs>
        <w:tab w:val="clear" w:pos="4153"/>
        <w:tab w:val="clear" w:pos="8306"/>
        <w:tab w:val="left" w:pos="7159"/>
        <w:tab w:val="left" w:pos="7655"/>
      </w:tabs>
      <w:rPr>
        <w:b/>
        <w:bCs/>
        <w:sz w:val="20"/>
        <w:szCs w:val="20"/>
      </w:rPr>
    </w:pPr>
    <w:r>
      <w:rPr>
        <w:b/>
        <w:bCs/>
        <w:sz w:val="20"/>
        <w:szCs w:val="20"/>
      </w:rPr>
      <w:t>Konsolide Finansal Tablolara İlişkin Açıklama ve Dipnotlar</w:t>
    </w:r>
    <w:r>
      <w:rPr>
        <w:b/>
        <w:bCs/>
        <w:sz w:val="20"/>
        <w:szCs w:val="20"/>
      </w:rPr>
      <w:tab/>
    </w:r>
    <w:r>
      <w:rPr>
        <w:b/>
        <w:bCs/>
        <w:sz w:val="20"/>
        <w:szCs w:val="20"/>
      </w:rPr>
      <w:tab/>
    </w:r>
  </w:p>
  <w:p w14:paraId="43482271" w14:textId="77777777" w:rsidR="002458B6" w:rsidRDefault="002458B6"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415E176D" w14:textId="77777777" w:rsidR="002458B6" w:rsidRPr="0070331E" w:rsidRDefault="002458B6" w:rsidP="00921861">
    <w:pPr>
      <w:pStyle w:val="Header"/>
      <w:tabs>
        <w:tab w:val="clear" w:pos="4153"/>
        <w:tab w:val="clear" w:pos="8306"/>
        <w:tab w:val="left" w:pos="7655"/>
        <w:tab w:val="right" w:pos="9809"/>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5DD"/>
    <w:multiLevelType w:val="hybridMultilevel"/>
    <w:tmpl w:val="63088F66"/>
    <w:lvl w:ilvl="0" w:tplc="311EC432">
      <w:start w:val="1"/>
      <w:numFmt w:val="lowerRoman"/>
      <w:lvlText w:val="%1-"/>
      <w:lvlJc w:val="left"/>
      <w:pPr>
        <w:ind w:left="1732" w:hanging="720"/>
      </w:pPr>
      <w:rPr>
        <w:rFonts w:hint="default"/>
      </w:rPr>
    </w:lvl>
    <w:lvl w:ilvl="1" w:tplc="041F0019">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1" w15:restartNumberingAfterBreak="0">
    <w:nsid w:val="079633C2"/>
    <w:multiLevelType w:val="hybridMultilevel"/>
    <w:tmpl w:val="A61E6820"/>
    <w:lvl w:ilvl="0" w:tplc="0409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14665430"/>
    <w:multiLevelType w:val="hybridMultilevel"/>
    <w:tmpl w:val="1EC6D58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 w15:restartNumberingAfterBreak="0">
    <w:nsid w:val="15830518"/>
    <w:multiLevelType w:val="multilevel"/>
    <w:tmpl w:val="041F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 w15:restartNumberingAfterBreak="0">
    <w:nsid w:val="17E97077"/>
    <w:multiLevelType w:val="hybridMultilevel"/>
    <w:tmpl w:val="AFB2C3F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A7F2CCB"/>
    <w:multiLevelType w:val="hybridMultilevel"/>
    <w:tmpl w:val="79448CEE"/>
    <w:lvl w:ilvl="0" w:tplc="041F0017">
      <w:start w:val="1"/>
      <w:numFmt w:val="lowerLetter"/>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6" w15:restartNumberingAfterBreak="0">
    <w:nsid w:val="1C0F2155"/>
    <w:multiLevelType w:val="hybridMultilevel"/>
    <w:tmpl w:val="63868FF0"/>
    <w:lvl w:ilvl="0" w:tplc="45344F8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7" w15:restartNumberingAfterBreak="0">
    <w:nsid w:val="1D21328B"/>
    <w:multiLevelType w:val="hybridMultilevel"/>
    <w:tmpl w:val="90E87720"/>
    <w:lvl w:ilvl="0" w:tplc="999C8F9A">
      <w:start w:val="1"/>
      <w:numFmt w:val="lowerLetter"/>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8" w15:restartNumberingAfterBreak="0">
    <w:nsid w:val="1E902DE3"/>
    <w:multiLevelType w:val="hybridMultilevel"/>
    <w:tmpl w:val="7FEC1C32"/>
    <w:lvl w:ilvl="0" w:tplc="13029C5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C1CE5"/>
    <w:multiLevelType w:val="hybridMultilevel"/>
    <w:tmpl w:val="3D5EC486"/>
    <w:lvl w:ilvl="0" w:tplc="ECB471E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C4A42A9"/>
    <w:multiLevelType w:val="hybridMultilevel"/>
    <w:tmpl w:val="24AE739C"/>
    <w:lvl w:ilvl="0" w:tplc="C8645A98">
      <w:start w:val="1"/>
      <w:numFmt w:val="upperRoman"/>
      <w:lvlText w:val="%1."/>
      <w:lvlJc w:val="right"/>
      <w:pPr>
        <w:tabs>
          <w:tab w:val="num" w:pos="720"/>
        </w:tabs>
        <w:ind w:left="720" w:hanging="720"/>
      </w:pPr>
      <w:rPr>
        <w:rFonts w:hint="default"/>
        <w:b/>
        <w:sz w:val="22"/>
        <w:szCs w:val="22"/>
      </w:rPr>
    </w:lvl>
    <w:lvl w:ilvl="1" w:tplc="2CAADA34">
      <w:start w:val="30"/>
      <w:numFmt w:val="decimal"/>
      <w:lvlText w:val="%2"/>
      <w:lvlJc w:val="left"/>
      <w:pPr>
        <w:ind w:left="1140" w:hanging="360"/>
      </w:pPr>
      <w:rPr>
        <w:rFonts w:hint="default"/>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2" w15:restartNumberingAfterBreak="0">
    <w:nsid w:val="2DA01F08"/>
    <w:multiLevelType w:val="hybridMultilevel"/>
    <w:tmpl w:val="8B967EC6"/>
    <w:lvl w:ilvl="0" w:tplc="FD44E7EA">
      <w:start w:val="1"/>
      <w:numFmt w:val="lowerRoman"/>
      <w:lvlText w:val="%1)"/>
      <w:lvlJc w:val="left"/>
      <w:pPr>
        <w:ind w:left="862"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FF87DE7"/>
    <w:multiLevelType w:val="hybridMultilevel"/>
    <w:tmpl w:val="4D66C212"/>
    <w:lvl w:ilvl="0" w:tplc="D7009C2C">
      <w:start w:val="1"/>
      <w:numFmt w:val="decimal"/>
      <w:lvlText w:val="(%1)"/>
      <w:lvlJc w:val="left"/>
      <w:pPr>
        <w:ind w:left="927" w:hanging="360"/>
      </w:pPr>
      <w:rPr>
        <w:rFonts w:hint="default"/>
        <w:b w:val="0"/>
        <w:i w:val="0"/>
        <w:sz w:val="16"/>
        <w:szCs w:val="16"/>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4" w15:restartNumberingAfterBreak="0">
    <w:nsid w:val="30B966FF"/>
    <w:multiLevelType w:val="multilevel"/>
    <w:tmpl w:val="9F564F80"/>
    <w:lvl w:ilvl="0">
      <w:start w:val="2"/>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16" w15:restartNumberingAfterBreak="0">
    <w:nsid w:val="342B0CE4"/>
    <w:multiLevelType w:val="hybridMultilevel"/>
    <w:tmpl w:val="A3AA4DD0"/>
    <w:lvl w:ilvl="0" w:tplc="479A4222">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35E266F3"/>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6845B8"/>
    <w:multiLevelType w:val="hybridMultilevel"/>
    <w:tmpl w:val="1DC4324A"/>
    <w:lvl w:ilvl="0" w:tplc="ED0A249E">
      <w:start w:val="225"/>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D38459E"/>
    <w:multiLevelType w:val="multilevel"/>
    <w:tmpl w:val="F88815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E1C6E45"/>
    <w:multiLevelType w:val="hybridMultilevel"/>
    <w:tmpl w:val="0C10390E"/>
    <w:lvl w:ilvl="0" w:tplc="AD1201A8">
      <w:start w:val="24"/>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1" w15:restartNumberingAfterBreak="0">
    <w:nsid w:val="41785EFC"/>
    <w:multiLevelType w:val="hybridMultilevel"/>
    <w:tmpl w:val="69CACC88"/>
    <w:lvl w:ilvl="0" w:tplc="CC3810A2">
      <w:start w:val="1"/>
      <w:numFmt w:val="decimal"/>
      <w:lvlText w:val="(%1)"/>
      <w:lvlJc w:val="left"/>
      <w:pPr>
        <w:ind w:left="1164" w:hanging="444"/>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43A4377A"/>
    <w:multiLevelType w:val="hybridMultilevel"/>
    <w:tmpl w:val="D734A56C"/>
    <w:lvl w:ilvl="0" w:tplc="18FCBB42">
      <w:start w:val="2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7D20D32"/>
    <w:multiLevelType w:val="hybridMultilevel"/>
    <w:tmpl w:val="554008A6"/>
    <w:lvl w:ilvl="0" w:tplc="72C8C7BE">
      <w:start w:val="1"/>
      <w:numFmt w:val="upperRoman"/>
      <w:lvlText w:val="%1I."/>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84D6450"/>
    <w:multiLevelType w:val="hybridMultilevel"/>
    <w:tmpl w:val="1864299C"/>
    <w:lvl w:ilvl="0" w:tplc="A6A24486">
      <w:start w:val="3"/>
      <w:numFmt w:val="lowerLetter"/>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25" w15:restartNumberingAfterBreak="0">
    <w:nsid w:val="4AC40A2E"/>
    <w:multiLevelType w:val="multilevel"/>
    <w:tmpl w:val="DD189CCA"/>
    <w:lvl w:ilvl="0">
      <w:start w:val="1"/>
      <w:numFmt w:val="decimal"/>
      <w:lvlText w:val="%1."/>
      <w:lvlJc w:val="left"/>
      <w:pPr>
        <w:tabs>
          <w:tab w:val="num" w:pos="1080"/>
        </w:tabs>
        <w:ind w:left="1080" w:hanging="720"/>
      </w:pPr>
      <w:rPr>
        <w:rFonts w:cs="Times New Roman" w:hint="default"/>
      </w:rPr>
    </w:lvl>
    <w:lvl w:ilvl="1">
      <w:start w:val="3"/>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B27628A"/>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CE70B9F"/>
    <w:multiLevelType w:val="hybridMultilevel"/>
    <w:tmpl w:val="1E922028"/>
    <w:lvl w:ilvl="0" w:tplc="04090011">
      <w:start w:val="1"/>
      <w:numFmt w:val="decimal"/>
      <w:lvlText w:val="%1)"/>
      <w:lvlJc w:val="left"/>
      <w:pPr>
        <w:ind w:left="2280" w:hanging="360"/>
      </w:pPr>
    </w:lvl>
    <w:lvl w:ilvl="1" w:tplc="04090019">
      <w:start w:val="1"/>
      <w:numFmt w:val="lowerLetter"/>
      <w:lvlText w:val="%2."/>
      <w:lvlJc w:val="left"/>
      <w:pPr>
        <w:ind w:left="3000" w:hanging="360"/>
      </w:pPr>
    </w:lvl>
    <w:lvl w:ilvl="2" w:tplc="0409001B">
      <w:start w:val="1"/>
      <w:numFmt w:val="lowerRoman"/>
      <w:lvlText w:val="%3."/>
      <w:lvlJc w:val="right"/>
      <w:pPr>
        <w:ind w:left="3720" w:hanging="180"/>
      </w:pPr>
    </w:lvl>
    <w:lvl w:ilvl="3" w:tplc="0409000F">
      <w:start w:val="1"/>
      <w:numFmt w:val="decimal"/>
      <w:lvlText w:val="%4."/>
      <w:lvlJc w:val="left"/>
      <w:pPr>
        <w:ind w:left="4440" w:hanging="360"/>
      </w:pPr>
    </w:lvl>
    <w:lvl w:ilvl="4" w:tplc="04090019">
      <w:start w:val="1"/>
      <w:numFmt w:val="lowerLetter"/>
      <w:lvlText w:val="%5."/>
      <w:lvlJc w:val="left"/>
      <w:pPr>
        <w:ind w:left="5160" w:hanging="360"/>
      </w:pPr>
    </w:lvl>
    <w:lvl w:ilvl="5" w:tplc="0409001B">
      <w:start w:val="1"/>
      <w:numFmt w:val="lowerRoman"/>
      <w:lvlText w:val="%6."/>
      <w:lvlJc w:val="right"/>
      <w:pPr>
        <w:ind w:left="5880" w:hanging="180"/>
      </w:pPr>
    </w:lvl>
    <w:lvl w:ilvl="6" w:tplc="0409000F">
      <w:start w:val="1"/>
      <w:numFmt w:val="decimal"/>
      <w:lvlText w:val="%7."/>
      <w:lvlJc w:val="left"/>
      <w:pPr>
        <w:ind w:left="6600" w:hanging="360"/>
      </w:pPr>
    </w:lvl>
    <w:lvl w:ilvl="7" w:tplc="04090019">
      <w:start w:val="1"/>
      <w:numFmt w:val="lowerLetter"/>
      <w:lvlText w:val="%8."/>
      <w:lvlJc w:val="left"/>
      <w:pPr>
        <w:ind w:left="7320" w:hanging="360"/>
      </w:pPr>
    </w:lvl>
    <w:lvl w:ilvl="8" w:tplc="0409001B">
      <w:start w:val="1"/>
      <w:numFmt w:val="lowerRoman"/>
      <w:lvlText w:val="%9."/>
      <w:lvlJc w:val="right"/>
      <w:pPr>
        <w:ind w:left="8040" w:hanging="180"/>
      </w:pPr>
    </w:lvl>
  </w:abstractNum>
  <w:abstractNum w:abstractNumId="28" w15:restartNumberingAfterBreak="0">
    <w:nsid w:val="51C10D68"/>
    <w:multiLevelType w:val="hybridMultilevel"/>
    <w:tmpl w:val="3D3444D8"/>
    <w:lvl w:ilvl="0" w:tplc="6DF6E7FA">
      <w:start w:val="1"/>
      <w:numFmt w:val="decimal"/>
      <w:lvlText w:val="(%1)"/>
      <w:lvlJc w:val="left"/>
      <w:pPr>
        <w:ind w:left="1211" w:hanging="360"/>
      </w:pPr>
      <w:rPr>
        <w:rFonts w:hint="default"/>
        <w:sz w:val="16"/>
        <w:szCs w:val="16"/>
        <w:vertAlign w:val="superscrip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56B7053D"/>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58556F6A"/>
    <w:multiLevelType w:val="multilevel"/>
    <w:tmpl w:val="216ED1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992F9B"/>
    <w:multiLevelType w:val="hybridMultilevel"/>
    <w:tmpl w:val="6DD88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E6385A"/>
    <w:multiLevelType w:val="hybridMultilevel"/>
    <w:tmpl w:val="52589114"/>
    <w:lvl w:ilvl="0" w:tplc="7690003C">
      <w:numFmt w:val="bullet"/>
      <w:lvlText w:val=""/>
      <w:lvlJc w:val="left"/>
      <w:pPr>
        <w:ind w:left="927" w:hanging="360"/>
      </w:pPr>
      <w:rPr>
        <w:rFonts w:ascii="Symbol" w:eastAsia="Times New Roman" w:hAnsi="Symbol"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3" w15:restartNumberingAfterBreak="0">
    <w:nsid w:val="6837564A"/>
    <w:multiLevelType w:val="hybridMultilevel"/>
    <w:tmpl w:val="CA281D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ABD1746"/>
    <w:multiLevelType w:val="hybridMultilevel"/>
    <w:tmpl w:val="B5589FEA"/>
    <w:lvl w:ilvl="0" w:tplc="5ADE812E">
      <w:start w:val="1"/>
      <w:numFmt w:val="decimal"/>
      <w:lvlText w:val="(%1)"/>
      <w:lvlJc w:val="left"/>
      <w:pPr>
        <w:ind w:left="1128" w:hanging="408"/>
      </w:pPr>
      <w:rPr>
        <w:rFonts w:hint="default"/>
        <w:sz w:val="16"/>
        <w:szCs w:val="16"/>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5" w15:restartNumberingAfterBreak="0">
    <w:nsid w:val="6C2B72A1"/>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6" w15:restartNumberingAfterBreak="0">
    <w:nsid w:val="70581F80"/>
    <w:multiLevelType w:val="hybridMultilevel"/>
    <w:tmpl w:val="049420C2"/>
    <w:lvl w:ilvl="0" w:tplc="1F3EFAFE">
      <w:start w:val="1"/>
      <w:numFmt w:val="decimal"/>
      <w:lvlText w:val="(%1)"/>
      <w:lvlJc w:val="left"/>
      <w:pPr>
        <w:ind w:left="1128" w:hanging="408"/>
      </w:pPr>
      <w:rPr>
        <w:rFonts w:hint="default"/>
        <w:sz w:val="16"/>
        <w:szCs w:val="16"/>
        <w:vertAlign w:val="superscrip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7" w15:restartNumberingAfterBreak="0">
    <w:nsid w:val="76200E39"/>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8" w15:restartNumberingAfterBreak="0">
    <w:nsid w:val="76B3795F"/>
    <w:multiLevelType w:val="multilevel"/>
    <w:tmpl w:val="F174A74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77082E4B"/>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F0B1602"/>
    <w:multiLevelType w:val="hybridMultilevel"/>
    <w:tmpl w:val="30C088DE"/>
    <w:lvl w:ilvl="0" w:tplc="7082B4B6">
      <w:start w:val="20"/>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38"/>
  </w:num>
  <w:num w:numId="2">
    <w:abstractNumId w:val="15"/>
  </w:num>
  <w:num w:numId="3">
    <w:abstractNumId w:val="11"/>
  </w:num>
  <w:num w:numId="4">
    <w:abstractNumId w:val="5"/>
  </w:num>
  <w:num w:numId="5">
    <w:abstractNumId w:val="37"/>
  </w:num>
  <w:num w:numId="6">
    <w:abstractNumId w:val="13"/>
  </w:num>
  <w:num w:numId="7">
    <w:abstractNumId w:val="30"/>
  </w:num>
  <w:num w:numId="8">
    <w:abstractNumId w:val="35"/>
  </w:num>
  <w:num w:numId="9">
    <w:abstractNumId w:val="8"/>
  </w:num>
  <w:num w:numId="10">
    <w:abstractNumId w:val="19"/>
  </w:num>
  <w:num w:numId="11">
    <w:abstractNumId w:val="4"/>
  </w:num>
  <w:num w:numId="12">
    <w:abstractNumId w:val="2"/>
  </w:num>
  <w:num w:numId="13">
    <w:abstractNumId w:val="14"/>
  </w:num>
  <w:num w:numId="14">
    <w:abstractNumId w:val="26"/>
  </w:num>
  <w:num w:numId="15">
    <w:abstractNumId w:val="39"/>
  </w:num>
  <w:num w:numId="16">
    <w:abstractNumId w:val="7"/>
  </w:num>
  <w:num w:numId="17">
    <w:abstractNumId w:val="17"/>
  </w:num>
  <w:num w:numId="18">
    <w:abstractNumId w:val="25"/>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3"/>
  </w:num>
  <w:num w:numId="21">
    <w:abstractNumId w:val="6"/>
  </w:num>
  <w:num w:numId="22">
    <w:abstractNumId w:val="33"/>
  </w:num>
  <w:num w:numId="23">
    <w:abstractNumId w:val="0"/>
  </w:num>
  <w:num w:numId="24">
    <w:abstractNumId w:val="16"/>
  </w:num>
  <w:num w:numId="25">
    <w:abstractNumId w:val="22"/>
  </w:num>
  <w:num w:numId="26">
    <w:abstractNumId w:val="20"/>
  </w:num>
  <w:num w:numId="27">
    <w:abstractNumId w:val="1"/>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4"/>
  </w:num>
  <w:num w:numId="31">
    <w:abstractNumId w:val="28"/>
  </w:num>
  <w:num w:numId="32">
    <w:abstractNumId w:val="21"/>
  </w:num>
  <w:num w:numId="33">
    <w:abstractNumId w:val="31"/>
  </w:num>
  <w:num w:numId="34">
    <w:abstractNumId w:val="40"/>
  </w:num>
  <w:num w:numId="35">
    <w:abstractNumId w:val="32"/>
  </w:num>
  <w:num w:numId="36">
    <w:abstractNumId w:val="3"/>
  </w:num>
  <w:num w:numId="37">
    <w:abstractNumId w:val="18"/>
  </w:num>
  <w:num w:numId="38">
    <w:abstractNumId w:val="29"/>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0"/>
  </w:num>
  <w:num w:numId="42">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tr-TR" w:vendorID="64" w:dllVersion="0"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CD29C1"/>
    <w:rsid w:val="00000255"/>
    <w:rsid w:val="0000039C"/>
    <w:rsid w:val="0000053D"/>
    <w:rsid w:val="0000060F"/>
    <w:rsid w:val="000006BA"/>
    <w:rsid w:val="000008F1"/>
    <w:rsid w:val="00000989"/>
    <w:rsid w:val="00000A7F"/>
    <w:rsid w:val="00000B35"/>
    <w:rsid w:val="00000BBF"/>
    <w:rsid w:val="00000C34"/>
    <w:rsid w:val="00000C42"/>
    <w:rsid w:val="00000E44"/>
    <w:rsid w:val="00000FF9"/>
    <w:rsid w:val="00001124"/>
    <w:rsid w:val="00001179"/>
    <w:rsid w:val="000013BC"/>
    <w:rsid w:val="0000164D"/>
    <w:rsid w:val="000017E5"/>
    <w:rsid w:val="000018FE"/>
    <w:rsid w:val="0000190F"/>
    <w:rsid w:val="00001979"/>
    <w:rsid w:val="00001BC2"/>
    <w:rsid w:val="00001D4D"/>
    <w:rsid w:val="00001E7E"/>
    <w:rsid w:val="0000211A"/>
    <w:rsid w:val="0000221A"/>
    <w:rsid w:val="0000247F"/>
    <w:rsid w:val="000024C8"/>
    <w:rsid w:val="00002537"/>
    <w:rsid w:val="000025FE"/>
    <w:rsid w:val="000026E9"/>
    <w:rsid w:val="0000275B"/>
    <w:rsid w:val="0000284C"/>
    <w:rsid w:val="000028E0"/>
    <w:rsid w:val="00002A8E"/>
    <w:rsid w:val="00002ADF"/>
    <w:rsid w:val="00002BC4"/>
    <w:rsid w:val="00002E1B"/>
    <w:rsid w:val="00002E8A"/>
    <w:rsid w:val="00003044"/>
    <w:rsid w:val="000031A8"/>
    <w:rsid w:val="00003205"/>
    <w:rsid w:val="00003342"/>
    <w:rsid w:val="00003355"/>
    <w:rsid w:val="000033A0"/>
    <w:rsid w:val="000034AC"/>
    <w:rsid w:val="000034D8"/>
    <w:rsid w:val="00003632"/>
    <w:rsid w:val="00003644"/>
    <w:rsid w:val="0000390D"/>
    <w:rsid w:val="000039C3"/>
    <w:rsid w:val="00003B16"/>
    <w:rsid w:val="00003CBC"/>
    <w:rsid w:val="00003CFB"/>
    <w:rsid w:val="00003CFD"/>
    <w:rsid w:val="00003D98"/>
    <w:rsid w:val="0000400F"/>
    <w:rsid w:val="00004010"/>
    <w:rsid w:val="000041E6"/>
    <w:rsid w:val="0000421E"/>
    <w:rsid w:val="0000427A"/>
    <w:rsid w:val="00004476"/>
    <w:rsid w:val="000044F0"/>
    <w:rsid w:val="000048AA"/>
    <w:rsid w:val="000049C2"/>
    <w:rsid w:val="00004BA5"/>
    <w:rsid w:val="00004E3F"/>
    <w:rsid w:val="00004F3B"/>
    <w:rsid w:val="00005153"/>
    <w:rsid w:val="00005288"/>
    <w:rsid w:val="000053D2"/>
    <w:rsid w:val="00005549"/>
    <w:rsid w:val="00005775"/>
    <w:rsid w:val="0000589E"/>
    <w:rsid w:val="000058A8"/>
    <w:rsid w:val="00005A1D"/>
    <w:rsid w:val="00005A97"/>
    <w:rsid w:val="00005AC5"/>
    <w:rsid w:val="00005B5F"/>
    <w:rsid w:val="00005D00"/>
    <w:rsid w:val="00005F4F"/>
    <w:rsid w:val="000060BA"/>
    <w:rsid w:val="00006526"/>
    <w:rsid w:val="00006592"/>
    <w:rsid w:val="000065D3"/>
    <w:rsid w:val="0000668A"/>
    <w:rsid w:val="00006846"/>
    <w:rsid w:val="000068E7"/>
    <w:rsid w:val="00006A5D"/>
    <w:rsid w:val="00006B7D"/>
    <w:rsid w:val="00006D10"/>
    <w:rsid w:val="00006F5D"/>
    <w:rsid w:val="00006F82"/>
    <w:rsid w:val="0000713A"/>
    <w:rsid w:val="00007626"/>
    <w:rsid w:val="00007636"/>
    <w:rsid w:val="00007848"/>
    <w:rsid w:val="000078BE"/>
    <w:rsid w:val="0000790C"/>
    <w:rsid w:val="00007E22"/>
    <w:rsid w:val="00007E3D"/>
    <w:rsid w:val="00007EC8"/>
    <w:rsid w:val="00007FC4"/>
    <w:rsid w:val="00007FD2"/>
    <w:rsid w:val="00007FDF"/>
    <w:rsid w:val="0001004B"/>
    <w:rsid w:val="0001019B"/>
    <w:rsid w:val="00010592"/>
    <w:rsid w:val="00010618"/>
    <w:rsid w:val="00010997"/>
    <w:rsid w:val="00010D0E"/>
    <w:rsid w:val="00010DD5"/>
    <w:rsid w:val="00011256"/>
    <w:rsid w:val="000113F4"/>
    <w:rsid w:val="0001153A"/>
    <w:rsid w:val="00011560"/>
    <w:rsid w:val="0001159E"/>
    <w:rsid w:val="00011674"/>
    <w:rsid w:val="000117EB"/>
    <w:rsid w:val="00011B86"/>
    <w:rsid w:val="00011BDF"/>
    <w:rsid w:val="00011C7E"/>
    <w:rsid w:val="00011CB1"/>
    <w:rsid w:val="00011DE5"/>
    <w:rsid w:val="00011E30"/>
    <w:rsid w:val="00012020"/>
    <w:rsid w:val="0001206E"/>
    <w:rsid w:val="00012412"/>
    <w:rsid w:val="00012428"/>
    <w:rsid w:val="00012436"/>
    <w:rsid w:val="000125CD"/>
    <w:rsid w:val="00012A91"/>
    <w:rsid w:val="00012B37"/>
    <w:rsid w:val="00012B8F"/>
    <w:rsid w:val="00012C5B"/>
    <w:rsid w:val="00012DA0"/>
    <w:rsid w:val="00012EBC"/>
    <w:rsid w:val="00012F1A"/>
    <w:rsid w:val="00012F8B"/>
    <w:rsid w:val="000130A5"/>
    <w:rsid w:val="00013215"/>
    <w:rsid w:val="0001336A"/>
    <w:rsid w:val="0001338F"/>
    <w:rsid w:val="000134F8"/>
    <w:rsid w:val="00013535"/>
    <w:rsid w:val="00013607"/>
    <w:rsid w:val="000136F9"/>
    <w:rsid w:val="00013726"/>
    <w:rsid w:val="00013796"/>
    <w:rsid w:val="00013946"/>
    <w:rsid w:val="00013BCB"/>
    <w:rsid w:val="00013CA0"/>
    <w:rsid w:val="00013F4C"/>
    <w:rsid w:val="000141C3"/>
    <w:rsid w:val="00014278"/>
    <w:rsid w:val="000142D6"/>
    <w:rsid w:val="00014363"/>
    <w:rsid w:val="00014445"/>
    <w:rsid w:val="00014742"/>
    <w:rsid w:val="0001476D"/>
    <w:rsid w:val="000147A8"/>
    <w:rsid w:val="00014B2D"/>
    <w:rsid w:val="00014CA5"/>
    <w:rsid w:val="00014E16"/>
    <w:rsid w:val="00014F0A"/>
    <w:rsid w:val="000151F5"/>
    <w:rsid w:val="000152D0"/>
    <w:rsid w:val="00015426"/>
    <w:rsid w:val="00015479"/>
    <w:rsid w:val="000155FC"/>
    <w:rsid w:val="000156BA"/>
    <w:rsid w:val="0001582B"/>
    <w:rsid w:val="00015889"/>
    <w:rsid w:val="000158C8"/>
    <w:rsid w:val="00015B7C"/>
    <w:rsid w:val="00015C8F"/>
    <w:rsid w:val="000161C2"/>
    <w:rsid w:val="000162FF"/>
    <w:rsid w:val="000163D8"/>
    <w:rsid w:val="00016409"/>
    <w:rsid w:val="00016793"/>
    <w:rsid w:val="000167DE"/>
    <w:rsid w:val="000167FA"/>
    <w:rsid w:val="00016808"/>
    <w:rsid w:val="00016910"/>
    <w:rsid w:val="00016A4C"/>
    <w:rsid w:val="00016D43"/>
    <w:rsid w:val="00016D85"/>
    <w:rsid w:val="00017159"/>
    <w:rsid w:val="00017270"/>
    <w:rsid w:val="00017406"/>
    <w:rsid w:val="0001748B"/>
    <w:rsid w:val="00017509"/>
    <w:rsid w:val="0001752D"/>
    <w:rsid w:val="000176A0"/>
    <w:rsid w:val="000176AC"/>
    <w:rsid w:val="000176F9"/>
    <w:rsid w:val="000179D6"/>
    <w:rsid w:val="00017A20"/>
    <w:rsid w:val="00017A7C"/>
    <w:rsid w:val="00017C84"/>
    <w:rsid w:val="00017C98"/>
    <w:rsid w:val="00017D30"/>
    <w:rsid w:val="00017D7C"/>
    <w:rsid w:val="00017FE3"/>
    <w:rsid w:val="00017FFB"/>
    <w:rsid w:val="000203F4"/>
    <w:rsid w:val="000204B0"/>
    <w:rsid w:val="000206B7"/>
    <w:rsid w:val="000206C1"/>
    <w:rsid w:val="0002075D"/>
    <w:rsid w:val="000209E0"/>
    <w:rsid w:val="00020BDE"/>
    <w:rsid w:val="00020D25"/>
    <w:rsid w:val="00020F53"/>
    <w:rsid w:val="00021298"/>
    <w:rsid w:val="0002145B"/>
    <w:rsid w:val="0002154B"/>
    <w:rsid w:val="00021577"/>
    <w:rsid w:val="00021664"/>
    <w:rsid w:val="000217D8"/>
    <w:rsid w:val="000217EA"/>
    <w:rsid w:val="00021A51"/>
    <w:rsid w:val="000221E7"/>
    <w:rsid w:val="0002222E"/>
    <w:rsid w:val="00022298"/>
    <w:rsid w:val="00022475"/>
    <w:rsid w:val="000225DA"/>
    <w:rsid w:val="0002263D"/>
    <w:rsid w:val="000228F3"/>
    <w:rsid w:val="00022A1E"/>
    <w:rsid w:val="00022A93"/>
    <w:rsid w:val="00022C21"/>
    <w:rsid w:val="00022DD8"/>
    <w:rsid w:val="000231B2"/>
    <w:rsid w:val="00023526"/>
    <w:rsid w:val="00023715"/>
    <w:rsid w:val="00023716"/>
    <w:rsid w:val="00023844"/>
    <w:rsid w:val="000238B9"/>
    <w:rsid w:val="00023A46"/>
    <w:rsid w:val="00023AF7"/>
    <w:rsid w:val="00023C70"/>
    <w:rsid w:val="00024519"/>
    <w:rsid w:val="00024527"/>
    <w:rsid w:val="000246F1"/>
    <w:rsid w:val="00024823"/>
    <w:rsid w:val="000249CC"/>
    <w:rsid w:val="00024A80"/>
    <w:rsid w:val="00024C06"/>
    <w:rsid w:val="00024CD4"/>
    <w:rsid w:val="00024D85"/>
    <w:rsid w:val="00024E30"/>
    <w:rsid w:val="00025356"/>
    <w:rsid w:val="00025454"/>
    <w:rsid w:val="000256DC"/>
    <w:rsid w:val="000257C6"/>
    <w:rsid w:val="000259D0"/>
    <w:rsid w:val="00025AF6"/>
    <w:rsid w:val="00025CE5"/>
    <w:rsid w:val="00025E9E"/>
    <w:rsid w:val="00026531"/>
    <w:rsid w:val="000265C2"/>
    <w:rsid w:val="00026871"/>
    <w:rsid w:val="0002689A"/>
    <w:rsid w:val="000268A3"/>
    <w:rsid w:val="0002699C"/>
    <w:rsid w:val="00026A2B"/>
    <w:rsid w:val="00026B7D"/>
    <w:rsid w:val="00026C02"/>
    <w:rsid w:val="00026DEC"/>
    <w:rsid w:val="0002709D"/>
    <w:rsid w:val="00027233"/>
    <w:rsid w:val="000273D4"/>
    <w:rsid w:val="00027420"/>
    <w:rsid w:val="0002745F"/>
    <w:rsid w:val="000275E7"/>
    <w:rsid w:val="00027640"/>
    <w:rsid w:val="0002773B"/>
    <w:rsid w:val="000277F4"/>
    <w:rsid w:val="00027903"/>
    <w:rsid w:val="00027AEB"/>
    <w:rsid w:val="00027BBD"/>
    <w:rsid w:val="00027D19"/>
    <w:rsid w:val="00027EE0"/>
    <w:rsid w:val="000300A6"/>
    <w:rsid w:val="00030159"/>
    <w:rsid w:val="000303D1"/>
    <w:rsid w:val="0003040D"/>
    <w:rsid w:val="000304CB"/>
    <w:rsid w:val="000304F3"/>
    <w:rsid w:val="00030684"/>
    <w:rsid w:val="00030878"/>
    <w:rsid w:val="000308CD"/>
    <w:rsid w:val="000308E6"/>
    <w:rsid w:val="00030B7F"/>
    <w:rsid w:val="00030BAE"/>
    <w:rsid w:val="00030C67"/>
    <w:rsid w:val="00030FBD"/>
    <w:rsid w:val="00031047"/>
    <w:rsid w:val="000310EA"/>
    <w:rsid w:val="0003119E"/>
    <w:rsid w:val="000311F5"/>
    <w:rsid w:val="00031288"/>
    <w:rsid w:val="00031374"/>
    <w:rsid w:val="0003163B"/>
    <w:rsid w:val="0003177C"/>
    <w:rsid w:val="00031885"/>
    <w:rsid w:val="00031939"/>
    <w:rsid w:val="00031AA3"/>
    <w:rsid w:val="00031B5B"/>
    <w:rsid w:val="00031C04"/>
    <w:rsid w:val="00031F78"/>
    <w:rsid w:val="00032058"/>
    <w:rsid w:val="0003218A"/>
    <w:rsid w:val="00032287"/>
    <w:rsid w:val="0003230B"/>
    <w:rsid w:val="000323BF"/>
    <w:rsid w:val="000323EC"/>
    <w:rsid w:val="00032510"/>
    <w:rsid w:val="000326AD"/>
    <w:rsid w:val="00032944"/>
    <w:rsid w:val="00032B07"/>
    <w:rsid w:val="00032FD7"/>
    <w:rsid w:val="0003324E"/>
    <w:rsid w:val="000332FC"/>
    <w:rsid w:val="00033312"/>
    <w:rsid w:val="000336BC"/>
    <w:rsid w:val="000336C5"/>
    <w:rsid w:val="00033946"/>
    <w:rsid w:val="0003399C"/>
    <w:rsid w:val="000339E7"/>
    <w:rsid w:val="000339EC"/>
    <w:rsid w:val="00033E4B"/>
    <w:rsid w:val="00033FFB"/>
    <w:rsid w:val="00034037"/>
    <w:rsid w:val="00034194"/>
    <w:rsid w:val="000341B7"/>
    <w:rsid w:val="0003456C"/>
    <w:rsid w:val="000348A4"/>
    <w:rsid w:val="00034B7D"/>
    <w:rsid w:val="00034E09"/>
    <w:rsid w:val="00034E9C"/>
    <w:rsid w:val="000350CD"/>
    <w:rsid w:val="000351CC"/>
    <w:rsid w:val="0003530F"/>
    <w:rsid w:val="0003569F"/>
    <w:rsid w:val="00035935"/>
    <w:rsid w:val="00035DA4"/>
    <w:rsid w:val="00035FF5"/>
    <w:rsid w:val="0003622E"/>
    <w:rsid w:val="00036390"/>
    <w:rsid w:val="00036505"/>
    <w:rsid w:val="00036729"/>
    <w:rsid w:val="00036909"/>
    <w:rsid w:val="00037269"/>
    <w:rsid w:val="00037521"/>
    <w:rsid w:val="00037563"/>
    <w:rsid w:val="00037764"/>
    <w:rsid w:val="00037842"/>
    <w:rsid w:val="000378C8"/>
    <w:rsid w:val="0003799A"/>
    <w:rsid w:val="00037A50"/>
    <w:rsid w:val="00037AAA"/>
    <w:rsid w:val="00037CBF"/>
    <w:rsid w:val="00037DAF"/>
    <w:rsid w:val="00037E07"/>
    <w:rsid w:val="000405B2"/>
    <w:rsid w:val="00040600"/>
    <w:rsid w:val="00040683"/>
    <w:rsid w:val="00040744"/>
    <w:rsid w:val="0004077B"/>
    <w:rsid w:val="0004096E"/>
    <w:rsid w:val="00040BA0"/>
    <w:rsid w:val="00040CD1"/>
    <w:rsid w:val="00040D1A"/>
    <w:rsid w:val="00040D77"/>
    <w:rsid w:val="00040FB7"/>
    <w:rsid w:val="00041227"/>
    <w:rsid w:val="0004129C"/>
    <w:rsid w:val="000412E4"/>
    <w:rsid w:val="000412FF"/>
    <w:rsid w:val="000413DD"/>
    <w:rsid w:val="000416C0"/>
    <w:rsid w:val="0004173E"/>
    <w:rsid w:val="00041856"/>
    <w:rsid w:val="000418CB"/>
    <w:rsid w:val="00041986"/>
    <w:rsid w:val="00041A1E"/>
    <w:rsid w:val="00041A37"/>
    <w:rsid w:val="00041CB7"/>
    <w:rsid w:val="00041D2A"/>
    <w:rsid w:val="00041E68"/>
    <w:rsid w:val="00041E73"/>
    <w:rsid w:val="00042024"/>
    <w:rsid w:val="0004207B"/>
    <w:rsid w:val="00042283"/>
    <w:rsid w:val="00042482"/>
    <w:rsid w:val="00042505"/>
    <w:rsid w:val="00042533"/>
    <w:rsid w:val="000426E9"/>
    <w:rsid w:val="00042853"/>
    <w:rsid w:val="00042871"/>
    <w:rsid w:val="00042EB4"/>
    <w:rsid w:val="00042F0D"/>
    <w:rsid w:val="00043007"/>
    <w:rsid w:val="00043162"/>
    <w:rsid w:val="00043417"/>
    <w:rsid w:val="0004366D"/>
    <w:rsid w:val="0004372E"/>
    <w:rsid w:val="00043760"/>
    <w:rsid w:val="00043778"/>
    <w:rsid w:val="00043AEB"/>
    <w:rsid w:val="00043B4E"/>
    <w:rsid w:val="00043BCD"/>
    <w:rsid w:val="00043C5F"/>
    <w:rsid w:val="00043C7F"/>
    <w:rsid w:val="00043CF0"/>
    <w:rsid w:val="00043FE9"/>
    <w:rsid w:val="00043FF3"/>
    <w:rsid w:val="000440E1"/>
    <w:rsid w:val="00044104"/>
    <w:rsid w:val="000443C9"/>
    <w:rsid w:val="00044417"/>
    <w:rsid w:val="00044617"/>
    <w:rsid w:val="0004462F"/>
    <w:rsid w:val="00044703"/>
    <w:rsid w:val="00044C17"/>
    <w:rsid w:val="00044CBF"/>
    <w:rsid w:val="00044F75"/>
    <w:rsid w:val="00044F9F"/>
    <w:rsid w:val="00045060"/>
    <w:rsid w:val="00045124"/>
    <w:rsid w:val="0004526A"/>
    <w:rsid w:val="00045371"/>
    <w:rsid w:val="000455FA"/>
    <w:rsid w:val="0004578A"/>
    <w:rsid w:val="00045A0E"/>
    <w:rsid w:val="00045D93"/>
    <w:rsid w:val="0004608E"/>
    <w:rsid w:val="000460BA"/>
    <w:rsid w:val="00046344"/>
    <w:rsid w:val="00046620"/>
    <w:rsid w:val="0004669E"/>
    <w:rsid w:val="000466D5"/>
    <w:rsid w:val="00046753"/>
    <w:rsid w:val="0004678B"/>
    <w:rsid w:val="0004688A"/>
    <w:rsid w:val="000468AB"/>
    <w:rsid w:val="000468D2"/>
    <w:rsid w:val="00046A4B"/>
    <w:rsid w:val="00046A78"/>
    <w:rsid w:val="00046A7E"/>
    <w:rsid w:val="00046C78"/>
    <w:rsid w:val="00046D3A"/>
    <w:rsid w:val="00046EC2"/>
    <w:rsid w:val="00046F52"/>
    <w:rsid w:val="00047087"/>
    <w:rsid w:val="00047129"/>
    <w:rsid w:val="00047270"/>
    <w:rsid w:val="000473D4"/>
    <w:rsid w:val="000474DE"/>
    <w:rsid w:val="00047AE9"/>
    <w:rsid w:val="00047D2D"/>
    <w:rsid w:val="00047D84"/>
    <w:rsid w:val="00047F42"/>
    <w:rsid w:val="00047F5F"/>
    <w:rsid w:val="00050613"/>
    <w:rsid w:val="00050650"/>
    <w:rsid w:val="00050665"/>
    <w:rsid w:val="0005080F"/>
    <w:rsid w:val="00050976"/>
    <w:rsid w:val="00050A31"/>
    <w:rsid w:val="00050A34"/>
    <w:rsid w:val="00050A7C"/>
    <w:rsid w:val="00050EC8"/>
    <w:rsid w:val="0005109F"/>
    <w:rsid w:val="00051133"/>
    <w:rsid w:val="0005122D"/>
    <w:rsid w:val="000512D8"/>
    <w:rsid w:val="000512E8"/>
    <w:rsid w:val="0005142C"/>
    <w:rsid w:val="000516A0"/>
    <w:rsid w:val="000517C3"/>
    <w:rsid w:val="0005185F"/>
    <w:rsid w:val="00051890"/>
    <w:rsid w:val="000519A1"/>
    <w:rsid w:val="00051A3A"/>
    <w:rsid w:val="00051AA0"/>
    <w:rsid w:val="00051BDD"/>
    <w:rsid w:val="00051CBE"/>
    <w:rsid w:val="00051D0A"/>
    <w:rsid w:val="00051DC6"/>
    <w:rsid w:val="00051E51"/>
    <w:rsid w:val="00051E59"/>
    <w:rsid w:val="00051E91"/>
    <w:rsid w:val="00051F1E"/>
    <w:rsid w:val="00051FD8"/>
    <w:rsid w:val="00051FDD"/>
    <w:rsid w:val="0005265E"/>
    <w:rsid w:val="00052739"/>
    <w:rsid w:val="0005294F"/>
    <w:rsid w:val="000529A8"/>
    <w:rsid w:val="00052BA0"/>
    <w:rsid w:val="00052E60"/>
    <w:rsid w:val="0005307B"/>
    <w:rsid w:val="000530F5"/>
    <w:rsid w:val="0005314D"/>
    <w:rsid w:val="0005315C"/>
    <w:rsid w:val="00053472"/>
    <w:rsid w:val="000534ED"/>
    <w:rsid w:val="000538F4"/>
    <w:rsid w:val="00053927"/>
    <w:rsid w:val="000539A1"/>
    <w:rsid w:val="00053A5E"/>
    <w:rsid w:val="00053BDC"/>
    <w:rsid w:val="00053D56"/>
    <w:rsid w:val="00053DC9"/>
    <w:rsid w:val="00053EBA"/>
    <w:rsid w:val="000540A7"/>
    <w:rsid w:val="000541D3"/>
    <w:rsid w:val="00054480"/>
    <w:rsid w:val="0005468D"/>
    <w:rsid w:val="00054A60"/>
    <w:rsid w:val="00054AE7"/>
    <w:rsid w:val="00054B97"/>
    <w:rsid w:val="00054DB4"/>
    <w:rsid w:val="00054FE7"/>
    <w:rsid w:val="0005509C"/>
    <w:rsid w:val="0005523B"/>
    <w:rsid w:val="000552B5"/>
    <w:rsid w:val="00055308"/>
    <w:rsid w:val="00055336"/>
    <w:rsid w:val="0005553C"/>
    <w:rsid w:val="00055615"/>
    <w:rsid w:val="0005563A"/>
    <w:rsid w:val="0005572E"/>
    <w:rsid w:val="0005573D"/>
    <w:rsid w:val="000557C2"/>
    <w:rsid w:val="0005598B"/>
    <w:rsid w:val="00055A9C"/>
    <w:rsid w:val="00055AC3"/>
    <w:rsid w:val="00055C23"/>
    <w:rsid w:val="00055F2F"/>
    <w:rsid w:val="0005614F"/>
    <w:rsid w:val="00056153"/>
    <w:rsid w:val="0005619A"/>
    <w:rsid w:val="00056362"/>
    <w:rsid w:val="0005637D"/>
    <w:rsid w:val="00056454"/>
    <w:rsid w:val="00056542"/>
    <w:rsid w:val="0005673B"/>
    <w:rsid w:val="0005684A"/>
    <w:rsid w:val="000569D4"/>
    <w:rsid w:val="00056A3C"/>
    <w:rsid w:val="00056A44"/>
    <w:rsid w:val="00056BFF"/>
    <w:rsid w:val="00056D65"/>
    <w:rsid w:val="00056F16"/>
    <w:rsid w:val="00056FC2"/>
    <w:rsid w:val="000572C5"/>
    <w:rsid w:val="0005734F"/>
    <w:rsid w:val="000573A4"/>
    <w:rsid w:val="000573E0"/>
    <w:rsid w:val="000574B6"/>
    <w:rsid w:val="0005761E"/>
    <w:rsid w:val="00057627"/>
    <w:rsid w:val="000578F6"/>
    <w:rsid w:val="00057A1A"/>
    <w:rsid w:val="00057B81"/>
    <w:rsid w:val="00057BD9"/>
    <w:rsid w:val="00057CFB"/>
    <w:rsid w:val="00057EB5"/>
    <w:rsid w:val="00057F63"/>
    <w:rsid w:val="00057FF7"/>
    <w:rsid w:val="00060097"/>
    <w:rsid w:val="000600AB"/>
    <w:rsid w:val="00060296"/>
    <w:rsid w:val="000605BC"/>
    <w:rsid w:val="00060658"/>
    <w:rsid w:val="00060695"/>
    <w:rsid w:val="00060748"/>
    <w:rsid w:val="000608BD"/>
    <w:rsid w:val="000608C7"/>
    <w:rsid w:val="00060969"/>
    <w:rsid w:val="00060BC9"/>
    <w:rsid w:val="00060D07"/>
    <w:rsid w:val="00060D4D"/>
    <w:rsid w:val="0006119F"/>
    <w:rsid w:val="00061249"/>
    <w:rsid w:val="0006142B"/>
    <w:rsid w:val="000614CF"/>
    <w:rsid w:val="00061A9E"/>
    <w:rsid w:val="00061CF0"/>
    <w:rsid w:val="00061DF8"/>
    <w:rsid w:val="00061F61"/>
    <w:rsid w:val="000624C8"/>
    <w:rsid w:val="0006257B"/>
    <w:rsid w:val="00062641"/>
    <w:rsid w:val="000626C4"/>
    <w:rsid w:val="00062772"/>
    <w:rsid w:val="000627FA"/>
    <w:rsid w:val="00062928"/>
    <w:rsid w:val="00062B3D"/>
    <w:rsid w:val="00062C40"/>
    <w:rsid w:val="00062CC2"/>
    <w:rsid w:val="00062EF2"/>
    <w:rsid w:val="00062F5B"/>
    <w:rsid w:val="00063031"/>
    <w:rsid w:val="00063169"/>
    <w:rsid w:val="000631FC"/>
    <w:rsid w:val="000632D9"/>
    <w:rsid w:val="00063624"/>
    <w:rsid w:val="0006366D"/>
    <w:rsid w:val="0006366F"/>
    <w:rsid w:val="000636D3"/>
    <w:rsid w:val="00063806"/>
    <w:rsid w:val="00063B66"/>
    <w:rsid w:val="00063E62"/>
    <w:rsid w:val="00063ED4"/>
    <w:rsid w:val="00063F99"/>
    <w:rsid w:val="00064250"/>
    <w:rsid w:val="0006434D"/>
    <w:rsid w:val="000645A3"/>
    <w:rsid w:val="000645FE"/>
    <w:rsid w:val="00064625"/>
    <w:rsid w:val="00064674"/>
    <w:rsid w:val="0006482F"/>
    <w:rsid w:val="00064BDC"/>
    <w:rsid w:val="00064CED"/>
    <w:rsid w:val="00064E0C"/>
    <w:rsid w:val="00064F89"/>
    <w:rsid w:val="0006500C"/>
    <w:rsid w:val="00065054"/>
    <w:rsid w:val="00065164"/>
    <w:rsid w:val="00065971"/>
    <w:rsid w:val="000659EA"/>
    <w:rsid w:val="00065BB2"/>
    <w:rsid w:val="00065C0E"/>
    <w:rsid w:val="00065E8E"/>
    <w:rsid w:val="00065F48"/>
    <w:rsid w:val="0006615B"/>
    <w:rsid w:val="0006616F"/>
    <w:rsid w:val="000661C0"/>
    <w:rsid w:val="000661EA"/>
    <w:rsid w:val="00066522"/>
    <w:rsid w:val="000668F1"/>
    <w:rsid w:val="00066A8A"/>
    <w:rsid w:val="00066B30"/>
    <w:rsid w:val="00066BEA"/>
    <w:rsid w:val="0006704D"/>
    <w:rsid w:val="000671D3"/>
    <w:rsid w:val="00067622"/>
    <w:rsid w:val="00067705"/>
    <w:rsid w:val="00067891"/>
    <w:rsid w:val="00067951"/>
    <w:rsid w:val="000679A9"/>
    <w:rsid w:val="00067D37"/>
    <w:rsid w:val="00070127"/>
    <w:rsid w:val="0007013B"/>
    <w:rsid w:val="00070300"/>
    <w:rsid w:val="0007037E"/>
    <w:rsid w:val="00070484"/>
    <w:rsid w:val="00070493"/>
    <w:rsid w:val="000705C9"/>
    <w:rsid w:val="00070754"/>
    <w:rsid w:val="000707EA"/>
    <w:rsid w:val="00070DBB"/>
    <w:rsid w:val="0007116B"/>
    <w:rsid w:val="00071480"/>
    <w:rsid w:val="0007148D"/>
    <w:rsid w:val="000714A8"/>
    <w:rsid w:val="00071880"/>
    <w:rsid w:val="00071937"/>
    <w:rsid w:val="00071B0B"/>
    <w:rsid w:val="00071C6E"/>
    <w:rsid w:val="0007210D"/>
    <w:rsid w:val="000722BF"/>
    <w:rsid w:val="00072423"/>
    <w:rsid w:val="000726A1"/>
    <w:rsid w:val="0007293F"/>
    <w:rsid w:val="00072A23"/>
    <w:rsid w:val="00072AD0"/>
    <w:rsid w:val="00072B41"/>
    <w:rsid w:val="00072BFF"/>
    <w:rsid w:val="00072C98"/>
    <w:rsid w:val="00072DAB"/>
    <w:rsid w:val="000731E0"/>
    <w:rsid w:val="000731F7"/>
    <w:rsid w:val="00073281"/>
    <w:rsid w:val="000735DA"/>
    <w:rsid w:val="000737E5"/>
    <w:rsid w:val="00073807"/>
    <w:rsid w:val="00073BB2"/>
    <w:rsid w:val="00073BE2"/>
    <w:rsid w:val="00073CD7"/>
    <w:rsid w:val="00073CFA"/>
    <w:rsid w:val="0007404A"/>
    <w:rsid w:val="00074061"/>
    <w:rsid w:val="000741D2"/>
    <w:rsid w:val="00074320"/>
    <w:rsid w:val="000743EE"/>
    <w:rsid w:val="00074521"/>
    <w:rsid w:val="0007458C"/>
    <w:rsid w:val="000745B3"/>
    <w:rsid w:val="000748A5"/>
    <w:rsid w:val="000749FC"/>
    <w:rsid w:val="00074BA6"/>
    <w:rsid w:val="00074CB6"/>
    <w:rsid w:val="00074F0C"/>
    <w:rsid w:val="00074FD1"/>
    <w:rsid w:val="0007514E"/>
    <w:rsid w:val="0007540A"/>
    <w:rsid w:val="00075416"/>
    <w:rsid w:val="0007574D"/>
    <w:rsid w:val="00075943"/>
    <w:rsid w:val="00075AE4"/>
    <w:rsid w:val="00075E66"/>
    <w:rsid w:val="00075E78"/>
    <w:rsid w:val="00075F1A"/>
    <w:rsid w:val="00075F4A"/>
    <w:rsid w:val="0007603D"/>
    <w:rsid w:val="0007618A"/>
    <w:rsid w:val="000763A3"/>
    <w:rsid w:val="000764D9"/>
    <w:rsid w:val="00076704"/>
    <w:rsid w:val="0007684D"/>
    <w:rsid w:val="00076899"/>
    <w:rsid w:val="000769AB"/>
    <w:rsid w:val="00076C29"/>
    <w:rsid w:val="00076F23"/>
    <w:rsid w:val="00076FB5"/>
    <w:rsid w:val="00077272"/>
    <w:rsid w:val="00077407"/>
    <w:rsid w:val="000777E7"/>
    <w:rsid w:val="00077823"/>
    <w:rsid w:val="00077889"/>
    <w:rsid w:val="00077A58"/>
    <w:rsid w:val="00077D83"/>
    <w:rsid w:val="0008032A"/>
    <w:rsid w:val="00080522"/>
    <w:rsid w:val="00080526"/>
    <w:rsid w:val="0008070B"/>
    <w:rsid w:val="000810A4"/>
    <w:rsid w:val="00081369"/>
    <w:rsid w:val="0008152E"/>
    <w:rsid w:val="00081541"/>
    <w:rsid w:val="00081545"/>
    <w:rsid w:val="00081560"/>
    <w:rsid w:val="0008157E"/>
    <w:rsid w:val="000816B1"/>
    <w:rsid w:val="0008177A"/>
    <w:rsid w:val="0008190D"/>
    <w:rsid w:val="00081BB2"/>
    <w:rsid w:val="00081BC6"/>
    <w:rsid w:val="00081DFF"/>
    <w:rsid w:val="00082038"/>
    <w:rsid w:val="00082232"/>
    <w:rsid w:val="000822E3"/>
    <w:rsid w:val="000822FB"/>
    <w:rsid w:val="00082382"/>
    <w:rsid w:val="00082580"/>
    <w:rsid w:val="00082592"/>
    <w:rsid w:val="000825B8"/>
    <w:rsid w:val="0008273C"/>
    <w:rsid w:val="000827B4"/>
    <w:rsid w:val="0008293A"/>
    <w:rsid w:val="00082C6C"/>
    <w:rsid w:val="00082CE4"/>
    <w:rsid w:val="00082E11"/>
    <w:rsid w:val="00082F93"/>
    <w:rsid w:val="0008331F"/>
    <w:rsid w:val="000835D4"/>
    <w:rsid w:val="000838F2"/>
    <w:rsid w:val="00083C7B"/>
    <w:rsid w:val="00083FDF"/>
    <w:rsid w:val="000841A7"/>
    <w:rsid w:val="00084228"/>
    <w:rsid w:val="000844D2"/>
    <w:rsid w:val="0008456E"/>
    <w:rsid w:val="00084678"/>
    <w:rsid w:val="0008468D"/>
    <w:rsid w:val="00084826"/>
    <w:rsid w:val="00084C34"/>
    <w:rsid w:val="00084C89"/>
    <w:rsid w:val="00084D13"/>
    <w:rsid w:val="00084D97"/>
    <w:rsid w:val="00084E71"/>
    <w:rsid w:val="00084F79"/>
    <w:rsid w:val="000850FC"/>
    <w:rsid w:val="000851E9"/>
    <w:rsid w:val="0008520F"/>
    <w:rsid w:val="00085372"/>
    <w:rsid w:val="0008554D"/>
    <w:rsid w:val="00085694"/>
    <w:rsid w:val="00085A0E"/>
    <w:rsid w:val="00085A5F"/>
    <w:rsid w:val="00085C30"/>
    <w:rsid w:val="00085C41"/>
    <w:rsid w:val="00085CA2"/>
    <w:rsid w:val="00085CB4"/>
    <w:rsid w:val="00085CD0"/>
    <w:rsid w:val="00085D13"/>
    <w:rsid w:val="00085E51"/>
    <w:rsid w:val="00085EC2"/>
    <w:rsid w:val="00085FC5"/>
    <w:rsid w:val="00085FEC"/>
    <w:rsid w:val="00086124"/>
    <w:rsid w:val="0008638B"/>
    <w:rsid w:val="000865B6"/>
    <w:rsid w:val="000865CA"/>
    <w:rsid w:val="00086625"/>
    <w:rsid w:val="00086953"/>
    <w:rsid w:val="00086A57"/>
    <w:rsid w:val="00086A72"/>
    <w:rsid w:val="00086B08"/>
    <w:rsid w:val="00086B28"/>
    <w:rsid w:val="00086B4E"/>
    <w:rsid w:val="000871CC"/>
    <w:rsid w:val="0008721A"/>
    <w:rsid w:val="00087252"/>
    <w:rsid w:val="000873F6"/>
    <w:rsid w:val="00087414"/>
    <w:rsid w:val="0008757C"/>
    <w:rsid w:val="00087832"/>
    <w:rsid w:val="00087901"/>
    <w:rsid w:val="00087BC4"/>
    <w:rsid w:val="00087CC7"/>
    <w:rsid w:val="00087FF0"/>
    <w:rsid w:val="0009007C"/>
    <w:rsid w:val="0009023B"/>
    <w:rsid w:val="0009051F"/>
    <w:rsid w:val="000905CE"/>
    <w:rsid w:val="000905D7"/>
    <w:rsid w:val="0009083C"/>
    <w:rsid w:val="000909B3"/>
    <w:rsid w:val="000909D3"/>
    <w:rsid w:val="000909E8"/>
    <w:rsid w:val="00090AA5"/>
    <w:rsid w:val="00090BF5"/>
    <w:rsid w:val="00090D3E"/>
    <w:rsid w:val="00090E56"/>
    <w:rsid w:val="00090F48"/>
    <w:rsid w:val="0009149C"/>
    <w:rsid w:val="000916E6"/>
    <w:rsid w:val="000918ED"/>
    <w:rsid w:val="00091BCE"/>
    <w:rsid w:val="00091BFA"/>
    <w:rsid w:val="00091D0C"/>
    <w:rsid w:val="00091F5D"/>
    <w:rsid w:val="00092112"/>
    <w:rsid w:val="00092694"/>
    <w:rsid w:val="00092784"/>
    <w:rsid w:val="000927DF"/>
    <w:rsid w:val="00092A7B"/>
    <w:rsid w:val="00092AB2"/>
    <w:rsid w:val="00092B5E"/>
    <w:rsid w:val="00092C61"/>
    <w:rsid w:val="00092D89"/>
    <w:rsid w:val="00092E24"/>
    <w:rsid w:val="00092E5A"/>
    <w:rsid w:val="00092FB0"/>
    <w:rsid w:val="000930D8"/>
    <w:rsid w:val="00093136"/>
    <w:rsid w:val="0009326A"/>
    <w:rsid w:val="00093333"/>
    <w:rsid w:val="00093598"/>
    <w:rsid w:val="00093D00"/>
    <w:rsid w:val="00093E74"/>
    <w:rsid w:val="00094244"/>
    <w:rsid w:val="00094625"/>
    <w:rsid w:val="0009462F"/>
    <w:rsid w:val="0009483A"/>
    <w:rsid w:val="00094ECA"/>
    <w:rsid w:val="00094F50"/>
    <w:rsid w:val="00095191"/>
    <w:rsid w:val="000954F1"/>
    <w:rsid w:val="0009552B"/>
    <w:rsid w:val="0009570F"/>
    <w:rsid w:val="00095889"/>
    <w:rsid w:val="000959A8"/>
    <w:rsid w:val="00095D94"/>
    <w:rsid w:val="000963B9"/>
    <w:rsid w:val="0009662F"/>
    <w:rsid w:val="00096772"/>
    <w:rsid w:val="00096891"/>
    <w:rsid w:val="00096A38"/>
    <w:rsid w:val="00096A75"/>
    <w:rsid w:val="00096A90"/>
    <w:rsid w:val="00096AAB"/>
    <w:rsid w:val="00096AB2"/>
    <w:rsid w:val="00096C9A"/>
    <w:rsid w:val="00096CCB"/>
    <w:rsid w:val="00096ECB"/>
    <w:rsid w:val="00096F63"/>
    <w:rsid w:val="00097073"/>
    <w:rsid w:val="000971A0"/>
    <w:rsid w:val="000975C6"/>
    <w:rsid w:val="0009764D"/>
    <w:rsid w:val="000976F4"/>
    <w:rsid w:val="00097CC0"/>
    <w:rsid w:val="00097F3F"/>
    <w:rsid w:val="000A004F"/>
    <w:rsid w:val="000A02EB"/>
    <w:rsid w:val="000A0578"/>
    <w:rsid w:val="000A0711"/>
    <w:rsid w:val="000A094A"/>
    <w:rsid w:val="000A0BB1"/>
    <w:rsid w:val="000A0C6D"/>
    <w:rsid w:val="000A0C8D"/>
    <w:rsid w:val="000A12BA"/>
    <w:rsid w:val="000A12E8"/>
    <w:rsid w:val="000A13AA"/>
    <w:rsid w:val="000A13EE"/>
    <w:rsid w:val="000A146F"/>
    <w:rsid w:val="000A15E8"/>
    <w:rsid w:val="000A1637"/>
    <w:rsid w:val="000A1647"/>
    <w:rsid w:val="000A17C3"/>
    <w:rsid w:val="000A1868"/>
    <w:rsid w:val="000A1C19"/>
    <w:rsid w:val="000A1C58"/>
    <w:rsid w:val="000A2274"/>
    <w:rsid w:val="000A22CA"/>
    <w:rsid w:val="000A22EF"/>
    <w:rsid w:val="000A236A"/>
    <w:rsid w:val="000A242A"/>
    <w:rsid w:val="000A2651"/>
    <w:rsid w:val="000A281B"/>
    <w:rsid w:val="000A2B09"/>
    <w:rsid w:val="000A2C44"/>
    <w:rsid w:val="000A2DB7"/>
    <w:rsid w:val="000A2DDF"/>
    <w:rsid w:val="000A3094"/>
    <w:rsid w:val="000A3117"/>
    <w:rsid w:val="000A3834"/>
    <w:rsid w:val="000A395C"/>
    <w:rsid w:val="000A3B96"/>
    <w:rsid w:val="000A3D00"/>
    <w:rsid w:val="000A3DA6"/>
    <w:rsid w:val="000A3E28"/>
    <w:rsid w:val="000A4139"/>
    <w:rsid w:val="000A4246"/>
    <w:rsid w:val="000A42C0"/>
    <w:rsid w:val="000A4389"/>
    <w:rsid w:val="000A46AA"/>
    <w:rsid w:val="000A4921"/>
    <w:rsid w:val="000A4BA0"/>
    <w:rsid w:val="000A4C95"/>
    <w:rsid w:val="000A4D33"/>
    <w:rsid w:val="000A4DDC"/>
    <w:rsid w:val="000A4E9E"/>
    <w:rsid w:val="000A4EA9"/>
    <w:rsid w:val="000A50D1"/>
    <w:rsid w:val="000A51DD"/>
    <w:rsid w:val="000A5372"/>
    <w:rsid w:val="000A564B"/>
    <w:rsid w:val="000A5771"/>
    <w:rsid w:val="000A579B"/>
    <w:rsid w:val="000A57B3"/>
    <w:rsid w:val="000A57FF"/>
    <w:rsid w:val="000A5823"/>
    <w:rsid w:val="000A59DB"/>
    <w:rsid w:val="000A5D71"/>
    <w:rsid w:val="000A5FCB"/>
    <w:rsid w:val="000A613E"/>
    <w:rsid w:val="000A62C9"/>
    <w:rsid w:val="000A667C"/>
    <w:rsid w:val="000A67C8"/>
    <w:rsid w:val="000A67F6"/>
    <w:rsid w:val="000A6933"/>
    <w:rsid w:val="000A6A18"/>
    <w:rsid w:val="000A6B84"/>
    <w:rsid w:val="000A6CB0"/>
    <w:rsid w:val="000A6DAD"/>
    <w:rsid w:val="000A6E50"/>
    <w:rsid w:val="000A6EDE"/>
    <w:rsid w:val="000A6F82"/>
    <w:rsid w:val="000A70DF"/>
    <w:rsid w:val="000A71B8"/>
    <w:rsid w:val="000A71C6"/>
    <w:rsid w:val="000A74A5"/>
    <w:rsid w:val="000A74C8"/>
    <w:rsid w:val="000A76AC"/>
    <w:rsid w:val="000A77A4"/>
    <w:rsid w:val="000A7864"/>
    <w:rsid w:val="000A78FF"/>
    <w:rsid w:val="000A79C1"/>
    <w:rsid w:val="000A79DB"/>
    <w:rsid w:val="000A7A23"/>
    <w:rsid w:val="000A7B62"/>
    <w:rsid w:val="000A7F5E"/>
    <w:rsid w:val="000B0319"/>
    <w:rsid w:val="000B03FC"/>
    <w:rsid w:val="000B04A3"/>
    <w:rsid w:val="000B0780"/>
    <w:rsid w:val="000B07B9"/>
    <w:rsid w:val="000B0C6B"/>
    <w:rsid w:val="000B0E68"/>
    <w:rsid w:val="000B0E6A"/>
    <w:rsid w:val="000B0FB1"/>
    <w:rsid w:val="000B0FD9"/>
    <w:rsid w:val="000B1065"/>
    <w:rsid w:val="000B10CF"/>
    <w:rsid w:val="000B12F1"/>
    <w:rsid w:val="000B1529"/>
    <w:rsid w:val="000B155E"/>
    <w:rsid w:val="000B15BA"/>
    <w:rsid w:val="000B1699"/>
    <w:rsid w:val="000B1816"/>
    <w:rsid w:val="000B1865"/>
    <w:rsid w:val="000B18AA"/>
    <w:rsid w:val="000B194D"/>
    <w:rsid w:val="000B1999"/>
    <w:rsid w:val="000B209B"/>
    <w:rsid w:val="000B20D1"/>
    <w:rsid w:val="000B212D"/>
    <w:rsid w:val="000B2183"/>
    <w:rsid w:val="000B2192"/>
    <w:rsid w:val="000B22F5"/>
    <w:rsid w:val="000B2513"/>
    <w:rsid w:val="000B295C"/>
    <w:rsid w:val="000B2A84"/>
    <w:rsid w:val="000B2AFD"/>
    <w:rsid w:val="000B2B0C"/>
    <w:rsid w:val="000B2DF3"/>
    <w:rsid w:val="000B30A2"/>
    <w:rsid w:val="000B3271"/>
    <w:rsid w:val="000B32D4"/>
    <w:rsid w:val="000B3509"/>
    <w:rsid w:val="000B3544"/>
    <w:rsid w:val="000B37F8"/>
    <w:rsid w:val="000B388E"/>
    <w:rsid w:val="000B38AF"/>
    <w:rsid w:val="000B395D"/>
    <w:rsid w:val="000B3D90"/>
    <w:rsid w:val="000B3DB1"/>
    <w:rsid w:val="000B45A8"/>
    <w:rsid w:val="000B46E3"/>
    <w:rsid w:val="000B4709"/>
    <w:rsid w:val="000B473C"/>
    <w:rsid w:val="000B489A"/>
    <w:rsid w:val="000B48FC"/>
    <w:rsid w:val="000B49C2"/>
    <w:rsid w:val="000B4A6A"/>
    <w:rsid w:val="000B4B6C"/>
    <w:rsid w:val="000B4DF1"/>
    <w:rsid w:val="000B4F47"/>
    <w:rsid w:val="000B5065"/>
    <w:rsid w:val="000B50CC"/>
    <w:rsid w:val="000B54CC"/>
    <w:rsid w:val="000B552C"/>
    <w:rsid w:val="000B5567"/>
    <w:rsid w:val="000B5705"/>
    <w:rsid w:val="000B571B"/>
    <w:rsid w:val="000B596A"/>
    <w:rsid w:val="000B59CF"/>
    <w:rsid w:val="000B5C18"/>
    <w:rsid w:val="000B5D83"/>
    <w:rsid w:val="000B5E02"/>
    <w:rsid w:val="000B5F0C"/>
    <w:rsid w:val="000B5F78"/>
    <w:rsid w:val="000B6062"/>
    <w:rsid w:val="000B60AB"/>
    <w:rsid w:val="000B63C5"/>
    <w:rsid w:val="000B6401"/>
    <w:rsid w:val="000B6410"/>
    <w:rsid w:val="000B6438"/>
    <w:rsid w:val="000B6489"/>
    <w:rsid w:val="000B654B"/>
    <w:rsid w:val="000B65C9"/>
    <w:rsid w:val="000B6665"/>
    <w:rsid w:val="000B69DC"/>
    <w:rsid w:val="000B6B6F"/>
    <w:rsid w:val="000B6B84"/>
    <w:rsid w:val="000B6FA5"/>
    <w:rsid w:val="000B715B"/>
    <w:rsid w:val="000B716D"/>
    <w:rsid w:val="000B7366"/>
    <w:rsid w:val="000B7375"/>
    <w:rsid w:val="000B73E4"/>
    <w:rsid w:val="000B73F0"/>
    <w:rsid w:val="000B7435"/>
    <w:rsid w:val="000B7708"/>
    <w:rsid w:val="000B7799"/>
    <w:rsid w:val="000B7941"/>
    <w:rsid w:val="000B7A4A"/>
    <w:rsid w:val="000B7A97"/>
    <w:rsid w:val="000B7E4D"/>
    <w:rsid w:val="000B7F27"/>
    <w:rsid w:val="000B7FE5"/>
    <w:rsid w:val="000C0494"/>
    <w:rsid w:val="000C0580"/>
    <w:rsid w:val="000C0902"/>
    <w:rsid w:val="000C0A5C"/>
    <w:rsid w:val="000C0BC8"/>
    <w:rsid w:val="000C0CF2"/>
    <w:rsid w:val="000C0DB2"/>
    <w:rsid w:val="000C1208"/>
    <w:rsid w:val="000C1401"/>
    <w:rsid w:val="000C165D"/>
    <w:rsid w:val="000C18AB"/>
    <w:rsid w:val="000C18BF"/>
    <w:rsid w:val="000C19F4"/>
    <w:rsid w:val="000C1B6D"/>
    <w:rsid w:val="000C1CA5"/>
    <w:rsid w:val="000C1DFB"/>
    <w:rsid w:val="000C1E0B"/>
    <w:rsid w:val="000C1E49"/>
    <w:rsid w:val="000C228B"/>
    <w:rsid w:val="000C2351"/>
    <w:rsid w:val="000C2520"/>
    <w:rsid w:val="000C2551"/>
    <w:rsid w:val="000C25E0"/>
    <w:rsid w:val="000C26B4"/>
    <w:rsid w:val="000C2870"/>
    <w:rsid w:val="000C2D2D"/>
    <w:rsid w:val="000C2EE0"/>
    <w:rsid w:val="000C3033"/>
    <w:rsid w:val="000C30A2"/>
    <w:rsid w:val="000C381D"/>
    <w:rsid w:val="000C3B3D"/>
    <w:rsid w:val="000C3B72"/>
    <w:rsid w:val="000C3CFF"/>
    <w:rsid w:val="000C40E3"/>
    <w:rsid w:val="000C431B"/>
    <w:rsid w:val="000C4352"/>
    <w:rsid w:val="000C43DE"/>
    <w:rsid w:val="000C4670"/>
    <w:rsid w:val="000C47F9"/>
    <w:rsid w:val="000C491E"/>
    <w:rsid w:val="000C49D1"/>
    <w:rsid w:val="000C4B44"/>
    <w:rsid w:val="000C4E2C"/>
    <w:rsid w:val="000C4E44"/>
    <w:rsid w:val="000C4EE3"/>
    <w:rsid w:val="000C5219"/>
    <w:rsid w:val="000C5675"/>
    <w:rsid w:val="000C5846"/>
    <w:rsid w:val="000C5853"/>
    <w:rsid w:val="000C58FC"/>
    <w:rsid w:val="000C5930"/>
    <w:rsid w:val="000C5B9D"/>
    <w:rsid w:val="000C601C"/>
    <w:rsid w:val="000C64BE"/>
    <w:rsid w:val="000C66A4"/>
    <w:rsid w:val="000C66B1"/>
    <w:rsid w:val="000C6896"/>
    <w:rsid w:val="000C68FF"/>
    <w:rsid w:val="000C6933"/>
    <w:rsid w:val="000C6A25"/>
    <w:rsid w:val="000C6A39"/>
    <w:rsid w:val="000C6C3F"/>
    <w:rsid w:val="000C6F0B"/>
    <w:rsid w:val="000C6F3E"/>
    <w:rsid w:val="000C702D"/>
    <w:rsid w:val="000C7236"/>
    <w:rsid w:val="000C7374"/>
    <w:rsid w:val="000C73E3"/>
    <w:rsid w:val="000C74A5"/>
    <w:rsid w:val="000C751C"/>
    <w:rsid w:val="000C7DB8"/>
    <w:rsid w:val="000C7E50"/>
    <w:rsid w:val="000D00B8"/>
    <w:rsid w:val="000D0161"/>
    <w:rsid w:val="000D03A1"/>
    <w:rsid w:val="000D05C8"/>
    <w:rsid w:val="000D05F6"/>
    <w:rsid w:val="000D0601"/>
    <w:rsid w:val="000D07C1"/>
    <w:rsid w:val="000D0975"/>
    <w:rsid w:val="000D0E1B"/>
    <w:rsid w:val="000D116D"/>
    <w:rsid w:val="000D138D"/>
    <w:rsid w:val="000D14B2"/>
    <w:rsid w:val="000D17F2"/>
    <w:rsid w:val="000D1A59"/>
    <w:rsid w:val="000D1C16"/>
    <w:rsid w:val="000D1EB8"/>
    <w:rsid w:val="000D204C"/>
    <w:rsid w:val="000D2272"/>
    <w:rsid w:val="000D231F"/>
    <w:rsid w:val="000D239A"/>
    <w:rsid w:val="000D23D1"/>
    <w:rsid w:val="000D247A"/>
    <w:rsid w:val="000D24FD"/>
    <w:rsid w:val="000D2644"/>
    <w:rsid w:val="000D269B"/>
    <w:rsid w:val="000D2868"/>
    <w:rsid w:val="000D28A4"/>
    <w:rsid w:val="000D2A3E"/>
    <w:rsid w:val="000D2C17"/>
    <w:rsid w:val="000D2C48"/>
    <w:rsid w:val="000D2CBA"/>
    <w:rsid w:val="000D2CC6"/>
    <w:rsid w:val="000D2D0A"/>
    <w:rsid w:val="000D304A"/>
    <w:rsid w:val="000D30BF"/>
    <w:rsid w:val="000D322F"/>
    <w:rsid w:val="000D328B"/>
    <w:rsid w:val="000D35A5"/>
    <w:rsid w:val="000D35B8"/>
    <w:rsid w:val="000D36D9"/>
    <w:rsid w:val="000D37A9"/>
    <w:rsid w:val="000D37D3"/>
    <w:rsid w:val="000D3EE0"/>
    <w:rsid w:val="000D3F1D"/>
    <w:rsid w:val="000D3FA4"/>
    <w:rsid w:val="000D3FE1"/>
    <w:rsid w:val="000D4110"/>
    <w:rsid w:val="000D4335"/>
    <w:rsid w:val="000D43C1"/>
    <w:rsid w:val="000D44B6"/>
    <w:rsid w:val="000D4718"/>
    <w:rsid w:val="000D48BD"/>
    <w:rsid w:val="000D4A26"/>
    <w:rsid w:val="000D4E18"/>
    <w:rsid w:val="000D5034"/>
    <w:rsid w:val="000D51CE"/>
    <w:rsid w:val="000D5330"/>
    <w:rsid w:val="000D53E5"/>
    <w:rsid w:val="000D556E"/>
    <w:rsid w:val="000D5921"/>
    <w:rsid w:val="000D598D"/>
    <w:rsid w:val="000D5A18"/>
    <w:rsid w:val="000D5A28"/>
    <w:rsid w:val="000D5B28"/>
    <w:rsid w:val="000D5C82"/>
    <w:rsid w:val="000D5EEB"/>
    <w:rsid w:val="000D60CD"/>
    <w:rsid w:val="000D6194"/>
    <w:rsid w:val="000D6216"/>
    <w:rsid w:val="000D626C"/>
    <w:rsid w:val="000D6996"/>
    <w:rsid w:val="000D6BFC"/>
    <w:rsid w:val="000D6E55"/>
    <w:rsid w:val="000D6F0A"/>
    <w:rsid w:val="000D7045"/>
    <w:rsid w:val="000D7053"/>
    <w:rsid w:val="000D7192"/>
    <w:rsid w:val="000D7257"/>
    <w:rsid w:val="000D7262"/>
    <w:rsid w:val="000D77BD"/>
    <w:rsid w:val="000D7ADC"/>
    <w:rsid w:val="000D7F48"/>
    <w:rsid w:val="000E05DC"/>
    <w:rsid w:val="000E0857"/>
    <w:rsid w:val="000E08CB"/>
    <w:rsid w:val="000E0B4C"/>
    <w:rsid w:val="000E0DC2"/>
    <w:rsid w:val="000E0DCF"/>
    <w:rsid w:val="000E10C4"/>
    <w:rsid w:val="000E1286"/>
    <w:rsid w:val="000E13AE"/>
    <w:rsid w:val="000E13EE"/>
    <w:rsid w:val="000E16F7"/>
    <w:rsid w:val="000E17EA"/>
    <w:rsid w:val="000E17FB"/>
    <w:rsid w:val="000E194B"/>
    <w:rsid w:val="000E19F1"/>
    <w:rsid w:val="000E1C24"/>
    <w:rsid w:val="000E1D4D"/>
    <w:rsid w:val="000E1E27"/>
    <w:rsid w:val="000E1E2C"/>
    <w:rsid w:val="000E1EDA"/>
    <w:rsid w:val="000E1F3C"/>
    <w:rsid w:val="000E202B"/>
    <w:rsid w:val="000E21D6"/>
    <w:rsid w:val="000E24D5"/>
    <w:rsid w:val="000E252E"/>
    <w:rsid w:val="000E275F"/>
    <w:rsid w:val="000E2842"/>
    <w:rsid w:val="000E297D"/>
    <w:rsid w:val="000E29CC"/>
    <w:rsid w:val="000E29F2"/>
    <w:rsid w:val="000E2A44"/>
    <w:rsid w:val="000E2CA4"/>
    <w:rsid w:val="000E2CB7"/>
    <w:rsid w:val="000E2E7E"/>
    <w:rsid w:val="000E2EFF"/>
    <w:rsid w:val="000E304D"/>
    <w:rsid w:val="000E314B"/>
    <w:rsid w:val="000E31ED"/>
    <w:rsid w:val="000E344C"/>
    <w:rsid w:val="000E36B8"/>
    <w:rsid w:val="000E3702"/>
    <w:rsid w:val="000E3987"/>
    <w:rsid w:val="000E39EF"/>
    <w:rsid w:val="000E3AE4"/>
    <w:rsid w:val="000E3D57"/>
    <w:rsid w:val="000E40C4"/>
    <w:rsid w:val="000E40CF"/>
    <w:rsid w:val="000E4108"/>
    <w:rsid w:val="000E41C1"/>
    <w:rsid w:val="000E41EA"/>
    <w:rsid w:val="000E41F0"/>
    <w:rsid w:val="000E447E"/>
    <w:rsid w:val="000E47A8"/>
    <w:rsid w:val="000E47DB"/>
    <w:rsid w:val="000E4803"/>
    <w:rsid w:val="000E4918"/>
    <w:rsid w:val="000E4A6F"/>
    <w:rsid w:val="000E4C56"/>
    <w:rsid w:val="000E4E51"/>
    <w:rsid w:val="000E54A4"/>
    <w:rsid w:val="000E5519"/>
    <w:rsid w:val="000E552A"/>
    <w:rsid w:val="000E553E"/>
    <w:rsid w:val="000E5577"/>
    <w:rsid w:val="000E5963"/>
    <w:rsid w:val="000E5C9F"/>
    <w:rsid w:val="000E5E2C"/>
    <w:rsid w:val="000E63E1"/>
    <w:rsid w:val="000E6486"/>
    <w:rsid w:val="000E6494"/>
    <w:rsid w:val="000E6564"/>
    <w:rsid w:val="000E65AA"/>
    <w:rsid w:val="000E664E"/>
    <w:rsid w:val="000E6C5D"/>
    <w:rsid w:val="000E6C7E"/>
    <w:rsid w:val="000E6CE2"/>
    <w:rsid w:val="000E6D11"/>
    <w:rsid w:val="000E6D35"/>
    <w:rsid w:val="000E6EE3"/>
    <w:rsid w:val="000E713A"/>
    <w:rsid w:val="000E7377"/>
    <w:rsid w:val="000E741D"/>
    <w:rsid w:val="000E7518"/>
    <w:rsid w:val="000E7880"/>
    <w:rsid w:val="000E7A7F"/>
    <w:rsid w:val="000E7A81"/>
    <w:rsid w:val="000E7AD4"/>
    <w:rsid w:val="000E7C31"/>
    <w:rsid w:val="000E7C82"/>
    <w:rsid w:val="000E7E4C"/>
    <w:rsid w:val="000E7EB7"/>
    <w:rsid w:val="000E7F44"/>
    <w:rsid w:val="000F00A4"/>
    <w:rsid w:val="000F04DE"/>
    <w:rsid w:val="000F062A"/>
    <w:rsid w:val="000F06AB"/>
    <w:rsid w:val="000F06FB"/>
    <w:rsid w:val="000F0767"/>
    <w:rsid w:val="000F0C0C"/>
    <w:rsid w:val="000F0CB3"/>
    <w:rsid w:val="000F0DE6"/>
    <w:rsid w:val="000F0FD7"/>
    <w:rsid w:val="000F0FE8"/>
    <w:rsid w:val="000F1301"/>
    <w:rsid w:val="000F1332"/>
    <w:rsid w:val="000F14EC"/>
    <w:rsid w:val="000F1584"/>
    <w:rsid w:val="000F1810"/>
    <w:rsid w:val="000F186D"/>
    <w:rsid w:val="000F1C85"/>
    <w:rsid w:val="000F1DF8"/>
    <w:rsid w:val="000F1FC1"/>
    <w:rsid w:val="000F2006"/>
    <w:rsid w:val="000F225C"/>
    <w:rsid w:val="000F25F3"/>
    <w:rsid w:val="000F2897"/>
    <w:rsid w:val="000F2992"/>
    <w:rsid w:val="000F2B0F"/>
    <w:rsid w:val="000F2C85"/>
    <w:rsid w:val="000F2E32"/>
    <w:rsid w:val="000F2EFD"/>
    <w:rsid w:val="000F2F11"/>
    <w:rsid w:val="000F2FB6"/>
    <w:rsid w:val="000F3121"/>
    <w:rsid w:val="000F3391"/>
    <w:rsid w:val="000F35BA"/>
    <w:rsid w:val="000F36CC"/>
    <w:rsid w:val="000F3744"/>
    <w:rsid w:val="000F37E3"/>
    <w:rsid w:val="000F3AC1"/>
    <w:rsid w:val="000F3BAD"/>
    <w:rsid w:val="000F3C4C"/>
    <w:rsid w:val="000F3CA4"/>
    <w:rsid w:val="000F419B"/>
    <w:rsid w:val="000F4250"/>
    <w:rsid w:val="000F42F6"/>
    <w:rsid w:val="000F44AE"/>
    <w:rsid w:val="000F4541"/>
    <w:rsid w:val="000F4A60"/>
    <w:rsid w:val="000F4B70"/>
    <w:rsid w:val="000F4D2B"/>
    <w:rsid w:val="000F4E20"/>
    <w:rsid w:val="000F4EEB"/>
    <w:rsid w:val="000F5301"/>
    <w:rsid w:val="000F538A"/>
    <w:rsid w:val="000F55B8"/>
    <w:rsid w:val="000F59FB"/>
    <w:rsid w:val="000F5FA2"/>
    <w:rsid w:val="000F6424"/>
    <w:rsid w:val="000F655D"/>
    <w:rsid w:val="000F6582"/>
    <w:rsid w:val="000F65D7"/>
    <w:rsid w:val="000F6706"/>
    <w:rsid w:val="000F6729"/>
    <w:rsid w:val="000F68BE"/>
    <w:rsid w:val="000F68E9"/>
    <w:rsid w:val="000F6C58"/>
    <w:rsid w:val="000F6C95"/>
    <w:rsid w:val="000F6E44"/>
    <w:rsid w:val="000F6E57"/>
    <w:rsid w:val="000F7021"/>
    <w:rsid w:val="000F7354"/>
    <w:rsid w:val="000F747C"/>
    <w:rsid w:val="000F74EE"/>
    <w:rsid w:val="000F75F9"/>
    <w:rsid w:val="000F76A9"/>
    <w:rsid w:val="000F7714"/>
    <w:rsid w:val="000F77E1"/>
    <w:rsid w:val="000F7922"/>
    <w:rsid w:val="000F7BC5"/>
    <w:rsid w:val="000F7C68"/>
    <w:rsid w:val="00100038"/>
    <w:rsid w:val="00100243"/>
    <w:rsid w:val="00100674"/>
    <w:rsid w:val="0010072A"/>
    <w:rsid w:val="001007AF"/>
    <w:rsid w:val="001007DC"/>
    <w:rsid w:val="001009DF"/>
    <w:rsid w:val="00100C17"/>
    <w:rsid w:val="00100DE2"/>
    <w:rsid w:val="00100EC5"/>
    <w:rsid w:val="00100F2C"/>
    <w:rsid w:val="00100FA3"/>
    <w:rsid w:val="00100FCD"/>
    <w:rsid w:val="0010121A"/>
    <w:rsid w:val="0010126B"/>
    <w:rsid w:val="00101450"/>
    <w:rsid w:val="00101539"/>
    <w:rsid w:val="0010160F"/>
    <w:rsid w:val="001018C0"/>
    <w:rsid w:val="0010195D"/>
    <w:rsid w:val="00101C2C"/>
    <w:rsid w:val="00101C82"/>
    <w:rsid w:val="00101D36"/>
    <w:rsid w:val="00101ECE"/>
    <w:rsid w:val="00101EEF"/>
    <w:rsid w:val="00102004"/>
    <w:rsid w:val="00102258"/>
    <w:rsid w:val="00102402"/>
    <w:rsid w:val="0010263F"/>
    <w:rsid w:val="001027C8"/>
    <w:rsid w:val="00102CFA"/>
    <w:rsid w:val="00102D4E"/>
    <w:rsid w:val="00102F25"/>
    <w:rsid w:val="0010322C"/>
    <w:rsid w:val="00103239"/>
    <w:rsid w:val="0010333D"/>
    <w:rsid w:val="00103386"/>
    <w:rsid w:val="001033B5"/>
    <w:rsid w:val="0010344C"/>
    <w:rsid w:val="0010356C"/>
    <w:rsid w:val="00103B5E"/>
    <w:rsid w:val="00103D24"/>
    <w:rsid w:val="00103E6E"/>
    <w:rsid w:val="00103FDB"/>
    <w:rsid w:val="00104068"/>
    <w:rsid w:val="0010449D"/>
    <w:rsid w:val="0010455B"/>
    <w:rsid w:val="00104AC9"/>
    <w:rsid w:val="00104AE1"/>
    <w:rsid w:val="00104AFE"/>
    <w:rsid w:val="00104DF3"/>
    <w:rsid w:val="00104DFA"/>
    <w:rsid w:val="00104E95"/>
    <w:rsid w:val="00104FE6"/>
    <w:rsid w:val="00105105"/>
    <w:rsid w:val="001055E3"/>
    <w:rsid w:val="001058FA"/>
    <w:rsid w:val="00105967"/>
    <w:rsid w:val="00105978"/>
    <w:rsid w:val="00105A3D"/>
    <w:rsid w:val="00105A56"/>
    <w:rsid w:val="00105BFB"/>
    <w:rsid w:val="00105C53"/>
    <w:rsid w:val="00105ED3"/>
    <w:rsid w:val="00106131"/>
    <w:rsid w:val="0010614E"/>
    <w:rsid w:val="0010618D"/>
    <w:rsid w:val="001062DD"/>
    <w:rsid w:val="00106331"/>
    <w:rsid w:val="0010638F"/>
    <w:rsid w:val="001064C5"/>
    <w:rsid w:val="00106514"/>
    <w:rsid w:val="00106559"/>
    <w:rsid w:val="00106A27"/>
    <w:rsid w:val="00106B43"/>
    <w:rsid w:val="00106D53"/>
    <w:rsid w:val="00106FD4"/>
    <w:rsid w:val="001070B8"/>
    <w:rsid w:val="0010733A"/>
    <w:rsid w:val="0010765D"/>
    <w:rsid w:val="001076A5"/>
    <w:rsid w:val="00107723"/>
    <w:rsid w:val="0010775A"/>
    <w:rsid w:val="00107875"/>
    <w:rsid w:val="001078FD"/>
    <w:rsid w:val="00107ABC"/>
    <w:rsid w:val="00107B92"/>
    <w:rsid w:val="00107BB5"/>
    <w:rsid w:val="00107C5C"/>
    <w:rsid w:val="00107D5D"/>
    <w:rsid w:val="00107ECE"/>
    <w:rsid w:val="00107FBC"/>
    <w:rsid w:val="00107FBF"/>
    <w:rsid w:val="00107FF7"/>
    <w:rsid w:val="00110007"/>
    <w:rsid w:val="00110463"/>
    <w:rsid w:val="00110731"/>
    <w:rsid w:val="0011079C"/>
    <w:rsid w:val="00110874"/>
    <w:rsid w:val="001109E5"/>
    <w:rsid w:val="00110AC4"/>
    <w:rsid w:val="00110BF2"/>
    <w:rsid w:val="00110D1F"/>
    <w:rsid w:val="00110F31"/>
    <w:rsid w:val="00110FCE"/>
    <w:rsid w:val="00111041"/>
    <w:rsid w:val="001111FB"/>
    <w:rsid w:val="00111613"/>
    <w:rsid w:val="001116BF"/>
    <w:rsid w:val="0011172E"/>
    <w:rsid w:val="00111782"/>
    <w:rsid w:val="0011186B"/>
    <w:rsid w:val="001119C6"/>
    <w:rsid w:val="00111AAA"/>
    <w:rsid w:val="00111EC8"/>
    <w:rsid w:val="00111FF3"/>
    <w:rsid w:val="0011213E"/>
    <w:rsid w:val="00112159"/>
    <w:rsid w:val="0011222D"/>
    <w:rsid w:val="0011227C"/>
    <w:rsid w:val="00112412"/>
    <w:rsid w:val="0011243E"/>
    <w:rsid w:val="001124B5"/>
    <w:rsid w:val="00112734"/>
    <w:rsid w:val="00112826"/>
    <w:rsid w:val="001128B7"/>
    <w:rsid w:val="00112991"/>
    <w:rsid w:val="001129D9"/>
    <w:rsid w:val="00112AAA"/>
    <w:rsid w:val="00112B1E"/>
    <w:rsid w:val="00112BBC"/>
    <w:rsid w:val="00112BFF"/>
    <w:rsid w:val="00112F64"/>
    <w:rsid w:val="00112FAC"/>
    <w:rsid w:val="00113727"/>
    <w:rsid w:val="00113767"/>
    <w:rsid w:val="001137E2"/>
    <w:rsid w:val="0011381B"/>
    <w:rsid w:val="00113C0F"/>
    <w:rsid w:val="00113D99"/>
    <w:rsid w:val="00113DED"/>
    <w:rsid w:val="00113E21"/>
    <w:rsid w:val="00114035"/>
    <w:rsid w:val="0011441F"/>
    <w:rsid w:val="0011468F"/>
    <w:rsid w:val="001146FE"/>
    <w:rsid w:val="0011474D"/>
    <w:rsid w:val="00114A21"/>
    <w:rsid w:val="00114A7B"/>
    <w:rsid w:val="00114B58"/>
    <w:rsid w:val="00114C09"/>
    <w:rsid w:val="00114C85"/>
    <w:rsid w:val="00114DC6"/>
    <w:rsid w:val="00114DE5"/>
    <w:rsid w:val="00114F08"/>
    <w:rsid w:val="001150B9"/>
    <w:rsid w:val="001151F0"/>
    <w:rsid w:val="00115281"/>
    <w:rsid w:val="00115283"/>
    <w:rsid w:val="001152DE"/>
    <w:rsid w:val="00115C8B"/>
    <w:rsid w:val="00116040"/>
    <w:rsid w:val="00116082"/>
    <w:rsid w:val="00116366"/>
    <w:rsid w:val="0011642C"/>
    <w:rsid w:val="00116511"/>
    <w:rsid w:val="00116823"/>
    <w:rsid w:val="00116858"/>
    <w:rsid w:val="0011688F"/>
    <w:rsid w:val="00116AA9"/>
    <w:rsid w:val="00116B9A"/>
    <w:rsid w:val="00116E89"/>
    <w:rsid w:val="001170FA"/>
    <w:rsid w:val="001171C5"/>
    <w:rsid w:val="001172C6"/>
    <w:rsid w:val="0011736D"/>
    <w:rsid w:val="001173AB"/>
    <w:rsid w:val="001173BD"/>
    <w:rsid w:val="001174DA"/>
    <w:rsid w:val="00117590"/>
    <w:rsid w:val="001175D8"/>
    <w:rsid w:val="00117B11"/>
    <w:rsid w:val="00117D37"/>
    <w:rsid w:val="00117F76"/>
    <w:rsid w:val="001203C5"/>
    <w:rsid w:val="0012071C"/>
    <w:rsid w:val="001207F5"/>
    <w:rsid w:val="00120A57"/>
    <w:rsid w:val="00120C25"/>
    <w:rsid w:val="00120D1C"/>
    <w:rsid w:val="00120DA5"/>
    <w:rsid w:val="00121159"/>
    <w:rsid w:val="001213B4"/>
    <w:rsid w:val="0012145D"/>
    <w:rsid w:val="00121582"/>
    <w:rsid w:val="001216D9"/>
    <w:rsid w:val="001218A1"/>
    <w:rsid w:val="001218DC"/>
    <w:rsid w:val="00121967"/>
    <w:rsid w:val="00121AB3"/>
    <w:rsid w:val="00121AFE"/>
    <w:rsid w:val="00121B0D"/>
    <w:rsid w:val="00121B6B"/>
    <w:rsid w:val="00121C46"/>
    <w:rsid w:val="00121E73"/>
    <w:rsid w:val="00121FBC"/>
    <w:rsid w:val="001221AB"/>
    <w:rsid w:val="00122429"/>
    <w:rsid w:val="00122451"/>
    <w:rsid w:val="00122465"/>
    <w:rsid w:val="00122576"/>
    <w:rsid w:val="00122578"/>
    <w:rsid w:val="001227DB"/>
    <w:rsid w:val="001228A8"/>
    <w:rsid w:val="001228BD"/>
    <w:rsid w:val="001228E0"/>
    <w:rsid w:val="00122951"/>
    <w:rsid w:val="0012311B"/>
    <w:rsid w:val="00123152"/>
    <w:rsid w:val="00123185"/>
    <w:rsid w:val="00123466"/>
    <w:rsid w:val="001235A5"/>
    <w:rsid w:val="00123665"/>
    <w:rsid w:val="001237B6"/>
    <w:rsid w:val="001238CB"/>
    <w:rsid w:val="001238F9"/>
    <w:rsid w:val="00123A62"/>
    <w:rsid w:val="00123A91"/>
    <w:rsid w:val="00123BB8"/>
    <w:rsid w:val="00123CB1"/>
    <w:rsid w:val="00123D64"/>
    <w:rsid w:val="00124513"/>
    <w:rsid w:val="001245D2"/>
    <w:rsid w:val="001248C5"/>
    <w:rsid w:val="00124D97"/>
    <w:rsid w:val="0012564E"/>
    <w:rsid w:val="00125A9A"/>
    <w:rsid w:val="00125B2D"/>
    <w:rsid w:val="00125B5D"/>
    <w:rsid w:val="00125EEA"/>
    <w:rsid w:val="00125F05"/>
    <w:rsid w:val="001260F9"/>
    <w:rsid w:val="0012615B"/>
    <w:rsid w:val="00126297"/>
    <w:rsid w:val="0012637E"/>
    <w:rsid w:val="001268A3"/>
    <w:rsid w:val="00126A02"/>
    <w:rsid w:val="00126D46"/>
    <w:rsid w:val="00126E00"/>
    <w:rsid w:val="00126FD4"/>
    <w:rsid w:val="00126FEA"/>
    <w:rsid w:val="00127079"/>
    <w:rsid w:val="0012728C"/>
    <w:rsid w:val="00127497"/>
    <w:rsid w:val="0012758A"/>
    <w:rsid w:val="001277E9"/>
    <w:rsid w:val="00127B6C"/>
    <w:rsid w:val="00127B82"/>
    <w:rsid w:val="00127C92"/>
    <w:rsid w:val="00127E73"/>
    <w:rsid w:val="0013000D"/>
    <w:rsid w:val="001300B3"/>
    <w:rsid w:val="001300E8"/>
    <w:rsid w:val="00130322"/>
    <w:rsid w:val="00130331"/>
    <w:rsid w:val="0013051A"/>
    <w:rsid w:val="00130653"/>
    <w:rsid w:val="00130693"/>
    <w:rsid w:val="00130B40"/>
    <w:rsid w:val="00130C5E"/>
    <w:rsid w:val="00130E60"/>
    <w:rsid w:val="00130F53"/>
    <w:rsid w:val="00130F88"/>
    <w:rsid w:val="0013108B"/>
    <w:rsid w:val="00131139"/>
    <w:rsid w:val="001311D1"/>
    <w:rsid w:val="001312D3"/>
    <w:rsid w:val="0013130D"/>
    <w:rsid w:val="0013134B"/>
    <w:rsid w:val="001313D1"/>
    <w:rsid w:val="00131425"/>
    <w:rsid w:val="001314E3"/>
    <w:rsid w:val="001315B0"/>
    <w:rsid w:val="00131633"/>
    <w:rsid w:val="00131779"/>
    <w:rsid w:val="00131786"/>
    <w:rsid w:val="00131AAD"/>
    <w:rsid w:val="00131CFF"/>
    <w:rsid w:val="00131D46"/>
    <w:rsid w:val="00131E09"/>
    <w:rsid w:val="00131E2E"/>
    <w:rsid w:val="00131EAA"/>
    <w:rsid w:val="00131F1D"/>
    <w:rsid w:val="00132162"/>
    <w:rsid w:val="001321AF"/>
    <w:rsid w:val="0013245E"/>
    <w:rsid w:val="00132624"/>
    <w:rsid w:val="0013274F"/>
    <w:rsid w:val="0013276D"/>
    <w:rsid w:val="001327FF"/>
    <w:rsid w:val="00132809"/>
    <w:rsid w:val="001328F0"/>
    <w:rsid w:val="00132A2A"/>
    <w:rsid w:val="00132B98"/>
    <w:rsid w:val="00132ECB"/>
    <w:rsid w:val="00132F82"/>
    <w:rsid w:val="001332E5"/>
    <w:rsid w:val="001335F2"/>
    <w:rsid w:val="001337C8"/>
    <w:rsid w:val="00133848"/>
    <w:rsid w:val="00133B57"/>
    <w:rsid w:val="00133CBF"/>
    <w:rsid w:val="00133F2C"/>
    <w:rsid w:val="00134232"/>
    <w:rsid w:val="001343FD"/>
    <w:rsid w:val="001344BB"/>
    <w:rsid w:val="00134667"/>
    <w:rsid w:val="00134986"/>
    <w:rsid w:val="00134B20"/>
    <w:rsid w:val="00134DB8"/>
    <w:rsid w:val="00134E5D"/>
    <w:rsid w:val="00134F98"/>
    <w:rsid w:val="00135064"/>
    <w:rsid w:val="00135F60"/>
    <w:rsid w:val="00135FB8"/>
    <w:rsid w:val="001360EB"/>
    <w:rsid w:val="00136212"/>
    <w:rsid w:val="0013637F"/>
    <w:rsid w:val="001363AC"/>
    <w:rsid w:val="00136450"/>
    <w:rsid w:val="00136490"/>
    <w:rsid w:val="001364E3"/>
    <w:rsid w:val="001365F8"/>
    <w:rsid w:val="001366B0"/>
    <w:rsid w:val="00136727"/>
    <w:rsid w:val="00136950"/>
    <w:rsid w:val="00136B6B"/>
    <w:rsid w:val="00136D05"/>
    <w:rsid w:val="00136E27"/>
    <w:rsid w:val="00136E63"/>
    <w:rsid w:val="00136E97"/>
    <w:rsid w:val="00136FE9"/>
    <w:rsid w:val="00137005"/>
    <w:rsid w:val="00137030"/>
    <w:rsid w:val="00137271"/>
    <w:rsid w:val="0013756A"/>
    <w:rsid w:val="001377EC"/>
    <w:rsid w:val="001378CA"/>
    <w:rsid w:val="00137FE7"/>
    <w:rsid w:val="00140015"/>
    <w:rsid w:val="001400D4"/>
    <w:rsid w:val="00140176"/>
    <w:rsid w:val="0014029A"/>
    <w:rsid w:val="00140696"/>
    <w:rsid w:val="001406CE"/>
    <w:rsid w:val="00140ACD"/>
    <w:rsid w:val="00140BBA"/>
    <w:rsid w:val="00140BC8"/>
    <w:rsid w:val="00140E25"/>
    <w:rsid w:val="00141275"/>
    <w:rsid w:val="00141348"/>
    <w:rsid w:val="001413DB"/>
    <w:rsid w:val="00141428"/>
    <w:rsid w:val="0014147B"/>
    <w:rsid w:val="00141580"/>
    <w:rsid w:val="001417D3"/>
    <w:rsid w:val="001417ED"/>
    <w:rsid w:val="0014187C"/>
    <w:rsid w:val="00141916"/>
    <w:rsid w:val="001419D3"/>
    <w:rsid w:val="00141A8D"/>
    <w:rsid w:val="00141C9D"/>
    <w:rsid w:val="0014221B"/>
    <w:rsid w:val="00142628"/>
    <w:rsid w:val="00142676"/>
    <w:rsid w:val="00142747"/>
    <w:rsid w:val="00142813"/>
    <w:rsid w:val="0014284D"/>
    <w:rsid w:val="001428DE"/>
    <w:rsid w:val="0014298B"/>
    <w:rsid w:val="00142C0F"/>
    <w:rsid w:val="00142D92"/>
    <w:rsid w:val="00142ED7"/>
    <w:rsid w:val="00142F9D"/>
    <w:rsid w:val="00143189"/>
    <w:rsid w:val="0014326B"/>
    <w:rsid w:val="00143457"/>
    <w:rsid w:val="00143475"/>
    <w:rsid w:val="001434C2"/>
    <w:rsid w:val="001437AC"/>
    <w:rsid w:val="00143A65"/>
    <w:rsid w:val="00143C38"/>
    <w:rsid w:val="00144123"/>
    <w:rsid w:val="001443EE"/>
    <w:rsid w:val="0014455D"/>
    <w:rsid w:val="00144566"/>
    <w:rsid w:val="0014467C"/>
    <w:rsid w:val="0014480F"/>
    <w:rsid w:val="001448DC"/>
    <w:rsid w:val="00144C69"/>
    <w:rsid w:val="00144C8A"/>
    <w:rsid w:val="00144F3B"/>
    <w:rsid w:val="00144F8F"/>
    <w:rsid w:val="0014520C"/>
    <w:rsid w:val="00145229"/>
    <w:rsid w:val="0014537C"/>
    <w:rsid w:val="001454EB"/>
    <w:rsid w:val="001456AD"/>
    <w:rsid w:val="0014574C"/>
    <w:rsid w:val="001458E1"/>
    <w:rsid w:val="00145971"/>
    <w:rsid w:val="00145A6A"/>
    <w:rsid w:val="00145B0A"/>
    <w:rsid w:val="00145B3D"/>
    <w:rsid w:val="00145D0F"/>
    <w:rsid w:val="00145D9F"/>
    <w:rsid w:val="00145F85"/>
    <w:rsid w:val="00145FCA"/>
    <w:rsid w:val="00146087"/>
    <w:rsid w:val="0014615C"/>
    <w:rsid w:val="0014634B"/>
    <w:rsid w:val="0014636E"/>
    <w:rsid w:val="001466D4"/>
    <w:rsid w:val="00146972"/>
    <w:rsid w:val="00146BB7"/>
    <w:rsid w:val="00146D01"/>
    <w:rsid w:val="00146D0A"/>
    <w:rsid w:val="00146E14"/>
    <w:rsid w:val="00146E2B"/>
    <w:rsid w:val="00146F6A"/>
    <w:rsid w:val="001470A6"/>
    <w:rsid w:val="001470B1"/>
    <w:rsid w:val="00147247"/>
    <w:rsid w:val="0014731B"/>
    <w:rsid w:val="001476DF"/>
    <w:rsid w:val="00147882"/>
    <w:rsid w:val="0014789E"/>
    <w:rsid w:val="0014790B"/>
    <w:rsid w:val="00147983"/>
    <w:rsid w:val="00147C4B"/>
    <w:rsid w:val="00147CE7"/>
    <w:rsid w:val="00147D23"/>
    <w:rsid w:val="00147F94"/>
    <w:rsid w:val="001504E4"/>
    <w:rsid w:val="00150736"/>
    <w:rsid w:val="00150988"/>
    <w:rsid w:val="001509DA"/>
    <w:rsid w:val="00150C62"/>
    <w:rsid w:val="00150D0F"/>
    <w:rsid w:val="00150E09"/>
    <w:rsid w:val="00150F76"/>
    <w:rsid w:val="00150FB1"/>
    <w:rsid w:val="001510E1"/>
    <w:rsid w:val="001514D8"/>
    <w:rsid w:val="001517C5"/>
    <w:rsid w:val="00151A3F"/>
    <w:rsid w:val="00151A4A"/>
    <w:rsid w:val="00151B7F"/>
    <w:rsid w:val="00151C2F"/>
    <w:rsid w:val="00151CCE"/>
    <w:rsid w:val="00152036"/>
    <w:rsid w:val="001520FB"/>
    <w:rsid w:val="00152411"/>
    <w:rsid w:val="0015257C"/>
    <w:rsid w:val="00152685"/>
    <w:rsid w:val="001526B3"/>
    <w:rsid w:val="00152745"/>
    <w:rsid w:val="00152A97"/>
    <w:rsid w:val="00152AA6"/>
    <w:rsid w:val="00152B56"/>
    <w:rsid w:val="00152B77"/>
    <w:rsid w:val="00152D12"/>
    <w:rsid w:val="00152F9B"/>
    <w:rsid w:val="001531B1"/>
    <w:rsid w:val="00153202"/>
    <w:rsid w:val="001533A3"/>
    <w:rsid w:val="001533FB"/>
    <w:rsid w:val="0015348E"/>
    <w:rsid w:val="001535FB"/>
    <w:rsid w:val="00153628"/>
    <w:rsid w:val="00153750"/>
    <w:rsid w:val="0015392E"/>
    <w:rsid w:val="00153931"/>
    <w:rsid w:val="00153BAB"/>
    <w:rsid w:val="00153BC6"/>
    <w:rsid w:val="00153CA6"/>
    <w:rsid w:val="00154146"/>
    <w:rsid w:val="00154941"/>
    <w:rsid w:val="00154AC4"/>
    <w:rsid w:val="0015505B"/>
    <w:rsid w:val="00155269"/>
    <w:rsid w:val="00155291"/>
    <w:rsid w:val="001552DA"/>
    <w:rsid w:val="001554E8"/>
    <w:rsid w:val="00155515"/>
    <w:rsid w:val="0015556C"/>
    <w:rsid w:val="00155D00"/>
    <w:rsid w:val="00155E20"/>
    <w:rsid w:val="00156364"/>
    <w:rsid w:val="0015680A"/>
    <w:rsid w:val="00156B19"/>
    <w:rsid w:val="00156DE0"/>
    <w:rsid w:val="00156E93"/>
    <w:rsid w:val="00156E9B"/>
    <w:rsid w:val="00156F6C"/>
    <w:rsid w:val="00157161"/>
    <w:rsid w:val="0015733B"/>
    <w:rsid w:val="0015739E"/>
    <w:rsid w:val="001574C8"/>
    <w:rsid w:val="00157684"/>
    <w:rsid w:val="0015771B"/>
    <w:rsid w:val="00157944"/>
    <w:rsid w:val="00157B81"/>
    <w:rsid w:val="00157BA7"/>
    <w:rsid w:val="00157C5F"/>
    <w:rsid w:val="00157C7C"/>
    <w:rsid w:val="00157D1C"/>
    <w:rsid w:val="00160012"/>
    <w:rsid w:val="001602D3"/>
    <w:rsid w:val="001609F3"/>
    <w:rsid w:val="00160DBA"/>
    <w:rsid w:val="00160F59"/>
    <w:rsid w:val="00161174"/>
    <w:rsid w:val="001613A0"/>
    <w:rsid w:val="0016143A"/>
    <w:rsid w:val="0016162B"/>
    <w:rsid w:val="001616A6"/>
    <w:rsid w:val="00161838"/>
    <w:rsid w:val="00161868"/>
    <w:rsid w:val="00161A58"/>
    <w:rsid w:val="00161B7B"/>
    <w:rsid w:val="00161D37"/>
    <w:rsid w:val="00161E13"/>
    <w:rsid w:val="00161EC9"/>
    <w:rsid w:val="00161FBB"/>
    <w:rsid w:val="00162533"/>
    <w:rsid w:val="001626B3"/>
    <w:rsid w:val="001626FA"/>
    <w:rsid w:val="00162996"/>
    <w:rsid w:val="00162A8A"/>
    <w:rsid w:val="00162ABF"/>
    <w:rsid w:val="00162C5D"/>
    <w:rsid w:val="00162D29"/>
    <w:rsid w:val="00162E69"/>
    <w:rsid w:val="00163074"/>
    <w:rsid w:val="001632F0"/>
    <w:rsid w:val="00163401"/>
    <w:rsid w:val="00163550"/>
    <w:rsid w:val="0016364F"/>
    <w:rsid w:val="0016368E"/>
    <w:rsid w:val="00163788"/>
    <w:rsid w:val="001637CC"/>
    <w:rsid w:val="001638D4"/>
    <w:rsid w:val="00163A2F"/>
    <w:rsid w:val="00163A5D"/>
    <w:rsid w:val="00163A99"/>
    <w:rsid w:val="00163AD5"/>
    <w:rsid w:val="00163B5A"/>
    <w:rsid w:val="00163BF5"/>
    <w:rsid w:val="00164236"/>
    <w:rsid w:val="00164418"/>
    <w:rsid w:val="0016444B"/>
    <w:rsid w:val="001644F9"/>
    <w:rsid w:val="00164594"/>
    <w:rsid w:val="00164C3F"/>
    <w:rsid w:val="00164CDB"/>
    <w:rsid w:val="00164CE3"/>
    <w:rsid w:val="00164D9C"/>
    <w:rsid w:val="00164DB3"/>
    <w:rsid w:val="00164EC3"/>
    <w:rsid w:val="00164F26"/>
    <w:rsid w:val="0016516E"/>
    <w:rsid w:val="001651A1"/>
    <w:rsid w:val="001652CA"/>
    <w:rsid w:val="00165410"/>
    <w:rsid w:val="00165794"/>
    <w:rsid w:val="001657A7"/>
    <w:rsid w:val="00165934"/>
    <w:rsid w:val="001659CE"/>
    <w:rsid w:val="00165BB8"/>
    <w:rsid w:val="00165C54"/>
    <w:rsid w:val="00165C70"/>
    <w:rsid w:val="00165D17"/>
    <w:rsid w:val="00165F3F"/>
    <w:rsid w:val="00165FCB"/>
    <w:rsid w:val="00166116"/>
    <w:rsid w:val="001662A1"/>
    <w:rsid w:val="001662DE"/>
    <w:rsid w:val="001665DC"/>
    <w:rsid w:val="00166679"/>
    <w:rsid w:val="00166812"/>
    <w:rsid w:val="00166875"/>
    <w:rsid w:val="00166899"/>
    <w:rsid w:val="001669FB"/>
    <w:rsid w:val="00166AE2"/>
    <w:rsid w:val="00166B9C"/>
    <w:rsid w:val="00166E67"/>
    <w:rsid w:val="00167078"/>
    <w:rsid w:val="001671A8"/>
    <w:rsid w:val="001671F4"/>
    <w:rsid w:val="0016722E"/>
    <w:rsid w:val="0016731D"/>
    <w:rsid w:val="001675C5"/>
    <w:rsid w:val="0016761E"/>
    <w:rsid w:val="001677B7"/>
    <w:rsid w:val="00167A4C"/>
    <w:rsid w:val="00167B22"/>
    <w:rsid w:val="00167BB5"/>
    <w:rsid w:val="00167C17"/>
    <w:rsid w:val="00167C98"/>
    <w:rsid w:val="001700B8"/>
    <w:rsid w:val="0017026F"/>
    <w:rsid w:val="00170415"/>
    <w:rsid w:val="00170525"/>
    <w:rsid w:val="00170530"/>
    <w:rsid w:val="00170673"/>
    <w:rsid w:val="0017097B"/>
    <w:rsid w:val="001709FA"/>
    <w:rsid w:val="00170D27"/>
    <w:rsid w:val="00170E79"/>
    <w:rsid w:val="00170ED3"/>
    <w:rsid w:val="00170F1F"/>
    <w:rsid w:val="0017105D"/>
    <w:rsid w:val="001713E8"/>
    <w:rsid w:val="001715C3"/>
    <w:rsid w:val="001719F6"/>
    <w:rsid w:val="00171A14"/>
    <w:rsid w:val="00171C40"/>
    <w:rsid w:val="00171DFB"/>
    <w:rsid w:val="00172136"/>
    <w:rsid w:val="00172236"/>
    <w:rsid w:val="00172263"/>
    <w:rsid w:val="001722E6"/>
    <w:rsid w:val="00172362"/>
    <w:rsid w:val="0017271C"/>
    <w:rsid w:val="00172741"/>
    <w:rsid w:val="0017276E"/>
    <w:rsid w:val="0017278F"/>
    <w:rsid w:val="001728B4"/>
    <w:rsid w:val="00172A83"/>
    <w:rsid w:val="00172E89"/>
    <w:rsid w:val="00173048"/>
    <w:rsid w:val="001730AD"/>
    <w:rsid w:val="0017318D"/>
    <w:rsid w:val="0017343E"/>
    <w:rsid w:val="001735AE"/>
    <w:rsid w:val="001735F9"/>
    <w:rsid w:val="00173AC4"/>
    <w:rsid w:val="00173C1C"/>
    <w:rsid w:val="00173C59"/>
    <w:rsid w:val="00173DA1"/>
    <w:rsid w:val="00173DD3"/>
    <w:rsid w:val="00173E1F"/>
    <w:rsid w:val="00174077"/>
    <w:rsid w:val="00174225"/>
    <w:rsid w:val="001742E5"/>
    <w:rsid w:val="001743E9"/>
    <w:rsid w:val="0017448D"/>
    <w:rsid w:val="0017451F"/>
    <w:rsid w:val="00174543"/>
    <w:rsid w:val="0017455C"/>
    <w:rsid w:val="0017456A"/>
    <w:rsid w:val="0017468A"/>
    <w:rsid w:val="00174A48"/>
    <w:rsid w:val="00174AA7"/>
    <w:rsid w:val="00174DD8"/>
    <w:rsid w:val="00174EBF"/>
    <w:rsid w:val="00174EEC"/>
    <w:rsid w:val="0017505F"/>
    <w:rsid w:val="0017520B"/>
    <w:rsid w:val="0017530A"/>
    <w:rsid w:val="001753D0"/>
    <w:rsid w:val="0017542A"/>
    <w:rsid w:val="00175810"/>
    <w:rsid w:val="00175BAE"/>
    <w:rsid w:val="00175C0D"/>
    <w:rsid w:val="00175CE9"/>
    <w:rsid w:val="00175E7D"/>
    <w:rsid w:val="001760C6"/>
    <w:rsid w:val="00176214"/>
    <w:rsid w:val="0017625D"/>
    <w:rsid w:val="001762D9"/>
    <w:rsid w:val="00176370"/>
    <w:rsid w:val="001765F1"/>
    <w:rsid w:val="00176730"/>
    <w:rsid w:val="0017689A"/>
    <w:rsid w:val="00176941"/>
    <w:rsid w:val="00176955"/>
    <w:rsid w:val="00176C61"/>
    <w:rsid w:val="00176CE0"/>
    <w:rsid w:val="00176D9C"/>
    <w:rsid w:val="00176E13"/>
    <w:rsid w:val="00176F19"/>
    <w:rsid w:val="00177239"/>
    <w:rsid w:val="001772D4"/>
    <w:rsid w:val="0017733C"/>
    <w:rsid w:val="0017747C"/>
    <w:rsid w:val="00177505"/>
    <w:rsid w:val="0017751B"/>
    <w:rsid w:val="00177588"/>
    <w:rsid w:val="0017774F"/>
    <w:rsid w:val="00177794"/>
    <w:rsid w:val="00177912"/>
    <w:rsid w:val="00177AAE"/>
    <w:rsid w:val="00177AF5"/>
    <w:rsid w:val="00177DAE"/>
    <w:rsid w:val="00177DC3"/>
    <w:rsid w:val="00177F85"/>
    <w:rsid w:val="0018015A"/>
    <w:rsid w:val="001801B4"/>
    <w:rsid w:val="00180317"/>
    <w:rsid w:val="001806E1"/>
    <w:rsid w:val="0018079B"/>
    <w:rsid w:val="00180AEE"/>
    <w:rsid w:val="00180BF8"/>
    <w:rsid w:val="00180DEB"/>
    <w:rsid w:val="0018100C"/>
    <w:rsid w:val="001810C4"/>
    <w:rsid w:val="0018155B"/>
    <w:rsid w:val="001818C7"/>
    <w:rsid w:val="0018190D"/>
    <w:rsid w:val="00181A4B"/>
    <w:rsid w:val="00181C3E"/>
    <w:rsid w:val="00181D7F"/>
    <w:rsid w:val="00181DB3"/>
    <w:rsid w:val="00182193"/>
    <w:rsid w:val="00182201"/>
    <w:rsid w:val="0018257D"/>
    <w:rsid w:val="001825C5"/>
    <w:rsid w:val="00182768"/>
    <w:rsid w:val="00182859"/>
    <w:rsid w:val="00182C81"/>
    <w:rsid w:val="00182E2D"/>
    <w:rsid w:val="00182F49"/>
    <w:rsid w:val="00183150"/>
    <w:rsid w:val="0018316A"/>
    <w:rsid w:val="00183186"/>
    <w:rsid w:val="00183423"/>
    <w:rsid w:val="00183755"/>
    <w:rsid w:val="001839B7"/>
    <w:rsid w:val="00183A73"/>
    <w:rsid w:val="00183AEC"/>
    <w:rsid w:val="00183C32"/>
    <w:rsid w:val="00183C62"/>
    <w:rsid w:val="00183D7F"/>
    <w:rsid w:val="00183F99"/>
    <w:rsid w:val="0018413F"/>
    <w:rsid w:val="001841BF"/>
    <w:rsid w:val="001841EB"/>
    <w:rsid w:val="001842E4"/>
    <w:rsid w:val="001843D7"/>
    <w:rsid w:val="0018442A"/>
    <w:rsid w:val="00184437"/>
    <w:rsid w:val="001845BD"/>
    <w:rsid w:val="0018464A"/>
    <w:rsid w:val="001846F7"/>
    <w:rsid w:val="00184B21"/>
    <w:rsid w:val="00184BA0"/>
    <w:rsid w:val="00184D5C"/>
    <w:rsid w:val="00184DFD"/>
    <w:rsid w:val="00184EA8"/>
    <w:rsid w:val="00184FBC"/>
    <w:rsid w:val="00185403"/>
    <w:rsid w:val="00185670"/>
    <w:rsid w:val="00185704"/>
    <w:rsid w:val="001858D6"/>
    <w:rsid w:val="00185BB2"/>
    <w:rsid w:val="00185C46"/>
    <w:rsid w:val="001860CB"/>
    <w:rsid w:val="001862C7"/>
    <w:rsid w:val="0018637A"/>
    <w:rsid w:val="00186786"/>
    <w:rsid w:val="001868A2"/>
    <w:rsid w:val="0018693B"/>
    <w:rsid w:val="0018695B"/>
    <w:rsid w:val="00186BCF"/>
    <w:rsid w:val="00186D44"/>
    <w:rsid w:val="00186D61"/>
    <w:rsid w:val="00187188"/>
    <w:rsid w:val="001872E6"/>
    <w:rsid w:val="001875EF"/>
    <w:rsid w:val="0018769B"/>
    <w:rsid w:val="001876CD"/>
    <w:rsid w:val="00187701"/>
    <w:rsid w:val="0018771B"/>
    <w:rsid w:val="001878F0"/>
    <w:rsid w:val="001879A2"/>
    <w:rsid w:val="001879FD"/>
    <w:rsid w:val="00187E64"/>
    <w:rsid w:val="00187FB9"/>
    <w:rsid w:val="0019009D"/>
    <w:rsid w:val="001900C8"/>
    <w:rsid w:val="001902B6"/>
    <w:rsid w:val="00190436"/>
    <w:rsid w:val="0019050C"/>
    <w:rsid w:val="00190562"/>
    <w:rsid w:val="00190581"/>
    <w:rsid w:val="001905BB"/>
    <w:rsid w:val="0019091F"/>
    <w:rsid w:val="001909BA"/>
    <w:rsid w:val="001909C3"/>
    <w:rsid w:val="00190AF8"/>
    <w:rsid w:val="00190B6B"/>
    <w:rsid w:val="00190D2E"/>
    <w:rsid w:val="00190DCC"/>
    <w:rsid w:val="00190E5B"/>
    <w:rsid w:val="001910A7"/>
    <w:rsid w:val="00191612"/>
    <w:rsid w:val="00191625"/>
    <w:rsid w:val="00191988"/>
    <w:rsid w:val="00191A9C"/>
    <w:rsid w:val="00191C3F"/>
    <w:rsid w:val="00191E70"/>
    <w:rsid w:val="00191FCA"/>
    <w:rsid w:val="001920D4"/>
    <w:rsid w:val="001924DC"/>
    <w:rsid w:val="001927B5"/>
    <w:rsid w:val="00192870"/>
    <w:rsid w:val="00192A75"/>
    <w:rsid w:val="00192D38"/>
    <w:rsid w:val="00192DD2"/>
    <w:rsid w:val="00193150"/>
    <w:rsid w:val="0019315C"/>
    <w:rsid w:val="00193179"/>
    <w:rsid w:val="00193262"/>
    <w:rsid w:val="0019348A"/>
    <w:rsid w:val="0019373A"/>
    <w:rsid w:val="00193898"/>
    <w:rsid w:val="0019393A"/>
    <w:rsid w:val="00193950"/>
    <w:rsid w:val="00193A73"/>
    <w:rsid w:val="00193B8A"/>
    <w:rsid w:val="00193C85"/>
    <w:rsid w:val="00193CF0"/>
    <w:rsid w:val="00193D59"/>
    <w:rsid w:val="00194216"/>
    <w:rsid w:val="00194396"/>
    <w:rsid w:val="001948AF"/>
    <w:rsid w:val="0019490C"/>
    <w:rsid w:val="0019491E"/>
    <w:rsid w:val="001949DC"/>
    <w:rsid w:val="00194A62"/>
    <w:rsid w:val="00194CC7"/>
    <w:rsid w:val="00194EC2"/>
    <w:rsid w:val="00194EE1"/>
    <w:rsid w:val="00194F42"/>
    <w:rsid w:val="00195070"/>
    <w:rsid w:val="0019509B"/>
    <w:rsid w:val="0019522B"/>
    <w:rsid w:val="001952A0"/>
    <w:rsid w:val="00195494"/>
    <w:rsid w:val="001955FE"/>
    <w:rsid w:val="00195657"/>
    <w:rsid w:val="00195791"/>
    <w:rsid w:val="001957A0"/>
    <w:rsid w:val="0019598F"/>
    <w:rsid w:val="00195B2C"/>
    <w:rsid w:val="00195B8C"/>
    <w:rsid w:val="00195C71"/>
    <w:rsid w:val="00195DE6"/>
    <w:rsid w:val="0019604D"/>
    <w:rsid w:val="00196169"/>
    <w:rsid w:val="00196325"/>
    <w:rsid w:val="0019639E"/>
    <w:rsid w:val="00196562"/>
    <w:rsid w:val="00196662"/>
    <w:rsid w:val="0019688F"/>
    <w:rsid w:val="00196A59"/>
    <w:rsid w:val="00196C71"/>
    <w:rsid w:val="00196E13"/>
    <w:rsid w:val="00196F08"/>
    <w:rsid w:val="00197176"/>
    <w:rsid w:val="00197316"/>
    <w:rsid w:val="0019735F"/>
    <w:rsid w:val="001975B5"/>
    <w:rsid w:val="001975D6"/>
    <w:rsid w:val="001975EF"/>
    <w:rsid w:val="00197780"/>
    <w:rsid w:val="001977F8"/>
    <w:rsid w:val="00197B45"/>
    <w:rsid w:val="00197C9A"/>
    <w:rsid w:val="00197CBF"/>
    <w:rsid w:val="00197D17"/>
    <w:rsid w:val="00197E74"/>
    <w:rsid w:val="001A01E6"/>
    <w:rsid w:val="001A0257"/>
    <w:rsid w:val="001A0336"/>
    <w:rsid w:val="001A063C"/>
    <w:rsid w:val="001A0C54"/>
    <w:rsid w:val="001A0D20"/>
    <w:rsid w:val="001A0F7E"/>
    <w:rsid w:val="001A0F80"/>
    <w:rsid w:val="001A0FF1"/>
    <w:rsid w:val="001A12E2"/>
    <w:rsid w:val="001A12F2"/>
    <w:rsid w:val="001A12F3"/>
    <w:rsid w:val="001A192D"/>
    <w:rsid w:val="001A1ABE"/>
    <w:rsid w:val="001A1B1C"/>
    <w:rsid w:val="001A1BF9"/>
    <w:rsid w:val="001A1D45"/>
    <w:rsid w:val="001A1F4A"/>
    <w:rsid w:val="001A1F65"/>
    <w:rsid w:val="001A22CA"/>
    <w:rsid w:val="001A2370"/>
    <w:rsid w:val="001A24DB"/>
    <w:rsid w:val="001A2544"/>
    <w:rsid w:val="001A258B"/>
    <w:rsid w:val="001A264D"/>
    <w:rsid w:val="001A276C"/>
    <w:rsid w:val="001A2A97"/>
    <w:rsid w:val="001A2C8F"/>
    <w:rsid w:val="001A2D73"/>
    <w:rsid w:val="001A2DBC"/>
    <w:rsid w:val="001A3006"/>
    <w:rsid w:val="001A301E"/>
    <w:rsid w:val="001A3082"/>
    <w:rsid w:val="001A3137"/>
    <w:rsid w:val="001A315B"/>
    <w:rsid w:val="001A31A6"/>
    <w:rsid w:val="001A3399"/>
    <w:rsid w:val="001A350C"/>
    <w:rsid w:val="001A3554"/>
    <w:rsid w:val="001A36F6"/>
    <w:rsid w:val="001A37E3"/>
    <w:rsid w:val="001A390D"/>
    <w:rsid w:val="001A39B8"/>
    <w:rsid w:val="001A39EE"/>
    <w:rsid w:val="001A3BA6"/>
    <w:rsid w:val="001A3DA6"/>
    <w:rsid w:val="001A43A0"/>
    <w:rsid w:val="001A4467"/>
    <w:rsid w:val="001A45D4"/>
    <w:rsid w:val="001A4A44"/>
    <w:rsid w:val="001A4A51"/>
    <w:rsid w:val="001A4A7B"/>
    <w:rsid w:val="001A4BE9"/>
    <w:rsid w:val="001A4E9E"/>
    <w:rsid w:val="001A5231"/>
    <w:rsid w:val="001A546A"/>
    <w:rsid w:val="001A5470"/>
    <w:rsid w:val="001A558A"/>
    <w:rsid w:val="001A55DC"/>
    <w:rsid w:val="001A56CC"/>
    <w:rsid w:val="001A571C"/>
    <w:rsid w:val="001A571D"/>
    <w:rsid w:val="001A5779"/>
    <w:rsid w:val="001A58B5"/>
    <w:rsid w:val="001A5AB8"/>
    <w:rsid w:val="001A5CDF"/>
    <w:rsid w:val="001A5EB6"/>
    <w:rsid w:val="001A5EB8"/>
    <w:rsid w:val="001A62EC"/>
    <w:rsid w:val="001A63E8"/>
    <w:rsid w:val="001A6976"/>
    <w:rsid w:val="001A6C5D"/>
    <w:rsid w:val="001A6C67"/>
    <w:rsid w:val="001A6F50"/>
    <w:rsid w:val="001A6FF5"/>
    <w:rsid w:val="001A709F"/>
    <w:rsid w:val="001A7290"/>
    <w:rsid w:val="001A773C"/>
    <w:rsid w:val="001A78F2"/>
    <w:rsid w:val="001A79EC"/>
    <w:rsid w:val="001A7C0C"/>
    <w:rsid w:val="001A7E6B"/>
    <w:rsid w:val="001B0129"/>
    <w:rsid w:val="001B0495"/>
    <w:rsid w:val="001B04C1"/>
    <w:rsid w:val="001B09A2"/>
    <w:rsid w:val="001B0AF7"/>
    <w:rsid w:val="001B0BE5"/>
    <w:rsid w:val="001B1318"/>
    <w:rsid w:val="001B1379"/>
    <w:rsid w:val="001B161C"/>
    <w:rsid w:val="001B1685"/>
    <w:rsid w:val="001B170C"/>
    <w:rsid w:val="001B1772"/>
    <w:rsid w:val="001B1894"/>
    <w:rsid w:val="001B1900"/>
    <w:rsid w:val="001B19BB"/>
    <w:rsid w:val="001B1A0F"/>
    <w:rsid w:val="001B1BAD"/>
    <w:rsid w:val="001B1F40"/>
    <w:rsid w:val="001B20D3"/>
    <w:rsid w:val="001B24DB"/>
    <w:rsid w:val="001B25A9"/>
    <w:rsid w:val="001B25C7"/>
    <w:rsid w:val="001B2984"/>
    <w:rsid w:val="001B29E4"/>
    <w:rsid w:val="001B2D17"/>
    <w:rsid w:val="001B2F61"/>
    <w:rsid w:val="001B32B7"/>
    <w:rsid w:val="001B3380"/>
    <w:rsid w:val="001B3383"/>
    <w:rsid w:val="001B3436"/>
    <w:rsid w:val="001B364E"/>
    <w:rsid w:val="001B3666"/>
    <w:rsid w:val="001B36DF"/>
    <w:rsid w:val="001B374B"/>
    <w:rsid w:val="001B376B"/>
    <w:rsid w:val="001B37B5"/>
    <w:rsid w:val="001B3812"/>
    <w:rsid w:val="001B3A3D"/>
    <w:rsid w:val="001B3A8B"/>
    <w:rsid w:val="001B3ABB"/>
    <w:rsid w:val="001B3C1E"/>
    <w:rsid w:val="001B3CBF"/>
    <w:rsid w:val="001B3D57"/>
    <w:rsid w:val="001B3E8B"/>
    <w:rsid w:val="001B4084"/>
    <w:rsid w:val="001B420E"/>
    <w:rsid w:val="001B4258"/>
    <w:rsid w:val="001B4347"/>
    <w:rsid w:val="001B4353"/>
    <w:rsid w:val="001B4376"/>
    <w:rsid w:val="001B469E"/>
    <w:rsid w:val="001B479D"/>
    <w:rsid w:val="001B481D"/>
    <w:rsid w:val="001B4834"/>
    <w:rsid w:val="001B4B3D"/>
    <w:rsid w:val="001B4CA5"/>
    <w:rsid w:val="001B4DD7"/>
    <w:rsid w:val="001B50F1"/>
    <w:rsid w:val="001B511F"/>
    <w:rsid w:val="001B5190"/>
    <w:rsid w:val="001B51FE"/>
    <w:rsid w:val="001B5315"/>
    <w:rsid w:val="001B54EB"/>
    <w:rsid w:val="001B55CB"/>
    <w:rsid w:val="001B567C"/>
    <w:rsid w:val="001B56B8"/>
    <w:rsid w:val="001B5A70"/>
    <w:rsid w:val="001B5B44"/>
    <w:rsid w:val="001B5B8F"/>
    <w:rsid w:val="001B5BA3"/>
    <w:rsid w:val="001B5CBA"/>
    <w:rsid w:val="001B601A"/>
    <w:rsid w:val="001B61E9"/>
    <w:rsid w:val="001B622D"/>
    <w:rsid w:val="001B6338"/>
    <w:rsid w:val="001B653A"/>
    <w:rsid w:val="001B66B2"/>
    <w:rsid w:val="001B67DC"/>
    <w:rsid w:val="001B6A63"/>
    <w:rsid w:val="001B6EE7"/>
    <w:rsid w:val="001B6F62"/>
    <w:rsid w:val="001B7031"/>
    <w:rsid w:val="001B71EB"/>
    <w:rsid w:val="001B7356"/>
    <w:rsid w:val="001B74B0"/>
    <w:rsid w:val="001B7591"/>
    <w:rsid w:val="001B7774"/>
    <w:rsid w:val="001B781A"/>
    <w:rsid w:val="001B78DF"/>
    <w:rsid w:val="001B7B3B"/>
    <w:rsid w:val="001B7DAB"/>
    <w:rsid w:val="001B7F95"/>
    <w:rsid w:val="001C0011"/>
    <w:rsid w:val="001C01C1"/>
    <w:rsid w:val="001C027D"/>
    <w:rsid w:val="001C053C"/>
    <w:rsid w:val="001C0C36"/>
    <w:rsid w:val="001C0E68"/>
    <w:rsid w:val="001C1121"/>
    <w:rsid w:val="001C1140"/>
    <w:rsid w:val="001C11C8"/>
    <w:rsid w:val="001C11F6"/>
    <w:rsid w:val="001C147D"/>
    <w:rsid w:val="001C1568"/>
    <w:rsid w:val="001C18AC"/>
    <w:rsid w:val="001C19F3"/>
    <w:rsid w:val="001C19FE"/>
    <w:rsid w:val="001C1BB0"/>
    <w:rsid w:val="001C1BF4"/>
    <w:rsid w:val="001C1C96"/>
    <w:rsid w:val="001C1D48"/>
    <w:rsid w:val="001C1D5E"/>
    <w:rsid w:val="001C212F"/>
    <w:rsid w:val="001C252A"/>
    <w:rsid w:val="001C27DA"/>
    <w:rsid w:val="001C2995"/>
    <w:rsid w:val="001C2C39"/>
    <w:rsid w:val="001C2EC4"/>
    <w:rsid w:val="001C300C"/>
    <w:rsid w:val="001C3023"/>
    <w:rsid w:val="001C308E"/>
    <w:rsid w:val="001C30A1"/>
    <w:rsid w:val="001C3174"/>
    <w:rsid w:val="001C32E8"/>
    <w:rsid w:val="001C33B4"/>
    <w:rsid w:val="001C37EE"/>
    <w:rsid w:val="001C3890"/>
    <w:rsid w:val="001C39B5"/>
    <w:rsid w:val="001C3DC1"/>
    <w:rsid w:val="001C3F86"/>
    <w:rsid w:val="001C4062"/>
    <w:rsid w:val="001C4241"/>
    <w:rsid w:val="001C433C"/>
    <w:rsid w:val="001C4370"/>
    <w:rsid w:val="001C43BE"/>
    <w:rsid w:val="001C43DB"/>
    <w:rsid w:val="001C43DF"/>
    <w:rsid w:val="001C4678"/>
    <w:rsid w:val="001C48D2"/>
    <w:rsid w:val="001C48E3"/>
    <w:rsid w:val="001C4914"/>
    <w:rsid w:val="001C4A12"/>
    <w:rsid w:val="001C4AF2"/>
    <w:rsid w:val="001C4B1B"/>
    <w:rsid w:val="001C4B77"/>
    <w:rsid w:val="001C4BF5"/>
    <w:rsid w:val="001C4D7D"/>
    <w:rsid w:val="001C4EB1"/>
    <w:rsid w:val="001C4F21"/>
    <w:rsid w:val="001C501F"/>
    <w:rsid w:val="001C5021"/>
    <w:rsid w:val="001C5243"/>
    <w:rsid w:val="001C5331"/>
    <w:rsid w:val="001C5717"/>
    <w:rsid w:val="001C59B4"/>
    <w:rsid w:val="001C5C7E"/>
    <w:rsid w:val="001C5C87"/>
    <w:rsid w:val="001C5CDB"/>
    <w:rsid w:val="001C5DFA"/>
    <w:rsid w:val="001C5EDC"/>
    <w:rsid w:val="001C62A4"/>
    <w:rsid w:val="001C6358"/>
    <w:rsid w:val="001C6449"/>
    <w:rsid w:val="001C64C0"/>
    <w:rsid w:val="001C651D"/>
    <w:rsid w:val="001C662C"/>
    <w:rsid w:val="001C6630"/>
    <w:rsid w:val="001C6641"/>
    <w:rsid w:val="001C6AE3"/>
    <w:rsid w:val="001C6C19"/>
    <w:rsid w:val="001C6C80"/>
    <w:rsid w:val="001C6CFB"/>
    <w:rsid w:val="001C6D9A"/>
    <w:rsid w:val="001C6D9B"/>
    <w:rsid w:val="001C6DDA"/>
    <w:rsid w:val="001C6F61"/>
    <w:rsid w:val="001C70FB"/>
    <w:rsid w:val="001C716C"/>
    <w:rsid w:val="001C71A7"/>
    <w:rsid w:val="001C746C"/>
    <w:rsid w:val="001C75EC"/>
    <w:rsid w:val="001C76C9"/>
    <w:rsid w:val="001C76F4"/>
    <w:rsid w:val="001C7875"/>
    <w:rsid w:val="001C78A5"/>
    <w:rsid w:val="001C7B97"/>
    <w:rsid w:val="001C7ECB"/>
    <w:rsid w:val="001C7EF9"/>
    <w:rsid w:val="001D0069"/>
    <w:rsid w:val="001D0593"/>
    <w:rsid w:val="001D05FF"/>
    <w:rsid w:val="001D07B7"/>
    <w:rsid w:val="001D086C"/>
    <w:rsid w:val="001D0903"/>
    <w:rsid w:val="001D0907"/>
    <w:rsid w:val="001D0A54"/>
    <w:rsid w:val="001D0A8A"/>
    <w:rsid w:val="001D0AD3"/>
    <w:rsid w:val="001D0BBE"/>
    <w:rsid w:val="001D0DD2"/>
    <w:rsid w:val="001D13AA"/>
    <w:rsid w:val="001D13AD"/>
    <w:rsid w:val="001D15CF"/>
    <w:rsid w:val="001D1655"/>
    <w:rsid w:val="001D165B"/>
    <w:rsid w:val="001D16AA"/>
    <w:rsid w:val="001D16D4"/>
    <w:rsid w:val="001D1928"/>
    <w:rsid w:val="001D194C"/>
    <w:rsid w:val="001D1B99"/>
    <w:rsid w:val="001D1D1F"/>
    <w:rsid w:val="001D1E00"/>
    <w:rsid w:val="001D1FC3"/>
    <w:rsid w:val="001D201D"/>
    <w:rsid w:val="001D2124"/>
    <w:rsid w:val="001D2178"/>
    <w:rsid w:val="001D2225"/>
    <w:rsid w:val="001D225A"/>
    <w:rsid w:val="001D23DD"/>
    <w:rsid w:val="001D253A"/>
    <w:rsid w:val="001D25B7"/>
    <w:rsid w:val="001D285B"/>
    <w:rsid w:val="001D29F1"/>
    <w:rsid w:val="001D2A0A"/>
    <w:rsid w:val="001D2ABD"/>
    <w:rsid w:val="001D2B42"/>
    <w:rsid w:val="001D2B57"/>
    <w:rsid w:val="001D2DDB"/>
    <w:rsid w:val="001D2ECB"/>
    <w:rsid w:val="001D2FBC"/>
    <w:rsid w:val="001D340F"/>
    <w:rsid w:val="001D3532"/>
    <w:rsid w:val="001D3655"/>
    <w:rsid w:val="001D399A"/>
    <w:rsid w:val="001D3A71"/>
    <w:rsid w:val="001D3C42"/>
    <w:rsid w:val="001D3D6D"/>
    <w:rsid w:val="001D3D8D"/>
    <w:rsid w:val="001D3E28"/>
    <w:rsid w:val="001D3E66"/>
    <w:rsid w:val="001D3F82"/>
    <w:rsid w:val="001D4739"/>
    <w:rsid w:val="001D47EE"/>
    <w:rsid w:val="001D48AF"/>
    <w:rsid w:val="001D4A08"/>
    <w:rsid w:val="001D4A16"/>
    <w:rsid w:val="001D4A9C"/>
    <w:rsid w:val="001D4B6F"/>
    <w:rsid w:val="001D510A"/>
    <w:rsid w:val="001D524C"/>
    <w:rsid w:val="001D53FB"/>
    <w:rsid w:val="001D5A0D"/>
    <w:rsid w:val="001D5B76"/>
    <w:rsid w:val="001D5C6D"/>
    <w:rsid w:val="001D5E9B"/>
    <w:rsid w:val="001D607D"/>
    <w:rsid w:val="001D6115"/>
    <w:rsid w:val="001D62FE"/>
    <w:rsid w:val="001D6373"/>
    <w:rsid w:val="001D6448"/>
    <w:rsid w:val="001D670F"/>
    <w:rsid w:val="001D68F4"/>
    <w:rsid w:val="001D6BB3"/>
    <w:rsid w:val="001D6BE5"/>
    <w:rsid w:val="001D6CCF"/>
    <w:rsid w:val="001D76CE"/>
    <w:rsid w:val="001D77AA"/>
    <w:rsid w:val="001D78CD"/>
    <w:rsid w:val="001D7997"/>
    <w:rsid w:val="001D79CC"/>
    <w:rsid w:val="001D7A17"/>
    <w:rsid w:val="001D7B12"/>
    <w:rsid w:val="001D7B51"/>
    <w:rsid w:val="001D7D36"/>
    <w:rsid w:val="001E016B"/>
    <w:rsid w:val="001E029D"/>
    <w:rsid w:val="001E04CB"/>
    <w:rsid w:val="001E04E8"/>
    <w:rsid w:val="001E069A"/>
    <w:rsid w:val="001E0CD1"/>
    <w:rsid w:val="001E0F95"/>
    <w:rsid w:val="001E0FB3"/>
    <w:rsid w:val="001E110B"/>
    <w:rsid w:val="001E110E"/>
    <w:rsid w:val="001E1127"/>
    <w:rsid w:val="001E1210"/>
    <w:rsid w:val="001E1565"/>
    <w:rsid w:val="001E1B98"/>
    <w:rsid w:val="001E1CD9"/>
    <w:rsid w:val="001E1D29"/>
    <w:rsid w:val="001E1E68"/>
    <w:rsid w:val="001E20B1"/>
    <w:rsid w:val="001E217E"/>
    <w:rsid w:val="001E232E"/>
    <w:rsid w:val="001E2466"/>
    <w:rsid w:val="001E2748"/>
    <w:rsid w:val="001E2859"/>
    <w:rsid w:val="001E2866"/>
    <w:rsid w:val="001E2B3E"/>
    <w:rsid w:val="001E2D39"/>
    <w:rsid w:val="001E2EA7"/>
    <w:rsid w:val="001E2FCE"/>
    <w:rsid w:val="001E323F"/>
    <w:rsid w:val="001E32E0"/>
    <w:rsid w:val="001E34FB"/>
    <w:rsid w:val="001E3833"/>
    <w:rsid w:val="001E391E"/>
    <w:rsid w:val="001E395B"/>
    <w:rsid w:val="001E3988"/>
    <w:rsid w:val="001E3CE7"/>
    <w:rsid w:val="001E3EF0"/>
    <w:rsid w:val="001E3F30"/>
    <w:rsid w:val="001E4016"/>
    <w:rsid w:val="001E405D"/>
    <w:rsid w:val="001E4186"/>
    <w:rsid w:val="001E4388"/>
    <w:rsid w:val="001E45D2"/>
    <w:rsid w:val="001E48BF"/>
    <w:rsid w:val="001E48DC"/>
    <w:rsid w:val="001E49DE"/>
    <w:rsid w:val="001E4A97"/>
    <w:rsid w:val="001E4ACF"/>
    <w:rsid w:val="001E4C4F"/>
    <w:rsid w:val="001E4D9F"/>
    <w:rsid w:val="001E4DF5"/>
    <w:rsid w:val="001E4EC0"/>
    <w:rsid w:val="001E4F49"/>
    <w:rsid w:val="001E4F9A"/>
    <w:rsid w:val="001E4FAD"/>
    <w:rsid w:val="001E5465"/>
    <w:rsid w:val="001E5547"/>
    <w:rsid w:val="001E572C"/>
    <w:rsid w:val="001E57A2"/>
    <w:rsid w:val="001E59BA"/>
    <w:rsid w:val="001E5A27"/>
    <w:rsid w:val="001E5A91"/>
    <w:rsid w:val="001E5B36"/>
    <w:rsid w:val="001E5C6E"/>
    <w:rsid w:val="001E5E30"/>
    <w:rsid w:val="001E6200"/>
    <w:rsid w:val="001E6356"/>
    <w:rsid w:val="001E6392"/>
    <w:rsid w:val="001E64B7"/>
    <w:rsid w:val="001E6537"/>
    <w:rsid w:val="001E672E"/>
    <w:rsid w:val="001E6848"/>
    <w:rsid w:val="001E6881"/>
    <w:rsid w:val="001E6B6E"/>
    <w:rsid w:val="001E6BDA"/>
    <w:rsid w:val="001E6C2D"/>
    <w:rsid w:val="001E6E12"/>
    <w:rsid w:val="001E73D3"/>
    <w:rsid w:val="001E73E6"/>
    <w:rsid w:val="001E7400"/>
    <w:rsid w:val="001E76D3"/>
    <w:rsid w:val="001E781F"/>
    <w:rsid w:val="001E79CF"/>
    <w:rsid w:val="001E7CA5"/>
    <w:rsid w:val="001E7CFF"/>
    <w:rsid w:val="001E7DA6"/>
    <w:rsid w:val="001E7E5F"/>
    <w:rsid w:val="001E7ED0"/>
    <w:rsid w:val="001E7FC0"/>
    <w:rsid w:val="001F0270"/>
    <w:rsid w:val="001F02EF"/>
    <w:rsid w:val="001F03D1"/>
    <w:rsid w:val="001F04AB"/>
    <w:rsid w:val="001F07C3"/>
    <w:rsid w:val="001F0A92"/>
    <w:rsid w:val="001F0BA0"/>
    <w:rsid w:val="001F0BE4"/>
    <w:rsid w:val="001F1122"/>
    <w:rsid w:val="001F12A9"/>
    <w:rsid w:val="001F12B9"/>
    <w:rsid w:val="001F1367"/>
    <w:rsid w:val="001F14C7"/>
    <w:rsid w:val="001F18C8"/>
    <w:rsid w:val="001F1A11"/>
    <w:rsid w:val="001F1CDF"/>
    <w:rsid w:val="001F1DD5"/>
    <w:rsid w:val="001F1ED8"/>
    <w:rsid w:val="001F2002"/>
    <w:rsid w:val="001F223C"/>
    <w:rsid w:val="001F224B"/>
    <w:rsid w:val="001F23A3"/>
    <w:rsid w:val="001F25A3"/>
    <w:rsid w:val="001F266A"/>
    <w:rsid w:val="001F266B"/>
    <w:rsid w:val="001F29A0"/>
    <w:rsid w:val="001F2ADE"/>
    <w:rsid w:val="001F2C96"/>
    <w:rsid w:val="001F2CF5"/>
    <w:rsid w:val="001F2E0C"/>
    <w:rsid w:val="001F33A9"/>
    <w:rsid w:val="001F34E8"/>
    <w:rsid w:val="001F35E5"/>
    <w:rsid w:val="001F35F6"/>
    <w:rsid w:val="001F369F"/>
    <w:rsid w:val="001F3741"/>
    <w:rsid w:val="001F37CF"/>
    <w:rsid w:val="001F3888"/>
    <w:rsid w:val="001F38D9"/>
    <w:rsid w:val="001F3C32"/>
    <w:rsid w:val="001F3D26"/>
    <w:rsid w:val="001F406B"/>
    <w:rsid w:val="001F4073"/>
    <w:rsid w:val="001F435F"/>
    <w:rsid w:val="001F440F"/>
    <w:rsid w:val="001F46AD"/>
    <w:rsid w:val="001F4817"/>
    <w:rsid w:val="001F4866"/>
    <w:rsid w:val="001F49D0"/>
    <w:rsid w:val="001F4B0A"/>
    <w:rsid w:val="001F4BB7"/>
    <w:rsid w:val="001F4D20"/>
    <w:rsid w:val="001F4E02"/>
    <w:rsid w:val="001F4E1D"/>
    <w:rsid w:val="001F4EF4"/>
    <w:rsid w:val="001F4FBE"/>
    <w:rsid w:val="001F50FF"/>
    <w:rsid w:val="001F5473"/>
    <w:rsid w:val="001F560E"/>
    <w:rsid w:val="001F58C6"/>
    <w:rsid w:val="001F5BAE"/>
    <w:rsid w:val="001F5D52"/>
    <w:rsid w:val="001F5D6F"/>
    <w:rsid w:val="001F5FAA"/>
    <w:rsid w:val="001F5FC1"/>
    <w:rsid w:val="001F62DF"/>
    <w:rsid w:val="001F6305"/>
    <w:rsid w:val="001F636C"/>
    <w:rsid w:val="001F63D4"/>
    <w:rsid w:val="001F67CA"/>
    <w:rsid w:val="001F6918"/>
    <w:rsid w:val="001F6A13"/>
    <w:rsid w:val="001F6C45"/>
    <w:rsid w:val="001F6F1F"/>
    <w:rsid w:val="001F733B"/>
    <w:rsid w:val="001F770C"/>
    <w:rsid w:val="001F792F"/>
    <w:rsid w:val="001F7D57"/>
    <w:rsid w:val="001F7D95"/>
    <w:rsid w:val="002000BD"/>
    <w:rsid w:val="002002CA"/>
    <w:rsid w:val="00200388"/>
    <w:rsid w:val="002004C4"/>
    <w:rsid w:val="002005D5"/>
    <w:rsid w:val="002006CD"/>
    <w:rsid w:val="002008FE"/>
    <w:rsid w:val="00200BF6"/>
    <w:rsid w:val="00200C83"/>
    <w:rsid w:val="00200CD8"/>
    <w:rsid w:val="00200D8C"/>
    <w:rsid w:val="00200DF7"/>
    <w:rsid w:val="00200F06"/>
    <w:rsid w:val="00201007"/>
    <w:rsid w:val="002011D3"/>
    <w:rsid w:val="00201282"/>
    <w:rsid w:val="00201351"/>
    <w:rsid w:val="00201429"/>
    <w:rsid w:val="00201734"/>
    <w:rsid w:val="002017DF"/>
    <w:rsid w:val="002017ED"/>
    <w:rsid w:val="00201A8B"/>
    <w:rsid w:val="00201AA2"/>
    <w:rsid w:val="00201ADE"/>
    <w:rsid w:val="00201D9A"/>
    <w:rsid w:val="00201DD1"/>
    <w:rsid w:val="00201E67"/>
    <w:rsid w:val="00201E6E"/>
    <w:rsid w:val="002020B9"/>
    <w:rsid w:val="002020D9"/>
    <w:rsid w:val="002021AD"/>
    <w:rsid w:val="00202239"/>
    <w:rsid w:val="002022A8"/>
    <w:rsid w:val="00202350"/>
    <w:rsid w:val="00202352"/>
    <w:rsid w:val="00202392"/>
    <w:rsid w:val="00202586"/>
    <w:rsid w:val="00202669"/>
    <w:rsid w:val="002028C3"/>
    <w:rsid w:val="002028F5"/>
    <w:rsid w:val="00202B61"/>
    <w:rsid w:val="00202CA1"/>
    <w:rsid w:val="00202F1D"/>
    <w:rsid w:val="00203348"/>
    <w:rsid w:val="00203625"/>
    <w:rsid w:val="00203674"/>
    <w:rsid w:val="002036E0"/>
    <w:rsid w:val="002038C3"/>
    <w:rsid w:val="00203BF0"/>
    <w:rsid w:val="00203D6A"/>
    <w:rsid w:val="00203F1A"/>
    <w:rsid w:val="00203F1E"/>
    <w:rsid w:val="002041E4"/>
    <w:rsid w:val="002042CB"/>
    <w:rsid w:val="00204483"/>
    <w:rsid w:val="0020472C"/>
    <w:rsid w:val="0020476E"/>
    <w:rsid w:val="00204875"/>
    <w:rsid w:val="00204C53"/>
    <w:rsid w:val="00204D88"/>
    <w:rsid w:val="00204F45"/>
    <w:rsid w:val="002050E9"/>
    <w:rsid w:val="002050F0"/>
    <w:rsid w:val="002050F1"/>
    <w:rsid w:val="00205170"/>
    <w:rsid w:val="002052ED"/>
    <w:rsid w:val="0020534C"/>
    <w:rsid w:val="00205593"/>
    <w:rsid w:val="002055D1"/>
    <w:rsid w:val="00205635"/>
    <w:rsid w:val="00205992"/>
    <w:rsid w:val="00205A93"/>
    <w:rsid w:val="00205D30"/>
    <w:rsid w:val="00205EBE"/>
    <w:rsid w:val="00206011"/>
    <w:rsid w:val="00206062"/>
    <w:rsid w:val="0020618F"/>
    <w:rsid w:val="0020645A"/>
    <w:rsid w:val="002067C0"/>
    <w:rsid w:val="00206811"/>
    <w:rsid w:val="0020688C"/>
    <w:rsid w:val="00206899"/>
    <w:rsid w:val="002068F3"/>
    <w:rsid w:val="00206A9D"/>
    <w:rsid w:val="00206B5B"/>
    <w:rsid w:val="00206D66"/>
    <w:rsid w:val="00206E59"/>
    <w:rsid w:val="00206E5A"/>
    <w:rsid w:val="00206EED"/>
    <w:rsid w:val="00206F9E"/>
    <w:rsid w:val="00207036"/>
    <w:rsid w:val="0020705B"/>
    <w:rsid w:val="002073B1"/>
    <w:rsid w:val="002073DF"/>
    <w:rsid w:val="002074E8"/>
    <w:rsid w:val="002075B4"/>
    <w:rsid w:val="002075CE"/>
    <w:rsid w:val="00207BA2"/>
    <w:rsid w:val="00207C61"/>
    <w:rsid w:val="00207CB8"/>
    <w:rsid w:val="00207DA4"/>
    <w:rsid w:val="00207EF6"/>
    <w:rsid w:val="00210170"/>
    <w:rsid w:val="0021025B"/>
    <w:rsid w:val="0021035F"/>
    <w:rsid w:val="002103D1"/>
    <w:rsid w:val="00210517"/>
    <w:rsid w:val="002106C5"/>
    <w:rsid w:val="002107DC"/>
    <w:rsid w:val="00210814"/>
    <w:rsid w:val="0021098D"/>
    <w:rsid w:val="00210997"/>
    <w:rsid w:val="002109D4"/>
    <w:rsid w:val="00210A06"/>
    <w:rsid w:val="00210DE2"/>
    <w:rsid w:val="00210E77"/>
    <w:rsid w:val="00210ECF"/>
    <w:rsid w:val="00211344"/>
    <w:rsid w:val="002113DD"/>
    <w:rsid w:val="002114C4"/>
    <w:rsid w:val="00211A22"/>
    <w:rsid w:val="00211B15"/>
    <w:rsid w:val="00211B4C"/>
    <w:rsid w:val="00211C4C"/>
    <w:rsid w:val="00211D5A"/>
    <w:rsid w:val="00211FFF"/>
    <w:rsid w:val="00212113"/>
    <w:rsid w:val="002126A4"/>
    <w:rsid w:val="002126E6"/>
    <w:rsid w:val="00212747"/>
    <w:rsid w:val="002128BA"/>
    <w:rsid w:val="00212A3C"/>
    <w:rsid w:val="00212AA3"/>
    <w:rsid w:val="00212B2C"/>
    <w:rsid w:val="00212C2A"/>
    <w:rsid w:val="00212EA1"/>
    <w:rsid w:val="0021328A"/>
    <w:rsid w:val="00213682"/>
    <w:rsid w:val="002136FB"/>
    <w:rsid w:val="00213BB4"/>
    <w:rsid w:val="00213C18"/>
    <w:rsid w:val="00213C83"/>
    <w:rsid w:val="00213FDB"/>
    <w:rsid w:val="002140AC"/>
    <w:rsid w:val="00214104"/>
    <w:rsid w:val="002145D1"/>
    <w:rsid w:val="0021491B"/>
    <w:rsid w:val="0021495B"/>
    <w:rsid w:val="00214963"/>
    <w:rsid w:val="00214A35"/>
    <w:rsid w:val="00214AF3"/>
    <w:rsid w:val="00214D0C"/>
    <w:rsid w:val="00214F2E"/>
    <w:rsid w:val="00214FB5"/>
    <w:rsid w:val="002153A3"/>
    <w:rsid w:val="002153C7"/>
    <w:rsid w:val="00215421"/>
    <w:rsid w:val="002154E0"/>
    <w:rsid w:val="00215516"/>
    <w:rsid w:val="002159EA"/>
    <w:rsid w:val="00215A67"/>
    <w:rsid w:val="00215B1F"/>
    <w:rsid w:val="00215B79"/>
    <w:rsid w:val="00215C9C"/>
    <w:rsid w:val="002161BF"/>
    <w:rsid w:val="002163D8"/>
    <w:rsid w:val="0021646E"/>
    <w:rsid w:val="00216479"/>
    <w:rsid w:val="0021651D"/>
    <w:rsid w:val="0021660E"/>
    <w:rsid w:val="00216756"/>
    <w:rsid w:val="00216977"/>
    <w:rsid w:val="0021699D"/>
    <w:rsid w:val="00216B28"/>
    <w:rsid w:val="00216BDC"/>
    <w:rsid w:val="00216D7C"/>
    <w:rsid w:val="00217077"/>
    <w:rsid w:val="0021708A"/>
    <w:rsid w:val="0021709F"/>
    <w:rsid w:val="002171A4"/>
    <w:rsid w:val="002174D4"/>
    <w:rsid w:val="00217583"/>
    <w:rsid w:val="0021788D"/>
    <w:rsid w:val="002178B6"/>
    <w:rsid w:val="00217A6A"/>
    <w:rsid w:val="00217BBE"/>
    <w:rsid w:val="00220162"/>
    <w:rsid w:val="00220188"/>
    <w:rsid w:val="002201E3"/>
    <w:rsid w:val="002202D6"/>
    <w:rsid w:val="002203D7"/>
    <w:rsid w:val="0022043F"/>
    <w:rsid w:val="002207A5"/>
    <w:rsid w:val="002207CB"/>
    <w:rsid w:val="00220830"/>
    <w:rsid w:val="002208B2"/>
    <w:rsid w:val="00220964"/>
    <w:rsid w:val="00220BAA"/>
    <w:rsid w:val="00220DA4"/>
    <w:rsid w:val="00220ECA"/>
    <w:rsid w:val="00220EED"/>
    <w:rsid w:val="00220F42"/>
    <w:rsid w:val="00220FA2"/>
    <w:rsid w:val="00220FDD"/>
    <w:rsid w:val="00221273"/>
    <w:rsid w:val="0022135E"/>
    <w:rsid w:val="00221424"/>
    <w:rsid w:val="0022154D"/>
    <w:rsid w:val="002215A5"/>
    <w:rsid w:val="002215AE"/>
    <w:rsid w:val="0022160B"/>
    <w:rsid w:val="002216DA"/>
    <w:rsid w:val="002217D7"/>
    <w:rsid w:val="002219F9"/>
    <w:rsid w:val="00221B93"/>
    <w:rsid w:val="00221EED"/>
    <w:rsid w:val="00222011"/>
    <w:rsid w:val="0022225B"/>
    <w:rsid w:val="00222296"/>
    <w:rsid w:val="00222365"/>
    <w:rsid w:val="002227DD"/>
    <w:rsid w:val="002228AF"/>
    <w:rsid w:val="0022326A"/>
    <w:rsid w:val="0022332A"/>
    <w:rsid w:val="00223389"/>
    <w:rsid w:val="00223691"/>
    <w:rsid w:val="0022394F"/>
    <w:rsid w:val="00223BE4"/>
    <w:rsid w:val="00223D90"/>
    <w:rsid w:val="00223E05"/>
    <w:rsid w:val="00223F7F"/>
    <w:rsid w:val="00224052"/>
    <w:rsid w:val="00224071"/>
    <w:rsid w:val="00224442"/>
    <w:rsid w:val="0022447D"/>
    <w:rsid w:val="00224879"/>
    <w:rsid w:val="002249CA"/>
    <w:rsid w:val="00224A20"/>
    <w:rsid w:val="00224ABD"/>
    <w:rsid w:val="00224E6B"/>
    <w:rsid w:val="00224FD7"/>
    <w:rsid w:val="002250BC"/>
    <w:rsid w:val="00225116"/>
    <w:rsid w:val="00225229"/>
    <w:rsid w:val="00225491"/>
    <w:rsid w:val="002254DF"/>
    <w:rsid w:val="002256B4"/>
    <w:rsid w:val="002256BF"/>
    <w:rsid w:val="00225811"/>
    <w:rsid w:val="0022586D"/>
    <w:rsid w:val="00225885"/>
    <w:rsid w:val="002258DC"/>
    <w:rsid w:val="0022592E"/>
    <w:rsid w:val="00225CFF"/>
    <w:rsid w:val="00225EED"/>
    <w:rsid w:val="00225F4C"/>
    <w:rsid w:val="00226074"/>
    <w:rsid w:val="002261EC"/>
    <w:rsid w:val="002262ED"/>
    <w:rsid w:val="002264AC"/>
    <w:rsid w:val="00226702"/>
    <w:rsid w:val="002267A0"/>
    <w:rsid w:val="002267DA"/>
    <w:rsid w:val="00226847"/>
    <w:rsid w:val="002268BC"/>
    <w:rsid w:val="00226C70"/>
    <w:rsid w:val="00226ED8"/>
    <w:rsid w:val="00227081"/>
    <w:rsid w:val="002271DA"/>
    <w:rsid w:val="00227211"/>
    <w:rsid w:val="0022749C"/>
    <w:rsid w:val="00227516"/>
    <w:rsid w:val="0022763B"/>
    <w:rsid w:val="002276D3"/>
    <w:rsid w:val="002276F5"/>
    <w:rsid w:val="00227785"/>
    <w:rsid w:val="002278DB"/>
    <w:rsid w:val="0022792F"/>
    <w:rsid w:val="00227BB3"/>
    <w:rsid w:val="00227C51"/>
    <w:rsid w:val="00227D4B"/>
    <w:rsid w:val="00227F65"/>
    <w:rsid w:val="002300C3"/>
    <w:rsid w:val="002305EE"/>
    <w:rsid w:val="0023072E"/>
    <w:rsid w:val="0023092D"/>
    <w:rsid w:val="00230AE4"/>
    <w:rsid w:val="00230B38"/>
    <w:rsid w:val="00230BBD"/>
    <w:rsid w:val="00230C66"/>
    <w:rsid w:val="00230C6A"/>
    <w:rsid w:val="00230F09"/>
    <w:rsid w:val="00230F2A"/>
    <w:rsid w:val="002311BE"/>
    <w:rsid w:val="0023120A"/>
    <w:rsid w:val="0023124E"/>
    <w:rsid w:val="00231259"/>
    <w:rsid w:val="0023128F"/>
    <w:rsid w:val="00231318"/>
    <w:rsid w:val="00231478"/>
    <w:rsid w:val="002316E2"/>
    <w:rsid w:val="0023180A"/>
    <w:rsid w:val="00231832"/>
    <w:rsid w:val="00231874"/>
    <w:rsid w:val="00231938"/>
    <w:rsid w:val="0023199B"/>
    <w:rsid w:val="00231A02"/>
    <w:rsid w:val="00231D9D"/>
    <w:rsid w:val="00231EA6"/>
    <w:rsid w:val="00232025"/>
    <w:rsid w:val="002321E1"/>
    <w:rsid w:val="0023220C"/>
    <w:rsid w:val="00232372"/>
    <w:rsid w:val="002323F1"/>
    <w:rsid w:val="0023253C"/>
    <w:rsid w:val="00232560"/>
    <w:rsid w:val="00232563"/>
    <w:rsid w:val="00232713"/>
    <w:rsid w:val="0023289C"/>
    <w:rsid w:val="002328C7"/>
    <w:rsid w:val="00232A20"/>
    <w:rsid w:val="00232CE8"/>
    <w:rsid w:val="002330A0"/>
    <w:rsid w:val="00233164"/>
    <w:rsid w:val="00233170"/>
    <w:rsid w:val="00233320"/>
    <w:rsid w:val="002335EC"/>
    <w:rsid w:val="0023372E"/>
    <w:rsid w:val="002338A8"/>
    <w:rsid w:val="00233A96"/>
    <w:rsid w:val="00233B92"/>
    <w:rsid w:val="00233BA6"/>
    <w:rsid w:val="00233EEB"/>
    <w:rsid w:val="00233F5F"/>
    <w:rsid w:val="00233F89"/>
    <w:rsid w:val="0023403D"/>
    <w:rsid w:val="002340D7"/>
    <w:rsid w:val="00234206"/>
    <w:rsid w:val="00234220"/>
    <w:rsid w:val="002343B0"/>
    <w:rsid w:val="00234540"/>
    <w:rsid w:val="002346C6"/>
    <w:rsid w:val="00234792"/>
    <w:rsid w:val="00234928"/>
    <w:rsid w:val="0023497C"/>
    <w:rsid w:val="002349F5"/>
    <w:rsid w:val="00234ACA"/>
    <w:rsid w:val="00234B35"/>
    <w:rsid w:val="00234DB8"/>
    <w:rsid w:val="00234F58"/>
    <w:rsid w:val="002350BE"/>
    <w:rsid w:val="002350E8"/>
    <w:rsid w:val="002354C3"/>
    <w:rsid w:val="002356F3"/>
    <w:rsid w:val="0023572C"/>
    <w:rsid w:val="0023581C"/>
    <w:rsid w:val="00235A78"/>
    <w:rsid w:val="00235BF0"/>
    <w:rsid w:val="00235C90"/>
    <w:rsid w:val="00235E68"/>
    <w:rsid w:val="00236014"/>
    <w:rsid w:val="0023603D"/>
    <w:rsid w:val="002360CD"/>
    <w:rsid w:val="00236126"/>
    <w:rsid w:val="002362B6"/>
    <w:rsid w:val="0023694B"/>
    <w:rsid w:val="00236A16"/>
    <w:rsid w:val="00236A1D"/>
    <w:rsid w:val="00236A90"/>
    <w:rsid w:val="00236B95"/>
    <w:rsid w:val="00236BD8"/>
    <w:rsid w:val="00236D27"/>
    <w:rsid w:val="00236DB8"/>
    <w:rsid w:val="00236F0A"/>
    <w:rsid w:val="0023702A"/>
    <w:rsid w:val="00237072"/>
    <w:rsid w:val="002370BA"/>
    <w:rsid w:val="002371CB"/>
    <w:rsid w:val="0023745E"/>
    <w:rsid w:val="002374F5"/>
    <w:rsid w:val="0023751E"/>
    <w:rsid w:val="002379B1"/>
    <w:rsid w:val="00237A5A"/>
    <w:rsid w:val="00237C1D"/>
    <w:rsid w:val="002402F5"/>
    <w:rsid w:val="00240340"/>
    <w:rsid w:val="00240415"/>
    <w:rsid w:val="00240421"/>
    <w:rsid w:val="002405D0"/>
    <w:rsid w:val="00240613"/>
    <w:rsid w:val="00240705"/>
    <w:rsid w:val="002407ED"/>
    <w:rsid w:val="00240805"/>
    <w:rsid w:val="00240839"/>
    <w:rsid w:val="00240A5C"/>
    <w:rsid w:val="00240AFF"/>
    <w:rsid w:val="00240EAC"/>
    <w:rsid w:val="00240EBD"/>
    <w:rsid w:val="00240EE0"/>
    <w:rsid w:val="0024109A"/>
    <w:rsid w:val="002410ED"/>
    <w:rsid w:val="002411C8"/>
    <w:rsid w:val="0024157D"/>
    <w:rsid w:val="00241591"/>
    <w:rsid w:val="00241657"/>
    <w:rsid w:val="002416CB"/>
    <w:rsid w:val="002419A2"/>
    <w:rsid w:val="00241A1A"/>
    <w:rsid w:val="00241C73"/>
    <w:rsid w:val="00241D90"/>
    <w:rsid w:val="00241E96"/>
    <w:rsid w:val="00242111"/>
    <w:rsid w:val="00242117"/>
    <w:rsid w:val="0024218D"/>
    <w:rsid w:val="002421B3"/>
    <w:rsid w:val="0024255D"/>
    <w:rsid w:val="002426C3"/>
    <w:rsid w:val="002427E6"/>
    <w:rsid w:val="00242AFC"/>
    <w:rsid w:val="00242B6E"/>
    <w:rsid w:val="00242BCA"/>
    <w:rsid w:val="00242CBD"/>
    <w:rsid w:val="00242DD3"/>
    <w:rsid w:val="00242FF0"/>
    <w:rsid w:val="002430B3"/>
    <w:rsid w:val="0024313D"/>
    <w:rsid w:val="0024339C"/>
    <w:rsid w:val="002434F3"/>
    <w:rsid w:val="002435E9"/>
    <w:rsid w:val="00243769"/>
    <w:rsid w:val="0024424D"/>
    <w:rsid w:val="002442BB"/>
    <w:rsid w:val="0024469E"/>
    <w:rsid w:val="0024483C"/>
    <w:rsid w:val="002449BD"/>
    <w:rsid w:val="00244A64"/>
    <w:rsid w:val="00244AF9"/>
    <w:rsid w:val="00244C74"/>
    <w:rsid w:val="0024519B"/>
    <w:rsid w:val="0024526C"/>
    <w:rsid w:val="00245304"/>
    <w:rsid w:val="002454E4"/>
    <w:rsid w:val="002456BA"/>
    <w:rsid w:val="002458B6"/>
    <w:rsid w:val="00245BB2"/>
    <w:rsid w:val="00245BDB"/>
    <w:rsid w:val="00245CFE"/>
    <w:rsid w:val="00245F7E"/>
    <w:rsid w:val="0024613B"/>
    <w:rsid w:val="002461CB"/>
    <w:rsid w:val="002461E5"/>
    <w:rsid w:val="002461F1"/>
    <w:rsid w:val="00246381"/>
    <w:rsid w:val="002464B5"/>
    <w:rsid w:val="0024657C"/>
    <w:rsid w:val="00246638"/>
    <w:rsid w:val="0024687E"/>
    <w:rsid w:val="002468CA"/>
    <w:rsid w:val="00246B35"/>
    <w:rsid w:val="00246B4F"/>
    <w:rsid w:val="00246C69"/>
    <w:rsid w:val="00246DBF"/>
    <w:rsid w:val="00246DE9"/>
    <w:rsid w:val="0024701C"/>
    <w:rsid w:val="0024721F"/>
    <w:rsid w:val="00247236"/>
    <w:rsid w:val="002472CA"/>
    <w:rsid w:val="002472E4"/>
    <w:rsid w:val="0024730D"/>
    <w:rsid w:val="002474EC"/>
    <w:rsid w:val="00247521"/>
    <w:rsid w:val="00247551"/>
    <w:rsid w:val="002475FB"/>
    <w:rsid w:val="00247896"/>
    <w:rsid w:val="00247AD3"/>
    <w:rsid w:val="00247CB1"/>
    <w:rsid w:val="00247CC7"/>
    <w:rsid w:val="00247D14"/>
    <w:rsid w:val="00247D4A"/>
    <w:rsid w:val="00247DA7"/>
    <w:rsid w:val="00247E3F"/>
    <w:rsid w:val="00247F3D"/>
    <w:rsid w:val="0025006A"/>
    <w:rsid w:val="002501FE"/>
    <w:rsid w:val="00250268"/>
    <w:rsid w:val="0025034F"/>
    <w:rsid w:val="002506AA"/>
    <w:rsid w:val="0025088F"/>
    <w:rsid w:val="00250A14"/>
    <w:rsid w:val="00250B22"/>
    <w:rsid w:val="00250B55"/>
    <w:rsid w:val="00250BD4"/>
    <w:rsid w:val="00250C93"/>
    <w:rsid w:val="00250CE1"/>
    <w:rsid w:val="00250E2A"/>
    <w:rsid w:val="00250FF8"/>
    <w:rsid w:val="00251285"/>
    <w:rsid w:val="00251468"/>
    <w:rsid w:val="002516C5"/>
    <w:rsid w:val="002516E0"/>
    <w:rsid w:val="00251751"/>
    <w:rsid w:val="00251796"/>
    <w:rsid w:val="00251835"/>
    <w:rsid w:val="002519B0"/>
    <w:rsid w:val="00251E81"/>
    <w:rsid w:val="002520AF"/>
    <w:rsid w:val="002520ED"/>
    <w:rsid w:val="00252329"/>
    <w:rsid w:val="002523ED"/>
    <w:rsid w:val="00252406"/>
    <w:rsid w:val="002525F4"/>
    <w:rsid w:val="002526B8"/>
    <w:rsid w:val="0025277A"/>
    <w:rsid w:val="002528BF"/>
    <w:rsid w:val="00252BDB"/>
    <w:rsid w:val="00252DFA"/>
    <w:rsid w:val="00252EDF"/>
    <w:rsid w:val="00253055"/>
    <w:rsid w:val="00253669"/>
    <w:rsid w:val="00253CF8"/>
    <w:rsid w:val="00253D1F"/>
    <w:rsid w:val="00253E5A"/>
    <w:rsid w:val="00254097"/>
    <w:rsid w:val="00254125"/>
    <w:rsid w:val="002542AB"/>
    <w:rsid w:val="002544AB"/>
    <w:rsid w:val="002544CC"/>
    <w:rsid w:val="002544D9"/>
    <w:rsid w:val="002546F8"/>
    <w:rsid w:val="00254706"/>
    <w:rsid w:val="002548F2"/>
    <w:rsid w:val="0025492C"/>
    <w:rsid w:val="0025495B"/>
    <w:rsid w:val="00254DC6"/>
    <w:rsid w:val="00254DCE"/>
    <w:rsid w:val="00254E0C"/>
    <w:rsid w:val="00254E66"/>
    <w:rsid w:val="002551CB"/>
    <w:rsid w:val="002553A5"/>
    <w:rsid w:val="00255409"/>
    <w:rsid w:val="002554F7"/>
    <w:rsid w:val="002556C7"/>
    <w:rsid w:val="00255745"/>
    <w:rsid w:val="002558B8"/>
    <w:rsid w:val="00255BA4"/>
    <w:rsid w:val="00255C76"/>
    <w:rsid w:val="00255D2A"/>
    <w:rsid w:val="00255DCD"/>
    <w:rsid w:val="00255DF4"/>
    <w:rsid w:val="00255E02"/>
    <w:rsid w:val="00255FC0"/>
    <w:rsid w:val="00256348"/>
    <w:rsid w:val="0025637B"/>
    <w:rsid w:val="00256441"/>
    <w:rsid w:val="00256595"/>
    <w:rsid w:val="002565B7"/>
    <w:rsid w:val="002566AB"/>
    <w:rsid w:val="002568C6"/>
    <w:rsid w:val="00256C12"/>
    <w:rsid w:val="00256C61"/>
    <w:rsid w:val="00256CE1"/>
    <w:rsid w:val="00256E6F"/>
    <w:rsid w:val="00256F93"/>
    <w:rsid w:val="00257105"/>
    <w:rsid w:val="0025713E"/>
    <w:rsid w:val="002571F1"/>
    <w:rsid w:val="00257318"/>
    <w:rsid w:val="00257508"/>
    <w:rsid w:val="00257585"/>
    <w:rsid w:val="00257656"/>
    <w:rsid w:val="002576D9"/>
    <w:rsid w:val="00257868"/>
    <w:rsid w:val="00257921"/>
    <w:rsid w:val="00257944"/>
    <w:rsid w:val="00257D2B"/>
    <w:rsid w:val="00257D41"/>
    <w:rsid w:val="00257DB8"/>
    <w:rsid w:val="00257EC6"/>
    <w:rsid w:val="0026003B"/>
    <w:rsid w:val="00260479"/>
    <w:rsid w:val="0026054C"/>
    <w:rsid w:val="00260597"/>
    <w:rsid w:val="002606F5"/>
    <w:rsid w:val="002607A6"/>
    <w:rsid w:val="002607B4"/>
    <w:rsid w:val="00260877"/>
    <w:rsid w:val="00260936"/>
    <w:rsid w:val="0026098D"/>
    <w:rsid w:val="00260C4B"/>
    <w:rsid w:val="00260F1C"/>
    <w:rsid w:val="00260F86"/>
    <w:rsid w:val="00260FE7"/>
    <w:rsid w:val="00261100"/>
    <w:rsid w:val="0026132E"/>
    <w:rsid w:val="00261349"/>
    <w:rsid w:val="0026136F"/>
    <w:rsid w:val="002614CC"/>
    <w:rsid w:val="002617E9"/>
    <w:rsid w:val="0026185A"/>
    <w:rsid w:val="0026189A"/>
    <w:rsid w:val="002619F4"/>
    <w:rsid w:val="00261A37"/>
    <w:rsid w:val="00261A87"/>
    <w:rsid w:val="00261B0E"/>
    <w:rsid w:val="00261C33"/>
    <w:rsid w:val="00261C4E"/>
    <w:rsid w:val="00261D0A"/>
    <w:rsid w:val="00261E30"/>
    <w:rsid w:val="0026200F"/>
    <w:rsid w:val="00262041"/>
    <w:rsid w:val="0026216F"/>
    <w:rsid w:val="00262496"/>
    <w:rsid w:val="00262636"/>
    <w:rsid w:val="00262646"/>
    <w:rsid w:val="0026275B"/>
    <w:rsid w:val="0026275F"/>
    <w:rsid w:val="00262849"/>
    <w:rsid w:val="00262D1D"/>
    <w:rsid w:val="00262DC5"/>
    <w:rsid w:val="00262E5D"/>
    <w:rsid w:val="00262F28"/>
    <w:rsid w:val="002631FB"/>
    <w:rsid w:val="002633F5"/>
    <w:rsid w:val="00263571"/>
    <w:rsid w:val="002635E9"/>
    <w:rsid w:val="002638DF"/>
    <w:rsid w:val="00263928"/>
    <w:rsid w:val="00263AF0"/>
    <w:rsid w:val="00263BD3"/>
    <w:rsid w:val="00263DC9"/>
    <w:rsid w:val="00263E6A"/>
    <w:rsid w:val="00263EF3"/>
    <w:rsid w:val="002643EB"/>
    <w:rsid w:val="0026449C"/>
    <w:rsid w:val="002644F1"/>
    <w:rsid w:val="0026454C"/>
    <w:rsid w:val="00264928"/>
    <w:rsid w:val="00264A22"/>
    <w:rsid w:val="00264A83"/>
    <w:rsid w:val="00264EEA"/>
    <w:rsid w:val="00264F6B"/>
    <w:rsid w:val="0026500A"/>
    <w:rsid w:val="0026507C"/>
    <w:rsid w:val="0026515C"/>
    <w:rsid w:val="002651A6"/>
    <w:rsid w:val="002651DD"/>
    <w:rsid w:val="002653AE"/>
    <w:rsid w:val="002654A9"/>
    <w:rsid w:val="002656FD"/>
    <w:rsid w:val="002658EF"/>
    <w:rsid w:val="00265A7E"/>
    <w:rsid w:val="00265D15"/>
    <w:rsid w:val="00265EB4"/>
    <w:rsid w:val="00265EC9"/>
    <w:rsid w:val="00265EEE"/>
    <w:rsid w:val="00265F82"/>
    <w:rsid w:val="0026609C"/>
    <w:rsid w:val="00266323"/>
    <w:rsid w:val="00266460"/>
    <w:rsid w:val="00266660"/>
    <w:rsid w:val="00266B53"/>
    <w:rsid w:val="00266B65"/>
    <w:rsid w:val="00266BE8"/>
    <w:rsid w:val="00266CB4"/>
    <w:rsid w:val="00266DDF"/>
    <w:rsid w:val="00266F09"/>
    <w:rsid w:val="002671F5"/>
    <w:rsid w:val="00267245"/>
    <w:rsid w:val="0026733C"/>
    <w:rsid w:val="002673D0"/>
    <w:rsid w:val="0026742F"/>
    <w:rsid w:val="002676FC"/>
    <w:rsid w:val="00267745"/>
    <w:rsid w:val="002677B3"/>
    <w:rsid w:val="00267954"/>
    <w:rsid w:val="00267DF1"/>
    <w:rsid w:val="00267E12"/>
    <w:rsid w:val="00270483"/>
    <w:rsid w:val="002704C7"/>
    <w:rsid w:val="0027065D"/>
    <w:rsid w:val="00270818"/>
    <w:rsid w:val="00270A05"/>
    <w:rsid w:val="00270C3A"/>
    <w:rsid w:val="00270FD7"/>
    <w:rsid w:val="002711AA"/>
    <w:rsid w:val="002713F1"/>
    <w:rsid w:val="00271634"/>
    <w:rsid w:val="00271657"/>
    <w:rsid w:val="00271757"/>
    <w:rsid w:val="0027179C"/>
    <w:rsid w:val="0027188C"/>
    <w:rsid w:val="0027195F"/>
    <w:rsid w:val="00271971"/>
    <w:rsid w:val="002719A1"/>
    <w:rsid w:val="00271C3F"/>
    <w:rsid w:val="00271CE8"/>
    <w:rsid w:val="00271E21"/>
    <w:rsid w:val="00271FFC"/>
    <w:rsid w:val="002723B1"/>
    <w:rsid w:val="002724D5"/>
    <w:rsid w:val="00272590"/>
    <w:rsid w:val="002725EA"/>
    <w:rsid w:val="00272BC1"/>
    <w:rsid w:val="00272CC2"/>
    <w:rsid w:val="00272D2A"/>
    <w:rsid w:val="00272EA4"/>
    <w:rsid w:val="00273130"/>
    <w:rsid w:val="00273138"/>
    <w:rsid w:val="002732C9"/>
    <w:rsid w:val="0027347A"/>
    <w:rsid w:val="002734FE"/>
    <w:rsid w:val="00273667"/>
    <w:rsid w:val="002736C2"/>
    <w:rsid w:val="002736CB"/>
    <w:rsid w:val="002736F2"/>
    <w:rsid w:val="0027389F"/>
    <w:rsid w:val="002739E5"/>
    <w:rsid w:val="00273AC6"/>
    <w:rsid w:val="00273B07"/>
    <w:rsid w:val="00273B4D"/>
    <w:rsid w:val="00273BD2"/>
    <w:rsid w:val="00273F77"/>
    <w:rsid w:val="002740D5"/>
    <w:rsid w:val="002741D8"/>
    <w:rsid w:val="002742A6"/>
    <w:rsid w:val="002743DD"/>
    <w:rsid w:val="00274472"/>
    <w:rsid w:val="002744C3"/>
    <w:rsid w:val="00274651"/>
    <w:rsid w:val="00274719"/>
    <w:rsid w:val="002748AC"/>
    <w:rsid w:val="002748B1"/>
    <w:rsid w:val="00274A6B"/>
    <w:rsid w:val="00274B87"/>
    <w:rsid w:val="00274C7B"/>
    <w:rsid w:val="00274CC9"/>
    <w:rsid w:val="00274D61"/>
    <w:rsid w:val="00274DDC"/>
    <w:rsid w:val="00274DEB"/>
    <w:rsid w:val="00274E94"/>
    <w:rsid w:val="00274F51"/>
    <w:rsid w:val="00274F58"/>
    <w:rsid w:val="0027503D"/>
    <w:rsid w:val="0027504D"/>
    <w:rsid w:val="00275226"/>
    <w:rsid w:val="00275427"/>
    <w:rsid w:val="002755B6"/>
    <w:rsid w:val="00275661"/>
    <w:rsid w:val="0027567D"/>
    <w:rsid w:val="00275779"/>
    <w:rsid w:val="0027591B"/>
    <w:rsid w:val="0027598C"/>
    <w:rsid w:val="00275B6B"/>
    <w:rsid w:val="00275B96"/>
    <w:rsid w:val="00275D03"/>
    <w:rsid w:val="00275E6C"/>
    <w:rsid w:val="00275FA6"/>
    <w:rsid w:val="002760FD"/>
    <w:rsid w:val="00276233"/>
    <w:rsid w:val="00276234"/>
    <w:rsid w:val="00276390"/>
    <w:rsid w:val="002765B6"/>
    <w:rsid w:val="0027662F"/>
    <w:rsid w:val="002767E0"/>
    <w:rsid w:val="0027696D"/>
    <w:rsid w:val="002769D9"/>
    <w:rsid w:val="00276BC3"/>
    <w:rsid w:val="00276D08"/>
    <w:rsid w:val="00276D87"/>
    <w:rsid w:val="00277158"/>
    <w:rsid w:val="002772CF"/>
    <w:rsid w:val="00277340"/>
    <w:rsid w:val="0027749F"/>
    <w:rsid w:val="0027753D"/>
    <w:rsid w:val="002776F6"/>
    <w:rsid w:val="00277CB3"/>
    <w:rsid w:val="00277CD7"/>
    <w:rsid w:val="00277EEF"/>
    <w:rsid w:val="00280032"/>
    <w:rsid w:val="0028010D"/>
    <w:rsid w:val="002803B9"/>
    <w:rsid w:val="002805C4"/>
    <w:rsid w:val="00280C2E"/>
    <w:rsid w:val="00280D8F"/>
    <w:rsid w:val="00280F50"/>
    <w:rsid w:val="002812AE"/>
    <w:rsid w:val="002812FD"/>
    <w:rsid w:val="002813D2"/>
    <w:rsid w:val="0028155C"/>
    <w:rsid w:val="00281579"/>
    <w:rsid w:val="00281D1E"/>
    <w:rsid w:val="00281DF9"/>
    <w:rsid w:val="00281EB0"/>
    <w:rsid w:val="00281EB4"/>
    <w:rsid w:val="00281F05"/>
    <w:rsid w:val="0028228C"/>
    <w:rsid w:val="00282453"/>
    <w:rsid w:val="00282624"/>
    <w:rsid w:val="00282790"/>
    <w:rsid w:val="00282837"/>
    <w:rsid w:val="00282944"/>
    <w:rsid w:val="00282DA1"/>
    <w:rsid w:val="00283007"/>
    <w:rsid w:val="00283047"/>
    <w:rsid w:val="00283299"/>
    <w:rsid w:val="00283428"/>
    <w:rsid w:val="002835C2"/>
    <w:rsid w:val="0028362D"/>
    <w:rsid w:val="00283A34"/>
    <w:rsid w:val="00283C67"/>
    <w:rsid w:val="00283F8D"/>
    <w:rsid w:val="00284106"/>
    <w:rsid w:val="00284235"/>
    <w:rsid w:val="002843A6"/>
    <w:rsid w:val="00284408"/>
    <w:rsid w:val="00284454"/>
    <w:rsid w:val="002844B5"/>
    <w:rsid w:val="00284867"/>
    <w:rsid w:val="00284C33"/>
    <w:rsid w:val="00284CAE"/>
    <w:rsid w:val="00284DA1"/>
    <w:rsid w:val="00284DB1"/>
    <w:rsid w:val="00284E19"/>
    <w:rsid w:val="0028500F"/>
    <w:rsid w:val="0028502D"/>
    <w:rsid w:val="002851B1"/>
    <w:rsid w:val="00285597"/>
    <w:rsid w:val="002855A2"/>
    <w:rsid w:val="002857A7"/>
    <w:rsid w:val="00285AE1"/>
    <w:rsid w:val="00285CF1"/>
    <w:rsid w:val="00285DFC"/>
    <w:rsid w:val="00285F19"/>
    <w:rsid w:val="00285F44"/>
    <w:rsid w:val="00286284"/>
    <w:rsid w:val="0028630C"/>
    <w:rsid w:val="00286783"/>
    <w:rsid w:val="0028687D"/>
    <w:rsid w:val="002868F1"/>
    <w:rsid w:val="002869FB"/>
    <w:rsid w:val="00286B3F"/>
    <w:rsid w:val="00286BF0"/>
    <w:rsid w:val="00286CDC"/>
    <w:rsid w:val="00286DAF"/>
    <w:rsid w:val="00287355"/>
    <w:rsid w:val="0028748E"/>
    <w:rsid w:val="002874E8"/>
    <w:rsid w:val="002876B3"/>
    <w:rsid w:val="0028777D"/>
    <w:rsid w:val="00287B4E"/>
    <w:rsid w:val="00287B7D"/>
    <w:rsid w:val="00287CF8"/>
    <w:rsid w:val="00287FB0"/>
    <w:rsid w:val="00287FC7"/>
    <w:rsid w:val="00287FCF"/>
    <w:rsid w:val="00290092"/>
    <w:rsid w:val="0029018F"/>
    <w:rsid w:val="002902DA"/>
    <w:rsid w:val="00290472"/>
    <w:rsid w:val="002905C6"/>
    <w:rsid w:val="00290655"/>
    <w:rsid w:val="0029070B"/>
    <w:rsid w:val="002907D3"/>
    <w:rsid w:val="002908D9"/>
    <w:rsid w:val="00290B1D"/>
    <w:rsid w:val="00290BC8"/>
    <w:rsid w:val="00291237"/>
    <w:rsid w:val="002912CB"/>
    <w:rsid w:val="00291330"/>
    <w:rsid w:val="00291431"/>
    <w:rsid w:val="0029145E"/>
    <w:rsid w:val="00291491"/>
    <w:rsid w:val="00291A15"/>
    <w:rsid w:val="00291E0A"/>
    <w:rsid w:val="00291EAC"/>
    <w:rsid w:val="00291F29"/>
    <w:rsid w:val="00292017"/>
    <w:rsid w:val="00292153"/>
    <w:rsid w:val="002921D0"/>
    <w:rsid w:val="0029233C"/>
    <w:rsid w:val="00292766"/>
    <w:rsid w:val="0029284E"/>
    <w:rsid w:val="00292DCD"/>
    <w:rsid w:val="00292F35"/>
    <w:rsid w:val="00292FFA"/>
    <w:rsid w:val="0029343B"/>
    <w:rsid w:val="0029356B"/>
    <w:rsid w:val="00293624"/>
    <w:rsid w:val="002936E2"/>
    <w:rsid w:val="0029384B"/>
    <w:rsid w:val="002938A5"/>
    <w:rsid w:val="00293B5A"/>
    <w:rsid w:val="00293CAE"/>
    <w:rsid w:val="00293CE9"/>
    <w:rsid w:val="00293D3B"/>
    <w:rsid w:val="00293E59"/>
    <w:rsid w:val="0029426E"/>
    <w:rsid w:val="00294402"/>
    <w:rsid w:val="002945BC"/>
    <w:rsid w:val="00294734"/>
    <w:rsid w:val="0029487F"/>
    <w:rsid w:val="00294AB1"/>
    <w:rsid w:val="00295265"/>
    <w:rsid w:val="00295294"/>
    <w:rsid w:val="0029537A"/>
    <w:rsid w:val="00295781"/>
    <w:rsid w:val="00295931"/>
    <w:rsid w:val="0029593E"/>
    <w:rsid w:val="00295977"/>
    <w:rsid w:val="00295B07"/>
    <w:rsid w:val="00296090"/>
    <w:rsid w:val="00296162"/>
    <w:rsid w:val="00296371"/>
    <w:rsid w:val="00296374"/>
    <w:rsid w:val="002963A7"/>
    <w:rsid w:val="00296498"/>
    <w:rsid w:val="002964E0"/>
    <w:rsid w:val="0029663D"/>
    <w:rsid w:val="00296677"/>
    <w:rsid w:val="002967EF"/>
    <w:rsid w:val="0029685C"/>
    <w:rsid w:val="002968EF"/>
    <w:rsid w:val="0029698B"/>
    <w:rsid w:val="00296F03"/>
    <w:rsid w:val="0029714B"/>
    <w:rsid w:val="002972B3"/>
    <w:rsid w:val="0029735D"/>
    <w:rsid w:val="00297779"/>
    <w:rsid w:val="00297814"/>
    <w:rsid w:val="0029787A"/>
    <w:rsid w:val="00297888"/>
    <w:rsid w:val="002978D1"/>
    <w:rsid w:val="002979F7"/>
    <w:rsid w:val="00297A55"/>
    <w:rsid w:val="00297FD0"/>
    <w:rsid w:val="00297FE2"/>
    <w:rsid w:val="002A0124"/>
    <w:rsid w:val="002A0176"/>
    <w:rsid w:val="002A01D4"/>
    <w:rsid w:val="002A028C"/>
    <w:rsid w:val="002A03E9"/>
    <w:rsid w:val="002A0439"/>
    <w:rsid w:val="002A0698"/>
    <w:rsid w:val="002A07C0"/>
    <w:rsid w:val="002A0809"/>
    <w:rsid w:val="002A08F7"/>
    <w:rsid w:val="002A09FD"/>
    <w:rsid w:val="002A0B77"/>
    <w:rsid w:val="002A0C0D"/>
    <w:rsid w:val="002A0D4C"/>
    <w:rsid w:val="002A0D56"/>
    <w:rsid w:val="002A0E07"/>
    <w:rsid w:val="002A1131"/>
    <w:rsid w:val="002A117F"/>
    <w:rsid w:val="002A125E"/>
    <w:rsid w:val="002A152B"/>
    <w:rsid w:val="002A1541"/>
    <w:rsid w:val="002A15A5"/>
    <w:rsid w:val="002A1669"/>
    <w:rsid w:val="002A171E"/>
    <w:rsid w:val="002A1736"/>
    <w:rsid w:val="002A18AD"/>
    <w:rsid w:val="002A195C"/>
    <w:rsid w:val="002A1A0F"/>
    <w:rsid w:val="002A1AD0"/>
    <w:rsid w:val="002A1B16"/>
    <w:rsid w:val="002A1BF8"/>
    <w:rsid w:val="002A1BF9"/>
    <w:rsid w:val="002A1C13"/>
    <w:rsid w:val="002A1DC1"/>
    <w:rsid w:val="002A1E37"/>
    <w:rsid w:val="002A1F85"/>
    <w:rsid w:val="002A206F"/>
    <w:rsid w:val="002A20B3"/>
    <w:rsid w:val="002A237A"/>
    <w:rsid w:val="002A25B8"/>
    <w:rsid w:val="002A282A"/>
    <w:rsid w:val="002A28E6"/>
    <w:rsid w:val="002A29AA"/>
    <w:rsid w:val="002A29C5"/>
    <w:rsid w:val="002A2D5C"/>
    <w:rsid w:val="002A2E7C"/>
    <w:rsid w:val="002A315C"/>
    <w:rsid w:val="002A33C5"/>
    <w:rsid w:val="002A391F"/>
    <w:rsid w:val="002A39A7"/>
    <w:rsid w:val="002A3CED"/>
    <w:rsid w:val="002A3D23"/>
    <w:rsid w:val="002A3E9A"/>
    <w:rsid w:val="002A3F00"/>
    <w:rsid w:val="002A3FD1"/>
    <w:rsid w:val="002A4309"/>
    <w:rsid w:val="002A4431"/>
    <w:rsid w:val="002A45A9"/>
    <w:rsid w:val="002A4607"/>
    <w:rsid w:val="002A48C8"/>
    <w:rsid w:val="002A4920"/>
    <w:rsid w:val="002A4B33"/>
    <w:rsid w:val="002A4DC6"/>
    <w:rsid w:val="002A4FB5"/>
    <w:rsid w:val="002A5123"/>
    <w:rsid w:val="002A5203"/>
    <w:rsid w:val="002A558A"/>
    <w:rsid w:val="002A5643"/>
    <w:rsid w:val="002A5808"/>
    <w:rsid w:val="002A588F"/>
    <w:rsid w:val="002A58D9"/>
    <w:rsid w:val="002A59EF"/>
    <w:rsid w:val="002A5A40"/>
    <w:rsid w:val="002A5AE2"/>
    <w:rsid w:val="002A5B81"/>
    <w:rsid w:val="002A5BD1"/>
    <w:rsid w:val="002A5BF9"/>
    <w:rsid w:val="002A5CEA"/>
    <w:rsid w:val="002A5D54"/>
    <w:rsid w:val="002A60C4"/>
    <w:rsid w:val="002A61D6"/>
    <w:rsid w:val="002A6208"/>
    <w:rsid w:val="002A62C9"/>
    <w:rsid w:val="002A62F1"/>
    <w:rsid w:val="002A632C"/>
    <w:rsid w:val="002A63F2"/>
    <w:rsid w:val="002A6E95"/>
    <w:rsid w:val="002A6F1B"/>
    <w:rsid w:val="002A71B4"/>
    <w:rsid w:val="002A7338"/>
    <w:rsid w:val="002A739D"/>
    <w:rsid w:val="002A7580"/>
    <w:rsid w:val="002A76AD"/>
    <w:rsid w:val="002A7776"/>
    <w:rsid w:val="002A79A2"/>
    <w:rsid w:val="002A7B98"/>
    <w:rsid w:val="002A7BB7"/>
    <w:rsid w:val="002A7C7D"/>
    <w:rsid w:val="002A7CEF"/>
    <w:rsid w:val="002A7D8D"/>
    <w:rsid w:val="002B00E2"/>
    <w:rsid w:val="002B0295"/>
    <w:rsid w:val="002B03B4"/>
    <w:rsid w:val="002B0431"/>
    <w:rsid w:val="002B0435"/>
    <w:rsid w:val="002B051E"/>
    <w:rsid w:val="002B0679"/>
    <w:rsid w:val="002B0936"/>
    <w:rsid w:val="002B09D5"/>
    <w:rsid w:val="002B0A95"/>
    <w:rsid w:val="002B0F33"/>
    <w:rsid w:val="002B118A"/>
    <w:rsid w:val="002B15F7"/>
    <w:rsid w:val="002B163A"/>
    <w:rsid w:val="002B1981"/>
    <w:rsid w:val="002B1A30"/>
    <w:rsid w:val="002B1AD6"/>
    <w:rsid w:val="002B1AEA"/>
    <w:rsid w:val="002B1EAF"/>
    <w:rsid w:val="002B1FC9"/>
    <w:rsid w:val="002B207A"/>
    <w:rsid w:val="002B217E"/>
    <w:rsid w:val="002B21EC"/>
    <w:rsid w:val="002B22B9"/>
    <w:rsid w:val="002B259E"/>
    <w:rsid w:val="002B26B5"/>
    <w:rsid w:val="002B2A81"/>
    <w:rsid w:val="002B2B5F"/>
    <w:rsid w:val="002B2BA8"/>
    <w:rsid w:val="002B2BCD"/>
    <w:rsid w:val="002B2E3B"/>
    <w:rsid w:val="002B3183"/>
    <w:rsid w:val="002B31C9"/>
    <w:rsid w:val="002B383F"/>
    <w:rsid w:val="002B3972"/>
    <w:rsid w:val="002B3B38"/>
    <w:rsid w:val="002B3B95"/>
    <w:rsid w:val="002B3C3E"/>
    <w:rsid w:val="002B3D98"/>
    <w:rsid w:val="002B43D2"/>
    <w:rsid w:val="002B4429"/>
    <w:rsid w:val="002B4505"/>
    <w:rsid w:val="002B45C0"/>
    <w:rsid w:val="002B4A2C"/>
    <w:rsid w:val="002B4CAF"/>
    <w:rsid w:val="002B4D09"/>
    <w:rsid w:val="002B4D8C"/>
    <w:rsid w:val="002B4DB6"/>
    <w:rsid w:val="002B4DC6"/>
    <w:rsid w:val="002B4DEF"/>
    <w:rsid w:val="002B4E7A"/>
    <w:rsid w:val="002B4EF7"/>
    <w:rsid w:val="002B5035"/>
    <w:rsid w:val="002B5040"/>
    <w:rsid w:val="002B5162"/>
    <w:rsid w:val="002B5338"/>
    <w:rsid w:val="002B5783"/>
    <w:rsid w:val="002B57F7"/>
    <w:rsid w:val="002B5822"/>
    <w:rsid w:val="002B586E"/>
    <w:rsid w:val="002B5AA2"/>
    <w:rsid w:val="002B5C6D"/>
    <w:rsid w:val="002B5EB3"/>
    <w:rsid w:val="002B614D"/>
    <w:rsid w:val="002B642A"/>
    <w:rsid w:val="002B64AF"/>
    <w:rsid w:val="002B6538"/>
    <w:rsid w:val="002B65AB"/>
    <w:rsid w:val="002B6663"/>
    <w:rsid w:val="002B66AB"/>
    <w:rsid w:val="002B6752"/>
    <w:rsid w:val="002B6845"/>
    <w:rsid w:val="002B69A4"/>
    <w:rsid w:val="002B6A00"/>
    <w:rsid w:val="002B6AA5"/>
    <w:rsid w:val="002B6C70"/>
    <w:rsid w:val="002B6F15"/>
    <w:rsid w:val="002B726B"/>
    <w:rsid w:val="002B7394"/>
    <w:rsid w:val="002B73DD"/>
    <w:rsid w:val="002B73EC"/>
    <w:rsid w:val="002B762D"/>
    <w:rsid w:val="002B77B1"/>
    <w:rsid w:val="002B77CF"/>
    <w:rsid w:val="002B7A68"/>
    <w:rsid w:val="002B7AAF"/>
    <w:rsid w:val="002B7AC9"/>
    <w:rsid w:val="002B7C9E"/>
    <w:rsid w:val="002B7D9B"/>
    <w:rsid w:val="002B7DD1"/>
    <w:rsid w:val="002B7ED0"/>
    <w:rsid w:val="002C0014"/>
    <w:rsid w:val="002C003A"/>
    <w:rsid w:val="002C0143"/>
    <w:rsid w:val="002C0244"/>
    <w:rsid w:val="002C035E"/>
    <w:rsid w:val="002C0419"/>
    <w:rsid w:val="002C0645"/>
    <w:rsid w:val="002C06BE"/>
    <w:rsid w:val="002C078A"/>
    <w:rsid w:val="002C07A0"/>
    <w:rsid w:val="002C07F0"/>
    <w:rsid w:val="002C0CCF"/>
    <w:rsid w:val="002C0F0C"/>
    <w:rsid w:val="002C0FE6"/>
    <w:rsid w:val="002C10B1"/>
    <w:rsid w:val="002C11EC"/>
    <w:rsid w:val="002C128A"/>
    <w:rsid w:val="002C131B"/>
    <w:rsid w:val="002C1466"/>
    <w:rsid w:val="002C149F"/>
    <w:rsid w:val="002C1846"/>
    <w:rsid w:val="002C1928"/>
    <w:rsid w:val="002C19F0"/>
    <w:rsid w:val="002C1A53"/>
    <w:rsid w:val="002C1AF3"/>
    <w:rsid w:val="002C1B4C"/>
    <w:rsid w:val="002C2068"/>
    <w:rsid w:val="002C221C"/>
    <w:rsid w:val="002C232D"/>
    <w:rsid w:val="002C2490"/>
    <w:rsid w:val="002C256B"/>
    <w:rsid w:val="002C2612"/>
    <w:rsid w:val="002C2642"/>
    <w:rsid w:val="002C2700"/>
    <w:rsid w:val="002C2883"/>
    <w:rsid w:val="002C293C"/>
    <w:rsid w:val="002C2963"/>
    <w:rsid w:val="002C2B61"/>
    <w:rsid w:val="002C2BAC"/>
    <w:rsid w:val="002C2CC0"/>
    <w:rsid w:val="002C2D76"/>
    <w:rsid w:val="002C2E17"/>
    <w:rsid w:val="002C30AD"/>
    <w:rsid w:val="002C30B4"/>
    <w:rsid w:val="002C3151"/>
    <w:rsid w:val="002C31AA"/>
    <w:rsid w:val="002C321E"/>
    <w:rsid w:val="002C32B5"/>
    <w:rsid w:val="002C3561"/>
    <w:rsid w:val="002C36A6"/>
    <w:rsid w:val="002C375B"/>
    <w:rsid w:val="002C3B92"/>
    <w:rsid w:val="002C3DCE"/>
    <w:rsid w:val="002C3DFA"/>
    <w:rsid w:val="002C3E81"/>
    <w:rsid w:val="002C40BC"/>
    <w:rsid w:val="002C4203"/>
    <w:rsid w:val="002C43E3"/>
    <w:rsid w:val="002C46E1"/>
    <w:rsid w:val="002C4732"/>
    <w:rsid w:val="002C4BD5"/>
    <w:rsid w:val="002C4E69"/>
    <w:rsid w:val="002C4EA7"/>
    <w:rsid w:val="002C503A"/>
    <w:rsid w:val="002C5401"/>
    <w:rsid w:val="002C54DE"/>
    <w:rsid w:val="002C5515"/>
    <w:rsid w:val="002C561A"/>
    <w:rsid w:val="002C5635"/>
    <w:rsid w:val="002C569F"/>
    <w:rsid w:val="002C5737"/>
    <w:rsid w:val="002C59F5"/>
    <w:rsid w:val="002C5AC4"/>
    <w:rsid w:val="002C5BC1"/>
    <w:rsid w:val="002C5D3C"/>
    <w:rsid w:val="002C5D69"/>
    <w:rsid w:val="002C601D"/>
    <w:rsid w:val="002C6111"/>
    <w:rsid w:val="002C6179"/>
    <w:rsid w:val="002C620D"/>
    <w:rsid w:val="002C624F"/>
    <w:rsid w:val="002C63CA"/>
    <w:rsid w:val="002C63D7"/>
    <w:rsid w:val="002C6652"/>
    <w:rsid w:val="002C6697"/>
    <w:rsid w:val="002C69CC"/>
    <w:rsid w:val="002C6C25"/>
    <w:rsid w:val="002C6C56"/>
    <w:rsid w:val="002C6C80"/>
    <w:rsid w:val="002C6C90"/>
    <w:rsid w:val="002C6CCD"/>
    <w:rsid w:val="002C6DB5"/>
    <w:rsid w:val="002C6DE4"/>
    <w:rsid w:val="002C6E89"/>
    <w:rsid w:val="002C7272"/>
    <w:rsid w:val="002C72CF"/>
    <w:rsid w:val="002C733B"/>
    <w:rsid w:val="002C73E6"/>
    <w:rsid w:val="002C73E9"/>
    <w:rsid w:val="002C73F4"/>
    <w:rsid w:val="002C7543"/>
    <w:rsid w:val="002C766F"/>
    <w:rsid w:val="002C7670"/>
    <w:rsid w:val="002C774A"/>
    <w:rsid w:val="002C7789"/>
    <w:rsid w:val="002C7857"/>
    <w:rsid w:val="002C78AC"/>
    <w:rsid w:val="002C794D"/>
    <w:rsid w:val="002C7978"/>
    <w:rsid w:val="002C7BB9"/>
    <w:rsid w:val="002C7C62"/>
    <w:rsid w:val="002C7D66"/>
    <w:rsid w:val="002C7D7E"/>
    <w:rsid w:val="002D01DE"/>
    <w:rsid w:val="002D037A"/>
    <w:rsid w:val="002D0559"/>
    <w:rsid w:val="002D068B"/>
    <w:rsid w:val="002D083A"/>
    <w:rsid w:val="002D09B6"/>
    <w:rsid w:val="002D0A14"/>
    <w:rsid w:val="002D0B1C"/>
    <w:rsid w:val="002D0D44"/>
    <w:rsid w:val="002D0EC6"/>
    <w:rsid w:val="002D0F03"/>
    <w:rsid w:val="002D0F6F"/>
    <w:rsid w:val="002D0FC0"/>
    <w:rsid w:val="002D118D"/>
    <w:rsid w:val="002D11EE"/>
    <w:rsid w:val="002D11F2"/>
    <w:rsid w:val="002D1279"/>
    <w:rsid w:val="002D149B"/>
    <w:rsid w:val="002D1664"/>
    <w:rsid w:val="002D1AC3"/>
    <w:rsid w:val="002D1CAB"/>
    <w:rsid w:val="002D1CE0"/>
    <w:rsid w:val="002D1F7B"/>
    <w:rsid w:val="002D223E"/>
    <w:rsid w:val="002D22DC"/>
    <w:rsid w:val="002D23F5"/>
    <w:rsid w:val="002D254B"/>
    <w:rsid w:val="002D258B"/>
    <w:rsid w:val="002D2634"/>
    <w:rsid w:val="002D29AA"/>
    <w:rsid w:val="002D29AD"/>
    <w:rsid w:val="002D29AF"/>
    <w:rsid w:val="002D3016"/>
    <w:rsid w:val="002D30C4"/>
    <w:rsid w:val="002D325F"/>
    <w:rsid w:val="002D3276"/>
    <w:rsid w:val="002D33CE"/>
    <w:rsid w:val="002D34EB"/>
    <w:rsid w:val="002D37B5"/>
    <w:rsid w:val="002D384B"/>
    <w:rsid w:val="002D389C"/>
    <w:rsid w:val="002D39A9"/>
    <w:rsid w:val="002D3B15"/>
    <w:rsid w:val="002D3BB2"/>
    <w:rsid w:val="002D3EAD"/>
    <w:rsid w:val="002D3F19"/>
    <w:rsid w:val="002D4338"/>
    <w:rsid w:val="002D4375"/>
    <w:rsid w:val="002D4470"/>
    <w:rsid w:val="002D44E0"/>
    <w:rsid w:val="002D4604"/>
    <w:rsid w:val="002D47D6"/>
    <w:rsid w:val="002D4882"/>
    <w:rsid w:val="002D4AE4"/>
    <w:rsid w:val="002D4DAD"/>
    <w:rsid w:val="002D4ED5"/>
    <w:rsid w:val="002D4F7F"/>
    <w:rsid w:val="002D50C4"/>
    <w:rsid w:val="002D50CB"/>
    <w:rsid w:val="002D512E"/>
    <w:rsid w:val="002D5136"/>
    <w:rsid w:val="002D51C5"/>
    <w:rsid w:val="002D5281"/>
    <w:rsid w:val="002D52E7"/>
    <w:rsid w:val="002D53D1"/>
    <w:rsid w:val="002D5676"/>
    <w:rsid w:val="002D5AB1"/>
    <w:rsid w:val="002D5FB2"/>
    <w:rsid w:val="002D5FE9"/>
    <w:rsid w:val="002D6273"/>
    <w:rsid w:val="002D646C"/>
    <w:rsid w:val="002D6540"/>
    <w:rsid w:val="002D6575"/>
    <w:rsid w:val="002D6644"/>
    <w:rsid w:val="002D6858"/>
    <w:rsid w:val="002D69F1"/>
    <w:rsid w:val="002D6AC1"/>
    <w:rsid w:val="002D6B0B"/>
    <w:rsid w:val="002D6E53"/>
    <w:rsid w:val="002D6EB4"/>
    <w:rsid w:val="002D6F41"/>
    <w:rsid w:val="002D704A"/>
    <w:rsid w:val="002D7172"/>
    <w:rsid w:val="002D71F7"/>
    <w:rsid w:val="002D72C5"/>
    <w:rsid w:val="002D76F0"/>
    <w:rsid w:val="002D7782"/>
    <w:rsid w:val="002D78C7"/>
    <w:rsid w:val="002D7914"/>
    <w:rsid w:val="002D7961"/>
    <w:rsid w:val="002D79D3"/>
    <w:rsid w:val="002D7A14"/>
    <w:rsid w:val="002D7A22"/>
    <w:rsid w:val="002D7F57"/>
    <w:rsid w:val="002E0452"/>
    <w:rsid w:val="002E0492"/>
    <w:rsid w:val="002E0537"/>
    <w:rsid w:val="002E0660"/>
    <w:rsid w:val="002E07A3"/>
    <w:rsid w:val="002E0948"/>
    <w:rsid w:val="002E0B19"/>
    <w:rsid w:val="002E0CCB"/>
    <w:rsid w:val="002E0F0D"/>
    <w:rsid w:val="002E108A"/>
    <w:rsid w:val="002E1142"/>
    <w:rsid w:val="002E118D"/>
    <w:rsid w:val="002E11AC"/>
    <w:rsid w:val="002E1472"/>
    <w:rsid w:val="002E17DA"/>
    <w:rsid w:val="002E19A9"/>
    <w:rsid w:val="002E1FFB"/>
    <w:rsid w:val="002E200D"/>
    <w:rsid w:val="002E2072"/>
    <w:rsid w:val="002E2278"/>
    <w:rsid w:val="002E235C"/>
    <w:rsid w:val="002E2393"/>
    <w:rsid w:val="002E247A"/>
    <w:rsid w:val="002E2906"/>
    <w:rsid w:val="002E2907"/>
    <w:rsid w:val="002E2ACA"/>
    <w:rsid w:val="002E2EE6"/>
    <w:rsid w:val="002E2F37"/>
    <w:rsid w:val="002E3348"/>
    <w:rsid w:val="002E3384"/>
    <w:rsid w:val="002E355E"/>
    <w:rsid w:val="002E357E"/>
    <w:rsid w:val="002E37FF"/>
    <w:rsid w:val="002E385C"/>
    <w:rsid w:val="002E392B"/>
    <w:rsid w:val="002E3A98"/>
    <w:rsid w:val="002E3B3B"/>
    <w:rsid w:val="002E3C6E"/>
    <w:rsid w:val="002E3E13"/>
    <w:rsid w:val="002E3F08"/>
    <w:rsid w:val="002E40F3"/>
    <w:rsid w:val="002E423F"/>
    <w:rsid w:val="002E4244"/>
    <w:rsid w:val="002E44E7"/>
    <w:rsid w:val="002E451B"/>
    <w:rsid w:val="002E45CF"/>
    <w:rsid w:val="002E4843"/>
    <w:rsid w:val="002E48BA"/>
    <w:rsid w:val="002E4934"/>
    <w:rsid w:val="002E4959"/>
    <w:rsid w:val="002E4A99"/>
    <w:rsid w:val="002E4B7D"/>
    <w:rsid w:val="002E4D93"/>
    <w:rsid w:val="002E4F42"/>
    <w:rsid w:val="002E5169"/>
    <w:rsid w:val="002E53E4"/>
    <w:rsid w:val="002E5466"/>
    <w:rsid w:val="002E56D0"/>
    <w:rsid w:val="002E5727"/>
    <w:rsid w:val="002E5844"/>
    <w:rsid w:val="002E5AA9"/>
    <w:rsid w:val="002E608F"/>
    <w:rsid w:val="002E614D"/>
    <w:rsid w:val="002E62B9"/>
    <w:rsid w:val="002E658D"/>
    <w:rsid w:val="002E6756"/>
    <w:rsid w:val="002E6784"/>
    <w:rsid w:val="002E6879"/>
    <w:rsid w:val="002E694F"/>
    <w:rsid w:val="002E72B2"/>
    <w:rsid w:val="002E73EF"/>
    <w:rsid w:val="002E7450"/>
    <w:rsid w:val="002E7574"/>
    <w:rsid w:val="002E76A5"/>
    <w:rsid w:val="002E76CE"/>
    <w:rsid w:val="002E7C28"/>
    <w:rsid w:val="002E7C82"/>
    <w:rsid w:val="002E7D28"/>
    <w:rsid w:val="002E7F46"/>
    <w:rsid w:val="002E7FF9"/>
    <w:rsid w:val="002F02B9"/>
    <w:rsid w:val="002F02D4"/>
    <w:rsid w:val="002F0324"/>
    <w:rsid w:val="002F0591"/>
    <w:rsid w:val="002F05FD"/>
    <w:rsid w:val="002F0646"/>
    <w:rsid w:val="002F06C1"/>
    <w:rsid w:val="002F06C5"/>
    <w:rsid w:val="002F096D"/>
    <w:rsid w:val="002F0BD2"/>
    <w:rsid w:val="002F0CCD"/>
    <w:rsid w:val="002F0CE3"/>
    <w:rsid w:val="002F11BD"/>
    <w:rsid w:val="002F11D3"/>
    <w:rsid w:val="002F1461"/>
    <w:rsid w:val="002F14A7"/>
    <w:rsid w:val="002F1543"/>
    <w:rsid w:val="002F154A"/>
    <w:rsid w:val="002F165D"/>
    <w:rsid w:val="002F16CB"/>
    <w:rsid w:val="002F17EC"/>
    <w:rsid w:val="002F188A"/>
    <w:rsid w:val="002F191C"/>
    <w:rsid w:val="002F19A4"/>
    <w:rsid w:val="002F19B2"/>
    <w:rsid w:val="002F1B28"/>
    <w:rsid w:val="002F1D74"/>
    <w:rsid w:val="002F2049"/>
    <w:rsid w:val="002F2562"/>
    <w:rsid w:val="002F264E"/>
    <w:rsid w:val="002F28DD"/>
    <w:rsid w:val="002F298A"/>
    <w:rsid w:val="002F2A4A"/>
    <w:rsid w:val="002F2C9C"/>
    <w:rsid w:val="002F2E1F"/>
    <w:rsid w:val="002F2F5D"/>
    <w:rsid w:val="002F3030"/>
    <w:rsid w:val="002F30D6"/>
    <w:rsid w:val="002F319D"/>
    <w:rsid w:val="002F325A"/>
    <w:rsid w:val="002F3354"/>
    <w:rsid w:val="002F35FE"/>
    <w:rsid w:val="002F3859"/>
    <w:rsid w:val="002F3A03"/>
    <w:rsid w:val="002F3D80"/>
    <w:rsid w:val="002F4197"/>
    <w:rsid w:val="002F4438"/>
    <w:rsid w:val="002F4520"/>
    <w:rsid w:val="002F4638"/>
    <w:rsid w:val="002F4731"/>
    <w:rsid w:val="002F4812"/>
    <w:rsid w:val="002F483F"/>
    <w:rsid w:val="002F4852"/>
    <w:rsid w:val="002F4862"/>
    <w:rsid w:val="002F490D"/>
    <w:rsid w:val="002F497D"/>
    <w:rsid w:val="002F49C3"/>
    <w:rsid w:val="002F4AD5"/>
    <w:rsid w:val="002F4AEF"/>
    <w:rsid w:val="002F4B53"/>
    <w:rsid w:val="002F4B9C"/>
    <w:rsid w:val="002F4BBD"/>
    <w:rsid w:val="002F4D4F"/>
    <w:rsid w:val="002F4EE7"/>
    <w:rsid w:val="002F4F70"/>
    <w:rsid w:val="002F5227"/>
    <w:rsid w:val="002F5BFB"/>
    <w:rsid w:val="002F5C8E"/>
    <w:rsid w:val="002F5D3E"/>
    <w:rsid w:val="002F5F5F"/>
    <w:rsid w:val="002F5FBD"/>
    <w:rsid w:val="002F61F0"/>
    <w:rsid w:val="002F6326"/>
    <w:rsid w:val="002F63C0"/>
    <w:rsid w:val="002F6407"/>
    <w:rsid w:val="002F649E"/>
    <w:rsid w:val="002F64E2"/>
    <w:rsid w:val="002F66DE"/>
    <w:rsid w:val="002F6778"/>
    <w:rsid w:val="002F689A"/>
    <w:rsid w:val="002F6905"/>
    <w:rsid w:val="002F6991"/>
    <w:rsid w:val="002F6D17"/>
    <w:rsid w:val="002F6F1B"/>
    <w:rsid w:val="002F6FEF"/>
    <w:rsid w:val="002F70EC"/>
    <w:rsid w:val="002F7426"/>
    <w:rsid w:val="002F755B"/>
    <w:rsid w:val="002F76B6"/>
    <w:rsid w:val="002F778E"/>
    <w:rsid w:val="002F7BC6"/>
    <w:rsid w:val="002F7CD0"/>
    <w:rsid w:val="002F7E32"/>
    <w:rsid w:val="002F7F07"/>
    <w:rsid w:val="002F7F97"/>
    <w:rsid w:val="00300466"/>
    <w:rsid w:val="003005F1"/>
    <w:rsid w:val="00300778"/>
    <w:rsid w:val="00300A1D"/>
    <w:rsid w:val="00300A5A"/>
    <w:rsid w:val="00300BB2"/>
    <w:rsid w:val="00300C27"/>
    <w:rsid w:val="00300D66"/>
    <w:rsid w:val="00301207"/>
    <w:rsid w:val="003012A2"/>
    <w:rsid w:val="003014F6"/>
    <w:rsid w:val="00301B76"/>
    <w:rsid w:val="00301B89"/>
    <w:rsid w:val="00301B99"/>
    <w:rsid w:val="00301C22"/>
    <w:rsid w:val="003020C2"/>
    <w:rsid w:val="003023E1"/>
    <w:rsid w:val="0030240E"/>
    <w:rsid w:val="00302A89"/>
    <w:rsid w:val="00302AE2"/>
    <w:rsid w:val="00302C03"/>
    <w:rsid w:val="003030CC"/>
    <w:rsid w:val="00303359"/>
    <w:rsid w:val="003034A7"/>
    <w:rsid w:val="003034CD"/>
    <w:rsid w:val="00303536"/>
    <w:rsid w:val="0030360C"/>
    <w:rsid w:val="003036D9"/>
    <w:rsid w:val="00303766"/>
    <w:rsid w:val="0030380B"/>
    <w:rsid w:val="00303821"/>
    <w:rsid w:val="0030398B"/>
    <w:rsid w:val="0030398E"/>
    <w:rsid w:val="003039BF"/>
    <w:rsid w:val="00303A18"/>
    <w:rsid w:val="00303C40"/>
    <w:rsid w:val="0030400A"/>
    <w:rsid w:val="00304191"/>
    <w:rsid w:val="003047D3"/>
    <w:rsid w:val="00304920"/>
    <w:rsid w:val="00304C8F"/>
    <w:rsid w:val="00304CF2"/>
    <w:rsid w:val="00304D74"/>
    <w:rsid w:val="00304E25"/>
    <w:rsid w:val="00304F1E"/>
    <w:rsid w:val="00305209"/>
    <w:rsid w:val="00305394"/>
    <w:rsid w:val="0030542A"/>
    <w:rsid w:val="0030554A"/>
    <w:rsid w:val="00305600"/>
    <w:rsid w:val="00305797"/>
    <w:rsid w:val="003057DE"/>
    <w:rsid w:val="003060AC"/>
    <w:rsid w:val="00306425"/>
    <w:rsid w:val="00306667"/>
    <w:rsid w:val="003066F4"/>
    <w:rsid w:val="00306776"/>
    <w:rsid w:val="003068A3"/>
    <w:rsid w:val="00306998"/>
    <w:rsid w:val="003069BD"/>
    <w:rsid w:val="00306B95"/>
    <w:rsid w:val="00306CB1"/>
    <w:rsid w:val="00306E80"/>
    <w:rsid w:val="00306E96"/>
    <w:rsid w:val="00306F86"/>
    <w:rsid w:val="0030708C"/>
    <w:rsid w:val="0030710E"/>
    <w:rsid w:val="003076D2"/>
    <w:rsid w:val="00307DF7"/>
    <w:rsid w:val="0031022A"/>
    <w:rsid w:val="003104B8"/>
    <w:rsid w:val="00310955"/>
    <w:rsid w:val="00310983"/>
    <w:rsid w:val="00310986"/>
    <w:rsid w:val="00310A0B"/>
    <w:rsid w:val="00310A67"/>
    <w:rsid w:val="00310B5D"/>
    <w:rsid w:val="00310BE7"/>
    <w:rsid w:val="00310CD4"/>
    <w:rsid w:val="00310D58"/>
    <w:rsid w:val="00310DBC"/>
    <w:rsid w:val="00310FE3"/>
    <w:rsid w:val="0031105A"/>
    <w:rsid w:val="003110D5"/>
    <w:rsid w:val="003111DF"/>
    <w:rsid w:val="0031124A"/>
    <w:rsid w:val="0031124C"/>
    <w:rsid w:val="00311327"/>
    <w:rsid w:val="00311445"/>
    <w:rsid w:val="0031182F"/>
    <w:rsid w:val="00311B4A"/>
    <w:rsid w:val="00311B63"/>
    <w:rsid w:val="00312261"/>
    <w:rsid w:val="0031229E"/>
    <w:rsid w:val="003122EC"/>
    <w:rsid w:val="00312302"/>
    <w:rsid w:val="00312389"/>
    <w:rsid w:val="003123AA"/>
    <w:rsid w:val="0031246F"/>
    <w:rsid w:val="003124BD"/>
    <w:rsid w:val="003126E5"/>
    <w:rsid w:val="00312713"/>
    <w:rsid w:val="00312968"/>
    <w:rsid w:val="00312996"/>
    <w:rsid w:val="00312C21"/>
    <w:rsid w:val="00313131"/>
    <w:rsid w:val="003131B7"/>
    <w:rsid w:val="003132AB"/>
    <w:rsid w:val="0031334C"/>
    <w:rsid w:val="00313421"/>
    <w:rsid w:val="00313514"/>
    <w:rsid w:val="0031363E"/>
    <w:rsid w:val="00313A63"/>
    <w:rsid w:val="00313ACE"/>
    <w:rsid w:val="00313B75"/>
    <w:rsid w:val="00313E01"/>
    <w:rsid w:val="00313E03"/>
    <w:rsid w:val="00313E5D"/>
    <w:rsid w:val="00313F85"/>
    <w:rsid w:val="0031415E"/>
    <w:rsid w:val="00314302"/>
    <w:rsid w:val="003143B0"/>
    <w:rsid w:val="003144C0"/>
    <w:rsid w:val="003146CB"/>
    <w:rsid w:val="003147D4"/>
    <w:rsid w:val="003147D7"/>
    <w:rsid w:val="00314AB9"/>
    <w:rsid w:val="00314BC5"/>
    <w:rsid w:val="00314F5C"/>
    <w:rsid w:val="00314FE9"/>
    <w:rsid w:val="00315024"/>
    <w:rsid w:val="00315097"/>
    <w:rsid w:val="00315359"/>
    <w:rsid w:val="003159C7"/>
    <w:rsid w:val="00315B03"/>
    <w:rsid w:val="00315B09"/>
    <w:rsid w:val="00315F05"/>
    <w:rsid w:val="00315F88"/>
    <w:rsid w:val="00315FAA"/>
    <w:rsid w:val="003162C0"/>
    <w:rsid w:val="003162E1"/>
    <w:rsid w:val="00316382"/>
    <w:rsid w:val="0031656C"/>
    <w:rsid w:val="003169A6"/>
    <w:rsid w:val="00316AAE"/>
    <w:rsid w:val="00316CBF"/>
    <w:rsid w:val="00316EDD"/>
    <w:rsid w:val="00317052"/>
    <w:rsid w:val="003173A5"/>
    <w:rsid w:val="003173E2"/>
    <w:rsid w:val="0031749B"/>
    <w:rsid w:val="0031757A"/>
    <w:rsid w:val="003178DD"/>
    <w:rsid w:val="0031799A"/>
    <w:rsid w:val="00317A56"/>
    <w:rsid w:val="00317CEC"/>
    <w:rsid w:val="003207B3"/>
    <w:rsid w:val="0032094E"/>
    <w:rsid w:val="00320A36"/>
    <w:rsid w:val="00320D99"/>
    <w:rsid w:val="00321194"/>
    <w:rsid w:val="003213EF"/>
    <w:rsid w:val="003214C3"/>
    <w:rsid w:val="003215A6"/>
    <w:rsid w:val="00321795"/>
    <w:rsid w:val="003217A1"/>
    <w:rsid w:val="00321C91"/>
    <w:rsid w:val="00321CA0"/>
    <w:rsid w:val="00321CF5"/>
    <w:rsid w:val="00321EAC"/>
    <w:rsid w:val="00322044"/>
    <w:rsid w:val="0032211D"/>
    <w:rsid w:val="0032218C"/>
    <w:rsid w:val="003221D4"/>
    <w:rsid w:val="003221DB"/>
    <w:rsid w:val="00322468"/>
    <w:rsid w:val="003224D1"/>
    <w:rsid w:val="003226E0"/>
    <w:rsid w:val="00322911"/>
    <w:rsid w:val="003229A2"/>
    <w:rsid w:val="00322A2F"/>
    <w:rsid w:val="00322CE7"/>
    <w:rsid w:val="00322DF3"/>
    <w:rsid w:val="0032316D"/>
    <w:rsid w:val="00323215"/>
    <w:rsid w:val="003232A1"/>
    <w:rsid w:val="00323394"/>
    <w:rsid w:val="0032353C"/>
    <w:rsid w:val="003235F4"/>
    <w:rsid w:val="003236CA"/>
    <w:rsid w:val="00323868"/>
    <w:rsid w:val="00323935"/>
    <w:rsid w:val="00323A7D"/>
    <w:rsid w:val="00323C11"/>
    <w:rsid w:val="00323D9F"/>
    <w:rsid w:val="00323DCA"/>
    <w:rsid w:val="00323EA0"/>
    <w:rsid w:val="0032403F"/>
    <w:rsid w:val="003241CF"/>
    <w:rsid w:val="00324229"/>
    <w:rsid w:val="0032478E"/>
    <w:rsid w:val="003248B5"/>
    <w:rsid w:val="00324A05"/>
    <w:rsid w:val="00324A11"/>
    <w:rsid w:val="00324AFD"/>
    <w:rsid w:val="00324F15"/>
    <w:rsid w:val="003252E8"/>
    <w:rsid w:val="003254A8"/>
    <w:rsid w:val="003255A4"/>
    <w:rsid w:val="00325837"/>
    <w:rsid w:val="0032591B"/>
    <w:rsid w:val="00325987"/>
    <w:rsid w:val="00325B5E"/>
    <w:rsid w:val="00325B9F"/>
    <w:rsid w:val="00325DB6"/>
    <w:rsid w:val="00325E4D"/>
    <w:rsid w:val="003261DF"/>
    <w:rsid w:val="00326334"/>
    <w:rsid w:val="003263B0"/>
    <w:rsid w:val="003263BD"/>
    <w:rsid w:val="0032648B"/>
    <w:rsid w:val="00326499"/>
    <w:rsid w:val="00326583"/>
    <w:rsid w:val="00326AB1"/>
    <w:rsid w:val="00326B1E"/>
    <w:rsid w:val="00326BC9"/>
    <w:rsid w:val="00326BD4"/>
    <w:rsid w:val="00326CAB"/>
    <w:rsid w:val="00326E1D"/>
    <w:rsid w:val="00326E75"/>
    <w:rsid w:val="003272DA"/>
    <w:rsid w:val="00327612"/>
    <w:rsid w:val="003276A1"/>
    <w:rsid w:val="003279AB"/>
    <w:rsid w:val="00327A23"/>
    <w:rsid w:val="00327DBE"/>
    <w:rsid w:val="00327DCB"/>
    <w:rsid w:val="003301EE"/>
    <w:rsid w:val="00330250"/>
    <w:rsid w:val="0033075B"/>
    <w:rsid w:val="00330D29"/>
    <w:rsid w:val="00330D87"/>
    <w:rsid w:val="00330F20"/>
    <w:rsid w:val="003311DE"/>
    <w:rsid w:val="003311FA"/>
    <w:rsid w:val="003312DA"/>
    <w:rsid w:val="003313CD"/>
    <w:rsid w:val="003314E3"/>
    <w:rsid w:val="00331565"/>
    <w:rsid w:val="00331639"/>
    <w:rsid w:val="003316F1"/>
    <w:rsid w:val="003319B6"/>
    <w:rsid w:val="00331AC0"/>
    <w:rsid w:val="00331BD0"/>
    <w:rsid w:val="00331CBE"/>
    <w:rsid w:val="003320E0"/>
    <w:rsid w:val="0033223D"/>
    <w:rsid w:val="003322CA"/>
    <w:rsid w:val="00332417"/>
    <w:rsid w:val="00332683"/>
    <w:rsid w:val="00332694"/>
    <w:rsid w:val="0033277F"/>
    <w:rsid w:val="003329B1"/>
    <w:rsid w:val="00332BF9"/>
    <w:rsid w:val="00332D8E"/>
    <w:rsid w:val="00332DE1"/>
    <w:rsid w:val="00332E39"/>
    <w:rsid w:val="00332EDB"/>
    <w:rsid w:val="00332FF8"/>
    <w:rsid w:val="0033305D"/>
    <w:rsid w:val="003330AF"/>
    <w:rsid w:val="00333106"/>
    <w:rsid w:val="0033334D"/>
    <w:rsid w:val="00333589"/>
    <w:rsid w:val="00333710"/>
    <w:rsid w:val="0033381E"/>
    <w:rsid w:val="00333862"/>
    <w:rsid w:val="00333AA6"/>
    <w:rsid w:val="00334090"/>
    <w:rsid w:val="0033423F"/>
    <w:rsid w:val="0033424C"/>
    <w:rsid w:val="003344D3"/>
    <w:rsid w:val="00334624"/>
    <w:rsid w:val="0033465D"/>
    <w:rsid w:val="003346DB"/>
    <w:rsid w:val="0033482E"/>
    <w:rsid w:val="00334FF1"/>
    <w:rsid w:val="00335014"/>
    <w:rsid w:val="00335184"/>
    <w:rsid w:val="0033527C"/>
    <w:rsid w:val="00335412"/>
    <w:rsid w:val="00335487"/>
    <w:rsid w:val="00335558"/>
    <w:rsid w:val="0033557A"/>
    <w:rsid w:val="00335606"/>
    <w:rsid w:val="00335731"/>
    <w:rsid w:val="00335B19"/>
    <w:rsid w:val="00335CB1"/>
    <w:rsid w:val="00335D3B"/>
    <w:rsid w:val="00335EA9"/>
    <w:rsid w:val="00335F17"/>
    <w:rsid w:val="00335F18"/>
    <w:rsid w:val="003360CB"/>
    <w:rsid w:val="0033658C"/>
    <w:rsid w:val="003366B5"/>
    <w:rsid w:val="00336724"/>
    <w:rsid w:val="00336930"/>
    <w:rsid w:val="0033693E"/>
    <w:rsid w:val="00336A02"/>
    <w:rsid w:val="00336AA5"/>
    <w:rsid w:val="00336B98"/>
    <w:rsid w:val="00336C0B"/>
    <w:rsid w:val="00337016"/>
    <w:rsid w:val="0033764B"/>
    <w:rsid w:val="00337672"/>
    <w:rsid w:val="00337BCC"/>
    <w:rsid w:val="00337CA4"/>
    <w:rsid w:val="00340021"/>
    <w:rsid w:val="0034004F"/>
    <w:rsid w:val="00340085"/>
    <w:rsid w:val="003400E6"/>
    <w:rsid w:val="00340162"/>
    <w:rsid w:val="003401F4"/>
    <w:rsid w:val="0034032E"/>
    <w:rsid w:val="003403F9"/>
    <w:rsid w:val="00340492"/>
    <w:rsid w:val="00340498"/>
    <w:rsid w:val="003404B9"/>
    <w:rsid w:val="003405DF"/>
    <w:rsid w:val="00340823"/>
    <w:rsid w:val="00340879"/>
    <w:rsid w:val="003409EE"/>
    <w:rsid w:val="00340AB2"/>
    <w:rsid w:val="00340ACB"/>
    <w:rsid w:val="00340BA4"/>
    <w:rsid w:val="00340BB5"/>
    <w:rsid w:val="00340BF7"/>
    <w:rsid w:val="00340C40"/>
    <w:rsid w:val="00340FDC"/>
    <w:rsid w:val="00341086"/>
    <w:rsid w:val="00341245"/>
    <w:rsid w:val="0034124C"/>
    <w:rsid w:val="0034126F"/>
    <w:rsid w:val="003413E9"/>
    <w:rsid w:val="003414F7"/>
    <w:rsid w:val="00341745"/>
    <w:rsid w:val="00341807"/>
    <w:rsid w:val="00341F2E"/>
    <w:rsid w:val="003422A4"/>
    <w:rsid w:val="00342542"/>
    <w:rsid w:val="00342547"/>
    <w:rsid w:val="00342557"/>
    <w:rsid w:val="003425DD"/>
    <w:rsid w:val="0034270F"/>
    <w:rsid w:val="00342960"/>
    <w:rsid w:val="003429FA"/>
    <w:rsid w:val="003429FC"/>
    <w:rsid w:val="00342AC7"/>
    <w:rsid w:val="00342B2E"/>
    <w:rsid w:val="00342D4B"/>
    <w:rsid w:val="00342F89"/>
    <w:rsid w:val="00342FF9"/>
    <w:rsid w:val="00343346"/>
    <w:rsid w:val="0034343D"/>
    <w:rsid w:val="003435D3"/>
    <w:rsid w:val="0034363A"/>
    <w:rsid w:val="0034374F"/>
    <w:rsid w:val="003437C8"/>
    <w:rsid w:val="00343818"/>
    <w:rsid w:val="00343BCE"/>
    <w:rsid w:val="00343CE3"/>
    <w:rsid w:val="003440C1"/>
    <w:rsid w:val="00344188"/>
    <w:rsid w:val="00344400"/>
    <w:rsid w:val="003444E7"/>
    <w:rsid w:val="0034479B"/>
    <w:rsid w:val="003447A1"/>
    <w:rsid w:val="00344824"/>
    <w:rsid w:val="003448ED"/>
    <w:rsid w:val="003449F2"/>
    <w:rsid w:val="00344A1C"/>
    <w:rsid w:val="00344E5F"/>
    <w:rsid w:val="00344F63"/>
    <w:rsid w:val="003450FA"/>
    <w:rsid w:val="00345286"/>
    <w:rsid w:val="00345440"/>
    <w:rsid w:val="00345A0A"/>
    <w:rsid w:val="00345BAD"/>
    <w:rsid w:val="00345BCC"/>
    <w:rsid w:val="00345C2C"/>
    <w:rsid w:val="00345CD8"/>
    <w:rsid w:val="00345FF2"/>
    <w:rsid w:val="0034604A"/>
    <w:rsid w:val="0034639F"/>
    <w:rsid w:val="0034672E"/>
    <w:rsid w:val="00346744"/>
    <w:rsid w:val="003468C7"/>
    <w:rsid w:val="00346B3F"/>
    <w:rsid w:val="00346BC8"/>
    <w:rsid w:val="00346C52"/>
    <w:rsid w:val="00346CDD"/>
    <w:rsid w:val="00346D52"/>
    <w:rsid w:val="00346DFB"/>
    <w:rsid w:val="00346E69"/>
    <w:rsid w:val="00346EF6"/>
    <w:rsid w:val="003475BE"/>
    <w:rsid w:val="00347819"/>
    <w:rsid w:val="00347956"/>
    <w:rsid w:val="00347B18"/>
    <w:rsid w:val="00347C45"/>
    <w:rsid w:val="00347D58"/>
    <w:rsid w:val="00347DAC"/>
    <w:rsid w:val="00347E1D"/>
    <w:rsid w:val="00347EB2"/>
    <w:rsid w:val="00347F41"/>
    <w:rsid w:val="00350054"/>
    <w:rsid w:val="0035008F"/>
    <w:rsid w:val="00350166"/>
    <w:rsid w:val="00350185"/>
    <w:rsid w:val="00350245"/>
    <w:rsid w:val="0035030F"/>
    <w:rsid w:val="003503C0"/>
    <w:rsid w:val="003505EA"/>
    <w:rsid w:val="003506F2"/>
    <w:rsid w:val="00350796"/>
    <w:rsid w:val="00350809"/>
    <w:rsid w:val="00350BF1"/>
    <w:rsid w:val="00350C95"/>
    <w:rsid w:val="00350D88"/>
    <w:rsid w:val="00350DEB"/>
    <w:rsid w:val="00351273"/>
    <w:rsid w:val="00351506"/>
    <w:rsid w:val="0035155D"/>
    <w:rsid w:val="00351612"/>
    <w:rsid w:val="003516DC"/>
    <w:rsid w:val="00351834"/>
    <w:rsid w:val="003518D2"/>
    <w:rsid w:val="00351BF5"/>
    <w:rsid w:val="00351D1A"/>
    <w:rsid w:val="00351E39"/>
    <w:rsid w:val="00351EBA"/>
    <w:rsid w:val="00351F26"/>
    <w:rsid w:val="00351F2F"/>
    <w:rsid w:val="003520E9"/>
    <w:rsid w:val="0035217C"/>
    <w:rsid w:val="00352757"/>
    <w:rsid w:val="00352832"/>
    <w:rsid w:val="0035285D"/>
    <w:rsid w:val="00352899"/>
    <w:rsid w:val="00352D75"/>
    <w:rsid w:val="00352DD6"/>
    <w:rsid w:val="00352EF7"/>
    <w:rsid w:val="003530FD"/>
    <w:rsid w:val="00353101"/>
    <w:rsid w:val="00353106"/>
    <w:rsid w:val="0035323B"/>
    <w:rsid w:val="003532A2"/>
    <w:rsid w:val="0035351F"/>
    <w:rsid w:val="0035353E"/>
    <w:rsid w:val="003538AC"/>
    <w:rsid w:val="00353914"/>
    <w:rsid w:val="00353CB9"/>
    <w:rsid w:val="00353E97"/>
    <w:rsid w:val="00353ECA"/>
    <w:rsid w:val="00353F9F"/>
    <w:rsid w:val="0035400F"/>
    <w:rsid w:val="003540A9"/>
    <w:rsid w:val="00354113"/>
    <w:rsid w:val="003541A9"/>
    <w:rsid w:val="003541AF"/>
    <w:rsid w:val="003541F7"/>
    <w:rsid w:val="00354301"/>
    <w:rsid w:val="003543B8"/>
    <w:rsid w:val="0035458C"/>
    <w:rsid w:val="00354715"/>
    <w:rsid w:val="0035471B"/>
    <w:rsid w:val="0035477D"/>
    <w:rsid w:val="00354C65"/>
    <w:rsid w:val="00354D49"/>
    <w:rsid w:val="00354E4F"/>
    <w:rsid w:val="00354F0A"/>
    <w:rsid w:val="003552DD"/>
    <w:rsid w:val="00355411"/>
    <w:rsid w:val="0035542D"/>
    <w:rsid w:val="00355439"/>
    <w:rsid w:val="00355580"/>
    <w:rsid w:val="003555DB"/>
    <w:rsid w:val="003557AF"/>
    <w:rsid w:val="00355A48"/>
    <w:rsid w:val="00355C02"/>
    <w:rsid w:val="00355D84"/>
    <w:rsid w:val="00355F9D"/>
    <w:rsid w:val="00355FD9"/>
    <w:rsid w:val="00356259"/>
    <w:rsid w:val="003564A4"/>
    <w:rsid w:val="003565C6"/>
    <w:rsid w:val="00356657"/>
    <w:rsid w:val="00356819"/>
    <w:rsid w:val="003569D0"/>
    <w:rsid w:val="00356A82"/>
    <w:rsid w:val="00356DE3"/>
    <w:rsid w:val="00356F10"/>
    <w:rsid w:val="00356F43"/>
    <w:rsid w:val="00356F7B"/>
    <w:rsid w:val="00357033"/>
    <w:rsid w:val="00357117"/>
    <w:rsid w:val="00357202"/>
    <w:rsid w:val="00357302"/>
    <w:rsid w:val="003574D5"/>
    <w:rsid w:val="003574FD"/>
    <w:rsid w:val="00357584"/>
    <w:rsid w:val="00357692"/>
    <w:rsid w:val="00357752"/>
    <w:rsid w:val="00357844"/>
    <w:rsid w:val="00357AD5"/>
    <w:rsid w:val="00357BE8"/>
    <w:rsid w:val="00357CC5"/>
    <w:rsid w:val="00357F3E"/>
    <w:rsid w:val="003602E5"/>
    <w:rsid w:val="00360333"/>
    <w:rsid w:val="003603EC"/>
    <w:rsid w:val="0036053C"/>
    <w:rsid w:val="003608A9"/>
    <w:rsid w:val="00360AA6"/>
    <w:rsid w:val="00360C15"/>
    <w:rsid w:val="00360D38"/>
    <w:rsid w:val="00360E3F"/>
    <w:rsid w:val="00361108"/>
    <w:rsid w:val="00361231"/>
    <w:rsid w:val="00361444"/>
    <w:rsid w:val="003616A3"/>
    <w:rsid w:val="00361781"/>
    <w:rsid w:val="00361977"/>
    <w:rsid w:val="00361A36"/>
    <w:rsid w:val="00361A4F"/>
    <w:rsid w:val="00361B54"/>
    <w:rsid w:val="00361B7F"/>
    <w:rsid w:val="00361D39"/>
    <w:rsid w:val="003620EF"/>
    <w:rsid w:val="003621EC"/>
    <w:rsid w:val="003622A2"/>
    <w:rsid w:val="003624A3"/>
    <w:rsid w:val="003625A2"/>
    <w:rsid w:val="003625B5"/>
    <w:rsid w:val="00362799"/>
    <w:rsid w:val="003627AC"/>
    <w:rsid w:val="00362802"/>
    <w:rsid w:val="00362957"/>
    <w:rsid w:val="00362A1B"/>
    <w:rsid w:val="00362BC6"/>
    <w:rsid w:val="00362BCE"/>
    <w:rsid w:val="00362BF3"/>
    <w:rsid w:val="00362C19"/>
    <w:rsid w:val="00362DA9"/>
    <w:rsid w:val="00362F49"/>
    <w:rsid w:val="003632D5"/>
    <w:rsid w:val="003636C9"/>
    <w:rsid w:val="00363972"/>
    <w:rsid w:val="00363A11"/>
    <w:rsid w:val="00363A8B"/>
    <w:rsid w:val="00363C34"/>
    <w:rsid w:val="00363D19"/>
    <w:rsid w:val="00363EB6"/>
    <w:rsid w:val="00363EE3"/>
    <w:rsid w:val="003642F8"/>
    <w:rsid w:val="003643D0"/>
    <w:rsid w:val="00364684"/>
    <w:rsid w:val="00364710"/>
    <w:rsid w:val="00364726"/>
    <w:rsid w:val="003647E2"/>
    <w:rsid w:val="003648F2"/>
    <w:rsid w:val="003649B3"/>
    <w:rsid w:val="003649EF"/>
    <w:rsid w:val="00364B5C"/>
    <w:rsid w:val="00364F1F"/>
    <w:rsid w:val="003650A6"/>
    <w:rsid w:val="0036587B"/>
    <w:rsid w:val="003659AA"/>
    <w:rsid w:val="003659D2"/>
    <w:rsid w:val="00365A03"/>
    <w:rsid w:val="00365A9F"/>
    <w:rsid w:val="00365AC9"/>
    <w:rsid w:val="00365CD1"/>
    <w:rsid w:val="00365E1F"/>
    <w:rsid w:val="00365F90"/>
    <w:rsid w:val="0036600D"/>
    <w:rsid w:val="0036620B"/>
    <w:rsid w:val="003662C5"/>
    <w:rsid w:val="00366303"/>
    <w:rsid w:val="00366416"/>
    <w:rsid w:val="00366552"/>
    <w:rsid w:val="00366990"/>
    <w:rsid w:val="00366A50"/>
    <w:rsid w:val="00366BE6"/>
    <w:rsid w:val="00366F1E"/>
    <w:rsid w:val="00366F7B"/>
    <w:rsid w:val="0036718D"/>
    <w:rsid w:val="00367225"/>
    <w:rsid w:val="00367242"/>
    <w:rsid w:val="00367352"/>
    <w:rsid w:val="00367369"/>
    <w:rsid w:val="003673CA"/>
    <w:rsid w:val="0036742C"/>
    <w:rsid w:val="00367522"/>
    <w:rsid w:val="00367604"/>
    <w:rsid w:val="00367660"/>
    <w:rsid w:val="00367732"/>
    <w:rsid w:val="003677B5"/>
    <w:rsid w:val="00367975"/>
    <w:rsid w:val="00367B35"/>
    <w:rsid w:val="00367B75"/>
    <w:rsid w:val="00367D5F"/>
    <w:rsid w:val="00367F6E"/>
    <w:rsid w:val="00367F76"/>
    <w:rsid w:val="00370071"/>
    <w:rsid w:val="00370255"/>
    <w:rsid w:val="00370325"/>
    <w:rsid w:val="0037062A"/>
    <w:rsid w:val="00370A8F"/>
    <w:rsid w:val="00370B6A"/>
    <w:rsid w:val="00370C93"/>
    <w:rsid w:val="00370ED4"/>
    <w:rsid w:val="00370ED5"/>
    <w:rsid w:val="003710CC"/>
    <w:rsid w:val="00371287"/>
    <w:rsid w:val="0037156E"/>
    <w:rsid w:val="003716BF"/>
    <w:rsid w:val="003716D8"/>
    <w:rsid w:val="0037187B"/>
    <w:rsid w:val="00371A59"/>
    <w:rsid w:val="00371AC6"/>
    <w:rsid w:val="00371BAF"/>
    <w:rsid w:val="00371C67"/>
    <w:rsid w:val="0037204D"/>
    <w:rsid w:val="003723E7"/>
    <w:rsid w:val="0037240E"/>
    <w:rsid w:val="003727A3"/>
    <w:rsid w:val="00372884"/>
    <w:rsid w:val="00372905"/>
    <w:rsid w:val="00373388"/>
    <w:rsid w:val="00373667"/>
    <w:rsid w:val="00373713"/>
    <w:rsid w:val="00373AAE"/>
    <w:rsid w:val="00373B33"/>
    <w:rsid w:val="00373C3E"/>
    <w:rsid w:val="00373CEA"/>
    <w:rsid w:val="00373DD9"/>
    <w:rsid w:val="00373F2E"/>
    <w:rsid w:val="00374095"/>
    <w:rsid w:val="00374264"/>
    <w:rsid w:val="00374288"/>
    <w:rsid w:val="00374299"/>
    <w:rsid w:val="00374690"/>
    <w:rsid w:val="003746B2"/>
    <w:rsid w:val="00374774"/>
    <w:rsid w:val="00374799"/>
    <w:rsid w:val="003747E3"/>
    <w:rsid w:val="00374A90"/>
    <w:rsid w:val="00374E96"/>
    <w:rsid w:val="00374E9E"/>
    <w:rsid w:val="00374ECC"/>
    <w:rsid w:val="00374F71"/>
    <w:rsid w:val="00375003"/>
    <w:rsid w:val="003750F7"/>
    <w:rsid w:val="003755B6"/>
    <w:rsid w:val="0037578D"/>
    <w:rsid w:val="00375AD0"/>
    <w:rsid w:val="00375B4E"/>
    <w:rsid w:val="00375BEB"/>
    <w:rsid w:val="00375FED"/>
    <w:rsid w:val="00376027"/>
    <w:rsid w:val="00376336"/>
    <w:rsid w:val="0037635A"/>
    <w:rsid w:val="00376487"/>
    <w:rsid w:val="00376531"/>
    <w:rsid w:val="0037666C"/>
    <w:rsid w:val="00376672"/>
    <w:rsid w:val="0037696B"/>
    <w:rsid w:val="00376973"/>
    <w:rsid w:val="00376C3D"/>
    <w:rsid w:val="00376D46"/>
    <w:rsid w:val="00376F67"/>
    <w:rsid w:val="00376F8C"/>
    <w:rsid w:val="003771E9"/>
    <w:rsid w:val="0037754A"/>
    <w:rsid w:val="00377591"/>
    <w:rsid w:val="003775BD"/>
    <w:rsid w:val="0037779C"/>
    <w:rsid w:val="00377940"/>
    <w:rsid w:val="003779F4"/>
    <w:rsid w:val="00377AF4"/>
    <w:rsid w:val="00377BEF"/>
    <w:rsid w:val="00377D7B"/>
    <w:rsid w:val="00377F74"/>
    <w:rsid w:val="00377FC7"/>
    <w:rsid w:val="00380154"/>
    <w:rsid w:val="00380731"/>
    <w:rsid w:val="00380C0D"/>
    <w:rsid w:val="00380D7B"/>
    <w:rsid w:val="00380E80"/>
    <w:rsid w:val="00380F18"/>
    <w:rsid w:val="00380F9F"/>
    <w:rsid w:val="00381015"/>
    <w:rsid w:val="003811D9"/>
    <w:rsid w:val="003811FE"/>
    <w:rsid w:val="00381482"/>
    <w:rsid w:val="0038149F"/>
    <w:rsid w:val="003815F9"/>
    <w:rsid w:val="00381693"/>
    <w:rsid w:val="00381699"/>
    <w:rsid w:val="00381775"/>
    <w:rsid w:val="00381888"/>
    <w:rsid w:val="003818AE"/>
    <w:rsid w:val="00381A40"/>
    <w:rsid w:val="00381CD2"/>
    <w:rsid w:val="00381F4A"/>
    <w:rsid w:val="00381F5B"/>
    <w:rsid w:val="00381F6C"/>
    <w:rsid w:val="0038226B"/>
    <w:rsid w:val="0038269F"/>
    <w:rsid w:val="003827CB"/>
    <w:rsid w:val="003828F4"/>
    <w:rsid w:val="003828FC"/>
    <w:rsid w:val="003829A2"/>
    <w:rsid w:val="00382A66"/>
    <w:rsid w:val="00382ABE"/>
    <w:rsid w:val="00382B61"/>
    <w:rsid w:val="00382B8D"/>
    <w:rsid w:val="00382C32"/>
    <w:rsid w:val="00382CD2"/>
    <w:rsid w:val="00382CE7"/>
    <w:rsid w:val="00382DD9"/>
    <w:rsid w:val="00382DF5"/>
    <w:rsid w:val="00382E2E"/>
    <w:rsid w:val="00383094"/>
    <w:rsid w:val="00383122"/>
    <w:rsid w:val="00383271"/>
    <w:rsid w:val="0038329C"/>
    <w:rsid w:val="003832EC"/>
    <w:rsid w:val="0038335F"/>
    <w:rsid w:val="00383366"/>
    <w:rsid w:val="003834B9"/>
    <w:rsid w:val="003834FE"/>
    <w:rsid w:val="003835B8"/>
    <w:rsid w:val="0038383D"/>
    <w:rsid w:val="0038399F"/>
    <w:rsid w:val="00383B73"/>
    <w:rsid w:val="00383D14"/>
    <w:rsid w:val="00383D41"/>
    <w:rsid w:val="00383E14"/>
    <w:rsid w:val="00383F5A"/>
    <w:rsid w:val="0038401F"/>
    <w:rsid w:val="00384197"/>
    <w:rsid w:val="003841F1"/>
    <w:rsid w:val="00384235"/>
    <w:rsid w:val="0038428E"/>
    <w:rsid w:val="003842E0"/>
    <w:rsid w:val="00384513"/>
    <w:rsid w:val="0038456B"/>
    <w:rsid w:val="0038483A"/>
    <w:rsid w:val="0038485D"/>
    <w:rsid w:val="00384D36"/>
    <w:rsid w:val="00384DCB"/>
    <w:rsid w:val="00384EEC"/>
    <w:rsid w:val="00384FF9"/>
    <w:rsid w:val="003851D4"/>
    <w:rsid w:val="003853CA"/>
    <w:rsid w:val="00385598"/>
    <w:rsid w:val="00385722"/>
    <w:rsid w:val="00385880"/>
    <w:rsid w:val="00385E6F"/>
    <w:rsid w:val="00385F50"/>
    <w:rsid w:val="00386055"/>
    <w:rsid w:val="0038610C"/>
    <w:rsid w:val="00386215"/>
    <w:rsid w:val="00386224"/>
    <w:rsid w:val="0038627C"/>
    <w:rsid w:val="00386573"/>
    <w:rsid w:val="0038661C"/>
    <w:rsid w:val="003867DF"/>
    <w:rsid w:val="00386859"/>
    <w:rsid w:val="00386932"/>
    <w:rsid w:val="00386A47"/>
    <w:rsid w:val="00386B03"/>
    <w:rsid w:val="00386C58"/>
    <w:rsid w:val="00386CC9"/>
    <w:rsid w:val="00386F8D"/>
    <w:rsid w:val="003870FF"/>
    <w:rsid w:val="00387108"/>
    <w:rsid w:val="00387244"/>
    <w:rsid w:val="00387248"/>
    <w:rsid w:val="003872C4"/>
    <w:rsid w:val="00387655"/>
    <w:rsid w:val="00387798"/>
    <w:rsid w:val="003877C6"/>
    <w:rsid w:val="003877FB"/>
    <w:rsid w:val="00387834"/>
    <w:rsid w:val="00387888"/>
    <w:rsid w:val="00387B40"/>
    <w:rsid w:val="00387C76"/>
    <w:rsid w:val="00387C8E"/>
    <w:rsid w:val="00387C9D"/>
    <w:rsid w:val="00387D1A"/>
    <w:rsid w:val="00387DC6"/>
    <w:rsid w:val="00387F13"/>
    <w:rsid w:val="00390181"/>
    <w:rsid w:val="00390481"/>
    <w:rsid w:val="003905AF"/>
    <w:rsid w:val="0039073F"/>
    <w:rsid w:val="0039076D"/>
    <w:rsid w:val="00390D71"/>
    <w:rsid w:val="00390E1F"/>
    <w:rsid w:val="00390E36"/>
    <w:rsid w:val="003910F8"/>
    <w:rsid w:val="003913B8"/>
    <w:rsid w:val="00391410"/>
    <w:rsid w:val="003914AF"/>
    <w:rsid w:val="0039153F"/>
    <w:rsid w:val="0039166E"/>
    <w:rsid w:val="00391691"/>
    <w:rsid w:val="00391833"/>
    <w:rsid w:val="003918CA"/>
    <w:rsid w:val="00391A11"/>
    <w:rsid w:val="00391A8D"/>
    <w:rsid w:val="00391AC6"/>
    <w:rsid w:val="00391BC8"/>
    <w:rsid w:val="00391C44"/>
    <w:rsid w:val="00391C98"/>
    <w:rsid w:val="00391CAA"/>
    <w:rsid w:val="00391D56"/>
    <w:rsid w:val="00391D5D"/>
    <w:rsid w:val="00391E64"/>
    <w:rsid w:val="00391F5E"/>
    <w:rsid w:val="00391FBE"/>
    <w:rsid w:val="003924ED"/>
    <w:rsid w:val="00392711"/>
    <w:rsid w:val="0039283F"/>
    <w:rsid w:val="003928A0"/>
    <w:rsid w:val="003929C3"/>
    <w:rsid w:val="00392B52"/>
    <w:rsid w:val="00392C6C"/>
    <w:rsid w:val="00392DDF"/>
    <w:rsid w:val="00393179"/>
    <w:rsid w:val="00393224"/>
    <w:rsid w:val="0039324B"/>
    <w:rsid w:val="003932B4"/>
    <w:rsid w:val="0039346E"/>
    <w:rsid w:val="00393527"/>
    <w:rsid w:val="00393565"/>
    <w:rsid w:val="00393570"/>
    <w:rsid w:val="003935B1"/>
    <w:rsid w:val="0039362C"/>
    <w:rsid w:val="00393649"/>
    <w:rsid w:val="0039379E"/>
    <w:rsid w:val="00393866"/>
    <w:rsid w:val="003938CE"/>
    <w:rsid w:val="00393AB1"/>
    <w:rsid w:val="00393CCC"/>
    <w:rsid w:val="00393D50"/>
    <w:rsid w:val="00393EFF"/>
    <w:rsid w:val="0039406C"/>
    <w:rsid w:val="00394479"/>
    <w:rsid w:val="003944F1"/>
    <w:rsid w:val="0039452E"/>
    <w:rsid w:val="003948FD"/>
    <w:rsid w:val="00394FE3"/>
    <w:rsid w:val="003950A6"/>
    <w:rsid w:val="0039528B"/>
    <w:rsid w:val="003953AE"/>
    <w:rsid w:val="003954D8"/>
    <w:rsid w:val="0039594C"/>
    <w:rsid w:val="00395B57"/>
    <w:rsid w:val="00395C3E"/>
    <w:rsid w:val="00395E9F"/>
    <w:rsid w:val="00395F5B"/>
    <w:rsid w:val="003960F2"/>
    <w:rsid w:val="00396259"/>
    <w:rsid w:val="003965AC"/>
    <w:rsid w:val="00396689"/>
    <w:rsid w:val="00396776"/>
    <w:rsid w:val="00396A4E"/>
    <w:rsid w:val="00396B5F"/>
    <w:rsid w:val="00396C71"/>
    <w:rsid w:val="00396CA0"/>
    <w:rsid w:val="00396FD1"/>
    <w:rsid w:val="00397033"/>
    <w:rsid w:val="003972ED"/>
    <w:rsid w:val="00397312"/>
    <w:rsid w:val="003974D2"/>
    <w:rsid w:val="003974E9"/>
    <w:rsid w:val="00397842"/>
    <w:rsid w:val="003979F4"/>
    <w:rsid w:val="00397BB1"/>
    <w:rsid w:val="00397C2D"/>
    <w:rsid w:val="00397E55"/>
    <w:rsid w:val="00397F66"/>
    <w:rsid w:val="003A0249"/>
    <w:rsid w:val="003A03BB"/>
    <w:rsid w:val="003A0491"/>
    <w:rsid w:val="003A06F5"/>
    <w:rsid w:val="003A0911"/>
    <w:rsid w:val="003A09B6"/>
    <w:rsid w:val="003A100A"/>
    <w:rsid w:val="003A1037"/>
    <w:rsid w:val="003A1116"/>
    <w:rsid w:val="003A12F6"/>
    <w:rsid w:val="003A15DD"/>
    <w:rsid w:val="003A163B"/>
    <w:rsid w:val="003A167F"/>
    <w:rsid w:val="003A16AD"/>
    <w:rsid w:val="003A17B2"/>
    <w:rsid w:val="003A19B2"/>
    <w:rsid w:val="003A1C38"/>
    <w:rsid w:val="003A1D2F"/>
    <w:rsid w:val="003A1EF0"/>
    <w:rsid w:val="003A1F60"/>
    <w:rsid w:val="003A1F68"/>
    <w:rsid w:val="003A226D"/>
    <w:rsid w:val="003A24A8"/>
    <w:rsid w:val="003A2528"/>
    <w:rsid w:val="003A2644"/>
    <w:rsid w:val="003A297D"/>
    <w:rsid w:val="003A2A6E"/>
    <w:rsid w:val="003A2A77"/>
    <w:rsid w:val="003A2B7B"/>
    <w:rsid w:val="003A2C0F"/>
    <w:rsid w:val="003A2CD8"/>
    <w:rsid w:val="003A2DE5"/>
    <w:rsid w:val="003A2E4F"/>
    <w:rsid w:val="003A2E7B"/>
    <w:rsid w:val="003A2F73"/>
    <w:rsid w:val="003A2FD9"/>
    <w:rsid w:val="003A3078"/>
    <w:rsid w:val="003A31AB"/>
    <w:rsid w:val="003A31E2"/>
    <w:rsid w:val="003A3325"/>
    <w:rsid w:val="003A3482"/>
    <w:rsid w:val="003A3A3C"/>
    <w:rsid w:val="003A3A50"/>
    <w:rsid w:val="003A3A51"/>
    <w:rsid w:val="003A3BA3"/>
    <w:rsid w:val="003A3C4A"/>
    <w:rsid w:val="003A3CD2"/>
    <w:rsid w:val="003A3DA3"/>
    <w:rsid w:val="003A3FAC"/>
    <w:rsid w:val="003A4020"/>
    <w:rsid w:val="003A41D5"/>
    <w:rsid w:val="003A41E6"/>
    <w:rsid w:val="003A4675"/>
    <w:rsid w:val="003A4749"/>
    <w:rsid w:val="003A48C2"/>
    <w:rsid w:val="003A4B6C"/>
    <w:rsid w:val="003A4BF3"/>
    <w:rsid w:val="003A515B"/>
    <w:rsid w:val="003A527C"/>
    <w:rsid w:val="003A52F7"/>
    <w:rsid w:val="003A54E3"/>
    <w:rsid w:val="003A5644"/>
    <w:rsid w:val="003A56B5"/>
    <w:rsid w:val="003A56EB"/>
    <w:rsid w:val="003A5730"/>
    <w:rsid w:val="003A58C8"/>
    <w:rsid w:val="003A593B"/>
    <w:rsid w:val="003A59B8"/>
    <w:rsid w:val="003A59C4"/>
    <w:rsid w:val="003A5C58"/>
    <w:rsid w:val="003A5DA1"/>
    <w:rsid w:val="003A60F7"/>
    <w:rsid w:val="003A64D6"/>
    <w:rsid w:val="003A6906"/>
    <w:rsid w:val="003A6A2F"/>
    <w:rsid w:val="003A6C48"/>
    <w:rsid w:val="003A6EFE"/>
    <w:rsid w:val="003A6F43"/>
    <w:rsid w:val="003A6FFB"/>
    <w:rsid w:val="003A703E"/>
    <w:rsid w:val="003A705B"/>
    <w:rsid w:val="003A77C8"/>
    <w:rsid w:val="003A7914"/>
    <w:rsid w:val="003A79D3"/>
    <w:rsid w:val="003A7C9F"/>
    <w:rsid w:val="003A7CCF"/>
    <w:rsid w:val="003A7CE1"/>
    <w:rsid w:val="003A7E6D"/>
    <w:rsid w:val="003A7E83"/>
    <w:rsid w:val="003A7FBE"/>
    <w:rsid w:val="003B000A"/>
    <w:rsid w:val="003B0047"/>
    <w:rsid w:val="003B012A"/>
    <w:rsid w:val="003B03EE"/>
    <w:rsid w:val="003B057C"/>
    <w:rsid w:val="003B0786"/>
    <w:rsid w:val="003B0883"/>
    <w:rsid w:val="003B0A7B"/>
    <w:rsid w:val="003B0AF9"/>
    <w:rsid w:val="003B0B2A"/>
    <w:rsid w:val="003B0F4F"/>
    <w:rsid w:val="003B1374"/>
    <w:rsid w:val="003B137F"/>
    <w:rsid w:val="003B1410"/>
    <w:rsid w:val="003B1568"/>
    <w:rsid w:val="003B1770"/>
    <w:rsid w:val="003B1939"/>
    <w:rsid w:val="003B1FE0"/>
    <w:rsid w:val="003B20DD"/>
    <w:rsid w:val="003B22C7"/>
    <w:rsid w:val="003B25DC"/>
    <w:rsid w:val="003B26CB"/>
    <w:rsid w:val="003B2A20"/>
    <w:rsid w:val="003B2BC4"/>
    <w:rsid w:val="003B2C2E"/>
    <w:rsid w:val="003B2C3C"/>
    <w:rsid w:val="003B2E55"/>
    <w:rsid w:val="003B2F1A"/>
    <w:rsid w:val="003B3187"/>
    <w:rsid w:val="003B3305"/>
    <w:rsid w:val="003B3383"/>
    <w:rsid w:val="003B33BD"/>
    <w:rsid w:val="003B3424"/>
    <w:rsid w:val="003B36FC"/>
    <w:rsid w:val="003B3813"/>
    <w:rsid w:val="003B3843"/>
    <w:rsid w:val="003B39C8"/>
    <w:rsid w:val="003B3A58"/>
    <w:rsid w:val="003B3C29"/>
    <w:rsid w:val="003B424D"/>
    <w:rsid w:val="003B4407"/>
    <w:rsid w:val="003B44A4"/>
    <w:rsid w:val="003B44DB"/>
    <w:rsid w:val="003B45CD"/>
    <w:rsid w:val="003B4693"/>
    <w:rsid w:val="003B494F"/>
    <w:rsid w:val="003B4996"/>
    <w:rsid w:val="003B499C"/>
    <w:rsid w:val="003B4A3C"/>
    <w:rsid w:val="003B4B49"/>
    <w:rsid w:val="003B5002"/>
    <w:rsid w:val="003B5077"/>
    <w:rsid w:val="003B50E8"/>
    <w:rsid w:val="003B5122"/>
    <w:rsid w:val="003B5134"/>
    <w:rsid w:val="003B5165"/>
    <w:rsid w:val="003B52A4"/>
    <w:rsid w:val="003B5388"/>
    <w:rsid w:val="003B5444"/>
    <w:rsid w:val="003B554F"/>
    <w:rsid w:val="003B57DC"/>
    <w:rsid w:val="003B5A55"/>
    <w:rsid w:val="003B5DE2"/>
    <w:rsid w:val="003B5E1A"/>
    <w:rsid w:val="003B5FA0"/>
    <w:rsid w:val="003B61BC"/>
    <w:rsid w:val="003B620D"/>
    <w:rsid w:val="003B623C"/>
    <w:rsid w:val="003B62AE"/>
    <w:rsid w:val="003B64B6"/>
    <w:rsid w:val="003B6516"/>
    <w:rsid w:val="003B6857"/>
    <w:rsid w:val="003B68F6"/>
    <w:rsid w:val="003B69EF"/>
    <w:rsid w:val="003B6B53"/>
    <w:rsid w:val="003B6D59"/>
    <w:rsid w:val="003B6E3A"/>
    <w:rsid w:val="003B6EEE"/>
    <w:rsid w:val="003B704E"/>
    <w:rsid w:val="003B729C"/>
    <w:rsid w:val="003B72E0"/>
    <w:rsid w:val="003B7A4B"/>
    <w:rsid w:val="003B7B3F"/>
    <w:rsid w:val="003B7EDE"/>
    <w:rsid w:val="003B7FD0"/>
    <w:rsid w:val="003C069B"/>
    <w:rsid w:val="003C06A0"/>
    <w:rsid w:val="003C06BF"/>
    <w:rsid w:val="003C07C2"/>
    <w:rsid w:val="003C08EC"/>
    <w:rsid w:val="003C0AEC"/>
    <w:rsid w:val="003C0BC6"/>
    <w:rsid w:val="003C0E7C"/>
    <w:rsid w:val="003C1091"/>
    <w:rsid w:val="003C1097"/>
    <w:rsid w:val="003C1174"/>
    <w:rsid w:val="003C11E2"/>
    <w:rsid w:val="003C121E"/>
    <w:rsid w:val="003C13FD"/>
    <w:rsid w:val="003C1532"/>
    <w:rsid w:val="003C15FA"/>
    <w:rsid w:val="003C1738"/>
    <w:rsid w:val="003C181A"/>
    <w:rsid w:val="003C1886"/>
    <w:rsid w:val="003C1A6C"/>
    <w:rsid w:val="003C1DA8"/>
    <w:rsid w:val="003C1EBE"/>
    <w:rsid w:val="003C1FE7"/>
    <w:rsid w:val="003C2035"/>
    <w:rsid w:val="003C212B"/>
    <w:rsid w:val="003C21CC"/>
    <w:rsid w:val="003C2212"/>
    <w:rsid w:val="003C2368"/>
    <w:rsid w:val="003C242D"/>
    <w:rsid w:val="003C24A1"/>
    <w:rsid w:val="003C24F9"/>
    <w:rsid w:val="003C2599"/>
    <w:rsid w:val="003C2704"/>
    <w:rsid w:val="003C2778"/>
    <w:rsid w:val="003C281A"/>
    <w:rsid w:val="003C293B"/>
    <w:rsid w:val="003C29A2"/>
    <w:rsid w:val="003C2AEC"/>
    <w:rsid w:val="003C2C08"/>
    <w:rsid w:val="003C2C37"/>
    <w:rsid w:val="003C2C6D"/>
    <w:rsid w:val="003C2D18"/>
    <w:rsid w:val="003C2E03"/>
    <w:rsid w:val="003C2EFF"/>
    <w:rsid w:val="003C2F64"/>
    <w:rsid w:val="003C2F90"/>
    <w:rsid w:val="003C2FB7"/>
    <w:rsid w:val="003C2FC3"/>
    <w:rsid w:val="003C3068"/>
    <w:rsid w:val="003C3227"/>
    <w:rsid w:val="003C323A"/>
    <w:rsid w:val="003C33AA"/>
    <w:rsid w:val="003C34AF"/>
    <w:rsid w:val="003C352D"/>
    <w:rsid w:val="003C39C0"/>
    <w:rsid w:val="003C3AB8"/>
    <w:rsid w:val="003C3BA0"/>
    <w:rsid w:val="003C3D77"/>
    <w:rsid w:val="003C3EDF"/>
    <w:rsid w:val="003C41C4"/>
    <w:rsid w:val="003C42FD"/>
    <w:rsid w:val="003C4330"/>
    <w:rsid w:val="003C4446"/>
    <w:rsid w:val="003C4502"/>
    <w:rsid w:val="003C479C"/>
    <w:rsid w:val="003C4807"/>
    <w:rsid w:val="003C4BDD"/>
    <w:rsid w:val="003C4BF9"/>
    <w:rsid w:val="003C4E60"/>
    <w:rsid w:val="003C5713"/>
    <w:rsid w:val="003C5829"/>
    <w:rsid w:val="003C586D"/>
    <w:rsid w:val="003C5877"/>
    <w:rsid w:val="003C59BB"/>
    <w:rsid w:val="003C5AD9"/>
    <w:rsid w:val="003C5B7C"/>
    <w:rsid w:val="003C5BCD"/>
    <w:rsid w:val="003C5DBE"/>
    <w:rsid w:val="003C6011"/>
    <w:rsid w:val="003C62B7"/>
    <w:rsid w:val="003C62C9"/>
    <w:rsid w:val="003C62F5"/>
    <w:rsid w:val="003C640E"/>
    <w:rsid w:val="003C657E"/>
    <w:rsid w:val="003C66C3"/>
    <w:rsid w:val="003C6828"/>
    <w:rsid w:val="003C694D"/>
    <w:rsid w:val="003C6B4D"/>
    <w:rsid w:val="003C6B78"/>
    <w:rsid w:val="003C6BA3"/>
    <w:rsid w:val="003C6E14"/>
    <w:rsid w:val="003C7074"/>
    <w:rsid w:val="003C710C"/>
    <w:rsid w:val="003C717C"/>
    <w:rsid w:val="003C731E"/>
    <w:rsid w:val="003C7743"/>
    <w:rsid w:val="003C7941"/>
    <w:rsid w:val="003C7BB4"/>
    <w:rsid w:val="003C7D73"/>
    <w:rsid w:val="003D01F6"/>
    <w:rsid w:val="003D0290"/>
    <w:rsid w:val="003D043C"/>
    <w:rsid w:val="003D050F"/>
    <w:rsid w:val="003D0659"/>
    <w:rsid w:val="003D084A"/>
    <w:rsid w:val="003D0A4A"/>
    <w:rsid w:val="003D0ACB"/>
    <w:rsid w:val="003D0B25"/>
    <w:rsid w:val="003D0B8A"/>
    <w:rsid w:val="003D104F"/>
    <w:rsid w:val="003D10F9"/>
    <w:rsid w:val="003D12C1"/>
    <w:rsid w:val="003D1391"/>
    <w:rsid w:val="003D1417"/>
    <w:rsid w:val="003D145D"/>
    <w:rsid w:val="003D152C"/>
    <w:rsid w:val="003D15D2"/>
    <w:rsid w:val="003D17D8"/>
    <w:rsid w:val="003D1A9B"/>
    <w:rsid w:val="003D1B7B"/>
    <w:rsid w:val="003D1C5C"/>
    <w:rsid w:val="003D1E9F"/>
    <w:rsid w:val="003D2067"/>
    <w:rsid w:val="003D2129"/>
    <w:rsid w:val="003D21AB"/>
    <w:rsid w:val="003D2377"/>
    <w:rsid w:val="003D2453"/>
    <w:rsid w:val="003D27F8"/>
    <w:rsid w:val="003D2D14"/>
    <w:rsid w:val="003D2D59"/>
    <w:rsid w:val="003D2F03"/>
    <w:rsid w:val="003D31DB"/>
    <w:rsid w:val="003D3709"/>
    <w:rsid w:val="003D3AD4"/>
    <w:rsid w:val="003D3B9E"/>
    <w:rsid w:val="003D3CD7"/>
    <w:rsid w:val="003D3E3B"/>
    <w:rsid w:val="003D3F30"/>
    <w:rsid w:val="003D3F36"/>
    <w:rsid w:val="003D4034"/>
    <w:rsid w:val="003D4056"/>
    <w:rsid w:val="003D40F0"/>
    <w:rsid w:val="003D41D8"/>
    <w:rsid w:val="003D43F5"/>
    <w:rsid w:val="003D4790"/>
    <w:rsid w:val="003D47A1"/>
    <w:rsid w:val="003D4B82"/>
    <w:rsid w:val="003D4C79"/>
    <w:rsid w:val="003D4CAE"/>
    <w:rsid w:val="003D4D6E"/>
    <w:rsid w:val="003D4D9D"/>
    <w:rsid w:val="003D4F07"/>
    <w:rsid w:val="003D516C"/>
    <w:rsid w:val="003D56EF"/>
    <w:rsid w:val="003D5A9A"/>
    <w:rsid w:val="003D5ACF"/>
    <w:rsid w:val="003D5AF9"/>
    <w:rsid w:val="003D5AFE"/>
    <w:rsid w:val="003D6077"/>
    <w:rsid w:val="003D668D"/>
    <w:rsid w:val="003D6809"/>
    <w:rsid w:val="003D6852"/>
    <w:rsid w:val="003D6A05"/>
    <w:rsid w:val="003D6CF6"/>
    <w:rsid w:val="003D7062"/>
    <w:rsid w:val="003D72A9"/>
    <w:rsid w:val="003D7390"/>
    <w:rsid w:val="003D74CD"/>
    <w:rsid w:val="003D769D"/>
    <w:rsid w:val="003D7850"/>
    <w:rsid w:val="003D7967"/>
    <w:rsid w:val="003D7EB0"/>
    <w:rsid w:val="003E0039"/>
    <w:rsid w:val="003E0203"/>
    <w:rsid w:val="003E03DB"/>
    <w:rsid w:val="003E0404"/>
    <w:rsid w:val="003E0671"/>
    <w:rsid w:val="003E06D1"/>
    <w:rsid w:val="003E078D"/>
    <w:rsid w:val="003E07A7"/>
    <w:rsid w:val="003E08DF"/>
    <w:rsid w:val="003E09B9"/>
    <w:rsid w:val="003E09F5"/>
    <w:rsid w:val="003E0B03"/>
    <w:rsid w:val="003E0BA2"/>
    <w:rsid w:val="003E0D19"/>
    <w:rsid w:val="003E0D5D"/>
    <w:rsid w:val="003E0FCE"/>
    <w:rsid w:val="003E12DA"/>
    <w:rsid w:val="003E1503"/>
    <w:rsid w:val="003E17AB"/>
    <w:rsid w:val="003E17F1"/>
    <w:rsid w:val="003E1995"/>
    <w:rsid w:val="003E1A5F"/>
    <w:rsid w:val="003E202F"/>
    <w:rsid w:val="003E20E0"/>
    <w:rsid w:val="003E2163"/>
    <w:rsid w:val="003E228D"/>
    <w:rsid w:val="003E23DC"/>
    <w:rsid w:val="003E2741"/>
    <w:rsid w:val="003E27ED"/>
    <w:rsid w:val="003E2A6A"/>
    <w:rsid w:val="003E2ACA"/>
    <w:rsid w:val="003E2BC3"/>
    <w:rsid w:val="003E2BCD"/>
    <w:rsid w:val="003E2CB5"/>
    <w:rsid w:val="003E2ECE"/>
    <w:rsid w:val="003E305A"/>
    <w:rsid w:val="003E33A8"/>
    <w:rsid w:val="003E349A"/>
    <w:rsid w:val="003E351B"/>
    <w:rsid w:val="003E3A35"/>
    <w:rsid w:val="003E3A99"/>
    <w:rsid w:val="003E3E4B"/>
    <w:rsid w:val="003E3E76"/>
    <w:rsid w:val="003E3EC5"/>
    <w:rsid w:val="003E3FF7"/>
    <w:rsid w:val="003E4080"/>
    <w:rsid w:val="003E4217"/>
    <w:rsid w:val="003E4485"/>
    <w:rsid w:val="003E4564"/>
    <w:rsid w:val="003E4594"/>
    <w:rsid w:val="003E46CE"/>
    <w:rsid w:val="003E480C"/>
    <w:rsid w:val="003E48BB"/>
    <w:rsid w:val="003E4937"/>
    <w:rsid w:val="003E49DF"/>
    <w:rsid w:val="003E4AAB"/>
    <w:rsid w:val="003E4CD3"/>
    <w:rsid w:val="003E4CD7"/>
    <w:rsid w:val="003E4F47"/>
    <w:rsid w:val="003E500F"/>
    <w:rsid w:val="003E53F6"/>
    <w:rsid w:val="003E5527"/>
    <w:rsid w:val="003E5895"/>
    <w:rsid w:val="003E59AA"/>
    <w:rsid w:val="003E5ADB"/>
    <w:rsid w:val="003E5C71"/>
    <w:rsid w:val="003E5E61"/>
    <w:rsid w:val="003E60E6"/>
    <w:rsid w:val="003E6149"/>
    <w:rsid w:val="003E6422"/>
    <w:rsid w:val="003E660F"/>
    <w:rsid w:val="003E6775"/>
    <w:rsid w:val="003E686E"/>
    <w:rsid w:val="003E689C"/>
    <w:rsid w:val="003E69FA"/>
    <w:rsid w:val="003E6BB0"/>
    <w:rsid w:val="003E6CCB"/>
    <w:rsid w:val="003E6D12"/>
    <w:rsid w:val="003E6EA7"/>
    <w:rsid w:val="003E6F78"/>
    <w:rsid w:val="003E7153"/>
    <w:rsid w:val="003E719F"/>
    <w:rsid w:val="003E7339"/>
    <w:rsid w:val="003E7402"/>
    <w:rsid w:val="003E756D"/>
    <w:rsid w:val="003E7754"/>
    <w:rsid w:val="003E7B91"/>
    <w:rsid w:val="003F02EB"/>
    <w:rsid w:val="003F03A2"/>
    <w:rsid w:val="003F0423"/>
    <w:rsid w:val="003F048C"/>
    <w:rsid w:val="003F05B6"/>
    <w:rsid w:val="003F05BB"/>
    <w:rsid w:val="003F074E"/>
    <w:rsid w:val="003F0771"/>
    <w:rsid w:val="003F08D6"/>
    <w:rsid w:val="003F0932"/>
    <w:rsid w:val="003F09FE"/>
    <w:rsid w:val="003F0A53"/>
    <w:rsid w:val="003F0A61"/>
    <w:rsid w:val="003F0D9B"/>
    <w:rsid w:val="003F0F10"/>
    <w:rsid w:val="003F107B"/>
    <w:rsid w:val="003F11B5"/>
    <w:rsid w:val="003F1200"/>
    <w:rsid w:val="003F14C5"/>
    <w:rsid w:val="003F1616"/>
    <w:rsid w:val="003F1657"/>
    <w:rsid w:val="003F16A8"/>
    <w:rsid w:val="003F1807"/>
    <w:rsid w:val="003F1BA6"/>
    <w:rsid w:val="003F1C7E"/>
    <w:rsid w:val="003F1DC8"/>
    <w:rsid w:val="003F1E3B"/>
    <w:rsid w:val="003F1F99"/>
    <w:rsid w:val="003F1FCB"/>
    <w:rsid w:val="003F20E9"/>
    <w:rsid w:val="003F20FA"/>
    <w:rsid w:val="003F23C6"/>
    <w:rsid w:val="003F25B9"/>
    <w:rsid w:val="003F2B7A"/>
    <w:rsid w:val="003F2E9E"/>
    <w:rsid w:val="003F2FFA"/>
    <w:rsid w:val="003F3079"/>
    <w:rsid w:val="003F326B"/>
    <w:rsid w:val="003F32AD"/>
    <w:rsid w:val="003F3698"/>
    <w:rsid w:val="003F391D"/>
    <w:rsid w:val="003F3A65"/>
    <w:rsid w:val="003F3AB9"/>
    <w:rsid w:val="003F3B21"/>
    <w:rsid w:val="003F3BD3"/>
    <w:rsid w:val="003F3D89"/>
    <w:rsid w:val="003F3E0C"/>
    <w:rsid w:val="003F41E5"/>
    <w:rsid w:val="003F4274"/>
    <w:rsid w:val="003F440D"/>
    <w:rsid w:val="003F45C5"/>
    <w:rsid w:val="003F463D"/>
    <w:rsid w:val="003F4797"/>
    <w:rsid w:val="003F48DA"/>
    <w:rsid w:val="003F48E1"/>
    <w:rsid w:val="003F49AB"/>
    <w:rsid w:val="003F4C1C"/>
    <w:rsid w:val="003F4DDD"/>
    <w:rsid w:val="003F508D"/>
    <w:rsid w:val="003F56E8"/>
    <w:rsid w:val="003F574C"/>
    <w:rsid w:val="003F5784"/>
    <w:rsid w:val="003F57F4"/>
    <w:rsid w:val="003F5C5C"/>
    <w:rsid w:val="003F5DD7"/>
    <w:rsid w:val="003F5DF7"/>
    <w:rsid w:val="003F5F16"/>
    <w:rsid w:val="003F608D"/>
    <w:rsid w:val="003F6232"/>
    <w:rsid w:val="003F6419"/>
    <w:rsid w:val="003F665C"/>
    <w:rsid w:val="003F66EC"/>
    <w:rsid w:val="003F6727"/>
    <w:rsid w:val="003F68C0"/>
    <w:rsid w:val="003F6C6E"/>
    <w:rsid w:val="003F6F01"/>
    <w:rsid w:val="003F6F02"/>
    <w:rsid w:val="003F7509"/>
    <w:rsid w:val="003F7524"/>
    <w:rsid w:val="003F7749"/>
    <w:rsid w:val="003F78B0"/>
    <w:rsid w:val="003F7BDB"/>
    <w:rsid w:val="003F7CBD"/>
    <w:rsid w:val="003F7DBE"/>
    <w:rsid w:val="003F7DF8"/>
    <w:rsid w:val="003F7E47"/>
    <w:rsid w:val="003F7E4F"/>
    <w:rsid w:val="004000D7"/>
    <w:rsid w:val="0040029E"/>
    <w:rsid w:val="004003B2"/>
    <w:rsid w:val="00400480"/>
    <w:rsid w:val="00400532"/>
    <w:rsid w:val="0040062B"/>
    <w:rsid w:val="00400646"/>
    <w:rsid w:val="00400779"/>
    <w:rsid w:val="004007F3"/>
    <w:rsid w:val="004008A8"/>
    <w:rsid w:val="00400939"/>
    <w:rsid w:val="0040093E"/>
    <w:rsid w:val="004009F0"/>
    <w:rsid w:val="00400B25"/>
    <w:rsid w:val="00400CF2"/>
    <w:rsid w:val="00400E35"/>
    <w:rsid w:val="00400F3C"/>
    <w:rsid w:val="00401128"/>
    <w:rsid w:val="0040117C"/>
    <w:rsid w:val="0040146A"/>
    <w:rsid w:val="0040147E"/>
    <w:rsid w:val="00401576"/>
    <w:rsid w:val="004015B0"/>
    <w:rsid w:val="00401608"/>
    <w:rsid w:val="0040160B"/>
    <w:rsid w:val="00401734"/>
    <w:rsid w:val="00401AB8"/>
    <w:rsid w:val="00401C3E"/>
    <w:rsid w:val="00401C58"/>
    <w:rsid w:val="004020A1"/>
    <w:rsid w:val="00402119"/>
    <w:rsid w:val="00402120"/>
    <w:rsid w:val="00402170"/>
    <w:rsid w:val="00402215"/>
    <w:rsid w:val="0040253D"/>
    <w:rsid w:val="00402615"/>
    <w:rsid w:val="00402630"/>
    <w:rsid w:val="0040274B"/>
    <w:rsid w:val="00402898"/>
    <w:rsid w:val="00402A75"/>
    <w:rsid w:val="00402EC7"/>
    <w:rsid w:val="00402FC8"/>
    <w:rsid w:val="00403140"/>
    <w:rsid w:val="00403969"/>
    <w:rsid w:val="00403C46"/>
    <w:rsid w:val="00403D25"/>
    <w:rsid w:val="00404245"/>
    <w:rsid w:val="00404452"/>
    <w:rsid w:val="0040450A"/>
    <w:rsid w:val="004046C8"/>
    <w:rsid w:val="004046CD"/>
    <w:rsid w:val="004046E2"/>
    <w:rsid w:val="00404741"/>
    <w:rsid w:val="00404B70"/>
    <w:rsid w:val="00404FEE"/>
    <w:rsid w:val="004050B4"/>
    <w:rsid w:val="004051E4"/>
    <w:rsid w:val="004052DA"/>
    <w:rsid w:val="004053F6"/>
    <w:rsid w:val="0040545A"/>
    <w:rsid w:val="00405535"/>
    <w:rsid w:val="0040562C"/>
    <w:rsid w:val="00405888"/>
    <w:rsid w:val="00405897"/>
    <w:rsid w:val="00405AD6"/>
    <w:rsid w:val="00405C39"/>
    <w:rsid w:val="00405D39"/>
    <w:rsid w:val="00405F36"/>
    <w:rsid w:val="00405F5B"/>
    <w:rsid w:val="004060D8"/>
    <w:rsid w:val="004068EA"/>
    <w:rsid w:val="00406B0C"/>
    <w:rsid w:val="00406C57"/>
    <w:rsid w:val="004071B6"/>
    <w:rsid w:val="004073D1"/>
    <w:rsid w:val="00407489"/>
    <w:rsid w:val="004078E3"/>
    <w:rsid w:val="004079B5"/>
    <w:rsid w:val="00407D2D"/>
    <w:rsid w:val="00407DAB"/>
    <w:rsid w:val="00410000"/>
    <w:rsid w:val="00410009"/>
    <w:rsid w:val="00410050"/>
    <w:rsid w:val="004100DD"/>
    <w:rsid w:val="00410492"/>
    <w:rsid w:val="0041058A"/>
    <w:rsid w:val="00410723"/>
    <w:rsid w:val="0041078B"/>
    <w:rsid w:val="00410820"/>
    <w:rsid w:val="0041093E"/>
    <w:rsid w:val="004109C3"/>
    <w:rsid w:val="00410A2E"/>
    <w:rsid w:val="00410C6F"/>
    <w:rsid w:val="00411163"/>
    <w:rsid w:val="004111A3"/>
    <w:rsid w:val="00411302"/>
    <w:rsid w:val="0041142B"/>
    <w:rsid w:val="0041154D"/>
    <w:rsid w:val="004116AC"/>
    <w:rsid w:val="00411918"/>
    <w:rsid w:val="00411996"/>
    <w:rsid w:val="00411A3E"/>
    <w:rsid w:val="00411A76"/>
    <w:rsid w:val="00411CCB"/>
    <w:rsid w:val="00411E0E"/>
    <w:rsid w:val="00411E99"/>
    <w:rsid w:val="00411F45"/>
    <w:rsid w:val="00412065"/>
    <w:rsid w:val="004120BB"/>
    <w:rsid w:val="004120C2"/>
    <w:rsid w:val="0041226E"/>
    <w:rsid w:val="0041227B"/>
    <w:rsid w:val="004124D7"/>
    <w:rsid w:val="00412683"/>
    <w:rsid w:val="004126CB"/>
    <w:rsid w:val="0041275F"/>
    <w:rsid w:val="00412773"/>
    <w:rsid w:val="00412818"/>
    <w:rsid w:val="00412937"/>
    <w:rsid w:val="00412984"/>
    <w:rsid w:val="004129F6"/>
    <w:rsid w:val="00412C74"/>
    <w:rsid w:val="00412DEB"/>
    <w:rsid w:val="00412ECC"/>
    <w:rsid w:val="00413062"/>
    <w:rsid w:val="004136CB"/>
    <w:rsid w:val="00413724"/>
    <w:rsid w:val="0041377B"/>
    <w:rsid w:val="00413806"/>
    <w:rsid w:val="00413894"/>
    <w:rsid w:val="004138EE"/>
    <w:rsid w:val="00413950"/>
    <w:rsid w:val="004139CE"/>
    <w:rsid w:val="00413A4D"/>
    <w:rsid w:val="00413AD5"/>
    <w:rsid w:val="00413B17"/>
    <w:rsid w:val="00413B60"/>
    <w:rsid w:val="00413DDE"/>
    <w:rsid w:val="00413F5C"/>
    <w:rsid w:val="00413FBE"/>
    <w:rsid w:val="00414077"/>
    <w:rsid w:val="00414165"/>
    <w:rsid w:val="004145C7"/>
    <w:rsid w:val="004145CA"/>
    <w:rsid w:val="004145ED"/>
    <w:rsid w:val="0041482D"/>
    <w:rsid w:val="00414DB5"/>
    <w:rsid w:val="00414FFA"/>
    <w:rsid w:val="0041515E"/>
    <w:rsid w:val="004154FA"/>
    <w:rsid w:val="00415639"/>
    <w:rsid w:val="00415774"/>
    <w:rsid w:val="004157FE"/>
    <w:rsid w:val="004158BD"/>
    <w:rsid w:val="0041592A"/>
    <w:rsid w:val="00415A22"/>
    <w:rsid w:val="00415F1C"/>
    <w:rsid w:val="0041603B"/>
    <w:rsid w:val="00416162"/>
    <w:rsid w:val="00416248"/>
    <w:rsid w:val="00416448"/>
    <w:rsid w:val="004165C0"/>
    <w:rsid w:val="0041694E"/>
    <w:rsid w:val="00416B6A"/>
    <w:rsid w:val="00416B79"/>
    <w:rsid w:val="00416E01"/>
    <w:rsid w:val="00416E14"/>
    <w:rsid w:val="00416EA8"/>
    <w:rsid w:val="0041726A"/>
    <w:rsid w:val="0041739C"/>
    <w:rsid w:val="004173F4"/>
    <w:rsid w:val="004174FF"/>
    <w:rsid w:val="004175E3"/>
    <w:rsid w:val="004176CE"/>
    <w:rsid w:val="00417751"/>
    <w:rsid w:val="004178DA"/>
    <w:rsid w:val="0041796C"/>
    <w:rsid w:val="004179CE"/>
    <w:rsid w:val="00417AA4"/>
    <w:rsid w:val="00417CCA"/>
    <w:rsid w:val="00417DA4"/>
    <w:rsid w:val="00417ED8"/>
    <w:rsid w:val="00420032"/>
    <w:rsid w:val="00420362"/>
    <w:rsid w:val="004204DB"/>
    <w:rsid w:val="0042079A"/>
    <w:rsid w:val="004209FE"/>
    <w:rsid w:val="00420ADF"/>
    <w:rsid w:val="00420CC5"/>
    <w:rsid w:val="00420F5E"/>
    <w:rsid w:val="00420F86"/>
    <w:rsid w:val="00421533"/>
    <w:rsid w:val="00421556"/>
    <w:rsid w:val="00421625"/>
    <w:rsid w:val="0042167F"/>
    <w:rsid w:val="004216B1"/>
    <w:rsid w:val="0042182F"/>
    <w:rsid w:val="0042183B"/>
    <w:rsid w:val="004219D3"/>
    <w:rsid w:val="00421EC6"/>
    <w:rsid w:val="00422009"/>
    <w:rsid w:val="00422251"/>
    <w:rsid w:val="004222AB"/>
    <w:rsid w:val="0042251D"/>
    <w:rsid w:val="00422589"/>
    <w:rsid w:val="00422D59"/>
    <w:rsid w:val="00422DBE"/>
    <w:rsid w:val="00422E83"/>
    <w:rsid w:val="00422F63"/>
    <w:rsid w:val="00422FD1"/>
    <w:rsid w:val="0042301E"/>
    <w:rsid w:val="0042311C"/>
    <w:rsid w:val="004232E4"/>
    <w:rsid w:val="00423315"/>
    <w:rsid w:val="0042334E"/>
    <w:rsid w:val="00423492"/>
    <w:rsid w:val="00423549"/>
    <w:rsid w:val="004235BF"/>
    <w:rsid w:val="004235FD"/>
    <w:rsid w:val="004236BD"/>
    <w:rsid w:val="00423947"/>
    <w:rsid w:val="00423A4A"/>
    <w:rsid w:val="00423DDE"/>
    <w:rsid w:val="00423DDF"/>
    <w:rsid w:val="00423ED4"/>
    <w:rsid w:val="00424137"/>
    <w:rsid w:val="004241AE"/>
    <w:rsid w:val="00424224"/>
    <w:rsid w:val="00424246"/>
    <w:rsid w:val="004242DB"/>
    <w:rsid w:val="00424457"/>
    <w:rsid w:val="0042462F"/>
    <w:rsid w:val="00424B20"/>
    <w:rsid w:val="00424F2C"/>
    <w:rsid w:val="00424FA3"/>
    <w:rsid w:val="00425189"/>
    <w:rsid w:val="00425331"/>
    <w:rsid w:val="0042549C"/>
    <w:rsid w:val="00425668"/>
    <w:rsid w:val="00425ACB"/>
    <w:rsid w:val="00425B9A"/>
    <w:rsid w:val="00425F1C"/>
    <w:rsid w:val="00425F4C"/>
    <w:rsid w:val="004260A3"/>
    <w:rsid w:val="004260EC"/>
    <w:rsid w:val="00426177"/>
    <w:rsid w:val="004261CE"/>
    <w:rsid w:val="004262A0"/>
    <w:rsid w:val="00426431"/>
    <w:rsid w:val="004266C5"/>
    <w:rsid w:val="00426799"/>
    <w:rsid w:val="00426827"/>
    <w:rsid w:val="0042686A"/>
    <w:rsid w:val="00426D00"/>
    <w:rsid w:val="00426D0C"/>
    <w:rsid w:val="00426D30"/>
    <w:rsid w:val="00426DC7"/>
    <w:rsid w:val="00426F3C"/>
    <w:rsid w:val="0042701B"/>
    <w:rsid w:val="00427088"/>
    <w:rsid w:val="00427728"/>
    <w:rsid w:val="00427768"/>
    <w:rsid w:val="00427A6B"/>
    <w:rsid w:val="00427C25"/>
    <w:rsid w:val="00427CB8"/>
    <w:rsid w:val="00427DC7"/>
    <w:rsid w:val="00427EBD"/>
    <w:rsid w:val="0043003C"/>
    <w:rsid w:val="004300A2"/>
    <w:rsid w:val="004300A8"/>
    <w:rsid w:val="00430155"/>
    <w:rsid w:val="004301DA"/>
    <w:rsid w:val="004302B7"/>
    <w:rsid w:val="004302DA"/>
    <w:rsid w:val="004309BE"/>
    <w:rsid w:val="00430AFE"/>
    <w:rsid w:val="00430B8A"/>
    <w:rsid w:val="00430CBB"/>
    <w:rsid w:val="004310FF"/>
    <w:rsid w:val="00431688"/>
    <w:rsid w:val="00431723"/>
    <w:rsid w:val="0043193D"/>
    <w:rsid w:val="00431992"/>
    <w:rsid w:val="00431AD8"/>
    <w:rsid w:val="00431C92"/>
    <w:rsid w:val="00431D2C"/>
    <w:rsid w:val="00431E5A"/>
    <w:rsid w:val="004322DF"/>
    <w:rsid w:val="00432328"/>
    <w:rsid w:val="004323F8"/>
    <w:rsid w:val="00432444"/>
    <w:rsid w:val="0043285F"/>
    <w:rsid w:val="00432949"/>
    <w:rsid w:val="00432958"/>
    <w:rsid w:val="00432A84"/>
    <w:rsid w:val="00432B90"/>
    <w:rsid w:val="00432E39"/>
    <w:rsid w:val="00432E61"/>
    <w:rsid w:val="00433107"/>
    <w:rsid w:val="00433353"/>
    <w:rsid w:val="00433422"/>
    <w:rsid w:val="00433486"/>
    <w:rsid w:val="004335BF"/>
    <w:rsid w:val="00433775"/>
    <w:rsid w:val="004337DD"/>
    <w:rsid w:val="004339F9"/>
    <w:rsid w:val="00433B02"/>
    <w:rsid w:val="00433CF3"/>
    <w:rsid w:val="00433CF4"/>
    <w:rsid w:val="00433FC7"/>
    <w:rsid w:val="004341C4"/>
    <w:rsid w:val="0043427B"/>
    <w:rsid w:val="004342AE"/>
    <w:rsid w:val="00434459"/>
    <w:rsid w:val="00434543"/>
    <w:rsid w:val="00434846"/>
    <w:rsid w:val="00434BAF"/>
    <w:rsid w:val="00434DBE"/>
    <w:rsid w:val="00434DCC"/>
    <w:rsid w:val="00435059"/>
    <w:rsid w:val="00435112"/>
    <w:rsid w:val="00435230"/>
    <w:rsid w:val="004356CD"/>
    <w:rsid w:val="004357B4"/>
    <w:rsid w:val="004357DA"/>
    <w:rsid w:val="004358A8"/>
    <w:rsid w:val="00435A96"/>
    <w:rsid w:val="00435B10"/>
    <w:rsid w:val="00435DB0"/>
    <w:rsid w:val="00436046"/>
    <w:rsid w:val="0043619A"/>
    <w:rsid w:val="004362C7"/>
    <w:rsid w:val="00436487"/>
    <w:rsid w:val="0043660E"/>
    <w:rsid w:val="004367F8"/>
    <w:rsid w:val="00436855"/>
    <w:rsid w:val="00436998"/>
    <w:rsid w:val="004369B3"/>
    <w:rsid w:val="00436A48"/>
    <w:rsid w:val="004370CB"/>
    <w:rsid w:val="00437526"/>
    <w:rsid w:val="00437607"/>
    <w:rsid w:val="00437C95"/>
    <w:rsid w:val="00437F12"/>
    <w:rsid w:val="00437FD4"/>
    <w:rsid w:val="004400A4"/>
    <w:rsid w:val="00440259"/>
    <w:rsid w:val="004402AA"/>
    <w:rsid w:val="00440336"/>
    <w:rsid w:val="00440376"/>
    <w:rsid w:val="0044059B"/>
    <w:rsid w:val="00440696"/>
    <w:rsid w:val="0044082C"/>
    <w:rsid w:val="00440973"/>
    <w:rsid w:val="00440A0A"/>
    <w:rsid w:val="00440BA4"/>
    <w:rsid w:val="00440CA8"/>
    <w:rsid w:val="00440D70"/>
    <w:rsid w:val="00440DA9"/>
    <w:rsid w:val="00441018"/>
    <w:rsid w:val="004411C5"/>
    <w:rsid w:val="004414B5"/>
    <w:rsid w:val="0044179B"/>
    <w:rsid w:val="0044181B"/>
    <w:rsid w:val="00441CC9"/>
    <w:rsid w:val="00441E46"/>
    <w:rsid w:val="00441E4D"/>
    <w:rsid w:val="0044207D"/>
    <w:rsid w:val="004420BA"/>
    <w:rsid w:val="00442176"/>
    <w:rsid w:val="00442295"/>
    <w:rsid w:val="0044230E"/>
    <w:rsid w:val="00442677"/>
    <w:rsid w:val="0044297F"/>
    <w:rsid w:val="00442A92"/>
    <w:rsid w:val="00442B5B"/>
    <w:rsid w:val="00442B93"/>
    <w:rsid w:val="00442C27"/>
    <w:rsid w:val="00442CED"/>
    <w:rsid w:val="00442D4F"/>
    <w:rsid w:val="00442D63"/>
    <w:rsid w:val="00443037"/>
    <w:rsid w:val="00443052"/>
    <w:rsid w:val="004430D7"/>
    <w:rsid w:val="00443244"/>
    <w:rsid w:val="0044327C"/>
    <w:rsid w:val="004436FB"/>
    <w:rsid w:val="004437B7"/>
    <w:rsid w:val="0044394F"/>
    <w:rsid w:val="0044398C"/>
    <w:rsid w:val="004439FB"/>
    <w:rsid w:val="00443B33"/>
    <w:rsid w:val="00443CAA"/>
    <w:rsid w:val="0044419F"/>
    <w:rsid w:val="0044423A"/>
    <w:rsid w:val="004442CC"/>
    <w:rsid w:val="004443BE"/>
    <w:rsid w:val="00444471"/>
    <w:rsid w:val="0044452E"/>
    <w:rsid w:val="004446C3"/>
    <w:rsid w:val="0044486E"/>
    <w:rsid w:val="004448C1"/>
    <w:rsid w:val="004448E6"/>
    <w:rsid w:val="00444E62"/>
    <w:rsid w:val="00444E77"/>
    <w:rsid w:val="00444F34"/>
    <w:rsid w:val="00444F3B"/>
    <w:rsid w:val="00444F53"/>
    <w:rsid w:val="00445139"/>
    <w:rsid w:val="00445244"/>
    <w:rsid w:val="00445252"/>
    <w:rsid w:val="004454C9"/>
    <w:rsid w:val="00445586"/>
    <w:rsid w:val="00445590"/>
    <w:rsid w:val="00445795"/>
    <w:rsid w:val="004457FF"/>
    <w:rsid w:val="00445926"/>
    <w:rsid w:val="00445A20"/>
    <w:rsid w:val="00445A27"/>
    <w:rsid w:val="00445ADA"/>
    <w:rsid w:val="00445AE6"/>
    <w:rsid w:val="00445D9D"/>
    <w:rsid w:val="00446229"/>
    <w:rsid w:val="00446466"/>
    <w:rsid w:val="004466AF"/>
    <w:rsid w:val="00446A54"/>
    <w:rsid w:val="00446B7C"/>
    <w:rsid w:val="00446CD4"/>
    <w:rsid w:val="00446D32"/>
    <w:rsid w:val="00446D42"/>
    <w:rsid w:val="00446D54"/>
    <w:rsid w:val="00446DDD"/>
    <w:rsid w:val="00446DE0"/>
    <w:rsid w:val="00446EB6"/>
    <w:rsid w:val="00447162"/>
    <w:rsid w:val="00447248"/>
    <w:rsid w:val="004475A6"/>
    <w:rsid w:val="00447682"/>
    <w:rsid w:val="004476C0"/>
    <w:rsid w:val="00447752"/>
    <w:rsid w:val="00447837"/>
    <w:rsid w:val="0044791C"/>
    <w:rsid w:val="0044798F"/>
    <w:rsid w:val="00447D3E"/>
    <w:rsid w:val="00447FD1"/>
    <w:rsid w:val="0045015D"/>
    <w:rsid w:val="00450189"/>
    <w:rsid w:val="004504E3"/>
    <w:rsid w:val="004506CD"/>
    <w:rsid w:val="0045071E"/>
    <w:rsid w:val="004507C0"/>
    <w:rsid w:val="004507FE"/>
    <w:rsid w:val="00450859"/>
    <w:rsid w:val="00450C08"/>
    <w:rsid w:val="00450CC0"/>
    <w:rsid w:val="00450D49"/>
    <w:rsid w:val="00450DDE"/>
    <w:rsid w:val="00450DF5"/>
    <w:rsid w:val="004511BC"/>
    <w:rsid w:val="0045138E"/>
    <w:rsid w:val="00451448"/>
    <w:rsid w:val="004514F4"/>
    <w:rsid w:val="004516C6"/>
    <w:rsid w:val="00452055"/>
    <w:rsid w:val="00452264"/>
    <w:rsid w:val="00452344"/>
    <w:rsid w:val="0045237A"/>
    <w:rsid w:val="0045247E"/>
    <w:rsid w:val="004526BD"/>
    <w:rsid w:val="00452745"/>
    <w:rsid w:val="004528DF"/>
    <w:rsid w:val="00452A28"/>
    <w:rsid w:val="00452C61"/>
    <w:rsid w:val="004530B0"/>
    <w:rsid w:val="00453147"/>
    <w:rsid w:val="004531BE"/>
    <w:rsid w:val="004533B5"/>
    <w:rsid w:val="00453584"/>
    <w:rsid w:val="004536DB"/>
    <w:rsid w:val="004536F4"/>
    <w:rsid w:val="00453779"/>
    <w:rsid w:val="00453A22"/>
    <w:rsid w:val="00453B5B"/>
    <w:rsid w:val="00453BE7"/>
    <w:rsid w:val="00453DC5"/>
    <w:rsid w:val="0045410E"/>
    <w:rsid w:val="004543CA"/>
    <w:rsid w:val="00454491"/>
    <w:rsid w:val="0045451A"/>
    <w:rsid w:val="00454795"/>
    <w:rsid w:val="00454A8F"/>
    <w:rsid w:val="00454AD8"/>
    <w:rsid w:val="00454F0F"/>
    <w:rsid w:val="0045518D"/>
    <w:rsid w:val="0045574F"/>
    <w:rsid w:val="004558B2"/>
    <w:rsid w:val="00455BEE"/>
    <w:rsid w:val="00455F0F"/>
    <w:rsid w:val="00455F63"/>
    <w:rsid w:val="00455FB3"/>
    <w:rsid w:val="0045625D"/>
    <w:rsid w:val="004562F1"/>
    <w:rsid w:val="00456706"/>
    <w:rsid w:val="00456766"/>
    <w:rsid w:val="004569BC"/>
    <w:rsid w:val="00456B53"/>
    <w:rsid w:val="00456C8D"/>
    <w:rsid w:val="00456D2D"/>
    <w:rsid w:val="00456D81"/>
    <w:rsid w:val="00456F0F"/>
    <w:rsid w:val="0045714B"/>
    <w:rsid w:val="004572D7"/>
    <w:rsid w:val="00457342"/>
    <w:rsid w:val="00457416"/>
    <w:rsid w:val="00457717"/>
    <w:rsid w:val="004577AA"/>
    <w:rsid w:val="00457815"/>
    <w:rsid w:val="004579B7"/>
    <w:rsid w:val="00457A2B"/>
    <w:rsid w:val="00457B6D"/>
    <w:rsid w:val="00457C5C"/>
    <w:rsid w:val="00457F84"/>
    <w:rsid w:val="00457FCF"/>
    <w:rsid w:val="0046015E"/>
    <w:rsid w:val="004601EC"/>
    <w:rsid w:val="004603FE"/>
    <w:rsid w:val="004605D3"/>
    <w:rsid w:val="004606D6"/>
    <w:rsid w:val="0046083F"/>
    <w:rsid w:val="00460941"/>
    <w:rsid w:val="00460A99"/>
    <w:rsid w:val="00460CFB"/>
    <w:rsid w:val="00460F07"/>
    <w:rsid w:val="00460F41"/>
    <w:rsid w:val="004611E2"/>
    <w:rsid w:val="004614D6"/>
    <w:rsid w:val="0046154F"/>
    <w:rsid w:val="00461872"/>
    <w:rsid w:val="0046195F"/>
    <w:rsid w:val="004619E8"/>
    <w:rsid w:val="00461D29"/>
    <w:rsid w:val="0046223D"/>
    <w:rsid w:val="00462292"/>
    <w:rsid w:val="004624B6"/>
    <w:rsid w:val="004624C6"/>
    <w:rsid w:val="00462737"/>
    <w:rsid w:val="00462B6B"/>
    <w:rsid w:val="00462BEE"/>
    <w:rsid w:val="00462C5B"/>
    <w:rsid w:val="00462D19"/>
    <w:rsid w:val="0046303D"/>
    <w:rsid w:val="00463050"/>
    <w:rsid w:val="0046313D"/>
    <w:rsid w:val="00463276"/>
    <w:rsid w:val="004633F1"/>
    <w:rsid w:val="00463565"/>
    <w:rsid w:val="004635BF"/>
    <w:rsid w:val="00463898"/>
    <w:rsid w:val="00463953"/>
    <w:rsid w:val="00463A93"/>
    <w:rsid w:val="00463BC7"/>
    <w:rsid w:val="00463D68"/>
    <w:rsid w:val="00463EA3"/>
    <w:rsid w:val="00463EAE"/>
    <w:rsid w:val="00463F2A"/>
    <w:rsid w:val="00463FDE"/>
    <w:rsid w:val="004640F9"/>
    <w:rsid w:val="00464118"/>
    <w:rsid w:val="004642B3"/>
    <w:rsid w:val="00464593"/>
    <w:rsid w:val="00464AF4"/>
    <w:rsid w:val="00464C05"/>
    <w:rsid w:val="00464DCB"/>
    <w:rsid w:val="00464EB0"/>
    <w:rsid w:val="00464F2B"/>
    <w:rsid w:val="00464F3D"/>
    <w:rsid w:val="00464FD9"/>
    <w:rsid w:val="0046503F"/>
    <w:rsid w:val="0046542A"/>
    <w:rsid w:val="004656F7"/>
    <w:rsid w:val="00465721"/>
    <w:rsid w:val="004657A1"/>
    <w:rsid w:val="004657ED"/>
    <w:rsid w:val="0046592E"/>
    <w:rsid w:val="00465D7A"/>
    <w:rsid w:val="00466239"/>
    <w:rsid w:val="004662B4"/>
    <w:rsid w:val="0046699A"/>
    <w:rsid w:val="00466BF8"/>
    <w:rsid w:val="00466D0E"/>
    <w:rsid w:val="00466D2B"/>
    <w:rsid w:val="00466E24"/>
    <w:rsid w:val="00466E32"/>
    <w:rsid w:val="004671B2"/>
    <w:rsid w:val="00467352"/>
    <w:rsid w:val="004673D4"/>
    <w:rsid w:val="0046745C"/>
    <w:rsid w:val="0046755A"/>
    <w:rsid w:val="004675FE"/>
    <w:rsid w:val="00467967"/>
    <w:rsid w:val="00467ABE"/>
    <w:rsid w:val="00467B8C"/>
    <w:rsid w:val="00467BE6"/>
    <w:rsid w:val="00467C64"/>
    <w:rsid w:val="00467E58"/>
    <w:rsid w:val="00467F9A"/>
    <w:rsid w:val="00470106"/>
    <w:rsid w:val="00470273"/>
    <w:rsid w:val="0047043B"/>
    <w:rsid w:val="004708B7"/>
    <w:rsid w:val="0047091B"/>
    <w:rsid w:val="00470AE7"/>
    <w:rsid w:val="00470CE8"/>
    <w:rsid w:val="00470E3F"/>
    <w:rsid w:val="00470E71"/>
    <w:rsid w:val="00470F94"/>
    <w:rsid w:val="00471153"/>
    <w:rsid w:val="00471175"/>
    <w:rsid w:val="004711CF"/>
    <w:rsid w:val="0047129C"/>
    <w:rsid w:val="0047132E"/>
    <w:rsid w:val="004714E4"/>
    <w:rsid w:val="0047153D"/>
    <w:rsid w:val="00471696"/>
    <w:rsid w:val="00471C45"/>
    <w:rsid w:val="00471D54"/>
    <w:rsid w:val="00471E8E"/>
    <w:rsid w:val="00472013"/>
    <w:rsid w:val="004722C7"/>
    <w:rsid w:val="004725DA"/>
    <w:rsid w:val="004725F7"/>
    <w:rsid w:val="004726AE"/>
    <w:rsid w:val="00472882"/>
    <w:rsid w:val="0047288D"/>
    <w:rsid w:val="004728F5"/>
    <w:rsid w:val="00472AD7"/>
    <w:rsid w:val="00472B9D"/>
    <w:rsid w:val="00472BB2"/>
    <w:rsid w:val="00472C5A"/>
    <w:rsid w:val="00472C8B"/>
    <w:rsid w:val="00472D1B"/>
    <w:rsid w:val="00472E26"/>
    <w:rsid w:val="004731DB"/>
    <w:rsid w:val="00473414"/>
    <w:rsid w:val="00473442"/>
    <w:rsid w:val="004734CC"/>
    <w:rsid w:val="004735D5"/>
    <w:rsid w:val="00473614"/>
    <w:rsid w:val="00473999"/>
    <w:rsid w:val="00473C20"/>
    <w:rsid w:val="00473D48"/>
    <w:rsid w:val="00473D96"/>
    <w:rsid w:val="00473DB4"/>
    <w:rsid w:val="00473DE1"/>
    <w:rsid w:val="00473E7E"/>
    <w:rsid w:val="00473FD4"/>
    <w:rsid w:val="00473FDF"/>
    <w:rsid w:val="0047400A"/>
    <w:rsid w:val="004741DA"/>
    <w:rsid w:val="004742B6"/>
    <w:rsid w:val="004743BD"/>
    <w:rsid w:val="004744BE"/>
    <w:rsid w:val="004746D6"/>
    <w:rsid w:val="004749B4"/>
    <w:rsid w:val="004749D7"/>
    <w:rsid w:val="00474A74"/>
    <w:rsid w:val="00474BA3"/>
    <w:rsid w:val="00474E3E"/>
    <w:rsid w:val="00474F08"/>
    <w:rsid w:val="00475430"/>
    <w:rsid w:val="004755CC"/>
    <w:rsid w:val="004755D5"/>
    <w:rsid w:val="0047579E"/>
    <w:rsid w:val="004757A5"/>
    <w:rsid w:val="00475919"/>
    <w:rsid w:val="004759BA"/>
    <w:rsid w:val="00475A1D"/>
    <w:rsid w:val="00475A2B"/>
    <w:rsid w:val="00475B9C"/>
    <w:rsid w:val="00475BC9"/>
    <w:rsid w:val="00476312"/>
    <w:rsid w:val="0047645D"/>
    <w:rsid w:val="0047671F"/>
    <w:rsid w:val="00476B4B"/>
    <w:rsid w:val="00476BB1"/>
    <w:rsid w:val="00476C7F"/>
    <w:rsid w:val="004771A7"/>
    <w:rsid w:val="00477291"/>
    <w:rsid w:val="004775C6"/>
    <w:rsid w:val="004777C9"/>
    <w:rsid w:val="00477946"/>
    <w:rsid w:val="004779AE"/>
    <w:rsid w:val="00477C45"/>
    <w:rsid w:val="00477E91"/>
    <w:rsid w:val="004800D6"/>
    <w:rsid w:val="0048024A"/>
    <w:rsid w:val="004802A7"/>
    <w:rsid w:val="00480418"/>
    <w:rsid w:val="0048047C"/>
    <w:rsid w:val="004804B6"/>
    <w:rsid w:val="00480518"/>
    <w:rsid w:val="004805E4"/>
    <w:rsid w:val="0048067C"/>
    <w:rsid w:val="004807EF"/>
    <w:rsid w:val="00480828"/>
    <w:rsid w:val="00480A27"/>
    <w:rsid w:val="00480A3C"/>
    <w:rsid w:val="00480A42"/>
    <w:rsid w:val="00480A7A"/>
    <w:rsid w:val="00481051"/>
    <w:rsid w:val="004810ED"/>
    <w:rsid w:val="004812FD"/>
    <w:rsid w:val="00481353"/>
    <w:rsid w:val="004814A2"/>
    <w:rsid w:val="0048194F"/>
    <w:rsid w:val="00481A10"/>
    <w:rsid w:val="00481A21"/>
    <w:rsid w:val="00481B03"/>
    <w:rsid w:val="00481C17"/>
    <w:rsid w:val="00481CCA"/>
    <w:rsid w:val="00481CD1"/>
    <w:rsid w:val="00481FD5"/>
    <w:rsid w:val="00482155"/>
    <w:rsid w:val="00482179"/>
    <w:rsid w:val="004821E9"/>
    <w:rsid w:val="004822C5"/>
    <w:rsid w:val="00482764"/>
    <w:rsid w:val="00482B77"/>
    <w:rsid w:val="00482C48"/>
    <w:rsid w:val="00483126"/>
    <w:rsid w:val="0048343F"/>
    <w:rsid w:val="004836DF"/>
    <w:rsid w:val="004836E3"/>
    <w:rsid w:val="004836E5"/>
    <w:rsid w:val="00483998"/>
    <w:rsid w:val="004839D2"/>
    <w:rsid w:val="004839E9"/>
    <w:rsid w:val="00483E16"/>
    <w:rsid w:val="00484141"/>
    <w:rsid w:val="00484143"/>
    <w:rsid w:val="004842C4"/>
    <w:rsid w:val="0048431B"/>
    <w:rsid w:val="0048434E"/>
    <w:rsid w:val="004844A9"/>
    <w:rsid w:val="004844D8"/>
    <w:rsid w:val="00484561"/>
    <w:rsid w:val="00484633"/>
    <w:rsid w:val="00484658"/>
    <w:rsid w:val="0048465B"/>
    <w:rsid w:val="00484789"/>
    <w:rsid w:val="004847BC"/>
    <w:rsid w:val="00484961"/>
    <w:rsid w:val="00484A48"/>
    <w:rsid w:val="00484C6D"/>
    <w:rsid w:val="00484F4E"/>
    <w:rsid w:val="00485319"/>
    <w:rsid w:val="004855AF"/>
    <w:rsid w:val="004856CB"/>
    <w:rsid w:val="0048591A"/>
    <w:rsid w:val="00485B8B"/>
    <w:rsid w:val="00485D67"/>
    <w:rsid w:val="00485DE7"/>
    <w:rsid w:val="00485E97"/>
    <w:rsid w:val="00485EFE"/>
    <w:rsid w:val="0048600D"/>
    <w:rsid w:val="00486168"/>
    <w:rsid w:val="004861F8"/>
    <w:rsid w:val="0048627E"/>
    <w:rsid w:val="00486427"/>
    <w:rsid w:val="004864DE"/>
    <w:rsid w:val="004865B0"/>
    <w:rsid w:val="004867CF"/>
    <w:rsid w:val="0048680A"/>
    <w:rsid w:val="00486913"/>
    <w:rsid w:val="00486E5A"/>
    <w:rsid w:val="00486FCD"/>
    <w:rsid w:val="00487054"/>
    <w:rsid w:val="00487230"/>
    <w:rsid w:val="00487413"/>
    <w:rsid w:val="004874A7"/>
    <w:rsid w:val="004874A8"/>
    <w:rsid w:val="0048751B"/>
    <w:rsid w:val="0048775A"/>
    <w:rsid w:val="00487B56"/>
    <w:rsid w:val="00487CBC"/>
    <w:rsid w:val="00487DE1"/>
    <w:rsid w:val="00487EA8"/>
    <w:rsid w:val="00487F03"/>
    <w:rsid w:val="00487F64"/>
    <w:rsid w:val="00490024"/>
    <w:rsid w:val="004900FD"/>
    <w:rsid w:val="00490455"/>
    <w:rsid w:val="00490456"/>
    <w:rsid w:val="00490520"/>
    <w:rsid w:val="004908DE"/>
    <w:rsid w:val="00490A4B"/>
    <w:rsid w:val="00490B49"/>
    <w:rsid w:val="00490CFA"/>
    <w:rsid w:val="00490E9A"/>
    <w:rsid w:val="00491115"/>
    <w:rsid w:val="0049112E"/>
    <w:rsid w:val="004911AC"/>
    <w:rsid w:val="00491296"/>
    <w:rsid w:val="0049134F"/>
    <w:rsid w:val="004913EB"/>
    <w:rsid w:val="00491400"/>
    <w:rsid w:val="00491489"/>
    <w:rsid w:val="00491507"/>
    <w:rsid w:val="00491595"/>
    <w:rsid w:val="004915CA"/>
    <w:rsid w:val="00491B81"/>
    <w:rsid w:val="00491BA0"/>
    <w:rsid w:val="00491D00"/>
    <w:rsid w:val="00491ECA"/>
    <w:rsid w:val="00491F5E"/>
    <w:rsid w:val="00492051"/>
    <w:rsid w:val="00492120"/>
    <w:rsid w:val="00492165"/>
    <w:rsid w:val="0049226C"/>
    <w:rsid w:val="0049236F"/>
    <w:rsid w:val="0049245A"/>
    <w:rsid w:val="00492628"/>
    <w:rsid w:val="0049279D"/>
    <w:rsid w:val="00492C12"/>
    <w:rsid w:val="00492CCA"/>
    <w:rsid w:val="00492D8A"/>
    <w:rsid w:val="00492D8C"/>
    <w:rsid w:val="00492ECE"/>
    <w:rsid w:val="00493013"/>
    <w:rsid w:val="0049315E"/>
    <w:rsid w:val="00493273"/>
    <w:rsid w:val="00493599"/>
    <w:rsid w:val="004935B9"/>
    <w:rsid w:val="004937D1"/>
    <w:rsid w:val="00493852"/>
    <w:rsid w:val="0049385C"/>
    <w:rsid w:val="00493B59"/>
    <w:rsid w:val="00493BB4"/>
    <w:rsid w:val="00493C23"/>
    <w:rsid w:val="00493C53"/>
    <w:rsid w:val="00493E27"/>
    <w:rsid w:val="00493F9E"/>
    <w:rsid w:val="00493FBF"/>
    <w:rsid w:val="00494342"/>
    <w:rsid w:val="004943C8"/>
    <w:rsid w:val="00494401"/>
    <w:rsid w:val="0049443A"/>
    <w:rsid w:val="00494457"/>
    <w:rsid w:val="0049445D"/>
    <w:rsid w:val="004944E6"/>
    <w:rsid w:val="0049454E"/>
    <w:rsid w:val="00494599"/>
    <w:rsid w:val="004949CE"/>
    <w:rsid w:val="00494AA4"/>
    <w:rsid w:val="00494ECC"/>
    <w:rsid w:val="00494F2B"/>
    <w:rsid w:val="00494F78"/>
    <w:rsid w:val="00494F82"/>
    <w:rsid w:val="00495066"/>
    <w:rsid w:val="0049513C"/>
    <w:rsid w:val="004951EA"/>
    <w:rsid w:val="00495218"/>
    <w:rsid w:val="00495238"/>
    <w:rsid w:val="00495333"/>
    <w:rsid w:val="00495D76"/>
    <w:rsid w:val="00495E2B"/>
    <w:rsid w:val="00495E36"/>
    <w:rsid w:val="00496164"/>
    <w:rsid w:val="004963D9"/>
    <w:rsid w:val="00496551"/>
    <w:rsid w:val="00496690"/>
    <w:rsid w:val="00496819"/>
    <w:rsid w:val="00496879"/>
    <w:rsid w:val="00496A59"/>
    <w:rsid w:val="00496BD4"/>
    <w:rsid w:val="00496C1F"/>
    <w:rsid w:val="00496D1F"/>
    <w:rsid w:val="00496E3D"/>
    <w:rsid w:val="00497084"/>
    <w:rsid w:val="0049717E"/>
    <w:rsid w:val="00497201"/>
    <w:rsid w:val="00497774"/>
    <w:rsid w:val="00497786"/>
    <w:rsid w:val="00497A85"/>
    <w:rsid w:val="00497CD8"/>
    <w:rsid w:val="00497F30"/>
    <w:rsid w:val="004A03AA"/>
    <w:rsid w:val="004A0427"/>
    <w:rsid w:val="004A05A0"/>
    <w:rsid w:val="004A05F9"/>
    <w:rsid w:val="004A0A04"/>
    <w:rsid w:val="004A0A77"/>
    <w:rsid w:val="004A0BFB"/>
    <w:rsid w:val="004A0C22"/>
    <w:rsid w:val="004A1045"/>
    <w:rsid w:val="004A10CF"/>
    <w:rsid w:val="004A1397"/>
    <w:rsid w:val="004A1443"/>
    <w:rsid w:val="004A1831"/>
    <w:rsid w:val="004A1A8B"/>
    <w:rsid w:val="004A1E3F"/>
    <w:rsid w:val="004A1EEB"/>
    <w:rsid w:val="004A20E7"/>
    <w:rsid w:val="004A21BC"/>
    <w:rsid w:val="004A22CE"/>
    <w:rsid w:val="004A237D"/>
    <w:rsid w:val="004A270D"/>
    <w:rsid w:val="004A275C"/>
    <w:rsid w:val="004A29C8"/>
    <w:rsid w:val="004A2E11"/>
    <w:rsid w:val="004A3421"/>
    <w:rsid w:val="004A3803"/>
    <w:rsid w:val="004A3817"/>
    <w:rsid w:val="004A3CED"/>
    <w:rsid w:val="004A3D43"/>
    <w:rsid w:val="004A3D72"/>
    <w:rsid w:val="004A3E63"/>
    <w:rsid w:val="004A3F9A"/>
    <w:rsid w:val="004A3FF9"/>
    <w:rsid w:val="004A401D"/>
    <w:rsid w:val="004A404F"/>
    <w:rsid w:val="004A441D"/>
    <w:rsid w:val="004A4524"/>
    <w:rsid w:val="004A4628"/>
    <w:rsid w:val="004A4629"/>
    <w:rsid w:val="004A46F5"/>
    <w:rsid w:val="004A4707"/>
    <w:rsid w:val="004A47C9"/>
    <w:rsid w:val="004A4AFA"/>
    <w:rsid w:val="004A4CC8"/>
    <w:rsid w:val="004A4D15"/>
    <w:rsid w:val="004A4F91"/>
    <w:rsid w:val="004A5162"/>
    <w:rsid w:val="004A55F8"/>
    <w:rsid w:val="004A5811"/>
    <w:rsid w:val="004A5A87"/>
    <w:rsid w:val="004A5AF4"/>
    <w:rsid w:val="004A5CA6"/>
    <w:rsid w:val="004A5CFA"/>
    <w:rsid w:val="004A5F57"/>
    <w:rsid w:val="004A6074"/>
    <w:rsid w:val="004A61D8"/>
    <w:rsid w:val="004A62A2"/>
    <w:rsid w:val="004A63AA"/>
    <w:rsid w:val="004A65F4"/>
    <w:rsid w:val="004A6684"/>
    <w:rsid w:val="004A6732"/>
    <w:rsid w:val="004A6941"/>
    <w:rsid w:val="004A6A15"/>
    <w:rsid w:val="004A6A31"/>
    <w:rsid w:val="004A6D17"/>
    <w:rsid w:val="004A6F33"/>
    <w:rsid w:val="004A6F9F"/>
    <w:rsid w:val="004A6FBB"/>
    <w:rsid w:val="004A70A4"/>
    <w:rsid w:val="004A70F5"/>
    <w:rsid w:val="004A7130"/>
    <w:rsid w:val="004A720D"/>
    <w:rsid w:val="004A72AB"/>
    <w:rsid w:val="004A733D"/>
    <w:rsid w:val="004A74E4"/>
    <w:rsid w:val="004A754C"/>
    <w:rsid w:val="004A768D"/>
    <w:rsid w:val="004A7A9E"/>
    <w:rsid w:val="004A7B46"/>
    <w:rsid w:val="004A7B99"/>
    <w:rsid w:val="004A7C96"/>
    <w:rsid w:val="004A7DAD"/>
    <w:rsid w:val="004A7F18"/>
    <w:rsid w:val="004B00CD"/>
    <w:rsid w:val="004B0468"/>
    <w:rsid w:val="004B055D"/>
    <w:rsid w:val="004B0761"/>
    <w:rsid w:val="004B0773"/>
    <w:rsid w:val="004B0930"/>
    <w:rsid w:val="004B093F"/>
    <w:rsid w:val="004B09F4"/>
    <w:rsid w:val="004B0AD2"/>
    <w:rsid w:val="004B0CF7"/>
    <w:rsid w:val="004B0F14"/>
    <w:rsid w:val="004B103E"/>
    <w:rsid w:val="004B133B"/>
    <w:rsid w:val="004B13EF"/>
    <w:rsid w:val="004B146C"/>
    <w:rsid w:val="004B1761"/>
    <w:rsid w:val="004B18D8"/>
    <w:rsid w:val="004B191D"/>
    <w:rsid w:val="004B1B7B"/>
    <w:rsid w:val="004B1C68"/>
    <w:rsid w:val="004B1CB1"/>
    <w:rsid w:val="004B1F6F"/>
    <w:rsid w:val="004B2124"/>
    <w:rsid w:val="004B2142"/>
    <w:rsid w:val="004B2191"/>
    <w:rsid w:val="004B223A"/>
    <w:rsid w:val="004B234D"/>
    <w:rsid w:val="004B24E1"/>
    <w:rsid w:val="004B2775"/>
    <w:rsid w:val="004B27AF"/>
    <w:rsid w:val="004B286F"/>
    <w:rsid w:val="004B2AA0"/>
    <w:rsid w:val="004B2AD3"/>
    <w:rsid w:val="004B2B7C"/>
    <w:rsid w:val="004B2C2A"/>
    <w:rsid w:val="004B2E44"/>
    <w:rsid w:val="004B2F1C"/>
    <w:rsid w:val="004B2F30"/>
    <w:rsid w:val="004B307D"/>
    <w:rsid w:val="004B30A8"/>
    <w:rsid w:val="004B30D9"/>
    <w:rsid w:val="004B310D"/>
    <w:rsid w:val="004B312F"/>
    <w:rsid w:val="004B3179"/>
    <w:rsid w:val="004B3578"/>
    <w:rsid w:val="004B3835"/>
    <w:rsid w:val="004B3A87"/>
    <w:rsid w:val="004B3B07"/>
    <w:rsid w:val="004B3B1F"/>
    <w:rsid w:val="004B3EB8"/>
    <w:rsid w:val="004B40F5"/>
    <w:rsid w:val="004B42BE"/>
    <w:rsid w:val="004B42E3"/>
    <w:rsid w:val="004B42F5"/>
    <w:rsid w:val="004B4406"/>
    <w:rsid w:val="004B445C"/>
    <w:rsid w:val="004B4559"/>
    <w:rsid w:val="004B456C"/>
    <w:rsid w:val="004B4613"/>
    <w:rsid w:val="004B4798"/>
    <w:rsid w:val="004B4958"/>
    <w:rsid w:val="004B4A02"/>
    <w:rsid w:val="004B4B1F"/>
    <w:rsid w:val="004B4B57"/>
    <w:rsid w:val="004B4B7F"/>
    <w:rsid w:val="004B4C06"/>
    <w:rsid w:val="004B4CB7"/>
    <w:rsid w:val="004B4DD8"/>
    <w:rsid w:val="004B505D"/>
    <w:rsid w:val="004B50D1"/>
    <w:rsid w:val="004B5172"/>
    <w:rsid w:val="004B5366"/>
    <w:rsid w:val="004B5500"/>
    <w:rsid w:val="004B553E"/>
    <w:rsid w:val="004B5575"/>
    <w:rsid w:val="004B55B2"/>
    <w:rsid w:val="004B566B"/>
    <w:rsid w:val="004B5A64"/>
    <w:rsid w:val="004B5A7F"/>
    <w:rsid w:val="004B5B43"/>
    <w:rsid w:val="004B5B4E"/>
    <w:rsid w:val="004B605C"/>
    <w:rsid w:val="004B60DC"/>
    <w:rsid w:val="004B62B9"/>
    <w:rsid w:val="004B6340"/>
    <w:rsid w:val="004B64C7"/>
    <w:rsid w:val="004B64EC"/>
    <w:rsid w:val="004B660B"/>
    <w:rsid w:val="004B6791"/>
    <w:rsid w:val="004B680A"/>
    <w:rsid w:val="004B684C"/>
    <w:rsid w:val="004B6B0C"/>
    <w:rsid w:val="004B6B41"/>
    <w:rsid w:val="004B6C21"/>
    <w:rsid w:val="004B6CB1"/>
    <w:rsid w:val="004B6D27"/>
    <w:rsid w:val="004B6F77"/>
    <w:rsid w:val="004B7167"/>
    <w:rsid w:val="004B7822"/>
    <w:rsid w:val="004B78E1"/>
    <w:rsid w:val="004B7C91"/>
    <w:rsid w:val="004C0009"/>
    <w:rsid w:val="004C00D4"/>
    <w:rsid w:val="004C0158"/>
    <w:rsid w:val="004C048E"/>
    <w:rsid w:val="004C04E0"/>
    <w:rsid w:val="004C04E3"/>
    <w:rsid w:val="004C0546"/>
    <w:rsid w:val="004C055C"/>
    <w:rsid w:val="004C05A6"/>
    <w:rsid w:val="004C0676"/>
    <w:rsid w:val="004C075C"/>
    <w:rsid w:val="004C0A69"/>
    <w:rsid w:val="004C0B30"/>
    <w:rsid w:val="004C0D78"/>
    <w:rsid w:val="004C0E50"/>
    <w:rsid w:val="004C0EC9"/>
    <w:rsid w:val="004C0F25"/>
    <w:rsid w:val="004C1085"/>
    <w:rsid w:val="004C1214"/>
    <w:rsid w:val="004C1366"/>
    <w:rsid w:val="004C141E"/>
    <w:rsid w:val="004C160D"/>
    <w:rsid w:val="004C163D"/>
    <w:rsid w:val="004C183B"/>
    <w:rsid w:val="004C18CE"/>
    <w:rsid w:val="004C1C91"/>
    <w:rsid w:val="004C1E1F"/>
    <w:rsid w:val="004C1E35"/>
    <w:rsid w:val="004C1E9E"/>
    <w:rsid w:val="004C1EC1"/>
    <w:rsid w:val="004C1FFD"/>
    <w:rsid w:val="004C2332"/>
    <w:rsid w:val="004C2504"/>
    <w:rsid w:val="004C271F"/>
    <w:rsid w:val="004C2749"/>
    <w:rsid w:val="004C2D45"/>
    <w:rsid w:val="004C2E35"/>
    <w:rsid w:val="004C3290"/>
    <w:rsid w:val="004C3396"/>
    <w:rsid w:val="004C33B3"/>
    <w:rsid w:val="004C3623"/>
    <w:rsid w:val="004C366C"/>
    <w:rsid w:val="004C375B"/>
    <w:rsid w:val="004C37AA"/>
    <w:rsid w:val="004C3A04"/>
    <w:rsid w:val="004C3BCB"/>
    <w:rsid w:val="004C3F54"/>
    <w:rsid w:val="004C3F98"/>
    <w:rsid w:val="004C4047"/>
    <w:rsid w:val="004C43B0"/>
    <w:rsid w:val="004C46F4"/>
    <w:rsid w:val="004C4828"/>
    <w:rsid w:val="004C4854"/>
    <w:rsid w:val="004C48FF"/>
    <w:rsid w:val="004C497B"/>
    <w:rsid w:val="004C4982"/>
    <w:rsid w:val="004C4A96"/>
    <w:rsid w:val="004C4AD2"/>
    <w:rsid w:val="004C4BD7"/>
    <w:rsid w:val="004C4C47"/>
    <w:rsid w:val="004C4D18"/>
    <w:rsid w:val="004C5267"/>
    <w:rsid w:val="004C53BC"/>
    <w:rsid w:val="004C565D"/>
    <w:rsid w:val="004C56EA"/>
    <w:rsid w:val="004C56ED"/>
    <w:rsid w:val="004C581B"/>
    <w:rsid w:val="004C5925"/>
    <w:rsid w:val="004C5A35"/>
    <w:rsid w:val="004C5A6E"/>
    <w:rsid w:val="004C5B31"/>
    <w:rsid w:val="004C5BC9"/>
    <w:rsid w:val="004C5E1A"/>
    <w:rsid w:val="004C5FC0"/>
    <w:rsid w:val="004C6095"/>
    <w:rsid w:val="004C6122"/>
    <w:rsid w:val="004C6843"/>
    <w:rsid w:val="004C6901"/>
    <w:rsid w:val="004C695F"/>
    <w:rsid w:val="004C6AC3"/>
    <w:rsid w:val="004C6E35"/>
    <w:rsid w:val="004C7049"/>
    <w:rsid w:val="004C70F0"/>
    <w:rsid w:val="004C7228"/>
    <w:rsid w:val="004C7334"/>
    <w:rsid w:val="004C73F5"/>
    <w:rsid w:val="004C7BE4"/>
    <w:rsid w:val="004C7C88"/>
    <w:rsid w:val="004C7F47"/>
    <w:rsid w:val="004D04F1"/>
    <w:rsid w:val="004D08A2"/>
    <w:rsid w:val="004D08B5"/>
    <w:rsid w:val="004D099D"/>
    <w:rsid w:val="004D0DBD"/>
    <w:rsid w:val="004D0DCB"/>
    <w:rsid w:val="004D0EEA"/>
    <w:rsid w:val="004D1200"/>
    <w:rsid w:val="004D12EE"/>
    <w:rsid w:val="004D131F"/>
    <w:rsid w:val="004D1AEE"/>
    <w:rsid w:val="004D1B54"/>
    <w:rsid w:val="004D1BA8"/>
    <w:rsid w:val="004D1BD3"/>
    <w:rsid w:val="004D2007"/>
    <w:rsid w:val="004D213B"/>
    <w:rsid w:val="004D2328"/>
    <w:rsid w:val="004D2338"/>
    <w:rsid w:val="004D23AA"/>
    <w:rsid w:val="004D25B2"/>
    <w:rsid w:val="004D25B3"/>
    <w:rsid w:val="004D2756"/>
    <w:rsid w:val="004D2792"/>
    <w:rsid w:val="004D2893"/>
    <w:rsid w:val="004D29ED"/>
    <w:rsid w:val="004D2A15"/>
    <w:rsid w:val="004D2C71"/>
    <w:rsid w:val="004D2CDB"/>
    <w:rsid w:val="004D2CF1"/>
    <w:rsid w:val="004D317F"/>
    <w:rsid w:val="004D32A5"/>
    <w:rsid w:val="004D3374"/>
    <w:rsid w:val="004D34F6"/>
    <w:rsid w:val="004D3611"/>
    <w:rsid w:val="004D3616"/>
    <w:rsid w:val="004D3686"/>
    <w:rsid w:val="004D36F4"/>
    <w:rsid w:val="004D3718"/>
    <w:rsid w:val="004D3A39"/>
    <w:rsid w:val="004D3A83"/>
    <w:rsid w:val="004D3AD2"/>
    <w:rsid w:val="004D3C25"/>
    <w:rsid w:val="004D3D6E"/>
    <w:rsid w:val="004D3DAA"/>
    <w:rsid w:val="004D41C4"/>
    <w:rsid w:val="004D44F7"/>
    <w:rsid w:val="004D47E9"/>
    <w:rsid w:val="004D4A38"/>
    <w:rsid w:val="004D4C6E"/>
    <w:rsid w:val="004D4D37"/>
    <w:rsid w:val="004D4FE3"/>
    <w:rsid w:val="004D515A"/>
    <w:rsid w:val="004D546E"/>
    <w:rsid w:val="004D592F"/>
    <w:rsid w:val="004D5C94"/>
    <w:rsid w:val="004D5F0D"/>
    <w:rsid w:val="004D5F78"/>
    <w:rsid w:val="004D6097"/>
    <w:rsid w:val="004D60FA"/>
    <w:rsid w:val="004D611A"/>
    <w:rsid w:val="004D611B"/>
    <w:rsid w:val="004D6271"/>
    <w:rsid w:val="004D63E6"/>
    <w:rsid w:val="004D6607"/>
    <w:rsid w:val="004D66E5"/>
    <w:rsid w:val="004D67A8"/>
    <w:rsid w:val="004D6B32"/>
    <w:rsid w:val="004D6B84"/>
    <w:rsid w:val="004D6CC1"/>
    <w:rsid w:val="004D6D4E"/>
    <w:rsid w:val="004D71AE"/>
    <w:rsid w:val="004D72CC"/>
    <w:rsid w:val="004D73A5"/>
    <w:rsid w:val="004D7541"/>
    <w:rsid w:val="004D76D9"/>
    <w:rsid w:val="004D787D"/>
    <w:rsid w:val="004D7935"/>
    <w:rsid w:val="004D79F8"/>
    <w:rsid w:val="004D7B7D"/>
    <w:rsid w:val="004D7BA6"/>
    <w:rsid w:val="004D7D25"/>
    <w:rsid w:val="004D7EE9"/>
    <w:rsid w:val="004D7F65"/>
    <w:rsid w:val="004D7FC6"/>
    <w:rsid w:val="004E0075"/>
    <w:rsid w:val="004E00BB"/>
    <w:rsid w:val="004E01D8"/>
    <w:rsid w:val="004E0217"/>
    <w:rsid w:val="004E0274"/>
    <w:rsid w:val="004E02E0"/>
    <w:rsid w:val="004E0464"/>
    <w:rsid w:val="004E0AC5"/>
    <w:rsid w:val="004E0ADC"/>
    <w:rsid w:val="004E0BAA"/>
    <w:rsid w:val="004E0C83"/>
    <w:rsid w:val="004E0D7E"/>
    <w:rsid w:val="004E0DF6"/>
    <w:rsid w:val="004E0F88"/>
    <w:rsid w:val="004E0FC3"/>
    <w:rsid w:val="004E10FA"/>
    <w:rsid w:val="004E1687"/>
    <w:rsid w:val="004E1931"/>
    <w:rsid w:val="004E1B8A"/>
    <w:rsid w:val="004E1D00"/>
    <w:rsid w:val="004E1DCE"/>
    <w:rsid w:val="004E1ECB"/>
    <w:rsid w:val="004E2245"/>
    <w:rsid w:val="004E2347"/>
    <w:rsid w:val="004E23D8"/>
    <w:rsid w:val="004E241D"/>
    <w:rsid w:val="004E2422"/>
    <w:rsid w:val="004E24B2"/>
    <w:rsid w:val="004E267F"/>
    <w:rsid w:val="004E2771"/>
    <w:rsid w:val="004E278C"/>
    <w:rsid w:val="004E2859"/>
    <w:rsid w:val="004E2904"/>
    <w:rsid w:val="004E2A77"/>
    <w:rsid w:val="004E2BC1"/>
    <w:rsid w:val="004E2C00"/>
    <w:rsid w:val="004E2C24"/>
    <w:rsid w:val="004E2C86"/>
    <w:rsid w:val="004E3042"/>
    <w:rsid w:val="004E30AD"/>
    <w:rsid w:val="004E34FC"/>
    <w:rsid w:val="004E380A"/>
    <w:rsid w:val="004E3978"/>
    <w:rsid w:val="004E39CC"/>
    <w:rsid w:val="004E39F2"/>
    <w:rsid w:val="004E3A04"/>
    <w:rsid w:val="004E3A0A"/>
    <w:rsid w:val="004E3B11"/>
    <w:rsid w:val="004E3B65"/>
    <w:rsid w:val="004E3C63"/>
    <w:rsid w:val="004E3E13"/>
    <w:rsid w:val="004E3FB3"/>
    <w:rsid w:val="004E40E4"/>
    <w:rsid w:val="004E4364"/>
    <w:rsid w:val="004E4963"/>
    <w:rsid w:val="004E4AF3"/>
    <w:rsid w:val="004E4C46"/>
    <w:rsid w:val="004E4D7F"/>
    <w:rsid w:val="004E4E62"/>
    <w:rsid w:val="004E4E83"/>
    <w:rsid w:val="004E4F5F"/>
    <w:rsid w:val="004E504A"/>
    <w:rsid w:val="004E54EC"/>
    <w:rsid w:val="004E554D"/>
    <w:rsid w:val="004E5607"/>
    <w:rsid w:val="004E57A7"/>
    <w:rsid w:val="004E582F"/>
    <w:rsid w:val="004E5A50"/>
    <w:rsid w:val="004E5D11"/>
    <w:rsid w:val="004E6029"/>
    <w:rsid w:val="004E602F"/>
    <w:rsid w:val="004E605C"/>
    <w:rsid w:val="004E611E"/>
    <w:rsid w:val="004E6173"/>
    <w:rsid w:val="004E626A"/>
    <w:rsid w:val="004E62EF"/>
    <w:rsid w:val="004E639F"/>
    <w:rsid w:val="004E64DA"/>
    <w:rsid w:val="004E67C9"/>
    <w:rsid w:val="004E6A42"/>
    <w:rsid w:val="004E6B7F"/>
    <w:rsid w:val="004E6D69"/>
    <w:rsid w:val="004E7267"/>
    <w:rsid w:val="004E726F"/>
    <w:rsid w:val="004E72D9"/>
    <w:rsid w:val="004E7314"/>
    <w:rsid w:val="004E747A"/>
    <w:rsid w:val="004E760D"/>
    <w:rsid w:val="004E7699"/>
    <w:rsid w:val="004E7830"/>
    <w:rsid w:val="004E7885"/>
    <w:rsid w:val="004E7935"/>
    <w:rsid w:val="004E799B"/>
    <w:rsid w:val="004E7D8C"/>
    <w:rsid w:val="004E7EA4"/>
    <w:rsid w:val="004F0009"/>
    <w:rsid w:val="004F0122"/>
    <w:rsid w:val="004F0248"/>
    <w:rsid w:val="004F02DB"/>
    <w:rsid w:val="004F0409"/>
    <w:rsid w:val="004F0529"/>
    <w:rsid w:val="004F05DC"/>
    <w:rsid w:val="004F069C"/>
    <w:rsid w:val="004F073E"/>
    <w:rsid w:val="004F075F"/>
    <w:rsid w:val="004F07FF"/>
    <w:rsid w:val="004F09EA"/>
    <w:rsid w:val="004F0F7F"/>
    <w:rsid w:val="004F10BC"/>
    <w:rsid w:val="004F11A8"/>
    <w:rsid w:val="004F1416"/>
    <w:rsid w:val="004F1439"/>
    <w:rsid w:val="004F1614"/>
    <w:rsid w:val="004F16F8"/>
    <w:rsid w:val="004F1956"/>
    <w:rsid w:val="004F198A"/>
    <w:rsid w:val="004F1AF9"/>
    <w:rsid w:val="004F1B57"/>
    <w:rsid w:val="004F1D70"/>
    <w:rsid w:val="004F1E5B"/>
    <w:rsid w:val="004F1EEF"/>
    <w:rsid w:val="004F20D7"/>
    <w:rsid w:val="004F22D6"/>
    <w:rsid w:val="004F2697"/>
    <w:rsid w:val="004F282A"/>
    <w:rsid w:val="004F29C1"/>
    <w:rsid w:val="004F2A42"/>
    <w:rsid w:val="004F2B1B"/>
    <w:rsid w:val="004F2B73"/>
    <w:rsid w:val="004F2BDB"/>
    <w:rsid w:val="004F2C77"/>
    <w:rsid w:val="004F2E0A"/>
    <w:rsid w:val="004F2E30"/>
    <w:rsid w:val="004F3136"/>
    <w:rsid w:val="004F32CE"/>
    <w:rsid w:val="004F36E4"/>
    <w:rsid w:val="004F3712"/>
    <w:rsid w:val="004F3964"/>
    <w:rsid w:val="004F3B23"/>
    <w:rsid w:val="004F3B9B"/>
    <w:rsid w:val="004F3C52"/>
    <w:rsid w:val="004F3C58"/>
    <w:rsid w:val="004F3D00"/>
    <w:rsid w:val="004F3D17"/>
    <w:rsid w:val="004F4118"/>
    <w:rsid w:val="004F41A7"/>
    <w:rsid w:val="004F4330"/>
    <w:rsid w:val="004F4419"/>
    <w:rsid w:val="004F4682"/>
    <w:rsid w:val="004F48C2"/>
    <w:rsid w:val="004F49D2"/>
    <w:rsid w:val="004F4C52"/>
    <w:rsid w:val="004F4DDB"/>
    <w:rsid w:val="004F4E76"/>
    <w:rsid w:val="004F501C"/>
    <w:rsid w:val="004F517F"/>
    <w:rsid w:val="004F536D"/>
    <w:rsid w:val="004F57C7"/>
    <w:rsid w:val="004F57CE"/>
    <w:rsid w:val="004F597F"/>
    <w:rsid w:val="004F5C13"/>
    <w:rsid w:val="004F5CFF"/>
    <w:rsid w:val="004F6090"/>
    <w:rsid w:val="004F6123"/>
    <w:rsid w:val="004F6248"/>
    <w:rsid w:val="004F632A"/>
    <w:rsid w:val="004F64A4"/>
    <w:rsid w:val="004F65C0"/>
    <w:rsid w:val="004F66E8"/>
    <w:rsid w:val="004F67A0"/>
    <w:rsid w:val="004F685C"/>
    <w:rsid w:val="004F68FC"/>
    <w:rsid w:val="004F6985"/>
    <w:rsid w:val="004F699E"/>
    <w:rsid w:val="004F6BA1"/>
    <w:rsid w:val="004F6E14"/>
    <w:rsid w:val="004F6FCC"/>
    <w:rsid w:val="004F707F"/>
    <w:rsid w:val="004F70A2"/>
    <w:rsid w:val="004F7103"/>
    <w:rsid w:val="004F7138"/>
    <w:rsid w:val="004F7178"/>
    <w:rsid w:val="004F74C8"/>
    <w:rsid w:val="004F75E4"/>
    <w:rsid w:val="004F764C"/>
    <w:rsid w:val="004F76D2"/>
    <w:rsid w:val="004F7870"/>
    <w:rsid w:val="004F796C"/>
    <w:rsid w:val="004F7BAE"/>
    <w:rsid w:val="004F7C4F"/>
    <w:rsid w:val="004F7D97"/>
    <w:rsid w:val="004F7EAD"/>
    <w:rsid w:val="004F7ECD"/>
    <w:rsid w:val="004F7FFD"/>
    <w:rsid w:val="00500087"/>
    <w:rsid w:val="005000AA"/>
    <w:rsid w:val="005001C0"/>
    <w:rsid w:val="00500426"/>
    <w:rsid w:val="005006E9"/>
    <w:rsid w:val="0050083A"/>
    <w:rsid w:val="00500948"/>
    <w:rsid w:val="005009D8"/>
    <w:rsid w:val="00500CBA"/>
    <w:rsid w:val="00501020"/>
    <w:rsid w:val="005012B3"/>
    <w:rsid w:val="0050149E"/>
    <w:rsid w:val="00501568"/>
    <w:rsid w:val="00501680"/>
    <w:rsid w:val="00501789"/>
    <w:rsid w:val="00501912"/>
    <w:rsid w:val="00501C31"/>
    <w:rsid w:val="00501DAD"/>
    <w:rsid w:val="0050215C"/>
    <w:rsid w:val="0050245C"/>
    <w:rsid w:val="005026C4"/>
    <w:rsid w:val="005027CC"/>
    <w:rsid w:val="00502965"/>
    <w:rsid w:val="005029A3"/>
    <w:rsid w:val="00502C18"/>
    <w:rsid w:val="00502CA2"/>
    <w:rsid w:val="00502ED5"/>
    <w:rsid w:val="0050326E"/>
    <w:rsid w:val="0050333F"/>
    <w:rsid w:val="005034B7"/>
    <w:rsid w:val="00503587"/>
    <w:rsid w:val="00503738"/>
    <w:rsid w:val="005039EC"/>
    <w:rsid w:val="00503BFE"/>
    <w:rsid w:val="00503C94"/>
    <w:rsid w:val="00503EFD"/>
    <w:rsid w:val="00503F5D"/>
    <w:rsid w:val="00503FEA"/>
    <w:rsid w:val="0050409D"/>
    <w:rsid w:val="005040DD"/>
    <w:rsid w:val="005041B4"/>
    <w:rsid w:val="00504318"/>
    <w:rsid w:val="005043C8"/>
    <w:rsid w:val="0050440F"/>
    <w:rsid w:val="00504455"/>
    <w:rsid w:val="00504466"/>
    <w:rsid w:val="005047B6"/>
    <w:rsid w:val="005048CA"/>
    <w:rsid w:val="005048FA"/>
    <w:rsid w:val="005049AC"/>
    <w:rsid w:val="005049DA"/>
    <w:rsid w:val="00504B8A"/>
    <w:rsid w:val="00504EB7"/>
    <w:rsid w:val="0050506A"/>
    <w:rsid w:val="005051F1"/>
    <w:rsid w:val="005055E4"/>
    <w:rsid w:val="00505623"/>
    <w:rsid w:val="00505A76"/>
    <w:rsid w:val="00505D11"/>
    <w:rsid w:val="00505F43"/>
    <w:rsid w:val="0050610D"/>
    <w:rsid w:val="00506360"/>
    <w:rsid w:val="00506571"/>
    <w:rsid w:val="005065BF"/>
    <w:rsid w:val="005065E8"/>
    <w:rsid w:val="00506661"/>
    <w:rsid w:val="0050678E"/>
    <w:rsid w:val="005067D0"/>
    <w:rsid w:val="005067D4"/>
    <w:rsid w:val="0050682D"/>
    <w:rsid w:val="00506978"/>
    <w:rsid w:val="00506A45"/>
    <w:rsid w:val="00506A72"/>
    <w:rsid w:val="00506AA5"/>
    <w:rsid w:val="00507341"/>
    <w:rsid w:val="00507523"/>
    <w:rsid w:val="00507579"/>
    <w:rsid w:val="00507626"/>
    <w:rsid w:val="00507662"/>
    <w:rsid w:val="00507691"/>
    <w:rsid w:val="005077EB"/>
    <w:rsid w:val="005078DA"/>
    <w:rsid w:val="005078ED"/>
    <w:rsid w:val="00507950"/>
    <w:rsid w:val="00507979"/>
    <w:rsid w:val="005079DE"/>
    <w:rsid w:val="00507A23"/>
    <w:rsid w:val="00507A2C"/>
    <w:rsid w:val="00507C99"/>
    <w:rsid w:val="00507D25"/>
    <w:rsid w:val="00507DD1"/>
    <w:rsid w:val="00510036"/>
    <w:rsid w:val="00510411"/>
    <w:rsid w:val="005104A3"/>
    <w:rsid w:val="00510527"/>
    <w:rsid w:val="005107E1"/>
    <w:rsid w:val="005108DE"/>
    <w:rsid w:val="0051097B"/>
    <w:rsid w:val="0051099A"/>
    <w:rsid w:val="00510C24"/>
    <w:rsid w:val="00510CFA"/>
    <w:rsid w:val="00510DE2"/>
    <w:rsid w:val="00510E6D"/>
    <w:rsid w:val="00510E72"/>
    <w:rsid w:val="00510ED3"/>
    <w:rsid w:val="00510F55"/>
    <w:rsid w:val="00511081"/>
    <w:rsid w:val="005110C1"/>
    <w:rsid w:val="005111AF"/>
    <w:rsid w:val="00511475"/>
    <w:rsid w:val="005115E8"/>
    <w:rsid w:val="0051188F"/>
    <w:rsid w:val="00511966"/>
    <w:rsid w:val="005119D2"/>
    <w:rsid w:val="00511B83"/>
    <w:rsid w:val="00511EBA"/>
    <w:rsid w:val="00511F17"/>
    <w:rsid w:val="00511F6A"/>
    <w:rsid w:val="0051213E"/>
    <w:rsid w:val="005122F7"/>
    <w:rsid w:val="00512562"/>
    <w:rsid w:val="005127DA"/>
    <w:rsid w:val="0051287D"/>
    <w:rsid w:val="00512908"/>
    <w:rsid w:val="0051291B"/>
    <w:rsid w:val="0051299B"/>
    <w:rsid w:val="00512B23"/>
    <w:rsid w:val="00512BA9"/>
    <w:rsid w:val="00512CF6"/>
    <w:rsid w:val="00512D3C"/>
    <w:rsid w:val="00512D57"/>
    <w:rsid w:val="00512D67"/>
    <w:rsid w:val="00512FAB"/>
    <w:rsid w:val="00513063"/>
    <w:rsid w:val="005135E0"/>
    <w:rsid w:val="0051374A"/>
    <w:rsid w:val="0051399D"/>
    <w:rsid w:val="005139BF"/>
    <w:rsid w:val="00513AD8"/>
    <w:rsid w:val="00513C1A"/>
    <w:rsid w:val="00513C45"/>
    <w:rsid w:val="00513DA0"/>
    <w:rsid w:val="00513F9D"/>
    <w:rsid w:val="00513FE7"/>
    <w:rsid w:val="005144B0"/>
    <w:rsid w:val="00514694"/>
    <w:rsid w:val="005146A1"/>
    <w:rsid w:val="00514948"/>
    <w:rsid w:val="00514B0B"/>
    <w:rsid w:val="00514B31"/>
    <w:rsid w:val="00514DB8"/>
    <w:rsid w:val="00514E1A"/>
    <w:rsid w:val="00514E43"/>
    <w:rsid w:val="00514ECE"/>
    <w:rsid w:val="00514F32"/>
    <w:rsid w:val="0051506A"/>
    <w:rsid w:val="00515205"/>
    <w:rsid w:val="00515597"/>
    <w:rsid w:val="00515933"/>
    <w:rsid w:val="00515C89"/>
    <w:rsid w:val="00515D9F"/>
    <w:rsid w:val="00515E85"/>
    <w:rsid w:val="00515F66"/>
    <w:rsid w:val="005160EA"/>
    <w:rsid w:val="00516115"/>
    <w:rsid w:val="005162D4"/>
    <w:rsid w:val="0051636E"/>
    <w:rsid w:val="0051643E"/>
    <w:rsid w:val="0051682A"/>
    <w:rsid w:val="0051698D"/>
    <w:rsid w:val="00516999"/>
    <w:rsid w:val="00516A28"/>
    <w:rsid w:val="00516B9B"/>
    <w:rsid w:val="00516CE9"/>
    <w:rsid w:val="00516F5D"/>
    <w:rsid w:val="00517225"/>
    <w:rsid w:val="005172A3"/>
    <w:rsid w:val="0051730C"/>
    <w:rsid w:val="0051746D"/>
    <w:rsid w:val="00517D8C"/>
    <w:rsid w:val="00517F15"/>
    <w:rsid w:val="00517F54"/>
    <w:rsid w:val="00520287"/>
    <w:rsid w:val="0052028B"/>
    <w:rsid w:val="00520300"/>
    <w:rsid w:val="005204D0"/>
    <w:rsid w:val="005209DB"/>
    <w:rsid w:val="00520BBD"/>
    <w:rsid w:val="00520C52"/>
    <w:rsid w:val="00520D64"/>
    <w:rsid w:val="0052108C"/>
    <w:rsid w:val="00521248"/>
    <w:rsid w:val="0052154C"/>
    <w:rsid w:val="00521570"/>
    <w:rsid w:val="005215CA"/>
    <w:rsid w:val="00521BA8"/>
    <w:rsid w:val="00521E84"/>
    <w:rsid w:val="00522098"/>
    <w:rsid w:val="0052209A"/>
    <w:rsid w:val="0052234A"/>
    <w:rsid w:val="005223A0"/>
    <w:rsid w:val="00522454"/>
    <w:rsid w:val="005224E7"/>
    <w:rsid w:val="0052263E"/>
    <w:rsid w:val="00522692"/>
    <w:rsid w:val="005228E3"/>
    <w:rsid w:val="0052299C"/>
    <w:rsid w:val="00522AC5"/>
    <w:rsid w:val="00522B97"/>
    <w:rsid w:val="00522ECB"/>
    <w:rsid w:val="00523279"/>
    <w:rsid w:val="0052328E"/>
    <w:rsid w:val="005234A7"/>
    <w:rsid w:val="0052359A"/>
    <w:rsid w:val="00523764"/>
    <w:rsid w:val="00523780"/>
    <w:rsid w:val="0052389F"/>
    <w:rsid w:val="005238C3"/>
    <w:rsid w:val="005238E9"/>
    <w:rsid w:val="00523AA8"/>
    <w:rsid w:val="00523B51"/>
    <w:rsid w:val="00523DD1"/>
    <w:rsid w:val="00523E29"/>
    <w:rsid w:val="00523E67"/>
    <w:rsid w:val="00523FDB"/>
    <w:rsid w:val="00524A64"/>
    <w:rsid w:val="00524C61"/>
    <w:rsid w:val="00524C7C"/>
    <w:rsid w:val="0052564F"/>
    <w:rsid w:val="005259F4"/>
    <w:rsid w:val="00525B00"/>
    <w:rsid w:val="00525DCF"/>
    <w:rsid w:val="0052600B"/>
    <w:rsid w:val="00526152"/>
    <w:rsid w:val="0052631E"/>
    <w:rsid w:val="0052632B"/>
    <w:rsid w:val="005263C7"/>
    <w:rsid w:val="00526593"/>
    <w:rsid w:val="0052660F"/>
    <w:rsid w:val="0052682C"/>
    <w:rsid w:val="00526871"/>
    <w:rsid w:val="00526A18"/>
    <w:rsid w:val="00526BA5"/>
    <w:rsid w:val="00526BE5"/>
    <w:rsid w:val="00526C7D"/>
    <w:rsid w:val="00526CFC"/>
    <w:rsid w:val="00526EE3"/>
    <w:rsid w:val="00527129"/>
    <w:rsid w:val="005271D2"/>
    <w:rsid w:val="00527475"/>
    <w:rsid w:val="00527540"/>
    <w:rsid w:val="00527666"/>
    <w:rsid w:val="005276D9"/>
    <w:rsid w:val="005276EE"/>
    <w:rsid w:val="00527B89"/>
    <w:rsid w:val="00527D4F"/>
    <w:rsid w:val="00527DFE"/>
    <w:rsid w:val="00527E96"/>
    <w:rsid w:val="00527EE9"/>
    <w:rsid w:val="00530078"/>
    <w:rsid w:val="005300BB"/>
    <w:rsid w:val="00530188"/>
    <w:rsid w:val="00530436"/>
    <w:rsid w:val="0053070E"/>
    <w:rsid w:val="00530766"/>
    <w:rsid w:val="00530CEA"/>
    <w:rsid w:val="00530DF4"/>
    <w:rsid w:val="00531031"/>
    <w:rsid w:val="00531240"/>
    <w:rsid w:val="005312AE"/>
    <w:rsid w:val="0053137A"/>
    <w:rsid w:val="00531607"/>
    <w:rsid w:val="00531685"/>
    <w:rsid w:val="005316CA"/>
    <w:rsid w:val="0053191F"/>
    <w:rsid w:val="0053195E"/>
    <w:rsid w:val="005319E9"/>
    <w:rsid w:val="00531A30"/>
    <w:rsid w:val="00531B19"/>
    <w:rsid w:val="00531BEA"/>
    <w:rsid w:val="00531C0C"/>
    <w:rsid w:val="00531C98"/>
    <w:rsid w:val="00531DA2"/>
    <w:rsid w:val="0053207C"/>
    <w:rsid w:val="0053250B"/>
    <w:rsid w:val="005325C3"/>
    <w:rsid w:val="005325DD"/>
    <w:rsid w:val="005326B1"/>
    <w:rsid w:val="00532720"/>
    <w:rsid w:val="005328C1"/>
    <w:rsid w:val="005328E3"/>
    <w:rsid w:val="005329C2"/>
    <w:rsid w:val="00532AAD"/>
    <w:rsid w:val="00532C3A"/>
    <w:rsid w:val="00532CC7"/>
    <w:rsid w:val="00532F0A"/>
    <w:rsid w:val="00532F8F"/>
    <w:rsid w:val="00532FA8"/>
    <w:rsid w:val="00532FFA"/>
    <w:rsid w:val="00533106"/>
    <w:rsid w:val="00533214"/>
    <w:rsid w:val="005332C9"/>
    <w:rsid w:val="0053330B"/>
    <w:rsid w:val="005334F8"/>
    <w:rsid w:val="0053369A"/>
    <w:rsid w:val="0053378F"/>
    <w:rsid w:val="005339C1"/>
    <w:rsid w:val="00533D54"/>
    <w:rsid w:val="00534099"/>
    <w:rsid w:val="00534157"/>
    <w:rsid w:val="005342A4"/>
    <w:rsid w:val="005342C9"/>
    <w:rsid w:val="0053443E"/>
    <w:rsid w:val="00534468"/>
    <w:rsid w:val="005344AC"/>
    <w:rsid w:val="00534628"/>
    <w:rsid w:val="00534649"/>
    <w:rsid w:val="005346D5"/>
    <w:rsid w:val="00534739"/>
    <w:rsid w:val="005347CD"/>
    <w:rsid w:val="00534A6A"/>
    <w:rsid w:val="00534B10"/>
    <w:rsid w:val="00534BC2"/>
    <w:rsid w:val="00534C0F"/>
    <w:rsid w:val="00534F1C"/>
    <w:rsid w:val="00535208"/>
    <w:rsid w:val="00535360"/>
    <w:rsid w:val="0053537E"/>
    <w:rsid w:val="00535427"/>
    <w:rsid w:val="00535636"/>
    <w:rsid w:val="00535662"/>
    <w:rsid w:val="005356F1"/>
    <w:rsid w:val="00535960"/>
    <w:rsid w:val="00535992"/>
    <w:rsid w:val="00535A70"/>
    <w:rsid w:val="00535BF7"/>
    <w:rsid w:val="00535E73"/>
    <w:rsid w:val="00535FAE"/>
    <w:rsid w:val="00536036"/>
    <w:rsid w:val="00536496"/>
    <w:rsid w:val="005364C1"/>
    <w:rsid w:val="00536A60"/>
    <w:rsid w:val="00536A6C"/>
    <w:rsid w:val="00536AB4"/>
    <w:rsid w:val="00536B23"/>
    <w:rsid w:val="00536BF0"/>
    <w:rsid w:val="00536D68"/>
    <w:rsid w:val="00536DB9"/>
    <w:rsid w:val="0053716F"/>
    <w:rsid w:val="0053743B"/>
    <w:rsid w:val="00537483"/>
    <w:rsid w:val="005374B5"/>
    <w:rsid w:val="005375CA"/>
    <w:rsid w:val="00537632"/>
    <w:rsid w:val="0053765E"/>
    <w:rsid w:val="005379E7"/>
    <w:rsid w:val="00537D27"/>
    <w:rsid w:val="00537D32"/>
    <w:rsid w:val="00537E35"/>
    <w:rsid w:val="00537E5E"/>
    <w:rsid w:val="0054003F"/>
    <w:rsid w:val="005400E1"/>
    <w:rsid w:val="005403C7"/>
    <w:rsid w:val="00540570"/>
    <w:rsid w:val="005408C9"/>
    <w:rsid w:val="0054098C"/>
    <w:rsid w:val="00540B65"/>
    <w:rsid w:val="00540C7B"/>
    <w:rsid w:val="00540EBC"/>
    <w:rsid w:val="00540FF5"/>
    <w:rsid w:val="00541088"/>
    <w:rsid w:val="00541684"/>
    <w:rsid w:val="005416F5"/>
    <w:rsid w:val="005417C1"/>
    <w:rsid w:val="005418AD"/>
    <w:rsid w:val="005419F0"/>
    <w:rsid w:val="00541B03"/>
    <w:rsid w:val="00541C17"/>
    <w:rsid w:val="00541EB3"/>
    <w:rsid w:val="00541EC8"/>
    <w:rsid w:val="00541FA2"/>
    <w:rsid w:val="005420C1"/>
    <w:rsid w:val="0054229C"/>
    <w:rsid w:val="00542362"/>
    <w:rsid w:val="00542365"/>
    <w:rsid w:val="00542402"/>
    <w:rsid w:val="0054247B"/>
    <w:rsid w:val="0054273F"/>
    <w:rsid w:val="0054279C"/>
    <w:rsid w:val="005427CB"/>
    <w:rsid w:val="0054294C"/>
    <w:rsid w:val="005429AC"/>
    <w:rsid w:val="005429EA"/>
    <w:rsid w:val="00542A13"/>
    <w:rsid w:val="00542A6F"/>
    <w:rsid w:val="00542BB1"/>
    <w:rsid w:val="00542CE6"/>
    <w:rsid w:val="00543120"/>
    <w:rsid w:val="005432B0"/>
    <w:rsid w:val="005432DD"/>
    <w:rsid w:val="005434AD"/>
    <w:rsid w:val="005435A8"/>
    <w:rsid w:val="0054382F"/>
    <w:rsid w:val="005439F1"/>
    <w:rsid w:val="00543B5F"/>
    <w:rsid w:val="00543B85"/>
    <w:rsid w:val="00543CD7"/>
    <w:rsid w:val="00543D6E"/>
    <w:rsid w:val="00543EA6"/>
    <w:rsid w:val="00543F84"/>
    <w:rsid w:val="005440CC"/>
    <w:rsid w:val="00544293"/>
    <w:rsid w:val="005443C1"/>
    <w:rsid w:val="00544664"/>
    <w:rsid w:val="00544731"/>
    <w:rsid w:val="005448AD"/>
    <w:rsid w:val="005448E1"/>
    <w:rsid w:val="00544B85"/>
    <w:rsid w:val="00544BFB"/>
    <w:rsid w:val="00544D9A"/>
    <w:rsid w:val="00545103"/>
    <w:rsid w:val="00545174"/>
    <w:rsid w:val="0054532F"/>
    <w:rsid w:val="0054539A"/>
    <w:rsid w:val="005453AB"/>
    <w:rsid w:val="005455C1"/>
    <w:rsid w:val="005455C4"/>
    <w:rsid w:val="0054567E"/>
    <w:rsid w:val="005456A6"/>
    <w:rsid w:val="00545926"/>
    <w:rsid w:val="00545A2B"/>
    <w:rsid w:val="00545A8F"/>
    <w:rsid w:val="00545A96"/>
    <w:rsid w:val="00545C8C"/>
    <w:rsid w:val="00545F38"/>
    <w:rsid w:val="005461BF"/>
    <w:rsid w:val="005463B7"/>
    <w:rsid w:val="005468AF"/>
    <w:rsid w:val="00546AB9"/>
    <w:rsid w:val="00546BAC"/>
    <w:rsid w:val="00546D21"/>
    <w:rsid w:val="00546E52"/>
    <w:rsid w:val="00546F79"/>
    <w:rsid w:val="00547029"/>
    <w:rsid w:val="005471B9"/>
    <w:rsid w:val="005472E1"/>
    <w:rsid w:val="005473A6"/>
    <w:rsid w:val="005475E2"/>
    <w:rsid w:val="005478E8"/>
    <w:rsid w:val="00547958"/>
    <w:rsid w:val="00547B59"/>
    <w:rsid w:val="00547BB9"/>
    <w:rsid w:val="00547D5E"/>
    <w:rsid w:val="00547E08"/>
    <w:rsid w:val="00547E22"/>
    <w:rsid w:val="00547F16"/>
    <w:rsid w:val="00547FD6"/>
    <w:rsid w:val="0055003F"/>
    <w:rsid w:val="005501AD"/>
    <w:rsid w:val="0055025D"/>
    <w:rsid w:val="00550262"/>
    <w:rsid w:val="00550279"/>
    <w:rsid w:val="005505AA"/>
    <w:rsid w:val="005507E4"/>
    <w:rsid w:val="00550802"/>
    <w:rsid w:val="00550840"/>
    <w:rsid w:val="005508C7"/>
    <w:rsid w:val="00550DB2"/>
    <w:rsid w:val="00551023"/>
    <w:rsid w:val="0055120A"/>
    <w:rsid w:val="005512A0"/>
    <w:rsid w:val="00551392"/>
    <w:rsid w:val="005514FC"/>
    <w:rsid w:val="005515F9"/>
    <w:rsid w:val="00551808"/>
    <w:rsid w:val="00551A49"/>
    <w:rsid w:val="00551AE2"/>
    <w:rsid w:val="00551AE5"/>
    <w:rsid w:val="00551BD1"/>
    <w:rsid w:val="00551E2F"/>
    <w:rsid w:val="005524B1"/>
    <w:rsid w:val="005525CE"/>
    <w:rsid w:val="00552612"/>
    <w:rsid w:val="00552639"/>
    <w:rsid w:val="00552754"/>
    <w:rsid w:val="005529D5"/>
    <w:rsid w:val="00552C07"/>
    <w:rsid w:val="0055320F"/>
    <w:rsid w:val="00553248"/>
    <w:rsid w:val="0055331F"/>
    <w:rsid w:val="005535FF"/>
    <w:rsid w:val="0055377C"/>
    <w:rsid w:val="0055390C"/>
    <w:rsid w:val="0055397E"/>
    <w:rsid w:val="005539F9"/>
    <w:rsid w:val="00553B2B"/>
    <w:rsid w:val="00553B6B"/>
    <w:rsid w:val="00553C73"/>
    <w:rsid w:val="00553EAA"/>
    <w:rsid w:val="00553F06"/>
    <w:rsid w:val="0055416A"/>
    <w:rsid w:val="00554598"/>
    <w:rsid w:val="0055461C"/>
    <w:rsid w:val="00554786"/>
    <w:rsid w:val="005547C8"/>
    <w:rsid w:val="00554867"/>
    <w:rsid w:val="005548AC"/>
    <w:rsid w:val="00554993"/>
    <w:rsid w:val="00554ABB"/>
    <w:rsid w:val="00554AD8"/>
    <w:rsid w:val="00554BC2"/>
    <w:rsid w:val="00554F46"/>
    <w:rsid w:val="005552E5"/>
    <w:rsid w:val="00555342"/>
    <w:rsid w:val="0055568D"/>
    <w:rsid w:val="005557AD"/>
    <w:rsid w:val="00555A2B"/>
    <w:rsid w:val="00555ABE"/>
    <w:rsid w:val="00555E59"/>
    <w:rsid w:val="00555EA9"/>
    <w:rsid w:val="0055628F"/>
    <w:rsid w:val="00556441"/>
    <w:rsid w:val="0055645B"/>
    <w:rsid w:val="0055655C"/>
    <w:rsid w:val="0055679A"/>
    <w:rsid w:val="00556AC0"/>
    <w:rsid w:val="00556B40"/>
    <w:rsid w:val="00556BD0"/>
    <w:rsid w:val="00556CD3"/>
    <w:rsid w:val="0055731B"/>
    <w:rsid w:val="005577BD"/>
    <w:rsid w:val="005577FC"/>
    <w:rsid w:val="00557809"/>
    <w:rsid w:val="005579E8"/>
    <w:rsid w:val="00557A61"/>
    <w:rsid w:val="00557B9E"/>
    <w:rsid w:val="00557DAF"/>
    <w:rsid w:val="00557E2C"/>
    <w:rsid w:val="00557FD1"/>
    <w:rsid w:val="005601A2"/>
    <w:rsid w:val="0056036F"/>
    <w:rsid w:val="0056039F"/>
    <w:rsid w:val="005604AB"/>
    <w:rsid w:val="00560573"/>
    <w:rsid w:val="0056061C"/>
    <w:rsid w:val="0056075E"/>
    <w:rsid w:val="0056078E"/>
    <w:rsid w:val="005608CA"/>
    <w:rsid w:val="00560975"/>
    <w:rsid w:val="00560A0B"/>
    <w:rsid w:val="00560A6C"/>
    <w:rsid w:val="00560CA5"/>
    <w:rsid w:val="00560E2B"/>
    <w:rsid w:val="00560F33"/>
    <w:rsid w:val="00561012"/>
    <w:rsid w:val="005610E5"/>
    <w:rsid w:val="00561179"/>
    <w:rsid w:val="00561313"/>
    <w:rsid w:val="0056146B"/>
    <w:rsid w:val="005614FA"/>
    <w:rsid w:val="0056183B"/>
    <w:rsid w:val="0056191A"/>
    <w:rsid w:val="00561957"/>
    <w:rsid w:val="00561991"/>
    <w:rsid w:val="0056200E"/>
    <w:rsid w:val="0056214E"/>
    <w:rsid w:val="00562165"/>
    <w:rsid w:val="0056233E"/>
    <w:rsid w:val="00562457"/>
    <w:rsid w:val="005624BE"/>
    <w:rsid w:val="005626CD"/>
    <w:rsid w:val="005628DF"/>
    <w:rsid w:val="005629B8"/>
    <w:rsid w:val="005629D3"/>
    <w:rsid w:val="00562AE9"/>
    <w:rsid w:val="00562C2D"/>
    <w:rsid w:val="00562DB4"/>
    <w:rsid w:val="00562FD3"/>
    <w:rsid w:val="00562FD7"/>
    <w:rsid w:val="00563015"/>
    <w:rsid w:val="00563218"/>
    <w:rsid w:val="0056331F"/>
    <w:rsid w:val="0056333F"/>
    <w:rsid w:val="005634B5"/>
    <w:rsid w:val="005634DF"/>
    <w:rsid w:val="0056355D"/>
    <w:rsid w:val="00563873"/>
    <w:rsid w:val="005638FE"/>
    <w:rsid w:val="00563933"/>
    <w:rsid w:val="00563990"/>
    <w:rsid w:val="00563D4D"/>
    <w:rsid w:val="00563EF9"/>
    <w:rsid w:val="00563FDC"/>
    <w:rsid w:val="005642E2"/>
    <w:rsid w:val="00564332"/>
    <w:rsid w:val="0056457F"/>
    <w:rsid w:val="00564706"/>
    <w:rsid w:val="005647A8"/>
    <w:rsid w:val="00564907"/>
    <w:rsid w:val="00564E11"/>
    <w:rsid w:val="00564F17"/>
    <w:rsid w:val="00564F23"/>
    <w:rsid w:val="0056518C"/>
    <w:rsid w:val="00565341"/>
    <w:rsid w:val="005656F1"/>
    <w:rsid w:val="005658CA"/>
    <w:rsid w:val="0056593E"/>
    <w:rsid w:val="00565B65"/>
    <w:rsid w:val="00565BF3"/>
    <w:rsid w:val="00565D71"/>
    <w:rsid w:val="00565E00"/>
    <w:rsid w:val="00565E25"/>
    <w:rsid w:val="00565E59"/>
    <w:rsid w:val="00565ED5"/>
    <w:rsid w:val="005660F0"/>
    <w:rsid w:val="0056623B"/>
    <w:rsid w:val="005662D0"/>
    <w:rsid w:val="005664C0"/>
    <w:rsid w:val="0056651E"/>
    <w:rsid w:val="00566622"/>
    <w:rsid w:val="005667EB"/>
    <w:rsid w:val="00566A4D"/>
    <w:rsid w:val="00566C16"/>
    <w:rsid w:val="00566C8E"/>
    <w:rsid w:val="00566EC1"/>
    <w:rsid w:val="00566FDF"/>
    <w:rsid w:val="00567103"/>
    <w:rsid w:val="00567227"/>
    <w:rsid w:val="005672FE"/>
    <w:rsid w:val="0056733F"/>
    <w:rsid w:val="005674EB"/>
    <w:rsid w:val="00567719"/>
    <w:rsid w:val="005677E8"/>
    <w:rsid w:val="005679FF"/>
    <w:rsid w:val="00567C34"/>
    <w:rsid w:val="00567D52"/>
    <w:rsid w:val="00567F8C"/>
    <w:rsid w:val="0057009C"/>
    <w:rsid w:val="0057015E"/>
    <w:rsid w:val="005703AE"/>
    <w:rsid w:val="00570486"/>
    <w:rsid w:val="005704F6"/>
    <w:rsid w:val="0057056F"/>
    <w:rsid w:val="00570611"/>
    <w:rsid w:val="00570714"/>
    <w:rsid w:val="005708F0"/>
    <w:rsid w:val="00570934"/>
    <w:rsid w:val="005709A1"/>
    <w:rsid w:val="00570C9D"/>
    <w:rsid w:val="00570DD6"/>
    <w:rsid w:val="00570F30"/>
    <w:rsid w:val="00570F7A"/>
    <w:rsid w:val="00571041"/>
    <w:rsid w:val="00571330"/>
    <w:rsid w:val="0057157F"/>
    <w:rsid w:val="005716A4"/>
    <w:rsid w:val="0057185D"/>
    <w:rsid w:val="0057189B"/>
    <w:rsid w:val="00571CBD"/>
    <w:rsid w:val="00571D4A"/>
    <w:rsid w:val="00571DF1"/>
    <w:rsid w:val="00571DF6"/>
    <w:rsid w:val="00571F95"/>
    <w:rsid w:val="0057209D"/>
    <w:rsid w:val="0057211B"/>
    <w:rsid w:val="005721D9"/>
    <w:rsid w:val="00572245"/>
    <w:rsid w:val="00572429"/>
    <w:rsid w:val="00572469"/>
    <w:rsid w:val="005725B8"/>
    <w:rsid w:val="005727EB"/>
    <w:rsid w:val="00572852"/>
    <w:rsid w:val="00572BBE"/>
    <w:rsid w:val="00572C26"/>
    <w:rsid w:val="00572DE9"/>
    <w:rsid w:val="00572F36"/>
    <w:rsid w:val="00572FD7"/>
    <w:rsid w:val="005730CD"/>
    <w:rsid w:val="005730F5"/>
    <w:rsid w:val="005733D4"/>
    <w:rsid w:val="005739B3"/>
    <w:rsid w:val="00573F9B"/>
    <w:rsid w:val="00573FD5"/>
    <w:rsid w:val="00574016"/>
    <w:rsid w:val="0057403C"/>
    <w:rsid w:val="005740F2"/>
    <w:rsid w:val="00574393"/>
    <w:rsid w:val="005743C3"/>
    <w:rsid w:val="005744D0"/>
    <w:rsid w:val="005745DD"/>
    <w:rsid w:val="0057461D"/>
    <w:rsid w:val="00574622"/>
    <w:rsid w:val="0057487C"/>
    <w:rsid w:val="00574902"/>
    <w:rsid w:val="0057491E"/>
    <w:rsid w:val="00574AF9"/>
    <w:rsid w:val="00574B20"/>
    <w:rsid w:val="00574DBE"/>
    <w:rsid w:val="00574DF0"/>
    <w:rsid w:val="00574EF2"/>
    <w:rsid w:val="00575059"/>
    <w:rsid w:val="005750DD"/>
    <w:rsid w:val="00575291"/>
    <w:rsid w:val="005752DA"/>
    <w:rsid w:val="0057539B"/>
    <w:rsid w:val="005753EE"/>
    <w:rsid w:val="0057575E"/>
    <w:rsid w:val="005759D9"/>
    <w:rsid w:val="00575BC6"/>
    <w:rsid w:val="00575C06"/>
    <w:rsid w:val="00575D38"/>
    <w:rsid w:val="0057620A"/>
    <w:rsid w:val="005762E5"/>
    <w:rsid w:val="0057630E"/>
    <w:rsid w:val="00576421"/>
    <w:rsid w:val="005768BE"/>
    <w:rsid w:val="00576AFB"/>
    <w:rsid w:val="00576C09"/>
    <w:rsid w:val="00576F91"/>
    <w:rsid w:val="005774C6"/>
    <w:rsid w:val="005774F8"/>
    <w:rsid w:val="00577504"/>
    <w:rsid w:val="00577769"/>
    <w:rsid w:val="00577933"/>
    <w:rsid w:val="00577A65"/>
    <w:rsid w:val="00577D4B"/>
    <w:rsid w:val="005803F7"/>
    <w:rsid w:val="005806BF"/>
    <w:rsid w:val="005807DC"/>
    <w:rsid w:val="005808E9"/>
    <w:rsid w:val="00580A76"/>
    <w:rsid w:val="00580B97"/>
    <w:rsid w:val="00580C7E"/>
    <w:rsid w:val="00580C98"/>
    <w:rsid w:val="00580DF7"/>
    <w:rsid w:val="00580EE2"/>
    <w:rsid w:val="00580EEB"/>
    <w:rsid w:val="00581086"/>
    <w:rsid w:val="005810F0"/>
    <w:rsid w:val="00581468"/>
    <w:rsid w:val="00581557"/>
    <w:rsid w:val="005815B8"/>
    <w:rsid w:val="00581643"/>
    <w:rsid w:val="00581689"/>
    <w:rsid w:val="0058169C"/>
    <w:rsid w:val="00581740"/>
    <w:rsid w:val="00581830"/>
    <w:rsid w:val="00581850"/>
    <w:rsid w:val="00581A98"/>
    <w:rsid w:val="00581B85"/>
    <w:rsid w:val="00581D80"/>
    <w:rsid w:val="00581FCD"/>
    <w:rsid w:val="00582463"/>
    <w:rsid w:val="0058257E"/>
    <w:rsid w:val="005825A3"/>
    <w:rsid w:val="00582630"/>
    <w:rsid w:val="00582815"/>
    <w:rsid w:val="0058289A"/>
    <w:rsid w:val="005828E2"/>
    <w:rsid w:val="00582A07"/>
    <w:rsid w:val="00582A24"/>
    <w:rsid w:val="00582CFA"/>
    <w:rsid w:val="00582D21"/>
    <w:rsid w:val="00582D5C"/>
    <w:rsid w:val="00582DE1"/>
    <w:rsid w:val="00582E4A"/>
    <w:rsid w:val="0058303B"/>
    <w:rsid w:val="005835DA"/>
    <w:rsid w:val="005836B6"/>
    <w:rsid w:val="00583734"/>
    <w:rsid w:val="00583759"/>
    <w:rsid w:val="00583ADF"/>
    <w:rsid w:val="00583D1B"/>
    <w:rsid w:val="0058423B"/>
    <w:rsid w:val="00584441"/>
    <w:rsid w:val="00584631"/>
    <w:rsid w:val="00584689"/>
    <w:rsid w:val="0058473B"/>
    <w:rsid w:val="005849F1"/>
    <w:rsid w:val="00584D13"/>
    <w:rsid w:val="00584D7F"/>
    <w:rsid w:val="00584E80"/>
    <w:rsid w:val="00584FE6"/>
    <w:rsid w:val="005851CF"/>
    <w:rsid w:val="005858C8"/>
    <w:rsid w:val="005858D0"/>
    <w:rsid w:val="005859BD"/>
    <w:rsid w:val="00585AB6"/>
    <w:rsid w:val="00585B41"/>
    <w:rsid w:val="00585BB4"/>
    <w:rsid w:val="00585D2F"/>
    <w:rsid w:val="00585F4C"/>
    <w:rsid w:val="0058601B"/>
    <w:rsid w:val="005860B7"/>
    <w:rsid w:val="005860EA"/>
    <w:rsid w:val="005861C2"/>
    <w:rsid w:val="0058620C"/>
    <w:rsid w:val="005865B2"/>
    <w:rsid w:val="005865F4"/>
    <w:rsid w:val="00586602"/>
    <w:rsid w:val="00586624"/>
    <w:rsid w:val="005869AF"/>
    <w:rsid w:val="00586A77"/>
    <w:rsid w:val="00586CEE"/>
    <w:rsid w:val="00586ED4"/>
    <w:rsid w:val="00587316"/>
    <w:rsid w:val="005873E9"/>
    <w:rsid w:val="005874C4"/>
    <w:rsid w:val="00587729"/>
    <w:rsid w:val="00587830"/>
    <w:rsid w:val="005879B2"/>
    <w:rsid w:val="00587B9E"/>
    <w:rsid w:val="00587D0C"/>
    <w:rsid w:val="00587E7C"/>
    <w:rsid w:val="00587F56"/>
    <w:rsid w:val="005901EC"/>
    <w:rsid w:val="0059022B"/>
    <w:rsid w:val="00590272"/>
    <w:rsid w:val="00590312"/>
    <w:rsid w:val="005904BF"/>
    <w:rsid w:val="005904F7"/>
    <w:rsid w:val="00590A61"/>
    <w:rsid w:val="00590ADE"/>
    <w:rsid w:val="00590AE2"/>
    <w:rsid w:val="00590B84"/>
    <w:rsid w:val="00590BC4"/>
    <w:rsid w:val="00590D5D"/>
    <w:rsid w:val="00590F2D"/>
    <w:rsid w:val="00591438"/>
    <w:rsid w:val="0059157A"/>
    <w:rsid w:val="005915DD"/>
    <w:rsid w:val="0059169E"/>
    <w:rsid w:val="0059191A"/>
    <w:rsid w:val="00591A50"/>
    <w:rsid w:val="00591CFB"/>
    <w:rsid w:val="00591EC8"/>
    <w:rsid w:val="00592116"/>
    <w:rsid w:val="005921EA"/>
    <w:rsid w:val="0059226E"/>
    <w:rsid w:val="0059234A"/>
    <w:rsid w:val="005925E7"/>
    <w:rsid w:val="005925EE"/>
    <w:rsid w:val="005926FD"/>
    <w:rsid w:val="005927A8"/>
    <w:rsid w:val="005928CE"/>
    <w:rsid w:val="005929E4"/>
    <w:rsid w:val="00592BE2"/>
    <w:rsid w:val="00592C3A"/>
    <w:rsid w:val="00592C49"/>
    <w:rsid w:val="00592C66"/>
    <w:rsid w:val="00592EB2"/>
    <w:rsid w:val="00592EF5"/>
    <w:rsid w:val="00593233"/>
    <w:rsid w:val="005936EB"/>
    <w:rsid w:val="0059392E"/>
    <w:rsid w:val="00593948"/>
    <w:rsid w:val="00593E37"/>
    <w:rsid w:val="00593E48"/>
    <w:rsid w:val="00593EE9"/>
    <w:rsid w:val="00594203"/>
    <w:rsid w:val="005943A4"/>
    <w:rsid w:val="00594606"/>
    <w:rsid w:val="005947BF"/>
    <w:rsid w:val="005948AF"/>
    <w:rsid w:val="005948DD"/>
    <w:rsid w:val="00594A28"/>
    <w:rsid w:val="00594B6D"/>
    <w:rsid w:val="00594BA6"/>
    <w:rsid w:val="00594CB6"/>
    <w:rsid w:val="00594CDE"/>
    <w:rsid w:val="00594DDB"/>
    <w:rsid w:val="00594F1D"/>
    <w:rsid w:val="005950C8"/>
    <w:rsid w:val="005951E0"/>
    <w:rsid w:val="00595201"/>
    <w:rsid w:val="005952BC"/>
    <w:rsid w:val="0059571F"/>
    <w:rsid w:val="0059578D"/>
    <w:rsid w:val="0059579E"/>
    <w:rsid w:val="00595917"/>
    <w:rsid w:val="005959D4"/>
    <w:rsid w:val="00595A14"/>
    <w:rsid w:val="00595D5A"/>
    <w:rsid w:val="00595F67"/>
    <w:rsid w:val="00595FA3"/>
    <w:rsid w:val="00595FDB"/>
    <w:rsid w:val="005962EC"/>
    <w:rsid w:val="00596310"/>
    <w:rsid w:val="0059647A"/>
    <w:rsid w:val="005964BB"/>
    <w:rsid w:val="005965DE"/>
    <w:rsid w:val="00596632"/>
    <w:rsid w:val="00596732"/>
    <w:rsid w:val="00596947"/>
    <w:rsid w:val="0059697C"/>
    <w:rsid w:val="00596ACB"/>
    <w:rsid w:val="00596C2E"/>
    <w:rsid w:val="00596D3E"/>
    <w:rsid w:val="00596DB0"/>
    <w:rsid w:val="00596E30"/>
    <w:rsid w:val="005970E3"/>
    <w:rsid w:val="0059712D"/>
    <w:rsid w:val="00597303"/>
    <w:rsid w:val="0059738F"/>
    <w:rsid w:val="00597451"/>
    <w:rsid w:val="005974C6"/>
    <w:rsid w:val="00597524"/>
    <w:rsid w:val="00597995"/>
    <w:rsid w:val="00597E8D"/>
    <w:rsid w:val="00597FA1"/>
    <w:rsid w:val="005A0034"/>
    <w:rsid w:val="005A0224"/>
    <w:rsid w:val="005A02E1"/>
    <w:rsid w:val="005A03FF"/>
    <w:rsid w:val="005A05ED"/>
    <w:rsid w:val="005A060F"/>
    <w:rsid w:val="005A08AE"/>
    <w:rsid w:val="005A08BA"/>
    <w:rsid w:val="005A09BC"/>
    <w:rsid w:val="005A0C2B"/>
    <w:rsid w:val="005A0C4B"/>
    <w:rsid w:val="005A0DB7"/>
    <w:rsid w:val="005A11CE"/>
    <w:rsid w:val="005A137F"/>
    <w:rsid w:val="005A16C6"/>
    <w:rsid w:val="005A16CD"/>
    <w:rsid w:val="005A17E5"/>
    <w:rsid w:val="005A17F8"/>
    <w:rsid w:val="005A1A1C"/>
    <w:rsid w:val="005A1DA3"/>
    <w:rsid w:val="005A1E90"/>
    <w:rsid w:val="005A2055"/>
    <w:rsid w:val="005A22BE"/>
    <w:rsid w:val="005A25FB"/>
    <w:rsid w:val="005A270C"/>
    <w:rsid w:val="005A27EC"/>
    <w:rsid w:val="005A28E8"/>
    <w:rsid w:val="005A2E71"/>
    <w:rsid w:val="005A302B"/>
    <w:rsid w:val="005A3316"/>
    <w:rsid w:val="005A34C3"/>
    <w:rsid w:val="005A381C"/>
    <w:rsid w:val="005A3834"/>
    <w:rsid w:val="005A38B5"/>
    <w:rsid w:val="005A3B5A"/>
    <w:rsid w:val="005A3B60"/>
    <w:rsid w:val="005A3BE9"/>
    <w:rsid w:val="005A4010"/>
    <w:rsid w:val="005A40A5"/>
    <w:rsid w:val="005A4176"/>
    <w:rsid w:val="005A4358"/>
    <w:rsid w:val="005A43BB"/>
    <w:rsid w:val="005A453A"/>
    <w:rsid w:val="005A4595"/>
    <w:rsid w:val="005A470D"/>
    <w:rsid w:val="005A47C2"/>
    <w:rsid w:val="005A491F"/>
    <w:rsid w:val="005A49C1"/>
    <w:rsid w:val="005A4D29"/>
    <w:rsid w:val="005A513D"/>
    <w:rsid w:val="005A54FE"/>
    <w:rsid w:val="005A553B"/>
    <w:rsid w:val="005A5894"/>
    <w:rsid w:val="005A59B0"/>
    <w:rsid w:val="005A59EE"/>
    <w:rsid w:val="005A5A69"/>
    <w:rsid w:val="005A5CE7"/>
    <w:rsid w:val="005A5D2E"/>
    <w:rsid w:val="005A5E6E"/>
    <w:rsid w:val="005A617D"/>
    <w:rsid w:val="005A61DC"/>
    <w:rsid w:val="005A6472"/>
    <w:rsid w:val="005A66A2"/>
    <w:rsid w:val="005A6904"/>
    <w:rsid w:val="005A69B7"/>
    <w:rsid w:val="005A6DD4"/>
    <w:rsid w:val="005A6EE4"/>
    <w:rsid w:val="005A743C"/>
    <w:rsid w:val="005A7496"/>
    <w:rsid w:val="005A77E4"/>
    <w:rsid w:val="005A798F"/>
    <w:rsid w:val="005A7ADB"/>
    <w:rsid w:val="005A7BFD"/>
    <w:rsid w:val="005A7C2A"/>
    <w:rsid w:val="005A7D77"/>
    <w:rsid w:val="005A7D79"/>
    <w:rsid w:val="005A7D93"/>
    <w:rsid w:val="005A7F7C"/>
    <w:rsid w:val="005B01AC"/>
    <w:rsid w:val="005B04DA"/>
    <w:rsid w:val="005B0501"/>
    <w:rsid w:val="005B052B"/>
    <w:rsid w:val="005B06CC"/>
    <w:rsid w:val="005B06F7"/>
    <w:rsid w:val="005B06FA"/>
    <w:rsid w:val="005B07C4"/>
    <w:rsid w:val="005B080A"/>
    <w:rsid w:val="005B09B8"/>
    <w:rsid w:val="005B0AF3"/>
    <w:rsid w:val="005B0BDE"/>
    <w:rsid w:val="005B0D1B"/>
    <w:rsid w:val="005B0DF7"/>
    <w:rsid w:val="005B0EFA"/>
    <w:rsid w:val="005B0FB9"/>
    <w:rsid w:val="005B0FBB"/>
    <w:rsid w:val="005B1089"/>
    <w:rsid w:val="005B10DE"/>
    <w:rsid w:val="005B143C"/>
    <w:rsid w:val="005B15F8"/>
    <w:rsid w:val="005B1684"/>
    <w:rsid w:val="005B1716"/>
    <w:rsid w:val="005B176F"/>
    <w:rsid w:val="005B189C"/>
    <w:rsid w:val="005B18F4"/>
    <w:rsid w:val="005B1926"/>
    <w:rsid w:val="005B1C49"/>
    <w:rsid w:val="005B1D63"/>
    <w:rsid w:val="005B1E2B"/>
    <w:rsid w:val="005B1F87"/>
    <w:rsid w:val="005B2084"/>
    <w:rsid w:val="005B23E5"/>
    <w:rsid w:val="005B26A6"/>
    <w:rsid w:val="005B26F7"/>
    <w:rsid w:val="005B29DC"/>
    <w:rsid w:val="005B2A97"/>
    <w:rsid w:val="005B2B89"/>
    <w:rsid w:val="005B2B9A"/>
    <w:rsid w:val="005B2C28"/>
    <w:rsid w:val="005B2CD9"/>
    <w:rsid w:val="005B2E11"/>
    <w:rsid w:val="005B3243"/>
    <w:rsid w:val="005B32BF"/>
    <w:rsid w:val="005B3512"/>
    <w:rsid w:val="005B359E"/>
    <w:rsid w:val="005B3B37"/>
    <w:rsid w:val="005B3BB3"/>
    <w:rsid w:val="005B3C1C"/>
    <w:rsid w:val="005B3CB4"/>
    <w:rsid w:val="005B3CE6"/>
    <w:rsid w:val="005B3E6C"/>
    <w:rsid w:val="005B3FDC"/>
    <w:rsid w:val="005B41B0"/>
    <w:rsid w:val="005B41FA"/>
    <w:rsid w:val="005B4519"/>
    <w:rsid w:val="005B4585"/>
    <w:rsid w:val="005B486C"/>
    <w:rsid w:val="005B4AB1"/>
    <w:rsid w:val="005B4AFC"/>
    <w:rsid w:val="005B4BD3"/>
    <w:rsid w:val="005B4C78"/>
    <w:rsid w:val="005B4CAF"/>
    <w:rsid w:val="005B4E3D"/>
    <w:rsid w:val="005B4FBA"/>
    <w:rsid w:val="005B50D5"/>
    <w:rsid w:val="005B51F8"/>
    <w:rsid w:val="005B535A"/>
    <w:rsid w:val="005B5385"/>
    <w:rsid w:val="005B538D"/>
    <w:rsid w:val="005B5459"/>
    <w:rsid w:val="005B5500"/>
    <w:rsid w:val="005B598D"/>
    <w:rsid w:val="005B5A11"/>
    <w:rsid w:val="005B5A29"/>
    <w:rsid w:val="005B5AC0"/>
    <w:rsid w:val="005B5B0D"/>
    <w:rsid w:val="005B5BE2"/>
    <w:rsid w:val="005B5BEB"/>
    <w:rsid w:val="005B5CC8"/>
    <w:rsid w:val="005B5D1C"/>
    <w:rsid w:val="005B5D9E"/>
    <w:rsid w:val="005B5EBD"/>
    <w:rsid w:val="005B5F47"/>
    <w:rsid w:val="005B615F"/>
    <w:rsid w:val="005B621E"/>
    <w:rsid w:val="005B634A"/>
    <w:rsid w:val="005B6520"/>
    <w:rsid w:val="005B655B"/>
    <w:rsid w:val="005B660E"/>
    <w:rsid w:val="005B67BA"/>
    <w:rsid w:val="005B684E"/>
    <w:rsid w:val="005B689D"/>
    <w:rsid w:val="005B6A56"/>
    <w:rsid w:val="005B6C89"/>
    <w:rsid w:val="005B6CF4"/>
    <w:rsid w:val="005B6F24"/>
    <w:rsid w:val="005B6F75"/>
    <w:rsid w:val="005B7090"/>
    <w:rsid w:val="005B70B2"/>
    <w:rsid w:val="005B7154"/>
    <w:rsid w:val="005B7670"/>
    <w:rsid w:val="005B7E0A"/>
    <w:rsid w:val="005B7F74"/>
    <w:rsid w:val="005C013F"/>
    <w:rsid w:val="005C0153"/>
    <w:rsid w:val="005C021B"/>
    <w:rsid w:val="005C0315"/>
    <w:rsid w:val="005C0904"/>
    <w:rsid w:val="005C0A55"/>
    <w:rsid w:val="005C0A58"/>
    <w:rsid w:val="005C0B71"/>
    <w:rsid w:val="005C0BA5"/>
    <w:rsid w:val="005C0C1C"/>
    <w:rsid w:val="005C0CBC"/>
    <w:rsid w:val="005C0F15"/>
    <w:rsid w:val="005C1023"/>
    <w:rsid w:val="005C128D"/>
    <w:rsid w:val="005C1332"/>
    <w:rsid w:val="005C1443"/>
    <w:rsid w:val="005C146D"/>
    <w:rsid w:val="005C149C"/>
    <w:rsid w:val="005C15D4"/>
    <w:rsid w:val="005C1642"/>
    <w:rsid w:val="005C1692"/>
    <w:rsid w:val="005C16E0"/>
    <w:rsid w:val="005C17DE"/>
    <w:rsid w:val="005C1800"/>
    <w:rsid w:val="005C187E"/>
    <w:rsid w:val="005C1AFE"/>
    <w:rsid w:val="005C1C54"/>
    <w:rsid w:val="005C1DD7"/>
    <w:rsid w:val="005C1F04"/>
    <w:rsid w:val="005C1FD6"/>
    <w:rsid w:val="005C2374"/>
    <w:rsid w:val="005C244B"/>
    <w:rsid w:val="005C2658"/>
    <w:rsid w:val="005C2860"/>
    <w:rsid w:val="005C2B01"/>
    <w:rsid w:val="005C2C78"/>
    <w:rsid w:val="005C2DD8"/>
    <w:rsid w:val="005C2E44"/>
    <w:rsid w:val="005C309C"/>
    <w:rsid w:val="005C34A9"/>
    <w:rsid w:val="005C3541"/>
    <w:rsid w:val="005C3767"/>
    <w:rsid w:val="005C3814"/>
    <w:rsid w:val="005C38AB"/>
    <w:rsid w:val="005C3C2C"/>
    <w:rsid w:val="005C3E1F"/>
    <w:rsid w:val="005C3E93"/>
    <w:rsid w:val="005C400B"/>
    <w:rsid w:val="005C41FD"/>
    <w:rsid w:val="005C4285"/>
    <w:rsid w:val="005C4385"/>
    <w:rsid w:val="005C441B"/>
    <w:rsid w:val="005C45F9"/>
    <w:rsid w:val="005C46B6"/>
    <w:rsid w:val="005C47F7"/>
    <w:rsid w:val="005C4925"/>
    <w:rsid w:val="005C4D58"/>
    <w:rsid w:val="005C4F7E"/>
    <w:rsid w:val="005C4FE5"/>
    <w:rsid w:val="005C515D"/>
    <w:rsid w:val="005C51E4"/>
    <w:rsid w:val="005C5235"/>
    <w:rsid w:val="005C5319"/>
    <w:rsid w:val="005C552D"/>
    <w:rsid w:val="005C55F0"/>
    <w:rsid w:val="005C5678"/>
    <w:rsid w:val="005C5692"/>
    <w:rsid w:val="005C57F6"/>
    <w:rsid w:val="005C58AF"/>
    <w:rsid w:val="005C59F0"/>
    <w:rsid w:val="005C5AB9"/>
    <w:rsid w:val="005C5BA4"/>
    <w:rsid w:val="005C5BA5"/>
    <w:rsid w:val="005C5CCB"/>
    <w:rsid w:val="005C5DE1"/>
    <w:rsid w:val="005C5F68"/>
    <w:rsid w:val="005C60C0"/>
    <w:rsid w:val="005C6412"/>
    <w:rsid w:val="005C641A"/>
    <w:rsid w:val="005C64E0"/>
    <w:rsid w:val="005C6727"/>
    <w:rsid w:val="005C673F"/>
    <w:rsid w:val="005C67C9"/>
    <w:rsid w:val="005C6B8A"/>
    <w:rsid w:val="005C6EC8"/>
    <w:rsid w:val="005C70E0"/>
    <w:rsid w:val="005C70E5"/>
    <w:rsid w:val="005C71D6"/>
    <w:rsid w:val="005C7391"/>
    <w:rsid w:val="005C744B"/>
    <w:rsid w:val="005C7467"/>
    <w:rsid w:val="005C7504"/>
    <w:rsid w:val="005C7970"/>
    <w:rsid w:val="005C7A46"/>
    <w:rsid w:val="005C7AC3"/>
    <w:rsid w:val="005C7BD2"/>
    <w:rsid w:val="005C7D70"/>
    <w:rsid w:val="005C7D84"/>
    <w:rsid w:val="005C7E83"/>
    <w:rsid w:val="005C7ECD"/>
    <w:rsid w:val="005D035C"/>
    <w:rsid w:val="005D04AE"/>
    <w:rsid w:val="005D0535"/>
    <w:rsid w:val="005D0573"/>
    <w:rsid w:val="005D0896"/>
    <w:rsid w:val="005D0A25"/>
    <w:rsid w:val="005D0A45"/>
    <w:rsid w:val="005D0C11"/>
    <w:rsid w:val="005D0D5A"/>
    <w:rsid w:val="005D0E10"/>
    <w:rsid w:val="005D0EF4"/>
    <w:rsid w:val="005D0F3F"/>
    <w:rsid w:val="005D1B7B"/>
    <w:rsid w:val="005D1D6E"/>
    <w:rsid w:val="005D1DFE"/>
    <w:rsid w:val="005D1E5B"/>
    <w:rsid w:val="005D1F51"/>
    <w:rsid w:val="005D1F65"/>
    <w:rsid w:val="005D207C"/>
    <w:rsid w:val="005D2215"/>
    <w:rsid w:val="005D2281"/>
    <w:rsid w:val="005D23AA"/>
    <w:rsid w:val="005D23E6"/>
    <w:rsid w:val="005D277C"/>
    <w:rsid w:val="005D27A9"/>
    <w:rsid w:val="005D27EB"/>
    <w:rsid w:val="005D2E55"/>
    <w:rsid w:val="005D2E7F"/>
    <w:rsid w:val="005D2EED"/>
    <w:rsid w:val="005D31F8"/>
    <w:rsid w:val="005D32FE"/>
    <w:rsid w:val="005D340F"/>
    <w:rsid w:val="005D3487"/>
    <w:rsid w:val="005D36AF"/>
    <w:rsid w:val="005D384C"/>
    <w:rsid w:val="005D3B5C"/>
    <w:rsid w:val="005D3DCC"/>
    <w:rsid w:val="005D3DF3"/>
    <w:rsid w:val="005D3E44"/>
    <w:rsid w:val="005D3E94"/>
    <w:rsid w:val="005D3EB7"/>
    <w:rsid w:val="005D40D6"/>
    <w:rsid w:val="005D4128"/>
    <w:rsid w:val="005D420A"/>
    <w:rsid w:val="005D45C7"/>
    <w:rsid w:val="005D45FB"/>
    <w:rsid w:val="005D460B"/>
    <w:rsid w:val="005D48A3"/>
    <w:rsid w:val="005D48AC"/>
    <w:rsid w:val="005D495E"/>
    <w:rsid w:val="005D4BA5"/>
    <w:rsid w:val="005D4DDC"/>
    <w:rsid w:val="005D52E5"/>
    <w:rsid w:val="005D5538"/>
    <w:rsid w:val="005D5584"/>
    <w:rsid w:val="005D558C"/>
    <w:rsid w:val="005D5697"/>
    <w:rsid w:val="005D56B9"/>
    <w:rsid w:val="005D56C6"/>
    <w:rsid w:val="005D57CD"/>
    <w:rsid w:val="005D57F3"/>
    <w:rsid w:val="005D582C"/>
    <w:rsid w:val="005D589F"/>
    <w:rsid w:val="005D5AAD"/>
    <w:rsid w:val="005D5BB8"/>
    <w:rsid w:val="005D5D0E"/>
    <w:rsid w:val="005D6248"/>
    <w:rsid w:val="005D62D2"/>
    <w:rsid w:val="005D63DF"/>
    <w:rsid w:val="005D63E4"/>
    <w:rsid w:val="005D64C6"/>
    <w:rsid w:val="005D68A9"/>
    <w:rsid w:val="005D6990"/>
    <w:rsid w:val="005D6AC5"/>
    <w:rsid w:val="005D6C17"/>
    <w:rsid w:val="005D6FDB"/>
    <w:rsid w:val="005D7577"/>
    <w:rsid w:val="005D7E24"/>
    <w:rsid w:val="005E0094"/>
    <w:rsid w:val="005E01A2"/>
    <w:rsid w:val="005E034F"/>
    <w:rsid w:val="005E038E"/>
    <w:rsid w:val="005E04C1"/>
    <w:rsid w:val="005E05EB"/>
    <w:rsid w:val="005E0606"/>
    <w:rsid w:val="005E07CB"/>
    <w:rsid w:val="005E081A"/>
    <w:rsid w:val="005E0AFB"/>
    <w:rsid w:val="005E0B5A"/>
    <w:rsid w:val="005E0BE5"/>
    <w:rsid w:val="005E0CE6"/>
    <w:rsid w:val="005E0D09"/>
    <w:rsid w:val="005E0E69"/>
    <w:rsid w:val="005E0F78"/>
    <w:rsid w:val="005E1047"/>
    <w:rsid w:val="005E1208"/>
    <w:rsid w:val="005E1352"/>
    <w:rsid w:val="005E1390"/>
    <w:rsid w:val="005E15FB"/>
    <w:rsid w:val="005E1698"/>
    <w:rsid w:val="005E1927"/>
    <w:rsid w:val="005E1A35"/>
    <w:rsid w:val="005E1B07"/>
    <w:rsid w:val="005E1B3F"/>
    <w:rsid w:val="005E1B6D"/>
    <w:rsid w:val="005E1BBB"/>
    <w:rsid w:val="005E1C08"/>
    <w:rsid w:val="005E1D3E"/>
    <w:rsid w:val="005E1D8C"/>
    <w:rsid w:val="005E202F"/>
    <w:rsid w:val="005E2054"/>
    <w:rsid w:val="005E20D9"/>
    <w:rsid w:val="005E21BC"/>
    <w:rsid w:val="005E2368"/>
    <w:rsid w:val="005E295C"/>
    <w:rsid w:val="005E2CEB"/>
    <w:rsid w:val="005E2D7B"/>
    <w:rsid w:val="005E2EA5"/>
    <w:rsid w:val="005E2ECA"/>
    <w:rsid w:val="005E2F05"/>
    <w:rsid w:val="005E329A"/>
    <w:rsid w:val="005E3300"/>
    <w:rsid w:val="005E335C"/>
    <w:rsid w:val="005E3569"/>
    <w:rsid w:val="005E35CC"/>
    <w:rsid w:val="005E35E4"/>
    <w:rsid w:val="005E3623"/>
    <w:rsid w:val="005E390C"/>
    <w:rsid w:val="005E398D"/>
    <w:rsid w:val="005E3EC1"/>
    <w:rsid w:val="005E3EC7"/>
    <w:rsid w:val="005E3EEC"/>
    <w:rsid w:val="005E3F84"/>
    <w:rsid w:val="005E4031"/>
    <w:rsid w:val="005E415C"/>
    <w:rsid w:val="005E418E"/>
    <w:rsid w:val="005E41BA"/>
    <w:rsid w:val="005E41CA"/>
    <w:rsid w:val="005E41E2"/>
    <w:rsid w:val="005E431C"/>
    <w:rsid w:val="005E435A"/>
    <w:rsid w:val="005E43A3"/>
    <w:rsid w:val="005E4775"/>
    <w:rsid w:val="005E47C6"/>
    <w:rsid w:val="005E4876"/>
    <w:rsid w:val="005E4932"/>
    <w:rsid w:val="005E4B2C"/>
    <w:rsid w:val="005E4DA2"/>
    <w:rsid w:val="005E4DD9"/>
    <w:rsid w:val="005E4F28"/>
    <w:rsid w:val="005E4FBD"/>
    <w:rsid w:val="005E5073"/>
    <w:rsid w:val="005E50BD"/>
    <w:rsid w:val="005E51C1"/>
    <w:rsid w:val="005E5289"/>
    <w:rsid w:val="005E5351"/>
    <w:rsid w:val="005E5587"/>
    <w:rsid w:val="005E5748"/>
    <w:rsid w:val="005E5780"/>
    <w:rsid w:val="005E57E3"/>
    <w:rsid w:val="005E58C8"/>
    <w:rsid w:val="005E58CA"/>
    <w:rsid w:val="005E5B40"/>
    <w:rsid w:val="005E5CAF"/>
    <w:rsid w:val="005E5FA6"/>
    <w:rsid w:val="005E6256"/>
    <w:rsid w:val="005E62BF"/>
    <w:rsid w:val="005E6742"/>
    <w:rsid w:val="005E6827"/>
    <w:rsid w:val="005E6BD6"/>
    <w:rsid w:val="005E6D49"/>
    <w:rsid w:val="005E6F07"/>
    <w:rsid w:val="005E73A2"/>
    <w:rsid w:val="005E7650"/>
    <w:rsid w:val="005E76CD"/>
    <w:rsid w:val="005E786B"/>
    <w:rsid w:val="005E78FB"/>
    <w:rsid w:val="005E7905"/>
    <w:rsid w:val="005E7AB7"/>
    <w:rsid w:val="005E7AE8"/>
    <w:rsid w:val="005E7BEA"/>
    <w:rsid w:val="005E7C15"/>
    <w:rsid w:val="005E7D7D"/>
    <w:rsid w:val="005F0123"/>
    <w:rsid w:val="005F01AE"/>
    <w:rsid w:val="005F0443"/>
    <w:rsid w:val="005F05D5"/>
    <w:rsid w:val="005F0600"/>
    <w:rsid w:val="005F0ADE"/>
    <w:rsid w:val="005F0BD9"/>
    <w:rsid w:val="005F0CCF"/>
    <w:rsid w:val="005F0EF7"/>
    <w:rsid w:val="005F0F68"/>
    <w:rsid w:val="005F0FAA"/>
    <w:rsid w:val="005F1043"/>
    <w:rsid w:val="005F124B"/>
    <w:rsid w:val="005F14E9"/>
    <w:rsid w:val="005F1959"/>
    <w:rsid w:val="005F1C45"/>
    <w:rsid w:val="005F1C9C"/>
    <w:rsid w:val="005F1DC2"/>
    <w:rsid w:val="005F1F96"/>
    <w:rsid w:val="005F2097"/>
    <w:rsid w:val="005F20EF"/>
    <w:rsid w:val="005F217B"/>
    <w:rsid w:val="005F21BF"/>
    <w:rsid w:val="005F225F"/>
    <w:rsid w:val="005F2633"/>
    <w:rsid w:val="005F27AF"/>
    <w:rsid w:val="005F283A"/>
    <w:rsid w:val="005F2976"/>
    <w:rsid w:val="005F2A69"/>
    <w:rsid w:val="005F2AD3"/>
    <w:rsid w:val="005F2BBF"/>
    <w:rsid w:val="005F2D38"/>
    <w:rsid w:val="005F30D8"/>
    <w:rsid w:val="005F3167"/>
    <w:rsid w:val="005F3241"/>
    <w:rsid w:val="005F3452"/>
    <w:rsid w:val="005F34F9"/>
    <w:rsid w:val="005F3645"/>
    <w:rsid w:val="005F3667"/>
    <w:rsid w:val="005F37AB"/>
    <w:rsid w:val="005F381C"/>
    <w:rsid w:val="005F387A"/>
    <w:rsid w:val="005F3926"/>
    <w:rsid w:val="005F3985"/>
    <w:rsid w:val="005F39D4"/>
    <w:rsid w:val="005F3B76"/>
    <w:rsid w:val="005F3B7E"/>
    <w:rsid w:val="005F3C89"/>
    <w:rsid w:val="005F3D50"/>
    <w:rsid w:val="005F3F38"/>
    <w:rsid w:val="005F3F9B"/>
    <w:rsid w:val="005F4120"/>
    <w:rsid w:val="005F4291"/>
    <w:rsid w:val="005F42C6"/>
    <w:rsid w:val="005F431B"/>
    <w:rsid w:val="005F4677"/>
    <w:rsid w:val="005F4777"/>
    <w:rsid w:val="005F47AF"/>
    <w:rsid w:val="005F47D5"/>
    <w:rsid w:val="005F4801"/>
    <w:rsid w:val="005F4832"/>
    <w:rsid w:val="005F48E1"/>
    <w:rsid w:val="005F4961"/>
    <w:rsid w:val="005F4C4E"/>
    <w:rsid w:val="005F4C8B"/>
    <w:rsid w:val="005F4C90"/>
    <w:rsid w:val="005F4E8F"/>
    <w:rsid w:val="005F4F58"/>
    <w:rsid w:val="005F4FCC"/>
    <w:rsid w:val="005F5661"/>
    <w:rsid w:val="005F5683"/>
    <w:rsid w:val="005F5966"/>
    <w:rsid w:val="005F59B9"/>
    <w:rsid w:val="005F5A70"/>
    <w:rsid w:val="005F5B19"/>
    <w:rsid w:val="005F5B5A"/>
    <w:rsid w:val="005F5B7B"/>
    <w:rsid w:val="005F5DE6"/>
    <w:rsid w:val="005F5DF9"/>
    <w:rsid w:val="005F5FBF"/>
    <w:rsid w:val="005F65BB"/>
    <w:rsid w:val="005F6689"/>
    <w:rsid w:val="005F6702"/>
    <w:rsid w:val="005F68EE"/>
    <w:rsid w:val="005F6CE4"/>
    <w:rsid w:val="005F6DE9"/>
    <w:rsid w:val="005F6E30"/>
    <w:rsid w:val="005F70AD"/>
    <w:rsid w:val="005F70C5"/>
    <w:rsid w:val="005F720A"/>
    <w:rsid w:val="005F73A3"/>
    <w:rsid w:val="005F740F"/>
    <w:rsid w:val="005F7414"/>
    <w:rsid w:val="005F74CA"/>
    <w:rsid w:val="005F759C"/>
    <w:rsid w:val="005F7812"/>
    <w:rsid w:val="005F7CA3"/>
    <w:rsid w:val="005F7F12"/>
    <w:rsid w:val="005F7FEE"/>
    <w:rsid w:val="00600025"/>
    <w:rsid w:val="00600179"/>
    <w:rsid w:val="0060033E"/>
    <w:rsid w:val="0060042D"/>
    <w:rsid w:val="00600594"/>
    <w:rsid w:val="0060059C"/>
    <w:rsid w:val="006009D3"/>
    <w:rsid w:val="00600A2A"/>
    <w:rsid w:val="00600AC4"/>
    <w:rsid w:val="00600D66"/>
    <w:rsid w:val="00600D7B"/>
    <w:rsid w:val="00600EEA"/>
    <w:rsid w:val="0060105B"/>
    <w:rsid w:val="006010DD"/>
    <w:rsid w:val="00601334"/>
    <w:rsid w:val="00601636"/>
    <w:rsid w:val="00601645"/>
    <w:rsid w:val="0060181C"/>
    <w:rsid w:val="00601ACE"/>
    <w:rsid w:val="00601B1A"/>
    <w:rsid w:val="0060224A"/>
    <w:rsid w:val="006024FE"/>
    <w:rsid w:val="006028C2"/>
    <w:rsid w:val="00602A6B"/>
    <w:rsid w:val="00602B5F"/>
    <w:rsid w:val="00602C37"/>
    <w:rsid w:val="00602F27"/>
    <w:rsid w:val="00603039"/>
    <w:rsid w:val="00603101"/>
    <w:rsid w:val="0060317F"/>
    <w:rsid w:val="00603684"/>
    <w:rsid w:val="006036DE"/>
    <w:rsid w:val="00603821"/>
    <w:rsid w:val="006039F0"/>
    <w:rsid w:val="00603AFB"/>
    <w:rsid w:val="00603D9D"/>
    <w:rsid w:val="006041F5"/>
    <w:rsid w:val="00604378"/>
    <w:rsid w:val="00604386"/>
    <w:rsid w:val="0060438A"/>
    <w:rsid w:val="0060438E"/>
    <w:rsid w:val="00604594"/>
    <w:rsid w:val="00604704"/>
    <w:rsid w:val="006047F8"/>
    <w:rsid w:val="00604C6C"/>
    <w:rsid w:val="00604CA1"/>
    <w:rsid w:val="00604D16"/>
    <w:rsid w:val="00604E90"/>
    <w:rsid w:val="006050B0"/>
    <w:rsid w:val="00605113"/>
    <w:rsid w:val="006052C6"/>
    <w:rsid w:val="00605483"/>
    <w:rsid w:val="00605666"/>
    <w:rsid w:val="006057D1"/>
    <w:rsid w:val="006057FC"/>
    <w:rsid w:val="00605A15"/>
    <w:rsid w:val="00605B8B"/>
    <w:rsid w:val="00605DB1"/>
    <w:rsid w:val="00605E0A"/>
    <w:rsid w:val="00605FD2"/>
    <w:rsid w:val="00606077"/>
    <w:rsid w:val="00606133"/>
    <w:rsid w:val="00606265"/>
    <w:rsid w:val="006062C3"/>
    <w:rsid w:val="0060637D"/>
    <w:rsid w:val="00606580"/>
    <w:rsid w:val="00606587"/>
    <w:rsid w:val="0060665C"/>
    <w:rsid w:val="00606B1E"/>
    <w:rsid w:val="00606C99"/>
    <w:rsid w:val="00606DAE"/>
    <w:rsid w:val="00606EFE"/>
    <w:rsid w:val="0060701A"/>
    <w:rsid w:val="00607195"/>
    <w:rsid w:val="0060728A"/>
    <w:rsid w:val="00607361"/>
    <w:rsid w:val="00607489"/>
    <w:rsid w:val="006076CF"/>
    <w:rsid w:val="006076ED"/>
    <w:rsid w:val="00607705"/>
    <w:rsid w:val="006078BB"/>
    <w:rsid w:val="00607942"/>
    <w:rsid w:val="00607972"/>
    <w:rsid w:val="00607D2B"/>
    <w:rsid w:val="00607E3D"/>
    <w:rsid w:val="00610018"/>
    <w:rsid w:val="006100ED"/>
    <w:rsid w:val="00610263"/>
    <w:rsid w:val="0061028E"/>
    <w:rsid w:val="006103A9"/>
    <w:rsid w:val="0061041A"/>
    <w:rsid w:val="00610530"/>
    <w:rsid w:val="00610574"/>
    <w:rsid w:val="006107D8"/>
    <w:rsid w:val="0061083A"/>
    <w:rsid w:val="00610880"/>
    <w:rsid w:val="00610D1D"/>
    <w:rsid w:val="00610D5F"/>
    <w:rsid w:val="0061101B"/>
    <w:rsid w:val="00611129"/>
    <w:rsid w:val="00611152"/>
    <w:rsid w:val="0061136F"/>
    <w:rsid w:val="0061139D"/>
    <w:rsid w:val="006117B8"/>
    <w:rsid w:val="006119B0"/>
    <w:rsid w:val="006119B6"/>
    <w:rsid w:val="006119E4"/>
    <w:rsid w:val="00611A5C"/>
    <w:rsid w:val="00611B99"/>
    <w:rsid w:val="00611D22"/>
    <w:rsid w:val="00611EB6"/>
    <w:rsid w:val="00611F8D"/>
    <w:rsid w:val="00611FA3"/>
    <w:rsid w:val="006123E3"/>
    <w:rsid w:val="006127DD"/>
    <w:rsid w:val="00612A5D"/>
    <w:rsid w:val="00612A68"/>
    <w:rsid w:val="00612D43"/>
    <w:rsid w:val="00612DC7"/>
    <w:rsid w:val="00612FC8"/>
    <w:rsid w:val="00613090"/>
    <w:rsid w:val="0061326F"/>
    <w:rsid w:val="0061328F"/>
    <w:rsid w:val="00613429"/>
    <w:rsid w:val="00613459"/>
    <w:rsid w:val="0061356B"/>
    <w:rsid w:val="00613ABE"/>
    <w:rsid w:val="00613B09"/>
    <w:rsid w:val="00613B7A"/>
    <w:rsid w:val="00613BBB"/>
    <w:rsid w:val="00613F03"/>
    <w:rsid w:val="006140BF"/>
    <w:rsid w:val="00614181"/>
    <w:rsid w:val="00614253"/>
    <w:rsid w:val="006142EF"/>
    <w:rsid w:val="006146A2"/>
    <w:rsid w:val="006146CA"/>
    <w:rsid w:val="00614720"/>
    <w:rsid w:val="00614799"/>
    <w:rsid w:val="00614815"/>
    <w:rsid w:val="0061491A"/>
    <w:rsid w:val="006149CC"/>
    <w:rsid w:val="00614A5D"/>
    <w:rsid w:val="00615119"/>
    <w:rsid w:val="00615210"/>
    <w:rsid w:val="006153BA"/>
    <w:rsid w:val="00615492"/>
    <w:rsid w:val="006155DC"/>
    <w:rsid w:val="00615683"/>
    <w:rsid w:val="0061576D"/>
    <w:rsid w:val="00615882"/>
    <w:rsid w:val="0061592B"/>
    <w:rsid w:val="006159C5"/>
    <w:rsid w:val="00615C08"/>
    <w:rsid w:val="00615C6F"/>
    <w:rsid w:val="00615DE5"/>
    <w:rsid w:val="00615F15"/>
    <w:rsid w:val="00615F41"/>
    <w:rsid w:val="0061606E"/>
    <w:rsid w:val="0061611E"/>
    <w:rsid w:val="006164B2"/>
    <w:rsid w:val="00616797"/>
    <w:rsid w:val="006167A5"/>
    <w:rsid w:val="006167DD"/>
    <w:rsid w:val="00616809"/>
    <w:rsid w:val="00616A27"/>
    <w:rsid w:val="00616B79"/>
    <w:rsid w:val="00616B8C"/>
    <w:rsid w:val="00616B97"/>
    <w:rsid w:val="00616CFE"/>
    <w:rsid w:val="00616EEC"/>
    <w:rsid w:val="00617206"/>
    <w:rsid w:val="00617440"/>
    <w:rsid w:val="00617468"/>
    <w:rsid w:val="00617522"/>
    <w:rsid w:val="006176C0"/>
    <w:rsid w:val="0061772A"/>
    <w:rsid w:val="006177D7"/>
    <w:rsid w:val="00617B86"/>
    <w:rsid w:val="00617BEF"/>
    <w:rsid w:val="00617E41"/>
    <w:rsid w:val="00620476"/>
    <w:rsid w:val="006207E5"/>
    <w:rsid w:val="00620818"/>
    <w:rsid w:val="00620A41"/>
    <w:rsid w:val="00620CA2"/>
    <w:rsid w:val="00620DC0"/>
    <w:rsid w:val="00620EFC"/>
    <w:rsid w:val="00621055"/>
    <w:rsid w:val="00621217"/>
    <w:rsid w:val="0062141D"/>
    <w:rsid w:val="006214D9"/>
    <w:rsid w:val="006215B4"/>
    <w:rsid w:val="0062185A"/>
    <w:rsid w:val="00621ADD"/>
    <w:rsid w:val="00621B32"/>
    <w:rsid w:val="00621CA1"/>
    <w:rsid w:val="00621CD9"/>
    <w:rsid w:val="00621E83"/>
    <w:rsid w:val="00622013"/>
    <w:rsid w:val="0062203C"/>
    <w:rsid w:val="006221DE"/>
    <w:rsid w:val="00622229"/>
    <w:rsid w:val="00622439"/>
    <w:rsid w:val="00622504"/>
    <w:rsid w:val="00622636"/>
    <w:rsid w:val="006227BA"/>
    <w:rsid w:val="00622957"/>
    <w:rsid w:val="006229F8"/>
    <w:rsid w:val="00622DB0"/>
    <w:rsid w:val="00622DEA"/>
    <w:rsid w:val="00622F49"/>
    <w:rsid w:val="006233C2"/>
    <w:rsid w:val="006234DB"/>
    <w:rsid w:val="00623509"/>
    <w:rsid w:val="0062355D"/>
    <w:rsid w:val="00623861"/>
    <w:rsid w:val="00623904"/>
    <w:rsid w:val="00623B5A"/>
    <w:rsid w:val="00623C91"/>
    <w:rsid w:val="00623E16"/>
    <w:rsid w:val="006240E5"/>
    <w:rsid w:val="00624116"/>
    <w:rsid w:val="00624613"/>
    <w:rsid w:val="00624630"/>
    <w:rsid w:val="00624695"/>
    <w:rsid w:val="006246A5"/>
    <w:rsid w:val="006246AB"/>
    <w:rsid w:val="0062470A"/>
    <w:rsid w:val="006248FC"/>
    <w:rsid w:val="0062497D"/>
    <w:rsid w:val="00624B98"/>
    <w:rsid w:val="00624C51"/>
    <w:rsid w:val="00624FBA"/>
    <w:rsid w:val="0062503A"/>
    <w:rsid w:val="0062524E"/>
    <w:rsid w:val="006252DA"/>
    <w:rsid w:val="00625459"/>
    <w:rsid w:val="00625460"/>
    <w:rsid w:val="006254A9"/>
    <w:rsid w:val="006256D7"/>
    <w:rsid w:val="006256FA"/>
    <w:rsid w:val="00625750"/>
    <w:rsid w:val="0062576C"/>
    <w:rsid w:val="006257EB"/>
    <w:rsid w:val="00625818"/>
    <w:rsid w:val="006258BB"/>
    <w:rsid w:val="00625921"/>
    <w:rsid w:val="0062593E"/>
    <w:rsid w:val="006259BC"/>
    <w:rsid w:val="006259DC"/>
    <w:rsid w:val="00625BAB"/>
    <w:rsid w:val="00625D5D"/>
    <w:rsid w:val="00625E0F"/>
    <w:rsid w:val="00625E9F"/>
    <w:rsid w:val="00625F0A"/>
    <w:rsid w:val="0062611C"/>
    <w:rsid w:val="00626194"/>
    <w:rsid w:val="00626252"/>
    <w:rsid w:val="00626287"/>
    <w:rsid w:val="0062638F"/>
    <w:rsid w:val="006266D2"/>
    <w:rsid w:val="00626717"/>
    <w:rsid w:val="00626CD9"/>
    <w:rsid w:val="00626D46"/>
    <w:rsid w:val="00626FFF"/>
    <w:rsid w:val="006270AD"/>
    <w:rsid w:val="006272B7"/>
    <w:rsid w:val="0062751D"/>
    <w:rsid w:val="00627576"/>
    <w:rsid w:val="0062764E"/>
    <w:rsid w:val="00627969"/>
    <w:rsid w:val="0062797C"/>
    <w:rsid w:val="00627B63"/>
    <w:rsid w:val="00627C90"/>
    <w:rsid w:val="00627DCB"/>
    <w:rsid w:val="00627E68"/>
    <w:rsid w:val="00630202"/>
    <w:rsid w:val="0063023F"/>
    <w:rsid w:val="006302A7"/>
    <w:rsid w:val="006304BF"/>
    <w:rsid w:val="00630715"/>
    <w:rsid w:val="00630798"/>
    <w:rsid w:val="0063088F"/>
    <w:rsid w:val="0063099B"/>
    <w:rsid w:val="006309A9"/>
    <w:rsid w:val="00630B99"/>
    <w:rsid w:val="00630D65"/>
    <w:rsid w:val="00630F49"/>
    <w:rsid w:val="00630FF2"/>
    <w:rsid w:val="006310D4"/>
    <w:rsid w:val="006311D3"/>
    <w:rsid w:val="0063122F"/>
    <w:rsid w:val="006312D5"/>
    <w:rsid w:val="00631334"/>
    <w:rsid w:val="0063139F"/>
    <w:rsid w:val="0063154D"/>
    <w:rsid w:val="006315E8"/>
    <w:rsid w:val="006316CE"/>
    <w:rsid w:val="0063181A"/>
    <w:rsid w:val="00631868"/>
    <w:rsid w:val="00631BAE"/>
    <w:rsid w:val="00631C36"/>
    <w:rsid w:val="00631E18"/>
    <w:rsid w:val="00631EE3"/>
    <w:rsid w:val="00632082"/>
    <w:rsid w:val="0063213C"/>
    <w:rsid w:val="006323F9"/>
    <w:rsid w:val="0063249B"/>
    <w:rsid w:val="006324D5"/>
    <w:rsid w:val="006324E6"/>
    <w:rsid w:val="006327DF"/>
    <w:rsid w:val="006328F2"/>
    <w:rsid w:val="00632920"/>
    <w:rsid w:val="0063293B"/>
    <w:rsid w:val="00632AA0"/>
    <w:rsid w:val="00632B94"/>
    <w:rsid w:val="00632D23"/>
    <w:rsid w:val="0063300D"/>
    <w:rsid w:val="0063317F"/>
    <w:rsid w:val="006331E2"/>
    <w:rsid w:val="006332DC"/>
    <w:rsid w:val="006333E8"/>
    <w:rsid w:val="006333FB"/>
    <w:rsid w:val="006334DE"/>
    <w:rsid w:val="006334E3"/>
    <w:rsid w:val="006335A3"/>
    <w:rsid w:val="006335C3"/>
    <w:rsid w:val="0063361C"/>
    <w:rsid w:val="006339B0"/>
    <w:rsid w:val="00633C14"/>
    <w:rsid w:val="00633C17"/>
    <w:rsid w:val="00633D8A"/>
    <w:rsid w:val="00633FDF"/>
    <w:rsid w:val="00633FE4"/>
    <w:rsid w:val="006341CC"/>
    <w:rsid w:val="006341D3"/>
    <w:rsid w:val="00634323"/>
    <w:rsid w:val="00634449"/>
    <w:rsid w:val="00634517"/>
    <w:rsid w:val="006347A1"/>
    <w:rsid w:val="00634A26"/>
    <w:rsid w:val="00634AA6"/>
    <w:rsid w:val="00634B38"/>
    <w:rsid w:val="00634D30"/>
    <w:rsid w:val="00634FD1"/>
    <w:rsid w:val="006354AA"/>
    <w:rsid w:val="00635628"/>
    <w:rsid w:val="00635674"/>
    <w:rsid w:val="0063574F"/>
    <w:rsid w:val="0063583C"/>
    <w:rsid w:val="00635A04"/>
    <w:rsid w:val="00635C41"/>
    <w:rsid w:val="00635CF2"/>
    <w:rsid w:val="00635D41"/>
    <w:rsid w:val="00635E2A"/>
    <w:rsid w:val="00635F72"/>
    <w:rsid w:val="00636462"/>
    <w:rsid w:val="0063651B"/>
    <w:rsid w:val="0063659B"/>
    <w:rsid w:val="00636751"/>
    <w:rsid w:val="006368A1"/>
    <w:rsid w:val="0063699F"/>
    <w:rsid w:val="006369AC"/>
    <w:rsid w:val="00636B0D"/>
    <w:rsid w:val="00636B98"/>
    <w:rsid w:val="00636F1A"/>
    <w:rsid w:val="00637232"/>
    <w:rsid w:val="0063735B"/>
    <w:rsid w:val="0063737B"/>
    <w:rsid w:val="0063759E"/>
    <w:rsid w:val="0063764B"/>
    <w:rsid w:val="006376F7"/>
    <w:rsid w:val="006377B4"/>
    <w:rsid w:val="00637814"/>
    <w:rsid w:val="006378F8"/>
    <w:rsid w:val="00637DAD"/>
    <w:rsid w:val="00637DD7"/>
    <w:rsid w:val="00637FBA"/>
    <w:rsid w:val="006403C3"/>
    <w:rsid w:val="006405CA"/>
    <w:rsid w:val="00640643"/>
    <w:rsid w:val="006409AB"/>
    <w:rsid w:val="00640BEB"/>
    <w:rsid w:val="00640CD6"/>
    <w:rsid w:val="00640FCF"/>
    <w:rsid w:val="0064124C"/>
    <w:rsid w:val="006413F6"/>
    <w:rsid w:val="00641423"/>
    <w:rsid w:val="006415EE"/>
    <w:rsid w:val="006417DF"/>
    <w:rsid w:val="00641847"/>
    <w:rsid w:val="006419D1"/>
    <w:rsid w:val="00641AE2"/>
    <w:rsid w:val="00641C73"/>
    <w:rsid w:val="00641CDC"/>
    <w:rsid w:val="00641E05"/>
    <w:rsid w:val="00641F02"/>
    <w:rsid w:val="00641FA3"/>
    <w:rsid w:val="006424AB"/>
    <w:rsid w:val="006424C8"/>
    <w:rsid w:val="006424D1"/>
    <w:rsid w:val="00642791"/>
    <w:rsid w:val="006427D0"/>
    <w:rsid w:val="006428EB"/>
    <w:rsid w:val="00642B61"/>
    <w:rsid w:val="00642B81"/>
    <w:rsid w:val="00642E0E"/>
    <w:rsid w:val="00642F5E"/>
    <w:rsid w:val="006430D6"/>
    <w:rsid w:val="0064310B"/>
    <w:rsid w:val="006431F6"/>
    <w:rsid w:val="00643204"/>
    <w:rsid w:val="00643303"/>
    <w:rsid w:val="006433F9"/>
    <w:rsid w:val="006436DE"/>
    <w:rsid w:val="00643789"/>
    <w:rsid w:val="00643A19"/>
    <w:rsid w:val="00643B03"/>
    <w:rsid w:val="00643D8C"/>
    <w:rsid w:val="00643DB2"/>
    <w:rsid w:val="00643F27"/>
    <w:rsid w:val="00643F76"/>
    <w:rsid w:val="00643FA6"/>
    <w:rsid w:val="0064407A"/>
    <w:rsid w:val="00644362"/>
    <w:rsid w:val="006444C7"/>
    <w:rsid w:val="006444CB"/>
    <w:rsid w:val="00644531"/>
    <w:rsid w:val="00644676"/>
    <w:rsid w:val="00644AB6"/>
    <w:rsid w:val="00644C57"/>
    <w:rsid w:val="00644F7A"/>
    <w:rsid w:val="006450C0"/>
    <w:rsid w:val="006450E2"/>
    <w:rsid w:val="006454D4"/>
    <w:rsid w:val="006456F5"/>
    <w:rsid w:val="006459FE"/>
    <w:rsid w:val="00645C21"/>
    <w:rsid w:val="00645C8E"/>
    <w:rsid w:val="00645D03"/>
    <w:rsid w:val="00645F41"/>
    <w:rsid w:val="00646130"/>
    <w:rsid w:val="00646367"/>
    <w:rsid w:val="00646409"/>
    <w:rsid w:val="00646420"/>
    <w:rsid w:val="0064649D"/>
    <w:rsid w:val="00646552"/>
    <w:rsid w:val="00646575"/>
    <w:rsid w:val="006465C9"/>
    <w:rsid w:val="00646941"/>
    <w:rsid w:val="00646C08"/>
    <w:rsid w:val="00646C5D"/>
    <w:rsid w:val="00646D08"/>
    <w:rsid w:val="00646E24"/>
    <w:rsid w:val="006470A3"/>
    <w:rsid w:val="00647131"/>
    <w:rsid w:val="00647230"/>
    <w:rsid w:val="00647380"/>
    <w:rsid w:val="006473D9"/>
    <w:rsid w:val="006474B3"/>
    <w:rsid w:val="00647737"/>
    <w:rsid w:val="006477DB"/>
    <w:rsid w:val="00647847"/>
    <w:rsid w:val="00647C4E"/>
    <w:rsid w:val="00647F6C"/>
    <w:rsid w:val="00650178"/>
    <w:rsid w:val="0065033D"/>
    <w:rsid w:val="00650817"/>
    <w:rsid w:val="00650830"/>
    <w:rsid w:val="00650A8A"/>
    <w:rsid w:val="006511DC"/>
    <w:rsid w:val="0065143A"/>
    <w:rsid w:val="00651561"/>
    <w:rsid w:val="006518CD"/>
    <w:rsid w:val="00651AD0"/>
    <w:rsid w:val="00651B35"/>
    <w:rsid w:val="00651D60"/>
    <w:rsid w:val="00652016"/>
    <w:rsid w:val="00652105"/>
    <w:rsid w:val="006523BA"/>
    <w:rsid w:val="006524D8"/>
    <w:rsid w:val="00652621"/>
    <w:rsid w:val="00652892"/>
    <w:rsid w:val="0065297F"/>
    <w:rsid w:val="00652BE6"/>
    <w:rsid w:val="00652D43"/>
    <w:rsid w:val="00652E9E"/>
    <w:rsid w:val="0065317B"/>
    <w:rsid w:val="006531BF"/>
    <w:rsid w:val="006532DA"/>
    <w:rsid w:val="00653347"/>
    <w:rsid w:val="00653635"/>
    <w:rsid w:val="00653AAF"/>
    <w:rsid w:val="00653BC2"/>
    <w:rsid w:val="00653E47"/>
    <w:rsid w:val="00653F8F"/>
    <w:rsid w:val="006540B9"/>
    <w:rsid w:val="00654410"/>
    <w:rsid w:val="00654423"/>
    <w:rsid w:val="0065459B"/>
    <w:rsid w:val="006546AF"/>
    <w:rsid w:val="00654700"/>
    <w:rsid w:val="00654734"/>
    <w:rsid w:val="00654753"/>
    <w:rsid w:val="006548C0"/>
    <w:rsid w:val="00654904"/>
    <w:rsid w:val="00654A31"/>
    <w:rsid w:val="00654AAE"/>
    <w:rsid w:val="00654B78"/>
    <w:rsid w:val="00654BAD"/>
    <w:rsid w:val="00654CD4"/>
    <w:rsid w:val="00654E66"/>
    <w:rsid w:val="00654E73"/>
    <w:rsid w:val="0065501D"/>
    <w:rsid w:val="00655028"/>
    <w:rsid w:val="006553EA"/>
    <w:rsid w:val="006556D2"/>
    <w:rsid w:val="00655997"/>
    <w:rsid w:val="0065648E"/>
    <w:rsid w:val="00656852"/>
    <w:rsid w:val="00656923"/>
    <w:rsid w:val="00656A66"/>
    <w:rsid w:val="00656B65"/>
    <w:rsid w:val="00656D30"/>
    <w:rsid w:val="00656DAE"/>
    <w:rsid w:val="00656E86"/>
    <w:rsid w:val="00657053"/>
    <w:rsid w:val="00657122"/>
    <w:rsid w:val="006571AB"/>
    <w:rsid w:val="00657528"/>
    <w:rsid w:val="00657595"/>
    <w:rsid w:val="006579FF"/>
    <w:rsid w:val="00657A8C"/>
    <w:rsid w:val="00657C13"/>
    <w:rsid w:val="00657D91"/>
    <w:rsid w:val="00657DDC"/>
    <w:rsid w:val="00657E24"/>
    <w:rsid w:val="00657EF8"/>
    <w:rsid w:val="006600C8"/>
    <w:rsid w:val="00660175"/>
    <w:rsid w:val="00660549"/>
    <w:rsid w:val="006605CB"/>
    <w:rsid w:val="00660B91"/>
    <w:rsid w:val="00661055"/>
    <w:rsid w:val="006615C3"/>
    <w:rsid w:val="006615F4"/>
    <w:rsid w:val="006616EF"/>
    <w:rsid w:val="0066194E"/>
    <w:rsid w:val="00661B2C"/>
    <w:rsid w:val="00661C02"/>
    <w:rsid w:val="00661C46"/>
    <w:rsid w:val="00661F0F"/>
    <w:rsid w:val="0066206B"/>
    <w:rsid w:val="0066214B"/>
    <w:rsid w:val="006621AE"/>
    <w:rsid w:val="006624FA"/>
    <w:rsid w:val="0066259E"/>
    <w:rsid w:val="00662897"/>
    <w:rsid w:val="00662A16"/>
    <w:rsid w:val="00662B2B"/>
    <w:rsid w:val="00662C6F"/>
    <w:rsid w:val="00662CF3"/>
    <w:rsid w:val="00662DE6"/>
    <w:rsid w:val="00662DFE"/>
    <w:rsid w:val="00662E0E"/>
    <w:rsid w:val="00662E1A"/>
    <w:rsid w:val="00663167"/>
    <w:rsid w:val="00663268"/>
    <w:rsid w:val="00663353"/>
    <w:rsid w:val="006635B3"/>
    <w:rsid w:val="00663A51"/>
    <w:rsid w:val="00663B5E"/>
    <w:rsid w:val="00663DA8"/>
    <w:rsid w:val="00663E03"/>
    <w:rsid w:val="00663E64"/>
    <w:rsid w:val="00663F31"/>
    <w:rsid w:val="00663F5B"/>
    <w:rsid w:val="0066477F"/>
    <w:rsid w:val="00664908"/>
    <w:rsid w:val="00664A7B"/>
    <w:rsid w:val="00664B3C"/>
    <w:rsid w:val="00664CF8"/>
    <w:rsid w:val="00664E46"/>
    <w:rsid w:val="00665284"/>
    <w:rsid w:val="006652BD"/>
    <w:rsid w:val="006654C0"/>
    <w:rsid w:val="0066557B"/>
    <w:rsid w:val="00665712"/>
    <w:rsid w:val="006657A1"/>
    <w:rsid w:val="006658D3"/>
    <w:rsid w:val="0066590C"/>
    <w:rsid w:val="00665D48"/>
    <w:rsid w:val="00665E5F"/>
    <w:rsid w:val="00665F04"/>
    <w:rsid w:val="00665F8B"/>
    <w:rsid w:val="006660EC"/>
    <w:rsid w:val="006663C9"/>
    <w:rsid w:val="00666673"/>
    <w:rsid w:val="006666B7"/>
    <w:rsid w:val="00666981"/>
    <w:rsid w:val="006669EB"/>
    <w:rsid w:val="00666CAA"/>
    <w:rsid w:val="00666E10"/>
    <w:rsid w:val="00666F10"/>
    <w:rsid w:val="006670FA"/>
    <w:rsid w:val="006672D3"/>
    <w:rsid w:val="0066737C"/>
    <w:rsid w:val="006673C2"/>
    <w:rsid w:val="00667431"/>
    <w:rsid w:val="00667667"/>
    <w:rsid w:val="00667747"/>
    <w:rsid w:val="00667A5B"/>
    <w:rsid w:val="00667ADD"/>
    <w:rsid w:val="00667B5B"/>
    <w:rsid w:val="00667B85"/>
    <w:rsid w:val="00667F35"/>
    <w:rsid w:val="00667F36"/>
    <w:rsid w:val="00667F63"/>
    <w:rsid w:val="006700C1"/>
    <w:rsid w:val="00670175"/>
    <w:rsid w:val="006701FA"/>
    <w:rsid w:val="0067026E"/>
    <w:rsid w:val="0067032B"/>
    <w:rsid w:val="0067055D"/>
    <w:rsid w:val="0067056E"/>
    <w:rsid w:val="00670749"/>
    <w:rsid w:val="006708E7"/>
    <w:rsid w:val="006709D4"/>
    <w:rsid w:val="00670A91"/>
    <w:rsid w:val="00670B20"/>
    <w:rsid w:val="00670B50"/>
    <w:rsid w:val="00670BFB"/>
    <w:rsid w:val="00670C1F"/>
    <w:rsid w:val="00670D5D"/>
    <w:rsid w:val="00670EF0"/>
    <w:rsid w:val="00670F0C"/>
    <w:rsid w:val="0067117A"/>
    <w:rsid w:val="00671205"/>
    <w:rsid w:val="00671289"/>
    <w:rsid w:val="006716CA"/>
    <w:rsid w:val="00671829"/>
    <w:rsid w:val="006719A9"/>
    <w:rsid w:val="00671D93"/>
    <w:rsid w:val="00671DBA"/>
    <w:rsid w:val="00671DD7"/>
    <w:rsid w:val="00671EDB"/>
    <w:rsid w:val="00671F88"/>
    <w:rsid w:val="0067206D"/>
    <w:rsid w:val="00672259"/>
    <w:rsid w:val="00672322"/>
    <w:rsid w:val="00672416"/>
    <w:rsid w:val="00672494"/>
    <w:rsid w:val="0067274B"/>
    <w:rsid w:val="006728BF"/>
    <w:rsid w:val="00672965"/>
    <w:rsid w:val="00672B31"/>
    <w:rsid w:val="00672BEC"/>
    <w:rsid w:val="00672C89"/>
    <w:rsid w:val="00672CE3"/>
    <w:rsid w:val="00672E62"/>
    <w:rsid w:val="00672E7B"/>
    <w:rsid w:val="0067308D"/>
    <w:rsid w:val="00673167"/>
    <w:rsid w:val="006736EB"/>
    <w:rsid w:val="006736FD"/>
    <w:rsid w:val="0067395C"/>
    <w:rsid w:val="00673AFE"/>
    <w:rsid w:val="00673E4F"/>
    <w:rsid w:val="0067410E"/>
    <w:rsid w:val="0067414C"/>
    <w:rsid w:val="0067418D"/>
    <w:rsid w:val="0067437C"/>
    <w:rsid w:val="0067460E"/>
    <w:rsid w:val="006746C3"/>
    <w:rsid w:val="00674767"/>
    <w:rsid w:val="006748A7"/>
    <w:rsid w:val="00674AA9"/>
    <w:rsid w:val="00674FE5"/>
    <w:rsid w:val="00675191"/>
    <w:rsid w:val="006751C0"/>
    <w:rsid w:val="00675388"/>
    <w:rsid w:val="006753B5"/>
    <w:rsid w:val="0067577D"/>
    <w:rsid w:val="006757E8"/>
    <w:rsid w:val="0067583B"/>
    <w:rsid w:val="0067589E"/>
    <w:rsid w:val="00676253"/>
    <w:rsid w:val="00676447"/>
    <w:rsid w:val="0067645A"/>
    <w:rsid w:val="0067647F"/>
    <w:rsid w:val="00676492"/>
    <w:rsid w:val="00676543"/>
    <w:rsid w:val="00676559"/>
    <w:rsid w:val="00676712"/>
    <w:rsid w:val="006769DC"/>
    <w:rsid w:val="00676C8C"/>
    <w:rsid w:val="00676F74"/>
    <w:rsid w:val="00676F91"/>
    <w:rsid w:val="006770E2"/>
    <w:rsid w:val="0067710B"/>
    <w:rsid w:val="00677234"/>
    <w:rsid w:val="006774F5"/>
    <w:rsid w:val="00677556"/>
    <w:rsid w:val="00677833"/>
    <w:rsid w:val="00677A9A"/>
    <w:rsid w:val="00677C2E"/>
    <w:rsid w:val="00677C48"/>
    <w:rsid w:val="00677D27"/>
    <w:rsid w:val="00677E60"/>
    <w:rsid w:val="006803FC"/>
    <w:rsid w:val="0068086A"/>
    <w:rsid w:val="006808A9"/>
    <w:rsid w:val="006808EA"/>
    <w:rsid w:val="0068090E"/>
    <w:rsid w:val="00680A34"/>
    <w:rsid w:val="00680A4E"/>
    <w:rsid w:val="00680DCA"/>
    <w:rsid w:val="00680F9D"/>
    <w:rsid w:val="00681079"/>
    <w:rsid w:val="00681135"/>
    <w:rsid w:val="006813AA"/>
    <w:rsid w:val="006815BD"/>
    <w:rsid w:val="00681629"/>
    <w:rsid w:val="00681707"/>
    <w:rsid w:val="006818B0"/>
    <w:rsid w:val="00681A79"/>
    <w:rsid w:val="00681AFC"/>
    <w:rsid w:val="00681BE2"/>
    <w:rsid w:val="00681C19"/>
    <w:rsid w:val="00681D8F"/>
    <w:rsid w:val="00681EA0"/>
    <w:rsid w:val="006820A2"/>
    <w:rsid w:val="00682493"/>
    <w:rsid w:val="00682B1E"/>
    <w:rsid w:val="00682C72"/>
    <w:rsid w:val="00682D13"/>
    <w:rsid w:val="00682D25"/>
    <w:rsid w:val="00682D5F"/>
    <w:rsid w:val="00682DF3"/>
    <w:rsid w:val="00683008"/>
    <w:rsid w:val="00683068"/>
    <w:rsid w:val="00683369"/>
    <w:rsid w:val="006836D3"/>
    <w:rsid w:val="006838B9"/>
    <w:rsid w:val="00683920"/>
    <w:rsid w:val="00683ADF"/>
    <w:rsid w:val="00683B15"/>
    <w:rsid w:val="00683E6E"/>
    <w:rsid w:val="006840C0"/>
    <w:rsid w:val="00684B8D"/>
    <w:rsid w:val="00684C3C"/>
    <w:rsid w:val="00684C55"/>
    <w:rsid w:val="00684DB9"/>
    <w:rsid w:val="00685001"/>
    <w:rsid w:val="00685196"/>
    <w:rsid w:val="006853C5"/>
    <w:rsid w:val="006854A9"/>
    <w:rsid w:val="006856F3"/>
    <w:rsid w:val="0068580F"/>
    <w:rsid w:val="00685811"/>
    <w:rsid w:val="006859BB"/>
    <w:rsid w:val="00685A07"/>
    <w:rsid w:val="00685AAD"/>
    <w:rsid w:val="00685BDD"/>
    <w:rsid w:val="00685CDF"/>
    <w:rsid w:val="00685E9C"/>
    <w:rsid w:val="00685EB4"/>
    <w:rsid w:val="00685F8E"/>
    <w:rsid w:val="00685FE9"/>
    <w:rsid w:val="006861A2"/>
    <w:rsid w:val="00686226"/>
    <w:rsid w:val="00686228"/>
    <w:rsid w:val="00686329"/>
    <w:rsid w:val="006863DD"/>
    <w:rsid w:val="006865BA"/>
    <w:rsid w:val="0068683A"/>
    <w:rsid w:val="0068694B"/>
    <w:rsid w:val="00686B6B"/>
    <w:rsid w:val="00686C1F"/>
    <w:rsid w:val="00686D3E"/>
    <w:rsid w:val="00686DF7"/>
    <w:rsid w:val="00686F7F"/>
    <w:rsid w:val="006872BA"/>
    <w:rsid w:val="00687551"/>
    <w:rsid w:val="0068769B"/>
    <w:rsid w:val="006877A0"/>
    <w:rsid w:val="0068791D"/>
    <w:rsid w:val="00687A6A"/>
    <w:rsid w:val="00687BB1"/>
    <w:rsid w:val="00687BD8"/>
    <w:rsid w:val="00690428"/>
    <w:rsid w:val="006904AF"/>
    <w:rsid w:val="00690755"/>
    <w:rsid w:val="006908D5"/>
    <w:rsid w:val="0069097F"/>
    <w:rsid w:val="00690F77"/>
    <w:rsid w:val="00691044"/>
    <w:rsid w:val="006910BB"/>
    <w:rsid w:val="006912C9"/>
    <w:rsid w:val="00691360"/>
    <w:rsid w:val="006913AA"/>
    <w:rsid w:val="00691535"/>
    <w:rsid w:val="00691902"/>
    <w:rsid w:val="006919DB"/>
    <w:rsid w:val="00691A89"/>
    <w:rsid w:val="00691AA7"/>
    <w:rsid w:val="00691BDE"/>
    <w:rsid w:val="00691C07"/>
    <w:rsid w:val="00692080"/>
    <w:rsid w:val="006920F9"/>
    <w:rsid w:val="006923FD"/>
    <w:rsid w:val="006924D6"/>
    <w:rsid w:val="00692697"/>
    <w:rsid w:val="00692754"/>
    <w:rsid w:val="006928C5"/>
    <w:rsid w:val="00692B53"/>
    <w:rsid w:val="00692B6D"/>
    <w:rsid w:val="00692BFB"/>
    <w:rsid w:val="00692C05"/>
    <w:rsid w:val="00692F44"/>
    <w:rsid w:val="0069324B"/>
    <w:rsid w:val="006932B4"/>
    <w:rsid w:val="00693724"/>
    <w:rsid w:val="00693758"/>
    <w:rsid w:val="0069377D"/>
    <w:rsid w:val="0069390D"/>
    <w:rsid w:val="00693A66"/>
    <w:rsid w:val="00693AD9"/>
    <w:rsid w:val="00693B04"/>
    <w:rsid w:val="00693C8E"/>
    <w:rsid w:val="006941AD"/>
    <w:rsid w:val="006942C9"/>
    <w:rsid w:val="006942DE"/>
    <w:rsid w:val="00694566"/>
    <w:rsid w:val="006945D5"/>
    <w:rsid w:val="006945DD"/>
    <w:rsid w:val="0069462A"/>
    <w:rsid w:val="006949FB"/>
    <w:rsid w:val="00694BDD"/>
    <w:rsid w:val="00694C36"/>
    <w:rsid w:val="00694F4F"/>
    <w:rsid w:val="0069508F"/>
    <w:rsid w:val="006951DD"/>
    <w:rsid w:val="006952D2"/>
    <w:rsid w:val="006953AA"/>
    <w:rsid w:val="00695517"/>
    <w:rsid w:val="00695554"/>
    <w:rsid w:val="006956B1"/>
    <w:rsid w:val="006958EB"/>
    <w:rsid w:val="00695954"/>
    <w:rsid w:val="00695AF5"/>
    <w:rsid w:val="00695CB3"/>
    <w:rsid w:val="0069607D"/>
    <w:rsid w:val="00696670"/>
    <w:rsid w:val="0069667E"/>
    <w:rsid w:val="00696721"/>
    <w:rsid w:val="006967C9"/>
    <w:rsid w:val="00696979"/>
    <w:rsid w:val="00696A96"/>
    <w:rsid w:val="00696CA1"/>
    <w:rsid w:val="00696CF9"/>
    <w:rsid w:val="00696E9D"/>
    <w:rsid w:val="00696F18"/>
    <w:rsid w:val="00696F93"/>
    <w:rsid w:val="00697035"/>
    <w:rsid w:val="0069705B"/>
    <w:rsid w:val="00697091"/>
    <w:rsid w:val="00697245"/>
    <w:rsid w:val="006973B7"/>
    <w:rsid w:val="0069753E"/>
    <w:rsid w:val="006975E1"/>
    <w:rsid w:val="006977CD"/>
    <w:rsid w:val="00697930"/>
    <w:rsid w:val="00697D63"/>
    <w:rsid w:val="00697D6C"/>
    <w:rsid w:val="00697DBB"/>
    <w:rsid w:val="006A0190"/>
    <w:rsid w:val="006A01F0"/>
    <w:rsid w:val="006A0534"/>
    <w:rsid w:val="006A06C1"/>
    <w:rsid w:val="006A06C5"/>
    <w:rsid w:val="006A0A27"/>
    <w:rsid w:val="006A0A90"/>
    <w:rsid w:val="006A0B9B"/>
    <w:rsid w:val="006A0C3E"/>
    <w:rsid w:val="006A0FB2"/>
    <w:rsid w:val="006A105C"/>
    <w:rsid w:val="006A1218"/>
    <w:rsid w:val="006A1317"/>
    <w:rsid w:val="006A1415"/>
    <w:rsid w:val="006A154B"/>
    <w:rsid w:val="006A16A1"/>
    <w:rsid w:val="006A1A75"/>
    <w:rsid w:val="006A1A7F"/>
    <w:rsid w:val="006A1C05"/>
    <w:rsid w:val="006A1E2F"/>
    <w:rsid w:val="006A201F"/>
    <w:rsid w:val="006A212D"/>
    <w:rsid w:val="006A21CD"/>
    <w:rsid w:val="006A2230"/>
    <w:rsid w:val="006A2251"/>
    <w:rsid w:val="006A23FC"/>
    <w:rsid w:val="006A2456"/>
    <w:rsid w:val="006A248E"/>
    <w:rsid w:val="006A24FF"/>
    <w:rsid w:val="006A2518"/>
    <w:rsid w:val="006A26D4"/>
    <w:rsid w:val="006A270E"/>
    <w:rsid w:val="006A276D"/>
    <w:rsid w:val="006A28B5"/>
    <w:rsid w:val="006A296B"/>
    <w:rsid w:val="006A2CAB"/>
    <w:rsid w:val="006A2E7A"/>
    <w:rsid w:val="006A2ED6"/>
    <w:rsid w:val="006A2FD7"/>
    <w:rsid w:val="006A34A5"/>
    <w:rsid w:val="006A3639"/>
    <w:rsid w:val="006A3697"/>
    <w:rsid w:val="006A3702"/>
    <w:rsid w:val="006A371E"/>
    <w:rsid w:val="006A39CD"/>
    <w:rsid w:val="006A3A80"/>
    <w:rsid w:val="006A3E15"/>
    <w:rsid w:val="006A40F8"/>
    <w:rsid w:val="006A42B9"/>
    <w:rsid w:val="006A4555"/>
    <w:rsid w:val="006A4602"/>
    <w:rsid w:val="006A48F3"/>
    <w:rsid w:val="006A4A41"/>
    <w:rsid w:val="006A4F71"/>
    <w:rsid w:val="006A4FDC"/>
    <w:rsid w:val="006A5442"/>
    <w:rsid w:val="006A54AB"/>
    <w:rsid w:val="006A55B2"/>
    <w:rsid w:val="006A5683"/>
    <w:rsid w:val="006A5700"/>
    <w:rsid w:val="006A5AAD"/>
    <w:rsid w:val="006A5C69"/>
    <w:rsid w:val="006A5D73"/>
    <w:rsid w:val="006A6356"/>
    <w:rsid w:val="006A651F"/>
    <w:rsid w:val="006A654F"/>
    <w:rsid w:val="006A664D"/>
    <w:rsid w:val="006A683C"/>
    <w:rsid w:val="006A6D00"/>
    <w:rsid w:val="006A6DA7"/>
    <w:rsid w:val="006A6E22"/>
    <w:rsid w:val="006A7109"/>
    <w:rsid w:val="006A72F8"/>
    <w:rsid w:val="006A75DF"/>
    <w:rsid w:val="006A78FF"/>
    <w:rsid w:val="006A7990"/>
    <w:rsid w:val="006A79BF"/>
    <w:rsid w:val="006A7A5E"/>
    <w:rsid w:val="006A7B0E"/>
    <w:rsid w:val="006A7CF4"/>
    <w:rsid w:val="006A7F1C"/>
    <w:rsid w:val="006B0172"/>
    <w:rsid w:val="006B02A7"/>
    <w:rsid w:val="006B03D8"/>
    <w:rsid w:val="006B050D"/>
    <w:rsid w:val="006B054E"/>
    <w:rsid w:val="006B07D8"/>
    <w:rsid w:val="006B08CB"/>
    <w:rsid w:val="006B0961"/>
    <w:rsid w:val="006B0CF3"/>
    <w:rsid w:val="006B0D3D"/>
    <w:rsid w:val="006B0D80"/>
    <w:rsid w:val="006B0E14"/>
    <w:rsid w:val="006B10A0"/>
    <w:rsid w:val="006B166E"/>
    <w:rsid w:val="006B1832"/>
    <w:rsid w:val="006B1AFE"/>
    <w:rsid w:val="006B20DF"/>
    <w:rsid w:val="006B213D"/>
    <w:rsid w:val="006B22DF"/>
    <w:rsid w:val="006B230C"/>
    <w:rsid w:val="006B2629"/>
    <w:rsid w:val="006B26D9"/>
    <w:rsid w:val="006B27A0"/>
    <w:rsid w:val="006B28F0"/>
    <w:rsid w:val="006B2C6E"/>
    <w:rsid w:val="006B2EAC"/>
    <w:rsid w:val="006B2FF8"/>
    <w:rsid w:val="006B31AD"/>
    <w:rsid w:val="006B3256"/>
    <w:rsid w:val="006B32E5"/>
    <w:rsid w:val="006B35F9"/>
    <w:rsid w:val="006B375D"/>
    <w:rsid w:val="006B37C4"/>
    <w:rsid w:val="006B38A4"/>
    <w:rsid w:val="006B41B3"/>
    <w:rsid w:val="006B41D6"/>
    <w:rsid w:val="006B437B"/>
    <w:rsid w:val="006B45EA"/>
    <w:rsid w:val="006B463F"/>
    <w:rsid w:val="006B46B1"/>
    <w:rsid w:val="006B482F"/>
    <w:rsid w:val="006B4914"/>
    <w:rsid w:val="006B4BF8"/>
    <w:rsid w:val="006B4C55"/>
    <w:rsid w:val="006B4C7C"/>
    <w:rsid w:val="006B5341"/>
    <w:rsid w:val="006B53AF"/>
    <w:rsid w:val="006B558A"/>
    <w:rsid w:val="006B55A6"/>
    <w:rsid w:val="006B55EB"/>
    <w:rsid w:val="006B5696"/>
    <w:rsid w:val="006B56A0"/>
    <w:rsid w:val="006B56CA"/>
    <w:rsid w:val="006B5705"/>
    <w:rsid w:val="006B5789"/>
    <w:rsid w:val="006B5AF5"/>
    <w:rsid w:val="006B5B58"/>
    <w:rsid w:val="006B5B83"/>
    <w:rsid w:val="006B5BE3"/>
    <w:rsid w:val="006B5E6D"/>
    <w:rsid w:val="006B5F14"/>
    <w:rsid w:val="006B5F2F"/>
    <w:rsid w:val="006B6126"/>
    <w:rsid w:val="006B61FE"/>
    <w:rsid w:val="006B63D0"/>
    <w:rsid w:val="006B6400"/>
    <w:rsid w:val="006B6573"/>
    <w:rsid w:val="006B65A0"/>
    <w:rsid w:val="006B669F"/>
    <w:rsid w:val="006B66B8"/>
    <w:rsid w:val="006B6997"/>
    <w:rsid w:val="006B6A1E"/>
    <w:rsid w:val="006B6AAE"/>
    <w:rsid w:val="006B6B27"/>
    <w:rsid w:val="006B6C2E"/>
    <w:rsid w:val="006B6CE6"/>
    <w:rsid w:val="006B6D39"/>
    <w:rsid w:val="006B6D3E"/>
    <w:rsid w:val="006B6EFE"/>
    <w:rsid w:val="006B709E"/>
    <w:rsid w:val="006B7218"/>
    <w:rsid w:val="006B73CD"/>
    <w:rsid w:val="006B7451"/>
    <w:rsid w:val="006B745C"/>
    <w:rsid w:val="006B745F"/>
    <w:rsid w:val="006B7537"/>
    <w:rsid w:val="006B75B9"/>
    <w:rsid w:val="006B7797"/>
    <w:rsid w:val="006B77C6"/>
    <w:rsid w:val="006B792B"/>
    <w:rsid w:val="006B79E3"/>
    <w:rsid w:val="006B7CC4"/>
    <w:rsid w:val="006B7DAC"/>
    <w:rsid w:val="006B7E4F"/>
    <w:rsid w:val="006B7EC4"/>
    <w:rsid w:val="006B7FC9"/>
    <w:rsid w:val="006C0152"/>
    <w:rsid w:val="006C0185"/>
    <w:rsid w:val="006C03CF"/>
    <w:rsid w:val="006C05B8"/>
    <w:rsid w:val="006C0758"/>
    <w:rsid w:val="006C07E5"/>
    <w:rsid w:val="006C0B97"/>
    <w:rsid w:val="006C0E07"/>
    <w:rsid w:val="006C0F56"/>
    <w:rsid w:val="006C0F89"/>
    <w:rsid w:val="006C125A"/>
    <w:rsid w:val="006C1319"/>
    <w:rsid w:val="006C1457"/>
    <w:rsid w:val="006C15DC"/>
    <w:rsid w:val="006C1BD8"/>
    <w:rsid w:val="006C1D3E"/>
    <w:rsid w:val="006C1EA6"/>
    <w:rsid w:val="006C2114"/>
    <w:rsid w:val="006C2307"/>
    <w:rsid w:val="006C241B"/>
    <w:rsid w:val="006C2455"/>
    <w:rsid w:val="006C2476"/>
    <w:rsid w:val="006C24F7"/>
    <w:rsid w:val="006C255B"/>
    <w:rsid w:val="006C2674"/>
    <w:rsid w:val="006C2C4C"/>
    <w:rsid w:val="006C2E5F"/>
    <w:rsid w:val="006C3023"/>
    <w:rsid w:val="006C304C"/>
    <w:rsid w:val="006C31DD"/>
    <w:rsid w:val="006C3251"/>
    <w:rsid w:val="006C3421"/>
    <w:rsid w:val="006C3486"/>
    <w:rsid w:val="006C3611"/>
    <w:rsid w:val="006C38E2"/>
    <w:rsid w:val="006C3976"/>
    <w:rsid w:val="006C39DC"/>
    <w:rsid w:val="006C3A39"/>
    <w:rsid w:val="006C3C4A"/>
    <w:rsid w:val="006C3D3E"/>
    <w:rsid w:val="006C3D4F"/>
    <w:rsid w:val="006C3DA6"/>
    <w:rsid w:val="006C3E22"/>
    <w:rsid w:val="006C4167"/>
    <w:rsid w:val="006C420A"/>
    <w:rsid w:val="006C4999"/>
    <w:rsid w:val="006C4BAC"/>
    <w:rsid w:val="006C4E47"/>
    <w:rsid w:val="006C4F90"/>
    <w:rsid w:val="006C51EF"/>
    <w:rsid w:val="006C5276"/>
    <w:rsid w:val="006C5451"/>
    <w:rsid w:val="006C5700"/>
    <w:rsid w:val="006C58A1"/>
    <w:rsid w:val="006C5A79"/>
    <w:rsid w:val="006C5E63"/>
    <w:rsid w:val="006C6002"/>
    <w:rsid w:val="006C6256"/>
    <w:rsid w:val="006C6437"/>
    <w:rsid w:val="006C693B"/>
    <w:rsid w:val="006C69AC"/>
    <w:rsid w:val="006C6C91"/>
    <w:rsid w:val="006C6C96"/>
    <w:rsid w:val="006C6D16"/>
    <w:rsid w:val="006C6E88"/>
    <w:rsid w:val="006C6F04"/>
    <w:rsid w:val="006C70BA"/>
    <w:rsid w:val="006C71BE"/>
    <w:rsid w:val="006C735C"/>
    <w:rsid w:val="006C761F"/>
    <w:rsid w:val="006C76F7"/>
    <w:rsid w:val="006C7AB0"/>
    <w:rsid w:val="006C7ED0"/>
    <w:rsid w:val="006C7FB1"/>
    <w:rsid w:val="006D03ED"/>
    <w:rsid w:val="006D044F"/>
    <w:rsid w:val="006D0554"/>
    <w:rsid w:val="006D0592"/>
    <w:rsid w:val="006D0661"/>
    <w:rsid w:val="006D0722"/>
    <w:rsid w:val="006D07BA"/>
    <w:rsid w:val="006D07D4"/>
    <w:rsid w:val="006D0804"/>
    <w:rsid w:val="006D0A85"/>
    <w:rsid w:val="006D1170"/>
    <w:rsid w:val="006D1274"/>
    <w:rsid w:val="006D12C4"/>
    <w:rsid w:val="006D1456"/>
    <w:rsid w:val="006D1586"/>
    <w:rsid w:val="006D16A6"/>
    <w:rsid w:val="006D16AC"/>
    <w:rsid w:val="006D17A3"/>
    <w:rsid w:val="006D1B2C"/>
    <w:rsid w:val="006D1BDC"/>
    <w:rsid w:val="006D1F9F"/>
    <w:rsid w:val="006D209F"/>
    <w:rsid w:val="006D216D"/>
    <w:rsid w:val="006D21E2"/>
    <w:rsid w:val="006D22AC"/>
    <w:rsid w:val="006D24D3"/>
    <w:rsid w:val="006D25B4"/>
    <w:rsid w:val="006D27A3"/>
    <w:rsid w:val="006D2BA7"/>
    <w:rsid w:val="006D2DD5"/>
    <w:rsid w:val="006D2F65"/>
    <w:rsid w:val="006D2F87"/>
    <w:rsid w:val="006D2FE3"/>
    <w:rsid w:val="006D30DA"/>
    <w:rsid w:val="006D34FD"/>
    <w:rsid w:val="006D36C8"/>
    <w:rsid w:val="006D36D4"/>
    <w:rsid w:val="006D3736"/>
    <w:rsid w:val="006D3778"/>
    <w:rsid w:val="006D3793"/>
    <w:rsid w:val="006D3888"/>
    <w:rsid w:val="006D3A45"/>
    <w:rsid w:val="006D3A93"/>
    <w:rsid w:val="006D3AD9"/>
    <w:rsid w:val="006D3C19"/>
    <w:rsid w:val="006D3D3A"/>
    <w:rsid w:val="006D4701"/>
    <w:rsid w:val="006D49AE"/>
    <w:rsid w:val="006D4A54"/>
    <w:rsid w:val="006D4A80"/>
    <w:rsid w:val="006D4AB9"/>
    <w:rsid w:val="006D4B98"/>
    <w:rsid w:val="006D4BEE"/>
    <w:rsid w:val="006D4C5E"/>
    <w:rsid w:val="006D4F54"/>
    <w:rsid w:val="006D50F4"/>
    <w:rsid w:val="006D51D5"/>
    <w:rsid w:val="006D5355"/>
    <w:rsid w:val="006D540C"/>
    <w:rsid w:val="006D54B3"/>
    <w:rsid w:val="006D558A"/>
    <w:rsid w:val="006D55A7"/>
    <w:rsid w:val="006D55B5"/>
    <w:rsid w:val="006D56FF"/>
    <w:rsid w:val="006D57D3"/>
    <w:rsid w:val="006D5B1C"/>
    <w:rsid w:val="006D5C8E"/>
    <w:rsid w:val="006D5D87"/>
    <w:rsid w:val="006D5FC5"/>
    <w:rsid w:val="006D610D"/>
    <w:rsid w:val="006D622D"/>
    <w:rsid w:val="006D64C1"/>
    <w:rsid w:val="006D6575"/>
    <w:rsid w:val="006D65ED"/>
    <w:rsid w:val="006D660A"/>
    <w:rsid w:val="006D663A"/>
    <w:rsid w:val="006D6684"/>
    <w:rsid w:val="006D668A"/>
    <w:rsid w:val="006D6830"/>
    <w:rsid w:val="006D69AC"/>
    <w:rsid w:val="006D6A95"/>
    <w:rsid w:val="006D6E9D"/>
    <w:rsid w:val="006D6F84"/>
    <w:rsid w:val="006D751F"/>
    <w:rsid w:val="006D7549"/>
    <w:rsid w:val="006D76FA"/>
    <w:rsid w:val="006D77F7"/>
    <w:rsid w:val="006D7AA9"/>
    <w:rsid w:val="006D7B06"/>
    <w:rsid w:val="006D7BB2"/>
    <w:rsid w:val="006E0182"/>
    <w:rsid w:val="006E033E"/>
    <w:rsid w:val="006E054B"/>
    <w:rsid w:val="006E06EA"/>
    <w:rsid w:val="006E0822"/>
    <w:rsid w:val="006E0AF3"/>
    <w:rsid w:val="006E0C06"/>
    <w:rsid w:val="006E0CB4"/>
    <w:rsid w:val="006E0E0A"/>
    <w:rsid w:val="006E1066"/>
    <w:rsid w:val="006E1409"/>
    <w:rsid w:val="006E1437"/>
    <w:rsid w:val="006E1489"/>
    <w:rsid w:val="006E1516"/>
    <w:rsid w:val="006E15DA"/>
    <w:rsid w:val="006E1876"/>
    <w:rsid w:val="006E18DA"/>
    <w:rsid w:val="006E19DF"/>
    <w:rsid w:val="006E1C3C"/>
    <w:rsid w:val="006E1C6B"/>
    <w:rsid w:val="006E1D48"/>
    <w:rsid w:val="006E1EB2"/>
    <w:rsid w:val="006E1EC3"/>
    <w:rsid w:val="006E2022"/>
    <w:rsid w:val="006E28D4"/>
    <w:rsid w:val="006E2AB6"/>
    <w:rsid w:val="006E2ACD"/>
    <w:rsid w:val="006E2B1D"/>
    <w:rsid w:val="006E2FDC"/>
    <w:rsid w:val="006E349F"/>
    <w:rsid w:val="006E376B"/>
    <w:rsid w:val="006E37B9"/>
    <w:rsid w:val="006E3819"/>
    <w:rsid w:val="006E38E5"/>
    <w:rsid w:val="006E3A14"/>
    <w:rsid w:val="006E3AB3"/>
    <w:rsid w:val="006E3FA3"/>
    <w:rsid w:val="006E3FFE"/>
    <w:rsid w:val="006E4057"/>
    <w:rsid w:val="006E4073"/>
    <w:rsid w:val="006E415F"/>
    <w:rsid w:val="006E4160"/>
    <w:rsid w:val="006E428C"/>
    <w:rsid w:val="006E435D"/>
    <w:rsid w:val="006E444E"/>
    <w:rsid w:val="006E45D2"/>
    <w:rsid w:val="006E4630"/>
    <w:rsid w:val="006E4736"/>
    <w:rsid w:val="006E47A2"/>
    <w:rsid w:val="006E4B19"/>
    <w:rsid w:val="006E4BC4"/>
    <w:rsid w:val="006E4C06"/>
    <w:rsid w:val="006E5021"/>
    <w:rsid w:val="006E5032"/>
    <w:rsid w:val="006E50B8"/>
    <w:rsid w:val="006E5206"/>
    <w:rsid w:val="006E52CF"/>
    <w:rsid w:val="006E52DA"/>
    <w:rsid w:val="006E5305"/>
    <w:rsid w:val="006E53AF"/>
    <w:rsid w:val="006E559D"/>
    <w:rsid w:val="006E55AF"/>
    <w:rsid w:val="006E563B"/>
    <w:rsid w:val="006E58CB"/>
    <w:rsid w:val="006E597F"/>
    <w:rsid w:val="006E599E"/>
    <w:rsid w:val="006E59E7"/>
    <w:rsid w:val="006E5A96"/>
    <w:rsid w:val="006E5AC8"/>
    <w:rsid w:val="006E5D71"/>
    <w:rsid w:val="006E5E00"/>
    <w:rsid w:val="006E6025"/>
    <w:rsid w:val="006E662A"/>
    <w:rsid w:val="006E6637"/>
    <w:rsid w:val="006E6755"/>
    <w:rsid w:val="006E6800"/>
    <w:rsid w:val="006E684B"/>
    <w:rsid w:val="006E685B"/>
    <w:rsid w:val="006E68FB"/>
    <w:rsid w:val="006E69D3"/>
    <w:rsid w:val="006E6E3D"/>
    <w:rsid w:val="006E6EC4"/>
    <w:rsid w:val="006E7135"/>
    <w:rsid w:val="006E713B"/>
    <w:rsid w:val="006E72AD"/>
    <w:rsid w:val="006E733C"/>
    <w:rsid w:val="006E734D"/>
    <w:rsid w:val="006E7579"/>
    <w:rsid w:val="006E781D"/>
    <w:rsid w:val="006E7A29"/>
    <w:rsid w:val="006E7C35"/>
    <w:rsid w:val="006E7F63"/>
    <w:rsid w:val="006F004F"/>
    <w:rsid w:val="006F0174"/>
    <w:rsid w:val="006F02F1"/>
    <w:rsid w:val="006F0339"/>
    <w:rsid w:val="006F04A9"/>
    <w:rsid w:val="006F0667"/>
    <w:rsid w:val="006F0720"/>
    <w:rsid w:val="006F077A"/>
    <w:rsid w:val="006F0787"/>
    <w:rsid w:val="006F0972"/>
    <w:rsid w:val="006F09D1"/>
    <w:rsid w:val="006F09F5"/>
    <w:rsid w:val="006F0A88"/>
    <w:rsid w:val="006F0CC4"/>
    <w:rsid w:val="006F11D6"/>
    <w:rsid w:val="006F1228"/>
    <w:rsid w:val="006F1447"/>
    <w:rsid w:val="006F1523"/>
    <w:rsid w:val="006F15A3"/>
    <w:rsid w:val="006F1A2E"/>
    <w:rsid w:val="006F1A4D"/>
    <w:rsid w:val="006F1A98"/>
    <w:rsid w:val="006F1AD1"/>
    <w:rsid w:val="006F1CE1"/>
    <w:rsid w:val="006F1D26"/>
    <w:rsid w:val="006F1E78"/>
    <w:rsid w:val="006F1EF4"/>
    <w:rsid w:val="006F1F3E"/>
    <w:rsid w:val="006F1F4E"/>
    <w:rsid w:val="006F2245"/>
    <w:rsid w:val="006F2259"/>
    <w:rsid w:val="006F249D"/>
    <w:rsid w:val="006F2508"/>
    <w:rsid w:val="006F2518"/>
    <w:rsid w:val="006F25D2"/>
    <w:rsid w:val="006F28F7"/>
    <w:rsid w:val="006F292D"/>
    <w:rsid w:val="006F2BAB"/>
    <w:rsid w:val="006F2C16"/>
    <w:rsid w:val="006F2F00"/>
    <w:rsid w:val="006F2FAA"/>
    <w:rsid w:val="006F2FDC"/>
    <w:rsid w:val="006F30B5"/>
    <w:rsid w:val="006F3263"/>
    <w:rsid w:val="006F32A2"/>
    <w:rsid w:val="006F3710"/>
    <w:rsid w:val="006F37E2"/>
    <w:rsid w:val="006F389F"/>
    <w:rsid w:val="006F392A"/>
    <w:rsid w:val="006F3999"/>
    <w:rsid w:val="006F3AF1"/>
    <w:rsid w:val="006F3CE5"/>
    <w:rsid w:val="006F3EF3"/>
    <w:rsid w:val="006F4022"/>
    <w:rsid w:val="006F4284"/>
    <w:rsid w:val="006F4385"/>
    <w:rsid w:val="006F4475"/>
    <w:rsid w:val="006F4476"/>
    <w:rsid w:val="006F44E0"/>
    <w:rsid w:val="006F476D"/>
    <w:rsid w:val="006F4802"/>
    <w:rsid w:val="006F481A"/>
    <w:rsid w:val="006F4893"/>
    <w:rsid w:val="006F48B3"/>
    <w:rsid w:val="006F49E8"/>
    <w:rsid w:val="006F49FA"/>
    <w:rsid w:val="006F4B94"/>
    <w:rsid w:val="006F4BFB"/>
    <w:rsid w:val="006F4C94"/>
    <w:rsid w:val="006F4E39"/>
    <w:rsid w:val="006F4FA7"/>
    <w:rsid w:val="006F5074"/>
    <w:rsid w:val="006F5086"/>
    <w:rsid w:val="006F50A4"/>
    <w:rsid w:val="006F50DF"/>
    <w:rsid w:val="006F51C2"/>
    <w:rsid w:val="006F51FA"/>
    <w:rsid w:val="006F5261"/>
    <w:rsid w:val="006F5508"/>
    <w:rsid w:val="006F5606"/>
    <w:rsid w:val="006F59AB"/>
    <w:rsid w:val="006F5A40"/>
    <w:rsid w:val="006F5A95"/>
    <w:rsid w:val="006F5DE8"/>
    <w:rsid w:val="006F5E42"/>
    <w:rsid w:val="006F6045"/>
    <w:rsid w:val="006F60F6"/>
    <w:rsid w:val="006F6484"/>
    <w:rsid w:val="006F6488"/>
    <w:rsid w:val="006F64CB"/>
    <w:rsid w:val="006F6538"/>
    <w:rsid w:val="006F6817"/>
    <w:rsid w:val="006F6860"/>
    <w:rsid w:val="006F6AEE"/>
    <w:rsid w:val="006F6B00"/>
    <w:rsid w:val="006F7171"/>
    <w:rsid w:val="006F7435"/>
    <w:rsid w:val="006F7496"/>
    <w:rsid w:val="006F76B9"/>
    <w:rsid w:val="006F775C"/>
    <w:rsid w:val="006F7813"/>
    <w:rsid w:val="006F7958"/>
    <w:rsid w:val="006F7997"/>
    <w:rsid w:val="006F799F"/>
    <w:rsid w:val="006F7A72"/>
    <w:rsid w:val="006F7B7C"/>
    <w:rsid w:val="006F7D96"/>
    <w:rsid w:val="0070001C"/>
    <w:rsid w:val="007000BD"/>
    <w:rsid w:val="0070017D"/>
    <w:rsid w:val="0070019F"/>
    <w:rsid w:val="0070039B"/>
    <w:rsid w:val="007003CC"/>
    <w:rsid w:val="00700545"/>
    <w:rsid w:val="0070065A"/>
    <w:rsid w:val="0070069D"/>
    <w:rsid w:val="007006B4"/>
    <w:rsid w:val="00700798"/>
    <w:rsid w:val="007007FE"/>
    <w:rsid w:val="00700849"/>
    <w:rsid w:val="0070098B"/>
    <w:rsid w:val="00700B4B"/>
    <w:rsid w:val="007010BD"/>
    <w:rsid w:val="007014D3"/>
    <w:rsid w:val="007017FD"/>
    <w:rsid w:val="00701DF2"/>
    <w:rsid w:val="00702025"/>
    <w:rsid w:val="0070207B"/>
    <w:rsid w:val="007022A2"/>
    <w:rsid w:val="0070235B"/>
    <w:rsid w:val="007027BD"/>
    <w:rsid w:val="00702833"/>
    <w:rsid w:val="007028C2"/>
    <w:rsid w:val="007029F6"/>
    <w:rsid w:val="00702E19"/>
    <w:rsid w:val="00702FA7"/>
    <w:rsid w:val="0070331E"/>
    <w:rsid w:val="0070344C"/>
    <w:rsid w:val="0070348B"/>
    <w:rsid w:val="007036C0"/>
    <w:rsid w:val="007038DF"/>
    <w:rsid w:val="00703920"/>
    <w:rsid w:val="00703ACC"/>
    <w:rsid w:val="00703ADE"/>
    <w:rsid w:val="00703B0D"/>
    <w:rsid w:val="00703DDD"/>
    <w:rsid w:val="00703E36"/>
    <w:rsid w:val="00703E65"/>
    <w:rsid w:val="00703F25"/>
    <w:rsid w:val="007040E3"/>
    <w:rsid w:val="0070431F"/>
    <w:rsid w:val="00704470"/>
    <w:rsid w:val="007044E5"/>
    <w:rsid w:val="0070454F"/>
    <w:rsid w:val="007045BE"/>
    <w:rsid w:val="00704657"/>
    <w:rsid w:val="0070465A"/>
    <w:rsid w:val="007046F8"/>
    <w:rsid w:val="0070476A"/>
    <w:rsid w:val="00704901"/>
    <w:rsid w:val="007049B8"/>
    <w:rsid w:val="007049C2"/>
    <w:rsid w:val="00704C2E"/>
    <w:rsid w:val="00704C42"/>
    <w:rsid w:val="00704D39"/>
    <w:rsid w:val="00704D81"/>
    <w:rsid w:val="00704F82"/>
    <w:rsid w:val="00705269"/>
    <w:rsid w:val="00705356"/>
    <w:rsid w:val="007053DC"/>
    <w:rsid w:val="0070540B"/>
    <w:rsid w:val="00705626"/>
    <w:rsid w:val="00705A16"/>
    <w:rsid w:val="00705E92"/>
    <w:rsid w:val="007063BD"/>
    <w:rsid w:val="007063C4"/>
    <w:rsid w:val="0070641A"/>
    <w:rsid w:val="00706565"/>
    <w:rsid w:val="00706707"/>
    <w:rsid w:val="0070670D"/>
    <w:rsid w:val="00706932"/>
    <w:rsid w:val="007069B1"/>
    <w:rsid w:val="00706C3D"/>
    <w:rsid w:val="007070F7"/>
    <w:rsid w:val="007072EF"/>
    <w:rsid w:val="007074C2"/>
    <w:rsid w:val="00707759"/>
    <w:rsid w:val="007077DC"/>
    <w:rsid w:val="0070781B"/>
    <w:rsid w:val="00707B82"/>
    <w:rsid w:val="00707BBA"/>
    <w:rsid w:val="00707C47"/>
    <w:rsid w:val="00707DD5"/>
    <w:rsid w:val="00707E2C"/>
    <w:rsid w:val="00707E3C"/>
    <w:rsid w:val="00707E5E"/>
    <w:rsid w:val="00707E7A"/>
    <w:rsid w:val="00707EC9"/>
    <w:rsid w:val="00707F58"/>
    <w:rsid w:val="0071017E"/>
    <w:rsid w:val="00710249"/>
    <w:rsid w:val="007103C2"/>
    <w:rsid w:val="00710517"/>
    <w:rsid w:val="00710542"/>
    <w:rsid w:val="00710615"/>
    <w:rsid w:val="00710A09"/>
    <w:rsid w:val="00710AA1"/>
    <w:rsid w:val="00710B3E"/>
    <w:rsid w:val="00710BA7"/>
    <w:rsid w:val="00710D31"/>
    <w:rsid w:val="00710DD9"/>
    <w:rsid w:val="0071104B"/>
    <w:rsid w:val="007110E5"/>
    <w:rsid w:val="00711361"/>
    <w:rsid w:val="0071136D"/>
    <w:rsid w:val="007113EA"/>
    <w:rsid w:val="00711551"/>
    <w:rsid w:val="007116E5"/>
    <w:rsid w:val="00711C4C"/>
    <w:rsid w:val="00711E14"/>
    <w:rsid w:val="00711EA2"/>
    <w:rsid w:val="00711FC0"/>
    <w:rsid w:val="00711FE8"/>
    <w:rsid w:val="007121D4"/>
    <w:rsid w:val="0071249A"/>
    <w:rsid w:val="007125B0"/>
    <w:rsid w:val="0071286A"/>
    <w:rsid w:val="00712AD7"/>
    <w:rsid w:val="00712B91"/>
    <w:rsid w:val="00712CBE"/>
    <w:rsid w:val="00712D74"/>
    <w:rsid w:val="00712D93"/>
    <w:rsid w:val="00712F49"/>
    <w:rsid w:val="00713053"/>
    <w:rsid w:val="00713302"/>
    <w:rsid w:val="007133B0"/>
    <w:rsid w:val="0071345B"/>
    <w:rsid w:val="007135F4"/>
    <w:rsid w:val="007136E4"/>
    <w:rsid w:val="0071374D"/>
    <w:rsid w:val="00713977"/>
    <w:rsid w:val="00713A1B"/>
    <w:rsid w:val="00713B60"/>
    <w:rsid w:val="00713D3E"/>
    <w:rsid w:val="00713EAD"/>
    <w:rsid w:val="00714284"/>
    <w:rsid w:val="007142B7"/>
    <w:rsid w:val="00714720"/>
    <w:rsid w:val="00714734"/>
    <w:rsid w:val="0071482B"/>
    <w:rsid w:val="0071499A"/>
    <w:rsid w:val="007149F3"/>
    <w:rsid w:val="00714A4C"/>
    <w:rsid w:val="00714BF0"/>
    <w:rsid w:val="00714DA2"/>
    <w:rsid w:val="007152C4"/>
    <w:rsid w:val="007153D3"/>
    <w:rsid w:val="007158EB"/>
    <w:rsid w:val="00715C04"/>
    <w:rsid w:val="00715DBF"/>
    <w:rsid w:val="00715DE1"/>
    <w:rsid w:val="00716142"/>
    <w:rsid w:val="00716241"/>
    <w:rsid w:val="00716267"/>
    <w:rsid w:val="00716286"/>
    <w:rsid w:val="00716306"/>
    <w:rsid w:val="0071636C"/>
    <w:rsid w:val="007164E2"/>
    <w:rsid w:val="0071688F"/>
    <w:rsid w:val="00716AB6"/>
    <w:rsid w:val="00716ACC"/>
    <w:rsid w:val="00716CAD"/>
    <w:rsid w:val="00716D62"/>
    <w:rsid w:val="00716DAE"/>
    <w:rsid w:val="007174CD"/>
    <w:rsid w:val="0071754D"/>
    <w:rsid w:val="007176BF"/>
    <w:rsid w:val="00717757"/>
    <w:rsid w:val="0071778C"/>
    <w:rsid w:val="00717A66"/>
    <w:rsid w:val="00717E50"/>
    <w:rsid w:val="00720145"/>
    <w:rsid w:val="0072029E"/>
    <w:rsid w:val="007203AF"/>
    <w:rsid w:val="00720512"/>
    <w:rsid w:val="0072052F"/>
    <w:rsid w:val="00720550"/>
    <w:rsid w:val="0072088F"/>
    <w:rsid w:val="007208E2"/>
    <w:rsid w:val="007208EF"/>
    <w:rsid w:val="00720A11"/>
    <w:rsid w:val="00720BC3"/>
    <w:rsid w:val="00720CA3"/>
    <w:rsid w:val="00720D15"/>
    <w:rsid w:val="00721081"/>
    <w:rsid w:val="0072118E"/>
    <w:rsid w:val="00721346"/>
    <w:rsid w:val="00721642"/>
    <w:rsid w:val="007217C1"/>
    <w:rsid w:val="00721A3B"/>
    <w:rsid w:val="00721D00"/>
    <w:rsid w:val="00721DF4"/>
    <w:rsid w:val="0072215F"/>
    <w:rsid w:val="00722351"/>
    <w:rsid w:val="007223E8"/>
    <w:rsid w:val="007223F3"/>
    <w:rsid w:val="0072243C"/>
    <w:rsid w:val="007227BE"/>
    <w:rsid w:val="007229E7"/>
    <w:rsid w:val="00722A54"/>
    <w:rsid w:val="00722EC2"/>
    <w:rsid w:val="00722EFD"/>
    <w:rsid w:val="00722FAA"/>
    <w:rsid w:val="0072309A"/>
    <w:rsid w:val="00723525"/>
    <w:rsid w:val="0072362B"/>
    <w:rsid w:val="00723C45"/>
    <w:rsid w:val="00723D58"/>
    <w:rsid w:val="00723D71"/>
    <w:rsid w:val="00723DE4"/>
    <w:rsid w:val="00723F9E"/>
    <w:rsid w:val="00724037"/>
    <w:rsid w:val="00724074"/>
    <w:rsid w:val="00724317"/>
    <w:rsid w:val="00724408"/>
    <w:rsid w:val="00724427"/>
    <w:rsid w:val="00724444"/>
    <w:rsid w:val="0072493D"/>
    <w:rsid w:val="00724CB4"/>
    <w:rsid w:val="00724CEC"/>
    <w:rsid w:val="00724DC4"/>
    <w:rsid w:val="00724EC8"/>
    <w:rsid w:val="00725163"/>
    <w:rsid w:val="007251C7"/>
    <w:rsid w:val="00725446"/>
    <w:rsid w:val="007254A3"/>
    <w:rsid w:val="007255A0"/>
    <w:rsid w:val="007255D8"/>
    <w:rsid w:val="007256BF"/>
    <w:rsid w:val="00725A51"/>
    <w:rsid w:val="00725D0B"/>
    <w:rsid w:val="00725E27"/>
    <w:rsid w:val="00725EAB"/>
    <w:rsid w:val="00725EC7"/>
    <w:rsid w:val="00726229"/>
    <w:rsid w:val="007262A5"/>
    <w:rsid w:val="007262F3"/>
    <w:rsid w:val="007263A8"/>
    <w:rsid w:val="007263D7"/>
    <w:rsid w:val="007264CB"/>
    <w:rsid w:val="00726617"/>
    <w:rsid w:val="0072669B"/>
    <w:rsid w:val="007266CB"/>
    <w:rsid w:val="007266CF"/>
    <w:rsid w:val="00726786"/>
    <w:rsid w:val="00726A03"/>
    <w:rsid w:val="00726A59"/>
    <w:rsid w:val="00726A9C"/>
    <w:rsid w:val="00726DFF"/>
    <w:rsid w:val="00726FDC"/>
    <w:rsid w:val="00727005"/>
    <w:rsid w:val="007274BE"/>
    <w:rsid w:val="00727578"/>
    <w:rsid w:val="00727711"/>
    <w:rsid w:val="00727905"/>
    <w:rsid w:val="007279CD"/>
    <w:rsid w:val="007279F2"/>
    <w:rsid w:val="00727BCB"/>
    <w:rsid w:val="00727BD8"/>
    <w:rsid w:val="00727D16"/>
    <w:rsid w:val="00727D87"/>
    <w:rsid w:val="00727E04"/>
    <w:rsid w:val="00727FF9"/>
    <w:rsid w:val="0073009E"/>
    <w:rsid w:val="007305FB"/>
    <w:rsid w:val="007307E0"/>
    <w:rsid w:val="00730848"/>
    <w:rsid w:val="00730887"/>
    <w:rsid w:val="00730A46"/>
    <w:rsid w:val="00730AA7"/>
    <w:rsid w:val="00730DA0"/>
    <w:rsid w:val="007313C9"/>
    <w:rsid w:val="007315DA"/>
    <w:rsid w:val="00731704"/>
    <w:rsid w:val="00731934"/>
    <w:rsid w:val="00731A79"/>
    <w:rsid w:val="00731AE2"/>
    <w:rsid w:val="00731C24"/>
    <w:rsid w:val="00731F39"/>
    <w:rsid w:val="00731F6D"/>
    <w:rsid w:val="007320D0"/>
    <w:rsid w:val="007321C7"/>
    <w:rsid w:val="00732379"/>
    <w:rsid w:val="007327CC"/>
    <w:rsid w:val="00732909"/>
    <w:rsid w:val="0073291F"/>
    <w:rsid w:val="00732A34"/>
    <w:rsid w:val="00732A46"/>
    <w:rsid w:val="00732A95"/>
    <w:rsid w:val="00732B05"/>
    <w:rsid w:val="00732B41"/>
    <w:rsid w:val="00732BAB"/>
    <w:rsid w:val="00732D28"/>
    <w:rsid w:val="00732E5E"/>
    <w:rsid w:val="00733021"/>
    <w:rsid w:val="007330C5"/>
    <w:rsid w:val="007332B1"/>
    <w:rsid w:val="00733607"/>
    <w:rsid w:val="00733896"/>
    <w:rsid w:val="00733BE1"/>
    <w:rsid w:val="0073403B"/>
    <w:rsid w:val="0073413E"/>
    <w:rsid w:val="007341CB"/>
    <w:rsid w:val="007341E6"/>
    <w:rsid w:val="007345D8"/>
    <w:rsid w:val="0073468E"/>
    <w:rsid w:val="007349B0"/>
    <w:rsid w:val="00734B40"/>
    <w:rsid w:val="00734DE2"/>
    <w:rsid w:val="0073501C"/>
    <w:rsid w:val="007350EA"/>
    <w:rsid w:val="00735377"/>
    <w:rsid w:val="00735452"/>
    <w:rsid w:val="0073546A"/>
    <w:rsid w:val="0073566F"/>
    <w:rsid w:val="00735984"/>
    <w:rsid w:val="00735A4B"/>
    <w:rsid w:val="00735B43"/>
    <w:rsid w:val="00735CC8"/>
    <w:rsid w:val="00735D3F"/>
    <w:rsid w:val="00735DF3"/>
    <w:rsid w:val="00735E26"/>
    <w:rsid w:val="00735F25"/>
    <w:rsid w:val="00735F66"/>
    <w:rsid w:val="007360FD"/>
    <w:rsid w:val="00736143"/>
    <w:rsid w:val="00736225"/>
    <w:rsid w:val="0073622A"/>
    <w:rsid w:val="007363FF"/>
    <w:rsid w:val="00736477"/>
    <w:rsid w:val="007365FD"/>
    <w:rsid w:val="007367BA"/>
    <w:rsid w:val="0073683A"/>
    <w:rsid w:val="0073685B"/>
    <w:rsid w:val="007369AC"/>
    <w:rsid w:val="00736A35"/>
    <w:rsid w:val="00736A6D"/>
    <w:rsid w:val="00736AC7"/>
    <w:rsid w:val="00736CC0"/>
    <w:rsid w:val="00736D98"/>
    <w:rsid w:val="00736F28"/>
    <w:rsid w:val="00737054"/>
    <w:rsid w:val="0073710A"/>
    <w:rsid w:val="007372BF"/>
    <w:rsid w:val="0073734A"/>
    <w:rsid w:val="00737672"/>
    <w:rsid w:val="007376C1"/>
    <w:rsid w:val="007377EB"/>
    <w:rsid w:val="00737A66"/>
    <w:rsid w:val="00737ADC"/>
    <w:rsid w:val="00737B7A"/>
    <w:rsid w:val="00737BF0"/>
    <w:rsid w:val="00737DB5"/>
    <w:rsid w:val="00737FB6"/>
    <w:rsid w:val="00737FE8"/>
    <w:rsid w:val="00740235"/>
    <w:rsid w:val="0074037C"/>
    <w:rsid w:val="0074049C"/>
    <w:rsid w:val="00740510"/>
    <w:rsid w:val="0074058B"/>
    <w:rsid w:val="007405AD"/>
    <w:rsid w:val="00740A2D"/>
    <w:rsid w:val="00740A3D"/>
    <w:rsid w:val="00740BF8"/>
    <w:rsid w:val="00740BFB"/>
    <w:rsid w:val="00740F2A"/>
    <w:rsid w:val="00740F72"/>
    <w:rsid w:val="007410F0"/>
    <w:rsid w:val="0074133D"/>
    <w:rsid w:val="007415BB"/>
    <w:rsid w:val="007416BA"/>
    <w:rsid w:val="00741740"/>
    <w:rsid w:val="00741830"/>
    <w:rsid w:val="00741A7E"/>
    <w:rsid w:val="00741E1B"/>
    <w:rsid w:val="00741F07"/>
    <w:rsid w:val="00741F09"/>
    <w:rsid w:val="007420ED"/>
    <w:rsid w:val="00742234"/>
    <w:rsid w:val="0074239B"/>
    <w:rsid w:val="0074247B"/>
    <w:rsid w:val="00742508"/>
    <w:rsid w:val="007425E4"/>
    <w:rsid w:val="007427B7"/>
    <w:rsid w:val="0074287D"/>
    <w:rsid w:val="007428A3"/>
    <w:rsid w:val="00742C3D"/>
    <w:rsid w:val="00742CA1"/>
    <w:rsid w:val="00742DBD"/>
    <w:rsid w:val="00743122"/>
    <w:rsid w:val="007431BE"/>
    <w:rsid w:val="0074340F"/>
    <w:rsid w:val="00743601"/>
    <w:rsid w:val="007437AC"/>
    <w:rsid w:val="00743AE9"/>
    <w:rsid w:val="00743AF2"/>
    <w:rsid w:val="00743B84"/>
    <w:rsid w:val="00743B86"/>
    <w:rsid w:val="00743DE8"/>
    <w:rsid w:val="00743E4D"/>
    <w:rsid w:val="00743F78"/>
    <w:rsid w:val="00744322"/>
    <w:rsid w:val="007445AD"/>
    <w:rsid w:val="00744871"/>
    <w:rsid w:val="007448D0"/>
    <w:rsid w:val="0074499E"/>
    <w:rsid w:val="00744B79"/>
    <w:rsid w:val="007450E0"/>
    <w:rsid w:val="00745120"/>
    <w:rsid w:val="00745133"/>
    <w:rsid w:val="00745478"/>
    <w:rsid w:val="0074549A"/>
    <w:rsid w:val="0074553F"/>
    <w:rsid w:val="007455CE"/>
    <w:rsid w:val="007455EA"/>
    <w:rsid w:val="00745AE0"/>
    <w:rsid w:val="00745D99"/>
    <w:rsid w:val="007463B8"/>
    <w:rsid w:val="007463EC"/>
    <w:rsid w:val="00746552"/>
    <w:rsid w:val="00746560"/>
    <w:rsid w:val="00746598"/>
    <w:rsid w:val="007465EE"/>
    <w:rsid w:val="007468B1"/>
    <w:rsid w:val="00746B11"/>
    <w:rsid w:val="00746B2B"/>
    <w:rsid w:val="00746B82"/>
    <w:rsid w:val="007471C3"/>
    <w:rsid w:val="00747301"/>
    <w:rsid w:val="00747320"/>
    <w:rsid w:val="0074749D"/>
    <w:rsid w:val="007474B2"/>
    <w:rsid w:val="0074761F"/>
    <w:rsid w:val="0074784A"/>
    <w:rsid w:val="00747969"/>
    <w:rsid w:val="00747A4C"/>
    <w:rsid w:val="00747A68"/>
    <w:rsid w:val="00747A71"/>
    <w:rsid w:val="00747E55"/>
    <w:rsid w:val="0075012D"/>
    <w:rsid w:val="00750312"/>
    <w:rsid w:val="007503EC"/>
    <w:rsid w:val="0075056D"/>
    <w:rsid w:val="007507D1"/>
    <w:rsid w:val="00750B02"/>
    <w:rsid w:val="00750C75"/>
    <w:rsid w:val="00750E71"/>
    <w:rsid w:val="00750F58"/>
    <w:rsid w:val="00751044"/>
    <w:rsid w:val="00751051"/>
    <w:rsid w:val="007511AD"/>
    <w:rsid w:val="007513D1"/>
    <w:rsid w:val="0075184B"/>
    <w:rsid w:val="00751AA7"/>
    <w:rsid w:val="00751D51"/>
    <w:rsid w:val="00751F82"/>
    <w:rsid w:val="00752032"/>
    <w:rsid w:val="007520A7"/>
    <w:rsid w:val="0075239C"/>
    <w:rsid w:val="00752502"/>
    <w:rsid w:val="007527F9"/>
    <w:rsid w:val="007529D7"/>
    <w:rsid w:val="00752AEE"/>
    <w:rsid w:val="00752C58"/>
    <w:rsid w:val="00752EB7"/>
    <w:rsid w:val="00753014"/>
    <w:rsid w:val="00753181"/>
    <w:rsid w:val="00753187"/>
    <w:rsid w:val="0075322C"/>
    <w:rsid w:val="007536DE"/>
    <w:rsid w:val="00753943"/>
    <w:rsid w:val="0075395E"/>
    <w:rsid w:val="00753C62"/>
    <w:rsid w:val="00753E6D"/>
    <w:rsid w:val="00753F2B"/>
    <w:rsid w:val="00753F80"/>
    <w:rsid w:val="007540C7"/>
    <w:rsid w:val="0075413A"/>
    <w:rsid w:val="0075438C"/>
    <w:rsid w:val="00754813"/>
    <w:rsid w:val="007549AD"/>
    <w:rsid w:val="00754A59"/>
    <w:rsid w:val="00754A63"/>
    <w:rsid w:val="00754F38"/>
    <w:rsid w:val="00755040"/>
    <w:rsid w:val="00755055"/>
    <w:rsid w:val="00755269"/>
    <w:rsid w:val="0075553A"/>
    <w:rsid w:val="007555A9"/>
    <w:rsid w:val="007555E0"/>
    <w:rsid w:val="007555F2"/>
    <w:rsid w:val="007556AE"/>
    <w:rsid w:val="00755739"/>
    <w:rsid w:val="00755824"/>
    <w:rsid w:val="00755A6C"/>
    <w:rsid w:val="00755A79"/>
    <w:rsid w:val="00755C07"/>
    <w:rsid w:val="00755F0E"/>
    <w:rsid w:val="00755F23"/>
    <w:rsid w:val="00756128"/>
    <w:rsid w:val="007562B6"/>
    <w:rsid w:val="007562D8"/>
    <w:rsid w:val="007564B4"/>
    <w:rsid w:val="00756BA8"/>
    <w:rsid w:val="00756FE4"/>
    <w:rsid w:val="007571B9"/>
    <w:rsid w:val="0075734E"/>
    <w:rsid w:val="007573F9"/>
    <w:rsid w:val="0075758D"/>
    <w:rsid w:val="00757658"/>
    <w:rsid w:val="0075765B"/>
    <w:rsid w:val="00757675"/>
    <w:rsid w:val="007576A7"/>
    <w:rsid w:val="007576E3"/>
    <w:rsid w:val="00757C2F"/>
    <w:rsid w:val="00757CE5"/>
    <w:rsid w:val="00757D37"/>
    <w:rsid w:val="00760199"/>
    <w:rsid w:val="007603A0"/>
    <w:rsid w:val="007603A5"/>
    <w:rsid w:val="007603D5"/>
    <w:rsid w:val="007603D6"/>
    <w:rsid w:val="007605B8"/>
    <w:rsid w:val="0076065B"/>
    <w:rsid w:val="00760753"/>
    <w:rsid w:val="0076080D"/>
    <w:rsid w:val="0076097B"/>
    <w:rsid w:val="00760A3D"/>
    <w:rsid w:val="00760B98"/>
    <w:rsid w:val="00760C60"/>
    <w:rsid w:val="00760DAE"/>
    <w:rsid w:val="00760DB2"/>
    <w:rsid w:val="00760DC9"/>
    <w:rsid w:val="00760EF0"/>
    <w:rsid w:val="00760F5F"/>
    <w:rsid w:val="00760FDB"/>
    <w:rsid w:val="0076105D"/>
    <w:rsid w:val="0076125E"/>
    <w:rsid w:val="007612AD"/>
    <w:rsid w:val="00761324"/>
    <w:rsid w:val="0076166C"/>
    <w:rsid w:val="00761793"/>
    <w:rsid w:val="007618BD"/>
    <w:rsid w:val="00761ACC"/>
    <w:rsid w:val="00761CA2"/>
    <w:rsid w:val="00761ED1"/>
    <w:rsid w:val="0076203D"/>
    <w:rsid w:val="007621A3"/>
    <w:rsid w:val="007622CF"/>
    <w:rsid w:val="007622EC"/>
    <w:rsid w:val="00762468"/>
    <w:rsid w:val="007626C2"/>
    <w:rsid w:val="00762709"/>
    <w:rsid w:val="00762752"/>
    <w:rsid w:val="00762B11"/>
    <w:rsid w:val="007631D5"/>
    <w:rsid w:val="007633DD"/>
    <w:rsid w:val="007633E0"/>
    <w:rsid w:val="00763492"/>
    <w:rsid w:val="0076349F"/>
    <w:rsid w:val="0076350C"/>
    <w:rsid w:val="0076355F"/>
    <w:rsid w:val="007635AA"/>
    <w:rsid w:val="007638AD"/>
    <w:rsid w:val="00763995"/>
    <w:rsid w:val="00763A54"/>
    <w:rsid w:val="00763AA3"/>
    <w:rsid w:val="00763BED"/>
    <w:rsid w:val="00763D83"/>
    <w:rsid w:val="00763F96"/>
    <w:rsid w:val="007640AA"/>
    <w:rsid w:val="007641E7"/>
    <w:rsid w:val="00764245"/>
    <w:rsid w:val="0076431C"/>
    <w:rsid w:val="00764477"/>
    <w:rsid w:val="00764768"/>
    <w:rsid w:val="00764983"/>
    <w:rsid w:val="00764992"/>
    <w:rsid w:val="00764A54"/>
    <w:rsid w:val="00764DCB"/>
    <w:rsid w:val="00764DFC"/>
    <w:rsid w:val="00764F42"/>
    <w:rsid w:val="007651DE"/>
    <w:rsid w:val="00765227"/>
    <w:rsid w:val="007654F5"/>
    <w:rsid w:val="00765786"/>
    <w:rsid w:val="007657E8"/>
    <w:rsid w:val="0076588C"/>
    <w:rsid w:val="0076594F"/>
    <w:rsid w:val="00765A74"/>
    <w:rsid w:val="00765AA6"/>
    <w:rsid w:val="00765B2C"/>
    <w:rsid w:val="00765C30"/>
    <w:rsid w:val="00765D4A"/>
    <w:rsid w:val="00765E1A"/>
    <w:rsid w:val="00765EF5"/>
    <w:rsid w:val="00766083"/>
    <w:rsid w:val="0076625E"/>
    <w:rsid w:val="007662AA"/>
    <w:rsid w:val="00766382"/>
    <w:rsid w:val="00766428"/>
    <w:rsid w:val="00766730"/>
    <w:rsid w:val="00766770"/>
    <w:rsid w:val="00766AC4"/>
    <w:rsid w:val="00766AF9"/>
    <w:rsid w:val="00766B59"/>
    <w:rsid w:val="00766C7E"/>
    <w:rsid w:val="00766E6F"/>
    <w:rsid w:val="00766EDB"/>
    <w:rsid w:val="00767032"/>
    <w:rsid w:val="007670B2"/>
    <w:rsid w:val="007670DE"/>
    <w:rsid w:val="0076715C"/>
    <w:rsid w:val="0076718B"/>
    <w:rsid w:val="00767346"/>
    <w:rsid w:val="00767456"/>
    <w:rsid w:val="007675F7"/>
    <w:rsid w:val="00767966"/>
    <w:rsid w:val="007679BD"/>
    <w:rsid w:val="007679CB"/>
    <w:rsid w:val="00767B53"/>
    <w:rsid w:val="00767C63"/>
    <w:rsid w:val="00767E4D"/>
    <w:rsid w:val="00767E93"/>
    <w:rsid w:val="00767EC9"/>
    <w:rsid w:val="00767EFD"/>
    <w:rsid w:val="00770261"/>
    <w:rsid w:val="007702BE"/>
    <w:rsid w:val="007703CC"/>
    <w:rsid w:val="007703E1"/>
    <w:rsid w:val="0077095A"/>
    <w:rsid w:val="00770A79"/>
    <w:rsid w:val="00770AE5"/>
    <w:rsid w:val="00770D52"/>
    <w:rsid w:val="007711EA"/>
    <w:rsid w:val="0077139D"/>
    <w:rsid w:val="00771668"/>
    <w:rsid w:val="0077183B"/>
    <w:rsid w:val="00771946"/>
    <w:rsid w:val="0077194D"/>
    <w:rsid w:val="00771B2E"/>
    <w:rsid w:val="00771B34"/>
    <w:rsid w:val="00771C98"/>
    <w:rsid w:val="00772040"/>
    <w:rsid w:val="007720A9"/>
    <w:rsid w:val="0077210B"/>
    <w:rsid w:val="0077224F"/>
    <w:rsid w:val="007723A7"/>
    <w:rsid w:val="00772755"/>
    <w:rsid w:val="0077297F"/>
    <w:rsid w:val="00772CD5"/>
    <w:rsid w:val="00772DD5"/>
    <w:rsid w:val="00773195"/>
    <w:rsid w:val="00773252"/>
    <w:rsid w:val="0077341F"/>
    <w:rsid w:val="007735D7"/>
    <w:rsid w:val="007735E8"/>
    <w:rsid w:val="007735FD"/>
    <w:rsid w:val="0077374D"/>
    <w:rsid w:val="00773849"/>
    <w:rsid w:val="007739A8"/>
    <w:rsid w:val="00773BFE"/>
    <w:rsid w:val="00773C96"/>
    <w:rsid w:val="00773F27"/>
    <w:rsid w:val="00774109"/>
    <w:rsid w:val="007742FB"/>
    <w:rsid w:val="0077452C"/>
    <w:rsid w:val="007745D0"/>
    <w:rsid w:val="00774842"/>
    <w:rsid w:val="00774CEE"/>
    <w:rsid w:val="00774D06"/>
    <w:rsid w:val="00774ECA"/>
    <w:rsid w:val="00774F2E"/>
    <w:rsid w:val="00774F76"/>
    <w:rsid w:val="00775276"/>
    <w:rsid w:val="007754A0"/>
    <w:rsid w:val="0077566A"/>
    <w:rsid w:val="00775A4A"/>
    <w:rsid w:val="00775D40"/>
    <w:rsid w:val="00775E4F"/>
    <w:rsid w:val="00775E5B"/>
    <w:rsid w:val="00775E7C"/>
    <w:rsid w:val="00775F32"/>
    <w:rsid w:val="00775FA7"/>
    <w:rsid w:val="007761AC"/>
    <w:rsid w:val="007763D3"/>
    <w:rsid w:val="007763F3"/>
    <w:rsid w:val="007765AC"/>
    <w:rsid w:val="00776818"/>
    <w:rsid w:val="00776834"/>
    <w:rsid w:val="00776876"/>
    <w:rsid w:val="00776A0E"/>
    <w:rsid w:val="00776A7F"/>
    <w:rsid w:val="00776C32"/>
    <w:rsid w:val="00777042"/>
    <w:rsid w:val="00777240"/>
    <w:rsid w:val="00777852"/>
    <w:rsid w:val="00777A85"/>
    <w:rsid w:val="00777BB2"/>
    <w:rsid w:val="00777C51"/>
    <w:rsid w:val="00777C74"/>
    <w:rsid w:val="00777CF2"/>
    <w:rsid w:val="00777EAE"/>
    <w:rsid w:val="00780016"/>
    <w:rsid w:val="007800A7"/>
    <w:rsid w:val="00780176"/>
    <w:rsid w:val="007802A8"/>
    <w:rsid w:val="007805A5"/>
    <w:rsid w:val="00780960"/>
    <w:rsid w:val="007809BD"/>
    <w:rsid w:val="00780A66"/>
    <w:rsid w:val="00780A8F"/>
    <w:rsid w:val="00780D11"/>
    <w:rsid w:val="00780EF9"/>
    <w:rsid w:val="00780FE2"/>
    <w:rsid w:val="007814BD"/>
    <w:rsid w:val="007815C1"/>
    <w:rsid w:val="007815F2"/>
    <w:rsid w:val="0078179E"/>
    <w:rsid w:val="00781A39"/>
    <w:rsid w:val="00781A3A"/>
    <w:rsid w:val="00781ADE"/>
    <w:rsid w:val="00781C2A"/>
    <w:rsid w:val="00781C7D"/>
    <w:rsid w:val="00781E62"/>
    <w:rsid w:val="00781F8B"/>
    <w:rsid w:val="00781FAB"/>
    <w:rsid w:val="00782159"/>
    <w:rsid w:val="007821D4"/>
    <w:rsid w:val="0078226F"/>
    <w:rsid w:val="00782339"/>
    <w:rsid w:val="00782441"/>
    <w:rsid w:val="00782506"/>
    <w:rsid w:val="0078254B"/>
    <w:rsid w:val="007825F7"/>
    <w:rsid w:val="00782680"/>
    <w:rsid w:val="0078272E"/>
    <w:rsid w:val="00782759"/>
    <w:rsid w:val="00782820"/>
    <w:rsid w:val="0078295C"/>
    <w:rsid w:val="0078298C"/>
    <w:rsid w:val="00782C43"/>
    <w:rsid w:val="00782C7A"/>
    <w:rsid w:val="00782CEF"/>
    <w:rsid w:val="00782D31"/>
    <w:rsid w:val="00782DBC"/>
    <w:rsid w:val="00782EB9"/>
    <w:rsid w:val="00783166"/>
    <w:rsid w:val="007831BA"/>
    <w:rsid w:val="0078336C"/>
    <w:rsid w:val="007833C2"/>
    <w:rsid w:val="00783498"/>
    <w:rsid w:val="00783710"/>
    <w:rsid w:val="00783B9D"/>
    <w:rsid w:val="00783DCF"/>
    <w:rsid w:val="00784106"/>
    <w:rsid w:val="0078436A"/>
    <w:rsid w:val="00784451"/>
    <w:rsid w:val="00784529"/>
    <w:rsid w:val="007848E5"/>
    <w:rsid w:val="007849D6"/>
    <w:rsid w:val="00784B47"/>
    <w:rsid w:val="00784B4C"/>
    <w:rsid w:val="00784C2F"/>
    <w:rsid w:val="00784E6E"/>
    <w:rsid w:val="00784E97"/>
    <w:rsid w:val="00784EED"/>
    <w:rsid w:val="00785027"/>
    <w:rsid w:val="00785064"/>
    <w:rsid w:val="007851EA"/>
    <w:rsid w:val="00785305"/>
    <w:rsid w:val="007856CB"/>
    <w:rsid w:val="007856FF"/>
    <w:rsid w:val="00785B90"/>
    <w:rsid w:val="00785C19"/>
    <w:rsid w:val="00785E09"/>
    <w:rsid w:val="007862D7"/>
    <w:rsid w:val="0078680F"/>
    <w:rsid w:val="00786A29"/>
    <w:rsid w:val="00786ECB"/>
    <w:rsid w:val="00786EFC"/>
    <w:rsid w:val="007870E1"/>
    <w:rsid w:val="00787229"/>
    <w:rsid w:val="00787292"/>
    <w:rsid w:val="007873E9"/>
    <w:rsid w:val="00787799"/>
    <w:rsid w:val="00787888"/>
    <w:rsid w:val="007878B6"/>
    <w:rsid w:val="00787A1B"/>
    <w:rsid w:val="00787D72"/>
    <w:rsid w:val="007901EC"/>
    <w:rsid w:val="0079020F"/>
    <w:rsid w:val="007904BB"/>
    <w:rsid w:val="00790517"/>
    <w:rsid w:val="0079051B"/>
    <w:rsid w:val="007905E2"/>
    <w:rsid w:val="007905F8"/>
    <w:rsid w:val="0079067D"/>
    <w:rsid w:val="007906C8"/>
    <w:rsid w:val="007908D5"/>
    <w:rsid w:val="00790970"/>
    <w:rsid w:val="0079098E"/>
    <w:rsid w:val="00790ADC"/>
    <w:rsid w:val="00790B7A"/>
    <w:rsid w:val="00790B8A"/>
    <w:rsid w:val="00790E55"/>
    <w:rsid w:val="00791067"/>
    <w:rsid w:val="0079141D"/>
    <w:rsid w:val="0079168B"/>
    <w:rsid w:val="00791788"/>
    <w:rsid w:val="007918E3"/>
    <w:rsid w:val="00791B25"/>
    <w:rsid w:val="00791C42"/>
    <w:rsid w:val="00791E15"/>
    <w:rsid w:val="00791E44"/>
    <w:rsid w:val="00791EE6"/>
    <w:rsid w:val="00791F8A"/>
    <w:rsid w:val="00792657"/>
    <w:rsid w:val="007926F6"/>
    <w:rsid w:val="00792AF1"/>
    <w:rsid w:val="00792B09"/>
    <w:rsid w:val="00792B6A"/>
    <w:rsid w:val="00792CDA"/>
    <w:rsid w:val="00792D18"/>
    <w:rsid w:val="00792EB7"/>
    <w:rsid w:val="0079301C"/>
    <w:rsid w:val="00793510"/>
    <w:rsid w:val="00793577"/>
    <w:rsid w:val="0079359F"/>
    <w:rsid w:val="007935EC"/>
    <w:rsid w:val="00793A3C"/>
    <w:rsid w:val="00793AEE"/>
    <w:rsid w:val="00793D82"/>
    <w:rsid w:val="00793E7B"/>
    <w:rsid w:val="00794190"/>
    <w:rsid w:val="00794247"/>
    <w:rsid w:val="007942AA"/>
    <w:rsid w:val="007944AA"/>
    <w:rsid w:val="0079452C"/>
    <w:rsid w:val="007945AD"/>
    <w:rsid w:val="007946D8"/>
    <w:rsid w:val="0079474C"/>
    <w:rsid w:val="007948AA"/>
    <w:rsid w:val="00794C34"/>
    <w:rsid w:val="00794DA3"/>
    <w:rsid w:val="00794DF5"/>
    <w:rsid w:val="00794E30"/>
    <w:rsid w:val="00794E87"/>
    <w:rsid w:val="00795571"/>
    <w:rsid w:val="00795B46"/>
    <w:rsid w:val="00795CE5"/>
    <w:rsid w:val="00795E77"/>
    <w:rsid w:val="00796044"/>
    <w:rsid w:val="0079662A"/>
    <w:rsid w:val="007966DB"/>
    <w:rsid w:val="00796823"/>
    <w:rsid w:val="0079684E"/>
    <w:rsid w:val="007968AF"/>
    <w:rsid w:val="007969D5"/>
    <w:rsid w:val="00796AF3"/>
    <w:rsid w:val="00796C82"/>
    <w:rsid w:val="00796E11"/>
    <w:rsid w:val="00796F64"/>
    <w:rsid w:val="007970F6"/>
    <w:rsid w:val="007970F7"/>
    <w:rsid w:val="00797157"/>
    <w:rsid w:val="00797168"/>
    <w:rsid w:val="0079753D"/>
    <w:rsid w:val="00797702"/>
    <w:rsid w:val="0079770F"/>
    <w:rsid w:val="007978A9"/>
    <w:rsid w:val="00797B97"/>
    <w:rsid w:val="00797C09"/>
    <w:rsid w:val="00797ECC"/>
    <w:rsid w:val="00797F7C"/>
    <w:rsid w:val="007A028A"/>
    <w:rsid w:val="007A0E8C"/>
    <w:rsid w:val="007A1156"/>
    <w:rsid w:val="007A1333"/>
    <w:rsid w:val="007A13EB"/>
    <w:rsid w:val="007A153A"/>
    <w:rsid w:val="007A1541"/>
    <w:rsid w:val="007A15A1"/>
    <w:rsid w:val="007A1607"/>
    <w:rsid w:val="007A1666"/>
    <w:rsid w:val="007A185D"/>
    <w:rsid w:val="007A1932"/>
    <w:rsid w:val="007A1BC6"/>
    <w:rsid w:val="007A1E28"/>
    <w:rsid w:val="007A1F2C"/>
    <w:rsid w:val="007A1FE4"/>
    <w:rsid w:val="007A24CE"/>
    <w:rsid w:val="007A2963"/>
    <w:rsid w:val="007A29A4"/>
    <w:rsid w:val="007A2AC8"/>
    <w:rsid w:val="007A2ED5"/>
    <w:rsid w:val="007A3077"/>
    <w:rsid w:val="007A3090"/>
    <w:rsid w:val="007A35F0"/>
    <w:rsid w:val="007A3700"/>
    <w:rsid w:val="007A3725"/>
    <w:rsid w:val="007A3863"/>
    <w:rsid w:val="007A38CB"/>
    <w:rsid w:val="007A38E0"/>
    <w:rsid w:val="007A3AB6"/>
    <w:rsid w:val="007A3B0F"/>
    <w:rsid w:val="007A3C58"/>
    <w:rsid w:val="007A3C5D"/>
    <w:rsid w:val="007A40C9"/>
    <w:rsid w:val="007A4198"/>
    <w:rsid w:val="007A4309"/>
    <w:rsid w:val="007A4362"/>
    <w:rsid w:val="007A4519"/>
    <w:rsid w:val="007A4878"/>
    <w:rsid w:val="007A49CE"/>
    <w:rsid w:val="007A4C3F"/>
    <w:rsid w:val="007A51D7"/>
    <w:rsid w:val="007A523A"/>
    <w:rsid w:val="007A5595"/>
    <w:rsid w:val="007A5693"/>
    <w:rsid w:val="007A56C0"/>
    <w:rsid w:val="007A58AD"/>
    <w:rsid w:val="007A5A3E"/>
    <w:rsid w:val="007A5B69"/>
    <w:rsid w:val="007A5C14"/>
    <w:rsid w:val="007A5CB7"/>
    <w:rsid w:val="007A5CD2"/>
    <w:rsid w:val="007A5E40"/>
    <w:rsid w:val="007A5EA7"/>
    <w:rsid w:val="007A5F77"/>
    <w:rsid w:val="007A5FCF"/>
    <w:rsid w:val="007A6030"/>
    <w:rsid w:val="007A611D"/>
    <w:rsid w:val="007A614B"/>
    <w:rsid w:val="007A6261"/>
    <w:rsid w:val="007A6273"/>
    <w:rsid w:val="007A6285"/>
    <w:rsid w:val="007A62A7"/>
    <w:rsid w:val="007A6477"/>
    <w:rsid w:val="007A6982"/>
    <w:rsid w:val="007A6A1F"/>
    <w:rsid w:val="007A6A2A"/>
    <w:rsid w:val="007A6B72"/>
    <w:rsid w:val="007A6BB3"/>
    <w:rsid w:val="007A6D6E"/>
    <w:rsid w:val="007A6DA0"/>
    <w:rsid w:val="007A6DD1"/>
    <w:rsid w:val="007A6F3E"/>
    <w:rsid w:val="007A701D"/>
    <w:rsid w:val="007A70D7"/>
    <w:rsid w:val="007A7255"/>
    <w:rsid w:val="007A7364"/>
    <w:rsid w:val="007A743B"/>
    <w:rsid w:val="007A74EB"/>
    <w:rsid w:val="007A75A2"/>
    <w:rsid w:val="007A7927"/>
    <w:rsid w:val="007A79C9"/>
    <w:rsid w:val="007A7C89"/>
    <w:rsid w:val="007A7CBA"/>
    <w:rsid w:val="007B02C1"/>
    <w:rsid w:val="007B03B3"/>
    <w:rsid w:val="007B0563"/>
    <w:rsid w:val="007B058C"/>
    <w:rsid w:val="007B0860"/>
    <w:rsid w:val="007B0BF8"/>
    <w:rsid w:val="007B0C71"/>
    <w:rsid w:val="007B0C84"/>
    <w:rsid w:val="007B0E7B"/>
    <w:rsid w:val="007B1045"/>
    <w:rsid w:val="007B138B"/>
    <w:rsid w:val="007B1532"/>
    <w:rsid w:val="007B15AB"/>
    <w:rsid w:val="007B1606"/>
    <w:rsid w:val="007B1716"/>
    <w:rsid w:val="007B1738"/>
    <w:rsid w:val="007B1814"/>
    <w:rsid w:val="007B1B50"/>
    <w:rsid w:val="007B1C2F"/>
    <w:rsid w:val="007B1CE8"/>
    <w:rsid w:val="007B1F37"/>
    <w:rsid w:val="007B2127"/>
    <w:rsid w:val="007B2276"/>
    <w:rsid w:val="007B2327"/>
    <w:rsid w:val="007B260D"/>
    <w:rsid w:val="007B262D"/>
    <w:rsid w:val="007B280F"/>
    <w:rsid w:val="007B2834"/>
    <w:rsid w:val="007B28B2"/>
    <w:rsid w:val="007B2933"/>
    <w:rsid w:val="007B2A18"/>
    <w:rsid w:val="007B2BF7"/>
    <w:rsid w:val="007B2CE1"/>
    <w:rsid w:val="007B2D09"/>
    <w:rsid w:val="007B2DB3"/>
    <w:rsid w:val="007B2FB0"/>
    <w:rsid w:val="007B36F6"/>
    <w:rsid w:val="007B3722"/>
    <w:rsid w:val="007B3794"/>
    <w:rsid w:val="007B3BD9"/>
    <w:rsid w:val="007B3BE4"/>
    <w:rsid w:val="007B3C53"/>
    <w:rsid w:val="007B3C55"/>
    <w:rsid w:val="007B3E80"/>
    <w:rsid w:val="007B3ECA"/>
    <w:rsid w:val="007B3F66"/>
    <w:rsid w:val="007B4133"/>
    <w:rsid w:val="007B41E5"/>
    <w:rsid w:val="007B431C"/>
    <w:rsid w:val="007B452F"/>
    <w:rsid w:val="007B469E"/>
    <w:rsid w:val="007B46B8"/>
    <w:rsid w:val="007B46D2"/>
    <w:rsid w:val="007B49EC"/>
    <w:rsid w:val="007B4B48"/>
    <w:rsid w:val="007B5278"/>
    <w:rsid w:val="007B541C"/>
    <w:rsid w:val="007B5449"/>
    <w:rsid w:val="007B54E9"/>
    <w:rsid w:val="007B588D"/>
    <w:rsid w:val="007B5999"/>
    <w:rsid w:val="007B5A67"/>
    <w:rsid w:val="007B5AFF"/>
    <w:rsid w:val="007B5C13"/>
    <w:rsid w:val="007B5C3E"/>
    <w:rsid w:val="007B5D6C"/>
    <w:rsid w:val="007B5E30"/>
    <w:rsid w:val="007B5EA8"/>
    <w:rsid w:val="007B5FA4"/>
    <w:rsid w:val="007B5FB3"/>
    <w:rsid w:val="007B6015"/>
    <w:rsid w:val="007B6258"/>
    <w:rsid w:val="007B64F4"/>
    <w:rsid w:val="007B6576"/>
    <w:rsid w:val="007B6688"/>
    <w:rsid w:val="007B692D"/>
    <w:rsid w:val="007B69A8"/>
    <w:rsid w:val="007B69B8"/>
    <w:rsid w:val="007B69EE"/>
    <w:rsid w:val="007B6B3F"/>
    <w:rsid w:val="007B6CB3"/>
    <w:rsid w:val="007B6E40"/>
    <w:rsid w:val="007B6E75"/>
    <w:rsid w:val="007B6E7A"/>
    <w:rsid w:val="007B73C9"/>
    <w:rsid w:val="007B765B"/>
    <w:rsid w:val="007B7692"/>
    <w:rsid w:val="007B77AE"/>
    <w:rsid w:val="007B77C1"/>
    <w:rsid w:val="007B78FC"/>
    <w:rsid w:val="007B7C9B"/>
    <w:rsid w:val="007B7DF6"/>
    <w:rsid w:val="007B7EB7"/>
    <w:rsid w:val="007B7EF8"/>
    <w:rsid w:val="007B7FB7"/>
    <w:rsid w:val="007C0125"/>
    <w:rsid w:val="007C0170"/>
    <w:rsid w:val="007C03BC"/>
    <w:rsid w:val="007C05F0"/>
    <w:rsid w:val="007C062D"/>
    <w:rsid w:val="007C0699"/>
    <w:rsid w:val="007C0727"/>
    <w:rsid w:val="007C0917"/>
    <w:rsid w:val="007C09AD"/>
    <w:rsid w:val="007C0A90"/>
    <w:rsid w:val="007C0C44"/>
    <w:rsid w:val="007C0C8D"/>
    <w:rsid w:val="007C0E78"/>
    <w:rsid w:val="007C1040"/>
    <w:rsid w:val="007C117A"/>
    <w:rsid w:val="007C11B6"/>
    <w:rsid w:val="007C130B"/>
    <w:rsid w:val="007C132D"/>
    <w:rsid w:val="007C139E"/>
    <w:rsid w:val="007C142F"/>
    <w:rsid w:val="007C15F4"/>
    <w:rsid w:val="007C15FA"/>
    <w:rsid w:val="007C16DD"/>
    <w:rsid w:val="007C18B0"/>
    <w:rsid w:val="007C18F7"/>
    <w:rsid w:val="007C1A0A"/>
    <w:rsid w:val="007C1A0B"/>
    <w:rsid w:val="007C1B3E"/>
    <w:rsid w:val="007C1BD6"/>
    <w:rsid w:val="007C1C5E"/>
    <w:rsid w:val="007C1CF3"/>
    <w:rsid w:val="007C1D72"/>
    <w:rsid w:val="007C1DC1"/>
    <w:rsid w:val="007C24E1"/>
    <w:rsid w:val="007C254B"/>
    <w:rsid w:val="007C25AA"/>
    <w:rsid w:val="007C2744"/>
    <w:rsid w:val="007C27F3"/>
    <w:rsid w:val="007C2836"/>
    <w:rsid w:val="007C292F"/>
    <w:rsid w:val="007C2DF8"/>
    <w:rsid w:val="007C2EA8"/>
    <w:rsid w:val="007C2EEC"/>
    <w:rsid w:val="007C2FE8"/>
    <w:rsid w:val="007C30B4"/>
    <w:rsid w:val="007C3276"/>
    <w:rsid w:val="007C3305"/>
    <w:rsid w:val="007C347A"/>
    <w:rsid w:val="007C3763"/>
    <w:rsid w:val="007C3948"/>
    <w:rsid w:val="007C3AC6"/>
    <w:rsid w:val="007C3C29"/>
    <w:rsid w:val="007C3C81"/>
    <w:rsid w:val="007C3C99"/>
    <w:rsid w:val="007C3CC3"/>
    <w:rsid w:val="007C3FBE"/>
    <w:rsid w:val="007C4062"/>
    <w:rsid w:val="007C427F"/>
    <w:rsid w:val="007C44F4"/>
    <w:rsid w:val="007C46E0"/>
    <w:rsid w:val="007C46F2"/>
    <w:rsid w:val="007C479C"/>
    <w:rsid w:val="007C4A50"/>
    <w:rsid w:val="007C4C02"/>
    <w:rsid w:val="007C4D51"/>
    <w:rsid w:val="007C4E37"/>
    <w:rsid w:val="007C4E8E"/>
    <w:rsid w:val="007C4FB2"/>
    <w:rsid w:val="007C4FCF"/>
    <w:rsid w:val="007C4FE6"/>
    <w:rsid w:val="007C5137"/>
    <w:rsid w:val="007C519D"/>
    <w:rsid w:val="007C52E5"/>
    <w:rsid w:val="007C546D"/>
    <w:rsid w:val="007C55EE"/>
    <w:rsid w:val="007C56A9"/>
    <w:rsid w:val="007C5B35"/>
    <w:rsid w:val="007C5C89"/>
    <w:rsid w:val="007C5ED3"/>
    <w:rsid w:val="007C6122"/>
    <w:rsid w:val="007C61E4"/>
    <w:rsid w:val="007C6248"/>
    <w:rsid w:val="007C63E5"/>
    <w:rsid w:val="007C6440"/>
    <w:rsid w:val="007C6948"/>
    <w:rsid w:val="007C6A37"/>
    <w:rsid w:val="007C6AA1"/>
    <w:rsid w:val="007C6C45"/>
    <w:rsid w:val="007C6D19"/>
    <w:rsid w:val="007C6D9E"/>
    <w:rsid w:val="007C6E9C"/>
    <w:rsid w:val="007C6FD4"/>
    <w:rsid w:val="007C701B"/>
    <w:rsid w:val="007C70A0"/>
    <w:rsid w:val="007C70D0"/>
    <w:rsid w:val="007C7116"/>
    <w:rsid w:val="007C72D6"/>
    <w:rsid w:val="007C7372"/>
    <w:rsid w:val="007C7418"/>
    <w:rsid w:val="007C750D"/>
    <w:rsid w:val="007C75D1"/>
    <w:rsid w:val="007C75FB"/>
    <w:rsid w:val="007C767F"/>
    <w:rsid w:val="007C77A1"/>
    <w:rsid w:val="007C795A"/>
    <w:rsid w:val="007C7966"/>
    <w:rsid w:val="007C7A25"/>
    <w:rsid w:val="007C7AD3"/>
    <w:rsid w:val="007C7BA9"/>
    <w:rsid w:val="007C7D0B"/>
    <w:rsid w:val="007C7E43"/>
    <w:rsid w:val="007C7FD7"/>
    <w:rsid w:val="007D0280"/>
    <w:rsid w:val="007D05BB"/>
    <w:rsid w:val="007D06A5"/>
    <w:rsid w:val="007D07A9"/>
    <w:rsid w:val="007D0810"/>
    <w:rsid w:val="007D0B35"/>
    <w:rsid w:val="007D0BBD"/>
    <w:rsid w:val="007D0C37"/>
    <w:rsid w:val="007D0E8C"/>
    <w:rsid w:val="007D0EBD"/>
    <w:rsid w:val="007D0F62"/>
    <w:rsid w:val="007D0F81"/>
    <w:rsid w:val="007D102E"/>
    <w:rsid w:val="007D110C"/>
    <w:rsid w:val="007D1281"/>
    <w:rsid w:val="007D12F0"/>
    <w:rsid w:val="007D12F9"/>
    <w:rsid w:val="007D135C"/>
    <w:rsid w:val="007D14ED"/>
    <w:rsid w:val="007D1551"/>
    <w:rsid w:val="007D16B4"/>
    <w:rsid w:val="007D1739"/>
    <w:rsid w:val="007D1A40"/>
    <w:rsid w:val="007D1BDB"/>
    <w:rsid w:val="007D1D0A"/>
    <w:rsid w:val="007D1EFE"/>
    <w:rsid w:val="007D21C0"/>
    <w:rsid w:val="007D2631"/>
    <w:rsid w:val="007D268B"/>
    <w:rsid w:val="007D26BA"/>
    <w:rsid w:val="007D2920"/>
    <w:rsid w:val="007D2B2B"/>
    <w:rsid w:val="007D2EEA"/>
    <w:rsid w:val="007D3081"/>
    <w:rsid w:val="007D315D"/>
    <w:rsid w:val="007D32C8"/>
    <w:rsid w:val="007D32EA"/>
    <w:rsid w:val="007D3330"/>
    <w:rsid w:val="007D3634"/>
    <w:rsid w:val="007D3C70"/>
    <w:rsid w:val="007D3DF8"/>
    <w:rsid w:val="007D3F0F"/>
    <w:rsid w:val="007D422D"/>
    <w:rsid w:val="007D42A0"/>
    <w:rsid w:val="007D4AA3"/>
    <w:rsid w:val="007D4E85"/>
    <w:rsid w:val="007D5149"/>
    <w:rsid w:val="007D5230"/>
    <w:rsid w:val="007D5364"/>
    <w:rsid w:val="007D5381"/>
    <w:rsid w:val="007D54A0"/>
    <w:rsid w:val="007D5562"/>
    <w:rsid w:val="007D56CC"/>
    <w:rsid w:val="007D5856"/>
    <w:rsid w:val="007D5B99"/>
    <w:rsid w:val="007D5CB0"/>
    <w:rsid w:val="007D60B4"/>
    <w:rsid w:val="007D638A"/>
    <w:rsid w:val="007D63A5"/>
    <w:rsid w:val="007D63BC"/>
    <w:rsid w:val="007D6437"/>
    <w:rsid w:val="007D65BE"/>
    <w:rsid w:val="007D65F4"/>
    <w:rsid w:val="007D6681"/>
    <w:rsid w:val="007D66B3"/>
    <w:rsid w:val="007D66FB"/>
    <w:rsid w:val="007D671B"/>
    <w:rsid w:val="007D683D"/>
    <w:rsid w:val="007D6983"/>
    <w:rsid w:val="007D6A2D"/>
    <w:rsid w:val="007D6B51"/>
    <w:rsid w:val="007D6B7A"/>
    <w:rsid w:val="007D6CB9"/>
    <w:rsid w:val="007D6D8B"/>
    <w:rsid w:val="007D70DF"/>
    <w:rsid w:val="007D71D8"/>
    <w:rsid w:val="007D72E4"/>
    <w:rsid w:val="007D741D"/>
    <w:rsid w:val="007D752D"/>
    <w:rsid w:val="007D75C7"/>
    <w:rsid w:val="007D7620"/>
    <w:rsid w:val="007D7B45"/>
    <w:rsid w:val="007D7D3C"/>
    <w:rsid w:val="007D7DEA"/>
    <w:rsid w:val="007E00E9"/>
    <w:rsid w:val="007E00F9"/>
    <w:rsid w:val="007E0349"/>
    <w:rsid w:val="007E051D"/>
    <w:rsid w:val="007E05AA"/>
    <w:rsid w:val="007E06E9"/>
    <w:rsid w:val="007E093A"/>
    <w:rsid w:val="007E0C7C"/>
    <w:rsid w:val="007E0CF0"/>
    <w:rsid w:val="007E0D2A"/>
    <w:rsid w:val="007E0FDD"/>
    <w:rsid w:val="007E10D0"/>
    <w:rsid w:val="007E10F2"/>
    <w:rsid w:val="007E1109"/>
    <w:rsid w:val="007E1129"/>
    <w:rsid w:val="007E1157"/>
    <w:rsid w:val="007E12F3"/>
    <w:rsid w:val="007E1436"/>
    <w:rsid w:val="007E147B"/>
    <w:rsid w:val="007E15C0"/>
    <w:rsid w:val="007E16F6"/>
    <w:rsid w:val="007E1820"/>
    <w:rsid w:val="007E1C0F"/>
    <w:rsid w:val="007E1D7A"/>
    <w:rsid w:val="007E202D"/>
    <w:rsid w:val="007E2147"/>
    <w:rsid w:val="007E2373"/>
    <w:rsid w:val="007E2398"/>
    <w:rsid w:val="007E2492"/>
    <w:rsid w:val="007E24AB"/>
    <w:rsid w:val="007E287F"/>
    <w:rsid w:val="007E28CF"/>
    <w:rsid w:val="007E28D2"/>
    <w:rsid w:val="007E2A41"/>
    <w:rsid w:val="007E2A8B"/>
    <w:rsid w:val="007E2B43"/>
    <w:rsid w:val="007E2CF1"/>
    <w:rsid w:val="007E2FA1"/>
    <w:rsid w:val="007E2FB8"/>
    <w:rsid w:val="007E31E9"/>
    <w:rsid w:val="007E3235"/>
    <w:rsid w:val="007E32CD"/>
    <w:rsid w:val="007E3423"/>
    <w:rsid w:val="007E34E1"/>
    <w:rsid w:val="007E3709"/>
    <w:rsid w:val="007E3789"/>
    <w:rsid w:val="007E3802"/>
    <w:rsid w:val="007E38C5"/>
    <w:rsid w:val="007E38FE"/>
    <w:rsid w:val="007E3AF1"/>
    <w:rsid w:val="007E3AF5"/>
    <w:rsid w:val="007E3BC1"/>
    <w:rsid w:val="007E3C72"/>
    <w:rsid w:val="007E4170"/>
    <w:rsid w:val="007E44FB"/>
    <w:rsid w:val="007E489D"/>
    <w:rsid w:val="007E48DA"/>
    <w:rsid w:val="007E4B12"/>
    <w:rsid w:val="007E4C7E"/>
    <w:rsid w:val="007E4CA1"/>
    <w:rsid w:val="007E4D22"/>
    <w:rsid w:val="007E4DB8"/>
    <w:rsid w:val="007E4E39"/>
    <w:rsid w:val="007E5145"/>
    <w:rsid w:val="007E5164"/>
    <w:rsid w:val="007E5177"/>
    <w:rsid w:val="007E51DC"/>
    <w:rsid w:val="007E5324"/>
    <w:rsid w:val="007E538D"/>
    <w:rsid w:val="007E55D2"/>
    <w:rsid w:val="007E56EE"/>
    <w:rsid w:val="007E5883"/>
    <w:rsid w:val="007E5C3A"/>
    <w:rsid w:val="007E5C52"/>
    <w:rsid w:val="007E648B"/>
    <w:rsid w:val="007E654B"/>
    <w:rsid w:val="007E6590"/>
    <w:rsid w:val="007E6798"/>
    <w:rsid w:val="007E67BE"/>
    <w:rsid w:val="007E6833"/>
    <w:rsid w:val="007E6B73"/>
    <w:rsid w:val="007E6C8D"/>
    <w:rsid w:val="007E6D18"/>
    <w:rsid w:val="007E6D42"/>
    <w:rsid w:val="007E6E34"/>
    <w:rsid w:val="007E6EEF"/>
    <w:rsid w:val="007E6FA1"/>
    <w:rsid w:val="007E6FA6"/>
    <w:rsid w:val="007E70D8"/>
    <w:rsid w:val="007E76BD"/>
    <w:rsid w:val="007E77A6"/>
    <w:rsid w:val="007E7BBF"/>
    <w:rsid w:val="007E7E53"/>
    <w:rsid w:val="007E7EB6"/>
    <w:rsid w:val="007E7FB1"/>
    <w:rsid w:val="007F013E"/>
    <w:rsid w:val="007F01ED"/>
    <w:rsid w:val="007F0204"/>
    <w:rsid w:val="007F02EC"/>
    <w:rsid w:val="007F033F"/>
    <w:rsid w:val="007F0443"/>
    <w:rsid w:val="007F06DE"/>
    <w:rsid w:val="007F0AFF"/>
    <w:rsid w:val="007F0BD6"/>
    <w:rsid w:val="007F0D5E"/>
    <w:rsid w:val="007F0E0E"/>
    <w:rsid w:val="007F0F2D"/>
    <w:rsid w:val="007F1017"/>
    <w:rsid w:val="007F1038"/>
    <w:rsid w:val="007F120B"/>
    <w:rsid w:val="007F1254"/>
    <w:rsid w:val="007F1778"/>
    <w:rsid w:val="007F1822"/>
    <w:rsid w:val="007F1C8D"/>
    <w:rsid w:val="007F1CC1"/>
    <w:rsid w:val="007F1DB2"/>
    <w:rsid w:val="007F1F1C"/>
    <w:rsid w:val="007F2061"/>
    <w:rsid w:val="007F2559"/>
    <w:rsid w:val="007F2768"/>
    <w:rsid w:val="007F2861"/>
    <w:rsid w:val="007F2992"/>
    <w:rsid w:val="007F29D9"/>
    <w:rsid w:val="007F2A2F"/>
    <w:rsid w:val="007F2D51"/>
    <w:rsid w:val="007F2DF0"/>
    <w:rsid w:val="007F2FEE"/>
    <w:rsid w:val="007F30C4"/>
    <w:rsid w:val="007F30E9"/>
    <w:rsid w:val="007F317C"/>
    <w:rsid w:val="007F331C"/>
    <w:rsid w:val="007F33F7"/>
    <w:rsid w:val="007F341B"/>
    <w:rsid w:val="007F3430"/>
    <w:rsid w:val="007F34A9"/>
    <w:rsid w:val="007F35D3"/>
    <w:rsid w:val="007F360B"/>
    <w:rsid w:val="007F36CD"/>
    <w:rsid w:val="007F373A"/>
    <w:rsid w:val="007F37E2"/>
    <w:rsid w:val="007F382F"/>
    <w:rsid w:val="007F3A56"/>
    <w:rsid w:val="007F3AEF"/>
    <w:rsid w:val="007F3B38"/>
    <w:rsid w:val="007F3BAE"/>
    <w:rsid w:val="007F3F50"/>
    <w:rsid w:val="007F40DE"/>
    <w:rsid w:val="007F40FF"/>
    <w:rsid w:val="007F43C1"/>
    <w:rsid w:val="007F4457"/>
    <w:rsid w:val="007F44EF"/>
    <w:rsid w:val="007F44F2"/>
    <w:rsid w:val="007F4539"/>
    <w:rsid w:val="007F4637"/>
    <w:rsid w:val="007F47B1"/>
    <w:rsid w:val="007F480B"/>
    <w:rsid w:val="007F489A"/>
    <w:rsid w:val="007F4917"/>
    <w:rsid w:val="007F4938"/>
    <w:rsid w:val="007F4A8F"/>
    <w:rsid w:val="007F4B21"/>
    <w:rsid w:val="007F4B47"/>
    <w:rsid w:val="007F4C22"/>
    <w:rsid w:val="007F4D05"/>
    <w:rsid w:val="007F4E00"/>
    <w:rsid w:val="007F4F61"/>
    <w:rsid w:val="007F4FE4"/>
    <w:rsid w:val="007F50AE"/>
    <w:rsid w:val="007F51E8"/>
    <w:rsid w:val="007F51EF"/>
    <w:rsid w:val="007F5320"/>
    <w:rsid w:val="007F54D0"/>
    <w:rsid w:val="007F5546"/>
    <w:rsid w:val="007F5660"/>
    <w:rsid w:val="007F5705"/>
    <w:rsid w:val="007F58E4"/>
    <w:rsid w:val="007F59DF"/>
    <w:rsid w:val="007F5BC7"/>
    <w:rsid w:val="007F5BF9"/>
    <w:rsid w:val="007F5C16"/>
    <w:rsid w:val="007F6069"/>
    <w:rsid w:val="007F6107"/>
    <w:rsid w:val="007F621E"/>
    <w:rsid w:val="007F637A"/>
    <w:rsid w:val="007F6537"/>
    <w:rsid w:val="007F671E"/>
    <w:rsid w:val="007F6754"/>
    <w:rsid w:val="007F6A9A"/>
    <w:rsid w:val="007F6B52"/>
    <w:rsid w:val="007F6BBF"/>
    <w:rsid w:val="007F6BD3"/>
    <w:rsid w:val="007F6D37"/>
    <w:rsid w:val="007F70F8"/>
    <w:rsid w:val="007F7219"/>
    <w:rsid w:val="007F7642"/>
    <w:rsid w:val="007F7697"/>
    <w:rsid w:val="007F7A68"/>
    <w:rsid w:val="007F7B51"/>
    <w:rsid w:val="007F7BA4"/>
    <w:rsid w:val="007F7BEB"/>
    <w:rsid w:val="007F7D0E"/>
    <w:rsid w:val="00800065"/>
    <w:rsid w:val="008002A3"/>
    <w:rsid w:val="00800488"/>
    <w:rsid w:val="008004B9"/>
    <w:rsid w:val="0080051E"/>
    <w:rsid w:val="00800544"/>
    <w:rsid w:val="00800817"/>
    <w:rsid w:val="0080092D"/>
    <w:rsid w:val="008009B8"/>
    <w:rsid w:val="008009CC"/>
    <w:rsid w:val="00800AB0"/>
    <w:rsid w:val="00800B22"/>
    <w:rsid w:val="00800FCE"/>
    <w:rsid w:val="00800FF8"/>
    <w:rsid w:val="00801122"/>
    <w:rsid w:val="00801179"/>
    <w:rsid w:val="008011B8"/>
    <w:rsid w:val="0080144C"/>
    <w:rsid w:val="008015C1"/>
    <w:rsid w:val="00801724"/>
    <w:rsid w:val="00801880"/>
    <w:rsid w:val="00801A81"/>
    <w:rsid w:val="00801BEC"/>
    <w:rsid w:val="00801BFD"/>
    <w:rsid w:val="00801E1D"/>
    <w:rsid w:val="00802025"/>
    <w:rsid w:val="0080224D"/>
    <w:rsid w:val="00802333"/>
    <w:rsid w:val="008026C6"/>
    <w:rsid w:val="008028E0"/>
    <w:rsid w:val="00802916"/>
    <w:rsid w:val="00802ABF"/>
    <w:rsid w:val="00802B03"/>
    <w:rsid w:val="00802D2C"/>
    <w:rsid w:val="00802EA4"/>
    <w:rsid w:val="008034D4"/>
    <w:rsid w:val="00803703"/>
    <w:rsid w:val="008038D0"/>
    <w:rsid w:val="0080395F"/>
    <w:rsid w:val="00803E6C"/>
    <w:rsid w:val="00803F50"/>
    <w:rsid w:val="00803F88"/>
    <w:rsid w:val="0080400C"/>
    <w:rsid w:val="00804050"/>
    <w:rsid w:val="00804119"/>
    <w:rsid w:val="00804187"/>
    <w:rsid w:val="00804222"/>
    <w:rsid w:val="0080430E"/>
    <w:rsid w:val="00804C77"/>
    <w:rsid w:val="00804C84"/>
    <w:rsid w:val="00804CAC"/>
    <w:rsid w:val="00804D43"/>
    <w:rsid w:val="00805122"/>
    <w:rsid w:val="00805160"/>
    <w:rsid w:val="008052A6"/>
    <w:rsid w:val="00805451"/>
    <w:rsid w:val="0080573D"/>
    <w:rsid w:val="008057A1"/>
    <w:rsid w:val="00805978"/>
    <w:rsid w:val="00806105"/>
    <w:rsid w:val="0080618E"/>
    <w:rsid w:val="008062F2"/>
    <w:rsid w:val="00806368"/>
    <w:rsid w:val="008063E0"/>
    <w:rsid w:val="008066EC"/>
    <w:rsid w:val="008067AB"/>
    <w:rsid w:val="00806D01"/>
    <w:rsid w:val="00806F10"/>
    <w:rsid w:val="008073D9"/>
    <w:rsid w:val="00807507"/>
    <w:rsid w:val="0080759C"/>
    <w:rsid w:val="00807634"/>
    <w:rsid w:val="00807841"/>
    <w:rsid w:val="00807926"/>
    <w:rsid w:val="00807939"/>
    <w:rsid w:val="00807DB2"/>
    <w:rsid w:val="00807F29"/>
    <w:rsid w:val="008101B3"/>
    <w:rsid w:val="008102DA"/>
    <w:rsid w:val="0081031F"/>
    <w:rsid w:val="0081038F"/>
    <w:rsid w:val="008104FF"/>
    <w:rsid w:val="0081054B"/>
    <w:rsid w:val="008107EC"/>
    <w:rsid w:val="00810B73"/>
    <w:rsid w:val="00810BE0"/>
    <w:rsid w:val="00810E21"/>
    <w:rsid w:val="00810F7A"/>
    <w:rsid w:val="00811289"/>
    <w:rsid w:val="008113EE"/>
    <w:rsid w:val="00811662"/>
    <w:rsid w:val="00811702"/>
    <w:rsid w:val="00811876"/>
    <w:rsid w:val="00811AA4"/>
    <w:rsid w:val="00811B18"/>
    <w:rsid w:val="00811E74"/>
    <w:rsid w:val="00811EA9"/>
    <w:rsid w:val="00811FDA"/>
    <w:rsid w:val="008124DF"/>
    <w:rsid w:val="00812536"/>
    <w:rsid w:val="0081257E"/>
    <w:rsid w:val="008125AE"/>
    <w:rsid w:val="0081289C"/>
    <w:rsid w:val="00812AF9"/>
    <w:rsid w:val="00812C01"/>
    <w:rsid w:val="00812C18"/>
    <w:rsid w:val="00812C25"/>
    <w:rsid w:val="00812DE1"/>
    <w:rsid w:val="0081307C"/>
    <w:rsid w:val="0081313A"/>
    <w:rsid w:val="008131D3"/>
    <w:rsid w:val="00813254"/>
    <w:rsid w:val="0081329B"/>
    <w:rsid w:val="0081330E"/>
    <w:rsid w:val="008133B8"/>
    <w:rsid w:val="008133D3"/>
    <w:rsid w:val="0081346B"/>
    <w:rsid w:val="0081347E"/>
    <w:rsid w:val="00813692"/>
    <w:rsid w:val="008136EB"/>
    <w:rsid w:val="00813746"/>
    <w:rsid w:val="00813748"/>
    <w:rsid w:val="00813946"/>
    <w:rsid w:val="00813B37"/>
    <w:rsid w:val="00813B84"/>
    <w:rsid w:val="00813DCD"/>
    <w:rsid w:val="00813FD3"/>
    <w:rsid w:val="0081427B"/>
    <w:rsid w:val="00814801"/>
    <w:rsid w:val="00814889"/>
    <w:rsid w:val="00814A37"/>
    <w:rsid w:val="00814E65"/>
    <w:rsid w:val="00814F42"/>
    <w:rsid w:val="00814F73"/>
    <w:rsid w:val="00814F7D"/>
    <w:rsid w:val="00814FE3"/>
    <w:rsid w:val="008150EB"/>
    <w:rsid w:val="008151CA"/>
    <w:rsid w:val="00815202"/>
    <w:rsid w:val="00815728"/>
    <w:rsid w:val="00815A02"/>
    <w:rsid w:val="00815B7E"/>
    <w:rsid w:val="00815DC9"/>
    <w:rsid w:val="00815E85"/>
    <w:rsid w:val="0081618F"/>
    <w:rsid w:val="008161E3"/>
    <w:rsid w:val="00816390"/>
    <w:rsid w:val="0081644C"/>
    <w:rsid w:val="00816701"/>
    <w:rsid w:val="00816769"/>
    <w:rsid w:val="00816ADC"/>
    <w:rsid w:val="00816D10"/>
    <w:rsid w:val="00816FCF"/>
    <w:rsid w:val="00816FFC"/>
    <w:rsid w:val="008170EE"/>
    <w:rsid w:val="00817150"/>
    <w:rsid w:val="00817303"/>
    <w:rsid w:val="00817402"/>
    <w:rsid w:val="00817472"/>
    <w:rsid w:val="00817822"/>
    <w:rsid w:val="00817BC1"/>
    <w:rsid w:val="00817C75"/>
    <w:rsid w:val="00817D3D"/>
    <w:rsid w:val="00817D3F"/>
    <w:rsid w:val="00817FE9"/>
    <w:rsid w:val="008202CB"/>
    <w:rsid w:val="0082051A"/>
    <w:rsid w:val="00820627"/>
    <w:rsid w:val="008206F7"/>
    <w:rsid w:val="008209BA"/>
    <w:rsid w:val="00820CC7"/>
    <w:rsid w:val="00820CFF"/>
    <w:rsid w:val="00820E03"/>
    <w:rsid w:val="00820E4F"/>
    <w:rsid w:val="00820EBC"/>
    <w:rsid w:val="0082105A"/>
    <w:rsid w:val="00821074"/>
    <w:rsid w:val="00821155"/>
    <w:rsid w:val="00821308"/>
    <w:rsid w:val="00821607"/>
    <w:rsid w:val="0082167C"/>
    <w:rsid w:val="0082189C"/>
    <w:rsid w:val="008218B3"/>
    <w:rsid w:val="008219D9"/>
    <w:rsid w:val="00821CF7"/>
    <w:rsid w:val="00821D12"/>
    <w:rsid w:val="00821E5C"/>
    <w:rsid w:val="0082202C"/>
    <w:rsid w:val="00822068"/>
    <w:rsid w:val="008220A2"/>
    <w:rsid w:val="00822145"/>
    <w:rsid w:val="00822193"/>
    <w:rsid w:val="00822239"/>
    <w:rsid w:val="008222EC"/>
    <w:rsid w:val="008224FE"/>
    <w:rsid w:val="00822657"/>
    <w:rsid w:val="00822AA8"/>
    <w:rsid w:val="00822C0E"/>
    <w:rsid w:val="00822DC7"/>
    <w:rsid w:val="00822E5E"/>
    <w:rsid w:val="00822EB1"/>
    <w:rsid w:val="008232FC"/>
    <w:rsid w:val="00823A4C"/>
    <w:rsid w:val="00823CC4"/>
    <w:rsid w:val="00823DE0"/>
    <w:rsid w:val="0082413A"/>
    <w:rsid w:val="00824272"/>
    <w:rsid w:val="00824333"/>
    <w:rsid w:val="00824459"/>
    <w:rsid w:val="0082467C"/>
    <w:rsid w:val="008247F7"/>
    <w:rsid w:val="00824837"/>
    <w:rsid w:val="008248B2"/>
    <w:rsid w:val="008248D8"/>
    <w:rsid w:val="00824965"/>
    <w:rsid w:val="00824AA2"/>
    <w:rsid w:val="00824EF4"/>
    <w:rsid w:val="00824F60"/>
    <w:rsid w:val="00824F98"/>
    <w:rsid w:val="00824FD6"/>
    <w:rsid w:val="00825101"/>
    <w:rsid w:val="00825103"/>
    <w:rsid w:val="00825674"/>
    <w:rsid w:val="00825724"/>
    <w:rsid w:val="008257BD"/>
    <w:rsid w:val="008257C9"/>
    <w:rsid w:val="0082583F"/>
    <w:rsid w:val="0082588B"/>
    <w:rsid w:val="00825BE1"/>
    <w:rsid w:val="00825C45"/>
    <w:rsid w:val="00825C74"/>
    <w:rsid w:val="00825CBE"/>
    <w:rsid w:val="00825CD9"/>
    <w:rsid w:val="00825F69"/>
    <w:rsid w:val="008261C9"/>
    <w:rsid w:val="00826249"/>
    <w:rsid w:val="00826440"/>
    <w:rsid w:val="0082655E"/>
    <w:rsid w:val="00826574"/>
    <w:rsid w:val="00826584"/>
    <w:rsid w:val="00826688"/>
    <w:rsid w:val="0082686B"/>
    <w:rsid w:val="00826A6E"/>
    <w:rsid w:val="00826B5C"/>
    <w:rsid w:val="00826C72"/>
    <w:rsid w:val="00826CDE"/>
    <w:rsid w:val="00826D5A"/>
    <w:rsid w:val="00826DBB"/>
    <w:rsid w:val="00826E5E"/>
    <w:rsid w:val="008270CF"/>
    <w:rsid w:val="008272F1"/>
    <w:rsid w:val="008273CF"/>
    <w:rsid w:val="00827493"/>
    <w:rsid w:val="008276E0"/>
    <w:rsid w:val="00827722"/>
    <w:rsid w:val="00827816"/>
    <w:rsid w:val="00827B4F"/>
    <w:rsid w:val="00827C24"/>
    <w:rsid w:val="00827F65"/>
    <w:rsid w:val="008300B8"/>
    <w:rsid w:val="008304E7"/>
    <w:rsid w:val="0083065E"/>
    <w:rsid w:val="008306C6"/>
    <w:rsid w:val="008308E9"/>
    <w:rsid w:val="00830A35"/>
    <w:rsid w:val="00830C53"/>
    <w:rsid w:val="00830CA7"/>
    <w:rsid w:val="00830CFE"/>
    <w:rsid w:val="00830D44"/>
    <w:rsid w:val="00830DA6"/>
    <w:rsid w:val="00830F21"/>
    <w:rsid w:val="00830F64"/>
    <w:rsid w:val="0083109D"/>
    <w:rsid w:val="00831110"/>
    <w:rsid w:val="008311A1"/>
    <w:rsid w:val="00831226"/>
    <w:rsid w:val="00831333"/>
    <w:rsid w:val="00831355"/>
    <w:rsid w:val="0083137F"/>
    <w:rsid w:val="0083140F"/>
    <w:rsid w:val="008316BF"/>
    <w:rsid w:val="008316CA"/>
    <w:rsid w:val="008316F7"/>
    <w:rsid w:val="00831714"/>
    <w:rsid w:val="00831820"/>
    <w:rsid w:val="00831B12"/>
    <w:rsid w:val="00831B53"/>
    <w:rsid w:val="00831BEB"/>
    <w:rsid w:val="00831CFA"/>
    <w:rsid w:val="00831D24"/>
    <w:rsid w:val="00831F04"/>
    <w:rsid w:val="00832027"/>
    <w:rsid w:val="00832244"/>
    <w:rsid w:val="00832270"/>
    <w:rsid w:val="00832470"/>
    <w:rsid w:val="008324C6"/>
    <w:rsid w:val="008324DD"/>
    <w:rsid w:val="0083263A"/>
    <w:rsid w:val="00832B01"/>
    <w:rsid w:val="00832B07"/>
    <w:rsid w:val="00832E48"/>
    <w:rsid w:val="00832F82"/>
    <w:rsid w:val="00832FFD"/>
    <w:rsid w:val="00833020"/>
    <w:rsid w:val="008331FE"/>
    <w:rsid w:val="00833263"/>
    <w:rsid w:val="008332A8"/>
    <w:rsid w:val="008333C1"/>
    <w:rsid w:val="00833522"/>
    <w:rsid w:val="00833534"/>
    <w:rsid w:val="008337E0"/>
    <w:rsid w:val="00833B8F"/>
    <w:rsid w:val="00833D58"/>
    <w:rsid w:val="00833FFC"/>
    <w:rsid w:val="0083404B"/>
    <w:rsid w:val="008340BD"/>
    <w:rsid w:val="0083417D"/>
    <w:rsid w:val="00834661"/>
    <w:rsid w:val="00834791"/>
    <w:rsid w:val="00834B34"/>
    <w:rsid w:val="00834F14"/>
    <w:rsid w:val="008357F2"/>
    <w:rsid w:val="008359FA"/>
    <w:rsid w:val="00835A51"/>
    <w:rsid w:val="00835BA6"/>
    <w:rsid w:val="00835EB9"/>
    <w:rsid w:val="00836042"/>
    <w:rsid w:val="00836169"/>
    <w:rsid w:val="008366E1"/>
    <w:rsid w:val="00836768"/>
    <w:rsid w:val="008367C6"/>
    <w:rsid w:val="00836A25"/>
    <w:rsid w:val="00836AE5"/>
    <w:rsid w:val="00836BA2"/>
    <w:rsid w:val="00836D36"/>
    <w:rsid w:val="0083708E"/>
    <w:rsid w:val="008371B4"/>
    <w:rsid w:val="00837472"/>
    <w:rsid w:val="008374CF"/>
    <w:rsid w:val="0083770E"/>
    <w:rsid w:val="00837944"/>
    <w:rsid w:val="00837B86"/>
    <w:rsid w:val="00837CA1"/>
    <w:rsid w:val="00837DD8"/>
    <w:rsid w:val="00837EBD"/>
    <w:rsid w:val="00837EE5"/>
    <w:rsid w:val="00840479"/>
    <w:rsid w:val="0084058E"/>
    <w:rsid w:val="00840611"/>
    <w:rsid w:val="008406B7"/>
    <w:rsid w:val="00840746"/>
    <w:rsid w:val="00840D8C"/>
    <w:rsid w:val="00840EA4"/>
    <w:rsid w:val="00840F0F"/>
    <w:rsid w:val="00840F43"/>
    <w:rsid w:val="00841175"/>
    <w:rsid w:val="008413C4"/>
    <w:rsid w:val="00841415"/>
    <w:rsid w:val="0084146E"/>
    <w:rsid w:val="008418F8"/>
    <w:rsid w:val="00841A00"/>
    <w:rsid w:val="00841A9E"/>
    <w:rsid w:val="00841AC8"/>
    <w:rsid w:val="00841D59"/>
    <w:rsid w:val="00841D68"/>
    <w:rsid w:val="00841D6E"/>
    <w:rsid w:val="00841E50"/>
    <w:rsid w:val="00841FE7"/>
    <w:rsid w:val="00842096"/>
    <w:rsid w:val="008422F0"/>
    <w:rsid w:val="008426F3"/>
    <w:rsid w:val="008427C5"/>
    <w:rsid w:val="008427DF"/>
    <w:rsid w:val="00842CB3"/>
    <w:rsid w:val="00842E13"/>
    <w:rsid w:val="00842F7F"/>
    <w:rsid w:val="00843018"/>
    <w:rsid w:val="008432BE"/>
    <w:rsid w:val="00843349"/>
    <w:rsid w:val="008435BA"/>
    <w:rsid w:val="0084399B"/>
    <w:rsid w:val="00843C2F"/>
    <w:rsid w:val="00843D04"/>
    <w:rsid w:val="00843D80"/>
    <w:rsid w:val="00843F54"/>
    <w:rsid w:val="00844096"/>
    <w:rsid w:val="0084431C"/>
    <w:rsid w:val="008444CE"/>
    <w:rsid w:val="008447B3"/>
    <w:rsid w:val="00844BB5"/>
    <w:rsid w:val="00844C8F"/>
    <w:rsid w:val="00844D73"/>
    <w:rsid w:val="00844D98"/>
    <w:rsid w:val="00844E2F"/>
    <w:rsid w:val="00844FD8"/>
    <w:rsid w:val="0084502C"/>
    <w:rsid w:val="00845052"/>
    <w:rsid w:val="00845063"/>
    <w:rsid w:val="00845122"/>
    <w:rsid w:val="00845207"/>
    <w:rsid w:val="008453BF"/>
    <w:rsid w:val="00845400"/>
    <w:rsid w:val="008454EC"/>
    <w:rsid w:val="008456E5"/>
    <w:rsid w:val="00845B48"/>
    <w:rsid w:val="00845E0C"/>
    <w:rsid w:val="008463BB"/>
    <w:rsid w:val="00846402"/>
    <w:rsid w:val="008465B9"/>
    <w:rsid w:val="0084698B"/>
    <w:rsid w:val="00846AAA"/>
    <w:rsid w:val="00846C11"/>
    <w:rsid w:val="00846D10"/>
    <w:rsid w:val="00846D6D"/>
    <w:rsid w:val="00846F6F"/>
    <w:rsid w:val="0084707B"/>
    <w:rsid w:val="0084721A"/>
    <w:rsid w:val="008474A7"/>
    <w:rsid w:val="00847644"/>
    <w:rsid w:val="008478B6"/>
    <w:rsid w:val="00847D57"/>
    <w:rsid w:val="00847D5E"/>
    <w:rsid w:val="00847DC6"/>
    <w:rsid w:val="00847DF6"/>
    <w:rsid w:val="00847E31"/>
    <w:rsid w:val="00847E87"/>
    <w:rsid w:val="00847EDA"/>
    <w:rsid w:val="00847F9D"/>
    <w:rsid w:val="00850062"/>
    <w:rsid w:val="008501EE"/>
    <w:rsid w:val="0085032E"/>
    <w:rsid w:val="008503CB"/>
    <w:rsid w:val="00850445"/>
    <w:rsid w:val="008504D0"/>
    <w:rsid w:val="00850AE7"/>
    <w:rsid w:val="00850B73"/>
    <w:rsid w:val="00850C3E"/>
    <w:rsid w:val="00850CEE"/>
    <w:rsid w:val="00850F2B"/>
    <w:rsid w:val="00850F7D"/>
    <w:rsid w:val="008510FC"/>
    <w:rsid w:val="00851189"/>
    <w:rsid w:val="00851720"/>
    <w:rsid w:val="008519FF"/>
    <w:rsid w:val="00851CC8"/>
    <w:rsid w:val="00851ECA"/>
    <w:rsid w:val="00851EE4"/>
    <w:rsid w:val="00852021"/>
    <w:rsid w:val="008526B9"/>
    <w:rsid w:val="00852906"/>
    <w:rsid w:val="00852988"/>
    <w:rsid w:val="008529E4"/>
    <w:rsid w:val="00852E46"/>
    <w:rsid w:val="00852F97"/>
    <w:rsid w:val="00853110"/>
    <w:rsid w:val="0085316A"/>
    <w:rsid w:val="00853261"/>
    <w:rsid w:val="0085330F"/>
    <w:rsid w:val="00853446"/>
    <w:rsid w:val="008536D6"/>
    <w:rsid w:val="00853751"/>
    <w:rsid w:val="008538C4"/>
    <w:rsid w:val="00853D30"/>
    <w:rsid w:val="0085466B"/>
    <w:rsid w:val="00854823"/>
    <w:rsid w:val="00854B55"/>
    <w:rsid w:val="00854BA1"/>
    <w:rsid w:val="00854BE5"/>
    <w:rsid w:val="00854E96"/>
    <w:rsid w:val="008555DC"/>
    <w:rsid w:val="00855640"/>
    <w:rsid w:val="0085577E"/>
    <w:rsid w:val="0085578F"/>
    <w:rsid w:val="00855909"/>
    <w:rsid w:val="0085592E"/>
    <w:rsid w:val="00855A5D"/>
    <w:rsid w:val="00855B42"/>
    <w:rsid w:val="00855C6E"/>
    <w:rsid w:val="00855D5E"/>
    <w:rsid w:val="00855FDA"/>
    <w:rsid w:val="008560A6"/>
    <w:rsid w:val="00856406"/>
    <w:rsid w:val="008564A5"/>
    <w:rsid w:val="0085670B"/>
    <w:rsid w:val="0085688D"/>
    <w:rsid w:val="00856A09"/>
    <w:rsid w:val="00856DD6"/>
    <w:rsid w:val="00857064"/>
    <w:rsid w:val="008570E1"/>
    <w:rsid w:val="0085715C"/>
    <w:rsid w:val="00857502"/>
    <w:rsid w:val="008575F5"/>
    <w:rsid w:val="00857896"/>
    <w:rsid w:val="00857B2B"/>
    <w:rsid w:val="00857D1C"/>
    <w:rsid w:val="00860065"/>
    <w:rsid w:val="0086016C"/>
    <w:rsid w:val="00860211"/>
    <w:rsid w:val="00860576"/>
    <w:rsid w:val="008605A8"/>
    <w:rsid w:val="00860693"/>
    <w:rsid w:val="008606B9"/>
    <w:rsid w:val="00860769"/>
    <w:rsid w:val="008607BA"/>
    <w:rsid w:val="008607D1"/>
    <w:rsid w:val="00860848"/>
    <w:rsid w:val="008609DA"/>
    <w:rsid w:val="008609EC"/>
    <w:rsid w:val="00860B27"/>
    <w:rsid w:val="00860CE5"/>
    <w:rsid w:val="0086116F"/>
    <w:rsid w:val="0086135E"/>
    <w:rsid w:val="00861450"/>
    <w:rsid w:val="00861533"/>
    <w:rsid w:val="00861721"/>
    <w:rsid w:val="00861E1C"/>
    <w:rsid w:val="00862145"/>
    <w:rsid w:val="0086215F"/>
    <w:rsid w:val="008621A5"/>
    <w:rsid w:val="008622BA"/>
    <w:rsid w:val="008622DF"/>
    <w:rsid w:val="0086236D"/>
    <w:rsid w:val="00862468"/>
    <w:rsid w:val="008624DC"/>
    <w:rsid w:val="00862874"/>
    <w:rsid w:val="008628EC"/>
    <w:rsid w:val="008629FF"/>
    <w:rsid w:val="00862C98"/>
    <w:rsid w:val="00862FD1"/>
    <w:rsid w:val="00863014"/>
    <w:rsid w:val="008631B0"/>
    <w:rsid w:val="00863204"/>
    <w:rsid w:val="00863228"/>
    <w:rsid w:val="00863318"/>
    <w:rsid w:val="00863474"/>
    <w:rsid w:val="008636C3"/>
    <w:rsid w:val="0086371F"/>
    <w:rsid w:val="008637AF"/>
    <w:rsid w:val="008638A4"/>
    <w:rsid w:val="0086393B"/>
    <w:rsid w:val="00863A1F"/>
    <w:rsid w:val="00863B34"/>
    <w:rsid w:val="00863BBF"/>
    <w:rsid w:val="00863C1E"/>
    <w:rsid w:val="00863C91"/>
    <w:rsid w:val="00863D44"/>
    <w:rsid w:val="00863D5A"/>
    <w:rsid w:val="00863F31"/>
    <w:rsid w:val="00864289"/>
    <w:rsid w:val="00864505"/>
    <w:rsid w:val="00864664"/>
    <w:rsid w:val="008646D3"/>
    <w:rsid w:val="008646F8"/>
    <w:rsid w:val="008647C2"/>
    <w:rsid w:val="00864E4F"/>
    <w:rsid w:val="00864E73"/>
    <w:rsid w:val="00864F10"/>
    <w:rsid w:val="00864F1C"/>
    <w:rsid w:val="00865179"/>
    <w:rsid w:val="00865203"/>
    <w:rsid w:val="008652BA"/>
    <w:rsid w:val="00865322"/>
    <w:rsid w:val="008657A1"/>
    <w:rsid w:val="00865CEA"/>
    <w:rsid w:val="00865D3E"/>
    <w:rsid w:val="00865F6B"/>
    <w:rsid w:val="00865FD4"/>
    <w:rsid w:val="00866005"/>
    <w:rsid w:val="00866120"/>
    <w:rsid w:val="0086616D"/>
    <w:rsid w:val="0086617A"/>
    <w:rsid w:val="00866180"/>
    <w:rsid w:val="008661FF"/>
    <w:rsid w:val="00866304"/>
    <w:rsid w:val="00866371"/>
    <w:rsid w:val="00866570"/>
    <w:rsid w:val="008666CC"/>
    <w:rsid w:val="00866778"/>
    <w:rsid w:val="0086678B"/>
    <w:rsid w:val="00866A71"/>
    <w:rsid w:val="00866B17"/>
    <w:rsid w:val="00866D3F"/>
    <w:rsid w:val="00866F8D"/>
    <w:rsid w:val="0086705D"/>
    <w:rsid w:val="00867102"/>
    <w:rsid w:val="00867103"/>
    <w:rsid w:val="0086720B"/>
    <w:rsid w:val="0086721D"/>
    <w:rsid w:val="008672DD"/>
    <w:rsid w:val="008672F3"/>
    <w:rsid w:val="00867620"/>
    <w:rsid w:val="0086763E"/>
    <w:rsid w:val="0086771E"/>
    <w:rsid w:val="00867B6D"/>
    <w:rsid w:val="00867E1F"/>
    <w:rsid w:val="00867E80"/>
    <w:rsid w:val="00867E85"/>
    <w:rsid w:val="00870318"/>
    <w:rsid w:val="008707C9"/>
    <w:rsid w:val="008707D4"/>
    <w:rsid w:val="008707F2"/>
    <w:rsid w:val="008708C1"/>
    <w:rsid w:val="00870BD7"/>
    <w:rsid w:val="00870E4F"/>
    <w:rsid w:val="00871060"/>
    <w:rsid w:val="00871852"/>
    <w:rsid w:val="00871A9C"/>
    <w:rsid w:val="00871B81"/>
    <w:rsid w:val="00871C25"/>
    <w:rsid w:val="00871F7B"/>
    <w:rsid w:val="00872013"/>
    <w:rsid w:val="00872037"/>
    <w:rsid w:val="0087214D"/>
    <w:rsid w:val="008722C5"/>
    <w:rsid w:val="00872666"/>
    <w:rsid w:val="008726A5"/>
    <w:rsid w:val="00872701"/>
    <w:rsid w:val="008727C2"/>
    <w:rsid w:val="008727D8"/>
    <w:rsid w:val="008728BA"/>
    <w:rsid w:val="00872C24"/>
    <w:rsid w:val="00872E25"/>
    <w:rsid w:val="00872F71"/>
    <w:rsid w:val="008730AE"/>
    <w:rsid w:val="00873201"/>
    <w:rsid w:val="008732A7"/>
    <w:rsid w:val="00873342"/>
    <w:rsid w:val="008735F5"/>
    <w:rsid w:val="008736C7"/>
    <w:rsid w:val="00873801"/>
    <w:rsid w:val="00873906"/>
    <w:rsid w:val="008739A4"/>
    <w:rsid w:val="008739CC"/>
    <w:rsid w:val="00873ADB"/>
    <w:rsid w:val="00873AE1"/>
    <w:rsid w:val="00873C0F"/>
    <w:rsid w:val="00873EF5"/>
    <w:rsid w:val="00873F41"/>
    <w:rsid w:val="0087404D"/>
    <w:rsid w:val="00874171"/>
    <w:rsid w:val="0087419B"/>
    <w:rsid w:val="00874251"/>
    <w:rsid w:val="00874691"/>
    <w:rsid w:val="0087470E"/>
    <w:rsid w:val="00874805"/>
    <w:rsid w:val="00874ADF"/>
    <w:rsid w:val="00874FDF"/>
    <w:rsid w:val="008751F0"/>
    <w:rsid w:val="008753D4"/>
    <w:rsid w:val="00875760"/>
    <w:rsid w:val="008757B2"/>
    <w:rsid w:val="008758FC"/>
    <w:rsid w:val="00875A31"/>
    <w:rsid w:val="00875A4A"/>
    <w:rsid w:val="00875C9D"/>
    <w:rsid w:val="00875DC7"/>
    <w:rsid w:val="00875E83"/>
    <w:rsid w:val="00876606"/>
    <w:rsid w:val="0087670D"/>
    <w:rsid w:val="0087672E"/>
    <w:rsid w:val="00876803"/>
    <w:rsid w:val="00876983"/>
    <w:rsid w:val="008769AE"/>
    <w:rsid w:val="00876BA9"/>
    <w:rsid w:val="00876DF1"/>
    <w:rsid w:val="00876E07"/>
    <w:rsid w:val="00876E90"/>
    <w:rsid w:val="00876EA6"/>
    <w:rsid w:val="00876F19"/>
    <w:rsid w:val="008771AE"/>
    <w:rsid w:val="0087742C"/>
    <w:rsid w:val="008775DD"/>
    <w:rsid w:val="0087763E"/>
    <w:rsid w:val="008777BD"/>
    <w:rsid w:val="0087785C"/>
    <w:rsid w:val="008779CC"/>
    <w:rsid w:val="00877A6A"/>
    <w:rsid w:val="00877D03"/>
    <w:rsid w:val="00877ED9"/>
    <w:rsid w:val="00877F4D"/>
    <w:rsid w:val="0088006C"/>
    <w:rsid w:val="00880166"/>
    <w:rsid w:val="008803EB"/>
    <w:rsid w:val="00880473"/>
    <w:rsid w:val="00880604"/>
    <w:rsid w:val="008806A6"/>
    <w:rsid w:val="008806D0"/>
    <w:rsid w:val="008808C3"/>
    <w:rsid w:val="00880919"/>
    <w:rsid w:val="00880941"/>
    <w:rsid w:val="00880C8E"/>
    <w:rsid w:val="00880DE1"/>
    <w:rsid w:val="00880E3A"/>
    <w:rsid w:val="00880E50"/>
    <w:rsid w:val="0088118F"/>
    <w:rsid w:val="0088133D"/>
    <w:rsid w:val="0088134E"/>
    <w:rsid w:val="00881403"/>
    <w:rsid w:val="008815D8"/>
    <w:rsid w:val="00881602"/>
    <w:rsid w:val="0088190D"/>
    <w:rsid w:val="00881B05"/>
    <w:rsid w:val="00881C2B"/>
    <w:rsid w:val="00881E53"/>
    <w:rsid w:val="00882275"/>
    <w:rsid w:val="008823A1"/>
    <w:rsid w:val="008826E8"/>
    <w:rsid w:val="00882701"/>
    <w:rsid w:val="0088276F"/>
    <w:rsid w:val="00882921"/>
    <w:rsid w:val="00882A47"/>
    <w:rsid w:val="00882B0D"/>
    <w:rsid w:val="00882E41"/>
    <w:rsid w:val="00882FD7"/>
    <w:rsid w:val="008830A0"/>
    <w:rsid w:val="008831F7"/>
    <w:rsid w:val="00883461"/>
    <w:rsid w:val="008837C1"/>
    <w:rsid w:val="00883866"/>
    <w:rsid w:val="0088394D"/>
    <w:rsid w:val="00883B54"/>
    <w:rsid w:val="00883EEA"/>
    <w:rsid w:val="00883EF3"/>
    <w:rsid w:val="00883F16"/>
    <w:rsid w:val="008844BA"/>
    <w:rsid w:val="00884572"/>
    <w:rsid w:val="008845C0"/>
    <w:rsid w:val="0088464B"/>
    <w:rsid w:val="0088467E"/>
    <w:rsid w:val="008848C5"/>
    <w:rsid w:val="00884BBA"/>
    <w:rsid w:val="00884C9E"/>
    <w:rsid w:val="00884E89"/>
    <w:rsid w:val="00885208"/>
    <w:rsid w:val="008856A7"/>
    <w:rsid w:val="008857C9"/>
    <w:rsid w:val="008857F5"/>
    <w:rsid w:val="00885A7A"/>
    <w:rsid w:val="00885B3D"/>
    <w:rsid w:val="00885D91"/>
    <w:rsid w:val="00886126"/>
    <w:rsid w:val="008862D8"/>
    <w:rsid w:val="00886409"/>
    <w:rsid w:val="00886535"/>
    <w:rsid w:val="0088658D"/>
    <w:rsid w:val="0088676C"/>
    <w:rsid w:val="00886868"/>
    <w:rsid w:val="00886F8D"/>
    <w:rsid w:val="00886FEC"/>
    <w:rsid w:val="0088718E"/>
    <w:rsid w:val="008874D9"/>
    <w:rsid w:val="00887651"/>
    <w:rsid w:val="0088766D"/>
    <w:rsid w:val="00887818"/>
    <w:rsid w:val="0088789D"/>
    <w:rsid w:val="00887924"/>
    <w:rsid w:val="0088793F"/>
    <w:rsid w:val="00887AA4"/>
    <w:rsid w:val="00887BB5"/>
    <w:rsid w:val="00887FC3"/>
    <w:rsid w:val="00890186"/>
    <w:rsid w:val="00890224"/>
    <w:rsid w:val="008902C3"/>
    <w:rsid w:val="008903DB"/>
    <w:rsid w:val="008903EA"/>
    <w:rsid w:val="0089050D"/>
    <w:rsid w:val="0089056E"/>
    <w:rsid w:val="0089078A"/>
    <w:rsid w:val="00890C0B"/>
    <w:rsid w:val="00890D48"/>
    <w:rsid w:val="00891037"/>
    <w:rsid w:val="0089116F"/>
    <w:rsid w:val="008912C1"/>
    <w:rsid w:val="00891337"/>
    <w:rsid w:val="0089135F"/>
    <w:rsid w:val="008913F6"/>
    <w:rsid w:val="0089160F"/>
    <w:rsid w:val="0089182D"/>
    <w:rsid w:val="008919EF"/>
    <w:rsid w:val="00891B36"/>
    <w:rsid w:val="00891BCB"/>
    <w:rsid w:val="00891D53"/>
    <w:rsid w:val="00891E18"/>
    <w:rsid w:val="00891F12"/>
    <w:rsid w:val="00891F1D"/>
    <w:rsid w:val="008924D5"/>
    <w:rsid w:val="0089252B"/>
    <w:rsid w:val="0089275C"/>
    <w:rsid w:val="008928F2"/>
    <w:rsid w:val="00892D69"/>
    <w:rsid w:val="00892F5B"/>
    <w:rsid w:val="00892FB4"/>
    <w:rsid w:val="0089312C"/>
    <w:rsid w:val="00893249"/>
    <w:rsid w:val="0089329F"/>
    <w:rsid w:val="00893346"/>
    <w:rsid w:val="00893416"/>
    <w:rsid w:val="008934DD"/>
    <w:rsid w:val="00893683"/>
    <w:rsid w:val="00893701"/>
    <w:rsid w:val="0089379C"/>
    <w:rsid w:val="00893866"/>
    <w:rsid w:val="00893A89"/>
    <w:rsid w:val="00893AFF"/>
    <w:rsid w:val="00893B15"/>
    <w:rsid w:val="00893E1B"/>
    <w:rsid w:val="00893EB9"/>
    <w:rsid w:val="00893F4E"/>
    <w:rsid w:val="008940B7"/>
    <w:rsid w:val="0089416A"/>
    <w:rsid w:val="00894185"/>
    <w:rsid w:val="008941FE"/>
    <w:rsid w:val="0089428F"/>
    <w:rsid w:val="008942F4"/>
    <w:rsid w:val="00894774"/>
    <w:rsid w:val="00894B12"/>
    <w:rsid w:val="00894B3F"/>
    <w:rsid w:val="00894C90"/>
    <w:rsid w:val="00894FE6"/>
    <w:rsid w:val="00895012"/>
    <w:rsid w:val="008952AD"/>
    <w:rsid w:val="00895317"/>
    <w:rsid w:val="0089542F"/>
    <w:rsid w:val="008954A9"/>
    <w:rsid w:val="00895696"/>
    <w:rsid w:val="008958E5"/>
    <w:rsid w:val="00895AC0"/>
    <w:rsid w:val="00895B38"/>
    <w:rsid w:val="00895D62"/>
    <w:rsid w:val="00895E17"/>
    <w:rsid w:val="0089611F"/>
    <w:rsid w:val="008961ED"/>
    <w:rsid w:val="008965E6"/>
    <w:rsid w:val="00896727"/>
    <w:rsid w:val="0089688D"/>
    <w:rsid w:val="008969E6"/>
    <w:rsid w:val="00896C9C"/>
    <w:rsid w:val="008970F2"/>
    <w:rsid w:val="00897181"/>
    <w:rsid w:val="00897270"/>
    <w:rsid w:val="008972F6"/>
    <w:rsid w:val="00897320"/>
    <w:rsid w:val="00897449"/>
    <w:rsid w:val="00897657"/>
    <w:rsid w:val="00897800"/>
    <w:rsid w:val="008979A7"/>
    <w:rsid w:val="00897AC0"/>
    <w:rsid w:val="00897BBE"/>
    <w:rsid w:val="00897DAC"/>
    <w:rsid w:val="00897E33"/>
    <w:rsid w:val="00897EED"/>
    <w:rsid w:val="008A02D4"/>
    <w:rsid w:val="008A0857"/>
    <w:rsid w:val="008A09BA"/>
    <w:rsid w:val="008A09DB"/>
    <w:rsid w:val="008A0B53"/>
    <w:rsid w:val="008A0BAD"/>
    <w:rsid w:val="008A0D8C"/>
    <w:rsid w:val="008A0DB1"/>
    <w:rsid w:val="008A11E5"/>
    <w:rsid w:val="008A1221"/>
    <w:rsid w:val="008A1227"/>
    <w:rsid w:val="008A13F0"/>
    <w:rsid w:val="008A156D"/>
    <w:rsid w:val="008A170C"/>
    <w:rsid w:val="008A1C50"/>
    <w:rsid w:val="008A1CA3"/>
    <w:rsid w:val="008A20DB"/>
    <w:rsid w:val="008A2275"/>
    <w:rsid w:val="008A249E"/>
    <w:rsid w:val="008A2656"/>
    <w:rsid w:val="008A286F"/>
    <w:rsid w:val="008A29B7"/>
    <w:rsid w:val="008A2A9F"/>
    <w:rsid w:val="008A2B24"/>
    <w:rsid w:val="008A2CA6"/>
    <w:rsid w:val="008A2CCA"/>
    <w:rsid w:val="008A2D2D"/>
    <w:rsid w:val="008A2EF5"/>
    <w:rsid w:val="008A3054"/>
    <w:rsid w:val="008A3165"/>
    <w:rsid w:val="008A32D3"/>
    <w:rsid w:val="008A33AB"/>
    <w:rsid w:val="008A349F"/>
    <w:rsid w:val="008A3A78"/>
    <w:rsid w:val="008A3A8A"/>
    <w:rsid w:val="008A3BB6"/>
    <w:rsid w:val="008A3D26"/>
    <w:rsid w:val="008A3E5C"/>
    <w:rsid w:val="008A3F71"/>
    <w:rsid w:val="008A3FC7"/>
    <w:rsid w:val="008A422F"/>
    <w:rsid w:val="008A423D"/>
    <w:rsid w:val="008A42A6"/>
    <w:rsid w:val="008A4401"/>
    <w:rsid w:val="008A446B"/>
    <w:rsid w:val="008A4BE3"/>
    <w:rsid w:val="008A4C3B"/>
    <w:rsid w:val="008A4CFA"/>
    <w:rsid w:val="008A4D27"/>
    <w:rsid w:val="008A4DB6"/>
    <w:rsid w:val="008A4E74"/>
    <w:rsid w:val="008A52B3"/>
    <w:rsid w:val="008A5338"/>
    <w:rsid w:val="008A53E2"/>
    <w:rsid w:val="008A548C"/>
    <w:rsid w:val="008A554C"/>
    <w:rsid w:val="008A56B3"/>
    <w:rsid w:val="008A59E4"/>
    <w:rsid w:val="008A5A43"/>
    <w:rsid w:val="008A5B54"/>
    <w:rsid w:val="008A5C02"/>
    <w:rsid w:val="008A5D2F"/>
    <w:rsid w:val="008A604B"/>
    <w:rsid w:val="008A6067"/>
    <w:rsid w:val="008A60EA"/>
    <w:rsid w:val="008A617A"/>
    <w:rsid w:val="008A6690"/>
    <w:rsid w:val="008A67D8"/>
    <w:rsid w:val="008A680F"/>
    <w:rsid w:val="008A6B91"/>
    <w:rsid w:val="008A7070"/>
    <w:rsid w:val="008A7149"/>
    <w:rsid w:val="008A71D5"/>
    <w:rsid w:val="008A72FE"/>
    <w:rsid w:val="008A751E"/>
    <w:rsid w:val="008A7991"/>
    <w:rsid w:val="008A7A07"/>
    <w:rsid w:val="008A7B16"/>
    <w:rsid w:val="008A7B2D"/>
    <w:rsid w:val="008A7C09"/>
    <w:rsid w:val="008B01CB"/>
    <w:rsid w:val="008B04B7"/>
    <w:rsid w:val="008B056D"/>
    <w:rsid w:val="008B06A4"/>
    <w:rsid w:val="008B09E7"/>
    <w:rsid w:val="008B0A23"/>
    <w:rsid w:val="008B0A3B"/>
    <w:rsid w:val="008B0A67"/>
    <w:rsid w:val="008B0CB3"/>
    <w:rsid w:val="008B0FC0"/>
    <w:rsid w:val="008B1194"/>
    <w:rsid w:val="008B11FD"/>
    <w:rsid w:val="008B1385"/>
    <w:rsid w:val="008B1391"/>
    <w:rsid w:val="008B1657"/>
    <w:rsid w:val="008B1776"/>
    <w:rsid w:val="008B1A58"/>
    <w:rsid w:val="008B1C1B"/>
    <w:rsid w:val="008B1C45"/>
    <w:rsid w:val="008B1D49"/>
    <w:rsid w:val="008B1DA2"/>
    <w:rsid w:val="008B22B1"/>
    <w:rsid w:val="008B22E4"/>
    <w:rsid w:val="008B23DC"/>
    <w:rsid w:val="008B25CA"/>
    <w:rsid w:val="008B2662"/>
    <w:rsid w:val="008B285B"/>
    <w:rsid w:val="008B28A1"/>
    <w:rsid w:val="008B2A52"/>
    <w:rsid w:val="008B2A72"/>
    <w:rsid w:val="008B2B22"/>
    <w:rsid w:val="008B2B2E"/>
    <w:rsid w:val="008B2CD0"/>
    <w:rsid w:val="008B2E0D"/>
    <w:rsid w:val="008B32FF"/>
    <w:rsid w:val="008B3379"/>
    <w:rsid w:val="008B3384"/>
    <w:rsid w:val="008B3520"/>
    <w:rsid w:val="008B352F"/>
    <w:rsid w:val="008B375E"/>
    <w:rsid w:val="008B37C1"/>
    <w:rsid w:val="008B38BB"/>
    <w:rsid w:val="008B38EF"/>
    <w:rsid w:val="008B3996"/>
    <w:rsid w:val="008B3A60"/>
    <w:rsid w:val="008B3A76"/>
    <w:rsid w:val="008B42D4"/>
    <w:rsid w:val="008B4585"/>
    <w:rsid w:val="008B4678"/>
    <w:rsid w:val="008B4859"/>
    <w:rsid w:val="008B49A6"/>
    <w:rsid w:val="008B49B5"/>
    <w:rsid w:val="008B49D6"/>
    <w:rsid w:val="008B4EAD"/>
    <w:rsid w:val="008B5055"/>
    <w:rsid w:val="008B522C"/>
    <w:rsid w:val="008B564F"/>
    <w:rsid w:val="008B5C15"/>
    <w:rsid w:val="008B5EFE"/>
    <w:rsid w:val="008B5FA0"/>
    <w:rsid w:val="008B60C3"/>
    <w:rsid w:val="008B6227"/>
    <w:rsid w:val="008B6577"/>
    <w:rsid w:val="008B65C7"/>
    <w:rsid w:val="008B6701"/>
    <w:rsid w:val="008B6A0F"/>
    <w:rsid w:val="008B6A8A"/>
    <w:rsid w:val="008B6A9A"/>
    <w:rsid w:val="008B6BD3"/>
    <w:rsid w:val="008B6C4B"/>
    <w:rsid w:val="008B6D3B"/>
    <w:rsid w:val="008B6E2C"/>
    <w:rsid w:val="008B6F7D"/>
    <w:rsid w:val="008B6FE0"/>
    <w:rsid w:val="008B7165"/>
    <w:rsid w:val="008B732B"/>
    <w:rsid w:val="008B7382"/>
    <w:rsid w:val="008B74D3"/>
    <w:rsid w:val="008B75C2"/>
    <w:rsid w:val="008B7607"/>
    <w:rsid w:val="008B7783"/>
    <w:rsid w:val="008B77BE"/>
    <w:rsid w:val="008B77E5"/>
    <w:rsid w:val="008B79D4"/>
    <w:rsid w:val="008B7B56"/>
    <w:rsid w:val="008B7C63"/>
    <w:rsid w:val="008B7FE6"/>
    <w:rsid w:val="008C0082"/>
    <w:rsid w:val="008C026A"/>
    <w:rsid w:val="008C02CC"/>
    <w:rsid w:val="008C02D6"/>
    <w:rsid w:val="008C034E"/>
    <w:rsid w:val="008C0355"/>
    <w:rsid w:val="008C0646"/>
    <w:rsid w:val="008C065C"/>
    <w:rsid w:val="008C076B"/>
    <w:rsid w:val="008C0817"/>
    <w:rsid w:val="008C0856"/>
    <w:rsid w:val="008C08EB"/>
    <w:rsid w:val="008C0A83"/>
    <w:rsid w:val="008C0AAB"/>
    <w:rsid w:val="008C0C25"/>
    <w:rsid w:val="008C0CB8"/>
    <w:rsid w:val="008C0D4A"/>
    <w:rsid w:val="008C0FA3"/>
    <w:rsid w:val="008C10CE"/>
    <w:rsid w:val="008C10E4"/>
    <w:rsid w:val="008C1266"/>
    <w:rsid w:val="008C147B"/>
    <w:rsid w:val="008C15E1"/>
    <w:rsid w:val="008C16A1"/>
    <w:rsid w:val="008C16DC"/>
    <w:rsid w:val="008C17E2"/>
    <w:rsid w:val="008C1926"/>
    <w:rsid w:val="008C1AAE"/>
    <w:rsid w:val="008C1AEF"/>
    <w:rsid w:val="008C1FFB"/>
    <w:rsid w:val="008C24A6"/>
    <w:rsid w:val="008C2521"/>
    <w:rsid w:val="008C2645"/>
    <w:rsid w:val="008C2965"/>
    <w:rsid w:val="008C2A32"/>
    <w:rsid w:val="008C307F"/>
    <w:rsid w:val="008C309B"/>
    <w:rsid w:val="008C30F7"/>
    <w:rsid w:val="008C3156"/>
    <w:rsid w:val="008C324F"/>
    <w:rsid w:val="008C3555"/>
    <w:rsid w:val="008C3642"/>
    <w:rsid w:val="008C3AC8"/>
    <w:rsid w:val="008C3B11"/>
    <w:rsid w:val="008C3B8F"/>
    <w:rsid w:val="008C3BFF"/>
    <w:rsid w:val="008C3C38"/>
    <w:rsid w:val="008C3C4D"/>
    <w:rsid w:val="008C3D38"/>
    <w:rsid w:val="008C3E62"/>
    <w:rsid w:val="008C3E94"/>
    <w:rsid w:val="008C3F60"/>
    <w:rsid w:val="008C4280"/>
    <w:rsid w:val="008C42D6"/>
    <w:rsid w:val="008C4301"/>
    <w:rsid w:val="008C43E7"/>
    <w:rsid w:val="008C4896"/>
    <w:rsid w:val="008C4A06"/>
    <w:rsid w:val="008C4A2F"/>
    <w:rsid w:val="008C4B44"/>
    <w:rsid w:val="008C4CCE"/>
    <w:rsid w:val="008C513B"/>
    <w:rsid w:val="008C51D3"/>
    <w:rsid w:val="008C54EB"/>
    <w:rsid w:val="008C5575"/>
    <w:rsid w:val="008C5636"/>
    <w:rsid w:val="008C57EC"/>
    <w:rsid w:val="008C5883"/>
    <w:rsid w:val="008C5A9A"/>
    <w:rsid w:val="008C5D65"/>
    <w:rsid w:val="008C63D9"/>
    <w:rsid w:val="008C64AB"/>
    <w:rsid w:val="008C64C4"/>
    <w:rsid w:val="008C64DD"/>
    <w:rsid w:val="008C6532"/>
    <w:rsid w:val="008C65A8"/>
    <w:rsid w:val="008C682B"/>
    <w:rsid w:val="008C6C68"/>
    <w:rsid w:val="008C700C"/>
    <w:rsid w:val="008C707E"/>
    <w:rsid w:val="008C7378"/>
    <w:rsid w:val="008C75C1"/>
    <w:rsid w:val="008C7694"/>
    <w:rsid w:val="008C76FE"/>
    <w:rsid w:val="008C777F"/>
    <w:rsid w:val="008C7808"/>
    <w:rsid w:val="008C7BD9"/>
    <w:rsid w:val="008C7C22"/>
    <w:rsid w:val="008C7DDE"/>
    <w:rsid w:val="008D018A"/>
    <w:rsid w:val="008D079F"/>
    <w:rsid w:val="008D085D"/>
    <w:rsid w:val="008D0A47"/>
    <w:rsid w:val="008D0DBC"/>
    <w:rsid w:val="008D0F3A"/>
    <w:rsid w:val="008D10A1"/>
    <w:rsid w:val="008D10E0"/>
    <w:rsid w:val="008D10E5"/>
    <w:rsid w:val="008D1160"/>
    <w:rsid w:val="008D1219"/>
    <w:rsid w:val="008D1265"/>
    <w:rsid w:val="008D1427"/>
    <w:rsid w:val="008D147E"/>
    <w:rsid w:val="008D147F"/>
    <w:rsid w:val="008D174F"/>
    <w:rsid w:val="008D1A46"/>
    <w:rsid w:val="008D1A69"/>
    <w:rsid w:val="008D1AF2"/>
    <w:rsid w:val="008D1DDB"/>
    <w:rsid w:val="008D20A7"/>
    <w:rsid w:val="008D21FD"/>
    <w:rsid w:val="008D27C5"/>
    <w:rsid w:val="008D29B9"/>
    <w:rsid w:val="008D2BB5"/>
    <w:rsid w:val="008D2CF0"/>
    <w:rsid w:val="008D2ECB"/>
    <w:rsid w:val="008D3175"/>
    <w:rsid w:val="008D386B"/>
    <w:rsid w:val="008D38FB"/>
    <w:rsid w:val="008D39F9"/>
    <w:rsid w:val="008D3A4C"/>
    <w:rsid w:val="008D3D42"/>
    <w:rsid w:val="008D41E9"/>
    <w:rsid w:val="008D455C"/>
    <w:rsid w:val="008D45B8"/>
    <w:rsid w:val="008D45CB"/>
    <w:rsid w:val="008D45CF"/>
    <w:rsid w:val="008D4668"/>
    <w:rsid w:val="008D481F"/>
    <w:rsid w:val="008D496D"/>
    <w:rsid w:val="008D4A64"/>
    <w:rsid w:val="008D4B8D"/>
    <w:rsid w:val="008D4B92"/>
    <w:rsid w:val="008D4C20"/>
    <w:rsid w:val="008D4CA0"/>
    <w:rsid w:val="008D4EB3"/>
    <w:rsid w:val="008D4F01"/>
    <w:rsid w:val="008D4FA5"/>
    <w:rsid w:val="008D5611"/>
    <w:rsid w:val="008D585E"/>
    <w:rsid w:val="008D59A4"/>
    <w:rsid w:val="008D59C5"/>
    <w:rsid w:val="008D5BF5"/>
    <w:rsid w:val="008D623D"/>
    <w:rsid w:val="008D64CC"/>
    <w:rsid w:val="008D6723"/>
    <w:rsid w:val="008D6758"/>
    <w:rsid w:val="008D69F0"/>
    <w:rsid w:val="008D6A1D"/>
    <w:rsid w:val="008D6CA4"/>
    <w:rsid w:val="008D6CFC"/>
    <w:rsid w:val="008D6EBB"/>
    <w:rsid w:val="008D7035"/>
    <w:rsid w:val="008D73BC"/>
    <w:rsid w:val="008D7641"/>
    <w:rsid w:val="008D7917"/>
    <w:rsid w:val="008D7AE7"/>
    <w:rsid w:val="008D7B2F"/>
    <w:rsid w:val="008D7BF0"/>
    <w:rsid w:val="008D7CBE"/>
    <w:rsid w:val="008D7D09"/>
    <w:rsid w:val="008D7DFF"/>
    <w:rsid w:val="008E0248"/>
    <w:rsid w:val="008E05D3"/>
    <w:rsid w:val="008E06DE"/>
    <w:rsid w:val="008E0752"/>
    <w:rsid w:val="008E0886"/>
    <w:rsid w:val="008E0925"/>
    <w:rsid w:val="008E0B5F"/>
    <w:rsid w:val="008E0BE2"/>
    <w:rsid w:val="008E0D6F"/>
    <w:rsid w:val="008E0E71"/>
    <w:rsid w:val="008E1116"/>
    <w:rsid w:val="008E169F"/>
    <w:rsid w:val="008E16DC"/>
    <w:rsid w:val="008E1758"/>
    <w:rsid w:val="008E17C8"/>
    <w:rsid w:val="008E1875"/>
    <w:rsid w:val="008E19C5"/>
    <w:rsid w:val="008E1FED"/>
    <w:rsid w:val="008E2126"/>
    <w:rsid w:val="008E21A9"/>
    <w:rsid w:val="008E2243"/>
    <w:rsid w:val="008E2505"/>
    <w:rsid w:val="008E25A9"/>
    <w:rsid w:val="008E2666"/>
    <w:rsid w:val="008E2821"/>
    <w:rsid w:val="008E2845"/>
    <w:rsid w:val="008E295E"/>
    <w:rsid w:val="008E2AC3"/>
    <w:rsid w:val="008E2BFF"/>
    <w:rsid w:val="008E2F1F"/>
    <w:rsid w:val="008E2F35"/>
    <w:rsid w:val="008E32E9"/>
    <w:rsid w:val="008E39AA"/>
    <w:rsid w:val="008E3B66"/>
    <w:rsid w:val="008E3C59"/>
    <w:rsid w:val="008E3FEF"/>
    <w:rsid w:val="008E4351"/>
    <w:rsid w:val="008E442B"/>
    <w:rsid w:val="008E4A34"/>
    <w:rsid w:val="008E4D16"/>
    <w:rsid w:val="008E4D27"/>
    <w:rsid w:val="008E4EB3"/>
    <w:rsid w:val="008E501B"/>
    <w:rsid w:val="008E506E"/>
    <w:rsid w:val="008E5163"/>
    <w:rsid w:val="008E51DD"/>
    <w:rsid w:val="008E529D"/>
    <w:rsid w:val="008E555B"/>
    <w:rsid w:val="008E5587"/>
    <w:rsid w:val="008E5978"/>
    <w:rsid w:val="008E5CC3"/>
    <w:rsid w:val="008E5D92"/>
    <w:rsid w:val="008E5EB3"/>
    <w:rsid w:val="008E5F53"/>
    <w:rsid w:val="008E621F"/>
    <w:rsid w:val="008E691D"/>
    <w:rsid w:val="008E6AD7"/>
    <w:rsid w:val="008E6C01"/>
    <w:rsid w:val="008E6D89"/>
    <w:rsid w:val="008E707A"/>
    <w:rsid w:val="008E7131"/>
    <w:rsid w:val="008E739B"/>
    <w:rsid w:val="008E74FF"/>
    <w:rsid w:val="008E7944"/>
    <w:rsid w:val="008E7BEF"/>
    <w:rsid w:val="008E7DE1"/>
    <w:rsid w:val="008E7E19"/>
    <w:rsid w:val="008E7E7C"/>
    <w:rsid w:val="008E7EC7"/>
    <w:rsid w:val="008E7EF6"/>
    <w:rsid w:val="008E7F44"/>
    <w:rsid w:val="008E7FAD"/>
    <w:rsid w:val="008F02A8"/>
    <w:rsid w:val="008F02B9"/>
    <w:rsid w:val="008F0326"/>
    <w:rsid w:val="008F05D3"/>
    <w:rsid w:val="008F0691"/>
    <w:rsid w:val="008F0841"/>
    <w:rsid w:val="008F08B2"/>
    <w:rsid w:val="008F092A"/>
    <w:rsid w:val="008F0B27"/>
    <w:rsid w:val="008F1155"/>
    <w:rsid w:val="008F1158"/>
    <w:rsid w:val="008F1338"/>
    <w:rsid w:val="008F1355"/>
    <w:rsid w:val="008F13F7"/>
    <w:rsid w:val="008F1632"/>
    <w:rsid w:val="008F164E"/>
    <w:rsid w:val="008F181C"/>
    <w:rsid w:val="008F188B"/>
    <w:rsid w:val="008F19B2"/>
    <w:rsid w:val="008F1A66"/>
    <w:rsid w:val="008F1D72"/>
    <w:rsid w:val="008F1DB1"/>
    <w:rsid w:val="008F1ED3"/>
    <w:rsid w:val="008F2044"/>
    <w:rsid w:val="008F2108"/>
    <w:rsid w:val="008F2225"/>
    <w:rsid w:val="008F22D4"/>
    <w:rsid w:val="008F22FD"/>
    <w:rsid w:val="008F24CE"/>
    <w:rsid w:val="008F27DD"/>
    <w:rsid w:val="008F2886"/>
    <w:rsid w:val="008F28C0"/>
    <w:rsid w:val="008F29A6"/>
    <w:rsid w:val="008F2B82"/>
    <w:rsid w:val="008F32FD"/>
    <w:rsid w:val="008F36F6"/>
    <w:rsid w:val="008F3863"/>
    <w:rsid w:val="008F388A"/>
    <w:rsid w:val="008F3B4E"/>
    <w:rsid w:val="008F3D8C"/>
    <w:rsid w:val="008F3E5E"/>
    <w:rsid w:val="008F405F"/>
    <w:rsid w:val="008F4299"/>
    <w:rsid w:val="008F4388"/>
    <w:rsid w:val="008F43AD"/>
    <w:rsid w:val="008F4453"/>
    <w:rsid w:val="008F45A8"/>
    <w:rsid w:val="008F469A"/>
    <w:rsid w:val="008F47CC"/>
    <w:rsid w:val="008F490E"/>
    <w:rsid w:val="008F4B9A"/>
    <w:rsid w:val="008F4D04"/>
    <w:rsid w:val="008F4D60"/>
    <w:rsid w:val="008F4D70"/>
    <w:rsid w:val="008F5093"/>
    <w:rsid w:val="008F5108"/>
    <w:rsid w:val="008F534A"/>
    <w:rsid w:val="008F53AE"/>
    <w:rsid w:val="008F56AF"/>
    <w:rsid w:val="008F5967"/>
    <w:rsid w:val="008F5A78"/>
    <w:rsid w:val="008F5F8E"/>
    <w:rsid w:val="008F6051"/>
    <w:rsid w:val="008F6077"/>
    <w:rsid w:val="008F60C9"/>
    <w:rsid w:val="008F60F6"/>
    <w:rsid w:val="008F61C2"/>
    <w:rsid w:val="008F6313"/>
    <w:rsid w:val="008F649C"/>
    <w:rsid w:val="008F659C"/>
    <w:rsid w:val="008F6A57"/>
    <w:rsid w:val="008F6DFC"/>
    <w:rsid w:val="008F6EE0"/>
    <w:rsid w:val="008F6FCD"/>
    <w:rsid w:val="008F709C"/>
    <w:rsid w:val="008F7356"/>
    <w:rsid w:val="008F7457"/>
    <w:rsid w:val="008F74F4"/>
    <w:rsid w:val="008F7734"/>
    <w:rsid w:val="008F778D"/>
    <w:rsid w:val="008F792C"/>
    <w:rsid w:val="008F79E1"/>
    <w:rsid w:val="008F7A2E"/>
    <w:rsid w:val="008F7C40"/>
    <w:rsid w:val="008F7C81"/>
    <w:rsid w:val="008F7D95"/>
    <w:rsid w:val="008F7E3E"/>
    <w:rsid w:val="008F7F57"/>
    <w:rsid w:val="0090000C"/>
    <w:rsid w:val="00900205"/>
    <w:rsid w:val="009004D0"/>
    <w:rsid w:val="009006AF"/>
    <w:rsid w:val="009007DA"/>
    <w:rsid w:val="00900897"/>
    <w:rsid w:val="009008F1"/>
    <w:rsid w:val="00900946"/>
    <w:rsid w:val="00900C2F"/>
    <w:rsid w:val="00900C48"/>
    <w:rsid w:val="00900CC4"/>
    <w:rsid w:val="00900F41"/>
    <w:rsid w:val="00900F4A"/>
    <w:rsid w:val="00900FCE"/>
    <w:rsid w:val="00901150"/>
    <w:rsid w:val="00901160"/>
    <w:rsid w:val="00901211"/>
    <w:rsid w:val="0090126D"/>
    <w:rsid w:val="009012A9"/>
    <w:rsid w:val="009018E1"/>
    <w:rsid w:val="00901939"/>
    <w:rsid w:val="00901A5F"/>
    <w:rsid w:val="00901B78"/>
    <w:rsid w:val="00901BF3"/>
    <w:rsid w:val="00901BFE"/>
    <w:rsid w:val="00901DA6"/>
    <w:rsid w:val="00901DF3"/>
    <w:rsid w:val="009020C1"/>
    <w:rsid w:val="00902134"/>
    <w:rsid w:val="0090226B"/>
    <w:rsid w:val="00902424"/>
    <w:rsid w:val="00902512"/>
    <w:rsid w:val="00902527"/>
    <w:rsid w:val="00902735"/>
    <w:rsid w:val="0090279B"/>
    <w:rsid w:val="00902814"/>
    <w:rsid w:val="00902915"/>
    <w:rsid w:val="00902950"/>
    <w:rsid w:val="00902B50"/>
    <w:rsid w:val="00902F3B"/>
    <w:rsid w:val="00902F5F"/>
    <w:rsid w:val="0090330F"/>
    <w:rsid w:val="00903485"/>
    <w:rsid w:val="00903814"/>
    <w:rsid w:val="009039D7"/>
    <w:rsid w:val="00903D97"/>
    <w:rsid w:val="00903E09"/>
    <w:rsid w:val="00903E0C"/>
    <w:rsid w:val="0090418E"/>
    <w:rsid w:val="00904324"/>
    <w:rsid w:val="009043E3"/>
    <w:rsid w:val="009043E9"/>
    <w:rsid w:val="0090450A"/>
    <w:rsid w:val="00904833"/>
    <w:rsid w:val="009048A0"/>
    <w:rsid w:val="00904952"/>
    <w:rsid w:val="00904C07"/>
    <w:rsid w:val="009051B3"/>
    <w:rsid w:val="009052BE"/>
    <w:rsid w:val="009054DF"/>
    <w:rsid w:val="009055C1"/>
    <w:rsid w:val="00905788"/>
    <w:rsid w:val="00905840"/>
    <w:rsid w:val="00905A89"/>
    <w:rsid w:val="00905B25"/>
    <w:rsid w:val="00905BB2"/>
    <w:rsid w:val="00905CC1"/>
    <w:rsid w:val="00905F68"/>
    <w:rsid w:val="009066FE"/>
    <w:rsid w:val="00906764"/>
    <w:rsid w:val="009069C0"/>
    <w:rsid w:val="00906AFD"/>
    <w:rsid w:val="00906B3A"/>
    <w:rsid w:val="00906B97"/>
    <w:rsid w:val="00906C04"/>
    <w:rsid w:val="00906D6E"/>
    <w:rsid w:val="0090702F"/>
    <w:rsid w:val="00907031"/>
    <w:rsid w:val="0090718C"/>
    <w:rsid w:val="00907385"/>
    <w:rsid w:val="009076D8"/>
    <w:rsid w:val="00907780"/>
    <w:rsid w:val="009077BF"/>
    <w:rsid w:val="00907976"/>
    <w:rsid w:val="009079B0"/>
    <w:rsid w:val="00907A71"/>
    <w:rsid w:val="00907C70"/>
    <w:rsid w:val="00907D02"/>
    <w:rsid w:val="00907ECC"/>
    <w:rsid w:val="00907F55"/>
    <w:rsid w:val="00907F80"/>
    <w:rsid w:val="0091008F"/>
    <w:rsid w:val="00910397"/>
    <w:rsid w:val="00910585"/>
    <w:rsid w:val="00910669"/>
    <w:rsid w:val="0091066E"/>
    <w:rsid w:val="009108E1"/>
    <w:rsid w:val="00910A99"/>
    <w:rsid w:val="00910AFA"/>
    <w:rsid w:val="00910C48"/>
    <w:rsid w:val="00910C77"/>
    <w:rsid w:val="00910FB3"/>
    <w:rsid w:val="009110D8"/>
    <w:rsid w:val="0091121B"/>
    <w:rsid w:val="00911235"/>
    <w:rsid w:val="0091129F"/>
    <w:rsid w:val="009114F3"/>
    <w:rsid w:val="0091159A"/>
    <w:rsid w:val="00911748"/>
    <w:rsid w:val="009119CA"/>
    <w:rsid w:val="00911A54"/>
    <w:rsid w:val="00911A5E"/>
    <w:rsid w:val="00911CF5"/>
    <w:rsid w:val="00911EDF"/>
    <w:rsid w:val="00911F07"/>
    <w:rsid w:val="009124B5"/>
    <w:rsid w:val="009124C7"/>
    <w:rsid w:val="00912717"/>
    <w:rsid w:val="009128CA"/>
    <w:rsid w:val="009128DE"/>
    <w:rsid w:val="00912959"/>
    <w:rsid w:val="00912982"/>
    <w:rsid w:val="00912ADB"/>
    <w:rsid w:val="00912B1E"/>
    <w:rsid w:val="00912BF1"/>
    <w:rsid w:val="00912DF6"/>
    <w:rsid w:val="00912E81"/>
    <w:rsid w:val="00912F3B"/>
    <w:rsid w:val="0091300E"/>
    <w:rsid w:val="0091311F"/>
    <w:rsid w:val="009131B3"/>
    <w:rsid w:val="009131FE"/>
    <w:rsid w:val="009132C4"/>
    <w:rsid w:val="00913321"/>
    <w:rsid w:val="009133C4"/>
    <w:rsid w:val="00913538"/>
    <w:rsid w:val="00913617"/>
    <w:rsid w:val="00913718"/>
    <w:rsid w:val="00913851"/>
    <w:rsid w:val="00913879"/>
    <w:rsid w:val="00913902"/>
    <w:rsid w:val="0091390D"/>
    <w:rsid w:val="00913966"/>
    <w:rsid w:val="00913C99"/>
    <w:rsid w:val="00913D46"/>
    <w:rsid w:val="00913DAA"/>
    <w:rsid w:val="00913EBB"/>
    <w:rsid w:val="00913ED0"/>
    <w:rsid w:val="00914042"/>
    <w:rsid w:val="00914047"/>
    <w:rsid w:val="009141D4"/>
    <w:rsid w:val="0091473D"/>
    <w:rsid w:val="00914744"/>
    <w:rsid w:val="0091474D"/>
    <w:rsid w:val="009147B2"/>
    <w:rsid w:val="009148A5"/>
    <w:rsid w:val="00914965"/>
    <w:rsid w:val="009149A0"/>
    <w:rsid w:val="00914EDF"/>
    <w:rsid w:val="00914FEA"/>
    <w:rsid w:val="0091509F"/>
    <w:rsid w:val="0091525C"/>
    <w:rsid w:val="009152CB"/>
    <w:rsid w:val="009154BA"/>
    <w:rsid w:val="00915614"/>
    <w:rsid w:val="0091568B"/>
    <w:rsid w:val="00915A7C"/>
    <w:rsid w:val="00915B25"/>
    <w:rsid w:val="00915FD0"/>
    <w:rsid w:val="00915FDB"/>
    <w:rsid w:val="00916390"/>
    <w:rsid w:val="00916482"/>
    <w:rsid w:val="009164F7"/>
    <w:rsid w:val="0091655F"/>
    <w:rsid w:val="009165C0"/>
    <w:rsid w:val="009165DE"/>
    <w:rsid w:val="009166B4"/>
    <w:rsid w:val="00916AE9"/>
    <w:rsid w:val="00916BD0"/>
    <w:rsid w:val="00916D68"/>
    <w:rsid w:val="00916F6A"/>
    <w:rsid w:val="009170E2"/>
    <w:rsid w:val="0091734D"/>
    <w:rsid w:val="00917565"/>
    <w:rsid w:val="009178FC"/>
    <w:rsid w:val="009179AD"/>
    <w:rsid w:val="00917BDE"/>
    <w:rsid w:val="00917FED"/>
    <w:rsid w:val="00920031"/>
    <w:rsid w:val="009200BC"/>
    <w:rsid w:val="00920114"/>
    <w:rsid w:val="0092021B"/>
    <w:rsid w:val="009203A2"/>
    <w:rsid w:val="0092041D"/>
    <w:rsid w:val="00920437"/>
    <w:rsid w:val="009204C6"/>
    <w:rsid w:val="00920804"/>
    <w:rsid w:val="0092086E"/>
    <w:rsid w:val="0092091D"/>
    <w:rsid w:val="00920C5C"/>
    <w:rsid w:val="00920C6A"/>
    <w:rsid w:val="00920CDD"/>
    <w:rsid w:val="0092104B"/>
    <w:rsid w:val="00921252"/>
    <w:rsid w:val="0092136F"/>
    <w:rsid w:val="00921384"/>
    <w:rsid w:val="00921744"/>
    <w:rsid w:val="00921861"/>
    <w:rsid w:val="00921887"/>
    <w:rsid w:val="009218ED"/>
    <w:rsid w:val="00921AB8"/>
    <w:rsid w:val="00921B0D"/>
    <w:rsid w:val="00921D3A"/>
    <w:rsid w:val="00921EE1"/>
    <w:rsid w:val="00921FA7"/>
    <w:rsid w:val="00921FE3"/>
    <w:rsid w:val="00922325"/>
    <w:rsid w:val="009223AB"/>
    <w:rsid w:val="0092248C"/>
    <w:rsid w:val="00922530"/>
    <w:rsid w:val="0092261B"/>
    <w:rsid w:val="009227EE"/>
    <w:rsid w:val="009228CA"/>
    <w:rsid w:val="009228E1"/>
    <w:rsid w:val="00922968"/>
    <w:rsid w:val="00922A02"/>
    <w:rsid w:val="00922B2A"/>
    <w:rsid w:val="00922CE3"/>
    <w:rsid w:val="00922E7F"/>
    <w:rsid w:val="00922F0F"/>
    <w:rsid w:val="00922FC3"/>
    <w:rsid w:val="00923198"/>
    <w:rsid w:val="00923245"/>
    <w:rsid w:val="00923274"/>
    <w:rsid w:val="00923325"/>
    <w:rsid w:val="00923773"/>
    <w:rsid w:val="0092384D"/>
    <w:rsid w:val="00923A28"/>
    <w:rsid w:val="00923A43"/>
    <w:rsid w:val="00924040"/>
    <w:rsid w:val="0092417E"/>
    <w:rsid w:val="009242F4"/>
    <w:rsid w:val="009242FA"/>
    <w:rsid w:val="00924522"/>
    <w:rsid w:val="009247A6"/>
    <w:rsid w:val="00924844"/>
    <w:rsid w:val="00924898"/>
    <w:rsid w:val="00924A5E"/>
    <w:rsid w:val="00924C0F"/>
    <w:rsid w:val="00924D21"/>
    <w:rsid w:val="00924E36"/>
    <w:rsid w:val="00924EC3"/>
    <w:rsid w:val="00925251"/>
    <w:rsid w:val="009253F2"/>
    <w:rsid w:val="00925520"/>
    <w:rsid w:val="0092561F"/>
    <w:rsid w:val="00925650"/>
    <w:rsid w:val="00925B35"/>
    <w:rsid w:val="00925D76"/>
    <w:rsid w:val="009262E5"/>
    <w:rsid w:val="0092636C"/>
    <w:rsid w:val="00926374"/>
    <w:rsid w:val="00926667"/>
    <w:rsid w:val="00926720"/>
    <w:rsid w:val="009267B4"/>
    <w:rsid w:val="0092686F"/>
    <w:rsid w:val="009269B2"/>
    <w:rsid w:val="00926CA8"/>
    <w:rsid w:val="00926E5C"/>
    <w:rsid w:val="00926ED7"/>
    <w:rsid w:val="009272CB"/>
    <w:rsid w:val="00927560"/>
    <w:rsid w:val="0092772B"/>
    <w:rsid w:val="0092789F"/>
    <w:rsid w:val="00927ACF"/>
    <w:rsid w:val="00927B55"/>
    <w:rsid w:val="00927C92"/>
    <w:rsid w:val="00927DFC"/>
    <w:rsid w:val="00927F3D"/>
    <w:rsid w:val="00930099"/>
    <w:rsid w:val="009300DE"/>
    <w:rsid w:val="00930149"/>
    <w:rsid w:val="0093017D"/>
    <w:rsid w:val="009302D3"/>
    <w:rsid w:val="009304C7"/>
    <w:rsid w:val="009304CF"/>
    <w:rsid w:val="009305AA"/>
    <w:rsid w:val="00930723"/>
    <w:rsid w:val="00930934"/>
    <w:rsid w:val="00930978"/>
    <w:rsid w:val="00930A71"/>
    <w:rsid w:val="00930B6B"/>
    <w:rsid w:val="00930D74"/>
    <w:rsid w:val="00930F9E"/>
    <w:rsid w:val="0093114C"/>
    <w:rsid w:val="00931154"/>
    <w:rsid w:val="00931312"/>
    <w:rsid w:val="009314A9"/>
    <w:rsid w:val="00931784"/>
    <w:rsid w:val="009318BF"/>
    <w:rsid w:val="00931929"/>
    <w:rsid w:val="00931B22"/>
    <w:rsid w:val="00931BB3"/>
    <w:rsid w:val="00931D66"/>
    <w:rsid w:val="00931D96"/>
    <w:rsid w:val="00932064"/>
    <w:rsid w:val="0093206F"/>
    <w:rsid w:val="0093244E"/>
    <w:rsid w:val="00932478"/>
    <w:rsid w:val="00932595"/>
    <w:rsid w:val="00932659"/>
    <w:rsid w:val="009328DE"/>
    <w:rsid w:val="009328F0"/>
    <w:rsid w:val="00932C48"/>
    <w:rsid w:val="00932DF6"/>
    <w:rsid w:val="00932E93"/>
    <w:rsid w:val="00932E98"/>
    <w:rsid w:val="00932EA0"/>
    <w:rsid w:val="00932EE3"/>
    <w:rsid w:val="00933158"/>
    <w:rsid w:val="0093316C"/>
    <w:rsid w:val="00933492"/>
    <w:rsid w:val="009334F2"/>
    <w:rsid w:val="009335FE"/>
    <w:rsid w:val="0093368A"/>
    <w:rsid w:val="009336A3"/>
    <w:rsid w:val="009337D3"/>
    <w:rsid w:val="00933855"/>
    <w:rsid w:val="00933A16"/>
    <w:rsid w:val="00933C0C"/>
    <w:rsid w:val="00933D69"/>
    <w:rsid w:val="0093427A"/>
    <w:rsid w:val="0093437D"/>
    <w:rsid w:val="00934383"/>
    <w:rsid w:val="009346B9"/>
    <w:rsid w:val="0093470A"/>
    <w:rsid w:val="009347BF"/>
    <w:rsid w:val="009348FB"/>
    <w:rsid w:val="00934A65"/>
    <w:rsid w:val="00934A8B"/>
    <w:rsid w:val="00934CE7"/>
    <w:rsid w:val="00935332"/>
    <w:rsid w:val="0093538F"/>
    <w:rsid w:val="009353FF"/>
    <w:rsid w:val="00935649"/>
    <w:rsid w:val="00935845"/>
    <w:rsid w:val="0093594C"/>
    <w:rsid w:val="00935A57"/>
    <w:rsid w:val="00935ABE"/>
    <w:rsid w:val="00935D3A"/>
    <w:rsid w:val="00935E4E"/>
    <w:rsid w:val="00935F55"/>
    <w:rsid w:val="00936367"/>
    <w:rsid w:val="00936553"/>
    <w:rsid w:val="00936644"/>
    <w:rsid w:val="00936660"/>
    <w:rsid w:val="0093666F"/>
    <w:rsid w:val="009367BF"/>
    <w:rsid w:val="009367F7"/>
    <w:rsid w:val="00936940"/>
    <w:rsid w:val="00936AA5"/>
    <w:rsid w:val="00936B68"/>
    <w:rsid w:val="00936BCD"/>
    <w:rsid w:val="00936D04"/>
    <w:rsid w:val="00936D53"/>
    <w:rsid w:val="00937149"/>
    <w:rsid w:val="0093724B"/>
    <w:rsid w:val="00937288"/>
    <w:rsid w:val="009376BC"/>
    <w:rsid w:val="00937802"/>
    <w:rsid w:val="0093788B"/>
    <w:rsid w:val="00937976"/>
    <w:rsid w:val="00937A36"/>
    <w:rsid w:val="00937B1E"/>
    <w:rsid w:val="00937BF6"/>
    <w:rsid w:val="00937D60"/>
    <w:rsid w:val="00937DB6"/>
    <w:rsid w:val="00937EC0"/>
    <w:rsid w:val="00937F2D"/>
    <w:rsid w:val="00940088"/>
    <w:rsid w:val="0094014A"/>
    <w:rsid w:val="00940173"/>
    <w:rsid w:val="0094028C"/>
    <w:rsid w:val="009402C8"/>
    <w:rsid w:val="0094041A"/>
    <w:rsid w:val="00940586"/>
    <w:rsid w:val="0094059A"/>
    <w:rsid w:val="009409B5"/>
    <w:rsid w:val="00940ACE"/>
    <w:rsid w:val="00940BAB"/>
    <w:rsid w:val="00940E33"/>
    <w:rsid w:val="00940F25"/>
    <w:rsid w:val="00940F84"/>
    <w:rsid w:val="00940F94"/>
    <w:rsid w:val="00941067"/>
    <w:rsid w:val="009410C3"/>
    <w:rsid w:val="009411E3"/>
    <w:rsid w:val="009415EC"/>
    <w:rsid w:val="00941640"/>
    <w:rsid w:val="009416DC"/>
    <w:rsid w:val="009416EC"/>
    <w:rsid w:val="009417D3"/>
    <w:rsid w:val="0094181F"/>
    <w:rsid w:val="00941883"/>
    <w:rsid w:val="0094194B"/>
    <w:rsid w:val="00941BBF"/>
    <w:rsid w:val="00941C96"/>
    <w:rsid w:val="00941CD7"/>
    <w:rsid w:val="00941CEC"/>
    <w:rsid w:val="00941E76"/>
    <w:rsid w:val="00941EBF"/>
    <w:rsid w:val="00941EC0"/>
    <w:rsid w:val="00941FEA"/>
    <w:rsid w:val="00942075"/>
    <w:rsid w:val="0094220E"/>
    <w:rsid w:val="0094228D"/>
    <w:rsid w:val="00942396"/>
    <w:rsid w:val="0094267D"/>
    <w:rsid w:val="009427AD"/>
    <w:rsid w:val="00942BDC"/>
    <w:rsid w:val="00942C8F"/>
    <w:rsid w:val="00942E48"/>
    <w:rsid w:val="00942FCF"/>
    <w:rsid w:val="00943088"/>
    <w:rsid w:val="009430C8"/>
    <w:rsid w:val="00943280"/>
    <w:rsid w:val="0094339B"/>
    <w:rsid w:val="009433FD"/>
    <w:rsid w:val="00943467"/>
    <w:rsid w:val="00943553"/>
    <w:rsid w:val="0094387C"/>
    <w:rsid w:val="00943917"/>
    <w:rsid w:val="009439D7"/>
    <w:rsid w:val="00943AD5"/>
    <w:rsid w:val="00943AF7"/>
    <w:rsid w:val="00943C14"/>
    <w:rsid w:val="00943C91"/>
    <w:rsid w:val="00943C9D"/>
    <w:rsid w:val="00943CE6"/>
    <w:rsid w:val="00943D39"/>
    <w:rsid w:val="00944450"/>
    <w:rsid w:val="00944636"/>
    <w:rsid w:val="009446D3"/>
    <w:rsid w:val="0094485B"/>
    <w:rsid w:val="00944973"/>
    <w:rsid w:val="00944A37"/>
    <w:rsid w:val="00944AEC"/>
    <w:rsid w:val="00944D68"/>
    <w:rsid w:val="00944E49"/>
    <w:rsid w:val="0094513A"/>
    <w:rsid w:val="00945165"/>
    <w:rsid w:val="0094531E"/>
    <w:rsid w:val="0094544D"/>
    <w:rsid w:val="009455E1"/>
    <w:rsid w:val="0094585B"/>
    <w:rsid w:val="00945B1E"/>
    <w:rsid w:val="00945DE2"/>
    <w:rsid w:val="00945E29"/>
    <w:rsid w:val="00945FBA"/>
    <w:rsid w:val="00946051"/>
    <w:rsid w:val="00946186"/>
    <w:rsid w:val="00946209"/>
    <w:rsid w:val="00946212"/>
    <w:rsid w:val="00946370"/>
    <w:rsid w:val="0094641E"/>
    <w:rsid w:val="009465BC"/>
    <w:rsid w:val="009465F1"/>
    <w:rsid w:val="0094674D"/>
    <w:rsid w:val="00946D64"/>
    <w:rsid w:val="00947126"/>
    <w:rsid w:val="00947168"/>
    <w:rsid w:val="009476D9"/>
    <w:rsid w:val="009477E5"/>
    <w:rsid w:val="009478D9"/>
    <w:rsid w:val="00947948"/>
    <w:rsid w:val="00947953"/>
    <w:rsid w:val="00947971"/>
    <w:rsid w:val="00947989"/>
    <w:rsid w:val="009479C3"/>
    <w:rsid w:val="00947D3D"/>
    <w:rsid w:val="00947D74"/>
    <w:rsid w:val="00947E17"/>
    <w:rsid w:val="00947E90"/>
    <w:rsid w:val="0095042E"/>
    <w:rsid w:val="00950484"/>
    <w:rsid w:val="0095056D"/>
    <w:rsid w:val="00950730"/>
    <w:rsid w:val="009508B5"/>
    <w:rsid w:val="0095093A"/>
    <w:rsid w:val="0095093B"/>
    <w:rsid w:val="00950AE6"/>
    <w:rsid w:val="00950B7D"/>
    <w:rsid w:val="00950B9B"/>
    <w:rsid w:val="00950BAA"/>
    <w:rsid w:val="00950E8F"/>
    <w:rsid w:val="00950F1C"/>
    <w:rsid w:val="00950F9E"/>
    <w:rsid w:val="00950FEF"/>
    <w:rsid w:val="009510C4"/>
    <w:rsid w:val="00951256"/>
    <w:rsid w:val="0095154E"/>
    <w:rsid w:val="00951746"/>
    <w:rsid w:val="0095180A"/>
    <w:rsid w:val="00951CDF"/>
    <w:rsid w:val="00951ECF"/>
    <w:rsid w:val="00952056"/>
    <w:rsid w:val="00952296"/>
    <w:rsid w:val="009523CC"/>
    <w:rsid w:val="0095240E"/>
    <w:rsid w:val="00952551"/>
    <w:rsid w:val="00952584"/>
    <w:rsid w:val="0095261C"/>
    <w:rsid w:val="009526C3"/>
    <w:rsid w:val="009529E9"/>
    <w:rsid w:val="00952EFE"/>
    <w:rsid w:val="009532D1"/>
    <w:rsid w:val="009532F0"/>
    <w:rsid w:val="0095355D"/>
    <w:rsid w:val="009537B5"/>
    <w:rsid w:val="00953960"/>
    <w:rsid w:val="0095398E"/>
    <w:rsid w:val="00953A20"/>
    <w:rsid w:val="009541F4"/>
    <w:rsid w:val="00954387"/>
    <w:rsid w:val="0095443A"/>
    <w:rsid w:val="00954774"/>
    <w:rsid w:val="009547B0"/>
    <w:rsid w:val="00954A25"/>
    <w:rsid w:val="00954C6E"/>
    <w:rsid w:val="00954F1B"/>
    <w:rsid w:val="0095517D"/>
    <w:rsid w:val="009551AB"/>
    <w:rsid w:val="00955415"/>
    <w:rsid w:val="00955552"/>
    <w:rsid w:val="009555E2"/>
    <w:rsid w:val="0095561D"/>
    <w:rsid w:val="0095572B"/>
    <w:rsid w:val="0095595D"/>
    <w:rsid w:val="00955A45"/>
    <w:rsid w:val="00955A9F"/>
    <w:rsid w:val="00955B31"/>
    <w:rsid w:val="00955D5E"/>
    <w:rsid w:val="00955DEE"/>
    <w:rsid w:val="00955E4D"/>
    <w:rsid w:val="00955EB9"/>
    <w:rsid w:val="00956031"/>
    <w:rsid w:val="009560BD"/>
    <w:rsid w:val="009563B7"/>
    <w:rsid w:val="00956560"/>
    <w:rsid w:val="00956A00"/>
    <w:rsid w:val="00956B39"/>
    <w:rsid w:val="00956B60"/>
    <w:rsid w:val="00956C1E"/>
    <w:rsid w:val="00956C75"/>
    <w:rsid w:val="00956D3C"/>
    <w:rsid w:val="00956E20"/>
    <w:rsid w:val="00957059"/>
    <w:rsid w:val="009574A6"/>
    <w:rsid w:val="009574C8"/>
    <w:rsid w:val="0095784C"/>
    <w:rsid w:val="00957CBE"/>
    <w:rsid w:val="00960014"/>
    <w:rsid w:val="0096005E"/>
    <w:rsid w:val="0096008A"/>
    <w:rsid w:val="009601C6"/>
    <w:rsid w:val="009605B0"/>
    <w:rsid w:val="009606A5"/>
    <w:rsid w:val="009606FA"/>
    <w:rsid w:val="00960813"/>
    <w:rsid w:val="00960831"/>
    <w:rsid w:val="00960A0E"/>
    <w:rsid w:val="00960A38"/>
    <w:rsid w:val="00960A9C"/>
    <w:rsid w:val="00960C51"/>
    <w:rsid w:val="00960C60"/>
    <w:rsid w:val="00960C89"/>
    <w:rsid w:val="00960CE4"/>
    <w:rsid w:val="00960E75"/>
    <w:rsid w:val="00960F2B"/>
    <w:rsid w:val="00960F3A"/>
    <w:rsid w:val="00961102"/>
    <w:rsid w:val="0096110E"/>
    <w:rsid w:val="00961238"/>
    <w:rsid w:val="009612F2"/>
    <w:rsid w:val="009614D6"/>
    <w:rsid w:val="00961546"/>
    <w:rsid w:val="009615E1"/>
    <w:rsid w:val="009615E4"/>
    <w:rsid w:val="00961869"/>
    <w:rsid w:val="00961D3F"/>
    <w:rsid w:val="009622AF"/>
    <w:rsid w:val="00962371"/>
    <w:rsid w:val="00962388"/>
    <w:rsid w:val="009623A4"/>
    <w:rsid w:val="00962513"/>
    <w:rsid w:val="009629E3"/>
    <w:rsid w:val="00962BDC"/>
    <w:rsid w:val="00962D2E"/>
    <w:rsid w:val="00962DA5"/>
    <w:rsid w:val="00962E09"/>
    <w:rsid w:val="00962E74"/>
    <w:rsid w:val="0096315E"/>
    <w:rsid w:val="00963292"/>
    <w:rsid w:val="009634F3"/>
    <w:rsid w:val="009636BE"/>
    <w:rsid w:val="009639E5"/>
    <w:rsid w:val="00963A74"/>
    <w:rsid w:val="00963B69"/>
    <w:rsid w:val="00963C0A"/>
    <w:rsid w:val="00963EA9"/>
    <w:rsid w:val="00963F2F"/>
    <w:rsid w:val="009640D2"/>
    <w:rsid w:val="00964350"/>
    <w:rsid w:val="009643EE"/>
    <w:rsid w:val="0096447A"/>
    <w:rsid w:val="009645A1"/>
    <w:rsid w:val="00964741"/>
    <w:rsid w:val="00964984"/>
    <w:rsid w:val="009649A0"/>
    <w:rsid w:val="00964BBF"/>
    <w:rsid w:val="00965111"/>
    <w:rsid w:val="009652E5"/>
    <w:rsid w:val="00965371"/>
    <w:rsid w:val="00965382"/>
    <w:rsid w:val="009653A2"/>
    <w:rsid w:val="0096548E"/>
    <w:rsid w:val="0096557B"/>
    <w:rsid w:val="009658C6"/>
    <w:rsid w:val="0096598B"/>
    <w:rsid w:val="00965A5D"/>
    <w:rsid w:val="00965C67"/>
    <w:rsid w:val="00965F87"/>
    <w:rsid w:val="00966022"/>
    <w:rsid w:val="009660DC"/>
    <w:rsid w:val="00966103"/>
    <w:rsid w:val="00966126"/>
    <w:rsid w:val="0096644C"/>
    <w:rsid w:val="009665B7"/>
    <w:rsid w:val="00966634"/>
    <w:rsid w:val="00966F48"/>
    <w:rsid w:val="00967050"/>
    <w:rsid w:val="009674A5"/>
    <w:rsid w:val="00967579"/>
    <w:rsid w:val="00967673"/>
    <w:rsid w:val="00967726"/>
    <w:rsid w:val="00967DA0"/>
    <w:rsid w:val="00967EFD"/>
    <w:rsid w:val="0097001D"/>
    <w:rsid w:val="00970073"/>
    <w:rsid w:val="009702A6"/>
    <w:rsid w:val="009702DB"/>
    <w:rsid w:val="00970510"/>
    <w:rsid w:val="00970649"/>
    <w:rsid w:val="0097092C"/>
    <w:rsid w:val="00970A0A"/>
    <w:rsid w:val="00970A21"/>
    <w:rsid w:val="00970A88"/>
    <w:rsid w:val="00970C40"/>
    <w:rsid w:val="00970DB6"/>
    <w:rsid w:val="00970DCA"/>
    <w:rsid w:val="00970F08"/>
    <w:rsid w:val="0097101A"/>
    <w:rsid w:val="0097122A"/>
    <w:rsid w:val="00971394"/>
    <w:rsid w:val="0097176C"/>
    <w:rsid w:val="00971A2F"/>
    <w:rsid w:val="00971BE4"/>
    <w:rsid w:val="00971C6B"/>
    <w:rsid w:val="00972410"/>
    <w:rsid w:val="0097244F"/>
    <w:rsid w:val="00972452"/>
    <w:rsid w:val="0097260E"/>
    <w:rsid w:val="00972693"/>
    <w:rsid w:val="00972808"/>
    <w:rsid w:val="00972CAB"/>
    <w:rsid w:val="00972DD6"/>
    <w:rsid w:val="00972E0D"/>
    <w:rsid w:val="009731B2"/>
    <w:rsid w:val="009732F2"/>
    <w:rsid w:val="009735A1"/>
    <w:rsid w:val="00973890"/>
    <w:rsid w:val="0097398D"/>
    <w:rsid w:val="00973AB3"/>
    <w:rsid w:val="00973BCF"/>
    <w:rsid w:val="00973ED7"/>
    <w:rsid w:val="0097425E"/>
    <w:rsid w:val="0097446F"/>
    <w:rsid w:val="009744AE"/>
    <w:rsid w:val="0097451C"/>
    <w:rsid w:val="0097468C"/>
    <w:rsid w:val="00974705"/>
    <w:rsid w:val="00974C3D"/>
    <w:rsid w:val="00974D1A"/>
    <w:rsid w:val="00974E0B"/>
    <w:rsid w:val="00974FD9"/>
    <w:rsid w:val="00975297"/>
    <w:rsid w:val="00975884"/>
    <w:rsid w:val="00975A70"/>
    <w:rsid w:val="00975B8D"/>
    <w:rsid w:val="00975DAC"/>
    <w:rsid w:val="00975F08"/>
    <w:rsid w:val="00975F5E"/>
    <w:rsid w:val="009763DC"/>
    <w:rsid w:val="009766F3"/>
    <w:rsid w:val="0097676F"/>
    <w:rsid w:val="00976B14"/>
    <w:rsid w:val="00976B30"/>
    <w:rsid w:val="00976C0B"/>
    <w:rsid w:val="00976D70"/>
    <w:rsid w:val="0097704D"/>
    <w:rsid w:val="00977113"/>
    <w:rsid w:val="00977153"/>
    <w:rsid w:val="0097726E"/>
    <w:rsid w:val="00977310"/>
    <w:rsid w:val="0097741D"/>
    <w:rsid w:val="0097751E"/>
    <w:rsid w:val="009775AC"/>
    <w:rsid w:val="00977685"/>
    <w:rsid w:val="009777D1"/>
    <w:rsid w:val="009777DC"/>
    <w:rsid w:val="00977A15"/>
    <w:rsid w:val="00977B25"/>
    <w:rsid w:val="00977C64"/>
    <w:rsid w:val="00977D09"/>
    <w:rsid w:val="00977E85"/>
    <w:rsid w:val="00977F54"/>
    <w:rsid w:val="009800CE"/>
    <w:rsid w:val="00980174"/>
    <w:rsid w:val="00980241"/>
    <w:rsid w:val="0098040A"/>
    <w:rsid w:val="009805FC"/>
    <w:rsid w:val="009806B2"/>
    <w:rsid w:val="0098075F"/>
    <w:rsid w:val="009809DB"/>
    <w:rsid w:val="00980A79"/>
    <w:rsid w:val="00980B14"/>
    <w:rsid w:val="00980B46"/>
    <w:rsid w:val="00980BC5"/>
    <w:rsid w:val="00980D94"/>
    <w:rsid w:val="00980D98"/>
    <w:rsid w:val="00980DDA"/>
    <w:rsid w:val="00981050"/>
    <w:rsid w:val="0098113B"/>
    <w:rsid w:val="00981182"/>
    <w:rsid w:val="00981289"/>
    <w:rsid w:val="009814F0"/>
    <w:rsid w:val="00981B67"/>
    <w:rsid w:val="00981B92"/>
    <w:rsid w:val="00981C19"/>
    <w:rsid w:val="00981D6F"/>
    <w:rsid w:val="00981FBE"/>
    <w:rsid w:val="00981FF8"/>
    <w:rsid w:val="00982229"/>
    <w:rsid w:val="00982521"/>
    <w:rsid w:val="00982702"/>
    <w:rsid w:val="0098270C"/>
    <w:rsid w:val="00982910"/>
    <w:rsid w:val="0098296D"/>
    <w:rsid w:val="009829F1"/>
    <w:rsid w:val="00982B0C"/>
    <w:rsid w:val="00982B77"/>
    <w:rsid w:val="00982CE9"/>
    <w:rsid w:val="00982D31"/>
    <w:rsid w:val="00982DC2"/>
    <w:rsid w:val="00982E11"/>
    <w:rsid w:val="00982E1C"/>
    <w:rsid w:val="0098305E"/>
    <w:rsid w:val="009831A2"/>
    <w:rsid w:val="0098321A"/>
    <w:rsid w:val="0098344A"/>
    <w:rsid w:val="00983609"/>
    <w:rsid w:val="00983841"/>
    <w:rsid w:val="0098387E"/>
    <w:rsid w:val="009838FD"/>
    <w:rsid w:val="009839A6"/>
    <w:rsid w:val="00983B2C"/>
    <w:rsid w:val="00983B84"/>
    <w:rsid w:val="00983BB3"/>
    <w:rsid w:val="00983EDB"/>
    <w:rsid w:val="00983FA6"/>
    <w:rsid w:val="00983FB5"/>
    <w:rsid w:val="00984128"/>
    <w:rsid w:val="00984537"/>
    <w:rsid w:val="00984622"/>
    <w:rsid w:val="00984829"/>
    <w:rsid w:val="009848A6"/>
    <w:rsid w:val="00984948"/>
    <w:rsid w:val="00984F1E"/>
    <w:rsid w:val="00984F96"/>
    <w:rsid w:val="00985102"/>
    <w:rsid w:val="00985131"/>
    <w:rsid w:val="009851B3"/>
    <w:rsid w:val="009851F6"/>
    <w:rsid w:val="009851FE"/>
    <w:rsid w:val="009854CD"/>
    <w:rsid w:val="009854DB"/>
    <w:rsid w:val="009857DF"/>
    <w:rsid w:val="0098584A"/>
    <w:rsid w:val="00985926"/>
    <w:rsid w:val="00985ABD"/>
    <w:rsid w:val="00985C81"/>
    <w:rsid w:val="00985E97"/>
    <w:rsid w:val="00985F1C"/>
    <w:rsid w:val="00985F9B"/>
    <w:rsid w:val="00985FA9"/>
    <w:rsid w:val="009862A8"/>
    <w:rsid w:val="009864B5"/>
    <w:rsid w:val="00986593"/>
    <w:rsid w:val="009865C1"/>
    <w:rsid w:val="00986658"/>
    <w:rsid w:val="0098680E"/>
    <w:rsid w:val="00986813"/>
    <w:rsid w:val="0098698B"/>
    <w:rsid w:val="0098699D"/>
    <w:rsid w:val="00986A7B"/>
    <w:rsid w:val="00986D35"/>
    <w:rsid w:val="00986D7A"/>
    <w:rsid w:val="00986EEE"/>
    <w:rsid w:val="00987071"/>
    <w:rsid w:val="00987180"/>
    <w:rsid w:val="00987344"/>
    <w:rsid w:val="0098735C"/>
    <w:rsid w:val="00987529"/>
    <w:rsid w:val="009876AB"/>
    <w:rsid w:val="00987812"/>
    <w:rsid w:val="009879AB"/>
    <w:rsid w:val="00987B03"/>
    <w:rsid w:val="00987D80"/>
    <w:rsid w:val="00987E19"/>
    <w:rsid w:val="00987E21"/>
    <w:rsid w:val="00987F79"/>
    <w:rsid w:val="00987F9B"/>
    <w:rsid w:val="00987FE8"/>
    <w:rsid w:val="0099020E"/>
    <w:rsid w:val="009903BC"/>
    <w:rsid w:val="0099063E"/>
    <w:rsid w:val="0099063F"/>
    <w:rsid w:val="00990739"/>
    <w:rsid w:val="00990A9D"/>
    <w:rsid w:val="00990AFA"/>
    <w:rsid w:val="00990CFC"/>
    <w:rsid w:val="00990F72"/>
    <w:rsid w:val="00991100"/>
    <w:rsid w:val="009919E3"/>
    <w:rsid w:val="00991A30"/>
    <w:rsid w:val="00991C03"/>
    <w:rsid w:val="00991C2C"/>
    <w:rsid w:val="00991E50"/>
    <w:rsid w:val="00991F5F"/>
    <w:rsid w:val="009921F8"/>
    <w:rsid w:val="0099236D"/>
    <w:rsid w:val="009923F2"/>
    <w:rsid w:val="009924D7"/>
    <w:rsid w:val="00992503"/>
    <w:rsid w:val="009925EC"/>
    <w:rsid w:val="00992687"/>
    <w:rsid w:val="009927CE"/>
    <w:rsid w:val="00992D75"/>
    <w:rsid w:val="00992DEA"/>
    <w:rsid w:val="00992E7C"/>
    <w:rsid w:val="00992FF7"/>
    <w:rsid w:val="009931F9"/>
    <w:rsid w:val="0099369D"/>
    <w:rsid w:val="009937CB"/>
    <w:rsid w:val="009937F4"/>
    <w:rsid w:val="00993A94"/>
    <w:rsid w:val="00993B00"/>
    <w:rsid w:val="00993C7F"/>
    <w:rsid w:val="00993E5B"/>
    <w:rsid w:val="009941B6"/>
    <w:rsid w:val="00994241"/>
    <w:rsid w:val="00994361"/>
    <w:rsid w:val="009943DC"/>
    <w:rsid w:val="0099463F"/>
    <w:rsid w:val="0099467B"/>
    <w:rsid w:val="009946B9"/>
    <w:rsid w:val="0099478E"/>
    <w:rsid w:val="00994967"/>
    <w:rsid w:val="00994A0A"/>
    <w:rsid w:val="00994C55"/>
    <w:rsid w:val="009950B3"/>
    <w:rsid w:val="0099515C"/>
    <w:rsid w:val="009951D0"/>
    <w:rsid w:val="00995231"/>
    <w:rsid w:val="0099535E"/>
    <w:rsid w:val="00995371"/>
    <w:rsid w:val="009955AA"/>
    <w:rsid w:val="009955D5"/>
    <w:rsid w:val="00995661"/>
    <w:rsid w:val="00995BB1"/>
    <w:rsid w:val="00995DF7"/>
    <w:rsid w:val="00996083"/>
    <w:rsid w:val="00996103"/>
    <w:rsid w:val="00996205"/>
    <w:rsid w:val="00996283"/>
    <w:rsid w:val="00996441"/>
    <w:rsid w:val="00996456"/>
    <w:rsid w:val="00996512"/>
    <w:rsid w:val="009965A8"/>
    <w:rsid w:val="009966C7"/>
    <w:rsid w:val="0099677B"/>
    <w:rsid w:val="009969A5"/>
    <w:rsid w:val="009969CB"/>
    <w:rsid w:val="00996AEB"/>
    <w:rsid w:val="00996B11"/>
    <w:rsid w:val="00996F76"/>
    <w:rsid w:val="00997186"/>
    <w:rsid w:val="0099721F"/>
    <w:rsid w:val="00997381"/>
    <w:rsid w:val="009975B2"/>
    <w:rsid w:val="00997642"/>
    <w:rsid w:val="00997844"/>
    <w:rsid w:val="009978BA"/>
    <w:rsid w:val="009978DA"/>
    <w:rsid w:val="00997993"/>
    <w:rsid w:val="00997AF2"/>
    <w:rsid w:val="00997BF3"/>
    <w:rsid w:val="00997C17"/>
    <w:rsid w:val="00997CC5"/>
    <w:rsid w:val="00997D05"/>
    <w:rsid w:val="00997D93"/>
    <w:rsid w:val="00997D9F"/>
    <w:rsid w:val="00997ED1"/>
    <w:rsid w:val="009A0043"/>
    <w:rsid w:val="009A0563"/>
    <w:rsid w:val="009A0683"/>
    <w:rsid w:val="009A0844"/>
    <w:rsid w:val="009A094C"/>
    <w:rsid w:val="009A0A7C"/>
    <w:rsid w:val="009A0CA5"/>
    <w:rsid w:val="009A0F4E"/>
    <w:rsid w:val="009A0FD3"/>
    <w:rsid w:val="009A1011"/>
    <w:rsid w:val="009A101F"/>
    <w:rsid w:val="009A1048"/>
    <w:rsid w:val="009A10B1"/>
    <w:rsid w:val="009A13CE"/>
    <w:rsid w:val="009A13FB"/>
    <w:rsid w:val="009A15FD"/>
    <w:rsid w:val="009A18BE"/>
    <w:rsid w:val="009A1916"/>
    <w:rsid w:val="009A1A29"/>
    <w:rsid w:val="009A1A6A"/>
    <w:rsid w:val="009A1A85"/>
    <w:rsid w:val="009A1BEF"/>
    <w:rsid w:val="009A1D11"/>
    <w:rsid w:val="009A1EA1"/>
    <w:rsid w:val="009A1F5B"/>
    <w:rsid w:val="009A2067"/>
    <w:rsid w:val="009A20CD"/>
    <w:rsid w:val="009A2270"/>
    <w:rsid w:val="009A22F0"/>
    <w:rsid w:val="009A2302"/>
    <w:rsid w:val="009A2552"/>
    <w:rsid w:val="009A2688"/>
    <w:rsid w:val="009A2734"/>
    <w:rsid w:val="009A2AB1"/>
    <w:rsid w:val="009A2D69"/>
    <w:rsid w:val="009A2F2A"/>
    <w:rsid w:val="009A2FE9"/>
    <w:rsid w:val="009A305F"/>
    <w:rsid w:val="009A32D2"/>
    <w:rsid w:val="009A33E2"/>
    <w:rsid w:val="009A348E"/>
    <w:rsid w:val="009A3788"/>
    <w:rsid w:val="009A38AD"/>
    <w:rsid w:val="009A3926"/>
    <w:rsid w:val="009A39F2"/>
    <w:rsid w:val="009A3B0A"/>
    <w:rsid w:val="009A3E31"/>
    <w:rsid w:val="009A41AD"/>
    <w:rsid w:val="009A4359"/>
    <w:rsid w:val="009A4379"/>
    <w:rsid w:val="009A49E9"/>
    <w:rsid w:val="009A4ACA"/>
    <w:rsid w:val="009A4B6C"/>
    <w:rsid w:val="009A4C32"/>
    <w:rsid w:val="009A4CB5"/>
    <w:rsid w:val="009A4E85"/>
    <w:rsid w:val="009A50D6"/>
    <w:rsid w:val="009A5174"/>
    <w:rsid w:val="009A51AA"/>
    <w:rsid w:val="009A541A"/>
    <w:rsid w:val="009A548C"/>
    <w:rsid w:val="009A571E"/>
    <w:rsid w:val="009A577D"/>
    <w:rsid w:val="009A5868"/>
    <w:rsid w:val="009A587B"/>
    <w:rsid w:val="009A590D"/>
    <w:rsid w:val="009A5970"/>
    <w:rsid w:val="009A5ADD"/>
    <w:rsid w:val="009A5D2F"/>
    <w:rsid w:val="009A5E7F"/>
    <w:rsid w:val="009A5F04"/>
    <w:rsid w:val="009A619C"/>
    <w:rsid w:val="009A6201"/>
    <w:rsid w:val="009A6296"/>
    <w:rsid w:val="009A62A3"/>
    <w:rsid w:val="009A63C1"/>
    <w:rsid w:val="009A6571"/>
    <w:rsid w:val="009A6AD6"/>
    <w:rsid w:val="009A6B77"/>
    <w:rsid w:val="009A6BAE"/>
    <w:rsid w:val="009A6BEE"/>
    <w:rsid w:val="009A6CED"/>
    <w:rsid w:val="009A6DF0"/>
    <w:rsid w:val="009A6E8C"/>
    <w:rsid w:val="009A70C2"/>
    <w:rsid w:val="009A74B6"/>
    <w:rsid w:val="009A757B"/>
    <w:rsid w:val="009A75C2"/>
    <w:rsid w:val="009A760D"/>
    <w:rsid w:val="009A7618"/>
    <w:rsid w:val="009A76B4"/>
    <w:rsid w:val="009A7C42"/>
    <w:rsid w:val="009B0054"/>
    <w:rsid w:val="009B0364"/>
    <w:rsid w:val="009B05CD"/>
    <w:rsid w:val="009B06A8"/>
    <w:rsid w:val="009B0874"/>
    <w:rsid w:val="009B0926"/>
    <w:rsid w:val="009B09C0"/>
    <w:rsid w:val="009B09DE"/>
    <w:rsid w:val="009B0A2C"/>
    <w:rsid w:val="009B0BE1"/>
    <w:rsid w:val="009B0FA2"/>
    <w:rsid w:val="009B108C"/>
    <w:rsid w:val="009B1551"/>
    <w:rsid w:val="009B1C3C"/>
    <w:rsid w:val="009B1CD0"/>
    <w:rsid w:val="009B1E4C"/>
    <w:rsid w:val="009B1ECC"/>
    <w:rsid w:val="009B2238"/>
    <w:rsid w:val="009B223E"/>
    <w:rsid w:val="009B245F"/>
    <w:rsid w:val="009B24B5"/>
    <w:rsid w:val="009B2603"/>
    <w:rsid w:val="009B2637"/>
    <w:rsid w:val="009B2744"/>
    <w:rsid w:val="009B2746"/>
    <w:rsid w:val="009B29B1"/>
    <w:rsid w:val="009B2B3E"/>
    <w:rsid w:val="009B2C30"/>
    <w:rsid w:val="009B2D5C"/>
    <w:rsid w:val="009B30B9"/>
    <w:rsid w:val="009B33CB"/>
    <w:rsid w:val="009B33D8"/>
    <w:rsid w:val="009B34F8"/>
    <w:rsid w:val="009B360D"/>
    <w:rsid w:val="009B37C9"/>
    <w:rsid w:val="009B3AAC"/>
    <w:rsid w:val="009B3D29"/>
    <w:rsid w:val="009B3E12"/>
    <w:rsid w:val="009B402E"/>
    <w:rsid w:val="009B4078"/>
    <w:rsid w:val="009B40C2"/>
    <w:rsid w:val="009B411F"/>
    <w:rsid w:val="009B4168"/>
    <w:rsid w:val="009B42D6"/>
    <w:rsid w:val="009B45AF"/>
    <w:rsid w:val="009B46BB"/>
    <w:rsid w:val="009B474B"/>
    <w:rsid w:val="009B486C"/>
    <w:rsid w:val="009B49AA"/>
    <w:rsid w:val="009B49AD"/>
    <w:rsid w:val="009B49E6"/>
    <w:rsid w:val="009B4A3F"/>
    <w:rsid w:val="009B4CB7"/>
    <w:rsid w:val="009B4CC6"/>
    <w:rsid w:val="009B4FC4"/>
    <w:rsid w:val="009B506A"/>
    <w:rsid w:val="009B5139"/>
    <w:rsid w:val="009B51CE"/>
    <w:rsid w:val="009B53C6"/>
    <w:rsid w:val="009B5465"/>
    <w:rsid w:val="009B55A4"/>
    <w:rsid w:val="009B55AF"/>
    <w:rsid w:val="009B5651"/>
    <w:rsid w:val="009B5961"/>
    <w:rsid w:val="009B59EE"/>
    <w:rsid w:val="009B5A48"/>
    <w:rsid w:val="009B5AA9"/>
    <w:rsid w:val="009B5E53"/>
    <w:rsid w:val="009B5F1A"/>
    <w:rsid w:val="009B5F3C"/>
    <w:rsid w:val="009B5F65"/>
    <w:rsid w:val="009B623B"/>
    <w:rsid w:val="009B650B"/>
    <w:rsid w:val="009B6810"/>
    <w:rsid w:val="009B6D2C"/>
    <w:rsid w:val="009B6DDC"/>
    <w:rsid w:val="009B6E6E"/>
    <w:rsid w:val="009B6F19"/>
    <w:rsid w:val="009B6F76"/>
    <w:rsid w:val="009B70E1"/>
    <w:rsid w:val="009B7251"/>
    <w:rsid w:val="009B72E1"/>
    <w:rsid w:val="009B72F0"/>
    <w:rsid w:val="009B7303"/>
    <w:rsid w:val="009B74D2"/>
    <w:rsid w:val="009B753D"/>
    <w:rsid w:val="009B763A"/>
    <w:rsid w:val="009B76CE"/>
    <w:rsid w:val="009B78ED"/>
    <w:rsid w:val="009B7DEF"/>
    <w:rsid w:val="009B7F2D"/>
    <w:rsid w:val="009C010E"/>
    <w:rsid w:val="009C01DC"/>
    <w:rsid w:val="009C042A"/>
    <w:rsid w:val="009C0465"/>
    <w:rsid w:val="009C0477"/>
    <w:rsid w:val="009C0735"/>
    <w:rsid w:val="009C0C3C"/>
    <w:rsid w:val="009C0CAA"/>
    <w:rsid w:val="009C0CE0"/>
    <w:rsid w:val="009C0DC6"/>
    <w:rsid w:val="009C131A"/>
    <w:rsid w:val="009C161F"/>
    <w:rsid w:val="009C165E"/>
    <w:rsid w:val="009C16F3"/>
    <w:rsid w:val="009C1753"/>
    <w:rsid w:val="009C17D2"/>
    <w:rsid w:val="009C196A"/>
    <w:rsid w:val="009C1BF9"/>
    <w:rsid w:val="009C1DC1"/>
    <w:rsid w:val="009C1E68"/>
    <w:rsid w:val="009C1FCD"/>
    <w:rsid w:val="009C20BE"/>
    <w:rsid w:val="009C2104"/>
    <w:rsid w:val="009C2322"/>
    <w:rsid w:val="009C2582"/>
    <w:rsid w:val="009C26B3"/>
    <w:rsid w:val="009C2743"/>
    <w:rsid w:val="009C275A"/>
    <w:rsid w:val="009C2E5B"/>
    <w:rsid w:val="009C2F60"/>
    <w:rsid w:val="009C2FFB"/>
    <w:rsid w:val="009C348B"/>
    <w:rsid w:val="009C3643"/>
    <w:rsid w:val="009C3695"/>
    <w:rsid w:val="009C38FE"/>
    <w:rsid w:val="009C3A24"/>
    <w:rsid w:val="009C3A46"/>
    <w:rsid w:val="009C3C5B"/>
    <w:rsid w:val="009C3DE2"/>
    <w:rsid w:val="009C3F1A"/>
    <w:rsid w:val="009C3F82"/>
    <w:rsid w:val="009C4153"/>
    <w:rsid w:val="009C4197"/>
    <w:rsid w:val="009C42EF"/>
    <w:rsid w:val="009C4742"/>
    <w:rsid w:val="009C4767"/>
    <w:rsid w:val="009C486E"/>
    <w:rsid w:val="009C491B"/>
    <w:rsid w:val="009C4A83"/>
    <w:rsid w:val="009C5634"/>
    <w:rsid w:val="009C5940"/>
    <w:rsid w:val="009C594A"/>
    <w:rsid w:val="009C5A92"/>
    <w:rsid w:val="009C5AFA"/>
    <w:rsid w:val="009C5B81"/>
    <w:rsid w:val="009C5C33"/>
    <w:rsid w:val="009C5C40"/>
    <w:rsid w:val="009C5CC6"/>
    <w:rsid w:val="009C5E1C"/>
    <w:rsid w:val="009C5E4E"/>
    <w:rsid w:val="009C5ECD"/>
    <w:rsid w:val="009C5F14"/>
    <w:rsid w:val="009C600D"/>
    <w:rsid w:val="009C6124"/>
    <w:rsid w:val="009C637B"/>
    <w:rsid w:val="009C6694"/>
    <w:rsid w:val="009C681F"/>
    <w:rsid w:val="009C6844"/>
    <w:rsid w:val="009C6A28"/>
    <w:rsid w:val="009C6A9F"/>
    <w:rsid w:val="009C6C9E"/>
    <w:rsid w:val="009C6D59"/>
    <w:rsid w:val="009C7290"/>
    <w:rsid w:val="009C72E1"/>
    <w:rsid w:val="009C72F7"/>
    <w:rsid w:val="009C750C"/>
    <w:rsid w:val="009C7558"/>
    <w:rsid w:val="009C7AAB"/>
    <w:rsid w:val="009C7B04"/>
    <w:rsid w:val="009C7BB6"/>
    <w:rsid w:val="009C7C64"/>
    <w:rsid w:val="009C7F44"/>
    <w:rsid w:val="009D0131"/>
    <w:rsid w:val="009D01D7"/>
    <w:rsid w:val="009D0476"/>
    <w:rsid w:val="009D0770"/>
    <w:rsid w:val="009D07E0"/>
    <w:rsid w:val="009D0860"/>
    <w:rsid w:val="009D0C64"/>
    <w:rsid w:val="009D0DFF"/>
    <w:rsid w:val="009D13D5"/>
    <w:rsid w:val="009D175B"/>
    <w:rsid w:val="009D1777"/>
    <w:rsid w:val="009D18E3"/>
    <w:rsid w:val="009D1AF1"/>
    <w:rsid w:val="009D1F11"/>
    <w:rsid w:val="009D2046"/>
    <w:rsid w:val="009D213F"/>
    <w:rsid w:val="009D2168"/>
    <w:rsid w:val="009D21D2"/>
    <w:rsid w:val="009D21E3"/>
    <w:rsid w:val="009D21F2"/>
    <w:rsid w:val="009D2295"/>
    <w:rsid w:val="009D254A"/>
    <w:rsid w:val="009D2BC8"/>
    <w:rsid w:val="009D2C25"/>
    <w:rsid w:val="009D2D57"/>
    <w:rsid w:val="009D2D6A"/>
    <w:rsid w:val="009D2E53"/>
    <w:rsid w:val="009D30C3"/>
    <w:rsid w:val="009D3151"/>
    <w:rsid w:val="009D321E"/>
    <w:rsid w:val="009D3276"/>
    <w:rsid w:val="009D33F4"/>
    <w:rsid w:val="009D35C5"/>
    <w:rsid w:val="009D3664"/>
    <w:rsid w:val="009D37B4"/>
    <w:rsid w:val="009D39FF"/>
    <w:rsid w:val="009D3A23"/>
    <w:rsid w:val="009D3CB8"/>
    <w:rsid w:val="009D3D08"/>
    <w:rsid w:val="009D422C"/>
    <w:rsid w:val="009D4550"/>
    <w:rsid w:val="009D4581"/>
    <w:rsid w:val="009D4774"/>
    <w:rsid w:val="009D4998"/>
    <w:rsid w:val="009D4AD5"/>
    <w:rsid w:val="009D4FD0"/>
    <w:rsid w:val="009D5121"/>
    <w:rsid w:val="009D53E8"/>
    <w:rsid w:val="009D5762"/>
    <w:rsid w:val="009D5AD0"/>
    <w:rsid w:val="009D5B15"/>
    <w:rsid w:val="009D5B49"/>
    <w:rsid w:val="009D5BAD"/>
    <w:rsid w:val="009D5BCB"/>
    <w:rsid w:val="009D5C9B"/>
    <w:rsid w:val="009D5FCC"/>
    <w:rsid w:val="009D5FE3"/>
    <w:rsid w:val="009D63DA"/>
    <w:rsid w:val="009D63E5"/>
    <w:rsid w:val="009D6586"/>
    <w:rsid w:val="009D6775"/>
    <w:rsid w:val="009D68E2"/>
    <w:rsid w:val="009D6945"/>
    <w:rsid w:val="009D6A5D"/>
    <w:rsid w:val="009D6AE5"/>
    <w:rsid w:val="009D6B59"/>
    <w:rsid w:val="009D72A3"/>
    <w:rsid w:val="009D770F"/>
    <w:rsid w:val="009D78E1"/>
    <w:rsid w:val="009D7A00"/>
    <w:rsid w:val="009D7F16"/>
    <w:rsid w:val="009D7F6C"/>
    <w:rsid w:val="009D7FB2"/>
    <w:rsid w:val="009E06CF"/>
    <w:rsid w:val="009E077E"/>
    <w:rsid w:val="009E0D46"/>
    <w:rsid w:val="009E0E01"/>
    <w:rsid w:val="009E1071"/>
    <w:rsid w:val="009E1087"/>
    <w:rsid w:val="009E1118"/>
    <w:rsid w:val="009E16D2"/>
    <w:rsid w:val="009E19E0"/>
    <w:rsid w:val="009E1A67"/>
    <w:rsid w:val="009E1AEC"/>
    <w:rsid w:val="009E1DDB"/>
    <w:rsid w:val="009E2253"/>
    <w:rsid w:val="009E26AC"/>
    <w:rsid w:val="009E2735"/>
    <w:rsid w:val="009E277A"/>
    <w:rsid w:val="009E2783"/>
    <w:rsid w:val="009E2822"/>
    <w:rsid w:val="009E2A77"/>
    <w:rsid w:val="009E2ADE"/>
    <w:rsid w:val="009E2B62"/>
    <w:rsid w:val="009E2C08"/>
    <w:rsid w:val="009E2C4E"/>
    <w:rsid w:val="009E2C86"/>
    <w:rsid w:val="009E2F3F"/>
    <w:rsid w:val="009E304C"/>
    <w:rsid w:val="009E3182"/>
    <w:rsid w:val="009E32FB"/>
    <w:rsid w:val="009E34E3"/>
    <w:rsid w:val="009E360E"/>
    <w:rsid w:val="009E36A9"/>
    <w:rsid w:val="009E36D2"/>
    <w:rsid w:val="009E3773"/>
    <w:rsid w:val="009E3ABC"/>
    <w:rsid w:val="009E3B6F"/>
    <w:rsid w:val="009E3D65"/>
    <w:rsid w:val="009E3ED9"/>
    <w:rsid w:val="009E3F49"/>
    <w:rsid w:val="009E40B1"/>
    <w:rsid w:val="009E4353"/>
    <w:rsid w:val="009E44DD"/>
    <w:rsid w:val="009E44F6"/>
    <w:rsid w:val="009E45A9"/>
    <w:rsid w:val="009E4628"/>
    <w:rsid w:val="009E47E1"/>
    <w:rsid w:val="009E48A6"/>
    <w:rsid w:val="009E49B4"/>
    <w:rsid w:val="009E4BED"/>
    <w:rsid w:val="009E4C2D"/>
    <w:rsid w:val="009E4D85"/>
    <w:rsid w:val="009E4D98"/>
    <w:rsid w:val="009E51F4"/>
    <w:rsid w:val="009E53CD"/>
    <w:rsid w:val="009E56DD"/>
    <w:rsid w:val="009E59CB"/>
    <w:rsid w:val="009E5A57"/>
    <w:rsid w:val="009E5BEF"/>
    <w:rsid w:val="009E5E13"/>
    <w:rsid w:val="009E5F29"/>
    <w:rsid w:val="009E63D8"/>
    <w:rsid w:val="009E66FB"/>
    <w:rsid w:val="009E6A43"/>
    <w:rsid w:val="009E6B65"/>
    <w:rsid w:val="009E6C51"/>
    <w:rsid w:val="009E6CED"/>
    <w:rsid w:val="009E6EB1"/>
    <w:rsid w:val="009E70D9"/>
    <w:rsid w:val="009E72AB"/>
    <w:rsid w:val="009E7639"/>
    <w:rsid w:val="009E768D"/>
    <w:rsid w:val="009E77ED"/>
    <w:rsid w:val="009E79BC"/>
    <w:rsid w:val="009E7AB9"/>
    <w:rsid w:val="009E7F97"/>
    <w:rsid w:val="009E7FBD"/>
    <w:rsid w:val="009F028C"/>
    <w:rsid w:val="009F0494"/>
    <w:rsid w:val="009F05EF"/>
    <w:rsid w:val="009F0763"/>
    <w:rsid w:val="009F0770"/>
    <w:rsid w:val="009F09C8"/>
    <w:rsid w:val="009F0BBE"/>
    <w:rsid w:val="009F0C0C"/>
    <w:rsid w:val="009F0E2E"/>
    <w:rsid w:val="009F0E87"/>
    <w:rsid w:val="009F0EFC"/>
    <w:rsid w:val="009F1131"/>
    <w:rsid w:val="009F114B"/>
    <w:rsid w:val="009F1219"/>
    <w:rsid w:val="009F13AE"/>
    <w:rsid w:val="009F1DC1"/>
    <w:rsid w:val="009F1E84"/>
    <w:rsid w:val="009F1F74"/>
    <w:rsid w:val="009F22E1"/>
    <w:rsid w:val="009F24AC"/>
    <w:rsid w:val="009F2534"/>
    <w:rsid w:val="009F2585"/>
    <w:rsid w:val="009F26AF"/>
    <w:rsid w:val="009F27F1"/>
    <w:rsid w:val="009F28A3"/>
    <w:rsid w:val="009F29D8"/>
    <w:rsid w:val="009F2A0B"/>
    <w:rsid w:val="009F2AA1"/>
    <w:rsid w:val="009F2CDC"/>
    <w:rsid w:val="009F2D64"/>
    <w:rsid w:val="009F2E0C"/>
    <w:rsid w:val="009F2FD9"/>
    <w:rsid w:val="009F3241"/>
    <w:rsid w:val="009F3302"/>
    <w:rsid w:val="009F3456"/>
    <w:rsid w:val="009F3486"/>
    <w:rsid w:val="009F34DD"/>
    <w:rsid w:val="009F3967"/>
    <w:rsid w:val="009F39C2"/>
    <w:rsid w:val="009F3B7B"/>
    <w:rsid w:val="009F3EFE"/>
    <w:rsid w:val="009F4232"/>
    <w:rsid w:val="009F46A8"/>
    <w:rsid w:val="009F4752"/>
    <w:rsid w:val="009F48FC"/>
    <w:rsid w:val="009F4ADB"/>
    <w:rsid w:val="009F4AEC"/>
    <w:rsid w:val="009F4B8F"/>
    <w:rsid w:val="009F4C63"/>
    <w:rsid w:val="009F4C73"/>
    <w:rsid w:val="009F4D58"/>
    <w:rsid w:val="009F4F5E"/>
    <w:rsid w:val="009F527F"/>
    <w:rsid w:val="009F5410"/>
    <w:rsid w:val="009F544A"/>
    <w:rsid w:val="009F5614"/>
    <w:rsid w:val="009F5829"/>
    <w:rsid w:val="009F58AA"/>
    <w:rsid w:val="009F5BE1"/>
    <w:rsid w:val="009F5BED"/>
    <w:rsid w:val="009F5F24"/>
    <w:rsid w:val="009F610D"/>
    <w:rsid w:val="009F614B"/>
    <w:rsid w:val="009F61B9"/>
    <w:rsid w:val="009F640F"/>
    <w:rsid w:val="009F6587"/>
    <w:rsid w:val="009F68BC"/>
    <w:rsid w:val="009F693F"/>
    <w:rsid w:val="009F7143"/>
    <w:rsid w:val="009F726B"/>
    <w:rsid w:val="009F72CE"/>
    <w:rsid w:val="009F7536"/>
    <w:rsid w:val="009F7575"/>
    <w:rsid w:val="009F7692"/>
    <w:rsid w:val="009F76E9"/>
    <w:rsid w:val="009F79DC"/>
    <w:rsid w:val="009F7A08"/>
    <w:rsid w:val="009F7C6E"/>
    <w:rsid w:val="009F7ED2"/>
    <w:rsid w:val="009F7F21"/>
    <w:rsid w:val="00A002A2"/>
    <w:rsid w:val="00A002AB"/>
    <w:rsid w:val="00A002B6"/>
    <w:rsid w:val="00A00384"/>
    <w:rsid w:val="00A00395"/>
    <w:rsid w:val="00A003F4"/>
    <w:rsid w:val="00A00427"/>
    <w:rsid w:val="00A00611"/>
    <w:rsid w:val="00A007D7"/>
    <w:rsid w:val="00A00DB7"/>
    <w:rsid w:val="00A00DEE"/>
    <w:rsid w:val="00A00E53"/>
    <w:rsid w:val="00A01423"/>
    <w:rsid w:val="00A01524"/>
    <w:rsid w:val="00A01619"/>
    <w:rsid w:val="00A01775"/>
    <w:rsid w:val="00A01827"/>
    <w:rsid w:val="00A01940"/>
    <w:rsid w:val="00A01C96"/>
    <w:rsid w:val="00A01DF0"/>
    <w:rsid w:val="00A01F72"/>
    <w:rsid w:val="00A020D1"/>
    <w:rsid w:val="00A023C9"/>
    <w:rsid w:val="00A02480"/>
    <w:rsid w:val="00A02594"/>
    <w:rsid w:val="00A02624"/>
    <w:rsid w:val="00A026BF"/>
    <w:rsid w:val="00A02703"/>
    <w:rsid w:val="00A0277A"/>
    <w:rsid w:val="00A0278F"/>
    <w:rsid w:val="00A02819"/>
    <w:rsid w:val="00A02A80"/>
    <w:rsid w:val="00A02B16"/>
    <w:rsid w:val="00A02B1F"/>
    <w:rsid w:val="00A02C30"/>
    <w:rsid w:val="00A02C99"/>
    <w:rsid w:val="00A02E4B"/>
    <w:rsid w:val="00A031BE"/>
    <w:rsid w:val="00A03839"/>
    <w:rsid w:val="00A0388C"/>
    <w:rsid w:val="00A0392B"/>
    <w:rsid w:val="00A039A9"/>
    <w:rsid w:val="00A03B3F"/>
    <w:rsid w:val="00A03BAB"/>
    <w:rsid w:val="00A03BE9"/>
    <w:rsid w:val="00A040C9"/>
    <w:rsid w:val="00A043E0"/>
    <w:rsid w:val="00A0446B"/>
    <w:rsid w:val="00A04531"/>
    <w:rsid w:val="00A045A1"/>
    <w:rsid w:val="00A0460C"/>
    <w:rsid w:val="00A046A7"/>
    <w:rsid w:val="00A048FE"/>
    <w:rsid w:val="00A04902"/>
    <w:rsid w:val="00A0490A"/>
    <w:rsid w:val="00A04A6E"/>
    <w:rsid w:val="00A04ACE"/>
    <w:rsid w:val="00A04DD7"/>
    <w:rsid w:val="00A050C3"/>
    <w:rsid w:val="00A05210"/>
    <w:rsid w:val="00A054A7"/>
    <w:rsid w:val="00A054B4"/>
    <w:rsid w:val="00A0557D"/>
    <w:rsid w:val="00A0557E"/>
    <w:rsid w:val="00A0585C"/>
    <w:rsid w:val="00A05A6E"/>
    <w:rsid w:val="00A05C78"/>
    <w:rsid w:val="00A05CA4"/>
    <w:rsid w:val="00A05D5D"/>
    <w:rsid w:val="00A05FAE"/>
    <w:rsid w:val="00A05FCF"/>
    <w:rsid w:val="00A06381"/>
    <w:rsid w:val="00A063A6"/>
    <w:rsid w:val="00A06467"/>
    <w:rsid w:val="00A06556"/>
    <w:rsid w:val="00A06671"/>
    <w:rsid w:val="00A06751"/>
    <w:rsid w:val="00A069C5"/>
    <w:rsid w:val="00A069F5"/>
    <w:rsid w:val="00A06A0E"/>
    <w:rsid w:val="00A06CE3"/>
    <w:rsid w:val="00A06DBB"/>
    <w:rsid w:val="00A06F7F"/>
    <w:rsid w:val="00A070BC"/>
    <w:rsid w:val="00A071E7"/>
    <w:rsid w:val="00A0721D"/>
    <w:rsid w:val="00A07314"/>
    <w:rsid w:val="00A074E2"/>
    <w:rsid w:val="00A0754E"/>
    <w:rsid w:val="00A0775D"/>
    <w:rsid w:val="00A07905"/>
    <w:rsid w:val="00A079F4"/>
    <w:rsid w:val="00A07AFA"/>
    <w:rsid w:val="00A07D1E"/>
    <w:rsid w:val="00A07DB5"/>
    <w:rsid w:val="00A100C5"/>
    <w:rsid w:val="00A1013C"/>
    <w:rsid w:val="00A102D7"/>
    <w:rsid w:val="00A1044B"/>
    <w:rsid w:val="00A104E9"/>
    <w:rsid w:val="00A1057C"/>
    <w:rsid w:val="00A1091B"/>
    <w:rsid w:val="00A10AC2"/>
    <w:rsid w:val="00A10F3D"/>
    <w:rsid w:val="00A110EF"/>
    <w:rsid w:val="00A11128"/>
    <w:rsid w:val="00A1121F"/>
    <w:rsid w:val="00A1138E"/>
    <w:rsid w:val="00A113DE"/>
    <w:rsid w:val="00A114B5"/>
    <w:rsid w:val="00A114DF"/>
    <w:rsid w:val="00A11505"/>
    <w:rsid w:val="00A11691"/>
    <w:rsid w:val="00A1183E"/>
    <w:rsid w:val="00A11A76"/>
    <w:rsid w:val="00A11B68"/>
    <w:rsid w:val="00A11C4C"/>
    <w:rsid w:val="00A11C8F"/>
    <w:rsid w:val="00A11F9E"/>
    <w:rsid w:val="00A120E0"/>
    <w:rsid w:val="00A12291"/>
    <w:rsid w:val="00A122E8"/>
    <w:rsid w:val="00A124AC"/>
    <w:rsid w:val="00A12520"/>
    <w:rsid w:val="00A1260C"/>
    <w:rsid w:val="00A12687"/>
    <w:rsid w:val="00A1276D"/>
    <w:rsid w:val="00A127AB"/>
    <w:rsid w:val="00A129A4"/>
    <w:rsid w:val="00A12A6F"/>
    <w:rsid w:val="00A12A7B"/>
    <w:rsid w:val="00A12CEC"/>
    <w:rsid w:val="00A12DB3"/>
    <w:rsid w:val="00A12E16"/>
    <w:rsid w:val="00A12FBD"/>
    <w:rsid w:val="00A1308E"/>
    <w:rsid w:val="00A13120"/>
    <w:rsid w:val="00A1317E"/>
    <w:rsid w:val="00A13252"/>
    <w:rsid w:val="00A132C6"/>
    <w:rsid w:val="00A13620"/>
    <w:rsid w:val="00A1387F"/>
    <w:rsid w:val="00A1390D"/>
    <w:rsid w:val="00A13992"/>
    <w:rsid w:val="00A139A3"/>
    <w:rsid w:val="00A13A10"/>
    <w:rsid w:val="00A13A1C"/>
    <w:rsid w:val="00A13AF0"/>
    <w:rsid w:val="00A13CF4"/>
    <w:rsid w:val="00A13E22"/>
    <w:rsid w:val="00A13ED0"/>
    <w:rsid w:val="00A13EFD"/>
    <w:rsid w:val="00A13F79"/>
    <w:rsid w:val="00A13FE8"/>
    <w:rsid w:val="00A141F9"/>
    <w:rsid w:val="00A14257"/>
    <w:rsid w:val="00A142C2"/>
    <w:rsid w:val="00A142EC"/>
    <w:rsid w:val="00A143F1"/>
    <w:rsid w:val="00A144B5"/>
    <w:rsid w:val="00A14607"/>
    <w:rsid w:val="00A147C2"/>
    <w:rsid w:val="00A148B2"/>
    <w:rsid w:val="00A1497E"/>
    <w:rsid w:val="00A14B05"/>
    <w:rsid w:val="00A14B6F"/>
    <w:rsid w:val="00A14BA6"/>
    <w:rsid w:val="00A14C82"/>
    <w:rsid w:val="00A14CC4"/>
    <w:rsid w:val="00A14D88"/>
    <w:rsid w:val="00A14DCC"/>
    <w:rsid w:val="00A14E99"/>
    <w:rsid w:val="00A14EA8"/>
    <w:rsid w:val="00A151FC"/>
    <w:rsid w:val="00A152AB"/>
    <w:rsid w:val="00A1530B"/>
    <w:rsid w:val="00A15480"/>
    <w:rsid w:val="00A1568F"/>
    <w:rsid w:val="00A1574A"/>
    <w:rsid w:val="00A157F4"/>
    <w:rsid w:val="00A15C25"/>
    <w:rsid w:val="00A15CE8"/>
    <w:rsid w:val="00A15D8A"/>
    <w:rsid w:val="00A15E43"/>
    <w:rsid w:val="00A15E70"/>
    <w:rsid w:val="00A15ED1"/>
    <w:rsid w:val="00A16029"/>
    <w:rsid w:val="00A16271"/>
    <w:rsid w:val="00A164AF"/>
    <w:rsid w:val="00A16590"/>
    <w:rsid w:val="00A16705"/>
    <w:rsid w:val="00A16806"/>
    <w:rsid w:val="00A16891"/>
    <w:rsid w:val="00A1696E"/>
    <w:rsid w:val="00A16B56"/>
    <w:rsid w:val="00A16CA0"/>
    <w:rsid w:val="00A16D88"/>
    <w:rsid w:val="00A16E57"/>
    <w:rsid w:val="00A16F25"/>
    <w:rsid w:val="00A1714A"/>
    <w:rsid w:val="00A172A3"/>
    <w:rsid w:val="00A17325"/>
    <w:rsid w:val="00A17413"/>
    <w:rsid w:val="00A1767B"/>
    <w:rsid w:val="00A17928"/>
    <w:rsid w:val="00A1795C"/>
    <w:rsid w:val="00A17D98"/>
    <w:rsid w:val="00A17F07"/>
    <w:rsid w:val="00A17FBB"/>
    <w:rsid w:val="00A2007A"/>
    <w:rsid w:val="00A20225"/>
    <w:rsid w:val="00A2022C"/>
    <w:rsid w:val="00A206CA"/>
    <w:rsid w:val="00A207C7"/>
    <w:rsid w:val="00A20933"/>
    <w:rsid w:val="00A209D1"/>
    <w:rsid w:val="00A20A69"/>
    <w:rsid w:val="00A20B4D"/>
    <w:rsid w:val="00A20C3B"/>
    <w:rsid w:val="00A20E70"/>
    <w:rsid w:val="00A20E7D"/>
    <w:rsid w:val="00A21075"/>
    <w:rsid w:val="00A21139"/>
    <w:rsid w:val="00A21197"/>
    <w:rsid w:val="00A211A8"/>
    <w:rsid w:val="00A212E2"/>
    <w:rsid w:val="00A2143E"/>
    <w:rsid w:val="00A214AE"/>
    <w:rsid w:val="00A215B6"/>
    <w:rsid w:val="00A215C3"/>
    <w:rsid w:val="00A2177F"/>
    <w:rsid w:val="00A21907"/>
    <w:rsid w:val="00A21A02"/>
    <w:rsid w:val="00A21A73"/>
    <w:rsid w:val="00A21B97"/>
    <w:rsid w:val="00A21D42"/>
    <w:rsid w:val="00A21F7D"/>
    <w:rsid w:val="00A21FE2"/>
    <w:rsid w:val="00A220E9"/>
    <w:rsid w:val="00A220F3"/>
    <w:rsid w:val="00A22128"/>
    <w:rsid w:val="00A22246"/>
    <w:rsid w:val="00A22298"/>
    <w:rsid w:val="00A2246F"/>
    <w:rsid w:val="00A2257E"/>
    <w:rsid w:val="00A22895"/>
    <w:rsid w:val="00A22986"/>
    <w:rsid w:val="00A22B0D"/>
    <w:rsid w:val="00A22B11"/>
    <w:rsid w:val="00A22DF9"/>
    <w:rsid w:val="00A22F84"/>
    <w:rsid w:val="00A2312B"/>
    <w:rsid w:val="00A23243"/>
    <w:rsid w:val="00A23557"/>
    <w:rsid w:val="00A237DA"/>
    <w:rsid w:val="00A238C2"/>
    <w:rsid w:val="00A239EF"/>
    <w:rsid w:val="00A23CA6"/>
    <w:rsid w:val="00A23DD0"/>
    <w:rsid w:val="00A23E59"/>
    <w:rsid w:val="00A23EC7"/>
    <w:rsid w:val="00A2401F"/>
    <w:rsid w:val="00A2406D"/>
    <w:rsid w:val="00A241F7"/>
    <w:rsid w:val="00A2430F"/>
    <w:rsid w:val="00A24443"/>
    <w:rsid w:val="00A24476"/>
    <w:rsid w:val="00A24537"/>
    <w:rsid w:val="00A24A2E"/>
    <w:rsid w:val="00A24ABA"/>
    <w:rsid w:val="00A24B87"/>
    <w:rsid w:val="00A24BF1"/>
    <w:rsid w:val="00A24C05"/>
    <w:rsid w:val="00A24DB3"/>
    <w:rsid w:val="00A251A4"/>
    <w:rsid w:val="00A251B9"/>
    <w:rsid w:val="00A25220"/>
    <w:rsid w:val="00A2546A"/>
    <w:rsid w:val="00A2555B"/>
    <w:rsid w:val="00A25595"/>
    <w:rsid w:val="00A25665"/>
    <w:rsid w:val="00A25734"/>
    <w:rsid w:val="00A25740"/>
    <w:rsid w:val="00A25758"/>
    <w:rsid w:val="00A258C9"/>
    <w:rsid w:val="00A259D0"/>
    <w:rsid w:val="00A25BD7"/>
    <w:rsid w:val="00A25E7D"/>
    <w:rsid w:val="00A25F96"/>
    <w:rsid w:val="00A25F99"/>
    <w:rsid w:val="00A2600E"/>
    <w:rsid w:val="00A268CA"/>
    <w:rsid w:val="00A269BF"/>
    <w:rsid w:val="00A2726F"/>
    <w:rsid w:val="00A272D2"/>
    <w:rsid w:val="00A27725"/>
    <w:rsid w:val="00A27823"/>
    <w:rsid w:val="00A27B3C"/>
    <w:rsid w:val="00A27D8E"/>
    <w:rsid w:val="00A300D1"/>
    <w:rsid w:val="00A300DA"/>
    <w:rsid w:val="00A30125"/>
    <w:rsid w:val="00A30537"/>
    <w:rsid w:val="00A30563"/>
    <w:rsid w:val="00A30607"/>
    <w:rsid w:val="00A30898"/>
    <w:rsid w:val="00A308D8"/>
    <w:rsid w:val="00A30BDE"/>
    <w:rsid w:val="00A30C04"/>
    <w:rsid w:val="00A30C2E"/>
    <w:rsid w:val="00A30CFA"/>
    <w:rsid w:val="00A30ED3"/>
    <w:rsid w:val="00A31298"/>
    <w:rsid w:val="00A314AE"/>
    <w:rsid w:val="00A3157F"/>
    <w:rsid w:val="00A31988"/>
    <w:rsid w:val="00A31994"/>
    <w:rsid w:val="00A31D95"/>
    <w:rsid w:val="00A31E3F"/>
    <w:rsid w:val="00A31E7D"/>
    <w:rsid w:val="00A31F34"/>
    <w:rsid w:val="00A32080"/>
    <w:rsid w:val="00A322A3"/>
    <w:rsid w:val="00A32388"/>
    <w:rsid w:val="00A326BB"/>
    <w:rsid w:val="00A326E3"/>
    <w:rsid w:val="00A32811"/>
    <w:rsid w:val="00A328EC"/>
    <w:rsid w:val="00A32B16"/>
    <w:rsid w:val="00A32B95"/>
    <w:rsid w:val="00A32E54"/>
    <w:rsid w:val="00A32E9B"/>
    <w:rsid w:val="00A32EDB"/>
    <w:rsid w:val="00A33022"/>
    <w:rsid w:val="00A332E8"/>
    <w:rsid w:val="00A3338E"/>
    <w:rsid w:val="00A3366D"/>
    <w:rsid w:val="00A33741"/>
    <w:rsid w:val="00A337B9"/>
    <w:rsid w:val="00A337FF"/>
    <w:rsid w:val="00A338B8"/>
    <w:rsid w:val="00A33D13"/>
    <w:rsid w:val="00A3400D"/>
    <w:rsid w:val="00A34259"/>
    <w:rsid w:val="00A343FC"/>
    <w:rsid w:val="00A34492"/>
    <w:rsid w:val="00A3452C"/>
    <w:rsid w:val="00A345B3"/>
    <w:rsid w:val="00A3480C"/>
    <w:rsid w:val="00A348E3"/>
    <w:rsid w:val="00A34974"/>
    <w:rsid w:val="00A34A0F"/>
    <w:rsid w:val="00A34F3A"/>
    <w:rsid w:val="00A3508D"/>
    <w:rsid w:val="00A35155"/>
    <w:rsid w:val="00A352AB"/>
    <w:rsid w:val="00A352EF"/>
    <w:rsid w:val="00A3536C"/>
    <w:rsid w:val="00A35579"/>
    <w:rsid w:val="00A357C0"/>
    <w:rsid w:val="00A35802"/>
    <w:rsid w:val="00A358F0"/>
    <w:rsid w:val="00A3596C"/>
    <w:rsid w:val="00A359FA"/>
    <w:rsid w:val="00A35BC4"/>
    <w:rsid w:val="00A35F13"/>
    <w:rsid w:val="00A363C1"/>
    <w:rsid w:val="00A3647C"/>
    <w:rsid w:val="00A36517"/>
    <w:rsid w:val="00A3664D"/>
    <w:rsid w:val="00A36882"/>
    <w:rsid w:val="00A36A15"/>
    <w:rsid w:val="00A36E72"/>
    <w:rsid w:val="00A36F0F"/>
    <w:rsid w:val="00A3714D"/>
    <w:rsid w:val="00A37336"/>
    <w:rsid w:val="00A3753F"/>
    <w:rsid w:val="00A37A45"/>
    <w:rsid w:val="00A37BBD"/>
    <w:rsid w:val="00A37C01"/>
    <w:rsid w:val="00A37E4A"/>
    <w:rsid w:val="00A37E68"/>
    <w:rsid w:val="00A40019"/>
    <w:rsid w:val="00A40179"/>
    <w:rsid w:val="00A402F4"/>
    <w:rsid w:val="00A402F9"/>
    <w:rsid w:val="00A405A5"/>
    <w:rsid w:val="00A405F7"/>
    <w:rsid w:val="00A4065C"/>
    <w:rsid w:val="00A408EA"/>
    <w:rsid w:val="00A40A56"/>
    <w:rsid w:val="00A40AC7"/>
    <w:rsid w:val="00A40BEE"/>
    <w:rsid w:val="00A40C93"/>
    <w:rsid w:val="00A40EAC"/>
    <w:rsid w:val="00A4116E"/>
    <w:rsid w:val="00A4121B"/>
    <w:rsid w:val="00A4189F"/>
    <w:rsid w:val="00A418A0"/>
    <w:rsid w:val="00A418BA"/>
    <w:rsid w:val="00A41924"/>
    <w:rsid w:val="00A4198D"/>
    <w:rsid w:val="00A41D61"/>
    <w:rsid w:val="00A42253"/>
    <w:rsid w:val="00A4241C"/>
    <w:rsid w:val="00A42423"/>
    <w:rsid w:val="00A4244F"/>
    <w:rsid w:val="00A4263C"/>
    <w:rsid w:val="00A426D7"/>
    <w:rsid w:val="00A426E2"/>
    <w:rsid w:val="00A42718"/>
    <w:rsid w:val="00A42804"/>
    <w:rsid w:val="00A42894"/>
    <w:rsid w:val="00A42950"/>
    <w:rsid w:val="00A429C5"/>
    <w:rsid w:val="00A42A3F"/>
    <w:rsid w:val="00A42C0B"/>
    <w:rsid w:val="00A43147"/>
    <w:rsid w:val="00A4325F"/>
    <w:rsid w:val="00A43341"/>
    <w:rsid w:val="00A433DA"/>
    <w:rsid w:val="00A43659"/>
    <w:rsid w:val="00A4384D"/>
    <w:rsid w:val="00A43C4F"/>
    <w:rsid w:val="00A43D06"/>
    <w:rsid w:val="00A43D95"/>
    <w:rsid w:val="00A441A3"/>
    <w:rsid w:val="00A442E8"/>
    <w:rsid w:val="00A443B3"/>
    <w:rsid w:val="00A4460D"/>
    <w:rsid w:val="00A44A47"/>
    <w:rsid w:val="00A44B7C"/>
    <w:rsid w:val="00A44B9A"/>
    <w:rsid w:val="00A44E2E"/>
    <w:rsid w:val="00A44F0C"/>
    <w:rsid w:val="00A450D7"/>
    <w:rsid w:val="00A452E7"/>
    <w:rsid w:val="00A453A1"/>
    <w:rsid w:val="00A45414"/>
    <w:rsid w:val="00A45566"/>
    <w:rsid w:val="00A45864"/>
    <w:rsid w:val="00A459AF"/>
    <w:rsid w:val="00A459B1"/>
    <w:rsid w:val="00A459C8"/>
    <w:rsid w:val="00A45EF7"/>
    <w:rsid w:val="00A460E6"/>
    <w:rsid w:val="00A46139"/>
    <w:rsid w:val="00A464B4"/>
    <w:rsid w:val="00A46801"/>
    <w:rsid w:val="00A46A82"/>
    <w:rsid w:val="00A46B75"/>
    <w:rsid w:val="00A46C25"/>
    <w:rsid w:val="00A46E7E"/>
    <w:rsid w:val="00A46F12"/>
    <w:rsid w:val="00A473B0"/>
    <w:rsid w:val="00A473FB"/>
    <w:rsid w:val="00A474E7"/>
    <w:rsid w:val="00A4782D"/>
    <w:rsid w:val="00A47910"/>
    <w:rsid w:val="00A4793B"/>
    <w:rsid w:val="00A4799E"/>
    <w:rsid w:val="00A47C78"/>
    <w:rsid w:val="00A47D69"/>
    <w:rsid w:val="00A50084"/>
    <w:rsid w:val="00A501F7"/>
    <w:rsid w:val="00A5048E"/>
    <w:rsid w:val="00A504AA"/>
    <w:rsid w:val="00A504AC"/>
    <w:rsid w:val="00A504CE"/>
    <w:rsid w:val="00A5059F"/>
    <w:rsid w:val="00A505E2"/>
    <w:rsid w:val="00A506EC"/>
    <w:rsid w:val="00A50759"/>
    <w:rsid w:val="00A50A4D"/>
    <w:rsid w:val="00A50A8B"/>
    <w:rsid w:val="00A50DE1"/>
    <w:rsid w:val="00A50F4C"/>
    <w:rsid w:val="00A51021"/>
    <w:rsid w:val="00A5110D"/>
    <w:rsid w:val="00A5137C"/>
    <w:rsid w:val="00A51488"/>
    <w:rsid w:val="00A514A7"/>
    <w:rsid w:val="00A514B6"/>
    <w:rsid w:val="00A5183B"/>
    <w:rsid w:val="00A51958"/>
    <w:rsid w:val="00A51A6E"/>
    <w:rsid w:val="00A52071"/>
    <w:rsid w:val="00A521CD"/>
    <w:rsid w:val="00A522D1"/>
    <w:rsid w:val="00A523C7"/>
    <w:rsid w:val="00A525B1"/>
    <w:rsid w:val="00A525EB"/>
    <w:rsid w:val="00A52695"/>
    <w:rsid w:val="00A526ED"/>
    <w:rsid w:val="00A52844"/>
    <w:rsid w:val="00A52E33"/>
    <w:rsid w:val="00A52EBC"/>
    <w:rsid w:val="00A52F48"/>
    <w:rsid w:val="00A52F57"/>
    <w:rsid w:val="00A5381D"/>
    <w:rsid w:val="00A538C7"/>
    <w:rsid w:val="00A53A0C"/>
    <w:rsid w:val="00A53E27"/>
    <w:rsid w:val="00A54052"/>
    <w:rsid w:val="00A5441C"/>
    <w:rsid w:val="00A545BE"/>
    <w:rsid w:val="00A54815"/>
    <w:rsid w:val="00A548A8"/>
    <w:rsid w:val="00A5498F"/>
    <w:rsid w:val="00A54AB1"/>
    <w:rsid w:val="00A54C6F"/>
    <w:rsid w:val="00A54C83"/>
    <w:rsid w:val="00A54E1F"/>
    <w:rsid w:val="00A54FCE"/>
    <w:rsid w:val="00A55041"/>
    <w:rsid w:val="00A553CD"/>
    <w:rsid w:val="00A55506"/>
    <w:rsid w:val="00A555B6"/>
    <w:rsid w:val="00A55A87"/>
    <w:rsid w:val="00A55AA2"/>
    <w:rsid w:val="00A55C17"/>
    <w:rsid w:val="00A55C78"/>
    <w:rsid w:val="00A55F2E"/>
    <w:rsid w:val="00A5618F"/>
    <w:rsid w:val="00A56234"/>
    <w:rsid w:val="00A5630F"/>
    <w:rsid w:val="00A56367"/>
    <w:rsid w:val="00A5659B"/>
    <w:rsid w:val="00A567BF"/>
    <w:rsid w:val="00A56922"/>
    <w:rsid w:val="00A56AF2"/>
    <w:rsid w:val="00A56B93"/>
    <w:rsid w:val="00A56CA1"/>
    <w:rsid w:val="00A56FCE"/>
    <w:rsid w:val="00A56FFB"/>
    <w:rsid w:val="00A5706F"/>
    <w:rsid w:val="00A570B1"/>
    <w:rsid w:val="00A57142"/>
    <w:rsid w:val="00A574AB"/>
    <w:rsid w:val="00A57504"/>
    <w:rsid w:val="00A57811"/>
    <w:rsid w:val="00A57AE5"/>
    <w:rsid w:val="00A57B46"/>
    <w:rsid w:val="00A57C3A"/>
    <w:rsid w:val="00A57D47"/>
    <w:rsid w:val="00A57DAB"/>
    <w:rsid w:val="00A57DD5"/>
    <w:rsid w:val="00A57FA1"/>
    <w:rsid w:val="00A6016C"/>
    <w:rsid w:val="00A6024C"/>
    <w:rsid w:val="00A603F0"/>
    <w:rsid w:val="00A60802"/>
    <w:rsid w:val="00A60851"/>
    <w:rsid w:val="00A60936"/>
    <w:rsid w:val="00A60AA1"/>
    <w:rsid w:val="00A60C9E"/>
    <w:rsid w:val="00A60F13"/>
    <w:rsid w:val="00A61146"/>
    <w:rsid w:val="00A6125F"/>
    <w:rsid w:val="00A61368"/>
    <w:rsid w:val="00A61520"/>
    <w:rsid w:val="00A6163A"/>
    <w:rsid w:val="00A61694"/>
    <w:rsid w:val="00A6171A"/>
    <w:rsid w:val="00A6180A"/>
    <w:rsid w:val="00A6196C"/>
    <w:rsid w:val="00A619BB"/>
    <w:rsid w:val="00A61A57"/>
    <w:rsid w:val="00A61AE4"/>
    <w:rsid w:val="00A61B9E"/>
    <w:rsid w:val="00A61CCB"/>
    <w:rsid w:val="00A61D29"/>
    <w:rsid w:val="00A61EB3"/>
    <w:rsid w:val="00A61FF2"/>
    <w:rsid w:val="00A620B4"/>
    <w:rsid w:val="00A62120"/>
    <w:rsid w:val="00A62173"/>
    <w:rsid w:val="00A6228C"/>
    <w:rsid w:val="00A623C1"/>
    <w:rsid w:val="00A62461"/>
    <w:rsid w:val="00A6249C"/>
    <w:rsid w:val="00A624C4"/>
    <w:rsid w:val="00A62594"/>
    <w:rsid w:val="00A6262A"/>
    <w:rsid w:val="00A626D9"/>
    <w:rsid w:val="00A629EE"/>
    <w:rsid w:val="00A62A1A"/>
    <w:rsid w:val="00A62AF7"/>
    <w:rsid w:val="00A62CD3"/>
    <w:rsid w:val="00A63157"/>
    <w:rsid w:val="00A6326F"/>
    <w:rsid w:val="00A633E4"/>
    <w:rsid w:val="00A6348C"/>
    <w:rsid w:val="00A635B0"/>
    <w:rsid w:val="00A63675"/>
    <w:rsid w:val="00A6397E"/>
    <w:rsid w:val="00A63A84"/>
    <w:rsid w:val="00A63DE3"/>
    <w:rsid w:val="00A63FA7"/>
    <w:rsid w:val="00A63FD9"/>
    <w:rsid w:val="00A64100"/>
    <w:rsid w:val="00A64181"/>
    <w:rsid w:val="00A647A2"/>
    <w:rsid w:val="00A648B6"/>
    <w:rsid w:val="00A648FC"/>
    <w:rsid w:val="00A64A73"/>
    <w:rsid w:val="00A64BF1"/>
    <w:rsid w:val="00A64D69"/>
    <w:rsid w:val="00A64DD2"/>
    <w:rsid w:val="00A65238"/>
    <w:rsid w:val="00A65250"/>
    <w:rsid w:val="00A65354"/>
    <w:rsid w:val="00A6561F"/>
    <w:rsid w:val="00A65739"/>
    <w:rsid w:val="00A658D7"/>
    <w:rsid w:val="00A65B9D"/>
    <w:rsid w:val="00A65BB9"/>
    <w:rsid w:val="00A65CD3"/>
    <w:rsid w:val="00A65F4D"/>
    <w:rsid w:val="00A65FBA"/>
    <w:rsid w:val="00A660CD"/>
    <w:rsid w:val="00A661F3"/>
    <w:rsid w:val="00A66333"/>
    <w:rsid w:val="00A663B6"/>
    <w:rsid w:val="00A66544"/>
    <w:rsid w:val="00A66577"/>
    <w:rsid w:val="00A666FC"/>
    <w:rsid w:val="00A6679B"/>
    <w:rsid w:val="00A6692F"/>
    <w:rsid w:val="00A66EA4"/>
    <w:rsid w:val="00A67032"/>
    <w:rsid w:val="00A671FB"/>
    <w:rsid w:val="00A67252"/>
    <w:rsid w:val="00A67430"/>
    <w:rsid w:val="00A674C7"/>
    <w:rsid w:val="00A67661"/>
    <w:rsid w:val="00A67761"/>
    <w:rsid w:val="00A67777"/>
    <w:rsid w:val="00A67788"/>
    <w:rsid w:val="00A6778F"/>
    <w:rsid w:val="00A67919"/>
    <w:rsid w:val="00A6792A"/>
    <w:rsid w:val="00A6793B"/>
    <w:rsid w:val="00A67958"/>
    <w:rsid w:val="00A679C6"/>
    <w:rsid w:val="00A67D09"/>
    <w:rsid w:val="00A67DE5"/>
    <w:rsid w:val="00A7007A"/>
    <w:rsid w:val="00A700A9"/>
    <w:rsid w:val="00A704F6"/>
    <w:rsid w:val="00A70971"/>
    <w:rsid w:val="00A70AA7"/>
    <w:rsid w:val="00A70AC8"/>
    <w:rsid w:val="00A70ADD"/>
    <w:rsid w:val="00A70B5D"/>
    <w:rsid w:val="00A70B92"/>
    <w:rsid w:val="00A71401"/>
    <w:rsid w:val="00A71599"/>
    <w:rsid w:val="00A715DD"/>
    <w:rsid w:val="00A719A4"/>
    <w:rsid w:val="00A71BB0"/>
    <w:rsid w:val="00A71C45"/>
    <w:rsid w:val="00A71D1B"/>
    <w:rsid w:val="00A71E06"/>
    <w:rsid w:val="00A71F34"/>
    <w:rsid w:val="00A720A1"/>
    <w:rsid w:val="00A72106"/>
    <w:rsid w:val="00A721D8"/>
    <w:rsid w:val="00A72259"/>
    <w:rsid w:val="00A72302"/>
    <w:rsid w:val="00A724DB"/>
    <w:rsid w:val="00A72510"/>
    <w:rsid w:val="00A728B3"/>
    <w:rsid w:val="00A72951"/>
    <w:rsid w:val="00A729B0"/>
    <w:rsid w:val="00A72BCB"/>
    <w:rsid w:val="00A72FF3"/>
    <w:rsid w:val="00A7337F"/>
    <w:rsid w:val="00A734A7"/>
    <w:rsid w:val="00A73644"/>
    <w:rsid w:val="00A738E4"/>
    <w:rsid w:val="00A7391E"/>
    <w:rsid w:val="00A73968"/>
    <w:rsid w:val="00A73A31"/>
    <w:rsid w:val="00A73BFD"/>
    <w:rsid w:val="00A73C0E"/>
    <w:rsid w:val="00A73C79"/>
    <w:rsid w:val="00A73D13"/>
    <w:rsid w:val="00A73EAB"/>
    <w:rsid w:val="00A73ECD"/>
    <w:rsid w:val="00A74062"/>
    <w:rsid w:val="00A740AD"/>
    <w:rsid w:val="00A74342"/>
    <w:rsid w:val="00A744B7"/>
    <w:rsid w:val="00A74684"/>
    <w:rsid w:val="00A74731"/>
    <w:rsid w:val="00A74ABA"/>
    <w:rsid w:val="00A74F42"/>
    <w:rsid w:val="00A74FD4"/>
    <w:rsid w:val="00A750EB"/>
    <w:rsid w:val="00A75121"/>
    <w:rsid w:val="00A75198"/>
    <w:rsid w:val="00A75240"/>
    <w:rsid w:val="00A7558A"/>
    <w:rsid w:val="00A7580C"/>
    <w:rsid w:val="00A75907"/>
    <w:rsid w:val="00A75CBA"/>
    <w:rsid w:val="00A75CD7"/>
    <w:rsid w:val="00A75EED"/>
    <w:rsid w:val="00A76135"/>
    <w:rsid w:val="00A7615B"/>
    <w:rsid w:val="00A763E3"/>
    <w:rsid w:val="00A7658B"/>
    <w:rsid w:val="00A765B7"/>
    <w:rsid w:val="00A7676B"/>
    <w:rsid w:val="00A7679C"/>
    <w:rsid w:val="00A76804"/>
    <w:rsid w:val="00A768A3"/>
    <w:rsid w:val="00A76B0D"/>
    <w:rsid w:val="00A76E87"/>
    <w:rsid w:val="00A76F13"/>
    <w:rsid w:val="00A771B4"/>
    <w:rsid w:val="00A77220"/>
    <w:rsid w:val="00A7725E"/>
    <w:rsid w:val="00A772EE"/>
    <w:rsid w:val="00A77361"/>
    <w:rsid w:val="00A77928"/>
    <w:rsid w:val="00A77A3B"/>
    <w:rsid w:val="00A77B04"/>
    <w:rsid w:val="00A77F84"/>
    <w:rsid w:val="00A8006C"/>
    <w:rsid w:val="00A800A2"/>
    <w:rsid w:val="00A80270"/>
    <w:rsid w:val="00A8029D"/>
    <w:rsid w:val="00A803CA"/>
    <w:rsid w:val="00A806A9"/>
    <w:rsid w:val="00A8087B"/>
    <w:rsid w:val="00A809AC"/>
    <w:rsid w:val="00A80C3B"/>
    <w:rsid w:val="00A80C74"/>
    <w:rsid w:val="00A80DA1"/>
    <w:rsid w:val="00A810A9"/>
    <w:rsid w:val="00A81368"/>
    <w:rsid w:val="00A81687"/>
    <w:rsid w:val="00A81A0A"/>
    <w:rsid w:val="00A81A8F"/>
    <w:rsid w:val="00A81AA9"/>
    <w:rsid w:val="00A81B93"/>
    <w:rsid w:val="00A81C0A"/>
    <w:rsid w:val="00A81C1B"/>
    <w:rsid w:val="00A81C51"/>
    <w:rsid w:val="00A81CFE"/>
    <w:rsid w:val="00A81D40"/>
    <w:rsid w:val="00A81F90"/>
    <w:rsid w:val="00A8227F"/>
    <w:rsid w:val="00A822E2"/>
    <w:rsid w:val="00A825FA"/>
    <w:rsid w:val="00A8261C"/>
    <w:rsid w:val="00A82A3C"/>
    <w:rsid w:val="00A82ACF"/>
    <w:rsid w:val="00A82B3D"/>
    <w:rsid w:val="00A82B82"/>
    <w:rsid w:val="00A82BE1"/>
    <w:rsid w:val="00A82C98"/>
    <w:rsid w:val="00A831CF"/>
    <w:rsid w:val="00A8321F"/>
    <w:rsid w:val="00A83615"/>
    <w:rsid w:val="00A83616"/>
    <w:rsid w:val="00A83644"/>
    <w:rsid w:val="00A838CA"/>
    <w:rsid w:val="00A8397D"/>
    <w:rsid w:val="00A83A52"/>
    <w:rsid w:val="00A83C1D"/>
    <w:rsid w:val="00A83D07"/>
    <w:rsid w:val="00A83D83"/>
    <w:rsid w:val="00A83ED6"/>
    <w:rsid w:val="00A8422E"/>
    <w:rsid w:val="00A84285"/>
    <w:rsid w:val="00A8432C"/>
    <w:rsid w:val="00A84447"/>
    <w:rsid w:val="00A84510"/>
    <w:rsid w:val="00A8454D"/>
    <w:rsid w:val="00A84718"/>
    <w:rsid w:val="00A848B2"/>
    <w:rsid w:val="00A84B59"/>
    <w:rsid w:val="00A84B5E"/>
    <w:rsid w:val="00A84C26"/>
    <w:rsid w:val="00A850B6"/>
    <w:rsid w:val="00A85440"/>
    <w:rsid w:val="00A8548D"/>
    <w:rsid w:val="00A85492"/>
    <w:rsid w:val="00A854C7"/>
    <w:rsid w:val="00A85529"/>
    <w:rsid w:val="00A85535"/>
    <w:rsid w:val="00A855B4"/>
    <w:rsid w:val="00A85614"/>
    <w:rsid w:val="00A857B9"/>
    <w:rsid w:val="00A859A1"/>
    <w:rsid w:val="00A85A2A"/>
    <w:rsid w:val="00A85AFC"/>
    <w:rsid w:val="00A85D5A"/>
    <w:rsid w:val="00A85DE9"/>
    <w:rsid w:val="00A85E2A"/>
    <w:rsid w:val="00A85FF4"/>
    <w:rsid w:val="00A85FF8"/>
    <w:rsid w:val="00A861BF"/>
    <w:rsid w:val="00A861EA"/>
    <w:rsid w:val="00A86205"/>
    <w:rsid w:val="00A8636E"/>
    <w:rsid w:val="00A864C1"/>
    <w:rsid w:val="00A86598"/>
    <w:rsid w:val="00A8677F"/>
    <w:rsid w:val="00A86914"/>
    <w:rsid w:val="00A86941"/>
    <w:rsid w:val="00A8694E"/>
    <w:rsid w:val="00A870B5"/>
    <w:rsid w:val="00A87154"/>
    <w:rsid w:val="00A87597"/>
    <w:rsid w:val="00A87653"/>
    <w:rsid w:val="00A87C46"/>
    <w:rsid w:val="00A87DB8"/>
    <w:rsid w:val="00A87E81"/>
    <w:rsid w:val="00A87FCB"/>
    <w:rsid w:val="00A90069"/>
    <w:rsid w:val="00A9010F"/>
    <w:rsid w:val="00A905BD"/>
    <w:rsid w:val="00A908A9"/>
    <w:rsid w:val="00A909C8"/>
    <w:rsid w:val="00A90A21"/>
    <w:rsid w:val="00A90F80"/>
    <w:rsid w:val="00A910A9"/>
    <w:rsid w:val="00A911E3"/>
    <w:rsid w:val="00A91211"/>
    <w:rsid w:val="00A913A5"/>
    <w:rsid w:val="00A91D3A"/>
    <w:rsid w:val="00A91DE6"/>
    <w:rsid w:val="00A91FB1"/>
    <w:rsid w:val="00A924EB"/>
    <w:rsid w:val="00A92533"/>
    <w:rsid w:val="00A92683"/>
    <w:rsid w:val="00A928CD"/>
    <w:rsid w:val="00A92C3B"/>
    <w:rsid w:val="00A92D64"/>
    <w:rsid w:val="00A92DDD"/>
    <w:rsid w:val="00A92E85"/>
    <w:rsid w:val="00A93367"/>
    <w:rsid w:val="00A93368"/>
    <w:rsid w:val="00A933E2"/>
    <w:rsid w:val="00A93508"/>
    <w:rsid w:val="00A93514"/>
    <w:rsid w:val="00A938F4"/>
    <w:rsid w:val="00A93A6E"/>
    <w:rsid w:val="00A93B21"/>
    <w:rsid w:val="00A93BB7"/>
    <w:rsid w:val="00A93BFC"/>
    <w:rsid w:val="00A93D08"/>
    <w:rsid w:val="00A93EC2"/>
    <w:rsid w:val="00A93FBB"/>
    <w:rsid w:val="00A9402F"/>
    <w:rsid w:val="00A94094"/>
    <w:rsid w:val="00A94100"/>
    <w:rsid w:val="00A9416A"/>
    <w:rsid w:val="00A94362"/>
    <w:rsid w:val="00A9446B"/>
    <w:rsid w:val="00A944CD"/>
    <w:rsid w:val="00A946AD"/>
    <w:rsid w:val="00A94852"/>
    <w:rsid w:val="00A948EB"/>
    <w:rsid w:val="00A94916"/>
    <w:rsid w:val="00A94A29"/>
    <w:rsid w:val="00A94B61"/>
    <w:rsid w:val="00A94BA9"/>
    <w:rsid w:val="00A94BE7"/>
    <w:rsid w:val="00A94C03"/>
    <w:rsid w:val="00A94C55"/>
    <w:rsid w:val="00A94FEF"/>
    <w:rsid w:val="00A9516C"/>
    <w:rsid w:val="00A9536F"/>
    <w:rsid w:val="00A95485"/>
    <w:rsid w:val="00A9564D"/>
    <w:rsid w:val="00A9573B"/>
    <w:rsid w:val="00A958BD"/>
    <w:rsid w:val="00A95A49"/>
    <w:rsid w:val="00A95A70"/>
    <w:rsid w:val="00A95B95"/>
    <w:rsid w:val="00A95C2E"/>
    <w:rsid w:val="00A95D01"/>
    <w:rsid w:val="00A95DF2"/>
    <w:rsid w:val="00A960BF"/>
    <w:rsid w:val="00A96107"/>
    <w:rsid w:val="00A9613A"/>
    <w:rsid w:val="00A96318"/>
    <w:rsid w:val="00A9645A"/>
    <w:rsid w:val="00A96577"/>
    <w:rsid w:val="00A965DE"/>
    <w:rsid w:val="00A967A4"/>
    <w:rsid w:val="00A96998"/>
    <w:rsid w:val="00A96C79"/>
    <w:rsid w:val="00A96D0A"/>
    <w:rsid w:val="00A96D73"/>
    <w:rsid w:val="00A96E02"/>
    <w:rsid w:val="00A96E50"/>
    <w:rsid w:val="00A96EAF"/>
    <w:rsid w:val="00A970A2"/>
    <w:rsid w:val="00A975F4"/>
    <w:rsid w:val="00A97672"/>
    <w:rsid w:val="00A977FE"/>
    <w:rsid w:val="00A979E1"/>
    <w:rsid w:val="00AA0294"/>
    <w:rsid w:val="00AA02D1"/>
    <w:rsid w:val="00AA0338"/>
    <w:rsid w:val="00AA0582"/>
    <w:rsid w:val="00AA05BD"/>
    <w:rsid w:val="00AA065D"/>
    <w:rsid w:val="00AA0B29"/>
    <w:rsid w:val="00AA0C48"/>
    <w:rsid w:val="00AA0CDA"/>
    <w:rsid w:val="00AA0D47"/>
    <w:rsid w:val="00AA0D5F"/>
    <w:rsid w:val="00AA1053"/>
    <w:rsid w:val="00AA10B5"/>
    <w:rsid w:val="00AA12AA"/>
    <w:rsid w:val="00AA1464"/>
    <w:rsid w:val="00AA14A4"/>
    <w:rsid w:val="00AA1625"/>
    <w:rsid w:val="00AA171E"/>
    <w:rsid w:val="00AA176C"/>
    <w:rsid w:val="00AA1A48"/>
    <w:rsid w:val="00AA1C9C"/>
    <w:rsid w:val="00AA20E2"/>
    <w:rsid w:val="00AA215E"/>
    <w:rsid w:val="00AA217F"/>
    <w:rsid w:val="00AA221D"/>
    <w:rsid w:val="00AA223B"/>
    <w:rsid w:val="00AA245D"/>
    <w:rsid w:val="00AA276E"/>
    <w:rsid w:val="00AA2AC4"/>
    <w:rsid w:val="00AA2B92"/>
    <w:rsid w:val="00AA3031"/>
    <w:rsid w:val="00AA32D4"/>
    <w:rsid w:val="00AA362E"/>
    <w:rsid w:val="00AA370F"/>
    <w:rsid w:val="00AA3830"/>
    <w:rsid w:val="00AA3880"/>
    <w:rsid w:val="00AA3999"/>
    <w:rsid w:val="00AA3A66"/>
    <w:rsid w:val="00AA3CA7"/>
    <w:rsid w:val="00AA3DFF"/>
    <w:rsid w:val="00AA3E27"/>
    <w:rsid w:val="00AA3E6F"/>
    <w:rsid w:val="00AA4009"/>
    <w:rsid w:val="00AA4049"/>
    <w:rsid w:val="00AA427F"/>
    <w:rsid w:val="00AA47DB"/>
    <w:rsid w:val="00AA47F5"/>
    <w:rsid w:val="00AA47F6"/>
    <w:rsid w:val="00AA4817"/>
    <w:rsid w:val="00AA48B8"/>
    <w:rsid w:val="00AA4975"/>
    <w:rsid w:val="00AA49A9"/>
    <w:rsid w:val="00AA49FC"/>
    <w:rsid w:val="00AA4CB6"/>
    <w:rsid w:val="00AA4E04"/>
    <w:rsid w:val="00AA4E91"/>
    <w:rsid w:val="00AA506B"/>
    <w:rsid w:val="00AA517A"/>
    <w:rsid w:val="00AA52A3"/>
    <w:rsid w:val="00AA52E6"/>
    <w:rsid w:val="00AA549D"/>
    <w:rsid w:val="00AA56E4"/>
    <w:rsid w:val="00AA5803"/>
    <w:rsid w:val="00AA5817"/>
    <w:rsid w:val="00AA5846"/>
    <w:rsid w:val="00AA5DDB"/>
    <w:rsid w:val="00AA600A"/>
    <w:rsid w:val="00AA6012"/>
    <w:rsid w:val="00AA60B7"/>
    <w:rsid w:val="00AA6112"/>
    <w:rsid w:val="00AA6452"/>
    <w:rsid w:val="00AA6618"/>
    <w:rsid w:val="00AA6967"/>
    <w:rsid w:val="00AA6A58"/>
    <w:rsid w:val="00AA6DDE"/>
    <w:rsid w:val="00AA6E67"/>
    <w:rsid w:val="00AA6F96"/>
    <w:rsid w:val="00AA6F9E"/>
    <w:rsid w:val="00AA6FD5"/>
    <w:rsid w:val="00AA713B"/>
    <w:rsid w:val="00AA71E4"/>
    <w:rsid w:val="00AA7213"/>
    <w:rsid w:val="00AA72D1"/>
    <w:rsid w:val="00AA746B"/>
    <w:rsid w:val="00AA74B9"/>
    <w:rsid w:val="00AA7587"/>
    <w:rsid w:val="00AA75FF"/>
    <w:rsid w:val="00AA7654"/>
    <w:rsid w:val="00AA780D"/>
    <w:rsid w:val="00AA7822"/>
    <w:rsid w:val="00AA78C9"/>
    <w:rsid w:val="00AA7A34"/>
    <w:rsid w:val="00AA7A78"/>
    <w:rsid w:val="00AA7C8B"/>
    <w:rsid w:val="00AA7DDC"/>
    <w:rsid w:val="00AA7F50"/>
    <w:rsid w:val="00AA7FAA"/>
    <w:rsid w:val="00AB02E9"/>
    <w:rsid w:val="00AB0345"/>
    <w:rsid w:val="00AB0347"/>
    <w:rsid w:val="00AB0522"/>
    <w:rsid w:val="00AB06D2"/>
    <w:rsid w:val="00AB0C7A"/>
    <w:rsid w:val="00AB0D39"/>
    <w:rsid w:val="00AB0D7F"/>
    <w:rsid w:val="00AB0F2D"/>
    <w:rsid w:val="00AB0F6B"/>
    <w:rsid w:val="00AB103B"/>
    <w:rsid w:val="00AB11FE"/>
    <w:rsid w:val="00AB154A"/>
    <w:rsid w:val="00AB1652"/>
    <w:rsid w:val="00AB1698"/>
    <w:rsid w:val="00AB16EA"/>
    <w:rsid w:val="00AB17FE"/>
    <w:rsid w:val="00AB1814"/>
    <w:rsid w:val="00AB189D"/>
    <w:rsid w:val="00AB1A87"/>
    <w:rsid w:val="00AB1AEE"/>
    <w:rsid w:val="00AB1CCC"/>
    <w:rsid w:val="00AB1D08"/>
    <w:rsid w:val="00AB1E98"/>
    <w:rsid w:val="00AB1EB0"/>
    <w:rsid w:val="00AB1EC5"/>
    <w:rsid w:val="00AB2047"/>
    <w:rsid w:val="00AB23B3"/>
    <w:rsid w:val="00AB2484"/>
    <w:rsid w:val="00AB24C9"/>
    <w:rsid w:val="00AB280D"/>
    <w:rsid w:val="00AB2922"/>
    <w:rsid w:val="00AB2A4D"/>
    <w:rsid w:val="00AB2AD9"/>
    <w:rsid w:val="00AB2BBC"/>
    <w:rsid w:val="00AB2CA0"/>
    <w:rsid w:val="00AB2E2C"/>
    <w:rsid w:val="00AB2EBA"/>
    <w:rsid w:val="00AB2F34"/>
    <w:rsid w:val="00AB2FD6"/>
    <w:rsid w:val="00AB303B"/>
    <w:rsid w:val="00AB3048"/>
    <w:rsid w:val="00AB3157"/>
    <w:rsid w:val="00AB3175"/>
    <w:rsid w:val="00AB317B"/>
    <w:rsid w:val="00AB321D"/>
    <w:rsid w:val="00AB3329"/>
    <w:rsid w:val="00AB3500"/>
    <w:rsid w:val="00AB3512"/>
    <w:rsid w:val="00AB3654"/>
    <w:rsid w:val="00AB37B0"/>
    <w:rsid w:val="00AB38F5"/>
    <w:rsid w:val="00AB3AB5"/>
    <w:rsid w:val="00AB3B64"/>
    <w:rsid w:val="00AB3C2F"/>
    <w:rsid w:val="00AB3D95"/>
    <w:rsid w:val="00AB3F70"/>
    <w:rsid w:val="00AB3FCD"/>
    <w:rsid w:val="00AB41A5"/>
    <w:rsid w:val="00AB434D"/>
    <w:rsid w:val="00AB43AC"/>
    <w:rsid w:val="00AB447A"/>
    <w:rsid w:val="00AB4824"/>
    <w:rsid w:val="00AB48BB"/>
    <w:rsid w:val="00AB4923"/>
    <w:rsid w:val="00AB49D7"/>
    <w:rsid w:val="00AB4AAB"/>
    <w:rsid w:val="00AB4AD8"/>
    <w:rsid w:val="00AB4AED"/>
    <w:rsid w:val="00AB4B58"/>
    <w:rsid w:val="00AB524F"/>
    <w:rsid w:val="00AB5276"/>
    <w:rsid w:val="00AB5292"/>
    <w:rsid w:val="00AB5320"/>
    <w:rsid w:val="00AB5393"/>
    <w:rsid w:val="00AB53A7"/>
    <w:rsid w:val="00AB53ED"/>
    <w:rsid w:val="00AB5772"/>
    <w:rsid w:val="00AB57BC"/>
    <w:rsid w:val="00AB580F"/>
    <w:rsid w:val="00AB5A19"/>
    <w:rsid w:val="00AB5A7C"/>
    <w:rsid w:val="00AB5F17"/>
    <w:rsid w:val="00AB5F84"/>
    <w:rsid w:val="00AB601E"/>
    <w:rsid w:val="00AB604F"/>
    <w:rsid w:val="00AB619D"/>
    <w:rsid w:val="00AB639D"/>
    <w:rsid w:val="00AB643A"/>
    <w:rsid w:val="00AB648B"/>
    <w:rsid w:val="00AB6630"/>
    <w:rsid w:val="00AB6888"/>
    <w:rsid w:val="00AB6B62"/>
    <w:rsid w:val="00AB6BB8"/>
    <w:rsid w:val="00AB710F"/>
    <w:rsid w:val="00AB7442"/>
    <w:rsid w:val="00AB7475"/>
    <w:rsid w:val="00AB74A1"/>
    <w:rsid w:val="00AB771D"/>
    <w:rsid w:val="00AB7782"/>
    <w:rsid w:val="00AB791F"/>
    <w:rsid w:val="00AB7979"/>
    <w:rsid w:val="00AB79DC"/>
    <w:rsid w:val="00AB7B3E"/>
    <w:rsid w:val="00AB7CF2"/>
    <w:rsid w:val="00AB7DBF"/>
    <w:rsid w:val="00AB7E27"/>
    <w:rsid w:val="00AC0387"/>
    <w:rsid w:val="00AC043F"/>
    <w:rsid w:val="00AC055B"/>
    <w:rsid w:val="00AC0BF8"/>
    <w:rsid w:val="00AC0CA6"/>
    <w:rsid w:val="00AC0CCC"/>
    <w:rsid w:val="00AC0D3B"/>
    <w:rsid w:val="00AC0FAA"/>
    <w:rsid w:val="00AC1082"/>
    <w:rsid w:val="00AC111E"/>
    <w:rsid w:val="00AC12D2"/>
    <w:rsid w:val="00AC1392"/>
    <w:rsid w:val="00AC1400"/>
    <w:rsid w:val="00AC1440"/>
    <w:rsid w:val="00AC15B1"/>
    <w:rsid w:val="00AC1A49"/>
    <w:rsid w:val="00AC1BBB"/>
    <w:rsid w:val="00AC1DE0"/>
    <w:rsid w:val="00AC1DE3"/>
    <w:rsid w:val="00AC1ED3"/>
    <w:rsid w:val="00AC2167"/>
    <w:rsid w:val="00AC2319"/>
    <w:rsid w:val="00AC255F"/>
    <w:rsid w:val="00AC26A4"/>
    <w:rsid w:val="00AC2878"/>
    <w:rsid w:val="00AC2945"/>
    <w:rsid w:val="00AC298B"/>
    <w:rsid w:val="00AC29D1"/>
    <w:rsid w:val="00AC2A94"/>
    <w:rsid w:val="00AC2AA3"/>
    <w:rsid w:val="00AC2BBC"/>
    <w:rsid w:val="00AC2DDE"/>
    <w:rsid w:val="00AC2E0A"/>
    <w:rsid w:val="00AC2E21"/>
    <w:rsid w:val="00AC2E99"/>
    <w:rsid w:val="00AC329C"/>
    <w:rsid w:val="00AC32EC"/>
    <w:rsid w:val="00AC3310"/>
    <w:rsid w:val="00AC35AA"/>
    <w:rsid w:val="00AC3635"/>
    <w:rsid w:val="00AC3697"/>
    <w:rsid w:val="00AC38D4"/>
    <w:rsid w:val="00AC3925"/>
    <w:rsid w:val="00AC3BF0"/>
    <w:rsid w:val="00AC3D27"/>
    <w:rsid w:val="00AC3D4E"/>
    <w:rsid w:val="00AC400F"/>
    <w:rsid w:val="00AC41EB"/>
    <w:rsid w:val="00AC42AA"/>
    <w:rsid w:val="00AC43C3"/>
    <w:rsid w:val="00AC45B4"/>
    <w:rsid w:val="00AC46C0"/>
    <w:rsid w:val="00AC48F0"/>
    <w:rsid w:val="00AC4B61"/>
    <w:rsid w:val="00AC4D9B"/>
    <w:rsid w:val="00AC53E2"/>
    <w:rsid w:val="00AC55E0"/>
    <w:rsid w:val="00AC5698"/>
    <w:rsid w:val="00AC56A4"/>
    <w:rsid w:val="00AC5726"/>
    <w:rsid w:val="00AC605A"/>
    <w:rsid w:val="00AC608F"/>
    <w:rsid w:val="00AC6195"/>
    <w:rsid w:val="00AC61C5"/>
    <w:rsid w:val="00AC629C"/>
    <w:rsid w:val="00AC6316"/>
    <w:rsid w:val="00AC6506"/>
    <w:rsid w:val="00AC650B"/>
    <w:rsid w:val="00AC679D"/>
    <w:rsid w:val="00AC67C3"/>
    <w:rsid w:val="00AC67E1"/>
    <w:rsid w:val="00AC6994"/>
    <w:rsid w:val="00AC6A1C"/>
    <w:rsid w:val="00AC6AB2"/>
    <w:rsid w:val="00AC6DCD"/>
    <w:rsid w:val="00AC6F87"/>
    <w:rsid w:val="00AC7077"/>
    <w:rsid w:val="00AC7089"/>
    <w:rsid w:val="00AC70BC"/>
    <w:rsid w:val="00AC7170"/>
    <w:rsid w:val="00AC7241"/>
    <w:rsid w:val="00AC7299"/>
    <w:rsid w:val="00AC7329"/>
    <w:rsid w:val="00AC73A8"/>
    <w:rsid w:val="00AC748D"/>
    <w:rsid w:val="00AC762D"/>
    <w:rsid w:val="00AC779C"/>
    <w:rsid w:val="00AC77C6"/>
    <w:rsid w:val="00AC7845"/>
    <w:rsid w:val="00AC7A40"/>
    <w:rsid w:val="00AD00D1"/>
    <w:rsid w:val="00AD017F"/>
    <w:rsid w:val="00AD02FB"/>
    <w:rsid w:val="00AD0382"/>
    <w:rsid w:val="00AD0592"/>
    <w:rsid w:val="00AD05A4"/>
    <w:rsid w:val="00AD07E6"/>
    <w:rsid w:val="00AD0A3F"/>
    <w:rsid w:val="00AD0FC2"/>
    <w:rsid w:val="00AD102B"/>
    <w:rsid w:val="00AD13D0"/>
    <w:rsid w:val="00AD16ED"/>
    <w:rsid w:val="00AD1747"/>
    <w:rsid w:val="00AD17C4"/>
    <w:rsid w:val="00AD199A"/>
    <w:rsid w:val="00AD1A20"/>
    <w:rsid w:val="00AD1BEC"/>
    <w:rsid w:val="00AD1D13"/>
    <w:rsid w:val="00AD1EF1"/>
    <w:rsid w:val="00AD2072"/>
    <w:rsid w:val="00AD20C1"/>
    <w:rsid w:val="00AD2296"/>
    <w:rsid w:val="00AD262A"/>
    <w:rsid w:val="00AD268E"/>
    <w:rsid w:val="00AD2A26"/>
    <w:rsid w:val="00AD2A94"/>
    <w:rsid w:val="00AD2B7E"/>
    <w:rsid w:val="00AD2D4B"/>
    <w:rsid w:val="00AD2DEF"/>
    <w:rsid w:val="00AD2E11"/>
    <w:rsid w:val="00AD303E"/>
    <w:rsid w:val="00AD304A"/>
    <w:rsid w:val="00AD30FA"/>
    <w:rsid w:val="00AD317C"/>
    <w:rsid w:val="00AD31A0"/>
    <w:rsid w:val="00AD31EB"/>
    <w:rsid w:val="00AD34FC"/>
    <w:rsid w:val="00AD363E"/>
    <w:rsid w:val="00AD3CBD"/>
    <w:rsid w:val="00AD3CF9"/>
    <w:rsid w:val="00AD3EF7"/>
    <w:rsid w:val="00AD435D"/>
    <w:rsid w:val="00AD438D"/>
    <w:rsid w:val="00AD44EE"/>
    <w:rsid w:val="00AD4589"/>
    <w:rsid w:val="00AD45A1"/>
    <w:rsid w:val="00AD463D"/>
    <w:rsid w:val="00AD4660"/>
    <w:rsid w:val="00AD486F"/>
    <w:rsid w:val="00AD48AF"/>
    <w:rsid w:val="00AD4A0B"/>
    <w:rsid w:val="00AD4A9A"/>
    <w:rsid w:val="00AD4CAD"/>
    <w:rsid w:val="00AD4DAB"/>
    <w:rsid w:val="00AD4FEC"/>
    <w:rsid w:val="00AD51AD"/>
    <w:rsid w:val="00AD51D1"/>
    <w:rsid w:val="00AD51DA"/>
    <w:rsid w:val="00AD54B5"/>
    <w:rsid w:val="00AD5723"/>
    <w:rsid w:val="00AD5768"/>
    <w:rsid w:val="00AD5886"/>
    <w:rsid w:val="00AD5ADE"/>
    <w:rsid w:val="00AD5C23"/>
    <w:rsid w:val="00AD5CA1"/>
    <w:rsid w:val="00AD5D17"/>
    <w:rsid w:val="00AD5DAD"/>
    <w:rsid w:val="00AD5E2B"/>
    <w:rsid w:val="00AD6017"/>
    <w:rsid w:val="00AD61BD"/>
    <w:rsid w:val="00AD669A"/>
    <w:rsid w:val="00AD6800"/>
    <w:rsid w:val="00AD68DA"/>
    <w:rsid w:val="00AD6B88"/>
    <w:rsid w:val="00AD6D84"/>
    <w:rsid w:val="00AD6E9A"/>
    <w:rsid w:val="00AD7296"/>
    <w:rsid w:val="00AD73ED"/>
    <w:rsid w:val="00AD76EF"/>
    <w:rsid w:val="00AD79C0"/>
    <w:rsid w:val="00AD79EA"/>
    <w:rsid w:val="00AD7AA6"/>
    <w:rsid w:val="00AD7E6C"/>
    <w:rsid w:val="00AE0156"/>
    <w:rsid w:val="00AE0216"/>
    <w:rsid w:val="00AE0295"/>
    <w:rsid w:val="00AE02CD"/>
    <w:rsid w:val="00AE03B9"/>
    <w:rsid w:val="00AE06A0"/>
    <w:rsid w:val="00AE076F"/>
    <w:rsid w:val="00AE0932"/>
    <w:rsid w:val="00AE0947"/>
    <w:rsid w:val="00AE09B5"/>
    <w:rsid w:val="00AE0C33"/>
    <w:rsid w:val="00AE0C41"/>
    <w:rsid w:val="00AE0CB2"/>
    <w:rsid w:val="00AE0CBB"/>
    <w:rsid w:val="00AE0D4E"/>
    <w:rsid w:val="00AE0DB2"/>
    <w:rsid w:val="00AE120D"/>
    <w:rsid w:val="00AE13CE"/>
    <w:rsid w:val="00AE1661"/>
    <w:rsid w:val="00AE174F"/>
    <w:rsid w:val="00AE1D2B"/>
    <w:rsid w:val="00AE1E1A"/>
    <w:rsid w:val="00AE1F62"/>
    <w:rsid w:val="00AE2354"/>
    <w:rsid w:val="00AE23E4"/>
    <w:rsid w:val="00AE2422"/>
    <w:rsid w:val="00AE2479"/>
    <w:rsid w:val="00AE24F5"/>
    <w:rsid w:val="00AE27BF"/>
    <w:rsid w:val="00AE2AA5"/>
    <w:rsid w:val="00AE2D88"/>
    <w:rsid w:val="00AE2DA0"/>
    <w:rsid w:val="00AE2E42"/>
    <w:rsid w:val="00AE312F"/>
    <w:rsid w:val="00AE3348"/>
    <w:rsid w:val="00AE352D"/>
    <w:rsid w:val="00AE3740"/>
    <w:rsid w:val="00AE3A84"/>
    <w:rsid w:val="00AE3A98"/>
    <w:rsid w:val="00AE3AC1"/>
    <w:rsid w:val="00AE3D96"/>
    <w:rsid w:val="00AE40DE"/>
    <w:rsid w:val="00AE42FD"/>
    <w:rsid w:val="00AE44D5"/>
    <w:rsid w:val="00AE44F5"/>
    <w:rsid w:val="00AE4675"/>
    <w:rsid w:val="00AE4897"/>
    <w:rsid w:val="00AE48B4"/>
    <w:rsid w:val="00AE4A13"/>
    <w:rsid w:val="00AE4A85"/>
    <w:rsid w:val="00AE4B24"/>
    <w:rsid w:val="00AE4C27"/>
    <w:rsid w:val="00AE4C5E"/>
    <w:rsid w:val="00AE4C91"/>
    <w:rsid w:val="00AE4D4F"/>
    <w:rsid w:val="00AE4EE0"/>
    <w:rsid w:val="00AE54B0"/>
    <w:rsid w:val="00AE5633"/>
    <w:rsid w:val="00AE56BD"/>
    <w:rsid w:val="00AE56DB"/>
    <w:rsid w:val="00AE59C8"/>
    <w:rsid w:val="00AE605F"/>
    <w:rsid w:val="00AE60E1"/>
    <w:rsid w:val="00AE6180"/>
    <w:rsid w:val="00AE6423"/>
    <w:rsid w:val="00AE6486"/>
    <w:rsid w:val="00AE66F4"/>
    <w:rsid w:val="00AE6785"/>
    <w:rsid w:val="00AE678E"/>
    <w:rsid w:val="00AE67EF"/>
    <w:rsid w:val="00AE6832"/>
    <w:rsid w:val="00AE6891"/>
    <w:rsid w:val="00AE68CD"/>
    <w:rsid w:val="00AE6A2B"/>
    <w:rsid w:val="00AE6B01"/>
    <w:rsid w:val="00AE6BCE"/>
    <w:rsid w:val="00AE6C6D"/>
    <w:rsid w:val="00AE6C84"/>
    <w:rsid w:val="00AE6D7D"/>
    <w:rsid w:val="00AE6E10"/>
    <w:rsid w:val="00AE6E41"/>
    <w:rsid w:val="00AE7026"/>
    <w:rsid w:val="00AE702E"/>
    <w:rsid w:val="00AE78A7"/>
    <w:rsid w:val="00AE7A67"/>
    <w:rsid w:val="00AE7F9C"/>
    <w:rsid w:val="00AF01F1"/>
    <w:rsid w:val="00AF0622"/>
    <w:rsid w:val="00AF0895"/>
    <w:rsid w:val="00AF08E9"/>
    <w:rsid w:val="00AF0CE1"/>
    <w:rsid w:val="00AF0D86"/>
    <w:rsid w:val="00AF10F2"/>
    <w:rsid w:val="00AF11A6"/>
    <w:rsid w:val="00AF124B"/>
    <w:rsid w:val="00AF1598"/>
    <w:rsid w:val="00AF1889"/>
    <w:rsid w:val="00AF1890"/>
    <w:rsid w:val="00AF1C44"/>
    <w:rsid w:val="00AF2175"/>
    <w:rsid w:val="00AF2210"/>
    <w:rsid w:val="00AF2377"/>
    <w:rsid w:val="00AF2652"/>
    <w:rsid w:val="00AF2659"/>
    <w:rsid w:val="00AF26F2"/>
    <w:rsid w:val="00AF2759"/>
    <w:rsid w:val="00AF2B0C"/>
    <w:rsid w:val="00AF3019"/>
    <w:rsid w:val="00AF362B"/>
    <w:rsid w:val="00AF3631"/>
    <w:rsid w:val="00AF370C"/>
    <w:rsid w:val="00AF3808"/>
    <w:rsid w:val="00AF3887"/>
    <w:rsid w:val="00AF3B9F"/>
    <w:rsid w:val="00AF3BBD"/>
    <w:rsid w:val="00AF3C64"/>
    <w:rsid w:val="00AF3E6E"/>
    <w:rsid w:val="00AF3F1B"/>
    <w:rsid w:val="00AF40C3"/>
    <w:rsid w:val="00AF430C"/>
    <w:rsid w:val="00AF44CE"/>
    <w:rsid w:val="00AF4809"/>
    <w:rsid w:val="00AF489E"/>
    <w:rsid w:val="00AF4992"/>
    <w:rsid w:val="00AF49A7"/>
    <w:rsid w:val="00AF4A8A"/>
    <w:rsid w:val="00AF4BC7"/>
    <w:rsid w:val="00AF4D91"/>
    <w:rsid w:val="00AF4DBE"/>
    <w:rsid w:val="00AF5190"/>
    <w:rsid w:val="00AF5217"/>
    <w:rsid w:val="00AF5365"/>
    <w:rsid w:val="00AF5402"/>
    <w:rsid w:val="00AF5751"/>
    <w:rsid w:val="00AF580B"/>
    <w:rsid w:val="00AF5859"/>
    <w:rsid w:val="00AF58C6"/>
    <w:rsid w:val="00AF58D5"/>
    <w:rsid w:val="00AF5A66"/>
    <w:rsid w:val="00AF5CDC"/>
    <w:rsid w:val="00AF5D40"/>
    <w:rsid w:val="00AF5DC6"/>
    <w:rsid w:val="00AF5F27"/>
    <w:rsid w:val="00AF61D3"/>
    <w:rsid w:val="00AF6245"/>
    <w:rsid w:val="00AF633D"/>
    <w:rsid w:val="00AF6638"/>
    <w:rsid w:val="00AF6740"/>
    <w:rsid w:val="00AF67FE"/>
    <w:rsid w:val="00AF6A7D"/>
    <w:rsid w:val="00AF6AF9"/>
    <w:rsid w:val="00AF6B5A"/>
    <w:rsid w:val="00AF6B70"/>
    <w:rsid w:val="00AF6BF0"/>
    <w:rsid w:val="00AF6EF5"/>
    <w:rsid w:val="00AF7020"/>
    <w:rsid w:val="00AF70F9"/>
    <w:rsid w:val="00AF711C"/>
    <w:rsid w:val="00AF71AF"/>
    <w:rsid w:val="00AF7261"/>
    <w:rsid w:val="00AF72DC"/>
    <w:rsid w:val="00AF7441"/>
    <w:rsid w:val="00AF7483"/>
    <w:rsid w:val="00AF78D6"/>
    <w:rsid w:val="00AF7A30"/>
    <w:rsid w:val="00AF7BE0"/>
    <w:rsid w:val="00AF7C25"/>
    <w:rsid w:val="00AF7D38"/>
    <w:rsid w:val="00AF7DEB"/>
    <w:rsid w:val="00AF7F01"/>
    <w:rsid w:val="00B00672"/>
    <w:rsid w:val="00B00724"/>
    <w:rsid w:val="00B00742"/>
    <w:rsid w:val="00B00869"/>
    <w:rsid w:val="00B00929"/>
    <w:rsid w:val="00B00987"/>
    <w:rsid w:val="00B009C4"/>
    <w:rsid w:val="00B00A37"/>
    <w:rsid w:val="00B00AAD"/>
    <w:rsid w:val="00B00BD1"/>
    <w:rsid w:val="00B00C69"/>
    <w:rsid w:val="00B00DA3"/>
    <w:rsid w:val="00B00DDF"/>
    <w:rsid w:val="00B011E1"/>
    <w:rsid w:val="00B0149F"/>
    <w:rsid w:val="00B015B4"/>
    <w:rsid w:val="00B01A53"/>
    <w:rsid w:val="00B01B69"/>
    <w:rsid w:val="00B01D4E"/>
    <w:rsid w:val="00B01D67"/>
    <w:rsid w:val="00B01ED4"/>
    <w:rsid w:val="00B023CD"/>
    <w:rsid w:val="00B023DE"/>
    <w:rsid w:val="00B023F4"/>
    <w:rsid w:val="00B024A3"/>
    <w:rsid w:val="00B02568"/>
    <w:rsid w:val="00B026CE"/>
    <w:rsid w:val="00B026D8"/>
    <w:rsid w:val="00B027EB"/>
    <w:rsid w:val="00B02A7F"/>
    <w:rsid w:val="00B02C4A"/>
    <w:rsid w:val="00B02D33"/>
    <w:rsid w:val="00B02E95"/>
    <w:rsid w:val="00B02EAD"/>
    <w:rsid w:val="00B02F80"/>
    <w:rsid w:val="00B02F97"/>
    <w:rsid w:val="00B030D9"/>
    <w:rsid w:val="00B031E4"/>
    <w:rsid w:val="00B03253"/>
    <w:rsid w:val="00B033A9"/>
    <w:rsid w:val="00B03857"/>
    <w:rsid w:val="00B03906"/>
    <w:rsid w:val="00B03B9A"/>
    <w:rsid w:val="00B03BB6"/>
    <w:rsid w:val="00B03C28"/>
    <w:rsid w:val="00B03C9C"/>
    <w:rsid w:val="00B03DF0"/>
    <w:rsid w:val="00B03F34"/>
    <w:rsid w:val="00B0404B"/>
    <w:rsid w:val="00B0419C"/>
    <w:rsid w:val="00B042E8"/>
    <w:rsid w:val="00B0438A"/>
    <w:rsid w:val="00B04441"/>
    <w:rsid w:val="00B044FA"/>
    <w:rsid w:val="00B045AF"/>
    <w:rsid w:val="00B047E0"/>
    <w:rsid w:val="00B0481F"/>
    <w:rsid w:val="00B0490F"/>
    <w:rsid w:val="00B0495A"/>
    <w:rsid w:val="00B04A73"/>
    <w:rsid w:val="00B04CD6"/>
    <w:rsid w:val="00B04FCA"/>
    <w:rsid w:val="00B05028"/>
    <w:rsid w:val="00B0507A"/>
    <w:rsid w:val="00B050EE"/>
    <w:rsid w:val="00B05359"/>
    <w:rsid w:val="00B0541F"/>
    <w:rsid w:val="00B05BAA"/>
    <w:rsid w:val="00B05BB5"/>
    <w:rsid w:val="00B05C13"/>
    <w:rsid w:val="00B05CB7"/>
    <w:rsid w:val="00B05D7D"/>
    <w:rsid w:val="00B05DBB"/>
    <w:rsid w:val="00B06005"/>
    <w:rsid w:val="00B06263"/>
    <w:rsid w:val="00B0628B"/>
    <w:rsid w:val="00B062CD"/>
    <w:rsid w:val="00B06B37"/>
    <w:rsid w:val="00B06C92"/>
    <w:rsid w:val="00B06CC2"/>
    <w:rsid w:val="00B070A6"/>
    <w:rsid w:val="00B071D0"/>
    <w:rsid w:val="00B071F1"/>
    <w:rsid w:val="00B07346"/>
    <w:rsid w:val="00B074ED"/>
    <w:rsid w:val="00B07709"/>
    <w:rsid w:val="00B0791D"/>
    <w:rsid w:val="00B07C5D"/>
    <w:rsid w:val="00B07CA2"/>
    <w:rsid w:val="00B07EDC"/>
    <w:rsid w:val="00B07F06"/>
    <w:rsid w:val="00B07FC3"/>
    <w:rsid w:val="00B10014"/>
    <w:rsid w:val="00B10375"/>
    <w:rsid w:val="00B103D6"/>
    <w:rsid w:val="00B1055D"/>
    <w:rsid w:val="00B105F4"/>
    <w:rsid w:val="00B10753"/>
    <w:rsid w:val="00B10820"/>
    <w:rsid w:val="00B10908"/>
    <w:rsid w:val="00B109C7"/>
    <w:rsid w:val="00B109C9"/>
    <w:rsid w:val="00B10AE8"/>
    <w:rsid w:val="00B10B73"/>
    <w:rsid w:val="00B10CD3"/>
    <w:rsid w:val="00B10FBE"/>
    <w:rsid w:val="00B11086"/>
    <w:rsid w:val="00B1119C"/>
    <w:rsid w:val="00B11210"/>
    <w:rsid w:val="00B11476"/>
    <w:rsid w:val="00B114B2"/>
    <w:rsid w:val="00B1156B"/>
    <w:rsid w:val="00B1178A"/>
    <w:rsid w:val="00B1184A"/>
    <w:rsid w:val="00B118EB"/>
    <w:rsid w:val="00B11925"/>
    <w:rsid w:val="00B11A5F"/>
    <w:rsid w:val="00B11D23"/>
    <w:rsid w:val="00B11DE9"/>
    <w:rsid w:val="00B11FB4"/>
    <w:rsid w:val="00B1209C"/>
    <w:rsid w:val="00B122C3"/>
    <w:rsid w:val="00B127B7"/>
    <w:rsid w:val="00B128AC"/>
    <w:rsid w:val="00B12B19"/>
    <w:rsid w:val="00B12DE1"/>
    <w:rsid w:val="00B12EE4"/>
    <w:rsid w:val="00B12EE9"/>
    <w:rsid w:val="00B12F7C"/>
    <w:rsid w:val="00B13319"/>
    <w:rsid w:val="00B13450"/>
    <w:rsid w:val="00B134D8"/>
    <w:rsid w:val="00B134EA"/>
    <w:rsid w:val="00B135D0"/>
    <w:rsid w:val="00B13849"/>
    <w:rsid w:val="00B13A64"/>
    <w:rsid w:val="00B13DCF"/>
    <w:rsid w:val="00B13F3F"/>
    <w:rsid w:val="00B13FC5"/>
    <w:rsid w:val="00B14035"/>
    <w:rsid w:val="00B14072"/>
    <w:rsid w:val="00B141F0"/>
    <w:rsid w:val="00B142B7"/>
    <w:rsid w:val="00B142EA"/>
    <w:rsid w:val="00B1451D"/>
    <w:rsid w:val="00B14720"/>
    <w:rsid w:val="00B147A0"/>
    <w:rsid w:val="00B14854"/>
    <w:rsid w:val="00B148B5"/>
    <w:rsid w:val="00B148DC"/>
    <w:rsid w:val="00B14921"/>
    <w:rsid w:val="00B149C0"/>
    <w:rsid w:val="00B14A5B"/>
    <w:rsid w:val="00B14A61"/>
    <w:rsid w:val="00B14ABB"/>
    <w:rsid w:val="00B14B20"/>
    <w:rsid w:val="00B14DCF"/>
    <w:rsid w:val="00B14F77"/>
    <w:rsid w:val="00B15124"/>
    <w:rsid w:val="00B1534B"/>
    <w:rsid w:val="00B153B6"/>
    <w:rsid w:val="00B153D6"/>
    <w:rsid w:val="00B1549F"/>
    <w:rsid w:val="00B156C9"/>
    <w:rsid w:val="00B157B6"/>
    <w:rsid w:val="00B1583F"/>
    <w:rsid w:val="00B1595E"/>
    <w:rsid w:val="00B15A22"/>
    <w:rsid w:val="00B15A99"/>
    <w:rsid w:val="00B15E27"/>
    <w:rsid w:val="00B15ED3"/>
    <w:rsid w:val="00B16004"/>
    <w:rsid w:val="00B16383"/>
    <w:rsid w:val="00B165A3"/>
    <w:rsid w:val="00B166BE"/>
    <w:rsid w:val="00B16771"/>
    <w:rsid w:val="00B168B9"/>
    <w:rsid w:val="00B16B64"/>
    <w:rsid w:val="00B16B94"/>
    <w:rsid w:val="00B16C06"/>
    <w:rsid w:val="00B16D72"/>
    <w:rsid w:val="00B16E29"/>
    <w:rsid w:val="00B1702D"/>
    <w:rsid w:val="00B170EF"/>
    <w:rsid w:val="00B172BE"/>
    <w:rsid w:val="00B1751B"/>
    <w:rsid w:val="00B1753B"/>
    <w:rsid w:val="00B175D8"/>
    <w:rsid w:val="00B17742"/>
    <w:rsid w:val="00B1777C"/>
    <w:rsid w:val="00B17CD4"/>
    <w:rsid w:val="00B17E8C"/>
    <w:rsid w:val="00B17EAB"/>
    <w:rsid w:val="00B17FBF"/>
    <w:rsid w:val="00B206E5"/>
    <w:rsid w:val="00B20720"/>
    <w:rsid w:val="00B20770"/>
    <w:rsid w:val="00B208D0"/>
    <w:rsid w:val="00B20BB3"/>
    <w:rsid w:val="00B20EDC"/>
    <w:rsid w:val="00B2136F"/>
    <w:rsid w:val="00B215F9"/>
    <w:rsid w:val="00B2167B"/>
    <w:rsid w:val="00B21BA8"/>
    <w:rsid w:val="00B21BBA"/>
    <w:rsid w:val="00B21BE2"/>
    <w:rsid w:val="00B21F07"/>
    <w:rsid w:val="00B220D2"/>
    <w:rsid w:val="00B2227D"/>
    <w:rsid w:val="00B222A0"/>
    <w:rsid w:val="00B22437"/>
    <w:rsid w:val="00B2245E"/>
    <w:rsid w:val="00B2253C"/>
    <w:rsid w:val="00B2289C"/>
    <w:rsid w:val="00B22BC2"/>
    <w:rsid w:val="00B22E62"/>
    <w:rsid w:val="00B22F30"/>
    <w:rsid w:val="00B22FA0"/>
    <w:rsid w:val="00B22FC5"/>
    <w:rsid w:val="00B230E4"/>
    <w:rsid w:val="00B23108"/>
    <w:rsid w:val="00B23260"/>
    <w:rsid w:val="00B23576"/>
    <w:rsid w:val="00B23617"/>
    <w:rsid w:val="00B238C3"/>
    <w:rsid w:val="00B2390E"/>
    <w:rsid w:val="00B23DE3"/>
    <w:rsid w:val="00B24035"/>
    <w:rsid w:val="00B24069"/>
    <w:rsid w:val="00B24686"/>
    <w:rsid w:val="00B24750"/>
    <w:rsid w:val="00B2486B"/>
    <w:rsid w:val="00B249E4"/>
    <w:rsid w:val="00B24AE6"/>
    <w:rsid w:val="00B24BB9"/>
    <w:rsid w:val="00B24BC9"/>
    <w:rsid w:val="00B24CE7"/>
    <w:rsid w:val="00B24E02"/>
    <w:rsid w:val="00B24E52"/>
    <w:rsid w:val="00B24FDD"/>
    <w:rsid w:val="00B2503F"/>
    <w:rsid w:val="00B250B7"/>
    <w:rsid w:val="00B253AA"/>
    <w:rsid w:val="00B256D0"/>
    <w:rsid w:val="00B25892"/>
    <w:rsid w:val="00B25951"/>
    <w:rsid w:val="00B25B6B"/>
    <w:rsid w:val="00B25B80"/>
    <w:rsid w:val="00B25DE4"/>
    <w:rsid w:val="00B25EAD"/>
    <w:rsid w:val="00B25ECC"/>
    <w:rsid w:val="00B262A4"/>
    <w:rsid w:val="00B262C8"/>
    <w:rsid w:val="00B26364"/>
    <w:rsid w:val="00B263EC"/>
    <w:rsid w:val="00B2646F"/>
    <w:rsid w:val="00B265FE"/>
    <w:rsid w:val="00B269B8"/>
    <w:rsid w:val="00B26AE1"/>
    <w:rsid w:val="00B26B0F"/>
    <w:rsid w:val="00B26B61"/>
    <w:rsid w:val="00B26B9C"/>
    <w:rsid w:val="00B26BC3"/>
    <w:rsid w:val="00B26CE6"/>
    <w:rsid w:val="00B26EF7"/>
    <w:rsid w:val="00B276FC"/>
    <w:rsid w:val="00B27805"/>
    <w:rsid w:val="00B279EA"/>
    <w:rsid w:val="00B27B1D"/>
    <w:rsid w:val="00B27C9F"/>
    <w:rsid w:val="00B27CE1"/>
    <w:rsid w:val="00B300AC"/>
    <w:rsid w:val="00B30239"/>
    <w:rsid w:val="00B30398"/>
    <w:rsid w:val="00B3044C"/>
    <w:rsid w:val="00B30578"/>
    <w:rsid w:val="00B3069C"/>
    <w:rsid w:val="00B30789"/>
    <w:rsid w:val="00B308C7"/>
    <w:rsid w:val="00B309F8"/>
    <w:rsid w:val="00B30E04"/>
    <w:rsid w:val="00B30E40"/>
    <w:rsid w:val="00B3108A"/>
    <w:rsid w:val="00B310F6"/>
    <w:rsid w:val="00B31254"/>
    <w:rsid w:val="00B312D5"/>
    <w:rsid w:val="00B312DF"/>
    <w:rsid w:val="00B312F9"/>
    <w:rsid w:val="00B313D4"/>
    <w:rsid w:val="00B31414"/>
    <w:rsid w:val="00B3145B"/>
    <w:rsid w:val="00B315F7"/>
    <w:rsid w:val="00B31645"/>
    <w:rsid w:val="00B317A1"/>
    <w:rsid w:val="00B31804"/>
    <w:rsid w:val="00B31A57"/>
    <w:rsid w:val="00B31AA2"/>
    <w:rsid w:val="00B31AF4"/>
    <w:rsid w:val="00B31B7C"/>
    <w:rsid w:val="00B31C06"/>
    <w:rsid w:val="00B31D0B"/>
    <w:rsid w:val="00B31DD2"/>
    <w:rsid w:val="00B31E8D"/>
    <w:rsid w:val="00B31EB3"/>
    <w:rsid w:val="00B31FF6"/>
    <w:rsid w:val="00B32067"/>
    <w:rsid w:val="00B321CB"/>
    <w:rsid w:val="00B3224E"/>
    <w:rsid w:val="00B32335"/>
    <w:rsid w:val="00B3235E"/>
    <w:rsid w:val="00B323BE"/>
    <w:rsid w:val="00B323E8"/>
    <w:rsid w:val="00B324E1"/>
    <w:rsid w:val="00B32603"/>
    <w:rsid w:val="00B32A47"/>
    <w:rsid w:val="00B32BAC"/>
    <w:rsid w:val="00B32EDA"/>
    <w:rsid w:val="00B33179"/>
    <w:rsid w:val="00B33259"/>
    <w:rsid w:val="00B33348"/>
    <w:rsid w:val="00B33370"/>
    <w:rsid w:val="00B3348C"/>
    <w:rsid w:val="00B335E4"/>
    <w:rsid w:val="00B3399F"/>
    <w:rsid w:val="00B339D6"/>
    <w:rsid w:val="00B33C92"/>
    <w:rsid w:val="00B33DB3"/>
    <w:rsid w:val="00B3403A"/>
    <w:rsid w:val="00B34238"/>
    <w:rsid w:val="00B343AC"/>
    <w:rsid w:val="00B34411"/>
    <w:rsid w:val="00B34600"/>
    <w:rsid w:val="00B34B7D"/>
    <w:rsid w:val="00B34DB5"/>
    <w:rsid w:val="00B34DD3"/>
    <w:rsid w:val="00B34F6A"/>
    <w:rsid w:val="00B350A1"/>
    <w:rsid w:val="00B351F3"/>
    <w:rsid w:val="00B352C8"/>
    <w:rsid w:val="00B35427"/>
    <w:rsid w:val="00B3548A"/>
    <w:rsid w:val="00B356B5"/>
    <w:rsid w:val="00B35804"/>
    <w:rsid w:val="00B358A8"/>
    <w:rsid w:val="00B35AEC"/>
    <w:rsid w:val="00B35B58"/>
    <w:rsid w:val="00B35EE5"/>
    <w:rsid w:val="00B35FA0"/>
    <w:rsid w:val="00B36344"/>
    <w:rsid w:val="00B36515"/>
    <w:rsid w:val="00B3661C"/>
    <w:rsid w:val="00B3666E"/>
    <w:rsid w:val="00B367A1"/>
    <w:rsid w:val="00B36B0E"/>
    <w:rsid w:val="00B36B42"/>
    <w:rsid w:val="00B36B4E"/>
    <w:rsid w:val="00B36B62"/>
    <w:rsid w:val="00B36BDD"/>
    <w:rsid w:val="00B36D05"/>
    <w:rsid w:val="00B36D66"/>
    <w:rsid w:val="00B37471"/>
    <w:rsid w:val="00B3747C"/>
    <w:rsid w:val="00B37907"/>
    <w:rsid w:val="00B37C2A"/>
    <w:rsid w:val="00B37DFA"/>
    <w:rsid w:val="00B37E53"/>
    <w:rsid w:val="00B400E6"/>
    <w:rsid w:val="00B404C9"/>
    <w:rsid w:val="00B40581"/>
    <w:rsid w:val="00B4062F"/>
    <w:rsid w:val="00B40721"/>
    <w:rsid w:val="00B40739"/>
    <w:rsid w:val="00B40788"/>
    <w:rsid w:val="00B40A3A"/>
    <w:rsid w:val="00B40B9B"/>
    <w:rsid w:val="00B40C66"/>
    <w:rsid w:val="00B40C70"/>
    <w:rsid w:val="00B40F43"/>
    <w:rsid w:val="00B40F61"/>
    <w:rsid w:val="00B410F1"/>
    <w:rsid w:val="00B411BC"/>
    <w:rsid w:val="00B414C8"/>
    <w:rsid w:val="00B41617"/>
    <w:rsid w:val="00B41667"/>
    <w:rsid w:val="00B417B1"/>
    <w:rsid w:val="00B41A77"/>
    <w:rsid w:val="00B41E89"/>
    <w:rsid w:val="00B41ED8"/>
    <w:rsid w:val="00B41F41"/>
    <w:rsid w:val="00B42881"/>
    <w:rsid w:val="00B42B2F"/>
    <w:rsid w:val="00B42B49"/>
    <w:rsid w:val="00B42CA6"/>
    <w:rsid w:val="00B42CC6"/>
    <w:rsid w:val="00B42DAA"/>
    <w:rsid w:val="00B42DE2"/>
    <w:rsid w:val="00B42E35"/>
    <w:rsid w:val="00B43265"/>
    <w:rsid w:val="00B4335A"/>
    <w:rsid w:val="00B434F4"/>
    <w:rsid w:val="00B435EC"/>
    <w:rsid w:val="00B4364F"/>
    <w:rsid w:val="00B43B18"/>
    <w:rsid w:val="00B43BBD"/>
    <w:rsid w:val="00B43C95"/>
    <w:rsid w:val="00B43EE6"/>
    <w:rsid w:val="00B43FFA"/>
    <w:rsid w:val="00B4426D"/>
    <w:rsid w:val="00B444A2"/>
    <w:rsid w:val="00B44CF6"/>
    <w:rsid w:val="00B45258"/>
    <w:rsid w:val="00B45267"/>
    <w:rsid w:val="00B452A7"/>
    <w:rsid w:val="00B4543E"/>
    <w:rsid w:val="00B45481"/>
    <w:rsid w:val="00B45557"/>
    <w:rsid w:val="00B455A2"/>
    <w:rsid w:val="00B459EB"/>
    <w:rsid w:val="00B459F0"/>
    <w:rsid w:val="00B45A00"/>
    <w:rsid w:val="00B45BE7"/>
    <w:rsid w:val="00B45E98"/>
    <w:rsid w:val="00B4635C"/>
    <w:rsid w:val="00B4639D"/>
    <w:rsid w:val="00B463AB"/>
    <w:rsid w:val="00B463D7"/>
    <w:rsid w:val="00B4659F"/>
    <w:rsid w:val="00B465D7"/>
    <w:rsid w:val="00B46939"/>
    <w:rsid w:val="00B46AE6"/>
    <w:rsid w:val="00B46B13"/>
    <w:rsid w:val="00B46C53"/>
    <w:rsid w:val="00B46D10"/>
    <w:rsid w:val="00B46E15"/>
    <w:rsid w:val="00B46E21"/>
    <w:rsid w:val="00B46E72"/>
    <w:rsid w:val="00B4700A"/>
    <w:rsid w:val="00B470AC"/>
    <w:rsid w:val="00B47248"/>
    <w:rsid w:val="00B4728A"/>
    <w:rsid w:val="00B472E5"/>
    <w:rsid w:val="00B4739D"/>
    <w:rsid w:val="00B473B8"/>
    <w:rsid w:val="00B479BE"/>
    <w:rsid w:val="00B47DDF"/>
    <w:rsid w:val="00B47E13"/>
    <w:rsid w:val="00B47E8E"/>
    <w:rsid w:val="00B47E93"/>
    <w:rsid w:val="00B5005F"/>
    <w:rsid w:val="00B503CD"/>
    <w:rsid w:val="00B50676"/>
    <w:rsid w:val="00B50F4E"/>
    <w:rsid w:val="00B50FE6"/>
    <w:rsid w:val="00B51101"/>
    <w:rsid w:val="00B51102"/>
    <w:rsid w:val="00B512C4"/>
    <w:rsid w:val="00B51373"/>
    <w:rsid w:val="00B515B5"/>
    <w:rsid w:val="00B515FA"/>
    <w:rsid w:val="00B51768"/>
    <w:rsid w:val="00B518B9"/>
    <w:rsid w:val="00B51985"/>
    <w:rsid w:val="00B51A82"/>
    <w:rsid w:val="00B51D92"/>
    <w:rsid w:val="00B51F63"/>
    <w:rsid w:val="00B51F6A"/>
    <w:rsid w:val="00B520AA"/>
    <w:rsid w:val="00B5211B"/>
    <w:rsid w:val="00B52132"/>
    <w:rsid w:val="00B521C5"/>
    <w:rsid w:val="00B5239B"/>
    <w:rsid w:val="00B5265F"/>
    <w:rsid w:val="00B52A1B"/>
    <w:rsid w:val="00B52AE1"/>
    <w:rsid w:val="00B52CE8"/>
    <w:rsid w:val="00B52F99"/>
    <w:rsid w:val="00B52FE1"/>
    <w:rsid w:val="00B53093"/>
    <w:rsid w:val="00B532B5"/>
    <w:rsid w:val="00B53327"/>
    <w:rsid w:val="00B5347C"/>
    <w:rsid w:val="00B537C9"/>
    <w:rsid w:val="00B5382F"/>
    <w:rsid w:val="00B53C2E"/>
    <w:rsid w:val="00B53C58"/>
    <w:rsid w:val="00B53D10"/>
    <w:rsid w:val="00B53F81"/>
    <w:rsid w:val="00B53FAF"/>
    <w:rsid w:val="00B53FD8"/>
    <w:rsid w:val="00B5403E"/>
    <w:rsid w:val="00B541A8"/>
    <w:rsid w:val="00B5425F"/>
    <w:rsid w:val="00B5459C"/>
    <w:rsid w:val="00B546FA"/>
    <w:rsid w:val="00B54703"/>
    <w:rsid w:val="00B549A4"/>
    <w:rsid w:val="00B54A62"/>
    <w:rsid w:val="00B54B7A"/>
    <w:rsid w:val="00B54B93"/>
    <w:rsid w:val="00B54BA6"/>
    <w:rsid w:val="00B54CBE"/>
    <w:rsid w:val="00B54EBD"/>
    <w:rsid w:val="00B54F41"/>
    <w:rsid w:val="00B5558F"/>
    <w:rsid w:val="00B55668"/>
    <w:rsid w:val="00B5574C"/>
    <w:rsid w:val="00B558EC"/>
    <w:rsid w:val="00B559AC"/>
    <w:rsid w:val="00B55AE4"/>
    <w:rsid w:val="00B55BE7"/>
    <w:rsid w:val="00B55DFC"/>
    <w:rsid w:val="00B55F15"/>
    <w:rsid w:val="00B55FE2"/>
    <w:rsid w:val="00B5673D"/>
    <w:rsid w:val="00B56AD4"/>
    <w:rsid w:val="00B56D20"/>
    <w:rsid w:val="00B56EF6"/>
    <w:rsid w:val="00B56FCA"/>
    <w:rsid w:val="00B5712F"/>
    <w:rsid w:val="00B572D6"/>
    <w:rsid w:val="00B57650"/>
    <w:rsid w:val="00B576CA"/>
    <w:rsid w:val="00B57BF8"/>
    <w:rsid w:val="00B57C3E"/>
    <w:rsid w:val="00B57CEE"/>
    <w:rsid w:val="00B57E6C"/>
    <w:rsid w:val="00B57E81"/>
    <w:rsid w:val="00B57F3E"/>
    <w:rsid w:val="00B57F63"/>
    <w:rsid w:val="00B6056E"/>
    <w:rsid w:val="00B60691"/>
    <w:rsid w:val="00B609C8"/>
    <w:rsid w:val="00B60A42"/>
    <w:rsid w:val="00B60AF0"/>
    <w:rsid w:val="00B60DBD"/>
    <w:rsid w:val="00B60DDB"/>
    <w:rsid w:val="00B60ECF"/>
    <w:rsid w:val="00B60F73"/>
    <w:rsid w:val="00B60FAD"/>
    <w:rsid w:val="00B61157"/>
    <w:rsid w:val="00B619B5"/>
    <w:rsid w:val="00B61A67"/>
    <w:rsid w:val="00B61CCD"/>
    <w:rsid w:val="00B61F88"/>
    <w:rsid w:val="00B61FCD"/>
    <w:rsid w:val="00B621C6"/>
    <w:rsid w:val="00B621E2"/>
    <w:rsid w:val="00B6282F"/>
    <w:rsid w:val="00B62952"/>
    <w:rsid w:val="00B62AE9"/>
    <w:rsid w:val="00B62E6F"/>
    <w:rsid w:val="00B63632"/>
    <w:rsid w:val="00B636E8"/>
    <w:rsid w:val="00B639D5"/>
    <w:rsid w:val="00B63B21"/>
    <w:rsid w:val="00B63D00"/>
    <w:rsid w:val="00B63D36"/>
    <w:rsid w:val="00B63F27"/>
    <w:rsid w:val="00B63F51"/>
    <w:rsid w:val="00B63F6A"/>
    <w:rsid w:val="00B63FBE"/>
    <w:rsid w:val="00B640D8"/>
    <w:rsid w:val="00B64119"/>
    <w:rsid w:val="00B643C0"/>
    <w:rsid w:val="00B644F4"/>
    <w:rsid w:val="00B64570"/>
    <w:rsid w:val="00B6457D"/>
    <w:rsid w:val="00B647D6"/>
    <w:rsid w:val="00B64948"/>
    <w:rsid w:val="00B64B88"/>
    <w:rsid w:val="00B64D0E"/>
    <w:rsid w:val="00B64DC5"/>
    <w:rsid w:val="00B64F84"/>
    <w:rsid w:val="00B64F9B"/>
    <w:rsid w:val="00B64FC9"/>
    <w:rsid w:val="00B651DF"/>
    <w:rsid w:val="00B651E0"/>
    <w:rsid w:val="00B6530B"/>
    <w:rsid w:val="00B65377"/>
    <w:rsid w:val="00B65474"/>
    <w:rsid w:val="00B658B5"/>
    <w:rsid w:val="00B65A02"/>
    <w:rsid w:val="00B65B65"/>
    <w:rsid w:val="00B65C40"/>
    <w:rsid w:val="00B65DD7"/>
    <w:rsid w:val="00B65E21"/>
    <w:rsid w:val="00B66145"/>
    <w:rsid w:val="00B661A5"/>
    <w:rsid w:val="00B66304"/>
    <w:rsid w:val="00B66794"/>
    <w:rsid w:val="00B66D3A"/>
    <w:rsid w:val="00B66E36"/>
    <w:rsid w:val="00B66F31"/>
    <w:rsid w:val="00B66F90"/>
    <w:rsid w:val="00B670BF"/>
    <w:rsid w:val="00B6713F"/>
    <w:rsid w:val="00B6727F"/>
    <w:rsid w:val="00B672C6"/>
    <w:rsid w:val="00B672EF"/>
    <w:rsid w:val="00B673CE"/>
    <w:rsid w:val="00B6742F"/>
    <w:rsid w:val="00B6766A"/>
    <w:rsid w:val="00B677BE"/>
    <w:rsid w:val="00B678F5"/>
    <w:rsid w:val="00B67BD1"/>
    <w:rsid w:val="00B67CBB"/>
    <w:rsid w:val="00B70237"/>
    <w:rsid w:val="00B70290"/>
    <w:rsid w:val="00B70527"/>
    <w:rsid w:val="00B706DA"/>
    <w:rsid w:val="00B70B30"/>
    <w:rsid w:val="00B70BB6"/>
    <w:rsid w:val="00B70DAE"/>
    <w:rsid w:val="00B70E8C"/>
    <w:rsid w:val="00B71193"/>
    <w:rsid w:val="00B716B9"/>
    <w:rsid w:val="00B719A6"/>
    <w:rsid w:val="00B71ACB"/>
    <w:rsid w:val="00B71DEE"/>
    <w:rsid w:val="00B7234F"/>
    <w:rsid w:val="00B72399"/>
    <w:rsid w:val="00B723D0"/>
    <w:rsid w:val="00B724A5"/>
    <w:rsid w:val="00B724F7"/>
    <w:rsid w:val="00B725EC"/>
    <w:rsid w:val="00B72707"/>
    <w:rsid w:val="00B729B6"/>
    <w:rsid w:val="00B72FDD"/>
    <w:rsid w:val="00B73236"/>
    <w:rsid w:val="00B73351"/>
    <w:rsid w:val="00B73403"/>
    <w:rsid w:val="00B734A2"/>
    <w:rsid w:val="00B734AE"/>
    <w:rsid w:val="00B73633"/>
    <w:rsid w:val="00B73734"/>
    <w:rsid w:val="00B737BC"/>
    <w:rsid w:val="00B73A0C"/>
    <w:rsid w:val="00B73A8E"/>
    <w:rsid w:val="00B74010"/>
    <w:rsid w:val="00B742FA"/>
    <w:rsid w:val="00B74434"/>
    <w:rsid w:val="00B744DF"/>
    <w:rsid w:val="00B74536"/>
    <w:rsid w:val="00B746C3"/>
    <w:rsid w:val="00B749F7"/>
    <w:rsid w:val="00B74B4F"/>
    <w:rsid w:val="00B74CCB"/>
    <w:rsid w:val="00B74D4D"/>
    <w:rsid w:val="00B74F69"/>
    <w:rsid w:val="00B7511D"/>
    <w:rsid w:val="00B7517A"/>
    <w:rsid w:val="00B751BC"/>
    <w:rsid w:val="00B7523E"/>
    <w:rsid w:val="00B7536D"/>
    <w:rsid w:val="00B7546C"/>
    <w:rsid w:val="00B7556B"/>
    <w:rsid w:val="00B75673"/>
    <w:rsid w:val="00B7584B"/>
    <w:rsid w:val="00B75904"/>
    <w:rsid w:val="00B759D2"/>
    <w:rsid w:val="00B75AB2"/>
    <w:rsid w:val="00B75AB8"/>
    <w:rsid w:val="00B75C48"/>
    <w:rsid w:val="00B75CFC"/>
    <w:rsid w:val="00B75DB9"/>
    <w:rsid w:val="00B75E8F"/>
    <w:rsid w:val="00B75F07"/>
    <w:rsid w:val="00B760CB"/>
    <w:rsid w:val="00B763A9"/>
    <w:rsid w:val="00B763BC"/>
    <w:rsid w:val="00B763D2"/>
    <w:rsid w:val="00B76423"/>
    <w:rsid w:val="00B76712"/>
    <w:rsid w:val="00B76A09"/>
    <w:rsid w:val="00B76C79"/>
    <w:rsid w:val="00B76C94"/>
    <w:rsid w:val="00B76DE0"/>
    <w:rsid w:val="00B76E54"/>
    <w:rsid w:val="00B7722E"/>
    <w:rsid w:val="00B7734C"/>
    <w:rsid w:val="00B773D0"/>
    <w:rsid w:val="00B773EE"/>
    <w:rsid w:val="00B774AD"/>
    <w:rsid w:val="00B7751C"/>
    <w:rsid w:val="00B7767E"/>
    <w:rsid w:val="00B777ED"/>
    <w:rsid w:val="00B777F6"/>
    <w:rsid w:val="00B77FAD"/>
    <w:rsid w:val="00B77FDD"/>
    <w:rsid w:val="00B80384"/>
    <w:rsid w:val="00B805E9"/>
    <w:rsid w:val="00B80683"/>
    <w:rsid w:val="00B80767"/>
    <w:rsid w:val="00B8077C"/>
    <w:rsid w:val="00B80A5D"/>
    <w:rsid w:val="00B80DB6"/>
    <w:rsid w:val="00B80EFC"/>
    <w:rsid w:val="00B810A4"/>
    <w:rsid w:val="00B8111C"/>
    <w:rsid w:val="00B8112F"/>
    <w:rsid w:val="00B81140"/>
    <w:rsid w:val="00B8122F"/>
    <w:rsid w:val="00B812AB"/>
    <w:rsid w:val="00B812D9"/>
    <w:rsid w:val="00B818AF"/>
    <w:rsid w:val="00B818C1"/>
    <w:rsid w:val="00B8198C"/>
    <w:rsid w:val="00B81AD8"/>
    <w:rsid w:val="00B81DB9"/>
    <w:rsid w:val="00B81E83"/>
    <w:rsid w:val="00B81E98"/>
    <w:rsid w:val="00B81FAB"/>
    <w:rsid w:val="00B820C7"/>
    <w:rsid w:val="00B82146"/>
    <w:rsid w:val="00B82171"/>
    <w:rsid w:val="00B824A4"/>
    <w:rsid w:val="00B827B8"/>
    <w:rsid w:val="00B828B6"/>
    <w:rsid w:val="00B82B19"/>
    <w:rsid w:val="00B82E1D"/>
    <w:rsid w:val="00B830B7"/>
    <w:rsid w:val="00B831C7"/>
    <w:rsid w:val="00B83204"/>
    <w:rsid w:val="00B8330B"/>
    <w:rsid w:val="00B834F4"/>
    <w:rsid w:val="00B8363D"/>
    <w:rsid w:val="00B837BB"/>
    <w:rsid w:val="00B837C6"/>
    <w:rsid w:val="00B83803"/>
    <w:rsid w:val="00B838B3"/>
    <w:rsid w:val="00B839E0"/>
    <w:rsid w:val="00B83A4D"/>
    <w:rsid w:val="00B83C55"/>
    <w:rsid w:val="00B83D7E"/>
    <w:rsid w:val="00B83EC7"/>
    <w:rsid w:val="00B83F8C"/>
    <w:rsid w:val="00B8420A"/>
    <w:rsid w:val="00B8443A"/>
    <w:rsid w:val="00B84551"/>
    <w:rsid w:val="00B84694"/>
    <w:rsid w:val="00B846A6"/>
    <w:rsid w:val="00B846D9"/>
    <w:rsid w:val="00B848AC"/>
    <w:rsid w:val="00B84B46"/>
    <w:rsid w:val="00B84C24"/>
    <w:rsid w:val="00B84C98"/>
    <w:rsid w:val="00B854B6"/>
    <w:rsid w:val="00B859FC"/>
    <w:rsid w:val="00B85A3F"/>
    <w:rsid w:val="00B85A80"/>
    <w:rsid w:val="00B85AD0"/>
    <w:rsid w:val="00B85B27"/>
    <w:rsid w:val="00B85B62"/>
    <w:rsid w:val="00B85C01"/>
    <w:rsid w:val="00B85C4D"/>
    <w:rsid w:val="00B85E20"/>
    <w:rsid w:val="00B85EDC"/>
    <w:rsid w:val="00B8642A"/>
    <w:rsid w:val="00B86738"/>
    <w:rsid w:val="00B86783"/>
    <w:rsid w:val="00B86984"/>
    <w:rsid w:val="00B86B31"/>
    <w:rsid w:val="00B86CB8"/>
    <w:rsid w:val="00B86D55"/>
    <w:rsid w:val="00B86FDF"/>
    <w:rsid w:val="00B87044"/>
    <w:rsid w:val="00B87163"/>
    <w:rsid w:val="00B87187"/>
    <w:rsid w:val="00B87515"/>
    <w:rsid w:val="00B878B0"/>
    <w:rsid w:val="00B87938"/>
    <w:rsid w:val="00B87AA3"/>
    <w:rsid w:val="00B87E51"/>
    <w:rsid w:val="00B87EB9"/>
    <w:rsid w:val="00B9002C"/>
    <w:rsid w:val="00B90081"/>
    <w:rsid w:val="00B90677"/>
    <w:rsid w:val="00B907FB"/>
    <w:rsid w:val="00B90B54"/>
    <w:rsid w:val="00B90C07"/>
    <w:rsid w:val="00B90C95"/>
    <w:rsid w:val="00B90E1B"/>
    <w:rsid w:val="00B90F4F"/>
    <w:rsid w:val="00B9103D"/>
    <w:rsid w:val="00B9106D"/>
    <w:rsid w:val="00B9107E"/>
    <w:rsid w:val="00B9118D"/>
    <w:rsid w:val="00B91474"/>
    <w:rsid w:val="00B916C2"/>
    <w:rsid w:val="00B91897"/>
    <w:rsid w:val="00B91A44"/>
    <w:rsid w:val="00B91B04"/>
    <w:rsid w:val="00B91BAF"/>
    <w:rsid w:val="00B91CD8"/>
    <w:rsid w:val="00B91D97"/>
    <w:rsid w:val="00B91F17"/>
    <w:rsid w:val="00B91FCC"/>
    <w:rsid w:val="00B9232B"/>
    <w:rsid w:val="00B924A3"/>
    <w:rsid w:val="00B925A8"/>
    <w:rsid w:val="00B9261A"/>
    <w:rsid w:val="00B92975"/>
    <w:rsid w:val="00B92977"/>
    <w:rsid w:val="00B92A28"/>
    <w:rsid w:val="00B92AC4"/>
    <w:rsid w:val="00B92CEC"/>
    <w:rsid w:val="00B92D7C"/>
    <w:rsid w:val="00B92DE1"/>
    <w:rsid w:val="00B92DF8"/>
    <w:rsid w:val="00B93223"/>
    <w:rsid w:val="00B932DC"/>
    <w:rsid w:val="00B935F4"/>
    <w:rsid w:val="00B936D3"/>
    <w:rsid w:val="00B937AF"/>
    <w:rsid w:val="00B937E7"/>
    <w:rsid w:val="00B93917"/>
    <w:rsid w:val="00B93B50"/>
    <w:rsid w:val="00B93BAC"/>
    <w:rsid w:val="00B93D79"/>
    <w:rsid w:val="00B93E12"/>
    <w:rsid w:val="00B94682"/>
    <w:rsid w:val="00B9476D"/>
    <w:rsid w:val="00B948E7"/>
    <w:rsid w:val="00B94B7A"/>
    <w:rsid w:val="00B94C87"/>
    <w:rsid w:val="00B94CB6"/>
    <w:rsid w:val="00B94EC7"/>
    <w:rsid w:val="00B9521C"/>
    <w:rsid w:val="00B9531C"/>
    <w:rsid w:val="00B959BD"/>
    <w:rsid w:val="00B95ACB"/>
    <w:rsid w:val="00B95AD9"/>
    <w:rsid w:val="00B95B8A"/>
    <w:rsid w:val="00B95BCC"/>
    <w:rsid w:val="00B95DA2"/>
    <w:rsid w:val="00B95EA7"/>
    <w:rsid w:val="00B95F19"/>
    <w:rsid w:val="00B960EC"/>
    <w:rsid w:val="00B96151"/>
    <w:rsid w:val="00B961C7"/>
    <w:rsid w:val="00B9631C"/>
    <w:rsid w:val="00B96340"/>
    <w:rsid w:val="00B964A9"/>
    <w:rsid w:val="00B964FB"/>
    <w:rsid w:val="00B965E4"/>
    <w:rsid w:val="00B96824"/>
    <w:rsid w:val="00B968BE"/>
    <w:rsid w:val="00B96A0F"/>
    <w:rsid w:val="00B96B0E"/>
    <w:rsid w:val="00B96B5C"/>
    <w:rsid w:val="00B96D56"/>
    <w:rsid w:val="00B96D78"/>
    <w:rsid w:val="00B96DB7"/>
    <w:rsid w:val="00B96DD2"/>
    <w:rsid w:val="00B96F0A"/>
    <w:rsid w:val="00B96FAF"/>
    <w:rsid w:val="00B9780E"/>
    <w:rsid w:val="00B978AF"/>
    <w:rsid w:val="00B97988"/>
    <w:rsid w:val="00B97A49"/>
    <w:rsid w:val="00B97B98"/>
    <w:rsid w:val="00B97E2E"/>
    <w:rsid w:val="00B97E59"/>
    <w:rsid w:val="00BA067C"/>
    <w:rsid w:val="00BA077B"/>
    <w:rsid w:val="00BA087B"/>
    <w:rsid w:val="00BA0A0F"/>
    <w:rsid w:val="00BA0A30"/>
    <w:rsid w:val="00BA0A4B"/>
    <w:rsid w:val="00BA0D32"/>
    <w:rsid w:val="00BA0E34"/>
    <w:rsid w:val="00BA1059"/>
    <w:rsid w:val="00BA11CF"/>
    <w:rsid w:val="00BA11E3"/>
    <w:rsid w:val="00BA1651"/>
    <w:rsid w:val="00BA1721"/>
    <w:rsid w:val="00BA1945"/>
    <w:rsid w:val="00BA1A2A"/>
    <w:rsid w:val="00BA1BF8"/>
    <w:rsid w:val="00BA1CDE"/>
    <w:rsid w:val="00BA1DB1"/>
    <w:rsid w:val="00BA1ECF"/>
    <w:rsid w:val="00BA1EF5"/>
    <w:rsid w:val="00BA211F"/>
    <w:rsid w:val="00BA2193"/>
    <w:rsid w:val="00BA21F4"/>
    <w:rsid w:val="00BA2527"/>
    <w:rsid w:val="00BA2550"/>
    <w:rsid w:val="00BA2551"/>
    <w:rsid w:val="00BA2578"/>
    <w:rsid w:val="00BA25B9"/>
    <w:rsid w:val="00BA2858"/>
    <w:rsid w:val="00BA29BF"/>
    <w:rsid w:val="00BA29D4"/>
    <w:rsid w:val="00BA2BE7"/>
    <w:rsid w:val="00BA2D77"/>
    <w:rsid w:val="00BA2D9F"/>
    <w:rsid w:val="00BA2DD8"/>
    <w:rsid w:val="00BA2DDE"/>
    <w:rsid w:val="00BA2E10"/>
    <w:rsid w:val="00BA2EA6"/>
    <w:rsid w:val="00BA2F31"/>
    <w:rsid w:val="00BA2F6D"/>
    <w:rsid w:val="00BA3046"/>
    <w:rsid w:val="00BA30C2"/>
    <w:rsid w:val="00BA3578"/>
    <w:rsid w:val="00BA367F"/>
    <w:rsid w:val="00BA387B"/>
    <w:rsid w:val="00BA3923"/>
    <w:rsid w:val="00BA39B7"/>
    <w:rsid w:val="00BA3B95"/>
    <w:rsid w:val="00BA3D5C"/>
    <w:rsid w:val="00BA3D86"/>
    <w:rsid w:val="00BA3F8F"/>
    <w:rsid w:val="00BA40D5"/>
    <w:rsid w:val="00BA44DE"/>
    <w:rsid w:val="00BA4634"/>
    <w:rsid w:val="00BA467E"/>
    <w:rsid w:val="00BA46A3"/>
    <w:rsid w:val="00BA470A"/>
    <w:rsid w:val="00BA475E"/>
    <w:rsid w:val="00BA496F"/>
    <w:rsid w:val="00BA4A5A"/>
    <w:rsid w:val="00BA4BD9"/>
    <w:rsid w:val="00BA4CE8"/>
    <w:rsid w:val="00BA4EC6"/>
    <w:rsid w:val="00BA4FD5"/>
    <w:rsid w:val="00BA501D"/>
    <w:rsid w:val="00BA5237"/>
    <w:rsid w:val="00BA5345"/>
    <w:rsid w:val="00BA5351"/>
    <w:rsid w:val="00BA54AE"/>
    <w:rsid w:val="00BA5604"/>
    <w:rsid w:val="00BA56AF"/>
    <w:rsid w:val="00BA572D"/>
    <w:rsid w:val="00BA5DD6"/>
    <w:rsid w:val="00BA5ECE"/>
    <w:rsid w:val="00BA5F19"/>
    <w:rsid w:val="00BA60CD"/>
    <w:rsid w:val="00BA627D"/>
    <w:rsid w:val="00BA6304"/>
    <w:rsid w:val="00BA645B"/>
    <w:rsid w:val="00BA652F"/>
    <w:rsid w:val="00BA65AE"/>
    <w:rsid w:val="00BA6A7D"/>
    <w:rsid w:val="00BA6B5C"/>
    <w:rsid w:val="00BA6F1A"/>
    <w:rsid w:val="00BA704D"/>
    <w:rsid w:val="00BA70C3"/>
    <w:rsid w:val="00BA7133"/>
    <w:rsid w:val="00BA71F2"/>
    <w:rsid w:val="00BA71F5"/>
    <w:rsid w:val="00BA7276"/>
    <w:rsid w:val="00BA72FF"/>
    <w:rsid w:val="00BA743B"/>
    <w:rsid w:val="00BA78D9"/>
    <w:rsid w:val="00BA7953"/>
    <w:rsid w:val="00BA7A0D"/>
    <w:rsid w:val="00BA7DCF"/>
    <w:rsid w:val="00BA7F5B"/>
    <w:rsid w:val="00BB00BA"/>
    <w:rsid w:val="00BB00D5"/>
    <w:rsid w:val="00BB00FE"/>
    <w:rsid w:val="00BB017E"/>
    <w:rsid w:val="00BB018E"/>
    <w:rsid w:val="00BB0261"/>
    <w:rsid w:val="00BB02AA"/>
    <w:rsid w:val="00BB0313"/>
    <w:rsid w:val="00BB047E"/>
    <w:rsid w:val="00BB066E"/>
    <w:rsid w:val="00BB0767"/>
    <w:rsid w:val="00BB0884"/>
    <w:rsid w:val="00BB0B69"/>
    <w:rsid w:val="00BB0C68"/>
    <w:rsid w:val="00BB0E22"/>
    <w:rsid w:val="00BB0E58"/>
    <w:rsid w:val="00BB0F7D"/>
    <w:rsid w:val="00BB11A7"/>
    <w:rsid w:val="00BB1306"/>
    <w:rsid w:val="00BB1363"/>
    <w:rsid w:val="00BB15BD"/>
    <w:rsid w:val="00BB1692"/>
    <w:rsid w:val="00BB1840"/>
    <w:rsid w:val="00BB1854"/>
    <w:rsid w:val="00BB1A95"/>
    <w:rsid w:val="00BB1BC5"/>
    <w:rsid w:val="00BB1BEE"/>
    <w:rsid w:val="00BB1C99"/>
    <w:rsid w:val="00BB1DA1"/>
    <w:rsid w:val="00BB1DB5"/>
    <w:rsid w:val="00BB1F2C"/>
    <w:rsid w:val="00BB21BD"/>
    <w:rsid w:val="00BB225B"/>
    <w:rsid w:val="00BB2291"/>
    <w:rsid w:val="00BB2306"/>
    <w:rsid w:val="00BB249B"/>
    <w:rsid w:val="00BB2525"/>
    <w:rsid w:val="00BB266B"/>
    <w:rsid w:val="00BB2726"/>
    <w:rsid w:val="00BB2793"/>
    <w:rsid w:val="00BB2950"/>
    <w:rsid w:val="00BB298A"/>
    <w:rsid w:val="00BB29DA"/>
    <w:rsid w:val="00BB2A3F"/>
    <w:rsid w:val="00BB2A41"/>
    <w:rsid w:val="00BB2C38"/>
    <w:rsid w:val="00BB2D97"/>
    <w:rsid w:val="00BB2DFC"/>
    <w:rsid w:val="00BB2E83"/>
    <w:rsid w:val="00BB3048"/>
    <w:rsid w:val="00BB306D"/>
    <w:rsid w:val="00BB314C"/>
    <w:rsid w:val="00BB3208"/>
    <w:rsid w:val="00BB3251"/>
    <w:rsid w:val="00BB331D"/>
    <w:rsid w:val="00BB33C3"/>
    <w:rsid w:val="00BB34BC"/>
    <w:rsid w:val="00BB358A"/>
    <w:rsid w:val="00BB361C"/>
    <w:rsid w:val="00BB36F7"/>
    <w:rsid w:val="00BB38CD"/>
    <w:rsid w:val="00BB38EA"/>
    <w:rsid w:val="00BB3AE6"/>
    <w:rsid w:val="00BB3C8F"/>
    <w:rsid w:val="00BB3D46"/>
    <w:rsid w:val="00BB3F06"/>
    <w:rsid w:val="00BB3F46"/>
    <w:rsid w:val="00BB4244"/>
    <w:rsid w:val="00BB429A"/>
    <w:rsid w:val="00BB44DA"/>
    <w:rsid w:val="00BB4534"/>
    <w:rsid w:val="00BB469B"/>
    <w:rsid w:val="00BB46EB"/>
    <w:rsid w:val="00BB4DF0"/>
    <w:rsid w:val="00BB533B"/>
    <w:rsid w:val="00BB58E6"/>
    <w:rsid w:val="00BB5B16"/>
    <w:rsid w:val="00BB5C66"/>
    <w:rsid w:val="00BB5DA7"/>
    <w:rsid w:val="00BB5F93"/>
    <w:rsid w:val="00BB6162"/>
    <w:rsid w:val="00BB6174"/>
    <w:rsid w:val="00BB6199"/>
    <w:rsid w:val="00BB6333"/>
    <w:rsid w:val="00BB65EB"/>
    <w:rsid w:val="00BB68B0"/>
    <w:rsid w:val="00BB6E93"/>
    <w:rsid w:val="00BB6EFD"/>
    <w:rsid w:val="00BB702B"/>
    <w:rsid w:val="00BB70BE"/>
    <w:rsid w:val="00BB76CE"/>
    <w:rsid w:val="00BB7732"/>
    <w:rsid w:val="00BB7AE9"/>
    <w:rsid w:val="00BB7D24"/>
    <w:rsid w:val="00BB7EFD"/>
    <w:rsid w:val="00BB7F0B"/>
    <w:rsid w:val="00BB7F83"/>
    <w:rsid w:val="00BC0402"/>
    <w:rsid w:val="00BC04C7"/>
    <w:rsid w:val="00BC06B0"/>
    <w:rsid w:val="00BC0770"/>
    <w:rsid w:val="00BC09C1"/>
    <w:rsid w:val="00BC0A4B"/>
    <w:rsid w:val="00BC0DB0"/>
    <w:rsid w:val="00BC0DB8"/>
    <w:rsid w:val="00BC0E5D"/>
    <w:rsid w:val="00BC0F88"/>
    <w:rsid w:val="00BC0FA8"/>
    <w:rsid w:val="00BC0FA9"/>
    <w:rsid w:val="00BC103B"/>
    <w:rsid w:val="00BC1266"/>
    <w:rsid w:val="00BC12BF"/>
    <w:rsid w:val="00BC13C9"/>
    <w:rsid w:val="00BC1558"/>
    <w:rsid w:val="00BC166C"/>
    <w:rsid w:val="00BC172F"/>
    <w:rsid w:val="00BC18EE"/>
    <w:rsid w:val="00BC18F3"/>
    <w:rsid w:val="00BC1980"/>
    <w:rsid w:val="00BC1BCF"/>
    <w:rsid w:val="00BC1C68"/>
    <w:rsid w:val="00BC1CB8"/>
    <w:rsid w:val="00BC1CF6"/>
    <w:rsid w:val="00BC1DB6"/>
    <w:rsid w:val="00BC1E39"/>
    <w:rsid w:val="00BC2026"/>
    <w:rsid w:val="00BC2305"/>
    <w:rsid w:val="00BC23F0"/>
    <w:rsid w:val="00BC242E"/>
    <w:rsid w:val="00BC2525"/>
    <w:rsid w:val="00BC2561"/>
    <w:rsid w:val="00BC2865"/>
    <w:rsid w:val="00BC29B0"/>
    <w:rsid w:val="00BC2A6A"/>
    <w:rsid w:val="00BC2BF7"/>
    <w:rsid w:val="00BC2D4F"/>
    <w:rsid w:val="00BC2DE6"/>
    <w:rsid w:val="00BC2F5F"/>
    <w:rsid w:val="00BC3189"/>
    <w:rsid w:val="00BC31F1"/>
    <w:rsid w:val="00BC3351"/>
    <w:rsid w:val="00BC35C5"/>
    <w:rsid w:val="00BC367C"/>
    <w:rsid w:val="00BC3735"/>
    <w:rsid w:val="00BC3E4B"/>
    <w:rsid w:val="00BC4184"/>
    <w:rsid w:val="00BC4300"/>
    <w:rsid w:val="00BC4417"/>
    <w:rsid w:val="00BC4534"/>
    <w:rsid w:val="00BC47D2"/>
    <w:rsid w:val="00BC48A0"/>
    <w:rsid w:val="00BC4CF9"/>
    <w:rsid w:val="00BC4D06"/>
    <w:rsid w:val="00BC4EE3"/>
    <w:rsid w:val="00BC4F4F"/>
    <w:rsid w:val="00BC50D4"/>
    <w:rsid w:val="00BC5168"/>
    <w:rsid w:val="00BC52AA"/>
    <w:rsid w:val="00BC53D1"/>
    <w:rsid w:val="00BC5408"/>
    <w:rsid w:val="00BC5574"/>
    <w:rsid w:val="00BC565B"/>
    <w:rsid w:val="00BC57BF"/>
    <w:rsid w:val="00BC57C3"/>
    <w:rsid w:val="00BC57F3"/>
    <w:rsid w:val="00BC5826"/>
    <w:rsid w:val="00BC5881"/>
    <w:rsid w:val="00BC5B7E"/>
    <w:rsid w:val="00BC5C3A"/>
    <w:rsid w:val="00BC5D09"/>
    <w:rsid w:val="00BC5DB1"/>
    <w:rsid w:val="00BC6234"/>
    <w:rsid w:val="00BC649E"/>
    <w:rsid w:val="00BC669C"/>
    <w:rsid w:val="00BC6938"/>
    <w:rsid w:val="00BC6941"/>
    <w:rsid w:val="00BC6B80"/>
    <w:rsid w:val="00BC6BAC"/>
    <w:rsid w:val="00BC6BB7"/>
    <w:rsid w:val="00BC7224"/>
    <w:rsid w:val="00BC73B0"/>
    <w:rsid w:val="00BC752E"/>
    <w:rsid w:val="00BC75B7"/>
    <w:rsid w:val="00BC7910"/>
    <w:rsid w:val="00BC7B68"/>
    <w:rsid w:val="00BC7C4B"/>
    <w:rsid w:val="00BC7DAE"/>
    <w:rsid w:val="00BC7E40"/>
    <w:rsid w:val="00BD00BB"/>
    <w:rsid w:val="00BD0391"/>
    <w:rsid w:val="00BD03A9"/>
    <w:rsid w:val="00BD057D"/>
    <w:rsid w:val="00BD06F0"/>
    <w:rsid w:val="00BD0AAA"/>
    <w:rsid w:val="00BD0B97"/>
    <w:rsid w:val="00BD0D7E"/>
    <w:rsid w:val="00BD0F87"/>
    <w:rsid w:val="00BD10AE"/>
    <w:rsid w:val="00BD1116"/>
    <w:rsid w:val="00BD119E"/>
    <w:rsid w:val="00BD1277"/>
    <w:rsid w:val="00BD1455"/>
    <w:rsid w:val="00BD16C6"/>
    <w:rsid w:val="00BD1783"/>
    <w:rsid w:val="00BD178D"/>
    <w:rsid w:val="00BD1898"/>
    <w:rsid w:val="00BD1AA8"/>
    <w:rsid w:val="00BD1AB7"/>
    <w:rsid w:val="00BD1C60"/>
    <w:rsid w:val="00BD1C75"/>
    <w:rsid w:val="00BD1F1A"/>
    <w:rsid w:val="00BD1F1D"/>
    <w:rsid w:val="00BD1FC3"/>
    <w:rsid w:val="00BD21F0"/>
    <w:rsid w:val="00BD236A"/>
    <w:rsid w:val="00BD2397"/>
    <w:rsid w:val="00BD256D"/>
    <w:rsid w:val="00BD2619"/>
    <w:rsid w:val="00BD2650"/>
    <w:rsid w:val="00BD285B"/>
    <w:rsid w:val="00BD2BDF"/>
    <w:rsid w:val="00BD2CE3"/>
    <w:rsid w:val="00BD2D28"/>
    <w:rsid w:val="00BD2D8F"/>
    <w:rsid w:val="00BD2F35"/>
    <w:rsid w:val="00BD2FDB"/>
    <w:rsid w:val="00BD3531"/>
    <w:rsid w:val="00BD3550"/>
    <w:rsid w:val="00BD35E6"/>
    <w:rsid w:val="00BD3834"/>
    <w:rsid w:val="00BD39B7"/>
    <w:rsid w:val="00BD3A31"/>
    <w:rsid w:val="00BD3F9D"/>
    <w:rsid w:val="00BD426C"/>
    <w:rsid w:val="00BD441A"/>
    <w:rsid w:val="00BD4642"/>
    <w:rsid w:val="00BD4EF8"/>
    <w:rsid w:val="00BD5063"/>
    <w:rsid w:val="00BD533D"/>
    <w:rsid w:val="00BD556B"/>
    <w:rsid w:val="00BD571E"/>
    <w:rsid w:val="00BD5824"/>
    <w:rsid w:val="00BD590B"/>
    <w:rsid w:val="00BD5910"/>
    <w:rsid w:val="00BD595C"/>
    <w:rsid w:val="00BD597B"/>
    <w:rsid w:val="00BD59D7"/>
    <w:rsid w:val="00BD5E00"/>
    <w:rsid w:val="00BD5F77"/>
    <w:rsid w:val="00BD5F86"/>
    <w:rsid w:val="00BD62E1"/>
    <w:rsid w:val="00BD666F"/>
    <w:rsid w:val="00BD69AC"/>
    <w:rsid w:val="00BD6A92"/>
    <w:rsid w:val="00BD6B91"/>
    <w:rsid w:val="00BD6BDC"/>
    <w:rsid w:val="00BD715F"/>
    <w:rsid w:val="00BD716C"/>
    <w:rsid w:val="00BD71B4"/>
    <w:rsid w:val="00BD71C1"/>
    <w:rsid w:val="00BD71E6"/>
    <w:rsid w:val="00BD7377"/>
    <w:rsid w:val="00BD752A"/>
    <w:rsid w:val="00BD7535"/>
    <w:rsid w:val="00BD767B"/>
    <w:rsid w:val="00BD77A7"/>
    <w:rsid w:val="00BD7A1A"/>
    <w:rsid w:val="00BD7A57"/>
    <w:rsid w:val="00BD7B4F"/>
    <w:rsid w:val="00BD7BC0"/>
    <w:rsid w:val="00BD7D11"/>
    <w:rsid w:val="00BD7DAB"/>
    <w:rsid w:val="00BD7E54"/>
    <w:rsid w:val="00BD7F1F"/>
    <w:rsid w:val="00BE01DB"/>
    <w:rsid w:val="00BE028C"/>
    <w:rsid w:val="00BE028E"/>
    <w:rsid w:val="00BE03C7"/>
    <w:rsid w:val="00BE047F"/>
    <w:rsid w:val="00BE0611"/>
    <w:rsid w:val="00BE0761"/>
    <w:rsid w:val="00BE07CF"/>
    <w:rsid w:val="00BE0922"/>
    <w:rsid w:val="00BE0AE8"/>
    <w:rsid w:val="00BE0C9E"/>
    <w:rsid w:val="00BE0DF5"/>
    <w:rsid w:val="00BE0E3A"/>
    <w:rsid w:val="00BE0F39"/>
    <w:rsid w:val="00BE0FBD"/>
    <w:rsid w:val="00BE11B5"/>
    <w:rsid w:val="00BE135A"/>
    <w:rsid w:val="00BE13B9"/>
    <w:rsid w:val="00BE13C8"/>
    <w:rsid w:val="00BE14B2"/>
    <w:rsid w:val="00BE15FF"/>
    <w:rsid w:val="00BE1719"/>
    <w:rsid w:val="00BE1767"/>
    <w:rsid w:val="00BE18B9"/>
    <w:rsid w:val="00BE1D7E"/>
    <w:rsid w:val="00BE1EBC"/>
    <w:rsid w:val="00BE1EF9"/>
    <w:rsid w:val="00BE2096"/>
    <w:rsid w:val="00BE20F7"/>
    <w:rsid w:val="00BE218D"/>
    <w:rsid w:val="00BE22AF"/>
    <w:rsid w:val="00BE28D3"/>
    <w:rsid w:val="00BE298F"/>
    <w:rsid w:val="00BE2C50"/>
    <w:rsid w:val="00BE2E16"/>
    <w:rsid w:val="00BE2F6A"/>
    <w:rsid w:val="00BE3106"/>
    <w:rsid w:val="00BE31FA"/>
    <w:rsid w:val="00BE32C9"/>
    <w:rsid w:val="00BE3360"/>
    <w:rsid w:val="00BE35C4"/>
    <w:rsid w:val="00BE3644"/>
    <w:rsid w:val="00BE36C9"/>
    <w:rsid w:val="00BE3881"/>
    <w:rsid w:val="00BE3BF8"/>
    <w:rsid w:val="00BE3C8C"/>
    <w:rsid w:val="00BE4007"/>
    <w:rsid w:val="00BE41D1"/>
    <w:rsid w:val="00BE444B"/>
    <w:rsid w:val="00BE44D2"/>
    <w:rsid w:val="00BE4862"/>
    <w:rsid w:val="00BE4C2B"/>
    <w:rsid w:val="00BE4DF2"/>
    <w:rsid w:val="00BE4E40"/>
    <w:rsid w:val="00BE4E91"/>
    <w:rsid w:val="00BE4FFA"/>
    <w:rsid w:val="00BE5278"/>
    <w:rsid w:val="00BE531B"/>
    <w:rsid w:val="00BE533F"/>
    <w:rsid w:val="00BE5380"/>
    <w:rsid w:val="00BE53CB"/>
    <w:rsid w:val="00BE5468"/>
    <w:rsid w:val="00BE570D"/>
    <w:rsid w:val="00BE57FA"/>
    <w:rsid w:val="00BE5AB4"/>
    <w:rsid w:val="00BE5D27"/>
    <w:rsid w:val="00BE5F7D"/>
    <w:rsid w:val="00BE6226"/>
    <w:rsid w:val="00BE6338"/>
    <w:rsid w:val="00BE63A4"/>
    <w:rsid w:val="00BE6492"/>
    <w:rsid w:val="00BE6499"/>
    <w:rsid w:val="00BE64BA"/>
    <w:rsid w:val="00BE64F3"/>
    <w:rsid w:val="00BE65CB"/>
    <w:rsid w:val="00BE6609"/>
    <w:rsid w:val="00BE682B"/>
    <w:rsid w:val="00BE6937"/>
    <w:rsid w:val="00BE6B29"/>
    <w:rsid w:val="00BE6E60"/>
    <w:rsid w:val="00BE7013"/>
    <w:rsid w:val="00BE7166"/>
    <w:rsid w:val="00BE7269"/>
    <w:rsid w:val="00BE7504"/>
    <w:rsid w:val="00BE7520"/>
    <w:rsid w:val="00BE76C3"/>
    <w:rsid w:val="00BE7743"/>
    <w:rsid w:val="00BE7745"/>
    <w:rsid w:val="00BE77C5"/>
    <w:rsid w:val="00BE78A9"/>
    <w:rsid w:val="00BE7930"/>
    <w:rsid w:val="00BE794A"/>
    <w:rsid w:val="00BE7B29"/>
    <w:rsid w:val="00BE7B35"/>
    <w:rsid w:val="00BE7BA1"/>
    <w:rsid w:val="00BE7F54"/>
    <w:rsid w:val="00BF01A4"/>
    <w:rsid w:val="00BF05ED"/>
    <w:rsid w:val="00BF0A00"/>
    <w:rsid w:val="00BF0AA4"/>
    <w:rsid w:val="00BF0B42"/>
    <w:rsid w:val="00BF0BE3"/>
    <w:rsid w:val="00BF0D74"/>
    <w:rsid w:val="00BF0EE2"/>
    <w:rsid w:val="00BF13CF"/>
    <w:rsid w:val="00BF1522"/>
    <w:rsid w:val="00BF1526"/>
    <w:rsid w:val="00BF188F"/>
    <w:rsid w:val="00BF1BB7"/>
    <w:rsid w:val="00BF1BC4"/>
    <w:rsid w:val="00BF1DBB"/>
    <w:rsid w:val="00BF1DDE"/>
    <w:rsid w:val="00BF1E25"/>
    <w:rsid w:val="00BF1F5B"/>
    <w:rsid w:val="00BF1F72"/>
    <w:rsid w:val="00BF2224"/>
    <w:rsid w:val="00BF2255"/>
    <w:rsid w:val="00BF22EA"/>
    <w:rsid w:val="00BF235C"/>
    <w:rsid w:val="00BF2405"/>
    <w:rsid w:val="00BF2524"/>
    <w:rsid w:val="00BF25F8"/>
    <w:rsid w:val="00BF293A"/>
    <w:rsid w:val="00BF2947"/>
    <w:rsid w:val="00BF2B81"/>
    <w:rsid w:val="00BF2B9A"/>
    <w:rsid w:val="00BF2C60"/>
    <w:rsid w:val="00BF2CCA"/>
    <w:rsid w:val="00BF3A0B"/>
    <w:rsid w:val="00BF3A1B"/>
    <w:rsid w:val="00BF3E0D"/>
    <w:rsid w:val="00BF3E36"/>
    <w:rsid w:val="00BF3E4F"/>
    <w:rsid w:val="00BF4003"/>
    <w:rsid w:val="00BF4039"/>
    <w:rsid w:val="00BF42A0"/>
    <w:rsid w:val="00BF46F3"/>
    <w:rsid w:val="00BF483A"/>
    <w:rsid w:val="00BF4925"/>
    <w:rsid w:val="00BF4D1B"/>
    <w:rsid w:val="00BF5173"/>
    <w:rsid w:val="00BF5184"/>
    <w:rsid w:val="00BF5380"/>
    <w:rsid w:val="00BF549B"/>
    <w:rsid w:val="00BF5562"/>
    <w:rsid w:val="00BF56A3"/>
    <w:rsid w:val="00BF56D4"/>
    <w:rsid w:val="00BF5A45"/>
    <w:rsid w:val="00BF5AC1"/>
    <w:rsid w:val="00BF5D1D"/>
    <w:rsid w:val="00BF63DB"/>
    <w:rsid w:val="00BF657D"/>
    <w:rsid w:val="00BF66D4"/>
    <w:rsid w:val="00BF680E"/>
    <w:rsid w:val="00BF69B3"/>
    <w:rsid w:val="00BF69C1"/>
    <w:rsid w:val="00BF6A36"/>
    <w:rsid w:val="00BF6AC7"/>
    <w:rsid w:val="00BF6C3D"/>
    <w:rsid w:val="00BF6CC4"/>
    <w:rsid w:val="00BF6E1D"/>
    <w:rsid w:val="00BF6E7B"/>
    <w:rsid w:val="00BF6F13"/>
    <w:rsid w:val="00BF6F20"/>
    <w:rsid w:val="00BF70F1"/>
    <w:rsid w:val="00BF70FB"/>
    <w:rsid w:val="00BF725F"/>
    <w:rsid w:val="00BF7387"/>
    <w:rsid w:val="00BF73F0"/>
    <w:rsid w:val="00BF7469"/>
    <w:rsid w:val="00BF7485"/>
    <w:rsid w:val="00BF74E6"/>
    <w:rsid w:val="00BF75B5"/>
    <w:rsid w:val="00BF7B0C"/>
    <w:rsid w:val="00BF7BE5"/>
    <w:rsid w:val="00BF7DC6"/>
    <w:rsid w:val="00BF7EA1"/>
    <w:rsid w:val="00BF7EE7"/>
    <w:rsid w:val="00C0002F"/>
    <w:rsid w:val="00C00110"/>
    <w:rsid w:val="00C001B6"/>
    <w:rsid w:val="00C001BA"/>
    <w:rsid w:val="00C00256"/>
    <w:rsid w:val="00C00365"/>
    <w:rsid w:val="00C00652"/>
    <w:rsid w:val="00C00656"/>
    <w:rsid w:val="00C00756"/>
    <w:rsid w:val="00C0079B"/>
    <w:rsid w:val="00C007B5"/>
    <w:rsid w:val="00C007BA"/>
    <w:rsid w:val="00C00C3E"/>
    <w:rsid w:val="00C012C8"/>
    <w:rsid w:val="00C01364"/>
    <w:rsid w:val="00C0140E"/>
    <w:rsid w:val="00C0141B"/>
    <w:rsid w:val="00C015ED"/>
    <w:rsid w:val="00C01669"/>
    <w:rsid w:val="00C0172A"/>
    <w:rsid w:val="00C01815"/>
    <w:rsid w:val="00C01A5D"/>
    <w:rsid w:val="00C01D51"/>
    <w:rsid w:val="00C01E81"/>
    <w:rsid w:val="00C02050"/>
    <w:rsid w:val="00C0240F"/>
    <w:rsid w:val="00C02482"/>
    <w:rsid w:val="00C0260F"/>
    <w:rsid w:val="00C026ED"/>
    <w:rsid w:val="00C027A4"/>
    <w:rsid w:val="00C02986"/>
    <w:rsid w:val="00C02E6A"/>
    <w:rsid w:val="00C03171"/>
    <w:rsid w:val="00C035DA"/>
    <w:rsid w:val="00C03664"/>
    <w:rsid w:val="00C03719"/>
    <w:rsid w:val="00C0382B"/>
    <w:rsid w:val="00C038D5"/>
    <w:rsid w:val="00C03A63"/>
    <w:rsid w:val="00C03BDB"/>
    <w:rsid w:val="00C03ED2"/>
    <w:rsid w:val="00C03ED8"/>
    <w:rsid w:val="00C03F91"/>
    <w:rsid w:val="00C03FED"/>
    <w:rsid w:val="00C04181"/>
    <w:rsid w:val="00C044C6"/>
    <w:rsid w:val="00C0457E"/>
    <w:rsid w:val="00C048CA"/>
    <w:rsid w:val="00C0497A"/>
    <w:rsid w:val="00C04B1F"/>
    <w:rsid w:val="00C04CC1"/>
    <w:rsid w:val="00C04F25"/>
    <w:rsid w:val="00C04F75"/>
    <w:rsid w:val="00C04F8E"/>
    <w:rsid w:val="00C04FF8"/>
    <w:rsid w:val="00C05239"/>
    <w:rsid w:val="00C05490"/>
    <w:rsid w:val="00C0549D"/>
    <w:rsid w:val="00C05539"/>
    <w:rsid w:val="00C05747"/>
    <w:rsid w:val="00C05824"/>
    <w:rsid w:val="00C05ACF"/>
    <w:rsid w:val="00C05DEF"/>
    <w:rsid w:val="00C05FE4"/>
    <w:rsid w:val="00C06032"/>
    <w:rsid w:val="00C06149"/>
    <w:rsid w:val="00C063A8"/>
    <w:rsid w:val="00C06502"/>
    <w:rsid w:val="00C0657C"/>
    <w:rsid w:val="00C066AA"/>
    <w:rsid w:val="00C06863"/>
    <w:rsid w:val="00C068DF"/>
    <w:rsid w:val="00C06B1C"/>
    <w:rsid w:val="00C06C4E"/>
    <w:rsid w:val="00C06D79"/>
    <w:rsid w:val="00C0711A"/>
    <w:rsid w:val="00C07349"/>
    <w:rsid w:val="00C073F8"/>
    <w:rsid w:val="00C07442"/>
    <w:rsid w:val="00C07496"/>
    <w:rsid w:val="00C07D56"/>
    <w:rsid w:val="00C07D93"/>
    <w:rsid w:val="00C07DCE"/>
    <w:rsid w:val="00C102B1"/>
    <w:rsid w:val="00C102C3"/>
    <w:rsid w:val="00C10398"/>
    <w:rsid w:val="00C10405"/>
    <w:rsid w:val="00C104B4"/>
    <w:rsid w:val="00C10738"/>
    <w:rsid w:val="00C10A3A"/>
    <w:rsid w:val="00C10BEE"/>
    <w:rsid w:val="00C10BF7"/>
    <w:rsid w:val="00C10D79"/>
    <w:rsid w:val="00C10EEC"/>
    <w:rsid w:val="00C10F40"/>
    <w:rsid w:val="00C11214"/>
    <w:rsid w:val="00C11305"/>
    <w:rsid w:val="00C11356"/>
    <w:rsid w:val="00C11391"/>
    <w:rsid w:val="00C113BA"/>
    <w:rsid w:val="00C113BF"/>
    <w:rsid w:val="00C1147A"/>
    <w:rsid w:val="00C114CD"/>
    <w:rsid w:val="00C115FF"/>
    <w:rsid w:val="00C116AA"/>
    <w:rsid w:val="00C11755"/>
    <w:rsid w:val="00C118A4"/>
    <w:rsid w:val="00C11A42"/>
    <w:rsid w:val="00C11DAD"/>
    <w:rsid w:val="00C11E17"/>
    <w:rsid w:val="00C11E52"/>
    <w:rsid w:val="00C11EEA"/>
    <w:rsid w:val="00C120B8"/>
    <w:rsid w:val="00C12264"/>
    <w:rsid w:val="00C1237E"/>
    <w:rsid w:val="00C1252A"/>
    <w:rsid w:val="00C12534"/>
    <w:rsid w:val="00C12560"/>
    <w:rsid w:val="00C12669"/>
    <w:rsid w:val="00C1278A"/>
    <w:rsid w:val="00C12877"/>
    <w:rsid w:val="00C12895"/>
    <w:rsid w:val="00C1289F"/>
    <w:rsid w:val="00C12950"/>
    <w:rsid w:val="00C12C29"/>
    <w:rsid w:val="00C12D02"/>
    <w:rsid w:val="00C12D26"/>
    <w:rsid w:val="00C12EB5"/>
    <w:rsid w:val="00C12F26"/>
    <w:rsid w:val="00C12FC2"/>
    <w:rsid w:val="00C1328F"/>
    <w:rsid w:val="00C1358E"/>
    <w:rsid w:val="00C13719"/>
    <w:rsid w:val="00C137C4"/>
    <w:rsid w:val="00C13A93"/>
    <w:rsid w:val="00C13E59"/>
    <w:rsid w:val="00C13F62"/>
    <w:rsid w:val="00C13F64"/>
    <w:rsid w:val="00C14110"/>
    <w:rsid w:val="00C14455"/>
    <w:rsid w:val="00C14606"/>
    <w:rsid w:val="00C1470A"/>
    <w:rsid w:val="00C14779"/>
    <w:rsid w:val="00C14857"/>
    <w:rsid w:val="00C148B2"/>
    <w:rsid w:val="00C1499B"/>
    <w:rsid w:val="00C14B4F"/>
    <w:rsid w:val="00C14C99"/>
    <w:rsid w:val="00C1502F"/>
    <w:rsid w:val="00C15224"/>
    <w:rsid w:val="00C15254"/>
    <w:rsid w:val="00C15392"/>
    <w:rsid w:val="00C153BA"/>
    <w:rsid w:val="00C155C2"/>
    <w:rsid w:val="00C15783"/>
    <w:rsid w:val="00C15B33"/>
    <w:rsid w:val="00C15D3E"/>
    <w:rsid w:val="00C15D85"/>
    <w:rsid w:val="00C15E62"/>
    <w:rsid w:val="00C16030"/>
    <w:rsid w:val="00C16047"/>
    <w:rsid w:val="00C1609F"/>
    <w:rsid w:val="00C160B6"/>
    <w:rsid w:val="00C16115"/>
    <w:rsid w:val="00C161B8"/>
    <w:rsid w:val="00C16500"/>
    <w:rsid w:val="00C1688D"/>
    <w:rsid w:val="00C168E5"/>
    <w:rsid w:val="00C169FA"/>
    <w:rsid w:val="00C16CEF"/>
    <w:rsid w:val="00C16F02"/>
    <w:rsid w:val="00C1733F"/>
    <w:rsid w:val="00C17416"/>
    <w:rsid w:val="00C17557"/>
    <w:rsid w:val="00C17596"/>
    <w:rsid w:val="00C177E4"/>
    <w:rsid w:val="00C17A66"/>
    <w:rsid w:val="00C17DC3"/>
    <w:rsid w:val="00C17EDD"/>
    <w:rsid w:val="00C20258"/>
    <w:rsid w:val="00C205FB"/>
    <w:rsid w:val="00C2060E"/>
    <w:rsid w:val="00C20BD3"/>
    <w:rsid w:val="00C20C61"/>
    <w:rsid w:val="00C20D15"/>
    <w:rsid w:val="00C20EC5"/>
    <w:rsid w:val="00C20F57"/>
    <w:rsid w:val="00C21055"/>
    <w:rsid w:val="00C214A8"/>
    <w:rsid w:val="00C214C4"/>
    <w:rsid w:val="00C216C1"/>
    <w:rsid w:val="00C2177A"/>
    <w:rsid w:val="00C21BC3"/>
    <w:rsid w:val="00C21CD7"/>
    <w:rsid w:val="00C21CF4"/>
    <w:rsid w:val="00C21EDC"/>
    <w:rsid w:val="00C21F7C"/>
    <w:rsid w:val="00C2217A"/>
    <w:rsid w:val="00C223A2"/>
    <w:rsid w:val="00C22465"/>
    <w:rsid w:val="00C2253F"/>
    <w:rsid w:val="00C225DA"/>
    <w:rsid w:val="00C22604"/>
    <w:rsid w:val="00C2261D"/>
    <w:rsid w:val="00C226A9"/>
    <w:rsid w:val="00C22841"/>
    <w:rsid w:val="00C2294F"/>
    <w:rsid w:val="00C22955"/>
    <w:rsid w:val="00C22CC7"/>
    <w:rsid w:val="00C22D54"/>
    <w:rsid w:val="00C22DD9"/>
    <w:rsid w:val="00C22F59"/>
    <w:rsid w:val="00C22F60"/>
    <w:rsid w:val="00C230AF"/>
    <w:rsid w:val="00C230B1"/>
    <w:rsid w:val="00C232C9"/>
    <w:rsid w:val="00C234A3"/>
    <w:rsid w:val="00C234EA"/>
    <w:rsid w:val="00C2350C"/>
    <w:rsid w:val="00C23533"/>
    <w:rsid w:val="00C2357E"/>
    <w:rsid w:val="00C235FD"/>
    <w:rsid w:val="00C23633"/>
    <w:rsid w:val="00C23640"/>
    <w:rsid w:val="00C23ACB"/>
    <w:rsid w:val="00C23EE9"/>
    <w:rsid w:val="00C23F60"/>
    <w:rsid w:val="00C24174"/>
    <w:rsid w:val="00C24282"/>
    <w:rsid w:val="00C242AB"/>
    <w:rsid w:val="00C242F5"/>
    <w:rsid w:val="00C2434A"/>
    <w:rsid w:val="00C2434D"/>
    <w:rsid w:val="00C2450B"/>
    <w:rsid w:val="00C24709"/>
    <w:rsid w:val="00C248FF"/>
    <w:rsid w:val="00C24C9D"/>
    <w:rsid w:val="00C24CA6"/>
    <w:rsid w:val="00C24EEB"/>
    <w:rsid w:val="00C24EF1"/>
    <w:rsid w:val="00C250D1"/>
    <w:rsid w:val="00C25190"/>
    <w:rsid w:val="00C25217"/>
    <w:rsid w:val="00C254E3"/>
    <w:rsid w:val="00C255A6"/>
    <w:rsid w:val="00C2579A"/>
    <w:rsid w:val="00C25950"/>
    <w:rsid w:val="00C25B98"/>
    <w:rsid w:val="00C25E3B"/>
    <w:rsid w:val="00C26032"/>
    <w:rsid w:val="00C260C1"/>
    <w:rsid w:val="00C26231"/>
    <w:rsid w:val="00C262F6"/>
    <w:rsid w:val="00C26300"/>
    <w:rsid w:val="00C264CC"/>
    <w:rsid w:val="00C26668"/>
    <w:rsid w:val="00C267D9"/>
    <w:rsid w:val="00C267E4"/>
    <w:rsid w:val="00C269A8"/>
    <w:rsid w:val="00C26A07"/>
    <w:rsid w:val="00C26C20"/>
    <w:rsid w:val="00C26E8D"/>
    <w:rsid w:val="00C26EB6"/>
    <w:rsid w:val="00C26F6D"/>
    <w:rsid w:val="00C270CB"/>
    <w:rsid w:val="00C270CF"/>
    <w:rsid w:val="00C2714D"/>
    <w:rsid w:val="00C27240"/>
    <w:rsid w:val="00C272F6"/>
    <w:rsid w:val="00C2736A"/>
    <w:rsid w:val="00C27665"/>
    <w:rsid w:val="00C276FA"/>
    <w:rsid w:val="00C2776D"/>
    <w:rsid w:val="00C277BF"/>
    <w:rsid w:val="00C278A6"/>
    <w:rsid w:val="00C27B20"/>
    <w:rsid w:val="00C27B72"/>
    <w:rsid w:val="00C27E06"/>
    <w:rsid w:val="00C30001"/>
    <w:rsid w:val="00C300F6"/>
    <w:rsid w:val="00C30267"/>
    <w:rsid w:val="00C30437"/>
    <w:rsid w:val="00C30464"/>
    <w:rsid w:val="00C305F3"/>
    <w:rsid w:val="00C30A6D"/>
    <w:rsid w:val="00C30AA4"/>
    <w:rsid w:val="00C30AD1"/>
    <w:rsid w:val="00C30D8C"/>
    <w:rsid w:val="00C30FB5"/>
    <w:rsid w:val="00C3108E"/>
    <w:rsid w:val="00C31117"/>
    <w:rsid w:val="00C31265"/>
    <w:rsid w:val="00C312A1"/>
    <w:rsid w:val="00C3140B"/>
    <w:rsid w:val="00C3142B"/>
    <w:rsid w:val="00C31655"/>
    <w:rsid w:val="00C31686"/>
    <w:rsid w:val="00C31737"/>
    <w:rsid w:val="00C31804"/>
    <w:rsid w:val="00C318EC"/>
    <w:rsid w:val="00C318F7"/>
    <w:rsid w:val="00C31B6B"/>
    <w:rsid w:val="00C31B90"/>
    <w:rsid w:val="00C31BBF"/>
    <w:rsid w:val="00C31DC8"/>
    <w:rsid w:val="00C31E56"/>
    <w:rsid w:val="00C31E79"/>
    <w:rsid w:val="00C32253"/>
    <w:rsid w:val="00C32444"/>
    <w:rsid w:val="00C32668"/>
    <w:rsid w:val="00C32669"/>
    <w:rsid w:val="00C32687"/>
    <w:rsid w:val="00C327CE"/>
    <w:rsid w:val="00C32945"/>
    <w:rsid w:val="00C329B5"/>
    <w:rsid w:val="00C32A1B"/>
    <w:rsid w:val="00C32AC3"/>
    <w:rsid w:val="00C32B2C"/>
    <w:rsid w:val="00C32BED"/>
    <w:rsid w:val="00C3302A"/>
    <w:rsid w:val="00C33217"/>
    <w:rsid w:val="00C33632"/>
    <w:rsid w:val="00C33697"/>
    <w:rsid w:val="00C3370F"/>
    <w:rsid w:val="00C337C9"/>
    <w:rsid w:val="00C33BE4"/>
    <w:rsid w:val="00C33CA4"/>
    <w:rsid w:val="00C33D43"/>
    <w:rsid w:val="00C33FEA"/>
    <w:rsid w:val="00C34512"/>
    <w:rsid w:val="00C3477A"/>
    <w:rsid w:val="00C3485F"/>
    <w:rsid w:val="00C34C87"/>
    <w:rsid w:val="00C34C88"/>
    <w:rsid w:val="00C34D23"/>
    <w:rsid w:val="00C350E7"/>
    <w:rsid w:val="00C3514C"/>
    <w:rsid w:val="00C3538E"/>
    <w:rsid w:val="00C35624"/>
    <w:rsid w:val="00C359B1"/>
    <w:rsid w:val="00C35BFB"/>
    <w:rsid w:val="00C35CCF"/>
    <w:rsid w:val="00C35D35"/>
    <w:rsid w:val="00C35E5E"/>
    <w:rsid w:val="00C35EBE"/>
    <w:rsid w:val="00C35EFB"/>
    <w:rsid w:val="00C35F2E"/>
    <w:rsid w:val="00C36202"/>
    <w:rsid w:val="00C3621B"/>
    <w:rsid w:val="00C363A9"/>
    <w:rsid w:val="00C36704"/>
    <w:rsid w:val="00C369CA"/>
    <w:rsid w:val="00C36BB3"/>
    <w:rsid w:val="00C36E94"/>
    <w:rsid w:val="00C36FE1"/>
    <w:rsid w:val="00C371A7"/>
    <w:rsid w:val="00C37288"/>
    <w:rsid w:val="00C372F6"/>
    <w:rsid w:val="00C377F8"/>
    <w:rsid w:val="00C37C1E"/>
    <w:rsid w:val="00C37D7B"/>
    <w:rsid w:val="00C37DF5"/>
    <w:rsid w:val="00C37EC6"/>
    <w:rsid w:val="00C40436"/>
    <w:rsid w:val="00C4051B"/>
    <w:rsid w:val="00C40853"/>
    <w:rsid w:val="00C40979"/>
    <w:rsid w:val="00C40A6A"/>
    <w:rsid w:val="00C40B86"/>
    <w:rsid w:val="00C40F4F"/>
    <w:rsid w:val="00C40F94"/>
    <w:rsid w:val="00C41224"/>
    <w:rsid w:val="00C41289"/>
    <w:rsid w:val="00C41373"/>
    <w:rsid w:val="00C41508"/>
    <w:rsid w:val="00C417E9"/>
    <w:rsid w:val="00C418B9"/>
    <w:rsid w:val="00C41AA7"/>
    <w:rsid w:val="00C41C7B"/>
    <w:rsid w:val="00C41CAF"/>
    <w:rsid w:val="00C422D0"/>
    <w:rsid w:val="00C4235C"/>
    <w:rsid w:val="00C425D2"/>
    <w:rsid w:val="00C4266B"/>
    <w:rsid w:val="00C426F3"/>
    <w:rsid w:val="00C42760"/>
    <w:rsid w:val="00C42858"/>
    <w:rsid w:val="00C42C7A"/>
    <w:rsid w:val="00C42DED"/>
    <w:rsid w:val="00C42E19"/>
    <w:rsid w:val="00C42E4C"/>
    <w:rsid w:val="00C42E6D"/>
    <w:rsid w:val="00C42F99"/>
    <w:rsid w:val="00C431F7"/>
    <w:rsid w:val="00C4326A"/>
    <w:rsid w:val="00C4329B"/>
    <w:rsid w:val="00C43417"/>
    <w:rsid w:val="00C4355B"/>
    <w:rsid w:val="00C4377D"/>
    <w:rsid w:val="00C438B3"/>
    <w:rsid w:val="00C43A32"/>
    <w:rsid w:val="00C43C23"/>
    <w:rsid w:val="00C43E0D"/>
    <w:rsid w:val="00C43E23"/>
    <w:rsid w:val="00C43F09"/>
    <w:rsid w:val="00C43F15"/>
    <w:rsid w:val="00C440F8"/>
    <w:rsid w:val="00C4433F"/>
    <w:rsid w:val="00C44535"/>
    <w:rsid w:val="00C4464A"/>
    <w:rsid w:val="00C44CF6"/>
    <w:rsid w:val="00C44EAF"/>
    <w:rsid w:val="00C44F2A"/>
    <w:rsid w:val="00C44F76"/>
    <w:rsid w:val="00C451A8"/>
    <w:rsid w:val="00C452F9"/>
    <w:rsid w:val="00C45398"/>
    <w:rsid w:val="00C454AE"/>
    <w:rsid w:val="00C456E4"/>
    <w:rsid w:val="00C4573C"/>
    <w:rsid w:val="00C45996"/>
    <w:rsid w:val="00C459A0"/>
    <w:rsid w:val="00C45A89"/>
    <w:rsid w:val="00C45A9F"/>
    <w:rsid w:val="00C45C31"/>
    <w:rsid w:val="00C45C58"/>
    <w:rsid w:val="00C45FFC"/>
    <w:rsid w:val="00C460CE"/>
    <w:rsid w:val="00C4616D"/>
    <w:rsid w:val="00C4660B"/>
    <w:rsid w:val="00C468BC"/>
    <w:rsid w:val="00C469E0"/>
    <w:rsid w:val="00C46C52"/>
    <w:rsid w:val="00C46F03"/>
    <w:rsid w:val="00C471D5"/>
    <w:rsid w:val="00C47431"/>
    <w:rsid w:val="00C474B9"/>
    <w:rsid w:val="00C475F8"/>
    <w:rsid w:val="00C47604"/>
    <w:rsid w:val="00C47A72"/>
    <w:rsid w:val="00C47AD2"/>
    <w:rsid w:val="00C47C65"/>
    <w:rsid w:val="00C47D22"/>
    <w:rsid w:val="00C47DD4"/>
    <w:rsid w:val="00C47E0C"/>
    <w:rsid w:val="00C47E22"/>
    <w:rsid w:val="00C50026"/>
    <w:rsid w:val="00C5005F"/>
    <w:rsid w:val="00C50064"/>
    <w:rsid w:val="00C500DD"/>
    <w:rsid w:val="00C50182"/>
    <w:rsid w:val="00C5045C"/>
    <w:rsid w:val="00C507A0"/>
    <w:rsid w:val="00C508F2"/>
    <w:rsid w:val="00C50AF4"/>
    <w:rsid w:val="00C50B57"/>
    <w:rsid w:val="00C50DE6"/>
    <w:rsid w:val="00C50E2A"/>
    <w:rsid w:val="00C50EEE"/>
    <w:rsid w:val="00C51163"/>
    <w:rsid w:val="00C512B7"/>
    <w:rsid w:val="00C51303"/>
    <w:rsid w:val="00C51407"/>
    <w:rsid w:val="00C5166F"/>
    <w:rsid w:val="00C51943"/>
    <w:rsid w:val="00C51ACE"/>
    <w:rsid w:val="00C51B73"/>
    <w:rsid w:val="00C51EFB"/>
    <w:rsid w:val="00C51FD4"/>
    <w:rsid w:val="00C5232D"/>
    <w:rsid w:val="00C523D0"/>
    <w:rsid w:val="00C52505"/>
    <w:rsid w:val="00C5250C"/>
    <w:rsid w:val="00C52516"/>
    <w:rsid w:val="00C52732"/>
    <w:rsid w:val="00C52B47"/>
    <w:rsid w:val="00C52B76"/>
    <w:rsid w:val="00C52CB2"/>
    <w:rsid w:val="00C52D58"/>
    <w:rsid w:val="00C52DE3"/>
    <w:rsid w:val="00C52F33"/>
    <w:rsid w:val="00C530B8"/>
    <w:rsid w:val="00C5319E"/>
    <w:rsid w:val="00C5334A"/>
    <w:rsid w:val="00C53435"/>
    <w:rsid w:val="00C534D5"/>
    <w:rsid w:val="00C53665"/>
    <w:rsid w:val="00C5389F"/>
    <w:rsid w:val="00C5390F"/>
    <w:rsid w:val="00C53962"/>
    <w:rsid w:val="00C53A60"/>
    <w:rsid w:val="00C53BC9"/>
    <w:rsid w:val="00C53CEE"/>
    <w:rsid w:val="00C53E5D"/>
    <w:rsid w:val="00C53F4C"/>
    <w:rsid w:val="00C53F56"/>
    <w:rsid w:val="00C5442F"/>
    <w:rsid w:val="00C547CF"/>
    <w:rsid w:val="00C548B9"/>
    <w:rsid w:val="00C548CC"/>
    <w:rsid w:val="00C54994"/>
    <w:rsid w:val="00C54A42"/>
    <w:rsid w:val="00C54A67"/>
    <w:rsid w:val="00C54A95"/>
    <w:rsid w:val="00C54B1C"/>
    <w:rsid w:val="00C54BE5"/>
    <w:rsid w:val="00C54C73"/>
    <w:rsid w:val="00C54CA0"/>
    <w:rsid w:val="00C54D6E"/>
    <w:rsid w:val="00C54D98"/>
    <w:rsid w:val="00C54F70"/>
    <w:rsid w:val="00C551C5"/>
    <w:rsid w:val="00C554C2"/>
    <w:rsid w:val="00C554C6"/>
    <w:rsid w:val="00C5554A"/>
    <w:rsid w:val="00C55689"/>
    <w:rsid w:val="00C55833"/>
    <w:rsid w:val="00C55A96"/>
    <w:rsid w:val="00C55DBE"/>
    <w:rsid w:val="00C55E6A"/>
    <w:rsid w:val="00C55EF8"/>
    <w:rsid w:val="00C55F85"/>
    <w:rsid w:val="00C5604B"/>
    <w:rsid w:val="00C561E8"/>
    <w:rsid w:val="00C56244"/>
    <w:rsid w:val="00C56420"/>
    <w:rsid w:val="00C5667B"/>
    <w:rsid w:val="00C56C1D"/>
    <w:rsid w:val="00C56CF3"/>
    <w:rsid w:val="00C56D54"/>
    <w:rsid w:val="00C56D59"/>
    <w:rsid w:val="00C56D81"/>
    <w:rsid w:val="00C56E97"/>
    <w:rsid w:val="00C572D3"/>
    <w:rsid w:val="00C575B1"/>
    <w:rsid w:val="00C575F0"/>
    <w:rsid w:val="00C57879"/>
    <w:rsid w:val="00C57A56"/>
    <w:rsid w:val="00C57CA9"/>
    <w:rsid w:val="00C57E29"/>
    <w:rsid w:val="00C601CA"/>
    <w:rsid w:val="00C60221"/>
    <w:rsid w:val="00C60330"/>
    <w:rsid w:val="00C60597"/>
    <w:rsid w:val="00C605D2"/>
    <w:rsid w:val="00C608A4"/>
    <w:rsid w:val="00C608D3"/>
    <w:rsid w:val="00C60A77"/>
    <w:rsid w:val="00C60B0B"/>
    <w:rsid w:val="00C60CB4"/>
    <w:rsid w:val="00C60EAB"/>
    <w:rsid w:val="00C60F35"/>
    <w:rsid w:val="00C611A2"/>
    <w:rsid w:val="00C612FB"/>
    <w:rsid w:val="00C61439"/>
    <w:rsid w:val="00C615E9"/>
    <w:rsid w:val="00C616CB"/>
    <w:rsid w:val="00C61866"/>
    <w:rsid w:val="00C61A2C"/>
    <w:rsid w:val="00C6202B"/>
    <w:rsid w:val="00C624A8"/>
    <w:rsid w:val="00C62516"/>
    <w:rsid w:val="00C6271A"/>
    <w:rsid w:val="00C62903"/>
    <w:rsid w:val="00C62A01"/>
    <w:rsid w:val="00C62C88"/>
    <w:rsid w:val="00C62D1E"/>
    <w:rsid w:val="00C6355F"/>
    <w:rsid w:val="00C63562"/>
    <w:rsid w:val="00C63677"/>
    <w:rsid w:val="00C637CE"/>
    <w:rsid w:val="00C6398E"/>
    <w:rsid w:val="00C63A02"/>
    <w:rsid w:val="00C63C0F"/>
    <w:rsid w:val="00C6400D"/>
    <w:rsid w:val="00C6403F"/>
    <w:rsid w:val="00C640BB"/>
    <w:rsid w:val="00C64611"/>
    <w:rsid w:val="00C64623"/>
    <w:rsid w:val="00C647E7"/>
    <w:rsid w:val="00C64E3F"/>
    <w:rsid w:val="00C64E49"/>
    <w:rsid w:val="00C65282"/>
    <w:rsid w:val="00C65296"/>
    <w:rsid w:val="00C65422"/>
    <w:rsid w:val="00C65591"/>
    <w:rsid w:val="00C6565B"/>
    <w:rsid w:val="00C65A74"/>
    <w:rsid w:val="00C65DED"/>
    <w:rsid w:val="00C65E6F"/>
    <w:rsid w:val="00C65ED4"/>
    <w:rsid w:val="00C65F02"/>
    <w:rsid w:val="00C66053"/>
    <w:rsid w:val="00C660AB"/>
    <w:rsid w:val="00C66249"/>
    <w:rsid w:val="00C662C4"/>
    <w:rsid w:val="00C66535"/>
    <w:rsid w:val="00C66806"/>
    <w:rsid w:val="00C6685E"/>
    <w:rsid w:val="00C66BCD"/>
    <w:rsid w:val="00C66C44"/>
    <w:rsid w:val="00C66E53"/>
    <w:rsid w:val="00C66F42"/>
    <w:rsid w:val="00C66FC2"/>
    <w:rsid w:val="00C67394"/>
    <w:rsid w:val="00C673FB"/>
    <w:rsid w:val="00C67527"/>
    <w:rsid w:val="00C67582"/>
    <w:rsid w:val="00C67754"/>
    <w:rsid w:val="00C67894"/>
    <w:rsid w:val="00C67947"/>
    <w:rsid w:val="00C67966"/>
    <w:rsid w:val="00C67A30"/>
    <w:rsid w:val="00C67BFE"/>
    <w:rsid w:val="00C67C5D"/>
    <w:rsid w:val="00C67E0D"/>
    <w:rsid w:val="00C7018D"/>
    <w:rsid w:val="00C7028B"/>
    <w:rsid w:val="00C70ABE"/>
    <w:rsid w:val="00C70E29"/>
    <w:rsid w:val="00C71142"/>
    <w:rsid w:val="00C7136A"/>
    <w:rsid w:val="00C71441"/>
    <w:rsid w:val="00C71A36"/>
    <w:rsid w:val="00C71A6B"/>
    <w:rsid w:val="00C71E46"/>
    <w:rsid w:val="00C71EFD"/>
    <w:rsid w:val="00C71FD5"/>
    <w:rsid w:val="00C72181"/>
    <w:rsid w:val="00C725D5"/>
    <w:rsid w:val="00C72903"/>
    <w:rsid w:val="00C72BBF"/>
    <w:rsid w:val="00C72FA9"/>
    <w:rsid w:val="00C72FEA"/>
    <w:rsid w:val="00C73120"/>
    <w:rsid w:val="00C7319A"/>
    <w:rsid w:val="00C7321F"/>
    <w:rsid w:val="00C7335A"/>
    <w:rsid w:val="00C73548"/>
    <w:rsid w:val="00C73562"/>
    <w:rsid w:val="00C73669"/>
    <w:rsid w:val="00C738B9"/>
    <w:rsid w:val="00C738C4"/>
    <w:rsid w:val="00C73BF6"/>
    <w:rsid w:val="00C73D8E"/>
    <w:rsid w:val="00C73DEE"/>
    <w:rsid w:val="00C73DFA"/>
    <w:rsid w:val="00C73FB5"/>
    <w:rsid w:val="00C740B5"/>
    <w:rsid w:val="00C745A6"/>
    <w:rsid w:val="00C74666"/>
    <w:rsid w:val="00C74733"/>
    <w:rsid w:val="00C74758"/>
    <w:rsid w:val="00C7479A"/>
    <w:rsid w:val="00C747E5"/>
    <w:rsid w:val="00C7492B"/>
    <w:rsid w:val="00C74D1F"/>
    <w:rsid w:val="00C74E55"/>
    <w:rsid w:val="00C74EAA"/>
    <w:rsid w:val="00C74F96"/>
    <w:rsid w:val="00C750EC"/>
    <w:rsid w:val="00C75416"/>
    <w:rsid w:val="00C754C0"/>
    <w:rsid w:val="00C754CC"/>
    <w:rsid w:val="00C755E0"/>
    <w:rsid w:val="00C7565E"/>
    <w:rsid w:val="00C756A7"/>
    <w:rsid w:val="00C756D8"/>
    <w:rsid w:val="00C758EA"/>
    <w:rsid w:val="00C75A76"/>
    <w:rsid w:val="00C75B8B"/>
    <w:rsid w:val="00C75FEB"/>
    <w:rsid w:val="00C762F9"/>
    <w:rsid w:val="00C76311"/>
    <w:rsid w:val="00C76550"/>
    <w:rsid w:val="00C76576"/>
    <w:rsid w:val="00C766B5"/>
    <w:rsid w:val="00C76865"/>
    <w:rsid w:val="00C768ED"/>
    <w:rsid w:val="00C769D0"/>
    <w:rsid w:val="00C76BE7"/>
    <w:rsid w:val="00C76D02"/>
    <w:rsid w:val="00C76DFF"/>
    <w:rsid w:val="00C76F42"/>
    <w:rsid w:val="00C76FA7"/>
    <w:rsid w:val="00C77046"/>
    <w:rsid w:val="00C77103"/>
    <w:rsid w:val="00C7712B"/>
    <w:rsid w:val="00C773E2"/>
    <w:rsid w:val="00C775EB"/>
    <w:rsid w:val="00C77739"/>
    <w:rsid w:val="00C7778F"/>
    <w:rsid w:val="00C777EA"/>
    <w:rsid w:val="00C7789A"/>
    <w:rsid w:val="00C778E9"/>
    <w:rsid w:val="00C7790F"/>
    <w:rsid w:val="00C77A88"/>
    <w:rsid w:val="00C77B92"/>
    <w:rsid w:val="00C77BC0"/>
    <w:rsid w:val="00C77CA9"/>
    <w:rsid w:val="00C77CCD"/>
    <w:rsid w:val="00C77D7C"/>
    <w:rsid w:val="00C77DB9"/>
    <w:rsid w:val="00C77F8B"/>
    <w:rsid w:val="00C77FCB"/>
    <w:rsid w:val="00C80131"/>
    <w:rsid w:val="00C8013F"/>
    <w:rsid w:val="00C802C2"/>
    <w:rsid w:val="00C802E0"/>
    <w:rsid w:val="00C80321"/>
    <w:rsid w:val="00C803AB"/>
    <w:rsid w:val="00C804BF"/>
    <w:rsid w:val="00C804D6"/>
    <w:rsid w:val="00C8055A"/>
    <w:rsid w:val="00C8062A"/>
    <w:rsid w:val="00C8074B"/>
    <w:rsid w:val="00C80840"/>
    <w:rsid w:val="00C80B5A"/>
    <w:rsid w:val="00C80C15"/>
    <w:rsid w:val="00C80D01"/>
    <w:rsid w:val="00C80E4E"/>
    <w:rsid w:val="00C80EDC"/>
    <w:rsid w:val="00C8113A"/>
    <w:rsid w:val="00C81242"/>
    <w:rsid w:val="00C816D0"/>
    <w:rsid w:val="00C81750"/>
    <w:rsid w:val="00C81A0C"/>
    <w:rsid w:val="00C81CAB"/>
    <w:rsid w:val="00C81D85"/>
    <w:rsid w:val="00C82285"/>
    <w:rsid w:val="00C82513"/>
    <w:rsid w:val="00C82ADF"/>
    <w:rsid w:val="00C82B88"/>
    <w:rsid w:val="00C82E65"/>
    <w:rsid w:val="00C82F18"/>
    <w:rsid w:val="00C82FD8"/>
    <w:rsid w:val="00C8304F"/>
    <w:rsid w:val="00C83066"/>
    <w:rsid w:val="00C833FA"/>
    <w:rsid w:val="00C8360D"/>
    <w:rsid w:val="00C8366D"/>
    <w:rsid w:val="00C8371D"/>
    <w:rsid w:val="00C8385C"/>
    <w:rsid w:val="00C839D1"/>
    <w:rsid w:val="00C83A0D"/>
    <w:rsid w:val="00C83CC1"/>
    <w:rsid w:val="00C83D0E"/>
    <w:rsid w:val="00C83D7E"/>
    <w:rsid w:val="00C83D9E"/>
    <w:rsid w:val="00C84129"/>
    <w:rsid w:val="00C84228"/>
    <w:rsid w:val="00C8431B"/>
    <w:rsid w:val="00C84460"/>
    <w:rsid w:val="00C84504"/>
    <w:rsid w:val="00C84586"/>
    <w:rsid w:val="00C846D5"/>
    <w:rsid w:val="00C848C5"/>
    <w:rsid w:val="00C84E56"/>
    <w:rsid w:val="00C84FA0"/>
    <w:rsid w:val="00C850B4"/>
    <w:rsid w:val="00C85337"/>
    <w:rsid w:val="00C855A2"/>
    <w:rsid w:val="00C855ED"/>
    <w:rsid w:val="00C8562B"/>
    <w:rsid w:val="00C85784"/>
    <w:rsid w:val="00C857E3"/>
    <w:rsid w:val="00C85A77"/>
    <w:rsid w:val="00C85C15"/>
    <w:rsid w:val="00C85C8E"/>
    <w:rsid w:val="00C85C9A"/>
    <w:rsid w:val="00C85D29"/>
    <w:rsid w:val="00C85F10"/>
    <w:rsid w:val="00C866A8"/>
    <w:rsid w:val="00C86746"/>
    <w:rsid w:val="00C86940"/>
    <w:rsid w:val="00C86A4D"/>
    <w:rsid w:val="00C86B17"/>
    <w:rsid w:val="00C872C4"/>
    <w:rsid w:val="00C87433"/>
    <w:rsid w:val="00C874AC"/>
    <w:rsid w:val="00C87756"/>
    <w:rsid w:val="00C877FA"/>
    <w:rsid w:val="00C87852"/>
    <w:rsid w:val="00C87ADA"/>
    <w:rsid w:val="00C87BD7"/>
    <w:rsid w:val="00C87EDC"/>
    <w:rsid w:val="00C87F33"/>
    <w:rsid w:val="00C902A2"/>
    <w:rsid w:val="00C9035D"/>
    <w:rsid w:val="00C903E0"/>
    <w:rsid w:val="00C903EA"/>
    <w:rsid w:val="00C90428"/>
    <w:rsid w:val="00C90470"/>
    <w:rsid w:val="00C9049F"/>
    <w:rsid w:val="00C904C1"/>
    <w:rsid w:val="00C905B0"/>
    <w:rsid w:val="00C90662"/>
    <w:rsid w:val="00C90814"/>
    <w:rsid w:val="00C9085A"/>
    <w:rsid w:val="00C90979"/>
    <w:rsid w:val="00C90A2D"/>
    <w:rsid w:val="00C90B81"/>
    <w:rsid w:val="00C90E21"/>
    <w:rsid w:val="00C90F31"/>
    <w:rsid w:val="00C90F75"/>
    <w:rsid w:val="00C90FE8"/>
    <w:rsid w:val="00C9122F"/>
    <w:rsid w:val="00C9129A"/>
    <w:rsid w:val="00C912BF"/>
    <w:rsid w:val="00C9145A"/>
    <w:rsid w:val="00C914E3"/>
    <w:rsid w:val="00C916F1"/>
    <w:rsid w:val="00C91796"/>
    <w:rsid w:val="00C91B30"/>
    <w:rsid w:val="00C92263"/>
    <w:rsid w:val="00C9244A"/>
    <w:rsid w:val="00C924F2"/>
    <w:rsid w:val="00C92581"/>
    <w:rsid w:val="00C92599"/>
    <w:rsid w:val="00C926B1"/>
    <w:rsid w:val="00C92975"/>
    <w:rsid w:val="00C9298E"/>
    <w:rsid w:val="00C92AA9"/>
    <w:rsid w:val="00C92AED"/>
    <w:rsid w:val="00C92DA1"/>
    <w:rsid w:val="00C92E47"/>
    <w:rsid w:val="00C92F11"/>
    <w:rsid w:val="00C93389"/>
    <w:rsid w:val="00C93451"/>
    <w:rsid w:val="00C936EF"/>
    <w:rsid w:val="00C93775"/>
    <w:rsid w:val="00C93790"/>
    <w:rsid w:val="00C9388A"/>
    <w:rsid w:val="00C938D2"/>
    <w:rsid w:val="00C939B6"/>
    <w:rsid w:val="00C93A63"/>
    <w:rsid w:val="00C93C49"/>
    <w:rsid w:val="00C93DE9"/>
    <w:rsid w:val="00C93F16"/>
    <w:rsid w:val="00C9403D"/>
    <w:rsid w:val="00C9418C"/>
    <w:rsid w:val="00C9442D"/>
    <w:rsid w:val="00C94447"/>
    <w:rsid w:val="00C944A7"/>
    <w:rsid w:val="00C9455B"/>
    <w:rsid w:val="00C94A8D"/>
    <w:rsid w:val="00C94C55"/>
    <w:rsid w:val="00C94C6D"/>
    <w:rsid w:val="00C94CEA"/>
    <w:rsid w:val="00C94E13"/>
    <w:rsid w:val="00C94FE5"/>
    <w:rsid w:val="00C95228"/>
    <w:rsid w:val="00C9524D"/>
    <w:rsid w:val="00C952D9"/>
    <w:rsid w:val="00C9538B"/>
    <w:rsid w:val="00C95527"/>
    <w:rsid w:val="00C95733"/>
    <w:rsid w:val="00C9589F"/>
    <w:rsid w:val="00C958E5"/>
    <w:rsid w:val="00C9597F"/>
    <w:rsid w:val="00C95A0B"/>
    <w:rsid w:val="00C95B82"/>
    <w:rsid w:val="00C95CA9"/>
    <w:rsid w:val="00C95DDA"/>
    <w:rsid w:val="00C95DE6"/>
    <w:rsid w:val="00C95EAA"/>
    <w:rsid w:val="00C95ECF"/>
    <w:rsid w:val="00C95EF2"/>
    <w:rsid w:val="00C95F56"/>
    <w:rsid w:val="00C96006"/>
    <w:rsid w:val="00C960EF"/>
    <w:rsid w:val="00C961A6"/>
    <w:rsid w:val="00C964DA"/>
    <w:rsid w:val="00C96549"/>
    <w:rsid w:val="00C96B15"/>
    <w:rsid w:val="00C97070"/>
    <w:rsid w:val="00C9718B"/>
    <w:rsid w:val="00C97288"/>
    <w:rsid w:val="00C9748C"/>
    <w:rsid w:val="00C974CB"/>
    <w:rsid w:val="00C97500"/>
    <w:rsid w:val="00C975E7"/>
    <w:rsid w:val="00C9760B"/>
    <w:rsid w:val="00C977B8"/>
    <w:rsid w:val="00C977CD"/>
    <w:rsid w:val="00C97A75"/>
    <w:rsid w:val="00C97AE2"/>
    <w:rsid w:val="00C97C76"/>
    <w:rsid w:val="00C97F30"/>
    <w:rsid w:val="00CA0264"/>
    <w:rsid w:val="00CA02EE"/>
    <w:rsid w:val="00CA0455"/>
    <w:rsid w:val="00CA05BD"/>
    <w:rsid w:val="00CA062A"/>
    <w:rsid w:val="00CA0765"/>
    <w:rsid w:val="00CA0818"/>
    <w:rsid w:val="00CA0ED1"/>
    <w:rsid w:val="00CA0F68"/>
    <w:rsid w:val="00CA0FB5"/>
    <w:rsid w:val="00CA11AB"/>
    <w:rsid w:val="00CA1356"/>
    <w:rsid w:val="00CA157A"/>
    <w:rsid w:val="00CA160F"/>
    <w:rsid w:val="00CA168F"/>
    <w:rsid w:val="00CA19BE"/>
    <w:rsid w:val="00CA19D0"/>
    <w:rsid w:val="00CA1AAB"/>
    <w:rsid w:val="00CA1B5C"/>
    <w:rsid w:val="00CA1BE5"/>
    <w:rsid w:val="00CA1DFE"/>
    <w:rsid w:val="00CA21A9"/>
    <w:rsid w:val="00CA21F1"/>
    <w:rsid w:val="00CA2253"/>
    <w:rsid w:val="00CA2288"/>
    <w:rsid w:val="00CA22CF"/>
    <w:rsid w:val="00CA2527"/>
    <w:rsid w:val="00CA2603"/>
    <w:rsid w:val="00CA266E"/>
    <w:rsid w:val="00CA27C7"/>
    <w:rsid w:val="00CA2922"/>
    <w:rsid w:val="00CA2E1F"/>
    <w:rsid w:val="00CA2E77"/>
    <w:rsid w:val="00CA2E94"/>
    <w:rsid w:val="00CA3009"/>
    <w:rsid w:val="00CA30CF"/>
    <w:rsid w:val="00CA3582"/>
    <w:rsid w:val="00CA368C"/>
    <w:rsid w:val="00CA36D6"/>
    <w:rsid w:val="00CA3746"/>
    <w:rsid w:val="00CA3765"/>
    <w:rsid w:val="00CA3937"/>
    <w:rsid w:val="00CA39E6"/>
    <w:rsid w:val="00CA3A97"/>
    <w:rsid w:val="00CA3BB8"/>
    <w:rsid w:val="00CA426D"/>
    <w:rsid w:val="00CA429B"/>
    <w:rsid w:val="00CA42CF"/>
    <w:rsid w:val="00CA4300"/>
    <w:rsid w:val="00CA465E"/>
    <w:rsid w:val="00CA47EF"/>
    <w:rsid w:val="00CA4975"/>
    <w:rsid w:val="00CA4A11"/>
    <w:rsid w:val="00CA4AD7"/>
    <w:rsid w:val="00CA4D85"/>
    <w:rsid w:val="00CA4F00"/>
    <w:rsid w:val="00CA5210"/>
    <w:rsid w:val="00CA52CC"/>
    <w:rsid w:val="00CA5332"/>
    <w:rsid w:val="00CA5498"/>
    <w:rsid w:val="00CA54F5"/>
    <w:rsid w:val="00CA59FA"/>
    <w:rsid w:val="00CA5AB2"/>
    <w:rsid w:val="00CA5CA8"/>
    <w:rsid w:val="00CA5D02"/>
    <w:rsid w:val="00CA5D86"/>
    <w:rsid w:val="00CA5E31"/>
    <w:rsid w:val="00CA5F13"/>
    <w:rsid w:val="00CA622F"/>
    <w:rsid w:val="00CA6303"/>
    <w:rsid w:val="00CA6362"/>
    <w:rsid w:val="00CA65B9"/>
    <w:rsid w:val="00CA6845"/>
    <w:rsid w:val="00CA6869"/>
    <w:rsid w:val="00CA69FB"/>
    <w:rsid w:val="00CA6A28"/>
    <w:rsid w:val="00CA6E0D"/>
    <w:rsid w:val="00CA6F8F"/>
    <w:rsid w:val="00CA712A"/>
    <w:rsid w:val="00CA7489"/>
    <w:rsid w:val="00CA7947"/>
    <w:rsid w:val="00CA7A06"/>
    <w:rsid w:val="00CA7B24"/>
    <w:rsid w:val="00CA7D83"/>
    <w:rsid w:val="00CA7EEA"/>
    <w:rsid w:val="00CB00D9"/>
    <w:rsid w:val="00CB0230"/>
    <w:rsid w:val="00CB0255"/>
    <w:rsid w:val="00CB0269"/>
    <w:rsid w:val="00CB04C4"/>
    <w:rsid w:val="00CB04E9"/>
    <w:rsid w:val="00CB08F3"/>
    <w:rsid w:val="00CB097A"/>
    <w:rsid w:val="00CB09DE"/>
    <w:rsid w:val="00CB0A30"/>
    <w:rsid w:val="00CB0B37"/>
    <w:rsid w:val="00CB0BED"/>
    <w:rsid w:val="00CB0E5F"/>
    <w:rsid w:val="00CB10DD"/>
    <w:rsid w:val="00CB113B"/>
    <w:rsid w:val="00CB1338"/>
    <w:rsid w:val="00CB13B0"/>
    <w:rsid w:val="00CB142F"/>
    <w:rsid w:val="00CB147C"/>
    <w:rsid w:val="00CB151A"/>
    <w:rsid w:val="00CB1646"/>
    <w:rsid w:val="00CB1E59"/>
    <w:rsid w:val="00CB2015"/>
    <w:rsid w:val="00CB223B"/>
    <w:rsid w:val="00CB2358"/>
    <w:rsid w:val="00CB23A6"/>
    <w:rsid w:val="00CB2562"/>
    <w:rsid w:val="00CB2678"/>
    <w:rsid w:val="00CB2BC5"/>
    <w:rsid w:val="00CB2D76"/>
    <w:rsid w:val="00CB2D77"/>
    <w:rsid w:val="00CB2F34"/>
    <w:rsid w:val="00CB30F5"/>
    <w:rsid w:val="00CB3155"/>
    <w:rsid w:val="00CB31D2"/>
    <w:rsid w:val="00CB327E"/>
    <w:rsid w:val="00CB32C4"/>
    <w:rsid w:val="00CB33C2"/>
    <w:rsid w:val="00CB33D7"/>
    <w:rsid w:val="00CB3799"/>
    <w:rsid w:val="00CB3887"/>
    <w:rsid w:val="00CB39DD"/>
    <w:rsid w:val="00CB3B2B"/>
    <w:rsid w:val="00CB3C5D"/>
    <w:rsid w:val="00CB3C7C"/>
    <w:rsid w:val="00CB3ED4"/>
    <w:rsid w:val="00CB3F50"/>
    <w:rsid w:val="00CB4006"/>
    <w:rsid w:val="00CB42B5"/>
    <w:rsid w:val="00CB4544"/>
    <w:rsid w:val="00CB45F8"/>
    <w:rsid w:val="00CB470A"/>
    <w:rsid w:val="00CB4AAA"/>
    <w:rsid w:val="00CB4BD8"/>
    <w:rsid w:val="00CB4D1D"/>
    <w:rsid w:val="00CB4E36"/>
    <w:rsid w:val="00CB4E59"/>
    <w:rsid w:val="00CB4F36"/>
    <w:rsid w:val="00CB53A5"/>
    <w:rsid w:val="00CB5574"/>
    <w:rsid w:val="00CB55DF"/>
    <w:rsid w:val="00CB55FF"/>
    <w:rsid w:val="00CB5661"/>
    <w:rsid w:val="00CB58A7"/>
    <w:rsid w:val="00CB5B72"/>
    <w:rsid w:val="00CB5C22"/>
    <w:rsid w:val="00CB5EF3"/>
    <w:rsid w:val="00CB5F4B"/>
    <w:rsid w:val="00CB6407"/>
    <w:rsid w:val="00CB6451"/>
    <w:rsid w:val="00CB64EF"/>
    <w:rsid w:val="00CB6602"/>
    <w:rsid w:val="00CB66D0"/>
    <w:rsid w:val="00CB6918"/>
    <w:rsid w:val="00CB6A99"/>
    <w:rsid w:val="00CB6C71"/>
    <w:rsid w:val="00CB6D14"/>
    <w:rsid w:val="00CB6DA2"/>
    <w:rsid w:val="00CB6E11"/>
    <w:rsid w:val="00CB7027"/>
    <w:rsid w:val="00CB702D"/>
    <w:rsid w:val="00CB70A0"/>
    <w:rsid w:val="00CB70BD"/>
    <w:rsid w:val="00CB70F2"/>
    <w:rsid w:val="00CB72E7"/>
    <w:rsid w:val="00CB7360"/>
    <w:rsid w:val="00CB74D8"/>
    <w:rsid w:val="00CB7617"/>
    <w:rsid w:val="00CB77D5"/>
    <w:rsid w:val="00CB790A"/>
    <w:rsid w:val="00CB7D32"/>
    <w:rsid w:val="00CC077A"/>
    <w:rsid w:val="00CC07E6"/>
    <w:rsid w:val="00CC0871"/>
    <w:rsid w:val="00CC08B5"/>
    <w:rsid w:val="00CC0A0C"/>
    <w:rsid w:val="00CC0A51"/>
    <w:rsid w:val="00CC0A95"/>
    <w:rsid w:val="00CC0B4D"/>
    <w:rsid w:val="00CC0C51"/>
    <w:rsid w:val="00CC0D0A"/>
    <w:rsid w:val="00CC0DD8"/>
    <w:rsid w:val="00CC0EA3"/>
    <w:rsid w:val="00CC0ECE"/>
    <w:rsid w:val="00CC0F2A"/>
    <w:rsid w:val="00CC0F2F"/>
    <w:rsid w:val="00CC0F72"/>
    <w:rsid w:val="00CC103C"/>
    <w:rsid w:val="00CC10ED"/>
    <w:rsid w:val="00CC1326"/>
    <w:rsid w:val="00CC1391"/>
    <w:rsid w:val="00CC1393"/>
    <w:rsid w:val="00CC160F"/>
    <w:rsid w:val="00CC179D"/>
    <w:rsid w:val="00CC1A02"/>
    <w:rsid w:val="00CC1B09"/>
    <w:rsid w:val="00CC1E47"/>
    <w:rsid w:val="00CC1F68"/>
    <w:rsid w:val="00CC20CD"/>
    <w:rsid w:val="00CC2382"/>
    <w:rsid w:val="00CC23AD"/>
    <w:rsid w:val="00CC240C"/>
    <w:rsid w:val="00CC2421"/>
    <w:rsid w:val="00CC24A4"/>
    <w:rsid w:val="00CC24CE"/>
    <w:rsid w:val="00CC24D5"/>
    <w:rsid w:val="00CC2686"/>
    <w:rsid w:val="00CC28C3"/>
    <w:rsid w:val="00CC28F7"/>
    <w:rsid w:val="00CC2ABD"/>
    <w:rsid w:val="00CC2B31"/>
    <w:rsid w:val="00CC2BD5"/>
    <w:rsid w:val="00CC2CD1"/>
    <w:rsid w:val="00CC2CF4"/>
    <w:rsid w:val="00CC2DB8"/>
    <w:rsid w:val="00CC2DE6"/>
    <w:rsid w:val="00CC2E2A"/>
    <w:rsid w:val="00CC2E2B"/>
    <w:rsid w:val="00CC2EEC"/>
    <w:rsid w:val="00CC2F25"/>
    <w:rsid w:val="00CC2FFA"/>
    <w:rsid w:val="00CC302A"/>
    <w:rsid w:val="00CC34C4"/>
    <w:rsid w:val="00CC36FE"/>
    <w:rsid w:val="00CC37B3"/>
    <w:rsid w:val="00CC387C"/>
    <w:rsid w:val="00CC3928"/>
    <w:rsid w:val="00CC3AD8"/>
    <w:rsid w:val="00CC3B2D"/>
    <w:rsid w:val="00CC3B9D"/>
    <w:rsid w:val="00CC3E76"/>
    <w:rsid w:val="00CC3F89"/>
    <w:rsid w:val="00CC4144"/>
    <w:rsid w:val="00CC4225"/>
    <w:rsid w:val="00CC42ED"/>
    <w:rsid w:val="00CC43DE"/>
    <w:rsid w:val="00CC47F4"/>
    <w:rsid w:val="00CC487F"/>
    <w:rsid w:val="00CC4DD8"/>
    <w:rsid w:val="00CC4F0E"/>
    <w:rsid w:val="00CC515A"/>
    <w:rsid w:val="00CC51FB"/>
    <w:rsid w:val="00CC5243"/>
    <w:rsid w:val="00CC55AF"/>
    <w:rsid w:val="00CC55E4"/>
    <w:rsid w:val="00CC5637"/>
    <w:rsid w:val="00CC5872"/>
    <w:rsid w:val="00CC5984"/>
    <w:rsid w:val="00CC5CFF"/>
    <w:rsid w:val="00CC5DC4"/>
    <w:rsid w:val="00CC5E5F"/>
    <w:rsid w:val="00CC5F1D"/>
    <w:rsid w:val="00CC5FAC"/>
    <w:rsid w:val="00CC6567"/>
    <w:rsid w:val="00CC6C7C"/>
    <w:rsid w:val="00CC6E96"/>
    <w:rsid w:val="00CC731A"/>
    <w:rsid w:val="00CC7494"/>
    <w:rsid w:val="00CC75DE"/>
    <w:rsid w:val="00CC77A2"/>
    <w:rsid w:val="00CC7881"/>
    <w:rsid w:val="00CC79CA"/>
    <w:rsid w:val="00CC7A92"/>
    <w:rsid w:val="00CC7AAA"/>
    <w:rsid w:val="00CC7AE9"/>
    <w:rsid w:val="00CD0326"/>
    <w:rsid w:val="00CD03FA"/>
    <w:rsid w:val="00CD04D9"/>
    <w:rsid w:val="00CD04EB"/>
    <w:rsid w:val="00CD0563"/>
    <w:rsid w:val="00CD05B0"/>
    <w:rsid w:val="00CD05F9"/>
    <w:rsid w:val="00CD0730"/>
    <w:rsid w:val="00CD084F"/>
    <w:rsid w:val="00CD08A8"/>
    <w:rsid w:val="00CD08B6"/>
    <w:rsid w:val="00CD0B4B"/>
    <w:rsid w:val="00CD0C50"/>
    <w:rsid w:val="00CD0C70"/>
    <w:rsid w:val="00CD0D27"/>
    <w:rsid w:val="00CD0DA4"/>
    <w:rsid w:val="00CD0EBE"/>
    <w:rsid w:val="00CD0EE6"/>
    <w:rsid w:val="00CD0FE6"/>
    <w:rsid w:val="00CD123B"/>
    <w:rsid w:val="00CD1519"/>
    <w:rsid w:val="00CD196B"/>
    <w:rsid w:val="00CD19E0"/>
    <w:rsid w:val="00CD1A11"/>
    <w:rsid w:val="00CD1A51"/>
    <w:rsid w:val="00CD1B0D"/>
    <w:rsid w:val="00CD1C6F"/>
    <w:rsid w:val="00CD1DD1"/>
    <w:rsid w:val="00CD1DE3"/>
    <w:rsid w:val="00CD2121"/>
    <w:rsid w:val="00CD2381"/>
    <w:rsid w:val="00CD26DE"/>
    <w:rsid w:val="00CD2885"/>
    <w:rsid w:val="00CD2909"/>
    <w:rsid w:val="00CD29C1"/>
    <w:rsid w:val="00CD329A"/>
    <w:rsid w:val="00CD32D0"/>
    <w:rsid w:val="00CD34BC"/>
    <w:rsid w:val="00CD3913"/>
    <w:rsid w:val="00CD3C7D"/>
    <w:rsid w:val="00CD3D87"/>
    <w:rsid w:val="00CD3E7A"/>
    <w:rsid w:val="00CD3FA6"/>
    <w:rsid w:val="00CD4034"/>
    <w:rsid w:val="00CD4142"/>
    <w:rsid w:val="00CD4256"/>
    <w:rsid w:val="00CD4499"/>
    <w:rsid w:val="00CD460C"/>
    <w:rsid w:val="00CD476B"/>
    <w:rsid w:val="00CD4818"/>
    <w:rsid w:val="00CD493D"/>
    <w:rsid w:val="00CD4A0B"/>
    <w:rsid w:val="00CD4AD0"/>
    <w:rsid w:val="00CD4B23"/>
    <w:rsid w:val="00CD4E22"/>
    <w:rsid w:val="00CD4EA4"/>
    <w:rsid w:val="00CD4EA6"/>
    <w:rsid w:val="00CD4EF9"/>
    <w:rsid w:val="00CD4FF0"/>
    <w:rsid w:val="00CD504D"/>
    <w:rsid w:val="00CD51B0"/>
    <w:rsid w:val="00CD528D"/>
    <w:rsid w:val="00CD530C"/>
    <w:rsid w:val="00CD53C1"/>
    <w:rsid w:val="00CD5612"/>
    <w:rsid w:val="00CD564B"/>
    <w:rsid w:val="00CD5A21"/>
    <w:rsid w:val="00CD5A95"/>
    <w:rsid w:val="00CD5CE9"/>
    <w:rsid w:val="00CD5FFD"/>
    <w:rsid w:val="00CD6565"/>
    <w:rsid w:val="00CD66C8"/>
    <w:rsid w:val="00CD6710"/>
    <w:rsid w:val="00CD6965"/>
    <w:rsid w:val="00CD6D2C"/>
    <w:rsid w:val="00CD6DAF"/>
    <w:rsid w:val="00CD7088"/>
    <w:rsid w:val="00CD7107"/>
    <w:rsid w:val="00CD7128"/>
    <w:rsid w:val="00CD72C7"/>
    <w:rsid w:val="00CD72FC"/>
    <w:rsid w:val="00CD73D9"/>
    <w:rsid w:val="00CD73FC"/>
    <w:rsid w:val="00CD7468"/>
    <w:rsid w:val="00CD74CE"/>
    <w:rsid w:val="00CD762E"/>
    <w:rsid w:val="00CD7A3C"/>
    <w:rsid w:val="00CD7ACC"/>
    <w:rsid w:val="00CD7BA0"/>
    <w:rsid w:val="00CD7C08"/>
    <w:rsid w:val="00CD7D12"/>
    <w:rsid w:val="00CD7D4A"/>
    <w:rsid w:val="00CD7D57"/>
    <w:rsid w:val="00CD7DA9"/>
    <w:rsid w:val="00CD7F5D"/>
    <w:rsid w:val="00CE01E0"/>
    <w:rsid w:val="00CE036B"/>
    <w:rsid w:val="00CE03C8"/>
    <w:rsid w:val="00CE0515"/>
    <w:rsid w:val="00CE09C7"/>
    <w:rsid w:val="00CE0A03"/>
    <w:rsid w:val="00CE0D9C"/>
    <w:rsid w:val="00CE0ED8"/>
    <w:rsid w:val="00CE0FD5"/>
    <w:rsid w:val="00CE111E"/>
    <w:rsid w:val="00CE11E5"/>
    <w:rsid w:val="00CE12D6"/>
    <w:rsid w:val="00CE1365"/>
    <w:rsid w:val="00CE139D"/>
    <w:rsid w:val="00CE1648"/>
    <w:rsid w:val="00CE1829"/>
    <w:rsid w:val="00CE192D"/>
    <w:rsid w:val="00CE1F01"/>
    <w:rsid w:val="00CE1F3A"/>
    <w:rsid w:val="00CE1FC5"/>
    <w:rsid w:val="00CE2036"/>
    <w:rsid w:val="00CE2345"/>
    <w:rsid w:val="00CE24FB"/>
    <w:rsid w:val="00CE26EC"/>
    <w:rsid w:val="00CE29A2"/>
    <w:rsid w:val="00CE2CC1"/>
    <w:rsid w:val="00CE2D45"/>
    <w:rsid w:val="00CE2F2E"/>
    <w:rsid w:val="00CE2F30"/>
    <w:rsid w:val="00CE309B"/>
    <w:rsid w:val="00CE31A4"/>
    <w:rsid w:val="00CE31AC"/>
    <w:rsid w:val="00CE31B9"/>
    <w:rsid w:val="00CE333A"/>
    <w:rsid w:val="00CE33EA"/>
    <w:rsid w:val="00CE34F6"/>
    <w:rsid w:val="00CE3578"/>
    <w:rsid w:val="00CE367E"/>
    <w:rsid w:val="00CE3D41"/>
    <w:rsid w:val="00CE3F30"/>
    <w:rsid w:val="00CE4257"/>
    <w:rsid w:val="00CE455C"/>
    <w:rsid w:val="00CE45A1"/>
    <w:rsid w:val="00CE45C1"/>
    <w:rsid w:val="00CE4610"/>
    <w:rsid w:val="00CE461D"/>
    <w:rsid w:val="00CE4658"/>
    <w:rsid w:val="00CE46C7"/>
    <w:rsid w:val="00CE4732"/>
    <w:rsid w:val="00CE4CDB"/>
    <w:rsid w:val="00CE4DAF"/>
    <w:rsid w:val="00CE4DC0"/>
    <w:rsid w:val="00CE507B"/>
    <w:rsid w:val="00CE51BA"/>
    <w:rsid w:val="00CE523C"/>
    <w:rsid w:val="00CE52A9"/>
    <w:rsid w:val="00CE52D9"/>
    <w:rsid w:val="00CE5395"/>
    <w:rsid w:val="00CE54D7"/>
    <w:rsid w:val="00CE54DE"/>
    <w:rsid w:val="00CE56B7"/>
    <w:rsid w:val="00CE5765"/>
    <w:rsid w:val="00CE57C6"/>
    <w:rsid w:val="00CE591D"/>
    <w:rsid w:val="00CE594D"/>
    <w:rsid w:val="00CE5976"/>
    <w:rsid w:val="00CE5BB8"/>
    <w:rsid w:val="00CE5EDE"/>
    <w:rsid w:val="00CE6088"/>
    <w:rsid w:val="00CE6228"/>
    <w:rsid w:val="00CE64FC"/>
    <w:rsid w:val="00CE6A19"/>
    <w:rsid w:val="00CE6BFF"/>
    <w:rsid w:val="00CE6FAA"/>
    <w:rsid w:val="00CE7243"/>
    <w:rsid w:val="00CE7345"/>
    <w:rsid w:val="00CE7393"/>
    <w:rsid w:val="00CE73F2"/>
    <w:rsid w:val="00CE763C"/>
    <w:rsid w:val="00CE7B38"/>
    <w:rsid w:val="00CE7C3D"/>
    <w:rsid w:val="00CE7D21"/>
    <w:rsid w:val="00CE7E3A"/>
    <w:rsid w:val="00CE7E66"/>
    <w:rsid w:val="00CF009F"/>
    <w:rsid w:val="00CF0239"/>
    <w:rsid w:val="00CF0579"/>
    <w:rsid w:val="00CF0642"/>
    <w:rsid w:val="00CF08D0"/>
    <w:rsid w:val="00CF0A30"/>
    <w:rsid w:val="00CF0A8F"/>
    <w:rsid w:val="00CF12D3"/>
    <w:rsid w:val="00CF14DC"/>
    <w:rsid w:val="00CF1633"/>
    <w:rsid w:val="00CF17C2"/>
    <w:rsid w:val="00CF17F5"/>
    <w:rsid w:val="00CF17FF"/>
    <w:rsid w:val="00CF1846"/>
    <w:rsid w:val="00CF1A64"/>
    <w:rsid w:val="00CF1A6A"/>
    <w:rsid w:val="00CF1C7B"/>
    <w:rsid w:val="00CF2144"/>
    <w:rsid w:val="00CF21A2"/>
    <w:rsid w:val="00CF2251"/>
    <w:rsid w:val="00CF243D"/>
    <w:rsid w:val="00CF259A"/>
    <w:rsid w:val="00CF2729"/>
    <w:rsid w:val="00CF274C"/>
    <w:rsid w:val="00CF27B9"/>
    <w:rsid w:val="00CF2D3F"/>
    <w:rsid w:val="00CF2E71"/>
    <w:rsid w:val="00CF2FCD"/>
    <w:rsid w:val="00CF3337"/>
    <w:rsid w:val="00CF3694"/>
    <w:rsid w:val="00CF383F"/>
    <w:rsid w:val="00CF3A4F"/>
    <w:rsid w:val="00CF3D84"/>
    <w:rsid w:val="00CF4110"/>
    <w:rsid w:val="00CF4179"/>
    <w:rsid w:val="00CF41F4"/>
    <w:rsid w:val="00CF4265"/>
    <w:rsid w:val="00CF4464"/>
    <w:rsid w:val="00CF45C5"/>
    <w:rsid w:val="00CF45CD"/>
    <w:rsid w:val="00CF45CF"/>
    <w:rsid w:val="00CF45F0"/>
    <w:rsid w:val="00CF48DD"/>
    <w:rsid w:val="00CF4B77"/>
    <w:rsid w:val="00CF4DE6"/>
    <w:rsid w:val="00CF5065"/>
    <w:rsid w:val="00CF5139"/>
    <w:rsid w:val="00CF51BF"/>
    <w:rsid w:val="00CF53AC"/>
    <w:rsid w:val="00CF555B"/>
    <w:rsid w:val="00CF55C4"/>
    <w:rsid w:val="00CF566F"/>
    <w:rsid w:val="00CF58C0"/>
    <w:rsid w:val="00CF5D6B"/>
    <w:rsid w:val="00CF626C"/>
    <w:rsid w:val="00CF627E"/>
    <w:rsid w:val="00CF6282"/>
    <w:rsid w:val="00CF62C7"/>
    <w:rsid w:val="00CF64EA"/>
    <w:rsid w:val="00CF6559"/>
    <w:rsid w:val="00CF687F"/>
    <w:rsid w:val="00CF6AE2"/>
    <w:rsid w:val="00CF6CAE"/>
    <w:rsid w:val="00CF6E94"/>
    <w:rsid w:val="00CF6F08"/>
    <w:rsid w:val="00CF6F36"/>
    <w:rsid w:val="00CF6F69"/>
    <w:rsid w:val="00CF7214"/>
    <w:rsid w:val="00CF72F2"/>
    <w:rsid w:val="00CF7811"/>
    <w:rsid w:val="00CF78FF"/>
    <w:rsid w:val="00CF7B10"/>
    <w:rsid w:val="00CF7D04"/>
    <w:rsid w:val="00CF7DE4"/>
    <w:rsid w:val="00CF7E2D"/>
    <w:rsid w:val="00CF7EB2"/>
    <w:rsid w:val="00CF7FA8"/>
    <w:rsid w:val="00D0014C"/>
    <w:rsid w:val="00D00364"/>
    <w:rsid w:val="00D00721"/>
    <w:rsid w:val="00D00818"/>
    <w:rsid w:val="00D00C87"/>
    <w:rsid w:val="00D00C91"/>
    <w:rsid w:val="00D00DA0"/>
    <w:rsid w:val="00D00E5A"/>
    <w:rsid w:val="00D00F74"/>
    <w:rsid w:val="00D0126A"/>
    <w:rsid w:val="00D016B1"/>
    <w:rsid w:val="00D01770"/>
    <w:rsid w:val="00D018D3"/>
    <w:rsid w:val="00D01975"/>
    <w:rsid w:val="00D019D5"/>
    <w:rsid w:val="00D019EC"/>
    <w:rsid w:val="00D01D8C"/>
    <w:rsid w:val="00D01FFB"/>
    <w:rsid w:val="00D02033"/>
    <w:rsid w:val="00D02094"/>
    <w:rsid w:val="00D0220D"/>
    <w:rsid w:val="00D025A1"/>
    <w:rsid w:val="00D02689"/>
    <w:rsid w:val="00D026DD"/>
    <w:rsid w:val="00D0271D"/>
    <w:rsid w:val="00D02770"/>
    <w:rsid w:val="00D02E58"/>
    <w:rsid w:val="00D02E79"/>
    <w:rsid w:val="00D032A7"/>
    <w:rsid w:val="00D034F9"/>
    <w:rsid w:val="00D03581"/>
    <w:rsid w:val="00D03596"/>
    <w:rsid w:val="00D03754"/>
    <w:rsid w:val="00D039E7"/>
    <w:rsid w:val="00D03BEC"/>
    <w:rsid w:val="00D03C76"/>
    <w:rsid w:val="00D03DA7"/>
    <w:rsid w:val="00D03E55"/>
    <w:rsid w:val="00D04021"/>
    <w:rsid w:val="00D04036"/>
    <w:rsid w:val="00D04264"/>
    <w:rsid w:val="00D042CC"/>
    <w:rsid w:val="00D044C7"/>
    <w:rsid w:val="00D044DC"/>
    <w:rsid w:val="00D04D21"/>
    <w:rsid w:val="00D04D95"/>
    <w:rsid w:val="00D05111"/>
    <w:rsid w:val="00D054AC"/>
    <w:rsid w:val="00D055E2"/>
    <w:rsid w:val="00D0569A"/>
    <w:rsid w:val="00D0576F"/>
    <w:rsid w:val="00D05785"/>
    <w:rsid w:val="00D057C6"/>
    <w:rsid w:val="00D05973"/>
    <w:rsid w:val="00D05BB5"/>
    <w:rsid w:val="00D060BB"/>
    <w:rsid w:val="00D06141"/>
    <w:rsid w:val="00D0618A"/>
    <w:rsid w:val="00D062D2"/>
    <w:rsid w:val="00D063FC"/>
    <w:rsid w:val="00D063FD"/>
    <w:rsid w:val="00D06472"/>
    <w:rsid w:val="00D06637"/>
    <w:rsid w:val="00D068F3"/>
    <w:rsid w:val="00D06C71"/>
    <w:rsid w:val="00D06C82"/>
    <w:rsid w:val="00D06C88"/>
    <w:rsid w:val="00D06DB5"/>
    <w:rsid w:val="00D073A1"/>
    <w:rsid w:val="00D07648"/>
    <w:rsid w:val="00D07711"/>
    <w:rsid w:val="00D079F4"/>
    <w:rsid w:val="00D07A33"/>
    <w:rsid w:val="00D07A8A"/>
    <w:rsid w:val="00D07C64"/>
    <w:rsid w:val="00D07D0A"/>
    <w:rsid w:val="00D07E6F"/>
    <w:rsid w:val="00D10023"/>
    <w:rsid w:val="00D101D6"/>
    <w:rsid w:val="00D1052B"/>
    <w:rsid w:val="00D106A5"/>
    <w:rsid w:val="00D107A0"/>
    <w:rsid w:val="00D107BC"/>
    <w:rsid w:val="00D107FF"/>
    <w:rsid w:val="00D108CC"/>
    <w:rsid w:val="00D10934"/>
    <w:rsid w:val="00D10A61"/>
    <w:rsid w:val="00D10C6D"/>
    <w:rsid w:val="00D10CD8"/>
    <w:rsid w:val="00D10E0E"/>
    <w:rsid w:val="00D10EB8"/>
    <w:rsid w:val="00D10F06"/>
    <w:rsid w:val="00D111EE"/>
    <w:rsid w:val="00D11408"/>
    <w:rsid w:val="00D11420"/>
    <w:rsid w:val="00D1166B"/>
    <w:rsid w:val="00D1167C"/>
    <w:rsid w:val="00D11762"/>
    <w:rsid w:val="00D117F3"/>
    <w:rsid w:val="00D11895"/>
    <w:rsid w:val="00D11A6D"/>
    <w:rsid w:val="00D11D84"/>
    <w:rsid w:val="00D11ED7"/>
    <w:rsid w:val="00D11F6A"/>
    <w:rsid w:val="00D1201B"/>
    <w:rsid w:val="00D120C4"/>
    <w:rsid w:val="00D1210F"/>
    <w:rsid w:val="00D12225"/>
    <w:rsid w:val="00D1228D"/>
    <w:rsid w:val="00D1260C"/>
    <w:rsid w:val="00D12891"/>
    <w:rsid w:val="00D12AE3"/>
    <w:rsid w:val="00D12D6B"/>
    <w:rsid w:val="00D12DC6"/>
    <w:rsid w:val="00D1305E"/>
    <w:rsid w:val="00D130D9"/>
    <w:rsid w:val="00D13166"/>
    <w:rsid w:val="00D1362C"/>
    <w:rsid w:val="00D137F6"/>
    <w:rsid w:val="00D13995"/>
    <w:rsid w:val="00D13AA1"/>
    <w:rsid w:val="00D13ACD"/>
    <w:rsid w:val="00D13CE8"/>
    <w:rsid w:val="00D13EEF"/>
    <w:rsid w:val="00D13F7B"/>
    <w:rsid w:val="00D14300"/>
    <w:rsid w:val="00D14308"/>
    <w:rsid w:val="00D14469"/>
    <w:rsid w:val="00D146C1"/>
    <w:rsid w:val="00D147E3"/>
    <w:rsid w:val="00D149A0"/>
    <w:rsid w:val="00D14AA7"/>
    <w:rsid w:val="00D14BFE"/>
    <w:rsid w:val="00D14DF2"/>
    <w:rsid w:val="00D14E0C"/>
    <w:rsid w:val="00D14EA8"/>
    <w:rsid w:val="00D14F39"/>
    <w:rsid w:val="00D14F9E"/>
    <w:rsid w:val="00D14FD7"/>
    <w:rsid w:val="00D1513D"/>
    <w:rsid w:val="00D15209"/>
    <w:rsid w:val="00D152B3"/>
    <w:rsid w:val="00D153D1"/>
    <w:rsid w:val="00D154A3"/>
    <w:rsid w:val="00D154C3"/>
    <w:rsid w:val="00D156C2"/>
    <w:rsid w:val="00D158F1"/>
    <w:rsid w:val="00D159B7"/>
    <w:rsid w:val="00D15B07"/>
    <w:rsid w:val="00D15CD3"/>
    <w:rsid w:val="00D15F80"/>
    <w:rsid w:val="00D1607B"/>
    <w:rsid w:val="00D16204"/>
    <w:rsid w:val="00D16332"/>
    <w:rsid w:val="00D166D2"/>
    <w:rsid w:val="00D167F3"/>
    <w:rsid w:val="00D1687A"/>
    <w:rsid w:val="00D16936"/>
    <w:rsid w:val="00D16B7D"/>
    <w:rsid w:val="00D16CFA"/>
    <w:rsid w:val="00D16D2F"/>
    <w:rsid w:val="00D176FB"/>
    <w:rsid w:val="00D17717"/>
    <w:rsid w:val="00D1773F"/>
    <w:rsid w:val="00D17761"/>
    <w:rsid w:val="00D178A3"/>
    <w:rsid w:val="00D179C6"/>
    <w:rsid w:val="00D179E9"/>
    <w:rsid w:val="00D17AD3"/>
    <w:rsid w:val="00D17EF4"/>
    <w:rsid w:val="00D2031E"/>
    <w:rsid w:val="00D20513"/>
    <w:rsid w:val="00D20830"/>
    <w:rsid w:val="00D20869"/>
    <w:rsid w:val="00D20C60"/>
    <w:rsid w:val="00D20CBA"/>
    <w:rsid w:val="00D20DC8"/>
    <w:rsid w:val="00D21203"/>
    <w:rsid w:val="00D213B9"/>
    <w:rsid w:val="00D214BB"/>
    <w:rsid w:val="00D21637"/>
    <w:rsid w:val="00D21704"/>
    <w:rsid w:val="00D21733"/>
    <w:rsid w:val="00D21845"/>
    <w:rsid w:val="00D218C6"/>
    <w:rsid w:val="00D21959"/>
    <w:rsid w:val="00D21A55"/>
    <w:rsid w:val="00D21B06"/>
    <w:rsid w:val="00D21B94"/>
    <w:rsid w:val="00D21C76"/>
    <w:rsid w:val="00D21C7C"/>
    <w:rsid w:val="00D21D84"/>
    <w:rsid w:val="00D21D8A"/>
    <w:rsid w:val="00D220CD"/>
    <w:rsid w:val="00D221D1"/>
    <w:rsid w:val="00D2227C"/>
    <w:rsid w:val="00D2239C"/>
    <w:rsid w:val="00D22423"/>
    <w:rsid w:val="00D22496"/>
    <w:rsid w:val="00D224DF"/>
    <w:rsid w:val="00D22756"/>
    <w:rsid w:val="00D22810"/>
    <w:rsid w:val="00D22845"/>
    <w:rsid w:val="00D228D8"/>
    <w:rsid w:val="00D22B51"/>
    <w:rsid w:val="00D22CB6"/>
    <w:rsid w:val="00D22E3B"/>
    <w:rsid w:val="00D22F2A"/>
    <w:rsid w:val="00D23141"/>
    <w:rsid w:val="00D234B1"/>
    <w:rsid w:val="00D235A7"/>
    <w:rsid w:val="00D2363D"/>
    <w:rsid w:val="00D236CC"/>
    <w:rsid w:val="00D23DE6"/>
    <w:rsid w:val="00D23E98"/>
    <w:rsid w:val="00D23F0F"/>
    <w:rsid w:val="00D23F13"/>
    <w:rsid w:val="00D23FE8"/>
    <w:rsid w:val="00D24074"/>
    <w:rsid w:val="00D240A3"/>
    <w:rsid w:val="00D2412A"/>
    <w:rsid w:val="00D241E2"/>
    <w:rsid w:val="00D2466D"/>
    <w:rsid w:val="00D24B71"/>
    <w:rsid w:val="00D24C56"/>
    <w:rsid w:val="00D24C73"/>
    <w:rsid w:val="00D24E31"/>
    <w:rsid w:val="00D24E5E"/>
    <w:rsid w:val="00D24F1F"/>
    <w:rsid w:val="00D24FDD"/>
    <w:rsid w:val="00D2502A"/>
    <w:rsid w:val="00D2508E"/>
    <w:rsid w:val="00D251ED"/>
    <w:rsid w:val="00D255EB"/>
    <w:rsid w:val="00D25648"/>
    <w:rsid w:val="00D256E9"/>
    <w:rsid w:val="00D2591A"/>
    <w:rsid w:val="00D25BA8"/>
    <w:rsid w:val="00D25DC0"/>
    <w:rsid w:val="00D26195"/>
    <w:rsid w:val="00D26411"/>
    <w:rsid w:val="00D26506"/>
    <w:rsid w:val="00D26701"/>
    <w:rsid w:val="00D26A4B"/>
    <w:rsid w:val="00D26AA4"/>
    <w:rsid w:val="00D26AA7"/>
    <w:rsid w:val="00D26BF5"/>
    <w:rsid w:val="00D26C54"/>
    <w:rsid w:val="00D26CAD"/>
    <w:rsid w:val="00D26D48"/>
    <w:rsid w:val="00D26E06"/>
    <w:rsid w:val="00D27045"/>
    <w:rsid w:val="00D27140"/>
    <w:rsid w:val="00D2715D"/>
    <w:rsid w:val="00D271A1"/>
    <w:rsid w:val="00D27216"/>
    <w:rsid w:val="00D2724A"/>
    <w:rsid w:val="00D272F3"/>
    <w:rsid w:val="00D27497"/>
    <w:rsid w:val="00D2753B"/>
    <w:rsid w:val="00D275D0"/>
    <w:rsid w:val="00D27638"/>
    <w:rsid w:val="00D276A1"/>
    <w:rsid w:val="00D276E1"/>
    <w:rsid w:val="00D2773C"/>
    <w:rsid w:val="00D2776A"/>
    <w:rsid w:val="00D2782C"/>
    <w:rsid w:val="00D27A20"/>
    <w:rsid w:val="00D27B67"/>
    <w:rsid w:val="00D27BDB"/>
    <w:rsid w:val="00D27DC2"/>
    <w:rsid w:val="00D27FE2"/>
    <w:rsid w:val="00D27FF5"/>
    <w:rsid w:val="00D3018F"/>
    <w:rsid w:val="00D302A6"/>
    <w:rsid w:val="00D30317"/>
    <w:rsid w:val="00D30320"/>
    <w:rsid w:val="00D30360"/>
    <w:rsid w:val="00D30441"/>
    <w:rsid w:val="00D30451"/>
    <w:rsid w:val="00D30484"/>
    <w:rsid w:val="00D30491"/>
    <w:rsid w:val="00D304F8"/>
    <w:rsid w:val="00D305FB"/>
    <w:rsid w:val="00D3063C"/>
    <w:rsid w:val="00D30820"/>
    <w:rsid w:val="00D30945"/>
    <w:rsid w:val="00D30971"/>
    <w:rsid w:val="00D30BE4"/>
    <w:rsid w:val="00D30C22"/>
    <w:rsid w:val="00D30E3A"/>
    <w:rsid w:val="00D30FF5"/>
    <w:rsid w:val="00D31203"/>
    <w:rsid w:val="00D3136B"/>
    <w:rsid w:val="00D314CA"/>
    <w:rsid w:val="00D3153D"/>
    <w:rsid w:val="00D315DA"/>
    <w:rsid w:val="00D3193F"/>
    <w:rsid w:val="00D320B9"/>
    <w:rsid w:val="00D321CB"/>
    <w:rsid w:val="00D32697"/>
    <w:rsid w:val="00D327B3"/>
    <w:rsid w:val="00D32903"/>
    <w:rsid w:val="00D32A74"/>
    <w:rsid w:val="00D32C2D"/>
    <w:rsid w:val="00D32E0C"/>
    <w:rsid w:val="00D32E30"/>
    <w:rsid w:val="00D32F84"/>
    <w:rsid w:val="00D3313A"/>
    <w:rsid w:val="00D3339F"/>
    <w:rsid w:val="00D3342D"/>
    <w:rsid w:val="00D334E4"/>
    <w:rsid w:val="00D338AB"/>
    <w:rsid w:val="00D339C5"/>
    <w:rsid w:val="00D33A28"/>
    <w:rsid w:val="00D33A89"/>
    <w:rsid w:val="00D33C9C"/>
    <w:rsid w:val="00D33E2F"/>
    <w:rsid w:val="00D33F51"/>
    <w:rsid w:val="00D3403C"/>
    <w:rsid w:val="00D348B8"/>
    <w:rsid w:val="00D349EA"/>
    <w:rsid w:val="00D34A2C"/>
    <w:rsid w:val="00D34A36"/>
    <w:rsid w:val="00D34A66"/>
    <w:rsid w:val="00D34B30"/>
    <w:rsid w:val="00D34B46"/>
    <w:rsid w:val="00D34F1D"/>
    <w:rsid w:val="00D35084"/>
    <w:rsid w:val="00D35245"/>
    <w:rsid w:val="00D35333"/>
    <w:rsid w:val="00D3570D"/>
    <w:rsid w:val="00D35A17"/>
    <w:rsid w:val="00D35A2F"/>
    <w:rsid w:val="00D35D3B"/>
    <w:rsid w:val="00D35ED6"/>
    <w:rsid w:val="00D35F1D"/>
    <w:rsid w:val="00D35F1E"/>
    <w:rsid w:val="00D36093"/>
    <w:rsid w:val="00D36123"/>
    <w:rsid w:val="00D36641"/>
    <w:rsid w:val="00D36672"/>
    <w:rsid w:val="00D366E9"/>
    <w:rsid w:val="00D36AEE"/>
    <w:rsid w:val="00D36B54"/>
    <w:rsid w:val="00D36CAB"/>
    <w:rsid w:val="00D36FBB"/>
    <w:rsid w:val="00D37183"/>
    <w:rsid w:val="00D37217"/>
    <w:rsid w:val="00D37366"/>
    <w:rsid w:val="00D374BF"/>
    <w:rsid w:val="00D374CF"/>
    <w:rsid w:val="00D37500"/>
    <w:rsid w:val="00D375EA"/>
    <w:rsid w:val="00D37653"/>
    <w:rsid w:val="00D37863"/>
    <w:rsid w:val="00D3793E"/>
    <w:rsid w:val="00D37D7C"/>
    <w:rsid w:val="00D37FD4"/>
    <w:rsid w:val="00D40036"/>
    <w:rsid w:val="00D4026D"/>
    <w:rsid w:val="00D40300"/>
    <w:rsid w:val="00D40468"/>
    <w:rsid w:val="00D4050B"/>
    <w:rsid w:val="00D405E2"/>
    <w:rsid w:val="00D4070A"/>
    <w:rsid w:val="00D407D8"/>
    <w:rsid w:val="00D4097B"/>
    <w:rsid w:val="00D40BB6"/>
    <w:rsid w:val="00D40D0C"/>
    <w:rsid w:val="00D40F29"/>
    <w:rsid w:val="00D40F5E"/>
    <w:rsid w:val="00D41192"/>
    <w:rsid w:val="00D41353"/>
    <w:rsid w:val="00D4164C"/>
    <w:rsid w:val="00D417D6"/>
    <w:rsid w:val="00D41898"/>
    <w:rsid w:val="00D418EB"/>
    <w:rsid w:val="00D41960"/>
    <w:rsid w:val="00D4197F"/>
    <w:rsid w:val="00D419C0"/>
    <w:rsid w:val="00D41B47"/>
    <w:rsid w:val="00D41C4C"/>
    <w:rsid w:val="00D41DAD"/>
    <w:rsid w:val="00D420F1"/>
    <w:rsid w:val="00D421BA"/>
    <w:rsid w:val="00D42222"/>
    <w:rsid w:val="00D422AF"/>
    <w:rsid w:val="00D42550"/>
    <w:rsid w:val="00D42575"/>
    <w:rsid w:val="00D42757"/>
    <w:rsid w:val="00D4293B"/>
    <w:rsid w:val="00D42BFB"/>
    <w:rsid w:val="00D42C5A"/>
    <w:rsid w:val="00D42D70"/>
    <w:rsid w:val="00D42E3D"/>
    <w:rsid w:val="00D42E79"/>
    <w:rsid w:val="00D42FD6"/>
    <w:rsid w:val="00D430DE"/>
    <w:rsid w:val="00D4323C"/>
    <w:rsid w:val="00D433A5"/>
    <w:rsid w:val="00D43513"/>
    <w:rsid w:val="00D43523"/>
    <w:rsid w:val="00D435ED"/>
    <w:rsid w:val="00D436DA"/>
    <w:rsid w:val="00D43772"/>
    <w:rsid w:val="00D43982"/>
    <w:rsid w:val="00D439AF"/>
    <w:rsid w:val="00D439E3"/>
    <w:rsid w:val="00D43C1A"/>
    <w:rsid w:val="00D43E64"/>
    <w:rsid w:val="00D44166"/>
    <w:rsid w:val="00D44264"/>
    <w:rsid w:val="00D444E2"/>
    <w:rsid w:val="00D4467B"/>
    <w:rsid w:val="00D44771"/>
    <w:rsid w:val="00D44BB0"/>
    <w:rsid w:val="00D44CE0"/>
    <w:rsid w:val="00D44E25"/>
    <w:rsid w:val="00D44E55"/>
    <w:rsid w:val="00D45013"/>
    <w:rsid w:val="00D45226"/>
    <w:rsid w:val="00D454E8"/>
    <w:rsid w:val="00D45585"/>
    <w:rsid w:val="00D45948"/>
    <w:rsid w:val="00D4595B"/>
    <w:rsid w:val="00D45A1F"/>
    <w:rsid w:val="00D45A5F"/>
    <w:rsid w:val="00D45BD2"/>
    <w:rsid w:val="00D45C4D"/>
    <w:rsid w:val="00D45CDD"/>
    <w:rsid w:val="00D45E09"/>
    <w:rsid w:val="00D45EB2"/>
    <w:rsid w:val="00D45EE9"/>
    <w:rsid w:val="00D4600F"/>
    <w:rsid w:val="00D460E9"/>
    <w:rsid w:val="00D461A9"/>
    <w:rsid w:val="00D46282"/>
    <w:rsid w:val="00D46635"/>
    <w:rsid w:val="00D466A2"/>
    <w:rsid w:val="00D4671E"/>
    <w:rsid w:val="00D4674A"/>
    <w:rsid w:val="00D46A86"/>
    <w:rsid w:val="00D46BA5"/>
    <w:rsid w:val="00D46C2C"/>
    <w:rsid w:val="00D46C69"/>
    <w:rsid w:val="00D47033"/>
    <w:rsid w:val="00D47128"/>
    <w:rsid w:val="00D471D8"/>
    <w:rsid w:val="00D4723A"/>
    <w:rsid w:val="00D473B0"/>
    <w:rsid w:val="00D47697"/>
    <w:rsid w:val="00D4782F"/>
    <w:rsid w:val="00D47997"/>
    <w:rsid w:val="00D47A92"/>
    <w:rsid w:val="00D47AD4"/>
    <w:rsid w:val="00D47AE1"/>
    <w:rsid w:val="00D47AE6"/>
    <w:rsid w:val="00D47B48"/>
    <w:rsid w:val="00D47C98"/>
    <w:rsid w:val="00D47DF5"/>
    <w:rsid w:val="00D501D2"/>
    <w:rsid w:val="00D50304"/>
    <w:rsid w:val="00D505A9"/>
    <w:rsid w:val="00D50747"/>
    <w:rsid w:val="00D5093E"/>
    <w:rsid w:val="00D50C78"/>
    <w:rsid w:val="00D51080"/>
    <w:rsid w:val="00D5108F"/>
    <w:rsid w:val="00D5155A"/>
    <w:rsid w:val="00D51651"/>
    <w:rsid w:val="00D5179D"/>
    <w:rsid w:val="00D51CF8"/>
    <w:rsid w:val="00D51D1B"/>
    <w:rsid w:val="00D51E26"/>
    <w:rsid w:val="00D5234C"/>
    <w:rsid w:val="00D523BF"/>
    <w:rsid w:val="00D5252F"/>
    <w:rsid w:val="00D5267E"/>
    <w:rsid w:val="00D527EF"/>
    <w:rsid w:val="00D528D1"/>
    <w:rsid w:val="00D52A78"/>
    <w:rsid w:val="00D52AD3"/>
    <w:rsid w:val="00D52D6B"/>
    <w:rsid w:val="00D52DB7"/>
    <w:rsid w:val="00D52E1B"/>
    <w:rsid w:val="00D52F26"/>
    <w:rsid w:val="00D52FB0"/>
    <w:rsid w:val="00D53032"/>
    <w:rsid w:val="00D53391"/>
    <w:rsid w:val="00D533E0"/>
    <w:rsid w:val="00D533F3"/>
    <w:rsid w:val="00D5370D"/>
    <w:rsid w:val="00D53823"/>
    <w:rsid w:val="00D5397D"/>
    <w:rsid w:val="00D53A13"/>
    <w:rsid w:val="00D53A22"/>
    <w:rsid w:val="00D53A5D"/>
    <w:rsid w:val="00D53BC3"/>
    <w:rsid w:val="00D53C88"/>
    <w:rsid w:val="00D53F53"/>
    <w:rsid w:val="00D5403A"/>
    <w:rsid w:val="00D5404B"/>
    <w:rsid w:val="00D5410E"/>
    <w:rsid w:val="00D5427C"/>
    <w:rsid w:val="00D542E8"/>
    <w:rsid w:val="00D54306"/>
    <w:rsid w:val="00D54429"/>
    <w:rsid w:val="00D54634"/>
    <w:rsid w:val="00D54660"/>
    <w:rsid w:val="00D5476B"/>
    <w:rsid w:val="00D54845"/>
    <w:rsid w:val="00D548E9"/>
    <w:rsid w:val="00D54ACB"/>
    <w:rsid w:val="00D54FD2"/>
    <w:rsid w:val="00D55105"/>
    <w:rsid w:val="00D55582"/>
    <w:rsid w:val="00D556E5"/>
    <w:rsid w:val="00D55813"/>
    <w:rsid w:val="00D55882"/>
    <w:rsid w:val="00D55BA6"/>
    <w:rsid w:val="00D55BB6"/>
    <w:rsid w:val="00D55F67"/>
    <w:rsid w:val="00D55FD1"/>
    <w:rsid w:val="00D5631A"/>
    <w:rsid w:val="00D56603"/>
    <w:rsid w:val="00D56644"/>
    <w:rsid w:val="00D567C0"/>
    <w:rsid w:val="00D569A4"/>
    <w:rsid w:val="00D56D10"/>
    <w:rsid w:val="00D56D1E"/>
    <w:rsid w:val="00D56E2F"/>
    <w:rsid w:val="00D56E69"/>
    <w:rsid w:val="00D56F50"/>
    <w:rsid w:val="00D56FC2"/>
    <w:rsid w:val="00D5705A"/>
    <w:rsid w:val="00D5714A"/>
    <w:rsid w:val="00D571C6"/>
    <w:rsid w:val="00D571E6"/>
    <w:rsid w:val="00D5729E"/>
    <w:rsid w:val="00D5738F"/>
    <w:rsid w:val="00D57648"/>
    <w:rsid w:val="00D5774D"/>
    <w:rsid w:val="00D57911"/>
    <w:rsid w:val="00D57914"/>
    <w:rsid w:val="00D57C76"/>
    <w:rsid w:val="00D57DC9"/>
    <w:rsid w:val="00D6002A"/>
    <w:rsid w:val="00D6003D"/>
    <w:rsid w:val="00D60230"/>
    <w:rsid w:val="00D6026E"/>
    <w:rsid w:val="00D60709"/>
    <w:rsid w:val="00D607A5"/>
    <w:rsid w:val="00D607D0"/>
    <w:rsid w:val="00D607EA"/>
    <w:rsid w:val="00D60817"/>
    <w:rsid w:val="00D6098A"/>
    <w:rsid w:val="00D6099E"/>
    <w:rsid w:val="00D60A0B"/>
    <w:rsid w:val="00D60A2B"/>
    <w:rsid w:val="00D60B0B"/>
    <w:rsid w:val="00D60C65"/>
    <w:rsid w:val="00D60CDA"/>
    <w:rsid w:val="00D60E87"/>
    <w:rsid w:val="00D60F58"/>
    <w:rsid w:val="00D60FFC"/>
    <w:rsid w:val="00D61180"/>
    <w:rsid w:val="00D611CF"/>
    <w:rsid w:val="00D61445"/>
    <w:rsid w:val="00D61573"/>
    <w:rsid w:val="00D6157D"/>
    <w:rsid w:val="00D61843"/>
    <w:rsid w:val="00D6184B"/>
    <w:rsid w:val="00D61878"/>
    <w:rsid w:val="00D61932"/>
    <w:rsid w:val="00D61977"/>
    <w:rsid w:val="00D61AB9"/>
    <w:rsid w:val="00D61B37"/>
    <w:rsid w:val="00D61C7A"/>
    <w:rsid w:val="00D61CCE"/>
    <w:rsid w:val="00D61DF2"/>
    <w:rsid w:val="00D61F8A"/>
    <w:rsid w:val="00D61FD4"/>
    <w:rsid w:val="00D6205A"/>
    <w:rsid w:val="00D62136"/>
    <w:rsid w:val="00D622F3"/>
    <w:rsid w:val="00D62327"/>
    <w:rsid w:val="00D62330"/>
    <w:rsid w:val="00D62459"/>
    <w:rsid w:val="00D62782"/>
    <w:rsid w:val="00D62A7B"/>
    <w:rsid w:val="00D62C0D"/>
    <w:rsid w:val="00D62C58"/>
    <w:rsid w:val="00D62E4E"/>
    <w:rsid w:val="00D62E68"/>
    <w:rsid w:val="00D62F8E"/>
    <w:rsid w:val="00D62F98"/>
    <w:rsid w:val="00D63000"/>
    <w:rsid w:val="00D6328A"/>
    <w:rsid w:val="00D6337E"/>
    <w:rsid w:val="00D633FE"/>
    <w:rsid w:val="00D6353D"/>
    <w:rsid w:val="00D63806"/>
    <w:rsid w:val="00D6395D"/>
    <w:rsid w:val="00D64094"/>
    <w:rsid w:val="00D6417E"/>
    <w:rsid w:val="00D6423E"/>
    <w:rsid w:val="00D6499C"/>
    <w:rsid w:val="00D64AE8"/>
    <w:rsid w:val="00D64B1B"/>
    <w:rsid w:val="00D64E27"/>
    <w:rsid w:val="00D64EB9"/>
    <w:rsid w:val="00D64F98"/>
    <w:rsid w:val="00D64FD5"/>
    <w:rsid w:val="00D64FEF"/>
    <w:rsid w:val="00D65496"/>
    <w:rsid w:val="00D65571"/>
    <w:rsid w:val="00D6588B"/>
    <w:rsid w:val="00D65B1D"/>
    <w:rsid w:val="00D65CC3"/>
    <w:rsid w:val="00D65F4A"/>
    <w:rsid w:val="00D66060"/>
    <w:rsid w:val="00D66097"/>
    <w:rsid w:val="00D66373"/>
    <w:rsid w:val="00D6650E"/>
    <w:rsid w:val="00D66556"/>
    <w:rsid w:val="00D668C6"/>
    <w:rsid w:val="00D66A25"/>
    <w:rsid w:val="00D66B82"/>
    <w:rsid w:val="00D66C47"/>
    <w:rsid w:val="00D6709B"/>
    <w:rsid w:val="00D671D2"/>
    <w:rsid w:val="00D67421"/>
    <w:rsid w:val="00D675C4"/>
    <w:rsid w:val="00D67724"/>
    <w:rsid w:val="00D6779C"/>
    <w:rsid w:val="00D679AE"/>
    <w:rsid w:val="00D679D7"/>
    <w:rsid w:val="00D67A02"/>
    <w:rsid w:val="00D67FE9"/>
    <w:rsid w:val="00D70063"/>
    <w:rsid w:val="00D70073"/>
    <w:rsid w:val="00D703DD"/>
    <w:rsid w:val="00D703EF"/>
    <w:rsid w:val="00D70473"/>
    <w:rsid w:val="00D70482"/>
    <w:rsid w:val="00D7052E"/>
    <w:rsid w:val="00D70579"/>
    <w:rsid w:val="00D706C2"/>
    <w:rsid w:val="00D707FC"/>
    <w:rsid w:val="00D70983"/>
    <w:rsid w:val="00D70A07"/>
    <w:rsid w:val="00D70A65"/>
    <w:rsid w:val="00D70CF4"/>
    <w:rsid w:val="00D70DEB"/>
    <w:rsid w:val="00D712AD"/>
    <w:rsid w:val="00D7130C"/>
    <w:rsid w:val="00D71690"/>
    <w:rsid w:val="00D71AC0"/>
    <w:rsid w:val="00D71B93"/>
    <w:rsid w:val="00D71E40"/>
    <w:rsid w:val="00D721E3"/>
    <w:rsid w:val="00D722F3"/>
    <w:rsid w:val="00D724F1"/>
    <w:rsid w:val="00D7258E"/>
    <w:rsid w:val="00D728E5"/>
    <w:rsid w:val="00D72914"/>
    <w:rsid w:val="00D72970"/>
    <w:rsid w:val="00D72C55"/>
    <w:rsid w:val="00D72E5B"/>
    <w:rsid w:val="00D72F38"/>
    <w:rsid w:val="00D72FC0"/>
    <w:rsid w:val="00D7303D"/>
    <w:rsid w:val="00D7311F"/>
    <w:rsid w:val="00D7337B"/>
    <w:rsid w:val="00D73441"/>
    <w:rsid w:val="00D734DC"/>
    <w:rsid w:val="00D7374C"/>
    <w:rsid w:val="00D73752"/>
    <w:rsid w:val="00D7382C"/>
    <w:rsid w:val="00D73979"/>
    <w:rsid w:val="00D73999"/>
    <w:rsid w:val="00D73BAA"/>
    <w:rsid w:val="00D73BE3"/>
    <w:rsid w:val="00D73D3B"/>
    <w:rsid w:val="00D73E76"/>
    <w:rsid w:val="00D74041"/>
    <w:rsid w:val="00D740A0"/>
    <w:rsid w:val="00D741E1"/>
    <w:rsid w:val="00D74232"/>
    <w:rsid w:val="00D743D2"/>
    <w:rsid w:val="00D74559"/>
    <w:rsid w:val="00D745E9"/>
    <w:rsid w:val="00D746CB"/>
    <w:rsid w:val="00D74965"/>
    <w:rsid w:val="00D749C3"/>
    <w:rsid w:val="00D749FC"/>
    <w:rsid w:val="00D74ACA"/>
    <w:rsid w:val="00D74D52"/>
    <w:rsid w:val="00D74DE3"/>
    <w:rsid w:val="00D74FA5"/>
    <w:rsid w:val="00D7505B"/>
    <w:rsid w:val="00D75167"/>
    <w:rsid w:val="00D7523C"/>
    <w:rsid w:val="00D752BC"/>
    <w:rsid w:val="00D752E4"/>
    <w:rsid w:val="00D75539"/>
    <w:rsid w:val="00D755D4"/>
    <w:rsid w:val="00D75628"/>
    <w:rsid w:val="00D7576A"/>
    <w:rsid w:val="00D75929"/>
    <w:rsid w:val="00D759D8"/>
    <w:rsid w:val="00D75C3D"/>
    <w:rsid w:val="00D75D9F"/>
    <w:rsid w:val="00D75DD8"/>
    <w:rsid w:val="00D75FFA"/>
    <w:rsid w:val="00D760B1"/>
    <w:rsid w:val="00D7619D"/>
    <w:rsid w:val="00D7621B"/>
    <w:rsid w:val="00D76470"/>
    <w:rsid w:val="00D764C2"/>
    <w:rsid w:val="00D76561"/>
    <w:rsid w:val="00D767C5"/>
    <w:rsid w:val="00D768B4"/>
    <w:rsid w:val="00D76A6A"/>
    <w:rsid w:val="00D76B27"/>
    <w:rsid w:val="00D76C5D"/>
    <w:rsid w:val="00D76C8E"/>
    <w:rsid w:val="00D76D96"/>
    <w:rsid w:val="00D76DB1"/>
    <w:rsid w:val="00D76DE7"/>
    <w:rsid w:val="00D76EBE"/>
    <w:rsid w:val="00D770E4"/>
    <w:rsid w:val="00D7720B"/>
    <w:rsid w:val="00D77227"/>
    <w:rsid w:val="00D77359"/>
    <w:rsid w:val="00D77605"/>
    <w:rsid w:val="00D777A5"/>
    <w:rsid w:val="00D777E5"/>
    <w:rsid w:val="00D77BAA"/>
    <w:rsid w:val="00D77BB0"/>
    <w:rsid w:val="00D77D32"/>
    <w:rsid w:val="00D77E17"/>
    <w:rsid w:val="00D77E58"/>
    <w:rsid w:val="00D77F57"/>
    <w:rsid w:val="00D77F63"/>
    <w:rsid w:val="00D80107"/>
    <w:rsid w:val="00D801DD"/>
    <w:rsid w:val="00D80387"/>
    <w:rsid w:val="00D8045C"/>
    <w:rsid w:val="00D805FD"/>
    <w:rsid w:val="00D80726"/>
    <w:rsid w:val="00D80768"/>
    <w:rsid w:val="00D80799"/>
    <w:rsid w:val="00D80909"/>
    <w:rsid w:val="00D8097E"/>
    <w:rsid w:val="00D809D6"/>
    <w:rsid w:val="00D80E17"/>
    <w:rsid w:val="00D80E33"/>
    <w:rsid w:val="00D81035"/>
    <w:rsid w:val="00D81185"/>
    <w:rsid w:val="00D81303"/>
    <w:rsid w:val="00D8133F"/>
    <w:rsid w:val="00D81755"/>
    <w:rsid w:val="00D818F6"/>
    <w:rsid w:val="00D8196F"/>
    <w:rsid w:val="00D8198B"/>
    <w:rsid w:val="00D819EC"/>
    <w:rsid w:val="00D81A0E"/>
    <w:rsid w:val="00D81BC9"/>
    <w:rsid w:val="00D81C8D"/>
    <w:rsid w:val="00D81E29"/>
    <w:rsid w:val="00D81E66"/>
    <w:rsid w:val="00D8200C"/>
    <w:rsid w:val="00D821B4"/>
    <w:rsid w:val="00D821C6"/>
    <w:rsid w:val="00D82235"/>
    <w:rsid w:val="00D82486"/>
    <w:rsid w:val="00D825FC"/>
    <w:rsid w:val="00D82785"/>
    <w:rsid w:val="00D82931"/>
    <w:rsid w:val="00D82A75"/>
    <w:rsid w:val="00D82CA0"/>
    <w:rsid w:val="00D82FCD"/>
    <w:rsid w:val="00D83003"/>
    <w:rsid w:val="00D83004"/>
    <w:rsid w:val="00D830B8"/>
    <w:rsid w:val="00D83124"/>
    <w:rsid w:val="00D831F3"/>
    <w:rsid w:val="00D83448"/>
    <w:rsid w:val="00D8366A"/>
    <w:rsid w:val="00D83771"/>
    <w:rsid w:val="00D8385F"/>
    <w:rsid w:val="00D838A6"/>
    <w:rsid w:val="00D8396A"/>
    <w:rsid w:val="00D83AA0"/>
    <w:rsid w:val="00D83EFF"/>
    <w:rsid w:val="00D84194"/>
    <w:rsid w:val="00D84475"/>
    <w:rsid w:val="00D84490"/>
    <w:rsid w:val="00D84564"/>
    <w:rsid w:val="00D84B18"/>
    <w:rsid w:val="00D84BD2"/>
    <w:rsid w:val="00D84BDB"/>
    <w:rsid w:val="00D84E61"/>
    <w:rsid w:val="00D8504C"/>
    <w:rsid w:val="00D85063"/>
    <w:rsid w:val="00D85174"/>
    <w:rsid w:val="00D85217"/>
    <w:rsid w:val="00D852CD"/>
    <w:rsid w:val="00D853C5"/>
    <w:rsid w:val="00D856E4"/>
    <w:rsid w:val="00D85B49"/>
    <w:rsid w:val="00D85D4F"/>
    <w:rsid w:val="00D85D88"/>
    <w:rsid w:val="00D85EDB"/>
    <w:rsid w:val="00D85F80"/>
    <w:rsid w:val="00D86013"/>
    <w:rsid w:val="00D860FA"/>
    <w:rsid w:val="00D86401"/>
    <w:rsid w:val="00D86526"/>
    <w:rsid w:val="00D8668E"/>
    <w:rsid w:val="00D868C9"/>
    <w:rsid w:val="00D86BCF"/>
    <w:rsid w:val="00D86DBE"/>
    <w:rsid w:val="00D86FE2"/>
    <w:rsid w:val="00D86FF9"/>
    <w:rsid w:val="00D8708C"/>
    <w:rsid w:val="00D8759F"/>
    <w:rsid w:val="00D875CF"/>
    <w:rsid w:val="00D876EC"/>
    <w:rsid w:val="00D876ED"/>
    <w:rsid w:val="00D8787C"/>
    <w:rsid w:val="00D87885"/>
    <w:rsid w:val="00D87EDD"/>
    <w:rsid w:val="00D87EF0"/>
    <w:rsid w:val="00D901D6"/>
    <w:rsid w:val="00D90263"/>
    <w:rsid w:val="00D903AF"/>
    <w:rsid w:val="00D9041A"/>
    <w:rsid w:val="00D9059D"/>
    <w:rsid w:val="00D90655"/>
    <w:rsid w:val="00D90656"/>
    <w:rsid w:val="00D90759"/>
    <w:rsid w:val="00D909D1"/>
    <w:rsid w:val="00D90A81"/>
    <w:rsid w:val="00D90C93"/>
    <w:rsid w:val="00D90EFF"/>
    <w:rsid w:val="00D90FE1"/>
    <w:rsid w:val="00D911A6"/>
    <w:rsid w:val="00D911FE"/>
    <w:rsid w:val="00D912DA"/>
    <w:rsid w:val="00D913A4"/>
    <w:rsid w:val="00D914E6"/>
    <w:rsid w:val="00D91627"/>
    <w:rsid w:val="00D91742"/>
    <w:rsid w:val="00D91781"/>
    <w:rsid w:val="00D9192C"/>
    <w:rsid w:val="00D91AB7"/>
    <w:rsid w:val="00D91BB3"/>
    <w:rsid w:val="00D91BBD"/>
    <w:rsid w:val="00D91BF1"/>
    <w:rsid w:val="00D91D5E"/>
    <w:rsid w:val="00D91E54"/>
    <w:rsid w:val="00D921DE"/>
    <w:rsid w:val="00D92219"/>
    <w:rsid w:val="00D923CC"/>
    <w:rsid w:val="00D924F7"/>
    <w:rsid w:val="00D92751"/>
    <w:rsid w:val="00D9286F"/>
    <w:rsid w:val="00D9291E"/>
    <w:rsid w:val="00D92A5A"/>
    <w:rsid w:val="00D92C59"/>
    <w:rsid w:val="00D92D7C"/>
    <w:rsid w:val="00D9300F"/>
    <w:rsid w:val="00D9302B"/>
    <w:rsid w:val="00D93039"/>
    <w:rsid w:val="00D9313F"/>
    <w:rsid w:val="00D93198"/>
    <w:rsid w:val="00D9353C"/>
    <w:rsid w:val="00D935C8"/>
    <w:rsid w:val="00D938E0"/>
    <w:rsid w:val="00D93A46"/>
    <w:rsid w:val="00D93A4D"/>
    <w:rsid w:val="00D93AB5"/>
    <w:rsid w:val="00D93C0D"/>
    <w:rsid w:val="00D93D31"/>
    <w:rsid w:val="00D9403D"/>
    <w:rsid w:val="00D94294"/>
    <w:rsid w:val="00D945C1"/>
    <w:rsid w:val="00D947DE"/>
    <w:rsid w:val="00D948C5"/>
    <w:rsid w:val="00D94AC6"/>
    <w:rsid w:val="00D94B77"/>
    <w:rsid w:val="00D94DAC"/>
    <w:rsid w:val="00D94FF3"/>
    <w:rsid w:val="00D94FF8"/>
    <w:rsid w:val="00D95207"/>
    <w:rsid w:val="00D95297"/>
    <w:rsid w:val="00D95510"/>
    <w:rsid w:val="00D955DE"/>
    <w:rsid w:val="00D95616"/>
    <w:rsid w:val="00D9563E"/>
    <w:rsid w:val="00D959FC"/>
    <w:rsid w:val="00D95ED7"/>
    <w:rsid w:val="00D962D8"/>
    <w:rsid w:val="00D967DE"/>
    <w:rsid w:val="00D968E0"/>
    <w:rsid w:val="00D96A5B"/>
    <w:rsid w:val="00D96B29"/>
    <w:rsid w:val="00D96BD5"/>
    <w:rsid w:val="00D96C5A"/>
    <w:rsid w:val="00D96E92"/>
    <w:rsid w:val="00D97179"/>
    <w:rsid w:val="00D973BE"/>
    <w:rsid w:val="00D9745E"/>
    <w:rsid w:val="00D974B8"/>
    <w:rsid w:val="00D977AD"/>
    <w:rsid w:val="00D97CDC"/>
    <w:rsid w:val="00D97E1B"/>
    <w:rsid w:val="00D97FC2"/>
    <w:rsid w:val="00D97FD4"/>
    <w:rsid w:val="00DA0095"/>
    <w:rsid w:val="00DA03C5"/>
    <w:rsid w:val="00DA04A0"/>
    <w:rsid w:val="00DA083F"/>
    <w:rsid w:val="00DA0887"/>
    <w:rsid w:val="00DA08AF"/>
    <w:rsid w:val="00DA095A"/>
    <w:rsid w:val="00DA0AFF"/>
    <w:rsid w:val="00DA0D01"/>
    <w:rsid w:val="00DA10C8"/>
    <w:rsid w:val="00DA1133"/>
    <w:rsid w:val="00DA1218"/>
    <w:rsid w:val="00DA1304"/>
    <w:rsid w:val="00DA131E"/>
    <w:rsid w:val="00DA16BA"/>
    <w:rsid w:val="00DA1924"/>
    <w:rsid w:val="00DA19CC"/>
    <w:rsid w:val="00DA1AD8"/>
    <w:rsid w:val="00DA1D46"/>
    <w:rsid w:val="00DA1F9F"/>
    <w:rsid w:val="00DA223C"/>
    <w:rsid w:val="00DA22AF"/>
    <w:rsid w:val="00DA2378"/>
    <w:rsid w:val="00DA2420"/>
    <w:rsid w:val="00DA24C1"/>
    <w:rsid w:val="00DA2775"/>
    <w:rsid w:val="00DA278C"/>
    <w:rsid w:val="00DA2898"/>
    <w:rsid w:val="00DA29A5"/>
    <w:rsid w:val="00DA29C4"/>
    <w:rsid w:val="00DA2B14"/>
    <w:rsid w:val="00DA2D15"/>
    <w:rsid w:val="00DA2D1B"/>
    <w:rsid w:val="00DA2D2F"/>
    <w:rsid w:val="00DA314F"/>
    <w:rsid w:val="00DA32B7"/>
    <w:rsid w:val="00DA34E0"/>
    <w:rsid w:val="00DA350F"/>
    <w:rsid w:val="00DA3679"/>
    <w:rsid w:val="00DA3707"/>
    <w:rsid w:val="00DA38AD"/>
    <w:rsid w:val="00DA3D5B"/>
    <w:rsid w:val="00DA3D8E"/>
    <w:rsid w:val="00DA3DB3"/>
    <w:rsid w:val="00DA43CE"/>
    <w:rsid w:val="00DA43F5"/>
    <w:rsid w:val="00DA49B9"/>
    <w:rsid w:val="00DA4C72"/>
    <w:rsid w:val="00DA4DCC"/>
    <w:rsid w:val="00DA4FED"/>
    <w:rsid w:val="00DA5122"/>
    <w:rsid w:val="00DA51DD"/>
    <w:rsid w:val="00DA540D"/>
    <w:rsid w:val="00DA5695"/>
    <w:rsid w:val="00DA59D2"/>
    <w:rsid w:val="00DA5B5F"/>
    <w:rsid w:val="00DA5C3A"/>
    <w:rsid w:val="00DA5CE2"/>
    <w:rsid w:val="00DA5DC6"/>
    <w:rsid w:val="00DA5E96"/>
    <w:rsid w:val="00DA5E97"/>
    <w:rsid w:val="00DA5F10"/>
    <w:rsid w:val="00DA6040"/>
    <w:rsid w:val="00DA605A"/>
    <w:rsid w:val="00DA61D5"/>
    <w:rsid w:val="00DA6256"/>
    <w:rsid w:val="00DA6361"/>
    <w:rsid w:val="00DA6552"/>
    <w:rsid w:val="00DA6768"/>
    <w:rsid w:val="00DA6853"/>
    <w:rsid w:val="00DA6863"/>
    <w:rsid w:val="00DA696C"/>
    <w:rsid w:val="00DA698F"/>
    <w:rsid w:val="00DA6AC5"/>
    <w:rsid w:val="00DA6D88"/>
    <w:rsid w:val="00DA6D8F"/>
    <w:rsid w:val="00DA6FBB"/>
    <w:rsid w:val="00DA7031"/>
    <w:rsid w:val="00DA703E"/>
    <w:rsid w:val="00DA70C6"/>
    <w:rsid w:val="00DA7158"/>
    <w:rsid w:val="00DA71B7"/>
    <w:rsid w:val="00DA72F2"/>
    <w:rsid w:val="00DA7301"/>
    <w:rsid w:val="00DA7516"/>
    <w:rsid w:val="00DA75A4"/>
    <w:rsid w:val="00DA7772"/>
    <w:rsid w:val="00DA78E8"/>
    <w:rsid w:val="00DA79C6"/>
    <w:rsid w:val="00DA7B2F"/>
    <w:rsid w:val="00DA7BDE"/>
    <w:rsid w:val="00DA7CA6"/>
    <w:rsid w:val="00DA7D00"/>
    <w:rsid w:val="00DA7D6B"/>
    <w:rsid w:val="00DB0204"/>
    <w:rsid w:val="00DB024C"/>
    <w:rsid w:val="00DB036A"/>
    <w:rsid w:val="00DB07D9"/>
    <w:rsid w:val="00DB099B"/>
    <w:rsid w:val="00DB09A5"/>
    <w:rsid w:val="00DB09C2"/>
    <w:rsid w:val="00DB0A28"/>
    <w:rsid w:val="00DB0A5D"/>
    <w:rsid w:val="00DB0A6C"/>
    <w:rsid w:val="00DB0BD0"/>
    <w:rsid w:val="00DB0CDB"/>
    <w:rsid w:val="00DB0D51"/>
    <w:rsid w:val="00DB1077"/>
    <w:rsid w:val="00DB1201"/>
    <w:rsid w:val="00DB12E7"/>
    <w:rsid w:val="00DB12F3"/>
    <w:rsid w:val="00DB139C"/>
    <w:rsid w:val="00DB1537"/>
    <w:rsid w:val="00DB1560"/>
    <w:rsid w:val="00DB19BD"/>
    <w:rsid w:val="00DB1E87"/>
    <w:rsid w:val="00DB2064"/>
    <w:rsid w:val="00DB20FE"/>
    <w:rsid w:val="00DB22D0"/>
    <w:rsid w:val="00DB23ED"/>
    <w:rsid w:val="00DB2486"/>
    <w:rsid w:val="00DB2838"/>
    <w:rsid w:val="00DB29AD"/>
    <w:rsid w:val="00DB2A47"/>
    <w:rsid w:val="00DB2C0C"/>
    <w:rsid w:val="00DB2C7D"/>
    <w:rsid w:val="00DB2F06"/>
    <w:rsid w:val="00DB2F4D"/>
    <w:rsid w:val="00DB2FC5"/>
    <w:rsid w:val="00DB311E"/>
    <w:rsid w:val="00DB3143"/>
    <w:rsid w:val="00DB3225"/>
    <w:rsid w:val="00DB3247"/>
    <w:rsid w:val="00DB32B2"/>
    <w:rsid w:val="00DB380C"/>
    <w:rsid w:val="00DB3889"/>
    <w:rsid w:val="00DB3A86"/>
    <w:rsid w:val="00DB3BB0"/>
    <w:rsid w:val="00DB3E4C"/>
    <w:rsid w:val="00DB3EC0"/>
    <w:rsid w:val="00DB3ECE"/>
    <w:rsid w:val="00DB3F89"/>
    <w:rsid w:val="00DB446D"/>
    <w:rsid w:val="00DB4DE9"/>
    <w:rsid w:val="00DB4F1C"/>
    <w:rsid w:val="00DB5061"/>
    <w:rsid w:val="00DB51DD"/>
    <w:rsid w:val="00DB53D9"/>
    <w:rsid w:val="00DB56D2"/>
    <w:rsid w:val="00DB57E0"/>
    <w:rsid w:val="00DB59A8"/>
    <w:rsid w:val="00DB5A0B"/>
    <w:rsid w:val="00DB5AA2"/>
    <w:rsid w:val="00DB5B17"/>
    <w:rsid w:val="00DB5D4C"/>
    <w:rsid w:val="00DB5E27"/>
    <w:rsid w:val="00DB5FF8"/>
    <w:rsid w:val="00DB606D"/>
    <w:rsid w:val="00DB6258"/>
    <w:rsid w:val="00DB62A1"/>
    <w:rsid w:val="00DB6480"/>
    <w:rsid w:val="00DB66D2"/>
    <w:rsid w:val="00DB6A74"/>
    <w:rsid w:val="00DB7714"/>
    <w:rsid w:val="00DB7834"/>
    <w:rsid w:val="00DB79AD"/>
    <w:rsid w:val="00DB7A69"/>
    <w:rsid w:val="00DB7C5E"/>
    <w:rsid w:val="00DB7CF2"/>
    <w:rsid w:val="00DB7DF1"/>
    <w:rsid w:val="00DB7E56"/>
    <w:rsid w:val="00DC0082"/>
    <w:rsid w:val="00DC00E9"/>
    <w:rsid w:val="00DC02E8"/>
    <w:rsid w:val="00DC04B5"/>
    <w:rsid w:val="00DC04EB"/>
    <w:rsid w:val="00DC0879"/>
    <w:rsid w:val="00DC0BB9"/>
    <w:rsid w:val="00DC0BCF"/>
    <w:rsid w:val="00DC0C85"/>
    <w:rsid w:val="00DC0D5E"/>
    <w:rsid w:val="00DC0E48"/>
    <w:rsid w:val="00DC0F52"/>
    <w:rsid w:val="00DC177C"/>
    <w:rsid w:val="00DC1830"/>
    <w:rsid w:val="00DC1945"/>
    <w:rsid w:val="00DC1D49"/>
    <w:rsid w:val="00DC1E96"/>
    <w:rsid w:val="00DC1ECF"/>
    <w:rsid w:val="00DC1FF1"/>
    <w:rsid w:val="00DC2285"/>
    <w:rsid w:val="00DC230E"/>
    <w:rsid w:val="00DC234C"/>
    <w:rsid w:val="00DC2481"/>
    <w:rsid w:val="00DC2603"/>
    <w:rsid w:val="00DC2642"/>
    <w:rsid w:val="00DC2682"/>
    <w:rsid w:val="00DC26DC"/>
    <w:rsid w:val="00DC2796"/>
    <w:rsid w:val="00DC2C09"/>
    <w:rsid w:val="00DC2C17"/>
    <w:rsid w:val="00DC2C92"/>
    <w:rsid w:val="00DC2CBC"/>
    <w:rsid w:val="00DC2F58"/>
    <w:rsid w:val="00DC2FF0"/>
    <w:rsid w:val="00DC3026"/>
    <w:rsid w:val="00DC3172"/>
    <w:rsid w:val="00DC3249"/>
    <w:rsid w:val="00DC3477"/>
    <w:rsid w:val="00DC3652"/>
    <w:rsid w:val="00DC365C"/>
    <w:rsid w:val="00DC38DB"/>
    <w:rsid w:val="00DC3B74"/>
    <w:rsid w:val="00DC3DFA"/>
    <w:rsid w:val="00DC3F74"/>
    <w:rsid w:val="00DC414F"/>
    <w:rsid w:val="00DC42F4"/>
    <w:rsid w:val="00DC46B7"/>
    <w:rsid w:val="00DC4924"/>
    <w:rsid w:val="00DC4AEA"/>
    <w:rsid w:val="00DC4BB7"/>
    <w:rsid w:val="00DC4BFF"/>
    <w:rsid w:val="00DC5567"/>
    <w:rsid w:val="00DC574F"/>
    <w:rsid w:val="00DC57B3"/>
    <w:rsid w:val="00DC5AC9"/>
    <w:rsid w:val="00DC5AE6"/>
    <w:rsid w:val="00DC5B0E"/>
    <w:rsid w:val="00DC5C45"/>
    <w:rsid w:val="00DC5F74"/>
    <w:rsid w:val="00DC604C"/>
    <w:rsid w:val="00DC609A"/>
    <w:rsid w:val="00DC6298"/>
    <w:rsid w:val="00DC62EF"/>
    <w:rsid w:val="00DC66CF"/>
    <w:rsid w:val="00DC69FC"/>
    <w:rsid w:val="00DC6B3A"/>
    <w:rsid w:val="00DC6CEC"/>
    <w:rsid w:val="00DC713C"/>
    <w:rsid w:val="00DC7144"/>
    <w:rsid w:val="00DC7225"/>
    <w:rsid w:val="00DC7252"/>
    <w:rsid w:val="00DC73D1"/>
    <w:rsid w:val="00DC749E"/>
    <w:rsid w:val="00DC7561"/>
    <w:rsid w:val="00DC758E"/>
    <w:rsid w:val="00DC7922"/>
    <w:rsid w:val="00DC7972"/>
    <w:rsid w:val="00DC7A52"/>
    <w:rsid w:val="00DC7DAE"/>
    <w:rsid w:val="00DD016C"/>
    <w:rsid w:val="00DD0185"/>
    <w:rsid w:val="00DD0249"/>
    <w:rsid w:val="00DD048D"/>
    <w:rsid w:val="00DD08E4"/>
    <w:rsid w:val="00DD0C4D"/>
    <w:rsid w:val="00DD0C75"/>
    <w:rsid w:val="00DD0D5F"/>
    <w:rsid w:val="00DD0D88"/>
    <w:rsid w:val="00DD0E11"/>
    <w:rsid w:val="00DD0EA3"/>
    <w:rsid w:val="00DD0F2F"/>
    <w:rsid w:val="00DD1123"/>
    <w:rsid w:val="00DD143F"/>
    <w:rsid w:val="00DD1472"/>
    <w:rsid w:val="00DD147C"/>
    <w:rsid w:val="00DD14FB"/>
    <w:rsid w:val="00DD17F6"/>
    <w:rsid w:val="00DD1AD0"/>
    <w:rsid w:val="00DD1CA0"/>
    <w:rsid w:val="00DD1FFE"/>
    <w:rsid w:val="00DD2131"/>
    <w:rsid w:val="00DD21B2"/>
    <w:rsid w:val="00DD2265"/>
    <w:rsid w:val="00DD258B"/>
    <w:rsid w:val="00DD264B"/>
    <w:rsid w:val="00DD265E"/>
    <w:rsid w:val="00DD2843"/>
    <w:rsid w:val="00DD28DA"/>
    <w:rsid w:val="00DD2A65"/>
    <w:rsid w:val="00DD2C96"/>
    <w:rsid w:val="00DD2E9E"/>
    <w:rsid w:val="00DD2EA7"/>
    <w:rsid w:val="00DD305E"/>
    <w:rsid w:val="00DD327E"/>
    <w:rsid w:val="00DD32E3"/>
    <w:rsid w:val="00DD342D"/>
    <w:rsid w:val="00DD34B1"/>
    <w:rsid w:val="00DD3596"/>
    <w:rsid w:val="00DD365E"/>
    <w:rsid w:val="00DD380D"/>
    <w:rsid w:val="00DD3B69"/>
    <w:rsid w:val="00DD3B79"/>
    <w:rsid w:val="00DD3D0B"/>
    <w:rsid w:val="00DD3D29"/>
    <w:rsid w:val="00DD3D90"/>
    <w:rsid w:val="00DD3E14"/>
    <w:rsid w:val="00DD3F06"/>
    <w:rsid w:val="00DD3FA3"/>
    <w:rsid w:val="00DD400A"/>
    <w:rsid w:val="00DD4152"/>
    <w:rsid w:val="00DD42C2"/>
    <w:rsid w:val="00DD435D"/>
    <w:rsid w:val="00DD47AB"/>
    <w:rsid w:val="00DD480D"/>
    <w:rsid w:val="00DD4823"/>
    <w:rsid w:val="00DD48E5"/>
    <w:rsid w:val="00DD49D2"/>
    <w:rsid w:val="00DD4EBE"/>
    <w:rsid w:val="00DD54C4"/>
    <w:rsid w:val="00DD57C3"/>
    <w:rsid w:val="00DD5887"/>
    <w:rsid w:val="00DD588D"/>
    <w:rsid w:val="00DD58C7"/>
    <w:rsid w:val="00DD593B"/>
    <w:rsid w:val="00DD5E2E"/>
    <w:rsid w:val="00DD5E48"/>
    <w:rsid w:val="00DD5E61"/>
    <w:rsid w:val="00DD61C2"/>
    <w:rsid w:val="00DD6498"/>
    <w:rsid w:val="00DD669C"/>
    <w:rsid w:val="00DD66B8"/>
    <w:rsid w:val="00DD67E4"/>
    <w:rsid w:val="00DD6890"/>
    <w:rsid w:val="00DD68BC"/>
    <w:rsid w:val="00DD6AED"/>
    <w:rsid w:val="00DD6B45"/>
    <w:rsid w:val="00DD6DD0"/>
    <w:rsid w:val="00DD6EBB"/>
    <w:rsid w:val="00DD7093"/>
    <w:rsid w:val="00DD71B2"/>
    <w:rsid w:val="00DD7519"/>
    <w:rsid w:val="00DD7535"/>
    <w:rsid w:val="00DD75D5"/>
    <w:rsid w:val="00DD76E7"/>
    <w:rsid w:val="00DD7759"/>
    <w:rsid w:val="00DD7772"/>
    <w:rsid w:val="00DD77AE"/>
    <w:rsid w:val="00DD78BD"/>
    <w:rsid w:val="00DD7974"/>
    <w:rsid w:val="00DD7A9D"/>
    <w:rsid w:val="00DD7B16"/>
    <w:rsid w:val="00DD7C22"/>
    <w:rsid w:val="00DE0050"/>
    <w:rsid w:val="00DE009E"/>
    <w:rsid w:val="00DE012B"/>
    <w:rsid w:val="00DE014F"/>
    <w:rsid w:val="00DE01E5"/>
    <w:rsid w:val="00DE01F2"/>
    <w:rsid w:val="00DE0314"/>
    <w:rsid w:val="00DE03AD"/>
    <w:rsid w:val="00DE04B0"/>
    <w:rsid w:val="00DE0592"/>
    <w:rsid w:val="00DE0853"/>
    <w:rsid w:val="00DE08D9"/>
    <w:rsid w:val="00DE08F5"/>
    <w:rsid w:val="00DE0969"/>
    <w:rsid w:val="00DE0A82"/>
    <w:rsid w:val="00DE0B93"/>
    <w:rsid w:val="00DE0DA0"/>
    <w:rsid w:val="00DE0DE6"/>
    <w:rsid w:val="00DE0E31"/>
    <w:rsid w:val="00DE0E59"/>
    <w:rsid w:val="00DE1246"/>
    <w:rsid w:val="00DE161C"/>
    <w:rsid w:val="00DE1F8E"/>
    <w:rsid w:val="00DE2238"/>
    <w:rsid w:val="00DE22CC"/>
    <w:rsid w:val="00DE2322"/>
    <w:rsid w:val="00DE2433"/>
    <w:rsid w:val="00DE24FE"/>
    <w:rsid w:val="00DE2549"/>
    <w:rsid w:val="00DE2967"/>
    <w:rsid w:val="00DE297F"/>
    <w:rsid w:val="00DE2A4D"/>
    <w:rsid w:val="00DE2B29"/>
    <w:rsid w:val="00DE2C94"/>
    <w:rsid w:val="00DE2CCC"/>
    <w:rsid w:val="00DE2FA3"/>
    <w:rsid w:val="00DE2FF1"/>
    <w:rsid w:val="00DE30AE"/>
    <w:rsid w:val="00DE3213"/>
    <w:rsid w:val="00DE32A5"/>
    <w:rsid w:val="00DE3354"/>
    <w:rsid w:val="00DE345F"/>
    <w:rsid w:val="00DE3511"/>
    <w:rsid w:val="00DE366C"/>
    <w:rsid w:val="00DE3CBF"/>
    <w:rsid w:val="00DE3DE2"/>
    <w:rsid w:val="00DE3E84"/>
    <w:rsid w:val="00DE3EC6"/>
    <w:rsid w:val="00DE4252"/>
    <w:rsid w:val="00DE4345"/>
    <w:rsid w:val="00DE4840"/>
    <w:rsid w:val="00DE4A35"/>
    <w:rsid w:val="00DE4BC4"/>
    <w:rsid w:val="00DE4C2D"/>
    <w:rsid w:val="00DE4D74"/>
    <w:rsid w:val="00DE4E72"/>
    <w:rsid w:val="00DE4E8F"/>
    <w:rsid w:val="00DE5018"/>
    <w:rsid w:val="00DE5069"/>
    <w:rsid w:val="00DE50E1"/>
    <w:rsid w:val="00DE51A5"/>
    <w:rsid w:val="00DE5200"/>
    <w:rsid w:val="00DE52B9"/>
    <w:rsid w:val="00DE5381"/>
    <w:rsid w:val="00DE5468"/>
    <w:rsid w:val="00DE54A3"/>
    <w:rsid w:val="00DE57AA"/>
    <w:rsid w:val="00DE5CBC"/>
    <w:rsid w:val="00DE6018"/>
    <w:rsid w:val="00DE6232"/>
    <w:rsid w:val="00DE62FB"/>
    <w:rsid w:val="00DE6926"/>
    <w:rsid w:val="00DE6B7D"/>
    <w:rsid w:val="00DE6C2A"/>
    <w:rsid w:val="00DE6CFF"/>
    <w:rsid w:val="00DE6D1B"/>
    <w:rsid w:val="00DE6DB1"/>
    <w:rsid w:val="00DE6DCF"/>
    <w:rsid w:val="00DE6E62"/>
    <w:rsid w:val="00DE71CD"/>
    <w:rsid w:val="00DE7386"/>
    <w:rsid w:val="00DE76C9"/>
    <w:rsid w:val="00DE7C1F"/>
    <w:rsid w:val="00DE7F50"/>
    <w:rsid w:val="00DE7F91"/>
    <w:rsid w:val="00DE7FF5"/>
    <w:rsid w:val="00DF00D4"/>
    <w:rsid w:val="00DF00F7"/>
    <w:rsid w:val="00DF0103"/>
    <w:rsid w:val="00DF019E"/>
    <w:rsid w:val="00DF021B"/>
    <w:rsid w:val="00DF0367"/>
    <w:rsid w:val="00DF03C5"/>
    <w:rsid w:val="00DF04E5"/>
    <w:rsid w:val="00DF05A4"/>
    <w:rsid w:val="00DF0764"/>
    <w:rsid w:val="00DF0782"/>
    <w:rsid w:val="00DF07BD"/>
    <w:rsid w:val="00DF0832"/>
    <w:rsid w:val="00DF0846"/>
    <w:rsid w:val="00DF0CD8"/>
    <w:rsid w:val="00DF0DC2"/>
    <w:rsid w:val="00DF0E25"/>
    <w:rsid w:val="00DF0F23"/>
    <w:rsid w:val="00DF0FEA"/>
    <w:rsid w:val="00DF128D"/>
    <w:rsid w:val="00DF135E"/>
    <w:rsid w:val="00DF1369"/>
    <w:rsid w:val="00DF13E3"/>
    <w:rsid w:val="00DF1481"/>
    <w:rsid w:val="00DF1785"/>
    <w:rsid w:val="00DF180C"/>
    <w:rsid w:val="00DF184E"/>
    <w:rsid w:val="00DF18C3"/>
    <w:rsid w:val="00DF19FB"/>
    <w:rsid w:val="00DF1AF5"/>
    <w:rsid w:val="00DF1B53"/>
    <w:rsid w:val="00DF1B69"/>
    <w:rsid w:val="00DF1B7F"/>
    <w:rsid w:val="00DF1D9A"/>
    <w:rsid w:val="00DF1F6E"/>
    <w:rsid w:val="00DF200C"/>
    <w:rsid w:val="00DF2128"/>
    <w:rsid w:val="00DF2142"/>
    <w:rsid w:val="00DF220D"/>
    <w:rsid w:val="00DF234C"/>
    <w:rsid w:val="00DF24EE"/>
    <w:rsid w:val="00DF264C"/>
    <w:rsid w:val="00DF26DC"/>
    <w:rsid w:val="00DF27D5"/>
    <w:rsid w:val="00DF29BF"/>
    <w:rsid w:val="00DF2B9C"/>
    <w:rsid w:val="00DF2EFB"/>
    <w:rsid w:val="00DF2F83"/>
    <w:rsid w:val="00DF2FE8"/>
    <w:rsid w:val="00DF3223"/>
    <w:rsid w:val="00DF3339"/>
    <w:rsid w:val="00DF3341"/>
    <w:rsid w:val="00DF3353"/>
    <w:rsid w:val="00DF3540"/>
    <w:rsid w:val="00DF3549"/>
    <w:rsid w:val="00DF3577"/>
    <w:rsid w:val="00DF3D2F"/>
    <w:rsid w:val="00DF3D95"/>
    <w:rsid w:val="00DF3E41"/>
    <w:rsid w:val="00DF4107"/>
    <w:rsid w:val="00DF410D"/>
    <w:rsid w:val="00DF411A"/>
    <w:rsid w:val="00DF41FC"/>
    <w:rsid w:val="00DF4255"/>
    <w:rsid w:val="00DF42E3"/>
    <w:rsid w:val="00DF4328"/>
    <w:rsid w:val="00DF438D"/>
    <w:rsid w:val="00DF4470"/>
    <w:rsid w:val="00DF4475"/>
    <w:rsid w:val="00DF46CC"/>
    <w:rsid w:val="00DF472B"/>
    <w:rsid w:val="00DF4B04"/>
    <w:rsid w:val="00DF4D1A"/>
    <w:rsid w:val="00DF4EFE"/>
    <w:rsid w:val="00DF4F02"/>
    <w:rsid w:val="00DF5014"/>
    <w:rsid w:val="00DF505B"/>
    <w:rsid w:val="00DF510C"/>
    <w:rsid w:val="00DF5136"/>
    <w:rsid w:val="00DF5402"/>
    <w:rsid w:val="00DF54A2"/>
    <w:rsid w:val="00DF5724"/>
    <w:rsid w:val="00DF5765"/>
    <w:rsid w:val="00DF5786"/>
    <w:rsid w:val="00DF5C3D"/>
    <w:rsid w:val="00DF5EA9"/>
    <w:rsid w:val="00DF605C"/>
    <w:rsid w:val="00DF6159"/>
    <w:rsid w:val="00DF61DE"/>
    <w:rsid w:val="00DF628E"/>
    <w:rsid w:val="00DF62D7"/>
    <w:rsid w:val="00DF62E4"/>
    <w:rsid w:val="00DF637F"/>
    <w:rsid w:val="00DF64B0"/>
    <w:rsid w:val="00DF64C6"/>
    <w:rsid w:val="00DF6645"/>
    <w:rsid w:val="00DF6676"/>
    <w:rsid w:val="00DF69FB"/>
    <w:rsid w:val="00DF6D62"/>
    <w:rsid w:val="00DF6EAC"/>
    <w:rsid w:val="00DF6F5A"/>
    <w:rsid w:val="00DF7307"/>
    <w:rsid w:val="00DF757C"/>
    <w:rsid w:val="00DF766D"/>
    <w:rsid w:val="00DF76E0"/>
    <w:rsid w:val="00DF772B"/>
    <w:rsid w:val="00DF77A5"/>
    <w:rsid w:val="00DF7AEC"/>
    <w:rsid w:val="00DF7DD7"/>
    <w:rsid w:val="00DF7E59"/>
    <w:rsid w:val="00E001DB"/>
    <w:rsid w:val="00E0037A"/>
    <w:rsid w:val="00E0048B"/>
    <w:rsid w:val="00E004E1"/>
    <w:rsid w:val="00E007D0"/>
    <w:rsid w:val="00E008B6"/>
    <w:rsid w:val="00E00B0A"/>
    <w:rsid w:val="00E00BD7"/>
    <w:rsid w:val="00E00CE3"/>
    <w:rsid w:val="00E00CEB"/>
    <w:rsid w:val="00E00D5A"/>
    <w:rsid w:val="00E00D7D"/>
    <w:rsid w:val="00E00F2F"/>
    <w:rsid w:val="00E00F66"/>
    <w:rsid w:val="00E010B3"/>
    <w:rsid w:val="00E01175"/>
    <w:rsid w:val="00E0130A"/>
    <w:rsid w:val="00E01623"/>
    <w:rsid w:val="00E016B5"/>
    <w:rsid w:val="00E01749"/>
    <w:rsid w:val="00E018D1"/>
    <w:rsid w:val="00E018D2"/>
    <w:rsid w:val="00E01AFA"/>
    <w:rsid w:val="00E01B20"/>
    <w:rsid w:val="00E01B72"/>
    <w:rsid w:val="00E01C6C"/>
    <w:rsid w:val="00E01F07"/>
    <w:rsid w:val="00E02017"/>
    <w:rsid w:val="00E022B3"/>
    <w:rsid w:val="00E02456"/>
    <w:rsid w:val="00E025BA"/>
    <w:rsid w:val="00E027EB"/>
    <w:rsid w:val="00E02943"/>
    <w:rsid w:val="00E029A6"/>
    <w:rsid w:val="00E029DF"/>
    <w:rsid w:val="00E02B9D"/>
    <w:rsid w:val="00E02C33"/>
    <w:rsid w:val="00E02CE0"/>
    <w:rsid w:val="00E02D13"/>
    <w:rsid w:val="00E02DA5"/>
    <w:rsid w:val="00E02E3D"/>
    <w:rsid w:val="00E030C3"/>
    <w:rsid w:val="00E031D5"/>
    <w:rsid w:val="00E0326F"/>
    <w:rsid w:val="00E0343D"/>
    <w:rsid w:val="00E037AA"/>
    <w:rsid w:val="00E037EA"/>
    <w:rsid w:val="00E03892"/>
    <w:rsid w:val="00E03A3A"/>
    <w:rsid w:val="00E03B17"/>
    <w:rsid w:val="00E03B5A"/>
    <w:rsid w:val="00E03D19"/>
    <w:rsid w:val="00E044A0"/>
    <w:rsid w:val="00E044C8"/>
    <w:rsid w:val="00E0458C"/>
    <w:rsid w:val="00E04600"/>
    <w:rsid w:val="00E04863"/>
    <w:rsid w:val="00E04911"/>
    <w:rsid w:val="00E0491F"/>
    <w:rsid w:val="00E04A1E"/>
    <w:rsid w:val="00E04D67"/>
    <w:rsid w:val="00E04DA5"/>
    <w:rsid w:val="00E04E8E"/>
    <w:rsid w:val="00E05047"/>
    <w:rsid w:val="00E05072"/>
    <w:rsid w:val="00E0522D"/>
    <w:rsid w:val="00E0532C"/>
    <w:rsid w:val="00E05583"/>
    <w:rsid w:val="00E055C0"/>
    <w:rsid w:val="00E0588B"/>
    <w:rsid w:val="00E05AE0"/>
    <w:rsid w:val="00E05C24"/>
    <w:rsid w:val="00E05C47"/>
    <w:rsid w:val="00E05C5B"/>
    <w:rsid w:val="00E05C66"/>
    <w:rsid w:val="00E05D23"/>
    <w:rsid w:val="00E05D8F"/>
    <w:rsid w:val="00E060F2"/>
    <w:rsid w:val="00E0637D"/>
    <w:rsid w:val="00E0642A"/>
    <w:rsid w:val="00E06451"/>
    <w:rsid w:val="00E06671"/>
    <w:rsid w:val="00E06690"/>
    <w:rsid w:val="00E06880"/>
    <w:rsid w:val="00E06AB6"/>
    <w:rsid w:val="00E06C6B"/>
    <w:rsid w:val="00E06DF3"/>
    <w:rsid w:val="00E070E1"/>
    <w:rsid w:val="00E071CB"/>
    <w:rsid w:val="00E071E9"/>
    <w:rsid w:val="00E07308"/>
    <w:rsid w:val="00E07346"/>
    <w:rsid w:val="00E07561"/>
    <w:rsid w:val="00E075A5"/>
    <w:rsid w:val="00E0773A"/>
    <w:rsid w:val="00E078F3"/>
    <w:rsid w:val="00E0792C"/>
    <w:rsid w:val="00E0794D"/>
    <w:rsid w:val="00E07B33"/>
    <w:rsid w:val="00E07F3F"/>
    <w:rsid w:val="00E07FA1"/>
    <w:rsid w:val="00E07FBD"/>
    <w:rsid w:val="00E07FE2"/>
    <w:rsid w:val="00E10116"/>
    <w:rsid w:val="00E101D5"/>
    <w:rsid w:val="00E1024D"/>
    <w:rsid w:val="00E10308"/>
    <w:rsid w:val="00E105BF"/>
    <w:rsid w:val="00E10A9C"/>
    <w:rsid w:val="00E10B83"/>
    <w:rsid w:val="00E10C75"/>
    <w:rsid w:val="00E10C8A"/>
    <w:rsid w:val="00E10E4B"/>
    <w:rsid w:val="00E10ECB"/>
    <w:rsid w:val="00E10F83"/>
    <w:rsid w:val="00E11042"/>
    <w:rsid w:val="00E1104B"/>
    <w:rsid w:val="00E1104C"/>
    <w:rsid w:val="00E112C1"/>
    <w:rsid w:val="00E114B9"/>
    <w:rsid w:val="00E1156C"/>
    <w:rsid w:val="00E1159B"/>
    <w:rsid w:val="00E1185F"/>
    <w:rsid w:val="00E1193B"/>
    <w:rsid w:val="00E1198D"/>
    <w:rsid w:val="00E11A88"/>
    <w:rsid w:val="00E11AB3"/>
    <w:rsid w:val="00E11BAE"/>
    <w:rsid w:val="00E11CE4"/>
    <w:rsid w:val="00E11DC4"/>
    <w:rsid w:val="00E11EB2"/>
    <w:rsid w:val="00E11EB4"/>
    <w:rsid w:val="00E11F1C"/>
    <w:rsid w:val="00E12034"/>
    <w:rsid w:val="00E124E2"/>
    <w:rsid w:val="00E127E4"/>
    <w:rsid w:val="00E1287D"/>
    <w:rsid w:val="00E128B3"/>
    <w:rsid w:val="00E129E8"/>
    <w:rsid w:val="00E12C1F"/>
    <w:rsid w:val="00E12EE5"/>
    <w:rsid w:val="00E12F25"/>
    <w:rsid w:val="00E12F28"/>
    <w:rsid w:val="00E12F71"/>
    <w:rsid w:val="00E13245"/>
    <w:rsid w:val="00E13551"/>
    <w:rsid w:val="00E135BF"/>
    <w:rsid w:val="00E136E9"/>
    <w:rsid w:val="00E1396E"/>
    <w:rsid w:val="00E13A4F"/>
    <w:rsid w:val="00E13A97"/>
    <w:rsid w:val="00E13C73"/>
    <w:rsid w:val="00E13D1C"/>
    <w:rsid w:val="00E13E7E"/>
    <w:rsid w:val="00E13F22"/>
    <w:rsid w:val="00E14234"/>
    <w:rsid w:val="00E143BE"/>
    <w:rsid w:val="00E145D8"/>
    <w:rsid w:val="00E146D4"/>
    <w:rsid w:val="00E14844"/>
    <w:rsid w:val="00E14B15"/>
    <w:rsid w:val="00E14B7D"/>
    <w:rsid w:val="00E14B82"/>
    <w:rsid w:val="00E14CF1"/>
    <w:rsid w:val="00E14E94"/>
    <w:rsid w:val="00E14F3D"/>
    <w:rsid w:val="00E15011"/>
    <w:rsid w:val="00E1516E"/>
    <w:rsid w:val="00E151A0"/>
    <w:rsid w:val="00E152CB"/>
    <w:rsid w:val="00E152EC"/>
    <w:rsid w:val="00E15333"/>
    <w:rsid w:val="00E153FD"/>
    <w:rsid w:val="00E1540E"/>
    <w:rsid w:val="00E15456"/>
    <w:rsid w:val="00E1548D"/>
    <w:rsid w:val="00E15504"/>
    <w:rsid w:val="00E15505"/>
    <w:rsid w:val="00E155BC"/>
    <w:rsid w:val="00E1589B"/>
    <w:rsid w:val="00E158F3"/>
    <w:rsid w:val="00E159FE"/>
    <w:rsid w:val="00E15A78"/>
    <w:rsid w:val="00E15AC5"/>
    <w:rsid w:val="00E15C84"/>
    <w:rsid w:val="00E160A6"/>
    <w:rsid w:val="00E160FD"/>
    <w:rsid w:val="00E16106"/>
    <w:rsid w:val="00E16193"/>
    <w:rsid w:val="00E1625A"/>
    <w:rsid w:val="00E162DC"/>
    <w:rsid w:val="00E16330"/>
    <w:rsid w:val="00E163D7"/>
    <w:rsid w:val="00E166EE"/>
    <w:rsid w:val="00E16BC2"/>
    <w:rsid w:val="00E16D7F"/>
    <w:rsid w:val="00E1732F"/>
    <w:rsid w:val="00E174F5"/>
    <w:rsid w:val="00E174F7"/>
    <w:rsid w:val="00E175D2"/>
    <w:rsid w:val="00E177C9"/>
    <w:rsid w:val="00E17BF1"/>
    <w:rsid w:val="00E17C75"/>
    <w:rsid w:val="00E17DB0"/>
    <w:rsid w:val="00E17DF9"/>
    <w:rsid w:val="00E20112"/>
    <w:rsid w:val="00E20519"/>
    <w:rsid w:val="00E209D2"/>
    <w:rsid w:val="00E20BA7"/>
    <w:rsid w:val="00E20F98"/>
    <w:rsid w:val="00E21067"/>
    <w:rsid w:val="00E21175"/>
    <w:rsid w:val="00E21378"/>
    <w:rsid w:val="00E215BD"/>
    <w:rsid w:val="00E219EB"/>
    <w:rsid w:val="00E21A38"/>
    <w:rsid w:val="00E21E4C"/>
    <w:rsid w:val="00E21ED4"/>
    <w:rsid w:val="00E22023"/>
    <w:rsid w:val="00E2218A"/>
    <w:rsid w:val="00E22290"/>
    <w:rsid w:val="00E224D3"/>
    <w:rsid w:val="00E226F8"/>
    <w:rsid w:val="00E226FE"/>
    <w:rsid w:val="00E22785"/>
    <w:rsid w:val="00E22902"/>
    <w:rsid w:val="00E22AE5"/>
    <w:rsid w:val="00E22AE8"/>
    <w:rsid w:val="00E22FB0"/>
    <w:rsid w:val="00E22FF7"/>
    <w:rsid w:val="00E230AE"/>
    <w:rsid w:val="00E23233"/>
    <w:rsid w:val="00E23235"/>
    <w:rsid w:val="00E232B3"/>
    <w:rsid w:val="00E23353"/>
    <w:rsid w:val="00E233C3"/>
    <w:rsid w:val="00E23736"/>
    <w:rsid w:val="00E23790"/>
    <w:rsid w:val="00E2388D"/>
    <w:rsid w:val="00E239BF"/>
    <w:rsid w:val="00E23A19"/>
    <w:rsid w:val="00E23EE3"/>
    <w:rsid w:val="00E23F31"/>
    <w:rsid w:val="00E240D0"/>
    <w:rsid w:val="00E2421E"/>
    <w:rsid w:val="00E242DA"/>
    <w:rsid w:val="00E2438B"/>
    <w:rsid w:val="00E243CC"/>
    <w:rsid w:val="00E24532"/>
    <w:rsid w:val="00E24AD4"/>
    <w:rsid w:val="00E24BFB"/>
    <w:rsid w:val="00E24D5E"/>
    <w:rsid w:val="00E24D62"/>
    <w:rsid w:val="00E24DE7"/>
    <w:rsid w:val="00E24FF8"/>
    <w:rsid w:val="00E25062"/>
    <w:rsid w:val="00E2521C"/>
    <w:rsid w:val="00E25227"/>
    <w:rsid w:val="00E252B0"/>
    <w:rsid w:val="00E253AC"/>
    <w:rsid w:val="00E255A2"/>
    <w:rsid w:val="00E25640"/>
    <w:rsid w:val="00E256EF"/>
    <w:rsid w:val="00E259C4"/>
    <w:rsid w:val="00E25BCB"/>
    <w:rsid w:val="00E25BF3"/>
    <w:rsid w:val="00E25C37"/>
    <w:rsid w:val="00E25FB1"/>
    <w:rsid w:val="00E261FF"/>
    <w:rsid w:val="00E266F6"/>
    <w:rsid w:val="00E2671C"/>
    <w:rsid w:val="00E26733"/>
    <w:rsid w:val="00E267D5"/>
    <w:rsid w:val="00E2692A"/>
    <w:rsid w:val="00E26964"/>
    <w:rsid w:val="00E26D4F"/>
    <w:rsid w:val="00E26DA0"/>
    <w:rsid w:val="00E27197"/>
    <w:rsid w:val="00E2719A"/>
    <w:rsid w:val="00E27227"/>
    <w:rsid w:val="00E273F8"/>
    <w:rsid w:val="00E27C0B"/>
    <w:rsid w:val="00E3026F"/>
    <w:rsid w:val="00E30409"/>
    <w:rsid w:val="00E30427"/>
    <w:rsid w:val="00E3064D"/>
    <w:rsid w:val="00E3070F"/>
    <w:rsid w:val="00E30787"/>
    <w:rsid w:val="00E30AAC"/>
    <w:rsid w:val="00E30B41"/>
    <w:rsid w:val="00E30D09"/>
    <w:rsid w:val="00E30D5B"/>
    <w:rsid w:val="00E30E01"/>
    <w:rsid w:val="00E30E33"/>
    <w:rsid w:val="00E30FD4"/>
    <w:rsid w:val="00E315DE"/>
    <w:rsid w:val="00E318CC"/>
    <w:rsid w:val="00E31AF2"/>
    <w:rsid w:val="00E31B88"/>
    <w:rsid w:val="00E31C34"/>
    <w:rsid w:val="00E31C78"/>
    <w:rsid w:val="00E31EC5"/>
    <w:rsid w:val="00E31F8E"/>
    <w:rsid w:val="00E31FBA"/>
    <w:rsid w:val="00E32054"/>
    <w:rsid w:val="00E325D4"/>
    <w:rsid w:val="00E3272F"/>
    <w:rsid w:val="00E32880"/>
    <w:rsid w:val="00E32A2D"/>
    <w:rsid w:val="00E32C3C"/>
    <w:rsid w:val="00E32C87"/>
    <w:rsid w:val="00E32CB3"/>
    <w:rsid w:val="00E32DAB"/>
    <w:rsid w:val="00E32E67"/>
    <w:rsid w:val="00E3312F"/>
    <w:rsid w:val="00E3319C"/>
    <w:rsid w:val="00E331B2"/>
    <w:rsid w:val="00E332DF"/>
    <w:rsid w:val="00E33448"/>
    <w:rsid w:val="00E33567"/>
    <w:rsid w:val="00E3393A"/>
    <w:rsid w:val="00E33D3A"/>
    <w:rsid w:val="00E33DEC"/>
    <w:rsid w:val="00E33E82"/>
    <w:rsid w:val="00E341A7"/>
    <w:rsid w:val="00E34474"/>
    <w:rsid w:val="00E34566"/>
    <w:rsid w:val="00E34569"/>
    <w:rsid w:val="00E345D6"/>
    <w:rsid w:val="00E3468D"/>
    <w:rsid w:val="00E347AE"/>
    <w:rsid w:val="00E34933"/>
    <w:rsid w:val="00E34C16"/>
    <w:rsid w:val="00E34CF5"/>
    <w:rsid w:val="00E35215"/>
    <w:rsid w:val="00E353A0"/>
    <w:rsid w:val="00E355A0"/>
    <w:rsid w:val="00E35734"/>
    <w:rsid w:val="00E35954"/>
    <w:rsid w:val="00E35B54"/>
    <w:rsid w:val="00E35BED"/>
    <w:rsid w:val="00E35CC2"/>
    <w:rsid w:val="00E35EBD"/>
    <w:rsid w:val="00E35FB4"/>
    <w:rsid w:val="00E36489"/>
    <w:rsid w:val="00E36525"/>
    <w:rsid w:val="00E366A1"/>
    <w:rsid w:val="00E36801"/>
    <w:rsid w:val="00E369A0"/>
    <w:rsid w:val="00E36A69"/>
    <w:rsid w:val="00E36B2A"/>
    <w:rsid w:val="00E36CC0"/>
    <w:rsid w:val="00E36F91"/>
    <w:rsid w:val="00E36FAE"/>
    <w:rsid w:val="00E37222"/>
    <w:rsid w:val="00E37247"/>
    <w:rsid w:val="00E37494"/>
    <w:rsid w:val="00E37568"/>
    <w:rsid w:val="00E3762A"/>
    <w:rsid w:val="00E378D5"/>
    <w:rsid w:val="00E37910"/>
    <w:rsid w:val="00E3793B"/>
    <w:rsid w:val="00E37A31"/>
    <w:rsid w:val="00E37A6D"/>
    <w:rsid w:val="00E37B19"/>
    <w:rsid w:val="00E37B65"/>
    <w:rsid w:val="00E37C7D"/>
    <w:rsid w:val="00E37DD5"/>
    <w:rsid w:val="00E37EBE"/>
    <w:rsid w:val="00E37EE4"/>
    <w:rsid w:val="00E4016D"/>
    <w:rsid w:val="00E402F8"/>
    <w:rsid w:val="00E40444"/>
    <w:rsid w:val="00E4049A"/>
    <w:rsid w:val="00E40701"/>
    <w:rsid w:val="00E40811"/>
    <w:rsid w:val="00E409A2"/>
    <w:rsid w:val="00E40E66"/>
    <w:rsid w:val="00E40E90"/>
    <w:rsid w:val="00E40F01"/>
    <w:rsid w:val="00E411F0"/>
    <w:rsid w:val="00E4120D"/>
    <w:rsid w:val="00E4124B"/>
    <w:rsid w:val="00E4151D"/>
    <w:rsid w:val="00E4156B"/>
    <w:rsid w:val="00E4160F"/>
    <w:rsid w:val="00E417AD"/>
    <w:rsid w:val="00E41841"/>
    <w:rsid w:val="00E4188C"/>
    <w:rsid w:val="00E41932"/>
    <w:rsid w:val="00E4199D"/>
    <w:rsid w:val="00E41BFD"/>
    <w:rsid w:val="00E42077"/>
    <w:rsid w:val="00E420C3"/>
    <w:rsid w:val="00E42251"/>
    <w:rsid w:val="00E422C5"/>
    <w:rsid w:val="00E422E8"/>
    <w:rsid w:val="00E4247F"/>
    <w:rsid w:val="00E42521"/>
    <w:rsid w:val="00E426E7"/>
    <w:rsid w:val="00E4273B"/>
    <w:rsid w:val="00E42BA8"/>
    <w:rsid w:val="00E42BD0"/>
    <w:rsid w:val="00E42CB1"/>
    <w:rsid w:val="00E42D08"/>
    <w:rsid w:val="00E43030"/>
    <w:rsid w:val="00E43113"/>
    <w:rsid w:val="00E43270"/>
    <w:rsid w:val="00E43372"/>
    <w:rsid w:val="00E433EC"/>
    <w:rsid w:val="00E43809"/>
    <w:rsid w:val="00E43923"/>
    <w:rsid w:val="00E43A4D"/>
    <w:rsid w:val="00E43CFC"/>
    <w:rsid w:val="00E43E26"/>
    <w:rsid w:val="00E43E88"/>
    <w:rsid w:val="00E4424F"/>
    <w:rsid w:val="00E44278"/>
    <w:rsid w:val="00E442D9"/>
    <w:rsid w:val="00E44547"/>
    <w:rsid w:val="00E44693"/>
    <w:rsid w:val="00E4469D"/>
    <w:rsid w:val="00E446EE"/>
    <w:rsid w:val="00E447A3"/>
    <w:rsid w:val="00E447DA"/>
    <w:rsid w:val="00E448A6"/>
    <w:rsid w:val="00E44963"/>
    <w:rsid w:val="00E44A0D"/>
    <w:rsid w:val="00E44A2A"/>
    <w:rsid w:val="00E44BD2"/>
    <w:rsid w:val="00E44C1F"/>
    <w:rsid w:val="00E44C7E"/>
    <w:rsid w:val="00E44C9E"/>
    <w:rsid w:val="00E44CB1"/>
    <w:rsid w:val="00E45116"/>
    <w:rsid w:val="00E45153"/>
    <w:rsid w:val="00E4554E"/>
    <w:rsid w:val="00E45ADF"/>
    <w:rsid w:val="00E45E6C"/>
    <w:rsid w:val="00E45F11"/>
    <w:rsid w:val="00E46094"/>
    <w:rsid w:val="00E460DA"/>
    <w:rsid w:val="00E463E0"/>
    <w:rsid w:val="00E46587"/>
    <w:rsid w:val="00E46656"/>
    <w:rsid w:val="00E46714"/>
    <w:rsid w:val="00E4691A"/>
    <w:rsid w:val="00E469C4"/>
    <w:rsid w:val="00E46BB6"/>
    <w:rsid w:val="00E46F6B"/>
    <w:rsid w:val="00E46FC8"/>
    <w:rsid w:val="00E47106"/>
    <w:rsid w:val="00E471A2"/>
    <w:rsid w:val="00E47981"/>
    <w:rsid w:val="00E47A9D"/>
    <w:rsid w:val="00E47B3A"/>
    <w:rsid w:val="00E47EAF"/>
    <w:rsid w:val="00E47F3F"/>
    <w:rsid w:val="00E47F5C"/>
    <w:rsid w:val="00E50220"/>
    <w:rsid w:val="00E504B1"/>
    <w:rsid w:val="00E50673"/>
    <w:rsid w:val="00E506CF"/>
    <w:rsid w:val="00E50706"/>
    <w:rsid w:val="00E5090B"/>
    <w:rsid w:val="00E50AE7"/>
    <w:rsid w:val="00E50B0F"/>
    <w:rsid w:val="00E50B18"/>
    <w:rsid w:val="00E50B2E"/>
    <w:rsid w:val="00E50F23"/>
    <w:rsid w:val="00E50F77"/>
    <w:rsid w:val="00E5121D"/>
    <w:rsid w:val="00E51364"/>
    <w:rsid w:val="00E513E9"/>
    <w:rsid w:val="00E5159E"/>
    <w:rsid w:val="00E51753"/>
    <w:rsid w:val="00E51913"/>
    <w:rsid w:val="00E51BE4"/>
    <w:rsid w:val="00E51BFB"/>
    <w:rsid w:val="00E51C24"/>
    <w:rsid w:val="00E51D7B"/>
    <w:rsid w:val="00E51DFE"/>
    <w:rsid w:val="00E51E2E"/>
    <w:rsid w:val="00E51E6A"/>
    <w:rsid w:val="00E520A5"/>
    <w:rsid w:val="00E521B0"/>
    <w:rsid w:val="00E5245D"/>
    <w:rsid w:val="00E52632"/>
    <w:rsid w:val="00E5264B"/>
    <w:rsid w:val="00E52B45"/>
    <w:rsid w:val="00E52B78"/>
    <w:rsid w:val="00E532C2"/>
    <w:rsid w:val="00E533E3"/>
    <w:rsid w:val="00E534DB"/>
    <w:rsid w:val="00E5376B"/>
    <w:rsid w:val="00E53CEA"/>
    <w:rsid w:val="00E53EEA"/>
    <w:rsid w:val="00E53F39"/>
    <w:rsid w:val="00E53FAF"/>
    <w:rsid w:val="00E541E2"/>
    <w:rsid w:val="00E5440E"/>
    <w:rsid w:val="00E5446B"/>
    <w:rsid w:val="00E54643"/>
    <w:rsid w:val="00E547B6"/>
    <w:rsid w:val="00E549A4"/>
    <w:rsid w:val="00E54C9C"/>
    <w:rsid w:val="00E54F8B"/>
    <w:rsid w:val="00E550E9"/>
    <w:rsid w:val="00E55254"/>
    <w:rsid w:val="00E5556C"/>
    <w:rsid w:val="00E5580C"/>
    <w:rsid w:val="00E558C2"/>
    <w:rsid w:val="00E55A4F"/>
    <w:rsid w:val="00E55C88"/>
    <w:rsid w:val="00E55DE4"/>
    <w:rsid w:val="00E55E48"/>
    <w:rsid w:val="00E55E7D"/>
    <w:rsid w:val="00E55EB3"/>
    <w:rsid w:val="00E55ED2"/>
    <w:rsid w:val="00E55F5B"/>
    <w:rsid w:val="00E56194"/>
    <w:rsid w:val="00E562E2"/>
    <w:rsid w:val="00E56B3E"/>
    <w:rsid w:val="00E56C3A"/>
    <w:rsid w:val="00E56F08"/>
    <w:rsid w:val="00E56FAD"/>
    <w:rsid w:val="00E57244"/>
    <w:rsid w:val="00E57264"/>
    <w:rsid w:val="00E572BB"/>
    <w:rsid w:val="00E57478"/>
    <w:rsid w:val="00E575BC"/>
    <w:rsid w:val="00E576EA"/>
    <w:rsid w:val="00E578ED"/>
    <w:rsid w:val="00E57B08"/>
    <w:rsid w:val="00E57CC7"/>
    <w:rsid w:val="00E57FF0"/>
    <w:rsid w:val="00E6000D"/>
    <w:rsid w:val="00E6008F"/>
    <w:rsid w:val="00E600C2"/>
    <w:rsid w:val="00E60325"/>
    <w:rsid w:val="00E603DB"/>
    <w:rsid w:val="00E60428"/>
    <w:rsid w:val="00E60485"/>
    <w:rsid w:val="00E60651"/>
    <w:rsid w:val="00E6088B"/>
    <w:rsid w:val="00E609A3"/>
    <w:rsid w:val="00E60A7E"/>
    <w:rsid w:val="00E60C3C"/>
    <w:rsid w:val="00E60CED"/>
    <w:rsid w:val="00E60DEB"/>
    <w:rsid w:val="00E60E3D"/>
    <w:rsid w:val="00E60F7F"/>
    <w:rsid w:val="00E6120C"/>
    <w:rsid w:val="00E612A1"/>
    <w:rsid w:val="00E6132A"/>
    <w:rsid w:val="00E61415"/>
    <w:rsid w:val="00E6142B"/>
    <w:rsid w:val="00E6146E"/>
    <w:rsid w:val="00E614BE"/>
    <w:rsid w:val="00E615E1"/>
    <w:rsid w:val="00E615FB"/>
    <w:rsid w:val="00E616AE"/>
    <w:rsid w:val="00E61886"/>
    <w:rsid w:val="00E619AC"/>
    <w:rsid w:val="00E61C77"/>
    <w:rsid w:val="00E61D48"/>
    <w:rsid w:val="00E61E79"/>
    <w:rsid w:val="00E61EF0"/>
    <w:rsid w:val="00E61F62"/>
    <w:rsid w:val="00E62074"/>
    <w:rsid w:val="00E620D7"/>
    <w:rsid w:val="00E625AA"/>
    <w:rsid w:val="00E6270E"/>
    <w:rsid w:val="00E62719"/>
    <w:rsid w:val="00E627EF"/>
    <w:rsid w:val="00E62882"/>
    <w:rsid w:val="00E6289A"/>
    <w:rsid w:val="00E628DE"/>
    <w:rsid w:val="00E628FC"/>
    <w:rsid w:val="00E62CAF"/>
    <w:rsid w:val="00E63292"/>
    <w:rsid w:val="00E632EE"/>
    <w:rsid w:val="00E63760"/>
    <w:rsid w:val="00E637C6"/>
    <w:rsid w:val="00E63D20"/>
    <w:rsid w:val="00E63DBE"/>
    <w:rsid w:val="00E63E00"/>
    <w:rsid w:val="00E63F11"/>
    <w:rsid w:val="00E64015"/>
    <w:rsid w:val="00E641C9"/>
    <w:rsid w:val="00E641F0"/>
    <w:rsid w:val="00E64470"/>
    <w:rsid w:val="00E6451B"/>
    <w:rsid w:val="00E64556"/>
    <w:rsid w:val="00E64A8D"/>
    <w:rsid w:val="00E65165"/>
    <w:rsid w:val="00E65345"/>
    <w:rsid w:val="00E65381"/>
    <w:rsid w:val="00E654D2"/>
    <w:rsid w:val="00E65601"/>
    <w:rsid w:val="00E6569C"/>
    <w:rsid w:val="00E659BE"/>
    <w:rsid w:val="00E65D21"/>
    <w:rsid w:val="00E66209"/>
    <w:rsid w:val="00E66247"/>
    <w:rsid w:val="00E662C3"/>
    <w:rsid w:val="00E66364"/>
    <w:rsid w:val="00E66545"/>
    <w:rsid w:val="00E66603"/>
    <w:rsid w:val="00E66736"/>
    <w:rsid w:val="00E667B3"/>
    <w:rsid w:val="00E66811"/>
    <w:rsid w:val="00E66836"/>
    <w:rsid w:val="00E668AA"/>
    <w:rsid w:val="00E66A0E"/>
    <w:rsid w:val="00E66A7A"/>
    <w:rsid w:val="00E67101"/>
    <w:rsid w:val="00E6724B"/>
    <w:rsid w:val="00E672D6"/>
    <w:rsid w:val="00E67622"/>
    <w:rsid w:val="00E67703"/>
    <w:rsid w:val="00E67852"/>
    <w:rsid w:val="00E6792F"/>
    <w:rsid w:val="00E6794D"/>
    <w:rsid w:val="00E67A77"/>
    <w:rsid w:val="00E67BFC"/>
    <w:rsid w:val="00E67CDD"/>
    <w:rsid w:val="00E67D7E"/>
    <w:rsid w:val="00E67DCB"/>
    <w:rsid w:val="00E70198"/>
    <w:rsid w:val="00E70228"/>
    <w:rsid w:val="00E7052B"/>
    <w:rsid w:val="00E705B0"/>
    <w:rsid w:val="00E706CB"/>
    <w:rsid w:val="00E70962"/>
    <w:rsid w:val="00E70C60"/>
    <w:rsid w:val="00E70D8F"/>
    <w:rsid w:val="00E70F79"/>
    <w:rsid w:val="00E710E1"/>
    <w:rsid w:val="00E711C2"/>
    <w:rsid w:val="00E711C3"/>
    <w:rsid w:val="00E71341"/>
    <w:rsid w:val="00E71457"/>
    <w:rsid w:val="00E71651"/>
    <w:rsid w:val="00E7173A"/>
    <w:rsid w:val="00E71868"/>
    <w:rsid w:val="00E718A0"/>
    <w:rsid w:val="00E71983"/>
    <w:rsid w:val="00E71A59"/>
    <w:rsid w:val="00E71A64"/>
    <w:rsid w:val="00E71AF6"/>
    <w:rsid w:val="00E71E04"/>
    <w:rsid w:val="00E71F84"/>
    <w:rsid w:val="00E72559"/>
    <w:rsid w:val="00E7266E"/>
    <w:rsid w:val="00E72772"/>
    <w:rsid w:val="00E727B7"/>
    <w:rsid w:val="00E72ACD"/>
    <w:rsid w:val="00E72B15"/>
    <w:rsid w:val="00E72C37"/>
    <w:rsid w:val="00E72D24"/>
    <w:rsid w:val="00E72D39"/>
    <w:rsid w:val="00E730B4"/>
    <w:rsid w:val="00E7322E"/>
    <w:rsid w:val="00E732C0"/>
    <w:rsid w:val="00E73388"/>
    <w:rsid w:val="00E7347C"/>
    <w:rsid w:val="00E73530"/>
    <w:rsid w:val="00E7370B"/>
    <w:rsid w:val="00E737D0"/>
    <w:rsid w:val="00E7392E"/>
    <w:rsid w:val="00E73B2D"/>
    <w:rsid w:val="00E73E7D"/>
    <w:rsid w:val="00E74145"/>
    <w:rsid w:val="00E74146"/>
    <w:rsid w:val="00E74193"/>
    <w:rsid w:val="00E7439D"/>
    <w:rsid w:val="00E74641"/>
    <w:rsid w:val="00E747B0"/>
    <w:rsid w:val="00E747E2"/>
    <w:rsid w:val="00E74839"/>
    <w:rsid w:val="00E74984"/>
    <w:rsid w:val="00E74CDE"/>
    <w:rsid w:val="00E75079"/>
    <w:rsid w:val="00E7507C"/>
    <w:rsid w:val="00E75298"/>
    <w:rsid w:val="00E7560E"/>
    <w:rsid w:val="00E757D8"/>
    <w:rsid w:val="00E7583C"/>
    <w:rsid w:val="00E758EA"/>
    <w:rsid w:val="00E759F3"/>
    <w:rsid w:val="00E75E59"/>
    <w:rsid w:val="00E760D2"/>
    <w:rsid w:val="00E761F0"/>
    <w:rsid w:val="00E764C4"/>
    <w:rsid w:val="00E7653F"/>
    <w:rsid w:val="00E76575"/>
    <w:rsid w:val="00E767C4"/>
    <w:rsid w:val="00E7690A"/>
    <w:rsid w:val="00E76D08"/>
    <w:rsid w:val="00E76EBB"/>
    <w:rsid w:val="00E76FEF"/>
    <w:rsid w:val="00E770C0"/>
    <w:rsid w:val="00E771B9"/>
    <w:rsid w:val="00E771BB"/>
    <w:rsid w:val="00E77263"/>
    <w:rsid w:val="00E772AB"/>
    <w:rsid w:val="00E772F8"/>
    <w:rsid w:val="00E7735C"/>
    <w:rsid w:val="00E775A3"/>
    <w:rsid w:val="00E7763E"/>
    <w:rsid w:val="00E7771A"/>
    <w:rsid w:val="00E77894"/>
    <w:rsid w:val="00E77E8D"/>
    <w:rsid w:val="00E77FB2"/>
    <w:rsid w:val="00E800CA"/>
    <w:rsid w:val="00E80392"/>
    <w:rsid w:val="00E80474"/>
    <w:rsid w:val="00E80653"/>
    <w:rsid w:val="00E80997"/>
    <w:rsid w:val="00E80AA3"/>
    <w:rsid w:val="00E80ADD"/>
    <w:rsid w:val="00E80BD0"/>
    <w:rsid w:val="00E80D08"/>
    <w:rsid w:val="00E812D7"/>
    <w:rsid w:val="00E812E8"/>
    <w:rsid w:val="00E81359"/>
    <w:rsid w:val="00E81581"/>
    <w:rsid w:val="00E8167A"/>
    <w:rsid w:val="00E81711"/>
    <w:rsid w:val="00E8171D"/>
    <w:rsid w:val="00E81748"/>
    <w:rsid w:val="00E817E4"/>
    <w:rsid w:val="00E81A07"/>
    <w:rsid w:val="00E81DEC"/>
    <w:rsid w:val="00E81DF6"/>
    <w:rsid w:val="00E81E28"/>
    <w:rsid w:val="00E81FA4"/>
    <w:rsid w:val="00E821ED"/>
    <w:rsid w:val="00E823E1"/>
    <w:rsid w:val="00E824BE"/>
    <w:rsid w:val="00E82505"/>
    <w:rsid w:val="00E826C9"/>
    <w:rsid w:val="00E827BB"/>
    <w:rsid w:val="00E828FA"/>
    <w:rsid w:val="00E82C31"/>
    <w:rsid w:val="00E82F1B"/>
    <w:rsid w:val="00E8325C"/>
    <w:rsid w:val="00E832E3"/>
    <w:rsid w:val="00E83359"/>
    <w:rsid w:val="00E833EC"/>
    <w:rsid w:val="00E83531"/>
    <w:rsid w:val="00E8370A"/>
    <w:rsid w:val="00E83956"/>
    <w:rsid w:val="00E839D6"/>
    <w:rsid w:val="00E83A32"/>
    <w:rsid w:val="00E83AA4"/>
    <w:rsid w:val="00E83C12"/>
    <w:rsid w:val="00E83F50"/>
    <w:rsid w:val="00E843F7"/>
    <w:rsid w:val="00E845AD"/>
    <w:rsid w:val="00E84673"/>
    <w:rsid w:val="00E8476E"/>
    <w:rsid w:val="00E8479C"/>
    <w:rsid w:val="00E8486B"/>
    <w:rsid w:val="00E84991"/>
    <w:rsid w:val="00E84A33"/>
    <w:rsid w:val="00E84BB1"/>
    <w:rsid w:val="00E8510A"/>
    <w:rsid w:val="00E851D5"/>
    <w:rsid w:val="00E85427"/>
    <w:rsid w:val="00E85759"/>
    <w:rsid w:val="00E8575D"/>
    <w:rsid w:val="00E85BAD"/>
    <w:rsid w:val="00E85CAF"/>
    <w:rsid w:val="00E85ECF"/>
    <w:rsid w:val="00E85EED"/>
    <w:rsid w:val="00E85FC1"/>
    <w:rsid w:val="00E861E9"/>
    <w:rsid w:val="00E86250"/>
    <w:rsid w:val="00E862F6"/>
    <w:rsid w:val="00E864AF"/>
    <w:rsid w:val="00E86758"/>
    <w:rsid w:val="00E868E8"/>
    <w:rsid w:val="00E86910"/>
    <w:rsid w:val="00E8698A"/>
    <w:rsid w:val="00E86A67"/>
    <w:rsid w:val="00E86CDE"/>
    <w:rsid w:val="00E86D24"/>
    <w:rsid w:val="00E86D52"/>
    <w:rsid w:val="00E86F4F"/>
    <w:rsid w:val="00E8705B"/>
    <w:rsid w:val="00E8706A"/>
    <w:rsid w:val="00E8718B"/>
    <w:rsid w:val="00E8736C"/>
    <w:rsid w:val="00E873F8"/>
    <w:rsid w:val="00E8741E"/>
    <w:rsid w:val="00E874EC"/>
    <w:rsid w:val="00E87B8D"/>
    <w:rsid w:val="00E87F73"/>
    <w:rsid w:val="00E90042"/>
    <w:rsid w:val="00E9013A"/>
    <w:rsid w:val="00E906F4"/>
    <w:rsid w:val="00E90741"/>
    <w:rsid w:val="00E9074E"/>
    <w:rsid w:val="00E90764"/>
    <w:rsid w:val="00E907C4"/>
    <w:rsid w:val="00E9082F"/>
    <w:rsid w:val="00E90CEB"/>
    <w:rsid w:val="00E90EB9"/>
    <w:rsid w:val="00E91025"/>
    <w:rsid w:val="00E91142"/>
    <w:rsid w:val="00E9137E"/>
    <w:rsid w:val="00E91497"/>
    <w:rsid w:val="00E91598"/>
    <w:rsid w:val="00E916D5"/>
    <w:rsid w:val="00E917AD"/>
    <w:rsid w:val="00E91938"/>
    <w:rsid w:val="00E91A2F"/>
    <w:rsid w:val="00E91C03"/>
    <w:rsid w:val="00E91C60"/>
    <w:rsid w:val="00E9200F"/>
    <w:rsid w:val="00E92223"/>
    <w:rsid w:val="00E92224"/>
    <w:rsid w:val="00E92388"/>
    <w:rsid w:val="00E92580"/>
    <w:rsid w:val="00E92638"/>
    <w:rsid w:val="00E92B36"/>
    <w:rsid w:val="00E92CB4"/>
    <w:rsid w:val="00E92E3B"/>
    <w:rsid w:val="00E92EA1"/>
    <w:rsid w:val="00E93021"/>
    <w:rsid w:val="00E93374"/>
    <w:rsid w:val="00E9366C"/>
    <w:rsid w:val="00E936B0"/>
    <w:rsid w:val="00E93715"/>
    <w:rsid w:val="00E9384E"/>
    <w:rsid w:val="00E93B16"/>
    <w:rsid w:val="00E93C97"/>
    <w:rsid w:val="00E93D97"/>
    <w:rsid w:val="00E93FF0"/>
    <w:rsid w:val="00E948E0"/>
    <w:rsid w:val="00E94999"/>
    <w:rsid w:val="00E94AF3"/>
    <w:rsid w:val="00E94B67"/>
    <w:rsid w:val="00E94C43"/>
    <w:rsid w:val="00E94DE0"/>
    <w:rsid w:val="00E95187"/>
    <w:rsid w:val="00E951B6"/>
    <w:rsid w:val="00E95622"/>
    <w:rsid w:val="00E958B0"/>
    <w:rsid w:val="00E95927"/>
    <w:rsid w:val="00E95998"/>
    <w:rsid w:val="00E959A4"/>
    <w:rsid w:val="00E95DB2"/>
    <w:rsid w:val="00E960C9"/>
    <w:rsid w:val="00E96141"/>
    <w:rsid w:val="00E961DE"/>
    <w:rsid w:val="00E9631A"/>
    <w:rsid w:val="00E96324"/>
    <w:rsid w:val="00E964B2"/>
    <w:rsid w:val="00E969A6"/>
    <w:rsid w:val="00E96B8B"/>
    <w:rsid w:val="00E96C4B"/>
    <w:rsid w:val="00E9709B"/>
    <w:rsid w:val="00E970C8"/>
    <w:rsid w:val="00E97219"/>
    <w:rsid w:val="00E973CF"/>
    <w:rsid w:val="00E974FC"/>
    <w:rsid w:val="00E975FF"/>
    <w:rsid w:val="00E97A13"/>
    <w:rsid w:val="00E97B1A"/>
    <w:rsid w:val="00E97B5B"/>
    <w:rsid w:val="00E97C1A"/>
    <w:rsid w:val="00EA037C"/>
    <w:rsid w:val="00EA0726"/>
    <w:rsid w:val="00EA0784"/>
    <w:rsid w:val="00EA0808"/>
    <w:rsid w:val="00EA088D"/>
    <w:rsid w:val="00EA0BEF"/>
    <w:rsid w:val="00EA0E51"/>
    <w:rsid w:val="00EA130F"/>
    <w:rsid w:val="00EA1354"/>
    <w:rsid w:val="00EA139B"/>
    <w:rsid w:val="00EA145B"/>
    <w:rsid w:val="00EA160C"/>
    <w:rsid w:val="00EA17AA"/>
    <w:rsid w:val="00EA1800"/>
    <w:rsid w:val="00EA18AF"/>
    <w:rsid w:val="00EA1997"/>
    <w:rsid w:val="00EA1A7E"/>
    <w:rsid w:val="00EA1DB4"/>
    <w:rsid w:val="00EA1EB2"/>
    <w:rsid w:val="00EA1EC6"/>
    <w:rsid w:val="00EA2078"/>
    <w:rsid w:val="00EA27B0"/>
    <w:rsid w:val="00EA2928"/>
    <w:rsid w:val="00EA29A4"/>
    <w:rsid w:val="00EA2C1F"/>
    <w:rsid w:val="00EA2DBE"/>
    <w:rsid w:val="00EA2E83"/>
    <w:rsid w:val="00EA2EFD"/>
    <w:rsid w:val="00EA32BD"/>
    <w:rsid w:val="00EA356D"/>
    <w:rsid w:val="00EA3710"/>
    <w:rsid w:val="00EA3953"/>
    <w:rsid w:val="00EA3A9D"/>
    <w:rsid w:val="00EA3AC0"/>
    <w:rsid w:val="00EA3B85"/>
    <w:rsid w:val="00EA417E"/>
    <w:rsid w:val="00EA437E"/>
    <w:rsid w:val="00EA43AB"/>
    <w:rsid w:val="00EA443B"/>
    <w:rsid w:val="00EA4516"/>
    <w:rsid w:val="00EA4576"/>
    <w:rsid w:val="00EA4579"/>
    <w:rsid w:val="00EA4629"/>
    <w:rsid w:val="00EA4C8D"/>
    <w:rsid w:val="00EA4C9C"/>
    <w:rsid w:val="00EA4E1A"/>
    <w:rsid w:val="00EA4E7D"/>
    <w:rsid w:val="00EA5171"/>
    <w:rsid w:val="00EA5351"/>
    <w:rsid w:val="00EA5529"/>
    <w:rsid w:val="00EA57AD"/>
    <w:rsid w:val="00EA59F1"/>
    <w:rsid w:val="00EA5B88"/>
    <w:rsid w:val="00EA5C0F"/>
    <w:rsid w:val="00EA5C8C"/>
    <w:rsid w:val="00EA5D39"/>
    <w:rsid w:val="00EA5E13"/>
    <w:rsid w:val="00EA5FB0"/>
    <w:rsid w:val="00EA6313"/>
    <w:rsid w:val="00EA6579"/>
    <w:rsid w:val="00EA659D"/>
    <w:rsid w:val="00EA66D9"/>
    <w:rsid w:val="00EA6976"/>
    <w:rsid w:val="00EA6B5E"/>
    <w:rsid w:val="00EA6F38"/>
    <w:rsid w:val="00EA7335"/>
    <w:rsid w:val="00EA738A"/>
    <w:rsid w:val="00EA740E"/>
    <w:rsid w:val="00EA744D"/>
    <w:rsid w:val="00EA748A"/>
    <w:rsid w:val="00EA74DC"/>
    <w:rsid w:val="00EA7635"/>
    <w:rsid w:val="00EA7830"/>
    <w:rsid w:val="00EA785B"/>
    <w:rsid w:val="00EA7D74"/>
    <w:rsid w:val="00EA7FDA"/>
    <w:rsid w:val="00EB0015"/>
    <w:rsid w:val="00EB02B9"/>
    <w:rsid w:val="00EB03B1"/>
    <w:rsid w:val="00EB0474"/>
    <w:rsid w:val="00EB0499"/>
    <w:rsid w:val="00EB05E1"/>
    <w:rsid w:val="00EB0623"/>
    <w:rsid w:val="00EB0665"/>
    <w:rsid w:val="00EB078C"/>
    <w:rsid w:val="00EB09CA"/>
    <w:rsid w:val="00EB09F1"/>
    <w:rsid w:val="00EB0CF3"/>
    <w:rsid w:val="00EB0D09"/>
    <w:rsid w:val="00EB0D9B"/>
    <w:rsid w:val="00EB0FD0"/>
    <w:rsid w:val="00EB0FE9"/>
    <w:rsid w:val="00EB104B"/>
    <w:rsid w:val="00EB12D9"/>
    <w:rsid w:val="00EB1556"/>
    <w:rsid w:val="00EB16F3"/>
    <w:rsid w:val="00EB17D8"/>
    <w:rsid w:val="00EB18A8"/>
    <w:rsid w:val="00EB18EE"/>
    <w:rsid w:val="00EB1CFC"/>
    <w:rsid w:val="00EB1DDE"/>
    <w:rsid w:val="00EB211D"/>
    <w:rsid w:val="00EB2241"/>
    <w:rsid w:val="00EB23E5"/>
    <w:rsid w:val="00EB26CB"/>
    <w:rsid w:val="00EB2735"/>
    <w:rsid w:val="00EB2B73"/>
    <w:rsid w:val="00EB2D0C"/>
    <w:rsid w:val="00EB2F46"/>
    <w:rsid w:val="00EB323F"/>
    <w:rsid w:val="00EB32FE"/>
    <w:rsid w:val="00EB33D7"/>
    <w:rsid w:val="00EB34D4"/>
    <w:rsid w:val="00EB37B1"/>
    <w:rsid w:val="00EB381E"/>
    <w:rsid w:val="00EB38F0"/>
    <w:rsid w:val="00EB3943"/>
    <w:rsid w:val="00EB395E"/>
    <w:rsid w:val="00EB395F"/>
    <w:rsid w:val="00EB39B8"/>
    <w:rsid w:val="00EB3A87"/>
    <w:rsid w:val="00EB3C9D"/>
    <w:rsid w:val="00EB3CCF"/>
    <w:rsid w:val="00EB3D31"/>
    <w:rsid w:val="00EB3E62"/>
    <w:rsid w:val="00EB3EC4"/>
    <w:rsid w:val="00EB4044"/>
    <w:rsid w:val="00EB408E"/>
    <w:rsid w:val="00EB40EE"/>
    <w:rsid w:val="00EB42C4"/>
    <w:rsid w:val="00EB4590"/>
    <w:rsid w:val="00EB4674"/>
    <w:rsid w:val="00EB4789"/>
    <w:rsid w:val="00EB4909"/>
    <w:rsid w:val="00EB494D"/>
    <w:rsid w:val="00EB4B38"/>
    <w:rsid w:val="00EB4B97"/>
    <w:rsid w:val="00EB4E82"/>
    <w:rsid w:val="00EB506E"/>
    <w:rsid w:val="00EB5197"/>
    <w:rsid w:val="00EB525D"/>
    <w:rsid w:val="00EB5288"/>
    <w:rsid w:val="00EB5543"/>
    <w:rsid w:val="00EB5977"/>
    <w:rsid w:val="00EB59FB"/>
    <w:rsid w:val="00EB5AC8"/>
    <w:rsid w:val="00EB5ADB"/>
    <w:rsid w:val="00EB5C57"/>
    <w:rsid w:val="00EB5D3F"/>
    <w:rsid w:val="00EB5DCE"/>
    <w:rsid w:val="00EB5DF4"/>
    <w:rsid w:val="00EB5E5D"/>
    <w:rsid w:val="00EB5FBC"/>
    <w:rsid w:val="00EB6087"/>
    <w:rsid w:val="00EB60D4"/>
    <w:rsid w:val="00EB610A"/>
    <w:rsid w:val="00EB61F1"/>
    <w:rsid w:val="00EB63D1"/>
    <w:rsid w:val="00EB6439"/>
    <w:rsid w:val="00EB6465"/>
    <w:rsid w:val="00EB65AE"/>
    <w:rsid w:val="00EB678F"/>
    <w:rsid w:val="00EB6883"/>
    <w:rsid w:val="00EB6A37"/>
    <w:rsid w:val="00EB6BDA"/>
    <w:rsid w:val="00EB6C82"/>
    <w:rsid w:val="00EB6D4C"/>
    <w:rsid w:val="00EB6EF0"/>
    <w:rsid w:val="00EB71BD"/>
    <w:rsid w:val="00EB722F"/>
    <w:rsid w:val="00EB7626"/>
    <w:rsid w:val="00EB769C"/>
    <w:rsid w:val="00EB77A5"/>
    <w:rsid w:val="00EB77BB"/>
    <w:rsid w:val="00EB7850"/>
    <w:rsid w:val="00EB7A85"/>
    <w:rsid w:val="00EB7B43"/>
    <w:rsid w:val="00EB7CE4"/>
    <w:rsid w:val="00EB7D56"/>
    <w:rsid w:val="00EB7D78"/>
    <w:rsid w:val="00EB7D9E"/>
    <w:rsid w:val="00EB7E8C"/>
    <w:rsid w:val="00EB7E9F"/>
    <w:rsid w:val="00EB7F00"/>
    <w:rsid w:val="00EB7F28"/>
    <w:rsid w:val="00EC00C2"/>
    <w:rsid w:val="00EC010A"/>
    <w:rsid w:val="00EC0119"/>
    <w:rsid w:val="00EC017D"/>
    <w:rsid w:val="00EC0858"/>
    <w:rsid w:val="00EC0A10"/>
    <w:rsid w:val="00EC0A28"/>
    <w:rsid w:val="00EC0A34"/>
    <w:rsid w:val="00EC0A75"/>
    <w:rsid w:val="00EC0ABB"/>
    <w:rsid w:val="00EC104B"/>
    <w:rsid w:val="00EC1691"/>
    <w:rsid w:val="00EC1712"/>
    <w:rsid w:val="00EC178E"/>
    <w:rsid w:val="00EC181D"/>
    <w:rsid w:val="00EC1A22"/>
    <w:rsid w:val="00EC1A9A"/>
    <w:rsid w:val="00EC1B32"/>
    <w:rsid w:val="00EC1B6C"/>
    <w:rsid w:val="00EC1BB4"/>
    <w:rsid w:val="00EC2250"/>
    <w:rsid w:val="00EC24A5"/>
    <w:rsid w:val="00EC24F8"/>
    <w:rsid w:val="00EC255D"/>
    <w:rsid w:val="00EC278E"/>
    <w:rsid w:val="00EC28C0"/>
    <w:rsid w:val="00EC2A82"/>
    <w:rsid w:val="00EC2C37"/>
    <w:rsid w:val="00EC2F0A"/>
    <w:rsid w:val="00EC33CD"/>
    <w:rsid w:val="00EC34CD"/>
    <w:rsid w:val="00EC38DB"/>
    <w:rsid w:val="00EC3C41"/>
    <w:rsid w:val="00EC3CE6"/>
    <w:rsid w:val="00EC3DBB"/>
    <w:rsid w:val="00EC3FBB"/>
    <w:rsid w:val="00EC4025"/>
    <w:rsid w:val="00EC40D2"/>
    <w:rsid w:val="00EC41F7"/>
    <w:rsid w:val="00EC424D"/>
    <w:rsid w:val="00EC433F"/>
    <w:rsid w:val="00EC4391"/>
    <w:rsid w:val="00EC4422"/>
    <w:rsid w:val="00EC4583"/>
    <w:rsid w:val="00EC4A84"/>
    <w:rsid w:val="00EC4B75"/>
    <w:rsid w:val="00EC4CDE"/>
    <w:rsid w:val="00EC4D91"/>
    <w:rsid w:val="00EC4E79"/>
    <w:rsid w:val="00EC5076"/>
    <w:rsid w:val="00EC5140"/>
    <w:rsid w:val="00EC526F"/>
    <w:rsid w:val="00EC53B1"/>
    <w:rsid w:val="00EC55EF"/>
    <w:rsid w:val="00EC55F1"/>
    <w:rsid w:val="00EC580B"/>
    <w:rsid w:val="00EC5963"/>
    <w:rsid w:val="00EC5A10"/>
    <w:rsid w:val="00EC5C06"/>
    <w:rsid w:val="00EC5C69"/>
    <w:rsid w:val="00EC5C6D"/>
    <w:rsid w:val="00EC5D7A"/>
    <w:rsid w:val="00EC5E14"/>
    <w:rsid w:val="00EC5E19"/>
    <w:rsid w:val="00EC5F04"/>
    <w:rsid w:val="00EC60C8"/>
    <w:rsid w:val="00EC6696"/>
    <w:rsid w:val="00EC675C"/>
    <w:rsid w:val="00EC6A90"/>
    <w:rsid w:val="00EC6A99"/>
    <w:rsid w:val="00EC6B33"/>
    <w:rsid w:val="00EC6B81"/>
    <w:rsid w:val="00EC6BF9"/>
    <w:rsid w:val="00EC6C2C"/>
    <w:rsid w:val="00EC6DE0"/>
    <w:rsid w:val="00EC6E5D"/>
    <w:rsid w:val="00EC6FD3"/>
    <w:rsid w:val="00EC7294"/>
    <w:rsid w:val="00EC72A0"/>
    <w:rsid w:val="00EC741B"/>
    <w:rsid w:val="00EC74E9"/>
    <w:rsid w:val="00EC7735"/>
    <w:rsid w:val="00EC7803"/>
    <w:rsid w:val="00EC7B29"/>
    <w:rsid w:val="00EC7B49"/>
    <w:rsid w:val="00EC7EBD"/>
    <w:rsid w:val="00EC7F2C"/>
    <w:rsid w:val="00ED0230"/>
    <w:rsid w:val="00ED0279"/>
    <w:rsid w:val="00ED04EB"/>
    <w:rsid w:val="00ED0510"/>
    <w:rsid w:val="00ED05D0"/>
    <w:rsid w:val="00ED05EB"/>
    <w:rsid w:val="00ED0822"/>
    <w:rsid w:val="00ED0899"/>
    <w:rsid w:val="00ED08E1"/>
    <w:rsid w:val="00ED094F"/>
    <w:rsid w:val="00ED0A39"/>
    <w:rsid w:val="00ED0BB7"/>
    <w:rsid w:val="00ED0C64"/>
    <w:rsid w:val="00ED0D33"/>
    <w:rsid w:val="00ED0DEC"/>
    <w:rsid w:val="00ED1098"/>
    <w:rsid w:val="00ED10DB"/>
    <w:rsid w:val="00ED14C5"/>
    <w:rsid w:val="00ED15AD"/>
    <w:rsid w:val="00ED16E6"/>
    <w:rsid w:val="00ED1780"/>
    <w:rsid w:val="00ED17A1"/>
    <w:rsid w:val="00ED17B4"/>
    <w:rsid w:val="00ED18EA"/>
    <w:rsid w:val="00ED1AAA"/>
    <w:rsid w:val="00ED1B67"/>
    <w:rsid w:val="00ED1C5F"/>
    <w:rsid w:val="00ED1CEE"/>
    <w:rsid w:val="00ED1D1A"/>
    <w:rsid w:val="00ED1FCF"/>
    <w:rsid w:val="00ED204D"/>
    <w:rsid w:val="00ED204F"/>
    <w:rsid w:val="00ED216D"/>
    <w:rsid w:val="00ED22CE"/>
    <w:rsid w:val="00ED24A0"/>
    <w:rsid w:val="00ED24BA"/>
    <w:rsid w:val="00ED2518"/>
    <w:rsid w:val="00ED2956"/>
    <w:rsid w:val="00ED2BA3"/>
    <w:rsid w:val="00ED2C5D"/>
    <w:rsid w:val="00ED2DEF"/>
    <w:rsid w:val="00ED30A4"/>
    <w:rsid w:val="00ED30B7"/>
    <w:rsid w:val="00ED321C"/>
    <w:rsid w:val="00ED3424"/>
    <w:rsid w:val="00ED3458"/>
    <w:rsid w:val="00ED3571"/>
    <w:rsid w:val="00ED359B"/>
    <w:rsid w:val="00ED361C"/>
    <w:rsid w:val="00ED3697"/>
    <w:rsid w:val="00ED3C1C"/>
    <w:rsid w:val="00ED3D58"/>
    <w:rsid w:val="00ED3DE4"/>
    <w:rsid w:val="00ED3EA5"/>
    <w:rsid w:val="00ED3F16"/>
    <w:rsid w:val="00ED3FC9"/>
    <w:rsid w:val="00ED42FF"/>
    <w:rsid w:val="00ED4397"/>
    <w:rsid w:val="00ED43C0"/>
    <w:rsid w:val="00ED4465"/>
    <w:rsid w:val="00ED4544"/>
    <w:rsid w:val="00ED4762"/>
    <w:rsid w:val="00ED48A1"/>
    <w:rsid w:val="00ED48B1"/>
    <w:rsid w:val="00ED4946"/>
    <w:rsid w:val="00ED499A"/>
    <w:rsid w:val="00ED49DD"/>
    <w:rsid w:val="00ED4B2A"/>
    <w:rsid w:val="00ED4DF6"/>
    <w:rsid w:val="00ED4FCC"/>
    <w:rsid w:val="00ED513D"/>
    <w:rsid w:val="00ED5311"/>
    <w:rsid w:val="00ED5370"/>
    <w:rsid w:val="00ED5745"/>
    <w:rsid w:val="00ED57B9"/>
    <w:rsid w:val="00ED587F"/>
    <w:rsid w:val="00ED59B1"/>
    <w:rsid w:val="00ED5AF4"/>
    <w:rsid w:val="00ED607C"/>
    <w:rsid w:val="00ED6086"/>
    <w:rsid w:val="00ED60D6"/>
    <w:rsid w:val="00ED62DA"/>
    <w:rsid w:val="00ED645B"/>
    <w:rsid w:val="00ED64CD"/>
    <w:rsid w:val="00ED6548"/>
    <w:rsid w:val="00ED65BB"/>
    <w:rsid w:val="00ED661E"/>
    <w:rsid w:val="00ED66CB"/>
    <w:rsid w:val="00ED67C3"/>
    <w:rsid w:val="00ED686A"/>
    <w:rsid w:val="00ED6BAF"/>
    <w:rsid w:val="00ED6CCE"/>
    <w:rsid w:val="00ED6CFE"/>
    <w:rsid w:val="00ED7280"/>
    <w:rsid w:val="00ED7284"/>
    <w:rsid w:val="00ED732C"/>
    <w:rsid w:val="00ED75F6"/>
    <w:rsid w:val="00ED77CF"/>
    <w:rsid w:val="00ED780D"/>
    <w:rsid w:val="00ED78CB"/>
    <w:rsid w:val="00ED7B20"/>
    <w:rsid w:val="00ED7BBA"/>
    <w:rsid w:val="00ED7CE3"/>
    <w:rsid w:val="00ED7D85"/>
    <w:rsid w:val="00ED7EC6"/>
    <w:rsid w:val="00EE03A2"/>
    <w:rsid w:val="00EE047C"/>
    <w:rsid w:val="00EE0700"/>
    <w:rsid w:val="00EE0976"/>
    <w:rsid w:val="00EE0B58"/>
    <w:rsid w:val="00EE0C9E"/>
    <w:rsid w:val="00EE0DA9"/>
    <w:rsid w:val="00EE11D0"/>
    <w:rsid w:val="00EE11D1"/>
    <w:rsid w:val="00EE11EF"/>
    <w:rsid w:val="00EE1234"/>
    <w:rsid w:val="00EE1265"/>
    <w:rsid w:val="00EE126F"/>
    <w:rsid w:val="00EE151D"/>
    <w:rsid w:val="00EE154D"/>
    <w:rsid w:val="00EE156F"/>
    <w:rsid w:val="00EE15C2"/>
    <w:rsid w:val="00EE17B2"/>
    <w:rsid w:val="00EE1889"/>
    <w:rsid w:val="00EE188A"/>
    <w:rsid w:val="00EE1897"/>
    <w:rsid w:val="00EE1AA0"/>
    <w:rsid w:val="00EE1B44"/>
    <w:rsid w:val="00EE1B5B"/>
    <w:rsid w:val="00EE1DFD"/>
    <w:rsid w:val="00EE1E5B"/>
    <w:rsid w:val="00EE1F32"/>
    <w:rsid w:val="00EE212B"/>
    <w:rsid w:val="00EE216B"/>
    <w:rsid w:val="00EE22A9"/>
    <w:rsid w:val="00EE2722"/>
    <w:rsid w:val="00EE2766"/>
    <w:rsid w:val="00EE288F"/>
    <w:rsid w:val="00EE299C"/>
    <w:rsid w:val="00EE2B91"/>
    <w:rsid w:val="00EE2BCD"/>
    <w:rsid w:val="00EE2F09"/>
    <w:rsid w:val="00EE2F2D"/>
    <w:rsid w:val="00EE2F7A"/>
    <w:rsid w:val="00EE3011"/>
    <w:rsid w:val="00EE31AA"/>
    <w:rsid w:val="00EE3508"/>
    <w:rsid w:val="00EE3599"/>
    <w:rsid w:val="00EE3AD7"/>
    <w:rsid w:val="00EE3C05"/>
    <w:rsid w:val="00EE3D7C"/>
    <w:rsid w:val="00EE3DF0"/>
    <w:rsid w:val="00EE3E27"/>
    <w:rsid w:val="00EE3E3C"/>
    <w:rsid w:val="00EE406A"/>
    <w:rsid w:val="00EE4192"/>
    <w:rsid w:val="00EE43CE"/>
    <w:rsid w:val="00EE4488"/>
    <w:rsid w:val="00EE4720"/>
    <w:rsid w:val="00EE4787"/>
    <w:rsid w:val="00EE5001"/>
    <w:rsid w:val="00EE516B"/>
    <w:rsid w:val="00EE52C0"/>
    <w:rsid w:val="00EE5334"/>
    <w:rsid w:val="00EE54C8"/>
    <w:rsid w:val="00EE5565"/>
    <w:rsid w:val="00EE5605"/>
    <w:rsid w:val="00EE57B2"/>
    <w:rsid w:val="00EE5867"/>
    <w:rsid w:val="00EE592A"/>
    <w:rsid w:val="00EE5ADF"/>
    <w:rsid w:val="00EE5B02"/>
    <w:rsid w:val="00EE5D3C"/>
    <w:rsid w:val="00EE5E4E"/>
    <w:rsid w:val="00EE5E57"/>
    <w:rsid w:val="00EE5F53"/>
    <w:rsid w:val="00EE5FAB"/>
    <w:rsid w:val="00EE5FCA"/>
    <w:rsid w:val="00EE6128"/>
    <w:rsid w:val="00EE6510"/>
    <w:rsid w:val="00EE65D5"/>
    <w:rsid w:val="00EE6662"/>
    <w:rsid w:val="00EE6730"/>
    <w:rsid w:val="00EE6AD4"/>
    <w:rsid w:val="00EE6B26"/>
    <w:rsid w:val="00EE6EBF"/>
    <w:rsid w:val="00EE6EC7"/>
    <w:rsid w:val="00EE7103"/>
    <w:rsid w:val="00EE7320"/>
    <w:rsid w:val="00EE74A9"/>
    <w:rsid w:val="00EE779C"/>
    <w:rsid w:val="00EE7A9C"/>
    <w:rsid w:val="00EE7AA6"/>
    <w:rsid w:val="00EE7BA9"/>
    <w:rsid w:val="00EE7DDC"/>
    <w:rsid w:val="00EE7FAE"/>
    <w:rsid w:val="00EF00C9"/>
    <w:rsid w:val="00EF03C3"/>
    <w:rsid w:val="00EF042B"/>
    <w:rsid w:val="00EF048C"/>
    <w:rsid w:val="00EF07C8"/>
    <w:rsid w:val="00EF07F7"/>
    <w:rsid w:val="00EF0AC9"/>
    <w:rsid w:val="00EF0B08"/>
    <w:rsid w:val="00EF0C5F"/>
    <w:rsid w:val="00EF0C71"/>
    <w:rsid w:val="00EF0DC1"/>
    <w:rsid w:val="00EF0F84"/>
    <w:rsid w:val="00EF0FB3"/>
    <w:rsid w:val="00EF124F"/>
    <w:rsid w:val="00EF126D"/>
    <w:rsid w:val="00EF1463"/>
    <w:rsid w:val="00EF1492"/>
    <w:rsid w:val="00EF14BD"/>
    <w:rsid w:val="00EF1520"/>
    <w:rsid w:val="00EF1992"/>
    <w:rsid w:val="00EF1997"/>
    <w:rsid w:val="00EF1AB4"/>
    <w:rsid w:val="00EF1ADD"/>
    <w:rsid w:val="00EF1B91"/>
    <w:rsid w:val="00EF1BB7"/>
    <w:rsid w:val="00EF1DB6"/>
    <w:rsid w:val="00EF1E09"/>
    <w:rsid w:val="00EF1FD4"/>
    <w:rsid w:val="00EF1FFA"/>
    <w:rsid w:val="00EF20BD"/>
    <w:rsid w:val="00EF228A"/>
    <w:rsid w:val="00EF2348"/>
    <w:rsid w:val="00EF28AF"/>
    <w:rsid w:val="00EF29AA"/>
    <w:rsid w:val="00EF2A0F"/>
    <w:rsid w:val="00EF2AF7"/>
    <w:rsid w:val="00EF2D23"/>
    <w:rsid w:val="00EF340E"/>
    <w:rsid w:val="00EF3888"/>
    <w:rsid w:val="00EF3C1D"/>
    <w:rsid w:val="00EF3E7F"/>
    <w:rsid w:val="00EF402F"/>
    <w:rsid w:val="00EF4085"/>
    <w:rsid w:val="00EF4470"/>
    <w:rsid w:val="00EF45D1"/>
    <w:rsid w:val="00EF466A"/>
    <w:rsid w:val="00EF46EF"/>
    <w:rsid w:val="00EF47E7"/>
    <w:rsid w:val="00EF4915"/>
    <w:rsid w:val="00EF4A1D"/>
    <w:rsid w:val="00EF4A3C"/>
    <w:rsid w:val="00EF4A8C"/>
    <w:rsid w:val="00EF4AA3"/>
    <w:rsid w:val="00EF4AD2"/>
    <w:rsid w:val="00EF4B2D"/>
    <w:rsid w:val="00EF4DCA"/>
    <w:rsid w:val="00EF4E61"/>
    <w:rsid w:val="00EF519B"/>
    <w:rsid w:val="00EF5353"/>
    <w:rsid w:val="00EF53A2"/>
    <w:rsid w:val="00EF5448"/>
    <w:rsid w:val="00EF55EE"/>
    <w:rsid w:val="00EF568E"/>
    <w:rsid w:val="00EF5A45"/>
    <w:rsid w:val="00EF5B11"/>
    <w:rsid w:val="00EF5B24"/>
    <w:rsid w:val="00EF5C75"/>
    <w:rsid w:val="00EF5D80"/>
    <w:rsid w:val="00EF5F0F"/>
    <w:rsid w:val="00EF60B9"/>
    <w:rsid w:val="00EF6107"/>
    <w:rsid w:val="00EF62F6"/>
    <w:rsid w:val="00EF6404"/>
    <w:rsid w:val="00EF6567"/>
    <w:rsid w:val="00EF657B"/>
    <w:rsid w:val="00EF65BA"/>
    <w:rsid w:val="00EF66DE"/>
    <w:rsid w:val="00EF6A5F"/>
    <w:rsid w:val="00EF6C3B"/>
    <w:rsid w:val="00EF6C3D"/>
    <w:rsid w:val="00EF6D94"/>
    <w:rsid w:val="00EF6E6F"/>
    <w:rsid w:val="00EF6E83"/>
    <w:rsid w:val="00EF6FCE"/>
    <w:rsid w:val="00EF7019"/>
    <w:rsid w:val="00EF70EF"/>
    <w:rsid w:val="00EF70FB"/>
    <w:rsid w:val="00EF71DC"/>
    <w:rsid w:val="00EF74A0"/>
    <w:rsid w:val="00EF74E9"/>
    <w:rsid w:val="00EF74ED"/>
    <w:rsid w:val="00EF76FA"/>
    <w:rsid w:val="00EF7992"/>
    <w:rsid w:val="00EF7B48"/>
    <w:rsid w:val="00EF7E22"/>
    <w:rsid w:val="00F00089"/>
    <w:rsid w:val="00F000A1"/>
    <w:rsid w:val="00F0013B"/>
    <w:rsid w:val="00F001A9"/>
    <w:rsid w:val="00F00227"/>
    <w:rsid w:val="00F002AB"/>
    <w:rsid w:val="00F0033D"/>
    <w:rsid w:val="00F00349"/>
    <w:rsid w:val="00F00363"/>
    <w:rsid w:val="00F00677"/>
    <w:rsid w:val="00F00775"/>
    <w:rsid w:val="00F007C3"/>
    <w:rsid w:val="00F007EA"/>
    <w:rsid w:val="00F0080B"/>
    <w:rsid w:val="00F009EE"/>
    <w:rsid w:val="00F00AA0"/>
    <w:rsid w:val="00F00CF3"/>
    <w:rsid w:val="00F00D21"/>
    <w:rsid w:val="00F00EE8"/>
    <w:rsid w:val="00F00F27"/>
    <w:rsid w:val="00F01017"/>
    <w:rsid w:val="00F01047"/>
    <w:rsid w:val="00F0107A"/>
    <w:rsid w:val="00F0140D"/>
    <w:rsid w:val="00F015E8"/>
    <w:rsid w:val="00F01725"/>
    <w:rsid w:val="00F01B58"/>
    <w:rsid w:val="00F0217B"/>
    <w:rsid w:val="00F02570"/>
    <w:rsid w:val="00F02670"/>
    <w:rsid w:val="00F0267B"/>
    <w:rsid w:val="00F02885"/>
    <w:rsid w:val="00F028D7"/>
    <w:rsid w:val="00F02AE0"/>
    <w:rsid w:val="00F02B22"/>
    <w:rsid w:val="00F02C48"/>
    <w:rsid w:val="00F02F8F"/>
    <w:rsid w:val="00F02FA2"/>
    <w:rsid w:val="00F02FAF"/>
    <w:rsid w:val="00F02FBE"/>
    <w:rsid w:val="00F03431"/>
    <w:rsid w:val="00F034E4"/>
    <w:rsid w:val="00F036F5"/>
    <w:rsid w:val="00F03817"/>
    <w:rsid w:val="00F0392E"/>
    <w:rsid w:val="00F03A18"/>
    <w:rsid w:val="00F03C73"/>
    <w:rsid w:val="00F03C9D"/>
    <w:rsid w:val="00F03D5D"/>
    <w:rsid w:val="00F03F8D"/>
    <w:rsid w:val="00F0402A"/>
    <w:rsid w:val="00F040B1"/>
    <w:rsid w:val="00F040B2"/>
    <w:rsid w:val="00F040BE"/>
    <w:rsid w:val="00F041DD"/>
    <w:rsid w:val="00F04277"/>
    <w:rsid w:val="00F04526"/>
    <w:rsid w:val="00F045AF"/>
    <w:rsid w:val="00F04682"/>
    <w:rsid w:val="00F048E2"/>
    <w:rsid w:val="00F04A10"/>
    <w:rsid w:val="00F04A21"/>
    <w:rsid w:val="00F04B25"/>
    <w:rsid w:val="00F04CE2"/>
    <w:rsid w:val="00F04E18"/>
    <w:rsid w:val="00F04E7A"/>
    <w:rsid w:val="00F050A1"/>
    <w:rsid w:val="00F05333"/>
    <w:rsid w:val="00F0540E"/>
    <w:rsid w:val="00F05468"/>
    <w:rsid w:val="00F05475"/>
    <w:rsid w:val="00F05484"/>
    <w:rsid w:val="00F055A5"/>
    <w:rsid w:val="00F055E2"/>
    <w:rsid w:val="00F057DD"/>
    <w:rsid w:val="00F0592D"/>
    <w:rsid w:val="00F05AEA"/>
    <w:rsid w:val="00F05C54"/>
    <w:rsid w:val="00F05D89"/>
    <w:rsid w:val="00F05FA4"/>
    <w:rsid w:val="00F05FFD"/>
    <w:rsid w:val="00F06156"/>
    <w:rsid w:val="00F06160"/>
    <w:rsid w:val="00F062E8"/>
    <w:rsid w:val="00F06428"/>
    <w:rsid w:val="00F06498"/>
    <w:rsid w:val="00F064E3"/>
    <w:rsid w:val="00F0660C"/>
    <w:rsid w:val="00F06691"/>
    <w:rsid w:val="00F066B6"/>
    <w:rsid w:val="00F06A7F"/>
    <w:rsid w:val="00F06EA9"/>
    <w:rsid w:val="00F06EEE"/>
    <w:rsid w:val="00F06FF6"/>
    <w:rsid w:val="00F0720D"/>
    <w:rsid w:val="00F0732B"/>
    <w:rsid w:val="00F07331"/>
    <w:rsid w:val="00F0737C"/>
    <w:rsid w:val="00F0739D"/>
    <w:rsid w:val="00F073E8"/>
    <w:rsid w:val="00F07C47"/>
    <w:rsid w:val="00F07D16"/>
    <w:rsid w:val="00F07DC0"/>
    <w:rsid w:val="00F07EE4"/>
    <w:rsid w:val="00F07F9E"/>
    <w:rsid w:val="00F1010F"/>
    <w:rsid w:val="00F101A8"/>
    <w:rsid w:val="00F10271"/>
    <w:rsid w:val="00F10802"/>
    <w:rsid w:val="00F108BC"/>
    <w:rsid w:val="00F108F9"/>
    <w:rsid w:val="00F10A24"/>
    <w:rsid w:val="00F10D7C"/>
    <w:rsid w:val="00F10D8A"/>
    <w:rsid w:val="00F11040"/>
    <w:rsid w:val="00F111B1"/>
    <w:rsid w:val="00F112CD"/>
    <w:rsid w:val="00F1130C"/>
    <w:rsid w:val="00F1154D"/>
    <w:rsid w:val="00F115C2"/>
    <w:rsid w:val="00F11692"/>
    <w:rsid w:val="00F11699"/>
    <w:rsid w:val="00F11700"/>
    <w:rsid w:val="00F11762"/>
    <w:rsid w:val="00F117DF"/>
    <w:rsid w:val="00F118ED"/>
    <w:rsid w:val="00F1199D"/>
    <w:rsid w:val="00F11AC3"/>
    <w:rsid w:val="00F11AC8"/>
    <w:rsid w:val="00F11C49"/>
    <w:rsid w:val="00F11CBD"/>
    <w:rsid w:val="00F11CBE"/>
    <w:rsid w:val="00F11D75"/>
    <w:rsid w:val="00F11DA4"/>
    <w:rsid w:val="00F11ED0"/>
    <w:rsid w:val="00F12138"/>
    <w:rsid w:val="00F12229"/>
    <w:rsid w:val="00F1224D"/>
    <w:rsid w:val="00F1243B"/>
    <w:rsid w:val="00F1257C"/>
    <w:rsid w:val="00F126A9"/>
    <w:rsid w:val="00F126E3"/>
    <w:rsid w:val="00F1283F"/>
    <w:rsid w:val="00F12934"/>
    <w:rsid w:val="00F12982"/>
    <w:rsid w:val="00F129AF"/>
    <w:rsid w:val="00F12CB7"/>
    <w:rsid w:val="00F12CFA"/>
    <w:rsid w:val="00F12DC2"/>
    <w:rsid w:val="00F12DE1"/>
    <w:rsid w:val="00F12F1D"/>
    <w:rsid w:val="00F132E4"/>
    <w:rsid w:val="00F133A4"/>
    <w:rsid w:val="00F13403"/>
    <w:rsid w:val="00F135C8"/>
    <w:rsid w:val="00F136E5"/>
    <w:rsid w:val="00F137CD"/>
    <w:rsid w:val="00F13AFB"/>
    <w:rsid w:val="00F13C9B"/>
    <w:rsid w:val="00F13E85"/>
    <w:rsid w:val="00F143C3"/>
    <w:rsid w:val="00F1451B"/>
    <w:rsid w:val="00F1455E"/>
    <w:rsid w:val="00F14561"/>
    <w:rsid w:val="00F14A18"/>
    <w:rsid w:val="00F14BE4"/>
    <w:rsid w:val="00F14CEA"/>
    <w:rsid w:val="00F152CB"/>
    <w:rsid w:val="00F1542C"/>
    <w:rsid w:val="00F15590"/>
    <w:rsid w:val="00F15595"/>
    <w:rsid w:val="00F1561E"/>
    <w:rsid w:val="00F157F0"/>
    <w:rsid w:val="00F158F0"/>
    <w:rsid w:val="00F15945"/>
    <w:rsid w:val="00F1597E"/>
    <w:rsid w:val="00F15B52"/>
    <w:rsid w:val="00F15CA3"/>
    <w:rsid w:val="00F15EDE"/>
    <w:rsid w:val="00F15FF6"/>
    <w:rsid w:val="00F16234"/>
    <w:rsid w:val="00F164C4"/>
    <w:rsid w:val="00F16647"/>
    <w:rsid w:val="00F16711"/>
    <w:rsid w:val="00F168AA"/>
    <w:rsid w:val="00F1697D"/>
    <w:rsid w:val="00F16AB0"/>
    <w:rsid w:val="00F16B6C"/>
    <w:rsid w:val="00F16BFC"/>
    <w:rsid w:val="00F16C43"/>
    <w:rsid w:val="00F16CBD"/>
    <w:rsid w:val="00F16CD3"/>
    <w:rsid w:val="00F16CF4"/>
    <w:rsid w:val="00F16DC6"/>
    <w:rsid w:val="00F16E19"/>
    <w:rsid w:val="00F16FED"/>
    <w:rsid w:val="00F170CB"/>
    <w:rsid w:val="00F172B3"/>
    <w:rsid w:val="00F17629"/>
    <w:rsid w:val="00F17643"/>
    <w:rsid w:val="00F17644"/>
    <w:rsid w:val="00F17858"/>
    <w:rsid w:val="00F178F0"/>
    <w:rsid w:val="00F17D96"/>
    <w:rsid w:val="00F17EAA"/>
    <w:rsid w:val="00F17ECF"/>
    <w:rsid w:val="00F17FE9"/>
    <w:rsid w:val="00F2008A"/>
    <w:rsid w:val="00F2016A"/>
    <w:rsid w:val="00F20213"/>
    <w:rsid w:val="00F20216"/>
    <w:rsid w:val="00F202FE"/>
    <w:rsid w:val="00F20394"/>
    <w:rsid w:val="00F206C4"/>
    <w:rsid w:val="00F207A3"/>
    <w:rsid w:val="00F20917"/>
    <w:rsid w:val="00F20AF4"/>
    <w:rsid w:val="00F20D39"/>
    <w:rsid w:val="00F20DB8"/>
    <w:rsid w:val="00F20EA8"/>
    <w:rsid w:val="00F20FA4"/>
    <w:rsid w:val="00F21040"/>
    <w:rsid w:val="00F210EF"/>
    <w:rsid w:val="00F21115"/>
    <w:rsid w:val="00F21127"/>
    <w:rsid w:val="00F2130A"/>
    <w:rsid w:val="00F215C4"/>
    <w:rsid w:val="00F21611"/>
    <w:rsid w:val="00F217AE"/>
    <w:rsid w:val="00F218F0"/>
    <w:rsid w:val="00F21A11"/>
    <w:rsid w:val="00F21B9D"/>
    <w:rsid w:val="00F21D04"/>
    <w:rsid w:val="00F21E09"/>
    <w:rsid w:val="00F21EE3"/>
    <w:rsid w:val="00F21FF5"/>
    <w:rsid w:val="00F220C7"/>
    <w:rsid w:val="00F22139"/>
    <w:rsid w:val="00F22236"/>
    <w:rsid w:val="00F223CF"/>
    <w:rsid w:val="00F225CA"/>
    <w:rsid w:val="00F225E2"/>
    <w:rsid w:val="00F22784"/>
    <w:rsid w:val="00F227D2"/>
    <w:rsid w:val="00F22C44"/>
    <w:rsid w:val="00F22E09"/>
    <w:rsid w:val="00F22E3D"/>
    <w:rsid w:val="00F23428"/>
    <w:rsid w:val="00F23559"/>
    <w:rsid w:val="00F235F1"/>
    <w:rsid w:val="00F236DD"/>
    <w:rsid w:val="00F23915"/>
    <w:rsid w:val="00F23AEA"/>
    <w:rsid w:val="00F23AEE"/>
    <w:rsid w:val="00F23B14"/>
    <w:rsid w:val="00F23B9B"/>
    <w:rsid w:val="00F23D5E"/>
    <w:rsid w:val="00F23F50"/>
    <w:rsid w:val="00F2401A"/>
    <w:rsid w:val="00F24082"/>
    <w:rsid w:val="00F2432A"/>
    <w:rsid w:val="00F24556"/>
    <w:rsid w:val="00F2455C"/>
    <w:rsid w:val="00F2486A"/>
    <w:rsid w:val="00F24A29"/>
    <w:rsid w:val="00F24A4F"/>
    <w:rsid w:val="00F24E08"/>
    <w:rsid w:val="00F24EB6"/>
    <w:rsid w:val="00F24EC0"/>
    <w:rsid w:val="00F250B7"/>
    <w:rsid w:val="00F2523B"/>
    <w:rsid w:val="00F2564C"/>
    <w:rsid w:val="00F25665"/>
    <w:rsid w:val="00F2579E"/>
    <w:rsid w:val="00F258EE"/>
    <w:rsid w:val="00F2590F"/>
    <w:rsid w:val="00F2596C"/>
    <w:rsid w:val="00F25A36"/>
    <w:rsid w:val="00F25AA2"/>
    <w:rsid w:val="00F25BCE"/>
    <w:rsid w:val="00F260B9"/>
    <w:rsid w:val="00F26104"/>
    <w:rsid w:val="00F262E8"/>
    <w:rsid w:val="00F2650A"/>
    <w:rsid w:val="00F265E0"/>
    <w:rsid w:val="00F26654"/>
    <w:rsid w:val="00F2666B"/>
    <w:rsid w:val="00F268A2"/>
    <w:rsid w:val="00F26A39"/>
    <w:rsid w:val="00F26A58"/>
    <w:rsid w:val="00F26C07"/>
    <w:rsid w:val="00F26DF7"/>
    <w:rsid w:val="00F26E4F"/>
    <w:rsid w:val="00F26F1F"/>
    <w:rsid w:val="00F2708E"/>
    <w:rsid w:val="00F27109"/>
    <w:rsid w:val="00F27238"/>
    <w:rsid w:val="00F2751E"/>
    <w:rsid w:val="00F276D9"/>
    <w:rsid w:val="00F276FC"/>
    <w:rsid w:val="00F2776B"/>
    <w:rsid w:val="00F27A38"/>
    <w:rsid w:val="00F27E0F"/>
    <w:rsid w:val="00F300DE"/>
    <w:rsid w:val="00F3014E"/>
    <w:rsid w:val="00F301EF"/>
    <w:rsid w:val="00F3057C"/>
    <w:rsid w:val="00F3062D"/>
    <w:rsid w:val="00F3078C"/>
    <w:rsid w:val="00F307F0"/>
    <w:rsid w:val="00F30B6B"/>
    <w:rsid w:val="00F30D56"/>
    <w:rsid w:val="00F30E2B"/>
    <w:rsid w:val="00F30EBC"/>
    <w:rsid w:val="00F30EEC"/>
    <w:rsid w:val="00F31003"/>
    <w:rsid w:val="00F31046"/>
    <w:rsid w:val="00F311E2"/>
    <w:rsid w:val="00F31278"/>
    <w:rsid w:val="00F313AB"/>
    <w:rsid w:val="00F313B3"/>
    <w:rsid w:val="00F31533"/>
    <w:rsid w:val="00F3153D"/>
    <w:rsid w:val="00F3161A"/>
    <w:rsid w:val="00F3165F"/>
    <w:rsid w:val="00F31753"/>
    <w:rsid w:val="00F31915"/>
    <w:rsid w:val="00F31D0A"/>
    <w:rsid w:val="00F32288"/>
    <w:rsid w:val="00F325CF"/>
    <w:rsid w:val="00F32619"/>
    <w:rsid w:val="00F326DB"/>
    <w:rsid w:val="00F32849"/>
    <w:rsid w:val="00F32855"/>
    <w:rsid w:val="00F32FA6"/>
    <w:rsid w:val="00F330F9"/>
    <w:rsid w:val="00F331C1"/>
    <w:rsid w:val="00F33393"/>
    <w:rsid w:val="00F333E0"/>
    <w:rsid w:val="00F337DB"/>
    <w:rsid w:val="00F33859"/>
    <w:rsid w:val="00F338D6"/>
    <w:rsid w:val="00F33A8E"/>
    <w:rsid w:val="00F33B30"/>
    <w:rsid w:val="00F33C21"/>
    <w:rsid w:val="00F33CF6"/>
    <w:rsid w:val="00F33E16"/>
    <w:rsid w:val="00F33F31"/>
    <w:rsid w:val="00F33FC2"/>
    <w:rsid w:val="00F34091"/>
    <w:rsid w:val="00F340B7"/>
    <w:rsid w:val="00F34175"/>
    <w:rsid w:val="00F34195"/>
    <w:rsid w:val="00F341FD"/>
    <w:rsid w:val="00F34297"/>
    <w:rsid w:val="00F343E5"/>
    <w:rsid w:val="00F34484"/>
    <w:rsid w:val="00F345C6"/>
    <w:rsid w:val="00F347DA"/>
    <w:rsid w:val="00F348DC"/>
    <w:rsid w:val="00F34B75"/>
    <w:rsid w:val="00F34E2F"/>
    <w:rsid w:val="00F34E60"/>
    <w:rsid w:val="00F34FB6"/>
    <w:rsid w:val="00F35058"/>
    <w:rsid w:val="00F350C0"/>
    <w:rsid w:val="00F35198"/>
    <w:rsid w:val="00F351D3"/>
    <w:rsid w:val="00F35327"/>
    <w:rsid w:val="00F353BF"/>
    <w:rsid w:val="00F35718"/>
    <w:rsid w:val="00F358B0"/>
    <w:rsid w:val="00F35CE7"/>
    <w:rsid w:val="00F35D12"/>
    <w:rsid w:val="00F35FBC"/>
    <w:rsid w:val="00F364BB"/>
    <w:rsid w:val="00F36525"/>
    <w:rsid w:val="00F36681"/>
    <w:rsid w:val="00F36761"/>
    <w:rsid w:val="00F3697A"/>
    <w:rsid w:val="00F36A4A"/>
    <w:rsid w:val="00F36B2E"/>
    <w:rsid w:val="00F36BD0"/>
    <w:rsid w:val="00F36DA7"/>
    <w:rsid w:val="00F37018"/>
    <w:rsid w:val="00F37204"/>
    <w:rsid w:val="00F37240"/>
    <w:rsid w:val="00F372D2"/>
    <w:rsid w:val="00F372E8"/>
    <w:rsid w:val="00F3735F"/>
    <w:rsid w:val="00F37566"/>
    <w:rsid w:val="00F3777E"/>
    <w:rsid w:val="00F37893"/>
    <w:rsid w:val="00F3795B"/>
    <w:rsid w:val="00F37BBF"/>
    <w:rsid w:val="00F37E17"/>
    <w:rsid w:val="00F40137"/>
    <w:rsid w:val="00F40180"/>
    <w:rsid w:val="00F402A0"/>
    <w:rsid w:val="00F4038C"/>
    <w:rsid w:val="00F40469"/>
    <w:rsid w:val="00F40599"/>
    <w:rsid w:val="00F40B88"/>
    <w:rsid w:val="00F40DDE"/>
    <w:rsid w:val="00F40DF7"/>
    <w:rsid w:val="00F40F73"/>
    <w:rsid w:val="00F40FF6"/>
    <w:rsid w:val="00F41185"/>
    <w:rsid w:val="00F411ED"/>
    <w:rsid w:val="00F41209"/>
    <w:rsid w:val="00F41228"/>
    <w:rsid w:val="00F41312"/>
    <w:rsid w:val="00F41340"/>
    <w:rsid w:val="00F41582"/>
    <w:rsid w:val="00F417E4"/>
    <w:rsid w:val="00F41B9A"/>
    <w:rsid w:val="00F41D5F"/>
    <w:rsid w:val="00F41DA5"/>
    <w:rsid w:val="00F41E3D"/>
    <w:rsid w:val="00F41FA6"/>
    <w:rsid w:val="00F42010"/>
    <w:rsid w:val="00F4237C"/>
    <w:rsid w:val="00F4272C"/>
    <w:rsid w:val="00F4292F"/>
    <w:rsid w:val="00F4295E"/>
    <w:rsid w:val="00F42A0F"/>
    <w:rsid w:val="00F42A54"/>
    <w:rsid w:val="00F42A62"/>
    <w:rsid w:val="00F42A6B"/>
    <w:rsid w:val="00F42AC7"/>
    <w:rsid w:val="00F42B15"/>
    <w:rsid w:val="00F42B64"/>
    <w:rsid w:val="00F42B67"/>
    <w:rsid w:val="00F42C00"/>
    <w:rsid w:val="00F42E2C"/>
    <w:rsid w:val="00F42E52"/>
    <w:rsid w:val="00F42E7C"/>
    <w:rsid w:val="00F42FFF"/>
    <w:rsid w:val="00F430C0"/>
    <w:rsid w:val="00F43207"/>
    <w:rsid w:val="00F43304"/>
    <w:rsid w:val="00F43412"/>
    <w:rsid w:val="00F434A0"/>
    <w:rsid w:val="00F43550"/>
    <w:rsid w:val="00F43599"/>
    <w:rsid w:val="00F43652"/>
    <w:rsid w:val="00F436DE"/>
    <w:rsid w:val="00F43705"/>
    <w:rsid w:val="00F437A4"/>
    <w:rsid w:val="00F437D2"/>
    <w:rsid w:val="00F43978"/>
    <w:rsid w:val="00F43B30"/>
    <w:rsid w:val="00F43B51"/>
    <w:rsid w:val="00F43DD1"/>
    <w:rsid w:val="00F43F24"/>
    <w:rsid w:val="00F43F73"/>
    <w:rsid w:val="00F43F78"/>
    <w:rsid w:val="00F44134"/>
    <w:rsid w:val="00F44303"/>
    <w:rsid w:val="00F44411"/>
    <w:rsid w:val="00F4459D"/>
    <w:rsid w:val="00F446D5"/>
    <w:rsid w:val="00F446E8"/>
    <w:rsid w:val="00F44AD7"/>
    <w:rsid w:val="00F44CA8"/>
    <w:rsid w:val="00F44CFC"/>
    <w:rsid w:val="00F44DAF"/>
    <w:rsid w:val="00F4507C"/>
    <w:rsid w:val="00F45122"/>
    <w:rsid w:val="00F45185"/>
    <w:rsid w:val="00F453FC"/>
    <w:rsid w:val="00F45779"/>
    <w:rsid w:val="00F45A39"/>
    <w:rsid w:val="00F45A5E"/>
    <w:rsid w:val="00F45C96"/>
    <w:rsid w:val="00F45D64"/>
    <w:rsid w:val="00F4609C"/>
    <w:rsid w:val="00F46275"/>
    <w:rsid w:val="00F4637F"/>
    <w:rsid w:val="00F464A4"/>
    <w:rsid w:val="00F46810"/>
    <w:rsid w:val="00F468EC"/>
    <w:rsid w:val="00F46AD0"/>
    <w:rsid w:val="00F46BBD"/>
    <w:rsid w:val="00F46BF9"/>
    <w:rsid w:val="00F46C19"/>
    <w:rsid w:val="00F47164"/>
    <w:rsid w:val="00F47177"/>
    <w:rsid w:val="00F47587"/>
    <w:rsid w:val="00F4798B"/>
    <w:rsid w:val="00F47B34"/>
    <w:rsid w:val="00F47D59"/>
    <w:rsid w:val="00F47E50"/>
    <w:rsid w:val="00F47F15"/>
    <w:rsid w:val="00F500F5"/>
    <w:rsid w:val="00F50118"/>
    <w:rsid w:val="00F502D0"/>
    <w:rsid w:val="00F5051D"/>
    <w:rsid w:val="00F506A9"/>
    <w:rsid w:val="00F506C4"/>
    <w:rsid w:val="00F50799"/>
    <w:rsid w:val="00F50965"/>
    <w:rsid w:val="00F50A28"/>
    <w:rsid w:val="00F50A34"/>
    <w:rsid w:val="00F50C07"/>
    <w:rsid w:val="00F50C0F"/>
    <w:rsid w:val="00F50C93"/>
    <w:rsid w:val="00F50CBD"/>
    <w:rsid w:val="00F50F7D"/>
    <w:rsid w:val="00F513D5"/>
    <w:rsid w:val="00F517A4"/>
    <w:rsid w:val="00F517F7"/>
    <w:rsid w:val="00F519EA"/>
    <w:rsid w:val="00F51BEA"/>
    <w:rsid w:val="00F51E30"/>
    <w:rsid w:val="00F520D1"/>
    <w:rsid w:val="00F52138"/>
    <w:rsid w:val="00F52355"/>
    <w:rsid w:val="00F5237C"/>
    <w:rsid w:val="00F5260F"/>
    <w:rsid w:val="00F5263A"/>
    <w:rsid w:val="00F52807"/>
    <w:rsid w:val="00F5285F"/>
    <w:rsid w:val="00F52C88"/>
    <w:rsid w:val="00F52CAB"/>
    <w:rsid w:val="00F52E0F"/>
    <w:rsid w:val="00F5305D"/>
    <w:rsid w:val="00F5329F"/>
    <w:rsid w:val="00F5338F"/>
    <w:rsid w:val="00F5349C"/>
    <w:rsid w:val="00F53EFD"/>
    <w:rsid w:val="00F5404A"/>
    <w:rsid w:val="00F542ED"/>
    <w:rsid w:val="00F5441A"/>
    <w:rsid w:val="00F547AA"/>
    <w:rsid w:val="00F54BD6"/>
    <w:rsid w:val="00F54EAB"/>
    <w:rsid w:val="00F54EC0"/>
    <w:rsid w:val="00F54EEF"/>
    <w:rsid w:val="00F54F25"/>
    <w:rsid w:val="00F550FE"/>
    <w:rsid w:val="00F55214"/>
    <w:rsid w:val="00F5525D"/>
    <w:rsid w:val="00F552D0"/>
    <w:rsid w:val="00F552F7"/>
    <w:rsid w:val="00F55326"/>
    <w:rsid w:val="00F55365"/>
    <w:rsid w:val="00F5578E"/>
    <w:rsid w:val="00F55790"/>
    <w:rsid w:val="00F557D2"/>
    <w:rsid w:val="00F558FB"/>
    <w:rsid w:val="00F55AA9"/>
    <w:rsid w:val="00F55AFB"/>
    <w:rsid w:val="00F55C14"/>
    <w:rsid w:val="00F55D57"/>
    <w:rsid w:val="00F55FF4"/>
    <w:rsid w:val="00F56018"/>
    <w:rsid w:val="00F56127"/>
    <w:rsid w:val="00F5626D"/>
    <w:rsid w:val="00F56419"/>
    <w:rsid w:val="00F56445"/>
    <w:rsid w:val="00F565A4"/>
    <w:rsid w:val="00F567C4"/>
    <w:rsid w:val="00F56B4A"/>
    <w:rsid w:val="00F56BD9"/>
    <w:rsid w:val="00F56CC6"/>
    <w:rsid w:val="00F56D86"/>
    <w:rsid w:val="00F56F33"/>
    <w:rsid w:val="00F570D4"/>
    <w:rsid w:val="00F57224"/>
    <w:rsid w:val="00F57318"/>
    <w:rsid w:val="00F5739C"/>
    <w:rsid w:val="00F5739E"/>
    <w:rsid w:val="00F5747C"/>
    <w:rsid w:val="00F5780C"/>
    <w:rsid w:val="00F57A08"/>
    <w:rsid w:val="00F57B81"/>
    <w:rsid w:val="00F57F1A"/>
    <w:rsid w:val="00F57FD9"/>
    <w:rsid w:val="00F57FDD"/>
    <w:rsid w:val="00F60619"/>
    <w:rsid w:val="00F607FC"/>
    <w:rsid w:val="00F60905"/>
    <w:rsid w:val="00F60914"/>
    <w:rsid w:val="00F60B74"/>
    <w:rsid w:val="00F60E87"/>
    <w:rsid w:val="00F60FE1"/>
    <w:rsid w:val="00F60FF3"/>
    <w:rsid w:val="00F61269"/>
    <w:rsid w:val="00F615A8"/>
    <w:rsid w:val="00F61885"/>
    <w:rsid w:val="00F61ACA"/>
    <w:rsid w:val="00F61AF5"/>
    <w:rsid w:val="00F61C0B"/>
    <w:rsid w:val="00F620CE"/>
    <w:rsid w:val="00F622CE"/>
    <w:rsid w:val="00F6247B"/>
    <w:rsid w:val="00F62649"/>
    <w:rsid w:val="00F627D1"/>
    <w:rsid w:val="00F62962"/>
    <w:rsid w:val="00F62AD3"/>
    <w:rsid w:val="00F62C5D"/>
    <w:rsid w:val="00F62D29"/>
    <w:rsid w:val="00F62EE7"/>
    <w:rsid w:val="00F632DE"/>
    <w:rsid w:val="00F63329"/>
    <w:rsid w:val="00F63437"/>
    <w:rsid w:val="00F63544"/>
    <w:rsid w:val="00F637F5"/>
    <w:rsid w:val="00F638CB"/>
    <w:rsid w:val="00F63977"/>
    <w:rsid w:val="00F63BAE"/>
    <w:rsid w:val="00F63C03"/>
    <w:rsid w:val="00F63D16"/>
    <w:rsid w:val="00F63F60"/>
    <w:rsid w:val="00F6407A"/>
    <w:rsid w:val="00F64277"/>
    <w:rsid w:val="00F642C4"/>
    <w:rsid w:val="00F64567"/>
    <w:rsid w:val="00F6475B"/>
    <w:rsid w:val="00F6496A"/>
    <w:rsid w:val="00F64A85"/>
    <w:rsid w:val="00F64BAD"/>
    <w:rsid w:val="00F64DAE"/>
    <w:rsid w:val="00F64EC3"/>
    <w:rsid w:val="00F64F97"/>
    <w:rsid w:val="00F65097"/>
    <w:rsid w:val="00F651AA"/>
    <w:rsid w:val="00F6527D"/>
    <w:rsid w:val="00F652E7"/>
    <w:rsid w:val="00F65416"/>
    <w:rsid w:val="00F6543F"/>
    <w:rsid w:val="00F65470"/>
    <w:rsid w:val="00F654B5"/>
    <w:rsid w:val="00F65524"/>
    <w:rsid w:val="00F6559C"/>
    <w:rsid w:val="00F6587F"/>
    <w:rsid w:val="00F65957"/>
    <w:rsid w:val="00F65CD2"/>
    <w:rsid w:val="00F65D18"/>
    <w:rsid w:val="00F65F0C"/>
    <w:rsid w:val="00F6611B"/>
    <w:rsid w:val="00F6616F"/>
    <w:rsid w:val="00F667EA"/>
    <w:rsid w:val="00F66850"/>
    <w:rsid w:val="00F668C3"/>
    <w:rsid w:val="00F66987"/>
    <w:rsid w:val="00F66AE3"/>
    <w:rsid w:val="00F66BA3"/>
    <w:rsid w:val="00F66BBE"/>
    <w:rsid w:val="00F66DEB"/>
    <w:rsid w:val="00F66EBA"/>
    <w:rsid w:val="00F66ECC"/>
    <w:rsid w:val="00F66F28"/>
    <w:rsid w:val="00F67193"/>
    <w:rsid w:val="00F6749D"/>
    <w:rsid w:val="00F6756D"/>
    <w:rsid w:val="00F6759D"/>
    <w:rsid w:val="00F679B0"/>
    <w:rsid w:val="00F679CE"/>
    <w:rsid w:val="00F67A0C"/>
    <w:rsid w:val="00F67A8E"/>
    <w:rsid w:val="00F67AAC"/>
    <w:rsid w:val="00F67B49"/>
    <w:rsid w:val="00F67BFC"/>
    <w:rsid w:val="00F7019A"/>
    <w:rsid w:val="00F70264"/>
    <w:rsid w:val="00F7037A"/>
    <w:rsid w:val="00F70729"/>
    <w:rsid w:val="00F707E1"/>
    <w:rsid w:val="00F70809"/>
    <w:rsid w:val="00F70956"/>
    <w:rsid w:val="00F70CC7"/>
    <w:rsid w:val="00F70E08"/>
    <w:rsid w:val="00F70E2C"/>
    <w:rsid w:val="00F7100E"/>
    <w:rsid w:val="00F71054"/>
    <w:rsid w:val="00F710FC"/>
    <w:rsid w:val="00F7134C"/>
    <w:rsid w:val="00F713FC"/>
    <w:rsid w:val="00F713FE"/>
    <w:rsid w:val="00F7158D"/>
    <w:rsid w:val="00F715A1"/>
    <w:rsid w:val="00F71685"/>
    <w:rsid w:val="00F7199C"/>
    <w:rsid w:val="00F71A23"/>
    <w:rsid w:val="00F71A28"/>
    <w:rsid w:val="00F71AD6"/>
    <w:rsid w:val="00F71EB6"/>
    <w:rsid w:val="00F721BD"/>
    <w:rsid w:val="00F722DF"/>
    <w:rsid w:val="00F722F8"/>
    <w:rsid w:val="00F722FD"/>
    <w:rsid w:val="00F7266F"/>
    <w:rsid w:val="00F72869"/>
    <w:rsid w:val="00F728C7"/>
    <w:rsid w:val="00F728D6"/>
    <w:rsid w:val="00F72AE9"/>
    <w:rsid w:val="00F72BC2"/>
    <w:rsid w:val="00F72BE1"/>
    <w:rsid w:val="00F72DB9"/>
    <w:rsid w:val="00F7301A"/>
    <w:rsid w:val="00F73033"/>
    <w:rsid w:val="00F73086"/>
    <w:rsid w:val="00F73105"/>
    <w:rsid w:val="00F7361A"/>
    <w:rsid w:val="00F7362F"/>
    <w:rsid w:val="00F7396B"/>
    <w:rsid w:val="00F739C1"/>
    <w:rsid w:val="00F73B24"/>
    <w:rsid w:val="00F73ECC"/>
    <w:rsid w:val="00F740DB"/>
    <w:rsid w:val="00F74228"/>
    <w:rsid w:val="00F74351"/>
    <w:rsid w:val="00F745A1"/>
    <w:rsid w:val="00F74686"/>
    <w:rsid w:val="00F7474E"/>
    <w:rsid w:val="00F749AC"/>
    <w:rsid w:val="00F74A63"/>
    <w:rsid w:val="00F74A70"/>
    <w:rsid w:val="00F74BE4"/>
    <w:rsid w:val="00F74BF6"/>
    <w:rsid w:val="00F74F19"/>
    <w:rsid w:val="00F7505C"/>
    <w:rsid w:val="00F751E7"/>
    <w:rsid w:val="00F75360"/>
    <w:rsid w:val="00F753C7"/>
    <w:rsid w:val="00F756E0"/>
    <w:rsid w:val="00F75758"/>
    <w:rsid w:val="00F75A1C"/>
    <w:rsid w:val="00F75D32"/>
    <w:rsid w:val="00F75DF7"/>
    <w:rsid w:val="00F7618B"/>
    <w:rsid w:val="00F763BA"/>
    <w:rsid w:val="00F76679"/>
    <w:rsid w:val="00F76AA5"/>
    <w:rsid w:val="00F76AA7"/>
    <w:rsid w:val="00F76B0B"/>
    <w:rsid w:val="00F76C70"/>
    <w:rsid w:val="00F76E3D"/>
    <w:rsid w:val="00F76EDE"/>
    <w:rsid w:val="00F77199"/>
    <w:rsid w:val="00F7754E"/>
    <w:rsid w:val="00F775C1"/>
    <w:rsid w:val="00F7760D"/>
    <w:rsid w:val="00F777C4"/>
    <w:rsid w:val="00F778AE"/>
    <w:rsid w:val="00F778C2"/>
    <w:rsid w:val="00F77904"/>
    <w:rsid w:val="00F77BAC"/>
    <w:rsid w:val="00F77C40"/>
    <w:rsid w:val="00F77F0D"/>
    <w:rsid w:val="00F77F14"/>
    <w:rsid w:val="00F80458"/>
    <w:rsid w:val="00F806DE"/>
    <w:rsid w:val="00F80B08"/>
    <w:rsid w:val="00F80C4E"/>
    <w:rsid w:val="00F80D58"/>
    <w:rsid w:val="00F80DED"/>
    <w:rsid w:val="00F80DFE"/>
    <w:rsid w:val="00F80FFB"/>
    <w:rsid w:val="00F813E7"/>
    <w:rsid w:val="00F8141B"/>
    <w:rsid w:val="00F8167E"/>
    <w:rsid w:val="00F81AEC"/>
    <w:rsid w:val="00F81C23"/>
    <w:rsid w:val="00F81D33"/>
    <w:rsid w:val="00F81F5F"/>
    <w:rsid w:val="00F81FBF"/>
    <w:rsid w:val="00F82275"/>
    <w:rsid w:val="00F823D9"/>
    <w:rsid w:val="00F8254A"/>
    <w:rsid w:val="00F8255D"/>
    <w:rsid w:val="00F82676"/>
    <w:rsid w:val="00F829AF"/>
    <w:rsid w:val="00F829D8"/>
    <w:rsid w:val="00F82A79"/>
    <w:rsid w:val="00F82C88"/>
    <w:rsid w:val="00F82D70"/>
    <w:rsid w:val="00F82E63"/>
    <w:rsid w:val="00F8303F"/>
    <w:rsid w:val="00F8327B"/>
    <w:rsid w:val="00F832EA"/>
    <w:rsid w:val="00F83676"/>
    <w:rsid w:val="00F83701"/>
    <w:rsid w:val="00F83778"/>
    <w:rsid w:val="00F8395F"/>
    <w:rsid w:val="00F839F3"/>
    <w:rsid w:val="00F83FB6"/>
    <w:rsid w:val="00F841CC"/>
    <w:rsid w:val="00F84226"/>
    <w:rsid w:val="00F8428D"/>
    <w:rsid w:val="00F842DD"/>
    <w:rsid w:val="00F84902"/>
    <w:rsid w:val="00F84AAE"/>
    <w:rsid w:val="00F84AB6"/>
    <w:rsid w:val="00F84AE0"/>
    <w:rsid w:val="00F84AF5"/>
    <w:rsid w:val="00F84D17"/>
    <w:rsid w:val="00F84D9B"/>
    <w:rsid w:val="00F8506E"/>
    <w:rsid w:val="00F85319"/>
    <w:rsid w:val="00F8565C"/>
    <w:rsid w:val="00F8575B"/>
    <w:rsid w:val="00F85806"/>
    <w:rsid w:val="00F85933"/>
    <w:rsid w:val="00F85BE8"/>
    <w:rsid w:val="00F85C0E"/>
    <w:rsid w:val="00F85C3D"/>
    <w:rsid w:val="00F85D29"/>
    <w:rsid w:val="00F85D9A"/>
    <w:rsid w:val="00F85F05"/>
    <w:rsid w:val="00F8614F"/>
    <w:rsid w:val="00F861C1"/>
    <w:rsid w:val="00F86312"/>
    <w:rsid w:val="00F865B7"/>
    <w:rsid w:val="00F865DE"/>
    <w:rsid w:val="00F866DE"/>
    <w:rsid w:val="00F867A7"/>
    <w:rsid w:val="00F869DD"/>
    <w:rsid w:val="00F86C2C"/>
    <w:rsid w:val="00F86E18"/>
    <w:rsid w:val="00F86E66"/>
    <w:rsid w:val="00F86E95"/>
    <w:rsid w:val="00F871EE"/>
    <w:rsid w:val="00F871EF"/>
    <w:rsid w:val="00F87273"/>
    <w:rsid w:val="00F87545"/>
    <w:rsid w:val="00F876EC"/>
    <w:rsid w:val="00F877DA"/>
    <w:rsid w:val="00F87894"/>
    <w:rsid w:val="00F878D6"/>
    <w:rsid w:val="00F87AEB"/>
    <w:rsid w:val="00F87CE0"/>
    <w:rsid w:val="00F87D85"/>
    <w:rsid w:val="00F87DF7"/>
    <w:rsid w:val="00F901D1"/>
    <w:rsid w:val="00F90449"/>
    <w:rsid w:val="00F905A3"/>
    <w:rsid w:val="00F90879"/>
    <w:rsid w:val="00F9089A"/>
    <w:rsid w:val="00F909EF"/>
    <w:rsid w:val="00F90F6B"/>
    <w:rsid w:val="00F90FF6"/>
    <w:rsid w:val="00F91024"/>
    <w:rsid w:val="00F91184"/>
    <w:rsid w:val="00F9142C"/>
    <w:rsid w:val="00F91545"/>
    <w:rsid w:val="00F916BF"/>
    <w:rsid w:val="00F91C23"/>
    <w:rsid w:val="00F91F8D"/>
    <w:rsid w:val="00F92214"/>
    <w:rsid w:val="00F92277"/>
    <w:rsid w:val="00F9243C"/>
    <w:rsid w:val="00F925D7"/>
    <w:rsid w:val="00F9275C"/>
    <w:rsid w:val="00F927F5"/>
    <w:rsid w:val="00F92951"/>
    <w:rsid w:val="00F9296D"/>
    <w:rsid w:val="00F92ABF"/>
    <w:rsid w:val="00F92B97"/>
    <w:rsid w:val="00F92C11"/>
    <w:rsid w:val="00F92C48"/>
    <w:rsid w:val="00F92EB9"/>
    <w:rsid w:val="00F93174"/>
    <w:rsid w:val="00F93359"/>
    <w:rsid w:val="00F93581"/>
    <w:rsid w:val="00F93665"/>
    <w:rsid w:val="00F93687"/>
    <w:rsid w:val="00F9395E"/>
    <w:rsid w:val="00F93C86"/>
    <w:rsid w:val="00F93CF0"/>
    <w:rsid w:val="00F9443D"/>
    <w:rsid w:val="00F94732"/>
    <w:rsid w:val="00F94742"/>
    <w:rsid w:val="00F9494F"/>
    <w:rsid w:val="00F94A5C"/>
    <w:rsid w:val="00F94C63"/>
    <w:rsid w:val="00F94FB5"/>
    <w:rsid w:val="00F94FD6"/>
    <w:rsid w:val="00F9510A"/>
    <w:rsid w:val="00F951F8"/>
    <w:rsid w:val="00F952F8"/>
    <w:rsid w:val="00F9534B"/>
    <w:rsid w:val="00F953A4"/>
    <w:rsid w:val="00F95A77"/>
    <w:rsid w:val="00F95BF4"/>
    <w:rsid w:val="00F95C5E"/>
    <w:rsid w:val="00F95CAD"/>
    <w:rsid w:val="00F95D46"/>
    <w:rsid w:val="00F95E74"/>
    <w:rsid w:val="00F95F28"/>
    <w:rsid w:val="00F9633B"/>
    <w:rsid w:val="00F96379"/>
    <w:rsid w:val="00F9642E"/>
    <w:rsid w:val="00F96457"/>
    <w:rsid w:val="00F965E3"/>
    <w:rsid w:val="00F9661D"/>
    <w:rsid w:val="00F96AB9"/>
    <w:rsid w:val="00F96BA3"/>
    <w:rsid w:val="00F96CC0"/>
    <w:rsid w:val="00F96CE7"/>
    <w:rsid w:val="00F96D5F"/>
    <w:rsid w:val="00F96D7C"/>
    <w:rsid w:val="00F970F9"/>
    <w:rsid w:val="00F971CD"/>
    <w:rsid w:val="00F972EE"/>
    <w:rsid w:val="00F974A7"/>
    <w:rsid w:val="00F974F2"/>
    <w:rsid w:val="00F9789E"/>
    <w:rsid w:val="00F978DC"/>
    <w:rsid w:val="00F97973"/>
    <w:rsid w:val="00F979D0"/>
    <w:rsid w:val="00F97AA1"/>
    <w:rsid w:val="00F97D99"/>
    <w:rsid w:val="00F97DC7"/>
    <w:rsid w:val="00FA040C"/>
    <w:rsid w:val="00FA04F8"/>
    <w:rsid w:val="00FA069D"/>
    <w:rsid w:val="00FA06C7"/>
    <w:rsid w:val="00FA0789"/>
    <w:rsid w:val="00FA07A5"/>
    <w:rsid w:val="00FA087D"/>
    <w:rsid w:val="00FA0883"/>
    <w:rsid w:val="00FA09CB"/>
    <w:rsid w:val="00FA0BFF"/>
    <w:rsid w:val="00FA12F7"/>
    <w:rsid w:val="00FA1662"/>
    <w:rsid w:val="00FA1695"/>
    <w:rsid w:val="00FA16A7"/>
    <w:rsid w:val="00FA1972"/>
    <w:rsid w:val="00FA19FE"/>
    <w:rsid w:val="00FA1BD2"/>
    <w:rsid w:val="00FA2145"/>
    <w:rsid w:val="00FA23C8"/>
    <w:rsid w:val="00FA2431"/>
    <w:rsid w:val="00FA2508"/>
    <w:rsid w:val="00FA26D2"/>
    <w:rsid w:val="00FA294F"/>
    <w:rsid w:val="00FA29BB"/>
    <w:rsid w:val="00FA2A7E"/>
    <w:rsid w:val="00FA2E2E"/>
    <w:rsid w:val="00FA2EDE"/>
    <w:rsid w:val="00FA315D"/>
    <w:rsid w:val="00FA3162"/>
    <w:rsid w:val="00FA3791"/>
    <w:rsid w:val="00FA37A2"/>
    <w:rsid w:val="00FA3806"/>
    <w:rsid w:val="00FA3A42"/>
    <w:rsid w:val="00FA3BBF"/>
    <w:rsid w:val="00FA3CA9"/>
    <w:rsid w:val="00FA3CCC"/>
    <w:rsid w:val="00FA3CEB"/>
    <w:rsid w:val="00FA3DF9"/>
    <w:rsid w:val="00FA3EDD"/>
    <w:rsid w:val="00FA3F35"/>
    <w:rsid w:val="00FA4005"/>
    <w:rsid w:val="00FA430B"/>
    <w:rsid w:val="00FA44AB"/>
    <w:rsid w:val="00FA4502"/>
    <w:rsid w:val="00FA452C"/>
    <w:rsid w:val="00FA4983"/>
    <w:rsid w:val="00FA4CEA"/>
    <w:rsid w:val="00FA4D52"/>
    <w:rsid w:val="00FA4DF2"/>
    <w:rsid w:val="00FA4E16"/>
    <w:rsid w:val="00FA4E34"/>
    <w:rsid w:val="00FA4EAD"/>
    <w:rsid w:val="00FA533C"/>
    <w:rsid w:val="00FA57EB"/>
    <w:rsid w:val="00FA5A35"/>
    <w:rsid w:val="00FA5AB7"/>
    <w:rsid w:val="00FA5B13"/>
    <w:rsid w:val="00FA5C9D"/>
    <w:rsid w:val="00FA5FBE"/>
    <w:rsid w:val="00FA608E"/>
    <w:rsid w:val="00FA614B"/>
    <w:rsid w:val="00FA664B"/>
    <w:rsid w:val="00FA6803"/>
    <w:rsid w:val="00FA6882"/>
    <w:rsid w:val="00FA6A25"/>
    <w:rsid w:val="00FA6C5B"/>
    <w:rsid w:val="00FA6DA1"/>
    <w:rsid w:val="00FA6E5A"/>
    <w:rsid w:val="00FA7070"/>
    <w:rsid w:val="00FA710D"/>
    <w:rsid w:val="00FA750D"/>
    <w:rsid w:val="00FA76EB"/>
    <w:rsid w:val="00FA7AF1"/>
    <w:rsid w:val="00FA7D9F"/>
    <w:rsid w:val="00FA7E67"/>
    <w:rsid w:val="00FA7EF6"/>
    <w:rsid w:val="00FB0224"/>
    <w:rsid w:val="00FB02E1"/>
    <w:rsid w:val="00FB030B"/>
    <w:rsid w:val="00FB03F1"/>
    <w:rsid w:val="00FB068E"/>
    <w:rsid w:val="00FB070C"/>
    <w:rsid w:val="00FB08F3"/>
    <w:rsid w:val="00FB09CA"/>
    <w:rsid w:val="00FB0F3B"/>
    <w:rsid w:val="00FB0F60"/>
    <w:rsid w:val="00FB11F8"/>
    <w:rsid w:val="00FB136C"/>
    <w:rsid w:val="00FB139C"/>
    <w:rsid w:val="00FB140A"/>
    <w:rsid w:val="00FB1574"/>
    <w:rsid w:val="00FB15A6"/>
    <w:rsid w:val="00FB15C4"/>
    <w:rsid w:val="00FB16F0"/>
    <w:rsid w:val="00FB176D"/>
    <w:rsid w:val="00FB1812"/>
    <w:rsid w:val="00FB185F"/>
    <w:rsid w:val="00FB1874"/>
    <w:rsid w:val="00FB1908"/>
    <w:rsid w:val="00FB196E"/>
    <w:rsid w:val="00FB19F9"/>
    <w:rsid w:val="00FB1B7F"/>
    <w:rsid w:val="00FB2134"/>
    <w:rsid w:val="00FB268D"/>
    <w:rsid w:val="00FB2901"/>
    <w:rsid w:val="00FB2A7C"/>
    <w:rsid w:val="00FB2C96"/>
    <w:rsid w:val="00FB2D32"/>
    <w:rsid w:val="00FB2D7C"/>
    <w:rsid w:val="00FB2E4D"/>
    <w:rsid w:val="00FB2F86"/>
    <w:rsid w:val="00FB300E"/>
    <w:rsid w:val="00FB3481"/>
    <w:rsid w:val="00FB36A4"/>
    <w:rsid w:val="00FB371C"/>
    <w:rsid w:val="00FB3720"/>
    <w:rsid w:val="00FB3881"/>
    <w:rsid w:val="00FB399A"/>
    <w:rsid w:val="00FB3C17"/>
    <w:rsid w:val="00FB3DBA"/>
    <w:rsid w:val="00FB3F4A"/>
    <w:rsid w:val="00FB4007"/>
    <w:rsid w:val="00FB402F"/>
    <w:rsid w:val="00FB4241"/>
    <w:rsid w:val="00FB4266"/>
    <w:rsid w:val="00FB42D3"/>
    <w:rsid w:val="00FB433C"/>
    <w:rsid w:val="00FB440F"/>
    <w:rsid w:val="00FB455D"/>
    <w:rsid w:val="00FB4C39"/>
    <w:rsid w:val="00FB4E3F"/>
    <w:rsid w:val="00FB53E2"/>
    <w:rsid w:val="00FB579E"/>
    <w:rsid w:val="00FB58C0"/>
    <w:rsid w:val="00FB59DE"/>
    <w:rsid w:val="00FB5A46"/>
    <w:rsid w:val="00FB5A5B"/>
    <w:rsid w:val="00FB5A90"/>
    <w:rsid w:val="00FB5B7B"/>
    <w:rsid w:val="00FB5BB5"/>
    <w:rsid w:val="00FB5C3D"/>
    <w:rsid w:val="00FB5D70"/>
    <w:rsid w:val="00FB5D88"/>
    <w:rsid w:val="00FB5FD4"/>
    <w:rsid w:val="00FB604A"/>
    <w:rsid w:val="00FB6122"/>
    <w:rsid w:val="00FB62BC"/>
    <w:rsid w:val="00FB63B6"/>
    <w:rsid w:val="00FB6440"/>
    <w:rsid w:val="00FB647C"/>
    <w:rsid w:val="00FB6870"/>
    <w:rsid w:val="00FB718D"/>
    <w:rsid w:val="00FB7B62"/>
    <w:rsid w:val="00FB7D04"/>
    <w:rsid w:val="00FB7D05"/>
    <w:rsid w:val="00FB7DD1"/>
    <w:rsid w:val="00FB7E70"/>
    <w:rsid w:val="00FC007A"/>
    <w:rsid w:val="00FC0116"/>
    <w:rsid w:val="00FC0218"/>
    <w:rsid w:val="00FC025C"/>
    <w:rsid w:val="00FC045F"/>
    <w:rsid w:val="00FC04F2"/>
    <w:rsid w:val="00FC052F"/>
    <w:rsid w:val="00FC056F"/>
    <w:rsid w:val="00FC05BC"/>
    <w:rsid w:val="00FC05D6"/>
    <w:rsid w:val="00FC0674"/>
    <w:rsid w:val="00FC079F"/>
    <w:rsid w:val="00FC0811"/>
    <w:rsid w:val="00FC090E"/>
    <w:rsid w:val="00FC0A51"/>
    <w:rsid w:val="00FC0C18"/>
    <w:rsid w:val="00FC0DA5"/>
    <w:rsid w:val="00FC0DE5"/>
    <w:rsid w:val="00FC0F3B"/>
    <w:rsid w:val="00FC11DA"/>
    <w:rsid w:val="00FC11F8"/>
    <w:rsid w:val="00FC1218"/>
    <w:rsid w:val="00FC125D"/>
    <w:rsid w:val="00FC14DF"/>
    <w:rsid w:val="00FC1728"/>
    <w:rsid w:val="00FC17C0"/>
    <w:rsid w:val="00FC185D"/>
    <w:rsid w:val="00FC1882"/>
    <w:rsid w:val="00FC1CEB"/>
    <w:rsid w:val="00FC2025"/>
    <w:rsid w:val="00FC20B4"/>
    <w:rsid w:val="00FC210F"/>
    <w:rsid w:val="00FC21E1"/>
    <w:rsid w:val="00FC221E"/>
    <w:rsid w:val="00FC2252"/>
    <w:rsid w:val="00FC2275"/>
    <w:rsid w:val="00FC240F"/>
    <w:rsid w:val="00FC26D9"/>
    <w:rsid w:val="00FC28E9"/>
    <w:rsid w:val="00FC29E2"/>
    <w:rsid w:val="00FC2BAF"/>
    <w:rsid w:val="00FC2C9F"/>
    <w:rsid w:val="00FC2E77"/>
    <w:rsid w:val="00FC2F0A"/>
    <w:rsid w:val="00FC2F64"/>
    <w:rsid w:val="00FC2FFB"/>
    <w:rsid w:val="00FC310C"/>
    <w:rsid w:val="00FC3191"/>
    <w:rsid w:val="00FC31D7"/>
    <w:rsid w:val="00FC32A6"/>
    <w:rsid w:val="00FC3465"/>
    <w:rsid w:val="00FC34ED"/>
    <w:rsid w:val="00FC3512"/>
    <w:rsid w:val="00FC354F"/>
    <w:rsid w:val="00FC35AD"/>
    <w:rsid w:val="00FC36CD"/>
    <w:rsid w:val="00FC3761"/>
    <w:rsid w:val="00FC3AE1"/>
    <w:rsid w:val="00FC3BE0"/>
    <w:rsid w:val="00FC3C43"/>
    <w:rsid w:val="00FC3E5E"/>
    <w:rsid w:val="00FC3F20"/>
    <w:rsid w:val="00FC41B9"/>
    <w:rsid w:val="00FC4313"/>
    <w:rsid w:val="00FC44C4"/>
    <w:rsid w:val="00FC45CF"/>
    <w:rsid w:val="00FC45E9"/>
    <w:rsid w:val="00FC493C"/>
    <w:rsid w:val="00FC4967"/>
    <w:rsid w:val="00FC4AA1"/>
    <w:rsid w:val="00FC4F96"/>
    <w:rsid w:val="00FC5035"/>
    <w:rsid w:val="00FC50EC"/>
    <w:rsid w:val="00FC5689"/>
    <w:rsid w:val="00FC59F5"/>
    <w:rsid w:val="00FC5A25"/>
    <w:rsid w:val="00FC5B69"/>
    <w:rsid w:val="00FC5BBF"/>
    <w:rsid w:val="00FC5C35"/>
    <w:rsid w:val="00FC5DF0"/>
    <w:rsid w:val="00FC5E45"/>
    <w:rsid w:val="00FC5EA1"/>
    <w:rsid w:val="00FC5F38"/>
    <w:rsid w:val="00FC5F8C"/>
    <w:rsid w:val="00FC63C7"/>
    <w:rsid w:val="00FC6577"/>
    <w:rsid w:val="00FC65CC"/>
    <w:rsid w:val="00FC66DB"/>
    <w:rsid w:val="00FC673F"/>
    <w:rsid w:val="00FC67FE"/>
    <w:rsid w:val="00FC6818"/>
    <w:rsid w:val="00FC6C37"/>
    <w:rsid w:val="00FC6D80"/>
    <w:rsid w:val="00FC6F08"/>
    <w:rsid w:val="00FC6FBA"/>
    <w:rsid w:val="00FC7056"/>
    <w:rsid w:val="00FC70D6"/>
    <w:rsid w:val="00FC7313"/>
    <w:rsid w:val="00FC75D8"/>
    <w:rsid w:val="00FC7683"/>
    <w:rsid w:val="00FC7800"/>
    <w:rsid w:val="00FC78C4"/>
    <w:rsid w:val="00FC79C7"/>
    <w:rsid w:val="00FC7AAE"/>
    <w:rsid w:val="00FC7E56"/>
    <w:rsid w:val="00FC7EE7"/>
    <w:rsid w:val="00FC7FC0"/>
    <w:rsid w:val="00FD02B0"/>
    <w:rsid w:val="00FD033A"/>
    <w:rsid w:val="00FD071F"/>
    <w:rsid w:val="00FD07FE"/>
    <w:rsid w:val="00FD08B0"/>
    <w:rsid w:val="00FD090B"/>
    <w:rsid w:val="00FD0A90"/>
    <w:rsid w:val="00FD0AA3"/>
    <w:rsid w:val="00FD0AE8"/>
    <w:rsid w:val="00FD0B52"/>
    <w:rsid w:val="00FD0BDF"/>
    <w:rsid w:val="00FD1026"/>
    <w:rsid w:val="00FD12AD"/>
    <w:rsid w:val="00FD14E0"/>
    <w:rsid w:val="00FD1680"/>
    <w:rsid w:val="00FD17D6"/>
    <w:rsid w:val="00FD17E2"/>
    <w:rsid w:val="00FD1874"/>
    <w:rsid w:val="00FD1B69"/>
    <w:rsid w:val="00FD1FBD"/>
    <w:rsid w:val="00FD1FD1"/>
    <w:rsid w:val="00FD209D"/>
    <w:rsid w:val="00FD2172"/>
    <w:rsid w:val="00FD2205"/>
    <w:rsid w:val="00FD229F"/>
    <w:rsid w:val="00FD247D"/>
    <w:rsid w:val="00FD2569"/>
    <w:rsid w:val="00FD271E"/>
    <w:rsid w:val="00FD2826"/>
    <w:rsid w:val="00FD2856"/>
    <w:rsid w:val="00FD29E9"/>
    <w:rsid w:val="00FD2B1E"/>
    <w:rsid w:val="00FD2BCA"/>
    <w:rsid w:val="00FD2C01"/>
    <w:rsid w:val="00FD2C31"/>
    <w:rsid w:val="00FD2F43"/>
    <w:rsid w:val="00FD2FEB"/>
    <w:rsid w:val="00FD343B"/>
    <w:rsid w:val="00FD3649"/>
    <w:rsid w:val="00FD36B5"/>
    <w:rsid w:val="00FD38F0"/>
    <w:rsid w:val="00FD3A95"/>
    <w:rsid w:val="00FD3AB8"/>
    <w:rsid w:val="00FD3BE0"/>
    <w:rsid w:val="00FD3CCD"/>
    <w:rsid w:val="00FD3E6E"/>
    <w:rsid w:val="00FD3E6F"/>
    <w:rsid w:val="00FD3EBC"/>
    <w:rsid w:val="00FD3F59"/>
    <w:rsid w:val="00FD412B"/>
    <w:rsid w:val="00FD4159"/>
    <w:rsid w:val="00FD4221"/>
    <w:rsid w:val="00FD4270"/>
    <w:rsid w:val="00FD435B"/>
    <w:rsid w:val="00FD4533"/>
    <w:rsid w:val="00FD459F"/>
    <w:rsid w:val="00FD47EA"/>
    <w:rsid w:val="00FD4B19"/>
    <w:rsid w:val="00FD4BF0"/>
    <w:rsid w:val="00FD4C1C"/>
    <w:rsid w:val="00FD4D15"/>
    <w:rsid w:val="00FD4EFE"/>
    <w:rsid w:val="00FD503B"/>
    <w:rsid w:val="00FD5089"/>
    <w:rsid w:val="00FD50AD"/>
    <w:rsid w:val="00FD514D"/>
    <w:rsid w:val="00FD51DD"/>
    <w:rsid w:val="00FD51E6"/>
    <w:rsid w:val="00FD53F6"/>
    <w:rsid w:val="00FD5427"/>
    <w:rsid w:val="00FD5448"/>
    <w:rsid w:val="00FD5472"/>
    <w:rsid w:val="00FD5649"/>
    <w:rsid w:val="00FD56AE"/>
    <w:rsid w:val="00FD56F9"/>
    <w:rsid w:val="00FD56FF"/>
    <w:rsid w:val="00FD578C"/>
    <w:rsid w:val="00FD583B"/>
    <w:rsid w:val="00FD58BA"/>
    <w:rsid w:val="00FD58D7"/>
    <w:rsid w:val="00FD59FF"/>
    <w:rsid w:val="00FD5A47"/>
    <w:rsid w:val="00FD5A48"/>
    <w:rsid w:val="00FD5AB7"/>
    <w:rsid w:val="00FD5C6F"/>
    <w:rsid w:val="00FD5D0E"/>
    <w:rsid w:val="00FD5D1B"/>
    <w:rsid w:val="00FD5E6E"/>
    <w:rsid w:val="00FD61B8"/>
    <w:rsid w:val="00FD61CD"/>
    <w:rsid w:val="00FD62B0"/>
    <w:rsid w:val="00FD6396"/>
    <w:rsid w:val="00FD639D"/>
    <w:rsid w:val="00FD663E"/>
    <w:rsid w:val="00FD67D0"/>
    <w:rsid w:val="00FD68AE"/>
    <w:rsid w:val="00FD696C"/>
    <w:rsid w:val="00FD69D8"/>
    <w:rsid w:val="00FD6DB2"/>
    <w:rsid w:val="00FD6F3D"/>
    <w:rsid w:val="00FD751C"/>
    <w:rsid w:val="00FD771B"/>
    <w:rsid w:val="00FD7DF1"/>
    <w:rsid w:val="00FE00B8"/>
    <w:rsid w:val="00FE0329"/>
    <w:rsid w:val="00FE03AF"/>
    <w:rsid w:val="00FE03CE"/>
    <w:rsid w:val="00FE03DC"/>
    <w:rsid w:val="00FE03E1"/>
    <w:rsid w:val="00FE0614"/>
    <w:rsid w:val="00FE062F"/>
    <w:rsid w:val="00FE0680"/>
    <w:rsid w:val="00FE081E"/>
    <w:rsid w:val="00FE0874"/>
    <w:rsid w:val="00FE09FA"/>
    <w:rsid w:val="00FE0BB1"/>
    <w:rsid w:val="00FE0C79"/>
    <w:rsid w:val="00FE0F35"/>
    <w:rsid w:val="00FE0F52"/>
    <w:rsid w:val="00FE1003"/>
    <w:rsid w:val="00FE1191"/>
    <w:rsid w:val="00FE1738"/>
    <w:rsid w:val="00FE177F"/>
    <w:rsid w:val="00FE17B9"/>
    <w:rsid w:val="00FE19BB"/>
    <w:rsid w:val="00FE19D7"/>
    <w:rsid w:val="00FE1AAF"/>
    <w:rsid w:val="00FE1C5D"/>
    <w:rsid w:val="00FE1E53"/>
    <w:rsid w:val="00FE1F29"/>
    <w:rsid w:val="00FE1FE6"/>
    <w:rsid w:val="00FE22EF"/>
    <w:rsid w:val="00FE272E"/>
    <w:rsid w:val="00FE2748"/>
    <w:rsid w:val="00FE278C"/>
    <w:rsid w:val="00FE2B9B"/>
    <w:rsid w:val="00FE2C8A"/>
    <w:rsid w:val="00FE2D95"/>
    <w:rsid w:val="00FE3154"/>
    <w:rsid w:val="00FE315B"/>
    <w:rsid w:val="00FE322E"/>
    <w:rsid w:val="00FE33F9"/>
    <w:rsid w:val="00FE359F"/>
    <w:rsid w:val="00FE36E3"/>
    <w:rsid w:val="00FE377F"/>
    <w:rsid w:val="00FE38A4"/>
    <w:rsid w:val="00FE3993"/>
    <w:rsid w:val="00FE3B74"/>
    <w:rsid w:val="00FE3B80"/>
    <w:rsid w:val="00FE3BE7"/>
    <w:rsid w:val="00FE3F99"/>
    <w:rsid w:val="00FE4097"/>
    <w:rsid w:val="00FE428A"/>
    <w:rsid w:val="00FE4481"/>
    <w:rsid w:val="00FE45CB"/>
    <w:rsid w:val="00FE4620"/>
    <w:rsid w:val="00FE465D"/>
    <w:rsid w:val="00FE46E3"/>
    <w:rsid w:val="00FE49EA"/>
    <w:rsid w:val="00FE4A65"/>
    <w:rsid w:val="00FE4AAF"/>
    <w:rsid w:val="00FE4AEB"/>
    <w:rsid w:val="00FE4B4C"/>
    <w:rsid w:val="00FE4CC6"/>
    <w:rsid w:val="00FE4D85"/>
    <w:rsid w:val="00FE4DCA"/>
    <w:rsid w:val="00FE4F5A"/>
    <w:rsid w:val="00FE541E"/>
    <w:rsid w:val="00FE5606"/>
    <w:rsid w:val="00FE5658"/>
    <w:rsid w:val="00FE5A74"/>
    <w:rsid w:val="00FE5B03"/>
    <w:rsid w:val="00FE5B0E"/>
    <w:rsid w:val="00FE5CEC"/>
    <w:rsid w:val="00FE5E73"/>
    <w:rsid w:val="00FE5EEB"/>
    <w:rsid w:val="00FE6142"/>
    <w:rsid w:val="00FE62CA"/>
    <w:rsid w:val="00FE6347"/>
    <w:rsid w:val="00FE63F6"/>
    <w:rsid w:val="00FE658D"/>
    <w:rsid w:val="00FE65EC"/>
    <w:rsid w:val="00FE6648"/>
    <w:rsid w:val="00FE66B5"/>
    <w:rsid w:val="00FE6844"/>
    <w:rsid w:val="00FE6AEC"/>
    <w:rsid w:val="00FE6E45"/>
    <w:rsid w:val="00FE7313"/>
    <w:rsid w:val="00FE7412"/>
    <w:rsid w:val="00FE750F"/>
    <w:rsid w:val="00FE7545"/>
    <w:rsid w:val="00FE75D4"/>
    <w:rsid w:val="00FE7637"/>
    <w:rsid w:val="00FE7692"/>
    <w:rsid w:val="00FE7828"/>
    <w:rsid w:val="00FE786B"/>
    <w:rsid w:val="00FE7938"/>
    <w:rsid w:val="00FE7A57"/>
    <w:rsid w:val="00FE7C0C"/>
    <w:rsid w:val="00FE7C7D"/>
    <w:rsid w:val="00FE7D48"/>
    <w:rsid w:val="00FE7DE4"/>
    <w:rsid w:val="00FE7EE8"/>
    <w:rsid w:val="00FF0093"/>
    <w:rsid w:val="00FF024A"/>
    <w:rsid w:val="00FF02CD"/>
    <w:rsid w:val="00FF037A"/>
    <w:rsid w:val="00FF055D"/>
    <w:rsid w:val="00FF069A"/>
    <w:rsid w:val="00FF0818"/>
    <w:rsid w:val="00FF0830"/>
    <w:rsid w:val="00FF0A00"/>
    <w:rsid w:val="00FF0CB0"/>
    <w:rsid w:val="00FF0D93"/>
    <w:rsid w:val="00FF0EAB"/>
    <w:rsid w:val="00FF0F53"/>
    <w:rsid w:val="00FF0F6E"/>
    <w:rsid w:val="00FF0FAF"/>
    <w:rsid w:val="00FF105E"/>
    <w:rsid w:val="00FF11E1"/>
    <w:rsid w:val="00FF11E2"/>
    <w:rsid w:val="00FF1452"/>
    <w:rsid w:val="00FF145E"/>
    <w:rsid w:val="00FF16F4"/>
    <w:rsid w:val="00FF176D"/>
    <w:rsid w:val="00FF18DD"/>
    <w:rsid w:val="00FF18F6"/>
    <w:rsid w:val="00FF1ACF"/>
    <w:rsid w:val="00FF1C9B"/>
    <w:rsid w:val="00FF24FC"/>
    <w:rsid w:val="00FF257D"/>
    <w:rsid w:val="00FF2679"/>
    <w:rsid w:val="00FF27B7"/>
    <w:rsid w:val="00FF282D"/>
    <w:rsid w:val="00FF28F8"/>
    <w:rsid w:val="00FF2A5B"/>
    <w:rsid w:val="00FF2C46"/>
    <w:rsid w:val="00FF2C4F"/>
    <w:rsid w:val="00FF2E12"/>
    <w:rsid w:val="00FF2E5A"/>
    <w:rsid w:val="00FF2F2B"/>
    <w:rsid w:val="00FF2F86"/>
    <w:rsid w:val="00FF333C"/>
    <w:rsid w:val="00FF33E2"/>
    <w:rsid w:val="00FF33EC"/>
    <w:rsid w:val="00FF3818"/>
    <w:rsid w:val="00FF38AC"/>
    <w:rsid w:val="00FF3AFA"/>
    <w:rsid w:val="00FF3ECA"/>
    <w:rsid w:val="00FF3FA0"/>
    <w:rsid w:val="00FF40B8"/>
    <w:rsid w:val="00FF4110"/>
    <w:rsid w:val="00FF423E"/>
    <w:rsid w:val="00FF44B8"/>
    <w:rsid w:val="00FF4588"/>
    <w:rsid w:val="00FF4885"/>
    <w:rsid w:val="00FF4B81"/>
    <w:rsid w:val="00FF4D83"/>
    <w:rsid w:val="00FF4F01"/>
    <w:rsid w:val="00FF4FCB"/>
    <w:rsid w:val="00FF505A"/>
    <w:rsid w:val="00FF50D7"/>
    <w:rsid w:val="00FF5340"/>
    <w:rsid w:val="00FF53D4"/>
    <w:rsid w:val="00FF552F"/>
    <w:rsid w:val="00FF56DF"/>
    <w:rsid w:val="00FF574C"/>
    <w:rsid w:val="00FF58F0"/>
    <w:rsid w:val="00FF5C65"/>
    <w:rsid w:val="00FF62A7"/>
    <w:rsid w:val="00FF62FD"/>
    <w:rsid w:val="00FF638F"/>
    <w:rsid w:val="00FF6693"/>
    <w:rsid w:val="00FF6716"/>
    <w:rsid w:val="00FF68B3"/>
    <w:rsid w:val="00FF68E8"/>
    <w:rsid w:val="00FF6BD2"/>
    <w:rsid w:val="00FF6C29"/>
    <w:rsid w:val="00FF6DDC"/>
    <w:rsid w:val="00FF6F27"/>
    <w:rsid w:val="00FF6FA3"/>
    <w:rsid w:val="00FF7076"/>
    <w:rsid w:val="00FF70FA"/>
    <w:rsid w:val="00FF71C3"/>
    <w:rsid w:val="00FF726D"/>
    <w:rsid w:val="00FF73DE"/>
    <w:rsid w:val="00FF759E"/>
    <w:rsid w:val="00FF7791"/>
    <w:rsid w:val="00FF7876"/>
    <w:rsid w:val="00FF78B4"/>
    <w:rsid w:val="00FF7D69"/>
    <w:rsid w:val="00FF7E35"/>
    <w:rsid w:val="00FF7EC2"/>
    <w:rsid w:val="00FF7FA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2FDD4"/>
  <w15:docId w15:val="{27000854-8CCD-4285-9CCF-BBBCFFA3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6D2"/>
    <w:rPr>
      <w:rFonts w:ascii="Times New Roman" w:hAnsi="Times New Roman"/>
      <w:sz w:val="24"/>
      <w:szCs w:val="24"/>
    </w:rPr>
  </w:style>
  <w:style w:type="paragraph" w:styleId="Heading1">
    <w:name w:val="heading 1"/>
    <w:basedOn w:val="Normal"/>
    <w:next w:val="Normal"/>
    <w:link w:val="Heading1Char"/>
    <w:uiPriority w:val="99"/>
    <w:qFormat/>
    <w:rsid w:val="00F0217B"/>
    <w:pPr>
      <w:numPr>
        <w:numId w:val="36"/>
      </w:num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numPr>
        <w:ilvl w:val="1"/>
        <w:numId w:val="36"/>
      </w:num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numPr>
        <w:ilvl w:val="2"/>
        <w:numId w:val="36"/>
      </w:numPr>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numPr>
        <w:ilvl w:val="3"/>
        <w:numId w:val="36"/>
      </w:numPr>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numPr>
        <w:ilvl w:val="4"/>
        <w:numId w:val="36"/>
      </w:numPr>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numPr>
        <w:ilvl w:val="5"/>
        <w:numId w:val="36"/>
      </w:numPr>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numPr>
        <w:ilvl w:val="6"/>
        <w:numId w:val="36"/>
      </w:numPr>
      <w:outlineLvl w:val="6"/>
    </w:pPr>
    <w:rPr>
      <w:rFonts w:ascii="Calibri" w:hAnsi="Calibri"/>
    </w:rPr>
  </w:style>
  <w:style w:type="paragraph" w:styleId="Heading8">
    <w:name w:val="heading 8"/>
    <w:basedOn w:val="Normal"/>
    <w:next w:val="NormalIndent"/>
    <w:link w:val="Heading8Char"/>
    <w:uiPriority w:val="99"/>
    <w:qFormat/>
    <w:rsid w:val="00F0217B"/>
    <w:pPr>
      <w:numPr>
        <w:ilvl w:val="7"/>
        <w:numId w:val="36"/>
      </w:numPr>
      <w:outlineLvl w:val="7"/>
    </w:pPr>
    <w:rPr>
      <w:rFonts w:ascii="Calibri" w:hAnsi="Calibri"/>
      <w:i/>
      <w:iCs/>
    </w:rPr>
  </w:style>
  <w:style w:type="paragraph" w:styleId="Heading9">
    <w:name w:val="heading 9"/>
    <w:basedOn w:val="Normal"/>
    <w:next w:val="Normal"/>
    <w:link w:val="Heading9Char"/>
    <w:uiPriority w:val="99"/>
    <w:qFormat/>
    <w:rsid w:val="00F0217B"/>
    <w:pPr>
      <w:keepNext/>
      <w:numPr>
        <w:ilvl w:val="8"/>
        <w:numId w:val="36"/>
      </w:numP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locked/>
    <w:rsid w:val="00A003F4"/>
    <w:rPr>
      <w:rFonts w:ascii="Cambria" w:hAnsi="Cambria" w:cs="Cambria"/>
      <w:b/>
      <w:bCs/>
      <w:i/>
      <w:iCs/>
      <w:sz w:val="28"/>
      <w:szCs w:val="28"/>
    </w:rPr>
  </w:style>
  <w:style w:type="character" w:customStyle="1" w:styleId="Heading3Char">
    <w:name w:val="Heading 3 Char"/>
    <w:link w:val="Heading3"/>
    <w:uiPriority w:val="99"/>
    <w:locked/>
    <w:rsid w:val="00A003F4"/>
    <w:rPr>
      <w:rFonts w:ascii="Cambria" w:hAnsi="Cambria" w:cs="Cambria"/>
      <w:b/>
      <w:bCs/>
      <w:sz w:val="26"/>
      <w:szCs w:val="26"/>
    </w:rPr>
  </w:style>
  <w:style w:type="character" w:customStyle="1" w:styleId="Heading4Char">
    <w:name w:val="Heading 4 Char"/>
    <w:link w:val="Heading4"/>
    <w:uiPriority w:val="99"/>
    <w:locked/>
    <w:rsid w:val="00A003F4"/>
    <w:rPr>
      <w:rFonts w:ascii="Calibri" w:hAnsi="Calibri" w:cs="Calibri"/>
      <w:b/>
      <w:bCs/>
      <w:sz w:val="28"/>
      <w:szCs w:val="28"/>
    </w:rPr>
  </w:style>
  <w:style w:type="character" w:customStyle="1" w:styleId="Heading5Char">
    <w:name w:val="Heading 5 Char"/>
    <w:link w:val="Heading5"/>
    <w:uiPriority w:val="99"/>
    <w:locked/>
    <w:rsid w:val="00A003F4"/>
    <w:rPr>
      <w:rFonts w:ascii="Calibri" w:hAnsi="Calibri" w:cs="Calibri"/>
      <w:b/>
      <w:bCs/>
      <w:i/>
      <w:iCs/>
      <w:sz w:val="26"/>
      <w:szCs w:val="26"/>
    </w:rPr>
  </w:style>
  <w:style w:type="character" w:customStyle="1" w:styleId="Heading6Char">
    <w:name w:val="Heading 6 Char"/>
    <w:link w:val="Heading6"/>
    <w:uiPriority w:val="99"/>
    <w:locked/>
    <w:rsid w:val="00A003F4"/>
    <w:rPr>
      <w:rFonts w:ascii="Calibri" w:hAnsi="Calibri" w:cs="Calibri"/>
      <w:b/>
      <w:bCs/>
    </w:rPr>
  </w:style>
  <w:style w:type="character" w:customStyle="1" w:styleId="Heading7Char">
    <w:name w:val="Heading 7 Char"/>
    <w:link w:val="Heading7"/>
    <w:uiPriority w:val="99"/>
    <w:locked/>
    <w:rsid w:val="00A003F4"/>
    <w:rPr>
      <w:rFonts w:ascii="Calibri" w:hAnsi="Calibri" w:cs="Calibri"/>
      <w:sz w:val="24"/>
      <w:szCs w:val="24"/>
    </w:rPr>
  </w:style>
  <w:style w:type="character" w:customStyle="1" w:styleId="Heading8Char">
    <w:name w:val="Heading 8 Char"/>
    <w:link w:val="Heading8"/>
    <w:uiPriority w:val="99"/>
    <w:locked/>
    <w:rsid w:val="00A003F4"/>
    <w:rPr>
      <w:rFonts w:ascii="Calibri" w:hAnsi="Calibri" w:cs="Calibri"/>
      <w:i/>
      <w:iCs/>
      <w:sz w:val="24"/>
      <w:szCs w:val="24"/>
    </w:rPr>
  </w:style>
  <w:style w:type="character" w:customStyle="1" w:styleId="Heading9Char">
    <w:name w:val="Heading 9 Char"/>
    <w:link w:val="Heading9"/>
    <w:uiPriority w:val="99"/>
    <w:locked/>
    <w:rsid w:val="00A003F4"/>
    <w:rPr>
      <w:rFonts w:ascii="Cambria" w:hAnsi="Cambria" w:cs="Cambria"/>
    </w:rPr>
  </w:style>
  <w:style w:type="paragraph" w:styleId="CommentText">
    <w:name w:val="annotation text"/>
    <w:basedOn w:val="Normal"/>
    <w:link w:val="CommentTextChar"/>
    <w:uiPriority w:val="99"/>
    <w:rsid w:val="00F0217B"/>
    <w:rPr>
      <w:sz w:val="20"/>
      <w:szCs w:val="20"/>
    </w:rPr>
  </w:style>
  <w:style w:type="character" w:customStyle="1" w:styleId="CommentTextChar">
    <w:name w:val="Comment Text Char"/>
    <w:link w:val="CommentText"/>
    <w:uiPriority w:val="99"/>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bd,bt"/>
    <w:link w:val="BodyChar"/>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FD2569"/>
    <w:rPr>
      <w:sz w:val="20"/>
      <w:szCs w:val="2"/>
    </w:rPr>
  </w:style>
  <w:style w:type="character" w:customStyle="1" w:styleId="BalloonTextChar">
    <w:name w:val="Balloon Text Char"/>
    <w:link w:val="BalloonText"/>
    <w:uiPriority w:val="99"/>
    <w:semiHidden/>
    <w:locked/>
    <w:rsid w:val="00FD2569"/>
    <w:rPr>
      <w:rFonts w:ascii="Times New Roman" w:hAnsi="Times New Roman"/>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uiPriority w:val="39"/>
    <w:rsid w:val="00A32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aliases w:val="içindekiler vb,Citation List,본문(내용),List Paragraph (numbered (a)),List_Paragraph,Multilevel para_II,List Paragraph1,List Paragraph-ExecSummary,Akapit z listą BS,Bullets,List Paragraph 1,References,IBL List Paragraph,List Paragraph nowy"/>
    <w:basedOn w:val="Normal"/>
    <w:link w:val="ListParagraphChar"/>
    <w:uiPriority w:val="34"/>
    <w:qFormat/>
    <w:rsid w:val="00864505"/>
    <w:pPr>
      <w:ind w:left="708"/>
    </w:pPr>
  </w:style>
  <w:style w:type="paragraph" w:customStyle="1" w:styleId="Default">
    <w:name w:val="Default"/>
    <w:rsid w:val="00167078"/>
    <w:pPr>
      <w:autoSpaceDE w:val="0"/>
      <w:autoSpaceDN w:val="0"/>
      <w:adjustRightInd w:val="0"/>
    </w:pPr>
    <w:rPr>
      <w:rFonts w:ascii="Times New Roman" w:hAnsi="Times New Roman"/>
      <w:color w:val="000000"/>
      <w:sz w:val="24"/>
      <w:szCs w:val="24"/>
    </w:rPr>
  </w:style>
  <w:style w:type="character" w:styleId="LineNumber">
    <w:name w:val="line number"/>
    <w:uiPriority w:val="99"/>
    <w:unhideWhenUsed/>
    <w:rsid w:val="00FA4502"/>
  </w:style>
  <w:style w:type="paragraph" w:styleId="NoSpacing">
    <w:name w:val="No Spacing"/>
    <w:uiPriority w:val="1"/>
    <w:qFormat/>
    <w:rsid w:val="00931D66"/>
    <w:rPr>
      <w:rFonts w:ascii="Times New Roman" w:hAnsi="Times New Roman"/>
      <w:sz w:val="24"/>
      <w:szCs w:val="24"/>
    </w:rPr>
  </w:style>
  <w:style w:type="paragraph" w:customStyle="1" w:styleId="Text">
    <w:name w:val="Text"/>
    <w:rsid w:val="00EB769C"/>
    <w:pPr>
      <w:spacing w:line="360" w:lineRule="auto"/>
      <w:jc w:val="both"/>
    </w:pPr>
    <w:rPr>
      <w:rFonts w:ascii="Arial" w:hAnsi="Arial"/>
      <w:snapToGrid w:val="0"/>
      <w:color w:val="000000"/>
      <w:sz w:val="22"/>
      <w:lang w:val="en-GB" w:eastAsia="de-DE"/>
    </w:rPr>
  </w:style>
  <w:style w:type="paragraph" w:customStyle="1" w:styleId="pumatext">
    <w:name w:val="pumatext"/>
    <w:basedOn w:val="Text"/>
    <w:rsid w:val="00EB769C"/>
    <w:pPr>
      <w:spacing w:before="80" w:after="80"/>
      <w:ind w:left="567"/>
    </w:pPr>
  </w:style>
  <w:style w:type="table" w:customStyle="1" w:styleId="TabloKlavuzu1">
    <w:name w:val="Tablo Kılavuzu1"/>
    <w:basedOn w:val="TableNormal"/>
    <w:next w:val="TableGrid"/>
    <w:uiPriority w:val="59"/>
    <w:rsid w:val="006F5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
    <w:name w:val="Liste Yok1"/>
    <w:next w:val="NoList"/>
    <w:uiPriority w:val="99"/>
    <w:semiHidden/>
    <w:unhideWhenUsed/>
    <w:rsid w:val="00F21B9D"/>
  </w:style>
  <w:style w:type="table" w:customStyle="1" w:styleId="TabloKlavuzu2">
    <w:name w:val="Tablo Kılavuzu2"/>
    <w:basedOn w:val="TableNormal"/>
    <w:next w:val="TableGrid"/>
    <w:uiPriority w:val="59"/>
    <w:rsid w:val="00F21B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
    <w:name w:val="Liste Yok11"/>
    <w:next w:val="NoList"/>
    <w:uiPriority w:val="99"/>
    <w:semiHidden/>
    <w:unhideWhenUsed/>
    <w:rsid w:val="00F21B9D"/>
  </w:style>
  <w:style w:type="table" w:customStyle="1" w:styleId="TabloKlavuzu3">
    <w:name w:val="Tablo Kılavuzu3"/>
    <w:basedOn w:val="TableNormal"/>
    <w:next w:val="TableGrid"/>
    <w:uiPriority w:val="59"/>
    <w:rsid w:val="009378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verInformation">
    <w:name w:val="Cover Information"/>
    <w:aliases w:val="ci"/>
    <w:basedOn w:val="Normal"/>
    <w:rsid w:val="00DD71B2"/>
    <w:pPr>
      <w:framePr w:w="4536" w:hSpace="180" w:vSpace="180" w:wrap="auto" w:vAnchor="page" w:hAnchor="page" w:x="3601" w:y="14422"/>
      <w:spacing w:line="260" w:lineRule="exact"/>
      <w:ind w:left="520"/>
    </w:pPr>
    <w:rPr>
      <w:rFonts w:ascii="New York" w:hAnsi="New York"/>
      <w:szCs w:val="20"/>
      <w:lang w:val="en-GB" w:eastAsia="en-US"/>
    </w:rPr>
  </w:style>
  <w:style w:type="paragraph" w:customStyle="1" w:styleId="Normal1">
    <w:name w:val="Normal1"/>
    <w:basedOn w:val="Normal"/>
    <w:rsid w:val="00C572D3"/>
  </w:style>
  <w:style w:type="numbering" w:customStyle="1" w:styleId="ListeYok2">
    <w:name w:val="Liste Yok2"/>
    <w:next w:val="NoList"/>
    <w:uiPriority w:val="99"/>
    <w:semiHidden/>
    <w:unhideWhenUsed/>
    <w:rsid w:val="00AE6BCE"/>
  </w:style>
  <w:style w:type="table" w:customStyle="1" w:styleId="TabloKlavuzu4">
    <w:name w:val="Tablo Kılavuzu4"/>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1">
    <w:name w:val="Tablo Kılavuzu1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2">
    <w:name w:val="Liste Yok12"/>
    <w:next w:val="NoList"/>
    <w:uiPriority w:val="99"/>
    <w:semiHidden/>
    <w:unhideWhenUsed/>
    <w:rsid w:val="00AE6BCE"/>
  </w:style>
  <w:style w:type="table" w:customStyle="1" w:styleId="TabloKlavuzu21">
    <w:name w:val="Tablo Kılavuzu2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1">
    <w:name w:val="Liste Yok111"/>
    <w:next w:val="NoList"/>
    <w:uiPriority w:val="99"/>
    <w:semiHidden/>
    <w:unhideWhenUsed/>
    <w:rsid w:val="00AE6BCE"/>
  </w:style>
  <w:style w:type="table" w:customStyle="1" w:styleId="TabloKlavuzu31">
    <w:name w:val="Tablo Kılavuzu3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A44A47"/>
    <w:rPr>
      <w:b/>
      <w:bCs/>
    </w:rPr>
  </w:style>
  <w:style w:type="paragraph" w:customStyle="1" w:styleId="KAMKNormal">
    <w:name w:val="KAMKNormal"/>
    <w:basedOn w:val="Normal"/>
    <w:link w:val="KAMKNormalChar"/>
    <w:qFormat/>
    <w:rsid w:val="00BA3D5C"/>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BA3D5C"/>
    <w:rPr>
      <w:rFonts w:ascii="Tahoma" w:hAnsi="Tahoma"/>
      <w:color w:val="000000"/>
      <w:sz w:val="22"/>
      <w:szCs w:val="24"/>
      <w:lang w:val="en-US" w:eastAsia="en-US"/>
    </w:rPr>
  </w:style>
  <w:style w:type="numbering" w:customStyle="1" w:styleId="ListeYok3">
    <w:name w:val="Liste Yok3"/>
    <w:next w:val="NoList"/>
    <w:uiPriority w:val="99"/>
    <w:semiHidden/>
    <w:unhideWhenUsed/>
    <w:rsid w:val="00FE3154"/>
  </w:style>
  <w:style w:type="table" w:customStyle="1" w:styleId="TabloKlavuzu5">
    <w:name w:val="Tablo Kılavuzu5"/>
    <w:basedOn w:val="TableNormal"/>
    <w:next w:val="TableGrid"/>
    <w:uiPriority w:val="3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2">
    <w:name w:val="Tablo Kılavuzu1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3">
    <w:name w:val="Liste Yok13"/>
    <w:next w:val="NoList"/>
    <w:uiPriority w:val="99"/>
    <w:semiHidden/>
    <w:unhideWhenUsed/>
    <w:rsid w:val="00FE3154"/>
  </w:style>
  <w:style w:type="table" w:customStyle="1" w:styleId="TabloKlavuzu22">
    <w:name w:val="Tablo Kılavuzu2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2">
    <w:name w:val="Liste Yok112"/>
    <w:next w:val="NoList"/>
    <w:uiPriority w:val="99"/>
    <w:semiHidden/>
    <w:unhideWhenUsed/>
    <w:rsid w:val="00FE3154"/>
  </w:style>
  <w:style w:type="table" w:customStyle="1" w:styleId="TabloKlavuzu32">
    <w:name w:val="Tablo Kılavuzu3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semiHidden/>
    <w:unhideWhenUsed/>
    <w:rsid w:val="00C40436"/>
    <w:rPr>
      <w:vertAlign w:val="superscript"/>
    </w:rPr>
  </w:style>
  <w:style w:type="character" w:styleId="EndnoteReference">
    <w:name w:val="endnote reference"/>
    <w:basedOn w:val="DefaultParagraphFont"/>
    <w:uiPriority w:val="99"/>
    <w:semiHidden/>
    <w:unhideWhenUsed/>
    <w:rsid w:val="00C40436"/>
    <w:rPr>
      <w:vertAlign w:val="superscript"/>
    </w:rPr>
  </w:style>
  <w:style w:type="table" w:customStyle="1" w:styleId="TabloKlavuzu6">
    <w:name w:val="Tablo Kılavuzu6"/>
    <w:basedOn w:val="TableNormal"/>
    <w:next w:val="TableGrid"/>
    <w:uiPriority w:val="39"/>
    <w:rsid w:val="004D25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39"/>
    <w:rsid w:val="00207C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içindekiler vb Char,Citation List Char,본문(내용) Char,List Paragraph (numbered (a)) Char,List_Paragraph Char,Multilevel para_II Char,List Paragraph1 Char,List Paragraph-ExecSummary Char,Akapit z listą BS Char,Bullets Char"/>
    <w:basedOn w:val="DefaultParagraphFont"/>
    <w:link w:val="ListParagraph"/>
    <w:uiPriority w:val="34"/>
    <w:rsid w:val="00A343FC"/>
    <w:rPr>
      <w:rFonts w:ascii="Times New Roman" w:hAnsi="Times New Roman"/>
      <w:sz w:val="24"/>
      <w:szCs w:val="24"/>
    </w:rPr>
  </w:style>
  <w:style w:type="paragraph" w:customStyle="1" w:styleId="BoxText">
    <w:name w:val="Box Text"/>
    <w:basedOn w:val="BodyText"/>
    <w:link w:val="BoxTextChar"/>
    <w:rsid w:val="003C15FA"/>
    <w:pPr>
      <w:tabs>
        <w:tab w:val="clear" w:pos="0"/>
        <w:tab w:val="clear" w:pos="567"/>
        <w:tab w:val="clear" w:pos="720"/>
      </w:tabs>
    </w:pPr>
    <w:rPr>
      <w:bCs/>
      <w:szCs w:val="20"/>
      <w:lang w:val="en-US" w:eastAsia="en-US"/>
    </w:rPr>
  </w:style>
  <w:style w:type="character" w:customStyle="1" w:styleId="BoxTextChar">
    <w:name w:val="Box Text Char"/>
    <w:basedOn w:val="DefaultParagraphFont"/>
    <w:link w:val="BoxText"/>
    <w:rsid w:val="003C15FA"/>
    <w:rPr>
      <w:rFonts w:ascii="Times New Roman" w:hAnsi="Times New Roman"/>
      <w:bCs/>
      <w:sz w:val="24"/>
      <w:lang w:val="en-US" w:eastAsia="en-US"/>
    </w:rPr>
  </w:style>
  <w:style w:type="character" w:customStyle="1" w:styleId="Bodytext0">
    <w:name w:val="Body text_"/>
    <w:basedOn w:val="DefaultParagraphFont"/>
    <w:link w:val="GvdeMetni2"/>
    <w:rsid w:val="00A24DB3"/>
    <w:rPr>
      <w:rFonts w:ascii="Arial" w:eastAsia="Arial" w:hAnsi="Arial" w:cs="Arial"/>
      <w:sz w:val="21"/>
      <w:szCs w:val="21"/>
      <w:shd w:val="clear" w:color="auto" w:fill="FFFFFF"/>
    </w:rPr>
  </w:style>
  <w:style w:type="character" w:customStyle="1" w:styleId="GvdeMetni1">
    <w:name w:val="Gövde Metni1"/>
    <w:basedOn w:val="Bodytext0"/>
    <w:rsid w:val="00A24DB3"/>
    <w:rPr>
      <w:rFonts w:ascii="Arial" w:eastAsia="Arial" w:hAnsi="Arial" w:cs="Arial"/>
      <w:sz w:val="21"/>
      <w:szCs w:val="21"/>
      <w:shd w:val="clear" w:color="auto" w:fill="FFFFFF"/>
    </w:rPr>
  </w:style>
  <w:style w:type="paragraph" w:customStyle="1" w:styleId="GvdeMetni2">
    <w:name w:val="Gövde Metni2"/>
    <w:basedOn w:val="Normal"/>
    <w:link w:val="Bodytext0"/>
    <w:rsid w:val="00A24DB3"/>
    <w:pPr>
      <w:shd w:val="clear" w:color="auto" w:fill="FFFFFF"/>
      <w:spacing w:before="300" w:after="60" w:line="394" w:lineRule="exact"/>
      <w:jc w:val="both"/>
    </w:pPr>
    <w:rPr>
      <w:rFonts w:ascii="Arial" w:eastAsia="Arial" w:hAnsi="Arial" w:cs="Arial"/>
      <w:sz w:val="21"/>
      <w:szCs w:val="21"/>
    </w:rPr>
  </w:style>
  <w:style w:type="table" w:customStyle="1" w:styleId="TableNormal1">
    <w:name w:val="Table Normal1"/>
    <w:uiPriority w:val="2"/>
    <w:semiHidden/>
    <w:unhideWhenUsed/>
    <w:qFormat/>
    <w:rsid w:val="000C3B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C3B72"/>
    <w:pPr>
      <w:widowControl w:val="0"/>
      <w:autoSpaceDE w:val="0"/>
      <w:autoSpaceDN w:val="0"/>
      <w:jc w:val="right"/>
    </w:pPr>
    <w:rPr>
      <w:sz w:val="22"/>
      <w:szCs w:val="22"/>
      <w:lang w:eastAsia="en-US"/>
    </w:rPr>
  </w:style>
  <w:style w:type="paragraph" w:customStyle="1" w:styleId="RNormal">
    <w:name w:val="RNormal"/>
    <w:basedOn w:val="Normal"/>
    <w:rsid w:val="00AA7C8B"/>
    <w:pPr>
      <w:jc w:val="both"/>
    </w:pPr>
    <w:rPr>
      <w:sz w:val="22"/>
      <w:lang w:val="en-US" w:eastAsia="en-US"/>
    </w:rPr>
  </w:style>
  <w:style w:type="table" w:customStyle="1" w:styleId="TableNormal11">
    <w:name w:val="Table Normal11"/>
    <w:uiPriority w:val="2"/>
    <w:semiHidden/>
    <w:unhideWhenUsed/>
    <w:qFormat/>
    <w:rsid w:val="00194EE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33423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Grid1">
    <w:name w:val="Table Grid1"/>
    <w:basedOn w:val="TableNormal"/>
    <w:next w:val="TableGrid"/>
    <w:uiPriority w:val="39"/>
    <w:rsid w:val="007F3A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rame">
    <w:name w:val="grame"/>
    <w:basedOn w:val="DefaultParagraphFont"/>
    <w:rsid w:val="00915FD0"/>
  </w:style>
  <w:style w:type="character" w:customStyle="1" w:styleId="UnresolvedMention">
    <w:name w:val="Unresolved Mention"/>
    <w:basedOn w:val="DefaultParagraphFont"/>
    <w:uiPriority w:val="99"/>
    <w:semiHidden/>
    <w:unhideWhenUsed/>
    <w:rsid w:val="00915FD0"/>
    <w:rPr>
      <w:color w:val="605E5C"/>
      <w:shd w:val="clear" w:color="auto" w:fill="E1DFDD"/>
    </w:rPr>
  </w:style>
  <w:style w:type="character" w:customStyle="1" w:styleId="ui-provider">
    <w:name w:val="ui-provider"/>
    <w:basedOn w:val="DefaultParagraphFont"/>
    <w:rsid w:val="00915FD0"/>
  </w:style>
  <w:style w:type="paragraph" w:customStyle="1" w:styleId="msonormal0">
    <w:name w:val="msonormal"/>
    <w:basedOn w:val="Normal"/>
    <w:uiPriority w:val="99"/>
    <w:rsid w:val="00BD752A"/>
    <w:pPr>
      <w:spacing w:before="100" w:beforeAutospacing="1" w:after="100" w:afterAutospacing="1"/>
    </w:pPr>
    <w:rPr>
      <w:rFonts w:ascii="Arial Unicode MS" w:eastAsia="Arial Unicode MS" w:cs="Arial Unicode MS"/>
      <w:lang w:val="en-US" w:eastAsia="en-US"/>
    </w:rPr>
  </w:style>
  <w:style w:type="character" w:customStyle="1" w:styleId="BodyChar">
    <w:name w:val="Body Char"/>
    <w:aliases w:val="by Char,BD Char,bd Char"/>
    <w:basedOn w:val="DefaultParagraphFont"/>
    <w:link w:val="Body"/>
    <w:locked/>
    <w:rsid w:val="002736F2"/>
    <w:rPr>
      <w:rFonts w:ascii="Times" w:hAnsi="Times" w:cs="Times"/>
      <w:sz w:val="22"/>
      <w:szCs w:val="22"/>
      <w:lang w:val="en-GB" w:eastAsia="en-US"/>
    </w:rPr>
  </w:style>
  <w:style w:type="paragraph" w:customStyle="1" w:styleId="EYFooterinfo">
    <w:name w:val="EY Footer info"/>
    <w:rsid w:val="007513D1"/>
    <w:pPr>
      <w:spacing w:line="130" w:lineRule="exact"/>
    </w:pPr>
    <w:rPr>
      <w:rFonts w:ascii="Arial" w:hAnsi="Arial"/>
      <w:color w:val="808080"/>
      <w:kern w:val="12"/>
      <w:sz w:val="11"/>
      <w:szCs w:val="24"/>
      <w:lang w:val="en-US" w:eastAsia="en-US"/>
    </w:rPr>
  </w:style>
  <w:style w:type="table" w:customStyle="1" w:styleId="TableGrid2">
    <w:name w:val="Table Grid2"/>
    <w:basedOn w:val="TableNormal"/>
    <w:next w:val="TableGrid"/>
    <w:rsid w:val="007513D1"/>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7513D1"/>
    <w:pPr>
      <w:suppressAutoHyphens/>
      <w:spacing w:line="170" w:lineRule="atLeast"/>
    </w:pPr>
    <w:rPr>
      <w:rFonts w:ascii="Arial" w:hAnsi="Arial"/>
      <w:color w:val="808080"/>
      <w:kern w:val="12"/>
      <w:sz w:val="15"/>
      <w:lang w:val="en-US" w:eastAsia="en-US"/>
    </w:rPr>
  </w:style>
  <w:style w:type="table" w:customStyle="1" w:styleId="TableGrid3">
    <w:name w:val="Table Grid3"/>
    <w:basedOn w:val="TableNormal"/>
    <w:next w:val="TableGrid"/>
    <w:rsid w:val="007513D1"/>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445">
      <w:bodyDiv w:val="1"/>
      <w:marLeft w:val="0"/>
      <w:marRight w:val="0"/>
      <w:marTop w:val="0"/>
      <w:marBottom w:val="0"/>
      <w:divBdr>
        <w:top w:val="none" w:sz="0" w:space="0" w:color="auto"/>
        <w:left w:val="none" w:sz="0" w:space="0" w:color="auto"/>
        <w:bottom w:val="none" w:sz="0" w:space="0" w:color="auto"/>
        <w:right w:val="none" w:sz="0" w:space="0" w:color="auto"/>
      </w:divBdr>
    </w:div>
    <w:div w:id="3015786">
      <w:bodyDiv w:val="1"/>
      <w:marLeft w:val="0"/>
      <w:marRight w:val="0"/>
      <w:marTop w:val="0"/>
      <w:marBottom w:val="0"/>
      <w:divBdr>
        <w:top w:val="none" w:sz="0" w:space="0" w:color="auto"/>
        <w:left w:val="none" w:sz="0" w:space="0" w:color="auto"/>
        <w:bottom w:val="none" w:sz="0" w:space="0" w:color="auto"/>
        <w:right w:val="none" w:sz="0" w:space="0" w:color="auto"/>
      </w:divBdr>
    </w:div>
    <w:div w:id="23753839">
      <w:bodyDiv w:val="1"/>
      <w:marLeft w:val="0"/>
      <w:marRight w:val="0"/>
      <w:marTop w:val="0"/>
      <w:marBottom w:val="0"/>
      <w:divBdr>
        <w:top w:val="none" w:sz="0" w:space="0" w:color="auto"/>
        <w:left w:val="none" w:sz="0" w:space="0" w:color="auto"/>
        <w:bottom w:val="none" w:sz="0" w:space="0" w:color="auto"/>
        <w:right w:val="none" w:sz="0" w:space="0" w:color="auto"/>
      </w:divBdr>
    </w:div>
    <w:div w:id="23873373">
      <w:bodyDiv w:val="1"/>
      <w:marLeft w:val="0"/>
      <w:marRight w:val="0"/>
      <w:marTop w:val="0"/>
      <w:marBottom w:val="0"/>
      <w:divBdr>
        <w:top w:val="none" w:sz="0" w:space="0" w:color="auto"/>
        <w:left w:val="none" w:sz="0" w:space="0" w:color="auto"/>
        <w:bottom w:val="none" w:sz="0" w:space="0" w:color="auto"/>
        <w:right w:val="none" w:sz="0" w:space="0" w:color="auto"/>
      </w:divBdr>
    </w:div>
    <w:div w:id="35787528">
      <w:bodyDiv w:val="1"/>
      <w:marLeft w:val="0"/>
      <w:marRight w:val="0"/>
      <w:marTop w:val="0"/>
      <w:marBottom w:val="0"/>
      <w:divBdr>
        <w:top w:val="none" w:sz="0" w:space="0" w:color="auto"/>
        <w:left w:val="none" w:sz="0" w:space="0" w:color="auto"/>
        <w:bottom w:val="none" w:sz="0" w:space="0" w:color="auto"/>
        <w:right w:val="none" w:sz="0" w:space="0" w:color="auto"/>
      </w:divBdr>
    </w:div>
    <w:div w:id="37097859">
      <w:bodyDiv w:val="1"/>
      <w:marLeft w:val="0"/>
      <w:marRight w:val="0"/>
      <w:marTop w:val="0"/>
      <w:marBottom w:val="0"/>
      <w:divBdr>
        <w:top w:val="none" w:sz="0" w:space="0" w:color="auto"/>
        <w:left w:val="none" w:sz="0" w:space="0" w:color="auto"/>
        <w:bottom w:val="none" w:sz="0" w:space="0" w:color="auto"/>
        <w:right w:val="none" w:sz="0" w:space="0" w:color="auto"/>
      </w:divBdr>
    </w:div>
    <w:div w:id="40904867">
      <w:bodyDiv w:val="1"/>
      <w:marLeft w:val="0"/>
      <w:marRight w:val="0"/>
      <w:marTop w:val="0"/>
      <w:marBottom w:val="0"/>
      <w:divBdr>
        <w:top w:val="none" w:sz="0" w:space="0" w:color="auto"/>
        <w:left w:val="none" w:sz="0" w:space="0" w:color="auto"/>
        <w:bottom w:val="none" w:sz="0" w:space="0" w:color="auto"/>
        <w:right w:val="none" w:sz="0" w:space="0" w:color="auto"/>
      </w:divBdr>
    </w:div>
    <w:div w:id="41099558">
      <w:bodyDiv w:val="1"/>
      <w:marLeft w:val="0"/>
      <w:marRight w:val="0"/>
      <w:marTop w:val="0"/>
      <w:marBottom w:val="0"/>
      <w:divBdr>
        <w:top w:val="none" w:sz="0" w:space="0" w:color="auto"/>
        <w:left w:val="none" w:sz="0" w:space="0" w:color="auto"/>
        <w:bottom w:val="none" w:sz="0" w:space="0" w:color="auto"/>
        <w:right w:val="none" w:sz="0" w:space="0" w:color="auto"/>
      </w:divBdr>
    </w:div>
    <w:div w:id="44182463">
      <w:bodyDiv w:val="1"/>
      <w:marLeft w:val="0"/>
      <w:marRight w:val="0"/>
      <w:marTop w:val="0"/>
      <w:marBottom w:val="0"/>
      <w:divBdr>
        <w:top w:val="none" w:sz="0" w:space="0" w:color="auto"/>
        <w:left w:val="none" w:sz="0" w:space="0" w:color="auto"/>
        <w:bottom w:val="none" w:sz="0" w:space="0" w:color="auto"/>
        <w:right w:val="none" w:sz="0" w:space="0" w:color="auto"/>
      </w:divBdr>
    </w:div>
    <w:div w:id="47075085">
      <w:bodyDiv w:val="1"/>
      <w:marLeft w:val="0"/>
      <w:marRight w:val="0"/>
      <w:marTop w:val="0"/>
      <w:marBottom w:val="0"/>
      <w:divBdr>
        <w:top w:val="none" w:sz="0" w:space="0" w:color="auto"/>
        <w:left w:val="none" w:sz="0" w:space="0" w:color="auto"/>
        <w:bottom w:val="none" w:sz="0" w:space="0" w:color="auto"/>
        <w:right w:val="none" w:sz="0" w:space="0" w:color="auto"/>
      </w:divBdr>
    </w:div>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0541867">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54088959">
      <w:bodyDiv w:val="1"/>
      <w:marLeft w:val="0"/>
      <w:marRight w:val="0"/>
      <w:marTop w:val="0"/>
      <w:marBottom w:val="0"/>
      <w:divBdr>
        <w:top w:val="none" w:sz="0" w:space="0" w:color="auto"/>
        <w:left w:val="none" w:sz="0" w:space="0" w:color="auto"/>
        <w:bottom w:val="none" w:sz="0" w:space="0" w:color="auto"/>
        <w:right w:val="none" w:sz="0" w:space="0" w:color="auto"/>
      </w:divBdr>
    </w:div>
    <w:div w:id="58604031">
      <w:bodyDiv w:val="1"/>
      <w:marLeft w:val="0"/>
      <w:marRight w:val="0"/>
      <w:marTop w:val="0"/>
      <w:marBottom w:val="0"/>
      <w:divBdr>
        <w:top w:val="none" w:sz="0" w:space="0" w:color="auto"/>
        <w:left w:val="none" w:sz="0" w:space="0" w:color="auto"/>
        <w:bottom w:val="none" w:sz="0" w:space="0" w:color="auto"/>
        <w:right w:val="none" w:sz="0" w:space="0" w:color="auto"/>
      </w:divBdr>
    </w:div>
    <w:div w:id="60180089">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2821313">
      <w:bodyDiv w:val="1"/>
      <w:marLeft w:val="0"/>
      <w:marRight w:val="0"/>
      <w:marTop w:val="0"/>
      <w:marBottom w:val="0"/>
      <w:divBdr>
        <w:top w:val="none" w:sz="0" w:space="0" w:color="auto"/>
        <w:left w:val="none" w:sz="0" w:space="0" w:color="auto"/>
        <w:bottom w:val="none" w:sz="0" w:space="0" w:color="auto"/>
        <w:right w:val="none" w:sz="0" w:space="0" w:color="auto"/>
      </w:divBdr>
    </w:div>
    <w:div w:id="74399094">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81418246">
      <w:bodyDiv w:val="1"/>
      <w:marLeft w:val="0"/>
      <w:marRight w:val="0"/>
      <w:marTop w:val="0"/>
      <w:marBottom w:val="0"/>
      <w:divBdr>
        <w:top w:val="none" w:sz="0" w:space="0" w:color="auto"/>
        <w:left w:val="none" w:sz="0" w:space="0" w:color="auto"/>
        <w:bottom w:val="none" w:sz="0" w:space="0" w:color="auto"/>
        <w:right w:val="none" w:sz="0" w:space="0" w:color="auto"/>
      </w:divBdr>
    </w:div>
    <w:div w:id="83655111">
      <w:bodyDiv w:val="1"/>
      <w:marLeft w:val="0"/>
      <w:marRight w:val="0"/>
      <w:marTop w:val="0"/>
      <w:marBottom w:val="0"/>
      <w:divBdr>
        <w:top w:val="none" w:sz="0" w:space="0" w:color="auto"/>
        <w:left w:val="none" w:sz="0" w:space="0" w:color="auto"/>
        <w:bottom w:val="none" w:sz="0" w:space="0" w:color="auto"/>
        <w:right w:val="none" w:sz="0" w:space="0" w:color="auto"/>
      </w:divBdr>
    </w:div>
    <w:div w:id="85272400">
      <w:bodyDiv w:val="1"/>
      <w:marLeft w:val="0"/>
      <w:marRight w:val="0"/>
      <w:marTop w:val="0"/>
      <w:marBottom w:val="0"/>
      <w:divBdr>
        <w:top w:val="none" w:sz="0" w:space="0" w:color="auto"/>
        <w:left w:val="none" w:sz="0" w:space="0" w:color="auto"/>
        <w:bottom w:val="none" w:sz="0" w:space="0" w:color="auto"/>
        <w:right w:val="none" w:sz="0" w:space="0" w:color="auto"/>
      </w:divBdr>
    </w:div>
    <w:div w:id="85619695">
      <w:bodyDiv w:val="1"/>
      <w:marLeft w:val="0"/>
      <w:marRight w:val="0"/>
      <w:marTop w:val="0"/>
      <w:marBottom w:val="0"/>
      <w:divBdr>
        <w:top w:val="none" w:sz="0" w:space="0" w:color="auto"/>
        <w:left w:val="none" w:sz="0" w:space="0" w:color="auto"/>
        <w:bottom w:val="none" w:sz="0" w:space="0" w:color="auto"/>
        <w:right w:val="none" w:sz="0" w:space="0" w:color="auto"/>
      </w:divBdr>
    </w:div>
    <w:div w:id="87120856">
      <w:bodyDiv w:val="1"/>
      <w:marLeft w:val="0"/>
      <w:marRight w:val="0"/>
      <w:marTop w:val="0"/>
      <w:marBottom w:val="0"/>
      <w:divBdr>
        <w:top w:val="none" w:sz="0" w:space="0" w:color="auto"/>
        <w:left w:val="none" w:sz="0" w:space="0" w:color="auto"/>
        <w:bottom w:val="none" w:sz="0" w:space="0" w:color="auto"/>
        <w:right w:val="none" w:sz="0" w:space="0" w:color="auto"/>
      </w:divBdr>
    </w:div>
    <w:div w:id="91512960">
      <w:bodyDiv w:val="1"/>
      <w:marLeft w:val="0"/>
      <w:marRight w:val="0"/>
      <w:marTop w:val="0"/>
      <w:marBottom w:val="0"/>
      <w:divBdr>
        <w:top w:val="none" w:sz="0" w:space="0" w:color="auto"/>
        <w:left w:val="none" w:sz="0" w:space="0" w:color="auto"/>
        <w:bottom w:val="none" w:sz="0" w:space="0" w:color="auto"/>
        <w:right w:val="none" w:sz="0" w:space="0" w:color="auto"/>
      </w:divBdr>
    </w:div>
    <w:div w:id="95635857">
      <w:bodyDiv w:val="1"/>
      <w:marLeft w:val="0"/>
      <w:marRight w:val="0"/>
      <w:marTop w:val="0"/>
      <w:marBottom w:val="0"/>
      <w:divBdr>
        <w:top w:val="none" w:sz="0" w:space="0" w:color="auto"/>
        <w:left w:val="none" w:sz="0" w:space="0" w:color="auto"/>
        <w:bottom w:val="none" w:sz="0" w:space="0" w:color="auto"/>
        <w:right w:val="none" w:sz="0" w:space="0" w:color="auto"/>
      </w:divBdr>
      <w:divsChild>
        <w:div w:id="1583759451">
          <w:marLeft w:val="0"/>
          <w:marRight w:val="0"/>
          <w:marTop w:val="100"/>
          <w:marBottom w:val="100"/>
          <w:divBdr>
            <w:top w:val="none" w:sz="0" w:space="0" w:color="auto"/>
            <w:left w:val="none" w:sz="0" w:space="0" w:color="auto"/>
            <w:bottom w:val="none" w:sz="0" w:space="0" w:color="auto"/>
            <w:right w:val="none" w:sz="0" w:space="0" w:color="auto"/>
          </w:divBdr>
          <w:divsChild>
            <w:div w:id="766732985">
              <w:marLeft w:val="0"/>
              <w:marRight w:val="0"/>
              <w:marTop w:val="0"/>
              <w:marBottom w:val="0"/>
              <w:divBdr>
                <w:top w:val="none" w:sz="0" w:space="0" w:color="auto"/>
                <w:left w:val="none" w:sz="0" w:space="0" w:color="auto"/>
                <w:bottom w:val="none" w:sz="0" w:space="0" w:color="auto"/>
                <w:right w:val="none" w:sz="0" w:space="0" w:color="auto"/>
              </w:divBdr>
              <w:divsChild>
                <w:div w:id="406609597">
                  <w:marLeft w:val="0"/>
                  <w:marRight w:val="0"/>
                  <w:marTop w:val="0"/>
                  <w:marBottom w:val="0"/>
                  <w:divBdr>
                    <w:top w:val="none" w:sz="0" w:space="0" w:color="auto"/>
                    <w:left w:val="none" w:sz="0" w:space="0" w:color="auto"/>
                    <w:bottom w:val="none" w:sz="0" w:space="0" w:color="auto"/>
                    <w:right w:val="none" w:sz="0" w:space="0" w:color="auto"/>
                  </w:divBdr>
                  <w:divsChild>
                    <w:div w:id="14312977">
                      <w:marLeft w:val="0"/>
                      <w:marRight w:val="0"/>
                      <w:marTop w:val="0"/>
                      <w:marBottom w:val="0"/>
                      <w:divBdr>
                        <w:top w:val="none" w:sz="0" w:space="0" w:color="auto"/>
                        <w:left w:val="none" w:sz="0" w:space="0" w:color="auto"/>
                        <w:bottom w:val="none" w:sz="0" w:space="0" w:color="auto"/>
                        <w:right w:val="none" w:sz="0" w:space="0" w:color="auto"/>
                      </w:divBdr>
                      <w:divsChild>
                        <w:div w:id="1977099837">
                          <w:marLeft w:val="0"/>
                          <w:marRight w:val="0"/>
                          <w:marTop w:val="0"/>
                          <w:marBottom w:val="0"/>
                          <w:divBdr>
                            <w:top w:val="none" w:sz="0" w:space="0" w:color="auto"/>
                            <w:left w:val="none" w:sz="0" w:space="0" w:color="auto"/>
                            <w:bottom w:val="none" w:sz="0" w:space="0" w:color="auto"/>
                            <w:right w:val="none" w:sz="0" w:space="0" w:color="auto"/>
                          </w:divBdr>
                          <w:divsChild>
                            <w:div w:id="6538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4448">
      <w:bodyDiv w:val="1"/>
      <w:marLeft w:val="0"/>
      <w:marRight w:val="0"/>
      <w:marTop w:val="0"/>
      <w:marBottom w:val="0"/>
      <w:divBdr>
        <w:top w:val="none" w:sz="0" w:space="0" w:color="auto"/>
        <w:left w:val="none" w:sz="0" w:space="0" w:color="auto"/>
        <w:bottom w:val="none" w:sz="0" w:space="0" w:color="auto"/>
        <w:right w:val="none" w:sz="0" w:space="0" w:color="auto"/>
      </w:divBdr>
    </w:div>
    <w:div w:id="107549772">
      <w:bodyDiv w:val="1"/>
      <w:marLeft w:val="0"/>
      <w:marRight w:val="0"/>
      <w:marTop w:val="0"/>
      <w:marBottom w:val="0"/>
      <w:divBdr>
        <w:top w:val="none" w:sz="0" w:space="0" w:color="auto"/>
        <w:left w:val="none" w:sz="0" w:space="0" w:color="auto"/>
        <w:bottom w:val="none" w:sz="0" w:space="0" w:color="auto"/>
        <w:right w:val="none" w:sz="0" w:space="0" w:color="auto"/>
      </w:divBdr>
    </w:div>
    <w:div w:id="111173007">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17452313">
      <w:bodyDiv w:val="1"/>
      <w:marLeft w:val="0"/>
      <w:marRight w:val="0"/>
      <w:marTop w:val="0"/>
      <w:marBottom w:val="0"/>
      <w:divBdr>
        <w:top w:val="none" w:sz="0" w:space="0" w:color="auto"/>
        <w:left w:val="none" w:sz="0" w:space="0" w:color="auto"/>
        <w:bottom w:val="none" w:sz="0" w:space="0" w:color="auto"/>
        <w:right w:val="none" w:sz="0" w:space="0" w:color="auto"/>
      </w:divBdr>
    </w:div>
    <w:div w:id="121117176">
      <w:bodyDiv w:val="1"/>
      <w:marLeft w:val="0"/>
      <w:marRight w:val="0"/>
      <w:marTop w:val="0"/>
      <w:marBottom w:val="0"/>
      <w:divBdr>
        <w:top w:val="none" w:sz="0" w:space="0" w:color="auto"/>
        <w:left w:val="none" w:sz="0" w:space="0" w:color="auto"/>
        <w:bottom w:val="none" w:sz="0" w:space="0" w:color="auto"/>
        <w:right w:val="none" w:sz="0" w:space="0" w:color="auto"/>
      </w:divBdr>
    </w:div>
    <w:div w:id="129324574">
      <w:bodyDiv w:val="1"/>
      <w:marLeft w:val="0"/>
      <w:marRight w:val="0"/>
      <w:marTop w:val="0"/>
      <w:marBottom w:val="0"/>
      <w:divBdr>
        <w:top w:val="none" w:sz="0" w:space="0" w:color="auto"/>
        <w:left w:val="none" w:sz="0" w:space="0" w:color="auto"/>
        <w:bottom w:val="none" w:sz="0" w:space="0" w:color="auto"/>
        <w:right w:val="none" w:sz="0" w:space="0" w:color="auto"/>
      </w:divBdr>
    </w:div>
    <w:div w:id="138113793">
      <w:bodyDiv w:val="1"/>
      <w:marLeft w:val="0"/>
      <w:marRight w:val="0"/>
      <w:marTop w:val="0"/>
      <w:marBottom w:val="0"/>
      <w:divBdr>
        <w:top w:val="none" w:sz="0" w:space="0" w:color="auto"/>
        <w:left w:val="none" w:sz="0" w:space="0" w:color="auto"/>
        <w:bottom w:val="none" w:sz="0" w:space="0" w:color="auto"/>
        <w:right w:val="none" w:sz="0" w:space="0" w:color="auto"/>
      </w:divBdr>
    </w:div>
    <w:div w:id="140076918">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3279218">
      <w:bodyDiv w:val="1"/>
      <w:marLeft w:val="0"/>
      <w:marRight w:val="0"/>
      <w:marTop w:val="0"/>
      <w:marBottom w:val="0"/>
      <w:divBdr>
        <w:top w:val="none" w:sz="0" w:space="0" w:color="auto"/>
        <w:left w:val="none" w:sz="0" w:space="0" w:color="auto"/>
        <w:bottom w:val="none" w:sz="0" w:space="0" w:color="auto"/>
        <w:right w:val="none" w:sz="0" w:space="0" w:color="auto"/>
      </w:divBdr>
    </w:div>
    <w:div w:id="148061839">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49177969">
      <w:bodyDiv w:val="1"/>
      <w:marLeft w:val="0"/>
      <w:marRight w:val="0"/>
      <w:marTop w:val="0"/>
      <w:marBottom w:val="0"/>
      <w:divBdr>
        <w:top w:val="none" w:sz="0" w:space="0" w:color="auto"/>
        <w:left w:val="none" w:sz="0" w:space="0" w:color="auto"/>
        <w:bottom w:val="none" w:sz="0" w:space="0" w:color="auto"/>
        <w:right w:val="none" w:sz="0" w:space="0" w:color="auto"/>
      </w:divBdr>
    </w:div>
    <w:div w:id="149181912">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50567595">
      <w:bodyDiv w:val="1"/>
      <w:marLeft w:val="0"/>
      <w:marRight w:val="0"/>
      <w:marTop w:val="0"/>
      <w:marBottom w:val="0"/>
      <w:divBdr>
        <w:top w:val="none" w:sz="0" w:space="0" w:color="auto"/>
        <w:left w:val="none" w:sz="0" w:space="0" w:color="auto"/>
        <w:bottom w:val="none" w:sz="0" w:space="0" w:color="auto"/>
        <w:right w:val="none" w:sz="0" w:space="0" w:color="auto"/>
      </w:divBdr>
    </w:div>
    <w:div w:id="151262186">
      <w:bodyDiv w:val="1"/>
      <w:marLeft w:val="0"/>
      <w:marRight w:val="0"/>
      <w:marTop w:val="0"/>
      <w:marBottom w:val="0"/>
      <w:divBdr>
        <w:top w:val="none" w:sz="0" w:space="0" w:color="auto"/>
        <w:left w:val="none" w:sz="0" w:space="0" w:color="auto"/>
        <w:bottom w:val="none" w:sz="0" w:space="0" w:color="auto"/>
        <w:right w:val="none" w:sz="0" w:space="0" w:color="auto"/>
      </w:divBdr>
    </w:div>
    <w:div w:id="153565970">
      <w:bodyDiv w:val="1"/>
      <w:marLeft w:val="0"/>
      <w:marRight w:val="0"/>
      <w:marTop w:val="0"/>
      <w:marBottom w:val="0"/>
      <w:divBdr>
        <w:top w:val="none" w:sz="0" w:space="0" w:color="auto"/>
        <w:left w:val="none" w:sz="0" w:space="0" w:color="auto"/>
        <w:bottom w:val="none" w:sz="0" w:space="0" w:color="auto"/>
        <w:right w:val="none" w:sz="0" w:space="0" w:color="auto"/>
      </w:divBdr>
    </w:div>
    <w:div w:id="159930634">
      <w:bodyDiv w:val="1"/>
      <w:marLeft w:val="0"/>
      <w:marRight w:val="0"/>
      <w:marTop w:val="0"/>
      <w:marBottom w:val="0"/>
      <w:divBdr>
        <w:top w:val="none" w:sz="0" w:space="0" w:color="auto"/>
        <w:left w:val="none" w:sz="0" w:space="0" w:color="auto"/>
        <w:bottom w:val="none" w:sz="0" w:space="0" w:color="auto"/>
        <w:right w:val="none" w:sz="0" w:space="0" w:color="auto"/>
      </w:divBdr>
    </w:div>
    <w:div w:id="160972593">
      <w:bodyDiv w:val="1"/>
      <w:marLeft w:val="0"/>
      <w:marRight w:val="0"/>
      <w:marTop w:val="0"/>
      <w:marBottom w:val="0"/>
      <w:divBdr>
        <w:top w:val="none" w:sz="0" w:space="0" w:color="auto"/>
        <w:left w:val="none" w:sz="0" w:space="0" w:color="auto"/>
        <w:bottom w:val="none" w:sz="0" w:space="0" w:color="auto"/>
        <w:right w:val="none" w:sz="0" w:space="0" w:color="auto"/>
      </w:divBdr>
    </w:div>
    <w:div w:id="161630576">
      <w:bodyDiv w:val="1"/>
      <w:marLeft w:val="0"/>
      <w:marRight w:val="0"/>
      <w:marTop w:val="0"/>
      <w:marBottom w:val="0"/>
      <w:divBdr>
        <w:top w:val="none" w:sz="0" w:space="0" w:color="auto"/>
        <w:left w:val="none" w:sz="0" w:space="0" w:color="auto"/>
        <w:bottom w:val="none" w:sz="0" w:space="0" w:color="auto"/>
        <w:right w:val="none" w:sz="0" w:space="0" w:color="auto"/>
      </w:divBdr>
    </w:div>
    <w:div w:id="166793086">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78281275">
      <w:bodyDiv w:val="1"/>
      <w:marLeft w:val="0"/>
      <w:marRight w:val="0"/>
      <w:marTop w:val="0"/>
      <w:marBottom w:val="0"/>
      <w:divBdr>
        <w:top w:val="none" w:sz="0" w:space="0" w:color="auto"/>
        <w:left w:val="none" w:sz="0" w:space="0" w:color="auto"/>
        <w:bottom w:val="none" w:sz="0" w:space="0" w:color="auto"/>
        <w:right w:val="none" w:sz="0" w:space="0" w:color="auto"/>
      </w:divBdr>
    </w:div>
    <w:div w:id="178324383">
      <w:bodyDiv w:val="1"/>
      <w:marLeft w:val="0"/>
      <w:marRight w:val="0"/>
      <w:marTop w:val="0"/>
      <w:marBottom w:val="0"/>
      <w:divBdr>
        <w:top w:val="none" w:sz="0" w:space="0" w:color="auto"/>
        <w:left w:val="none" w:sz="0" w:space="0" w:color="auto"/>
        <w:bottom w:val="none" w:sz="0" w:space="0" w:color="auto"/>
        <w:right w:val="none" w:sz="0" w:space="0" w:color="auto"/>
      </w:divBdr>
    </w:div>
    <w:div w:id="178736050">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88953527">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16089125">
      <w:bodyDiv w:val="1"/>
      <w:marLeft w:val="0"/>
      <w:marRight w:val="0"/>
      <w:marTop w:val="0"/>
      <w:marBottom w:val="0"/>
      <w:divBdr>
        <w:top w:val="none" w:sz="0" w:space="0" w:color="auto"/>
        <w:left w:val="none" w:sz="0" w:space="0" w:color="auto"/>
        <w:bottom w:val="none" w:sz="0" w:space="0" w:color="auto"/>
        <w:right w:val="none" w:sz="0" w:space="0" w:color="auto"/>
      </w:divBdr>
    </w:div>
    <w:div w:id="216672881">
      <w:bodyDiv w:val="1"/>
      <w:marLeft w:val="0"/>
      <w:marRight w:val="0"/>
      <w:marTop w:val="0"/>
      <w:marBottom w:val="0"/>
      <w:divBdr>
        <w:top w:val="none" w:sz="0" w:space="0" w:color="auto"/>
        <w:left w:val="none" w:sz="0" w:space="0" w:color="auto"/>
        <w:bottom w:val="none" w:sz="0" w:space="0" w:color="auto"/>
        <w:right w:val="none" w:sz="0" w:space="0" w:color="auto"/>
      </w:divBdr>
    </w:div>
    <w:div w:id="225528952">
      <w:bodyDiv w:val="1"/>
      <w:marLeft w:val="0"/>
      <w:marRight w:val="0"/>
      <w:marTop w:val="0"/>
      <w:marBottom w:val="0"/>
      <w:divBdr>
        <w:top w:val="none" w:sz="0" w:space="0" w:color="auto"/>
        <w:left w:val="none" w:sz="0" w:space="0" w:color="auto"/>
        <w:bottom w:val="none" w:sz="0" w:space="0" w:color="auto"/>
        <w:right w:val="none" w:sz="0" w:space="0" w:color="auto"/>
      </w:divBdr>
    </w:div>
    <w:div w:id="229848422">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242566970">
      <w:bodyDiv w:val="1"/>
      <w:marLeft w:val="0"/>
      <w:marRight w:val="0"/>
      <w:marTop w:val="0"/>
      <w:marBottom w:val="0"/>
      <w:divBdr>
        <w:top w:val="none" w:sz="0" w:space="0" w:color="auto"/>
        <w:left w:val="none" w:sz="0" w:space="0" w:color="auto"/>
        <w:bottom w:val="none" w:sz="0" w:space="0" w:color="auto"/>
        <w:right w:val="none" w:sz="0" w:space="0" w:color="auto"/>
      </w:divBdr>
    </w:div>
    <w:div w:id="242908742">
      <w:bodyDiv w:val="1"/>
      <w:marLeft w:val="0"/>
      <w:marRight w:val="0"/>
      <w:marTop w:val="0"/>
      <w:marBottom w:val="0"/>
      <w:divBdr>
        <w:top w:val="none" w:sz="0" w:space="0" w:color="auto"/>
        <w:left w:val="none" w:sz="0" w:space="0" w:color="auto"/>
        <w:bottom w:val="none" w:sz="0" w:space="0" w:color="auto"/>
        <w:right w:val="none" w:sz="0" w:space="0" w:color="auto"/>
      </w:divBdr>
    </w:div>
    <w:div w:id="245503293">
      <w:bodyDiv w:val="1"/>
      <w:marLeft w:val="0"/>
      <w:marRight w:val="0"/>
      <w:marTop w:val="0"/>
      <w:marBottom w:val="0"/>
      <w:divBdr>
        <w:top w:val="none" w:sz="0" w:space="0" w:color="auto"/>
        <w:left w:val="none" w:sz="0" w:space="0" w:color="auto"/>
        <w:bottom w:val="none" w:sz="0" w:space="0" w:color="auto"/>
        <w:right w:val="none" w:sz="0" w:space="0" w:color="auto"/>
      </w:divBdr>
    </w:div>
    <w:div w:id="248850299">
      <w:bodyDiv w:val="1"/>
      <w:marLeft w:val="0"/>
      <w:marRight w:val="0"/>
      <w:marTop w:val="0"/>
      <w:marBottom w:val="0"/>
      <w:divBdr>
        <w:top w:val="none" w:sz="0" w:space="0" w:color="auto"/>
        <w:left w:val="none" w:sz="0" w:space="0" w:color="auto"/>
        <w:bottom w:val="none" w:sz="0" w:space="0" w:color="auto"/>
        <w:right w:val="none" w:sz="0" w:space="0" w:color="auto"/>
      </w:divBdr>
    </w:div>
    <w:div w:id="252981857">
      <w:bodyDiv w:val="1"/>
      <w:marLeft w:val="0"/>
      <w:marRight w:val="0"/>
      <w:marTop w:val="0"/>
      <w:marBottom w:val="0"/>
      <w:divBdr>
        <w:top w:val="none" w:sz="0" w:space="0" w:color="auto"/>
        <w:left w:val="none" w:sz="0" w:space="0" w:color="auto"/>
        <w:bottom w:val="none" w:sz="0" w:space="0" w:color="auto"/>
        <w:right w:val="none" w:sz="0" w:space="0" w:color="auto"/>
      </w:divBdr>
    </w:div>
    <w:div w:id="259064653">
      <w:bodyDiv w:val="1"/>
      <w:marLeft w:val="0"/>
      <w:marRight w:val="0"/>
      <w:marTop w:val="0"/>
      <w:marBottom w:val="0"/>
      <w:divBdr>
        <w:top w:val="none" w:sz="0" w:space="0" w:color="auto"/>
        <w:left w:val="none" w:sz="0" w:space="0" w:color="auto"/>
        <w:bottom w:val="none" w:sz="0" w:space="0" w:color="auto"/>
        <w:right w:val="none" w:sz="0" w:space="0" w:color="auto"/>
      </w:divBdr>
    </w:div>
    <w:div w:id="266811670">
      <w:bodyDiv w:val="1"/>
      <w:marLeft w:val="0"/>
      <w:marRight w:val="0"/>
      <w:marTop w:val="0"/>
      <w:marBottom w:val="0"/>
      <w:divBdr>
        <w:top w:val="none" w:sz="0" w:space="0" w:color="auto"/>
        <w:left w:val="none" w:sz="0" w:space="0" w:color="auto"/>
        <w:bottom w:val="none" w:sz="0" w:space="0" w:color="auto"/>
        <w:right w:val="none" w:sz="0" w:space="0" w:color="auto"/>
      </w:divBdr>
    </w:div>
    <w:div w:id="272396646">
      <w:bodyDiv w:val="1"/>
      <w:marLeft w:val="0"/>
      <w:marRight w:val="0"/>
      <w:marTop w:val="0"/>
      <w:marBottom w:val="0"/>
      <w:divBdr>
        <w:top w:val="none" w:sz="0" w:space="0" w:color="auto"/>
        <w:left w:val="none" w:sz="0" w:space="0" w:color="auto"/>
        <w:bottom w:val="none" w:sz="0" w:space="0" w:color="auto"/>
        <w:right w:val="none" w:sz="0" w:space="0" w:color="auto"/>
      </w:divBdr>
    </w:div>
    <w:div w:id="274531114">
      <w:bodyDiv w:val="1"/>
      <w:marLeft w:val="0"/>
      <w:marRight w:val="0"/>
      <w:marTop w:val="0"/>
      <w:marBottom w:val="0"/>
      <w:divBdr>
        <w:top w:val="none" w:sz="0" w:space="0" w:color="auto"/>
        <w:left w:val="none" w:sz="0" w:space="0" w:color="auto"/>
        <w:bottom w:val="none" w:sz="0" w:space="0" w:color="auto"/>
        <w:right w:val="none" w:sz="0" w:space="0" w:color="auto"/>
      </w:divBdr>
    </w:div>
    <w:div w:id="282079304">
      <w:bodyDiv w:val="1"/>
      <w:marLeft w:val="0"/>
      <w:marRight w:val="0"/>
      <w:marTop w:val="0"/>
      <w:marBottom w:val="0"/>
      <w:divBdr>
        <w:top w:val="none" w:sz="0" w:space="0" w:color="auto"/>
        <w:left w:val="none" w:sz="0" w:space="0" w:color="auto"/>
        <w:bottom w:val="none" w:sz="0" w:space="0" w:color="auto"/>
        <w:right w:val="none" w:sz="0" w:space="0" w:color="auto"/>
      </w:divBdr>
    </w:div>
    <w:div w:id="283389527">
      <w:bodyDiv w:val="1"/>
      <w:marLeft w:val="0"/>
      <w:marRight w:val="0"/>
      <w:marTop w:val="0"/>
      <w:marBottom w:val="0"/>
      <w:divBdr>
        <w:top w:val="none" w:sz="0" w:space="0" w:color="auto"/>
        <w:left w:val="none" w:sz="0" w:space="0" w:color="auto"/>
        <w:bottom w:val="none" w:sz="0" w:space="0" w:color="auto"/>
        <w:right w:val="none" w:sz="0" w:space="0" w:color="auto"/>
      </w:divBdr>
    </w:div>
    <w:div w:id="284316617">
      <w:bodyDiv w:val="1"/>
      <w:marLeft w:val="0"/>
      <w:marRight w:val="0"/>
      <w:marTop w:val="0"/>
      <w:marBottom w:val="0"/>
      <w:divBdr>
        <w:top w:val="none" w:sz="0" w:space="0" w:color="auto"/>
        <w:left w:val="none" w:sz="0" w:space="0" w:color="auto"/>
        <w:bottom w:val="none" w:sz="0" w:space="0" w:color="auto"/>
        <w:right w:val="none" w:sz="0" w:space="0" w:color="auto"/>
      </w:divBdr>
    </w:div>
    <w:div w:id="286811649">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12026669">
      <w:bodyDiv w:val="1"/>
      <w:marLeft w:val="0"/>
      <w:marRight w:val="0"/>
      <w:marTop w:val="0"/>
      <w:marBottom w:val="0"/>
      <w:divBdr>
        <w:top w:val="none" w:sz="0" w:space="0" w:color="auto"/>
        <w:left w:val="none" w:sz="0" w:space="0" w:color="auto"/>
        <w:bottom w:val="none" w:sz="0" w:space="0" w:color="auto"/>
        <w:right w:val="none" w:sz="0" w:space="0" w:color="auto"/>
      </w:divBdr>
    </w:div>
    <w:div w:id="323241647">
      <w:bodyDiv w:val="1"/>
      <w:marLeft w:val="0"/>
      <w:marRight w:val="0"/>
      <w:marTop w:val="0"/>
      <w:marBottom w:val="0"/>
      <w:divBdr>
        <w:top w:val="none" w:sz="0" w:space="0" w:color="auto"/>
        <w:left w:val="none" w:sz="0" w:space="0" w:color="auto"/>
        <w:bottom w:val="none" w:sz="0" w:space="0" w:color="auto"/>
        <w:right w:val="none" w:sz="0" w:space="0" w:color="auto"/>
      </w:divBdr>
    </w:div>
    <w:div w:id="326446672">
      <w:bodyDiv w:val="1"/>
      <w:marLeft w:val="0"/>
      <w:marRight w:val="0"/>
      <w:marTop w:val="0"/>
      <w:marBottom w:val="0"/>
      <w:divBdr>
        <w:top w:val="none" w:sz="0" w:space="0" w:color="auto"/>
        <w:left w:val="none" w:sz="0" w:space="0" w:color="auto"/>
        <w:bottom w:val="none" w:sz="0" w:space="0" w:color="auto"/>
        <w:right w:val="none" w:sz="0" w:space="0" w:color="auto"/>
      </w:divBdr>
    </w:div>
    <w:div w:id="329912682">
      <w:bodyDiv w:val="1"/>
      <w:marLeft w:val="0"/>
      <w:marRight w:val="0"/>
      <w:marTop w:val="0"/>
      <w:marBottom w:val="0"/>
      <w:divBdr>
        <w:top w:val="none" w:sz="0" w:space="0" w:color="auto"/>
        <w:left w:val="none" w:sz="0" w:space="0" w:color="auto"/>
        <w:bottom w:val="none" w:sz="0" w:space="0" w:color="auto"/>
        <w:right w:val="none" w:sz="0" w:space="0" w:color="auto"/>
      </w:divBdr>
    </w:div>
    <w:div w:id="330836104">
      <w:bodyDiv w:val="1"/>
      <w:marLeft w:val="0"/>
      <w:marRight w:val="0"/>
      <w:marTop w:val="0"/>
      <w:marBottom w:val="0"/>
      <w:divBdr>
        <w:top w:val="none" w:sz="0" w:space="0" w:color="auto"/>
        <w:left w:val="none" w:sz="0" w:space="0" w:color="auto"/>
        <w:bottom w:val="none" w:sz="0" w:space="0" w:color="auto"/>
        <w:right w:val="none" w:sz="0" w:space="0" w:color="auto"/>
      </w:divBdr>
    </w:div>
    <w:div w:id="331682982">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6080410">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39817835">
      <w:bodyDiv w:val="1"/>
      <w:marLeft w:val="0"/>
      <w:marRight w:val="0"/>
      <w:marTop w:val="0"/>
      <w:marBottom w:val="0"/>
      <w:divBdr>
        <w:top w:val="none" w:sz="0" w:space="0" w:color="auto"/>
        <w:left w:val="none" w:sz="0" w:space="0" w:color="auto"/>
        <w:bottom w:val="none" w:sz="0" w:space="0" w:color="auto"/>
        <w:right w:val="none" w:sz="0" w:space="0" w:color="auto"/>
      </w:divBdr>
    </w:div>
    <w:div w:id="339936864">
      <w:bodyDiv w:val="1"/>
      <w:marLeft w:val="0"/>
      <w:marRight w:val="0"/>
      <w:marTop w:val="0"/>
      <w:marBottom w:val="0"/>
      <w:divBdr>
        <w:top w:val="none" w:sz="0" w:space="0" w:color="auto"/>
        <w:left w:val="none" w:sz="0" w:space="0" w:color="auto"/>
        <w:bottom w:val="none" w:sz="0" w:space="0" w:color="auto"/>
        <w:right w:val="none" w:sz="0" w:space="0" w:color="auto"/>
      </w:divBdr>
    </w:div>
    <w:div w:id="346062179">
      <w:bodyDiv w:val="1"/>
      <w:marLeft w:val="0"/>
      <w:marRight w:val="0"/>
      <w:marTop w:val="0"/>
      <w:marBottom w:val="0"/>
      <w:divBdr>
        <w:top w:val="none" w:sz="0" w:space="0" w:color="auto"/>
        <w:left w:val="none" w:sz="0" w:space="0" w:color="auto"/>
        <w:bottom w:val="none" w:sz="0" w:space="0" w:color="auto"/>
        <w:right w:val="none" w:sz="0" w:space="0" w:color="auto"/>
      </w:divBdr>
    </w:div>
    <w:div w:id="349453526">
      <w:bodyDiv w:val="1"/>
      <w:marLeft w:val="0"/>
      <w:marRight w:val="0"/>
      <w:marTop w:val="0"/>
      <w:marBottom w:val="0"/>
      <w:divBdr>
        <w:top w:val="none" w:sz="0" w:space="0" w:color="auto"/>
        <w:left w:val="none" w:sz="0" w:space="0" w:color="auto"/>
        <w:bottom w:val="none" w:sz="0" w:space="0" w:color="auto"/>
        <w:right w:val="none" w:sz="0" w:space="0" w:color="auto"/>
      </w:divBdr>
    </w:div>
    <w:div w:id="350255916">
      <w:bodyDiv w:val="1"/>
      <w:marLeft w:val="0"/>
      <w:marRight w:val="0"/>
      <w:marTop w:val="0"/>
      <w:marBottom w:val="0"/>
      <w:divBdr>
        <w:top w:val="none" w:sz="0" w:space="0" w:color="auto"/>
        <w:left w:val="none" w:sz="0" w:space="0" w:color="auto"/>
        <w:bottom w:val="none" w:sz="0" w:space="0" w:color="auto"/>
        <w:right w:val="none" w:sz="0" w:space="0" w:color="auto"/>
      </w:divBdr>
    </w:div>
    <w:div w:id="350686161">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378624931">
      <w:bodyDiv w:val="1"/>
      <w:marLeft w:val="0"/>
      <w:marRight w:val="0"/>
      <w:marTop w:val="0"/>
      <w:marBottom w:val="0"/>
      <w:divBdr>
        <w:top w:val="none" w:sz="0" w:space="0" w:color="auto"/>
        <w:left w:val="none" w:sz="0" w:space="0" w:color="auto"/>
        <w:bottom w:val="none" w:sz="0" w:space="0" w:color="auto"/>
        <w:right w:val="none" w:sz="0" w:space="0" w:color="auto"/>
      </w:divBdr>
    </w:div>
    <w:div w:id="378937778">
      <w:bodyDiv w:val="1"/>
      <w:marLeft w:val="0"/>
      <w:marRight w:val="0"/>
      <w:marTop w:val="0"/>
      <w:marBottom w:val="0"/>
      <w:divBdr>
        <w:top w:val="none" w:sz="0" w:space="0" w:color="auto"/>
        <w:left w:val="none" w:sz="0" w:space="0" w:color="auto"/>
        <w:bottom w:val="none" w:sz="0" w:space="0" w:color="auto"/>
        <w:right w:val="none" w:sz="0" w:space="0" w:color="auto"/>
      </w:divBdr>
    </w:div>
    <w:div w:id="380448911">
      <w:bodyDiv w:val="1"/>
      <w:marLeft w:val="0"/>
      <w:marRight w:val="0"/>
      <w:marTop w:val="0"/>
      <w:marBottom w:val="0"/>
      <w:divBdr>
        <w:top w:val="none" w:sz="0" w:space="0" w:color="auto"/>
        <w:left w:val="none" w:sz="0" w:space="0" w:color="auto"/>
        <w:bottom w:val="none" w:sz="0" w:space="0" w:color="auto"/>
        <w:right w:val="none" w:sz="0" w:space="0" w:color="auto"/>
      </w:divBdr>
    </w:div>
    <w:div w:id="381178267">
      <w:bodyDiv w:val="1"/>
      <w:marLeft w:val="0"/>
      <w:marRight w:val="0"/>
      <w:marTop w:val="0"/>
      <w:marBottom w:val="0"/>
      <w:divBdr>
        <w:top w:val="none" w:sz="0" w:space="0" w:color="auto"/>
        <w:left w:val="none" w:sz="0" w:space="0" w:color="auto"/>
        <w:bottom w:val="none" w:sz="0" w:space="0" w:color="auto"/>
        <w:right w:val="none" w:sz="0" w:space="0" w:color="auto"/>
      </w:divBdr>
    </w:div>
    <w:div w:id="381713874">
      <w:bodyDiv w:val="1"/>
      <w:marLeft w:val="0"/>
      <w:marRight w:val="0"/>
      <w:marTop w:val="0"/>
      <w:marBottom w:val="0"/>
      <w:divBdr>
        <w:top w:val="none" w:sz="0" w:space="0" w:color="auto"/>
        <w:left w:val="none" w:sz="0" w:space="0" w:color="auto"/>
        <w:bottom w:val="none" w:sz="0" w:space="0" w:color="auto"/>
        <w:right w:val="none" w:sz="0" w:space="0" w:color="auto"/>
      </w:divBdr>
    </w:div>
    <w:div w:id="385225623">
      <w:bodyDiv w:val="1"/>
      <w:marLeft w:val="0"/>
      <w:marRight w:val="0"/>
      <w:marTop w:val="0"/>
      <w:marBottom w:val="0"/>
      <w:divBdr>
        <w:top w:val="none" w:sz="0" w:space="0" w:color="auto"/>
        <w:left w:val="none" w:sz="0" w:space="0" w:color="auto"/>
        <w:bottom w:val="none" w:sz="0" w:space="0" w:color="auto"/>
        <w:right w:val="none" w:sz="0" w:space="0" w:color="auto"/>
      </w:divBdr>
    </w:div>
    <w:div w:id="390815705">
      <w:bodyDiv w:val="1"/>
      <w:marLeft w:val="0"/>
      <w:marRight w:val="0"/>
      <w:marTop w:val="0"/>
      <w:marBottom w:val="0"/>
      <w:divBdr>
        <w:top w:val="none" w:sz="0" w:space="0" w:color="auto"/>
        <w:left w:val="none" w:sz="0" w:space="0" w:color="auto"/>
        <w:bottom w:val="none" w:sz="0" w:space="0" w:color="auto"/>
        <w:right w:val="none" w:sz="0" w:space="0" w:color="auto"/>
      </w:divBdr>
    </w:div>
    <w:div w:id="404693750">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07386954">
      <w:bodyDiv w:val="1"/>
      <w:marLeft w:val="0"/>
      <w:marRight w:val="0"/>
      <w:marTop w:val="0"/>
      <w:marBottom w:val="0"/>
      <w:divBdr>
        <w:top w:val="none" w:sz="0" w:space="0" w:color="auto"/>
        <w:left w:val="none" w:sz="0" w:space="0" w:color="auto"/>
        <w:bottom w:val="none" w:sz="0" w:space="0" w:color="auto"/>
        <w:right w:val="none" w:sz="0" w:space="0" w:color="auto"/>
      </w:divBdr>
    </w:div>
    <w:div w:id="415634347">
      <w:bodyDiv w:val="1"/>
      <w:marLeft w:val="0"/>
      <w:marRight w:val="0"/>
      <w:marTop w:val="0"/>
      <w:marBottom w:val="0"/>
      <w:divBdr>
        <w:top w:val="none" w:sz="0" w:space="0" w:color="auto"/>
        <w:left w:val="none" w:sz="0" w:space="0" w:color="auto"/>
        <w:bottom w:val="none" w:sz="0" w:space="0" w:color="auto"/>
        <w:right w:val="none" w:sz="0" w:space="0" w:color="auto"/>
      </w:divBdr>
    </w:div>
    <w:div w:id="425611096">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28505074">
      <w:bodyDiv w:val="1"/>
      <w:marLeft w:val="0"/>
      <w:marRight w:val="0"/>
      <w:marTop w:val="0"/>
      <w:marBottom w:val="0"/>
      <w:divBdr>
        <w:top w:val="none" w:sz="0" w:space="0" w:color="auto"/>
        <w:left w:val="none" w:sz="0" w:space="0" w:color="auto"/>
        <w:bottom w:val="none" w:sz="0" w:space="0" w:color="auto"/>
        <w:right w:val="none" w:sz="0" w:space="0" w:color="auto"/>
      </w:divBdr>
    </w:div>
    <w:div w:id="428548813">
      <w:bodyDiv w:val="1"/>
      <w:marLeft w:val="0"/>
      <w:marRight w:val="0"/>
      <w:marTop w:val="0"/>
      <w:marBottom w:val="0"/>
      <w:divBdr>
        <w:top w:val="none" w:sz="0" w:space="0" w:color="auto"/>
        <w:left w:val="none" w:sz="0" w:space="0" w:color="auto"/>
        <w:bottom w:val="none" w:sz="0" w:space="0" w:color="auto"/>
        <w:right w:val="none" w:sz="0" w:space="0" w:color="auto"/>
      </w:divBdr>
    </w:div>
    <w:div w:id="430246851">
      <w:bodyDiv w:val="1"/>
      <w:marLeft w:val="0"/>
      <w:marRight w:val="0"/>
      <w:marTop w:val="0"/>
      <w:marBottom w:val="0"/>
      <w:divBdr>
        <w:top w:val="none" w:sz="0" w:space="0" w:color="auto"/>
        <w:left w:val="none" w:sz="0" w:space="0" w:color="auto"/>
        <w:bottom w:val="none" w:sz="0" w:space="0" w:color="auto"/>
        <w:right w:val="none" w:sz="0" w:space="0" w:color="auto"/>
      </w:divBdr>
    </w:div>
    <w:div w:id="438646427">
      <w:bodyDiv w:val="1"/>
      <w:marLeft w:val="0"/>
      <w:marRight w:val="0"/>
      <w:marTop w:val="0"/>
      <w:marBottom w:val="0"/>
      <w:divBdr>
        <w:top w:val="none" w:sz="0" w:space="0" w:color="auto"/>
        <w:left w:val="none" w:sz="0" w:space="0" w:color="auto"/>
        <w:bottom w:val="none" w:sz="0" w:space="0" w:color="auto"/>
        <w:right w:val="none" w:sz="0" w:space="0" w:color="auto"/>
      </w:divBdr>
    </w:div>
    <w:div w:id="444740816">
      <w:bodyDiv w:val="1"/>
      <w:marLeft w:val="0"/>
      <w:marRight w:val="0"/>
      <w:marTop w:val="0"/>
      <w:marBottom w:val="0"/>
      <w:divBdr>
        <w:top w:val="none" w:sz="0" w:space="0" w:color="auto"/>
        <w:left w:val="none" w:sz="0" w:space="0" w:color="auto"/>
        <w:bottom w:val="none" w:sz="0" w:space="0" w:color="auto"/>
        <w:right w:val="none" w:sz="0" w:space="0" w:color="auto"/>
      </w:divBdr>
    </w:div>
    <w:div w:id="449935784">
      <w:bodyDiv w:val="1"/>
      <w:marLeft w:val="0"/>
      <w:marRight w:val="0"/>
      <w:marTop w:val="0"/>
      <w:marBottom w:val="0"/>
      <w:divBdr>
        <w:top w:val="none" w:sz="0" w:space="0" w:color="auto"/>
        <w:left w:val="none" w:sz="0" w:space="0" w:color="auto"/>
        <w:bottom w:val="none" w:sz="0" w:space="0" w:color="auto"/>
        <w:right w:val="none" w:sz="0" w:space="0" w:color="auto"/>
      </w:divBdr>
    </w:div>
    <w:div w:id="466779126">
      <w:bodyDiv w:val="1"/>
      <w:marLeft w:val="0"/>
      <w:marRight w:val="0"/>
      <w:marTop w:val="0"/>
      <w:marBottom w:val="0"/>
      <w:divBdr>
        <w:top w:val="none" w:sz="0" w:space="0" w:color="auto"/>
        <w:left w:val="none" w:sz="0" w:space="0" w:color="auto"/>
        <w:bottom w:val="none" w:sz="0" w:space="0" w:color="auto"/>
        <w:right w:val="none" w:sz="0" w:space="0" w:color="auto"/>
      </w:divBdr>
    </w:div>
    <w:div w:id="469398619">
      <w:bodyDiv w:val="1"/>
      <w:marLeft w:val="0"/>
      <w:marRight w:val="0"/>
      <w:marTop w:val="0"/>
      <w:marBottom w:val="0"/>
      <w:divBdr>
        <w:top w:val="none" w:sz="0" w:space="0" w:color="auto"/>
        <w:left w:val="none" w:sz="0" w:space="0" w:color="auto"/>
        <w:bottom w:val="none" w:sz="0" w:space="0" w:color="auto"/>
        <w:right w:val="none" w:sz="0" w:space="0" w:color="auto"/>
      </w:divBdr>
    </w:div>
    <w:div w:id="470445170">
      <w:bodyDiv w:val="1"/>
      <w:marLeft w:val="0"/>
      <w:marRight w:val="0"/>
      <w:marTop w:val="0"/>
      <w:marBottom w:val="0"/>
      <w:divBdr>
        <w:top w:val="none" w:sz="0" w:space="0" w:color="auto"/>
        <w:left w:val="none" w:sz="0" w:space="0" w:color="auto"/>
        <w:bottom w:val="none" w:sz="0" w:space="0" w:color="auto"/>
        <w:right w:val="none" w:sz="0" w:space="0" w:color="auto"/>
      </w:divBdr>
    </w:div>
    <w:div w:id="472521475">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77112633">
      <w:bodyDiv w:val="1"/>
      <w:marLeft w:val="0"/>
      <w:marRight w:val="0"/>
      <w:marTop w:val="0"/>
      <w:marBottom w:val="0"/>
      <w:divBdr>
        <w:top w:val="none" w:sz="0" w:space="0" w:color="auto"/>
        <w:left w:val="none" w:sz="0" w:space="0" w:color="auto"/>
        <w:bottom w:val="none" w:sz="0" w:space="0" w:color="auto"/>
        <w:right w:val="none" w:sz="0" w:space="0" w:color="auto"/>
      </w:divBdr>
    </w:div>
    <w:div w:id="480469560">
      <w:bodyDiv w:val="1"/>
      <w:marLeft w:val="0"/>
      <w:marRight w:val="0"/>
      <w:marTop w:val="0"/>
      <w:marBottom w:val="0"/>
      <w:divBdr>
        <w:top w:val="none" w:sz="0" w:space="0" w:color="auto"/>
        <w:left w:val="none" w:sz="0" w:space="0" w:color="auto"/>
        <w:bottom w:val="none" w:sz="0" w:space="0" w:color="auto"/>
        <w:right w:val="none" w:sz="0" w:space="0" w:color="auto"/>
      </w:divBdr>
    </w:div>
    <w:div w:id="480654491">
      <w:bodyDiv w:val="1"/>
      <w:marLeft w:val="0"/>
      <w:marRight w:val="0"/>
      <w:marTop w:val="0"/>
      <w:marBottom w:val="0"/>
      <w:divBdr>
        <w:top w:val="none" w:sz="0" w:space="0" w:color="auto"/>
        <w:left w:val="none" w:sz="0" w:space="0" w:color="auto"/>
        <w:bottom w:val="none" w:sz="0" w:space="0" w:color="auto"/>
        <w:right w:val="none" w:sz="0" w:space="0" w:color="auto"/>
      </w:divBdr>
    </w:div>
    <w:div w:id="481391314">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497812134">
      <w:bodyDiv w:val="1"/>
      <w:marLeft w:val="0"/>
      <w:marRight w:val="0"/>
      <w:marTop w:val="0"/>
      <w:marBottom w:val="0"/>
      <w:divBdr>
        <w:top w:val="none" w:sz="0" w:space="0" w:color="auto"/>
        <w:left w:val="none" w:sz="0" w:space="0" w:color="auto"/>
        <w:bottom w:val="none" w:sz="0" w:space="0" w:color="auto"/>
        <w:right w:val="none" w:sz="0" w:space="0" w:color="auto"/>
      </w:divBdr>
    </w:div>
    <w:div w:id="502471093">
      <w:bodyDiv w:val="1"/>
      <w:marLeft w:val="0"/>
      <w:marRight w:val="0"/>
      <w:marTop w:val="0"/>
      <w:marBottom w:val="0"/>
      <w:divBdr>
        <w:top w:val="none" w:sz="0" w:space="0" w:color="auto"/>
        <w:left w:val="none" w:sz="0" w:space="0" w:color="auto"/>
        <w:bottom w:val="none" w:sz="0" w:space="0" w:color="auto"/>
        <w:right w:val="none" w:sz="0" w:space="0" w:color="auto"/>
      </w:divBdr>
    </w:div>
    <w:div w:id="502740962">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09954252">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2110944">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22086612">
      <w:bodyDiv w:val="1"/>
      <w:marLeft w:val="0"/>
      <w:marRight w:val="0"/>
      <w:marTop w:val="0"/>
      <w:marBottom w:val="0"/>
      <w:divBdr>
        <w:top w:val="none" w:sz="0" w:space="0" w:color="auto"/>
        <w:left w:val="none" w:sz="0" w:space="0" w:color="auto"/>
        <w:bottom w:val="none" w:sz="0" w:space="0" w:color="auto"/>
        <w:right w:val="none" w:sz="0" w:space="0" w:color="auto"/>
      </w:divBdr>
    </w:div>
    <w:div w:id="524484980">
      <w:bodyDiv w:val="1"/>
      <w:marLeft w:val="0"/>
      <w:marRight w:val="0"/>
      <w:marTop w:val="0"/>
      <w:marBottom w:val="0"/>
      <w:divBdr>
        <w:top w:val="none" w:sz="0" w:space="0" w:color="auto"/>
        <w:left w:val="none" w:sz="0" w:space="0" w:color="auto"/>
        <w:bottom w:val="none" w:sz="0" w:space="0" w:color="auto"/>
        <w:right w:val="none" w:sz="0" w:space="0" w:color="auto"/>
      </w:divBdr>
    </w:div>
    <w:div w:id="526799541">
      <w:bodyDiv w:val="1"/>
      <w:marLeft w:val="0"/>
      <w:marRight w:val="0"/>
      <w:marTop w:val="0"/>
      <w:marBottom w:val="0"/>
      <w:divBdr>
        <w:top w:val="none" w:sz="0" w:space="0" w:color="auto"/>
        <w:left w:val="none" w:sz="0" w:space="0" w:color="auto"/>
        <w:bottom w:val="none" w:sz="0" w:space="0" w:color="auto"/>
        <w:right w:val="none" w:sz="0" w:space="0" w:color="auto"/>
      </w:divBdr>
    </w:div>
    <w:div w:id="528571049">
      <w:bodyDiv w:val="1"/>
      <w:marLeft w:val="0"/>
      <w:marRight w:val="0"/>
      <w:marTop w:val="0"/>
      <w:marBottom w:val="0"/>
      <w:divBdr>
        <w:top w:val="none" w:sz="0" w:space="0" w:color="auto"/>
        <w:left w:val="none" w:sz="0" w:space="0" w:color="auto"/>
        <w:bottom w:val="none" w:sz="0" w:space="0" w:color="auto"/>
        <w:right w:val="none" w:sz="0" w:space="0" w:color="auto"/>
      </w:divBdr>
    </w:div>
    <w:div w:id="531380826">
      <w:bodyDiv w:val="1"/>
      <w:marLeft w:val="0"/>
      <w:marRight w:val="0"/>
      <w:marTop w:val="0"/>
      <w:marBottom w:val="0"/>
      <w:divBdr>
        <w:top w:val="none" w:sz="0" w:space="0" w:color="auto"/>
        <w:left w:val="none" w:sz="0" w:space="0" w:color="auto"/>
        <w:bottom w:val="none" w:sz="0" w:space="0" w:color="auto"/>
        <w:right w:val="none" w:sz="0" w:space="0" w:color="auto"/>
      </w:divBdr>
    </w:div>
    <w:div w:id="532770576">
      <w:bodyDiv w:val="1"/>
      <w:marLeft w:val="0"/>
      <w:marRight w:val="0"/>
      <w:marTop w:val="0"/>
      <w:marBottom w:val="0"/>
      <w:divBdr>
        <w:top w:val="none" w:sz="0" w:space="0" w:color="auto"/>
        <w:left w:val="none" w:sz="0" w:space="0" w:color="auto"/>
        <w:bottom w:val="none" w:sz="0" w:space="0" w:color="auto"/>
        <w:right w:val="none" w:sz="0" w:space="0" w:color="auto"/>
      </w:divBdr>
    </w:div>
    <w:div w:id="533999956">
      <w:bodyDiv w:val="1"/>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1868645">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4216663">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550264358">
      <w:bodyDiv w:val="1"/>
      <w:marLeft w:val="0"/>
      <w:marRight w:val="0"/>
      <w:marTop w:val="0"/>
      <w:marBottom w:val="0"/>
      <w:divBdr>
        <w:top w:val="none" w:sz="0" w:space="0" w:color="auto"/>
        <w:left w:val="none" w:sz="0" w:space="0" w:color="auto"/>
        <w:bottom w:val="none" w:sz="0" w:space="0" w:color="auto"/>
        <w:right w:val="none" w:sz="0" w:space="0" w:color="auto"/>
      </w:divBdr>
    </w:div>
    <w:div w:id="551502574">
      <w:bodyDiv w:val="1"/>
      <w:marLeft w:val="0"/>
      <w:marRight w:val="0"/>
      <w:marTop w:val="0"/>
      <w:marBottom w:val="0"/>
      <w:divBdr>
        <w:top w:val="none" w:sz="0" w:space="0" w:color="auto"/>
        <w:left w:val="none" w:sz="0" w:space="0" w:color="auto"/>
        <w:bottom w:val="none" w:sz="0" w:space="0" w:color="auto"/>
        <w:right w:val="none" w:sz="0" w:space="0" w:color="auto"/>
      </w:divBdr>
    </w:div>
    <w:div w:id="552814711">
      <w:bodyDiv w:val="1"/>
      <w:marLeft w:val="0"/>
      <w:marRight w:val="0"/>
      <w:marTop w:val="0"/>
      <w:marBottom w:val="0"/>
      <w:divBdr>
        <w:top w:val="none" w:sz="0" w:space="0" w:color="auto"/>
        <w:left w:val="none" w:sz="0" w:space="0" w:color="auto"/>
        <w:bottom w:val="none" w:sz="0" w:space="0" w:color="auto"/>
        <w:right w:val="none" w:sz="0" w:space="0" w:color="auto"/>
      </w:divBdr>
    </w:div>
    <w:div w:id="555358494">
      <w:bodyDiv w:val="1"/>
      <w:marLeft w:val="0"/>
      <w:marRight w:val="0"/>
      <w:marTop w:val="0"/>
      <w:marBottom w:val="0"/>
      <w:divBdr>
        <w:top w:val="none" w:sz="0" w:space="0" w:color="auto"/>
        <w:left w:val="none" w:sz="0" w:space="0" w:color="auto"/>
        <w:bottom w:val="none" w:sz="0" w:space="0" w:color="auto"/>
        <w:right w:val="none" w:sz="0" w:space="0" w:color="auto"/>
      </w:divBdr>
    </w:div>
    <w:div w:id="559903695">
      <w:bodyDiv w:val="1"/>
      <w:marLeft w:val="0"/>
      <w:marRight w:val="0"/>
      <w:marTop w:val="0"/>
      <w:marBottom w:val="0"/>
      <w:divBdr>
        <w:top w:val="none" w:sz="0" w:space="0" w:color="auto"/>
        <w:left w:val="none" w:sz="0" w:space="0" w:color="auto"/>
        <w:bottom w:val="none" w:sz="0" w:space="0" w:color="auto"/>
        <w:right w:val="none" w:sz="0" w:space="0" w:color="auto"/>
      </w:divBdr>
    </w:div>
    <w:div w:id="562251919">
      <w:bodyDiv w:val="1"/>
      <w:marLeft w:val="0"/>
      <w:marRight w:val="0"/>
      <w:marTop w:val="0"/>
      <w:marBottom w:val="0"/>
      <w:divBdr>
        <w:top w:val="none" w:sz="0" w:space="0" w:color="auto"/>
        <w:left w:val="none" w:sz="0" w:space="0" w:color="auto"/>
        <w:bottom w:val="none" w:sz="0" w:space="0" w:color="auto"/>
        <w:right w:val="none" w:sz="0" w:space="0" w:color="auto"/>
      </w:divBdr>
    </w:div>
    <w:div w:id="575165025">
      <w:bodyDiv w:val="1"/>
      <w:marLeft w:val="0"/>
      <w:marRight w:val="0"/>
      <w:marTop w:val="0"/>
      <w:marBottom w:val="0"/>
      <w:divBdr>
        <w:top w:val="none" w:sz="0" w:space="0" w:color="auto"/>
        <w:left w:val="none" w:sz="0" w:space="0" w:color="auto"/>
        <w:bottom w:val="none" w:sz="0" w:space="0" w:color="auto"/>
        <w:right w:val="none" w:sz="0" w:space="0" w:color="auto"/>
      </w:divBdr>
    </w:div>
    <w:div w:id="576717202">
      <w:bodyDiv w:val="1"/>
      <w:marLeft w:val="0"/>
      <w:marRight w:val="0"/>
      <w:marTop w:val="0"/>
      <w:marBottom w:val="0"/>
      <w:divBdr>
        <w:top w:val="none" w:sz="0" w:space="0" w:color="auto"/>
        <w:left w:val="none" w:sz="0" w:space="0" w:color="auto"/>
        <w:bottom w:val="none" w:sz="0" w:space="0" w:color="auto"/>
        <w:right w:val="none" w:sz="0" w:space="0" w:color="auto"/>
      </w:divBdr>
    </w:div>
    <w:div w:id="581335398">
      <w:bodyDiv w:val="1"/>
      <w:marLeft w:val="0"/>
      <w:marRight w:val="0"/>
      <w:marTop w:val="0"/>
      <w:marBottom w:val="0"/>
      <w:divBdr>
        <w:top w:val="none" w:sz="0" w:space="0" w:color="auto"/>
        <w:left w:val="none" w:sz="0" w:space="0" w:color="auto"/>
        <w:bottom w:val="none" w:sz="0" w:space="0" w:color="auto"/>
        <w:right w:val="none" w:sz="0" w:space="0" w:color="auto"/>
      </w:divBdr>
    </w:div>
    <w:div w:id="583804149">
      <w:bodyDiv w:val="1"/>
      <w:marLeft w:val="0"/>
      <w:marRight w:val="0"/>
      <w:marTop w:val="0"/>
      <w:marBottom w:val="0"/>
      <w:divBdr>
        <w:top w:val="none" w:sz="0" w:space="0" w:color="auto"/>
        <w:left w:val="none" w:sz="0" w:space="0" w:color="auto"/>
        <w:bottom w:val="none" w:sz="0" w:space="0" w:color="auto"/>
        <w:right w:val="none" w:sz="0" w:space="0" w:color="auto"/>
      </w:divBdr>
    </w:div>
    <w:div w:id="587469013">
      <w:bodyDiv w:val="1"/>
      <w:marLeft w:val="0"/>
      <w:marRight w:val="0"/>
      <w:marTop w:val="0"/>
      <w:marBottom w:val="0"/>
      <w:divBdr>
        <w:top w:val="none" w:sz="0" w:space="0" w:color="auto"/>
        <w:left w:val="none" w:sz="0" w:space="0" w:color="auto"/>
        <w:bottom w:val="none" w:sz="0" w:space="0" w:color="auto"/>
        <w:right w:val="none" w:sz="0" w:space="0" w:color="auto"/>
      </w:divBdr>
    </w:div>
    <w:div w:id="590892639">
      <w:bodyDiv w:val="1"/>
      <w:marLeft w:val="0"/>
      <w:marRight w:val="0"/>
      <w:marTop w:val="0"/>
      <w:marBottom w:val="0"/>
      <w:divBdr>
        <w:top w:val="none" w:sz="0" w:space="0" w:color="auto"/>
        <w:left w:val="none" w:sz="0" w:space="0" w:color="auto"/>
        <w:bottom w:val="none" w:sz="0" w:space="0" w:color="auto"/>
        <w:right w:val="none" w:sz="0" w:space="0" w:color="auto"/>
      </w:divBdr>
    </w:div>
    <w:div w:id="591863094">
      <w:bodyDiv w:val="1"/>
      <w:marLeft w:val="0"/>
      <w:marRight w:val="0"/>
      <w:marTop w:val="0"/>
      <w:marBottom w:val="0"/>
      <w:divBdr>
        <w:top w:val="none" w:sz="0" w:space="0" w:color="auto"/>
        <w:left w:val="none" w:sz="0" w:space="0" w:color="auto"/>
        <w:bottom w:val="none" w:sz="0" w:space="0" w:color="auto"/>
        <w:right w:val="none" w:sz="0" w:space="0" w:color="auto"/>
      </w:divBdr>
    </w:div>
    <w:div w:id="592712033">
      <w:bodyDiv w:val="1"/>
      <w:marLeft w:val="0"/>
      <w:marRight w:val="0"/>
      <w:marTop w:val="0"/>
      <w:marBottom w:val="0"/>
      <w:divBdr>
        <w:top w:val="none" w:sz="0" w:space="0" w:color="auto"/>
        <w:left w:val="none" w:sz="0" w:space="0" w:color="auto"/>
        <w:bottom w:val="none" w:sz="0" w:space="0" w:color="auto"/>
        <w:right w:val="none" w:sz="0" w:space="0" w:color="auto"/>
      </w:divBdr>
    </w:div>
    <w:div w:id="594750577">
      <w:bodyDiv w:val="1"/>
      <w:marLeft w:val="0"/>
      <w:marRight w:val="0"/>
      <w:marTop w:val="0"/>
      <w:marBottom w:val="0"/>
      <w:divBdr>
        <w:top w:val="none" w:sz="0" w:space="0" w:color="auto"/>
        <w:left w:val="none" w:sz="0" w:space="0" w:color="auto"/>
        <w:bottom w:val="none" w:sz="0" w:space="0" w:color="auto"/>
        <w:right w:val="none" w:sz="0" w:space="0" w:color="auto"/>
      </w:divBdr>
    </w:div>
    <w:div w:id="603272979">
      <w:bodyDiv w:val="1"/>
      <w:marLeft w:val="0"/>
      <w:marRight w:val="0"/>
      <w:marTop w:val="0"/>
      <w:marBottom w:val="0"/>
      <w:divBdr>
        <w:top w:val="none" w:sz="0" w:space="0" w:color="auto"/>
        <w:left w:val="none" w:sz="0" w:space="0" w:color="auto"/>
        <w:bottom w:val="none" w:sz="0" w:space="0" w:color="auto"/>
        <w:right w:val="none" w:sz="0" w:space="0" w:color="auto"/>
      </w:divBdr>
    </w:div>
    <w:div w:id="605578716">
      <w:bodyDiv w:val="1"/>
      <w:marLeft w:val="0"/>
      <w:marRight w:val="0"/>
      <w:marTop w:val="0"/>
      <w:marBottom w:val="0"/>
      <w:divBdr>
        <w:top w:val="none" w:sz="0" w:space="0" w:color="auto"/>
        <w:left w:val="none" w:sz="0" w:space="0" w:color="auto"/>
        <w:bottom w:val="none" w:sz="0" w:space="0" w:color="auto"/>
        <w:right w:val="none" w:sz="0" w:space="0" w:color="auto"/>
      </w:divBdr>
    </w:div>
    <w:div w:id="610086640">
      <w:bodyDiv w:val="1"/>
      <w:marLeft w:val="0"/>
      <w:marRight w:val="0"/>
      <w:marTop w:val="0"/>
      <w:marBottom w:val="0"/>
      <w:divBdr>
        <w:top w:val="none" w:sz="0" w:space="0" w:color="auto"/>
        <w:left w:val="none" w:sz="0" w:space="0" w:color="auto"/>
        <w:bottom w:val="none" w:sz="0" w:space="0" w:color="auto"/>
        <w:right w:val="none" w:sz="0" w:space="0" w:color="auto"/>
      </w:divBdr>
    </w:div>
    <w:div w:id="616134881">
      <w:bodyDiv w:val="1"/>
      <w:marLeft w:val="0"/>
      <w:marRight w:val="0"/>
      <w:marTop w:val="0"/>
      <w:marBottom w:val="0"/>
      <w:divBdr>
        <w:top w:val="none" w:sz="0" w:space="0" w:color="auto"/>
        <w:left w:val="none" w:sz="0" w:space="0" w:color="auto"/>
        <w:bottom w:val="none" w:sz="0" w:space="0" w:color="auto"/>
        <w:right w:val="none" w:sz="0" w:space="0" w:color="auto"/>
      </w:divBdr>
    </w:div>
    <w:div w:id="618990857">
      <w:bodyDiv w:val="1"/>
      <w:marLeft w:val="0"/>
      <w:marRight w:val="0"/>
      <w:marTop w:val="0"/>
      <w:marBottom w:val="0"/>
      <w:divBdr>
        <w:top w:val="none" w:sz="0" w:space="0" w:color="auto"/>
        <w:left w:val="none" w:sz="0" w:space="0" w:color="auto"/>
        <w:bottom w:val="none" w:sz="0" w:space="0" w:color="auto"/>
        <w:right w:val="none" w:sz="0" w:space="0" w:color="auto"/>
      </w:divBdr>
    </w:div>
    <w:div w:id="624703393">
      <w:bodyDiv w:val="1"/>
      <w:marLeft w:val="0"/>
      <w:marRight w:val="0"/>
      <w:marTop w:val="0"/>
      <w:marBottom w:val="0"/>
      <w:divBdr>
        <w:top w:val="none" w:sz="0" w:space="0" w:color="auto"/>
        <w:left w:val="none" w:sz="0" w:space="0" w:color="auto"/>
        <w:bottom w:val="none" w:sz="0" w:space="0" w:color="auto"/>
        <w:right w:val="none" w:sz="0" w:space="0" w:color="auto"/>
      </w:divBdr>
    </w:div>
    <w:div w:id="625746220">
      <w:bodyDiv w:val="1"/>
      <w:marLeft w:val="0"/>
      <w:marRight w:val="0"/>
      <w:marTop w:val="0"/>
      <w:marBottom w:val="0"/>
      <w:divBdr>
        <w:top w:val="none" w:sz="0" w:space="0" w:color="auto"/>
        <w:left w:val="none" w:sz="0" w:space="0" w:color="auto"/>
        <w:bottom w:val="none" w:sz="0" w:space="0" w:color="auto"/>
        <w:right w:val="none" w:sz="0" w:space="0" w:color="auto"/>
      </w:divBdr>
    </w:div>
    <w:div w:id="635182281">
      <w:bodyDiv w:val="1"/>
      <w:marLeft w:val="0"/>
      <w:marRight w:val="0"/>
      <w:marTop w:val="0"/>
      <w:marBottom w:val="0"/>
      <w:divBdr>
        <w:top w:val="none" w:sz="0" w:space="0" w:color="auto"/>
        <w:left w:val="none" w:sz="0" w:space="0" w:color="auto"/>
        <w:bottom w:val="none" w:sz="0" w:space="0" w:color="auto"/>
        <w:right w:val="none" w:sz="0" w:space="0" w:color="auto"/>
      </w:divBdr>
    </w:div>
    <w:div w:id="638459933">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45209499">
      <w:bodyDiv w:val="1"/>
      <w:marLeft w:val="0"/>
      <w:marRight w:val="0"/>
      <w:marTop w:val="0"/>
      <w:marBottom w:val="0"/>
      <w:divBdr>
        <w:top w:val="none" w:sz="0" w:space="0" w:color="auto"/>
        <w:left w:val="none" w:sz="0" w:space="0" w:color="auto"/>
        <w:bottom w:val="none" w:sz="0" w:space="0" w:color="auto"/>
        <w:right w:val="none" w:sz="0" w:space="0" w:color="auto"/>
      </w:divBdr>
    </w:div>
    <w:div w:id="645595570">
      <w:bodyDiv w:val="1"/>
      <w:marLeft w:val="0"/>
      <w:marRight w:val="0"/>
      <w:marTop w:val="0"/>
      <w:marBottom w:val="0"/>
      <w:divBdr>
        <w:top w:val="none" w:sz="0" w:space="0" w:color="auto"/>
        <w:left w:val="none" w:sz="0" w:space="0" w:color="auto"/>
        <w:bottom w:val="none" w:sz="0" w:space="0" w:color="auto"/>
        <w:right w:val="none" w:sz="0" w:space="0" w:color="auto"/>
      </w:divBdr>
    </w:div>
    <w:div w:id="652297529">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53028776">
      <w:bodyDiv w:val="1"/>
      <w:marLeft w:val="0"/>
      <w:marRight w:val="0"/>
      <w:marTop w:val="0"/>
      <w:marBottom w:val="0"/>
      <w:divBdr>
        <w:top w:val="none" w:sz="0" w:space="0" w:color="auto"/>
        <w:left w:val="none" w:sz="0" w:space="0" w:color="auto"/>
        <w:bottom w:val="none" w:sz="0" w:space="0" w:color="auto"/>
        <w:right w:val="none" w:sz="0" w:space="0" w:color="auto"/>
      </w:divBdr>
    </w:div>
    <w:div w:id="658116357">
      <w:bodyDiv w:val="1"/>
      <w:marLeft w:val="0"/>
      <w:marRight w:val="0"/>
      <w:marTop w:val="0"/>
      <w:marBottom w:val="0"/>
      <w:divBdr>
        <w:top w:val="none" w:sz="0" w:space="0" w:color="auto"/>
        <w:left w:val="none" w:sz="0" w:space="0" w:color="auto"/>
        <w:bottom w:val="none" w:sz="0" w:space="0" w:color="auto"/>
        <w:right w:val="none" w:sz="0" w:space="0" w:color="auto"/>
      </w:divBdr>
    </w:div>
    <w:div w:id="664937220">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69986354">
      <w:bodyDiv w:val="1"/>
      <w:marLeft w:val="0"/>
      <w:marRight w:val="0"/>
      <w:marTop w:val="0"/>
      <w:marBottom w:val="0"/>
      <w:divBdr>
        <w:top w:val="none" w:sz="0" w:space="0" w:color="auto"/>
        <w:left w:val="none" w:sz="0" w:space="0" w:color="auto"/>
        <w:bottom w:val="none" w:sz="0" w:space="0" w:color="auto"/>
        <w:right w:val="none" w:sz="0" w:space="0" w:color="auto"/>
      </w:divBdr>
    </w:div>
    <w:div w:id="676537819">
      <w:bodyDiv w:val="1"/>
      <w:marLeft w:val="0"/>
      <w:marRight w:val="0"/>
      <w:marTop w:val="0"/>
      <w:marBottom w:val="0"/>
      <w:divBdr>
        <w:top w:val="none" w:sz="0" w:space="0" w:color="auto"/>
        <w:left w:val="none" w:sz="0" w:space="0" w:color="auto"/>
        <w:bottom w:val="none" w:sz="0" w:space="0" w:color="auto"/>
        <w:right w:val="none" w:sz="0" w:space="0" w:color="auto"/>
      </w:divBdr>
    </w:div>
    <w:div w:id="679702526">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87292609">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00741189">
      <w:bodyDiv w:val="1"/>
      <w:marLeft w:val="0"/>
      <w:marRight w:val="0"/>
      <w:marTop w:val="0"/>
      <w:marBottom w:val="0"/>
      <w:divBdr>
        <w:top w:val="none" w:sz="0" w:space="0" w:color="auto"/>
        <w:left w:val="none" w:sz="0" w:space="0" w:color="auto"/>
        <w:bottom w:val="none" w:sz="0" w:space="0" w:color="auto"/>
        <w:right w:val="none" w:sz="0" w:space="0" w:color="auto"/>
      </w:divBdr>
    </w:div>
    <w:div w:id="710765719">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21900524">
      <w:bodyDiv w:val="1"/>
      <w:marLeft w:val="0"/>
      <w:marRight w:val="0"/>
      <w:marTop w:val="0"/>
      <w:marBottom w:val="0"/>
      <w:divBdr>
        <w:top w:val="none" w:sz="0" w:space="0" w:color="auto"/>
        <w:left w:val="none" w:sz="0" w:space="0" w:color="auto"/>
        <w:bottom w:val="none" w:sz="0" w:space="0" w:color="auto"/>
        <w:right w:val="none" w:sz="0" w:space="0" w:color="auto"/>
      </w:divBdr>
    </w:div>
    <w:div w:id="722876715">
      <w:bodyDiv w:val="1"/>
      <w:marLeft w:val="0"/>
      <w:marRight w:val="0"/>
      <w:marTop w:val="0"/>
      <w:marBottom w:val="0"/>
      <w:divBdr>
        <w:top w:val="none" w:sz="0" w:space="0" w:color="auto"/>
        <w:left w:val="none" w:sz="0" w:space="0" w:color="auto"/>
        <w:bottom w:val="none" w:sz="0" w:space="0" w:color="auto"/>
        <w:right w:val="none" w:sz="0" w:space="0" w:color="auto"/>
      </w:divBdr>
    </w:div>
    <w:div w:id="728959052">
      <w:bodyDiv w:val="1"/>
      <w:marLeft w:val="0"/>
      <w:marRight w:val="0"/>
      <w:marTop w:val="0"/>
      <w:marBottom w:val="0"/>
      <w:divBdr>
        <w:top w:val="none" w:sz="0" w:space="0" w:color="auto"/>
        <w:left w:val="none" w:sz="0" w:space="0" w:color="auto"/>
        <w:bottom w:val="none" w:sz="0" w:space="0" w:color="auto"/>
        <w:right w:val="none" w:sz="0" w:space="0" w:color="auto"/>
      </w:divBdr>
    </w:div>
    <w:div w:id="733625919">
      <w:bodyDiv w:val="1"/>
      <w:marLeft w:val="0"/>
      <w:marRight w:val="0"/>
      <w:marTop w:val="0"/>
      <w:marBottom w:val="0"/>
      <w:divBdr>
        <w:top w:val="none" w:sz="0" w:space="0" w:color="auto"/>
        <w:left w:val="none" w:sz="0" w:space="0" w:color="auto"/>
        <w:bottom w:val="none" w:sz="0" w:space="0" w:color="auto"/>
        <w:right w:val="none" w:sz="0" w:space="0" w:color="auto"/>
      </w:divBdr>
    </w:div>
    <w:div w:id="734397858">
      <w:bodyDiv w:val="1"/>
      <w:marLeft w:val="0"/>
      <w:marRight w:val="0"/>
      <w:marTop w:val="0"/>
      <w:marBottom w:val="0"/>
      <w:divBdr>
        <w:top w:val="none" w:sz="0" w:space="0" w:color="auto"/>
        <w:left w:val="none" w:sz="0" w:space="0" w:color="auto"/>
        <w:bottom w:val="none" w:sz="0" w:space="0" w:color="auto"/>
        <w:right w:val="none" w:sz="0" w:space="0" w:color="auto"/>
      </w:divBdr>
    </w:div>
    <w:div w:id="736123825">
      <w:bodyDiv w:val="1"/>
      <w:marLeft w:val="0"/>
      <w:marRight w:val="0"/>
      <w:marTop w:val="0"/>
      <w:marBottom w:val="0"/>
      <w:divBdr>
        <w:top w:val="none" w:sz="0" w:space="0" w:color="auto"/>
        <w:left w:val="none" w:sz="0" w:space="0" w:color="auto"/>
        <w:bottom w:val="none" w:sz="0" w:space="0" w:color="auto"/>
        <w:right w:val="none" w:sz="0" w:space="0" w:color="auto"/>
      </w:divBdr>
    </w:div>
    <w:div w:id="737174433">
      <w:bodyDiv w:val="1"/>
      <w:marLeft w:val="0"/>
      <w:marRight w:val="0"/>
      <w:marTop w:val="0"/>
      <w:marBottom w:val="0"/>
      <w:divBdr>
        <w:top w:val="none" w:sz="0" w:space="0" w:color="auto"/>
        <w:left w:val="none" w:sz="0" w:space="0" w:color="auto"/>
        <w:bottom w:val="none" w:sz="0" w:space="0" w:color="auto"/>
        <w:right w:val="none" w:sz="0" w:space="0" w:color="auto"/>
      </w:divBdr>
    </w:div>
    <w:div w:id="737363492">
      <w:bodyDiv w:val="1"/>
      <w:marLeft w:val="0"/>
      <w:marRight w:val="0"/>
      <w:marTop w:val="0"/>
      <w:marBottom w:val="0"/>
      <w:divBdr>
        <w:top w:val="none" w:sz="0" w:space="0" w:color="auto"/>
        <w:left w:val="none" w:sz="0" w:space="0" w:color="auto"/>
        <w:bottom w:val="none" w:sz="0" w:space="0" w:color="auto"/>
        <w:right w:val="none" w:sz="0" w:space="0" w:color="auto"/>
      </w:divBdr>
    </w:div>
    <w:div w:id="746878972">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5175554">
      <w:bodyDiv w:val="1"/>
      <w:marLeft w:val="0"/>
      <w:marRight w:val="0"/>
      <w:marTop w:val="0"/>
      <w:marBottom w:val="0"/>
      <w:divBdr>
        <w:top w:val="none" w:sz="0" w:space="0" w:color="auto"/>
        <w:left w:val="none" w:sz="0" w:space="0" w:color="auto"/>
        <w:bottom w:val="none" w:sz="0" w:space="0" w:color="auto"/>
        <w:right w:val="none" w:sz="0" w:space="0" w:color="auto"/>
      </w:divBdr>
    </w:div>
    <w:div w:id="761678937">
      <w:bodyDiv w:val="1"/>
      <w:marLeft w:val="0"/>
      <w:marRight w:val="0"/>
      <w:marTop w:val="0"/>
      <w:marBottom w:val="0"/>
      <w:divBdr>
        <w:top w:val="none" w:sz="0" w:space="0" w:color="auto"/>
        <w:left w:val="none" w:sz="0" w:space="0" w:color="auto"/>
        <w:bottom w:val="none" w:sz="0" w:space="0" w:color="auto"/>
        <w:right w:val="none" w:sz="0" w:space="0" w:color="auto"/>
      </w:divBdr>
    </w:div>
    <w:div w:id="764764215">
      <w:bodyDiv w:val="1"/>
      <w:marLeft w:val="0"/>
      <w:marRight w:val="0"/>
      <w:marTop w:val="0"/>
      <w:marBottom w:val="0"/>
      <w:divBdr>
        <w:top w:val="none" w:sz="0" w:space="0" w:color="auto"/>
        <w:left w:val="none" w:sz="0" w:space="0" w:color="auto"/>
        <w:bottom w:val="none" w:sz="0" w:space="0" w:color="auto"/>
        <w:right w:val="none" w:sz="0" w:space="0" w:color="auto"/>
      </w:divBdr>
    </w:div>
    <w:div w:id="771634246">
      <w:bodyDiv w:val="1"/>
      <w:marLeft w:val="0"/>
      <w:marRight w:val="0"/>
      <w:marTop w:val="0"/>
      <w:marBottom w:val="0"/>
      <w:divBdr>
        <w:top w:val="none" w:sz="0" w:space="0" w:color="auto"/>
        <w:left w:val="none" w:sz="0" w:space="0" w:color="auto"/>
        <w:bottom w:val="none" w:sz="0" w:space="0" w:color="auto"/>
        <w:right w:val="none" w:sz="0" w:space="0" w:color="auto"/>
      </w:divBdr>
    </w:div>
    <w:div w:id="774010868">
      <w:bodyDiv w:val="1"/>
      <w:marLeft w:val="0"/>
      <w:marRight w:val="0"/>
      <w:marTop w:val="0"/>
      <w:marBottom w:val="0"/>
      <w:divBdr>
        <w:top w:val="none" w:sz="0" w:space="0" w:color="auto"/>
        <w:left w:val="none" w:sz="0" w:space="0" w:color="auto"/>
        <w:bottom w:val="none" w:sz="0" w:space="0" w:color="auto"/>
        <w:right w:val="none" w:sz="0" w:space="0" w:color="auto"/>
      </w:divBdr>
    </w:div>
    <w:div w:id="774717059">
      <w:bodyDiv w:val="1"/>
      <w:marLeft w:val="0"/>
      <w:marRight w:val="0"/>
      <w:marTop w:val="0"/>
      <w:marBottom w:val="0"/>
      <w:divBdr>
        <w:top w:val="none" w:sz="0" w:space="0" w:color="auto"/>
        <w:left w:val="none" w:sz="0" w:space="0" w:color="auto"/>
        <w:bottom w:val="none" w:sz="0" w:space="0" w:color="auto"/>
        <w:right w:val="none" w:sz="0" w:space="0" w:color="auto"/>
      </w:divBdr>
    </w:div>
    <w:div w:id="775372440">
      <w:bodyDiv w:val="1"/>
      <w:marLeft w:val="0"/>
      <w:marRight w:val="0"/>
      <w:marTop w:val="0"/>
      <w:marBottom w:val="0"/>
      <w:divBdr>
        <w:top w:val="none" w:sz="0" w:space="0" w:color="auto"/>
        <w:left w:val="none" w:sz="0" w:space="0" w:color="auto"/>
        <w:bottom w:val="none" w:sz="0" w:space="0" w:color="auto"/>
        <w:right w:val="none" w:sz="0" w:space="0" w:color="auto"/>
      </w:divBdr>
    </w:div>
    <w:div w:id="776753458">
      <w:bodyDiv w:val="1"/>
      <w:marLeft w:val="0"/>
      <w:marRight w:val="0"/>
      <w:marTop w:val="0"/>
      <w:marBottom w:val="0"/>
      <w:divBdr>
        <w:top w:val="none" w:sz="0" w:space="0" w:color="auto"/>
        <w:left w:val="none" w:sz="0" w:space="0" w:color="auto"/>
        <w:bottom w:val="none" w:sz="0" w:space="0" w:color="auto"/>
        <w:right w:val="none" w:sz="0" w:space="0" w:color="auto"/>
      </w:divBdr>
    </w:div>
    <w:div w:id="777070332">
      <w:bodyDiv w:val="1"/>
      <w:marLeft w:val="0"/>
      <w:marRight w:val="0"/>
      <w:marTop w:val="0"/>
      <w:marBottom w:val="0"/>
      <w:divBdr>
        <w:top w:val="none" w:sz="0" w:space="0" w:color="auto"/>
        <w:left w:val="none" w:sz="0" w:space="0" w:color="auto"/>
        <w:bottom w:val="none" w:sz="0" w:space="0" w:color="auto"/>
        <w:right w:val="none" w:sz="0" w:space="0" w:color="auto"/>
      </w:divBdr>
    </w:div>
    <w:div w:id="779839712">
      <w:bodyDiv w:val="1"/>
      <w:marLeft w:val="0"/>
      <w:marRight w:val="0"/>
      <w:marTop w:val="0"/>
      <w:marBottom w:val="0"/>
      <w:divBdr>
        <w:top w:val="none" w:sz="0" w:space="0" w:color="auto"/>
        <w:left w:val="none" w:sz="0" w:space="0" w:color="auto"/>
        <w:bottom w:val="none" w:sz="0" w:space="0" w:color="auto"/>
        <w:right w:val="none" w:sz="0" w:space="0" w:color="auto"/>
      </w:divBdr>
    </w:div>
    <w:div w:id="784235939">
      <w:bodyDiv w:val="1"/>
      <w:marLeft w:val="0"/>
      <w:marRight w:val="0"/>
      <w:marTop w:val="0"/>
      <w:marBottom w:val="0"/>
      <w:divBdr>
        <w:top w:val="none" w:sz="0" w:space="0" w:color="auto"/>
        <w:left w:val="none" w:sz="0" w:space="0" w:color="auto"/>
        <w:bottom w:val="none" w:sz="0" w:space="0" w:color="auto"/>
        <w:right w:val="none" w:sz="0" w:space="0" w:color="auto"/>
      </w:divBdr>
    </w:div>
    <w:div w:id="784470767">
      <w:bodyDiv w:val="1"/>
      <w:marLeft w:val="0"/>
      <w:marRight w:val="0"/>
      <w:marTop w:val="0"/>
      <w:marBottom w:val="0"/>
      <w:divBdr>
        <w:top w:val="none" w:sz="0" w:space="0" w:color="auto"/>
        <w:left w:val="none" w:sz="0" w:space="0" w:color="auto"/>
        <w:bottom w:val="none" w:sz="0" w:space="0" w:color="auto"/>
        <w:right w:val="none" w:sz="0" w:space="0" w:color="auto"/>
      </w:divBdr>
    </w:div>
    <w:div w:id="78670456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801771235">
      <w:bodyDiv w:val="1"/>
      <w:marLeft w:val="0"/>
      <w:marRight w:val="0"/>
      <w:marTop w:val="0"/>
      <w:marBottom w:val="0"/>
      <w:divBdr>
        <w:top w:val="none" w:sz="0" w:space="0" w:color="auto"/>
        <w:left w:val="none" w:sz="0" w:space="0" w:color="auto"/>
        <w:bottom w:val="none" w:sz="0" w:space="0" w:color="auto"/>
        <w:right w:val="none" w:sz="0" w:space="0" w:color="auto"/>
      </w:divBdr>
    </w:div>
    <w:div w:id="801924894">
      <w:bodyDiv w:val="1"/>
      <w:marLeft w:val="0"/>
      <w:marRight w:val="0"/>
      <w:marTop w:val="0"/>
      <w:marBottom w:val="0"/>
      <w:divBdr>
        <w:top w:val="none" w:sz="0" w:space="0" w:color="auto"/>
        <w:left w:val="none" w:sz="0" w:space="0" w:color="auto"/>
        <w:bottom w:val="none" w:sz="0" w:space="0" w:color="auto"/>
        <w:right w:val="none" w:sz="0" w:space="0" w:color="auto"/>
      </w:divBdr>
    </w:div>
    <w:div w:id="804080725">
      <w:bodyDiv w:val="1"/>
      <w:marLeft w:val="0"/>
      <w:marRight w:val="0"/>
      <w:marTop w:val="0"/>
      <w:marBottom w:val="0"/>
      <w:divBdr>
        <w:top w:val="none" w:sz="0" w:space="0" w:color="auto"/>
        <w:left w:val="none" w:sz="0" w:space="0" w:color="auto"/>
        <w:bottom w:val="none" w:sz="0" w:space="0" w:color="auto"/>
        <w:right w:val="none" w:sz="0" w:space="0" w:color="auto"/>
      </w:divBdr>
    </w:div>
    <w:div w:id="806896695">
      <w:bodyDiv w:val="1"/>
      <w:marLeft w:val="0"/>
      <w:marRight w:val="0"/>
      <w:marTop w:val="0"/>
      <w:marBottom w:val="0"/>
      <w:divBdr>
        <w:top w:val="none" w:sz="0" w:space="0" w:color="auto"/>
        <w:left w:val="none" w:sz="0" w:space="0" w:color="auto"/>
        <w:bottom w:val="none" w:sz="0" w:space="0" w:color="auto"/>
        <w:right w:val="none" w:sz="0" w:space="0" w:color="auto"/>
      </w:divBdr>
    </w:div>
    <w:div w:id="808061616">
      <w:bodyDiv w:val="1"/>
      <w:marLeft w:val="0"/>
      <w:marRight w:val="0"/>
      <w:marTop w:val="0"/>
      <w:marBottom w:val="0"/>
      <w:divBdr>
        <w:top w:val="none" w:sz="0" w:space="0" w:color="auto"/>
        <w:left w:val="none" w:sz="0" w:space="0" w:color="auto"/>
        <w:bottom w:val="none" w:sz="0" w:space="0" w:color="auto"/>
        <w:right w:val="none" w:sz="0" w:space="0" w:color="auto"/>
      </w:divBdr>
    </w:div>
    <w:div w:id="808400565">
      <w:bodyDiv w:val="1"/>
      <w:marLeft w:val="0"/>
      <w:marRight w:val="0"/>
      <w:marTop w:val="0"/>
      <w:marBottom w:val="0"/>
      <w:divBdr>
        <w:top w:val="none" w:sz="0" w:space="0" w:color="auto"/>
        <w:left w:val="none" w:sz="0" w:space="0" w:color="auto"/>
        <w:bottom w:val="none" w:sz="0" w:space="0" w:color="auto"/>
        <w:right w:val="none" w:sz="0" w:space="0" w:color="auto"/>
      </w:divBdr>
    </w:div>
    <w:div w:id="811413374">
      <w:bodyDiv w:val="1"/>
      <w:marLeft w:val="0"/>
      <w:marRight w:val="0"/>
      <w:marTop w:val="0"/>
      <w:marBottom w:val="0"/>
      <w:divBdr>
        <w:top w:val="none" w:sz="0" w:space="0" w:color="auto"/>
        <w:left w:val="none" w:sz="0" w:space="0" w:color="auto"/>
        <w:bottom w:val="none" w:sz="0" w:space="0" w:color="auto"/>
        <w:right w:val="none" w:sz="0" w:space="0" w:color="auto"/>
      </w:divBdr>
    </w:div>
    <w:div w:id="815340565">
      <w:bodyDiv w:val="1"/>
      <w:marLeft w:val="0"/>
      <w:marRight w:val="0"/>
      <w:marTop w:val="0"/>
      <w:marBottom w:val="0"/>
      <w:divBdr>
        <w:top w:val="none" w:sz="0" w:space="0" w:color="auto"/>
        <w:left w:val="none" w:sz="0" w:space="0" w:color="auto"/>
        <w:bottom w:val="none" w:sz="0" w:space="0" w:color="auto"/>
        <w:right w:val="none" w:sz="0" w:space="0" w:color="auto"/>
      </w:divBdr>
    </w:div>
    <w:div w:id="819074440">
      <w:bodyDiv w:val="1"/>
      <w:marLeft w:val="0"/>
      <w:marRight w:val="0"/>
      <w:marTop w:val="0"/>
      <w:marBottom w:val="0"/>
      <w:divBdr>
        <w:top w:val="none" w:sz="0" w:space="0" w:color="auto"/>
        <w:left w:val="none" w:sz="0" w:space="0" w:color="auto"/>
        <w:bottom w:val="none" w:sz="0" w:space="0" w:color="auto"/>
        <w:right w:val="none" w:sz="0" w:space="0" w:color="auto"/>
      </w:divBdr>
    </w:div>
    <w:div w:id="820344904">
      <w:bodyDiv w:val="1"/>
      <w:marLeft w:val="0"/>
      <w:marRight w:val="0"/>
      <w:marTop w:val="0"/>
      <w:marBottom w:val="0"/>
      <w:divBdr>
        <w:top w:val="none" w:sz="0" w:space="0" w:color="auto"/>
        <w:left w:val="none" w:sz="0" w:space="0" w:color="auto"/>
        <w:bottom w:val="none" w:sz="0" w:space="0" w:color="auto"/>
        <w:right w:val="none" w:sz="0" w:space="0" w:color="auto"/>
      </w:divBdr>
    </w:div>
    <w:div w:id="825048272">
      <w:bodyDiv w:val="1"/>
      <w:marLeft w:val="0"/>
      <w:marRight w:val="0"/>
      <w:marTop w:val="0"/>
      <w:marBottom w:val="0"/>
      <w:divBdr>
        <w:top w:val="none" w:sz="0" w:space="0" w:color="auto"/>
        <w:left w:val="none" w:sz="0" w:space="0" w:color="auto"/>
        <w:bottom w:val="none" w:sz="0" w:space="0" w:color="auto"/>
        <w:right w:val="none" w:sz="0" w:space="0" w:color="auto"/>
      </w:divBdr>
    </w:div>
    <w:div w:id="825704125">
      <w:bodyDiv w:val="1"/>
      <w:marLeft w:val="0"/>
      <w:marRight w:val="0"/>
      <w:marTop w:val="0"/>
      <w:marBottom w:val="0"/>
      <w:divBdr>
        <w:top w:val="none" w:sz="0" w:space="0" w:color="auto"/>
        <w:left w:val="none" w:sz="0" w:space="0" w:color="auto"/>
        <w:bottom w:val="none" w:sz="0" w:space="0" w:color="auto"/>
        <w:right w:val="none" w:sz="0" w:space="0" w:color="auto"/>
      </w:divBdr>
    </w:div>
    <w:div w:id="830296198">
      <w:bodyDiv w:val="1"/>
      <w:marLeft w:val="0"/>
      <w:marRight w:val="0"/>
      <w:marTop w:val="0"/>
      <w:marBottom w:val="0"/>
      <w:divBdr>
        <w:top w:val="none" w:sz="0" w:space="0" w:color="auto"/>
        <w:left w:val="none" w:sz="0" w:space="0" w:color="auto"/>
        <w:bottom w:val="none" w:sz="0" w:space="0" w:color="auto"/>
        <w:right w:val="none" w:sz="0" w:space="0" w:color="auto"/>
      </w:divBdr>
    </w:div>
    <w:div w:id="838085319">
      <w:bodyDiv w:val="1"/>
      <w:marLeft w:val="0"/>
      <w:marRight w:val="0"/>
      <w:marTop w:val="0"/>
      <w:marBottom w:val="0"/>
      <w:divBdr>
        <w:top w:val="none" w:sz="0" w:space="0" w:color="auto"/>
        <w:left w:val="none" w:sz="0" w:space="0" w:color="auto"/>
        <w:bottom w:val="none" w:sz="0" w:space="0" w:color="auto"/>
        <w:right w:val="none" w:sz="0" w:space="0" w:color="auto"/>
      </w:divBdr>
    </w:div>
    <w:div w:id="840970748">
      <w:bodyDiv w:val="1"/>
      <w:marLeft w:val="0"/>
      <w:marRight w:val="0"/>
      <w:marTop w:val="0"/>
      <w:marBottom w:val="0"/>
      <w:divBdr>
        <w:top w:val="none" w:sz="0" w:space="0" w:color="auto"/>
        <w:left w:val="none" w:sz="0" w:space="0" w:color="auto"/>
        <w:bottom w:val="none" w:sz="0" w:space="0" w:color="auto"/>
        <w:right w:val="none" w:sz="0" w:space="0" w:color="auto"/>
      </w:divBdr>
    </w:div>
    <w:div w:id="842284002">
      <w:bodyDiv w:val="1"/>
      <w:marLeft w:val="0"/>
      <w:marRight w:val="0"/>
      <w:marTop w:val="0"/>
      <w:marBottom w:val="0"/>
      <w:divBdr>
        <w:top w:val="none" w:sz="0" w:space="0" w:color="auto"/>
        <w:left w:val="none" w:sz="0" w:space="0" w:color="auto"/>
        <w:bottom w:val="none" w:sz="0" w:space="0" w:color="auto"/>
        <w:right w:val="none" w:sz="0" w:space="0" w:color="auto"/>
      </w:divBdr>
    </w:div>
    <w:div w:id="847672109">
      <w:bodyDiv w:val="1"/>
      <w:marLeft w:val="0"/>
      <w:marRight w:val="0"/>
      <w:marTop w:val="0"/>
      <w:marBottom w:val="0"/>
      <w:divBdr>
        <w:top w:val="none" w:sz="0" w:space="0" w:color="auto"/>
        <w:left w:val="none" w:sz="0" w:space="0" w:color="auto"/>
        <w:bottom w:val="none" w:sz="0" w:space="0" w:color="auto"/>
        <w:right w:val="none" w:sz="0" w:space="0" w:color="auto"/>
      </w:divBdr>
    </w:div>
    <w:div w:id="850797377">
      <w:bodyDiv w:val="1"/>
      <w:marLeft w:val="0"/>
      <w:marRight w:val="0"/>
      <w:marTop w:val="0"/>
      <w:marBottom w:val="0"/>
      <w:divBdr>
        <w:top w:val="none" w:sz="0" w:space="0" w:color="auto"/>
        <w:left w:val="none" w:sz="0" w:space="0" w:color="auto"/>
        <w:bottom w:val="none" w:sz="0" w:space="0" w:color="auto"/>
        <w:right w:val="none" w:sz="0" w:space="0" w:color="auto"/>
      </w:divBdr>
    </w:div>
    <w:div w:id="855730525">
      <w:bodyDiv w:val="1"/>
      <w:marLeft w:val="0"/>
      <w:marRight w:val="0"/>
      <w:marTop w:val="0"/>
      <w:marBottom w:val="0"/>
      <w:divBdr>
        <w:top w:val="none" w:sz="0" w:space="0" w:color="auto"/>
        <w:left w:val="none" w:sz="0" w:space="0" w:color="auto"/>
        <w:bottom w:val="none" w:sz="0" w:space="0" w:color="auto"/>
        <w:right w:val="none" w:sz="0" w:space="0" w:color="auto"/>
      </w:divBdr>
    </w:div>
    <w:div w:id="856502781">
      <w:bodyDiv w:val="1"/>
      <w:marLeft w:val="0"/>
      <w:marRight w:val="0"/>
      <w:marTop w:val="0"/>
      <w:marBottom w:val="0"/>
      <w:divBdr>
        <w:top w:val="none" w:sz="0" w:space="0" w:color="auto"/>
        <w:left w:val="none" w:sz="0" w:space="0" w:color="auto"/>
        <w:bottom w:val="none" w:sz="0" w:space="0" w:color="auto"/>
        <w:right w:val="none" w:sz="0" w:space="0" w:color="auto"/>
      </w:divBdr>
    </w:div>
    <w:div w:id="861210558">
      <w:bodyDiv w:val="1"/>
      <w:marLeft w:val="0"/>
      <w:marRight w:val="0"/>
      <w:marTop w:val="0"/>
      <w:marBottom w:val="0"/>
      <w:divBdr>
        <w:top w:val="none" w:sz="0" w:space="0" w:color="auto"/>
        <w:left w:val="none" w:sz="0" w:space="0" w:color="auto"/>
        <w:bottom w:val="none" w:sz="0" w:space="0" w:color="auto"/>
        <w:right w:val="none" w:sz="0" w:space="0" w:color="auto"/>
      </w:divBdr>
    </w:div>
    <w:div w:id="865948525">
      <w:bodyDiv w:val="1"/>
      <w:marLeft w:val="0"/>
      <w:marRight w:val="0"/>
      <w:marTop w:val="0"/>
      <w:marBottom w:val="0"/>
      <w:divBdr>
        <w:top w:val="none" w:sz="0" w:space="0" w:color="auto"/>
        <w:left w:val="none" w:sz="0" w:space="0" w:color="auto"/>
        <w:bottom w:val="none" w:sz="0" w:space="0" w:color="auto"/>
        <w:right w:val="none" w:sz="0" w:space="0" w:color="auto"/>
      </w:divBdr>
    </w:div>
    <w:div w:id="866721606">
      <w:bodyDiv w:val="1"/>
      <w:marLeft w:val="0"/>
      <w:marRight w:val="0"/>
      <w:marTop w:val="0"/>
      <w:marBottom w:val="0"/>
      <w:divBdr>
        <w:top w:val="none" w:sz="0" w:space="0" w:color="auto"/>
        <w:left w:val="none" w:sz="0" w:space="0" w:color="auto"/>
        <w:bottom w:val="none" w:sz="0" w:space="0" w:color="auto"/>
        <w:right w:val="none" w:sz="0" w:space="0" w:color="auto"/>
      </w:divBdr>
    </w:div>
    <w:div w:id="871694422">
      <w:bodyDiv w:val="1"/>
      <w:marLeft w:val="0"/>
      <w:marRight w:val="0"/>
      <w:marTop w:val="0"/>
      <w:marBottom w:val="0"/>
      <w:divBdr>
        <w:top w:val="none" w:sz="0" w:space="0" w:color="auto"/>
        <w:left w:val="none" w:sz="0" w:space="0" w:color="auto"/>
        <w:bottom w:val="none" w:sz="0" w:space="0" w:color="auto"/>
        <w:right w:val="none" w:sz="0" w:space="0" w:color="auto"/>
      </w:divBdr>
    </w:div>
    <w:div w:id="875459811">
      <w:bodyDiv w:val="1"/>
      <w:marLeft w:val="0"/>
      <w:marRight w:val="0"/>
      <w:marTop w:val="0"/>
      <w:marBottom w:val="0"/>
      <w:divBdr>
        <w:top w:val="none" w:sz="0" w:space="0" w:color="auto"/>
        <w:left w:val="none" w:sz="0" w:space="0" w:color="auto"/>
        <w:bottom w:val="none" w:sz="0" w:space="0" w:color="auto"/>
        <w:right w:val="none" w:sz="0" w:space="0" w:color="auto"/>
      </w:divBdr>
    </w:div>
    <w:div w:id="883061838">
      <w:bodyDiv w:val="1"/>
      <w:marLeft w:val="0"/>
      <w:marRight w:val="0"/>
      <w:marTop w:val="0"/>
      <w:marBottom w:val="0"/>
      <w:divBdr>
        <w:top w:val="none" w:sz="0" w:space="0" w:color="auto"/>
        <w:left w:val="none" w:sz="0" w:space="0" w:color="auto"/>
        <w:bottom w:val="none" w:sz="0" w:space="0" w:color="auto"/>
        <w:right w:val="none" w:sz="0" w:space="0" w:color="auto"/>
      </w:divBdr>
    </w:div>
    <w:div w:id="886261609">
      <w:bodyDiv w:val="1"/>
      <w:marLeft w:val="0"/>
      <w:marRight w:val="0"/>
      <w:marTop w:val="0"/>
      <w:marBottom w:val="0"/>
      <w:divBdr>
        <w:top w:val="none" w:sz="0" w:space="0" w:color="auto"/>
        <w:left w:val="none" w:sz="0" w:space="0" w:color="auto"/>
        <w:bottom w:val="none" w:sz="0" w:space="0" w:color="auto"/>
        <w:right w:val="none" w:sz="0" w:space="0" w:color="auto"/>
      </w:divBdr>
    </w:div>
    <w:div w:id="889151645">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896476415">
      <w:bodyDiv w:val="1"/>
      <w:marLeft w:val="0"/>
      <w:marRight w:val="0"/>
      <w:marTop w:val="0"/>
      <w:marBottom w:val="0"/>
      <w:divBdr>
        <w:top w:val="none" w:sz="0" w:space="0" w:color="auto"/>
        <w:left w:val="none" w:sz="0" w:space="0" w:color="auto"/>
        <w:bottom w:val="none" w:sz="0" w:space="0" w:color="auto"/>
        <w:right w:val="none" w:sz="0" w:space="0" w:color="auto"/>
      </w:divBdr>
    </w:div>
    <w:div w:id="896623114">
      <w:bodyDiv w:val="1"/>
      <w:marLeft w:val="0"/>
      <w:marRight w:val="0"/>
      <w:marTop w:val="0"/>
      <w:marBottom w:val="0"/>
      <w:divBdr>
        <w:top w:val="none" w:sz="0" w:space="0" w:color="auto"/>
        <w:left w:val="none" w:sz="0" w:space="0" w:color="auto"/>
        <w:bottom w:val="none" w:sz="0" w:space="0" w:color="auto"/>
        <w:right w:val="none" w:sz="0" w:space="0" w:color="auto"/>
      </w:divBdr>
    </w:div>
    <w:div w:id="897398862">
      <w:bodyDiv w:val="1"/>
      <w:marLeft w:val="0"/>
      <w:marRight w:val="0"/>
      <w:marTop w:val="0"/>
      <w:marBottom w:val="0"/>
      <w:divBdr>
        <w:top w:val="none" w:sz="0" w:space="0" w:color="auto"/>
        <w:left w:val="none" w:sz="0" w:space="0" w:color="auto"/>
        <w:bottom w:val="none" w:sz="0" w:space="0" w:color="auto"/>
        <w:right w:val="none" w:sz="0" w:space="0" w:color="auto"/>
      </w:divBdr>
    </w:div>
    <w:div w:id="897715307">
      <w:bodyDiv w:val="1"/>
      <w:marLeft w:val="0"/>
      <w:marRight w:val="0"/>
      <w:marTop w:val="0"/>
      <w:marBottom w:val="0"/>
      <w:divBdr>
        <w:top w:val="none" w:sz="0" w:space="0" w:color="auto"/>
        <w:left w:val="none" w:sz="0" w:space="0" w:color="auto"/>
        <w:bottom w:val="none" w:sz="0" w:space="0" w:color="auto"/>
        <w:right w:val="none" w:sz="0" w:space="0" w:color="auto"/>
      </w:divBdr>
    </w:div>
    <w:div w:id="899095175">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04073422">
      <w:bodyDiv w:val="1"/>
      <w:marLeft w:val="0"/>
      <w:marRight w:val="0"/>
      <w:marTop w:val="0"/>
      <w:marBottom w:val="0"/>
      <w:divBdr>
        <w:top w:val="none" w:sz="0" w:space="0" w:color="auto"/>
        <w:left w:val="none" w:sz="0" w:space="0" w:color="auto"/>
        <w:bottom w:val="none" w:sz="0" w:space="0" w:color="auto"/>
        <w:right w:val="none" w:sz="0" w:space="0" w:color="auto"/>
      </w:divBdr>
    </w:div>
    <w:div w:id="905412089">
      <w:bodyDiv w:val="1"/>
      <w:marLeft w:val="0"/>
      <w:marRight w:val="0"/>
      <w:marTop w:val="0"/>
      <w:marBottom w:val="0"/>
      <w:divBdr>
        <w:top w:val="none" w:sz="0" w:space="0" w:color="auto"/>
        <w:left w:val="none" w:sz="0" w:space="0" w:color="auto"/>
        <w:bottom w:val="none" w:sz="0" w:space="0" w:color="auto"/>
        <w:right w:val="none" w:sz="0" w:space="0" w:color="auto"/>
      </w:divBdr>
    </w:div>
    <w:div w:id="912541637">
      <w:bodyDiv w:val="1"/>
      <w:marLeft w:val="0"/>
      <w:marRight w:val="0"/>
      <w:marTop w:val="0"/>
      <w:marBottom w:val="0"/>
      <w:divBdr>
        <w:top w:val="none" w:sz="0" w:space="0" w:color="auto"/>
        <w:left w:val="none" w:sz="0" w:space="0" w:color="auto"/>
        <w:bottom w:val="none" w:sz="0" w:space="0" w:color="auto"/>
        <w:right w:val="none" w:sz="0" w:space="0" w:color="auto"/>
      </w:divBdr>
    </w:div>
    <w:div w:id="916480167">
      <w:bodyDiv w:val="1"/>
      <w:marLeft w:val="0"/>
      <w:marRight w:val="0"/>
      <w:marTop w:val="0"/>
      <w:marBottom w:val="0"/>
      <w:divBdr>
        <w:top w:val="none" w:sz="0" w:space="0" w:color="auto"/>
        <w:left w:val="none" w:sz="0" w:space="0" w:color="auto"/>
        <w:bottom w:val="none" w:sz="0" w:space="0" w:color="auto"/>
        <w:right w:val="none" w:sz="0" w:space="0" w:color="auto"/>
      </w:divBdr>
    </w:div>
    <w:div w:id="921137598">
      <w:bodyDiv w:val="1"/>
      <w:marLeft w:val="0"/>
      <w:marRight w:val="0"/>
      <w:marTop w:val="0"/>
      <w:marBottom w:val="0"/>
      <w:divBdr>
        <w:top w:val="none" w:sz="0" w:space="0" w:color="auto"/>
        <w:left w:val="none" w:sz="0" w:space="0" w:color="auto"/>
        <w:bottom w:val="none" w:sz="0" w:space="0" w:color="auto"/>
        <w:right w:val="none" w:sz="0" w:space="0" w:color="auto"/>
      </w:divBdr>
    </w:div>
    <w:div w:id="921989340">
      <w:bodyDiv w:val="1"/>
      <w:marLeft w:val="0"/>
      <w:marRight w:val="0"/>
      <w:marTop w:val="0"/>
      <w:marBottom w:val="0"/>
      <w:divBdr>
        <w:top w:val="none" w:sz="0" w:space="0" w:color="auto"/>
        <w:left w:val="none" w:sz="0" w:space="0" w:color="auto"/>
        <w:bottom w:val="none" w:sz="0" w:space="0" w:color="auto"/>
        <w:right w:val="none" w:sz="0" w:space="0" w:color="auto"/>
      </w:divBdr>
    </w:div>
    <w:div w:id="930898097">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40601041">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48509085">
      <w:bodyDiv w:val="1"/>
      <w:marLeft w:val="0"/>
      <w:marRight w:val="0"/>
      <w:marTop w:val="0"/>
      <w:marBottom w:val="0"/>
      <w:divBdr>
        <w:top w:val="none" w:sz="0" w:space="0" w:color="auto"/>
        <w:left w:val="none" w:sz="0" w:space="0" w:color="auto"/>
        <w:bottom w:val="none" w:sz="0" w:space="0" w:color="auto"/>
        <w:right w:val="none" w:sz="0" w:space="0" w:color="auto"/>
      </w:divBdr>
    </w:div>
    <w:div w:id="950475059">
      <w:bodyDiv w:val="1"/>
      <w:marLeft w:val="0"/>
      <w:marRight w:val="0"/>
      <w:marTop w:val="0"/>
      <w:marBottom w:val="0"/>
      <w:divBdr>
        <w:top w:val="none" w:sz="0" w:space="0" w:color="auto"/>
        <w:left w:val="none" w:sz="0" w:space="0" w:color="auto"/>
        <w:bottom w:val="none" w:sz="0" w:space="0" w:color="auto"/>
        <w:right w:val="none" w:sz="0" w:space="0" w:color="auto"/>
      </w:divBdr>
    </w:div>
    <w:div w:id="950743390">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60384888">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972364230">
      <w:bodyDiv w:val="1"/>
      <w:marLeft w:val="0"/>
      <w:marRight w:val="0"/>
      <w:marTop w:val="0"/>
      <w:marBottom w:val="0"/>
      <w:divBdr>
        <w:top w:val="none" w:sz="0" w:space="0" w:color="auto"/>
        <w:left w:val="none" w:sz="0" w:space="0" w:color="auto"/>
        <w:bottom w:val="none" w:sz="0" w:space="0" w:color="auto"/>
        <w:right w:val="none" w:sz="0" w:space="0" w:color="auto"/>
      </w:divBdr>
    </w:div>
    <w:div w:id="974798486">
      <w:bodyDiv w:val="1"/>
      <w:marLeft w:val="0"/>
      <w:marRight w:val="0"/>
      <w:marTop w:val="0"/>
      <w:marBottom w:val="0"/>
      <w:divBdr>
        <w:top w:val="none" w:sz="0" w:space="0" w:color="auto"/>
        <w:left w:val="none" w:sz="0" w:space="0" w:color="auto"/>
        <w:bottom w:val="none" w:sz="0" w:space="0" w:color="auto"/>
        <w:right w:val="none" w:sz="0" w:space="0" w:color="auto"/>
      </w:divBdr>
    </w:div>
    <w:div w:id="979309042">
      <w:bodyDiv w:val="1"/>
      <w:marLeft w:val="0"/>
      <w:marRight w:val="0"/>
      <w:marTop w:val="0"/>
      <w:marBottom w:val="0"/>
      <w:divBdr>
        <w:top w:val="none" w:sz="0" w:space="0" w:color="auto"/>
        <w:left w:val="none" w:sz="0" w:space="0" w:color="auto"/>
        <w:bottom w:val="none" w:sz="0" w:space="0" w:color="auto"/>
        <w:right w:val="none" w:sz="0" w:space="0" w:color="auto"/>
      </w:divBdr>
    </w:div>
    <w:div w:id="988022759">
      <w:bodyDiv w:val="1"/>
      <w:marLeft w:val="0"/>
      <w:marRight w:val="0"/>
      <w:marTop w:val="0"/>
      <w:marBottom w:val="0"/>
      <w:divBdr>
        <w:top w:val="none" w:sz="0" w:space="0" w:color="auto"/>
        <w:left w:val="none" w:sz="0" w:space="0" w:color="auto"/>
        <w:bottom w:val="none" w:sz="0" w:space="0" w:color="auto"/>
        <w:right w:val="none" w:sz="0" w:space="0" w:color="auto"/>
      </w:divBdr>
    </w:div>
    <w:div w:id="1005354187">
      <w:bodyDiv w:val="1"/>
      <w:marLeft w:val="0"/>
      <w:marRight w:val="0"/>
      <w:marTop w:val="0"/>
      <w:marBottom w:val="0"/>
      <w:divBdr>
        <w:top w:val="none" w:sz="0" w:space="0" w:color="auto"/>
        <w:left w:val="none" w:sz="0" w:space="0" w:color="auto"/>
        <w:bottom w:val="none" w:sz="0" w:space="0" w:color="auto"/>
        <w:right w:val="none" w:sz="0" w:space="0" w:color="auto"/>
      </w:divBdr>
    </w:div>
    <w:div w:id="1007253044">
      <w:bodyDiv w:val="1"/>
      <w:marLeft w:val="0"/>
      <w:marRight w:val="0"/>
      <w:marTop w:val="0"/>
      <w:marBottom w:val="0"/>
      <w:divBdr>
        <w:top w:val="none" w:sz="0" w:space="0" w:color="auto"/>
        <w:left w:val="none" w:sz="0" w:space="0" w:color="auto"/>
        <w:bottom w:val="none" w:sz="0" w:space="0" w:color="auto"/>
        <w:right w:val="none" w:sz="0" w:space="0" w:color="auto"/>
      </w:divBdr>
    </w:div>
    <w:div w:id="1007831762">
      <w:bodyDiv w:val="1"/>
      <w:marLeft w:val="0"/>
      <w:marRight w:val="0"/>
      <w:marTop w:val="0"/>
      <w:marBottom w:val="0"/>
      <w:divBdr>
        <w:top w:val="none" w:sz="0" w:space="0" w:color="auto"/>
        <w:left w:val="none" w:sz="0" w:space="0" w:color="auto"/>
        <w:bottom w:val="none" w:sz="0" w:space="0" w:color="auto"/>
        <w:right w:val="none" w:sz="0" w:space="0" w:color="auto"/>
      </w:divBdr>
    </w:div>
    <w:div w:id="100979027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16081755">
      <w:bodyDiv w:val="1"/>
      <w:marLeft w:val="0"/>
      <w:marRight w:val="0"/>
      <w:marTop w:val="0"/>
      <w:marBottom w:val="0"/>
      <w:divBdr>
        <w:top w:val="none" w:sz="0" w:space="0" w:color="auto"/>
        <w:left w:val="none" w:sz="0" w:space="0" w:color="auto"/>
        <w:bottom w:val="none" w:sz="0" w:space="0" w:color="auto"/>
        <w:right w:val="none" w:sz="0" w:space="0" w:color="auto"/>
      </w:divBdr>
    </w:div>
    <w:div w:id="1016734401">
      <w:bodyDiv w:val="1"/>
      <w:marLeft w:val="0"/>
      <w:marRight w:val="0"/>
      <w:marTop w:val="0"/>
      <w:marBottom w:val="0"/>
      <w:divBdr>
        <w:top w:val="none" w:sz="0" w:space="0" w:color="auto"/>
        <w:left w:val="none" w:sz="0" w:space="0" w:color="auto"/>
        <w:bottom w:val="none" w:sz="0" w:space="0" w:color="auto"/>
        <w:right w:val="none" w:sz="0" w:space="0" w:color="auto"/>
      </w:divBdr>
    </w:div>
    <w:div w:id="1022904672">
      <w:bodyDiv w:val="1"/>
      <w:marLeft w:val="0"/>
      <w:marRight w:val="0"/>
      <w:marTop w:val="0"/>
      <w:marBottom w:val="0"/>
      <w:divBdr>
        <w:top w:val="none" w:sz="0" w:space="0" w:color="auto"/>
        <w:left w:val="none" w:sz="0" w:space="0" w:color="auto"/>
        <w:bottom w:val="none" w:sz="0" w:space="0" w:color="auto"/>
        <w:right w:val="none" w:sz="0" w:space="0" w:color="auto"/>
      </w:divBdr>
    </w:div>
    <w:div w:id="1027222913">
      <w:bodyDiv w:val="1"/>
      <w:marLeft w:val="0"/>
      <w:marRight w:val="0"/>
      <w:marTop w:val="0"/>
      <w:marBottom w:val="0"/>
      <w:divBdr>
        <w:top w:val="none" w:sz="0" w:space="0" w:color="auto"/>
        <w:left w:val="none" w:sz="0" w:space="0" w:color="auto"/>
        <w:bottom w:val="none" w:sz="0" w:space="0" w:color="auto"/>
        <w:right w:val="none" w:sz="0" w:space="0" w:color="auto"/>
      </w:divBdr>
    </w:div>
    <w:div w:id="1034233221">
      <w:bodyDiv w:val="1"/>
      <w:marLeft w:val="0"/>
      <w:marRight w:val="0"/>
      <w:marTop w:val="0"/>
      <w:marBottom w:val="0"/>
      <w:divBdr>
        <w:top w:val="none" w:sz="0" w:space="0" w:color="auto"/>
        <w:left w:val="none" w:sz="0" w:space="0" w:color="auto"/>
        <w:bottom w:val="none" w:sz="0" w:space="0" w:color="auto"/>
        <w:right w:val="none" w:sz="0" w:space="0" w:color="auto"/>
      </w:divBdr>
    </w:div>
    <w:div w:id="1035427221">
      <w:bodyDiv w:val="1"/>
      <w:marLeft w:val="0"/>
      <w:marRight w:val="0"/>
      <w:marTop w:val="0"/>
      <w:marBottom w:val="0"/>
      <w:divBdr>
        <w:top w:val="none" w:sz="0" w:space="0" w:color="auto"/>
        <w:left w:val="none" w:sz="0" w:space="0" w:color="auto"/>
        <w:bottom w:val="none" w:sz="0" w:space="0" w:color="auto"/>
        <w:right w:val="none" w:sz="0" w:space="0" w:color="auto"/>
      </w:divBdr>
    </w:div>
    <w:div w:id="1037973066">
      <w:bodyDiv w:val="1"/>
      <w:marLeft w:val="0"/>
      <w:marRight w:val="0"/>
      <w:marTop w:val="0"/>
      <w:marBottom w:val="0"/>
      <w:divBdr>
        <w:top w:val="none" w:sz="0" w:space="0" w:color="auto"/>
        <w:left w:val="none" w:sz="0" w:space="0" w:color="auto"/>
        <w:bottom w:val="none" w:sz="0" w:space="0" w:color="auto"/>
        <w:right w:val="none" w:sz="0" w:space="0" w:color="auto"/>
      </w:divBdr>
    </w:div>
    <w:div w:id="1038428389">
      <w:bodyDiv w:val="1"/>
      <w:marLeft w:val="0"/>
      <w:marRight w:val="0"/>
      <w:marTop w:val="0"/>
      <w:marBottom w:val="0"/>
      <w:divBdr>
        <w:top w:val="none" w:sz="0" w:space="0" w:color="auto"/>
        <w:left w:val="none" w:sz="0" w:space="0" w:color="auto"/>
        <w:bottom w:val="none" w:sz="0" w:space="0" w:color="auto"/>
        <w:right w:val="none" w:sz="0" w:space="0" w:color="auto"/>
      </w:divBdr>
    </w:div>
    <w:div w:id="1041436004">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43747231">
      <w:bodyDiv w:val="1"/>
      <w:marLeft w:val="0"/>
      <w:marRight w:val="0"/>
      <w:marTop w:val="0"/>
      <w:marBottom w:val="0"/>
      <w:divBdr>
        <w:top w:val="none" w:sz="0" w:space="0" w:color="auto"/>
        <w:left w:val="none" w:sz="0" w:space="0" w:color="auto"/>
        <w:bottom w:val="none" w:sz="0" w:space="0" w:color="auto"/>
        <w:right w:val="none" w:sz="0" w:space="0" w:color="auto"/>
      </w:divBdr>
    </w:div>
    <w:div w:id="1044334500">
      <w:bodyDiv w:val="1"/>
      <w:marLeft w:val="0"/>
      <w:marRight w:val="0"/>
      <w:marTop w:val="0"/>
      <w:marBottom w:val="0"/>
      <w:divBdr>
        <w:top w:val="none" w:sz="0" w:space="0" w:color="auto"/>
        <w:left w:val="none" w:sz="0" w:space="0" w:color="auto"/>
        <w:bottom w:val="none" w:sz="0" w:space="0" w:color="auto"/>
        <w:right w:val="none" w:sz="0" w:space="0" w:color="auto"/>
      </w:divBdr>
    </w:div>
    <w:div w:id="1051000926">
      <w:bodyDiv w:val="1"/>
      <w:marLeft w:val="0"/>
      <w:marRight w:val="0"/>
      <w:marTop w:val="0"/>
      <w:marBottom w:val="0"/>
      <w:divBdr>
        <w:top w:val="none" w:sz="0" w:space="0" w:color="auto"/>
        <w:left w:val="none" w:sz="0" w:space="0" w:color="auto"/>
        <w:bottom w:val="none" w:sz="0" w:space="0" w:color="auto"/>
        <w:right w:val="none" w:sz="0" w:space="0" w:color="auto"/>
      </w:divBdr>
    </w:div>
    <w:div w:id="1053970816">
      <w:bodyDiv w:val="1"/>
      <w:marLeft w:val="0"/>
      <w:marRight w:val="0"/>
      <w:marTop w:val="0"/>
      <w:marBottom w:val="0"/>
      <w:divBdr>
        <w:top w:val="none" w:sz="0" w:space="0" w:color="auto"/>
        <w:left w:val="none" w:sz="0" w:space="0" w:color="auto"/>
        <w:bottom w:val="none" w:sz="0" w:space="0" w:color="auto"/>
        <w:right w:val="none" w:sz="0" w:space="0" w:color="auto"/>
      </w:divBdr>
    </w:div>
    <w:div w:id="1054965416">
      <w:bodyDiv w:val="1"/>
      <w:marLeft w:val="0"/>
      <w:marRight w:val="0"/>
      <w:marTop w:val="0"/>
      <w:marBottom w:val="0"/>
      <w:divBdr>
        <w:top w:val="none" w:sz="0" w:space="0" w:color="auto"/>
        <w:left w:val="none" w:sz="0" w:space="0" w:color="auto"/>
        <w:bottom w:val="none" w:sz="0" w:space="0" w:color="auto"/>
        <w:right w:val="none" w:sz="0" w:space="0" w:color="auto"/>
      </w:divBdr>
    </w:div>
    <w:div w:id="1058673030">
      <w:bodyDiv w:val="1"/>
      <w:marLeft w:val="0"/>
      <w:marRight w:val="0"/>
      <w:marTop w:val="0"/>
      <w:marBottom w:val="0"/>
      <w:divBdr>
        <w:top w:val="none" w:sz="0" w:space="0" w:color="auto"/>
        <w:left w:val="none" w:sz="0" w:space="0" w:color="auto"/>
        <w:bottom w:val="none" w:sz="0" w:space="0" w:color="auto"/>
        <w:right w:val="none" w:sz="0" w:space="0" w:color="auto"/>
      </w:divBdr>
    </w:div>
    <w:div w:id="1066489350">
      <w:bodyDiv w:val="1"/>
      <w:marLeft w:val="0"/>
      <w:marRight w:val="0"/>
      <w:marTop w:val="0"/>
      <w:marBottom w:val="0"/>
      <w:divBdr>
        <w:top w:val="none" w:sz="0" w:space="0" w:color="auto"/>
        <w:left w:val="none" w:sz="0" w:space="0" w:color="auto"/>
        <w:bottom w:val="none" w:sz="0" w:space="0" w:color="auto"/>
        <w:right w:val="none" w:sz="0" w:space="0" w:color="auto"/>
      </w:divBdr>
    </w:div>
    <w:div w:id="1067729048">
      <w:bodyDiv w:val="1"/>
      <w:marLeft w:val="0"/>
      <w:marRight w:val="0"/>
      <w:marTop w:val="0"/>
      <w:marBottom w:val="0"/>
      <w:divBdr>
        <w:top w:val="none" w:sz="0" w:space="0" w:color="auto"/>
        <w:left w:val="none" w:sz="0" w:space="0" w:color="auto"/>
        <w:bottom w:val="none" w:sz="0" w:space="0" w:color="auto"/>
        <w:right w:val="none" w:sz="0" w:space="0" w:color="auto"/>
      </w:divBdr>
    </w:div>
    <w:div w:id="1072385224">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082214655">
      <w:bodyDiv w:val="1"/>
      <w:marLeft w:val="0"/>
      <w:marRight w:val="0"/>
      <w:marTop w:val="0"/>
      <w:marBottom w:val="0"/>
      <w:divBdr>
        <w:top w:val="none" w:sz="0" w:space="0" w:color="auto"/>
        <w:left w:val="none" w:sz="0" w:space="0" w:color="auto"/>
        <w:bottom w:val="none" w:sz="0" w:space="0" w:color="auto"/>
        <w:right w:val="none" w:sz="0" w:space="0" w:color="auto"/>
      </w:divBdr>
    </w:div>
    <w:div w:id="1087268121">
      <w:bodyDiv w:val="1"/>
      <w:marLeft w:val="0"/>
      <w:marRight w:val="0"/>
      <w:marTop w:val="0"/>
      <w:marBottom w:val="0"/>
      <w:divBdr>
        <w:top w:val="none" w:sz="0" w:space="0" w:color="auto"/>
        <w:left w:val="none" w:sz="0" w:space="0" w:color="auto"/>
        <w:bottom w:val="none" w:sz="0" w:space="0" w:color="auto"/>
        <w:right w:val="none" w:sz="0" w:space="0" w:color="auto"/>
      </w:divBdr>
    </w:div>
    <w:div w:id="1088966311">
      <w:bodyDiv w:val="1"/>
      <w:marLeft w:val="0"/>
      <w:marRight w:val="0"/>
      <w:marTop w:val="0"/>
      <w:marBottom w:val="0"/>
      <w:divBdr>
        <w:top w:val="none" w:sz="0" w:space="0" w:color="auto"/>
        <w:left w:val="none" w:sz="0" w:space="0" w:color="auto"/>
        <w:bottom w:val="none" w:sz="0" w:space="0" w:color="auto"/>
        <w:right w:val="none" w:sz="0" w:space="0" w:color="auto"/>
      </w:divBdr>
    </w:div>
    <w:div w:id="1098449863">
      <w:bodyDiv w:val="1"/>
      <w:marLeft w:val="0"/>
      <w:marRight w:val="0"/>
      <w:marTop w:val="0"/>
      <w:marBottom w:val="0"/>
      <w:divBdr>
        <w:top w:val="none" w:sz="0" w:space="0" w:color="auto"/>
        <w:left w:val="none" w:sz="0" w:space="0" w:color="auto"/>
        <w:bottom w:val="none" w:sz="0" w:space="0" w:color="auto"/>
        <w:right w:val="none" w:sz="0" w:space="0" w:color="auto"/>
      </w:divBdr>
    </w:div>
    <w:div w:id="1099105831">
      <w:bodyDiv w:val="1"/>
      <w:marLeft w:val="0"/>
      <w:marRight w:val="0"/>
      <w:marTop w:val="0"/>
      <w:marBottom w:val="0"/>
      <w:divBdr>
        <w:top w:val="none" w:sz="0" w:space="0" w:color="auto"/>
        <w:left w:val="none" w:sz="0" w:space="0" w:color="auto"/>
        <w:bottom w:val="none" w:sz="0" w:space="0" w:color="auto"/>
        <w:right w:val="none" w:sz="0" w:space="0" w:color="auto"/>
      </w:divBdr>
    </w:div>
    <w:div w:id="1107653880">
      <w:bodyDiv w:val="1"/>
      <w:marLeft w:val="0"/>
      <w:marRight w:val="0"/>
      <w:marTop w:val="0"/>
      <w:marBottom w:val="0"/>
      <w:divBdr>
        <w:top w:val="none" w:sz="0" w:space="0" w:color="auto"/>
        <w:left w:val="none" w:sz="0" w:space="0" w:color="auto"/>
        <w:bottom w:val="none" w:sz="0" w:space="0" w:color="auto"/>
        <w:right w:val="none" w:sz="0" w:space="0" w:color="auto"/>
      </w:divBdr>
    </w:div>
    <w:div w:id="1117986604">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18836485">
      <w:bodyDiv w:val="1"/>
      <w:marLeft w:val="0"/>
      <w:marRight w:val="0"/>
      <w:marTop w:val="0"/>
      <w:marBottom w:val="0"/>
      <w:divBdr>
        <w:top w:val="none" w:sz="0" w:space="0" w:color="auto"/>
        <w:left w:val="none" w:sz="0" w:space="0" w:color="auto"/>
        <w:bottom w:val="none" w:sz="0" w:space="0" w:color="auto"/>
        <w:right w:val="none" w:sz="0" w:space="0" w:color="auto"/>
      </w:divBdr>
    </w:div>
    <w:div w:id="1132211177">
      <w:bodyDiv w:val="1"/>
      <w:marLeft w:val="0"/>
      <w:marRight w:val="0"/>
      <w:marTop w:val="0"/>
      <w:marBottom w:val="0"/>
      <w:divBdr>
        <w:top w:val="none" w:sz="0" w:space="0" w:color="auto"/>
        <w:left w:val="none" w:sz="0" w:space="0" w:color="auto"/>
        <w:bottom w:val="none" w:sz="0" w:space="0" w:color="auto"/>
        <w:right w:val="none" w:sz="0" w:space="0" w:color="auto"/>
      </w:divBdr>
    </w:div>
    <w:div w:id="1132938622">
      <w:bodyDiv w:val="1"/>
      <w:marLeft w:val="0"/>
      <w:marRight w:val="0"/>
      <w:marTop w:val="0"/>
      <w:marBottom w:val="0"/>
      <w:divBdr>
        <w:top w:val="none" w:sz="0" w:space="0" w:color="auto"/>
        <w:left w:val="none" w:sz="0" w:space="0" w:color="auto"/>
        <w:bottom w:val="none" w:sz="0" w:space="0" w:color="auto"/>
        <w:right w:val="none" w:sz="0" w:space="0" w:color="auto"/>
      </w:divBdr>
    </w:div>
    <w:div w:id="1142573469">
      <w:bodyDiv w:val="1"/>
      <w:marLeft w:val="0"/>
      <w:marRight w:val="0"/>
      <w:marTop w:val="0"/>
      <w:marBottom w:val="0"/>
      <w:divBdr>
        <w:top w:val="none" w:sz="0" w:space="0" w:color="auto"/>
        <w:left w:val="none" w:sz="0" w:space="0" w:color="auto"/>
        <w:bottom w:val="none" w:sz="0" w:space="0" w:color="auto"/>
        <w:right w:val="none" w:sz="0" w:space="0" w:color="auto"/>
      </w:divBdr>
    </w:div>
    <w:div w:id="1143742547">
      <w:bodyDiv w:val="1"/>
      <w:marLeft w:val="0"/>
      <w:marRight w:val="0"/>
      <w:marTop w:val="0"/>
      <w:marBottom w:val="0"/>
      <w:divBdr>
        <w:top w:val="none" w:sz="0" w:space="0" w:color="auto"/>
        <w:left w:val="none" w:sz="0" w:space="0" w:color="auto"/>
        <w:bottom w:val="none" w:sz="0" w:space="0" w:color="auto"/>
        <w:right w:val="none" w:sz="0" w:space="0" w:color="auto"/>
      </w:divBdr>
    </w:div>
    <w:div w:id="1145468314">
      <w:bodyDiv w:val="1"/>
      <w:marLeft w:val="0"/>
      <w:marRight w:val="0"/>
      <w:marTop w:val="0"/>
      <w:marBottom w:val="0"/>
      <w:divBdr>
        <w:top w:val="none" w:sz="0" w:space="0" w:color="auto"/>
        <w:left w:val="none" w:sz="0" w:space="0" w:color="auto"/>
        <w:bottom w:val="none" w:sz="0" w:space="0" w:color="auto"/>
        <w:right w:val="none" w:sz="0" w:space="0" w:color="auto"/>
      </w:divBdr>
    </w:div>
    <w:div w:id="1151095281">
      <w:bodyDiv w:val="1"/>
      <w:marLeft w:val="0"/>
      <w:marRight w:val="0"/>
      <w:marTop w:val="0"/>
      <w:marBottom w:val="0"/>
      <w:divBdr>
        <w:top w:val="none" w:sz="0" w:space="0" w:color="auto"/>
        <w:left w:val="none" w:sz="0" w:space="0" w:color="auto"/>
        <w:bottom w:val="none" w:sz="0" w:space="0" w:color="auto"/>
        <w:right w:val="none" w:sz="0" w:space="0" w:color="auto"/>
      </w:divBdr>
    </w:div>
    <w:div w:id="1154687136">
      <w:bodyDiv w:val="1"/>
      <w:marLeft w:val="0"/>
      <w:marRight w:val="0"/>
      <w:marTop w:val="0"/>
      <w:marBottom w:val="0"/>
      <w:divBdr>
        <w:top w:val="none" w:sz="0" w:space="0" w:color="auto"/>
        <w:left w:val="none" w:sz="0" w:space="0" w:color="auto"/>
        <w:bottom w:val="none" w:sz="0" w:space="0" w:color="auto"/>
        <w:right w:val="none" w:sz="0" w:space="0" w:color="auto"/>
      </w:divBdr>
    </w:div>
    <w:div w:id="1154688953">
      <w:bodyDiv w:val="1"/>
      <w:marLeft w:val="0"/>
      <w:marRight w:val="0"/>
      <w:marTop w:val="0"/>
      <w:marBottom w:val="0"/>
      <w:divBdr>
        <w:top w:val="none" w:sz="0" w:space="0" w:color="auto"/>
        <w:left w:val="none" w:sz="0" w:space="0" w:color="auto"/>
        <w:bottom w:val="none" w:sz="0" w:space="0" w:color="auto"/>
        <w:right w:val="none" w:sz="0" w:space="0" w:color="auto"/>
      </w:divBdr>
    </w:div>
    <w:div w:id="1158228517">
      <w:bodyDiv w:val="1"/>
      <w:marLeft w:val="0"/>
      <w:marRight w:val="0"/>
      <w:marTop w:val="0"/>
      <w:marBottom w:val="0"/>
      <w:divBdr>
        <w:top w:val="none" w:sz="0" w:space="0" w:color="auto"/>
        <w:left w:val="none" w:sz="0" w:space="0" w:color="auto"/>
        <w:bottom w:val="none" w:sz="0" w:space="0" w:color="auto"/>
        <w:right w:val="none" w:sz="0" w:space="0" w:color="auto"/>
      </w:divBdr>
    </w:div>
    <w:div w:id="1161657595">
      <w:bodyDiv w:val="1"/>
      <w:marLeft w:val="0"/>
      <w:marRight w:val="0"/>
      <w:marTop w:val="0"/>
      <w:marBottom w:val="0"/>
      <w:divBdr>
        <w:top w:val="none" w:sz="0" w:space="0" w:color="auto"/>
        <w:left w:val="none" w:sz="0" w:space="0" w:color="auto"/>
        <w:bottom w:val="none" w:sz="0" w:space="0" w:color="auto"/>
        <w:right w:val="none" w:sz="0" w:space="0" w:color="auto"/>
      </w:divBdr>
    </w:div>
    <w:div w:id="1165435860">
      <w:bodyDiv w:val="1"/>
      <w:marLeft w:val="0"/>
      <w:marRight w:val="0"/>
      <w:marTop w:val="0"/>
      <w:marBottom w:val="0"/>
      <w:divBdr>
        <w:top w:val="none" w:sz="0" w:space="0" w:color="auto"/>
        <w:left w:val="none" w:sz="0" w:space="0" w:color="auto"/>
        <w:bottom w:val="none" w:sz="0" w:space="0" w:color="auto"/>
        <w:right w:val="none" w:sz="0" w:space="0" w:color="auto"/>
      </w:divBdr>
    </w:div>
    <w:div w:id="1165627931">
      <w:bodyDiv w:val="1"/>
      <w:marLeft w:val="0"/>
      <w:marRight w:val="0"/>
      <w:marTop w:val="0"/>
      <w:marBottom w:val="0"/>
      <w:divBdr>
        <w:top w:val="none" w:sz="0" w:space="0" w:color="auto"/>
        <w:left w:val="none" w:sz="0" w:space="0" w:color="auto"/>
        <w:bottom w:val="none" w:sz="0" w:space="0" w:color="auto"/>
        <w:right w:val="none" w:sz="0" w:space="0" w:color="auto"/>
      </w:divBdr>
    </w:div>
    <w:div w:id="1166629452">
      <w:bodyDiv w:val="1"/>
      <w:marLeft w:val="0"/>
      <w:marRight w:val="0"/>
      <w:marTop w:val="0"/>
      <w:marBottom w:val="0"/>
      <w:divBdr>
        <w:top w:val="none" w:sz="0" w:space="0" w:color="auto"/>
        <w:left w:val="none" w:sz="0" w:space="0" w:color="auto"/>
        <w:bottom w:val="none" w:sz="0" w:space="0" w:color="auto"/>
        <w:right w:val="none" w:sz="0" w:space="0" w:color="auto"/>
      </w:divBdr>
    </w:div>
    <w:div w:id="1166822676">
      <w:bodyDiv w:val="1"/>
      <w:marLeft w:val="0"/>
      <w:marRight w:val="0"/>
      <w:marTop w:val="0"/>
      <w:marBottom w:val="0"/>
      <w:divBdr>
        <w:top w:val="none" w:sz="0" w:space="0" w:color="auto"/>
        <w:left w:val="none" w:sz="0" w:space="0" w:color="auto"/>
        <w:bottom w:val="none" w:sz="0" w:space="0" w:color="auto"/>
        <w:right w:val="none" w:sz="0" w:space="0" w:color="auto"/>
      </w:divBdr>
    </w:div>
    <w:div w:id="1173229544">
      <w:bodyDiv w:val="1"/>
      <w:marLeft w:val="0"/>
      <w:marRight w:val="0"/>
      <w:marTop w:val="0"/>
      <w:marBottom w:val="0"/>
      <w:divBdr>
        <w:top w:val="none" w:sz="0" w:space="0" w:color="auto"/>
        <w:left w:val="none" w:sz="0" w:space="0" w:color="auto"/>
        <w:bottom w:val="none" w:sz="0" w:space="0" w:color="auto"/>
        <w:right w:val="none" w:sz="0" w:space="0" w:color="auto"/>
      </w:divBdr>
    </w:div>
    <w:div w:id="1175270539">
      <w:bodyDiv w:val="1"/>
      <w:marLeft w:val="0"/>
      <w:marRight w:val="0"/>
      <w:marTop w:val="0"/>
      <w:marBottom w:val="0"/>
      <w:divBdr>
        <w:top w:val="none" w:sz="0" w:space="0" w:color="auto"/>
        <w:left w:val="none" w:sz="0" w:space="0" w:color="auto"/>
        <w:bottom w:val="none" w:sz="0" w:space="0" w:color="auto"/>
        <w:right w:val="none" w:sz="0" w:space="0" w:color="auto"/>
      </w:divBdr>
    </w:div>
    <w:div w:id="1176724481">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187400844">
      <w:bodyDiv w:val="1"/>
      <w:marLeft w:val="0"/>
      <w:marRight w:val="0"/>
      <w:marTop w:val="0"/>
      <w:marBottom w:val="0"/>
      <w:divBdr>
        <w:top w:val="none" w:sz="0" w:space="0" w:color="auto"/>
        <w:left w:val="none" w:sz="0" w:space="0" w:color="auto"/>
        <w:bottom w:val="none" w:sz="0" w:space="0" w:color="auto"/>
        <w:right w:val="none" w:sz="0" w:space="0" w:color="auto"/>
      </w:divBdr>
    </w:div>
    <w:div w:id="1187717149">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10066856">
      <w:bodyDiv w:val="1"/>
      <w:marLeft w:val="0"/>
      <w:marRight w:val="0"/>
      <w:marTop w:val="0"/>
      <w:marBottom w:val="0"/>
      <w:divBdr>
        <w:top w:val="none" w:sz="0" w:space="0" w:color="auto"/>
        <w:left w:val="none" w:sz="0" w:space="0" w:color="auto"/>
        <w:bottom w:val="none" w:sz="0" w:space="0" w:color="auto"/>
        <w:right w:val="none" w:sz="0" w:space="0" w:color="auto"/>
      </w:divBdr>
    </w:div>
    <w:div w:id="1217425319">
      <w:bodyDiv w:val="1"/>
      <w:marLeft w:val="0"/>
      <w:marRight w:val="0"/>
      <w:marTop w:val="0"/>
      <w:marBottom w:val="0"/>
      <w:divBdr>
        <w:top w:val="none" w:sz="0" w:space="0" w:color="auto"/>
        <w:left w:val="none" w:sz="0" w:space="0" w:color="auto"/>
        <w:bottom w:val="none" w:sz="0" w:space="0" w:color="auto"/>
        <w:right w:val="none" w:sz="0" w:space="0" w:color="auto"/>
      </w:divBdr>
    </w:div>
    <w:div w:id="1220288489">
      <w:bodyDiv w:val="1"/>
      <w:marLeft w:val="0"/>
      <w:marRight w:val="0"/>
      <w:marTop w:val="0"/>
      <w:marBottom w:val="0"/>
      <w:divBdr>
        <w:top w:val="none" w:sz="0" w:space="0" w:color="auto"/>
        <w:left w:val="none" w:sz="0" w:space="0" w:color="auto"/>
        <w:bottom w:val="none" w:sz="0" w:space="0" w:color="auto"/>
        <w:right w:val="none" w:sz="0" w:space="0" w:color="auto"/>
      </w:divBdr>
    </w:div>
    <w:div w:id="1220746879">
      <w:bodyDiv w:val="1"/>
      <w:marLeft w:val="0"/>
      <w:marRight w:val="0"/>
      <w:marTop w:val="0"/>
      <w:marBottom w:val="0"/>
      <w:divBdr>
        <w:top w:val="none" w:sz="0" w:space="0" w:color="auto"/>
        <w:left w:val="none" w:sz="0" w:space="0" w:color="auto"/>
        <w:bottom w:val="none" w:sz="0" w:space="0" w:color="auto"/>
        <w:right w:val="none" w:sz="0" w:space="0" w:color="auto"/>
      </w:divBdr>
    </w:div>
    <w:div w:id="1224565631">
      <w:bodyDiv w:val="1"/>
      <w:marLeft w:val="0"/>
      <w:marRight w:val="0"/>
      <w:marTop w:val="0"/>
      <w:marBottom w:val="0"/>
      <w:divBdr>
        <w:top w:val="none" w:sz="0" w:space="0" w:color="auto"/>
        <w:left w:val="none" w:sz="0" w:space="0" w:color="auto"/>
        <w:bottom w:val="none" w:sz="0" w:space="0" w:color="auto"/>
        <w:right w:val="none" w:sz="0" w:space="0" w:color="auto"/>
      </w:divBdr>
    </w:div>
    <w:div w:id="1229925777">
      <w:bodyDiv w:val="1"/>
      <w:marLeft w:val="0"/>
      <w:marRight w:val="0"/>
      <w:marTop w:val="0"/>
      <w:marBottom w:val="0"/>
      <w:divBdr>
        <w:top w:val="none" w:sz="0" w:space="0" w:color="auto"/>
        <w:left w:val="none" w:sz="0" w:space="0" w:color="auto"/>
        <w:bottom w:val="none" w:sz="0" w:space="0" w:color="auto"/>
        <w:right w:val="none" w:sz="0" w:space="0" w:color="auto"/>
      </w:divBdr>
    </w:div>
    <w:div w:id="1230731851">
      <w:bodyDiv w:val="1"/>
      <w:marLeft w:val="0"/>
      <w:marRight w:val="0"/>
      <w:marTop w:val="0"/>
      <w:marBottom w:val="0"/>
      <w:divBdr>
        <w:top w:val="none" w:sz="0" w:space="0" w:color="auto"/>
        <w:left w:val="none" w:sz="0" w:space="0" w:color="auto"/>
        <w:bottom w:val="none" w:sz="0" w:space="0" w:color="auto"/>
        <w:right w:val="none" w:sz="0" w:space="0" w:color="auto"/>
      </w:divBdr>
    </w:div>
    <w:div w:id="1233733498">
      <w:bodyDiv w:val="1"/>
      <w:marLeft w:val="0"/>
      <w:marRight w:val="0"/>
      <w:marTop w:val="0"/>
      <w:marBottom w:val="0"/>
      <w:divBdr>
        <w:top w:val="none" w:sz="0" w:space="0" w:color="auto"/>
        <w:left w:val="none" w:sz="0" w:space="0" w:color="auto"/>
        <w:bottom w:val="none" w:sz="0" w:space="0" w:color="auto"/>
        <w:right w:val="none" w:sz="0" w:space="0" w:color="auto"/>
      </w:divBdr>
    </w:div>
    <w:div w:id="1234391604">
      <w:bodyDiv w:val="1"/>
      <w:marLeft w:val="0"/>
      <w:marRight w:val="0"/>
      <w:marTop w:val="0"/>
      <w:marBottom w:val="0"/>
      <w:divBdr>
        <w:top w:val="none" w:sz="0" w:space="0" w:color="auto"/>
        <w:left w:val="none" w:sz="0" w:space="0" w:color="auto"/>
        <w:bottom w:val="none" w:sz="0" w:space="0" w:color="auto"/>
        <w:right w:val="none" w:sz="0" w:space="0" w:color="auto"/>
      </w:divBdr>
    </w:div>
    <w:div w:id="1235817888">
      <w:bodyDiv w:val="1"/>
      <w:marLeft w:val="0"/>
      <w:marRight w:val="0"/>
      <w:marTop w:val="0"/>
      <w:marBottom w:val="0"/>
      <w:divBdr>
        <w:top w:val="none" w:sz="0" w:space="0" w:color="auto"/>
        <w:left w:val="none" w:sz="0" w:space="0" w:color="auto"/>
        <w:bottom w:val="none" w:sz="0" w:space="0" w:color="auto"/>
        <w:right w:val="none" w:sz="0" w:space="0" w:color="auto"/>
      </w:divBdr>
    </w:div>
    <w:div w:id="1239100953">
      <w:bodyDiv w:val="1"/>
      <w:marLeft w:val="0"/>
      <w:marRight w:val="0"/>
      <w:marTop w:val="0"/>
      <w:marBottom w:val="0"/>
      <w:divBdr>
        <w:top w:val="none" w:sz="0" w:space="0" w:color="auto"/>
        <w:left w:val="none" w:sz="0" w:space="0" w:color="auto"/>
        <w:bottom w:val="none" w:sz="0" w:space="0" w:color="auto"/>
        <w:right w:val="none" w:sz="0" w:space="0" w:color="auto"/>
      </w:divBdr>
    </w:div>
    <w:div w:id="1240165800">
      <w:bodyDiv w:val="1"/>
      <w:marLeft w:val="0"/>
      <w:marRight w:val="0"/>
      <w:marTop w:val="0"/>
      <w:marBottom w:val="0"/>
      <w:divBdr>
        <w:top w:val="none" w:sz="0" w:space="0" w:color="auto"/>
        <w:left w:val="none" w:sz="0" w:space="0" w:color="auto"/>
        <w:bottom w:val="none" w:sz="0" w:space="0" w:color="auto"/>
        <w:right w:val="none" w:sz="0" w:space="0" w:color="auto"/>
      </w:divBdr>
    </w:div>
    <w:div w:id="1259951264">
      <w:bodyDiv w:val="1"/>
      <w:marLeft w:val="0"/>
      <w:marRight w:val="0"/>
      <w:marTop w:val="0"/>
      <w:marBottom w:val="0"/>
      <w:divBdr>
        <w:top w:val="none" w:sz="0" w:space="0" w:color="auto"/>
        <w:left w:val="none" w:sz="0" w:space="0" w:color="auto"/>
        <w:bottom w:val="none" w:sz="0" w:space="0" w:color="auto"/>
        <w:right w:val="none" w:sz="0" w:space="0" w:color="auto"/>
      </w:divBdr>
    </w:div>
    <w:div w:id="1262296764">
      <w:bodyDiv w:val="1"/>
      <w:marLeft w:val="0"/>
      <w:marRight w:val="0"/>
      <w:marTop w:val="0"/>
      <w:marBottom w:val="0"/>
      <w:divBdr>
        <w:top w:val="none" w:sz="0" w:space="0" w:color="auto"/>
        <w:left w:val="none" w:sz="0" w:space="0" w:color="auto"/>
        <w:bottom w:val="none" w:sz="0" w:space="0" w:color="auto"/>
        <w:right w:val="none" w:sz="0" w:space="0" w:color="auto"/>
      </w:divBdr>
    </w:div>
    <w:div w:id="1267614482">
      <w:bodyDiv w:val="1"/>
      <w:marLeft w:val="0"/>
      <w:marRight w:val="0"/>
      <w:marTop w:val="0"/>
      <w:marBottom w:val="0"/>
      <w:divBdr>
        <w:top w:val="none" w:sz="0" w:space="0" w:color="auto"/>
        <w:left w:val="none" w:sz="0" w:space="0" w:color="auto"/>
        <w:bottom w:val="none" w:sz="0" w:space="0" w:color="auto"/>
        <w:right w:val="none" w:sz="0" w:space="0" w:color="auto"/>
      </w:divBdr>
    </w:div>
    <w:div w:id="1272317738">
      <w:bodyDiv w:val="1"/>
      <w:marLeft w:val="0"/>
      <w:marRight w:val="0"/>
      <w:marTop w:val="0"/>
      <w:marBottom w:val="0"/>
      <w:divBdr>
        <w:top w:val="none" w:sz="0" w:space="0" w:color="auto"/>
        <w:left w:val="none" w:sz="0" w:space="0" w:color="auto"/>
        <w:bottom w:val="none" w:sz="0" w:space="0" w:color="auto"/>
        <w:right w:val="none" w:sz="0" w:space="0" w:color="auto"/>
      </w:divBdr>
    </w:div>
    <w:div w:id="1276910015">
      <w:bodyDiv w:val="1"/>
      <w:marLeft w:val="0"/>
      <w:marRight w:val="0"/>
      <w:marTop w:val="0"/>
      <w:marBottom w:val="0"/>
      <w:divBdr>
        <w:top w:val="none" w:sz="0" w:space="0" w:color="auto"/>
        <w:left w:val="none" w:sz="0" w:space="0" w:color="auto"/>
        <w:bottom w:val="none" w:sz="0" w:space="0" w:color="auto"/>
        <w:right w:val="none" w:sz="0" w:space="0" w:color="auto"/>
      </w:divBdr>
    </w:div>
    <w:div w:id="1279726357">
      <w:bodyDiv w:val="1"/>
      <w:marLeft w:val="0"/>
      <w:marRight w:val="0"/>
      <w:marTop w:val="0"/>
      <w:marBottom w:val="0"/>
      <w:divBdr>
        <w:top w:val="none" w:sz="0" w:space="0" w:color="auto"/>
        <w:left w:val="none" w:sz="0" w:space="0" w:color="auto"/>
        <w:bottom w:val="none" w:sz="0" w:space="0" w:color="auto"/>
        <w:right w:val="none" w:sz="0" w:space="0" w:color="auto"/>
      </w:divBdr>
    </w:div>
    <w:div w:id="1284263296">
      <w:bodyDiv w:val="1"/>
      <w:marLeft w:val="0"/>
      <w:marRight w:val="0"/>
      <w:marTop w:val="0"/>
      <w:marBottom w:val="0"/>
      <w:divBdr>
        <w:top w:val="none" w:sz="0" w:space="0" w:color="auto"/>
        <w:left w:val="none" w:sz="0" w:space="0" w:color="auto"/>
        <w:bottom w:val="none" w:sz="0" w:space="0" w:color="auto"/>
        <w:right w:val="none" w:sz="0" w:space="0" w:color="auto"/>
      </w:divBdr>
    </w:div>
    <w:div w:id="1291203497">
      <w:bodyDiv w:val="1"/>
      <w:marLeft w:val="0"/>
      <w:marRight w:val="0"/>
      <w:marTop w:val="0"/>
      <w:marBottom w:val="0"/>
      <w:divBdr>
        <w:top w:val="none" w:sz="0" w:space="0" w:color="auto"/>
        <w:left w:val="none" w:sz="0" w:space="0" w:color="auto"/>
        <w:bottom w:val="none" w:sz="0" w:space="0" w:color="auto"/>
        <w:right w:val="none" w:sz="0" w:space="0" w:color="auto"/>
      </w:divBdr>
    </w:div>
    <w:div w:id="1295989406">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0723747">
      <w:bodyDiv w:val="1"/>
      <w:marLeft w:val="0"/>
      <w:marRight w:val="0"/>
      <w:marTop w:val="0"/>
      <w:marBottom w:val="0"/>
      <w:divBdr>
        <w:top w:val="none" w:sz="0" w:space="0" w:color="auto"/>
        <w:left w:val="none" w:sz="0" w:space="0" w:color="auto"/>
        <w:bottom w:val="none" w:sz="0" w:space="0" w:color="auto"/>
        <w:right w:val="none" w:sz="0" w:space="0" w:color="auto"/>
      </w:divBdr>
    </w:div>
    <w:div w:id="1301691831">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05358201">
      <w:bodyDiv w:val="1"/>
      <w:marLeft w:val="0"/>
      <w:marRight w:val="0"/>
      <w:marTop w:val="0"/>
      <w:marBottom w:val="0"/>
      <w:divBdr>
        <w:top w:val="none" w:sz="0" w:space="0" w:color="auto"/>
        <w:left w:val="none" w:sz="0" w:space="0" w:color="auto"/>
        <w:bottom w:val="none" w:sz="0" w:space="0" w:color="auto"/>
        <w:right w:val="none" w:sz="0" w:space="0" w:color="auto"/>
      </w:divBdr>
    </w:div>
    <w:div w:id="1306473233">
      <w:bodyDiv w:val="1"/>
      <w:marLeft w:val="0"/>
      <w:marRight w:val="0"/>
      <w:marTop w:val="0"/>
      <w:marBottom w:val="0"/>
      <w:divBdr>
        <w:top w:val="none" w:sz="0" w:space="0" w:color="auto"/>
        <w:left w:val="none" w:sz="0" w:space="0" w:color="auto"/>
        <w:bottom w:val="none" w:sz="0" w:space="0" w:color="auto"/>
        <w:right w:val="none" w:sz="0" w:space="0" w:color="auto"/>
      </w:divBdr>
    </w:div>
    <w:div w:id="1307778335">
      <w:bodyDiv w:val="1"/>
      <w:marLeft w:val="0"/>
      <w:marRight w:val="0"/>
      <w:marTop w:val="0"/>
      <w:marBottom w:val="0"/>
      <w:divBdr>
        <w:top w:val="none" w:sz="0" w:space="0" w:color="auto"/>
        <w:left w:val="none" w:sz="0" w:space="0" w:color="auto"/>
        <w:bottom w:val="none" w:sz="0" w:space="0" w:color="auto"/>
        <w:right w:val="none" w:sz="0" w:space="0" w:color="auto"/>
      </w:divBdr>
    </w:div>
    <w:div w:id="1311984147">
      <w:bodyDiv w:val="1"/>
      <w:marLeft w:val="0"/>
      <w:marRight w:val="0"/>
      <w:marTop w:val="0"/>
      <w:marBottom w:val="0"/>
      <w:divBdr>
        <w:top w:val="none" w:sz="0" w:space="0" w:color="auto"/>
        <w:left w:val="none" w:sz="0" w:space="0" w:color="auto"/>
        <w:bottom w:val="none" w:sz="0" w:space="0" w:color="auto"/>
        <w:right w:val="none" w:sz="0" w:space="0" w:color="auto"/>
      </w:divBdr>
    </w:div>
    <w:div w:id="1312366187">
      <w:bodyDiv w:val="1"/>
      <w:marLeft w:val="0"/>
      <w:marRight w:val="0"/>
      <w:marTop w:val="0"/>
      <w:marBottom w:val="0"/>
      <w:divBdr>
        <w:top w:val="none" w:sz="0" w:space="0" w:color="auto"/>
        <w:left w:val="none" w:sz="0" w:space="0" w:color="auto"/>
        <w:bottom w:val="none" w:sz="0" w:space="0" w:color="auto"/>
        <w:right w:val="none" w:sz="0" w:space="0" w:color="auto"/>
      </w:divBdr>
    </w:div>
    <w:div w:id="1312755156">
      <w:bodyDiv w:val="1"/>
      <w:marLeft w:val="0"/>
      <w:marRight w:val="0"/>
      <w:marTop w:val="0"/>
      <w:marBottom w:val="0"/>
      <w:divBdr>
        <w:top w:val="none" w:sz="0" w:space="0" w:color="auto"/>
        <w:left w:val="none" w:sz="0" w:space="0" w:color="auto"/>
        <w:bottom w:val="none" w:sz="0" w:space="0" w:color="auto"/>
        <w:right w:val="none" w:sz="0" w:space="0" w:color="auto"/>
      </w:divBdr>
    </w:div>
    <w:div w:id="1315373869">
      <w:bodyDiv w:val="1"/>
      <w:marLeft w:val="0"/>
      <w:marRight w:val="0"/>
      <w:marTop w:val="0"/>
      <w:marBottom w:val="0"/>
      <w:divBdr>
        <w:top w:val="none" w:sz="0" w:space="0" w:color="auto"/>
        <w:left w:val="none" w:sz="0" w:space="0" w:color="auto"/>
        <w:bottom w:val="none" w:sz="0" w:space="0" w:color="auto"/>
        <w:right w:val="none" w:sz="0" w:space="0" w:color="auto"/>
      </w:divBdr>
    </w:div>
    <w:div w:id="1316029074">
      <w:bodyDiv w:val="1"/>
      <w:marLeft w:val="0"/>
      <w:marRight w:val="0"/>
      <w:marTop w:val="0"/>
      <w:marBottom w:val="0"/>
      <w:divBdr>
        <w:top w:val="none" w:sz="0" w:space="0" w:color="auto"/>
        <w:left w:val="none" w:sz="0" w:space="0" w:color="auto"/>
        <w:bottom w:val="none" w:sz="0" w:space="0" w:color="auto"/>
        <w:right w:val="none" w:sz="0" w:space="0" w:color="auto"/>
      </w:divBdr>
    </w:div>
    <w:div w:id="1321155712">
      <w:bodyDiv w:val="1"/>
      <w:marLeft w:val="0"/>
      <w:marRight w:val="0"/>
      <w:marTop w:val="0"/>
      <w:marBottom w:val="0"/>
      <w:divBdr>
        <w:top w:val="none" w:sz="0" w:space="0" w:color="auto"/>
        <w:left w:val="none" w:sz="0" w:space="0" w:color="auto"/>
        <w:bottom w:val="none" w:sz="0" w:space="0" w:color="auto"/>
        <w:right w:val="none" w:sz="0" w:space="0" w:color="auto"/>
      </w:divBdr>
    </w:div>
    <w:div w:id="1325939020">
      <w:bodyDiv w:val="1"/>
      <w:marLeft w:val="0"/>
      <w:marRight w:val="0"/>
      <w:marTop w:val="0"/>
      <w:marBottom w:val="0"/>
      <w:divBdr>
        <w:top w:val="none" w:sz="0" w:space="0" w:color="auto"/>
        <w:left w:val="none" w:sz="0" w:space="0" w:color="auto"/>
        <w:bottom w:val="none" w:sz="0" w:space="0" w:color="auto"/>
        <w:right w:val="none" w:sz="0" w:space="0" w:color="auto"/>
      </w:divBdr>
    </w:div>
    <w:div w:id="1326593908">
      <w:bodyDiv w:val="1"/>
      <w:marLeft w:val="0"/>
      <w:marRight w:val="0"/>
      <w:marTop w:val="0"/>
      <w:marBottom w:val="0"/>
      <w:divBdr>
        <w:top w:val="none" w:sz="0" w:space="0" w:color="auto"/>
        <w:left w:val="none" w:sz="0" w:space="0" w:color="auto"/>
        <w:bottom w:val="none" w:sz="0" w:space="0" w:color="auto"/>
        <w:right w:val="none" w:sz="0" w:space="0" w:color="auto"/>
      </w:divBdr>
    </w:div>
    <w:div w:id="1329292133">
      <w:bodyDiv w:val="1"/>
      <w:marLeft w:val="0"/>
      <w:marRight w:val="0"/>
      <w:marTop w:val="0"/>
      <w:marBottom w:val="0"/>
      <w:divBdr>
        <w:top w:val="none" w:sz="0" w:space="0" w:color="auto"/>
        <w:left w:val="none" w:sz="0" w:space="0" w:color="auto"/>
        <w:bottom w:val="none" w:sz="0" w:space="0" w:color="auto"/>
        <w:right w:val="none" w:sz="0" w:space="0" w:color="auto"/>
      </w:divBdr>
    </w:div>
    <w:div w:id="1335256140">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7906085">
      <w:bodyDiv w:val="1"/>
      <w:marLeft w:val="0"/>
      <w:marRight w:val="0"/>
      <w:marTop w:val="0"/>
      <w:marBottom w:val="0"/>
      <w:divBdr>
        <w:top w:val="none" w:sz="0" w:space="0" w:color="auto"/>
        <w:left w:val="none" w:sz="0" w:space="0" w:color="auto"/>
        <w:bottom w:val="none" w:sz="0" w:space="0" w:color="auto"/>
        <w:right w:val="none" w:sz="0" w:space="0" w:color="auto"/>
      </w:divBdr>
    </w:div>
    <w:div w:id="1351109222">
      <w:bodyDiv w:val="1"/>
      <w:marLeft w:val="0"/>
      <w:marRight w:val="0"/>
      <w:marTop w:val="0"/>
      <w:marBottom w:val="0"/>
      <w:divBdr>
        <w:top w:val="none" w:sz="0" w:space="0" w:color="auto"/>
        <w:left w:val="none" w:sz="0" w:space="0" w:color="auto"/>
        <w:bottom w:val="none" w:sz="0" w:space="0" w:color="auto"/>
        <w:right w:val="none" w:sz="0" w:space="0" w:color="auto"/>
      </w:divBdr>
    </w:div>
    <w:div w:id="1352950051">
      <w:bodyDiv w:val="1"/>
      <w:marLeft w:val="0"/>
      <w:marRight w:val="0"/>
      <w:marTop w:val="0"/>
      <w:marBottom w:val="0"/>
      <w:divBdr>
        <w:top w:val="none" w:sz="0" w:space="0" w:color="auto"/>
        <w:left w:val="none" w:sz="0" w:space="0" w:color="auto"/>
        <w:bottom w:val="none" w:sz="0" w:space="0" w:color="auto"/>
        <w:right w:val="none" w:sz="0" w:space="0" w:color="auto"/>
      </w:divBdr>
    </w:div>
    <w:div w:id="1355882814">
      <w:bodyDiv w:val="1"/>
      <w:marLeft w:val="0"/>
      <w:marRight w:val="0"/>
      <w:marTop w:val="0"/>
      <w:marBottom w:val="0"/>
      <w:divBdr>
        <w:top w:val="none" w:sz="0" w:space="0" w:color="auto"/>
        <w:left w:val="none" w:sz="0" w:space="0" w:color="auto"/>
        <w:bottom w:val="none" w:sz="0" w:space="0" w:color="auto"/>
        <w:right w:val="none" w:sz="0" w:space="0" w:color="auto"/>
      </w:divBdr>
    </w:div>
    <w:div w:id="1358627665">
      <w:bodyDiv w:val="1"/>
      <w:marLeft w:val="0"/>
      <w:marRight w:val="0"/>
      <w:marTop w:val="0"/>
      <w:marBottom w:val="0"/>
      <w:divBdr>
        <w:top w:val="none" w:sz="0" w:space="0" w:color="auto"/>
        <w:left w:val="none" w:sz="0" w:space="0" w:color="auto"/>
        <w:bottom w:val="none" w:sz="0" w:space="0" w:color="auto"/>
        <w:right w:val="none" w:sz="0" w:space="0" w:color="auto"/>
      </w:divBdr>
    </w:div>
    <w:div w:id="1358850082">
      <w:bodyDiv w:val="1"/>
      <w:marLeft w:val="0"/>
      <w:marRight w:val="0"/>
      <w:marTop w:val="0"/>
      <w:marBottom w:val="0"/>
      <w:divBdr>
        <w:top w:val="none" w:sz="0" w:space="0" w:color="auto"/>
        <w:left w:val="none" w:sz="0" w:space="0" w:color="auto"/>
        <w:bottom w:val="none" w:sz="0" w:space="0" w:color="auto"/>
        <w:right w:val="none" w:sz="0" w:space="0" w:color="auto"/>
      </w:divBdr>
    </w:div>
    <w:div w:id="1365836483">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80789150">
      <w:bodyDiv w:val="1"/>
      <w:marLeft w:val="0"/>
      <w:marRight w:val="0"/>
      <w:marTop w:val="0"/>
      <w:marBottom w:val="0"/>
      <w:divBdr>
        <w:top w:val="none" w:sz="0" w:space="0" w:color="auto"/>
        <w:left w:val="none" w:sz="0" w:space="0" w:color="auto"/>
        <w:bottom w:val="none" w:sz="0" w:space="0" w:color="auto"/>
        <w:right w:val="none" w:sz="0" w:space="0" w:color="auto"/>
      </w:divBdr>
    </w:div>
    <w:div w:id="1382628036">
      <w:bodyDiv w:val="1"/>
      <w:marLeft w:val="0"/>
      <w:marRight w:val="0"/>
      <w:marTop w:val="0"/>
      <w:marBottom w:val="0"/>
      <w:divBdr>
        <w:top w:val="none" w:sz="0" w:space="0" w:color="auto"/>
        <w:left w:val="none" w:sz="0" w:space="0" w:color="auto"/>
        <w:bottom w:val="none" w:sz="0" w:space="0" w:color="auto"/>
        <w:right w:val="none" w:sz="0" w:space="0" w:color="auto"/>
      </w:divBdr>
    </w:div>
    <w:div w:id="1383089869">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2969198">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398550413">
      <w:bodyDiv w:val="1"/>
      <w:marLeft w:val="0"/>
      <w:marRight w:val="0"/>
      <w:marTop w:val="0"/>
      <w:marBottom w:val="0"/>
      <w:divBdr>
        <w:top w:val="none" w:sz="0" w:space="0" w:color="auto"/>
        <w:left w:val="none" w:sz="0" w:space="0" w:color="auto"/>
        <w:bottom w:val="none" w:sz="0" w:space="0" w:color="auto"/>
        <w:right w:val="none" w:sz="0" w:space="0" w:color="auto"/>
      </w:divBdr>
    </w:div>
    <w:div w:id="1404065319">
      <w:bodyDiv w:val="1"/>
      <w:marLeft w:val="0"/>
      <w:marRight w:val="0"/>
      <w:marTop w:val="0"/>
      <w:marBottom w:val="0"/>
      <w:divBdr>
        <w:top w:val="none" w:sz="0" w:space="0" w:color="auto"/>
        <w:left w:val="none" w:sz="0" w:space="0" w:color="auto"/>
        <w:bottom w:val="none" w:sz="0" w:space="0" w:color="auto"/>
        <w:right w:val="none" w:sz="0" w:space="0" w:color="auto"/>
      </w:divBdr>
    </w:div>
    <w:div w:id="1406369460">
      <w:bodyDiv w:val="1"/>
      <w:marLeft w:val="0"/>
      <w:marRight w:val="0"/>
      <w:marTop w:val="0"/>
      <w:marBottom w:val="0"/>
      <w:divBdr>
        <w:top w:val="none" w:sz="0" w:space="0" w:color="auto"/>
        <w:left w:val="none" w:sz="0" w:space="0" w:color="auto"/>
        <w:bottom w:val="none" w:sz="0" w:space="0" w:color="auto"/>
        <w:right w:val="none" w:sz="0" w:space="0" w:color="auto"/>
      </w:divBdr>
    </w:div>
    <w:div w:id="1411542358">
      <w:bodyDiv w:val="1"/>
      <w:marLeft w:val="0"/>
      <w:marRight w:val="0"/>
      <w:marTop w:val="0"/>
      <w:marBottom w:val="0"/>
      <w:divBdr>
        <w:top w:val="none" w:sz="0" w:space="0" w:color="auto"/>
        <w:left w:val="none" w:sz="0" w:space="0" w:color="auto"/>
        <w:bottom w:val="none" w:sz="0" w:space="0" w:color="auto"/>
        <w:right w:val="none" w:sz="0" w:space="0" w:color="auto"/>
      </w:divBdr>
    </w:div>
    <w:div w:id="1416904104">
      <w:bodyDiv w:val="1"/>
      <w:marLeft w:val="0"/>
      <w:marRight w:val="0"/>
      <w:marTop w:val="0"/>
      <w:marBottom w:val="0"/>
      <w:divBdr>
        <w:top w:val="none" w:sz="0" w:space="0" w:color="auto"/>
        <w:left w:val="none" w:sz="0" w:space="0" w:color="auto"/>
        <w:bottom w:val="none" w:sz="0" w:space="0" w:color="auto"/>
        <w:right w:val="none" w:sz="0" w:space="0" w:color="auto"/>
      </w:divBdr>
    </w:div>
    <w:div w:id="1424112426">
      <w:bodyDiv w:val="1"/>
      <w:marLeft w:val="0"/>
      <w:marRight w:val="0"/>
      <w:marTop w:val="0"/>
      <w:marBottom w:val="0"/>
      <w:divBdr>
        <w:top w:val="none" w:sz="0" w:space="0" w:color="auto"/>
        <w:left w:val="none" w:sz="0" w:space="0" w:color="auto"/>
        <w:bottom w:val="none" w:sz="0" w:space="0" w:color="auto"/>
        <w:right w:val="none" w:sz="0" w:space="0" w:color="auto"/>
      </w:divBdr>
    </w:div>
    <w:div w:id="1426879241">
      <w:bodyDiv w:val="1"/>
      <w:marLeft w:val="0"/>
      <w:marRight w:val="0"/>
      <w:marTop w:val="0"/>
      <w:marBottom w:val="0"/>
      <w:divBdr>
        <w:top w:val="none" w:sz="0" w:space="0" w:color="auto"/>
        <w:left w:val="none" w:sz="0" w:space="0" w:color="auto"/>
        <w:bottom w:val="none" w:sz="0" w:space="0" w:color="auto"/>
        <w:right w:val="none" w:sz="0" w:space="0" w:color="auto"/>
      </w:divBdr>
    </w:div>
    <w:div w:id="1430347471">
      <w:bodyDiv w:val="1"/>
      <w:marLeft w:val="0"/>
      <w:marRight w:val="0"/>
      <w:marTop w:val="0"/>
      <w:marBottom w:val="0"/>
      <w:divBdr>
        <w:top w:val="none" w:sz="0" w:space="0" w:color="auto"/>
        <w:left w:val="none" w:sz="0" w:space="0" w:color="auto"/>
        <w:bottom w:val="none" w:sz="0" w:space="0" w:color="auto"/>
        <w:right w:val="none" w:sz="0" w:space="0" w:color="auto"/>
      </w:divBdr>
    </w:div>
    <w:div w:id="1430586715">
      <w:bodyDiv w:val="1"/>
      <w:marLeft w:val="0"/>
      <w:marRight w:val="0"/>
      <w:marTop w:val="0"/>
      <w:marBottom w:val="0"/>
      <w:divBdr>
        <w:top w:val="none" w:sz="0" w:space="0" w:color="auto"/>
        <w:left w:val="none" w:sz="0" w:space="0" w:color="auto"/>
        <w:bottom w:val="none" w:sz="0" w:space="0" w:color="auto"/>
        <w:right w:val="none" w:sz="0" w:space="0" w:color="auto"/>
      </w:divBdr>
    </w:div>
    <w:div w:id="1433277838">
      <w:bodyDiv w:val="1"/>
      <w:marLeft w:val="0"/>
      <w:marRight w:val="0"/>
      <w:marTop w:val="0"/>
      <w:marBottom w:val="0"/>
      <w:divBdr>
        <w:top w:val="none" w:sz="0" w:space="0" w:color="auto"/>
        <w:left w:val="none" w:sz="0" w:space="0" w:color="auto"/>
        <w:bottom w:val="none" w:sz="0" w:space="0" w:color="auto"/>
        <w:right w:val="none" w:sz="0" w:space="0" w:color="auto"/>
      </w:divBdr>
    </w:div>
    <w:div w:id="1437360256">
      <w:bodyDiv w:val="1"/>
      <w:marLeft w:val="0"/>
      <w:marRight w:val="0"/>
      <w:marTop w:val="0"/>
      <w:marBottom w:val="0"/>
      <w:divBdr>
        <w:top w:val="none" w:sz="0" w:space="0" w:color="auto"/>
        <w:left w:val="none" w:sz="0" w:space="0" w:color="auto"/>
        <w:bottom w:val="none" w:sz="0" w:space="0" w:color="auto"/>
        <w:right w:val="none" w:sz="0" w:space="0" w:color="auto"/>
      </w:divBdr>
    </w:div>
    <w:div w:id="1445885670">
      <w:bodyDiv w:val="1"/>
      <w:marLeft w:val="0"/>
      <w:marRight w:val="0"/>
      <w:marTop w:val="0"/>
      <w:marBottom w:val="0"/>
      <w:divBdr>
        <w:top w:val="none" w:sz="0" w:space="0" w:color="auto"/>
        <w:left w:val="none" w:sz="0" w:space="0" w:color="auto"/>
        <w:bottom w:val="none" w:sz="0" w:space="0" w:color="auto"/>
        <w:right w:val="none" w:sz="0" w:space="0" w:color="auto"/>
      </w:divBdr>
      <w:divsChild>
        <w:div w:id="1012604475">
          <w:marLeft w:val="0"/>
          <w:marRight w:val="0"/>
          <w:marTop w:val="100"/>
          <w:marBottom w:val="100"/>
          <w:divBdr>
            <w:top w:val="none" w:sz="0" w:space="0" w:color="auto"/>
            <w:left w:val="none" w:sz="0" w:space="0" w:color="auto"/>
            <w:bottom w:val="none" w:sz="0" w:space="0" w:color="auto"/>
            <w:right w:val="none" w:sz="0" w:space="0" w:color="auto"/>
          </w:divBdr>
          <w:divsChild>
            <w:div w:id="325519492">
              <w:marLeft w:val="0"/>
              <w:marRight w:val="0"/>
              <w:marTop w:val="0"/>
              <w:marBottom w:val="0"/>
              <w:divBdr>
                <w:top w:val="none" w:sz="0" w:space="0" w:color="auto"/>
                <w:left w:val="none" w:sz="0" w:space="0" w:color="auto"/>
                <w:bottom w:val="none" w:sz="0" w:space="0" w:color="auto"/>
                <w:right w:val="none" w:sz="0" w:space="0" w:color="auto"/>
              </w:divBdr>
              <w:divsChild>
                <w:div w:id="981614076">
                  <w:marLeft w:val="0"/>
                  <w:marRight w:val="0"/>
                  <w:marTop w:val="0"/>
                  <w:marBottom w:val="0"/>
                  <w:divBdr>
                    <w:top w:val="none" w:sz="0" w:space="0" w:color="auto"/>
                    <w:left w:val="none" w:sz="0" w:space="0" w:color="auto"/>
                    <w:bottom w:val="none" w:sz="0" w:space="0" w:color="auto"/>
                    <w:right w:val="none" w:sz="0" w:space="0" w:color="auto"/>
                  </w:divBdr>
                  <w:divsChild>
                    <w:div w:id="404451710">
                      <w:marLeft w:val="0"/>
                      <w:marRight w:val="0"/>
                      <w:marTop w:val="0"/>
                      <w:marBottom w:val="0"/>
                      <w:divBdr>
                        <w:top w:val="none" w:sz="0" w:space="0" w:color="auto"/>
                        <w:left w:val="none" w:sz="0" w:space="0" w:color="auto"/>
                        <w:bottom w:val="none" w:sz="0" w:space="0" w:color="auto"/>
                        <w:right w:val="none" w:sz="0" w:space="0" w:color="auto"/>
                      </w:divBdr>
                      <w:divsChild>
                        <w:div w:id="829517652">
                          <w:marLeft w:val="0"/>
                          <w:marRight w:val="0"/>
                          <w:marTop w:val="0"/>
                          <w:marBottom w:val="0"/>
                          <w:divBdr>
                            <w:top w:val="none" w:sz="0" w:space="0" w:color="auto"/>
                            <w:left w:val="none" w:sz="0" w:space="0" w:color="auto"/>
                            <w:bottom w:val="none" w:sz="0" w:space="0" w:color="auto"/>
                            <w:right w:val="none" w:sz="0" w:space="0" w:color="auto"/>
                          </w:divBdr>
                          <w:divsChild>
                            <w:div w:id="19267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656083">
      <w:bodyDiv w:val="1"/>
      <w:marLeft w:val="0"/>
      <w:marRight w:val="0"/>
      <w:marTop w:val="0"/>
      <w:marBottom w:val="0"/>
      <w:divBdr>
        <w:top w:val="none" w:sz="0" w:space="0" w:color="auto"/>
        <w:left w:val="none" w:sz="0" w:space="0" w:color="auto"/>
        <w:bottom w:val="none" w:sz="0" w:space="0" w:color="auto"/>
        <w:right w:val="none" w:sz="0" w:space="0" w:color="auto"/>
      </w:divBdr>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54785565">
      <w:bodyDiv w:val="1"/>
      <w:marLeft w:val="0"/>
      <w:marRight w:val="0"/>
      <w:marTop w:val="0"/>
      <w:marBottom w:val="0"/>
      <w:divBdr>
        <w:top w:val="none" w:sz="0" w:space="0" w:color="auto"/>
        <w:left w:val="none" w:sz="0" w:space="0" w:color="auto"/>
        <w:bottom w:val="none" w:sz="0" w:space="0" w:color="auto"/>
        <w:right w:val="none" w:sz="0" w:space="0" w:color="auto"/>
      </w:divBdr>
    </w:div>
    <w:div w:id="1461453899">
      <w:bodyDiv w:val="1"/>
      <w:marLeft w:val="0"/>
      <w:marRight w:val="0"/>
      <w:marTop w:val="0"/>
      <w:marBottom w:val="0"/>
      <w:divBdr>
        <w:top w:val="none" w:sz="0" w:space="0" w:color="auto"/>
        <w:left w:val="none" w:sz="0" w:space="0" w:color="auto"/>
        <w:bottom w:val="none" w:sz="0" w:space="0" w:color="auto"/>
        <w:right w:val="none" w:sz="0" w:space="0" w:color="auto"/>
      </w:divBdr>
    </w:div>
    <w:div w:id="1463500300">
      <w:bodyDiv w:val="1"/>
      <w:marLeft w:val="0"/>
      <w:marRight w:val="0"/>
      <w:marTop w:val="0"/>
      <w:marBottom w:val="0"/>
      <w:divBdr>
        <w:top w:val="none" w:sz="0" w:space="0" w:color="auto"/>
        <w:left w:val="none" w:sz="0" w:space="0" w:color="auto"/>
        <w:bottom w:val="none" w:sz="0" w:space="0" w:color="auto"/>
        <w:right w:val="none" w:sz="0" w:space="0" w:color="auto"/>
      </w:divBdr>
    </w:div>
    <w:div w:id="1471171765">
      <w:bodyDiv w:val="1"/>
      <w:marLeft w:val="0"/>
      <w:marRight w:val="0"/>
      <w:marTop w:val="0"/>
      <w:marBottom w:val="0"/>
      <w:divBdr>
        <w:top w:val="none" w:sz="0" w:space="0" w:color="auto"/>
        <w:left w:val="none" w:sz="0" w:space="0" w:color="auto"/>
        <w:bottom w:val="none" w:sz="0" w:space="0" w:color="auto"/>
        <w:right w:val="none" w:sz="0" w:space="0" w:color="auto"/>
      </w:divBdr>
    </w:div>
    <w:div w:id="1475098156">
      <w:bodyDiv w:val="1"/>
      <w:marLeft w:val="0"/>
      <w:marRight w:val="0"/>
      <w:marTop w:val="0"/>
      <w:marBottom w:val="0"/>
      <w:divBdr>
        <w:top w:val="none" w:sz="0" w:space="0" w:color="auto"/>
        <w:left w:val="none" w:sz="0" w:space="0" w:color="auto"/>
        <w:bottom w:val="none" w:sz="0" w:space="0" w:color="auto"/>
        <w:right w:val="none" w:sz="0" w:space="0" w:color="auto"/>
      </w:divBdr>
    </w:div>
    <w:div w:id="1477648195">
      <w:bodyDiv w:val="1"/>
      <w:marLeft w:val="0"/>
      <w:marRight w:val="0"/>
      <w:marTop w:val="0"/>
      <w:marBottom w:val="0"/>
      <w:divBdr>
        <w:top w:val="none" w:sz="0" w:space="0" w:color="auto"/>
        <w:left w:val="none" w:sz="0" w:space="0" w:color="auto"/>
        <w:bottom w:val="none" w:sz="0" w:space="0" w:color="auto"/>
        <w:right w:val="none" w:sz="0" w:space="0" w:color="auto"/>
      </w:divBdr>
    </w:div>
    <w:div w:id="1483306971">
      <w:bodyDiv w:val="1"/>
      <w:marLeft w:val="0"/>
      <w:marRight w:val="0"/>
      <w:marTop w:val="0"/>
      <w:marBottom w:val="0"/>
      <w:divBdr>
        <w:top w:val="none" w:sz="0" w:space="0" w:color="auto"/>
        <w:left w:val="none" w:sz="0" w:space="0" w:color="auto"/>
        <w:bottom w:val="none" w:sz="0" w:space="0" w:color="auto"/>
        <w:right w:val="none" w:sz="0" w:space="0" w:color="auto"/>
      </w:divBdr>
    </w:div>
    <w:div w:id="1485315691">
      <w:bodyDiv w:val="1"/>
      <w:marLeft w:val="0"/>
      <w:marRight w:val="0"/>
      <w:marTop w:val="0"/>
      <w:marBottom w:val="0"/>
      <w:divBdr>
        <w:top w:val="none" w:sz="0" w:space="0" w:color="auto"/>
        <w:left w:val="none" w:sz="0" w:space="0" w:color="auto"/>
        <w:bottom w:val="none" w:sz="0" w:space="0" w:color="auto"/>
        <w:right w:val="none" w:sz="0" w:space="0" w:color="auto"/>
      </w:divBdr>
    </w:div>
    <w:div w:id="1488323317">
      <w:bodyDiv w:val="1"/>
      <w:marLeft w:val="0"/>
      <w:marRight w:val="0"/>
      <w:marTop w:val="0"/>
      <w:marBottom w:val="0"/>
      <w:divBdr>
        <w:top w:val="none" w:sz="0" w:space="0" w:color="auto"/>
        <w:left w:val="none" w:sz="0" w:space="0" w:color="auto"/>
        <w:bottom w:val="none" w:sz="0" w:space="0" w:color="auto"/>
        <w:right w:val="none" w:sz="0" w:space="0" w:color="auto"/>
      </w:divBdr>
    </w:div>
    <w:div w:id="1490515858">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494492850">
      <w:bodyDiv w:val="1"/>
      <w:marLeft w:val="0"/>
      <w:marRight w:val="0"/>
      <w:marTop w:val="0"/>
      <w:marBottom w:val="0"/>
      <w:divBdr>
        <w:top w:val="none" w:sz="0" w:space="0" w:color="auto"/>
        <w:left w:val="none" w:sz="0" w:space="0" w:color="auto"/>
        <w:bottom w:val="none" w:sz="0" w:space="0" w:color="auto"/>
        <w:right w:val="none" w:sz="0" w:space="0" w:color="auto"/>
      </w:divBdr>
    </w:div>
    <w:div w:id="1513111061">
      <w:bodyDiv w:val="1"/>
      <w:marLeft w:val="0"/>
      <w:marRight w:val="0"/>
      <w:marTop w:val="0"/>
      <w:marBottom w:val="0"/>
      <w:divBdr>
        <w:top w:val="none" w:sz="0" w:space="0" w:color="auto"/>
        <w:left w:val="none" w:sz="0" w:space="0" w:color="auto"/>
        <w:bottom w:val="none" w:sz="0" w:space="0" w:color="auto"/>
        <w:right w:val="none" w:sz="0" w:space="0" w:color="auto"/>
      </w:divBdr>
    </w:div>
    <w:div w:id="1517845291">
      <w:bodyDiv w:val="1"/>
      <w:marLeft w:val="0"/>
      <w:marRight w:val="0"/>
      <w:marTop w:val="0"/>
      <w:marBottom w:val="0"/>
      <w:divBdr>
        <w:top w:val="none" w:sz="0" w:space="0" w:color="auto"/>
        <w:left w:val="none" w:sz="0" w:space="0" w:color="auto"/>
        <w:bottom w:val="none" w:sz="0" w:space="0" w:color="auto"/>
        <w:right w:val="none" w:sz="0" w:space="0" w:color="auto"/>
      </w:divBdr>
    </w:div>
    <w:div w:id="1521970254">
      <w:bodyDiv w:val="1"/>
      <w:marLeft w:val="0"/>
      <w:marRight w:val="0"/>
      <w:marTop w:val="0"/>
      <w:marBottom w:val="0"/>
      <w:divBdr>
        <w:top w:val="none" w:sz="0" w:space="0" w:color="auto"/>
        <w:left w:val="none" w:sz="0" w:space="0" w:color="auto"/>
        <w:bottom w:val="none" w:sz="0" w:space="0" w:color="auto"/>
        <w:right w:val="none" w:sz="0" w:space="0" w:color="auto"/>
      </w:divBdr>
    </w:div>
    <w:div w:id="1525174722">
      <w:bodyDiv w:val="1"/>
      <w:marLeft w:val="0"/>
      <w:marRight w:val="0"/>
      <w:marTop w:val="0"/>
      <w:marBottom w:val="0"/>
      <w:divBdr>
        <w:top w:val="none" w:sz="0" w:space="0" w:color="auto"/>
        <w:left w:val="none" w:sz="0" w:space="0" w:color="auto"/>
        <w:bottom w:val="none" w:sz="0" w:space="0" w:color="auto"/>
        <w:right w:val="none" w:sz="0" w:space="0" w:color="auto"/>
      </w:divBdr>
    </w:div>
    <w:div w:id="1528255931">
      <w:bodyDiv w:val="1"/>
      <w:marLeft w:val="0"/>
      <w:marRight w:val="0"/>
      <w:marTop w:val="0"/>
      <w:marBottom w:val="0"/>
      <w:divBdr>
        <w:top w:val="none" w:sz="0" w:space="0" w:color="auto"/>
        <w:left w:val="none" w:sz="0" w:space="0" w:color="auto"/>
        <w:bottom w:val="none" w:sz="0" w:space="0" w:color="auto"/>
        <w:right w:val="none" w:sz="0" w:space="0" w:color="auto"/>
      </w:divBdr>
    </w:div>
    <w:div w:id="1531458451">
      <w:bodyDiv w:val="1"/>
      <w:marLeft w:val="0"/>
      <w:marRight w:val="0"/>
      <w:marTop w:val="0"/>
      <w:marBottom w:val="0"/>
      <w:divBdr>
        <w:top w:val="none" w:sz="0" w:space="0" w:color="auto"/>
        <w:left w:val="none" w:sz="0" w:space="0" w:color="auto"/>
        <w:bottom w:val="none" w:sz="0" w:space="0" w:color="auto"/>
        <w:right w:val="none" w:sz="0" w:space="0" w:color="auto"/>
      </w:divBdr>
    </w:div>
    <w:div w:id="1535315074">
      <w:bodyDiv w:val="1"/>
      <w:marLeft w:val="0"/>
      <w:marRight w:val="0"/>
      <w:marTop w:val="0"/>
      <w:marBottom w:val="0"/>
      <w:divBdr>
        <w:top w:val="none" w:sz="0" w:space="0" w:color="auto"/>
        <w:left w:val="none" w:sz="0" w:space="0" w:color="auto"/>
        <w:bottom w:val="none" w:sz="0" w:space="0" w:color="auto"/>
        <w:right w:val="none" w:sz="0" w:space="0" w:color="auto"/>
      </w:divBdr>
    </w:div>
    <w:div w:id="1538002496">
      <w:bodyDiv w:val="1"/>
      <w:marLeft w:val="0"/>
      <w:marRight w:val="0"/>
      <w:marTop w:val="0"/>
      <w:marBottom w:val="0"/>
      <w:divBdr>
        <w:top w:val="none" w:sz="0" w:space="0" w:color="auto"/>
        <w:left w:val="none" w:sz="0" w:space="0" w:color="auto"/>
        <w:bottom w:val="none" w:sz="0" w:space="0" w:color="auto"/>
        <w:right w:val="none" w:sz="0" w:space="0" w:color="auto"/>
      </w:divBdr>
    </w:div>
    <w:div w:id="153893515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45290440">
      <w:bodyDiv w:val="1"/>
      <w:marLeft w:val="0"/>
      <w:marRight w:val="0"/>
      <w:marTop w:val="0"/>
      <w:marBottom w:val="0"/>
      <w:divBdr>
        <w:top w:val="none" w:sz="0" w:space="0" w:color="auto"/>
        <w:left w:val="none" w:sz="0" w:space="0" w:color="auto"/>
        <w:bottom w:val="none" w:sz="0" w:space="0" w:color="auto"/>
        <w:right w:val="none" w:sz="0" w:space="0" w:color="auto"/>
      </w:divBdr>
    </w:div>
    <w:div w:id="1546405086">
      <w:bodyDiv w:val="1"/>
      <w:marLeft w:val="0"/>
      <w:marRight w:val="0"/>
      <w:marTop w:val="0"/>
      <w:marBottom w:val="0"/>
      <w:divBdr>
        <w:top w:val="none" w:sz="0" w:space="0" w:color="auto"/>
        <w:left w:val="none" w:sz="0" w:space="0" w:color="auto"/>
        <w:bottom w:val="none" w:sz="0" w:space="0" w:color="auto"/>
        <w:right w:val="none" w:sz="0" w:space="0" w:color="auto"/>
      </w:divBdr>
    </w:div>
    <w:div w:id="1546596063">
      <w:bodyDiv w:val="1"/>
      <w:marLeft w:val="0"/>
      <w:marRight w:val="0"/>
      <w:marTop w:val="0"/>
      <w:marBottom w:val="0"/>
      <w:divBdr>
        <w:top w:val="none" w:sz="0" w:space="0" w:color="auto"/>
        <w:left w:val="none" w:sz="0" w:space="0" w:color="auto"/>
        <w:bottom w:val="none" w:sz="0" w:space="0" w:color="auto"/>
        <w:right w:val="none" w:sz="0" w:space="0" w:color="auto"/>
      </w:divBdr>
    </w:div>
    <w:div w:id="1553886129">
      <w:bodyDiv w:val="1"/>
      <w:marLeft w:val="0"/>
      <w:marRight w:val="0"/>
      <w:marTop w:val="0"/>
      <w:marBottom w:val="0"/>
      <w:divBdr>
        <w:top w:val="none" w:sz="0" w:space="0" w:color="auto"/>
        <w:left w:val="none" w:sz="0" w:space="0" w:color="auto"/>
        <w:bottom w:val="none" w:sz="0" w:space="0" w:color="auto"/>
        <w:right w:val="none" w:sz="0" w:space="0" w:color="auto"/>
      </w:divBdr>
    </w:div>
    <w:div w:id="155426946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64094804">
      <w:bodyDiv w:val="1"/>
      <w:marLeft w:val="0"/>
      <w:marRight w:val="0"/>
      <w:marTop w:val="0"/>
      <w:marBottom w:val="0"/>
      <w:divBdr>
        <w:top w:val="none" w:sz="0" w:space="0" w:color="auto"/>
        <w:left w:val="none" w:sz="0" w:space="0" w:color="auto"/>
        <w:bottom w:val="none" w:sz="0" w:space="0" w:color="auto"/>
        <w:right w:val="none" w:sz="0" w:space="0" w:color="auto"/>
      </w:divBdr>
    </w:div>
    <w:div w:id="1565019730">
      <w:bodyDiv w:val="1"/>
      <w:marLeft w:val="0"/>
      <w:marRight w:val="0"/>
      <w:marTop w:val="0"/>
      <w:marBottom w:val="0"/>
      <w:divBdr>
        <w:top w:val="none" w:sz="0" w:space="0" w:color="auto"/>
        <w:left w:val="none" w:sz="0" w:space="0" w:color="auto"/>
        <w:bottom w:val="none" w:sz="0" w:space="0" w:color="auto"/>
        <w:right w:val="none" w:sz="0" w:space="0" w:color="auto"/>
      </w:divBdr>
    </w:div>
    <w:div w:id="1566836870">
      <w:bodyDiv w:val="1"/>
      <w:marLeft w:val="0"/>
      <w:marRight w:val="0"/>
      <w:marTop w:val="0"/>
      <w:marBottom w:val="0"/>
      <w:divBdr>
        <w:top w:val="none" w:sz="0" w:space="0" w:color="auto"/>
        <w:left w:val="none" w:sz="0" w:space="0" w:color="auto"/>
        <w:bottom w:val="none" w:sz="0" w:space="0" w:color="auto"/>
        <w:right w:val="none" w:sz="0" w:space="0" w:color="auto"/>
      </w:divBdr>
    </w:div>
    <w:div w:id="1568568450">
      <w:bodyDiv w:val="1"/>
      <w:marLeft w:val="0"/>
      <w:marRight w:val="0"/>
      <w:marTop w:val="0"/>
      <w:marBottom w:val="0"/>
      <w:divBdr>
        <w:top w:val="none" w:sz="0" w:space="0" w:color="auto"/>
        <w:left w:val="none" w:sz="0" w:space="0" w:color="auto"/>
        <w:bottom w:val="none" w:sz="0" w:space="0" w:color="auto"/>
        <w:right w:val="none" w:sz="0" w:space="0" w:color="auto"/>
      </w:divBdr>
    </w:div>
    <w:div w:id="1573075595">
      <w:bodyDiv w:val="1"/>
      <w:marLeft w:val="0"/>
      <w:marRight w:val="0"/>
      <w:marTop w:val="0"/>
      <w:marBottom w:val="0"/>
      <w:divBdr>
        <w:top w:val="none" w:sz="0" w:space="0" w:color="auto"/>
        <w:left w:val="none" w:sz="0" w:space="0" w:color="auto"/>
        <w:bottom w:val="none" w:sz="0" w:space="0" w:color="auto"/>
        <w:right w:val="none" w:sz="0" w:space="0" w:color="auto"/>
      </w:divBdr>
    </w:div>
    <w:div w:id="1574585904">
      <w:bodyDiv w:val="1"/>
      <w:marLeft w:val="0"/>
      <w:marRight w:val="0"/>
      <w:marTop w:val="0"/>
      <w:marBottom w:val="0"/>
      <w:divBdr>
        <w:top w:val="none" w:sz="0" w:space="0" w:color="auto"/>
        <w:left w:val="none" w:sz="0" w:space="0" w:color="auto"/>
        <w:bottom w:val="none" w:sz="0" w:space="0" w:color="auto"/>
        <w:right w:val="none" w:sz="0" w:space="0" w:color="auto"/>
      </w:divBdr>
    </w:div>
    <w:div w:id="1576359076">
      <w:bodyDiv w:val="1"/>
      <w:marLeft w:val="0"/>
      <w:marRight w:val="0"/>
      <w:marTop w:val="0"/>
      <w:marBottom w:val="0"/>
      <w:divBdr>
        <w:top w:val="none" w:sz="0" w:space="0" w:color="auto"/>
        <w:left w:val="none" w:sz="0" w:space="0" w:color="auto"/>
        <w:bottom w:val="none" w:sz="0" w:space="0" w:color="auto"/>
        <w:right w:val="none" w:sz="0" w:space="0" w:color="auto"/>
      </w:divBdr>
    </w:div>
    <w:div w:id="1576431817">
      <w:bodyDiv w:val="1"/>
      <w:marLeft w:val="0"/>
      <w:marRight w:val="0"/>
      <w:marTop w:val="0"/>
      <w:marBottom w:val="0"/>
      <w:divBdr>
        <w:top w:val="none" w:sz="0" w:space="0" w:color="auto"/>
        <w:left w:val="none" w:sz="0" w:space="0" w:color="auto"/>
        <w:bottom w:val="none" w:sz="0" w:space="0" w:color="auto"/>
        <w:right w:val="none" w:sz="0" w:space="0" w:color="auto"/>
      </w:divBdr>
    </w:div>
    <w:div w:id="1581019113">
      <w:bodyDiv w:val="1"/>
      <w:marLeft w:val="0"/>
      <w:marRight w:val="0"/>
      <w:marTop w:val="0"/>
      <w:marBottom w:val="0"/>
      <w:divBdr>
        <w:top w:val="none" w:sz="0" w:space="0" w:color="auto"/>
        <w:left w:val="none" w:sz="0" w:space="0" w:color="auto"/>
        <w:bottom w:val="none" w:sz="0" w:space="0" w:color="auto"/>
        <w:right w:val="none" w:sz="0" w:space="0" w:color="auto"/>
      </w:divBdr>
    </w:div>
    <w:div w:id="1581330284">
      <w:bodyDiv w:val="1"/>
      <w:marLeft w:val="0"/>
      <w:marRight w:val="0"/>
      <w:marTop w:val="0"/>
      <w:marBottom w:val="0"/>
      <w:divBdr>
        <w:top w:val="none" w:sz="0" w:space="0" w:color="auto"/>
        <w:left w:val="none" w:sz="0" w:space="0" w:color="auto"/>
        <w:bottom w:val="none" w:sz="0" w:space="0" w:color="auto"/>
        <w:right w:val="none" w:sz="0" w:space="0" w:color="auto"/>
      </w:divBdr>
    </w:div>
    <w:div w:id="1586067897">
      <w:bodyDiv w:val="1"/>
      <w:marLeft w:val="0"/>
      <w:marRight w:val="0"/>
      <w:marTop w:val="0"/>
      <w:marBottom w:val="0"/>
      <w:divBdr>
        <w:top w:val="none" w:sz="0" w:space="0" w:color="auto"/>
        <w:left w:val="none" w:sz="0" w:space="0" w:color="auto"/>
        <w:bottom w:val="none" w:sz="0" w:space="0" w:color="auto"/>
        <w:right w:val="none" w:sz="0" w:space="0" w:color="auto"/>
      </w:divBdr>
    </w:div>
    <w:div w:id="1586258705">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594240424">
      <w:bodyDiv w:val="1"/>
      <w:marLeft w:val="0"/>
      <w:marRight w:val="0"/>
      <w:marTop w:val="0"/>
      <w:marBottom w:val="0"/>
      <w:divBdr>
        <w:top w:val="none" w:sz="0" w:space="0" w:color="auto"/>
        <w:left w:val="none" w:sz="0" w:space="0" w:color="auto"/>
        <w:bottom w:val="none" w:sz="0" w:space="0" w:color="auto"/>
        <w:right w:val="none" w:sz="0" w:space="0" w:color="auto"/>
      </w:divBdr>
    </w:div>
    <w:div w:id="1597132616">
      <w:bodyDiv w:val="1"/>
      <w:marLeft w:val="0"/>
      <w:marRight w:val="0"/>
      <w:marTop w:val="0"/>
      <w:marBottom w:val="0"/>
      <w:divBdr>
        <w:top w:val="none" w:sz="0" w:space="0" w:color="auto"/>
        <w:left w:val="none" w:sz="0" w:space="0" w:color="auto"/>
        <w:bottom w:val="none" w:sz="0" w:space="0" w:color="auto"/>
        <w:right w:val="none" w:sz="0" w:space="0" w:color="auto"/>
      </w:divBdr>
    </w:div>
    <w:div w:id="1600986314">
      <w:bodyDiv w:val="1"/>
      <w:marLeft w:val="0"/>
      <w:marRight w:val="0"/>
      <w:marTop w:val="0"/>
      <w:marBottom w:val="0"/>
      <w:divBdr>
        <w:top w:val="none" w:sz="0" w:space="0" w:color="auto"/>
        <w:left w:val="none" w:sz="0" w:space="0" w:color="auto"/>
        <w:bottom w:val="none" w:sz="0" w:space="0" w:color="auto"/>
        <w:right w:val="none" w:sz="0" w:space="0" w:color="auto"/>
      </w:divBdr>
    </w:div>
    <w:div w:id="1601063910">
      <w:bodyDiv w:val="1"/>
      <w:marLeft w:val="0"/>
      <w:marRight w:val="0"/>
      <w:marTop w:val="0"/>
      <w:marBottom w:val="0"/>
      <w:divBdr>
        <w:top w:val="none" w:sz="0" w:space="0" w:color="auto"/>
        <w:left w:val="none" w:sz="0" w:space="0" w:color="auto"/>
        <w:bottom w:val="none" w:sz="0" w:space="0" w:color="auto"/>
        <w:right w:val="none" w:sz="0" w:space="0" w:color="auto"/>
      </w:divBdr>
    </w:div>
    <w:div w:id="1613438778">
      <w:bodyDiv w:val="1"/>
      <w:marLeft w:val="0"/>
      <w:marRight w:val="0"/>
      <w:marTop w:val="0"/>
      <w:marBottom w:val="0"/>
      <w:divBdr>
        <w:top w:val="none" w:sz="0" w:space="0" w:color="auto"/>
        <w:left w:val="none" w:sz="0" w:space="0" w:color="auto"/>
        <w:bottom w:val="none" w:sz="0" w:space="0" w:color="auto"/>
        <w:right w:val="none" w:sz="0" w:space="0" w:color="auto"/>
      </w:divBdr>
    </w:div>
    <w:div w:id="1616518982">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21643779">
      <w:bodyDiv w:val="1"/>
      <w:marLeft w:val="0"/>
      <w:marRight w:val="0"/>
      <w:marTop w:val="0"/>
      <w:marBottom w:val="0"/>
      <w:divBdr>
        <w:top w:val="none" w:sz="0" w:space="0" w:color="auto"/>
        <w:left w:val="none" w:sz="0" w:space="0" w:color="auto"/>
        <w:bottom w:val="none" w:sz="0" w:space="0" w:color="auto"/>
        <w:right w:val="none" w:sz="0" w:space="0" w:color="auto"/>
      </w:divBdr>
    </w:div>
    <w:div w:id="1631745660">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65472288">
      <w:bodyDiv w:val="1"/>
      <w:marLeft w:val="0"/>
      <w:marRight w:val="0"/>
      <w:marTop w:val="0"/>
      <w:marBottom w:val="0"/>
      <w:divBdr>
        <w:top w:val="none" w:sz="0" w:space="0" w:color="auto"/>
        <w:left w:val="none" w:sz="0" w:space="0" w:color="auto"/>
        <w:bottom w:val="none" w:sz="0" w:space="0" w:color="auto"/>
        <w:right w:val="none" w:sz="0" w:space="0" w:color="auto"/>
      </w:divBdr>
    </w:div>
    <w:div w:id="1667368353">
      <w:bodyDiv w:val="1"/>
      <w:marLeft w:val="0"/>
      <w:marRight w:val="0"/>
      <w:marTop w:val="0"/>
      <w:marBottom w:val="0"/>
      <w:divBdr>
        <w:top w:val="none" w:sz="0" w:space="0" w:color="auto"/>
        <w:left w:val="none" w:sz="0" w:space="0" w:color="auto"/>
        <w:bottom w:val="none" w:sz="0" w:space="0" w:color="auto"/>
        <w:right w:val="none" w:sz="0" w:space="0" w:color="auto"/>
      </w:divBdr>
    </w:div>
    <w:div w:id="1669363005">
      <w:bodyDiv w:val="1"/>
      <w:marLeft w:val="0"/>
      <w:marRight w:val="0"/>
      <w:marTop w:val="0"/>
      <w:marBottom w:val="0"/>
      <w:divBdr>
        <w:top w:val="none" w:sz="0" w:space="0" w:color="auto"/>
        <w:left w:val="none" w:sz="0" w:space="0" w:color="auto"/>
        <w:bottom w:val="none" w:sz="0" w:space="0" w:color="auto"/>
        <w:right w:val="none" w:sz="0" w:space="0" w:color="auto"/>
      </w:divBdr>
    </w:div>
    <w:div w:id="1671563604">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5642185">
      <w:bodyDiv w:val="1"/>
      <w:marLeft w:val="0"/>
      <w:marRight w:val="0"/>
      <w:marTop w:val="0"/>
      <w:marBottom w:val="0"/>
      <w:divBdr>
        <w:top w:val="none" w:sz="0" w:space="0" w:color="auto"/>
        <w:left w:val="none" w:sz="0" w:space="0" w:color="auto"/>
        <w:bottom w:val="none" w:sz="0" w:space="0" w:color="auto"/>
        <w:right w:val="none" w:sz="0" w:space="0" w:color="auto"/>
      </w:divBdr>
    </w:div>
    <w:div w:id="1684819056">
      <w:bodyDiv w:val="1"/>
      <w:marLeft w:val="0"/>
      <w:marRight w:val="0"/>
      <w:marTop w:val="0"/>
      <w:marBottom w:val="0"/>
      <w:divBdr>
        <w:top w:val="none" w:sz="0" w:space="0" w:color="auto"/>
        <w:left w:val="none" w:sz="0" w:space="0" w:color="auto"/>
        <w:bottom w:val="none" w:sz="0" w:space="0" w:color="auto"/>
        <w:right w:val="none" w:sz="0" w:space="0" w:color="auto"/>
      </w:divBdr>
    </w:div>
    <w:div w:id="1685742705">
      <w:bodyDiv w:val="1"/>
      <w:marLeft w:val="0"/>
      <w:marRight w:val="0"/>
      <w:marTop w:val="0"/>
      <w:marBottom w:val="0"/>
      <w:divBdr>
        <w:top w:val="none" w:sz="0" w:space="0" w:color="auto"/>
        <w:left w:val="none" w:sz="0" w:space="0" w:color="auto"/>
        <w:bottom w:val="none" w:sz="0" w:space="0" w:color="auto"/>
        <w:right w:val="none" w:sz="0" w:space="0" w:color="auto"/>
      </w:divBdr>
    </w:div>
    <w:div w:id="1686401752">
      <w:bodyDiv w:val="1"/>
      <w:marLeft w:val="0"/>
      <w:marRight w:val="0"/>
      <w:marTop w:val="0"/>
      <w:marBottom w:val="0"/>
      <w:divBdr>
        <w:top w:val="none" w:sz="0" w:space="0" w:color="auto"/>
        <w:left w:val="none" w:sz="0" w:space="0" w:color="auto"/>
        <w:bottom w:val="none" w:sz="0" w:space="0" w:color="auto"/>
        <w:right w:val="none" w:sz="0" w:space="0" w:color="auto"/>
      </w:divBdr>
    </w:div>
    <w:div w:id="1694379619">
      <w:bodyDiv w:val="1"/>
      <w:marLeft w:val="0"/>
      <w:marRight w:val="0"/>
      <w:marTop w:val="0"/>
      <w:marBottom w:val="0"/>
      <w:divBdr>
        <w:top w:val="none" w:sz="0" w:space="0" w:color="auto"/>
        <w:left w:val="none" w:sz="0" w:space="0" w:color="auto"/>
        <w:bottom w:val="none" w:sz="0" w:space="0" w:color="auto"/>
        <w:right w:val="none" w:sz="0" w:space="0" w:color="auto"/>
      </w:divBdr>
    </w:div>
    <w:div w:id="1700934110">
      <w:bodyDiv w:val="1"/>
      <w:marLeft w:val="0"/>
      <w:marRight w:val="0"/>
      <w:marTop w:val="0"/>
      <w:marBottom w:val="0"/>
      <w:divBdr>
        <w:top w:val="none" w:sz="0" w:space="0" w:color="auto"/>
        <w:left w:val="none" w:sz="0" w:space="0" w:color="auto"/>
        <w:bottom w:val="none" w:sz="0" w:space="0" w:color="auto"/>
        <w:right w:val="none" w:sz="0" w:space="0" w:color="auto"/>
      </w:divBdr>
    </w:div>
    <w:div w:id="1703094651">
      <w:bodyDiv w:val="1"/>
      <w:marLeft w:val="0"/>
      <w:marRight w:val="0"/>
      <w:marTop w:val="0"/>
      <w:marBottom w:val="0"/>
      <w:divBdr>
        <w:top w:val="none" w:sz="0" w:space="0" w:color="auto"/>
        <w:left w:val="none" w:sz="0" w:space="0" w:color="auto"/>
        <w:bottom w:val="none" w:sz="0" w:space="0" w:color="auto"/>
        <w:right w:val="none" w:sz="0" w:space="0" w:color="auto"/>
      </w:divBdr>
    </w:div>
    <w:div w:id="1705248042">
      <w:bodyDiv w:val="1"/>
      <w:marLeft w:val="0"/>
      <w:marRight w:val="0"/>
      <w:marTop w:val="0"/>
      <w:marBottom w:val="0"/>
      <w:divBdr>
        <w:top w:val="none" w:sz="0" w:space="0" w:color="auto"/>
        <w:left w:val="none" w:sz="0" w:space="0" w:color="auto"/>
        <w:bottom w:val="none" w:sz="0" w:space="0" w:color="auto"/>
        <w:right w:val="none" w:sz="0" w:space="0" w:color="auto"/>
      </w:divBdr>
    </w:div>
    <w:div w:id="1711997690">
      <w:bodyDiv w:val="1"/>
      <w:marLeft w:val="0"/>
      <w:marRight w:val="0"/>
      <w:marTop w:val="0"/>
      <w:marBottom w:val="0"/>
      <w:divBdr>
        <w:top w:val="none" w:sz="0" w:space="0" w:color="auto"/>
        <w:left w:val="none" w:sz="0" w:space="0" w:color="auto"/>
        <w:bottom w:val="none" w:sz="0" w:space="0" w:color="auto"/>
        <w:right w:val="none" w:sz="0" w:space="0" w:color="auto"/>
      </w:divBdr>
    </w:div>
    <w:div w:id="1714620872">
      <w:bodyDiv w:val="1"/>
      <w:marLeft w:val="0"/>
      <w:marRight w:val="0"/>
      <w:marTop w:val="0"/>
      <w:marBottom w:val="0"/>
      <w:divBdr>
        <w:top w:val="none" w:sz="0" w:space="0" w:color="auto"/>
        <w:left w:val="none" w:sz="0" w:space="0" w:color="auto"/>
        <w:bottom w:val="none" w:sz="0" w:space="0" w:color="auto"/>
        <w:right w:val="none" w:sz="0" w:space="0" w:color="auto"/>
      </w:divBdr>
    </w:div>
    <w:div w:id="171954562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21318848">
      <w:bodyDiv w:val="1"/>
      <w:marLeft w:val="0"/>
      <w:marRight w:val="0"/>
      <w:marTop w:val="0"/>
      <w:marBottom w:val="0"/>
      <w:divBdr>
        <w:top w:val="none" w:sz="0" w:space="0" w:color="auto"/>
        <w:left w:val="none" w:sz="0" w:space="0" w:color="auto"/>
        <w:bottom w:val="none" w:sz="0" w:space="0" w:color="auto"/>
        <w:right w:val="none" w:sz="0" w:space="0" w:color="auto"/>
      </w:divBdr>
    </w:div>
    <w:div w:id="1722095767">
      <w:bodyDiv w:val="1"/>
      <w:marLeft w:val="0"/>
      <w:marRight w:val="0"/>
      <w:marTop w:val="0"/>
      <w:marBottom w:val="0"/>
      <w:divBdr>
        <w:top w:val="none" w:sz="0" w:space="0" w:color="auto"/>
        <w:left w:val="none" w:sz="0" w:space="0" w:color="auto"/>
        <w:bottom w:val="none" w:sz="0" w:space="0" w:color="auto"/>
        <w:right w:val="none" w:sz="0" w:space="0" w:color="auto"/>
      </w:divBdr>
    </w:div>
    <w:div w:id="1724518194">
      <w:bodyDiv w:val="1"/>
      <w:marLeft w:val="0"/>
      <w:marRight w:val="0"/>
      <w:marTop w:val="0"/>
      <w:marBottom w:val="0"/>
      <w:divBdr>
        <w:top w:val="none" w:sz="0" w:space="0" w:color="auto"/>
        <w:left w:val="none" w:sz="0" w:space="0" w:color="auto"/>
        <w:bottom w:val="none" w:sz="0" w:space="0" w:color="auto"/>
        <w:right w:val="none" w:sz="0" w:space="0" w:color="auto"/>
      </w:divBdr>
    </w:div>
    <w:div w:id="1724597774">
      <w:bodyDiv w:val="1"/>
      <w:marLeft w:val="0"/>
      <w:marRight w:val="0"/>
      <w:marTop w:val="0"/>
      <w:marBottom w:val="0"/>
      <w:divBdr>
        <w:top w:val="none" w:sz="0" w:space="0" w:color="auto"/>
        <w:left w:val="none" w:sz="0" w:space="0" w:color="auto"/>
        <w:bottom w:val="none" w:sz="0" w:space="0" w:color="auto"/>
        <w:right w:val="none" w:sz="0" w:space="0" w:color="auto"/>
      </w:divBdr>
    </w:div>
    <w:div w:id="1725905585">
      <w:bodyDiv w:val="1"/>
      <w:marLeft w:val="0"/>
      <w:marRight w:val="0"/>
      <w:marTop w:val="0"/>
      <w:marBottom w:val="0"/>
      <w:divBdr>
        <w:top w:val="none" w:sz="0" w:space="0" w:color="auto"/>
        <w:left w:val="none" w:sz="0" w:space="0" w:color="auto"/>
        <w:bottom w:val="none" w:sz="0" w:space="0" w:color="auto"/>
        <w:right w:val="none" w:sz="0" w:space="0" w:color="auto"/>
      </w:divBdr>
    </w:div>
    <w:div w:id="1732920557">
      <w:bodyDiv w:val="1"/>
      <w:marLeft w:val="0"/>
      <w:marRight w:val="0"/>
      <w:marTop w:val="0"/>
      <w:marBottom w:val="0"/>
      <w:divBdr>
        <w:top w:val="none" w:sz="0" w:space="0" w:color="auto"/>
        <w:left w:val="none" w:sz="0" w:space="0" w:color="auto"/>
        <w:bottom w:val="none" w:sz="0" w:space="0" w:color="auto"/>
        <w:right w:val="none" w:sz="0" w:space="0" w:color="auto"/>
      </w:divBdr>
    </w:div>
    <w:div w:id="1734505257">
      <w:bodyDiv w:val="1"/>
      <w:marLeft w:val="0"/>
      <w:marRight w:val="0"/>
      <w:marTop w:val="0"/>
      <w:marBottom w:val="0"/>
      <w:divBdr>
        <w:top w:val="none" w:sz="0" w:space="0" w:color="auto"/>
        <w:left w:val="none" w:sz="0" w:space="0" w:color="auto"/>
        <w:bottom w:val="none" w:sz="0" w:space="0" w:color="auto"/>
        <w:right w:val="none" w:sz="0" w:space="0" w:color="auto"/>
      </w:divBdr>
    </w:div>
    <w:div w:id="1737169433">
      <w:bodyDiv w:val="1"/>
      <w:marLeft w:val="0"/>
      <w:marRight w:val="0"/>
      <w:marTop w:val="0"/>
      <w:marBottom w:val="0"/>
      <w:divBdr>
        <w:top w:val="none" w:sz="0" w:space="0" w:color="auto"/>
        <w:left w:val="none" w:sz="0" w:space="0" w:color="auto"/>
        <w:bottom w:val="none" w:sz="0" w:space="0" w:color="auto"/>
        <w:right w:val="none" w:sz="0" w:space="0" w:color="auto"/>
      </w:divBdr>
    </w:div>
    <w:div w:id="1738622812">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43259484">
      <w:bodyDiv w:val="1"/>
      <w:marLeft w:val="0"/>
      <w:marRight w:val="0"/>
      <w:marTop w:val="0"/>
      <w:marBottom w:val="0"/>
      <w:divBdr>
        <w:top w:val="none" w:sz="0" w:space="0" w:color="auto"/>
        <w:left w:val="none" w:sz="0" w:space="0" w:color="auto"/>
        <w:bottom w:val="none" w:sz="0" w:space="0" w:color="auto"/>
        <w:right w:val="none" w:sz="0" w:space="0" w:color="auto"/>
      </w:divBdr>
    </w:div>
    <w:div w:id="1743335322">
      <w:bodyDiv w:val="1"/>
      <w:marLeft w:val="0"/>
      <w:marRight w:val="0"/>
      <w:marTop w:val="0"/>
      <w:marBottom w:val="0"/>
      <w:divBdr>
        <w:top w:val="none" w:sz="0" w:space="0" w:color="auto"/>
        <w:left w:val="none" w:sz="0" w:space="0" w:color="auto"/>
        <w:bottom w:val="none" w:sz="0" w:space="0" w:color="auto"/>
        <w:right w:val="none" w:sz="0" w:space="0" w:color="auto"/>
      </w:divBdr>
    </w:div>
    <w:div w:id="1745184026">
      <w:bodyDiv w:val="1"/>
      <w:marLeft w:val="0"/>
      <w:marRight w:val="0"/>
      <w:marTop w:val="0"/>
      <w:marBottom w:val="0"/>
      <w:divBdr>
        <w:top w:val="none" w:sz="0" w:space="0" w:color="auto"/>
        <w:left w:val="none" w:sz="0" w:space="0" w:color="auto"/>
        <w:bottom w:val="none" w:sz="0" w:space="0" w:color="auto"/>
        <w:right w:val="none" w:sz="0" w:space="0" w:color="auto"/>
      </w:divBdr>
    </w:div>
    <w:div w:id="1748840411">
      <w:bodyDiv w:val="1"/>
      <w:marLeft w:val="0"/>
      <w:marRight w:val="0"/>
      <w:marTop w:val="0"/>
      <w:marBottom w:val="0"/>
      <w:divBdr>
        <w:top w:val="none" w:sz="0" w:space="0" w:color="auto"/>
        <w:left w:val="none" w:sz="0" w:space="0" w:color="auto"/>
        <w:bottom w:val="none" w:sz="0" w:space="0" w:color="auto"/>
        <w:right w:val="none" w:sz="0" w:space="0" w:color="auto"/>
      </w:divBdr>
    </w:div>
    <w:div w:id="1749308239">
      <w:bodyDiv w:val="1"/>
      <w:marLeft w:val="0"/>
      <w:marRight w:val="0"/>
      <w:marTop w:val="0"/>
      <w:marBottom w:val="0"/>
      <w:divBdr>
        <w:top w:val="none" w:sz="0" w:space="0" w:color="auto"/>
        <w:left w:val="none" w:sz="0" w:space="0" w:color="auto"/>
        <w:bottom w:val="none" w:sz="0" w:space="0" w:color="auto"/>
        <w:right w:val="none" w:sz="0" w:space="0" w:color="auto"/>
      </w:divBdr>
    </w:div>
    <w:div w:id="1753357720">
      <w:bodyDiv w:val="1"/>
      <w:marLeft w:val="0"/>
      <w:marRight w:val="0"/>
      <w:marTop w:val="0"/>
      <w:marBottom w:val="0"/>
      <w:divBdr>
        <w:top w:val="none" w:sz="0" w:space="0" w:color="auto"/>
        <w:left w:val="none" w:sz="0" w:space="0" w:color="auto"/>
        <w:bottom w:val="none" w:sz="0" w:space="0" w:color="auto"/>
        <w:right w:val="none" w:sz="0" w:space="0" w:color="auto"/>
      </w:divBdr>
    </w:div>
    <w:div w:id="1754666501">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67656919">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72118235">
      <w:bodyDiv w:val="1"/>
      <w:marLeft w:val="0"/>
      <w:marRight w:val="0"/>
      <w:marTop w:val="0"/>
      <w:marBottom w:val="0"/>
      <w:divBdr>
        <w:top w:val="none" w:sz="0" w:space="0" w:color="auto"/>
        <w:left w:val="none" w:sz="0" w:space="0" w:color="auto"/>
        <w:bottom w:val="none" w:sz="0" w:space="0" w:color="auto"/>
        <w:right w:val="none" w:sz="0" w:space="0" w:color="auto"/>
      </w:divBdr>
    </w:div>
    <w:div w:id="1774740732">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0369191">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3302409">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85929286">
      <w:bodyDiv w:val="1"/>
      <w:marLeft w:val="0"/>
      <w:marRight w:val="0"/>
      <w:marTop w:val="0"/>
      <w:marBottom w:val="0"/>
      <w:divBdr>
        <w:top w:val="none" w:sz="0" w:space="0" w:color="auto"/>
        <w:left w:val="none" w:sz="0" w:space="0" w:color="auto"/>
        <w:bottom w:val="none" w:sz="0" w:space="0" w:color="auto"/>
        <w:right w:val="none" w:sz="0" w:space="0" w:color="auto"/>
      </w:divBdr>
    </w:div>
    <w:div w:id="1787038287">
      <w:bodyDiv w:val="1"/>
      <w:marLeft w:val="0"/>
      <w:marRight w:val="0"/>
      <w:marTop w:val="0"/>
      <w:marBottom w:val="0"/>
      <w:divBdr>
        <w:top w:val="none" w:sz="0" w:space="0" w:color="auto"/>
        <w:left w:val="none" w:sz="0" w:space="0" w:color="auto"/>
        <w:bottom w:val="none" w:sz="0" w:space="0" w:color="auto"/>
        <w:right w:val="none" w:sz="0" w:space="0" w:color="auto"/>
      </w:divBdr>
    </w:div>
    <w:div w:id="1787234830">
      <w:bodyDiv w:val="1"/>
      <w:marLeft w:val="0"/>
      <w:marRight w:val="0"/>
      <w:marTop w:val="0"/>
      <w:marBottom w:val="0"/>
      <w:divBdr>
        <w:top w:val="none" w:sz="0" w:space="0" w:color="auto"/>
        <w:left w:val="none" w:sz="0" w:space="0" w:color="auto"/>
        <w:bottom w:val="none" w:sz="0" w:space="0" w:color="auto"/>
        <w:right w:val="none" w:sz="0" w:space="0" w:color="auto"/>
      </w:divBdr>
    </w:div>
    <w:div w:id="1789083818">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792438325">
      <w:bodyDiv w:val="1"/>
      <w:marLeft w:val="0"/>
      <w:marRight w:val="0"/>
      <w:marTop w:val="0"/>
      <w:marBottom w:val="0"/>
      <w:divBdr>
        <w:top w:val="none" w:sz="0" w:space="0" w:color="auto"/>
        <w:left w:val="none" w:sz="0" w:space="0" w:color="auto"/>
        <w:bottom w:val="none" w:sz="0" w:space="0" w:color="auto"/>
        <w:right w:val="none" w:sz="0" w:space="0" w:color="auto"/>
      </w:divBdr>
    </w:div>
    <w:div w:id="1792438993">
      <w:bodyDiv w:val="1"/>
      <w:marLeft w:val="0"/>
      <w:marRight w:val="0"/>
      <w:marTop w:val="0"/>
      <w:marBottom w:val="0"/>
      <w:divBdr>
        <w:top w:val="none" w:sz="0" w:space="0" w:color="auto"/>
        <w:left w:val="none" w:sz="0" w:space="0" w:color="auto"/>
        <w:bottom w:val="none" w:sz="0" w:space="0" w:color="auto"/>
        <w:right w:val="none" w:sz="0" w:space="0" w:color="auto"/>
      </w:divBdr>
    </w:div>
    <w:div w:id="1796633776">
      <w:bodyDiv w:val="1"/>
      <w:marLeft w:val="0"/>
      <w:marRight w:val="0"/>
      <w:marTop w:val="0"/>
      <w:marBottom w:val="0"/>
      <w:divBdr>
        <w:top w:val="none" w:sz="0" w:space="0" w:color="auto"/>
        <w:left w:val="none" w:sz="0" w:space="0" w:color="auto"/>
        <w:bottom w:val="none" w:sz="0" w:space="0" w:color="auto"/>
        <w:right w:val="none" w:sz="0" w:space="0" w:color="auto"/>
      </w:divBdr>
    </w:div>
    <w:div w:id="1798991293">
      <w:bodyDiv w:val="1"/>
      <w:marLeft w:val="0"/>
      <w:marRight w:val="0"/>
      <w:marTop w:val="0"/>
      <w:marBottom w:val="0"/>
      <w:divBdr>
        <w:top w:val="none" w:sz="0" w:space="0" w:color="auto"/>
        <w:left w:val="none" w:sz="0" w:space="0" w:color="auto"/>
        <w:bottom w:val="none" w:sz="0" w:space="0" w:color="auto"/>
        <w:right w:val="none" w:sz="0" w:space="0" w:color="auto"/>
      </w:divBdr>
    </w:div>
    <w:div w:id="1799763323">
      <w:bodyDiv w:val="1"/>
      <w:marLeft w:val="0"/>
      <w:marRight w:val="0"/>
      <w:marTop w:val="0"/>
      <w:marBottom w:val="0"/>
      <w:divBdr>
        <w:top w:val="none" w:sz="0" w:space="0" w:color="auto"/>
        <w:left w:val="none" w:sz="0" w:space="0" w:color="auto"/>
        <w:bottom w:val="none" w:sz="0" w:space="0" w:color="auto"/>
        <w:right w:val="none" w:sz="0" w:space="0" w:color="auto"/>
      </w:divBdr>
    </w:div>
    <w:div w:id="1818715949">
      <w:bodyDiv w:val="1"/>
      <w:marLeft w:val="0"/>
      <w:marRight w:val="0"/>
      <w:marTop w:val="0"/>
      <w:marBottom w:val="0"/>
      <w:divBdr>
        <w:top w:val="none" w:sz="0" w:space="0" w:color="auto"/>
        <w:left w:val="none" w:sz="0" w:space="0" w:color="auto"/>
        <w:bottom w:val="none" w:sz="0" w:space="0" w:color="auto"/>
        <w:right w:val="none" w:sz="0" w:space="0" w:color="auto"/>
      </w:divBdr>
    </w:div>
    <w:div w:id="1819494987">
      <w:bodyDiv w:val="1"/>
      <w:marLeft w:val="0"/>
      <w:marRight w:val="0"/>
      <w:marTop w:val="0"/>
      <w:marBottom w:val="0"/>
      <w:divBdr>
        <w:top w:val="none" w:sz="0" w:space="0" w:color="auto"/>
        <w:left w:val="none" w:sz="0" w:space="0" w:color="auto"/>
        <w:bottom w:val="none" w:sz="0" w:space="0" w:color="auto"/>
        <w:right w:val="none" w:sz="0" w:space="0" w:color="auto"/>
      </w:divBdr>
    </w:div>
    <w:div w:id="1826629501">
      <w:bodyDiv w:val="1"/>
      <w:marLeft w:val="0"/>
      <w:marRight w:val="0"/>
      <w:marTop w:val="0"/>
      <w:marBottom w:val="0"/>
      <w:divBdr>
        <w:top w:val="none" w:sz="0" w:space="0" w:color="auto"/>
        <w:left w:val="none" w:sz="0" w:space="0" w:color="auto"/>
        <w:bottom w:val="none" w:sz="0" w:space="0" w:color="auto"/>
        <w:right w:val="none" w:sz="0" w:space="0" w:color="auto"/>
      </w:divBdr>
    </w:div>
    <w:div w:id="1831828172">
      <w:bodyDiv w:val="1"/>
      <w:marLeft w:val="0"/>
      <w:marRight w:val="0"/>
      <w:marTop w:val="0"/>
      <w:marBottom w:val="0"/>
      <w:divBdr>
        <w:top w:val="none" w:sz="0" w:space="0" w:color="auto"/>
        <w:left w:val="none" w:sz="0" w:space="0" w:color="auto"/>
        <w:bottom w:val="none" w:sz="0" w:space="0" w:color="auto"/>
        <w:right w:val="none" w:sz="0" w:space="0" w:color="auto"/>
      </w:divBdr>
    </w:div>
    <w:div w:id="1832016697">
      <w:bodyDiv w:val="1"/>
      <w:marLeft w:val="0"/>
      <w:marRight w:val="0"/>
      <w:marTop w:val="0"/>
      <w:marBottom w:val="0"/>
      <w:divBdr>
        <w:top w:val="none" w:sz="0" w:space="0" w:color="auto"/>
        <w:left w:val="none" w:sz="0" w:space="0" w:color="auto"/>
        <w:bottom w:val="none" w:sz="0" w:space="0" w:color="auto"/>
        <w:right w:val="none" w:sz="0" w:space="0" w:color="auto"/>
      </w:divBdr>
    </w:div>
    <w:div w:id="1835611351">
      <w:bodyDiv w:val="1"/>
      <w:marLeft w:val="0"/>
      <w:marRight w:val="0"/>
      <w:marTop w:val="0"/>
      <w:marBottom w:val="0"/>
      <w:divBdr>
        <w:top w:val="none" w:sz="0" w:space="0" w:color="auto"/>
        <w:left w:val="none" w:sz="0" w:space="0" w:color="auto"/>
        <w:bottom w:val="none" w:sz="0" w:space="0" w:color="auto"/>
        <w:right w:val="none" w:sz="0" w:space="0" w:color="auto"/>
      </w:divBdr>
    </w:div>
    <w:div w:id="1845168853">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46094405">
      <w:bodyDiv w:val="1"/>
      <w:marLeft w:val="0"/>
      <w:marRight w:val="0"/>
      <w:marTop w:val="0"/>
      <w:marBottom w:val="0"/>
      <w:divBdr>
        <w:top w:val="none" w:sz="0" w:space="0" w:color="auto"/>
        <w:left w:val="none" w:sz="0" w:space="0" w:color="auto"/>
        <w:bottom w:val="none" w:sz="0" w:space="0" w:color="auto"/>
        <w:right w:val="none" w:sz="0" w:space="0" w:color="auto"/>
      </w:divBdr>
    </w:div>
    <w:div w:id="1848443168">
      <w:bodyDiv w:val="1"/>
      <w:marLeft w:val="0"/>
      <w:marRight w:val="0"/>
      <w:marTop w:val="0"/>
      <w:marBottom w:val="0"/>
      <w:divBdr>
        <w:top w:val="none" w:sz="0" w:space="0" w:color="auto"/>
        <w:left w:val="none" w:sz="0" w:space="0" w:color="auto"/>
        <w:bottom w:val="none" w:sz="0" w:space="0" w:color="auto"/>
        <w:right w:val="none" w:sz="0" w:space="0" w:color="auto"/>
      </w:divBdr>
    </w:div>
    <w:div w:id="1849711367">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870727670">
      <w:bodyDiv w:val="1"/>
      <w:marLeft w:val="0"/>
      <w:marRight w:val="0"/>
      <w:marTop w:val="0"/>
      <w:marBottom w:val="0"/>
      <w:divBdr>
        <w:top w:val="none" w:sz="0" w:space="0" w:color="auto"/>
        <w:left w:val="none" w:sz="0" w:space="0" w:color="auto"/>
        <w:bottom w:val="none" w:sz="0" w:space="0" w:color="auto"/>
        <w:right w:val="none" w:sz="0" w:space="0" w:color="auto"/>
      </w:divBdr>
    </w:div>
    <w:div w:id="1875654976">
      <w:bodyDiv w:val="1"/>
      <w:marLeft w:val="0"/>
      <w:marRight w:val="0"/>
      <w:marTop w:val="0"/>
      <w:marBottom w:val="0"/>
      <w:divBdr>
        <w:top w:val="none" w:sz="0" w:space="0" w:color="auto"/>
        <w:left w:val="none" w:sz="0" w:space="0" w:color="auto"/>
        <w:bottom w:val="none" w:sz="0" w:space="0" w:color="auto"/>
        <w:right w:val="none" w:sz="0" w:space="0" w:color="auto"/>
      </w:divBdr>
    </w:div>
    <w:div w:id="1878882806">
      <w:bodyDiv w:val="1"/>
      <w:marLeft w:val="0"/>
      <w:marRight w:val="0"/>
      <w:marTop w:val="0"/>
      <w:marBottom w:val="0"/>
      <w:divBdr>
        <w:top w:val="none" w:sz="0" w:space="0" w:color="auto"/>
        <w:left w:val="none" w:sz="0" w:space="0" w:color="auto"/>
        <w:bottom w:val="none" w:sz="0" w:space="0" w:color="auto"/>
        <w:right w:val="none" w:sz="0" w:space="0" w:color="auto"/>
      </w:divBdr>
    </w:div>
    <w:div w:id="1883982302">
      <w:bodyDiv w:val="1"/>
      <w:marLeft w:val="0"/>
      <w:marRight w:val="0"/>
      <w:marTop w:val="0"/>
      <w:marBottom w:val="0"/>
      <w:divBdr>
        <w:top w:val="none" w:sz="0" w:space="0" w:color="auto"/>
        <w:left w:val="none" w:sz="0" w:space="0" w:color="auto"/>
        <w:bottom w:val="none" w:sz="0" w:space="0" w:color="auto"/>
        <w:right w:val="none" w:sz="0" w:space="0" w:color="auto"/>
      </w:divBdr>
    </w:div>
    <w:div w:id="1886405245">
      <w:bodyDiv w:val="1"/>
      <w:marLeft w:val="0"/>
      <w:marRight w:val="0"/>
      <w:marTop w:val="0"/>
      <w:marBottom w:val="0"/>
      <w:divBdr>
        <w:top w:val="none" w:sz="0" w:space="0" w:color="auto"/>
        <w:left w:val="none" w:sz="0" w:space="0" w:color="auto"/>
        <w:bottom w:val="none" w:sz="0" w:space="0" w:color="auto"/>
        <w:right w:val="none" w:sz="0" w:space="0" w:color="auto"/>
      </w:divBdr>
    </w:div>
    <w:div w:id="1895307921">
      <w:bodyDiv w:val="1"/>
      <w:marLeft w:val="0"/>
      <w:marRight w:val="0"/>
      <w:marTop w:val="0"/>
      <w:marBottom w:val="0"/>
      <w:divBdr>
        <w:top w:val="none" w:sz="0" w:space="0" w:color="auto"/>
        <w:left w:val="none" w:sz="0" w:space="0" w:color="auto"/>
        <w:bottom w:val="none" w:sz="0" w:space="0" w:color="auto"/>
        <w:right w:val="none" w:sz="0" w:space="0" w:color="auto"/>
      </w:divBdr>
    </w:div>
    <w:div w:id="1901138306">
      <w:bodyDiv w:val="1"/>
      <w:marLeft w:val="0"/>
      <w:marRight w:val="0"/>
      <w:marTop w:val="0"/>
      <w:marBottom w:val="0"/>
      <w:divBdr>
        <w:top w:val="none" w:sz="0" w:space="0" w:color="auto"/>
        <w:left w:val="none" w:sz="0" w:space="0" w:color="auto"/>
        <w:bottom w:val="none" w:sz="0" w:space="0" w:color="auto"/>
        <w:right w:val="none" w:sz="0" w:space="0" w:color="auto"/>
      </w:divBdr>
    </w:div>
    <w:div w:id="1907646587">
      <w:bodyDiv w:val="1"/>
      <w:marLeft w:val="0"/>
      <w:marRight w:val="0"/>
      <w:marTop w:val="0"/>
      <w:marBottom w:val="0"/>
      <w:divBdr>
        <w:top w:val="none" w:sz="0" w:space="0" w:color="auto"/>
        <w:left w:val="none" w:sz="0" w:space="0" w:color="auto"/>
        <w:bottom w:val="none" w:sz="0" w:space="0" w:color="auto"/>
        <w:right w:val="none" w:sz="0" w:space="0" w:color="auto"/>
      </w:divBdr>
    </w:div>
    <w:div w:id="1909925100">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18703580">
      <w:bodyDiv w:val="1"/>
      <w:marLeft w:val="0"/>
      <w:marRight w:val="0"/>
      <w:marTop w:val="0"/>
      <w:marBottom w:val="0"/>
      <w:divBdr>
        <w:top w:val="none" w:sz="0" w:space="0" w:color="auto"/>
        <w:left w:val="none" w:sz="0" w:space="0" w:color="auto"/>
        <w:bottom w:val="none" w:sz="0" w:space="0" w:color="auto"/>
        <w:right w:val="none" w:sz="0" w:space="0" w:color="auto"/>
      </w:divBdr>
    </w:div>
    <w:div w:id="1923103016">
      <w:bodyDiv w:val="1"/>
      <w:marLeft w:val="0"/>
      <w:marRight w:val="0"/>
      <w:marTop w:val="0"/>
      <w:marBottom w:val="0"/>
      <w:divBdr>
        <w:top w:val="none" w:sz="0" w:space="0" w:color="auto"/>
        <w:left w:val="none" w:sz="0" w:space="0" w:color="auto"/>
        <w:bottom w:val="none" w:sz="0" w:space="0" w:color="auto"/>
        <w:right w:val="none" w:sz="0" w:space="0" w:color="auto"/>
      </w:divBdr>
    </w:div>
    <w:div w:id="1927224376">
      <w:bodyDiv w:val="1"/>
      <w:marLeft w:val="0"/>
      <w:marRight w:val="0"/>
      <w:marTop w:val="0"/>
      <w:marBottom w:val="0"/>
      <w:divBdr>
        <w:top w:val="none" w:sz="0" w:space="0" w:color="auto"/>
        <w:left w:val="none" w:sz="0" w:space="0" w:color="auto"/>
        <w:bottom w:val="none" w:sz="0" w:space="0" w:color="auto"/>
        <w:right w:val="none" w:sz="0" w:space="0" w:color="auto"/>
      </w:divBdr>
    </w:div>
    <w:div w:id="1937441220">
      <w:bodyDiv w:val="1"/>
      <w:marLeft w:val="0"/>
      <w:marRight w:val="0"/>
      <w:marTop w:val="0"/>
      <w:marBottom w:val="0"/>
      <w:divBdr>
        <w:top w:val="none" w:sz="0" w:space="0" w:color="auto"/>
        <w:left w:val="none" w:sz="0" w:space="0" w:color="auto"/>
        <w:bottom w:val="none" w:sz="0" w:space="0" w:color="auto"/>
        <w:right w:val="none" w:sz="0" w:space="0" w:color="auto"/>
      </w:divBdr>
    </w:div>
    <w:div w:id="1940137048">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49048100">
      <w:bodyDiv w:val="1"/>
      <w:marLeft w:val="0"/>
      <w:marRight w:val="0"/>
      <w:marTop w:val="0"/>
      <w:marBottom w:val="0"/>
      <w:divBdr>
        <w:top w:val="none" w:sz="0" w:space="0" w:color="auto"/>
        <w:left w:val="none" w:sz="0" w:space="0" w:color="auto"/>
        <w:bottom w:val="none" w:sz="0" w:space="0" w:color="auto"/>
        <w:right w:val="none" w:sz="0" w:space="0" w:color="auto"/>
      </w:divBdr>
    </w:div>
    <w:div w:id="1949771463">
      <w:bodyDiv w:val="1"/>
      <w:marLeft w:val="0"/>
      <w:marRight w:val="0"/>
      <w:marTop w:val="0"/>
      <w:marBottom w:val="0"/>
      <w:divBdr>
        <w:top w:val="none" w:sz="0" w:space="0" w:color="auto"/>
        <w:left w:val="none" w:sz="0" w:space="0" w:color="auto"/>
        <w:bottom w:val="none" w:sz="0" w:space="0" w:color="auto"/>
        <w:right w:val="none" w:sz="0" w:space="0" w:color="auto"/>
      </w:divBdr>
    </w:div>
    <w:div w:id="1950163950">
      <w:bodyDiv w:val="1"/>
      <w:marLeft w:val="0"/>
      <w:marRight w:val="0"/>
      <w:marTop w:val="0"/>
      <w:marBottom w:val="0"/>
      <w:divBdr>
        <w:top w:val="none" w:sz="0" w:space="0" w:color="auto"/>
        <w:left w:val="none" w:sz="0" w:space="0" w:color="auto"/>
        <w:bottom w:val="none" w:sz="0" w:space="0" w:color="auto"/>
        <w:right w:val="none" w:sz="0" w:space="0" w:color="auto"/>
      </w:divBdr>
    </w:div>
    <w:div w:id="1951007629">
      <w:bodyDiv w:val="1"/>
      <w:marLeft w:val="0"/>
      <w:marRight w:val="0"/>
      <w:marTop w:val="0"/>
      <w:marBottom w:val="0"/>
      <w:divBdr>
        <w:top w:val="none" w:sz="0" w:space="0" w:color="auto"/>
        <w:left w:val="none" w:sz="0" w:space="0" w:color="auto"/>
        <w:bottom w:val="none" w:sz="0" w:space="0" w:color="auto"/>
        <w:right w:val="none" w:sz="0" w:space="0" w:color="auto"/>
      </w:divBdr>
    </w:div>
    <w:div w:id="1969704725">
      <w:bodyDiv w:val="1"/>
      <w:marLeft w:val="0"/>
      <w:marRight w:val="0"/>
      <w:marTop w:val="0"/>
      <w:marBottom w:val="0"/>
      <w:divBdr>
        <w:top w:val="none" w:sz="0" w:space="0" w:color="auto"/>
        <w:left w:val="none" w:sz="0" w:space="0" w:color="auto"/>
        <w:bottom w:val="none" w:sz="0" w:space="0" w:color="auto"/>
        <w:right w:val="none" w:sz="0" w:space="0" w:color="auto"/>
      </w:divBdr>
    </w:div>
    <w:div w:id="1971936534">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1977835833">
      <w:bodyDiv w:val="1"/>
      <w:marLeft w:val="0"/>
      <w:marRight w:val="0"/>
      <w:marTop w:val="0"/>
      <w:marBottom w:val="0"/>
      <w:divBdr>
        <w:top w:val="none" w:sz="0" w:space="0" w:color="auto"/>
        <w:left w:val="none" w:sz="0" w:space="0" w:color="auto"/>
        <w:bottom w:val="none" w:sz="0" w:space="0" w:color="auto"/>
        <w:right w:val="none" w:sz="0" w:space="0" w:color="auto"/>
      </w:divBdr>
    </w:div>
    <w:div w:id="1991641273">
      <w:bodyDiv w:val="1"/>
      <w:marLeft w:val="0"/>
      <w:marRight w:val="0"/>
      <w:marTop w:val="0"/>
      <w:marBottom w:val="0"/>
      <w:divBdr>
        <w:top w:val="none" w:sz="0" w:space="0" w:color="auto"/>
        <w:left w:val="none" w:sz="0" w:space="0" w:color="auto"/>
        <w:bottom w:val="none" w:sz="0" w:space="0" w:color="auto"/>
        <w:right w:val="none" w:sz="0" w:space="0" w:color="auto"/>
      </w:divBdr>
    </w:div>
    <w:div w:id="1997144997">
      <w:bodyDiv w:val="1"/>
      <w:marLeft w:val="0"/>
      <w:marRight w:val="0"/>
      <w:marTop w:val="0"/>
      <w:marBottom w:val="0"/>
      <w:divBdr>
        <w:top w:val="none" w:sz="0" w:space="0" w:color="auto"/>
        <w:left w:val="none" w:sz="0" w:space="0" w:color="auto"/>
        <w:bottom w:val="none" w:sz="0" w:space="0" w:color="auto"/>
        <w:right w:val="none" w:sz="0" w:space="0" w:color="auto"/>
      </w:divBdr>
    </w:div>
    <w:div w:id="1997145657">
      <w:bodyDiv w:val="1"/>
      <w:marLeft w:val="0"/>
      <w:marRight w:val="0"/>
      <w:marTop w:val="0"/>
      <w:marBottom w:val="0"/>
      <w:divBdr>
        <w:top w:val="none" w:sz="0" w:space="0" w:color="auto"/>
        <w:left w:val="none" w:sz="0" w:space="0" w:color="auto"/>
        <w:bottom w:val="none" w:sz="0" w:space="0" w:color="auto"/>
        <w:right w:val="none" w:sz="0" w:space="0" w:color="auto"/>
      </w:divBdr>
    </w:div>
    <w:div w:id="1998804901">
      <w:bodyDiv w:val="1"/>
      <w:marLeft w:val="0"/>
      <w:marRight w:val="0"/>
      <w:marTop w:val="0"/>
      <w:marBottom w:val="0"/>
      <w:divBdr>
        <w:top w:val="none" w:sz="0" w:space="0" w:color="auto"/>
        <w:left w:val="none" w:sz="0" w:space="0" w:color="auto"/>
        <w:bottom w:val="none" w:sz="0" w:space="0" w:color="auto"/>
        <w:right w:val="none" w:sz="0" w:space="0" w:color="auto"/>
      </w:divBdr>
    </w:div>
    <w:div w:id="2005664682">
      <w:bodyDiv w:val="1"/>
      <w:marLeft w:val="0"/>
      <w:marRight w:val="0"/>
      <w:marTop w:val="0"/>
      <w:marBottom w:val="0"/>
      <w:divBdr>
        <w:top w:val="none" w:sz="0" w:space="0" w:color="auto"/>
        <w:left w:val="none" w:sz="0" w:space="0" w:color="auto"/>
        <w:bottom w:val="none" w:sz="0" w:space="0" w:color="auto"/>
        <w:right w:val="none" w:sz="0" w:space="0" w:color="auto"/>
      </w:divBdr>
    </w:div>
    <w:div w:id="2016807560">
      <w:bodyDiv w:val="1"/>
      <w:marLeft w:val="0"/>
      <w:marRight w:val="0"/>
      <w:marTop w:val="0"/>
      <w:marBottom w:val="0"/>
      <w:divBdr>
        <w:top w:val="none" w:sz="0" w:space="0" w:color="auto"/>
        <w:left w:val="none" w:sz="0" w:space="0" w:color="auto"/>
        <w:bottom w:val="none" w:sz="0" w:space="0" w:color="auto"/>
        <w:right w:val="none" w:sz="0" w:space="0" w:color="auto"/>
      </w:divBdr>
    </w:div>
    <w:div w:id="2023512415">
      <w:bodyDiv w:val="1"/>
      <w:marLeft w:val="0"/>
      <w:marRight w:val="0"/>
      <w:marTop w:val="0"/>
      <w:marBottom w:val="0"/>
      <w:divBdr>
        <w:top w:val="none" w:sz="0" w:space="0" w:color="auto"/>
        <w:left w:val="none" w:sz="0" w:space="0" w:color="auto"/>
        <w:bottom w:val="none" w:sz="0" w:space="0" w:color="auto"/>
        <w:right w:val="none" w:sz="0" w:space="0" w:color="auto"/>
      </w:divBdr>
    </w:div>
    <w:div w:id="2041590986">
      <w:bodyDiv w:val="1"/>
      <w:marLeft w:val="0"/>
      <w:marRight w:val="0"/>
      <w:marTop w:val="0"/>
      <w:marBottom w:val="0"/>
      <w:divBdr>
        <w:top w:val="none" w:sz="0" w:space="0" w:color="auto"/>
        <w:left w:val="none" w:sz="0" w:space="0" w:color="auto"/>
        <w:bottom w:val="none" w:sz="0" w:space="0" w:color="auto"/>
        <w:right w:val="none" w:sz="0" w:space="0" w:color="auto"/>
      </w:divBdr>
    </w:div>
    <w:div w:id="2050447754">
      <w:bodyDiv w:val="1"/>
      <w:marLeft w:val="0"/>
      <w:marRight w:val="0"/>
      <w:marTop w:val="0"/>
      <w:marBottom w:val="0"/>
      <w:divBdr>
        <w:top w:val="none" w:sz="0" w:space="0" w:color="auto"/>
        <w:left w:val="none" w:sz="0" w:space="0" w:color="auto"/>
        <w:bottom w:val="none" w:sz="0" w:space="0" w:color="auto"/>
        <w:right w:val="none" w:sz="0" w:space="0" w:color="auto"/>
      </w:divBdr>
    </w:div>
    <w:div w:id="2051688914">
      <w:bodyDiv w:val="1"/>
      <w:marLeft w:val="0"/>
      <w:marRight w:val="0"/>
      <w:marTop w:val="0"/>
      <w:marBottom w:val="0"/>
      <w:divBdr>
        <w:top w:val="none" w:sz="0" w:space="0" w:color="auto"/>
        <w:left w:val="none" w:sz="0" w:space="0" w:color="auto"/>
        <w:bottom w:val="none" w:sz="0" w:space="0" w:color="auto"/>
        <w:right w:val="none" w:sz="0" w:space="0" w:color="auto"/>
      </w:divBdr>
    </w:div>
    <w:div w:id="2057584655">
      <w:bodyDiv w:val="1"/>
      <w:marLeft w:val="0"/>
      <w:marRight w:val="0"/>
      <w:marTop w:val="0"/>
      <w:marBottom w:val="0"/>
      <w:divBdr>
        <w:top w:val="none" w:sz="0" w:space="0" w:color="auto"/>
        <w:left w:val="none" w:sz="0" w:space="0" w:color="auto"/>
        <w:bottom w:val="none" w:sz="0" w:space="0" w:color="auto"/>
        <w:right w:val="none" w:sz="0" w:space="0" w:color="auto"/>
      </w:divBdr>
    </w:div>
    <w:div w:id="2058159482">
      <w:bodyDiv w:val="1"/>
      <w:marLeft w:val="0"/>
      <w:marRight w:val="0"/>
      <w:marTop w:val="0"/>
      <w:marBottom w:val="0"/>
      <w:divBdr>
        <w:top w:val="none" w:sz="0" w:space="0" w:color="auto"/>
        <w:left w:val="none" w:sz="0" w:space="0" w:color="auto"/>
        <w:bottom w:val="none" w:sz="0" w:space="0" w:color="auto"/>
        <w:right w:val="none" w:sz="0" w:space="0" w:color="auto"/>
      </w:divBdr>
    </w:div>
    <w:div w:id="2061127898">
      <w:bodyDiv w:val="1"/>
      <w:marLeft w:val="0"/>
      <w:marRight w:val="0"/>
      <w:marTop w:val="0"/>
      <w:marBottom w:val="0"/>
      <w:divBdr>
        <w:top w:val="none" w:sz="0" w:space="0" w:color="auto"/>
        <w:left w:val="none" w:sz="0" w:space="0" w:color="auto"/>
        <w:bottom w:val="none" w:sz="0" w:space="0" w:color="auto"/>
        <w:right w:val="none" w:sz="0" w:space="0" w:color="auto"/>
      </w:divBdr>
    </w:div>
    <w:div w:id="2064407413">
      <w:bodyDiv w:val="1"/>
      <w:marLeft w:val="0"/>
      <w:marRight w:val="0"/>
      <w:marTop w:val="0"/>
      <w:marBottom w:val="0"/>
      <w:divBdr>
        <w:top w:val="none" w:sz="0" w:space="0" w:color="auto"/>
        <w:left w:val="none" w:sz="0" w:space="0" w:color="auto"/>
        <w:bottom w:val="none" w:sz="0" w:space="0" w:color="auto"/>
        <w:right w:val="none" w:sz="0" w:space="0" w:color="auto"/>
      </w:divBdr>
    </w:div>
    <w:div w:id="2066374027">
      <w:bodyDiv w:val="1"/>
      <w:marLeft w:val="0"/>
      <w:marRight w:val="0"/>
      <w:marTop w:val="0"/>
      <w:marBottom w:val="0"/>
      <w:divBdr>
        <w:top w:val="none" w:sz="0" w:space="0" w:color="auto"/>
        <w:left w:val="none" w:sz="0" w:space="0" w:color="auto"/>
        <w:bottom w:val="none" w:sz="0" w:space="0" w:color="auto"/>
        <w:right w:val="none" w:sz="0" w:space="0" w:color="auto"/>
      </w:divBdr>
    </w:div>
    <w:div w:id="2067678562">
      <w:bodyDiv w:val="1"/>
      <w:marLeft w:val="0"/>
      <w:marRight w:val="0"/>
      <w:marTop w:val="0"/>
      <w:marBottom w:val="0"/>
      <w:divBdr>
        <w:top w:val="none" w:sz="0" w:space="0" w:color="auto"/>
        <w:left w:val="none" w:sz="0" w:space="0" w:color="auto"/>
        <w:bottom w:val="none" w:sz="0" w:space="0" w:color="auto"/>
        <w:right w:val="none" w:sz="0" w:space="0" w:color="auto"/>
      </w:divBdr>
    </w:div>
    <w:div w:id="2079665424">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83986329">
      <w:bodyDiv w:val="1"/>
      <w:marLeft w:val="0"/>
      <w:marRight w:val="0"/>
      <w:marTop w:val="0"/>
      <w:marBottom w:val="0"/>
      <w:divBdr>
        <w:top w:val="none" w:sz="0" w:space="0" w:color="auto"/>
        <w:left w:val="none" w:sz="0" w:space="0" w:color="auto"/>
        <w:bottom w:val="none" w:sz="0" w:space="0" w:color="auto"/>
        <w:right w:val="none" w:sz="0" w:space="0" w:color="auto"/>
      </w:divBdr>
    </w:div>
    <w:div w:id="2090730191">
      <w:bodyDiv w:val="1"/>
      <w:marLeft w:val="0"/>
      <w:marRight w:val="0"/>
      <w:marTop w:val="0"/>
      <w:marBottom w:val="0"/>
      <w:divBdr>
        <w:top w:val="none" w:sz="0" w:space="0" w:color="auto"/>
        <w:left w:val="none" w:sz="0" w:space="0" w:color="auto"/>
        <w:bottom w:val="none" w:sz="0" w:space="0" w:color="auto"/>
        <w:right w:val="none" w:sz="0" w:space="0" w:color="auto"/>
      </w:divBdr>
    </w:div>
    <w:div w:id="2093626610">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095933104">
      <w:bodyDiv w:val="1"/>
      <w:marLeft w:val="0"/>
      <w:marRight w:val="0"/>
      <w:marTop w:val="0"/>
      <w:marBottom w:val="0"/>
      <w:divBdr>
        <w:top w:val="none" w:sz="0" w:space="0" w:color="auto"/>
        <w:left w:val="none" w:sz="0" w:space="0" w:color="auto"/>
        <w:bottom w:val="none" w:sz="0" w:space="0" w:color="auto"/>
        <w:right w:val="none" w:sz="0" w:space="0" w:color="auto"/>
      </w:divBdr>
    </w:div>
    <w:div w:id="2097702372">
      <w:bodyDiv w:val="1"/>
      <w:marLeft w:val="0"/>
      <w:marRight w:val="0"/>
      <w:marTop w:val="0"/>
      <w:marBottom w:val="0"/>
      <w:divBdr>
        <w:top w:val="none" w:sz="0" w:space="0" w:color="auto"/>
        <w:left w:val="none" w:sz="0" w:space="0" w:color="auto"/>
        <w:bottom w:val="none" w:sz="0" w:space="0" w:color="auto"/>
        <w:right w:val="none" w:sz="0" w:space="0" w:color="auto"/>
      </w:divBdr>
    </w:div>
    <w:div w:id="2099209156">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10152733">
      <w:bodyDiv w:val="1"/>
      <w:marLeft w:val="0"/>
      <w:marRight w:val="0"/>
      <w:marTop w:val="0"/>
      <w:marBottom w:val="0"/>
      <w:divBdr>
        <w:top w:val="none" w:sz="0" w:space="0" w:color="auto"/>
        <w:left w:val="none" w:sz="0" w:space="0" w:color="auto"/>
        <w:bottom w:val="none" w:sz="0" w:space="0" w:color="auto"/>
        <w:right w:val="none" w:sz="0" w:space="0" w:color="auto"/>
      </w:divBdr>
    </w:div>
    <w:div w:id="2110546012">
      <w:bodyDiv w:val="1"/>
      <w:marLeft w:val="0"/>
      <w:marRight w:val="0"/>
      <w:marTop w:val="0"/>
      <w:marBottom w:val="0"/>
      <w:divBdr>
        <w:top w:val="none" w:sz="0" w:space="0" w:color="auto"/>
        <w:left w:val="none" w:sz="0" w:space="0" w:color="auto"/>
        <w:bottom w:val="none" w:sz="0" w:space="0" w:color="auto"/>
        <w:right w:val="none" w:sz="0" w:space="0" w:color="auto"/>
      </w:divBdr>
    </w:div>
    <w:div w:id="2119639664">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3643490">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28766895">
      <w:bodyDiv w:val="1"/>
      <w:marLeft w:val="0"/>
      <w:marRight w:val="0"/>
      <w:marTop w:val="0"/>
      <w:marBottom w:val="0"/>
      <w:divBdr>
        <w:top w:val="none" w:sz="0" w:space="0" w:color="auto"/>
        <w:left w:val="none" w:sz="0" w:space="0" w:color="auto"/>
        <w:bottom w:val="none" w:sz="0" w:space="0" w:color="auto"/>
        <w:right w:val="none" w:sz="0" w:space="0" w:color="auto"/>
      </w:divBdr>
    </w:div>
    <w:div w:id="2131317064">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17989">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 w:id="2144107006">
      <w:bodyDiv w:val="1"/>
      <w:marLeft w:val="0"/>
      <w:marRight w:val="0"/>
      <w:marTop w:val="0"/>
      <w:marBottom w:val="0"/>
      <w:divBdr>
        <w:top w:val="none" w:sz="0" w:space="0" w:color="auto"/>
        <w:left w:val="none" w:sz="0" w:space="0" w:color="auto"/>
        <w:bottom w:val="none" w:sz="0" w:space="0" w:color="auto"/>
        <w:right w:val="none" w:sz="0" w:space="0" w:color="auto"/>
      </w:divBdr>
    </w:div>
    <w:div w:id="2144542715">
      <w:bodyDiv w:val="1"/>
      <w:marLeft w:val="0"/>
      <w:marRight w:val="0"/>
      <w:marTop w:val="0"/>
      <w:marBottom w:val="0"/>
      <w:divBdr>
        <w:top w:val="none" w:sz="0" w:space="0" w:color="auto"/>
        <w:left w:val="none" w:sz="0" w:space="0" w:color="auto"/>
        <w:bottom w:val="none" w:sz="0" w:space="0" w:color="auto"/>
        <w:right w:val="none" w:sz="0" w:space="0" w:color="auto"/>
      </w:divBdr>
    </w:div>
    <w:div w:id="214553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footer" Target="footer3.xml"/><Relationship Id="rId68" Type="http://schemas.openxmlformats.org/officeDocument/2006/relationships/footer" Target="footer5.xml"/><Relationship Id="rId84" Type="http://schemas.openxmlformats.org/officeDocument/2006/relationships/header" Target="header14.xml"/><Relationship Id="rId89" Type="http://schemas.openxmlformats.org/officeDocument/2006/relationships/header" Target="header17.xml"/><Relationship Id="rId7" Type="http://schemas.openxmlformats.org/officeDocument/2006/relationships/customXml" Target="../customXml/item7.xml"/><Relationship Id="rId71" Type="http://schemas.openxmlformats.org/officeDocument/2006/relationships/footer" Target="footer7.xml"/><Relationship Id="rId92"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07" Type="http://schemas.openxmlformats.org/officeDocument/2006/relationships/fontTable" Target="fontTable.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styles" Target="styles.xml"/><Relationship Id="rId58" Type="http://schemas.openxmlformats.org/officeDocument/2006/relationships/footer" Target="footer1.xml"/><Relationship Id="rId66" Type="http://schemas.openxmlformats.org/officeDocument/2006/relationships/footer" Target="footer4.xml"/><Relationship Id="rId74" Type="http://schemas.openxmlformats.org/officeDocument/2006/relationships/header" Target="header9.xml"/><Relationship Id="rId79" Type="http://schemas.openxmlformats.org/officeDocument/2006/relationships/header" Target="header11.xml"/><Relationship Id="rId87" Type="http://schemas.openxmlformats.org/officeDocument/2006/relationships/header" Target="header16.xml"/><Relationship Id="rId102" Type="http://schemas.openxmlformats.org/officeDocument/2006/relationships/footer" Target="footer24.xml"/><Relationship Id="rId5" Type="http://schemas.openxmlformats.org/officeDocument/2006/relationships/customXml" Target="../customXml/item5.xml"/><Relationship Id="rId61" Type="http://schemas.openxmlformats.org/officeDocument/2006/relationships/header" Target="header2.xml"/><Relationship Id="rId82" Type="http://schemas.openxmlformats.org/officeDocument/2006/relationships/header" Target="header13.xml"/><Relationship Id="rId90" Type="http://schemas.openxmlformats.org/officeDocument/2006/relationships/footer" Target="footer16.xml"/><Relationship Id="rId95" Type="http://schemas.openxmlformats.org/officeDocument/2006/relationships/header" Target="header2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footnotes" Target="footnotes.xml"/><Relationship Id="rId64" Type="http://schemas.openxmlformats.org/officeDocument/2006/relationships/header" Target="header4.xml"/><Relationship Id="rId69" Type="http://schemas.openxmlformats.org/officeDocument/2006/relationships/header" Target="header7.xml"/><Relationship Id="rId77" Type="http://schemas.openxmlformats.org/officeDocument/2006/relationships/header" Target="header10.xml"/><Relationship Id="rId100" Type="http://schemas.openxmlformats.org/officeDocument/2006/relationships/footer" Target="footer22.xml"/><Relationship Id="rId105" Type="http://schemas.openxmlformats.org/officeDocument/2006/relationships/header" Target="header23.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eader" Target="header8.xml"/><Relationship Id="rId80" Type="http://schemas.openxmlformats.org/officeDocument/2006/relationships/footer" Target="footer12.xml"/><Relationship Id="rId85" Type="http://schemas.openxmlformats.org/officeDocument/2006/relationships/footer" Target="footer14.xml"/><Relationship Id="rId93" Type="http://schemas.openxmlformats.org/officeDocument/2006/relationships/header" Target="header19.xml"/><Relationship Id="rId98"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header" Target="header1.xml"/><Relationship Id="rId67" Type="http://schemas.openxmlformats.org/officeDocument/2006/relationships/header" Target="header6.xml"/><Relationship Id="rId103" Type="http://schemas.openxmlformats.org/officeDocument/2006/relationships/header" Target="header22.xml"/><Relationship Id="rId108"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ettings" Target="settings.xml"/><Relationship Id="rId62" Type="http://schemas.openxmlformats.org/officeDocument/2006/relationships/header" Target="header3.xml"/><Relationship Id="rId70" Type="http://schemas.openxmlformats.org/officeDocument/2006/relationships/footer" Target="footer6.xml"/><Relationship Id="rId75" Type="http://schemas.openxmlformats.org/officeDocument/2006/relationships/footer" Target="footer9.xml"/><Relationship Id="rId83" Type="http://schemas.openxmlformats.org/officeDocument/2006/relationships/footer" Target="footer13.xml"/><Relationship Id="rId88" Type="http://schemas.openxmlformats.org/officeDocument/2006/relationships/footer" Target="footer15.xml"/><Relationship Id="rId91" Type="http://schemas.openxmlformats.org/officeDocument/2006/relationships/header" Target="header18.xml"/><Relationship Id="rId96"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endnotes" Target="endnotes.xml"/><Relationship Id="rId106" Type="http://schemas.openxmlformats.org/officeDocument/2006/relationships/header" Target="header2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numbering" Target="numbering.xml"/><Relationship Id="rId60" Type="http://schemas.openxmlformats.org/officeDocument/2006/relationships/footer" Target="footer2.xml"/><Relationship Id="rId65" Type="http://schemas.openxmlformats.org/officeDocument/2006/relationships/header" Target="header5.xml"/><Relationship Id="rId73" Type="http://schemas.openxmlformats.org/officeDocument/2006/relationships/footer" Target="footer8.xml"/><Relationship Id="rId78" Type="http://schemas.openxmlformats.org/officeDocument/2006/relationships/footer" Target="footer11.xml"/><Relationship Id="rId81" Type="http://schemas.openxmlformats.org/officeDocument/2006/relationships/header" Target="header12.xml"/><Relationship Id="rId86" Type="http://schemas.openxmlformats.org/officeDocument/2006/relationships/header" Target="header15.xml"/><Relationship Id="rId94" Type="http://schemas.openxmlformats.org/officeDocument/2006/relationships/header" Target="header20.xml"/><Relationship Id="rId99" Type="http://schemas.openxmlformats.org/officeDocument/2006/relationships/footer" Target="footer21.xml"/><Relationship Id="rId101"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webSettings" Target="webSettings.xml"/><Relationship Id="rId76" Type="http://schemas.openxmlformats.org/officeDocument/2006/relationships/footer" Target="footer10.xml"/><Relationship Id="rId97" Type="http://schemas.openxmlformats.org/officeDocument/2006/relationships/footer" Target="footer19.xml"/><Relationship Id="rId104" Type="http://schemas.openxmlformats.org/officeDocument/2006/relationships/footer" Target="footer2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XMLData TextToDisplay="%CLASSIFICATIONDATETIME%">13:02 10/03/2021</XMLDat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XMLData TextToDisplay="%DOCUMENTGUID%">{00000000-0000-0000-0000-000000000000}</XMLDat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XMLData TextToDisplay="RightsWATCHMark">14|BANKA-Ticari-Ticari Özel|{00000000-0000-0000-0000-000000000000}</XMLDat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9EF91-E908-4EE3-9A53-91B82249486B}">
  <ds:schemaRefs>
    <ds:schemaRef ds:uri="http://schemas.openxmlformats.org/officeDocument/2006/bibliography"/>
  </ds:schemaRefs>
</ds:datastoreItem>
</file>

<file path=customXml/itemProps10.xml><?xml version="1.0" encoding="utf-8"?>
<ds:datastoreItem xmlns:ds="http://schemas.openxmlformats.org/officeDocument/2006/customXml" ds:itemID="{4AA5BD1C-B6B3-4419-8E3A-22095DB60146}">
  <ds:schemaRefs>
    <ds:schemaRef ds:uri="http://schemas.openxmlformats.org/officeDocument/2006/bibliography"/>
  </ds:schemaRefs>
</ds:datastoreItem>
</file>

<file path=customXml/itemProps11.xml><?xml version="1.0" encoding="utf-8"?>
<ds:datastoreItem xmlns:ds="http://schemas.openxmlformats.org/officeDocument/2006/customXml" ds:itemID="{64BDC461-9F16-40F0-91B9-755EB3F6B5B4}">
  <ds:schemaRefs>
    <ds:schemaRef ds:uri="http://schemas.openxmlformats.org/officeDocument/2006/bibliography"/>
  </ds:schemaRefs>
</ds:datastoreItem>
</file>

<file path=customXml/itemProps12.xml><?xml version="1.0" encoding="utf-8"?>
<ds:datastoreItem xmlns:ds="http://schemas.openxmlformats.org/officeDocument/2006/customXml" ds:itemID="{28D3F397-DAE6-4401-AFF8-5DA348098C66}">
  <ds:schemaRefs>
    <ds:schemaRef ds:uri="http://schemas.openxmlformats.org/officeDocument/2006/bibliography"/>
  </ds:schemaRefs>
</ds:datastoreItem>
</file>

<file path=customXml/itemProps13.xml><?xml version="1.0" encoding="utf-8"?>
<ds:datastoreItem xmlns:ds="http://schemas.openxmlformats.org/officeDocument/2006/customXml" ds:itemID="{501AF49B-6FB6-4F55-AE3A-9CFA96E8B45C}">
  <ds:schemaRefs>
    <ds:schemaRef ds:uri="http://schemas.openxmlformats.org/officeDocument/2006/bibliography"/>
  </ds:schemaRefs>
</ds:datastoreItem>
</file>

<file path=customXml/itemProps14.xml><?xml version="1.0" encoding="utf-8"?>
<ds:datastoreItem xmlns:ds="http://schemas.openxmlformats.org/officeDocument/2006/customXml" ds:itemID="{4E652C7C-21F8-44E0-96E7-28E9ED17C7BF}">
  <ds:schemaRefs>
    <ds:schemaRef ds:uri="http://schemas.openxmlformats.org/officeDocument/2006/bibliography"/>
  </ds:schemaRefs>
</ds:datastoreItem>
</file>

<file path=customXml/itemProps15.xml><?xml version="1.0" encoding="utf-8"?>
<ds:datastoreItem xmlns:ds="http://schemas.openxmlformats.org/officeDocument/2006/customXml" ds:itemID="{30FC5448-66AA-461D-A7A3-FF522EC8C35E}">
  <ds:schemaRefs>
    <ds:schemaRef ds:uri="http://schemas.openxmlformats.org/officeDocument/2006/bibliography"/>
  </ds:schemaRefs>
</ds:datastoreItem>
</file>

<file path=customXml/itemProps16.xml><?xml version="1.0" encoding="utf-8"?>
<ds:datastoreItem xmlns:ds="http://schemas.openxmlformats.org/officeDocument/2006/customXml" ds:itemID="{A53B9EFC-65F7-4B7E-9C47-A581149DBF28}">
  <ds:schemaRefs>
    <ds:schemaRef ds:uri="http://schemas.openxmlformats.org/officeDocument/2006/bibliography"/>
  </ds:schemaRefs>
</ds:datastoreItem>
</file>

<file path=customXml/itemProps17.xml><?xml version="1.0" encoding="utf-8"?>
<ds:datastoreItem xmlns:ds="http://schemas.openxmlformats.org/officeDocument/2006/customXml" ds:itemID="{794C7685-3BE2-4BFF-BBD2-40B1DE9B4719}">
  <ds:schemaRefs>
    <ds:schemaRef ds:uri="http://schemas.openxmlformats.org/officeDocument/2006/bibliography"/>
  </ds:schemaRefs>
</ds:datastoreItem>
</file>

<file path=customXml/itemProps18.xml><?xml version="1.0" encoding="utf-8"?>
<ds:datastoreItem xmlns:ds="http://schemas.openxmlformats.org/officeDocument/2006/customXml" ds:itemID="{AB6AAEBF-4FE2-4477-9E1A-946145F3AA14}">
  <ds:schemaRefs>
    <ds:schemaRef ds:uri="http://schemas.openxmlformats.org/officeDocument/2006/bibliography"/>
  </ds:schemaRefs>
</ds:datastoreItem>
</file>

<file path=customXml/itemProps19.xml><?xml version="1.0" encoding="utf-8"?>
<ds:datastoreItem xmlns:ds="http://schemas.openxmlformats.org/officeDocument/2006/customXml" ds:itemID="{034FBAEC-091E-489F-BA03-C999D50CABFF}">
  <ds:schemaRefs>
    <ds:schemaRef ds:uri="http://schemas.openxmlformats.org/officeDocument/2006/bibliography"/>
  </ds:schemaRefs>
</ds:datastoreItem>
</file>

<file path=customXml/itemProps2.xml><?xml version="1.0" encoding="utf-8"?>
<ds:datastoreItem xmlns:ds="http://schemas.openxmlformats.org/officeDocument/2006/customXml" ds:itemID="{E5D1C908-41BC-4AB8-9951-F959BE7B58C4}">
  <ds:schemaRefs>
    <ds:schemaRef ds:uri="http://schemas.openxmlformats.org/officeDocument/2006/bibliography"/>
  </ds:schemaRefs>
</ds:datastoreItem>
</file>

<file path=customXml/itemProps20.xml><?xml version="1.0" encoding="utf-8"?>
<ds:datastoreItem xmlns:ds="http://schemas.openxmlformats.org/officeDocument/2006/customXml" ds:itemID="{E4F934FB-99C8-4F55-ACBF-F100C53D8B03}">
  <ds:schemaRefs>
    <ds:schemaRef ds:uri="http://schemas.openxmlformats.org/officeDocument/2006/bibliography"/>
  </ds:schemaRefs>
</ds:datastoreItem>
</file>

<file path=customXml/itemProps21.xml><?xml version="1.0" encoding="utf-8"?>
<ds:datastoreItem xmlns:ds="http://schemas.openxmlformats.org/officeDocument/2006/customXml" ds:itemID="{27B6B4AE-9163-4D5F-B5E6-CDB2937CE1FD}">
  <ds:schemaRefs>
    <ds:schemaRef ds:uri="http://schemas.openxmlformats.org/officeDocument/2006/bibliography"/>
  </ds:schemaRefs>
</ds:datastoreItem>
</file>

<file path=customXml/itemProps22.xml><?xml version="1.0" encoding="utf-8"?>
<ds:datastoreItem xmlns:ds="http://schemas.openxmlformats.org/officeDocument/2006/customXml" ds:itemID="{FCD37F54-AF27-4113-A18D-41A66C7E3695}">
  <ds:schemaRefs>
    <ds:schemaRef ds:uri="http://schemas.openxmlformats.org/officeDocument/2006/bibliography"/>
  </ds:schemaRefs>
</ds:datastoreItem>
</file>

<file path=customXml/itemProps23.xml><?xml version="1.0" encoding="utf-8"?>
<ds:datastoreItem xmlns:ds="http://schemas.openxmlformats.org/officeDocument/2006/customXml" ds:itemID="{B5CB03FE-9DC6-495A-81C0-2088A7FE28FB}">
  <ds:schemaRefs>
    <ds:schemaRef ds:uri="http://schemas.openxmlformats.org/officeDocument/2006/bibliography"/>
  </ds:schemaRefs>
</ds:datastoreItem>
</file>

<file path=customXml/itemProps24.xml><?xml version="1.0" encoding="utf-8"?>
<ds:datastoreItem xmlns:ds="http://schemas.openxmlformats.org/officeDocument/2006/customXml" ds:itemID="{A7F8F538-159E-4F8D-A3A7-5B65B0FBC6D7}">
  <ds:schemaRefs>
    <ds:schemaRef ds:uri="http://schemas.openxmlformats.org/officeDocument/2006/bibliography"/>
  </ds:schemaRefs>
</ds:datastoreItem>
</file>

<file path=customXml/itemProps25.xml><?xml version="1.0" encoding="utf-8"?>
<ds:datastoreItem xmlns:ds="http://schemas.openxmlformats.org/officeDocument/2006/customXml" ds:itemID="{1984FA4F-E411-49E7-B0DA-4AE2A8794036}">
  <ds:schemaRefs>
    <ds:schemaRef ds:uri="http://schemas.openxmlformats.org/officeDocument/2006/bibliography"/>
  </ds:schemaRefs>
</ds:datastoreItem>
</file>

<file path=customXml/itemProps26.xml><?xml version="1.0" encoding="utf-8"?>
<ds:datastoreItem xmlns:ds="http://schemas.openxmlformats.org/officeDocument/2006/customXml" ds:itemID="{9D52C65C-DC7A-4C1F-99D5-D10139D8DC52}">
  <ds:schemaRefs>
    <ds:schemaRef ds:uri="http://schemas.openxmlformats.org/officeDocument/2006/bibliography"/>
  </ds:schemaRefs>
</ds:datastoreItem>
</file>

<file path=customXml/itemProps27.xml><?xml version="1.0" encoding="utf-8"?>
<ds:datastoreItem xmlns:ds="http://schemas.openxmlformats.org/officeDocument/2006/customXml" ds:itemID="{D83C9D99-8A53-4905-B34B-12944605A4E3}">
  <ds:schemaRefs>
    <ds:schemaRef ds:uri="http://schemas.openxmlformats.org/officeDocument/2006/bibliography"/>
  </ds:schemaRefs>
</ds:datastoreItem>
</file>

<file path=customXml/itemProps28.xml><?xml version="1.0" encoding="utf-8"?>
<ds:datastoreItem xmlns:ds="http://schemas.openxmlformats.org/officeDocument/2006/customXml" ds:itemID="{A88ECBCE-1971-46E1-93C2-D81A08434DEE}">
  <ds:schemaRefs>
    <ds:schemaRef ds:uri="http://schemas.openxmlformats.org/officeDocument/2006/bibliography"/>
  </ds:schemaRefs>
</ds:datastoreItem>
</file>

<file path=customXml/itemProps29.xml><?xml version="1.0" encoding="utf-8"?>
<ds:datastoreItem xmlns:ds="http://schemas.openxmlformats.org/officeDocument/2006/customXml" ds:itemID="{E3E4E547-6C82-4EDE-935E-AF57D5D61034}">
  <ds:schemaRefs>
    <ds:schemaRef ds:uri="http://schemas.openxmlformats.org/officeDocument/2006/bibliography"/>
  </ds:schemaRefs>
</ds:datastoreItem>
</file>

<file path=customXml/itemProps3.xml><?xml version="1.0" encoding="utf-8"?>
<ds:datastoreItem xmlns:ds="http://schemas.openxmlformats.org/officeDocument/2006/customXml" ds:itemID="{4EC4BEB4-1551-4E9A-91C8-2DAF8027D7FD}">
  <ds:schemaRefs>
    <ds:schemaRef ds:uri="http://schemas.openxmlformats.org/officeDocument/2006/bibliography"/>
  </ds:schemaRefs>
</ds:datastoreItem>
</file>

<file path=customXml/itemProps30.xml><?xml version="1.0" encoding="utf-8"?>
<ds:datastoreItem xmlns:ds="http://schemas.openxmlformats.org/officeDocument/2006/customXml" ds:itemID="{6A73252F-8CAC-40D6-9213-33407E22438A}">
  <ds:schemaRefs>
    <ds:schemaRef ds:uri="http://schemas.openxmlformats.org/officeDocument/2006/bibliography"/>
  </ds:schemaRefs>
</ds:datastoreItem>
</file>

<file path=customXml/itemProps31.xml><?xml version="1.0" encoding="utf-8"?>
<ds:datastoreItem xmlns:ds="http://schemas.openxmlformats.org/officeDocument/2006/customXml" ds:itemID="{7015AFF9-9B26-4EF9-81F8-9F8AC15F93D0}">
  <ds:schemaRefs/>
</ds:datastoreItem>
</file>

<file path=customXml/itemProps32.xml><?xml version="1.0" encoding="utf-8"?>
<ds:datastoreItem xmlns:ds="http://schemas.openxmlformats.org/officeDocument/2006/customXml" ds:itemID="{E7ABC5AE-2D07-4FD1-BBDC-75C5E291C5BC}">
  <ds:schemaRefs>
    <ds:schemaRef ds:uri="http://schemas.openxmlformats.org/officeDocument/2006/bibliography"/>
  </ds:schemaRefs>
</ds:datastoreItem>
</file>

<file path=customXml/itemProps33.xml><?xml version="1.0" encoding="utf-8"?>
<ds:datastoreItem xmlns:ds="http://schemas.openxmlformats.org/officeDocument/2006/customXml" ds:itemID="{6812C380-3A43-4791-9B8D-600C4D9C2188}">
  <ds:schemaRefs>
    <ds:schemaRef ds:uri="http://schemas.openxmlformats.org/officeDocument/2006/bibliography"/>
  </ds:schemaRefs>
</ds:datastoreItem>
</file>

<file path=customXml/itemProps34.xml><?xml version="1.0" encoding="utf-8"?>
<ds:datastoreItem xmlns:ds="http://schemas.openxmlformats.org/officeDocument/2006/customXml" ds:itemID="{65B0C211-E5E4-4399-BABA-ACD06D647DFC}">
  <ds:schemaRefs>
    <ds:schemaRef ds:uri="http://schemas.openxmlformats.org/officeDocument/2006/bibliography"/>
  </ds:schemaRefs>
</ds:datastoreItem>
</file>

<file path=customXml/itemProps35.xml><?xml version="1.0" encoding="utf-8"?>
<ds:datastoreItem xmlns:ds="http://schemas.openxmlformats.org/officeDocument/2006/customXml" ds:itemID="{40A58E10-532E-45C0-BBC8-3C741301E2DC}">
  <ds:schemaRefs>
    <ds:schemaRef ds:uri="http://schemas.openxmlformats.org/officeDocument/2006/bibliography"/>
  </ds:schemaRefs>
</ds:datastoreItem>
</file>

<file path=customXml/itemProps36.xml><?xml version="1.0" encoding="utf-8"?>
<ds:datastoreItem xmlns:ds="http://schemas.openxmlformats.org/officeDocument/2006/customXml" ds:itemID="{FFE12876-AE7C-4A3D-8DB3-21EC51631ACB}">
  <ds:schemaRefs>
    <ds:schemaRef ds:uri="http://schemas.openxmlformats.org/officeDocument/2006/bibliography"/>
  </ds:schemaRefs>
</ds:datastoreItem>
</file>

<file path=customXml/itemProps37.xml><?xml version="1.0" encoding="utf-8"?>
<ds:datastoreItem xmlns:ds="http://schemas.openxmlformats.org/officeDocument/2006/customXml" ds:itemID="{1C4616D8-234E-46C3-8C6E-4FCBE3FD0E72}">
  <ds:schemaRefs/>
</ds:datastoreItem>
</file>

<file path=customXml/itemProps38.xml><?xml version="1.0" encoding="utf-8"?>
<ds:datastoreItem xmlns:ds="http://schemas.openxmlformats.org/officeDocument/2006/customXml" ds:itemID="{9DAE96FE-C047-4822-B4C9-096AA6D19EA3}">
  <ds:schemaRefs>
    <ds:schemaRef ds:uri="http://schemas.openxmlformats.org/officeDocument/2006/bibliography"/>
  </ds:schemaRefs>
</ds:datastoreItem>
</file>

<file path=customXml/itemProps39.xml><?xml version="1.0" encoding="utf-8"?>
<ds:datastoreItem xmlns:ds="http://schemas.openxmlformats.org/officeDocument/2006/customXml" ds:itemID="{DE8DA0A4-9A31-4DAB-97AC-51C5BC3953E7}">
  <ds:schemaRefs>
    <ds:schemaRef ds:uri="http://schemas.openxmlformats.org/officeDocument/2006/bibliography"/>
  </ds:schemaRefs>
</ds:datastoreItem>
</file>

<file path=customXml/itemProps4.xml><?xml version="1.0" encoding="utf-8"?>
<ds:datastoreItem xmlns:ds="http://schemas.openxmlformats.org/officeDocument/2006/customXml" ds:itemID="{13349389-7CD4-416D-828F-FE7E30499E99}">
  <ds:schemaRefs>
    <ds:schemaRef ds:uri="http://schemas.openxmlformats.org/officeDocument/2006/bibliography"/>
  </ds:schemaRefs>
</ds:datastoreItem>
</file>

<file path=customXml/itemProps40.xml><?xml version="1.0" encoding="utf-8"?>
<ds:datastoreItem xmlns:ds="http://schemas.openxmlformats.org/officeDocument/2006/customXml" ds:itemID="{A4776BD6-3992-48FA-925B-A2DBA981D926}">
  <ds:schemaRefs>
    <ds:schemaRef ds:uri="http://schemas.openxmlformats.org/officeDocument/2006/bibliography"/>
  </ds:schemaRefs>
</ds:datastoreItem>
</file>

<file path=customXml/itemProps41.xml><?xml version="1.0" encoding="utf-8"?>
<ds:datastoreItem xmlns:ds="http://schemas.openxmlformats.org/officeDocument/2006/customXml" ds:itemID="{F7395CD3-111B-4FEA-A181-5A0E2683EE2F}">
  <ds:schemaRefs>
    <ds:schemaRef ds:uri="http://schemas.openxmlformats.org/officeDocument/2006/bibliography"/>
  </ds:schemaRefs>
</ds:datastoreItem>
</file>

<file path=customXml/itemProps42.xml><?xml version="1.0" encoding="utf-8"?>
<ds:datastoreItem xmlns:ds="http://schemas.openxmlformats.org/officeDocument/2006/customXml" ds:itemID="{9E43B225-A117-4B65-AC84-8B71290DF11C}">
  <ds:schemaRefs/>
</ds:datastoreItem>
</file>

<file path=customXml/itemProps43.xml><?xml version="1.0" encoding="utf-8"?>
<ds:datastoreItem xmlns:ds="http://schemas.openxmlformats.org/officeDocument/2006/customXml" ds:itemID="{6E653BBB-594C-445E-B26A-55E8AE82AFAD}">
  <ds:schemaRefs>
    <ds:schemaRef ds:uri="http://schemas.openxmlformats.org/officeDocument/2006/bibliography"/>
  </ds:schemaRefs>
</ds:datastoreItem>
</file>

<file path=customXml/itemProps44.xml><?xml version="1.0" encoding="utf-8"?>
<ds:datastoreItem xmlns:ds="http://schemas.openxmlformats.org/officeDocument/2006/customXml" ds:itemID="{903E805A-DFAA-4CB5-B388-CAA4B5B59AA6}">
  <ds:schemaRefs>
    <ds:schemaRef ds:uri="http://schemas.openxmlformats.org/officeDocument/2006/bibliography"/>
  </ds:schemaRefs>
</ds:datastoreItem>
</file>

<file path=customXml/itemProps45.xml><?xml version="1.0" encoding="utf-8"?>
<ds:datastoreItem xmlns:ds="http://schemas.openxmlformats.org/officeDocument/2006/customXml" ds:itemID="{C050FF84-228E-42E5-9D5F-942C8A36D649}">
  <ds:schemaRefs>
    <ds:schemaRef ds:uri="http://schemas.openxmlformats.org/officeDocument/2006/bibliography"/>
  </ds:schemaRefs>
</ds:datastoreItem>
</file>

<file path=customXml/itemProps46.xml><?xml version="1.0" encoding="utf-8"?>
<ds:datastoreItem xmlns:ds="http://schemas.openxmlformats.org/officeDocument/2006/customXml" ds:itemID="{D4A40B21-7801-4A6F-AEB2-3715183E240A}">
  <ds:schemaRefs>
    <ds:schemaRef ds:uri="http://schemas.openxmlformats.org/officeDocument/2006/bibliography"/>
  </ds:schemaRefs>
</ds:datastoreItem>
</file>

<file path=customXml/itemProps47.xml><?xml version="1.0" encoding="utf-8"?>
<ds:datastoreItem xmlns:ds="http://schemas.openxmlformats.org/officeDocument/2006/customXml" ds:itemID="{CE8718BF-400F-4A4B-9F51-CBC2DA95353E}">
  <ds:schemaRefs>
    <ds:schemaRef ds:uri="http://schemas.openxmlformats.org/officeDocument/2006/bibliography"/>
  </ds:schemaRefs>
</ds:datastoreItem>
</file>

<file path=customXml/itemProps48.xml><?xml version="1.0" encoding="utf-8"?>
<ds:datastoreItem xmlns:ds="http://schemas.openxmlformats.org/officeDocument/2006/customXml" ds:itemID="{B242399E-AAC5-4B9E-9AF8-500FF89B464C}">
  <ds:schemaRefs>
    <ds:schemaRef ds:uri="http://schemas.openxmlformats.org/officeDocument/2006/bibliography"/>
  </ds:schemaRefs>
</ds:datastoreItem>
</file>

<file path=customXml/itemProps49.xml><?xml version="1.0" encoding="utf-8"?>
<ds:datastoreItem xmlns:ds="http://schemas.openxmlformats.org/officeDocument/2006/customXml" ds:itemID="{D3E22BD3-4E8F-4567-8D3E-93344DB291E3}">
  <ds:schemaRefs>
    <ds:schemaRef ds:uri="http://schemas.openxmlformats.org/officeDocument/2006/bibliography"/>
  </ds:schemaRefs>
</ds:datastoreItem>
</file>

<file path=customXml/itemProps5.xml><?xml version="1.0" encoding="utf-8"?>
<ds:datastoreItem xmlns:ds="http://schemas.openxmlformats.org/officeDocument/2006/customXml" ds:itemID="{C0EA752A-D4C4-43D4-A884-872E5567CAAA}">
  <ds:schemaRefs>
    <ds:schemaRef ds:uri="http://schemas.openxmlformats.org/officeDocument/2006/bibliography"/>
  </ds:schemaRefs>
</ds:datastoreItem>
</file>

<file path=customXml/itemProps50.xml><?xml version="1.0" encoding="utf-8"?>
<ds:datastoreItem xmlns:ds="http://schemas.openxmlformats.org/officeDocument/2006/customXml" ds:itemID="{EA51829F-46B3-41A5-B7C9-525F3A5543FC}">
  <ds:schemaRefs>
    <ds:schemaRef ds:uri="http://schemas.openxmlformats.org/officeDocument/2006/bibliography"/>
  </ds:schemaRefs>
</ds:datastoreItem>
</file>

<file path=customXml/itemProps51.xml><?xml version="1.0" encoding="utf-8"?>
<ds:datastoreItem xmlns:ds="http://schemas.openxmlformats.org/officeDocument/2006/customXml" ds:itemID="{79FA5C0E-AF60-4C02-9FF5-08F538FCA669}">
  <ds:schemaRefs>
    <ds:schemaRef ds:uri="http://schemas.openxmlformats.org/officeDocument/2006/bibliography"/>
  </ds:schemaRefs>
</ds:datastoreItem>
</file>

<file path=customXml/itemProps6.xml><?xml version="1.0" encoding="utf-8"?>
<ds:datastoreItem xmlns:ds="http://schemas.openxmlformats.org/officeDocument/2006/customXml" ds:itemID="{28F83CC3-1D08-49FE-BF19-536EF2AD0C70}">
  <ds:schemaRefs>
    <ds:schemaRef ds:uri="http://schemas.openxmlformats.org/officeDocument/2006/bibliography"/>
  </ds:schemaRefs>
</ds:datastoreItem>
</file>

<file path=customXml/itemProps7.xml><?xml version="1.0" encoding="utf-8"?>
<ds:datastoreItem xmlns:ds="http://schemas.openxmlformats.org/officeDocument/2006/customXml" ds:itemID="{E2A90C40-F93F-44B6-BA2E-BA9BD5569F5B}">
  <ds:schemaRefs>
    <ds:schemaRef ds:uri="http://schemas.openxmlformats.org/officeDocument/2006/bibliography"/>
  </ds:schemaRefs>
</ds:datastoreItem>
</file>

<file path=customXml/itemProps8.xml><?xml version="1.0" encoding="utf-8"?>
<ds:datastoreItem xmlns:ds="http://schemas.openxmlformats.org/officeDocument/2006/customXml" ds:itemID="{7CAB3434-DD1A-4539-A09D-12D2D3FFCCB1}">
  <ds:schemaRefs>
    <ds:schemaRef ds:uri="http://schemas.openxmlformats.org/officeDocument/2006/bibliography"/>
  </ds:schemaRefs>
</ds:datastoreItem>
</file>

<file path=customXml/itemProps9.xml><?xml version="1.0" encoding="utf-8"?>
<ds:datastoreItem xmlns:ds="http://schemas.openxmlformats.org/officeDocument/2006/customXml" ds:itemID="{5C043A14-AA51-45AB-9160-4C7A07F3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46807</Words>
  <Characters>266804</Characters>
  <Application>Microsoft Office Word</Application>
  <DocSecurity>4</DocSecurity>
  <Lines>2223</Lines>
  <Paragraphs>625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TKYB 30 Haziran 2025 Konsolide Mali Tablolar ve Dipnotları</vt:lpstr>
      <vt:lpstr>...............................................................................................................................................................................................................................................................</vt:lpstr>
    </vt:vector>
  </TitlesOfParts>
  <Company>KALKINMA</Company>
  <LinksUpToDate>false</LinksUpToDate>
  <CharactersWithSpaces>312986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TKYB 30 Haziran 2025 Konsolide Mali Tablolar ve Dipnotları</dc:title>
  <dc:subject/>
  <dc:creator>Yolsal, Deniz (TR - Ankara)</dc:creator>
  <cp:keywords/>
  <dc:description/>
  <cp:lastModifiedBy>Aynur Küçük</cp:lastModifiedBy>
  <cp:revision>2</cp:revision>
  <cp:lastPrinted>2023-01-26T07:36:00Z</cp:lastPrinted>
  <dcterms:created xsi:type="dcterms:W3CDTF">2025-08-01T12:24:00Z</dcterms:created>
  <dcterms:modified xsi:type="dcterms:W3CDTF">2025-08-01T12:24:00Z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14|BANKA-Ticari-Ticari Özel|{00000000-0000-0000-0000-000000000000}</vt:lpwstr>
  </property>
</Properties>
</file>